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9E49" w14:textId="77777777" w:rsidR="001072E5" w:rsidRPr="00F34B8E" w:rsidRDefault="001072E5" w:rsidP="001072E5">
      <w:pPr>
        <w:widowControl w:val="0"/>
        <w:spacing w:before="240" w:line="360" w:lineRule="auto"/>
        <w:jc w:val="center"/>
        <w:rPr>
          <w:rFonts w:cs="Arial"/>
          <w:b/>
          <w:noProof/>
          <w:szCs w:val="24"/>
          <w:lang w:val="en-GB" w:eastAsia="en-ZA"/>
        </w:rPr>
      </w:pPr>
      <w:r w:rsidRPr="00F34B8E">
        <w:rPr>
          <w:rFonts w:cs="Arial"/>
          <w:b/>
          <w:noProof/>
          <w:szCs w:val="24"/>
          <w:lang w:val="en-GB" w:eastAsia="en-ZA"/>
        </w:rPr>
        <w:t>REPUBLIC OF SOUTH AFRICA</w:t>
      </w:r>
    </w:p>
    <w:p w14:paraId="07AC225A" w14:textId="77777777" w:rsidR="001072E5" w:rsidRPr="00F34B8E" w:rsidRDefault="001072E5" w:rsidP="001072E5">
      <w:pPr>
        <w:widowControl w:val="0"/>
        <w:spacing w:before="240" w:line="360" w:lineRule="auto"/>
        <w:jc w:val="center"/>
        <w:rPr>
          <w:rFonts w:cs="Arial"/>
          <w:b/>
          <w:szCs w:val="24"/>
          <w:lang w:val="en-GB"/>
        </w:rPr>
      </w:pPr>
      <w:r w:rsidRPr="00F34B8E">
        <w:rPr>
          <w:rFonts w:cs="Arial"/>
          <w:b/>
          <w:noProof/>
          <w:szCs w:val="24"/>
          <w:lang w:eastAsia="en-ZA"/>
        </w:rPr>
        <w:drawing>
          <wp:inline distT="0" distB="0" distL="0" distR="0" wp14:anchorId="4377B501" wp14:editId="6267CA44">
            <wp:extent cx="180975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LOGO.png"/>
                    <pic:cNvPicPr/>
                  </pic:nvPicPr>
                  <pic:blipFill>
                    <a:blip r:embed="rId7">
                      <a:extLst>
                        <a:ext uri="{28A0092B-C50C-407E-A947-70E740481C1C}">
                          <a14:useLocalDpi xmlns:a14="http://schemas.microsoft.com/office/drawing/2010/main" val="0"/>
                        </a:ext>
                      </a:extLst>
                    </a:blip>
                    <a:stretch>
                      <a:fillRect/>
                    </a:stretch>
                  </pic:blipFill>
                  <pic:spPr>
                    <a:xfrm>
                      <a:off x="0" y="0"/>
                      <a:ext cx="1809819" cy="1809819"/>
                    </a:xfrm>
                    <a:prstGeom prst="rect">
                      <a:avLst/>
                    </a:prstGeom>
                  </pic:spPr>
                </pic:pic>
              </a:graphicData>
            </a:graphic>
          </wp:inline>
        </w:drawing>
      </w:r>
    </w:p>
    <w:p w14:paraId="71AE8346" w14:textId="77777777" w:rsidR="001072E5" w:rsidRPr="00F34B8E" w:rsidRDefault="001072E5" w:rsidP="001072E5">
      <w:pPr>
        <w:widowControl w:val="0"/>
        <w:spacing w:before="240" w:line="360" w:lineRule="auto"/>
        <w:jc w:val="center"/>
        <w:rPr>
          <w:rFonts w:cs="Arial"/>
          <w:b/>
          <w:szCs w:val="24"/>
          <w:lang w:val="en-GB"/>
        </w:rPr>
      </w:pPr>
      <w:r w:rsidRPr="00F34B8E">
        <w:rPr>
          <w:rFonts w:cs="Arial"/>
          <w:b/>
          <w:szCs w:val="24"/>
          <w:lang w:val="en-GB"/>
        </w:rPr>
        <w:t>IN THE HIGH COURT OF SOUTH AFRICA</w:t>
      </w:r>
    </w:p>
    <w:p w14:paraId="4EEF178E" w14:textId="5189E706" w:rsidR="001072E5" w:rsidRPr="00F34B8E" w:rsidRDefault="001072E5" w:rsidP="001072E5">
      <w:pPr>
        <w:widowControl w:val="0"/>
        <w:spacing w:before="240" w:line="360" w:lineRule="auto"/>
        <w:jc w:val="center"/>
        <w:rPr>
          <w:rFonts w:cs="Arial"/>
          <w:szCs w:val="24"/>
          <w:lang w:val="en-GB"/>
        </w:rPr>
      </w:pPr>
      <w:r w:rsidRPr="00F34B8E">
        <w:rPr>
          <w:rFonts w:cs="Arial"/>
          <w:b/>
          <w:szCs w:val="24"/>
          <w:lang w:val="en-GB"/>
        </w:rPr>
        <w:t>GAUTENG DIVISION, JOHANNESBURG</w:t>
      </w:r>
    </w:p>
    <w:p w14:paraId="456777A1" w14:textId="29A165D2" w:rsidR="001072E5" w:rsidRPr="00F34B8E" w:rsidRDefault="00693CCF" w:rsidP="001072E5">
      <w:pPr>
        <w:widowControl w:val="0"/>
        <w:spacing w:before="240" w:line="360" w:lineRule="auto"/>
        <w:jc w:val="right"/>
        <w:rPr>
          <w:rFonts w:cs="Arial"/>
          <w:b/>
          <w:szCs w:val="24"/>
          <w:lang w:val="en-GB"/>
        </w:rPr>
      </w:pPr>
      <w:r>
        <w:rPr>
          <w:rFonts w:cs="Arial"/>
          <w:b/>
          <w:szCs w:val="24"/>
          <w:lang w:val="en-GB"/>
        </w:rPr>
        <w:t xml:space="preserve">     </w:t>
      </w:r>
      <w:r w:rsidR="001072E5" w:rsidRPr="00F34B8E">
        <w:rPr>
          <w:rFonts w:cs="Arial"/>
          <w:b/>
          <w:szCs w:val="24"/>
          <w:lang w:val="en-GB"/>
        </w:rPr>
        <w:t xml:space="preserve">CASE </w:t>
      </w:r>
      <w:proofErr w:type="gramStart"/>
      <w:r w:rsidR="001072E5" w:rsidRPr="00F34B8E">
        <w:rPr>
          <w:rFonts w:cs="Arial"/>
          <w:b/>
          <w:szCs w:val="24"/>
          <w:lang w:val="en-GB"/>
        </w:rPr>
        <w:t>NUMBER</w:t>
      </w:r>
      <w:r w:rsidR="003B677D">
        <w:rPr>
          <w:rFonts w:cs="Arial"/>
          <w:b/>
          <w:szCs w:val="24"/>
          <w:lang w:val="en-GB"/>
        </w:rPr>
        <w:t xml:space="preserve"> </w:t>
      </w:r>
      <w:r w:rsidR="001072E5" w:rsidRPr="00F34B8E">
        <w:rPr>
          <w:rFonts w:cs="Arial"/>
          <w:b/>
          <w:szCs w:val="24"/>
          <w:lang w:val="en-GB"/>
        </w:rPr>
        <w:t>:</w:t>
      </w:r>
      <w:proofErr w:type="gramEnd"/>
      <w:r w:rsidR="001072E5" w:rsidRPr="00F34B8E">
        <w:rPr>
          <w:rFonts w:cs="Arial"/>
          <w:b/>
          <w:szCs w:val="24"/>
          <w:lang w:val="en-GB"/>
        </w:rPr>
        <w:t xml:space="preserve"> </w:t>
      </w:r>
      <w:r>
        <w:rPr>
          <w:rFonts w:cs="Arial"/>
          <w:b/>
          <w:szCs w:val="24"/>
          <w:lang w:val="en-GB"/>
        </w:rPr>
        <w:t>43769/2018</w:t>
      </w:r>
      <w:r w:rsidR="001072E5" w:rsidRPr="00F34B8E">
        <w:rPr>
          <w:rFonts w:cs="Arial"/>
          <w:b/>
          <w:szCs w:val="24"/>
          <w:lang w:val="en-GB"/>
        </w:rPr>
        <w:t>              </w:t>
      </w:r>
    </w:p>
    <w:p w14:paraId="2D653B8C" w14:textId="77777777" w:rsidR="001072E5" w:rsidRPr="00F34B8E" w:rsidRDefault="001072E5" w:rsidP="001072E5">
      <w:pPr>
        <w:widowControl w:val="0"/>
        <w:spacing w:before="240" w:line="360" w:lineRule="auto"/>
        <w:jc w:val="right"/>
        <w:rPr>
          <w:rFonts w:cs="Arial"/>
          <w:b/>
          <w:szCs w:val="24"/>
          <w:lang w:val="en-GB"/>
        </w:rPr>
      </w:pPr>
      <w:r w:rsidRPr="00F34B8E">
        <w:rPr>
          <w:noProof/>
          <w:lang w:eastAsia="en-ZA"/>
        </w:rPr>
        <mc:AlternateContent>
          <mc:Choice Requires="wps">
            <w:drawing>
              <wp:anchor distT="45720" distB="45720" distL="114300" distR="114300" simplePos="0" relativeHeight="251659264" behindDoc="0" locked="0" layoutInCell="1" allowOverlap="1" wp14:anchorId="42C789EA" wp14:editId="7C02AF78">
                <wp:simplePos x="0" y="0"/>
                <wp:positionH relativeFrom="margin">
                  <wp:posOffset>28575</wp:posOffset>
                </wp:positionH>
                <wp:positionV relativeFrom="paragraph">
                  <wp:posOffset>123825</wp:posOffset>
                </wp:positionV>
                <wp:extent cx="3985260" cy="1404620"/>
                <wp:effectExtent l="0" t="0" r="152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chemeClr val="tx1"/>
                          </a:solidFill>
                          <a:miter lim="800000"/>
                          <a:headEnd/>
                          <a:tailEnd/>
                        </a:ln>
                      </wps:spPr>
                      <wps:txbx>
                        <w:txbxContent>
                          <w:p w14:paraId="784AC1DF" w14:textId="71EA02DD" w:rsidR="001072E5" w:rsidRPr="00F855C5" w:rsidRDefault="00F855C5" w:rsidP="00F855C5">
                            <w:pPr>
                              <w:tabs>
                                <w:tab w:val="left" w:pos="567"/>
                                <w:tab w:val="left" w:pos="4536"/>
                              </w:tabs>
                              <w:spacing w:before="120" w:line="240" w:lineRule="auto"/>
                              <w:rPr>
                                <w:sz w:val="20"/>
                              </w:rPr>
                            </w:pPr>
                            <w:r w:rsidRPr="001D7D22">
                              <w:rPr>
                                <w:sz w:val="20"/>
                              </w:rPr>
                              <w:t>(1)</w:t>
                            </w:r>
                            <w:r w:rsidRPr="001D7D22">
                              <w:rPr>
                                <w:sz w:val="20"/>
                              </w:rPr>
                              <w:tab/>
                            </w:r>
                            <w:r w:rsidR="001072E5" w:rsidRPr="00F855C5">
                              <w:rPr>
                                <w:sz w:val="20"/>
                              </w:rPr>
                              <w:t>REPORTABLE</w:t>
                            </w:r>
                            <w:r w:rsidR="001072E5" w:rsidRPr="00F855C5">
                              <w:rPr>
                                <w:sz w:val="20"/>
                              </w:rPr>
                              <w:tab/>
                              <w:t>NO</w:t>
                            </w:r>
                          </w:p>
                          <w:p w14:paraId="66FC81B1" w14:textId="259E770C" w:rsidR="001072E5" w:rsidRPr="00F855C5" w:rsidRDefault="00F855C5" w:rsidP="00F855C5">
                            <w:pPr>
                              <w:tabs>
                                <w:tab w:val="left" w:pos="567"/>
                                <w:tab w:val="left" w:pos="4536"/>
                              </w:tabs>
                              <w:spacing w:before="120" w:line="240" w:lineRule="auto"/>
                              <w:rPr>
                                <w:sz w:val="20"/>
                              </w:rPr>
                            </w:pPr>
                            <w:r w:rsidRPr="001D7D22">
                              <w:rPr>
                                <w:sz w:val="20"/>
                              </w:rPr>
                              <w:t>(2)</w:t>
                            </w:r>
                            <w:r w:rsidRPr="001D7D22">
                              <w:rPr>
                                <w:sz w:val="20"/>
                              </w:rPr>
                              <w:tab/>
                            </w:r>
                            <w:r w:rsidR="001072E5" w:rsidRPr="00F855C5">
                              <w:rPr>
                                <w:sz w:val="20"/>
                              </w:rPr>
                              <w:t>OF INTEREST TO OTHER JUDGES</w:t>
                            </w:r>
                            <w:r w:rsidR="001072E5" w:rsidRPr="00F855C5">
                              <w:rPr>
                                <w:sz w:val="20"/>
                              </w:rPr>
                              <w:tab/>
                              <w:t>NO</w:t>
                            </w:r>
                          </w:p>
                          <w:p w14:paraId="000862E8" w14:textId="601B0EC7" w:rsidR="001072E5" w:rsidRPr="00F855C5" w:rsidRDefault="00F855C5" w:rsidP="00F855C5">
                            <w:pPr>
                              <w:tabs>
                                <w:tab w:val="left" w:pos="567"/>
                                <w:tab w:val="left" w:pos="4536"/>
                              </w:tabs>
                              <w:spacing w:before="120" w:line="240" w:lineRule="auto"/>
                              <w:rPr>
                                <w:sz w:val="20"/>
                              </w:rPr>
                            </w:pPr>
                            <w:r w:rsidRPr="001D7D22">
                              <w:rPr>
                                <w:sz w:val="20"/>
                              </w:rPr>
                              <w:t>(3)</w:t>
                            </w:r>
                            <w:r w:rsidRPr="001D7D22">
                              <w:rPr>
                                <w:sz w:val="20"/>
                              </w:rPr>
                              <w:tab/>
                            </w:r>
                            <w:r w:rsidR="001072E5" w:rsidRPr="00F855C5">
                              <w:rPr>
                                <w:sz w:val="20"/>
                              </w:rPr>
                              <w:t>REVISED</w:t>
                            </w:r>
                            <w:r w:rsidR="001072E5" w:rsidRPr="00F855C5">
                              <w:rPr>
                                <w:sz w:val="20"/>
                              </w:rPr>
                              <w:tab/>
                            </w:r>
                            <w:r w:rsidR="001072E5" w:rsidRPr="00F855C5">
                              <w:rPr>
                                <w:sz w:val="20"/>
                              </w:rPr>
                              <w:tab/>
                            </w:r>
                          </w:p>
                          <w:p w14:paraId="5CC71E91" w14:textId="77777777" w:rsidR="001072E5" w:rsidRPr="001D7D22" w:rsidRDefault="001072E5" w:rsidP="001072E5">
                            <w:pPr>
                              <w:pStyle w:val="ListParagraph"/>
                              <w:tabs>
                                <w:tab w:val="left" w:pos="567"/>
                                <w:tab w:val="left" w:pos="3969"/>
                              </w:tabs>
                              <w:spacing w:before="0" w:line="240" w:lineRule="auto"/>
                              <w:ind w:left="0"/>
                              <w:rPr>
                                <w:sz w:val="20"/>
                              </w:rPr>
                            </w:pPr>
                          </w:p>
                          <w:p w14:paraId="5DEC9B09"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______________________</w:t>
                            </w:r>
                            <w:r w:rsidRPr="001D7D22">
                              <w:rPr>
                                <w:sz w:val="20"/>
                              </w:rPr>
                              <w:tab/>
                              <w:t>_______________________</w:t>
                            </w:r>
                          </w:p>
                          <w:p w14:paraId="59048122"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            DATE</w:t>
                            </w:r>
                            <w:r w:rsidRPr="001D7D22">
                              <w:rPr>
                                <w:sz w:val="20"/>
                              </w:rPr>
                              <w:tab/>
                              <w: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789EA" id="_x0000_t202" coordsize="21600,21600" o:spt="202" path="m,l,21600r21600,l21600,xe">
                <v:stroke joinstyle="miter"/>
                <v:path gradientshapeok="t" o:connecttype="rect"/>
              </v:shapetype>
              <v:shape id="Text Box 2" o:spid="_x0000_s1026" type="#_x0000_t202" style="position:absolute;left:0;text-align:left;margin-left:2.25pt;margin-top:9.75pt;width:31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" strokecolor="black [3213]">
                <v:textbox style="mso-fit-shape-to-text:t">
                  <w:txbxContent>
                    <w:p w14:paraId="784AC1DF" w14:textId="71EA02DD" w:rsidR="001072E5" w:rsidRPr="00F855C5" w:rsidRDefault="00F855C5" w:rsidP="00F855C5">
                      <w:pPr>
                        <w:tabs>
                          <w:tab w:val="left" w:pos="567"/>
                          <w:tab w:val="left" w:pos="4536"/>
                        </w:tabs>
                        <w:spacing w:before="120" w:line="240" w:lineRule="auto"/>
                        <w:rPr>
                          <w:sz w:val="20"/>
                        </w:rPr>
                      </w:pPr>
                      <w:r w:rsidRPr="001D7D22">
                        <w:rPr>
                          <w:sz w:val="20"/>
                        </w:rPr>
                        <w:t>(1)</w:t>
                      </w:r>
                      <w:r w:rsidRPr="001D7D22">
                        <w:rPr>
                          <w:sz w:val="20"/>
                        </w:rPr>
                        <w:tab/>
                      </w:r>
                      <w:r w:rsidR="001072E5" w:rsidRPr="00F855C5">
                        <w:rPr>
                          <w:sz w:val="20"/>
                        </w:rPr>
                        <w:t>REPORTABLE</w:t>
                      </w:r>
                      <w:r w:rsidR="001072E5" w:rsidRPr="00F855C5">
                        <w:rPr>
                          <w:sz w:val="20"/>
                        </w:rPr>
                        <w:tab/>
                        <w:t>NO</w:t>
                      </w:r>
                    </w:p>
                    <w:p w14:paraId="66FC81B1" w14:textId="259E770C" w:rsidR="001072E5" w:rsidRPr="00F855C5" w:rsidRDefault="00F855C5" w:rsidP="00F855C5">
                      <w:pPr>
                        <w:tabs>
                          <w:tab w:val="left" w:pos="567"/>
                          <w:tab w:val="left" w:pos="4536"/>
                        </w:tabs>
                        <w:spacing w:before="120" w:line="240" w:lineRule="auto"/>
                        <w:rPr>
                          <w:sz w:val="20"/>
                        </w:rPr>
                      </w:pPr>
                      <w:r w:rsidRPr="001D7D22">
                        <w:rPr>
                          <w:sz w:val="20"/>
                        </w:rPr>
                        <w:t>(2)</w:t>
                      </w:r>
                      <w:r w:rsidRPr="001D7D22">
                        <w:rPr>
                          <w:sz w:val="20"/>
                        </w:rPr>
                        <w:tab/>
                      </w:r>
                      <w:r w:rsidR="001072E5" w:rsidRPr="00F855C5">
                        <w:rPr>
                          <w:sz w:val="20"/>
                        </w:rPr>
                        <w:t>OF INTEREST TO OTHER JUDGES</w:t>
                      </w:r>
                      <w:r w:rsidR="001072E5" w:rsidRPr="00F855C5">
                        <w:rPr>
                          <w:sz w:val="20"/>
                        </w:rPr>
                        <w:tab/>
                        <w:t>NO</w:t>
                      </w:r>
                    </w:p>
                    <w:p w14:paraId="000862E8" w14:textId="601B0EC7" w:rsidR="001072E5" w:rsidRPr="00F855C5" w:rsidRDefault="00F855C5" w:rsidP="00F855C5">
                      <w:pPr>
                        <w:tabs>
                          <w:tab w:val="left" w:pos="567"/>
                          <w:tab w:val="left" w:pos="4536"/>
                        </w:tabs>
                        <w:spacing w:before="120" w:line="240" w:lineRule="auto"/>
                        <w:rPr>
                          <w:sz w:val="20"/>
                        </w:rPr>
                      </w:pPr>
                      <w:r w:rsidRPr="001D7D22">
                        <w:rPr>
                          <w:sz w:val="20"/>
                        </w:rPr>
                        <w:t>(3)</w:t>
                      </w:r>
                      <w:r w:rsidRPr="001D7D22">
                        <w:rPr>
                          <w:sz w:val="20"/>
                        </w:rPr>
                        <w:tab/>
                      </w:r>
                      <w:r w:rsidR="001072E5" w:rsidRPr="00F855C5">
                        <w:rPr>
                          <w:sz w:val="20"/>
                        </w:rPr>
                        <w:t>REVISED</w:t>
                      </w:r>
                      <w:r w:rsidR="001072E5" w:rsidRPr="00F855C5">
                        <w:rPr>
                          <w:sz w:val="20"/>
                        </w:rPr>
                        <w:tab/>
                      </w:r>
                      <w:r w:rsidR="001072E5" w:rsidRPr="00F855C5">
                        <w:rPr>
                          <w:sz w:val="20"/>
                        </w:rPr>
                        <w:tab/>
                      </w:r>
                    </w:p>
                    <w:p w14:paraId="5CC71E91" w14:textId="77777777" w:rsidR="001072E5" w:rsidRPr="001D7D22" w:rsidRDefault="001072E5" w:rsidP="001072E5">
                      <w:pPr>
                        <w:pStyle w:val="ListParagraph"/>
                        <w:tabs>
                          <w:tab w:val="left" w:pos="567"/>
                          <w:tab w:val="left" w:pos="3969"/>
                        </w:tabs>
                        <w:spacing w:before="0" w:line="240" w:lineRule="auto"/>
                        <w:ind w:left="0"/>
                        <w:rPr>
                          <w:sz w:val="20"/>
                        </w:rPr>
                      </w:pPr>
                    </w:p>
                    <w:p w14:paraId="5DEC9B09"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______________________</w:t>
                      </w:r>
                      <w:r w:rsidRPr="001D7D22">
                        <w:rPr>
                          <w:sz w:val="20"/>
                        </w:rPr>
                        <w:tab/>
                        <w:t>_______________________</w:t>
                      </w:r>
                    </w:p>
                    <w:p w14:paraId="59048122" w14:textId="77777777" w:rsidR="001072E5" w:rsidRPr="001D7D22" w:rsidRDefault="001072E5" w:rsidP="001072E5">
                      <w:pPr>
                        <w:pStyle w:val="ListParagraph"/>
                        <w:tabs>
                          <w:tab w:val="left" w:pos="567"/>
                          <w:tab w:val="left" w:pos="3261"/>
                        </w:tabs>
                        <w:spacing w:before="0" w:line="240" w:lineRule="auto"/>
                        <w:ind w:left="0"/>
                        <w:rPr>
                          <w:sz w:val="20"/>
                        </w:rPr>
                      </w:pPr>
                      <w:r w:rsidRPr="001D7D22">
                        <w:rPr>
                          <w:sz w:val="20"/>
                        </w:rPr>
                        <w:t>            DATE</w:t>
                      </w:r>
                      <w:r w:rsidRPr="001D7D22">
                        <w:rPr>
                          <w:sz w:val="20"/>
                        </w:rPr>
                        <w:tab/>
                        <w:t>           SIGNATURE</w:t>
                      </w:r>
                    </w:p>
                  </w:txbxContent>
                </v:textbox>
                <w10:wrap type="square" anchorx="margin"/>
              </v:shape>
            </w:pict>
          </mc:Fallback>
        </mc:AlternateContent>
      </w:r>
    </w:p>
    <w:p w14:paraId="1FAA3E75" w14:textId="77777777" w:rsidR="001072E5" w:rsidRPr="00F34B8E" w:rsidRDefault="001072E5" w:rsidP="001072E5">
      <w:pPr>
        <w:widowControl w:val="0"/>
        <w:spacing w:before="240" w:line="360" w:lineRule="auto"/>
        <w:jc w:val="right"/>
        <w:rPr>
          <w:rFonts w:cs="Arial"/>
          <w:b/>
          <w:szCs w:val="24"/>
          <w:lang w:val="en-GB"/>
        </w:rPr>
      </w:pPr>
    </w:p>
    <w:p w14:paraId="612AC4C0" w14:textId="77777777" w:rsidR="001072E5" w:rsidRPr="00F34B8E" w:rsidRDefault="001072E5" w:rsidP="001072E5">
      <w:pPr>
        <w:widowControl w:val="0"/>
        <w:spacing w:before="240" w:line="360" w:lineRule="auto"/>
        <w:jc w:val="right"/>
        <w:rPr>
          <w:rFonts w:cs="Arial"/>
          <w:b/>
          <w:szCs w:val="24"/>
          <w:lang w:val="en-GB"/>
        </w:rPr>
      </w:pPr>
    </w:p>
    <w:p w14:paraId="40CAE712" w14:textId="77777777" w:rsidR="001072E5" w:rsidRPr="00F34B8E" w:rsidRDefault="001072E5" w:rsidP="001072E5">
      <w:pPr>
        <w:widowControl w:val="0"/>
        <w:spacing w:before="240" w:line="360" w:lineRule="auto"/>
        <w:jc w:val="right"/>
        <w:rPr>
          <w:rFonts w:cs="Arial"/>
          <w:b/>
          <w:szCs w:val="24"/>
          <w:lang w:val="en-GB"/>
        </w:rPr>
      </w:pPr>
    </w:p>
    <w:p w14:paraId="58D111AE" w14:textId="2B33F07F" w:rsidR="008C1D67" w:rsidRDefault="007A4DF9" w:rsidP="008C1D67">
      <w:pPr>
        <w:widowControl w:val="0"/>
        <w:rPr>
          <w:b/>
          <w:bCs/>
          <w:lang w:val="en-GB"/>
        </w:rPr>
      </w:pPr>
      <w:r w:rsidRPr="00F34B8E">
        <w:rPr>
          <w:b/>
          <w:bCs/>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9E40E9" w14:paraId="2DEE111B" w14:textId="77777777" w:rsidTr="00077830">
        <w:tc>
          <w:tcPr>
            <w:tcW w:w="6663" w:type="dxa"/>
          </w:tcPr>
          <w:p w14:paraId="771DAF9F" w14:textId="4DCF710C" w:rsidR="009E40E9" w:rsidRDefault="001D6C12" w:rsidP="002F066E">
            <w:pPr>
              <w:widowControl w:val="0"/>
              <w:tabs>
                <w:tab w:val="right" w:pos="8931"/>
              </w:tabs>
              <w:spacing w:before="0" w:line="240" w:lineRule="auto"/>
              <w:rPr>
                <w:b/>
                <w:bCs/>
                <w:lang w:val="en-GB"/>
              </w:rPr>
            </w:pPr>
            <w:r>
              <w:rPr>
                <w:b/>
              </w:rPr>
              <w:t>SKOK,</w:t>
            </w:r>
            <w:r>
              <w:rPr>
                <w:b/>
                <w:spacing w:val="-5"/>
              </w:rPr>
              <w:t xml:space="preserve"> </w:t>
            </w:r>
            <w:r>
              <w:rPr>
                <w:b/>
              </w:rPr>
              <w:t>DAVID</w:t>
            </w:r>
            <w:r>
              <w:rPr>
                <w:b/>
                <w:spacing w:val="-2"/>
              </w:rPr>
              <w:t xml:space="preserve"> </w:t>
            </w:r>
            <w:r>
              <w:rPr>
                <w:b/>
                <w:spacing w:val="-4"/>
              </w:rPr>
              <w:t>N.O.</w:t>
            </w:r>
          </w:p>
        </w:tc>
        <w:tc>
          <w:tcPr>
            <w:tcW w:w="2353" w:type="dxa"/>
          </w:tcPr>
          <w:p w14:paraId="770C4CDF" w14:textId="1C22911D" w:rsidR="009E40E9" w:rsidRDefault="00AC5532" w:rsidP="009B7154">
            <w:pPr>
              <w:widowControl w:val="0"/>
              <w:tabs>
                <w:tab w:val="right" w:pos="8931"/>
              </w:tabs>
              <w:spacing w:before="0" w:line="240" w:lineRule="auto"/>
              <w:jc w:val="right"/>
              <w:rPr>
                <w:b/>
                <w:bCs/>
                <w:lang w:val="en-GB"/>
              </w:rPr>
            </w:pPr>
            <w:r>
              <w:rPr>
                <w:b/>
                <w:bCs/>
                <w:lang w:val="en-GB"/>
              </w:rPr>
              <w:t>Applicant</w:t>
            </w:r>
          </w:p>
        </w:tc>
      </w:tr>
      <w:tr w:rsidR="00354EC0" w14:paraId="4392EDB4" w14:textId="77777777" w:rsidTr="00077830">
        <w:tc>
          <w:tcPr>
            <w:tcW w:w="6663" w:type="dxa"/>
          </w:tcPr>
          <w:p w14:paraId="21B86EA6" w14:textId="77777777" w:rsidR="00354EC0" w:rsidRDefault="00354EC0" w:rsidP="002F066E">
            <w:pPr>
              <w:widowControl w:val="0"/>
              <w:tabs>
                <w:tab w:val="right" w:pos="8931"/>
              </w:tabs>
              <w:spacing w:before="0" w:line="240" w:lineRule="auto"/>
              <w:rPr>
                <w:b/>
                <w:bCs/>
                <w:lang w:val="en-GB"/>
              </w:rPr>
            </w:pPr>
          </w:p>
        </w:tc>
        <w:tc>
          <w:tcPr>
            <w:tcW w:w="2353" w:type="dxa"/>
          </w:tcPr>
          <w:p w14:paraId="3B799D43" w14:textId="77777777" w:rsidR="00354EC0" w:rsidRDefault="00354EC0" w:rsidP="009B7154">
            <w:pPr>
              <w:widowControl w:val="0"/>
              <w:tabs>
                <w:tab w:val="right" w:pos="8931"/>
              </w:tabs>
              <w:spacing w:before="0" w:line="240" w:lineRule="auto"/>
              <w:jc w:val="right"/>
              <w:rPr>
                <w:b/>
                <w:bCs/>
                <w:lang w:val="en-GB"/>
              </w:rPr>
            </w:pPr>
          </w:p>
        </w:tc>
      </w:tr>
      <w:tr w:rsidR="00354EC0" w14:paraId="17F64A44" w14:textId="77777777" w:rsidTr="00077830">
        <w:tc>
          <w:tcPr>
            <w:tcW w:w="6663" w:type="dxa"/>
          </w:tcPr>
          <w:p w14:paraId="4B25C6E5" w14:textId="77777777" w:rsidR="00354EC0" w:rsidRDefault="00354EC0" w:rsidP="002F066E">
            <w:pPr>
              <w:widowControl w:val="0"/>
              <w:tabs>
                <w:tab w:val="right" w:pos="8931"/>
              </w:tabs>
              <w:spacing w:before="0" w:line="240" w:lineRule="auto"/>
              <w:rPr>
                <w:b/>
                <w:bCs/>
                <w:lang w:val="en-GB"/>
              </w:rPr>
            </w:pPr>
          </w:p>
        </w:tc>
        <w:tc>
          <w:tcPr>
            <w:tcW w:w="2353" w:type="dxa"/>
          </w:tcPr>
          <w:p w14:paraId="034C0F5E" w14:textId="77777777" w:rsidR="00354EC0" w:rsidRDefault="00354EC0" w:rsidP="009B7154">
            <w:pPr>
              <w:widowControl w:val="0"/>
              <w:tabs>
                <w:tab w:val="right" w:pos="8931"/>
              </w:tabs>
              <w:spacing w:before="0" w:line="240" w:lineRule="auto"/>
              <w:jc w:val="right"/>
              <w:rPr>
                <w:b/>
                <w:bCs/>
                <w:lang w:val="en-GB"/>
              </w:rPr>
            </w:pPr>
          </w:p>
        </w:tc>
      </w:tr>
      <w:tr w:rsidR="009E40E9" w14:paraId="4C551D9B" w14:textId="77777777" w:rsidTr="00077830">
        <w:tc>
          <w:tcPr>
            <w:tcW w:w="6663" w:type="dxa"/>
          </w:tcPr>
          <w:p w14:paraId="6FCBA441" w14:textId="6B6B6E1C" w:rsidR="009E40E9" w:rsidRPr="003204BA" w:rsidRDefault="00B215FC" w:rsidP="002F066E">
            <w:pPr>
              <w:widowControl w:val="0"/>
              <w:tabs>
                <w:tab w:val="right" w:pos="8931"/>
              </w:tabs>
              <w:spacing w:before="0" w:line="240" w:lineRule="auto"/>
              <w:rPr>
                <w:lang w:val="en-GB"/>
              </w:rPr>
            </w:pPr>
            <w:r w:rsidRPr="003204BA">
              <w:rPr>
                <w:lang w:val="en-GB"/>
              </w:rPr>
              <w:t>a</w:t>
            </w:r>
            <w:r w:rsidR="009E40E9" w:rsidRPr="003204BA">
              <w:rPr>
                <w:lang w:val="en-GB"/>
              </w:rPr>
              <w:t>nd</w:t>
            </w:r>
          </w:p>
        </w:tc>
        <w:tc>
          <w:tcPr>
            <w:tcW w:w="2353" w:type="dxa"/>
          </w:tcPr>
          <w:p w14:paraId="72694A52" w14:textId="77777777" w:rsidR="009E40E9" w:rsidRDefault="009E40E9" w:rsidP="009B7154">
            <w:pPr>
              <w:widowControl w:val="0"/>
              <w:tabs>
                <w:tab w:val="right" w:pos="8931"/>
              </w:tabs>
              <w:spacing w:before="0" w:line="240" w:lineRule="auto"/>
              <w:jc w:val="right"/>
              <w:rPr>
                <w:b/>
                <w:bCs/>
                <w:lang w:val="en-GB"/>
              </w:rPr>
            </w:pPr>
          </w:p>
        </w:tc>
      </w:tr>
      <w:tr w:rsidR="009E40E9" w14:paraId="3C4E5E92" w14:textId="77777777" w:rsidTr="00077830">
        <w:tc>
          <w:tcPr>
            <w:tcW w:w="6663" w:type="dxa"/>
          </w:tcPr>
          <w:p w14:paraId="19695B0D" w14:textId="77777777" w:rsidR="009E40E9" w:rsidRDefault="009E40E9" w:rsidP="002F066E">
            <w:pPr>
              <w:widowControl w:val="0"/>
              <w:tabs>
                <w:tab w:val="right" w:pos="8931"/>
              </w:tabs>
              <w:spacing w:before="0" w:line="240" w:lineRule="auto"/>
              <w:rPr>
                <w:b/>
                <w:bCs/>
                <w:lang w:val="en-GB"/>
              </w:rPr>
            </w:pPr>
          </w:p>
        </w:tc>
        <w:tc>
          <w:tcPr>
            <w:tcW w:w="2353" w:type="dxa"/>
          </w:tcPr>
          <w:p w14:paraId="79D6B0ED" w14:textId="77777777" w:rsidR="009E40E9" w:rsidRDefault="009E40E9" w:rsidP="009B7154">
            <w:pPr>
              <w:widowControl w:val="0"/>
              <w:tabs>
                <w:tab w:val="right" w:pos="8931"/>
              </w:tabs>
              <w:spacing w:before="0" w:line="240" w:lineRule="auto"/>
              <w:jc w:val="right"/>
              <w:rPr>
                <w:b/>
                <w:bCs/>
                <w:lang w:val="en-GB"/>
              </w:rPr>
            </w:pPr>
          </w:p>
        </w:tc>
      </w:tr>
      <w:tr w:rsidR="002312D8" w14:paraId="1C9A9036" w14:textId="77777777" w:rsidTr="00077830">
        <w:tc>
          <w:tcPr>
            <w:tcW w:w="6663" w:type="dxa"/>
          </w:tcPr>
          <w:p w14:paraId="2D3D0090" w14:textId="77777777" w:rsidR="002312D8" w:rsidRDefault="002312D8" w:rsidP="002F066E">
            <w:pPr>
              <w:widowControl w:val="0"/>
              <w:tabs>
                <w:tab w:val="right" w:pos="8931"/>
              </w:tabs>
              <w:spacing w:before="0" w:line="240" w:lineRule="auto"/>
              <w:rPr>
                <w:b/>
                <w:bCs/>
                <w:lang w:val="en-GB"/>
              </w:rPr>
            </w:pPr>
          </w:p>
        </w:tc>
        <w:tc>
          <w:tcPr>
            <w:tcW w:w="2353" w:type="dxa"/>
          </w:tcPr>
          <w:p w14:paraId="184B5222" w14:textId="77777777" w:rsidR="002312D8" w:rsidRDefault="002312D8" w:rsidP="009B7154">
            <w:pPr>
              <w:widowControl w:val="0"/>
              <w:tabs>
                <w:tab w:val="right" w:pos="8931"/>
              </w:tabs>
              <w:spacing w:before="0" w:line="240" w:lineRule="auto"/>
              <w:jc w:val="right"/>
              <w:rPr>
                <w:b/>
                <w:bCs/>
                <w:lang w:val="en-GB"/>
              </w:rPr>
            </w:pPr>
          </w:p>
        </w:tc>
      </w:tr>
      <w:tr w:rsidR="00B215FC" w14:paraId="6D6E23D6" w14:textId="77777777" w:rsidTr="00077830">
        <w:tc>
          <w:tcPr>
            <w:tcW w:w="6663" w:type="dxa"/>
          </w:tcPr>
          <w:p w14:paraId="58211523" w14:textId="57909133" w:rsidR="00B215FC" w:rsidRDefault="00753EE4" w:rsidP="002F066E">
            <w:pPr>
              <w:widowControl w:val="0"/>
              <w:tabs>
                <w:tab w:val="right" w:pos="8931"/>
              </w:tabs>
              <w:spacing w:before="0" w:line="240" w:lineRule="auto"/>
              <w:rPr>
                <w:b/>
                <w:bCs/>
                <w:lang w:val="en-GB"/>
              </w:rPr>
            </w:pPr>
            <w:r>
              <w:rPr>
                <w:b/>
              </w:rPr>
              <w:t>DUMBRILL,</w:t>
            </w:r>
            <w:r>
              <w:rPr>
                <w:b/>
                <w:spacing w:val="-3"/>
              </w:rPr>
              <w:t xml:space="preserve"> </w:t>
            </w:r>
            <w:r>
              <w:rPr>
                <w:b/>
              </w:rPr>
              <w:t>LINDSAY</w:t>
            </w:r>
            <w:r>
              <w:rPr>
                <w:b/>
                <w:spacing w:val="-3"/>
              </w:rPr>
              <w:t xml:space="preserve"> </w:t>
            </w:r>
            <w:r>
              <w:rPr>
                <w:b/>
                <w:spacing w:val="-4"/>
              </w:rPr>
              <w:t>ROSS</w:t>
            </w:r>
          </w:p>
        </w:tc>
        <w:tc>
          <w:tcPr>
            <w:tcW w:w="2353" w:type="dxa"/>
          </w:tcPr>
          <w:p w14:paraId="0834D222" w14:textId="2A725DAB" w:rsidR="00B215FC" w:rsidRDefault="009B7154" w:rsidP="009B7154">
            <w:pPr>
              <w:widowControl w:val="0"/>
              <w:tabs>
                <w:tab w:val="right" w:pos="8931"/>
              </w:tabs>
              <w:spacing w:before="0" w:line="240" w:lineRule="auto"/>
              <w:jc w:val="right"/>
              <w:rPr>
                <w:b/>
                <w:bCs/>
                <w:lang w:val="en-GB"/>
              </w:rPr>
            </w:pPr>
            <w:r>
              <w:rPr>
                <w:b/>
                <w:bCs/>
                <w:lang w:val="en-GB"/>
              </w:rPr>
              <w:t>1</w:t>
            </w:r>
            <w:r w:rsidRPr="009B7154">
              <w:rPr>
                <w:b/>
                <w:bCs/>
                <w:vertAlign w:val="superscript"/>
                <w:lang w:val="en-GB"/>
              </w:rPr>
              <w:t>st</w:t>
            </w:r>
            <w:r>
              <w:rPr>
                <w:b/>
                <w:bCs/>
                <w:lang w:val="en-GB"/>
              </w:rPr>
              <w:t xml:space="preserve"> Respondent</w:t>
            </w:r>
          </w:p>
        </w:tc>
      </w:tr>
      <w:tr w:rsidR="002312D8" w14:paraId="75FA29EE" w14:textId="77777777" w:rsidTr="00077830">
        <w:tc>
          <w:tcPr>
            <w:tcW w:w="6663" w:type="dxa"/>
          </w:tcPr>
          <w:p w14:paraId="38253F18" w14:textId="77777777" w:rsidR="002312D8" w:rsidRDefault="002312D8" w:rsidP="002F066E">
            <w:pPr>
              <w:widowControl w:val="0"/>
              <w:tabs>
                <w:tab w:val="right" w:pos="8931"/>
              </w:tabs>
              <w:spacing w:before="0" w:line="240" w:lineRule="auto"/>
              <w:rPr>
                <w:b/>
                <w:bCs/>
                <w:lang w:val="en-GB"/>
              </w:rPr>
            </w:pPr>
          </w:p>
        </w:tc>
        <w:tc>
          <w:tcPr>
            <w:tcW w:w="2353" w:type="dxa"/>
          </w:tcPr>
          <w:p w14:paraId="07F2502B" w14:textId="77777777" w:rsidR="002312D8" w:rsidRDefault="002312D8" w:rsidP="009B7154">
            <w:pPr>
              <w:widowControl w:val="0"/>
              <w:tabs>
                <w:tab w:val="right" w:pos="8931"/>
              </w:tabs>
              <w:spacing w:before="0" w:line="240" w:lineRule="auto"/>
              <w:jc w:val="right"/>
              <w:rPr>
                <w:b/>
                <w:bCs/>
                <w:lang w:val="en-GB"/>
              </w:rPr>
            </w:pPr>
          </w:p>
        </w:tc>
      </w:tr>
      <w:tr w:rsidR="002312D8" w14:paraId="24C2D84B" w14:textId="77777777" w:rsidTr="00077830">
        <w:tc>
          <w:tcPr>
            <w:tcW w:w="6663" w:type="dxa"/>
          </w:tcPr>
          <w:p w14:paraId="21BEFEC0" w14:textId="1A6499E9" w:rsidR="002312D8" w:rsidRDefault="00753EE4" w:rsidP="002F066E">
            <w:pPr>
              <w:widowControl w:val="0"/>
              <w:tabs>
                <w:tab w:val="right" w:pos="8931"/>
              </w:tabs>
              <w:spacing w:before="0" w:line="240" w:lineRule="auto"/>
              <w:rPr>
                <w:b/>
                <w:bCs/>
                <w:lang w:val="en-GB"/>
              </w:rPr>
            </w:pPr>
            <w:r>
              <w:rPr>
                <w:b/>
              </w:rPr>
              <w:t>LOVELL,</w:t>
            </w:r>
            <w:r>
              <w:rPr>
                <w:b/>
                <w:spacing w:val="-5"/>
              </w:rPr>
              <w:t xml:space="preserve"> </w:t>
            </w:r>
            <w:r>
              <w:rPr>
                <w:b/>
                <w:spacing w:val="-2"/>
              </w:rPr>
              <w:t>DENNIS</w:t>
            </w:r>
          </w:p>
        </w:tc>
        <w:tc>
          <w:tcPr>
            <w:tcW w:w="2353" w:type="dxa"/>
          </w:tcPr>
          <w:p w14:paraId="373FC705" w14:textId="6F58EEF5" w:rsidR="002312D8" w:rsidRDefault="00354EC0" w:rsidP="009B7154">
            <w:pPr>
              <w:widowControl w:val="0"/>
              <w:tabs>
                <w:tab w:val="right" w:pos="8931"/>
              </w:tabs>
              <w:spacing w:before="0" w:line="240" w:lineRule="auto"/>
              <w:jc w:val="right"/>
              <w:rPr>
                <w:b/>
                <w:bCs/>
                <w:lang w:val="en-GB"/>
              </w:rPr>
            </w:pPr>
            <w:r>
              <w:rPr>
                <w:b/>
                <w:bCs/>
                <w:lang w:val="en-GB"/>
              </w:rPr>
              <w:t>2</w:t>
            </w:r>
            <w:r w:rsidRPr="00354EC0">
              <w:rPr>
                <w:b/>
                <w:bCs/>
                <w:vertAlign w:val="superscript"/>
                <w:lang w:val="en-GB"/>
              </w:rPr>
              <w:t>nd</w:t>
            </w:r>
            <w:r>
              <w:rPr>
                <w:b/>
                <w:bCs/>
                <w:lang w:val="en-GB"/>
              </w:rPr>
              <w:t xml:space="preserve"> Respondent</w:t>
            </w:r>
          </w:p>
        </w:tc>
      </w:tr>
      <w:tr w:rsidR="002312D8" w14:paraId="6DFBE4F8" w14:textId="77777777" w:rsidTr="00077830">
        <w:tc>
          <w:tcPr>
            <w:tcW w:w="6663" w:type="dxa"/>
          </w:tcPr>
          <w:p w14:paraId="06E7416E" w14:textId="77777777" w:rsidR="002312D8" w:rsidRDefault="002312D8" w:rsidP="002F066E">
            <w:pPr>
              <w:widowControl w:val="0"/>
              <w:tabs>
                <w:tab w:val="right" w:pos="8931"/>
              </w:tabs>
              <w:spacing w:before="0" w:line="240" w:lineRule="auto"/>
              <w:rPr>
                <w:b/>
                <w:bCs/>
                <w:lang w:val="en-GB"/>
              </w:rPr>
            </w:pPr>
          </w:p>
        </w:tc>
        <w:tc>
          <w:tcPr>
            <w:tcW w:w="2353" w:type="dxa"/>
          </w:tcPr>
          <w:p w14:paraId="70C5C3F8" w14:textId="77777777" w:rsidR="002312D8" w:rsidRDefault="002312D8" w:rsidP="009B7154">
            <w:pPr>
              <w:widowControl w:val="0"/>
              <w:tabs>
                <w:tab w:val="right" w:pos="8931"/>
              </w:tabs>
              <w:spacing w:before="0" w:line="240" w:lineRule="auto"/>
              <w:jc w:val="right"/>
              <w:rPr>
                <w:b/>
                <w:bCs/>
                <w:lang w:val="en-GB"/>
              </w:rPr>
            </w:pPr>
          </w:p>
        </w:tc>
      </w:tr>
      <w:tr w:rsidR="002312D8" w14:paraId="7F79BF30" w14:textId="77777777" w:rsidTr="00077830">
        <w:tc>
          <w:tcPr>
            <w:tcW w:w="6663" w:type="dxa"/>
          </w:tcPr>
          <w:p w14:paraId="0E5B7F47" w14:textId="1C59D8A8" w:rsidR="002312D8" w:rsidRDefault="001F68C2" w:rsidP="002F066E">
            <w:pPr>
              <w:widowControl w:val="0"/>
              <w:tabs>
                <w:tab w:val="right" w:pos="8931"/>
              </w:tabs>
              <w:spacing w:before="0" w:line="240" w:lineRule="auto"/>
              <w:rPr>
                <w:b/>
                <w:bCs/>
                <w:lang w:val="en-GB"/>
              </w:rPr>
            </w:pPr>
            <w:r>
              <w:rPr>
                <w:b/>
              </w:rPr>
              <w:t>KILLIAN,</w:t>
            </w:r>
            <w:r>
              <w:rPr>
                <w:b/>
                <w:spacing w:val="-6"/>
              </w:rPr>
              <w:t xml:space="preserve"> </w:t>
            </w:r>
            <w:r>
              <w:rPr>
                <w:b/>
              </w:rPr>
              <w:t>PETER</w:t>
            </w:r>
            <w:r>
              <w:rPr>
                <w:b/>
                <w:spacing w:val="-7"/>
              </w:rPr>
              <w:t xml:space="preserve"> </w:t>
            </w:r>
            <w:r>
              <w:rPr>
                <w:b/>
                <w:spacing w:val="-2"/>
              </w:rPr>
              <w:t>JOHANNES</w:t>
            </w:r>
          </w:p>
        </w:tc>
        <w:tc>
          <w:tcPr>
            <w:tcW w:w="2353" w:type="dxa"/>
          </w:tcPr>
          <w:p w14:paraId="672E8A3A" w14:textId="7860B67E" w:rsidR="002312D8" w:rsidRDefault="00354EC0" w:rsidP="009B7154">
            <w:pPr>
              <w:widowControl w:val="0"/>
              <w:tabs>
                <w:tab w:val="right" w:pos="8931"/>
              </w:tabs>
              <w:spacing w:before="0" w:line="240" w:lineRule="auto"/>
              <w:jc w:val="right"/>
              <w:rPr>
                <w:b/>
                <w:bCs/>
                <w:lang w:val="en-GB"/>
              </w:rPr>
            </w:pPr>
            <w:r>
              <w:rPr>
                <w:b/>
                <w:bCs/>
                <w:lang w:val="en-GB"/>
              </w:rPr>
              <w:t>3</w:t>
            </w:r>
            <w:r w:rsidRPr="00354EC0">
              <w:rPr>
                <w:b/>
                <w:bCs/>
                <w:vertAlign w:val="superscript"/>
                <w:lang w:val="en-GB"/>
              </w:rPr>
              <w:t>rd</w:t>
            </w:r>
            <w:r>
              <w:rPr>
                <w:b/>
                <w:bCs/>
                <w:lang w:val="en-GB"/>
              </w:rPr>
              <w:t xml:space="preserve"> Respondent</w:t>
            </w:r>
          </w:p>
        </w:tc>
      </w:tr>
      <w:tr w:rsidR="002312D8" w14:paraId="61B3D420" w14:textId="77777777" w:rsidTr="00077830">
        <w:tc>
          <w:tcPr>
            <w:tcW w:w="6663" w:type="dxa"/>
          </w:tcPr>
          <w:p w14:paraId="7770D570" w14:textId="77777777" w:rsidR="002312D8" w:rsidRDefault="002312D8" w:rsidP="002F066E">
            <w:pPr>
              <w:widowControl w:val="0"/>
              <w:tabs>
                <w:tab w:val="right" w:pos="8931"/>
              </w:tabs>
              <w:spacing w:before="0" w:line="240" w:lineRule="auto"/>
              <w:rPr>
                <w:b/>
                <w:bCs/>
                <w:lang w:val="en-GB"/>
              </w:rPr>
            </w:pPr>
          </w:p>
        </w:tc>
        <w:tc>
          <w:tcPr>
            <w:tcW w:w="2353" w:type="dxa"/>
          </w:tcPr>
          <w:p w14:paraId="3EB931AF" w14:textId="77777777" w:rsidR="002312D8" w:rsidRDefault="002312D8" w:rsidP="009B7154">
            <w:pPr>
              <w:widowControl w:val="0"/>
              <w:tabs>
                <w:tab w:val="right" w:pos="8931"/>
              </w:tabs>
              <w:spacing w:before="0" w:line="240" w:lineRule="auto"/>
              <w:jc w:val="right"/>
              <w:rPr>
                <w:b/>
                <w:bCs/>
                <w:lang w:val="en-GB"/>
              </w:rPr>
            </w:pPr>
          </w:p>
        </w:tc>
      </w:tr>
      <w:tr w:rsidR="002312D8" w14:paraId="7A39B27A" w14:textId="77777777" w:rsidTr="00077830">
        <w:tc>
          <w:tcPr>
            <w:tcW w:w="6663" w:type="dxa"/>
          </w:tcPr>
          <w:p w14:paraId="187E0C6B" w14:textId="2A13112B" w:rsidR="002312D8" w:rsidRDefault="001F68C2" w:rsidP="002F066E">
            <w:pPr>
              <w:widowControl w:val="0"/>
              <w:tabs>
                <w:tab w:val="right" w:pos="8931"/>
              </w:tabs>
              <w:spacing w:before="0" w:line="240" w:lineRule="auto"/>
              <w:rPr>
                <w:b/>
                <w:bCs/>
                <w:lang w:val="en-GB"/>
              </w:rPr>
            </w:pPr>
            <w:r>
              <w:rPr>
                <w:b/>
              </w:rPr>
              <w:t>DAVIDSON,</w:t>
            </w:r>
            <w:r>
              <w:rPr>
                <w:b/>
                <w:spacing w:val="-6"/>
              </w:rPr>
              <w:t xml:space="preserve"> </w:t>
            </w:r>
            <w:r>
              <w:rPr>
                <w:b/>
              </w:rPr>
              <w:t>ALAN</w:t>
            </w:r>
            <w:r>
              <w:rPr>
                <w:b/>
                <w:spacing w:val="-5"/>
              </w:rPr>
              <w:t xml:space="preserve"> </w:t>
            </w:r>
            <w:r>
              <w:rPr>
                <w:b/>
                <w:spacing w:val="-2"/>
              </w:rPr>
              <w:t>HERBERT</w:t>
            </w:r>
          </w:p>
        </w:tc>
        <w:tc>
          <w:tcPr>
            <w:tcW w:w="2353" w:type="dxa"/>
          </w:tcPr>
          <w:p w14:paraId="36AF32B9" w14:textId="607E35D7" w:rsidR="002312D8" w:rsidRDefault="00354EC0" w:rsidP="009B7154">
            <w:pPr>
              <w:widowControl w:val="0"/>
              <w:tabs>
                <w:tab w:val="right" w:pos="8931"/>
              </w:tabs>
              <w:spacing w:before="0" w:line="240" w:lineRule="auto"/>
              <w:jc w:val="right"/>
              <w:rPr>
                <w:b/>
                <w:bCs/>
                <w:lang w:val="en-GB"/>
              </w:rPr>
            </w:pPr>
            <w:r>
              <w:rPr>
                <w:b/>
                <w:bCs/>
                <w:lang w:val="en-GB"/>
              </w:rPr>
              <w:t>4</w:t>
            </w:r>
            <w:r w:rsidRPr="00354EC0">
              <w:rPr>
                <w:b/>
                <w:bCs/>
                <w:vertAlign w:val="superscript"/>
                <w:lang w:val="en-GB"/>
              </w:rPr>
              <w:t>th</w:t>
            </w:r>
            <w:r>
              <w:rPr>
                <w:b/>
                <w:bCs/>
                <w:lang w:val="en-GB"/>
              </w:rPr>
              <w:t xml:space="preserve"> Respondent</w:t>
            </w:r>
          </w:p>
        </w:tc>
      </w:tr>
      <w:tr w:rsidR="008E6831" w14:paraId="529ED5B5" w14:textId="77777777" w:rsidTr="00077830">
        <w:tc>
          <w:tcPr>
            <w:tcW w:w="6663" w:type="dxa"/>
          </w:tcPr>
          <w:p w14:paraId="020D4ED9" w14:textId="77777777" w:rsidR="008E6831" w:rsidRDefault="008E6831" w:rsidP="002F066E">
            <w:pPr>
              <w:widowControl w:val="0"/>
              <w:tabs>
                <w:tab w:val="right" w:pos="8931"/>
              </w:tabs>
              <w:spacing w:before="0" w:line="240" w:lineRule="auto"/>
              <w:rPr>
                <w:b/>
                <w:bCs/>
                <w:lang w:val="en-GB"/>
              </w:rPr>
            </w:pPr>
          </w:p>
        </w:tc>
        <w:tc>
          <w:tcPr>
            <w:tcW w:w="2353" w:type="dxa"/>
          </w:tcPr>
          <w:p w14:paraId="53969354" w14:textId="77777777" w:rsidR="008E6831" w:rsidRDefault="008E6831" w:rsidP="009B7154">
            <w:pPr>
              <w:widowControl w:val="0"/>
              <w:tabs>
                <w:tab w:val="right" w:pos="8931"/>
              </w:tabs>
              <w:spacing w:before="0" w:line="240" w:lineRule="auto"/>
              <w:jc w:val="right"/>
              <w:rPr>
                <w:b/>
                <w:bCs/>
                <w:lang w:val="en-GB"/>
              </w:rPr>
            </w:pPr>
          </w:p>
        </w:tc>
      </w:tr>
    </w:tbl>
    <w:p w14:paraId="215D5391" w14:textId="77777777" w:rsidR="00077830" w:rsidRDefault="0007783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8E6831" w14:paraId="35858E76" w14:textId="77777777" w:rsidTr="00077830">
        <w:tc>
          <w:tcPr>
            <w:tcW w:w="6663" w:type="dxa"/>
          </w:tcPr>
          <w:p w14:paraId="4569A05A" w14:textId="51902160" w:rsidR="008E6831" w:rsidRPr="00077830" w:rsidRDefault="001F68C2" w:rsidP="00077830">
            <w:pPr>
              <w:pStyle w:val="Heading1"/>
              <w:spacing w:after="0" w:line="240" w:lineRule="auto"/>
              <w:jc w:val="left"/>
              <w:outlineLvl w:val="0"/>
            </w:pPr>
            <w:r w:rsidRPr="00077830">
              <w:lastRenderedPageBreak/>
              <w:t>THE</w:t>
            </w:r>
            <w:r w:rsidRPr="00077830">
              <w:rPr>
                <w:spacing w:val="-4"/>
              </w:rPr>
              <w:t xml:space="preserve"> </w:t>
            </w:r>
            <w:r w:rsidRPr="00077830">
              <w:t>COMMISSIONER</w:t>
            </w:r>
            <w:r w:rsidRPr="00077830">
              <w:rPr>
                <w:spacing w:val="-4"/>
              </w:rPr>
              <w:t xml:space="preserve"> </w:t>
            </w:r>
            <w:r w:rsidRPr="00077830">
              <w:t>OF</w:t>
            </w:r>
            <w:r w:rsidRPr="00077830">
              <w:rPr>
                <w:spacing w:val="-3"/>
              </w:rPr>
              <w:t xml:space="preserve"> </w:t>
            </w:r>
            <w:r w:rsidRPr="00077830">
              <w:t>THE</w:t>
            </w:r>
            <w:r w:rsidRPr="00077830">
              <w:rPr>
                <w:spacing w:val="-4"/>
              </w:rPr>
              <w:t xml:space="preserve"> </w:t>
            </w:r>
            <w:r w:rsidRPr="00077830">
              <w:rPr>
                <w:spacing w:val="-2"/>
              </w:rPr>
              <w:t>COMPANIES</w:t>
            </w:r>
            <w:r w:rsidR="00881361" w:rsidRPr="00077830">
              <w:rPr>
                <w:spacing w:val="-2"/>
              </w:rPr>
              <w:t xml:space="preserve"> </w:t>
            </w:r>
            <w:r w:rsidRPr="00077830">
              <w:t>AND</w:t>
            </w:r>
            <w:r w:rsidRPr="00077830">
              <w:rPr>
                <w:spacing w:val="-3"/>
              </w:rPr>
              <w:t xml:space="preserve"> </w:t>
            </w:r>
            <w:r w:rsidRPr="00077830">
              <w:t>INTELLECTUAL</w:t>
            </w:r>
            <w:r w:rsidRPr="00077830">
              <w:rPr>
                <w:spacing w:val="-4"/>
              </w:rPr>
              <w:t xml:space="preserve"> </w:t>
            </w:r>
            <w:r w:rsidRPr="00077830">
              <w:t>PROPERTY</w:t>
            </w:r>
            <w:r w:rsidRPr="00077830">
              <w:rPr>
                <w:spacing w:val="-5"/>
              </w:rPr>
              <w:t xml:space="preserve"> </w:t>
            </w:r>
            <w:r w:rsidRPr="00077830">
              <w:rPr>
                <w:spacing w:val="-2"/>
              </w:rPr>
              <w:t>COMMIS</w:t>
            </w:r>
            <w:r w:rsidR="00077830">
              <w:rPr>
                <w:spacing w:val="-2"/>
              </w:rPr>
              <w:t>S</w:t>
            </w:r>
            <w:r w:rsidRPr="00077830">
              <w:rPr>
                <w:spacing w:val="-2"/>
              </w:rPr>
              <w:t>ION</w:t>
            </w:r>
          </w:p>
        </w:tc>
        <w:tc>
          <w:tcPr>
            <w:tcW w:w="2353" w:type="dxa"/>
          </w:tcPr>
          <w:p w14:paraId="00396934" w14:textId="36F02E7B" w:rsidR="008E6831" w:rsidRDefault="008E6831" w:rsidP="009B7154">
            <w:pPr>
              <w:widowControl w:val="0"/>
              <w:tabs>
                <w:tab w:val="right" w:pos="8931"/>
              </w:tabs>
              <w:spacing w:before="0" w:line="240" w:lineRule="auto"/>
              <w:jc w:val="right"/>
              <w:rPr>
                <w:b/>
                <w:bCs/>
                <w:lang w:val="en-GB"/>
              </w:rPr>
            </w:pPr>
            <w:r>
              <w:rPr>
                <w:b/>
                <w:bCs/>
                <w:lang w:val="en-GB"/>
              </w:rPr>
              <w:t>5</w:t>
            </w:r>
            <w:r w:rsidRPr="008E6831">
              <w:rPr>
                <w:b/>
                <w:bCs/>
                <w:vertAlign w:val="superscript"/>
                <w:lang w:val="en-GB"/>
              </w:rPr>
              <w:t>th</w:t>
            </w:r>
            <w:r>
              <w:rPr>
                <w:b/>
                <w:bCs/>
                <w:lang w:val="en-GB"/>
              </w:rPr>
              <w:t xml:space="preserve"> Respondent</w:t>
            </w:r>
          </w:p>
        </w:tc>
      </w:tr>
      <w:tr w:rsidR="001D6C12" w14:paraId="22BFA130" w14:textId="77777777" w:rsidTr="00077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Borders>
              <w:top w:val="nil"/>
              <w:left w:val="nil"/>
              <w:bottom w:val="nil"/>
              <w:right w:val="nil"/>
            </w:tcBorders>
          </w:tcPr>
          <w:p w14:paraId="184CBC51" w14:textId="77777777" w:rsidR="001D6C12" w:rsidRDefault="001D6C12" w:rsidP="009B314B">
            <w:pPr>
              <w:widowControl w:val="0"/>
              <w:tabs>
                <w:tab w:val="right" w:pos="8931"/>
              </w:tabs>
              <w:spacing w:before="0" w:line="240" w:lineRule="auto"/>
              <w:rPr>
                <w:b/>
                <w:bCs/>
                <w:lang w:val="en-GB"/>
              </w:rPr>
            </w:pPr>
          </w:p>
        </w:tc>
        <w:tc>
          <w:tcPr>
            <w:tcW w:w="2353" w:type="dxa"/>
            <w:tcBorders>
              <w:top w:val="nil"/>
              <w:left w:val="nil"/>
              <w:bottom w:val="nil"/>
              <w:right w:val="nil"/>
            </w:tcBorders>
          </w:tcPr>
          <w:p w14:paraId="52E127C5" w14:textId="77777777" w:rsidR="001D6C12" w:rsidRDefault="001D6C12" w:rsidP="009B314B">
            <w:pPr>
              <w:widowControl w:val="0"/>
              <w:tabs>
                <w:tab w:val="right" w:pos="8931"/>
              </w:tabs>
              <w:spacing w:before="0" w:line="240" w:lineRule="auto"/>
              <w:jc w:val="right"/>
              <w:rPr>
                <w:b/>
                <w:bCs/>
                <w:lang w:val="en-GB"/>
              </w:rPr>
            </w:pPr>
          </w:p>
        </w:tc>
      </w:tr>
      <w:tr w:rsidR="001D6C12" w14:paraId="06636D47" w14:textId="77777777" w:rsidTr="00077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Borders>
              <w:top w:val="nil"/>
              <w:left w:val="nil"/>
              <w:bottom w:val="nil"/>
              <w:right w:val="nil"/>
            </w:tcBorders>
          </w:tcPr>
          <w:p w14:paraId="2C976224" w14:textId="08082DA9" w:rsidR="001D6C12" w:rsidRDefault="001F68C2" w:rsidP="009B314B">
            <w:pPr>
              <w:widowControl w:val="0"/>
              <w:tabs>
                <w:tab w:val="right" w:pos="8931"/>
              </w:tabs>
              <w:spacing w:before="0" w:line="240" w:lineRule="auto"/>
              <w:rPr>
                <w:b/>
                <w:bCs/>
                <w:lang w:val="en-GB"/>
              </w:rPr>
            </w:pPr>
            <w:r>
              <w:rPr>
                <w:b/>
              </w:rPr>
              <w:t>ADCOCK INGRAM HOLDINGS LIMITED</w:t>
            </w:r>
          </w:p>
        </w:tc>
        <w:tc>
          <w:tcPr>
            <w:tcW w:w="2353" w:type="dxa"/>
            <w:tcBorders>
              <w:top w:val="nil"/>
              <w:left w:val="nil"/>
              <w:bottom w:val="nil"/>
              <w:right w:val="nil"/>
            </w:tcBorders>
          </w:tcPr>
          <w:p w14:paraId="469CBF4B" w14:textId="0ECD2944" w:rsidR="001D6C12" w:rsidRDefault="00753EE4" w:rsidP="009B314B">
            <w:pPr>
              <w:widowControl w:val="0"/>
              <w:tabs>
                <w:tab w:val="right" w:pos="8931"/>
              </w:tabs>
              <w:spacing w:before="0" w:line="240" w:lineRule="auto"/>
              <w:jc w:val="right"/>
              <w:rPr>
                <w:b/>
                <w:bCs/>
                <w:lang w:val="en-GB"/>
              </w:rPr>
            </w:pPr>
            <w:r>
              <w:rPr>
                <w:b/>
                <w:bCs/>
                <w:lang w:val="en-GB"/>
              </w:rPr>
              <w:t>6</w:t>
            </w:r>
            <w:r w:rsidR="001D6C12" w:rsidRPr="00354EC0">
              <w:rPr>
                <w:b/>
                <w:bCs/>
                <w:vertAlign w:val="superscript"/>
                <w:lang w:val="en-GB"/>
              </w:rPr>
              <w:t>th</w:t>
            </w:r>
            <w:r w:rsidR="001D6C12">
              <w:rPr>
                <w:b/>
                <w:bCs/>
                <w:lang w:val="en-GB"/>
              </w:rPr>
              <w:t xml:space="preserve"> Respondent</w:t>
            </w:r>
          </w:p>
        </w:tc>
      </w:tr>
      <w:tr w:rsidR="001D6C12" w14:paraId="21A83B5C" w14:textId="77777777" w:rsidTr="00077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Borders>
              <w:top w:val="nil"/>
              <w:left w:val="nil"/>
              <w:bottom w:val="nil"/>
              <w:right w:val="nil"/>
            </w:tcBorders>
          </w:tcPr>
          <w:p w14:paraId="2F63E5C8" w14:textId="77777777" w:rsidR="001D6C12" w:rsidRDefault="001D6C12" w:rsidP="009B314B">
            <w:pPr>
              <w:widowControl w:val="0"/>
              <w:tabs>
                <w:tab w:val="right" w:pos="8931"/>
              </w:tabs>
              <w:spacing w:before="0" w:line="240" w:lineRule="auto"/>
              <w:rPr>
                <w:b/>
                <w:bCs/>
                <w:lang w:val="en-GB"/>
              </w:rPr>
            </w:pPr>
          </w:p>
        </w:tc>
        <w:tc>
          <w:tcPr>
            <w:tcW w:w="2353" w:type="dxa"/>
            <w:tcBorders>
              <w:top w:val="nil"/>
              <w:left w:val="nil"/>
              <w:bottom w:val="nil"/>
              <w:right w:val="nil"/>
            </w:tcBorders>
          </w:tcPr>
          <w:p w14:paraId="2672EAD9" w14:textId="77777777" w:rsidR="001D6C12" w:rsidRDefault="001D6C12" w:rsidP="009B314B">
            <w:pPr>
              <w:widowControl w:val="0"/>
              <w:tabs>
                <w:tab w:val="right" w:pos="8931"/>
              </w:tabs>
              <w:spacing w:before="0" w:line="240" w:lineRule="auto"/>
              <w:jc w:val="right"/>
              <w:rPr>
                <w:b/>
                <w:bCs/>
                <w:lang w:val="en-GB"/>
              </w:rPr>
            </w:pPr>
          </w:p>
        </w:tc>
      </w:tr>
      <w:tr w:rsidR="001D6C12" w14:paraId="5D4D79FB" w14:textId="77777777" w:rsidTr="00077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Borders>
              <w:top w:val="nil"/>
              <w:left w:val="nil"/>
              <w:bottom w:val="nil"/>
              <w:right w:val="nil"/>
            </w:tcBorders>
          </w:tcPr>
          <w:p w14:paraId="4DF9F88F" w14:textId="15B53891" w:rsidR="001D6C12" w:rsidRDefault="001F68C2" w:rsidP="009B314B">
            <w:pPr>
              <w:widowControl w:val="0"/>
              <w:tabs>
                <w:tab w:val="right" w:pos="8931"/>
              </w:tabs>
              <w:spacing w:before="0" w:line="240" w:lineRule="auto"/>
              <w:rPr>
                <w:b/>
                <w:bCs/>
                <w:lang w:val="en-GB"/>
              </w:rPr>
            </w:pPr>
            <w:r>
              <w:rPr>
                <w:b/>
              </w:rPr>
              <w:t>SANLAM LIFE INSURANCE LIMITED</w:t>
            </w:r>
          </w:p>
        </w:tc>
        <w:tc>
          <w:tcPr>
            <w:tcW w:w="2353" w:type="dxa"/>
            <w:tcBorders>
              <w:top w:val="nil"/>
              <w:left w:val="nil"/>
              <w:bottom w:val="nil"/>
              <w:right w:val="nil"/>
            </w:tcBorders>
          </w:tcPr>
          <w:p w14:paraId="09C17260" w14:textId="054BFEC0" w:rsidR="001D6C12" w:rsidRDefault="00753EE4" w:rsidP="009B314B">
            <w:pPr>
              <w:widowControl w:val="0"/>
              <w:tabs>
                <w:tab w:val="right" w:pos="8931"/>
              </w:tabs>
              <w:spacing w:before="0" w:line="240" w:lineRule="auto"/>
              <w:jc w:val="right"/>
              <w:rPr>
                <w:b/>
                <w:bCs/>
                <w:lang w:val="en-GB"/>
              </w:rPr>
            </w:pPr>
            <w:r>
              <w:rPr>
                <w:b/>
                <w:bCs/>
                <w:lang w:val="en-GB"/>
              </w:rPr>
              <w:t>7</w:t>
            </w:r>
            <w:r w:rsidR="001D6C12" w:rsidRPr="008E6831">
              <w:rPr>
                <w:b/>
                <w:bCs/>
                <w:vertAlign w:val="superscript"/>
                <w:lang w:val="en-GB"/>
              </w:rPr>
              <w:t>th</w:t>
            </w:r>
            <w:r w:rsidR="001D6C12">
              <w:rPr>
                <w:b/>
                <w:bCs/>
                <w:lang w:val="en-GB"/>
              </w:rPr>
              <w:t xml:space="preserve"> Respondent</w:t>
            </w:r>
          </w:p>
        </w:tc>
      </w:tr>
      <w:tr w:rsidR="00470D09" w14:paraId="5D3E7B48" w14:textId="77777777" w:rsidTr="00077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Borders>
              <w:top w:val="nil"/>
              <w:left w:val="nil"/>
              <w:bottom w:val="nil"/>
              <w:right w:val="nil"/>
            </w:tcBorders>
          </w:tcPr>
          <w:p w14:paraId="33852D8E" w14:textId="77777777" w:rsidR="00470D09" w:rsidRDefault="00470D09" w:rsidP="009B314B">
            <w:pPr>
              <w:widowControl w:val="0"/>
              <w:tabs>
                <w:tab w:val="right" w:pos="8931"/>
              </w:tabs>
              <w:spacing w:before="0" w:line="240" w:lineRule="auto"/>
              <w:rPr>
                <w:b/>
                <w:bCs/>
                <w:lang w:val="en-GB"/>
              </w:rPr>
            </w:pPr>
          </w:p>
        </w:tc>
        <w:tc>
          <w:tcPr>
            <w:tcW w:w="2353" w:type="dxa"/>
            <w:tcBorders>
              <w:top w:val="nil"/>
              <w:left w:val="nil"/>
              <w:bottom w:val="nil"/>
              <w:right w:val="nil"/>
            </w:tcBorders>
          </w:tcPr>
          <w:p w14:paraId="173166B9" w14:textId="77777777" w:rsidR="00470D09" w:rsidRDefault="00470D09" w:rsidP="009B314B">
            <w:pPr>
              <w:widowControl w:val="0"/>
              <w:tabs>
                <w:tab w:val="right" w:pos="8931"/>
              </w:tabs>
              <w:spacing w:before="0" w:line="240" w:lineRule="auto"/>
              <w:jc w:val="right"/>
              <w:rPr>
                <w:b/>
                <w:bCs/>
                <w:lang w:val="en-GB"/>
              </w:rPr>
            </w:pPr>
          </w:p>
        </w:tc>
      </w:tr>
      <w:tr w:rsidR="00470D09" w14:paraId="64DDDAA3" w14:textId="77777777" w:rsidTr="00077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Borders>
              <w:top w:val="nil"/>
              <w:left w:val="nil"/>
              <w:bottom w:val="nil"/>
              <w:right w:val="nil"/>
            </w:tcBorders>
          </w:tcPr>
          <w:p w14:paraId="410C5C36" w14:textId="798A2762" w:rsidR="00470D09" w:rsidRDefault="001F68C2" w:rsidP="009B314B">
            <w:pPr>
              <w:widowControl w:val="0"/>
              <w:tabs>
                <w:tab w:val="right" w:pos="8931"/>
              </w:tabs>
              <w:spacing w:before="0" w:line="240" w:lineRule="auto"/>
              <w:rPr>
                <w:b/>
                <w:bCs/>
                <w:lang w:val="en-GB"/>
              </w:rPr>
            </w:pPr>
            <w:r>
              <w:rPr>
                <w:b/>
              </w:rPr>
              <w:t>THE</w:t>
            </w:r>
            <w:r>
              <w:rPr>
                <w:b/>
                <w:spacing w:val="-7"/>
              </w:rPr>
              <w:t xml:space="preserve"> </w:t>
            </w:r>
            <w:r>
              <w:rPr>
                <w:b/>
              </w:rPr>
              <w:t>SOUTH</w:t>
            </w:r>
            <w:r>
              <w:rPr>
                <w:b/>
                <w:spacing w:val="-2"/>
              </w:rPr>
              <w:t xml:space="preserve"> </w:t>
            </w:r>
            <w:r>
              <w:rPr>
                <w:b/>
              </w:rPr>
              <w:t>AFRICAN</w:t>
            </w:r>
            <w:r>
              <w:rPr>
                <w:b/>
                <w:spacing w:val="-4"/>
              </w:rPr>
              <w:t xml:space="preserve"> </w:t>
            </w:r>
            <w:r>
              <w:rPr>
                <w:b/>
              </w:rPr>
              <w:t>REVENUE</w:t>
            </w:r>
            <w:r>
              <w:rPr>
                <w:b/>
                <w:spacing w:val="-6"/>
              </w:rPr>
              <w:t xml:space="preserve"> </w:t>
            </w:r>
            <w:r>
              <w:rPr>
                <w:b/>
                <w:spacing w:val="-2"/>
              </w:rPr>
              <w:t>SERVICES</w:t>
            </w:r>
          </w:p>
        </w:tc>
        <w:tc>
          <w:tcPr>
            <w:tcW w:w="2353" w:type="dxa"/>
            <w:tcBorders>
              <w:top w:val="nil"/>
              <w:left w:val="nil"/>
              <w:bottom w:val="nil"/>
              <w:right w:val="nil"/>
            </w:tcBorders>
          </w:tcPr>
          <w:p w14:paraId="123A6268" w14:textId="650AF43A" w:rsidR="00470D09" w:rsidRDefault="00753EE4" w:rsidP="009B314B">
            <w:pPr>
              <w:widowControl w:val="0"/>
              <w:tabs>
                <w:tab w:val="right" w:pos="8931"/>
              </w:tabs>
              <w:spacing w:before="0" w:line="240" w:lineRule="auto"/>
              <w:jc w:val="right"/>
              <w:rPr>
                <w:b/>
                <w:bCs/>
                <w:lang w:val="en-GB"/>
              </w:rPr>
            </w:pPr>
            <w:r>
              <w:rPr>
                <w:b/>
                <w:bCs/>
                <w:lang w:val="en-GB"/>
              </w:rPr>
              <w:t>8</w:t>
            </w:r>
            <w:r w:rsidR="00470D09" w:rsidRPr="00354EC0">
              <w:rPr>
                <w:b/>
                <w:bCs/>
                <w:vertAlign w:val="superscript"/>
                <w:lang w:val="en-GB"/>
              </w:rPr>
              <w:t>th</w:t>
            </w:r>
            <w:r w:rsidR="00470D09">
              <w:rPr>
                <w:b/>
                <w:bCs/>
                <w:lang w:val="en-GB"/>
              </w:rPr>
              <w:t xml:space="preserve"> Respondent</w:t>
            </w:r>
          </w:p>
        </w:tc>
      </w:tr>
      <w:tr w:rsidR="00470D09" w14:paraId="142C3493" w14:textId="77777777" w:rsidTr="00077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Borders>
              <w:top w:val="nil"/>
              <w:left w:val="nil"/>
              <w:bottom w:val="nil"/>
              <w:right w:val="nil"/>
            </w:tcBorders>
          </w:tcPr>
          <w:p w14:paraId="2E199B86" w14:textId="77777777" w:rsidR="00470D09" w:rsidRDefault="00470D09" w:rsidP="009B314B">
            <w:pPr>
              <w:widowControl w:val="0"/>
              <w:tabs>
                <w:tab w:val="right" w:pos="8931"/>
              </w:tabs>
              <w:spacing w:before="0" w:line="240" w:lineRule="auto"/>
              <w:rPr>
                <w:b/>
                <w:bCs/>
                <w:lang w:val="en-GB"/>
              </w:rPr>
            </w:pPr>
          </w:p>
        </w:tc>
        <w:tc>
          <w:tcPr>
            <w:tcW w:w="2353" w:type="dxa"/>
            <w:tcBorders>
              <w:top w:val="nil"/>
              <w:left w:val="nil"/>
              <w:bottom w:val="nil"/>
              <w:right w:val="nil"/>
            </w:tcBorders>
          </w:tcPr>
          <w:p w14:paraId="27702445" w14:textId="77777777" w:rsidR="00470D09" w:rsidRDefault="00470D09" w:rsidP="009B314B">
            <w:pPr>
              <w:widowControl w:val="0"/>
              <w:tabs>
                <w:tab w:val="right" w:pos="8931"/>
              </w:tabs>
              <w:spacing w:before="0" w:line="240" w:lineRule="auto"/>
              <w:jc w:val="right"/>
              <w:rPr>
                <w:b/>
                <w:bCs/>
                <w:lang w:val="en-GB"/>
              </w:rPr>
            </w:pPr>
          </w:p>
        </w:tc>
      </w:tr>
      <w:tr w:rsidR="00470D09" w14:paraId="2D1B8801" w14:textId="77777777" w:rsidTr="00077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3" w:type="dxa"/>
            <w:tcBorders>
              <w:top w:val="nil"/>
              <w:left w:val="nil"/>
              <w:bottom w:val="nil"/>
              <w:right w:val="nil"/>
            </w:tcBorders>
          </w:tcPr>
          <w:p w14:paraId="7EE9A625" w14:textId="60F64B4C" w:rsidR="00470D09" w:rsidRDefault="001F68C2" w:rsidP="009B314B">
            <w:pPr>
              <w:widowControl w:val="0"/>
              <w:tabs>
                <w:tab w:val="right" w:pos="8931"/>
              </w:tabs>
              <w:spacing w:before="0" w:line="240" w:lineRule="auto"/>
              <w:rPr>
                <w:b/>
                <w:bCs/>
                <w:lang w:val="en-GB"/>
              </w:rPr>
            </w:pPr>
            <w:r>
              <w:rPr>
                <w:b/>
              </w:rPr>
              <w:t>ROBERT</w:t>
            </w:r>
            <w:r>
              <w:rPr>
                <w:b/>
                <w:spacing w:val="-3"/>
              </w:rPr>
              <w:t xml:space="preserve"> </w:t>
            </w:r>
            <w:r>
              <w:rPr>
                <w:b/>
              </w:rPr>
              <w:t>SKOK</w:t>
            </w:r>
            <w:r>
              <w:rPr>
                <w:b/>
                <w:spacing w:val="-6"/>
              </w:rPr>
              <w:t xml:space="preserve"> </w:t>
            </w:r>
            <w:r>
              <w:rPr>
                <w:b/>
              </w:rPr>
              <w:t>&amp;</w:t>
            </w:r>
            <w:r>
              <w:rPr>
                <w:b/>
                <w:spacing w:val="1"/>
              </w:rPr>
              <w:t xml:space="preserve"> </w:t>
            </w:r>
            <w:r>
              <w:rPr>
                <w:b/>
              </w:rPr>
              <w:t>SONS</w:t>
            </w:r>
            <w:r>
              <w:rPr>
                <w:b/>
                <w:spacing w:val="-2"/>
              </w:rPr>
              <w:t xml:space="preserve"> </w:t>
            </w:r>
            <w:r>
              <w:rPr>
                <w:b/>
              </w:rPr>
              <w:t>(PTY)</w:t>
            </w:r>
            <w:r>
              <w:rPr>
                <w:b/>
                <w:spacing w:val="-1"/>
              </w:rPr>
              <w:t xml:space="preserve"> </w:t>
            </w:r>
            <w:r>
              <w:rPr>
                <w:b/>
                <w:spacing w:val="-5"/>
              </w:rPr>
              <w:t>LTD</w:t>
            </w:r>
          </w:p>
        </w:tc>
        <w:tc>
          <w:tcPr>
            <w:tcW w:w="2353" w:type="dxa"/>
            <w:tcBorders>
              <w:top w:val="nil"/>
              <w:left w:val="nil"/>
              <w:bottom w:val="nil"/>
              <w:right w:val="nil"/>
            </w:tcBorders>
          </w:tcPr>
          <w:p w14:paraId="6497C2DD" w14:textId="1C593107" w:rsidR="00470D09" w:rsidRDefault="00753EE4" w:rsidP="009B314B">
            <w:pPr>
              <w:widowControl w:val="0"/>
              <w:tabs>
                <w:tab w:val="right" w:pos="8931"/>
              </w:tabs>
              <w:spacing w:before="0" w:line="240" w:lineRule="auto"/>
              <w:jc w:val="right"/>
              <w:rPr>
                <w:b/>
                <w:bCs/>
                <w:lang w:val="en-GB"/>
              </w:rPr>
            </w:pPr>
            <w:r>
              <w:rPr>
                <w:b/>
                <w:bCs/>
                <w:lang w:val="en-GB"/>
              </w:rPr>
              <w:t>9</w:t>
            </w:r>
            <w:r w:rsidR="00470D09" w:rsidRPr="008E6831">
              <w:rPr>
                <w:b/>
                <w:bCs/>
                <w:vertAlign w:val="superscript"/>
                <w:lang w:val="en-GB"/>
              </w:rPr>
              <w:t>th</w:t>
            </w:r>
            <w:r w:rsidR="00470D09">
              <w:rPr>
                <w:b/>
                <w:bCs/>
                <w:lang w:val="en-GB"/>
              </w:rPr>
              <w:t xml:space="preserve"> Respondent</w:t>
            </w:r>
          </w:p>
        </w:tc>
      </w:tr>
    </w:tbl>
    <w:p w14:paraId="19A730C2" w14:textId="77777777" w:rsidR="00AF78AA" w:rsidRDefault="00AF78AA" w:rsidP="001354B3">
      <w:pPr>
        <w:spacing w:before="0" w:line="240" w:lineRule="auto"/>
        <w:rPr>
          <w:b/>
          <w:lang w:val="en-GB"/>
        </w:rPr>
      </w:pPr>
    </w:p>
    <w:p w14:paraId="4324585B" w14:textId="16B35A47" w:rsidR="007A4DF9" w:rsidRPr="00F34B8E" w:rsidRDefault="007A4DF9" w:rsidP="001354B3">
      <w:pPr>
        <w:spacing w:before="0" w:line="240" w:lineRule="auto"/>
        <w:rPr>
          <w:b/>
          <w:lang w:val="en-GB"/>
        </w:rPr>
      </w:pPr>
      <w:r w:rsidRPr="00F34B8E">
        <w:rPr>
          <w:b/>
          <w:lang w:val="en-GB"/>
        </w:rPr>
        <w:t>__________________________________</w:t>
      </w:r>
      <w:r w:rsidR="00A85C6D">
        <w:rPr>
          <w:b/>
          <w:lang w:val="en-GB"/>
        </w:rPr>
        <w:t>__</w:t>
      </w:r>
      <w:r w:rsidRPr="00F34B8E">
        <w:rPr>
          <w:b/>
          <w:lang w:val="en-GB"/>
        </w:rPr>
        <w:t>_______________________________</w:t>
      </w:r>
    </w:p>
    <w:p w14:paraId="645E78DE" w14:textId="77777777" w:rsidR="007A4DF9" w:rsidRPr="00F34B8E" w:rsidRDefault="007A4DF9" w:rsidP="007A4DF9">
      <w:pPr>
        <w:spacing w:before="0" w:line="240" w:lineRule="auto"/>
        <w:jc w:val="center"/>
        <w:rPr>
          <w:b/>
          <w:lang w:val="en-GB"/>
        </w:rPr>
      </w:pPr>
    </w:p>
    <w:p w14:paraId="174FC660" w14:textId="77777777" w:rsidR="007A4DF9" w:rsidRPr="00F34B8E" w:rsidRDefault="007A4DF9" w:rsidP="007A4DF9">
      <w:pPr>
        <w:spacing w:before="0" w:line="240" w:lineRule="auto"/>
        <w:jc w:val="center"/>
        <w:rPr>
          <w:b/>
          <w:lang w:val="en-GB"/>
        </w:rPr>
      </w:pPr>
      <w:r w:rsidRPr="00F34B8E">
        <w:rPr>
          <w:b/>
          <w:lang w:val="en-GB"/>
        </w:rPr>
        <w:t>J U D G M E N T</w:t>
      </w:r>
    </w:p>
    <w:p w14:paraId="6A7A0FAA" w14:textId="799B073E" w:rsidR="007A4DF9" w:rsidRPr="00F34B8E" w:rsidRDefault="007A4DF9" w:rsidP="007A4DF9">
      <w:pPr>
        <w:spacing w:before="0" w:line="240" w:lineRule="auto"/>
        <w:rPr>
          <w:b/>
          <w:lang w:val="en-GB"/>
        </w:rPr>
      </w:pPr>
      <w:r w:rsidRPr="00F34B8E">
        <w:rPr>
          <w:b/>
          <w:lang w:val="en-GB"/>
        </w:rPr>
        <w:t>____________________________________</w:t>
      </w:r>
      <w:r w:rsidR="00A85C6D">
        <w:rPr>
          <w:b/>
          <w:lang w:val="en-GB"/>
        </w:rPr>
        <w:t>_</w:t>
      </w:r>
      <w:r w:rsidRPr="00F34B8E">
        <w:rPr>
          <w:b/>
          <w:lang w:val="en-GB"/>
        </w:rPr>
        <w:t>______________________________</w:t>
      </w:r>
    </w:p>
    <w:p w14:paraId="67B7CED6" w14:textId="77777777" w:rsidR="007A4DF9" w:rsidRPr="00F34B8E" w:rsidRDefault="007A4DF9" w:rsidP="007A4DF9">
      <w:pPr>
        <w:spacing w:before="0" w:line="240" w:lineRule="auto"/>
        <w:rPr>
          <w:b/>
          <w:lang w:val="en-GB"/>
        </w:rPr>
      </w:pPr>
    </w:p>
    <w:p w14:paraId="1186DF08" w14:textId="77777777" w:rsidR="007A4DF9" w:rsidRPr="004F7C5F" w:rsidRDefault="007A4DF9" w:rsidP="007A4DF9">
      <w:pPr>
        <w:spacing w:before="0" w:line="240" w:lineRule="auto"/>
        <w:rPr>
          <w:b/>
          <w:bCs/>
          <w:lang w:val="en-GB"/>
        </w:rPr>
      </w:pPr>
      <w:r w:rsidRPr="004F7C5F">
        <w:rPr>
          <w:b/>
          <w:bCs/>
          <w:lang w:val="en-GB"/>
        </w:rPr>
        <w:t>VAN DER BERG AJ</w:t>
      </w:r>
    </w:p>
    <w:p w14:paraId="36D11AE5" w14:textId="77777777" w:rsidR="007A4DF9" w:rsidRPr="00F34B8E" w:rsidRDefault="007A4DF9" w:rsidP="00365A8E">
      <w:pPr>
        <w:widowControl w:val="0"/>
        <w:spacing w:before="0" w:after="320" w:line="240" w:lineRule="auto"/>
        <w:rPr>
          <w:rFonts w:cs="Arial"/>
          <w:b/>
          <w:szCs w:val="24"/>
          <w:lang w:val="en-GB"/>
        </w:rPr>
      </w:pPr>
    </w:p>
    <w:p w14:paraId="3843B634" w14:textId="4C4FD932" w:rsidR="00805A80" w:rsidRDefault="00F855C5" w:rsidP="00F855C5">
      <w:pPr>
        <w:pStyle w:val="LEVEL10"/>
        <w:numPr>
          <w:ilvl w:val="0"/>
          <w:numId w:val="0"/>
        </w:numPr>
        <w:ind w:left="851" w:hanging="851"/>
      </w:pPr>
      <w:r>
        <w:t>[1]</w:t>
      </w:r>
      <w:r>
        <w:tab/>
      </w:r>
      <w:r w:rsidR="00294FAB">
        <w:t xml:space="preserve">The applicant brings this application in his capacity as executor of the estate of his late father, Robert </w:t>
      </w:r>
      <w:proofErr w:type="spellStart"/>
      <w:r w:rsidR="00294FAB">
        <w:t>Skok</w:t>
      </w:r>
      <w:proofErr w:type="spellEnd"/>
      <w:r w:rsidR="00294FAB">
        <w:t xml:space="preserve">. </w:t>
      </w:r>
    </w:p>
    <w:p w14:paraId="739DD8C3" w14:textId="0A2F1BF2" w:rsidR="00E80156" w:rsidRDefault="00F855C5" w:rsidP="00F855C5">
      <w:pPr>
        <w:pStyle w:val="LEVEL10"/>
        <w:numPr>
          <w:ilvl w:val="0"/>
          <w:numId w:val="0"/>
        </w:numPr>
        <w:ind w:left="851" w:hanging="851"/>
      </w:pPr>
      <w:r>
        <w:t>[2]</w:t>
      </w:r>
      <w:r>
        <w:tab/>
      </w:r>
      <w:r w:rsidR="00294FAB">
        <w:t xml:space="preserve">Mr Robert </w:t>
      </w:r>
      <w:proofErr w:type="spellStart"/>
      <w:r w:rsidR="00294FAB">
        <w:t>Skok</w:t>
      </w:r>
      <w:proofErr w:type="spellEnd"/>
      <w:r w:rsidR="00294FAB">
        <w:t xml:space="preserve"> was the sole shareholder of a company</w:t>
      </w:r>
      <w:r w:rsidR="00F55E3C">
        <w:t xml:space="preserve"> Robert </w:t>
      </w:r>
      <w:proofErr w:type="spellStart"/>
      <w:r w:rsidR="00F55E3C">
        <w:t>Skok</w:t>
      </w:r>
      <w:proofErr w:type="spellEnd"/>
      <w:r w:rsidR="00F55E3C">
        <w:t xml:space="preserve"> &amp; Sons (Pty) Ltd (“</w:t>
      </w:r>
      <w:r w:rsidR="00F55E3C" w:rsidRPr="00F55E3C">
        <w:rPr>
          <w:i/>
          <w:iCs/>
        </w:rPr>
        <w:t xml:space="preserve">Robert </w:t>
      </w:r>
      <w:proofErr w:type="spellStart"/>
      <w:r w:rsidR="00F55E3C" w:rsidRPr="00F55E3C">
        <w:rPr>
          <w:i/>
          <w:iCs/>
        </w:rPr>
        <w:t>Skok</w:t>
      </w:r>
      <w:proofErr w:type="spellEnd"/>
      <w:r w:rsidR="00F55E3C" w:rsidRPr="00F55E3C">
        <w:rPr>
          <w:i/>
          <w:iCs/>
        </w:rPr>
        <w:t xml:space="preserve"> &amp; Sons</w:t>
      </w:r>
      <w:r w:rsidR="00F55E3C">
        <w:t>”)</w:t>
      </w:r>
      <w:r w:rsidR="00B1630E">
        <w:t xml:space="preserve"> </w:t>
      </w:r>
      <w:r w:rsidR="00294FAB">
        <w:t xml:space="preserve">when </w:t>
      </w:r>
      <w:r w:rsidR="00FF68D5">
        <w:t xml:space="preserve">the seventh </w:t>
      </w:r>
      <w:proofErr w:type="gramStart"/>
      <w:r w:rsidR="00FF68D5">
        <w:t>respondent  (</w:t>
      </w:r>
      <w:proofErr w:type="gramEnd"/>
      <w:r w:rsidR="00FF68D5">
        <w:t>“</w:t>
      </w:r>
      <w:r w:rsidR="00FF68D5" w:rsidRPr="00FF68D5">
        <w:rPr>
          <w:i/>
          <w:iCs/>
        </w:rPr>
        <w:t>Sanlam</w:t>
      </w:r>
      <w:r w:rsidR="00FF68D5">
        <w:t xml:space="preserve">”) </w:t>
      </w:r>
      <w:r w:rsidR="00E80156">
        <w:t xml:space="preserve">issued </w:t>
      </w:r>
      <w:r w:rsidR="00294FAB">
        <w:t xml:space="preserve">a policy to the company in 1981. He sold his shareholding during or about 1990. Mr </w:t>
      </w:r>
      <w:r w:rsidR="00E80156">
        <w:t xml:space="preserve">Robert </w:t>
      </w:r>
      <w:proofErr w:type="spellStart"/>
      <w:r w:rsidR="00294FAB">
        <w:t>Skok</w:t>
      </w:r>
      <w:proofErr w:type="spellEnd"/>
      <w:r w:rsidR="00294FAB">
        <w:t xml:space="preserve"> passed away in 2001. The policy matured in 2007. The applicant seeks an order that the proceeds of the policy </w:t>
      </w:r>
      <w:r w:rsidR="00E80156">
        <w:t>be paid to the estate, either by Sanlam or by</w:t>
      </w:r>
      <w:r w:rsidR="00B1630E">
        <w:t xml:space="preserve"> Robert </w:t>
      </w:r>
      <w:proofErr w:type="spellStart"/>
      <w:r w:rsidR="00B1630E">
        <w:t>Skok</w:t>
      </w:r>
      <w:proofErr w:type="spellEnd"/>
      <w:r w:rsidR="00B1630E">
        <w:t xml:space="preserve"> &amp; Sons</w:t>
      </w:r>
      <w:r w:rsidR="00E80156">
        <w:t xml:space="preserve">. </w:t>
      </w:r>
    </w:p>
    <w:p w14:paraId="4F20CF8A" w14:textId="68AE84F2" w:rsidR="00805A80" w:rsidRDefault="00F855C5" w:rsidP="00F855C5">
      <w:pPr>
        <w:pStyle w:val="LEVEL10"/>
        <w:numPr>
          <w:ilvl w:val="0"/>
          <w:numId w:val="0"/>
        </w:numPr>
        <w:ind w:left="851" w:hanging="851"/>
      </w:pPr>
      <w:r>
        <w:t>[3]</w:t>
      </w:r>
      <w:r>
        <w:tab/>
      </w:r>
      <w:r w:rsidR="00E80156">
        <w:t xml:space="preserve">The applicant </w:t>
      </w:r>
      <w:r w:rsidR="005339B2">
        <w:t xml:space="preserve">submits </w:t>
      </w:r>
      <w:r w:rsidR="00E80156">
        <w:t xml:space="preserve">that the sale of shares agreement had a tacit term that the policy did not form part of the sale. The applicant has painstakingly attempted to reconstruct the events of the last four decades. </w:t>
      </w:r>
      <w:r w:rsidR="005339B2">
        <w:t>Neither the applicant nor his witness</w:t>
      </w:r>
      <w:r w:rsidR="00F56C0A">
        <w:t xml:space="preserve"> who deposed to the founding affidavit </w:t>
      </w:r>
      <w:r w:rsidR="005339B2">
        <w:t xml:space="preserve">has </w:t>
      </w:r>
      <w:r w:rsidR="00E80156">
        <w:t>personal knowledge of these event</w:t>
      </w:r>
      <w:r w:rsidR="00FF68D5">
        <w:t>s</w:t>
      </w:r>
      <w:r w:rsidR="005339B2">
        <w:t>.</w:t>
      </w:r>
    </w:p>
    <w:p w14:paraId="3CE29E67" w14:textId="7C01B5F5" w:rsidR="00805A80" w:rsidRDefault="00F855C5" w:rsidP="00F855C5">
      <w:pPr>
        <w:pStyle w:val="LEVEL10"/>
        <w:numPr>
          <w:ilvl w:val="0"/>
          <w:numId w:val="0"/>
        </w:numPr>
        <w:ind w:left="851" w:hanging="851"/>
      </w:pPr>
      <w:r>
        <w:lastRenderedPageBreak/>
        <w:t>[4]</w:t>
      </w:r>
      <w:r>
        <w:tab/>
      </w:r>
      <w:r w:rsidR="00B6383C">
        <w:t xml:space="preserve">In </w:t>
      </w:r>
      <w:proofErr w:type="gramStart"/>
      <w:r w:rsidR="00E5214C">
        <w:t xml:space="preserve">the </w:t>
      </w:r>
      <w:r w:rsidR="00B6383C">
        <w:t xml:space="preserve"> notice</w:t>
      </w:r>
      <w:proofErr w:type="gramEnd"/>
      <w:r w:rsidR="00B6383C">
        <w:t xml:space="preserve"> of motion the applicant seeks the following relief:</w:t>
      </w:r>
    </w:p>
    <w:p w14:paraId="7A91E328" w14:textId="77777777" w:rsidR="00466B83" w:rsidRDefault="00FA6447" w:rsidP="00466B83">
      <w:pPr>
        <w:pStyle w:val="quotation1"/>
        <w:ind w:left="1985" w:hanging="567"/>
      </w:pPr>
      <w:r>
        <w:t>“</w:t>
      </w:r>
      <w:r w:rsidR="00466B83">
        <w:t>1.</w:t>
      </w:r>
      <w:r w:rsidR="00466B83">
        <w:tab/>
      </w:r>
      <w:r w:rsidR="00CF04B8">
        <w:t xml:space="preserve">That the seventh respondent </w:t>
      </w:r>
      <w:r w:rsidR="00CF04B8" w:rsidRPr="008F781E">
        <w:rPr>
          <w:i w:val="0"/>
          <w:iCs w:val="0"/>
        </w:rPr>
        <w:t>[</w:t>
      </w:r>
      <w:r w:rsidR="00D44764" w:rsidRPr="008F781E">
        <w:rPr>
          <w:i w:val="0"/>
          <w:iCs w:val="0"/>
        </w:rPr>
        <w:t>Sanlam]</w:t>
      </w:r>
      <w:r w:rsidR="00CF04B8">
        <w:t xml:space="preserve"> be directed </w:t>
      </w:r>
      <w:r w:rsidR="004F6995">
        <w:t>to pay the proceeds under policy number 3959513X7</w:t>
      </w:r>
      <w:r w:rsidR="001D328D">
        <w:t xml:space="preserve"> to the applica</w:t>
      </w:r>
      <w:r w:rsidR="008F781E">
        <w:t>n</w:t>
      </w:r>
      <w:r w:rsidR="001D328D">
        <w:t xml:space="preserve">t in his capacity as executor of the estate of the late Robert </w:t>
      </w:r>
      <w:proofErr w:type="spellStart"/>
      <w:r w:rsidR="001D328D">
        <w:t>Skok</w:t>
      </w:r>
      <w:proofErr w:type="spellEnd"/>
      <w:r w:rsidR="001D328D">
        <w:t xml:space="preserve"> and that the applicant be directed to deal with and distribute such proceeds</w:t>
      </w:r>
      <w:r w:rsidR="00466B83">
        <w:t xml:space="preserve"> </w:t>
      </w:r>
      <w:r w:rsidR="001D328D">
        <w:t xml:space="preserve">in terms of the last will and testament of the late Robert </w:t>
      </w:r>
      <w:proofErr w:type="spellStart"/>
      <w:proofErr w:type="gramStart"/>
      <w:r w:rsidR="001D328D">
        <w:t>Skok</w:t>
      </w:r>
      <w:proofErr w:type="spellEnd"/>
      <w:r w:rsidR="001D328D">
        <w:t>;</w:t>
      </w:r>
      <w:proofErr w:type="gramEnd"/>
    </w:p>
    <w:p w14:paraId="020CAC38" w14:textId="179D5E63" w:rsidR="006C413C" w:rsidRDefault="008E4A0C" w:rsidP="00466B83">
      <w:pPr>
        <w:pStyle w:val="quotation1"/>
        <w:ind w:left="1985" w:hanging="567"/>
      </w:pPr>
      <w:r>
        <w:t>2.</w:t>
      </w:r>
      <w:r>
        <w:tab/>
      </w:r>
      <w:proofErr w:type="gramStart"/>
      <w:r w:rsidR="006C413C" w:rsidRPr="00251D64">
        <w:rPr>
          <w:b/>
          <w:bCs/>
        </w:rPr>
        <w:t>Alternatively</w:t>
      </w:r>
      <w:proofErr w:type="gramEnd"/>
      <w:r w:rsidR="006C413C" w:rsidRPr="00251D64">
        <w:rPr>
          <w:b/>
          <w:bCs/>
        </w:rPr>
        <w:t xml:space="preserve"> to prayer 1 above:</w:t>
      </w:r>
      <w:r w:rsidRPr="00251D64">
        <w:rPr>
          <w:b/>
          <w:bCs/>
        </w:rPr>
        <w:t xml:space="preserve"> -</w:t>
      </w:r>
    </w:p>
    <w:p w14:paraId="7CD3DAD5" w14:textId="42ACB153" w:rsidR="008E4A0C" w:rsidRDefault="00251D64" w:rsidP="00251D64">
      <w:pPr>
        <w:pStyle w:val="quotation1"/>
        <w:ind w:left="2552" w:hanging="567"/>
      </w:pPr>
      <w:r>
        <w:t>2.1</w:t>
      </w:r>
      <w:r w:rsidR="004B42F3">
        <w:t>.</w:t>
      </w:r>
      <w:r>
        <w:tab/>
        <w:t xml:space="preserve">That the fifth respondent be directed to reinstate the company, Robert </w:t>
      </w:r>
      <w:proofErr w:type="spellStart"/>
      <w:r>
        <w:t>Skok</w:t>
      </w:r>
      <w:proofErr w:type="spellEnd"/>
      <w:r>
        <w:t xml:space="preserve"> &amp; Sons (Pty) Limited, in its records</w:t>
      </w:r>
      <w:r w:rsidR="006F4785">
        <w:t xml:space="preserve"> </w:t>
      </w:r>
      <w:r w:rsidR="006F4785">
        <w:rPr>
          <w:i w:val="0"/>
          <w:iCs w:val="0"/>
        </w:rPr>
        <w:t>[</w:t>
      </w:r>
      <w:r w:rsidR="00D679A5">
        <w:rPr>
          <w:i w:val="0"/>
          <w:iCs w:val="0"/>
        </w:rPr>
        <w:t>The company has been reinstated and this relief has become moot</w:t>
      </w:r>
      <w:proofErr w:type="gramStart"/>
      <w:r w:rsidR="006F4785">
        <w:rPr>
          <w:i w:val="0"/>
          <w:iCs w:val="0"/>
        </w:rPr>
        <w:t>]</w:t>
      </w:r>
      <w:r>
        <w:t>;</w:t>
      </w:r>
      <w:proofErr w:type="gramEnd"/>
    </w:p>
    <w:p w14:paraId="536B83F7" w14:textId="53B21666" w:rsidR="00251D64" w:rsidRDefault="00251D64" w:rsidP="00251D64">
      <w:pPr>
        <w:pStyle w:val="quotation1"/>
        <w:ind w:left="2552" w:hanging="567"/>
      </w:pPr>
      <w:r>
        <w:t>2.2</w:t>
      </w:r>
      <w:r w:rsidR="004B42F3">
        <w:t>.</w:t>
      </w:r>
      <w:r>
        <w:tab/>
      </w:r>
      <w:r w:rsidR="00F64B45">
        <w:t>That the seventh respondent be directed to make payment of the proceeds of policy 3959513X7</w:t>
      </w:r>
      <w:r w:rsidR="00F8204F">
        <w:t xml:space="preserve"> </w:t>
      </w:r>
      <w:r w:rsidR="006C2EC2">
        <w:t>to</w:t>
      </w:r>
      <w:r w:rsidR="00F8204F">
        <w:t xml:space="preserve"> Robert </w:t>
      </w:r>
      <w:proofErr w:type="spellStart"/>
      <w:r w:rsidR="00F8204F">
        <w:t>Skok</w:t>
      </w:r>
      <w:proofErr w:type="spellEnd"/>
      <w:r w:rsidR="00F8204F">
        <w:t xml:space="preserve"> &amp; Sons (Pty) Limited, once the company is so </w:t>
      </w:r>
      <w:proofErr w:type="gramStart"/>
      <w:r w:rsidR="00F8204F">
        <w:t>reinstated;</w:t>
      </w:r>
      <w:proofErr w:type="gramEnd"/>
    </w:p>
    <w:p w14:paraId="24F652A5" w14:textId="7721E377" w:rsidR="004B42F3" w:rsidRDefault="004B42F3" w:rsidP="00251D64">
      <w:pPr>
        <w:pStyle w:val="quotation1"/>
        <w:ind w:left="2552" w:hanging="567"/>
      </w:pPr>
      <w:r>
        <w:t>2.3.</w:t>
      </w:r>
      <w:r>
        <w:tab/>
        <w:t xml:space="preserve">That </w:t>
      </w:r>
      <w:r w:rsidR="00A605FA">
        <w:t xml:space="preserve">Robert </w:t>
      </w:r>
      <w:proofErr w:type="spellStart"/>
      <w:r w:rsidR="00A605FA">
        <w:t>Skok</w:t>
      </w:r>
      <w:proofErr w:type="spellEnd"/>
      <w:r w:rsidR="00A605FA">
        <w:t xml:space="preserve"> &amp; Sons (Pty) L</w:t>
      </w:r>
      <w:r w:rsidR="00FF1A07">
        <w:t xml:space="preserve">imited </w:t>
      </w:r>
      <w:r w:rsidR="00A605FA">
        <w:t>be directed to take receipt of the proceeds under policy number 3959513X7</w:t>
      </w:r>
      <w:r w:rsidR="00F76E8D">
        <w:t xml:space="preserve"> and make payment of such proceeds to the applicant, in his capacity as executor of the estate of the late Robert </w:t>
      </w:r>
      <w:proofErr w:type="spellStart"/>
      <w:r w:rsidR="00F76E8D">
        <w:t>Skok</w:t>
      </w:r>
      <w:proofErr w:type="spellEnd"/>
      <w:r w:rsidR="00F76E8D">
        <w:t xml:space="preserve">, whereafter the applicant is directed to deal with and distribute such proceeds in terms of the last will and testament of the late Robert </w:t>
      </w:r>
      <w:proofErr w:type="spellStart"/>
      <w:proofErr w:type="gramStart"/>
      <w:r w:rsidR="00F76E8D">
        <w:t>Skok</w:t>
      </w:r>
      <w:proofErr w:type="spellEnd"/>
      <w:r w:rsidR="00F76E8D">
        <w:t>;</w:t>
      </w:r>
      <w:proofErr w:type="gramEnd"/>
    </w:p>
    <w:p w14:paraId="514B216F" w14:textId="58843E61" w:rsidR="00E5214C" w:rsidRPr="00E5214C" w:rsidRDefault="000C1991" w:rsidP="00E5214C">
      <w:pPr>
        <w:pStyle w:val="quotation1"/>
        <w:ind w:left="2552" w:hanging="567"/>
      </w:pPr>
      <w:r>
        <w:t>2.4.</w:t>
      </w:r>
      <w:r>
        <w:tab/>
      </w:r>
      <w:proofErr w:type="gramStart"/>
      <w:r>
        <w:t>Alternatively</w:t>
      </w:r>
      <w:proofErr w:type="gramEnd"/>
      <w:r>
        <w:t xml:space="preserve"> to prayer 2.3 above, that the sixth respondent be directed to transfer the shares in Robert </w:t>
      </w:r>
      <w:proofErr w:type="spellStart"/>
      <w:r>
        <w:t>Skok</w:t>
      </w:r>
      <w:proofErr w:type="spellEnd"/>
      <w:r>
        <w:t xml:space="preserve"> &amp; Sons to the applicant</w:t>
      </w:r>
      <w:r w:rsidR="00E5214C">
        <w:rPr>
          <w:i w:val="0"/>
          <w:iCs w:val="0"/>
        </w:rPr>
        <w:t>.</w:t>
      </w:r>
      <w:r w:rsidR="00963305">
        <w:t>”</w:t>
      </w:r>
    </w:p>
    <w:p w14:paraId="37872338" w14:textId="0352011F" w:rsidR="005339B2" w:rsidRDefault="00F855C5" w:rsidP="00F855C5">
      <w:pPr>
        <w:pStyle w:val="LEVEL20"/>
        <w:numPr>
          <w:ilvl w:val="0"/>
          <w:numId w:val="0"/>
        </w:numPr>
        <w:ind w:left="851" w:hanging="851"/>
      </w:pPr>
      <w:r>
        <w:t>[5]</w:t>
      </w:r>
      <w:r>
        <w:tab/>
      </w:r>
      <w:r w:rsidR="00F55E3C">
        <w:t xml:space="preserve">Robert </w:t>
      </w:r>
      <w:proofErr w:type="spellStart"/>
      <w:r w:rsidR="00F55E3C">
        <w:t>Skok</w:t>
      </w:r>
      <w:proofErr w:type="spellEnd"/>
      <w:r w:rsidR="00F55E3C">
        <w:t xml:space="preserve"> &amp; Sons has been joined as the ninth respondent.  At some point it was deregistered, but it has been reinstated to the Companies Register. </w:t>
      </w:r>
    </w:p>
    <w:p w14:paraId="49E61528" w14:textId="69D74A80" w:rsidR="00F55E3C" w:rsidRDefault="00F855C5" w:rsidP="00F855C5">
      <w:pPr>
        <w:pStyle w:val="LEVEL20"/>
        <w:numPr>
          <w:ilvl w:val="0"/>
          <w:numId w:val="0"/>
        </w:numPr>
        <w:ind w:left="851" w:hanging="851"/>
      </w:pPr>
      <w:r>
        <w:lastRenderedPageBreak/>
        <w:t>[6]</w:t>
      </w:r>
      <w:r>
        <w:tab/>
      </w:r>
      <w:r w:rsidR="00F55E3C">
        <w:t xml:space="preserve">The sixth respondent is cited by the applicant “by reason of the being the holder of the issued shares in Robert </w:t>
      </w:r>
      <w:proofErr w:type="spellStart"/>
      <w:r w:rsidR="00F55E3C">
        <w:t>Skok</w:t>
      </w:r>
      <w:proofErr w:type="spellEnd"/>
      <w:r w:rsidR="00F55E3C">
        <w:t xml:space="preserve"> &amp; Sons”. </w:t>
      </w:r>
      <w:r w:rsidR="00FF68D5">
        <w:t xml:space="preserve">The sixth respondent </w:t>
      </w:r>
      <w:r w:rsidR="00F55E3C">
        <w:t>however dispute</w:t>
      </w:r>
      <w:r w:rsidR="00FF68D5">
        <w:t>s that it is a shareholder</w:t>
      </w:r>
      <w:r w:rsidR="00F55E3C">
        <w:t>.</w:t>
      </w:r>
    </w:p>
    <w:p w14:paraId="287991AE" w14:textId="35326847" w:rsidR="00F55E3C" w:rsidRDefault="00F855C5" w:rsidP="00F855C5">
      <w:pPr>
        <w:pStyle w:val="LEVEL20"/>
        <w:numPr>
          <w:ilvl w:val="0"/>
          <w:numId w:val="0"/>
        </w:numPr>
        <w:ind w:left="851" w:hanging="851"/>
      </w:pPr>
      <w:r>
        <w:t>[7]</w:t>
      </w:r>
      <w:r>
        <w:tab/>
      </w:r>
      <w:r w:rsidR="00F55E3C">
        <w:t>The sixth and ninth respondents are the only respondents who oppose the application.</w:t>
      </w:r>
    </w:p>
    <w:p w14:paraId="53A873F2" w14:textId="58D9C39E" w:rsidR="00F55E3C" w:rsidRDefault="00F855C5" w:rsidP="00F855C5">
      <w:pPr>
        <w:pStyle w:val="LEVEL20"/>
        <w:numPr>
          <w:ilvl w:val="0"/>
          <w:numId w:val="0"/>
        </w:numPr>
        <w:ind w:left="851" w:hanging="851"/>
      </w:pPr>
      <w:r>
        <w:t>[8]</w:t>
      </w:r>
      <w:r>
        <w:tab/>
      </w:r>
      <w:r w:rsidR="00F55E3C">
        <w:t>The first to fourth respondents are the surviving persons whose lives were assured in terms of the policy.</w:t>
      </w:r>
      <w:r w:rsidR="00F56DE8">
        <w:t xml:space="preserve"> They have not entered a notice to oppose the application</w:t>
      </w:r>
      <w:r w:rsidR="00B1630E">
        <w:t xml:space="preserve">, although the first and third respondents have deposed to affidavits on behalf of </w:t>
      </w:r>
      <w:r w:rsidR="003B677D">
        <w:t xml:space="preserve">the </w:t>
      </w:r>
      <w:r w:rsidR="00B1630E">
        <w:t>sixth respondent</w:t>
      </w:r>
      <w:r w:rsidR="00F56DE8">
        <w:t>.</w:t>
      </w:r>
    </w:p>
    <w:p w14:paraId="389C8561" w14:textId="68A3394A" w:rsidR="00F56DE8" w:rsidRDefault="00F855C5" w:rsidP="00F855C5">
      <w:pPr>
        <w:pStyle w:val="LEVEL20"/>
        <w:numPr>
          <w:ilvl w:val="0"/>
          <w:numId w:val="0"/>
        </w:numPr>
        <w:ind w:left="851" w:hanging="851"/>
      </w:pPr>
      <w:r>
        <w:t>[9]</w:t>
      </w:r>
      <w:r>
        <w:tab/>
      </w:r>
      <w:r w:rsidR="00F55E3C">
        <w:t xml:space="preserve">Sanlam is </w:t>
      </w:r>
      <w:r w:rsidR="00F56DE8">
        <w:t xml:space="preserve">cited as </w:t>
      </w:r>
      <w:r w:rsidR="003B677D">
        <w:t xml:space="preserve">the </w:t>
      </w:r>
      <w:r w:rsidR="00F55E3C">
        <w:t xml:space="preserve">seventh respondent. </w:t>
      </w:r>
      <w:r w:rsidR="001815DB">
        <w:t xml:space="preserve">It </w:t>
      </w:r>
      <w:r w:rsidR="00BA3D64">
        <w:t>served a notice to abide.</w:t>
      </w:r>
    </w:p>
    <w:p w14:paraId="0EBF96C8" w14:textId="059CBA49" w:rsidR="005339B2" w:rsidRDefault="00F855C5" w:rsidP="00F855C5">
      <w:pPr>
        <w:pStyle w:val="LEVEL20"/>
        <w:numPr>
          <w:ilvl w:val="0"/>
          <w:numId w:val="0"/>
        </w:numPr>
        <w:ind w:left="851" w:hanging="851"/>
      </w:pPr>
      <w:r>
        <w:t>[10]</w:t>
      </w:r>
      <w:r>
        <w:tab/>
      </w:r>
      <w:r w:rsidR="005339B2">
        <w:t xml:space="preserve">The fifth respondent is the </w:t>
      </w:r>
      <w:r w:rsidR="005339B2" w:rsidRPr="00077830">
        <w:t>Commissioner</w:t>
      </w:r>
      <w:r w:rsidR="005339B2" w:rsidRPr="005339B2">
        <w:rPr>
          <w:spacing w:val="-4"/>
        </w:rPr>
        <w:t xml:space="preserve"> </w:t>
      </w:r>
      <w:r w:rsidR="005339B2">
        <w:t>o</w:t>
      </w:r>
      <w:r w:rsidR="005339B2" w:rsidRPr="00077830">
        <w:t>f</w:t>
      </w:r>
      <w:r w:rsidR="005339B2" w:rsidRPr="005339B2">
        <w:rPr>
          <w:spacing w:val="-3"/>
        </w:rPr>
        <w:t xml:space="preserve"> </w:t>
      </w:r>
      <w:r w:rsidR="005339B2">
        <w:t>t</w:t>
      </w:r>
      <w:r w:rsidR="005339B2" w:rsidRPr="00077830">
        <w:t>he</w:t>
      </w:r>
      <w:r w:rsidR="005339B2" w:rsidRPr="005339B2">
        <w:rPr>
          <w:spacing w:val="-4"/>
        </w:rPr>
        <w:t xml:space="preserve"> </w:t>
      </w:r>
      <w:r w:rsidR="005339B2" w:rsidRPr="005339B2">
        <w:rPr>
          <w:spacing w:val="-2"/>
        </w:rPr>
        <w:t xml:space="preserve">Companies </w:t>
      </w:r>
      <w:r w:rsidR="005339B2">
        <w:t>a</w:t>
      </w:r>
      <w:r w:rsidR="005339B2" w:rsidRPr="00077830">
        <w:t>nd</w:t>
      </w:r>
      <w:r w:rsidR="005339B2" w:rsidRPr="005339B2">
        <w:rPr>
          <w:spacing w:val="-3"/>
        </w:rPr>
        <w:t xml:space="preserve"> </w:t>
      </w:r>
      <w:r w:rsidR="005339B2">
        <w:t>I</w:t>
      </w:r>
      <w:r w:rsidR="005339B2" w:rsidRPr="00077830">
        <w:t>ntellectual</w:t>
      </w:r>
      <w:r w:rsidR="005339B2" w:rsidRPr="005339B2">
        <w:rPr>
          <w:spacing w:val="-4"/>
        </w:rPr>
        <w:t xml:space="preserve"> </w:t>
      </w:r>
      <w:r w:rsidR="005339B2" w:rsidRPr="00077830">
        <w:t>Property</w:t>
      </w:r>
      <w:r w:rsidR="005339B2" w:rsidRPr="005339B2">
        <w:rPr>
          <w:spacing w:val="-5"/>
        </w:rPr>
        <w:t xml:space="preserve"> </w:t>
      </w:r>
      <w:r w:rsidR="005339B2" w:rsidRPr="005339B2">
        <w:rPr>
          <w:spacing w:val="-2"/>
        </w:rPr>
        <w:t>Commission</w:t>
      </w:r>
      <w:r w:rsidR="005339B2">
        <w:rPr>
          <w:spacing w:val="-2"/>
        </w:rPr>
        <w:t>. In that the</w:t>
      </w:r>
      <w:r w:rsidR="00F56C0A">
        <w:rPr>
          <w:spacing w:val="-2"/>
        </w:rPr>
        <w:t xml:space="preserve"> sixth respondent has</w:t>
      </w:r>
      <w:r w:rsidR="005339B2">
        <w:rPr>
          <w:spacing w:val="-2"/>
        </w:rPr>
        <w:t xml:space="preserve"> been reinstated, the fifth respondent no longer has any interest in this application. </w:t>
      </w:r>
      <w:r w:rsidR="00F56DE8">
        <w:rPr>
          <w:spacing w:val="-2"/>
        </w:rPr>
        <w:t xml:space="preserve">SARS is cited as the eighth respondent as “it may be entitled to taxes” in respect of the policy. </w:t>
      </w:r>
    </w:p>
    <w:p w14:paraId="069A9229" w14:textId="2FB5477C" w:rsidR="00E5214C" w:rsidRDefault="00E5214C" w:rsidP="00E5214C">
      <w:pPr>
        <w:pStyle w:val="Heading1"/>
      </w:pPr>
      <w:r>
        <w:t>COMMON CAUSE FACTS</w:t>
      </w:r>
    </w:p>
    <w:p w14:paraId="42459281" w14:textId="77AB6709" w:rsidR="00E5214C" w:rsidRDefault="00F855C5" w:rsidP="00F855C5">
      <w:pPr>
        <w:pStyle w:val="LEVEL20"/>
        <w:numPr>
          <w:ilvl w:val="0"/>
          <w:numId w:val="0"/>
        </w:numPr>
        <w:ind w:left="851" w:hanging="851"/>
      </w:pPr>
      <w:r>
        <w:t>[11]</w:t>
      </w:r>
      <w:r>
        <w:tab/>
      </w:r>
      <w:r w:rsidR="003B677D">
        <w:t>Despite</w:t>
      </w:r>
      <w:r w:rsidR="00CE472F">
        <w:t xml:space="preserve"> the passage of time, </w:t>
      </w:r>
      <w:r w:rsidR="004B0864">
        <w:t xml:space="preserve">many of the facts in this </w:t>
      </w:r>
      <w:r w:rsidR="00217AC0">
        <w:t>application are common cause or not in dispute, even though there is</w:t>
      </w:r>
      <w:r w:rsidR="00B3128A">
        <w:t xml:space="preserve"> a</w:t>
      </w:r>
      <w:r w:rsidR="00217AC0">
        <w:t xml:space="preserve"> d</w:t>
      </w:r>
      <w:r w:rsidR="00B3128A">
        <w:t xml:space="preserve">earth of </w:t>
      </w:r>
      <w:r w:rsidR="00E5214C">
        <w:t xml:space="preserve">detail </w:t>
      </w:r>
      <w:r w:rsidR="00B3128A">
        <w:t>regarding the main events.</w:t>
      </w:r>
    </w:p>
    <w:p w14:paraId="31C2B0AE" w14:textId="7108BF9A" w:rsidR="008E4A0C" w:rsidRDefault="00F855C5" w:rsidP="00F855C5">
      <w:pPr>
        <w:pStyle w:val="LEVEL20"/>
        <w:numPr>
          <w:ilvl w:val="0"/>
          <w:numId w:val="0"/>
        </w:numPr>
        <w:ind w:left="851" w:hanging="851"/>
      </w:pPr>
      <w:r>
        <w:t>[12]</w:t>
      </w:r>
      <w:r>
        <w:tab/>
      </w:r>
      <w:r w:rsidR="00052E1F">
        <w:t xml:space="preserve">The late Mr Robert </w:t>
      </w:r>
      <w:proofErr w:type="spellStart"/>
      <w:r w:rsidR="00052E1F">
        <w:t>Skok</w:t>
      </w:r>
      <w:proofErr w:type="spellEnd"/>
      <w:r w:rsidR="00052E1F">
        <w:t xml:space="preserve"> was the sole shareholder of </w:t>
      </w:r>
      <w:r w:rsidR="008141D2">
        <w:t xml:space="preserve">Robert </w:t>
      </w:r>
      <w:proofErr w:type="spellStart"/>
      <w:r w:rsidR="008141D2">
        <w:t>Skok</w:t>
      </w:r>
      <w:proofErr w:type="spellEnd"/>
      <w:r w:rsidR="008141D2">
        <w:t xml:space="preserve"> &amp; Sons.  During February 1981 he caused Sanlam to issue a single premium policy to </w:t>
      </w:r>
      <w:r w:rsidR="00562DF6">
        <w:lastRenderedPageBreak/>
        <w:t xml:space="preserve">Robert </w:t>
      </w:r>
      <w:proofErr w:type="spellStart"/>
      <w:r w:rsidR="00562DF6">
        <w:t>Skok</w:t>
      </w:r>
      <w:proofErr w:type="spellEnd"/>
      <w:r w:rsidR="00562DF6">
        <w:t xml:space="preserve"> &amp; Sons (</w:t>
      </w:r>
      <w:r w:rsidR="00562DF6">
        <w:rPr>
          <w:i/>
          <w:iCs/>
        </w:rPr>
        <w:t>“the policy”</w:t>
      </w:r>
      <w:r w:rsidR="00562DF6">
        <w:t>).  In terms of the policy and its schedule:</w:t>
      </w:r>
    </w:p>
    <w:p w14:paraId="3830BEF4" w14:textId="2D5355A1" w:rsidR="00562DF6" w:rsidRDefault="00F855C5" w:rsidP="00F855C5">
      <w:pPr>
        <w:pStyle w:val="1"/>
        <w:numPr>
          <w:ilvl w:val="0"/>
          <w:numId w:val="0"/>
        </w:numPr>
        <w:ind w:left="1701" w:hanging="850"/>
      </w:pPr>
      <w:r>
        <w:t>1.</w:t>
      </w:r>
      <w:r>
        <w:tab/>
      </w:r>
      <w:r w:rsidR="00BB2407">
        <w:t>T</w:t>
      </w:r>
      <w:r w:rsidR="000921EA">
        <w:t xml:space="preserve">he proposer was Robert </w:t>
      </w:r>
      <w:proofErr w:type="spellStart"/>
      <w:r w:rsidR="000921EA">
        <w:t>Skok</w:t>
      </w:r>
      <w:proofErr w:type="spellEnd"/>
      <w:r w:rsidR="000921EA">
        <w:t xml:space="preserve"> &amp; Sons</w:t>
      </w:r>
      <w:r w:rsidR="009D0816">
        <w:t>.</w:t>
      </w:r>
    </w:p>
    <w:p w14:paraId="19051E3C" w14:textId="471936AD" w:rsidR="000921EA" w:rsidRDefault="00F855C5" w:rsidP="00F855C5">
      <w:pPr>
        <w:pStyle w:val="1"/>
        <w:numPr>
          <w:ilvl w:val="0"/>
          <w:numId w:val="0"/>
        </w:numPr>
        <w:ind w:left="1701" w:hanging="850"/>
      </w:pPr>
      <w:r>
        <w:t>2.</w:t>
      </w:r>
      <w:r>
        <w:tab/>
      </w:r>
      <w:r w:rsidR="00BB2407">
        <w:t>T</w:t>
      </w:r>
      <w:r w:rsidR="000921EA">
        <w:t>he single premium in the amount of R137</w:t>
      </w:r>
      <w:r w:rsidR="00F3709A">
        <w:t> 800.00 was payable and paid</w:t>
      </w:r>
      <w:r w:rsidR="009D0816">
        <w:t>.</w:t>
      </w:r>
    </w:p>
    <w:p w14:paraId="1700E5C6" w14:textId="2AFD00EC" w:rsidR="009D0816" w:rsidRDefault="00F855C5" w:rsidP="00F855C5">
      <w:pPr>
        <w:pStyle w:val="1"/>
        <w:numPr>
          <w:ilvl w:val="0"/>
          <w:numId w:val="0"/>
        </w:numPr>
        <w:ind w:left="1701" w:hanging="850"/>
      </w:pPr>
      <w:r>
        <w:t>3.</w:t>
      </w:r>
      <w:r>
        <w:tab/>
      </w:r>
      <w:r w:rsidR="003B677D">
        <w:t>The lives of some</w:t>
      </w:r>
      <w:r w:rsidR="009D0816">
        <w:t xml:space="preserve"> individuals were</w:t>
      </w:r>
      <w:r w:rsidR="003B677D">
        <w:t xml:space="preserve"> assured </w:t>
      </w:r>
      <w:r w:rsidR="009D0816">
        <w:t>in terms of the policy (the first to fourth respondents</w:t>
      </w:r>
      <w:r w:rsidR="003B677D">
        <w:t xml:space="preserve"> are</w:t>
      </w:r>
      <w:r w:rsidR="009D0816">
        <w:t xml:space="preserve"> the only surviving assured).  </w:t>
      </w:r>
    </w:p>
    <w:p w14:paraId="2D3DF891" w14:textId="0DEBD2A7" w:rsidR="00BB2407" w:rsidRDefault="00F855C5" w:rsidP="00F855C5">
      <w:pPr>
        <w:pStyle w:val="1"/>
        <w:numPr>
          <w:ilvl w:val="0"/>
          <w:numId w:val="0"/>
        </w:numPr>
        <w:ind w:left="1701" w:hanging="850"/>
      </w:pPr>
      <w:r>
        <w:t>4.</w:t>
      </w:r>
      <w:r>
        <w:tab/>
      </w:r>
      <w:r w:rsidR="00BB2407">
        <w:t>The sum assured was stated as R485</w:t>
      </w:r>
      <w:r w:rsidR="008E0A2C">
        <w:t xml:space="preserve"> 342.00, which amount became payable on 1 March 2007,</w:t>
      </w:r>
      <w:r w:rsidR="00FA5BFC">
        <w:rPr>
          <w:rStyle w:val="FootnoteReference"/>
        </w:rPr>
        <w:footnoteReference w:id="1"/>
      </w:r>
      <w:r w:rsidR="008E0A2C">
        <w:t xml:space="preserve"> subject to the proviso that one or more of the lives assured </w:t>
      </w:r>
      <w:r w:rsidR="003B677D">
        <w:t>is</w:t>
      </w:r>
      <w:r w:rsidR="008E0A2C">
        <w:t xml:space="preserve"> at that date still alive</w:t>
      </w:r>
      <w:r w:rsidR="009D0816">
        <w:t>.</w:t>
      </w:r>
    </w:p>
    <w:p w14:paraId="1F1A6608" w14:textId="47EDEEB8" w:rsidR="008E0A2C" w:rsidRDefault="00F855C5" w:rsidP="00F855C5">
      <w:pPr>
        <w:pStyle w:val="1"/>
        <w:numPr>
          <w:ilvl w:val="0"/>
          <w:numId w:val="0"/>
        </w:numPr>
        <w:ind w:left="1701" w:hanging="850"/>
      </w:pPr>
      <w:r>
        <w:t>5.</w:t>
      </w:r>
      <w:r>
        <w:tab/>
      </w:r>
      <w:r w:rsidR="008E0A2C">
        <w:t xml:space="preserve">In the event of all the persons whose names are listed as assureds </w:t>
      </w:r>
      <w:r w:rsidR="00A43558">
        <w:t>having passed away before 1 March 2007, the once-off premium together with a surrender value would become payable.  The money would become payable upon the death of the last surviving person whose name is listed as an assured</w:t>
      </w:r>
      <w:r w:rsidR="009D0816">
        <w:t xml:space="preserve">. </w:t>
      </w:r>
    </w:p>
    <w:p w14:paraId="1ADE97B9" w14:textId="22FC6651" w:rsidR="009D0816" w:rsidRDefault="00F855C5" w:rsidP="00F855C5">
      <w:pPr>
        <w:pStyle w:val="1"/>
        <w:numPr>
          <w:ilvl w:val="0"/>
          <w:numId w:val="0"/>
        </w:numPr>
        <w:ind w:left="1701" w:hanging="850"/>
      </w:pPr>
      <w:r>
        <w:t>6.</w:t>
      </w:r>
      <w:r>
        <w:tab/>
      </w:r>
      <w:r w:rsidR="00A43558">
        <w:t xml:space="preserve">Robert </w:t>
      </w:r>
      <w:proofErr w:type="spellStart"/>
      <w:r w:rsidR="00A43558">
        <w:t>Skok</w:t>
      </w:r>
      <w:proofErr w:type="spellEnd"/>
      <w:r w:rsidR="00A43558">
        <w:t xml:space="preserve"> &amp; Sons has the option to request that the maturity </w:t>
      </w:r>
      <w:r w:rsidR="00627A28">
        <w:t>date be deferred beyond 1 March 20</w:t>
      </w:r>
      <w:r w:rsidR="00407052">
        <w:t>07</w:t>
      </w:r>
      <w:r w:rsidR="009D0816">
        <w:t>.</w:t>
      </w:r>
    </w:p>
    <w:p w14:paraId="109970B0" w14:textId="77777777" w:rsidR="009D0816" w:rsidRDefault="009D0816" w:rsidP="009D0816">
      <w:pPr>
        <w:pStyle w:val="level1"/>
        <w:numPr>
          <w:ilvl w:val="0"/>
          <w:numId w:val="0"/>
        </w:numPr>
        <w:ind w:left="851"/>
      </w:pPr>
    </w:p>
    <w:p w14:paraId="647AD371" w14:textId="0D30C4D9" w:rsidR="00E5214C" w:rsidRDefault="00F855C5" w:rsidP="00F855C5">
      <w:pPr>
        <w:pStyle w:val="level1"/>
        <w:numPr>
          <w:ilvl w:val="0"/>
          <w:numId w:val="0"/>
        </w:numPr>
        <w:ind w:left="851" w:hanging="851"/>
      </w:pPr>
      <w:r>
        <w:lastRenderedPageBreak/>
        <w:t>[13]</w:t>
      </w:r>
      <w:r>
        <w:tab/>
      </w:r>
      <w:r w:rsidR="00E5214C">
        <w:t>The assured sum became payable on 1 March 2007, the assured lives not having passed away before the maturity date.</w:t>
      </w:r>
    </w:p>
    <w:p w14:paraId="2DAA983F" w14:textId="75B71F18" w:rsidR="00562DF6" w:rsidRDefault="00F855C5" w:rsidP="00F855C5">
      <w:pPr>
        <w:pStyle w:val="LEVEL20"/>
        <w:numPr>
          <w:ilvl w:val="0"/>
          <w:numId w:val="0"/>
        </w:numPr>
        <w:ind w:left="851" w:hanging="851"/>
      </w:pPr>
      <w:r>
        <w:t>[14]</w:t>
      </w:r>
      <w:r>
        <w:tab/>
      </w:r>
      <w:r w:rsidR="00407052">
        <w:t xml:space="preserve">During or about 1990 Mr Robert </w:t>
      </w:r>
      <w:proofErr w:type="spellStart"/>
      <w:r w:rsidR="00407052">
        <w:t>Skok</w:t>
      </w:r>
      <w:proofErr w:type="spellEnd"/>
      <w:r w:rsidR="00407052">
        <w:t xml:space="preserve"> sold all </w:t>
      </w:r>
      <w:r w:rsidR="00E5214C">
        <w:t xml:space="preserve">his </w:t>
      </w:r>
      <w:r w:rsidR="000F7DE1">
        <w:t>shares</w:t>
      </w:r>
      <w:r w:rsidR="00A26197">
        <w:t xml:space="preserve"> in </w:t>
      </w:r>
      <w:r w:rsidR="00A22F72">
        <w:t xml:space="preserve">Robert </w:t>
      </w:r>
      <w:proofErr w:type="spellStart"/>
      <w:r w:rsidR="00A22F72">
        <w:t>Skok</w:t>
      </w:r>
      <w:proofErr w:type="spellEnd"/>
      <w:r w:rsidR="00A22F72">
        <w:t xml:space="preserve"> &amp; Sons to Premier Pharmaceutical Company Limited (</w:t>
      </w:r>
      <w:r w:rsidR="00A22F72">
        <w:rPr>
          <w:i/>
          <w:iCs/>
        </w:rPr>
        <w:t>“</w:t>
      </w:r>
      <w:r w:rsidR="00F2199B">
        <w:rPr>
          <w:i/>
          <w:iCs/>
        </w:rPr>
        <w:t>Prem-Pharm</w:t>
      </w:r>
      <w:r w:rsidR="00A22F72">
        <w:rPr>
          <w:i/>
          <w:iCs/>
        </w:rPr>
        <w:t>”</w:t>
      </w:r>
      <w:r w:rsidR="00C40DFE">
        <w:t>).</w:t>
      </w:r>
    </w:p>
    <w:p w14:paraId="4AC3F19A" w14:textId="3225F866" w:rsidR="008C7139" w:rsidRDefault="00F855C5" w:rsidP="00F855C5">
      <w:pPr>
        <w:pStyle w:val="level1"/>
        <w:numPr>
          <w:ilvl w:val="0"/>
          <w:numId w:val="0"/>
        </w:numPr>
        <w:ind w:left="851" w:hanging="851"/>
      </w:pPr>
      <w:r>
        <w:t>[15]</w:t>
      </w:r>
      <w:r>
        <w:tab/>
      </w:r>
      <w:r w:rsidR="008C7139">
        <w:t>During 1996 Adcock Ingram Holdings Limited (cited as the sixth respondent) merged with Prem-Pharm.  No</w:t>
      </w:r>
      <w:r w:rsidR="00F56C0A">
        <w:t xml:space="preserve">t much </w:t>
      </w:r>
      <w:r w:rsidR="001815DB">
        <w:t xml:space="preserve">detail of the merger has been furnished by </w:t>
      </w:r>
      <w:r w:rsidR="008C7139">
        <w:t xml:space="preserve">any of the parties.  The applicant alleges that the sixth respondent became the sole shareholder in Robert </w:t>
      </w:r>
      <w:proofErr w:type="spellStart"/>
      <w:r w:rsidR="008C7139">
        <w:t>Skok</w:t>
      </w:r>
      <w:proofErr w:type="spellEnd"/>
      <w:r w:rsidR="008C7139">
        <w:t xml:space="preserve"> &amp; Sons, whereas the sixth and ninth respondents allege that the sixth respondent is the shareholder of Adcock Ingram Limited, who in turn is the sole shareholder of Robert </w:t>
      </w:r>
      <w:proofErr w:type="spellStart"/>
      <w:r w:rsidR="008C7139">
        <w:t>Skok</w:t>
      </w:r>
      <w:proofErr w:type="spellEnd"/>
      <w:r w:rsidR="008C7139">
        <w:t xml:space="preserve"> &amp; Sons.  However, apart from a plea of misjoinder raised by the respondents, nothing turns on this factual dispute for reasons set out below.</w:t>
      </w:r>
    </w:p>
    <w:p w14:paraId="73C369A2" w14:textId="062E1D48" w:rsidR="00562DF6" w:rsidRDefault="00F855C5" w:rsidP="00F855C5">
      <w:pPr>
        <w:pStyle w:val="LEVEL20"/>
        <w:numPr>
          <w:ilvl w:val="0"/>
          <w:numId w:val="0"/>
        </w:numPr>
        <w:ind w:left="851" w:hanging="851"/>
      </w:pPr>
      <w:r>
        <w:t>[16]</w:t>
      </w:r>
      <w:r>
        <w:tab/>
      </w:r>
      <w:r w:rsidR="006C5EC9">
        <w:t xml:space="preserve">On 18 May </w:t>
      </w:r>
      <w:r w:rsidR="004E3788">
        <w:t xml:space="preserve">1999 Robert </w:t>
      </w:r>
      <w:proofErr w:type="spellStart"/>
      <w:r w:rsidR="004E3788">
        <w:t>Skok</w:t>
      </w:r>
      <w:proofErr w:type="spellEnd"/>
      <w:r w:rsidR="004E3788">
        <w:t xml:space="preserve"> &amp; Sons was deregistered.</w:t>
      </w:r>
      <w:r w:rsidR="004E3788">
        <w:rPr>
          <w:rStyle w:val="FootnoteReference"/>
        </w:rPr>
        <w:footnoteReference w:id="2"/>
      </w:r>
    </w:p>
    <w:p w14:paraId="5295C618" w14:textId="3337FE93" w:rsidR="00FA1843" w:rsidRDefault="00F855C5" w:rsidP="00F855C5">
      <w:pPr>
        <w:pStyle w:val="level1"/>
        <w:numPr>
          <w:ilvl w:val="0"/>
          <w:numId w:val="0"/>
        </w:numPr>
        <w:ind w:left="851" w:hanging="851"/>
      </w:pPr>
      <w:r>
        <w:t>[17]</w:t>
      </w:r>
      <w:r>
        <w:tab/>
      </w:r>
      <w:r w:rsidR="00FA1843">
        <w:t xml:space="preserve">Mr Robert </w:t>
      </w:r>
      <w:proofErr w:type="spellStart"/>
      <w:r w:rsidR="00FA1843">
        <w:t>Skok</w:t>
      </w:r>
      <w:proofErr w:type="spellEnd"/>
      <w:r w:rsidR="00FA1843">
        <w:t xml:space="preserve"> passed away on 7 March 2001.</w:t>
      </w:r>
    </w:p>
    <w:p w14:paraId="7BAC79BB" w14:textId="514DDD84" w:rsidR="00562DF6" w:rsidRDefault="00F855C5" w:rsidP="00F855C5">
      <w:pPr>
        <w:pStyle w:val="level1"/>
        <w:numPr>
          <w:ilvl w:val="0"/>
          <w:numId w:val="0"/>
        </w:numPr>
        <w:ind w:left="851" w:hanging="851"/>
      </w:pPr>
      <w:r>
        <w:t>[18]</w:t>
      </w:r>
      <w:r>
        <w:tab/>
      </w:r>
      <w:r w:rsidR="00FA1843">
        <w:t>The assured sum became payable on 1 March 2007.</w:t>
      </w:r>
    </w:p>
    <w:p w14:paraId="454FCF08" w14:textId="7763F8D4" w:rsidR="008C7139" w:rsidRDefault="00F855C5" w:rsidP="00F855C5">
      <w:pPr>
        <w:pStyle w:val="LEVEL20"/>
        <w:numPr>
          <w:ilvl w:val="0"/>
          <w:numId w:val="0"/>
        </w:numPr>
        <w:ind w:left="851" w:hanging="851"/>
      </w:pPr>
      <w:r>
        <w:t>[19]</w:t>
      </w:r>
      <w:r>
        <w:tab/>
      </w:r>
      <w:r w:rsidR="008C7139">
        <w:t>The first and third respondents approached the insurance ombudsman during/or about 2015 and a consultant adjudicator to the insurance ombudsman advised that neither the first respondent nor the third respondent ha</w:t>
      </w:r>
      <w:r w:rsidR="001815DB">
        <w:t>d</w:t>
      </w:r>
      <w:r w:rsidR="008C7139">
        <w:t xml:space="preserve"> any claim to any benefits in terms of the policy. The advice is not binding, </w:t>
      </w:r>
      <w:r w:rsidR="008C7139">
        <w:lastRenderedPageBreak/>
        <w:t>and as the first to fourth respondents have not opposed this application</w:t>
      </w:r>
      <w:r w:rsidR="001815DB">
        <w:t>, not relevant</w:t>
      </w:r>
      <w:r w:rsidR="008C7139">
        <w:t>.</w:t>
      </w:r>
    </w:p>
    <w:p w14:paraId="7DEC53B8" w14:textId="31E34893" w:rsidR="00FA1843" w:rsidRDefault="00F855C5" w:rsidP="00F855C5">
      <w:pPr>
        <w:pStyle w:val="level1"/>
        <w:numPr>
          <w:ilvl w:val="0"/>
          <w:numId w:val="0"/>
        </w:numPr>
        <w:ind w:left="851" w:hanging="851"/>
      </w:pPr>
      <w:r>
        <w:t>[20]</w:t>
      </w:r>
      <w:r>
        <w:tab/>
      </w:r>
      <w:r w:rsidR="00FA1843">
        <w:t xml:space="preserve">On 21 June 2016 </w:t>
      </w:r>
      <w:r w:rsidR="001A514C">
        <w:t xml:space="preserve">Robert </w:t>
      </w:r>
      <w:proofErr w:type="spellStart"/>
      <w:r w:rsidR="001A514C">
        <w:t>Skok</w:t>
      </w:r>
      <w:proofErr w:type="spellEnd"/>
      <w:r w:rsidR="001A514C">
        <w:t xml:space="preserve"> &amp; Sons was reinstated</w:t>
      </w:r>
      <w:r w:rsidR="008C7139">
        <w:t xml:space="preserve"> to the Companies Register</w:t>
      </w:r>
      <w:r w:rsidR="001A514C">
        <w:t>.  This occurred pursuant to proceedings instituted by the applicant.</w:t>
      </w:r>
    </w:p>
    <w:p w14:paraId="742CD24C" w14:textId="2406BF3D" w:rsidR="001A514C" w:rsidRDefault="00F855C5" w:rsidP="00F855C5">
      <w:pPr>
        <w:pStyle w:val="level1"/>
        <w:numPr>
          <w:ilvl w:val="0"/>
          <w:numId w:val="0"/>
        </w:numPr>
        <w:ind w:left="851" w:hanging="851"/>
      </w:pPr>
      <w:r>
        <w:t>[21]</w:t>
      </w:r>
      <w:r>
        <w:tab/>
      </w:r>
      <w:r w:rsidR="001A514C">
        <w:t>Th</w:t>
      </w:r>
      <w:r w:rsidR="00E5214C">
        <w:t>is</w:t>
      </w:r>
      <w:r w:rsidR="001A514C">
        <w:t xml:space="preserve"> application was launched in November 2018.</w:t>
      </w:r>
    </w:p>
    <w:p w14:paraId="5B9DF6A0" w14:textId="344A5E0C" w:rsidR="001815DB" w:rsidRDefault="00F855C5" w:rsidP="00F855C5">
      <w:pPr>
        <w:pStyle w:val="level1"/>
        <w:numPr>
          <w:ilvl w:val="0"/>
          <w:numId w:val="0"/>
        </w:numPr>
        <w:ind w:left="851" w:hanging="851"/>
      </w:pPr>
      <w:r>
        <w:t>[22]</w:t>
      </w:r>
      <w:r>
        <w:tab/>
      </w:r>
      <w:r w:rsidR="001815DB">
        <w:t xml:space="preserve">Robert </w:t>
      </w:r>
      <w:proofErr w:type="spellStart"/>
      <w:r w:rsidR="001815DB">
        <w:t>Skok</w:t>
      </w:r>
      <w:proofErr w:type="spellEnd"/>
      <w:r w:rsidR="001815DB">
        <w:t xml:space="preserve"> &amp; Sons was initially not joined to the</w:t>
      </w:r>
      <w:r w:rsidR="00FF68D5">
        <w:t xml:space="preserve"> application. An unopposed application to join Robert </w:t>
      </w:r>
      <w:proofErr w:type="spellStart"/>
      <w:r w:rsidR="00FF68D5">
        <w:t>Skok</w:t>
      </w:r>
      <w:proofErr w:type="spellEnd"/>
      <w:r w:rsidR="00FF68D5">
        <w:t xml:space="preserve"> &amp; Sons as </w:t>
      </w:r>
      <w:r w:rsidR="003B677D">
        <w:t xml:space="preserve">the </w:t>
      </w:r>
      <w:r w:rsidR="00FF68D5">
        <w:t xml:space="preserve">ninth respondent was granted on 13 August 2019. </w:t>
      </w:r>
    </w:p>
    <w:p w14:paraId="69E7AF48" w14:textId="1D2AFAA7" w:rsidR="001A514C" w:rsidRDefault="00CC4AD4" w:rsidP="001A514C">
      <w:pPr>
        <w:pStyle w:val="Heading1"/>
      </w:pPr>
      <w:r>
        <w:t xml:space="preserve">APPLICANT’S </w:t>
      </w:r>
      <w:r w:rsidR="009D0816">
        <w:t xml:space="preserve">ADDITIONAL </w:t>
      </w:r>
      <w:r w:rsidR="00FF68D5">
        <w:t>EVIDENCE</w:t>
      </w:r>
      <w:r w:rsidR="001A514C">
        <w:t xml:space="preserve"> </w:t>
      </w:r>
    </w:p>
    <w:p w14:paraId="78D5C398" w14:textId="5A1A0BFA" w:rsidR="008C7139" w:rsidRDefault="00F855C5" w:rsidP="00F855C5">
      <w:pPr>
        <w:pStyle w:val="LEVEL20"/>
        <w:numPr>
          <w:ilvl w:val="0"/>
          <w:numId w:val="0"/>
        </w:numPr>
        <w:ind w:left="851" w:hanging="851"/>
      </w:pPr>
      <w:r>
        <w:t>[23]</w:t>
      </w:r>
      <w:r>
        <w:tab/>
      </w:r>
      <w:r w:rsidR="00672D23">
        <w:t>The deponent</w:t>
      </w:r>
      <w:r w:rsidR="001E6E36">
        <w:t xml:space="preserve"> to the founding affidavit </w:t>
      </w:r>
      <w:r w:rsidR="00A5486C">
        <w:t>and</w:t>
      </w:r>
      <w:r w:rsidR="00D901CF">
        <w:t xml:space="preserve"> the supplementary founding affidavits </w:t>
      </w:r>
      <w:r w:rsidR="001E6E36">
        <w:t xml:space="preserve">is </w:t>
      </w:r>
      <w:r w:rsidR="00A532C4">
        <w:t xml:space="preserve">Mr </w:t>
      </w:r>
      <w:r w:rsidR="001E6E36">
        <w:t>Ste</w:t>
      </w:r>
      <w:r w:rsidR="00361AB7">
        <w:t>ph</w:t>
      </w:r>
      <w:r w:rsidR="00E35BF9">
        <w:t>en Vivian</w:t>
      </w:r>
      <w:r w:rsidR="00A532C4">
        <w:t xml:space="preserve"> (“</w:t>
      </w:r>
      <w:r w:rsidR="00A532C4" w:rsidRPr="00F56C0A">
        <w:rPr>
          <w:i/>
          <w:iCs/>
        </w:rPr>
        <w:t>Vivian</w:t>
      </w:r>
      <w:r w:rsidR="00A532C4">
        <w:t>”)</w:t>
      </w:r>
      <w:r w:rsidR="00E35BF9">
        <w:t xml:space="preserve">, who is described as the general legal counsel for Lombard’s Insurance Company Limited.  </w:t>
      </w:r>
      <w:proofErr w:type="gramStart"/>
      <w:r w:rsidR="00E35BF9">
        <w:t xml:space="preserve">It is </w:t>
      </w:r>
      <w:r w:rsidR="00E53CB9">
        <w:t>clear that he</w:t>
      </w:r>
      <w:proofErr w:type="gramEnd"/>
      <w:r w:rsidR="00E53CB9">
        <w:t xml:space="preserve"> has no </w:t>
      </w:r>
      <w:r w:rsidR="00361AB7">
        <w:t xml:space="preserve">personal </w:t>
      </w:r>
      <w:r w:rsidR="00E53CB9">
        <w:t xml:space="preserve">knowledge of </w:t>
      </w:r>
      <w:r w:rsidR="00361AB7">
        <w:t>the acquisition of the policy (and the purpose thereof) or the sale of the shareholding (and the commercial reasons for the sale)</w:t>
      </w:r>
      <w:r w:rsidR="00E53CB9">
        <w:t xml:space="preserve">. </w:t>
      </w:r>
    </w:p>
    <w:p w14:paraId="0AB890CC" w14:textId="7DFC7B7B" w:rsidR="00B1630E" w:rsidRDefault="00F855C5" w:rsidP="00F855C5">
      <w:pPr>
        <w:pStyle w:val="LEVEL20"/>
        <w:numPr>
          <w:ilvl w:val="0"/>
          <w:numId w:val="0"/>
        </w:numPr>
        <w:ind w:left="851" w:hanging="851"/>
      </w:pPr>
      <w:r>
        <w:t>[24]</w:t>
      </w:r>
      <w:r>
        <w:tab/>
      </w:r>
      <w:r w:rsidR="00E53CB9">
        <w:t xml:space="preserve">In the founding </w:t>
      </w:r>
      <w:r w:rsidR="00361AB7">
        <w:t xml:space="preserve">and supplementary founding </w:t>
      </w:r>
      <w:r w:rsidR="00E53CB9">
        <w:t>affidavit</w:t>
      </w:r>
      <w:r w:rsidR="00361AB7">
        <w:t>s</w:t>
      </w:r>
      <w:r w:rsidR="00E53CB9">
        <w:t xml:space="preserve"> he makes </w:t>
      </w:r>
      <w:r w:rsidR="003B677D">
        <w:t>several</w:t>
      </w:r>
      <w:r w:rsidR="00E53CB9">
        <w:t xml:space="preserve"> assertion</w:t>
      </w:r>
      <w:r w:rsidR="00361AB7">
        <w:t>s</w:t>
      </w:r>
      <w:r w:rsidR="00E53CB9">
        <w:t xml:space="preserve"> </w:t>
      </w:r>
      <w:r w:rsidR="003B677D">
        <w:t>that</w:t>
      </w:r>
      <w:r w:rsidR="00E53CB9">
        <w:t xml:space="preserve"> the applicant contends </w:t>
      </w:r>
      <w:r w:rsidR="003B677D">
        <w:t>are</w:t>
      </w:r>
      <w:r w:rsidR="00E53CB9">
        <w:t xml:space="preserve"> admissible inferences, while the </w:t>
      </w:r>
      <w:r w:rsidR="00361AB7">
        <w:t xml:space="preserve">sixth and ninth </w:t>
      </w:r>
      <w:r w:rsidR="00E53CB9">
        <w:t xml:space="preserve">respondents contend </w:t>
      </w:r>
      <w:r w:rsidR="00361AB7">
        <w:t xml:space="preserve">these statements are </w:t>
      </w:r>
      <w:r w:rsidR="00E53CB9">
        <w:t>mere speculation.</w:t>
      </w:r>
      <w:r w:rsidR="00A12130">
        <w:t xml:space="preserve"> </w:t>
      </w:r>
      <w:r w:rsidR="00B1630E">
        <w:t>Over and above the common cause facts referred to above, Vivian</w:t>
      </w:r>
      <w:r w:rsidR="00A12130">
        <w:t xml:space="preserve"> gave the following evidence.</w:t>
      </w:r>
    </w:p>
    <w:p w14:paraId="1DC81242" w14:textId="4399CA8E" w:rsidR="00562DF6" w:rsidRDefault="00F855C5" w:rsidP="00F855C5">
      <w:pPr>
        <w:pStyle w:val="LEVEL20"/>
        <w:numPr>
          <w:ilvl w:val="0"/>
          <w:numId w:val="0"/>
        </w:numPr>
        <w:ind w:left="851" w:hanging="851"/>
      </w:pPr>
      <w:r>
        <w:t>[25]</w:t>
      </w:r>
      <w:r>
        <w:tab/>
      </w:r>
      <w:r w:rsidR="00A532C4">
        <w:t>Vivian</w:t>
      </w:r>
      <w:r w:rsidR="00E53CB9">
        <w:t xml:space="preserve"> </w:t>
      </w:r>
      <w:r w:rsidR="00CC4AD4">
        <w:t xml:space="preserve">says </w:t>
      </w:r>
      <w:r w:rsidR="00E53CB9">
        <w:t xml:space="preserve">that </w:t>
      </w:r>
      <w:r w:rsidR="00361AB7">
        <w:t>his research</w:t>
      </w:r>
      <w:r w:rsidR="008C7139">
        <w:t xml:space="preserve"> (which commenced in 2011)</w:t>
      </w:r>
      <w:r w:rsidR="00361AB7">
        <w:t xml:space="preserve"> revealed that </w:t>
      </w:r>
      <w:r w:rsidR="00F457D4">
        <w:t xml:space="preserve">Mr </w:t>
      </w:r>
      <w:r w:rsidR="00F457D4">
        <w:lastRenderedPageBreak/>
        <w:t xml:space="preserve">Robert </w:t>
      </w:r>
      <w:proofErr w:type="spellStart"/>
      <w:r w:rsidR="00F457D4">
        <w:t>Skok</w:t>
      </w:r>
      <w:proofErr w:type="spellEnd"/>
      <w:r w:rsidR="00F457D4">
        <w:t xml:space="preserve"> controlled the company and managed it for his sole benefit and that the company held its assets </w:t>
      </w:r>
      <w:r w:rsidR="004968DE" w:rsidRPr="004968DE">
        <w:t>“</w:t>
      </w:r>
      <w:r w:rsidR="00F457D4" w:rsidRPr="004968DE">
        <w:t xml:space="preserve">on behalf of </w:t>
      </w:r>
      <w:r w:rsidR="004968DE" w:rsidRPr="004968DE">
        <w:t xml:space="preserve">Mr </w:t>
      </w:r>
      <w:proofErr w:type="spellStart"/>
      <w:r w:rsidR="004968DE" w:rsidRPr="004968DE">
        <w:t>Skok</w:t>
      </w:r>
      <w:proofErr w:type="spellEnd"/>
      <w:r w:rsidR="004968DE" w:rsidRPr="004968DE">
        <w:t>”</w:t>
      </w:r>
      <w:r w:rsidR="004968DE">
        <w:t>.</w:t>
      </w:r>
    </w:p>
    <w:p w14:paraId="51C414D2" w14:textId="4A052CF0" w:rsidR="00562DF6" w:rsidRDefault="00F855C5" w:rsidP="00F855C5">
      <w:pPr>
        <w:pStyle w:val="LEVEL20"/>
        <w:numPr>
          <w:ilvl w:val="0"/>
          <w:numId w:val="0"/>
        </w:numPr>
        <w:ind w:left="851" w:hanging="851"/>
      </w:pPr>
      <w:r>
        <w:t>[26]</w:t>
      </w:r>
      <w:r>
        <w:tab/>
      </w:r>
      <w:r w:rsidR="00A532C4">
        <w:t>Vivian</w:t>
      </w:r>
      <w:r w:rsidR="004968DE">
        <w:t xml:space="preserve"> assumes that </w:t>
      </w:r>
      <w:r w:rsidR="00F97E91">
        <w:t xml:space="preserve">one of the benefits of the policy “may have been” to defer the payment of income tax. </w:t>
      </w:r>
      <w:r w:rsidR="00A532C4">
        <w:t>Vivian</w:t>
      </w:r>
      <w:r w:rsidR="00F97E91">
        <w:t xml:space="preserve"> </w:t>
      </w:r>
      <w:r w:rsidR="00F36737">
        <w:t xml:space="preserve">further </w:t>
      </w:r>
      <w:r w:rsidR="00F97E91">
        <w:t xml:space="preserve">assumes (“my assumption”) that the premium is </w:t>
      </w:r>
      <w:r w:rsidR="00B50217">
        <w:t>removed</w:t>
      </w:r>
      <w:r w:rsidR="00F97E91">
        <w:t xml:space="preserve"> from the company’s annual income and no tax becomes payable for the year 1981. </w:t>
      </w:r>
    </w:p>
    <w:p w14:paraId="6545C1C5" w14:textId="67D0A2DF" w:rsidR="00CC4AD4" w:rsidRDefault="00F855C5" w:rsidP="00F855C5">
      <w:pPr>
        <w:pStyle w:val="LEVEL20"/>
        <w:numPr>
          <w:ilvl w:val="0"/>
          <w:numId w:val="0"/>
        </w:numPr>
        <w:ind w:left="851" w:hanging="851"/>
      </w:pPr>
      <w:r>
        <w:t>[27]</w:t>
      </w:r>
      <w:r>
        <w:tab/>
      </w:r>
      <w:r w:rsidR="00A532C4">
        <w:t>Vivian</w:t>
      </w:r>
      <w:r w:rsidR="009D0816">
        <w:t xml:space="preserve"> </w:t>
      </w:r>
      <w:r w:rsidR="00F36737">
        <w:t xml:space="preserve">points out </w:t>
      </w:r>
      <w:r w:rsidR="009D0816">
        <w:t xml:space="preserve">that Robert </w:t>
      </w:r>
      <w:proofErr w:type="spellStart"/>
      <w:r w:rsidR="009D0816">
        <w:t>Skok</w:t>
      </w:r>
      <w:proofErr w:type="spellEnd"/>
      <w:r w:rsidR="009D0816">
        <w:t xml:space="preserve"> could have excluded the policy from the sale transaction, for example by surrendering the policy in terms of a clause in the policy whereafter it could have been distributed by way of dividends to the sole shareholder (being himself). </w:t>
      </w:r>
    </w:p>
    <w:p w14:paraId="45473BF4" w14:textId="6C71E0F9" w:rsidR="009D0816" w:rsidRDefault="00F855C5" w:rsidP="00F855C5">
      <w:pPr>
        <w:pStyle w:val="LEVEL20"/>
        <w:numPr>
          <w:ilvl w:val="0"/>
          <w:numId w:val="0"/>
        </w:numPr>
        <w:ind w:left="851" w:hanging="851"/>
      </w:pPr>
      <w:r>
        <w:t>[28]</w:t>
      </w:r>
      <w:r>
        <w:tab/>
      </w:r>
      <w:r w:rsidR="009D0816">
        <w:t xml:space="preserve">It is also stated that the late Mr </w:t>
      </w:r>
      <w:proofErr w:type="spellStart"/>
      <w:r w:rsidR="009D0816">
        <w:t>Skok</w:t>
      </w:r>
      <w:proofErr w:type="spellEnd"/>
      <w:r w:rsidR="009D0816">
        <w:t xml:space="preserve"> may have forgotten about the policy when he sold his shares.</w:t>
      </w:r>
      <w:r w:rsidR="00F36737">
        <w:t xml:space="preserve"> </w:t>
      </w:r>
      <w:r w:rsidR="009D0816">
        <w:t xml:space="preserve">The sixth and ninth respondents agree in the supplementary answering affidavit that “this is the likely scenario.” </w:t>
      </w:r>
    </w:p>
    <w:p w14:paraId="5F596F0D" w14:textId="6E52757B" w:rsidR="00A532C4" w:rsidRDefault="00F855C5" w:rsidP="00F855C5">
      <w:pPr>
        <w:pStyle w:val="LEVEL20"/>
        <w:numPr>
          <w:ilvl w:val="0"/>
          <w:numId w:val="0"/>
        </w:numPr>
        <w:ind w:left="851" w:hanging="851"/>
      </w:pPr>
      <w:r>
        <w:t>[29]</w:t>
      </w:r>
      <w:r>
        <w:tab/>
      </w:r>
      <w:r w:rsidR="00A532C4">
        <w:t xml:space="preserve">Vivian gives hearsay evidence of what a certain Mr Erasmus told him. Mr Erasmus was the managing director of Robert </w:t>
      </w:r>
      <w:proofErr w:type="spellStart"/>
      <w:r w:rsidR="00A532C4">
        <w:t>Skok</w:t>
      </w:r>
      <w:proofErr w:type="spellEnd"/>
      <w:r w:rsidR="00A532C4">
        <w:t xml:space="preserve"> &amp; Sons at the time it was acquired by Prem-Pharm. Mr Erasmus informed Vivian that Robert </w:t>
      </w:r>
      <w:proofErr w:type="spellStart"/>
      <w:r w:rsidR="00A532C4">
        <w:t>Skok</w:t>
      </w:r>
      <w:proofErr w:type="spellEnd"/>
      <w:r w:rsidR="00A532C4">
        <w:t xml:space="preserve"> &amp; Sons was acquired “for the specific and sole purpose of housing [a newly formed business]”.</w:t>
      </w:r>
    </w:p>
    <w:p w14:paraId="1661CC4A" w14:textId="7795491A" w:rsidR="009D0816" w:rsidRPr="009D0816" w:rsidRDefault="009D0816" w:rsidP="009D0816">
      <w:pPr>
        <w:pStyle w:val="LEVEL20"/>
        <w:numPr>
          <w:ilvl w:val="0"/>
          <w:numId w:val="0"/>
        </w:numPr>
        <w:rPr>
          <w:b/>
          <w:bCs/>
        </w:rPr>
      </w:pPr>
      <w:r w:rsidRPr="009D0816">
        <w:rPr>
          <w:b/>
          <w:bCs/>
        </w:rPr>
        <w:t>APPLICANT’S DEPONENT’S OPINIONS/CONCLUSIONS</w:t>
      </w:r>
    </w:p>
    <w:p w14:paraId="1CFB102F" w14:textId="3741B1E5" w:rsidR="009D0816" w:rsidRDefault="00F855C5" w:rsidP="00F855C5">
      <w:pPr>
        <w:pStyle w:val="LEVEL20"/>
        <w:numPr>
          <w:ilvl w:val="0"/>
          <w:numId w:val="0"/>
        </w:numPr>
        <w:ind w:left="851" w:hanging="851"/>
      </w:pPr>
      <w:r>
        <w:t>[30]</w:t>
      </w:r>
      <w:r>
        <w:tab/>
      </w:r>
      <w:r w:rsidR="00A532C4">
        <w:t>Vivian</w:t>
      </w:r>
      <w:r w:rsidR="009D0816">
        <w:t xml:space="preserve"> draws </w:t>
      </w:r>
      <w:proofErr w:type="gramStart"/>
      <w:r w:rsidR="009D0816">
        <w:t>a number of</w:t>
      </w:r>
      <w:proofErr w:type="gramEnd"/>
      <w:r w:rsidR="009D0816">
        <w:t xml:space="preserve"> conclusions in his affidavits. </w:t>
      </w:r>
    </w:p>
    <w:p w14:paraId="0A6C55E1" w14:textId="58AE7169" w:rsidR="004968DE" w:rsidRDefault="00F855C5" w:rsidP="00F855C5">
      <w:pPr>
        <w:pStyle w:val="LEVEL20"/>
        <w:numPr>
          <w:ilvl w:val="0"/>
          <w:numId w:val="0"/>
        </w:numPr>
        <w:ind w:left="851" w:hanging="851"/>
      </w:pPr>
      <w:r>
        <w:lastRenderedPageBreak/>
        <w:t>[31]</w:t>
      </w:r>
      <w:r>
        <w:tab/>
      </w:r>
      <w:r w:rsidR="00A532C4">
        <w:t>Vivian</w:t>
      </w:r>
      <w:r w:rsidR="004968DE">
        <w:t xml:space="preserve"> makes the following statement:</w:t>
      </w:r>
    </w:p>
    <w:p w14:paraId="67EB9D84" w14:textId="22ABBC8D" w:rsidR="004968DE" w:rsidRDefault="004968DE" w:rsidP="004968DE">
      <w:pPr>
        <w:pStyle w:val="quotation1"/>
      </w:pPr>
      <w:r>
        <w:t xml:space="preserve">“From what I have been able to ascertain, the sole purpose of </w:t>
      </w:r>
      <w:r w:rsidR="00F2199B">
        <w:t>Prem-</w:t>
      </w:r>
      <w:proofErr w:type="spellStart"/>
      <w:r w:rsidR="00F2199B">
        <w:t>Pharm</w:t>
      </w:r>
      <w:r w:rsidR="00985816">
        <w:t>’s</w:t>
      </w:r>
      <w:proofErr w:type="spellEnd"/>
      <w:r>
        <w:t xml:space="preserve"> </w:t>
      </w:r>
      <w:r w:rsidR="00F97E91">
        <w:t xml:space="preserve">acquisition </w:t>
      </w:r>
      <w:r w:rsidR="009C2199">
        <w:t xml:space="preserve">of the shares in Robert </w:t>
      </w:r>
      <w:proofErr w:type="spellStart"/>
      <w:r w:rsidR="009C2199">
        <w:t>Skok</w:t>
      </w:r>
      <w:proofErr w:type="spellEnd"/>
      <w:r w:rsidR="009C2199">
        <w:t xml:space="preserve"> &amp; Sons, was directed at </w:t>
      </w:r>
      <w:r w:rsidR="00F97E91">
        <w:t>ac</w:t>
      </w:r>
      <w:r w:rsidR="009C2199">
        <w:t>quiring access to assets which vested in the company.  These assets excluded the policy or any of the proceeds payable in terms thereof.”</w:t>
      </w:r>
    </w:p>
    <w:p w14:paraId="39BA5DB0" w14:textId="5746F83F" w:rsidR="00976BD5" w:rsidRDefault="00F855C5" w:rsidP="00F855C5">
      <w:pPr>
        <w:pStyle w:val="LEVEL20"/>
        <w:numPr>
          <w:ilvl w:val="0"/>
          <w:numId w:val="0"/>
        </w:numPr>
        <w:ind w:left="851" w:hanging="851"/>
      </w:pPr>
      <w:r>
        <w:t>[32]</w:t>
      </w:r>
      <w:r>
        <w:tab/>
      </w:r>
      <w:r w:rsidR="00A532C4">
        <w:t>Vivian</w:t>
      </w:r>
      <w:r w:rsidR="00976BD5">
        <w:t xml:space="preserve"> </w:t>
      </w:r>
      <w:r w:rsidR="00CC4AD4">
        <w:t>continues</w:t>
      </w:r>
      <w:r w:rsidR="00493D32">
        <w:t>:</w:t>
      </w:r>
    </w:p>
    <w:p w14:paraId="5B2F6FF5" w14:textId="129A698C" w:rsidR="00493D32" w:rsidRDefault="00493D32" w:rsidP="00493D32">
      <w:pPr>
        <w:pStyle w:val="quotation1"/>
      </w:pPr>
      <w:r>
        <w:t xml:space="preserve">“As explained, it was never the intention of </w:t>
      </w:r>
      <w:r w:rsidR="00F2199B">
        <w:t>Prem-Pharm</w:t>
      </w:r>
      <w:r>
        <w:t xml:space="preserve">, Adcock Ingram, or for that matter Robert </w:t>
      </w:r>
      <w:proofErr w:type="spellStart"/>
      <w:r>
        <w:t>Skok</w:t>
      </w:r>
      <w:proofErr w:type="spellEnd"/>
      <w:r>
        <w:t xml:space="preserve">, that the proceeds </w:t>
      </w:r>
      <w:r w:rsidR="00FA66FD">
        <w:t>or benefits payable in terms of the policy should form part and parce</w:t>
      </w:r>
      <w:r w:rsidR="00AC1440">
        <w:t>l</w:t>
      </w:r>
      <w:r w:rsidR="00FA66FD">
        <w:t xml:space="preserve"> of </w:t>
      </w:r>
      <w:r w:rsidR="00F2199B">
        <w:t>Prem-</w:t>
      </w:r>
      <w:proofErr w:type="spellStart"/>
      <w:r w:rsidR="00F2199B">
        <w:t>Pharm</w:t>
      </w:r>
      <w:r w:rsidR="00FA66FD">
        <w:t>’s</w:t>
      </w:r>
      <w:proofErr w:type="spellEnd"/>
      <w:r w:rsidR="00FA66FD">
        <w:t xml:space="preserve"> acquisition of the shares in Robert </w:t>
      </w:r>
      <w:proofErr w:type="spellStart"/>
      <w:r w:rsidR="00FA66FD">
        <w:t>Skok</w:t>
      </w:r>
      <w:proofErr w:type="spellEnd"/>
      <w:r w:rsidR="00FA66FD">
        <w:t xml:space="preserve"> &amp; Sons.”</w:t>
      </w:r>
    </w:p>
    <w:p w14:paraId="70314E30" w14:textId="263EEE41" w:rsidR="00CC4AD4" w:rsidRDefault="00F855C5" w:rsidP="00F855C5">
      <w:pPr>
        <w:pStyle w:val="LEVEL20"/>
        <w:numPr>
          <w:ilvl w:val="0"/>
          <w:numId w:val="0"/>
        </w:numPr>
        <w:ind w:left="851" w:hanging="851"/>
      </w:pPr>
      <w:r>
        <w:t>[33]</w:t>
      </w:r>
      <w:r>
        <w:tab/>
      </w:r>
      <w:r w:rsidR="00A532C4">
        <w:t>Vivian</w:t>
      </w:r>
      <w:r w:rsidR="00CC4AD4">
        <w:t xml:space="preserve">’s </w:t>
      </w:r>
      <w:proofErr w:type="gramStart"/>
      <w:r w:rsidR="00CC4AD4">
        <w:t>ultimate conclusion</w:t>
      </w:r>
      <w:proofErr w:type="gramEnd"/>
      <w:r w:rsidR="00CC4AD4">
        <w:t xml:space="preserve"> is the following:</w:t>
      </w:r>
    </w:p>
    <w:p w14:paraId="2E917582" w14:textId="3E462F0F" w:rsidR="00CC4AD4" w:rsidRDefault="00CC4AD4" w:rsidP="00CC4AD4">
      <w:pPr>
        <w:pStyle w:val="quotation1"/>
      </w:pPr>
      <w:r>
        <w:t>“I am advised, which advice I accept, that has the officious bystander,</w:t>
      </w:r>
      <w:r w:rsidR="00411384">
        <w:rPr>
          <w:rStyle w:val="FootnoteReference"/>
        </w:rPr>
        <w:footnoteReference w:id="3"/>
      </w:r>
      <w:r>
        <w:t xml:space="preserve"> at the time, raised the question whether the policy forms an integral part of the sale of shares transaction, both Robert </w:t>
      </w:r>
      <w:proofErr w:type="spellStart"/>
      <w:r>
        <w:t>Skok</w:t>
      </w:r>
      <w:proofErr w:type="spellEnd"/>
      <w:r>
        <w:t xml:space="preserve"> at Prem-Pharm would have confirmed that the policy and its proceeds are to </w:t>
      </w:r>
      <w:r w:rsidR="00FF1A07">
        <w:t xml:space="preserve">be </w:t>
      </w:r>
      <w:r>
        <w:t>excluded.”</w:t>
      </w:r>
    </w:p>
    <w:p w14:paraId="38D83C97" w14:textId="5B354903" w:rsidR="00AE5EF8" w:rsidRDefault="00F855C5" w:rsidP="00F855C5">
      <w:pPr>
        <w:pStyle w:val="LEVEL20"/>
        <w:numPr>
          <w:ilvl w:val="0"/>
          <w:numId w:val="0"/>
        </w:numPr>
        <w:ind w:left="851" w:hanging="851"/>
      </w:pPr>
      <w:r>
        <w:t>[34]</w:t>
      </w:r>
      <w:r>
        <w:tab/>
      </w:r>
      <w:r w:rsidR="00CC4AD4">
        <w:t xml:space="preserve">These “conclusions” are </w:t>
      </w:r>
      <w:r w:rsidR="00A532C4">
        <w:t>Vivian</w:t>
      </w:r>
      <w:r w:rsidR="00CC4AD4">
        <w:t xml:space="preserve">’s opinions on matters which the court is called upon to </w:t>
      </w:r>
      <w:r w:rsidR="00F36737">
        <w:t>rule on</w:t>
      </w:r>
      <w:r w:rsidR="00CC4AD4">
        <w:t>. Whether these conclusions or opinions are justified is dealt with below.</w:t>
      </w:r>
    </w:p>
    <w:p w14:paraId="122D2EE6" w14:textId="6A6CF868" w:rsidR="00A12130" w:rsidRDefault="00A12130" w:rsidP="00A12130">
      <w:pPr>
        <w:pStyle w:val="LEVEL20"/>
        <w:numPr>
          <w:ilvl w:val="0"/>
          <w:numId w:val="0"/>
        </w:numPr>
        <w:ind w:left="851" w:hanging="851"/>
      </w:pPr>
    </w:p>
    <w:p w14:paraId="7182993A" w14:textId="77777777" w:rsidR="00A12130" w:rsidRDefault="00A12130" w:rsidP="00A12130">
      <w:pPr>
        <w:pStyle w:val="LEVEL20"/>
        <w:numPr>
          <w:ilvl w:val="0"/>
          <w:numId w:val="0"/>
        </w:numPr>
        <w:ind w:left="851" w:hanging="851"/>
      </w:pPr>
    </w:p>
    <w:p w14:paraId="3D8BD7A0" w14:textId="0F365D7D" w:rsidR="004968DE" w:rsidRDefault="00FF2BDE" w:rsidP="00FF2BDE">
      <w:pPr>
        <w:pStyle w:val="Heading1"/>
      </w:pPr>
      <w:r>
        <w:lastRenderedPageBreak/>
        <w:t>DISCUSSION</w:t>
      </w:r>
    </w:p>
    <w:p w14:paraId="23F64A57" w14:textId="6F568888" w:rsidR="007B47C2" w:rsidRPr="007B47C2" w:rsidRDefault="007B47C2" w:rsidP="007B47C2">
      <w:pPr>
        <w:pStyle w:val="LEVEL20"/>
        <w:numPr>
          <w:ilvl w:val="0"/>
          <w:numId w:val="0"/>
        </w:numPr>
        <w:ind w:left="851" w:hanging="851"/>
        <w:rPr>
          <w:i/>
          <w:iCs/>
        </w:rPr>
      </w:pPr>
      <w:r>
        <w:rPr>
          <w:i/>
          <w:iCs/>
        </w:rPr>
        <w:t xml:space="preserve">Company </w:t>
      </w:r>
      <w:r w:rsidR="00B50217">
        <w:rPr>
          <w:i/>
          <w:iCs/>
        </w:rPr>
        <w:t xml:space="preserve">a </w:t>
      </w:r>
      <w:r>
        <w:rPr>
          <w:i/>
          <w:iCs/>
        </w:rPr>
        <w:t>distinct legal entity</w:t>
      </w:r>
    </w:p>
    <w:p w14:paraId="3A8EC1B3" w14:textId="2D20B7BB" w:rsidR="007B47C2" w:rsidRPr="00895A73" w:rsidRDefault="00F855C5" w:rsidP="00F855C5">
      <w:pPr>
        <w:pStyle w:val="LEVEL20"/>
        <w:numPr>
          <w:ilvl w:val="0"/>
          <w:numId w:val="0"/>
        </w:numPr>
        <w:ind w:left="851" w:hanging="851"/>
      </w:pPr>
      <w:r w:rsidRPr="00895A73">
        <w:t>[35]</w:t>
      </w:r>
      <w:r w:rsidRPr="00895A73">
        <w:tab/>
      </w:r>
      <w:r w:rsidR="007B47C2" w:rsidRPr="00461FEE">
        <w:rPr>
          <w:rFonts w:cs="Arial"/>
          <w:szCs w:val="24"/>
          <w:shd w:val="clear" w:color="auto" w:fill="FFFFFF"/>
        </w:rPr>
        <w:t>It is trite that a company is a legal entity distinct from its shareholders. It has rights and liabilities of its own, separate from those of its shareholders. Its property is its own and not that of its shareholders.  This follows from the separate legal existence with which a company is by statute endowed.</w:t>
      </w:r>
      <w:r w:rsidR="00F36737" w:rsidRPr="00F36737">
        <w:rPr>
          <w:rStyle w:val="FootnoteReference"/>
        </w:rPr>
        <w:t xml:space="preserve"> </w:t>
      </w:r>
      <w:r w:rsidR="00F36737">
        <w:rPr>
          <w:rStyle w:val="FootnoteReference"/>
        </w:rPr>
        <w:footnoteReference w:id="4"/>
      </w:r>
      <w:r w:rsidR="007B47C2" w:rsidRPr="00461FEE">
        <w:rPr>
          <w:rFonts w:ascii="Verdana" w:hAnsi="Verdana"/>
          <w:sz w:val="26"/>
          <w:szCs w:val="26"/>
          <w:shd w:val="clear" w:color="auto" w:fill="FFFFFF"/>
        </w:rPr>
        <w:t xml:space="preserve"> </w:t>
      </w:r>
      <w:r w:rsidR="007B47C2">
        <w:rPr>
          <w:rFonts w:ascii="Verdana" w:hAnsi="Verdana"/>
          <w:color w:val="2C3E50"/>
          <w:sz w:val="26"/>
          <w:szCs w:val="26"/>
          <w:shd w:val="clear" w:color="auto" w:fill="FFFFFF"/>
        </w:rPr>
        <w:t xml:space="preserve"> </w:t>
      </w:r>
      <w:r w:rsidR="007B47C2" w:rsidRPr="00461FEE">
        <w:rPr>
          <w:rFonts w:cs="Arial"/>
          <w:szCs w:val="24"/>
          <w:shd w:val="clear" w:color="auto" w:fill="FFFFFF"/>
        </w:rPr>
        <w:t>This principle applies even if the company in question has only one shareholder</w:t>
      </w:r>
      <w:r w:rsidR="007B47C2">
        <w:rPr>
          <w:rFonts w:cs="Arial"/>
          <w:szCs w:val="24"/>
          <w:shd w:val="clear" w:color="auto" w:fill="FFFFFF"/>
        </w:rPr>
        <w:t>.</w:t>
      </w:r>
      <w:r w:rsidR="00F36737">
        <w:rPr>
          <w:rStyle w:val="FootnoteReference"/>
          <w:rFonts w:cs="Arial"/>
          <w:szCs w:val="24"/>
          <w:shd w:val="clear" w:color="auto" w:fill="FFFFFF"/>
        </w:rPr>
        <w:footnoteReference w:id="5"/>
      </w:r>
    </w:p>
    <w:p w14:paraId="3CEE29D1" w14:textId="4FFCB7B7" w:rsidR="00895A73" w:rsidRDefault="00F855C5" w:rsidP="00F855C5">
      <w:pPr>
        <w:pStyle w:val="LEVEL20"/>
        <w:numPr>
          <w:ilvl w:val="0"/>
          <w:numId w:val="0"/>
        </w:numPr>
        <w:ind w:left="851" w:hanging="851"/>
      </w:pPr>
      <w:r>
        <w:t>[36]</w:t>
      </w:r>
      <w:r>
        <w:tab/>
      </w:r>
      <w:r w:rsidR="00A532C4">
        <w:t>Vivian</w:t>
      </w:r>
      <w:r w:rsidR="00895A73">
        <w:t xml:space="preserve">’s statement that the late Mr Robert </w:t>
      </w:r>
      <w:proofErr w:type="spellStart"/>
      <w:r w:rsidR="00895A73">
        <w:t>Skok</w:t>
      </w:r>
      <w:proofErr w:type="spellEnd"/>
      <w:r w:rsidR="00895A73">
        <w:t xml:space="preserve"> was the only shareholder in the company</w:t>
      </w:r>
      <w:r w:rsidR="003B677D">
        <w:t>,</w:t>
      </w:r>
      <w:r w:rsidR="00895A73">
        <w:t xml:space="preserve"> that he may have controlled the company and managed it for his sole benefit and that the company held its assets on behalf of Mr </w:t>
      </w:r>
      <w:proofErr w:type="spellStart"/>
      <w:r w:rsidR="00895A73">
        <w:t>Skok</w:t>
      </w:r>
      <w:proofErr w:type="spellEnd"/>
      <w:r w:rsidR="00895A73">
        <w:t xml:space="preserve"> is therefore legally </w:t>
      </w:r>
      <w:r w:rsidR="00B50217">
        <w:t>untenable</w:t>
      </w:r>
      <w:r w:rsidR="00A53A31">
        <w:t xml:space="preserve">. </w:t>
      </w:r>
      <w:r w:rsidR="00B50217">
        <w:t xml:space="preserve"> </w:t>
      </w:r>
    </w:p>
    <w:p w14:paraId="64D30907" w14:textId="41DCD5A3" w:rsidR="007B47C2" w:rsidRDefault="00F855C5" w:rsidP="00F855C5">
      <w:pPr>
        <w:pStyle w:val="LEVEL20"/>
        <w:numPr>
          <w:ilvl w:val="0"/>
          <w:numId w:val="0"/>
        </w:numPr>
        <w:ind w:left="851" w:hanging="851"/>
      </w:pPr>
      <w:r>
        <w:t>[37]</w:t>
      </w:r>
      <w:r>
        <w:tab/>
      </w:r>
      <w:r w:rsidR="007B47C2">
        <w:t xml:space="preserve">The starting point is that it </w:t>
      </w:r>
      <w:r w:rsidR="00895A73">
        <w:t xml:space="preserve">was </w:t>
      </w:r>
      <w:r w:rsidR="007B47C2">
        <w:t>t</w:t>
      </w:r>
      <w:r w:rsidR="00461FEE">
        <w:t>he shares that were sold (by the shareholder) and not the underlying assets that were sold (by the company)</w:t>
      </w:r>
      <w:r w:rsidR="007B47C2">
        <w:t xml:space="preserve">. It must be accepted that as things now stand Robert </w:t>
      </w:r>
      <w:proofErr w:type="spellStart"/>
      <w:r w:rsidR="007B47C2">
        <w:t>Skok</w:t>
      </w:r>
      <w:proofErr w:type="spellEnd"/>
      <w:r w:rsidR="007B47C2">
        <w:t xml:space="preserve"> &amp; Sons is entitled to the proceeds of the policy. </w:t>
      </w:r>
      <w:r w:rsidR="00A53A31">
        <w:t>Before and after the sale of shares t</w:t>
      </w:r>
      <w:r w:rsidR="007B47C2">
        <w:t>he proceeds</w:t>
      </w:r>
      <w:r w:rsidR="00A53A31">
        <w:t xml:space="preserve"> of the </w:t>
      </w:r>
      <w:proofErr w:type="gramStart"/>
      <w:r w:rsidR="00A53A31">
        <w:t xml:space="preserve">policy </w:t>
      </w:r>
      <w:r w:rsidR="007B47C2">
        <w:t xml:space="preserve"> formed</w:t>
      </w:r>
      <w:proofErr w:type="gramEnd"/>
      <w:r w:rsidR="007B47C2">
        <w:t xml:space="preserve"> part of the assets of Robert </w:t>
      </w:r>
      <w:proofErr w:type="spellStart"/>
      <w:r w:rsidR="007B47C2">
        <w:t>Skok</w:t>
      </w:r>
      <w:proofErr w:type="spellEnd"/>
      <w:r w:rsidR="007B47C2">
        <w:t xml:space="preserve"> &amp; Sons. The proceeds never were the assets of any of the shareholders of Robert </w:t>
      </w:r>
      <w:proofErr w:type="spellStart"/>
      <w:r w:rsidR="007B47C2">
        <w:t>Skok</w:t>
      </w:r>
      <w:proofErr w:type="spellEnd"/>
      <w:r w:rsidR="007B47C2">
        <w:t xml:space="preserve"> &amp; Sons.</w:t>
      </w:r>
    </w:p>
    <w:p w14:paraId="03C7A847" w14:textId="51D05F17" w:rsidR="007B47C2" w:rsidRDefault="00F855C5" w:rsidP="00F855C5">
      <w:pPr>
        <w:pStyle w:val="LEVEL20"/>
        <w:numPr>
          <w:ilvl w:val="0"/>
          <w:numId w:val="0"/>
        </w:numPr>
        <w:ind w:left="851" w:hanging="851"/>
      </w:pPr>
      <w:r>
        <w:lastRenderedPageBreak/>
        <w:t>[38]</w:t>
      </w:r>
      <w:r>
        <w:tab/>
      </w:r>
      <w:r w:rsidR="007B47C2">
        <w:t xml:space="preserve">The question is therefore not as submitted by the applicant that one should ask whether the </w:t>
      </w:r>
      <w:r w:rsidR="007B47C2" w:rsidRPr="007B47C2">
        <w:rPr>
          <w:i/>
          <w:iCs/>
        </w:rPr>
        <w:t>“policy was to be included as part of the sale”</w:t>
      </w:r>
      <w:r w:rsidR="007B47C2">
        <w:t xml:space="preserve">.  The benefits of </w:t>
      </w:r>
      <w:r w:rsidR="00A53A31">
        <w:t xml:space="preserve">the </w:t>
      </w:r>
      <w:r w:rsidR="007B47C2">
        <w:t xml:space="preserve">policy (an asset of the company) were neither included nor excluded from the sale; only the shares were sold. </w:t>
      </w:r>
    </w:p>
    <w:p w14:paraId="32A7F189" w14:textId="1FBA65AD" w:rsidR="00461FEE" w:rsidRPr="00895A73" w:rsidRDefault="00895A73" w:rsidP="00895A73">
      <w:pPr>
        <w:pStyle w:val="LEVEL20"/>
        <w:numPr>
          <w:ilvl w:val="0"/>
          <w:numId w:val="0"/>
        </w:numPr>
        <w:rPr>
          <w:i/>
          <w:iCs/>
        </w:rPr>
      </w:pPr>
      <w:r>
        <w:rPr>
          <w:i/>
          <w:iCs/>
        </w:rPr>
        <w:t>Can a tacit term be imported?</w:t>
      </w:r>
    </w:p>
    <w:p w14:paraId="27CF0FC3" w14:textId="59594C49" w:rsidR="008E622D" w:rsidRDefault="00F855C5" w:rsidP="00F855C5">
      <w:pPr>
        <w:pStyle w:val="LEVEL20"/>
        <w:numPr>
          <w:ilvl w:val="0"/>
          <w:numId w:val="0"/>
        </w:numPr>
        <w:ind w:left="851" w:hanging="851"/>
      </w:pPr>
      <w:r>
        <w:t>[39]</w:t>
      </w:r>
      <w:r>
        <w:tab/>
      </w:r>
      <w:r w:rsidR="008E622D">
        <w:t xml:space="preserve">A tacit term is an unexpressed provision of a contract which derives from the common intention of the parties, as inferred by the </w:t>
      </w:r>
      <w:r w:rsidR="00A53A31">
        <w:t>c</w:t>
      </w:r>
      <w:r w:rsidR="008E622D">
        <w:t xml:space="preserve">ourt from </w:t>
      </w:r>
      <w:r w:rsidR="00B576C4">
        <w:t>the express terms of the contract and its surrounding circumstances.</w:t>
      </w:r>
      <w:r w:rsidR="00B576C4">
        <w:rPr>
          <w:rStyle w:val="FootnoteReference"/>
        </w:rPr>
        <w:footnoteReference w:id="6"/>
      </w:r>
    </w:p>
    <w:p w14:paraId="1D92C894" w14:textId="501F3C4E" w:rsidR="00943C79" w:rsidRDefault="00F855C5" w:rsidP="00F855C5">
      <w:pPr>
        <w:pStyle w:val="LEVEL20"/>
        <w:numPr>
          <w:ilvl w:val="0"/>
          <w:numId w:val="0"/>
        </w:numPr>
        <w:ind w:left="851" w:hanging="851"/>
      </w:pPr>
      <w:r>
        <w:t>[40]</w:t>
      </w:r>
      <w:r>
        <w:tab/>
      </w:r>
      <w:r w:rsidR="00FA20E9">
        <w:t xml:space="preserve">In my view there </w:t>
      </w:r>
      <w:r w:rsidR="003B677D">
        <w:t>are</w:t>
      </w:r>
      <w:r w:rsidR="00FA20E9">
        <w:t xml:space="preserve"> </w:t>
      </w:r>
      <w:r w:rsidR="003B677D">
        <w:t>a number of</w:t>
      </w:r>
      <w:r w:rsidR="00FA20E9">
        <w:t xml:space="preserve"> reasons why a tacit term </w:t>
      </w:r>
      <w:r w:rsidR="00B50217">
        <w:t xml:space="preserve">as contended for by the applicant </w:t>
      </w:r>
      <w:r w:rsidR="00FA20E9">
        <w:t xml:space="preserve">cannot be imported into the agreement concluded between </w:t>
      </w:r>
      <w:r w:rsidR="00943C79">
        <w:t xml:space="preserve">Mr Robert </w:t>
      </w:r>
      <w:proofErr w:type="spellStart"/>
      <w:r w:rsidR="00943C79">
        <w:t>Skok</w:t>
      </w:r>
      <w:proofErr w:type="spellEnd"/>
      <w:r w:rsidR="00943C79">
        <w:t xml:space="preserve"> and Pharm-Pem</w:t>
      </w:r>
      <w:r w:rsidR="006C2EC2">
        <w:t xml:space="preserve"> and why Vivian’s conclusions or </w:t>
      </w:r>
      <w:proofErr w:type="gramStart"/>
      <w:r w:rsidR="006C2EC2">
        <w:t>opinions  cannot</w:t>
      </w:r>
      <w:proofErr w:type="gramEnd"/>
      <w:r w:rsidR="006C2EC2">
        <w:t xml:space="preserve"> be accepted</w:t>
      </w:r>
      <w:r w:rsidR="00943C79">
        <w:t xml:space="preserve">. </w:t>
      </w:r>
    </w:p>
    <w:p w14:paraId="6C960C7D" w14:textId="7D41607B" w:rsidR="00B50217" w:rsidRDefault="00F855C5" w:rsidP="00F855C5">
      <w:pPr>
        <w:pStyle w:val="LEVEL20"/>
        <w:numPr>
          <w:ilvl w:val="0"/>
          <w:numId w:val="0"/>
        </w:numPr>
        <w:ind w:left="851" w:hanging="851"/>
      </w:pPr>
      <w:r>
        <w:t>[41]</w:t>
      </w:r>
      <w:r>
        <w:tab/>
      </w:r>
      <w:r w:rsidR="00CC4AD4" w:rsidRPr="00CC4AD4">
        <w:rPr>
          <w:i/>
          <w:iCs/>
        </w:rPr>
        <w:t>Firstly</w:t>
      </w:r>
      <w:r w:rsidR="00943C79">
        <w:t xml:space="preserve">: </w:t>
      </w:r>
      <w:r w:rsidR="00B50217">
        <w:t>T</w:t>
      </w:r>
      <w:r w:rsidR="00943C79">
        <w:t>he fact that the express terms of the sale agreement are unknown</w:t>
      </w:r>
      <w:r w:rsidR="00B50217">
        <w:t xml:space="preserve"> poses an insurmountable hurdle for the applicant.</w:t>
      </w:r>
    </w:p>
    <w:p w14:paraId="753D69B4" w14:textId="6F968A37" w:rsidR="004968DE" w:rsidRDefault="00F855C5" w:rsidP="00F855C5">
      <w:pPr>
        <w:pStyle w:val="LEVEL20"/>
        <w:numPr>
          <w:ilvl w:val="0"/>
          <w:numId w:val="0"/>
        </w:numPr>
        <w:ind w:left="851" w:hanging="851"/>
      </w:pPr>
      <w:r>
        <w:t>[42]</w:t>
      </w:r>
      <w:r>
        <w:tab/>
      </w:r>
      <w:r w:rsidR="002546DF">
        <w:t xml:space="preserve">In </w:t>
      </w:r>
      <w:r w:rsidR="002546DF" w:rsidRPr="00786288">
        <w:rPr>
          <w:i/>
          <w:iCs/>
        </w:rPr>
        <w:t xml:space="preserve">Pan American World Airways Inc v SA Fire </w:t>
      </w:r>
      <w:r w:rsidR="006337FA" w:rsidRPr="00786288">
        <w:rPr>
          <w:i/>
          <w:iCs/>
        </w:rPr>
        <w:t>and Accident Insurance Co Ltd</w:t>
      </w:r>
      <w:r w:rsidR="006337FA">
        <w:rPr>
          <w:rStyle w:val="FootnoteReference"/>
        </w:rPr>
        <w:footnoteReference w:id="7"/>
      </w:r>
      <w:r w:rsidR="00786288">
        <w:t xml:space="preserve"> </w:t>
      </w:r>
      <w:proofErr w:type="spellStart"/>
      <w:r w:rsidR="00786288">
        <w:t>Rumpff</w:t>
      </w:r>
      <w:proofErr w:type="spellEnd"/>
      <w:r w:rsidR="00786288">
        <w:t xml:space="preserve"> JA held:</w:t>
      </w:r>
    </w:p>
    <w:p w14:paraId="0B859A62" w14:textId="7AFC20C2" w:rsidR="00786288" w:rsidRPr="00E169C7" w:rsidRDefault="00786288" w:rsidP="00786288">
      <w:pPr>
        <w:pStyle w:val="quotation1"/>
        <w:rPr>
          <w:i w:val="0"/>
          <w:iCs w:val="0"/>
        </w:rPr>
      </w:pPr>
      <w:r>
        <w:t xml:space="preserve">“When dealing with the problem of an implied term </w:t>
      </w:r>
      <w:r w:rsidR="00E169C7">
        <w:t xml:space="preserve">the first enquiry is, of course, whether, regard being had to the express terms of the </w:t>
      </w:r>
      <w:r w:rsidR="006C2EC2">
        <w:lastRenderedPageBreak/>
        <w:t>A</w:t>
      </w:r>
      <w:r w:rsidR="00E169C7">
        <w:t xml:space="preserve">greement, </w:t>
      </w:r>
      <w:r w:rsidR="006C2EC2">
        <w:t xml:space="preserve">there </w:t>
      </w:r>
      <w:proofErr w:type="gramStart"/>
      <w:r w:rsidR="006C2EC2">
        <w:t xml:space="preserve">is </w:t>
      </w:r>
      <w:r w:rsidR="00E169C7">
        <w:t xml:space="preserve"> any</w:t>
      </w:r>
      <w:proofErr w:type="gramEnd"/>
      <w:r w:rsidR="00E169C7">
        <w:t xml:space="preserve"> room for importing the alleged implied term.”</w:t>
      </w:r>
      <w:r w:rsidR="00E169C7">
        <w:rPr>
          <w:rStyle w:val="FootnoteReference"/>
        </w:rPr>
        <w:footnoteReference w:id="8"/>
      </w:r>
    </w:p>
    <w:p w14:paraId="690122FE" w14:textId="7C7A0173" w:rsidR="00943C79" w:rsidRDefault="00F855C5" w:rsidP="00F855C5">
      <w:pPr>
        <w:pStyle w:val="LEVEL20"/>
        <w:numPr>
          <w:ilvl w:val="0"/>
          <w:numId w:val="0"/>
        </w:numPr>
        <w:ind w:left="851" w:hanging="851"/>
      </w:pPr>
      <w:r>
        <w:t>[43]</w:t>
      </w:r>
      <w:r>
        <w:tab/>
      </w:r>
      <w:r w:rsidR="006D53B5">
        <w:t xml:space="preserve">A sale of shares agreement can be done on a handshake, but </w:t>
      </w:r>
      <w:proofErr w:type="gramStart"/>
      <w:r w:rsidR="006D53B5">
        <w:t>more often than not</w:t>
      </w:r>
      <w:proofErr w:type="gramEnd"/>
      <w:r w:rsidR="006D53B5">
        <w:t xml:space="preserve"> the terms are contained in complex </w:t>
      </w:r>
      <w:r w:rsidR="00943C79">
        <w:t xml:space="preserve">written </w:t>
      </w:r>
      <w:r w:rsidR="006D53B5">
        <w:t>agreements, which may contain warranties and non-variation clauses.</w:t>
      </w:r>
      <w:r w:rsidR="00783375">
        <w:t xml:space="preserve">  In this matter, there is no </w:t>
      </w:r>
      <w:r w:rsidR="003B677D">
        <w:t xml:space="preserve">evidence of </w:t>
      </w:r>
      <w:r w:rsidR="00783375">
        <w:t xml:space="preserve">what the express terms of the sale of shares agreement between Mr Robert </w:t>
      </w:r>
      <w:proofErr w:type="spellStart"/>
      <w:r w:rsidR="00783375">
        <w:t>Skok</w:t>
      </w:r>
      <w:proofErr w:type="spellEnd"/>
      <w:r w:rsidR="00783375">
        <w:t xml:space="preserve"> and </w:t>
      </w:r>
      <w:r w:rsidR="00F2199B">
        <w:t>Prem-Pharm</w:t>
      </w:r>
      <w:r w:rsidR="00783375">
        <w:t xml:space="preserve"> w</w:t>
      </w:r>
      <w:r w:rsidR="00895A73">
        <w:t>ere</w:t>
      </w:r>
      <w:r w:rsidR="00783375">
        <w:t xml:space="preserve">.  It is therefore impossible to state whether any tacit term sought to be imported into the agreement by the applicant would have been contrary to any of the express terms of that agreement.  </w:t>
      </w:r>
    </w:p>
    <w:p w14:paraId="14BAF9EA" w14:textId="1A3BA01C" w:rsidR="00895A73" w:rsidRDefault="00F855C5" w:rsidP="00F855C5">
      <w:pPr>
        <w:pStyle w:val="LEVEL20"/>
        <w:numPr>
          <w:ilvl w:val="0"/>
          <w:numId w:val="0"/>
        </w:numPr>
        <w:ind w:left="851" w:hanging="851"/>
      </w:pPr>
      <w:r>
        <w:t>[44]</w:t>
      </w:r>
      <w:r>
        <w:tab/>
      </w:r>
      <w:r w:rsidR="00895A73">
        <w:t xml:space="preserve">It is also unclear whether Robert </w:t>
      </w:r>
      <w:proofErr w:type="spellStart"/>
      <w:r w:rsidR="00895A73">
        <w:t>Skok</w:t>
      </w:r>
      <w:proofErr w:type="spellEnd"/>
      <w:r w:rsidR="00895A73">
        <w:t xml:space="preserve"> &amp; Sons was a party to that agreement</w:t>
      </w:r>
      <w:r w:rsidR="00632364">
        <w:t xml:space="preserve"> or what its rights and obligations were in terms of the agreement</w:t>
      </w:r>
      <w:r w:rsidR="00895A73">
        <w:t xml:space="preserve">. As indicated above, the proceeds of the policy were an asset of Robert </w:t>
      </w:r>
      <w:proofErr w:type="spellStart"/>
      <w:r w:rsidR="00895A73">
        <w:t>Skok</w:t>
      </w:r>
      <w:proofErr w:type="spellEnd"/>
      <w:r w:rsidR="00895A73">
        <w:t xml:space="preserve"> &amp; Sons</w:t>
      </w:r>
      <w:r w:rsidR="00632364">
        <w:t xml:space="preserve">. </w:t>
      </w:r>
      <w:r w:rsidR="00895A73">
        <w:t xml:space="preserve">No tacit term relating to the policy can be imported if the agreement were only between Mr </w:t>
      </w:r>
      <w:r w:rsidR="00B50217">
        <w:t>Robert</w:t>
      </w:r>
      <w:r w:rsidR="00895A73">
        <w:t xml:space="preserve"> </w:t>
      </w:r>
      <w:proofErr w:type="spellStart"/>
      <w:r w:rsidR="00895A73">
        <w:t>Skok</w:t>
      </w:r>
      <w:proofErr w:type="spellEnd"/>
      <w:r w:rsidR="00895A73">
        <w:t xml:space="preserve"> and Prem-Pharm. </w:t>
      </w:r>
    </w:p>
    <w:p w14:paraId="1F7BA013" w14:textId="2E5F548E" w:rsidR="004968DE" w:rsidRDefault="00F855C5" w:rsidP="00F855C5">
      <w:pPr>
        <w:pStyle w:val="LEVEL20"/>
        <w:numPr>
          <w:ilvl w:val="0"/>
          <w:numId w:val="0"/>
        </w:numPr>
        <w:ind w:left="851" w:hanging="851"/>
      </w:pPr>
      <w:r>
        <w:t>[45]</w:t>
      </w:r>
      <w:r>
        <w:tab/>
      </w:r>
      <w:r w:rsidR="005434C9">
        <w:t>T</w:t>
      </w:r>
      <w:r w:rsidR="00783375">
        <w:t xml:space="preserve">he application for this reason alone </w:t>
      </w:r>
      <w:r w:rsidR="00895A73">
        <w:t xml:space="preserve">stands </w:t>
      </w:r>
      <w:r w:rsidR="00783375">
        <w:t>to be dismissed.</w:t>
      </w:r>
    </w:p>
    <w:p w14:paraId="14457D8B" w14:textId="19F02F9D" w:rsidR="00B266CA" w:rsidRDefault="00F855C5" w:rsidP="00F855C5">
      <w:pPr>
        <w:pStyle w:val="LEVEL20"/>
        <w:numPr>
          <w:ilvl w:val="0"/>
          <w:numId w:val="0"/>
        </w:numPr>
        <w:ind w:left="851" w:hanging="851"/>
      </w:pPr>
      <w:r>
        <w:t>[46]</w:t>
      </w:r>
      <w:r>
        <w:tab/>
      </w:r>
      <w:r w:rsidR="00CC4AD4" w:rsidRPr="00CC4AD4">
        <w:rPr>
          <w:i/>
          <w:iCs/>
        </w:rPr>
        <w:t>Secondly</w:t>
      </w:r>
      <w:r w:rsidR="00B266CA">
        <w:t xml:space="preserve">: </w:t>
      </w:r>
      <w:r w:rsidR="0050544D">
        <w:t xml:space="preserve">The </w:t>
      </w:r>
      <w:r w:rsidR="00422C29">
        <w:t>tacit term</w:t>
      </w:r>
      <w:r w:rsidR="00B948D0">
        <w:t xml:space="preserve"> sought to be inferred</w:t>
      </w:r>
      <w:r w:rsidR="00422C29">
        <w:t xml:space="preserve"> </w:t>
      </w:r>
      <w:r w:rsidR="00B948D0">
        <w:t>must be</w:t>
      </w:r>
      <w:r w:rsidR="00422C29">
        <w:t xml:space="preserve"> necessary in the business sense to give efficacy to the contract.  </w:t>
      </w:r>
      <w:r w:rsidR="00565F4F">
        <w:t xml:space="preserve">In </w:t>
      </w:r>
      <w:r w:rsidR="00B266CA" w:rsidRPr="00394246">
        <w:rPr>
          <w:i/>
          <w:iCs/>
        </w:rPr>
        <w:t>Wilkens v Voges</w:t>
      </w:r>
      <w:r w:rsidR="00422C29">
        <w:t xml:space="preserve"> </w:t>
      </w:r>
      <w:r w:rsidR="00B266CA">
        <w:rPr>
          <w:rStyle w:val="FootnoteReference"/>
        </w:rPr>
        <w:footnoteReference w:id="9"/>
      </w:r>
      <w:r w:rsidR="00B266CA">
        <w:t xml:space="preserve"> Nienaber JA said:</w:t>
      </w:r>
    </w:p>
    <w:p w14:paraId="48EDE8A8" w14:textId="01FFB587" w:rsidR="00B266CA" w:rsidRDefault="00B266CA" w:rsidP="00B266CA">
      <w:pPr>
        <w:pStyle w:val="quotation1"/>
      </w:pPr>
      <w:r>
        <w:t>“</w:t>
      </w:r>
      <w:r w:rsidR="00477630" w:rsidRPr="00477630">
        <w:rPr>
          <w:rFonts w:cs="Arial"/>
          <w:szCs w:val="24"/>
          <w:shd w:val="clear" w:color="auto" w:fill="FFFFFF"/>
        </w:rPr>
        <w:t>The practical test for determining what the parties would necessarily have agreed on the issue in dispute is the celebrated bystander test.</w:t>
      </w:r>
      <w:r w:rsidR="00477630" w:rsidRPr="00477630">
        <w:rPr>
          <w:rFonts w:ascii="Verdana" w:hAnsi="Verdana"/>
          <w:sz w:val="23"/>
          <w:szCs w:val="23"/>
          <w:shd w:val="clear" w:color="auto" w:fill="FFFFFF"/>
        </w:rPr>
        <w:t xml:space="preserve"> </w:t>
      </w:r>
      <w:r>
        <w:t xml:space="preserve">Since one may assume that the parties to a commercial contract are </w:t>
      </w:r>
      <w:r>
        <w:lastRenderedPageBreak/>
        <w:t>intent on concluding a contract which functions efficiently, a term will r</w:t>
      </w:r>
      <w:r w:rsidR="00E47DED">
        <w:t xml:space="preserve">eadily </w:t>
      </w:r>
      <w:r>
        <w:t>be imported into a contract if it is necessary to ensure its business efficacy; conversely, it is unlikely that the parties would have been unanimous on both the need for and the content of a term, not express</w:t>
      </w:r>
      <w:r w:rsidR="006C2EC2">
        <w:t>ed</w:t>
      </w:r>
      <w:r>
        <w:t xml:space="preserve">, </w:t>
      </w:r>
      <w:r w:rsidR="006C2EC2">
        <w:t>when</w:t>
      </w:r>
      <w:r>
        <w:t xml:space="preserve"> such a term is not necessary to render the contract fully functional.”</w:t>
      </w:r>
    </w:p>
    <w:p w14:paraId="580E0F1B" w14:textId="54033409" w:rsidR="004968DE" w:rsidRDefault="00F855C5" w:rsidP="00F855C5">
      <w:pPr>
        <w:pStyle w:val="LEVEL20"/>
        <w:numPr>
          <w:ilvl w:val="0"/>
          <w:numId w:val="0"/>
        </w:numPr>
        <w:ind w:left="851" w:hanging="851"/>
      </w:pPr>
      <w:r>
        <w:t>[47]</w:t>
      </w:r>
      <w:r>
        <w:tab/>
      </w:r>
      <w:r w:rsidR="005E5F28">
        <w:t>The parties have no power to supplement the bargain</w:t>
      </w:r>
      <w:r w:rsidR="00101177">
        <w:t>s</w:t>
      </w:r>
      <w:r w:rsidR="005E5F28">
        <w:t xml:space="preserve"> betw</w:t>
      </w:r>
      <w:r w:rsidR="00101177">
        <w:t xml:space="preserve">een parties by adding a term </w:t>
      </w:r>
      <w:r w:rsidR="003B677D">
        <w:t>that</w:t>
      </w:r>
      <w:r w:rsidR="00101177">
        <w:t xml:space="preserve"> they would have been wise to agree upon, although they did not.</w:t>
      </w:r>
      <w:r w:rsidR="00101177">
        <w:rPr>
          <w:rStyle w:val="FootnoteReference"/>
        </w:rPr>
        <w:footnoteReference w:id="10"/>
      </w:r>
      <w:r w:rsidR="00E94520">
        <w:t xml:space="preserve">  </w:t>
      </w:r>
    </w:p>
    <w:p w14:paraId="6F77FE63" w14:textId="0F01D2DD" w:rsidR="00B948D0" w:rsidRDefault="00F855C5" w:rsidP="00F855C5">
      <w:pPr>
        <w:pStyle w:val="LEVEL20"/>
        <w:numPr>
          <w:ilvl w:val="0"/>
          <w:numId w:val="0"/>
        </w:numPr>
        <w:ind w:left="851" w:hanging="851"/>
      </w:pPr>
      <w:r>
        <w:t>[48]</w:t>
      </w:r>
      <w:r>
        <w:tab/>
      </w:r>
      <w:r w:rsidR="00B948D0">
        <w:t xml:space="preserve">In this case the contract is </w:t>
      </w:r>
      <w:r w:rsidR="00B45C75">
        <w:t xml:space="preserve">quite </w:t>
      </w:r>
      <w:r w:rsidR="00B948D0">
        <w:t xml:space="preserve">effective without </w:t>
      </w:r>
      <w:r w:rsidR="00B45C75">
        <w:t xml:space="preserve">having to import any </w:t>
      </w:r>
      <w:r w:rsidR="00B948D0">
        <w:t>tacit term.</w:t>
      </w:r>
      <w:r w:rsidR="00B50217">
        <w:t xml:space="preserve"> </w:t>
      </w:r>
      <w:r w:rsidR="00B948D0">
        <w:t xml:space="preserve">  </w:t>
      </w:r>
    </w:p>
    <w:p w14:paraId="5CAAD1DC" w14:textId="6AC126FE" w:rsidR="00B50217" w:rsidRDefault="00F855C5" w:rsidP="00F855C5">
      <w:pPr>
        <w:pStyle w:val="LEVEL20"/>
        <w:numPr>
          <w:ilvl w:val="0"/>
          <w:numId w:val="0"/>
        </w:numPr>
        <w:ind w:left="851" w:hanging="851"/>
      </w:pPr>
      <w:r>
        <w:t>[49]</w:t>
      </w:r>
      <w:r>
        <w:tab/>
      </w:r>
      <w:r w:rsidR="00CC4AD4" w:rsidRPr="00CC4AD4">
        <w:rPr>
          <w:i/>
          <w:iCs/>
        </w:rPr>
        <w:t>Thirdly</w:t>
      </w:r>
      <w:r w:rsidR="00565F4F">
        <w:t>: A proposed tacit term can only be imported into a contract if the court is satisfied that the parties would necessarily have agreed upon such a term if it has been suggested to them at the time.</w:t>
      </w:r>
    </w:p>
    <w:p w14:paraId="10EA2882" w14:textId="64C81456" w:rsidR="00411384" w:rsidRPr="00411384" w:rsidRDefault="00F855C5" w:rsidP="00F855C5">
      <w:pPr>
        <w:pStyle w:val="LEVEL20"/>
        <w:numPr>
          <w:ilvl w:val="0"/>
          <w:numId w:val="0"/>
        </w:numPr>
        <w:ind w:left="851" w:hanging="851"/>
      </w:pPr>
      <w:r w:rsidRPr="00411384">
        <w:t>[50]</w:t>
      </w:r>
      <w:r w:rsidRPr="00411384">
        <w:tab/>
      </w:r>
      <w:r w:rsidR="00411384">
        <w:t xml:space="preserve">In </w:t>
      </w:r>
      <w:r w:rsidR="00411384" w:rsidRPr="00411384">
        <w:rPr>
          <w:i/>
          <w:iCs/>
          <w:lang w:val="en-US"/>
        </w:rPr>
        <w:t>City of Cape Town (CMC Administration) v Bourbon-</w:t>
      </w:r>
      <w:proofErr w:type="spellStart"/>
      <w:r w:rsidR="00411384" w:rsidRPr="00411384">
        <w:rPr>
          <w:i/>
          <w:iCs/>
          <w:lang w:val="en-US"/>
        </w:rPr>
        <w:t>Leftley</w:t>
      </w:r>
      <w:proofErr w:type="spellEnd"/>
      <w:r w:rsidR="00411384">
        <w:rPr>
          <w:rStyle w:val="FootnoteReference"/>
        </w:rPr>
        <w:footnoteReference w:id="11"/>
      </w:r>
      <w:r w:rsidR="00411384" w:rsidRPr="00411384">
        <w:rPr>
          <w:i/>
          <w:iCs/>
          <w:lang w:val="en-US"/>
        </w:rPr>
        <w:t xml:space="preserve"> </w:t>
      </w:r>
      <w:r w:rsidR="00411384">
        <w:rPr>
          <w:lang w:val="en-US"/>
        </w:rPr>
        <w:t>Brand JA said (own emphasis, references to other cases omitted):</w:t>
      </w:r>
    </w:p>
    <w:p w14:paraId="5002BF98" w14:textId="18586BEA" w:rsidR="00411384" w:rsidRPr="00411384" w:rsidRDefault="00411384" w:rsidP="00411384">
      <w:pPr>
        <w:pStyle w:val="LEVEL20"/>
        <w:numPr>
          <w:ilvl w:val="0"/>
          <w:numId w:val="0"/>
        </w:numPr>
        <w:spacing w:line="360" w:lineRule="auto"/>
        <w:ind w:left="1418" w:hanging="567"/>
        <w:rPr>
          <w:i/>
          <w:iCs/>
        </w:rPr>
      </w:pPr>
      <w:r>
        <w:rPr>
          <w:lang w:val="en-US"/>
        </w:rPr>
        <w:tab/>
        <w:t>“</w:t>
      </w:r>
      <w:r w:rsidRPr="00411384">
        <w:t>…</w:t>
      </w:r>
      <w:r w:rsidRPr="00411384">
        <w:rPr>
          <w:i/>
          <w:iCs/>
        </w:rPr>
        <w:t>a tacit term is not easily inferred by the courts. The reason for this reluctance is closely linked to the postulate that the courts can neither make contracts for people nor supplement their agreements merely because it appears reasonable or convenient to do so. It follows that a term cannot be inferred because it would, on the application of the well-known 'officious bystander' test, have been unreasonable of</w:t>
      </w:r>
      <w:r w:rsidR="003B677D">
        <w:rPr>
          <w:i/>
          <w:iCs/>
        </w:rPr>
        <w:t xml:space="preserve"> </w:t>
      </w:r>
      <w:r w:rsidRPr="00411384">
        <w:rPr>
          <w:i/>
          <w:iCs/>
        </w:rPr>
        <w:t xml:space="preserve">one of the </w:t>
      </w:r>
      <w:r w:rsidRPr="00411384">
        <w:rPr>
          <w:i/>
          <w:iCs/>
        </w:rPr>
        <w:lastRenderedPageBreak/>
        <w:t>parties not to agree to it upon the bystander's suggestion. Nor can it be inferred because it would be convenient and might therefore very well have been incorporated in the contract if the parties had thought about it at the tim</w:t>
      </w:r>
      <w:r w:rsidRPr="00632364">
        <w:rPr>
          <w:i/>
          <w:iCs/>
        </w:rPr>
        <w:t xml:space="preserve">e. </w:t>
      </w:r>
      <w:r w:rsidRPr="00411384">
        <w:rPr>
          <w:i/>
          <w:iCs/>
          <w:u w:val="single"/>
        </w:rPr>
        <w:t xml:space="preserve">A proposed tacit term can only be imported into a contract if the court is satisfied that the parties </w:t>
      </w:r>
      <w:proofErr w:type="gramStart"/>
      <w:r w:rsidRPr="00411384">
        <w:rPr>
          <w:i/>
          <w:iCs/>
          <w:u w:val="single"/>
        </w:rPr>
        <w:t>would  necessarily</w:t>
      </w:r>
      <w:proofErr w:type="gramEnd"/>
      <w:r w:rsidRPr="00411384">
        <w:rPr>
          <w:i/>
          <w:iCs/>
          <w:u w:val="single"/>
        </w:rPr>
        <w:t> have agreed upon such a term if it had been suggested to them at the time</w:t>
      </w:r>
      <w:r w:rsidRPr="00411384">
        <w:rPr>
          <w:i/>
          <w:iCs/>
        </w:rPr>
        <w:t>.”</w:t>
      </w:r>
    </w:p>
    <w:p w14:paraId="33919A3B" w14:textId="49A3D67D" w:rsidR="002E282A" w:rsidRDefault="00F855C5" w:rsidP="00F855C5">
      <w:pPr>
        <w:pStyle w:val="LEVEL20"/>
        <w:numPr>
          <w:ilvl w:val="0"/>
          <w:numId w:val="0"/>
        </w:numPr>
        <w:ind w:left="851" w:hanging="851"/>
      </w:pPr>
      <w:r>
        <w:t>[51]</w:t>
      </w:r>
      <w:r>
        <w:tab/>
      </w:r>
      <w:r w:rsidR="00565F4F">
        <w:t xml:space="preserve">There is no evidence from which </w:t>
      </w:r>
      <w:r w:rsidR="00A12130">
        <w:t xml:space="preserve">a specific </w:t>
      </w:r>
      <w:r w:rsidR="00565F4F">
        <w:t xml:space="preserve">inference can be drawn what the parties would have done had they applied their minds to the issue. </w:t>
      </w:r>
      <w:r w:rsidR="00B50217">
        <w:t xml:space="preserve">This is so even if </w:t>
      </w:r>
      <w:r w:rsidR="00A532C4">
        <w:t>Vivian</w:t>
      </w:r>
      <w:r w:rsidR="00B50217">
        <w:t xml:space="preserve">’s evidence </w:t>
      </w:r>
      <w:r w:rsidR="006A5289">
        <w:t xml:space="preserve">of the following </w:t>
      </w:r>
      <w:r w:rsidR="00B50217">
        <w:t>is accepted</w:t>
      </w:r>
      <w:r w:rsidR="006A5289">
        <w:t>:</w:t>
      </w:r>
      <w:r w:rsidR="00B50217">
        <w:t xml:space="preserve"> that Mr Robert </w:t>
      </w:r>
      <w:proofErr w:type="spellStart"/>
      <w:r w:rsidR="00B50217">
        <w:t>Skok</w:t>
      </w:r>
      <w:proofErr w:type="spellEnd"/>
      <w:r w:rsidR="00B50217">
        <w:t xml:space="preserve"> forgot about the polic</w:t>
      </w:r>
      <w:r w:rsidR="006A5289">
        <w:t>y</w:t>
      </w:r>
      <w:r w:rsidR="00B50217">
        <w:t xml:space="preserve"> </w:t>
      </w:r>
      <w:r w:rsidR="006A5289">
        <w:t xml:space="preserve">and that Prem-Pharm was oblivious of the policy </w:t>
      </w:r>
      <w:r w:rsidR="00B50217">
        <w:t xml:space="preserve">when </w:t>
      </w:r>
      <w:r w:rsidR="006A5289">
        <w:t xml:space="preserve">they </w:t>
      </w:r>
      <w:r w:rsidR="00B50217">
        <w:t>concluded the sale agreement</w:t>
      </w:r>
      <w:r w:rsidR="006A5289">
        <w:t>;</w:t>
      </w:r>
      <w:r w:rsidR="00B50217">
        <w:t xml:space="preserve"> </w:t>
      </w:r>
      <w:r w:rsidR="006A5289">
        <w:t xml:space="preserve">that the purpose of the acquisition of the policy was to obtain some tax benefit; that the intention Prem-Pharm was </w:t>
      </w:r>
      <w:r w:rsidR="002E282A">
        <w:t xml:space="preserve">to acquire </w:t>
      </w:r>
      <w:r w:rsidR="003B677D">
        <w:t xml:space="preserve">the </w:t>
      </w:r>
      <w:r w:rsidR="002E282A">
        <w:t xml:space="preserve">shareholding in </w:t>
      </w:r>
      <w:r w:rsidR="003B677D">
        <w:t>the</w:t>
      </w:r>
      <w:r w:rsidR="002E282A">
        <w:t xml:space="preserve"> company to house a newly formed business.</w:t>
      </w:r>
      <w:r w:rsidR="006A5289">
        <w:t xml:space="preserve"> </w:t>
      </w:r>
    </w:p>
    <w:p w14:paraId="4845637A" w14:textId="14A644A3" w:rsidR="00A12130" w:rsidRDefault="00F855C5" w:rsidP="00F855C5">
      <w:pPr>
        <w:pStyle w:val="LEVEL20"/>
        <w:numPr>
          <w:ilvl w:val="0"/>
          <w:numId w:val="0"/>
        </w:numPr>
        <w:ind w:left="851" w:hanging="851"/>
      </w:pPr>
      <w:r>
        <w:t>[52]</w:t>
      </w:r>
      <w:r>
        <w:tab/>
      </w:r>
      <w:r w:rsidR="00565F4F">
        <w:t>The</w:t>
      </w:r>
      <w:r w:rsidR="00723BB7">
        <w:t xml:space="preserve"> parties (if they applied their minds to the issue)</w:t>
      </w:r>
      <w:r w:rsidR="00565F4F">
        <w:t xml:space="preserve"> may have adjusted the purchase price of the shares (because the underlying assets would have included the policy which </w:t>
      </w:r>
      <w:r w:rsidR="00B948D0">
        <w:t xml:space="preserve">may have increased </w:t>
      </w:r>
      <w:r w:rsidR="00565F4F">
        <w:t>the value of the share</w:t>
      </w:r>
      <w:r w:rsidR="00B948D0">
        <w:t>holding</w:t>
      </w:r>
      <w:r w:rsidR="00565F4F">
        <w:t>)</w:t>
      </w:r>
      <w:r w:rsidR="00A12130">
        <w:t>.</w:t>
      </w:r>
    </w:p>
    <w:p w14:paraId="05161886" w14:textId="7CE5BD90" w:rsidR="00240A30" w:rsidRDefault="00F855C5" w:rsidP="00F855C5">
      <w:pPr>
        <w:pStyle w:val="LEVEL20"/>
        <w:numPr>
          <w:ilvl w:val="0"/>
          <w:numId w:val="0"/>
        </w:numPr>
        <w:ind w:left="851" w:hanging="851"/>
      </w:pPr>
      <w:r>
        <w:t>[53]</w:t>
      </w:r>
      <w:r>
        <w:tab/>
      </w:r>
      <w:r w:rsidR="00A12130">
        <w:t>The first and third respondents deposed to affidavits that there were underlying agreements between</w:t>
      </w:r>
      <w:r w:rsidR="00240A30">
        <w:t xml:space="preserve"> Robert </w:t>
      </w:r>
      <w:proofErr w:type="spellStart"/>
      <w:r w:rsidR="00240A30">
        <w:t>Skok</w:t>
      </w:r>
      <w:proofErr w:type="spellEnd"/>
      <w:r w:rsidR="00240A30">
        <w:t xml:space="preserve"> &amp; Sons</w:t>
      </w:r>
      <w:r w:rsidR="00A12130">
        <w:t xml:space="preserve"> and seven key employees</w:t>
      </w:r>
      <w:r w:rsidR="00240A30">
        <w:t xml:space="preserve"> (including the first respondent and the third </w:t>
      </w:r>
      <w:proofErr w:type="gramStart"/>
      <w:r w:rsidR="00240A30">
        <w:t xml:space="preserve">respondents)  </w:t>
      </w:r>
      <w:r w:rsidR="00A12130">
        <w:t>that</w:t>
      </w:r>
      <w:proofErr w:type="gramEnd"/>
      <w:r w:rsidR="00A12130">
        <w:t xml:space="preserve"> on maturity </w:t>
      </w:r>
      <w:r w:rsidR="00240A30">
        <w:t xml:space="preserve">of the policy the investment would be paid to them. </w:t>
      </w:r>
      <w:r w:rsidR="00B45C75">
        <w:t>or</w:t>
      </w:r>
      <w:r w:rsidR="00565F4F">
        <w:t xml:space="preserve"> have come to some other arrangement altogether.</w:t>
      </w:r>
      <w:r w:rsidR="00B45C75">
        <w:t xml:space="preserve"> </w:t>
      </w:r>
      <w:r w:rsidR="00240A30">
        <w:t xml:space="preserve"> It is thus a plausible inference that Mr Robert </w:t>
      </w:r>
      <w:proofErr w:type="spellStart"/>
      <w:r w:rsidR="00240A30">
        <w:t>Skok</w:t>
      </w:r>
      <w:proofErr w:type="spellEnd"/>
      <w:r w:rsidR="00240A30">
        <w:t xml:space="preserve"> may </w:t>
      </w:r>
      <w:r w:rsidR="003B677D">
        <w:t xml:space="preserve">have </w:t>
      </w:r>
      <w:r w:rsidR="00240A30">
        <w:t>insisted that an agreement be reached to benefit the assured</w:t>
      </w:r>
      <w:r w:rsidR="00632364">
        <w:t>, which may have been inconsistent with the tacit term the applicant now contends for</w:t>
      </w:r>
      <w:r w:rsidR="00240A30">
        <w:t>.</w:t>
      </w:r>
    </w:p>
    <w:p w14:paraId="6858DF3F" w14:textId="5B0F8171" w:rsidR="00CE519E" w:rsidRDefault="00F855C5" w:rsidP="00F855C5">
      <w:pPr>
        <w:pStyle w:val="LEVEL20"/>
        <w:numPr>
          <w:ilvl w:val="0"/>
          <w:numId w:val="0"/>
        </w:numPr>
        <w:ind w:left="851" w:hanging="851"/>
      </w:pPr>
      <w:r>
        <w:lastRenderedPageBreak/>
        <w:t>[54]</w:t>
      </w:r>
      <w:r>
        <w:tab/>
      </w:r>
      <w:r w:rsidR="00240A30">
        <w:t xml:space="preserve">There are a host of other plausible inferences as to what the parties would have done </w:t>
      </w:r>
      <w:r w:rsidR="003B677D">
        <w:t xml:space="preserve">had they </w:t>
      </w:r>
      <w:r w:rsidR="00240A30">
        <w:t xml:space="preserve">applied their mind to the issue. </w:t>
      </w:r>
      <w:r w:rsidR="00B45C75">
        <w:t>There is simply not enough evidence to infer that the parties would necessar</w:t>
      </w:r>
      <w:r w:rsidR="00240A30">
        <w:t xml:space="preserve">ily </w:t>
      </w:r>
      <w:r w:rsidR="00B45C75">
        <w:t xml:space="preserve">have agreed that the proceeds of the policy were to be excluded from the sale agreement. </w:t>
      </w:r>
    </w:p>
    <w:p w14:paraId="1FA9A46A" w14:textId="4D323B1E" w:rsidR="0016132A" w:rsidRDefault="00240A30" w:rsidP="0016132A">
      <w:pPr>
        <w:pStyle w:val="Heading1"/>
      </w:pPr>
      <w:r>
        <w:t>SUBSIDIARY ISSUES</w:t>
      </w:r>
    </w:p>
    <w:p w14:paraId="2C5113AE" w14:textId="2A355520" w:rsidR="0016132A" w:rsidRDefault="00F855C5" w:rsidP="00F855C5">
      <w:pPr>
        <w:pStyle w:val="LEVEL20"/>
        <w:numPr>
          <w:ilvl w:val="0"/>
          <w:numId w:val="0"/>
        </w:numPr>
        <w:ind w:left="851" w:hanging="851"/>
      </w:pPr>
      <w:r>
        <w:t>[55]</w:t>
      </w:r>
      <w:r>
        <w:tab/>
      </w:r>
      <w:r w:rsidR="0016132A">
        <w:t>The sixth respondent</w:t>
      </w:r>
      <w:r w:rsidR="00240A30">
        <w:t xml:space="preserve"> </w:t>
      </w:r>
      <w:r w:rsidR="0016132A">
        <w:t>raised a special plea of misjoinder</w:t>
      </w:r>
      <w:r w:rsidR="00240A30">
        <w:t>, alleging that it is not a shareholder</w:t>
      </w:r>
      <w:r w:rsidR="0016132A">
        <w:t xml:space="preserve"> of the sixth respondent.</w:t>
      </w:r>
      <w:r w:rsidR="00C322A4">
        <w:t xml:space="preserve">  In </w:t>
      </w:r>
      <w:r w:rsidR="005434C9">
        <w:t xml:space="preserve">the light </w:t>
      </w:r>
      <w:r w:rsidR="00C322A4">
        <w:t xml:space="preserve">of my </w:t>
      </w:r>
      <w:r w:rsidR="005434C9">
        <w:t xml:space="preserve">findings </w:t>
      </w:r>
      <w:r w:rsidR="00C322A4">
        <w:t xml:space="preserve">above, it is not necessary to deal with this plea separately.  It was not argued </w:t>
      </w:r>
      <w:r w:rsidR="00C322A4">
        <w:rPr>
          <w:i/>
          <w:iCs/>
        </w:rPr>
        <w:t xml:space="preserve">in </w:t>
      </w:r>
      <w:proofErr w:type="spellStart"/>
      <w:r w:rsidR="00C322A4">
        <w:rPr>
          <w:i/>
          <w:iCs/>
        </w:rPr>
        <w:t>limine</w:t>
      </w:r>
      <w:proofErr w:type="spellEnd"/>
      <w:r w:rsidR="00C322A4">
        <w:t>.</w:t>
      </w:r>
    </w:p>
    <w:p w14:paraId="12ED49F3" w14:textId="3F368912" w:rsidR="0016132A" w:rsidRDefault="00F855C5" w:rsidP="00F855C5">
      <w:pPr>
        <w:pStyle w:val="LEVEL20"/>
        <w:numPr>
          <w:ilvl w:val="0"/>
          <w:numId w:val="0"/>
        </w:numPr>
        <w:ind w:left="851" w:hanging="851"/>
      </w:pPr>
      <w:r>
        <w:t>[56]</w:t>
      </w:r>
      <w:r>
        <w:tab/>
      </w:r>
      <w:r w:rsidR="002C574E">
        <w:t xml:space="preserve">The sixth respondent brought an application to strike out </w:t>
      </w:r>
      <w:r w:rsidR="00BA3D64">
        <w:t xml:space="preserve">certain parts of </w:t>
      </w:r>
      <w:r w:rsidR="00A532C4">
        <w:t>Vivian</w:t>
      </w:r>
      <w:r w:rsidR="002C574E">
        <w:t xml:space="preserve">’s founding affidavit.  Much of the hearsay evidence given by </w:t>
      </w:r>
      <w:r w:rsidR="00A532C4">
        <w:t>Vivian</w:t>
      </w:r>
      <w:r w:rsidR="003776A7">
        <w:t xml:space="preserve"> became common cause. A bigger problem is </w:t>
      </w:r>
      <w:r w:rsidR="00632364">
        <w:t xml:space="preserve">he </w:t>
      </w:r>
      <w:r w:rsidR="00882BA6">
        <w:t>advanced certain conclusions or opinions</w:t>
      </w:r>
      <w:r w:rsidR="005434C9">
        <w:t xml:space="preserve"> which were not justified</w:t>
      </w:r>
      <w:r w:rsidR="00882BA6">
        <w:t xml:space="preserve">. </w:t>
      </w:r>
      <w:r w:rsidR="003776A7">
        <w:t xml:space="preserve">In </w:t>
      </w:r>
      <w:r w:rsidR="005434C9">
        <w:t xml:space="preserve">view </w:t>
      </w:r>
      <w:r w:rsidR="003776A7">
        <w:t xml:space="preserve">of the </w:t>
      </w:r>
      <w:r w:rsidR="00240A30">
        <w:t xml:space="preserve">findings </w:t>
      </w:r>
      <w:r w:rsidR="003776A7">
        <w:t xml:space="preserve">I have made, it is not necessary to make a specific finding on </w:t>
      </w:r>
      <w:r w:rsidR="003B677D">
        <w:t xml:space="preserve">the </w:t>
      </w:r>
      <w:r w:rsidR="003776A7">
        <w:t>application to strike out, as there is in these circumstances no prejudice to the sixth</w:t>
      </w:r>
      <w:r w:rsidR="00240A30">
        <w:t xml:space="preserve"> respondent</w:t>
      </w:r>
      <w:r w:rsidR="003776A7">
        <w:t xml:space="preserve">.  </w:t>
      </w:r>
    </w:p>
    <w:p w14:paraId="25F98C51" w14:textId="78A9B4AE" w:rsidR="00240A30" w:rsidRPr="00240A30" w:rsidRDefault="00240A30" w:rsidP="00240A30">
      <w:pPr>
        <w:pStyle w:val="LEVEL20"/>
        <w:numPr>
          <w:ilvl w:val="0"/>
          <w:numId w:val="0"/>
        </w:numPr>
        <w:rPr>
          <w:b/>
          <w:bCs/>
        </w:rPr>
      </w:pPr>
      <w:r w:rsidRPr="00240A30">
        <w:rPr>
          <w:b/>
          <w:bCs/>
        </w:rPr>
        <w:t>COSTS</w:t>
      </w:r>
    </w:p>
    <w:p w14:paraId="396BBC02" w14:textId="6FE855F5" w:rsidR="00240A30" w:rsidRDefault="00F855C5" w:rsidP="00F855C5">
      <w:pPr>
        <w:pStyle w:val="LEVEL20"/>
        <w:numPr>
          <w:ilvl w:val="0"/>
          <w:numId w:val="0"/>
        </w:numPr>
        <w:ind w:left="851" w:hanging="851"/>
      </w:pPr>
      <w:r>
        <w:t>[57]</w:t>
      </w:r>
      <w:r>
        <w:tab/>
      </w:r>
      <w:r w:rsidR="00A0413E">
        <w:t xml:space="preserve">It was submitted on behalf of the applicant that in the event of the application </w:t>
      </w:r>
      <w:proofErr w:type="gramStart"/>
      <w:r w:rsidR="00A0413E">
        <w:t>not succeeding</w:t>
      </w:r>
      <w:proofErr w:type="gramEnd"/>
      <w:r w:rsidR="00A0413E">
        <w:t>, the cost</w:t>
      </w:r>
      <w:r w:rsidR="00D10D18">
        <w:t xml:space="preserve">s should be paid out of the proceeds of the policy.  Such a cost order may be </w:t>
      </w:r>
      <w:r w:rsidR="00240A30">
        <w:t xml:space="preserve">appropriate </w:t>
      </w:r>
      <w:r w:rsidR="00D10D18">
        <w:t xml:space="preserve">in circumstances where co-heirs or co-beneficiaries in a deceased estate have a dispute about </w:t>
      </w:r>
      <w:r w:rsidR="00240A30">
        <w:t xml:space="preserve">a </w:t>
      </w:r>
      <w:r w:rsidR="00D10D18">
        <w:t>cer</w:t>
      </w:r>
      <w:r w:rsidR="00EC18BF">
        <w:t xml:space="preserve">tain asset. This is not the case here.  </w:t>
      </w:r>
    </w:p>
    <w:p w14:paraId="16E0C326" w14:textId="0E3705DB" w:rsidR="00A935E8" w:rsidRDefault="00F855C5" w:rsidP="00F855C5">
      <w:pPr>
        <w:pStyle w:val="LEVEL20"/>
        <w:numPr>
          <w:ilvl w:val="0"/>
          <w:numId w:val="0"/>
        </w:numPr>
        <w:ind w:left="851" w:hanging="851"/>
      </w:pPr>
      <w:r>
        <w:t>[58]</w:t>
      </w:r>
      <w:r>
        <w:tab/>
      </w:r>
      <w:r w:rsidR="00EC18BF">
        <w:t xml:space="preserve">The sixth and ninth </w:t>
      </w:r>
      <w:r w:rsidR="00775E00">
        <w:t xml:space="preserve">respondents asked </w:t>
      </w:r>
      <w:r w:rsidR="00CA6CE8">
        <w:t>for a cost order</w:t>
      </w:r>
      <w:r w:rsidR="00A935E8">
        <w:t xml:space="preserve"> </w:t>
      </w:r>
      <w:r w:rsidR="00CA6CE8">
        <w:rPr>
          <w:i/>
          <w:iCs/>
        </w:rPr>
        <w:t xml:space="preserve">de </w:t>
      </w:r>
      <w:proofErr w:type="spellStart"/>
      <w:r w:rsidR="00CA6CE8">
        <w:rPr>
          <w:i/>
          <w:iCs/>
        </w:rPr>
        <w:t>bonis</w:t>
      </w:r>
      <w:proofErr w:type="spellEnd"/>
      <w:r w:rsidR="00CA6CE8">
        <w:rPr>
          <w:i/>
          <w:iCs/>
        </w:rPr>
        <w:t xml:space="preserve"> </w:t>
      </w:r>
      <w:proofErr w:type="spellStart"/>
      <w:r w:rsidR="00CA6CE8">
        <w:rPr>
          <w:i/>
          <w:iCs/>
        </w:rPr>
        <w:t>propriis</w:t>
      </w:r>
      <w:proofErr w:type="spellEnd"/>
      <w:r w:rsidR="00CA6CE8">
        <w:t xml:space="preserve"> </w:t>
      </w:r>
      <w:r w:rsidR="00CA6CE8">
        <w:lastRenderedPageBreak/>
        <w:t>against the applicant</w:t>
      </w:r>
      <w:r w:rsidR="00A935E8">
        <w:t xml:space="preserve"> jointly and severally with the estate on the attorney and client scale. At the hearing </w:t>
      </w:r>
      <w:r w:rsidR="003B677D">
        <w:t xml:space="preserve">they did not persist in seeking </w:t>
      </w:r>
      <w:r w:rsidR="00A935E8">
        <w:t>this order</w:t>
      </w:r>
      <w:r w:rsidR="003B677D">
        <w:t>.</w:t>
      </w:r>
    </w:p>
    <w:p w14:paraId="4A1AC56C" w14:textId="1CAF5AB1" w:rsidR="0016132A" w:rsidRDefault="00F855C5" w:rsidP="00F855C5">
      <w:pPr>
        <w:pStyle w:val="LEVEL20"/>
        <w:numPr>
          <w:ilvl w:val="0"/>
          <w:numId w:val="0"/>
        </w:numPr>
        <w:ind w:left="851" w:hanging="851"/>
      </w:pPr>
      <w:r>
        <w:t>[59]</w:t>
      </w:r>
      <w:r>
        <w:tab/>
      </w:r>
      <w:r w:rsidR="005434C9">
        <w:t xml:space="preserve">The normal rule should apply, </w:t>
      </w:r>
      <w:proofErr w:type="gramStart"/>
      <w:r w:rsidR="005434C9">
        <w:t>i.e.</w:t>
      </w:r>
      <w:proofErr w:type="gramEnd"/>
      <w:r w:rsidR="005434C9">
        <w:t xml:space="preserve"> </w:t>
      </w:r>
      <w:r w:rsidR="006B2D56">
        <w:t xml:space="preserve">that </w:t>
      </w:r>
      <w:r w:rsidR="005434C9">
        <w:t>c</w:t>
      </w:r>
      <w:r w:rsidR="00A935E8">
        <w:t>osts should follow the result</w:t>
      </w:r>
      <w:r w:rsidR="00882BA6">
        <w:t xml:space="preserve"> </w:t>
      </w:r>
      <w:r w:rsidR="005434C9">
        <w:t xml:space="preserve">and are to be paid </w:t>
      </w:r>
      <w:r w:rsidR="00A935E8">
        <w:t xml:space="preserve">by the estate on a party and party scale. </w:t>
      </w:r>
    </w:p>
    <w:p w14:paraId="1EF14657" w14:textId="2E2DD1B9" w:rsidR="00A935E8" w:rsidRPr="00A935E8" w:rsidRDefault="00A935E8" w:rsidP="00A935E8">
      <w:pPr>
        <w:pStyle w:val="LEVEL20"/>
        <w:numPr>
          <w:ilvl w:val="0"/>
          <w:numId w:val="0"/>
        </w:numPr>
        <w:rPr>
          <w:b/>
          <w:bCs/>
        </w:rPr>
      </w:pPr>
      <w:r>
        <w:rPr>
          <w:b/>
          <w:bCs/>
        </w:rPr>
        <w:t>ORDER</w:t>
      </w:r>
    </w:p>
    <w:p w14:paraId="0C4EAB30" w14:textId="3958BF4A" w:rsidR="00D65ECA" w:rsidRDefault="00F855C5" w:rsidP="00F855C5">
      <w:pPr>
        <w:pStyle w:val="LEVEL20"/>
        <w:numPr>
          <w:ilvl w:val="0"/>
          <w:numId w:val="0"/>
        </w:numPr>
        <w:ind w:left="851" w:hanging="851"/>
      </w:pPr>
      <w:r>
        <w:t>[60]</w:t>
      </w:r>
      <w:r>
        <w:tab/>
      </w:r>
      <w:r w:rsidR="00DD220A">
        <w:t>T</w:t>
      </w:r>
      <w:r w:rsidR="00D65ECA">
        <w:t>he following order is made</w:t>
      </w:r>
      <w:r w:rsidR="00AD336D">
        <w:t>:</w:t>
      </w:r>
    </w:p>
    <w:p w14:paraId="2BCBE387" w14:textId="35E1FAA1" w:rsidR="00AD336D" w:rsidRDefault="00F855C5" w:rsidP="00F855C5">
      <w:pPr>
        <w:pStyle w:val="1"/>
        <w:numPr>
          <w:ilvl w:val="0"/>
          <w:numId w:val="0"/>
        </w:numPr>
        <w:ind w:left="1701" w:hanging="850"/>
      </w:pPr>
      <w:r>
        <w:t>1.</w:t>
      </w:r>
      <w:r>
        <w:tab/>
      </w:r>
      <w:r w:rsidR="00D351B0">
        <w:t>The application is dismissed</w:t>
      </w:r>
      <w:r w:rsidR="00DD220A">
        <w:t>.</w:t>
      </w:r>
    </w:p>
    <w:p w14:paraId="1E862924" w14:textId="0D2A96A5" w:rsidR="00185E61" w:rsidRDefault="00F855C5" w:rsidP="00F855C5">
      <w:pPr>
        <w:pStyle w:val="1"/>
        <w:numPr>
          <w:ilvl w:val="0"/>
          <w:numId w:val="0"/>
        </w:numPr>
        <w:ind w:left="1701" w:hanging="850"/>
      </w:pPr>
      <w:r>
        <w:t>2.</w:t>
      </w:r>
      <w:r>
        <w:tab/>
      </w:r>
      <w:r w:rsidR="00185E61">
        <w:t xml:space="preserve">The costs of the application are to be paid by the deceased estate of </w:t>
      </w:r>
      <w:r w:rsidR="00985816">
        <w:t xml:space="preserve">the late </w:t>
      </w:r>
      <w:r w:rsidR="00185E61">
        <w:t xml:space="preserve">Robert </w:t>
      </w:r>
      <w:proofErr w:type="spellStart"/>
      <w:r w:rsidR="00185E61">
        <w:t>Skok</w:t>
      </w:r>
      <w:proofErr w:type="spellEnd"/>
      <w:r w:rsidR="00185E61">
        <w:t>.</w:t>
      </w:r>
    </w:p>
    <w:p w14:paraId="7C0709D5" w14:textId="77777777" w:rsidR="00DD220A" w:rsidRDefault="00DD220A" w:rsidP="00FD3CB9">
      <w:pPr>
        <w:rPr>
          <w:b/>
          <w:bCs/>
          <w:lang w:val="en-GB"/>
        </w:rPr>
      </w:pPr>
    </w:p>
    <w:p w14:paraId="2D11514A" w14:textId="731B5E8C" w:rsidR="00FD3CB9" w:rsidRPr="00F34B8E" w:rsidRDefault="00FD3CB9" w:rsidP="00FD3CB9">
      <w:pPr>
        <w:rPr>
          <w:b/>
          <w:bCs/>
          <w:lang w:val="en-GB"/>
        </w:rPr>
      </w:pPr>
      <w:r w:rsidRPr="00F34B8E">
        <w:rPr>
          <w:b/>
          <w:bCs/>
          <w:lang w:val="en-GB"/>
        </w:rPr>
        <w:t>____________________</w:t>
      </w:r>
    </w:p>
    <w:p w14:paraId="128365E5" w14:textId="58D7EF85" w:rsidR="00C70F4C" w:rsidRPr="00F34B8E" w:rsidRDefault="00B27C05" w:rsidP="003339D6">
      <w:pPr>
        <w:rPr>
          <w:b/>
          <w:bCs/>
          <w:lang w:val="en-GB"/>
        </w:rPr>
      </w:pPr>
      <w:r w:rsidRPr="00F34B8E">
        <w:rPr>
          <w:b/>
          <w:bCs/>
          <w:lang w:val="en-GB"/>
        </w:rPr>
        <w:t>VAN DER BERG AJ</w:t>
      </w:r>
    </w:p>
    <w:p w14:paraId="43390BAC" w14:textId="60AD91CF" w:rsidR="00A935E8" w:rsidRDefault="00A935E8" w:rsidP="00FD3CB9">
      <w:pPr>
        <w:widowControl w:val="0"/>
        <w:tabs>
          <w:tab w:val="left" w:pos="851"/>
        </w:tabs>
        <w:spacing w:before="0" w:line="240" w:lineRule="auto"/>
        <w:jc w:val="center"/>
        <w:rPr>
          <w:b/>
          <w:lang w:val="en-GB"/>
        </w:rPr>
      </w:pPr>
    </w:p>
    <w:p w14:paraId="7DBF92B4" w14:textId="396C01CC" w:rsidR="005434C9" w:rsidRDefault="005434C9" w:rsidP="00FD3CB9">
      <w:pPr>
        <w:widowControl w:val="0"/>
        <w:tabs>
          <w:tab w:val="left" w:pos="851"/>
        </w:tabs>
        <w:spacing w:before="0" w:line="240" w:lineRule="auto"/>
        <w:jc w:val="center"/>
        <w:rPr>
          <w:b/>
          <w:lang w:val="en-GB"/>
        </w:rPr>
      </w:pPr>
    </w:p>
    <w:p w14:paraId="7F8DB311" w14:textId="7A1B89B6" w:rsidR="005434C9" w:rsidRDefault="005434C9" w:rsidP="00FD3CB9">
      <w:pPr>
        <w:widowControl w:val="0"/>
        <w:tabs>
          <w:tab w:val="left" w:pos="851"/>
        </w:tabs>
        <w:spacing w:before="0" w:line="240" w:lineRule="auto"/>
        <w:jc w:val="center"/>
        <w:rPr>
          <w:b/>
          <w:lang w:val="en-GB"/>
        </w:rPr>
      </w:pPr>
    </w:p>
    <w:p w14:paraId="0D7EF2BF" w14:textId="5A3344F4" w:rsidR="005434C9" w:rsidRDefault="005434C9" w:rsidP="00FD3CB9">
      <w:pPr>
        <w:widowControl w:val="0"/>
        <w:tabs>
          <w:tab w:val="left" w:pos="851"/>
        </w:tabs>
        <w:spacing w:before="0" w:line="240" w:lineRule="auto"/>
        <w:jc w:val="center"/>
        <w:rPr>
          <w:b/>
          <w:lang w:val="en-GB"/>
        </w:rPr>
      </w:pPr>
    </w:p>
    <w:p w14:paraId="7BE92DFD" w14:textId="3B962B96" w:rsidR="005434C9" w:rsidRDefault="005434C9" w:rsidP="00FD3CB9">
      <w:pPr>
        <w:widowControl w:val="0"/>
        <w:tabs>
          <w:tab w:val="left" w:pos="851"/>
        </w:tabs>
        <w:spacing w:before="0" w:line="240" w:lineRule="auto"/>
        <w:jc w:val="center"/>
        <w:rPr>
          <w:b/>
          <w:lang w:val="en-GB"/>
        </w:rPr>
      </w:pPr>
    </w:p>
    <w:p w14:paraId="0B12E9E5" w14:textId="6FA3A5D8" w:rsidR="005434C9" w:rsidRDefault="005434C9" w:rsidP="00FD3CB9">
      <w:pPr>
        <w:widowControl w:val="0"/>
        <w:tabs>
          <w:tab w:val="left" w:pos="851"/>
        </w:tabs>
        <w:spacing w:before="0" w:line="240" w:lineRule="auto"/>
        <w:jc w:val="center"/>
        <w:rPr>
          <w:b/>
          <w:lang w:val="en-GB"/>
        </w:rPr>
      </w:pPr>
    </w:p>
    <w:p w14:paraId="741E3D63" w14:textId="4725EAC9" w:rsidR="005434C9" w:rsidRDefault="005434C9" w:rsidP="00FD3CB9">
      <w:pPr>
        <w:widowControl w:val="0"/>
        <w:tabs>
          <w:tab w:val="left" w:pos="851"/>
        </w:tabs>
        <w:spacing w:before="0" w:line="240" w:lineRule="auto"/>
        <w:jc w:val="center"/>
        <w:rPr>
          <w:b/>
          <w:lang w:val="en-GB"/>
        </w:rPr>
      </w:pPr>
    </w:p>
    <w:p w14:paraId="14AD098C" w14:textId="4D54023F" w:rsidR="005434C9" w:rsidRDefault="005434C9" w:rsidP="00FD3CB9">
      <w:pPr>
        <w:widowControl w:val="0"/>
        <w:tabs>
          <w:tab w:val="left" w:pos="851"/>
        </w:tabs>
        <w:spacing w:before="0" w:line="240" w:lineRule="auto"/>
        <w:jc w:val="center"/>
        <w:rPr>
          <w:b/>
          <w:lang w:val="en-GB"/>
        </w:rPr>
      </w:pPr>
    </w:p>
    <w:p w14:paraId="2AE7022E" w14:textId="7B4B69A3" w:rsidR="005434C9" w:rsidRDefault="005434C9" w:rsidP="00FD3CB9">
      <w:pPr>
        <w:widowControl w:val="0"/>
        <w:tabs>
          <w:tab w:val="left" w:pos="851"/>
        </w:tabs>
        <w:spacing w:before="0" w:line="240" w:lineRule="auto"/>
        <w:jc w:val="center"/>
        <w:rPr>
          <w:b/>
          <w:lang w:val="en-GB"/>
        </w:rPr>
      </w:pPr>
    </w:p>
    <w:p w14:paraId="172084A2" w14:textId="558CFC6A" w:rsidR="005434C9" w:rsidRDefault="005434C9" w:rsidP="00FD3CB9">
      <w:pPr>
        <w:widowControl w:val="0"/>
        <w:tabs>
          <w:tab w:val="left" w:pos="851"/>
        </w:tabs>
        <w:spacing w:before="0" w:line="240" w:lineRule="auto"/>
        <w:jc w:val="center"/>
        <w:rPr>
          <w:b/>
          <w:lang w:val="en-GB"/>
        </w:rPr>
      </w:pPr>
    </w:p>
    <w:p w14:paraId="1CBC45E0" w14:textId="7DD17445" w:rsidR="005434C9" w:rsidRDefault="005434C9" w:rsidP="00FD3CB9">
      <w:pPr>
        <w:widowControl w:val="0"/>
        <w:tabs>
          <w:tab w:val="left" w:pos="851"/>
        </w:tabs>
        <w:spacing w:before="0" w:line="240" w:lineRule="auto"/>
        <w:jc w:val="center"/>
        <w:rPr>
          <w:b/>
          <w:lang w:val="en-GB"/>
        </w:rPr>
      </w:pPr>
    </w:p>
    <w:p w14:paraId="6766695C" w14:textId="5EE4D6A5" w:rsidR="005434C9" w:rsidRDefault="005434C9" w:rsidP="00FD3CB9">
      <w:pPr>
        <w:widowControl w:val="0"/>
        <w:tabs>
          <w:tab w:val="left" w:pos="851"/>
        </w:tabs>
        <w:spacing w:before="0" w:line="240" w:lineRule="auto"/>
        <w:jc w:val="center"/>
        <w:rPr>
          <w:b/>
          <w:lang w:val="en-GB"/>
        </w:rPr>
      </w:pPr>
    </w:p>
    <w:p w14:paraId="0C0B6B2F" w14:textId="2D1BAB7D" w:rsidR="005434C9" w:rsidRDefault="005434C9" w:rsidP="00FD3CB9">
      <w:pPr>
        <w:widowControl w:val="0"/>
        <w:tabs>
          <w:tab w:val="left" w:pos="851"/>
        </w:tabs>
        <w:spacing w:before="0" w:line="240" w:lineRule="auto"/>
        <w:jc w:val="center"/>
        <w:rPr>
          <w:b/>
          <w:lang w:val="en-GB"/>
        </w:rPr>
      </w:pPr>
    </w:p>
    <w:p w14:paraId="198EA3D8" w14:textId="1030493F" w:rsidR="005434C9" w:rsidRDefault="005434C9" w:rsidP="00FD3CB9">
      <w:pPr>
        <w:widowControl w:val="0"/>
        <w:tabs>
          <w:tab w:val="left" w:pos="851"/>
        </w:tabs>
        <w:spacing w:before="0" w:line="240" w:lineRule="auto"/>
        <w:jc w:val="center"/>
        <w:rPr>
          <w:b/>
          <w:lang w:val="en-GB"/>
        </w:rPr>
      </w:pPr>
    </w:p>
    <w:p w14:paraId="2776BD12" w14:textId="11402473" w:rsidR="005434C9" w:rsidRDefault="005434C9" w:rsidP="00FD3CB9">
      <w:pPr>
        <w:widowControl w:val="0"/>
        <w:tabs>
          <w:tab w:val="left" w:pos="851"/>
        </w:tabs>
        <w:spacing w:before="0" w:line="240" w:lineRule="auto"/>
        <w:jc w:val="center"/>
        <w:rPr>
          <w:b/>
          <w:lang w:val="en-GB"/>
        </w:rPr>
      </w:pPr>
    </w:p>
    <w:p w14:paraId="7BA78B05" w14:textId="658D4BAE" w:rsidR="005434C9" w:rsidRDefault="005434C9" w:rsidP="006B2D56">
      <w:pPr>
        <w:widowControl w:val="0"/>
        <w:tabs>
          <w:tab w:val="left" w:pos="851"/>
        </w:tabs>
        <w:spacing w:before="0" w:line="240" w:lineRule="auto"/>
        <w:rPr>
          <w:b/>
          <w:lang w:val="en-GB"/>
        </w:rPr>
      </w:pPr>
    </w:p>
    <w:p w14:paraId="789D3EA1" w14:textId="4378A052" w:rsidR="005434C9" w:rsidRDefault="005434C9" w:rsidP="00FD3CB9">
      <w:pPr>
        <w:widowControl w:val="0"/>
        <w:tabs>
          <w:tab w:val="left" w:pos="851"/>
        </w:tabs>
        <w:spacing w:before="0" w:line="240" w:lineRule="auto"/>
        <w:jc w:val="center"/>
        <w:rPr>
          <w:b/>
          <w:lang w:val="en-GB"/>
        </w:rPr>
      </w:pPr>
    </w:p>
    <w:p w14:paraId="05AB511E" w14:textId="77777777" w:rsidR="005434C9" w:rsidRDefault="005434C9" w:rsidP="00FD3CB9">
      <w:pPr>
        <w:widowControl w:val="0"/>
        <w:tabs>
          <w:tab w:val="left" w:pos="851"/>
        </w:tabs>
        <w:spacing w:before="0" w:line="240" w:lineRule="auto"/>
        <w:jc w:val="center"/>
        <w:rPr>
          <w:b/>
          <w:lang w:val="en-GB"/>
        </w:rPr>
      </w:pPr>
    </w:p>
    <w:p w14:paraId="1A5869C1" w14:textId="3699BECA" w:rsidR="00304FFE" w:rsidRPr="00F34B8E" w:rsidRDefault="00304FFE" w:rsidP="00FD3CB9">
      <w:pPr>
        <w:widowControl w:val="0"/>
        <w:tabs>
          <w:tab w:val="left" w:pos="851"/>
        </w:tabs>
        <w:spacing w:before="0" w:line="240" w:lineRule="auto"/>
        <w:jc w:val="center"/>
        <w:rPr>
          <w:lang w:val="en-GB"/>
        </w:rPr>
      </w:pPr>
      <w:r w:rsidRPr="00F34B8E">
        <w:rPr>
          <w:b/>
          <w:lang w:val="en-GB"/>
        </w:rPr>
        <w:t>APPEARANCES</w:t>
      </w:r>
    </w:p>
    <w:p w14:paraId="4CDDDB5E" w14:textId="77777777" w:rsidR="00304FFE" w:rsidRPr="00F34B8E" w:rsidRDefault="00304FFE" w:rsidP="00304FFE">
      <w:pPr>
        <w:widowControl w:val="0"/>
        <w:tabs>
          <w:tab w:val="left" w:pos="851"/>
        </w:tabs>
        <w:spacing w:before="0" w:line="240" w:lineRule="auto"/>
        <w:ind w:left="2880" w:hanging="2880"/>
        <w:rPr>
          <w:lang w:val="en-GB"/>
        </w:rPr>
      </w:pPr>
    </w:p>
    <w:p w14:paraId="59E4C5EF" w14:textId="77777777" w:rsidR="00C70F4C" w:rsidRPr="00F34B8E" w:rsidRDefault="00304FFE" w:rsidP="00304FFE">
      <w:pPr>
        <w:widowControl w:val="0"/>
        <w:tabs>
          <w:tab w:val="left" w:pos="851"/>
        </w:tabs>
        <w:spacing w:before="0" w:line="240" w:lineRule="auto"/>
        <w:ind w:left="2880" w:hanging="2880"/>
        <w:rPr>
          <w:lang w:val="en-GB"/>
        </w:rPr>
      </w:pPr>
      <w:r w:rsidRPr="00F34B8E">
        <w:rPr>
          <w:b/>
          <w:bCs/>
          <w:lang w:val="en-GB"/>
        </w:rPr>
        <w:t>For the applicant</w:t>
      </w:r>
      <w:r w:rsidRPr="00F34B8E">
        <w:rPr>
          <w:lang w:val="en-GB"/>
        </w:rPr>
        <w:t>:</w:t>
      </w:r>
      <w:r w:rsidRPr="00F34B8E">
        <w:rPr>
          <w:lang w:val="en-GB"/>
        </w:rPr>
        <w:tab/>
      </w:r>
    </w:p>
    <w:p w14:paraId="297901EF" w14:textId="77777777" w:rsidR="00C70F4C" w:rsidRPr="00F34B8E" w:rsidRDefault="00C70F4C" w:rsidP="00304FFE">
      <w:pPr>
        <w:widowControl w:val="0"/>
        <w:tabs>
          <w:tab w:val="left" w:pos="851"/>
        </w:tabs>
        <w:spacing w:before="0" w:line="240" w:lineRule="auto"/>
        <w:ind w:left="2880" w:hanging="2880"/>
        <w:rPr>
          <w:lang w:val="en-GB"/>
        </w:rPr>
      </w:pPr>
    </w:p>
    <w:p w14:paraId="1E798835" w14:textId="72126168" w:rsidR="00186FD6" w:rsidRDefault="00304FFE" w:rsidP="00B05DAE">
      <w:pPr>
        <w:widowControl w:val="0"/>
        <w:tabs>
          <w:tab w:val="left" w:pos="851"/>
        </w:tabs>
        <w:spacing w:before="0" w:line="240" w:lineRule="auto"/>
        <w:ind w:left="2880" w:hanging="2880"/>
        <w:rPr>
          <w:lang w:val="en-GB"/>
        </w:rPr>
      </w:pPr>
      <w:r w:rsidRPr="00F34B8E">
        <w:rPr>
          <w:lang w:val="en-GB"/>
        </w:rPr>
        <w:t xml:space="preserve">Adv </w:t>
      </w:r>
      <w:r w:rsidR="00C514FB">
        <w:rPr>
          <w:lang w:val="en-GB"/>
        </w:rPr>
        <w:t>R Stockwell SC</w:t>
      </w:r>
    </w:p>
    <w:p w14:paraId="2FBE8D56" w14:textId="1601B43C" w:rsidR="00C514FB" w:rsidRPr="00F34B8E" w:rsidRDefault="00C514FB" w:rsidP="00B05DAE">
      <w:pPr>
        <w:widowControl w:val="0"/>
        <w:tabs>
          <w:tab w:val="left" w:pos="851"/>
        </w:tabs>
        <w:spacing w:before="0" w:line="240" w:lineRule="auto"/>
        <w:ind w:left="2880" w:hanging="2880"/>
        <w:rPr>
          <w:lang w:val="en-GB"/>
        </w:rPr>
      </w:pPr>
      <w:r>
        <w:rPr>
          <w:lang w:val="en-GB"/>
        </w:rPr>
        <w:t xml:space="preserve">With him </w:t>
      </w:r>
      <w:r w:rsidR="003D1CE1">
        <w:rPr>
          <w:lang w:val="en-GB"/>
        </w:rPr>
        <w:t xml:space="preserve">Adv </w:t>
      </w:r>
      <w:proofErr w:type="gramStart"/>
      <w:r>
        <w:rPr>
          <w:lang w:val="en-GB"/>
        </w:rPr>
        <w:t>A</w:t>
      </w:r>
      <w:proofErr w:type="gramEnd"/>
      <w:r w:rsidR="003D1CE1">
        <w:rPr>
          <w:lang w:val="en-GB"/>
        </w:rPr>
        <w:t xml:space="preserve"> </w:t>
      </w:r>
      <w:r>
        <w:rPr>
          <w:lang w:val="en-GB"/>
        </w:rPr>
        <w:t>B Berkowitz</w:t>
      </w:r>
    </w:p>
    <w:p w14:paraId="095AD115" w14:textId="0986E0D1" w:rsidR="009E049A" w:rsidRPr="00F34B8E" w:rsidRDefault="00304FFE" w:rsidP="009D1F2B">
      <w:pPr>
        <w:widowControl w:val="0"/>
        <w:tabs>
          <w:tab w:val="left" w:pos="851"/>
        </w:tabs>
        <w:spacing w:before="0" w:line="240" w:lineRule="auto"/>
        <w:ind w:left="2880" w:hanging="2880"/>
        <w:rPr>
          <w:lang w:val="en-GB"/>
        </w:rPr>
      </w:pPr>
      <w:r w:rsidRPr="00F34B8E">
        <w:rPr>
          <w:lang w:val="en-GB"/>
        </w:rPr>
        <w:t>Instructed by</w:t>
      </w:r>
      <w:r w:rsidR="009E049A" w:rsidRPr="00F34B8E">
        <w:rPr>
          <w:lang w:val="en-GB"/>
        </w:rPr>
        <w:t>:</w:t>
      </w:r>
    </w:p>
    <w:p w14:paraId="4064961E" w14:textId="15F86C69" w:rsidR="00304FFE" w:rsidRPr="00F34B8E" w:rsidRDefault="00A65627" w:rsidP="009D1F2B">
      <w:pPr>
        <w:widowControl w:val="0"/>
        <w:tabs>
          <w:tab w:val="left" w:pos="851"/>
        </w:tabs>
        <w:spacing w:before="0" w:line="240" w:lineRule="auto"/>
        <w:ind w:left="2880" w:hanging="2880"/>
        <w:rPr>
          <w:lang w:val="en-GB"/>
        </w:rPr>
      </w:pPr>
      <w:r>
        <w:rPr>
          <w:lang w:val="en-GB"/>
        </w:rPr>
        <w:t>Keith Sutcliffe &amp; Associates Inc</w:t>
      </w:r>
      <w:r w:rsidR="00EC33D6">
        <w:rPr>
          <w:lang w:val="en-GB"/>
        </w:rPr>
        <w:t>orporated</w:t>
      </w:r>
    </w:p>
    <w:p w14:paraId="5118521C" w14:textId="7D03F17D" w:rsidR="00DC1BE0" w:rsidRPr="00F34B8E" w:rsidRDefault="00DC1BE0" w:rsidP="009D1F2B">
      <w:pPr>
        <w:widowControl w:val="0"/>
        <w:tabs>
          <w:tab w:val="left" w:pos="851"/>
        </w:tabs>
        <w:spacing w:before="0" w:line="240" w:lineRule="auto"/>
        <w:ind w:left="2880" w:hanging="2880"/>
        <w:rPr>
          <w:lang w:val="en-GB"/>
        </w:rPr>
      </w:pPr>
      <w:r w:rsidRPr="00F34B8E">
        <w:rPr>
          <w:lang w:val="en-GB"/>
        </w:rPr>
        <w:tab/>
      </w:r>
      <w:r w:rsidRPr="00F34B8E">
        <w:rPr>
          <w:lang w:val="en-GB"/>
        </w:rPr>
        <w:tab/>
      </w:r>
    </w:p>
    <w:p w14:paraId="3ED67274" w14:textId="77777777" w:rsidR="00304FFE" w:rsidRPr="00F34B8E" w:rsidRDefault="00304FFE" w:rsidP="00583A4A">
      <w:pPr>
        <w:widowControl w:val="0"/>
        <w:tabs>
          <w:tab w:val="left" w:pos="851"/>
        </w:tabs>
        <w:spacing w:before="0" w:line="240" w:lineRule="auto"/>
        <w:rPr>
          <w:lang w:val="en-GB"/>
        </w:rPr>
      </w:pPr>
    </w:p>
    <w:p w14:paraId="4E8FDE17" w14:textId="6E90B4F8" w:rsidR="00C70F4C" w:rsidRPr="00F34B8E" w:rsidRDefault="00304FFE" w:rsidP="00304FFE">
      <w:pPr>
        <w:widowControl w:val="0"/>
        <w:tabs>
          <w:tab w:val="left" w:pos="851"/>
        </w:tabs>
        <w:spacing w:before="0" w:line="240" w:lineRule="auto"/>
        <w:ind w:left="2880" w:hanging="2880"/>
        <w:rPr>
          <w:lang w:val="en-GB"/>
        </w:rPr>
      </w:pPr>
      <w:r w:rsidRPr="00F34B8E">
        <w:rPr>
          <w:b/>
          <w:bCs/>
          <w:lang w:val="en-GB"/>
        </w:rPr>
        <w:t xml:space="preserve">For the </w:t>
      </w:r>
      <w:r w:rsidR="00EC33D6">
        <w:rPr>
          <w:b/>
          <w:bCs/>
          <w:lang w:val="en-GB"/>
        </w:rPr>
        <w:t xml:space="preserve">sixth and ninth </w:t>
      </w:r>
      <w:r w:rsidR="002F356E">
        <w:rPr>
          <w:b/>
          <w:bCs/>
          <w:lang w:val="en-GB"/>
        </w:rPr>
        <w:t>r</w:t>
      </w:r>
      <w:r w:rsidRPr="00F34B8E">
        <w:rPr>
          <w:b/>
          <w:bCs/>
          <w:lang w:val="en-GB"/>
        </w:rPr>
        <w:t>espondent</w:t>
      </w:r>
      <w:r w:rsidR="00EC33D6">
        <w:rPr>
          <w:b/>
          <w:bCs/>
          <w:lang w:val="en-GB"/>
        </w:rPr>
        <w:t>s</w:t>
      </w:r>
      <w:r w:rsidRPr="00F34B8E">
        <w:rPr>
          <w:lang w:val="en-GB"/>
        </w:rPr>
        <w:t>:</w:t>
      </w:r>
    </w:p>
    <w:p w14:paraId="5173215D" w14:textId="57C5F648" w:rsidR="00DC1BE0" w:rsidRPr="00F34B8E" w:rsidRDefault="00DC1BE0" w:rsidP="00304FFE">
      <w:pPr>
        <w:widowControl w:val="0"/>
        <w:tabs>
          <w:tab w:val="left" w:pos="851"/>
        </w:tabs>
        <w:spacing w:before="0" w:line="240" w:lineRule="auto"/>
        <w:ind w:left="2880" w:hanging="2880"/>
        <w:rPr>
          <w:lang w:val="en-GB"/>
        </w:rPr>
      </w:pPr>
    </w:p>
    <w:p w14:paraId="37E4D5B1" w14:textId="04C6BAC4" w:rsidR="00DC1BE0" w:rsidRPr="00F34B8E" w:rsidRDefault="00304FFE" w:rsidP="00026DC7">
      <w:pPr>
        <w:widowControl w:val="0"/>
        <w:tabs>
          <w:tab w:val="left" w:pos="851"/>
        </w:tabs>
        <w:spacing w:before="0" w:line="240" w:lineRule="auto"/>
        <w:ind w:left="2880" w:hanging="2880"/>
        <w:rPr>
          <w:lang w:val="en-GB"/>
        </w:rPr>
      </w:pPr>
      <w:r w:rsidRPr="00F34B8E">
        <w:rPr>
          <w:lang w:val="en-GB"/>
        </w:rPr>
        <w:t xml:space="preserve">Adv </w:t>
      </w:r>
      <w:r w:rsidR="00EC33D6">
        <w:rPr>
          <w:lang w:val="en-GB"/>
        </w:rPr>
        <w:t>A Bester SC</w:t>
      </w:r>
    </w:p>
    <w:p w14:paraId="6F467AB5" w14:textId="7D63DC6B" w:rsidR="009E049A" w:rsidRPr="00F34B8E" w:rsidRDefault="00304FFE" w:rsidP="00304FFE">
      <w:pPr>
        <w:widowControl w:val="0"/>
        <w:tabs>
          <w:tab w:val="left" w:pos="851"/>
        </w:tabs>
        <w:spacing w:before="0" w:line="240" w:lineRule="auto"/>
        <w:ind w:left="2880" w:hanging="2880"/>
        <w:rPr>
          <w:lang w:val="en-GB"/>
        </w:rPr>
      </w:pPr>
      <w:r w:rsidRPr="00F34B8E">
        <w:rPr>
          <w:lang w:val="en-GB"/>
        </w:rPr>
        <w:t>Instructed by</w:t>
      </w:r>
      <w:r w:rsidR="009E049A" w:rsidRPr="00F34B8E">
        <w:rPr>
          <w:lang w:val="en-GB"/>
        </w:rPr>
        <w:t>:</w:t>
      </w:r>
      <w:r w:rsidRPr="00F34B8E">
        <w:rPr>
          <w:lang w:val="en-GB"/>
        </w:rPr>
        <w:t xml:space="preserve"> </w:t>
      </w:r>
    </w:p>
    <w:p w14:paraId="2673F723" w14:textId="6BEDD35F" w:rsidR="00304FFE" w:rsidRPr="00F34B8E" w:rsidRDefault="00277071" w:rsidP="00304FFE">
      <w:pPr>
        <w:widowControl w:val="0"/>
        <w:tabs>
          <w:tab w:val="left" w:pos="851"/>
        </w:tabs>
        <w:spacing w:before="0" w:line="240" w:lineRule="auto"/>
        <w:ind w:left="2880" w:hanging="2880"/>
        <w:rPr>
          <w:lang w:val="en-GB"/>
        </w:rPr>
      </w:pPr>
      <w:proofErr w:type="spellStart"/>
      <w:r>
        <w:rPr>
          <w:lang w:val="en-GB"/>
        </w:rPr>
        <w:t>Shandu</w:t>
      </w:r>
      <w:proofErr w:type="spellEnd"/>
      <w:r>
        <w:rPr>
          <w:lang w:val="en-GB"/>
        </w:rPr>
        <w:t xml:space="preserve"> Attorneys Inco</w:t>
      </w:r>
      <w:r w:rsidR="00661DC5">
        <w:rPr>
          <w:lang w:val="en-GB"/>
        </w:rPr>
        <w:t>r</w:t>
      </w:r>
      <w:r>
        <w:rPr>
          <w:lang w:val="en-GB"/>
        </w:rPr>
        <w:t>porated</w:t>
      </w:r>
    </w:p>
    <w:p w14:paraId="5A18121B" w14:textId="6F0C989B" w:rsidR="00304FFE" w:rsidRPr="00F34B8E" w:rsidRDefault="00304FFE" w:rsidP="00583A4A">
      <w:pPr>
        <w:widowControl w:val="0"/>
        <w:tabs>
          <w:tab w:val="left" w:pos="851"/>
        </w:tabs>
        <w:spacing w:before="0" w:line="240" w:lineRule="auto"/>
        <w:ind w:left="2880" w:hanging="2880"/>
        <w:rPr>
          <w:lang w:val="en-GB"/>
        </w:rPr>
      </w:pPr>
      <w:r w:rsidRPr="00F34B8E">
        <w:rPr>
          <w:lang w:val="en-GB"/>
        </w:rPr>
        <w:tab/>
      </w:r>
      <w:r w:rsidRPr="00F34B8E">
        <w:rPr>
          <w:lang w:val="en-GB"/>
        </w:rPr>
        <w:tab/>
      </w:r>
    </w:p>
    <w:p w14:paraId="2A5E3F73" w14:textId="77777777" w:rsidR="003972F9" w:rsidRDefault="003972F9" w:rsidP="00186FD6">
      <w:pPr>
        <w:widowControl w:val="0"/>
        <w:tabs>
          <w:tab w:val="left" w:pos="851"/>
          <w:tab w:val="left" w:pos="2835"/>
        </w:tabs>
        <w:spacing w:before="0" w:line="240" w:lineRule="auto"/>
        <w:rPr>
          <w:lang w:val="en-GB"/>
        </w:rPr>
      </w:pPr>
    </w:p>
    <w:p w14:paraId="410F6C7B" w14:textId="77777777" w:rsidR="003972F9" w:rsidRDefault="003972F9" w:rsidP="00186FD6">
      <w:pPr>
        <w:widowControl w:val="0"/>
        <w:tabs>
          <w:tab w:val="left" w:pos="851"/>
          <w:tab w:val="left" w:pos="2835"/>
        </w:tabs>
        <w:spacing w:before="0" w:line="240" w:lineRule="auto"/>
        <w:rPr>
          <w:lang w:val="en-GB"/>
        </w:rPr>
      </w:pPr>
    </w:p>
    <w:p w14:paraId="687B6994" w14:textId="7CB4D9AB" w:rsidR="00304FFE" w:rsidRPr="00F34B8E" w:rsidRDefault="00304FFE" w:rsidP="00186FD6">
      <w:pPr>
        <w:widowControl w:val="0"/>
        <w:tabs>
          <w:tab w:val="left" w:pos="851"/>
          <w:tab w:val="left" w:pos="2835"/>
        </w:tabs>
        <w:spacing w:before="0" w:line="240" w:lineRule="auto"/>
        <w:rPr>
          <w:lang w:val="en-GB"/>
        </w:rPr>
      </w:pPr>
      <w:r w:rsidRPr="00F34B8E">
        <w:rPr>
          <w:lang w:val="en-GB"/>
        </w:rPr>
        <w:t>Date of hearing:</w:t>
      </w:r>
      <w:r w:rsidRPr="00F34B8E">
        <w:rPr>
          <w:lang w:val="en-GB"/>
        </w:rPr>
        <w:tab/>
      </w:r>
      <w:r w:rsidR="00A935E8">
        <w:rPr>
          <w:lang w:val="en-GB"/>
        </w:rPr>
        <w:t xml:space="preserve">17 October </w:t>
      </w:r>
      <w:r w:rsidR="00186FD6" w:rsidRPr="00F34B8E">
        <w:rPr>
          <w:lang w:val="en-GB"/>
        </w:rPr>
        <w:t>20</w:t>
      </w:r>
      <w:r w:rsidR="00EC5114">
        <w:rPr>
          <w:lang w:val="en-GB"/>
        </w:rPr>
        <w:t>22</w:t>
      </w:r>
    </w:p>
    <w:p w14:paraId="618E2F73" w14:textId="77777777" w:rsidR="00304FFE" w:rsidRPr="00F34B8E" w:rsidRDefault="00304FFE" w:rsidP="00304FFE">
      <w:pPr>
        <w:widowControl w:val="0"/>
        <w:tabs>
          <w:tab w:val="left" w:pos="851"/>
        </w:tabs>
        <w:spacing w:before="0" w:line="240" w:lineRule="auto"/>
        <w:rPr>
          <w:lang w:val="en-GB"/>
        </w:rPr>
      </w:pPr>
    </w:p>
    <w:p w14:paraId="26BF4311" w14:textId="6A6AD1EA" w:rsidR="00304FFE" w:rsidRPr="00F34B8E" w:rsidRDefault="00304FFE" w:rsidP="00186FD6">
      <w:pPr>
        <w:widowControl w:val="0"/>
        <w:tabs>
          <w:tab w:val="left" w:pos="851"/>
          <w:tab w:val="left" w:pos="2835"/>
        </w:tabs>
        <w:spacing w:before="0" w:line="240" w:lineRule="auto"/>
        <w:rPr>
          <w:lang w:val="en-GB"/>
        </w:rPr>
      </w:pPr>
      <w:r w:rsidRPr="00F34B8E">
        <w:rPr>
          <w:lang w:val="en-GB"/>
        </w:rPr>
        <w:t>Date of judgment:</w:t>
      </w:r>
      <w:r w:rsidRPr="00F34B8E">
        <w:rPr>
          <w:lang w:val="en-GB"/>
        </w:rPr>
        <w:tab/>
      </w:r>
      <w:r w:rsidR="00F43EBC">
        <w:rPr>
          <w:lang w:val="en-GB"/>
        </w:rPr>
        <w:t>1</w:t>
      </w:r>
      <w:r w:rsidR="00A935E8">
        <w:rPr>
          <w:lang w:val="en-GB"/>
        </w:rPr>
        <w:t>9</w:t>
      </w:r>
      <w:r w:rsidR="00F43EBC">
        <w:rPr>
          <w:lang w:val="en-GB"/>
        </w:rPr>
        <w:t xml:space="preserve"> December</w:t>
      </w:r>
      <w:r w:rsidR="00B05DAE">
        <w:rPr>
          <w:lang w:val="en-GB"/>
        </w:rPr>
        <w:t xml:space="preserve"> 2022</w:t>
      </w:r>
    </w:p>
    <w:p w14:paraId="6D39AE0A" w14:textId="0C81C2CD" w:rsidR="00B27C05" w:rsidRDefault="00B27C05" w:rsidP="00B27C05">
      <w:pPr>
        <w:rPr>
          <w:lang w:val="en-GB"/>
        </w:rPr>
      </w:pPr>
    </w:p>
    <w:p w14:paraId="691AE07A" w14:textId="47229664" w:rsidR="00943C79" w:rsidRDefault="00943C79" w:rsidP="00B27C05">
      <w:pPr>
        <w:rPr>
          <w:lang w:val="en-GB"/>
        </w:rPr>
      </w:pPr>
    </w:p>
    <w:p w14:paraId="14F04DA7" w14:textId="61DFB28B" w:rsidR="00943C79" w:rsidRDefault="00943C79" w:rsidP="00B27C05">
      <w:pPr>
        <w:rPr>
          <w:lang w:val="en-GB"/>
        </w:rPr>
      </w:pPr>
    </w:p>
    <w:p w14:paraId="5DD16525" w14:textId="77777777" w:rsidR="00943C79" w:rsidRPr="00F34B8E" w:rsidRDefault="00943C79" w:rsidP="00B27C05">
      <w:pPr>
        <w:rPr>
          <w:lang w:val="en-GB"/>
        </w:rPr>
      </w:pPr>
    </w:p>
    <w:sectPr w:rsidR="00943C79" w:rsidRPr="00F34B8E" w:rsidSect="00B3188B">
      <w:head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13EF" w14:textId="77777777" w:rsidR="00EC1ADD" w:rsidRDefault="00EC1ADD" w:rsidP="00BA6AAB">
      <w:pPr>
        <w:spacing w:before="0" w:line="240" w:lineRule="auto"/>
      </w:pPr>
      <w:r>
        <w:separator/>
      </w:r>
    </w:p>
  </w:endnote>
  <w:endnote w:type="continuationSeparator" w:id="0">
    <w:p w14:paraId="77B3F968" w14:textId="77777777" w:rsidR="00EC1ADD" w:rsidRDefault="00EC1ADD" w:rsidP="00BA6A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D8E1" w14:textId="77777777" w:rsidR="00EC1ADD" w:rsidRDefault="00EC1ADD" w:rsidP="00BA6AAB">
      <w:pPr>
        <w:spacing w:before="0" w:line="240" w:lineRule="auto"/>
      </w:pPr>
      <w:r>
        <w:separator/>
      </w:r>
    </w:p>
  </w:footnote>
  <w:footnote w:type="continuationSeparator" w:id="0">
    <w:p w14:paraId="16E67951" w14:textId="77777777" w:rsidR="00EC1ADD" w:rsidRDefault="00EC1ADD" w:rsidP="00BA6AAB">
      <w:pPr>
        <w:spacing w:before="0" w:line="240" w:lineRule="auto"/>
      </w:pPr>
      <w:r>
        <w:continuationSeparator/>
      </w:r>
    </w:p>
  </w:footnote>
  <w:footnote w:id="1">
    <w:p w14:paraId="29EE317D" w14:textId="4020A77B" w:rsidR="00FA5BFC" w:rsidRPr="00F36737" w:rsidRDefault="00FA5BFC">
      <w:pPr>
        <w:pStyle w:val="FootnoteText"/>
        <w:rPr>
          <w:rFonts w:cs="Arial"/>
          <w:szCs w:val="20"/>
        </w:rPr>
      </w:pPr>
      <w:r w:rsidRPr="00F36737">
        <w:rPr>
          <w:rStyle w:val="FootnoteReference"/>
          <w:rFonts w:cs="Arial"/>
          <w:szCs w:val="20"/>
        </w:rPr>
        <w:footnoteRef/>
      </w:r>
      <w:r w:rsidRPr="00F36737">
        <w:rPr>
          <w:rFonts w:cs="Arial"/>
          <w:szCs w:val="20"/>
        </w:rPr>
        <w:t xml:space="preserve"> </w:t>
      </w:r>
      <w:r w:rsidRPr="00F36737">
        <w:rPr>
          <w:rFonts w:cs="Arial"/>
          <w:szCs w:val="20"/>
        </w:rPr>
        <w:tab/>
        <w:t xml:space="preserve">In the decision of the consultant to the Ombud for Long-term Insurance referred to below it is </w:t>
      </w:r>
      <w:r w:rsidR="00FF1A07">
        <w:rPr>
          <w:rFonts w:cs="Arial"/>
          <w:szCs w:val="20"/>
        </w:rPr>
        <w:t xml:space="preserve">recorded </w:t>
      </w:r>
      <w:r w:rsidRPr="00F36737">
        <w:rPr>
          <w:rFonts w:cs="Arial"/>
          <w:szCs w:val="20"/>
        </w:rPr>
        <w:t xml:space="preserve">that Sanlam </w:t>
      </w:r>
      <w:r w:rsidR="00FF1A07">
        <w:rPr>
          <w:rFonts w:cs="Arial"/>
          <w:szCs w:val="20"/>
        </w:rPr>
        <w:t xml:space="preserve">extended </w:t>
      </w:r>
      <w:r w:rsidRPr="00F36737">
        <w:rPr>
          <w:rFonts w:cs="Arial"/>
          <w:szCs w:val="20"/>
        </w:rPr>
        <w:t>the maturity date to 2012, and that</w:t>
      </w:r>
      <w:r w:rsidR="001815DB" w:rsidRPr="00F36737">
        <w:rPr>
          <w:rFonts w:cs="Arial"/>
          <w:szCs w:val="20"/>
        </w:rPr>
        <w:t xml:space="preserve"> Sanlam stated that the maturity </w:t>
      </w:r>
      <w:r w:rsidR="00FF1A07">
        <w:rPr>
          <w:rFonts w:cs="Arial"/>
          <w:szCs w:val="20"/>
        </w:rPr>
        <w:t xml:space="preserve">value </w:t>
      </w:r>
      <w:r w:rsidR="001815DB" w:rsidRPr="00F36737">
        <w:rPr>
          <w:rFonts w:cs="Arial"/>
          <w:szCs w:val="20"/>
        </w:rPr>
        <w:t>in 2012 was over R4</w:t>
      </w:r>
      <w:r w:rsidR="00FF1A07">
        <w:rPr>
          <w:rFonts w:cs="Arial"/>
          <w:szCs w:val="20"/>
        </w:rPr>
        <w:t>.</w:t>
      </w:r>
      <w:r w:rsidR="001815DB" w:rsidRPr="00F36737">
        <w:rPr>
          <w:rFonts w:cs="Arial"/>
          <w:szCs w:val="20"/>
        </w:rPr>
        <w:t>1m.</w:t>
      </w:r>
      <w:r w:rsidRPr="00F36737">
        <w:rPr>
          <w:rFonts w:cs="Arial"/>
          <w:szCs w:val="20"/>
        </w:rPr>
        <w:t xml:space="preserve"> </w:t>
      </w:r>
    </w:p>
  </w:footnote>
  <w:footnote w:id="2">
    <w:p w14:paraId="3C7D6224" w14:textId="324595CC" w:rsidR="004E3788" w:rsidRPr="00F36737" w:rsidRDefault="004E3788" w:rsidP="004E3788">
      <w:pPr>
        <w:pStyle w:val="FN"/>
        <w:rPr>
          <w:rFonts w:cs="Arial"/>
          <w:szCs w:val="20"/>
        </w:rPr>
      </w:pPr>
      <w:r w:rsidRPr="00F36737">
        <w:rPr>
          <w:rStyle w:val="FootnoteReference"/>
          <w:rFonts w:cs="Arial"/>
          <w:szCs w:val="20"/>
        </w:rPr>
        <w:footnoteRef/>
      </w:r>
      <w:r w:rsidRPr="00F36737">
        <w:rPr>
          <w:rFonts w:cs="Arial"/>
          <w:szCs w:val="20"/>
        </w:rPr>
        <w:t xml:space="preserve"> </w:t>
      </w:r>
      <w:r w:rsidRPr="00F36737">
        <w:rPr>
          <w:rFonts w:cs="Arial"/>
          <w:szCs w:val="20"/>
          <w:lang w:val="en-US"/>
        </w:rPr>
        <w:tab/>
        <w:t xml:space="preserve">In the record it is </w:t>
      </w:r>
      <w:r w:rsidR="00E5214C" w:rsidRPr="00F36737">
        <w:rPr>
          <w:rFonts w:cs="Arial"/>
          <w:szCs w:val="20"/>
          <w:lang w:val="en-US"/>
        </w:rPr>
        <w:t xml:space="preserve">also </w:t>
      </w:r>
      <w:r w:rsidRPr="00F36737">
        <w:rPr>
          <w:rFonts w:cs="Arial"/>
          <w:szCs w:val="20"/>
          <w:lang w:val="en-US"/>
        </w:rPr>
        <w:t xml:space="preserve">reflected that the date of deregistration was 5 April </w:t>
      </w:r>
      <w:r w:rsidR="006D34D3" w:rsidRPr="00F36737">
        <w:rPr>
          <w:rFonts w:cs="Arial"/>
          <w:szCs w:val="20"/>
          <w:lang w:val="en-US"/>
        </w:rPr>
        <w:t>2000, but nothing turns on this discrepancy.</w:t>
      </w:r>
    </w:p>
  </w:footnote>
  <w:footnote w:id="3">
    <w:p w14:paraId="45407735" w14:textId="5F7F2533" w:rsidR="00411384" w:rsidRPr="00F36737" w:rsidRDefault="00411384">
      <w:pPr>
        <w:pStyle w:val="FootnoteText"/>
        <w:rPr>
          <w:rFonts w:cs="Arial"/>
          <w:szCs w:val="20"/>
        </w:rPr>
      </w:pPr>
      <w:r w:rsidRPr="00F36737">
        <w:rPr>
          <w:rStyle w:val="FootnoteReference"/>
          <w:rFonts w:cs="Arial"/>
          <w:szCs w:val="20"/>
        </w:rPr>
        <w:footnoteRef/>
      </w:r>
      <w:r w:rsidRPr="00F36737">
        <w:rPr>
          <w:rFonts w:cs="Arial"/>
          <w:szCs w:val="20"/>
        </w:rPr>
        <w:t xml:space="preserve"> </w:t>
      </w:r>
      <w:r w:rsidRPr="00F36737">
        <w:rPr>
          <w:rFonts w:cs="Arial"/>
          <w:szCs w:val="20"/>
        </w:rPr>
        <w:tab/>
        <w:t>The deponent refers to the “officious bystander test” which is discussed below.</w:t>
      </w:r>
    </w:p>
  </w:footnote>
  <w:footnote w:id="4">
    <w:p w14:paraId="6B8E96DD" w14:textId="77777777" w:rsidR="00F36737" w:rsidRPr="00F36737" w:rsidRDefault="00F36737" w:rsidP="00F36737">
      <w:pPr>
        <w:pStyle w:val="FootnoteText"/>
        <w:rPr>
          <w:rFonts w:cs="Arial"/>
          <w:szCs w:val="20"/>
          <w:lang w:val="en-US"/>
        </w:rPr>
      </w:pPr>
      <w:r w:rsidRPr="00F36737">
        <w:rPr>
          <w:rStyle w:val="FootnoteReference"/>
          <w:rFonts w:cs="Arial"/>
          <w:szCs w:val="20"/>
        </w:rPr>
        <w:footnoteRef/>
      </w:r>
      <w:r w:rsidRPr="00F36737">
        <w:rPr>
          <w:rFonts w:cs="Arial"/>
          <w:szCs w:val="20"/>
        </w:rPr>
        <w:t xml:space="preserve"> </w:t>
      </w:r>
      <w:r w:rsidRPr="00F36737">
        <w:rPr>
          <w:rFonts w:cs="Arial"/>
          <w:szCs w:val="20"/>
          <w:lang w:val="en-US"/>
        </w:rPr>
        <w:tab/>
      </w:r>
      <w:r w:rsidRPr="00F36737">
        <w:rPr>
          <w:rFonts w:cs="Arial"/>
          <w:i/>
          <w:iCs/>
          <w:szCs w:val="20"/>
          <w:shd w:val="clear" w:color="auto" w:fill="FFFFFF"/>
        </w:rPr>
        <w:t>City Capital SA Property Holdings Ltd v Chavonnes Badenhorst St Clair Cooper and Others</w:t>
      </w:r>
      <w:r w:rsidRPr="00F36737">
        <w:rPr>
          <w:rFonts w:cs="Arial"/>
          <w:szCs w:val="20"/>
          <w:shd w:val="clear" w:color="auto" w:fill="FFFFFF"/>
        </w:rPr>
        <w:t xml:space="preserve"> 2018 (4) SA 71 (SCA), paragraph 27; </w:t>
      </w:r>
      <w:r w:rsidRPr="00F36737">
        <w:rPr>
          <w:rFonts w:cs="Arial"/>
          <w:i/>
          <w:iCs/>
          <w:szCs w:val="20"/>
          <w:lang w:val="en-US"/>
        </w:rPr>
        <w:t xml:space="preserve">Dadoo Ltd and Others v Krugersdorp Municipal Council </w:t>
      </w:r>
      <w:r w:rsidRPr="00F36737">
        <w:rPr>
          <w:rFonts w:cs="Arial"/>
          <w:szCs w:val="20"/>
          <w:lang w:val="en-US"/>
        </w:rPr>
        <w:t xml:space="preserve">1920 AD 530 at 550-551 (following the principle enunciated in </w:t>
      </w:r>
      <w:r w:rsidRPr="00F36737">
        <w:rPr>
          <w:rFonts w:cs="Arial"/>
          <w:szCs w:val="20"/>
          <w:shd w:val="clear" w:color="auto" w:fill="FFFFFF"/>
        </w:rPr>
        <w:t> </w:t>
      </w:r>
      <w:r w:rsidRPr="00F36737">
        <w:rPr>
          <w:rFonts w:cs="Arial"/>
          <w:i/>
          <w:iCs/>
          <w:szCs w:val="20"/>
          <w:shd w:val="clear" w:color="auto" w:fill="FFFFFF"/>
        </w:rPr>
        <w:t>Salomon v A Salomon &amp; Co</w:t>
      </w:r>
      <w:r w:rsidRPr="00F36737">
        <w:rPr>
          <w:rFonts w:cs="Arial"/>
          <w:szCs w:val="20"/>
          <w:shd w:val="clear" w:color="auto" w:fill="FFFFFF"/>
        </w:rPr>
        <w:t> [1897] AC 22)</w:t>
      </w:r>
    </w:p>
  </w:footnote>
  <w:footnote w:id="5">
    <w:p w14:paraId="64083EE2" w14:textId="7D9D0511" w:rsidR="00F36737" w:rsidRPr="00F36737" w:rsidRDefault="00F36737">
      <w:pPr>
        <w:pStyle w:val="FootnoteText"/>
        <w:rPr>
          <w:rFonts w:cs="Arial"/>
          <w:szCs w:val="20"/>
        </w:rPr>
      </w:pPr>
      <w:r w:rsidRPr="00F36737">
        <w:rPr>
          <w:rStyle w:val="FootnoteReference"/>
          <w:rFonts w:cs="Arial"/>
          <w:szCs w:val="20"/>
        </w:rPr>
        <w:footnoteRef/>
      </w:r>
      <w:r w:rsidRPr="00F36737">
        <w:rPr>
          <w:rFonts w:cs="Arial"/>
          <w:szCs w:val="20"/>
        </w:rPr>
        <w:t xml:space="preserve"> </w:t>
      </w:r>
      <w:r w:rsidRPr="00F36737">
        <w:rPr>
          <w:rFonts w:cs="Arial"/>
          <w:szCs w:val="20"/>
        </w:rPr>
        <w:tab/>
      </w:r>
      <w:r w:rsidRPr="00A53A31">
        <w:rPr>
          <w:rFonts w:cs="Arial"/>
          <w:i/>
          <w:iCs/>
          <w:szCs w:val="20"/>
        </w:rPr>
        <w:t>Salomon (supra)</w:t>
      </w:r>
      <w:r>
        <w:rPr>
          <w:rFonts w:cs="Arial"/>
          <w:szCs w:val="20"/>
        </w:rPr>
        <w:t xml:space="preserve">; </w:t>
      </w:r>
      <w:r w:rsidRPr="00F36737">
        <w:rPr>
          <w:rFonts w:cs="Arial"/>
          <w:i/>
          <w:iCs/>
          <w:szCs w:val="20"/>
          <w:shd w:val="clear" w:color="auto" w:fill="FFFFFF"/>
        </w:rPr>
        <w:t>Lipschitz and Another NNO v Landmark Consolidated (Pty) Ltd</w:t>
      </w:r>
      <w:r w:rsidRPr="00F36737">
        <w:rPr>
          <w:rFonts w:cs="Arial"/>
          <w:szCs w:val="20"/>
          <w:shd w:val="clear" w:color="auto" w:fill="FFFFFF"/>
        </w:rPr>
        <w:t xml:space="preserve"> 1979 (2) SA 482 (W) at </w:t>
      </w:r>
      <w:r>
        <w:rPr>
          <w:rFonts w:cs="Arial"/>
          <w:szCs w:val="20"/>
          <w:shd w:val="clear" w:color="auto" w:fill="FFFFFF"/>
        </w:rPr>
        <w:t>488</w:t>
      </w:r>
    </w:p>
  </w:footnote>
  <w:footnote w:id="6">
    <w:p w14:paraId="49157103" w14:textId="72F36588" w:rsidR="00B576C4" w:rsidRPr="00F36737" w:rsidRDefault="00B576C4">
      <w:pPr>
        <w:pStyle w:val="FootnoteText"/>
        <w:rPr>
          <w:rFonts w:cs="Arial"/>
          <w:szCs w:val="20"/>
          <w:lang w:val="en-US"/>
        </w:rPr>
      </w:pPr>
      <w:r w:rsidRPr="00F36737">
        <w:rPr>
          <w:rStyle w:val="FootnoteReference"/>
          <w:rFonts w:cs="Arial"/>
          <w:szCs w:val="20"/>
        </w:rPr>
        <w:footnoteRef/>
      </w:r>
      <w:r w:rsidRPr="00F36737">
        <w:rPr>
          <w:rFonts w:cs="Arial"/>
          <w:szCs w:val="20"/>
        </w:rPr>
        <w:t xml:space="preserve"> </w:t>
      </w:r>
      <w:r w:rsidRPr="00F36737">
        <w:rPr>
          <w:rFonts w:cs="Arial"/>
          <w:szCs w:val="20"/>
          <w:lang w:val="en-US"/>
        </w:rPr>
        <w:tab/>
      </w:r>
      <w:r w:rsidR="00316725" w:rsidRPr="00F36737">
        <w:rPr>
          <w:rFonts w:cs="Arial"/>
          <w:i/>
          <w:iCs/>
          <w:szCs w:val="20"/>
          <w:lang w:val="en-US"/>
        </w:rPr>
        <w:t>Alfred McAlpine &amp; Sons (Pty) Ltd v Transvaal Provincial Administration</w:t>
      </w:r>
      <w:r w:rsidR="00316725" w:rsidRPr="00F36737">
        <w:rPr>
          <w:rFonts w:cs="Arial"/>
          <w:szCs w:val="20"/>
          <w:lang w:val="en-US"/>
        </w:rPr>
        <w:t xml:space="preserve"> 1974 (3) SA </w:t>
      </w:r>
      <w:r w:rsidR="002546DF" w:rsidRPr="00F36737">
        <w:rPr>
          <w:rFonts w:cs="Arial"/>
          <w:szCs w:val="20"/>
          <w:lang w:val="en-US"/>
        </w:rPr>
        <w:t>506 (A) at 531-532</w:t>
      </w:r>
    </w:p>
  </w:footnote>
  <w:footnote w:id="7">
    <w:p w14:paraId="4442CDB3" w14:textId="6DFD4715" w:rsidR="006337FA" w:rsidRPr="00F36737" w:rsidRDefault="006337FA">
      <w:pPr>
        <w:pStyle w:val="FootnoteText"/>
        <w:rPr>
          <w:rFonts w:cs="Arial"/>
          <w:szCs w:val="20"/>
          <w:lang w:val="en-US"/>
        </w:rPr>
      </w:pPr>
      <w:r w:rsidRPr="00F36737">
        <w:rPr>
          <w:rStyle w:val="FootnoteReference"/>
          <w:rFonts w:cs="Arial"/>
          <w:szCs w:val="20"/>
        </w:rPr>
        <w:footnoteRef/>
      </w:r>
      <w:r w:rsidRPr="00F36737">
        <w:rPr>
          <w:rFonts w:cs="Arial"/>
          <w:szCs w:val="20"/>
        </w:rPr>
        <w:t xml:space="preserve"> </w:t>
      </w:r>
      <w:r w:rsidRPr="00F36737">
        <w:rPr>
          <w:rFonts w:cs="Arial"/>
          <w:szCs w:val="20"/>
          <w:lang w:val="en-US"/>
        </w:rPr>
        <w:tab/>
        <w:t>1965 (3) SA 150 (A) at 175C</w:t>
      </w:r>
    </w:p>
  </w:footnote>
  <w:footnote w:id="8">
    <w:p w14:paraId="5870B1FA" w14:textId="2783C97F" w:rsidR="00E169C7" w:rsidRPr="00F36737" w:rsidRDefault="00E169C7">
      <w:pPr>
        <w:pStyle w:val="FootnoteText"/>
        <w:rPr>
          <w:rFonts w:cs="Arial"/>
          <w:szCs w:val="20"/>
          <w:lang w:val="en-US"/>
        </w:rPr>
      </w:pPr>
      <w:r w:rsidRPr="00F36737">
        <w:rPr>
          <w:rStyle w:val="FootnoteReference"/>
          <w:rFonts w:cs="Arial"/>
          <w:szCs w:val="20"/>
        </w:rPr>
        <w:footnoteRef/>
      </w:r>
      <w:r w:rsidRPr="00F36737">
        <w:rPr>
          <w:rFonts w:cs="Arial"/>
          <w:szCs w:val="20"/>
        </w:rPr>
        <w:t xml:space="preserve"> </w:t>
      </w:r>
      <w:r w:rsidR="005236F6" w:rsidRPr="00F36737">
        <w:rPr>
          <w:rFonts w:cs="Arial"/>
          <w:szCs w:val="20"/>
        </w:rPr>
        <w:tab/>
        <w:t xml:space="preserve">The reference to </w:t>
      </w:r>
      <w:r w:rsidR="005236F6" w:rsidRPr="00F36737">
        <w:rPr>
          <w:rFonts w:cs="Arial"/>
          <w:i/>
          <w:iCs/>
          <w:szCs w:val="20"/>
        </w:rPr>
        <w:t>“implied term”</w:t>
      </w:r>
      <w:r w:rsidR="005236F6" w:rsidRPr="00F36737">
        <w:rPr>
          <w:rFonts w:cs="Arial"/>
          <w:szCs w:val="20"/>
        </w:rPr>
        <w:t xml:space="preserve"> in the context is a ref</w:t>
      </w:r>
      <w:r w:rsidR="00D31F1B" w:rsidRPr="00F36737">
        <w:rPr>
          <w:rFonts w:cs="Arial"/>
          <w:szCs w:val="20"/>
        </w:rPr>
        <w:t xml:space="preserve">erence to a </w:t>
      </w:r>
      <w:r w:rsidR="00D31F1B" w:rsidRPr="00F36737">
        <w:rPr>
          <w:rFonts w:cs="Arial"/>
          <w:i/>
          <w:iCs/>
          <w:szCs w:val="20"/>
        </w:rPr>
        <w:t>“tacit term”</w:t>
      </w:r>
      <w:r w:rsidR="00D31F1B" w:rsidRPr="00F36737">
        <w:rPr>
          <w:rFonts w:cs="Arial"/>
          <w:szCs w:val="20"/>
        </w:rPr>
        <w:t>.</w:t>
      </w:r>
    </w:p>
  </w:footnote>
  <w:footnote w:id="9">
    <w:p w14:paraId="6A03407B" w14:textId="77777777" w:rsidR="00B266CA" w:rsidRPr="00F36737" w:rsidRDefault="00B266CA" w:rsidP="00B266CA">
      <w:pPr>
        <w:pStyle w:val="FootnoteText"/>
        <w:rPr>
          <w:rFonts w:cs="Arial"/>
          <w:szCs w:val="20"/>
          <w:lang w:val="en-US"/>
        </w:rPr>
      </w:pPr>
      <w:r w:rsidRPr="00F36737">
        <w:rPr>
          <w:rStyle w:val="FootnoteReference"/>
          <w:rFonts w:cs="Arial"/>
          <w:szCs w:val="20"/>
        </w:rPr>
        <w:footnoteRef/>
      </w:r>
      <w:r w:rsidRPr="00F36737">
        <w:rPr>
          <w:rFonts w:cs="Arial"/>
          <w:szCs w:val="20"/>
        </w:rPr>
        <w:t xml:space="preserve"> </w:t>
      </w:r>
      <w:r w:rsidRPr="00F36737">
        <w:rPr>
          <w:rFonts w:cs="Arial"/>
          <w:szCs w:val="20"/>
          <w:lang w:val="en-US"/>
        </w:rPr>
        <w:tab/>
        <w:t>1994 (3) SA 130 (A) at 137</w:t>
      </w:r>
    </w:p>
  </w:footnote>
  <w:footnote w:id="10">
    <w:p w14:paraId="08E552FA" w14:textId="369CBC8E" w:rsidR="00101177" w:rsidRPr="00F36737" w:rsidRDefault="00101177">
      <w:pPr>
        <w:pStyle w:val="FootnoteText"/>
        <w:rPr>
          <w:rFonts w:cs="Arial"/>
          <w:szCs w:val="20"/>
          <w:lang w:val="en-US"/>
        </w:rPr>
      </w:pPr>
      <w:r w:rsidRPr="00F36737">
        <w:rPr>
          <w:rStyle w:val="FootnoteReference"/>
          <w:rFonts w:cs="Arial"/>
          <w:szCs w:val="20"/>
        </w:rPr>
        <w:footnoteRef/>
      </w:r>
      <w:r w:rsidRPr="00F36737">
        <w:rPr>
          <w:rFonts w:cs="Arial"/>
          <w:szCs w:val="20"/>
        </w:rPr>
        <w:t xml:space="preserve"> </w:t>
      </w:r>
      <w:r w:rsidRPr="00F36737">
        <w:rPr>
          <w:rFonts w:cs="Arial"/>
          <w:szCs w:val="20"/>
          <w:lang w:val="en-US"/>
        </w:rPr>
        <w:tab/>
      </w:r>
      <w:r w:rsidRPr="00F36737">
        <w:rPr>
          <w:rFonts w:cs="Arial"/>
          <w:i/>
          <w:iCs/>
          <w:szCs w:val="20"/>
          <w:lang w:val="en-US"/>
        </w:rPr>
        <w:t>Techni</w:t>
      </w:r>
      <w:r w:rsidR="009E4E38" w:rsidRPr="00F36737">
        <w:rPr>
          <w:rFonts w:cs="Arial"/>
          <w:i/>
          <w:iCs/>
          <w:szCs w:val="20"/>
          <w:lang w:val="en-US"/>
        </w:rPr>
        <w:t xml:space="preserve">Pack Sales (Pty) Ltd v Hall </w:t>
      </w:r>
      <w:r w:rsidR="009E4E38" w:rsidRPr="00F36737">
        <w:rPr>
          <w:rFonts w:cs="Arial"/>
          <w:szCs w:val="20"/>
          <w:lang w:val="en-US"/>
        </w:rPr>
        <w:t>1968 (3) (SA) 231 (W) at 236</w:t>
      </w:r>
      <w:r w:rsidR="00B948D0" w:rsidRPr="00F36737">
        <w:rPr>
          <w:rFonts w:cs="Arial"/>
          <w:szCs w:val="20"/>
          <w:lang w:val="en-US"/>
        </w:rPr>
        <w:t>F-G</w:t>
      </w:r>
    </w:p>
  </w:footnote>
  <w:footnote w:id="11">
    <w:p w14:paraId="2A924691" w14:textId="77777777" w:rsidR="00411384" w:rsidRPr="00F36737" w:rsidRDefault="00411384" w:rsidP="00411384">
      <w:pPr>
        <w:pStyle w:val="FootnoteText"/>
        <w:rPr>
          <w:rFonts w:cs="Arial"/>
          <w:szCs w:val="20"/>
          <w:lang w:val="en-US"/>
        </w:rPr>
      </w:pPr>
      <w:r w:rsidRPr="00F36737">
        <w:rPr>
          <w:rStyle w:val="FootnoteReference"/>
          <w:rFonts w:cs="Arial"/>
          <w:szCs w:val="20"/>
        </w:rPr>
        <w:footnoteRef/>
      </w:r>
      <w:r w:rsidRPr="00F36737">
        <w:rPr>
          <w:rFonts w:cs="Arial"/>
          <w:szCs w:val="20"/>
        </w:rPr>
        <w:t xml:space="preserve"> </w:t>
      </w:r>
      <w:r w:rsidRPr="00F36737">
        <w:rPr>
          <w:rFonts w:cs="Arial"/>
          <w:szCs w:val="20"/>
          <w:lang w:val="en-US"/>
        </w:rPr>
        <w:tab/>
      </w:r>
      <w:r w:rsidRPr="00F36737">
        <w:rPr>
          <w:rFonts w:cs="Arial"/>
          <w:i/>
          <w:iCs/>
          <w:szCs w:val="20"/>
          <w:lang w:val="en-US"/>
        </w:rPr>
        <w:t xml:space="preserve">City of Cape Town (CMC Administration) v Bourbon-Leftley </w:t>
      </w:r>
      <w:r w:rsidRPr="00F36737">
        <w:rPr>
          <w:rFonts w:cs="Arial"/>
          <w:szCs w:val="20"/>
          <w:lang w:val="en-US"/>
        </w:rPr>
        <w:t>2006 (3) SA 488 (SCA) at para 19, per Brand 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68544970"/>
      <w:docPartObj>
        <w:docPartGallery w:val="Page Numbers (Top of Page)"/>
        <w:docPartUnique/>
      </w:docPartObj>
    </w:sdtPr>
    <w:sdtEndPr>
      <w:rPr>
        <w:b/>
        <w:bCs/>
        <w:noProof/>
        <w:color w:val="auto"/>
        <w:spacing w:val="0"/>
      </w:rPr>
    </w:sdtEndPr>
    <w:sdtContent>
      <w:p w14:paraId="78194167" w14:textId="1AC081A0" w:rsidR="00BA6AAB" w:rsidRDefault="00BA6A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6DFB" w:rsidRPr="001F6DFB">
          <w:rPr>
            <w:b/>
            <w:bCs/>
            <w:noProof/>
          </w:rPr>
          <w:t>17</w:t>
        </w:r>
        <w:r>
          <w:rPr>
            <w:b/>
            <w:bCs/>
            <w:noProof/>
          </w:rPr>
          <w:fldChar w:fldCharType="end"/>
        </w:r>
      </w:p>
    </w:sdtContent>
  </w:sdt>
  <w:p w14:paraId="34AC142E" w14:textId="77777777" w:rsidR="00BA6AAB" w:rsidRDefault="00BA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DCF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4117"/>
    <w:multiLevelType w:val="multilevel"/>
    <w:tmpl w:val="B636C908"/>
    <w:lvl w:ilvl="0">
      <w:start w:val="1"/>
      <w:numFmt w:val="decimal"/>
      <w:pStyle w:val="level1"/>
      <w:lvlText w:val="[%1]"/>
      <w:lvlJc w:val="left"/>
      <w:pPr>
        <w:tabs>
          <w:tab w:val="num" w:pos="737"/>
        </w:tabs>
        <w:ind w:left="851" w:hanging="851"/>
      </w:pPr>
      <w:rPr>
        <w:rFonts w:hint="default"/>
        <w:b w:val="0"/>
        <w:bCs w:val="0"/>
        <w:i w:val="0"/>
        <w:iCs w:val="0"/>
      </w:rPr>
    </w:lvl>
    <w:lvl w:ilvl="1">
      <w:start w:val="1"/>
      <w:numFmt w:val="decimal"/>
      <w:lvlText w:val="%2."/>
      <w:lvlJc w:val="left"/>
      <w:pPr>
        <w:tabs>
          <w:tab w:val="num" w:pos="1985"/>
        </w:tabs>
        <w:ind w:left="1985" w:hanging="1134"/>
      </w:pPr>
      <w:rPr>
        <w:rFonts w:ascii="Arial" w:eastAsiaTheme="minorHAnsi" w:hAnsi="Arial" w:cstheme="minorBidi"/>
      </w:rPr>
    </w:lvl>
    <w:lvl w:ilvl="2">
      <w:start w:val="1"/>
      <w:numFmt w:val="decimal"/>
      <w:lvlText w:val="%1.%2.%3"/>
      <w:lvlJc w:val="left"/>
      <w:pPr>
        <w:tabs>
          <w:tab w:val="num" w:pos="2835"/>
        </w:tabs>
        <w:ind w:left="2835" w:hanging="1531"/>
      </w:pPr>
      <w:rPr>
        <w:rFonts w:hint="default"/>
      </w:rPr>
    </w:lvl>
    <w:lvl w:ilvl="3">
      <w:start w:val="1"/>
      <w:numFmt w:val="decimal"/>
      <w:lvlText w:val="%1.%2.%3.%4"/>
      <w:lvlJc w:val="left"/>
      <w:pPr>
        <w:tabs>
          <w:tab w:val="num" w:pos="4536"/>
        </w:tabs>
        <w:ind w:left="4536"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D36559"/>
    <w:multiLevelType w:val="multilevel"/>
    <w:tmpl w:val="C23AD6C0"/>
    <w:lvl w:ilvl="0">
      <w:start w:val="1"/>
      <w:numFmt w:val="decimal"/>
      <w:pStyle w:val="1"/>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3A4F8B"/>
    <w:multiLevelType w:val="multilevel"/>
    <w:tmpl w:val="116A92FA"/>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4" w15:restartNumberingAfterBreak="0">
    <w:nsid w:val="37F74AF9"/>
    <w:multiLevelType w:val="hybridMultilevel"/>
    <w:tmpl w:val="CAE64F12"/>
    <w:lvl w:ilvl="0" w:tplc="5554D600">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D421412"/>
    <w:multiLevelType w:val="hybridMultilevel"/>
    <w:tmpl w:val="8F7E7BEE"/>
    <w:lvl w:ilvl="0" w:tplc="86A868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F732B51"/>
    <w:multiLevelType w:val="multilevel"/>
    <w:tmpl w:val="25DA8840"/>
    <w:lvl w:ilvl="0">
      <w:start w:val="1"/>
      <w:numFmt w:val="decimal"/>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ind w:left="1418" w:hanging="851"/>
      </w:pPr>
      <w:rPr>
        <w:rFonts w:ascii="Arial (W1)" w:hAnsi="Arial (W1)" w:hint="default"/>
        <w:b w:val="0"/>
        <w:i w:val="0"/>
        <w:sz w:val="22"/>
        <w:szCs w:val="22"/>
      </w:rPr>
    </w:lvl>
    <w:lvl w:ilvl="2">
      <w:start w:val="1"/>
      <w:numFmt w:val="decimal"/>
      <w:pStyle w:val="level3"/>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395541E"/>
    <w:multiLevelType w:val="multilevel"/>
    <w:tmpl w:val="03AAD670"/>
    <w:lvl w:ilvl="0">
      <w:start w:val="1"/>
      <w:numFmt w:val="decimal"/>
      <w:lvlText w:val="%1"/>
      <w:lvlJc w:val="left"/>
      <w:pPr>
        <w:tabs>
          <w:tab w:val="num" w:pos="851"/>
        </w:tabs>
        <w:ind w:left="851" w:hanging="851"/>
      </w:pPr>
      <w:rPr>
        <w:rFonts w:ascii="Arial" w:hAnsi="Arial" w:hint="default"/>
        <w:b w:val="0"/>
        <w:i w:val="0"/>
        <w:sz w:val="24"/>
        <w:szCs w:val="26"/>
      </w:rPr>
    </w:lvl>
    <w:lvl w:ilvl="1">
      <w:start w:val="1"/>
      <w:numFmt w:val="decimal"/>
      <w:lvlText w:val="%1.%2"/>
      <w:lvlJc w:val="left"/>
      <w:pPr>
        <w:tabs>
          <w:tab w:val="num" w:pos="1985"/>
        </w:tabs>
        <w:ind w:left="1985" w:hanging="1134"/>
      </w:pPr>
      <w:rPr>
        <w:rFonts w:ascii="Arial" w:hAnsi="Arial" w:hint="default"/>
        <w:b w:val="0"/>
        <w:i w:val="0"/>
        <w:sz w:val="24"/>
        <w:szCs w:val="26"/>
      </w:rPr>
    </w:lvl>
    <w:lvl w:ilvl="2">
      <w:start w:val="1"/>
      <w:numFmt w:val="decimal"/>
      <w:lvlText w:val="%1.%2.%3"/>
      <w:lvlJc w:val="left"/>
      <w:pPr>
        <w:tabs>
          <w:tab w:val="num" w:pos="2552"/>
        </w:tabs>
        <w:ind w:left="2552" w:hanging="1134"/>
      </w:pPr>
      <w:rPr>
        <w:rFonts w:ascii="Arial" w:hAnsi="Arial" w:hint="default"/>
        <w:b w:val="0"/>
        <w:i w:val="0"/>
        <w:sz w:val="24"/>
        <w:szCs w:val="26"/>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5040"/>
        </w:tabs>
        <w:ind w:left="5040" w:hanging="144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840"/>
        </w:tabs>
        <w:ind w:left="6840" w:hanging="180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8" w15:restartNumberingAfterBreak="0">
    <w:nsid w:val="5AE54BD3"/>
    <w:multiLevelType w:val="hybridMultilevel"/>
    <w:tmpl w:val="0E94C298"/>
    <w:lvl w:ilvl="0" w:tplc="89587EE8">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9" w15:restartNumberingAfterBreak="0">
    <w:nsid w:val="72D1044B"/>
    <w:multiLevelType w:val="hybridMultilevel"/>
    <w:tmpl w:val="BFA009E2"/>
    <w:lvl w:ilvl="0" w:tplc="645CB0C4">
      <w:start w:val="1"/>
      <w:numFmt w:val="lowerRoman"/>
      <w:lvlText w:val="(%1)"/>
      <w:lvlJc w:val="left"/>
      <w:pPr>
        <w:ind w:left="1284" w:hanging="720"/>
      </w:pPr>
      <w:rPr>
        <w:rFonts w:hint="default"/>
      </w:rPr>
    </w:lvl>
    <w:lvl w:ilvl="1" w:tplc="1C090019" w:tentative="1">
      <w:start w:val="1"/>
      <w:numFmt w:val="lowerLetter"/>
      <w:lvlText w:val="%2."/>
      <w:lvlJc w:val="left"/>
      <w:pPr>
        <w:ind w:left="1644" w:hanging="360"/>
      </w:pPr>
    </w:lvl>
    <w:lvl w:ilvl="2" w:tplc="1C09001B" w:tentative="1">
      <w:start w:val="1"/>
      <w:numFmt w:val="lowerRoman"/>
      <w:lvlText w:val="%3."/>
      <w:lvlJc w:val="right"/>
      <w:pPr>
        <w:ind w:left="2364" w:hanging="180"/>
      </w:pPr>
    </w:lvl>
    <w:lvl w:ilvl="3" w:tplc="1C09000F" w:tentative="1">
      <w:start w:val="1"/>
      <w:numFmt w:val="decimal"/>
      <w:lvlText w:val="%4."/>
      <w:lvlJc w:val="left"/>
      <w:pPr>
        <w:ind w:left="3084" w:hanging="360"/>
      </w:pPr>
    </w:lvl>
    <w:lvl w:ilvl="4" w:tplc="1C090019" w:tentative="1">
      <w:start w:val="1"/>
      <w:numFmt w:val="lowerLetter"/>
      <w:lvlText w:val="%5."/>
      <w:lvlJc w:val="left"/>
      <w:pPr>
        <w:ind w:left="3804" w:hanging="360"/>
      </w:pPr>
    </w:lvl>
    <w:lvl w:ilvl="5" w:tplc="1C09001B" w:tentative="1">
      <w:start w:val="1"/>
      <w:numFmt w:val="lowerRoman"/>
      <w:lvlText w:val="%6."/>
      <w:lvlJc w:val="right"/>
      <w:pPr>
        <w:ind w:left="4524" w:hanging="180"/>
      </w:pPr>
    </w:lvl>
    <w:lvl w:ilvl="6" w:tplc="1C09000F" w:tentative="1">
      <w:start w:val="1"/>
      <w:numFmt w:val="decimal"/>
      <w:lvlText w:val="%7."/>
      <w:lvlJc w:val="left"/>
      <w:pPr>
        <w:ind w:left="5244" w:hanging="360"/>
      </w:pPr>
    </w:lvl>
    <w:lvl w:ilvl="7" w:tplc="1C090019" w:tentative="1">
      <w:start w:val="1"/>
      <w:numFmt w:val="lowerLetter"/>
      <w:lvlText w:val="%8."/>
      <w:lvlJc w:val="left"/>
      <w:pPr>
        <w:ind w:left="5964" w:hanging="360"/>
      </w:pPr>
    </w:lvl>
    <w:lvl w:ilvl="8" w:tplc="1C09001B" w:tentative="1">
      <w:start w:val="1"/>
      <w:numFmt w:val="lowerRoman"/>
      <w:lvlText w:val="%9."/>
      <w:lvlJc w:val="right"/>
      <w:pPr>
        <w:ind w:left="6684" w:hanging="180"/>
      </w:pPr>
    </w:lvl>
  </w:abstractNum>
  <w:num w:numId="1" w16cid:durableId="252206068">
    <w:abstractNumId w:val="6"/>
  </w:num>
  <w:num w:numId="2" w16cid:durableId="683677160">
    <w:abstractNumId w:val="6"/>
  </w:num>
  <w:num w:numId="3" w16cid:durableId="619066023">
    <w:abstractNumId w:val="6"/>
  </w:num>
  <w:num w:numId="4" w16cid:durableId="1910310260">
    <w:abstractNumId w:val="6"/>
  </w:num>
  <w:num w:numId="5" w16cid:durableId="656416870">
    <w:abstractNumId w:val="3"/>
  </w:num>
  <w:num w:numId="6" w16cid:durableId="304745447">
    <w:abstractNumId w:val="6"/>
  </w:num>
  <w:num w:numId="7" w16cid:durableId="2110007993">
    <w:abstractNumId w:val="6"/>
  </w:num>
  <w:num w:numId="8" w16cid:durableId="1430587312">
    <w:abstractNumId w:val="6"/>
  </w:num>
  <w:num w:numId="9" w16cid:durableId="1800369032">
    <w:abstractNumId w:val="6"/>
  </w:num>
  <w:num w:numId="10" w16cid:durableId="1252544638">
    <w:abstractNumId w:val="6"/>
  </w:num>
  <w:num w:numId="11" w16cid:durableId="97991244">
    <w:abstractNumId w:val="6"/>
  </w:num>
  <w:num w:numId="12" w16cid:durableId="239559603">
    <w:abstractNumId w:val="6"/>
  </w:num>
  <w:num w:numId="13" w16cid:durableId="1569463201">
    <w:abstractNumId w:val="6"/>
  </w:num>
  <w:num w:numId="14" w16cid:durableId="1396468505">
    <w:abstractNumId w:val="6"/>
  </w:num>
  <w:num w:numId="15" w16cid:durableId="1172254714">
    <w:abstractNumId w:val="6"/>
  </w:num>
  <w:num w:numId="16" w16cid:durableId="1538470910">
    <w:abstractNumId w:val="4"/>
  </w:num>
  <w:num w:numId="17" w16cid:durableId="1682656721">
    <w:abstractNumId w:val="4"/>
  </w:num>
  <w:num w:numId="18" w16cid:durableId="1373117856">
    <w:abstractNumId w:val="5"/>
  </w:num>
  <w:num w:numId="19" w16cid:durableId="1408915574">
    <w:abstractNumId w:val="1"/>
  </w:num>
  <w:num w:numId="20" w16cid:durableId="557598078">
    <w:abstractNumId w:val="9"/>
  </w:num>
  <w:num w:numId="21" w16cid:durableId="1517618895">
    <w:abstractNumId w:val="7"/>
  </w:num>
  <w:num w:numId="22" w16cid:durableId="1512330966">
    <w:abstractNumId w:val="8"/>
  </w:num>
  <w:num w:numId="23" w16cid:durableId="1033460359">
    <w:abstractNumId w:val="2"/>
  </w:num>
  <w:num w:numId="24" w16cid:durableId="87192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28751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7220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0606017">
    <w:abstractNumId w:val="0"/>
  </w:num>
  <w:num w:numId="28" w16cid:durableId="247035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wMzM2M7awMDexsDRT0lEKTi0uzszPAykwrAUAN79Q5ywAAAA="/>
  </w:docVars>
  <w:rsids>
    <w:rsidRoot w:val="001072E5"/>
    <w:rsid w:val="00000660"/>
    <w:rsid w:val="00000BB4"/>
    <w:rsid w:val="00001740"/>
    <w:rsid w:val="0001308F"/>
    <w:rsid w:val="00014E8A"/>
    <w:rsid w:val="00021478"/>
    <w:rsid w:val="000224BB"/>
    <w:rsid w:val="00026DC7"/>
    <w:rsid w:val="0002781D"/>
    <w:rsid w:val="00036EC9"/>
    <w:rsid w:val="0005256A"/>
    <w:rsid w:val="00052E1F"/>
    <w:rsid w:val="00056011"/>
    <w:rsid w:val="00056207"/>
    <w:rsid w:val="00060ABC"/>
    <w:rsid w:val="00073917"/>
    <w:rsid w:val="00077830"/>
    <w:rsid w:val="000921EA"/>
    <w:rsid w:val="000945A3"/>
    <w:rsid w:val="00097162"/>
    <w:rsid w:val="000A7DBF"/>
    <w:rsid w:val="000B0FF3"/>
    <w:rsid w:val="000B3379"/>
    <w:rsid w:val="000C1991"/>
    <w:rsid w:val="000C40E2"/>
    <w:rsid w:val="000D3D2C"/>
    <w:rsid w:val="000D41D3"/>
    <w:rsid w:val="000D66A1"/>
    <w:rsid w:val="000E03D0"/>
    <w:rsid w:val="000E5F71"/>
    <w:rsid w:val="000F343F"/>
    <w:rsid w:val="000F7DE1"/>
    <w:rsid w:val="00100BAD"/>
    <w:rsid w:val="00101177"/>
    <w:rsid w:val="00106442"/>
    <w:rsid w:val="001072E5"/>
    <w:rsid w:val="00114E36"/>
    <w:rsid w:val="00122AFF"/>
    <w:rsid w:val="001268A3"/>
    <w:rsid w:val="001275DA"/>
    <w:rsid w:val="00127E9D"/>
    <w:rsid w:val="001354B3"/>
    <w:rsid w:val="00137D95"/>
    <w:rsid w:val="00145540"/>
    <w:rsid w:val="00146E62"/>
    <w:rsid w:val="0016039A"/>
    <w:rsid w:val="0016132A"/>
    <w:rsid w:val="0016217C"/>
    <w:rsid w:val="00164F23"/>
    <w:rsid w:val="00167520"/>
    <w:rsid w:val="001732E9"/>
    <w:rsid w:val="001815DB"/>
    <w:rsid w:val="00182E1D"/>
    <w:rsid w:val="00185E61"/>
    <w:rsid w:val="00186FD6"/>
    <w:rsid w:val="001909B0"/>
    <w:rsid w:val="001A514C"/>
    <w:rsid w:val="001B2A46"/>
    <w:rsid w:val="001C02E8"/>
    <w:rsid w:val="001C2401"/>
    <w:rsid w:val="001C2542"/>
    <w:rsid w:val="001D2390"/>
    <w:rsid w:val="001D2F02"/>
    <w:rsid w:val="001D328D"/>
    <w:rsid w:val="001D595D"/>
    <w:rsid w:val="001D6C12"/>
    <w:rsid w:val="001D7DEA"/>
    <w:rsid w:val="001E09A0"/>
    <w:rsid w:val="001E1229"/>
    <w:rsid w:val="001E23BD"/>
    <w:rsid w:val="001E5884"/>
    <w:rsid w:val="001E6E36"/>
    <w:rsid w:val="001F4316"/>
    <w:rsid w:val="001F465A"/>
    <w:rsid w:val="001F68C2"/>
    <w:rsid w:val="001F6DFB"/>
    <w:rsid w:val="00200808"/>
    <w:rsid w:val="00202DF4"/>
    <w:rsid w:val="00215857"/>
    <w:rsid w:val="00217AC0"/>
    <w:rsid w:val="002205BE"/>
    <w:rsid w:val="002312D8"/>
    <w:rsid w:val="002368E5"/>
    <w:rsid w:val="00237694"/>
    <w:rsid w:val="00240A30"/>
    <w:rsid w:val="0024487C"/>
    <w:rsid w:val="002448DA"/>
    <w:rsid w:val="00251D64"/>
    <w:rsid w:val="00252C87"/>
    <w:rsid w:val="002546DF"/>
    <w:rsid w:val="00264B5D"/>
    <w:rsid w:val="00277071"/>
    <w:rsid w:val="0028031D"/>
    <w:rsid w:val="002807CB"/>
    <w:rsid w:val="002847E8"/>
    <w:rsid w:val="00287977"/>
    <w:rsid w:val="00294FAB"/>
    <w:rsid w:val="002951C1"/>
    <w:rsid w:val="00296F9D"/>
    <w:rsid w:val="002A085E"/>
    <w:rsid w:val="002A4378"/>
    <w:rsid w:val="002B1CFC"/>
    <w:rsid w:val="002B38EF"/>
    <w:rsid w:val="002B4089"/>
    <w:rsid w:val="002B41EE"/>
    <w:rsid w:val="002B4F75"/>
    <w:rsid w:val="002C38CB"/>
    <w:rsid w:val="002C574E"/>
    <w:rsid w:val="002C7708"/>
    <w:rsid w:val="002D6A34"/>
    <w:rsid w:val="002E1D1D"/>
    <w:rsid w:val="002E282A"/>
    <w:rsid w:val="002E38EE"/>
    <w:rsid w:val="002E6A31"/>
    <w:rsid w:val="002F066E"/>
    <w:rsid w:val="002F356E"/>
    <w:rsid w:val="002F4757"/>
    <w:rsid w:val="002F52BD"/>
    <w:rsid w:val="002F56F7"/>
    <w:rsid w:val="00301AB3"/>
    <w:rsid w:val="00304FFE"/>
    <w:rsid w:val="0030560D"/>
    <w:rsid w:val="00305787"/>
    <w:rsid w:val="0031103B"/>
    <w:rsid w:val="00311D7A"/>
    <w:rsid w:val="00312694"/>
    <w:rsid w:val="00316725"/>
    <w:rsid w:val="00317DB3"/>
    <w:rsid w:val="003204BA"/>
    <w:rsid w:val="00330157"/>
    <w:rsid w:val="00331CAE"/>
    <w:rsid w:val="003339D6"/>
    <w:rsid w:val="003345B2"/>
    <w:rsid w:val="003351BE"/>
    <w:rsid w:val="003413D9"/>
    <w:rsid w:val="0034166B"/>
    <w:rsid w:val="0034450D"/>
    <w:rsid w:val="00345856"/>
    <w:rsid w:val="00354C9A"/>
    <w:rsid w:val="00354EC0"/>
    <w:rsid w:val="00361309"/>
    <w:rsid w:val="00361AB7"/>
    <w:rsid w:val="003647D8"/>
    <w:rsid w:val="00365A8E"/>
    <w:rsid w:val="00376C1F"/>
    <w:rsid w:val="003776A7"/>
    <w:rsid w:val="00381991"/>
    <w:rsid w:val="00391168"/>
    <w:rsid w:val="00393923"/>
    <w:rsid w:val="00394246"/>
    <w:rsid w:val="00394491"/>
    <w:rsid w:val="003972F9"/>
    <w:rsid w:val="003A6BA8"/>
    <w:rsid w:val="003B1C2A"/>
    <w:rsid w:val="003B4270"/>
    <w:rsid w:val="003B677D"/>
    <w:rsid w:val="003C3AFF"/>
    <w:rsid w:val="003C4155"/>
    <w:rsid w:val="003D1CE1"/>
    <w:rsid w:val="003D201A"/>
    <w:rsid w:val="003D32DF"/>
    <w:rsid w:val="003D4EDC"/>
    <w:rsid w:val="003E0A89"/>
    <w:rsid w:val="003E14F3"/>
    <w:rsid w:val="003F096A"/>
    <w:rsid w:val="003F64B1"/>
    <w:rsid w:val="00403C47"/>
    <w:rsid w:val="00403CE6"/>
    <w:rsid w:val="00404815"/>
    <w:rsid w:val="0040638B"/>
    <w:rsid w:val="00407052"/>
    <w:rsid w:val="00411384"/>
    <w:rsid w:val="0041418F"/>
    <w:rsid w:val="004178F5"/>
    <w:rsid w:val="00422C29"/>
    <w:rsid w:val="004276EB"/>
    <w:rsid w:val="00445E44"/>
    <w:rsid w:val="00446A8C"/>
    <w:rsid w:val="00447F9D"/>
    <w:rsid w:val="004605E8"/>
    <w:rsid w:val="00461FEE"/>
    <w:rsid w:val="00464F5C"/>
    <w:rsid w:val="00466B83"/>
    <w:rsid w:val="00467B1A"/>
    <w:rsid w:val="00470D09"/>
    <w:rsid w:val="004770AD"/>
    <w:rsid w:val="00477630"/>
    <w:rsid w:val="0047784F"/>
    <w:rsid w:val="0048001F"/>
    <w:rsid w:val="00483D3A"/>
    <w:rsid w:val="004910CB"/>
    <w:rsid w:val="0049240F"/>
    <w:rsid w:val="00493D32"/>
    <w:rsid w:val="004968DE"/>
    <w:rsid w:val="004A3B35"/>
    <w:rsid w:val="004A4E31"/>
    <w:rsid w:val="004A6542"/>
    <w:rsid w:val="004A6686"/>
    <w:rsid w:val="004B0864"/>
    <w:rsid w:val="004B28F2"/>
    <w:rsid w:val="004B42F3"/>
    <w:rsid w:val="004B7DF5"/>
    <w:rsid w:val="004C682E"/>
    <w:rsid w:val="004C6957"/>
    <w:rsid w:val="004C770A"/>
    <w:rsid w:val="004C797D"/>
    <w:rsid w:val="004D0212"/>
    <w:rsid w:val="004D452C"/>
    <w:rsid w:val="004D5637"/>
    <w:rsid w:val="004D650A"/>
    <w:rsid w:val="004E1775"/>
    <w:rsid w:val="004E35D9"/>
    <w:rsid w:val="004E3788"/>
    <w:rsid w:val="004E41CB"/>
    <w:rsid w:val="004E4624"/>
    <w:rsid w:val="004E46E5"/>
    <w:rsid w:val="004E4C2D"/>
    <w:rsid w:val="004F6995"/>
    <w:rsid w:val="004F7C5F"/>
    <w:rsid w:val="0050544D"/>
    <w:rsid w:val="00515713"/>
    <w:rsid w:val="005166C2"/>
    <w:rsid w:val="005236F6"/>
    <w:rsid w:val="005329C5"/>
    <w:rsid w:val="005330C9"/>
    <w:rsid w:val="0053323D"/>
    <w:rsid w:val="005339B2"/>
    <w:rsid w:val="00535C05"/>
    <w:rsid w:val="005434C9"/>
    <w:rsid w:val="00543CC3"/>
    <w:rsid w:val="00547371"/>
    <w:rsid w:val="00552108"/>
    <w:rsid w:val="00552EF0"/>
    <w:rsid w:val="0055579F"/>
    <w:rsid w:val="005568AB"/>
    <w:rsid w:val="00562537"/>
    <w:rsid w:val="00562DF6"/>
    <w:rsid w:val="00565F4F"/>
    <w:rsid w:val="0057131F"/>
    <w:rsid w:val="005741E5"/>
    <w:rsid w:val="005762D1"/>
    <w:rsid w:val="0058398F"/>
    <w:rsid w:val="00583A4A"/>
    <w:rsid w:val="00587308"/>
    <w:rsid w:val="0059403D"/>
    <w:rsid w:val="005B2448"/>
    <w:rsid w:val="005B6A94"/>
    <w:rsid w:val="005C31BB"/>
    <w:rsid w:val="005C5563"/>
    <w:rsid w:val="005E5F28"/>
    <w:rsid w:val="005F0DEB"/>
    <w:rsid w:val="0061431B"/>
    <w:rsid w:val="00626930"/>
    <w:rsid w:val="00627A28"/>
    <w:rsid w:val="00631D4D"/>
    <w:rsid w:val="00632364"/>
    <w:rsid w:val="00632CBD"/>
    <w:rsid w:val="006337FA"/>
    <w:rsid w:val="00641E42"/>
    <w:rsid w:val="00642C40"/>
    <w:rsid w:val="00652BBA"/>
    <w:rsid w:val="00652EE6"/>
    <w:rsid w:val="006608AF"/>
    <w:rsid w:val="00661DC5"/>
    <w:rsid w:val="00662730"/>
    <w:rsid w:val="006675CD"/>
    <w:rsid w:val="00670632"/>
    <w:rsid w:val="00672D23"/>
    <w:rsid w:val="00673795"/>
    <w:rsid w:val="0068381E"/>
    <w:rsid w:val="00693CCF"/>
    <w:rsid w:val="006A00B7"/>
    <w:rsid w:val="006A208C"/>
    <w:rsid w:val="006A5289"/>
    <w:rsid w:val="006B2D56"/>
    <w:rsid w:val="006B3A8C"/>
    <w:rsid w:val="006C1936"/>
    <w:rsid w:val="006C1B6E"/>
    <w:rsid w:val="006C2EC2"/>
    <w:rsid w:val="006C3B25"/>
    <w:rsid w:val="006C413C"/>
    <w:rsid w:val="006C568F"/>
    <w:rsid w:val="006C5EC9"/>
    <w:rsid w:val="006D194A"/>
    <w:rsid w:val="006D34D3"/>
    <w:rsid w:val="006D501F"/>
    <w:rsid w:val="006D53B5"/>
    <w:rsid w:val="006D60FC"/>
    <w:rsid w:val="006E1E20"/>
    <w:rsid w:val="006F4785"/>
    <w:rsid w:val="007001F4"/>
    <w:rsid w:val="00703C2F"/>
    <w:rsid w:val="00706A12"/>
    <w:rsid w:val="007147F3"/>
    <w:rsid w:val="00716B28"/>
    <w:rsid w:val="00721501"/>
    <w:rsid w:val="00723BB7"/>
    <w:rsid w:val="00723FBD"/>
    <w:rsid w:val="007248E4"/>
    <w:rsid w:val="00727B66"/>
    <w:rsid w:val="007302AF"/>
    <w:rsid w:val="00745F9B"/>
    <w:rsid w:val="00753EE4"/>
    <w:rsid w:val="00764C42"/>
    <w:rsid w:val="00767FAF"/>
    <w:rsid w:val="0077304F"/>
    <w:rsid w:val="00775E00"/>
    <w:rsid w:val="007804C6"/>
    <w:rsid w:val="0078219F"/>
    <w:rsid w:val="00782EB9"/>
    <w:rsid w:val="00783375"/>
    <w:rsid w:val="007846E1"/>
    <w:rsid w:val="00786288"/>
    <w:rsid w:val="007A3A45"/>
    <w:rsid w:val="007A4DF9"/>
    <w:rsid w:val="007A58D7"/>
    <w:rsid w:val="007B05FB"/>
    <w:rsid w:val="007B0CB9"/>
    <w:rsid w:val="007B193A"/>
    <w:rsid w:val="007B47C2"/>
    <w:rsid w:val="007B5141"/>
    <w:rsid w:val="007C273B"/>
    <w:rsid w:val="007E2F26"/>
    <w:rsid w:val="007F1833"/>
    <w:rsid w:val="00805A80"/>
    <w:rsid w:val="008141D2"/>
    <w:rsid w:val="008266A4"/>
    <w:rsid w:val="00836CAE"/>
    <w:rsid w:val="008401B3"/>
    <w:rsid w:val="008447AB"/>
    <w:rsid w:val="0084503A"/>
    <w:rsid w:val="00855DAE"/>
    <w:rsid w:val="008604D3"/>
    <w:rsid w:val="00863B6D"/>
    <w:rsid w:val="00865A13"/>
    <w:rsid w:val="00881361"/>
    <w:rsid w:val="00882BA6"/>
    <w:rsid w:val="00882BF4"/>
    <w:rsid w:val="0088463B"/>
    <w:rsid w:val="00887569"/>
    <w:rsid w:val="00887AF2"/>
    <w:rsid w:val="008918FA"/>
    <w:rsid w:val="00893D19"/>
    <w:rsid w:val="00893EA5"/>
    <w:rsid w:val="00895A73"/>
    <w:rsid w:val="00896B5D"/>
    <w:rsid w:val="00897EE7"/>
    <w:rsid w:val="008A450C"/>
    <w:rsid w:val="008A5826"/>
    <w:rsid w:val="008A6279"/>
    <w:rsid w:val="008B1200"/>
    <w:rsid w:val="008C1D67"/>
    <w:rsid w:val="008C2460"/>
    <w:rsid w:val="008C476C"/>
    <w:rsid w:val="008C7139"/>
    <w:rsid w:val="008D3608"/>
    <w:rsid w:val="008E0A2C"/>
    <w:rsid w:val="008E18B8"/>
    <w:rsid w:val="008E4A0C"/>
    <w:rsid w:val="008E622D"/>
    <w:rsid w:val="008E6831"/>
    <w:rsid w:val="008E7CC7"/>
    <w:rsid w:val="008F781E"/>
    <w:rsid w:val="00903824"/>
    <w:rsid w:val="0092681C"/>
    <w:rsid w:val="0093014A"/>
    <w:rsid w:val="00934029"/>
    <w:rsid w:val="009342F5"/>
    <w:rsid w:val="00937EA9"/>
    <w:rsid w:val="00940F63"/>
    <w:rsid w:val="00943C79"/>
    <w:rsid w:val="0094680A"/>
    <w:rsid w:val="00950B82"/>
    <w:rsid w:val="00953929"/>
    <w:rsid w:val="009611D5"/>
    <w:rsid w:val="0096121E"/>
    <w:rsid w:val="00963305"/>
    <w:rsid w:val="00964F69"/>
    <w:rsid w:val="0096650D"/>
    <w:rsid w:val="00975FA9"/>
    <w:rsid w:val="00976B87"/>
    <w:rsid w:val="00976BD5"/>
    <w:rsid w:val="00985816"/>
    <w:rsid w:val="00987423"/>
    <w:rsid w:val="0098776C"/>
    <w:rsid w:val="009A11BE"/>
    <w:rsid w:val="009A3CAB"/>
    <w:rsid w:val="009A7F10"/>
    <w:rsid w:val="009B7154"/>
    <w:rsid w:val="009C2199"/>
    <w:rsid w:val="009C4233"/>
    <w:rsid w:val="009C6129"/>
    <w:rsid w:val="009D0816"/>
    <w:rsid w:val="009D1F2B"/>
    <w:rsid w:val="009D6A67"/>
    <w:rsid w:val="009D741D"/>
    <w:rsid w:val="009E049A"/>
    <w:rsid w:val="009E24A5"/>
    <w:rsid w:val="009E40E9"/>
    <w:rsid w:val="009E4E38"/>
    <w:rsid w:val="00A01FCD"/>
    <w:rsid w:val="00A0413E"/>
    <w:rsid w:val="00A12130"/>
    <w:rsid w:val="00A12446"/>
    <w:rsid w:val="00A22F72"/>
    <w:rsid w:val="00A26197"/>
    <w:rsid w:val="00A37426"/>
    <w:rsid w:val="00A42898"/>
    <w:rsid w:val="00A43558"/>
    <w:rsid w:val="00A43B3B"/>
    <w:rsid w:val="00A5134E"/>
    <w:rsid w:val="00A532C4"/>
    <w:rsid w:val="00A53A31"/>
    <w:rsid w:val="00A5486C"/>
    <w:rsid w:val="00A605FA"/>
    <w:rsid w:val="00A6119A"/>
    <w:rsid w:val="00A62442"/>
    <w:rsid w:val="00A64231"/>
    <w:rsid w:val="00A64F24"/>
    <w:rsid w:val="00A65627"/>
    <w:rsid w:val="00A66C37"/>
    <w:rsid w:val="00A73024"/>
    <w:rsid w:val="00A7704F"/>
    <w:rsid w:val="00A77185"/>
    <w:rsid w:val="00A80A54"/>
    <w:rsid w:val="00A85C6D"/>
    <w:rsid w:val="00A85EB1"/>
    <w:rsid w:val="00A9269F"/>
    <w:rsid w:val="00A935E8"/>
    <w:rsid w:val="00AA678F"/>
    <w:rsid w:val="00AB1209"/>
    <w:rsid w:val="00AB7A0B"/>
    <w:rsid w:val="00AC1440"/>
    <w:rsid w:val="00AC4878"/>
    <w:rsid w:val="00AC5532"/>
    <w:rsid w:val="00AC76A9"/>
    <w:rsid w:val="00AD336D"/>
    <w:rsid w:val="00AD79BC"/>
    <w:rsid w:val="00AE3A8D"/>
    <w:rsid w:val="00AE5EF8"/>
    <w:rsid w:val="00AE65F2"/>
    <w:rsid w:val="00AF616C"/>
    <w:rsid w:val="00AF78AA"/>
    <w:rsid w:val="00B023BA"/>
    <w:rsid w:val="00B05DAE"/>
    <w:rsid w:val="00B1630E"/>
    <w:rsid w:val="00B215FC"/>
    <w:rsid w:val="00B266CA"/>
    <w:rsid w:val="00B27C05"/>
    <w:rsid w:val="00B3128A"/>
    <w:rsid w:val="00B3188B"/>
    <w:rsid w:val="00B36AFE"/>
    <w:rsid w:val="00B41629"/>
    <w:rsid w:val="00B45C75"/>
    <w:rsid w:val="00B50217"/>
    <w:rsid w:val="00B50545"/>
    <w:rsid w:val="00B50F08"/>
    <w:rsid w:val="00B576C4"/>
    <w:rsid w:val="00B6383C"/>
    <w:rsid w:val="00B660DD"/>
    <w:rsid w:val="00B768E6"/>
    <w:rsid w:val="00B77A2A"/>
    <w:rsid w:val="00B812AC"/>
    <w:rsid w:val="00B8391B"/>
    <w:rsid w:val="00B948D0"/>
    <w:rsid w:val="00BA0598"/>
    <w:rsid w:val="00BA3D64"/>
    <w:rsid w:val="00BA50E1"/>
    <w:rsid w:val="00BA6AAB"/>
    <w:rsid w:val="00BB2407"/>
    <w:rsid w:val="00BB2EA9"/>
    <w:rsid w:val="00BB5D45"/>
    <w:rsid w:val="00BB5F22"/>
    <w:rsid w:val="00BB7A4E"/>
    <w:rsid w:val="00BC12D7"/>
    <w:rsid w:val="00BC348C"/>
    <w:rsid w:val="00BD06C3"/>
    <w:rsid w:val="00BD0C23"/>
    <w:rsid w:val="00BD224C"/>
    <w:rsid w:val="00BE4F8D"/>
    <w:rsid w:val="00BF3940"/>
    <w:rsid w:val="00BF677F"/>
    <w:rsid w:val="00C0043A"/>
    <w:rsid w:val="00C11BAD"/>
    <w:rsid w:val="00C1680E"/>
    <w:rsid w:val="00C22C27"/>
    <w:rsid w:val="00C2470B"/>
    <w:rsid w:val="00C271A1"/>
    <w:rsid w:val="00C308D3"/>
    <w:rsid w:val="00C322A4"/>
    <w:rsid w:val="00C40DFE"/>
    <w:rsid w:val="00C47B40"/>
    <w:rsid w:val="00C514FB"/>
    <w:rsid w:val="00C51ACC"/>
    <w:rsid w:val="00C52D51"/>
    <w:rsid w:val="00C70F4C"/>
    <w:rsid w:val="00C770E9"/>
    <w:rsid w:val="00C81173"/>
    <w:rsid w:val="00C8664A"/>
    <w:rsid w:val="00C87494"/>
    <w:rsid w:val="00C90D81"/>
    <w:rsid w:val="00C96ED6"/>
    <w:rsid w:val="00CA02B3"/>
    <w:rsid w:val="00CA3908"/>
    <w:rsid w:val="00CA464D"/>
    <w:rsid w:val="00CA67B3"/>
    <w:rsid w:val="00CA6969"/>
    <w:rsid w:val="00CA6CE8"/>
    <w:rsid w:val="00CA7499"/>
    <w:rsid w:val="00CA7D25"/>
    <w:rsid w:val="00CA7E36"/>
    <w:rsid w:val="00CB6927"/>
    <w:rsid w:val="00CB799D"/>
    <w:rsid w:val="00CC4AD4"/>
    <w:rsid w:val="00CD3B7D"/>
    <w:rsid w:val="00CE4065"/>
    <w:rsid w:val="00CE472F"/>
    <w:rsid w:val="00CE519E"/>
    <w:rsid w:val="00CF04B8"/>
    <w:rsid w:val="00D073BA"/>
    <w:rsid w:val="00D10D18"/>
    <w:rsid w:val="00D10F91"/>
    <w:rsid w:val="00D264C9"/>
    <w:rsid w:val="00D31F1B"/>
    <w:rsid w:val="00D351B0"/>
    <w:rsid w:val="00D36330"/>
    <w:rsid w:val="00D417FB"/>
    <w:rsid w:val="00D446F0"/>
    <w:rsid w:val="00D44764"/>
    <w:rsid w:val="00D53CCD"/>
    <w:rsid w:val="00D5440D"/>
    <w:rsid w:val="00D5515C"/>
    <w:rsid w:val="00D568C1"/>
    <w:rsid w:val="00D632A8"/>
    <w:rsid w:val="00D65ECA"/>
    <w:rsid w:val="00D66DB8"/>
    <w:rsid w:val="00D679A5"/>
    <w:rsid w:val="00D901CF"/>
    <w:rsid w:val="00D91ADA"/>
    <w:rsid w:val="00D945DF"/>
    <w:rsid w:val="00DA2C79"/>
    <w:rsid w:val="00DA62CA"/>
    <w:rsid w:val="00DB3248"/>
    <w:rsid w:val="00DC1195"/>
    <w:rsid w:val="00DC1BE0"/>
    <w:rsid w:val="00DC2571"/>
    <w:rsid w:val="00DC560E"/>
    <w:rsid w:val="00DD2200"/>
    <w:rsid w:val="00DD220A"/>
    <w:rsid w:val="00DD4C99"/>
    <w:rsid w:val="00DD623E"/>
    <w:rsid w:val="00DE05CF"/>
    <w:rsid w:val="00DE21B7"/>
    <w:rsid w:val="00DE3B8F"/>
    <w:rsid w:val="00DE4C4F"/>
    <w:rsid w:val="00DE6D6F"/>
    <w:rsid w:val="00E03423"/>
    <w:rsid w:val="00E067B8"/>
    <w:rsid w:val="00E169C7"/>
    <w:rsid w:val="00E35BF9"/>
    <w:rsid w:val="00E36040"/>
    <w:rsid w:val="00E37CC2"/>
    <w:rsid w:val="00E405B8"/>
    <w:rsid w:val="00E47DED"/>
    <w:rsid w:val="00E5214C"/>
    <w:rsid w:val="00E53CB9"/>
    <w:rsid w:val="00E62E17"/>
    <w:rsid w:val="00E76ED7"/>
    <w:rsid w:val="00E80156"/>
    <w:rsid w:val="00E8124B"/>
    <w:rsid w:val="00E84E3E"/>
    <w:rsid w:val="00E928FD"/>
    <w:rsid w:val="00E94520"/>
    <w:rsid w:val="00E956BE"/>
    <w:rsid w:val="00EA0110"/>
    <w:rsid w:val="00EA6D7C"/>
    <w:rsid w:val="00EB0D2D"/>
    <w:rsid w:val="00EB402C"/>
    <w:rsid w:val="00EC18BF"/>
    <w:rsid w:val="00EC1ADD"/>
    <w:rsid w:val="00EC33D6"/>
    <w:rsid w:val="00EC4957"/>
    <w:rsid w:val="00EC5114"/>
    <w:rsid w:val="00EC78D8"/>
    <w:rsid w:val="00ED0E9F"/>
    <w:rsid w:val="00ED661D"/>
    <w:rsid w:val="00EE47FA"/>
    <w:rsid w:val="00EE5558"/>
    <w:rsid w:val="00EF2270"/>
    <w:rsid w:val="00EF22F2"/>
    <w:rsid w:val="00EF2539"/>
    <w:rsid w:val="00F01734"/>
    <w:rsid w:val="00F0378B"/>
    <w:rsid w:val="00F0500F"/>
    <w:rsid w:val="00F10306"/>
    <w:rsid w:val="00F12153"/>
    <w:rsid w:val="00F12A04"/>
    <w:rsid w:val="00F2199B"/>
    <w:rsid w:val="00F23E2E"/>
    <w:rsid w:val="00F23FD5"/>
    <w:rsid w:val="00F245C1"/>
    <w:rsid w:val="00F25AEB"/>
    <w:rsid w:val="00F266DB"/>
    <w:rsid w:val="00F27A71"/>
    <w:rsid w:val="00F27C18"/>
    <w:rsid w:val="00F316FC"/>
    <w:rsid w:val="00F34B8E"/>
    <w:rsid w:val="00F36737"/>
    <w:rsid w:val="00F3709A"/>
    <w:rsid w:val="00F407DD"/>
    <w:rsid w:val="00F43EBC"/>
    <w:rsid w:val="00F4575B"/>
    <w:rsid w:val="00F457D4"/>
    <w:rsid w:val="00F467BF"/>
    <w:rsid w:val="00F51D37"/>
    <w:rsid w:val="00F52997"/>
    <w:rsid w:val="00F54F53"/>
    <w:rsid w:val="00F55E3C"/>
    <w:rsid w:val="00F56448"/>
    <w:rsid w:val="00F56C0A"/>
    <w:rsid w:val="00F56CD9"/>
    <w:rsid w:val="00F56DE8"/>
    <w:rsid w:val="00F648F3"/>
    <w:rsid w:val="00F64B45"/>
    <w:rsid w:val="00F66DD7"/>
    <w:rsid w:val="00F70DD4"/>
    <w:rsid w:val="00F70EF2"/>
    <w:rsid w:val="00F74563"/>
    <w:rsid w:val="00F75A30"/>
    <w:rsid w:val="00F76E8D"/>
    <w:rsid w:val="00F8204F"/>
    <w:rsid w:val="00F82D8F"/>
    <w:rsid w:val="00F8492F"/>
    <w:rsid w:val="00F855C5"/>
    <w:rsid w:val="00F95E33"/>
    <w:rsid w:val="00F97E91"/>
    <w:rsid w:val="00FA11D8"/>
    <w:rsid w:val="00FA1843"/>
    <w:rsid w:val="00FA20E9"/>
    <w:rsid w:val="00FA5BFC"/>
    <w:rsid w:val="00FA6447"/>
    <w:rsid w:val="00FA66FD"/>
    <w:rsid w:val="00FA78FE"/>
    <w:rsid w:val="00FC1A4A"/>
    <w:rsid w:val="00FC5E74"/>
    <w:rsid w:val="00FC6A72"/>
    <w:rsid w:val="00FD3CB9"/>
    <w:rsid w:val="00FD553D"/>
    <w:rsid w:val="00FD7452"/>
    <w:rsid w:val="00FE0E9F"/>
    <w:rsid w:val="00FF1A07"/>
    <w:rsid w:val="00FF2BDE"/>
    <w:rsid w:val="00FF68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DBC3"/>
  <w15:chartTrackingRefBased/>
  <w15:docId w15:val="{927F564F-23CF-494E-9567-02D178E9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E5"/>
    <w:pPr>
      <w:spacing w:before="360" w:after="0" w:line="480" w:lineRule="auto"/>
      <w:jc w:val="both"/>
    </w:pPr>
    <w:rPr>
      <w:rFonts w:ascii="Arial" w:eastAsiaTheme="minorHAnsi" w:hAnsi="Arial"/>
      <w:sz w:val="24"/>
    </w:rPr>
  </w:style>
  <w:style w:type="paragraph" w:styleId="Heading1">
    <w:name w:val="heading 1"/>
    <w:basedOn w:val="Normal"/>
    <w:next w:val="Normal"/>
    <w:link w:val="Heading1Char"/>
    <w:uiPriority w:val="9"/>
    <w:qFormat/>
    <w:rsid w:val="00DB3248"/>
    <w:pPr>
      <w:widowControl w:val="0"/>
      <w:spacing w:before="0" w:after="320"/>
      <w:outlineLvl w:val="0"/>
    </w:pPr>
    <w:rPr>
      <w:b/>
      <w:bCs/>
      <w:lang w:val="en-GB"/>
    </w:rPr>
  </w:style>
  <w:style w:type="paragraph" w:styleId="Heading2">
    <w:name w:val="heading 2"/>
    <w:basedOn w:val="Normal"/>
    <w:next w:val="Normal"/>
    <w:link w:val="Heading2Char"/>
    <w:uiPriority w:val="9"/>
    <w:unhideWhenUsed/>
    <w:qFormat/>
    <w:rsid w:val="00DB3248"/>
    <w:pPr>
      <w:widowControl w:val="0"/>
      <w:spacing w:before="0" w:after="320"/>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29"/>
    <w:rsid w:val="00A77185"/>
    <w:pPr>
      <w:spacing w:before="120" w:line="360" w:lineRule="auto"/>
      <w:ind w:left="1985"/>
    </w:pPr>
    <w:rPr>
      <w:iCs/>
      <w:color w:val="000000"/>
    </w:rPr>
  </w:style>
  <w:style w:type="character" w:customStyle="1" w:styleId="QuoteChar">
    <w:name w:val="Quote Char"/>
    <w:link w:val="Quote"/>
    <w:uiPriority w:val="29"/>
    <w:rsid w:val="00A77185"/>
    <w:rPr>
      <w:rFonts w:ascii="Arial" w:hAnsi="Arial"/>
      <w:iCs/>
      <w:color w:val="000000"/>
      <w:sz w:val="24"/>
    </w:rPr>
  </w:style>
  <w:style w:type="paragraph" w:styleId="Footer">
    <w:name w:val="footer"/>
    <w:basedOn w:val="Normal"/>
    <w:link w:val="FooterChar"/>
    <w:rsid w:val="007A58D7"/>
    <w:pPr>
      <w:tabs>
        <w:tab w:val="right" w:pos="8222"/>
      </w:tabs>
    </w:pPr>
  </w:style>
  <w:style w:type="character" w:customStyle="1" w:styleId="FooterChar">
    <w:name w:val="Footer Char"/>
    <w:basedOn w:val="DefaultParagraphFont"/>
    <w:link w:val="Footer"/>
    <w:rsid w:val="007A58D7"/>
    <w:rPr>
      <w:rFonts w:ascii="Arial" w:eastAsia="Times New Roman" w:hAnsi="Arial" w:cs="Times New Roman"/>
      <w:sz w:val="24"/>
      <w:szCs w:val="20"/>
      <w:lang w:eastAsia="en-ZA"/>
    </w:rPr>
  </w:style>
  <w:style w:type="character" w:styleId="FootnoteReference">
    <w:name w:val="footnote reference"/>
    <w:basedOn w:val="DefaultParagraphFont"/>
    <w:unhideWhenUsed/>
    <w:rsid w:val="007A58D7"/>
    <w:rPr>
      <w:vertAlign w:val="superscript"/>
    </w:rPr>
  </w:style>
  <w:style w:type="paragraph" w:styleId="FootnoteText">
    <w:name w:val="footnote text"/>
    <w:basedOn w:val="Normal"/>
    <w:link w:val="FootnoteTextChar"/>
    <w:uiPriority w:val="99"/>
    <w:unhideWhenUsed/>
    <w:rsid w:val="007A58D7"/>
    <w:pPr>
      <w:spacing w:before="120" w:line="240" w:lineRule="auto"/>
      <w:ind w:left="567" w:hanging="567"/>
    </w:pPr>
    <w:rPr>
      <w:sz w:val="20"/>
      <w:szCs w:val="24"/>
    </w:rPr>
  </w:style>
  <w:style w:type="character" w:customStyle="1" w:styleId="FootnoteTextChar">
    <w:name w:val="Footnote Text Char"/>
    <w:basedOn w:val="DefaultParagraphFont"/>
    <w:link w:val="FootnoteText"/>
    <w:uiPriority w:val="99"/>
    <w:rsid w:val="007A58D7"/>
    <w:rPr>
      <w:rFonts w:ascii="Arial" w:eastAsia="Times New Roman" w:hAnsi="Arial" w:cs="Times New Roman"/>
      <w:sz w:val="20"/>
      <w:szCs w:val="24"/>
      <w:lang w:eastAsia="en-ZA"/>
    </w:rPr>
  </w:style>
  <w:style w:type="paragraph" w:styleId="Header">
    <w:name w:val="header"/>
    <w:basedOn w:val="Normal"/>
    <w:link w:val="HeaderChar"/>
    <w:uiPriority w:val="99"/>
    <w:unhideWhenUsed/>
    <w:rsid w:val="007A58D7"/>
    <w:pPr>
      <w:tabs>
        <w:tab w:val="center" w:pos="4513"/>
        <w:tab w:val="right" w:pos="9026"/>
      </w:tabs>
      <w:spacing w:line="240" w:lineRule="auto"/>
    </w:pPr>
  </w:style>
  <w:style w:type="character" w:customStyle="1" w:styleId="HeaderChar">
    <w:name w:val="Header Char"/>
    <w:basedOn w:val="DefaultParagraphFont"/>
    <w:link w:val="Header"/>
    <w:uiPriority w:val="99"/>
    <w:rsid w:val="007A58D7"/>
    <w:rPr>
      <w:rFonts w:ascii="Arial" w:eastAsia="Times New Roman" w:hAnsi="Arial" w:cs="Times New Roman"/>
      <w:sz w:val="24"/>
      <w:szCs w:val="20"/>
      <w:lang w:eastAsia="en-ZA"/>
    </w:rPr>
  </w:style>
  <w:style w:type="paragraph" w:customStyle="1" w:styleId="level1">
    <w:name w:val="level1"/>
    <w:basedOn w:val="Normal"/>
    <w:rsid w:val="00464F5C"/>
    <w:pPr>
      <w:widowControl w:val="0"/>
      <w:numPr>
        <w:numId w:val="19"/>
      </w:numPr>
      <w:tabs>
        <w:tab w:val="clear" w:pos="737"/>
      </w:tabs>
      <w:spacing w:before="0" w:after="320"/>
    </w:pPr>
    <w:rPr>
      <w:lang w:val="en-GB"/>
    </w:rPr>
  </w:style>
  <w:style w:type="paragraph" w:customStyle="1" w:styleId="LEVEL10">
    <w:name w:val="LEVEL1"/>
    <w:basedOn w:val="level1"/>
    <w:next w:val="List"/>
    <w:qFormat/>
    <w:rsid w:val="001732E9"/>
    <w:rPr>
      <w:lang w:val="en-ZA"/>
    </w:rPr>
  </w:style>
  <w:style w:type="paragraph" w:styleId="List">
    <w:name w:val="List"/>
    <w:basedOn w:val="Normal"/>
    <w:uiPriority w:val="99"/>
    <w:semiHidden/>
    <w:unhideWhenUsed/>
    <w:rsid w:val="007A58D7"/>
    <w:pPr>
      <w:ind w:left="283" w:hanging="283"/>
      <w:contextualSpacing/>
    </w:pPr>
  </w:style>
  <w:style w:type="paragraph" w:customStyle="1" w:styleId="level2">
    <w:name w:val="level2"/>
    <w:basedOn w:val="Normal"/>
    <w:rsid w:val="00A77185"/>
    <w:pPr>
      <w:widowControl w:val="0"/>
      <w:numPr>
        <w:ilvl w:val="1"/>
        <w:numId w:val="15"/>
      </w:numPr>
      <w:tabs>
        <w:tab w:val="left" w:pos="1418"/>
      </w:tabs>
    </w:pPr>
  </w:style>
  <w:style w:type="paragraph" w:customStyle="1" w:styleId="LEVEL20">
    <w:name w:val="LEVEL2"/>
    <w:basedOn w:val="LEVEL10"/>
    <w:qFormat/>
    <w:rsid w:val="00A77185"/>
    <w:pPr>
      <w:tabs>
        <w:tab w:val="left" w:pos="1418"/>
      </w:tabs>
    </w:pPr>
  </w:style>
  <w:style w:type="paragraph" w:customStyle="1" w:styleId="level3">
    <w:name w:val="level3"/>
    <w:basedOn w:val="Normal"/>
    <w:rsid w:val="00A77185"/>
    <w:pPr>
      <w:widowControl w:val="0"/>
      <w:numPr>
        <w:ilvl w:val="2"/>
        <w:numId w:val="15"/>
      </w:numPr>
      <w:tabs>
        <w:tab w:val="left" w:pos="2552"/>
      </w:tabs>
    </w:pPr>
  </w:style>
  <w:style w:type="paragraph" w:customStyle="1" w:styleId="LEVEL30">
    <w:name w:val="LEVEL3"/>
    <w:basedOn w:val="LEVEL20"/>
    <w:qFormat/>
    <w:rsid w:val="007A58D7"/>
    <w:pPr>
      <w:tabs>
        <w:tab w:val="clear" w:pos="1418"/>
        <w:tab w:val="left" w:pos="2552"/>
      </w:tabs>
    </w:pPr>
  </w:style>
  <w:style w:type="paragraph" w:customStyle="1" w:styleId="level4">
    <w:name w:val="level4"/>
    <w:basedOn w:val="Normal"/>
    <w:rsid w:val="00A77185"/>
    <w:pPr>
      <w:widowControl w:val="0"/>
      <w:numPr>
        <w:ilvl w:val="3"/>
        <w:numId w:val="15"/>
      </w:numPr>
      <w:tabs>
        <w:tab w:val="left" w:pos="3686"/>
      </w:tabs>
    </w:pPr>
  </w:style>
  <w:style w:type="paragraph" w:customStyle="1" w:styleId="LEVEL40">
    <w:name w:val="LEVEL4"/>
    <w:basedOn w:val="LEVEL30"/>
    <w:qFormat/>
    <w:rsid w:val="007A58D7"/>
    <w:pPr>
      <w:tabs>
        <w:tab w:val="clear" w:pos="2552"/>
        <w:tab w:val="left" w:pos="3402"/>
      </w:tabs>
    </w:pPr>
  </w:style>
  <w:style w:type="paragraph" w:customStyle="1" w:styleId="level4a">
    <w:name w:val="level4a"/>
    <w:basedOn w:val="level4"/>
    <w:qFormat/>
    <w:rsid w:val="007A58D7"/>
    <w:pPr>
      <w:numPr>
        <w:ilvl w:val="0"/>
        <w:numId w:val="5"/>
      </w:numPr>
    </w:pPr>
  </w:style>
  <w:style w:type="paragraph" w:customStyle="1" w:styleId="level5">
    <w:name w:val="level5"/>
    <w:basedOn w:val="Normal"/>
    <w:rsid w:val="00A77185"/>
    <w:pPr>
      <w:widowControl w:val="0"/>
      <w:numPr>
        <w:ilvl w:val="4"/>
        <w:numId w:val="15"/>
      </w:numPr>
      <w:spacing w:before="240"/>
    </w:pPr>
  </w:style>
  <w:style w:type="paragraph" w:customStyle="1" w:styleId="level6">
    <w:name w:val="level6"/>
    <w:basedOn w:val="Normal"/>
    <w:rsid w:val="00A77185"/>
    <w:pPr>
      <w:widowControl w:val="0"/>
      <w:numPr>
        <w:ilvl w:val="5"/>
        <w:numId w:val="15"/>
      </w:numPr>
      <w:spacing w:before="240"/>
    </w:pPr>
  </w:style>
  <w:style w:type="paragraph" w:customStyle="1" w:styleId="level7">
    <w:name w:val="level7"/>
    <w:basedOn w:val="Normal"/>
    <w:rsid w:val="00A77185"/>
    <w:pPr>
      <w:widowControl w:val="0"/>
      <w:numPr>
        <w:ilvl w:val="6"/>
        <w:numId w:val="15"/>
      </w:numPr>
      <w:spacing w:before="240"/>
    </w:pPr>
  </w:style>
  <w:style w:type="paragraph" w:customStyle="1" w:styleId="reference">
    <w:name w:val="reference"/>
    <w:basedOn w:val="Normal"/>
    <w:rsid w:val="00A77185"/>
    <w:pPr>
      <w:widowControl w:val="0"/>
      <w:tabs>
        <w:tab w:val="left" w:pos="567"/>
        <w:tab w:val="left" w:pos="851"/>
        <w:tab w:val="left" w:pos="1134"/>
        <w:tab w:val="left" w:pos="1418"/>
        <w:tab w:val="left" w:pos="1701"/>
        <w:tab w:val="left" w:pos="1985"/>
        <w:tab w:val="left" w:pos="2268"/>
      </w:tabs>
      <w:spacing w:before="240" w:line="240" w:lineRule="auto"/>
      <w:ind w:left="1701"/>
    </w:pPr>
  </w:style>
  <w:style w:type="paragraph" w:customStyle="1" w:styleId="Sublevel">
    <w:name w:val="Sub level"/>
    <w:basedOn w:val="Normal"/>
    <w:rsid w:val="00A77185"/>
    <w:pPr>
      <w:widowControl w:val="0"/>
    </w:pPr>
  </w:style>
  <w:style w:type="paragraph" w:customStyle="1" w:styleId="SUBLEVEL0">
    <w:name w:val="SUBLEVEL"/>
    <w:basedOn w:val="Normal"/>
    <w:rsid w:val="007A58D7"/>
    <w:rPr>
      <w:rFonts w:eastAsia="Calibri" w:cs="Arial"/>
    </w:rPr>
  </w:style>
  <w:style w:type="character" w:customStyle="1" w:styleId="Heading1Char">
    <w:name w:val="Heading 1 Char"/>
    <w:basedOn w:val="DefaultParagraphFont"/>
    <w:link w:val="Heading1"/>
    <w:uiPriority w:val="9"/>
    <w:rsid w:val="00DB3248"/>
    <w:rPr>
      <w:rFonts w:ascii="Arial" w:eastAsiaTheme="minorHAnsi" w:hAnsi="Arial"/>
      <w:b/>
      <w:bCs/>
      <w:sz w:val="24"/>
      <w:lang w:val="en-GB"/>
    </w:rPr>
  </w:style>
  <w:style w:type="paragraph" w:styleId="ListParagraph">
    <w:name w:val="List Paragraph"/>
    <w:basedOn w:val="Normal"/>
    <w:uiPriority w:val="34"/>
    <w:qFormat/>
    <w:rsid w:val="001072E5"/>
    <w:pPr>
      <w:ind w:left="720"/>
      <w:contextualSpacing/>
    </w:pPr>
  </w:style>
  <w:style w:type="character" w:customStyle="1" w:styleId="Heading2Char">
    <w:name w:val="Heading 2 Char"/>
    <w:basedOn w:val="DefaultParagraphFont"/>
    <w:link w:val="Heading2"/>
    <w:uiPriority w:val="9"/>
    <w:rsid w:val="00DB3248"/>
    <w:rPr>
      <w:rFonts w:ascii="Arial" w:eastAsiaTheme="minorHAnsi" w:hAnsi="Arial"/>
      <w:b/>
      <w:bCs/>
      <w:sz w:val="24"/>
      <w:lang w:val="en-GB"/>
    </w:rPr>
  </w:style>
  <w:style w:type="paragraph" w:customStyle="1" w:styleId="quotation1">
    <w:name w:val="quotation 1"/>
    <w:basedOn w:val="Normal"/>
    <w:link w:val="quotation1Char"/>
    <w:qFormat/>
    <w:rsid w:val="00060ABC"/>
    <w:pPr>
      <w:widowControl w:val="0"/>
      <w:spacing w:before="0" w:after="320" w:line="360" w:lineRule="auto"/>
      <w:ind w:left="1418"/>
    </w:pPr>
    <w:rPr>
      <w:i/>
      <w:iCs/>
      <w:lang w:val="en-GB"/>
    </w:rPr>
  </w:style>
  <w:style w:type="paragraph" w:customStyle="1" w:styleId="FN">
    <w:name w:val="FN"/>
    <w:basedOn w:val="FootnoteText"/>
    <w:link w:val="FNChar"/>
    <w:qFormat/>
    <w:rsid w:val="00ED661D"/>
    <w:pPr>
      <w:tabs>
        <w:tab w:val="left" w:pos="567"/>
      </w:tabs>
    </w:pPr>
  </w:style>
  <w:style w:type="character" w:customStyle="1" w:styleId="quotation1Char">
    <w:name w:val="quotation 1 Char"/>
    <w:basedOn w:val="DefaultParagraphFont"/>
    <w:link w:val="quotation1"/>
    <w:rsid w:val="00060ABC"/>
    <w:rPr>
      <w:rFonts w:ascii="Arial" w:eastAsiaTheme="minorHAnsi" w:hAnsi="Arial"/>
      <w:i/>
      <w:iCs/>
      <w:sz w:val="24"/>
      <w:lang w:val="en-GB"/>
    </w:rPr>
  </w:style>
  <w:style w:type="paragraph" w:customStyle="1" w:styleId="1">
    <w:name w:val="1."/>
    <w:basedOn w:val="Normal"/>
    <w:link w:val="1Char"/>
    <w:qFormat/>
    <w:rsid w:val="00903824"/>
    <w:pPr>
      <w:widowControl w:val="0"/>
      <w:numPr>
        <w:numId w:val="23"/>
      </w:numPr>
      <w:spacing w:before="0" w:after="320"/>
      <w:ind w:left="1701" w:hanging="850"/>
    </w:pPr>
    <w:rPr>
      <w:rFonts w:cs="Arial"/>
      <w:lang w:val="en-GB"/>
    </w:rPr>
  </w:style>
  <w:style w:type="character" w:customStyle="1" w:styleId="FNChar">
    <w:name w:val="FN Char"/>
    <w:basedOn w:val="FootnoteTextChar"/>
    <w:link w:val="FN"/>
    <w:rsid w:val="00ED661D"/>
    <w:rPr>
      <w:rFonts w:ascii="Arial" w:eastAsiaTheme="minorHAnsi" w:hAnsi="Arial" w:cs="Times New Roman"/>
      <w:sz w:val="20"/>
      <w:szCs w:val="24"/>
      <w:lang w:eastAsia="en-ZA"/>
    </w:rPr>
  </w:style>
  <w:style w:type="character" w:customStyle="1" w:styleId="1Char">
    <w:name w:val="1. Char"/>
    <w:basedOn w:val="DefaultParagraphFont"/>
    <w:link w:val="1"/>
    <w:rsid w:val="00903824"/>
    <w:rPr>
      <w:rFonts w:ascii="Arial" w:eastAsiaTheme="minorHAnsi" w:hAnsi="Arial" w:cs="Arial"/>
      <w:sz w:val="24"/>
      <w:lang w:val="en-GB"/>
    </w:rPr>
  </w:style>
  <w:style w:type="paragraph" w:customStyle="1" w:styleId="11">
    <w:name w:val="1.1"/>
    <w:basedOn w:val="1"/>
    <w:link w:val="11Char"/>
    <w:qFormat/>
    <w:rsid w:val="00903824"/>
    <w:pPr>
      <w:numPr>
        <w:ilvl w:val="1"/>
      </w:numPr>
      <w:ind w:left="2835" w:hanging="1134"/>
    </w:pPr>
  </w:style>
  <w:style w:type="paragraph" w:customStyle="1" w:styleId="111">
    <w:name w:val="1.1.1"/>
    <w:basedOn w:val="11"/>
    <w:link w:val="111Char"/>
    <w:qFormat/>
    <w:rsid w:val="00903824"/>
    <w:pPr>
      <w:numPr>
        <w:ilvl w:val="2"/>
      </w:numPr>
      <w:ind w:left="3969" w:hanging="1134"/>
    </w:pPr>
  </w:style>
  <w:style w:type="character" w:customStyle="1" w:styleId="11Char">
    <w:name w:val="1.1 Char"/>
    <w:basedOn w:val="1Char"/>
    <w:link w:val="11"/>
    <w:rsid w:val="00903824"/>
    <w:rPr>
      <w:rFonts w:ascii="Arial" w:eastAsiaTheme="minorHAnsi" w:hAnsi="Arial" w:cs="Arial"/>
      <w:sz w:val="24"/>
      <w:lang w:val="en-GB"/>
    </w:rPr>
  </w:style>
  <w:style w:type="character" w:customStyle="1" w:styleId="111Char">
    <w:name w:val="1.1.1 Char"/>
    <w:basedOn w:val="11Char"/>
    <w:link w:val="111"/>
    <w:rsid w:val="00903824"/>
    <w:rPr>
      <w:rFonts w:ascii="Arial" w:eastAsiaTheme="minorHAnsi" w:hAnsi="Arial" w:cs="Arial"/>
      <w:sz w:val="24"/>
      <w:lang w:val="en-GB"/>
    </w:rPr>
  </w:style>
  <w:style w:type="table" w:styleId="TableGrid">
    <w:name w:val="Table Grid"/>
    <w:basedOn w:val="TableNormal"/>
    <w:uiPriority w:val="39"/>
    <w:rsid w:val="002F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16725"/>
    <w:pPr>
      <w:numPr>
        <w:numId w:val="27"/>
      </w:numPr>
      <w:contextualSpacing/>
    </w:pPr>
  </w:style>
  <w:style w:type="character" w:customStyle="1" w:styleId="mc">
    <w:name w:val="mc"/>
    <w:basedOn w:val="DefaultParagraphFont"/>
    <w:rsid w:val="00B266CA"/>
  </w:style>
  <w:style w:type="character" w:customStyle="1" w:styleId="footnoteanchor">
    <w:name w:val="footnoteanchor"/>
    <w:basedOn w:val="DefaultParagraphFont"/>
    <w:rsid w:val="00B266CA"/>
  </w:style>
  <w:style w:type="character" w:styleId="Hyperlink">
    <w:name w:val="Hyperlink"/>
    <w:basedOn w:val="DefaultParagraphFont"/>
    <w:uiPriority w:val="99"/>
    <w:semiHidden/>
    <w:unhideWhenUsed/>
    <w:rsid w:val="00B26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593600">
      <w:bodyDiv w:val="1"/>
      <w:marLeft w:val="0"/>
      <w:marRight w:val="0"/>
      <w:marTop w:val="0"/>
      <w:marBottom w:val="0"/>
      <w:divBdr>
        <w:top w:val="none" w:sz="0" w:space="0" w:color="auto"/>
        <w:left w:val="none" w:sz="0" w:space="0" w:color="auto"/>
        <w:bottom w:val="none" w:sz="0" w:space="0" w:color="auto"/>
        <w:right w:val="none" w:sz="0" w:space="0" w:color="auto"/>
      </w:divBdr>
    </w:div>
    <w:div w:id="1084184041">
      <w:bodyDiv w:val="1"/>
      <w:marLeft w:val="0"/>
      <w:marRight w:val="0"/>
      <w:marTop w:val="0"/>
      <w:marBottom w:val="0"/>
      <w:divBdr>
        <w:top w:val="none" w:sz="0" w:space="0" w:color="auto"/>
        <w:left w:val="none" w:sz="0" w:space="0" w:color="auto"/>
        <w:bottom w:val="none" w:sz="0" w:space="0" w:color="auto"/>
        <w:right w:val="none" w:sz="0" w:space="0" w:color="auto"/>
      </w:divBdr>
    </w:div>
    <w:div w:id="12993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dc:creator>
  <cp:keywords/>
  <dc:description/>
  <cp:lastModifiedBy>Mariana Anguelov</cp:lastModifiedBy>
  <cp:revision>3</cp:revision>
  <dcterms:created xsi:type="dcterms:W3CDTF">2022-12-22T09:23:00Z</dcterms:created>
  <dcterms:modified xsi:type="dcterms:W3CDTF">2022-12-23T17:10:00Z</dcterms:modified>
</cp:coreProperties>
</file>