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8FEE7" w14:textId="77777777" w:rsidR="00AA020E" w:rsidRPr="00AA020E" w:rsidRDefault="00AA020E" w:rsidP="00AA020E">
      <w:pPr>
        <w:spacing w:after="125" w:line="265" w:lineRule="auto"/>
        <w:ind w:left="130" w:right="0" w:hanging="10"/>
        <w:jc w:val="center"/>
      </w:pPr>
      <w:bookmarkStart w:id="0" w:name="_GoBack"/>
      <w:bookmarkEnd w:id="0"/>
      <w:r w:rsidRPr="00AA020E">
        <w:rPr>
          <w:sz w:val="30"/>
        </w:rPr>
        <w:t>IN THE HIGH COURT OF SOUTH AFRICA</w:t>
      </w:r>
    </w:p>
    <w:p w14:paraId="1FF7E745" w14:textId="1C950A04" w:rsidR="00AA020E" w:rsidRPr="00AA020E" w:rsidRDefault="00AA020E" w:rsidP="00AA020E">
      <w:pPr>
        <w:spacing w:after="380" w:line="265" w:lineRule="auto"/>
        <w:ind w:left="130" w:right="10" w:hanging="10"/>
        <w:jc w:val="center"/>
      </w:pPr>
      <w:r w:rsidRPr="00AA020E">
        <w:rPr>
          <w:noProof/>
        </w:rPr>
        <w:drawing>
          <wp:anchor distT="0" distB="0" distL="114300" distR="114300" simplePos="0" relativeHeight="251658240" behindDoc="0" locked="0" layoutInCell="1" allowOverlap="1" wp14:anchorId="59E0ED91" wp14:editId="1CAE0E07">
            <wp:simplePos x="0" y="0"/>
            <wp:positionH relativeFrom="margin">
              <wp:align>center</wp:align>
            </wp:positionH>
            <wp:positionV relativeFrom="paragraph">
              <wp:posOffset>425450</wp:posOffset>
            </wp:positionV>
            <wp:extent cx="935799" cy="1008984"/>
            <wp:effectExtent l="0" t="0" r="0" b="1270"/>
            <wp:wrapSquare wrapText="bothSides"/>
            <wp:docPr id="912" name="Picture 912"/>
            <wp:cNvGraphicFramePr/>
            <a:graphic xmlns:a="http://schemas.openxmlformats.org/drawingml/2006/main">
              <a:graphicData uri="http://schemas.openxmlformats.org/drawingml/2006/picture">
                <pic:pic xmlns:pic="http://schemas.openxmlformats.org/drawingml/2006/picture">
                  <pic:nvPicPr>
                    <pic:cNvPr id="912" name="Picture 9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5799" cy="1008984"/>
                    </a:xfrm>
                    <a:prstGeom prst="rect">
                      <a:avLst/>
                    </a:prstGeom>
                  </pic:spPr>
                </pic:pic>
              </a:graphicData>
            </a:graphic>
          </wp:anchor>
        </w:drawing>
      </w:r>
      <w:r w:rsidRPr="00AA020E">
        <w:rPr>
          <w:sz w:val="30"/>
        </w:rPr>
        <w:t>GAUTENG LOCAL DIVISION, JOHANNESBURG</w:t>
      </w:r>
    </w:p>
    <w:p w14:paraId="72659ECB" w14:textId="1C68CCDC" w:rsidR="00813F51" w:rsidRPr="00AA020E" w:rsidRDefault="00813F51"/>
    <w:p w14:paraId="7B87E19F" w14:textId="7703778F" w:rsidR="00AA020E" w:rsidRPr="00AA020E" w:rsidRDefault="00AA020E"/>
    <w:p w14:paraId="7950D7BF" w14:textId="7CE82CE3" w:rsidR="00AA020E" w:rsidRPr="00757C21" w:rsidRDefault="005C332E" w:rsidP="005C332E">
      <w:pPr>
        <w:spacing w:after="5" w:line="259" w:lineRule="auto"/>
        <w:ind w:left="3600" w:firstLine="720"/>
        <w:rPr>
          <w:sz w:val="28"/>
          <w:szCs w:val="28"/>
        </w:rPr>
      </w:pPr>
      <w:r>
        <w:rPr>
          <w:sz w:val="28"/>
          <w:szCs w:val="28"/>
        </w:rPr>
        <w:t xml:space="preserve">   </w:t>
      </w:r>
      <w:r w:rsidR="00AA020E" w:rsidRPr="00757C21">
        <w:rPr>
          <w:sz w:val="28"/>
          <w:szCs w:val="28"/>
        </w:rPr>
        <w:t xml:space="preserve">Case number: </w:t>
      </w:r>
      <w:r w:rsidR="00D10633">
        <w:rPr>
          <w:sz w:val="28"/>
          <w:szCs w:val="28"/>
        </w:rPr>
        <w:t>20/21345</w:t>
      </w:r>
    </w:p>
    <w:p w14:paraId="2D71B904" w14:textId="17B8380D" w:rsidR="00AA020E" w:rsidRPr="00757C21" w:rsidRDefault="00AA020E" w:rsidP="00AA020E">
      <w:pPr>
        <w:spacing w:after="45" w:line="259" w:lineRule="auto"/>
        <w:ind w:left="10" w:hanging="10"/>
        <w:jc w:val="center"/>
        <w:rPr>
          <w:sz w:val="28"/>
          <w:szCs w:val="28"/>
        </w:rPr>
      </w:pPr>
      <w:r w:rsidRPr="00757C21">
        <w:rPr>
          <w:sz w:val="28"/>
          <w:szCs w:val="28"/>
        </w:rPr>
        <w:t xml:space="preserve">                                         </w:t>
      </w:r>
      <w:r w:rsidR="005B5673">
        <w:rPr>
          <w:sz w:val="28"/>
          <w:szCs w:val="28"/>
        </w:rPr>
        <w:tab/>
        <w:t xml:space="preserve">   </w:t>
      </w:r>
      <w:r w:rsidR="005C332E">
        <w:rPr>
          <w:sz w:val="28"/>
          <w:szCs w:val="28"/>
        </w:rPr>
        <w:tab/>
      </w:r>
      <w:r w:rsidR="005C332E">
        <w:rPr>
          <w:sz w:val="28"/>
          <w:szCs w:val="28"/>
        </w:rPr>
        <w:tab/>
        <w:t>D</w:t>
      </w:r>
      <w:r w:rsidRPr="00757C21">
        <w:rPr>
          <w:sz w:val="28"/>
          <w:szCs w:val="28"/>
        </w:rPr>
        <w:t>ate of hearing:</w:t>
      </w:r>
      <w:r w:rsidR="005C332E">
        <w:rPr>
          <w:sz w:val="28"/>
          <w:szCs w:val="28"/>
        </w:rPr>
        <w:t xml:space="preserve"> </w:t>
      </w:r>
      <w:r w:rsidR="005C332E">
        <w:rPr>
          <w:sz w:val="30"/>
          <w:szCs w:val="30"/>
        </w:rPr>
        <w:t>2</w:t>
      </w:r>
      <w:r w:rsidR="006206F5">
        <w:rPr>
          <w:sz w:val="30"/>
          <w:szCs w:val="30"/>
        </w:rPr>
        <w:t>3</w:t>
      </w:r>
      <w:r w:rsidR="005C332E">
        <w:rPr>
          <w:sz w:val="30"/>
          <w:szCs w:val="30"/>
        </w:rPr>
        <w:t xml:space="preserve"> November 2022</w:t>
      </w:r>
    </w:p>
    <w:p w14:paraId="7ED3A764" w14:textId="3C0E0D26" w:rsidR="00AA020E" w:rsidRPr="00757C21" w:rsidRDefault="00AA020E" w:rsidP="005C332E">
      <w:pPr>
        <w:spacing w:after="184" w:line="259" w:lineRule="auto"/>
        <w:ind w:left="1450" w:firstLine="710"/>
        <w:jc w:val="center"/>
        <w:rPr>
          <w:sz w:val="28"/>
          <w:szCs w:val="28"/>
        </w:rPr>
      </w:pPr>
      <w:r w:rsidRPr="00757C21">
        <w:rPr>
          <w:sz w:val="28"/>
          <w:szCs w:val="28"/>
        </w:rPr>
        <w:t xml:space="preserve">                          Date delivered: </w:t>
      </w:r>
      <w:r w:rsidR="002449A0">
        <w:rPr>
          <w:sz w:val="28"/>
          <w:szCs w:val="28"/>
        </w:rPr>
        <w:t>19</w:t>
      </w:r>
      <w:r w:rsidR="005C332E">
        <w:rPr>
          <w:sz w:val="28"/>
          <w:szCs w:val="28"/>
        </w:rPr>
        <w:t xml:space="preserve"> December 2022</w:t>
      </w:r>
    </w:p>
    <w:tbl>
      <w:tblPr>
        <w:tblStyle w:val="TableGrid"/>
        <w:tblW w:w="4987" w:type="dxa"/>
        <w:tblInd w:w="-170" w:type="dxa"/>
        <w:tblCellMar>
          <w:left w:w="122" w:type="dxa"/>
          <w:right w:w="115" w:type="dxa"/>
        </w:tblCellMar>
        <w:tblLook w:val="04A0" w:firstRow="1" w:lastRow="0" w:firstColumn="1" w:lastColumn="0" w:noHBand="0" w:noVBand="1"/>
      </w:tblPr>
      <w:tblGrid>
        <w:gridCol w:w="4987"/>
      </w:tblGrid>
      <w:tr w:rsidR="00AA020E" w:rsidRPr="00AA020E" w14:paraId="5186D4B2" w14:textId="77777777" w:rsidTr="007028BA">
        <w:trPr>
          <w:trHeight w:val="2473"/>
        </w:trPr>
        <w:tc>
          <w:tcPr>
            <w:tcW w:w="4987" w:type="dxa"/>
            <w:tcBorders>
              <w:top w:val="single" w:sz="2" w:space="0" w:color="000000"/>
              <w:left w:val="single" w:sz="2" w:space="0" w:color="000000"/>
              <w:bottom w:val="single" w:sz="2" w:space="0" w:color="000000"/>
              <w:right w:val="single" w:sz="2" w:space="0" w:color="000000"/>
            </w:tcBorders>
            <w:vAlign w:val="center"/>
          </w:tcPr>
          <w:p w14:paraId="138D8DE3" w14:textId="55016F9C" w:rsidR="00AA020E" w:rsidRPr="00AA020E" w:rsidRDefault="00E966C4" w:rsidP="00120F65">
            <w:pPr>
              <w:spacing w:after="0" w:line="259" w:lineRule="auto"/>
              <w:ind w:left="14" w:right="0" w:firstLine="0"/>
              <w:jc w:val="left"/>
            </w:pPr>
            <w:r>
              <w:rPr>
                <w:sz w:val="20"/>
              </w:rPr>
              <w:t xml:space="preserve">         </w:t>
            </w:r>
            <w:r w:rsidR="00AA020E" w:rsidRPr="00AA020E">
              <w:rPr>
                <w:sz w:val="20"/>
              </w:rPr>
              <w:t>DELETE WHICHEVER IS NOT APPLICABLE</w:t>
            </w:r>
          </w:p>
          <w:p w14:paraId="3888EADF" w14:textId="77777777" w:rsidR="00AA020E" w:rsidRPr="00AA020E" w:rsidRDefault="00AA020E" w:rsidP="00AA020E">
            <w:pPr>
              <w:numPr>
                <w:ilvl w:val="0"/>
                <w:numId w:val="1"/>
              </w:numPr>
              <w:spacing w:after="0" w:line="259" w:lineRule="auto"/>
              <w:ind w:left="447" w:right="0" w:hanging="851"/>
              <w:jc w:val="left"/>
            </w:pPr>
            <w:r w:rsidRPr="00AA020E">
              <w:rPr>
                <w:sz w:val="22"/>
              </w:rPr>
              <w:t xml:space="preserve">REPORTABLE: </w:t>
            </w:r>
            <w:r w:rsidRPr="009940D5">
              <w:rPr>
                <w:strike/>
                <w:sz w:val="22"/>
              </w:rPr>
              <w:t>YES</w:t>
            </w:r>
            <w:r w:rsidRPr="00AA020E">
              <w:rPr>
                <w:sz w:val="22"/>
              </w:rPr>
              <w:t>/NO</w:t>
            </w:r>
          </w:p>
          <w:p w14:paraId="77A749B2" w14:textId="6C02A601" w:rsidR="00AA020E" w:rsidRPr="007028BA" w:rsidRDefault="00AA020E" w:rsidP="00AA020E">
            <w:pPr>
              <w:numPr>
                <w:ilvl w:val="0"/>
                <w:numId w:val="1"/>
              </w:numPr>
              <w:spacing w:after="0" w:line="259" w:lineRule="auto"/>
              <w:ind w:left="447" w:right="0" w:hanging="851"/>
              <w:jc w:val="left"/>
              <w:rPr>
                <w:sz w:val="22"/>
              </w:rPr>
            </w:pPr>
            <w:r w:rsidRPr="007028BA">
              <w:rPr>
                <w:sz w:val="22"/>
              </w:rPr>
              <w:t xml:space="preserve">OF INTEREST TO OTHER JUDGES: </w:t>
            </w:r>
            <w:r w:rsidRPr="004240F5">
              <w:rPr>
                <w:strike/>
                <w:sz w:val="22"/>
              </w:rPr>
              <w:t>YES</w:t>
            </w:r>
            <w:r w:rsidRPr="007028BA">
              <w:rPr>
                <w:sz w:val="22"/>
              </w:rPr>
              <w:t>/NO</w:t>
            </w:r>
          </w:p>
          <w:p w14:paraId="67C325F3" w14:textId="77777777" w:rsidR="00AA020E" w:rsidRPr="007028BA" w:rsidRDefault="00AA020E" w:rsidP="00AA020E">
            <w:pPr>
              <w:numPr>
                <w:ilvl w:val="0"/>
                <w:numId w:val="1"/>
              </w:numPr>
              <w:spacing w:after="231" w:line="259" w:lineRule="auto"/>
              <w:ind w:left="447" w:right="0" w:hanging="851"/>
              <w:jc w:val="left"/>
              <w:rPr>
                <w:sz w:val="22"/>
              </w:rPr>
            </w:pPr>
            <w:r w:rsidRPr="007028BA">
              <w:rPr>
                <w:sz w:val="22"/>
              </w:rPr>
              <w:t>REVISED</w:t>
            </w:r>
          </w:p>
          <w:p w14:paraId="4493D7E2" w14:textId="6212687A" w:rsidR="00AA020E" w:rsidRPr="007028BA" w:rsidRDefault="009940D5" w:rsidP="009940D5">
            <w:pPr>
              <w:spacing w:after="0" w:line="259" w:lineRule="auto"/>
              <w:ind w:left="447" w:right="104" w:firstLine="0"/>
              <w:jc w:val="left"/>
              <w:rPr>
                <w:sz w:val="22"/>
              </w:rPr>
            </w:pPr>
            <w:r w:rsidRPr="009940D5">
              <w:rPr>
                <w:rFonts w:eastAsia="Calibri"/>
                <w:sz w:val="22"/>
                <w:u w:val="single"/>
              </w:rPr>
              <w:t>19 December 2022</w:t>
            </w:r>
            <w:r w:rsidR="007028BA">
              <w:rPr>
                <w:rFonts w:eastAsia="Calibri"/>
                <w:sz w:val="22"/>
              </w:rPr>
              <w:t xml:space="preserve">    </w:t>
            </w:r>
            <w:r w:rsidR="002449A0">
              <w:rPr>
                <w:rFonts w:eastAsia="Calibri"/>
                <w:sz w:val="22"/>
              </w:rPr>
              <w:t xml:space="preserve">  </w:t>
            </w:r>
            <w:r>
              <w:rPr>
                <w:rFonts w:eastAsia="Calibri"/>
                <w:sz w:val="22"/>
              </w:rPr>
              <w:t>_______________</w:t>
            </w:r>
          </w:p>
          <w:p w14:paraId="76CDD58F" w14:textId="1C52F63C" w:rsidR="00AA020E" w:rsidRPr="00AA020E" w:rsidRDefault="00AA020E" w:rsidP="00120F65">
            <w:pPr>
              <w:spacing w:after="0" w:line="259" w:lineRule="auto"/>
              <w:ind w:left="413" w:right="104" w:firstLine="0"/>
              <w:jc w:val="left"/>
            </w:pPr>
            <w:r w:rsidRPr="007028BA">
              <w:rPr>
                <w:sz w:val="22"/>
              </w:rPr>
              <w:t xml:space="preserve">DATE                      </w:t>
            </w:r>
            <w:r w:rsidR="009940D5">
              <w:rPr>
                <w:sz w:val="22"/>
              </w:rPr>
              <w:t xml:space="preserve">     </w:t>
            </w:r>
            <w:r w:rsidRPr="007028BA">
              <w:rPr>
                <w:sz w:val="22"/>
              </w:rPr>
              <w:t>SIGNATURE</w:t>
            </w:r>
          </w:p>
        </w:tc>
      </w:tr>
    </w:tbl>
    <w:p w14:paraId="78A6AC43" w14:textId="77777777" w:rsidR="009F33A8" w:rsidRDefault="009F33A8" w:rsidP="00AA020E">
      <w:pPr>
        <w:tabs>
          <w:tab w:val="right" w:pos="9072"/>
        </w:tabs>
        <w:spacing w:line="360" w:lineRule="auto"/>
        <w:rPr>
          <w:rFonts w:eastAsia="Calibri"/>
          <w:sz w:val="30"/>
          <w:szCs w:val="30"/>
        </w:rPr>
      </w:pPr>
    </w:p>
    <w:p w14:paraId="13316332" w14:textId="65974E60" w:rsidR="00AA020E" w:rsidRPr="009D5196" w:rsidRDefault="00AA020E" w:rsidP="00AA020E">
      <w:pPr>
        <w:tabs>
          <w:tab w:val="right" w:pos="9072"/>
        </w:tabs>
        <w:spacing w:line="360" w:lineRule="auto"/>
        <w:rPr>
          <w:rFonts w:eastAsia="Calibri"/>
          <w:sz w:val="30"/>
          <w:szCs w:val="30"/>
        </w:rPr>
      </w:pPr>
      <w:r w:rsidRPr="009D5196">
        <w:rPr>
          <w:rFonts w:eastAsia="Calibri"/>
          <w:sz w:val="30"/>
          <w:szCs w:val="30"/>
        </w:rPr>
        <w:t>In the matter between:</w:t>
      </w:r>
    </w:p>
    <w:p w14:paraId="572B9B67" w14:textId="6A9C3D21" w:rsidR="00AA020E" w:rsidRDefault="00D10633" w:rsidP="00AA020E">
      <w:pPr>
        <w:tabs>
          <w:tab w:val="right" w:pos="9072"/>
        </w:tabs>
        <w:rPr>
          <w:rFonts w:eastAsia="Calibri"/>
          <w:sz w:val="30"/>
          <w:szCs w:val="30"/>
        </w:rPr>
      </w:pPr>
      <w:r>
        <w:rPr>
          <w:rFonts w:eastAsia="Calibri"/>
          <w:bCs/>
          <w:sz w:val="30"/>
          <w:szCs w:val="30"/>
        </w:rPr>
        <w:t xml:space="preserve">THE STANDARD BANK OF SOUTH AFRICA </w:t>
      </w:r>
      <w:r w:rsidR="00F00CAD">
        <w:rPr>
          <w:rFonts w:eastAsia="Calibri"/>
          <w:bCs/>
          <w:sz w:val="30"/>
          <w:szCs w:val="30"/>
        </w:rPr>
        <w:t>LIMITED</w:t>
      </w:r>
      <w:r w:rsidR="00AA020E" w:rsidRPr="009D5196">
        <w:rPr>
          <w:rFonts w:eastAsia="Calibri"/>
          <w:b/>
          <w:sz w:val="30"/>
          <w:szCs w:val="30"/>
        </w:rPr>
        <w:t xml:space="preserve"> </w:t>
      </w:r>
      <w:r w:rsidR="00AA020E" w:rsidRPr="009D5196">
        <w:rPr>
          <w:rFonts w:eastAsia="Calibri"/>
          <w:b/>
          <w:sz w:val="30"/>
          <w:szCs w:val="30"/>
        </w:rPr>
        <w:tab/>
      </w:r>
      <w:r w:rsidR="00AA020E" w:rsidRPr="009D5196">
        <w:rPr>
          <w:rFonts w:eastAsia="Calibri"/>
          <w:sz w:val="30"/>
          <w:szCs w:val="30"/>
        </w:rPr>
        <w:t xml:space="preserve">Applicant </w:t>
      </w:r>
    </w:p>
    <w:p w14:paraId="286A9183" w14:textId="77777777" w:rsidR="00AA020E" w:rsidRPr="009D5196" w:rsidRDefault="00AA020E" w:rsidP="00AA020E">
      <w:pPr>
        <w:tabs>
          <w:tab w:val="right" w:pos="9072"/>
        </w:tabs>
        <w:spacing w:line="360" w:lineRule="auto"/>
        <w:rPr>
          <w:rFonts w:eastAsia="Calibri"/>
          <w:sz w:val="30"/>
          <w:szCs w:val="30"/>
        </w:rPr>
      </w:pPr>
      <w:r w:rsidRPr="009D5196">
        <w:rPr>
          <w:rFonts w:eastAsia="Calibri"/>
          <w:sz w:val="30"/>
          <w:szCs w:val="30"/>
        </w:rPr>
        <w:t>and</w:t>
      </w:r>
    </w:p>
    <w:p w14:paraId="5D21B572" w14:textId="773F0B93" w:rsidR="00AA020E" w:rsidRDefault="00F00CAD" w:rsidP="009F33A8">
      <w:pPr>
        <w:tabs>
          <w:tab w:val="right" w:pos="9072"/>
        </w:tabs>
        <w:spacing w:after="0" w:line="360" w:lineRule="auto"/>
        <w:ind w:right="40" w:firstLine="11"/>
        <w:jc w:val="center"/>
        <w:rPr>
          <w:rFonts w:eastAsia="Calibri"/>
          <w:sz w:val="30"/>
          <w:szCs w:val="30"/>
        </w:rPr>
      </w:pPr>
      <w:r>
        <w:rPr>
          <w:rFonts w:eastAsia="Calibri"/>
          <w:bCs/>
          <w:sz w:val="30"/>
          <w:szCs w:val="30"/>
        </w:rPr>
        <w:t xml:space="preserve">WYCLIFFE ERNEST </w:t>
      </w:r>
      <w:r w:rsidR="007C75BF">
        <w:rPr>
          <w:rFonts w:eastAsia="Calibri"/>
          <w:bCs/>
          <w:sz w:val="30"/>
          <w:szCs w:val="30"/>
        </w:rPr>
        <w:t>THIPE MOTHULOE</w:t>
      </w:r>
      <w:r w:rsidR="00AA020E" w:rsidRPr="009D5196">
        <w:rPr>
          <w:rFonts w:eastAsia="Calibri"/>
          <w:sz w:val="30"/>
          <w:szCs w:val="30"/>
        </w:rPr>
        <w:tab/>
      </w:r>
      <w:r w:rsidR="009D5196">
        <w:rPr>
          <w:rFonts w:eastAsia="Calibri"/>
          <w:sz w:val="30"/>
          <w:szCs w:val="30"/>
        </w:rPr>
        <w:t xml:space="preserve"> </w:t>
      </w:r>
      <w:r w:rsidR="00AA020E" w:rsidRPr="009D5196">
        <w:rPr>
          <w:rFonts w:eastAsia="Calibri"/>
          <w:sz w:val="30"/>
          <w:szCs w:val="30"/>
        </w:rPr>
        <w:t>Respondent</w:t>
      </w:r>
    </w:p>
    <w:p w14:paraId="48ABFEE3" w14:textId="77777777" w:rsidR="002449A0" w:rsidRDefault="002449A0" w:rsidP="009F33A8">
      <w:pPr>
        <w:tabs>
          <w:tab w:val="right" w:pos="9072"/>
        </w:tabs>
        <w:spacing w:after="0" w:line="360" w:lineRule="auto"/>
        <w:ind w:right="40" w:firstLine="11"/>
        <w:jc w:val="center"/>
        <w:rPr>
          <w:rFonts w:eastAsia="Calibri"/>
          <w:sz w:val="30"/>
          <w:szCs w:val="30"/>
        </w:rPr>
      </w:pPr>
    </w:p>
    <w:p w14:paraId="5F279E17" w14:textId="70445F8D" w:rsidR="00AA020E" w:rsidRPr="009D5196" w:rsidRDefault="009D5196" w:rsidP="009D5196">
      <w:pPr>
        <w:tabs>
          <w:tab w:val="right" w:pos="9072"/>
        </w:tabs>
        <w:spacing w:after="0" w:line="480" w:lineRule="auto"/>
        <w:ind w:right="40" w:firstLine="11"/>
        <w:jc w:val="center"/>
        <w:rPr>
          <w:rFonts w:eastAsia="Calibri"/>
          <w:b/>
          <w:sz w:val="30"/>
          <w:szCs w:val="30"/>
        </w:rPr>
      </w:pPr>
      <w:r w:rsidRPr="009D5196">
        <w:rPr>
          <w:rFonts w:eastAsia="Calibri"/>
          <w:b/>
          <w:sz w:val="30"/>
          <w:szCs w:val="30"/>
        </w:rPr>
        <w:t>___________________________________________________________</w:t>
      </w:r>
    </w:p>
    <w:p w14:paraId="7BFF70E6" w14:textId="5DABED58" w:rsidR="009D5196" w:rsidRPr="009D5196" w:rsidRDefault="00AA020E" w:rsidP="009D5196">
      <w:pPr>
        <w:tabs>
          <w:tab w:val="right" w:pos="9072"/>
        </w:tabs>
        <w:spacing w:after="0" w:line="480" w:lineRule="auto"/>
        <w:ind w:right="40" w:firstLine="11"/>
        <w:jc w:val="center"/>
        <w:rPr>
          <w:rFonts w:eastAsia="Calibri"/>
          <w:bCs/>
          <w:sz w:val="30"/>
          <w:szCs w:val="30"/>
        </w:rPr>
      </w:pPr>
      <w:r w:rsidRPr="009D5196">
        <w:rPr>
          <w:bCs/>
          <w:sz w:val="30"/>
          <w:szCs w:val="30"/>
        </w:rPr>
        <w:t>JUDGMENT</w:t>
      </w:r>
    </w:p>
    <w:p w14:paraId="0CE51F24" w14:textId="77777777" w:rsidR="009D5196" w:rsidRPr="009D5196" w:rsidRDefault="009D5196" w:rsidP="009D5196">
      <w:pPr>
        <w:tabs>
          <w:tab w:val="right" w:pos="9072"/>
        </w:tabs>
        <w:jc w:val="center"/>
        <w:rPr>
          <w:rFonts w:eastAsia="Calibri"/>
          <w:b/>
          <w:sz w:val="30"/>
          <w:szCs w:val="30"/>
        </w:rPr>
      </w:pPr>
      <w:r w:rsidRPr="009D5196">
        <w:rPr>
          <w:rFonts w:eastAsia="Calibri"/>
          <w:b/>
          <w:sz w:val="30"/>
          <w:szCs w:val="30"/>
        </w:rPr>
        <w:t>___________________________________________________________</w:t>
      </w:r>
    </w:p>
    <w:p w14:paraId="7C1690D5" w14:textId="77777777" w:rsidR="002449A0" w:rsidRDefault="002449A0" w:rsidP="009D5196">
      <w:pPr>
        <w:pStyle w:val="ListParagraph"/>
        <w:spacing w:line="480" w:lineRule="auto"/>
        <w:ind w:left="0" w:firstLine="720"/>
        <w:jc w:val="both"/>
        <w:rPr>
          <w:rFonts w:ascii="Times New Roman" w:hAnsi="Times New Roman" w:cs="Times New Roman"/>
          <w:b/>
        </w:rPr>
      </w:pPr>
    </w:p>
    <w:p w14:paraId="454AEE05" w14:textId="095E274E" w:rsidR="00AA020E" w:rsidRDefault="00AA020E" w:rsidP="009D5196">
      <w:pPr>
        <w:pStyle w:val="ListParagraph"/>
        <w:spacing w:line="480" w:lineRule="auto"/>
        <w:ind w:left="0" w:firstLine="720"/>
        <w:jc w:val="both"/>
        <w:rPr>
          <w:rFonts w:ascii="Times New Roman" w:hAnsi="Times New Roman" w:cs="Times New Roman"/>
          <w:b/>
          <w:sz w:val="26"/>
          <w:szCs w:val="26"/>
        </w:rPr>
      </w:pPr>
      <w:r w:rsidRPr="009D5196">
        <w:rPr>
          <w:rFonts w:ascii="Times New Roman" w:hAnsi="Times New Roman" w:cs="Times New Roman"/>
          <w:b/>
          <w:sz w:val="26"/>
          <w:szCs w:val="26"/>
        </w:rPr>
        <w:lastRenderedPageBreak/>
        <w:t>KEMACK AJ:</w:t>
      </w:r>
    </w:p>
    <w:p w14:paraId="51D3EDE2" w14:textId="77777777" w:rsidR="00BA2944" w:rsidRPr="009D5196" w:rsidRDefault="00BA2944" w:rsidP="009D5196">
      <w:pPr>
        <w:pStyle w:val="ListParagraph"/>
        <w:spacing w:line="480" w:lineRule="auto"/>
        <w:ind w:left="0" w:firstLine="720"/>
        <w:jc w:val="both"/>
        <w:rPr>
          <w:rFonts w:ascii="Times New Roman" w:hAnsi="Times New Roman" w:cs="Times New Roman"/>
          <w:b/>
          <w:sz w:val="26"/>
          <w:szCs w:val="26"/>
        </w:rPr>
      </w:pPr>
    </w:p>
    <w:p w14:paraId="1CDEE1F1" w14:textId="34383F18" w:rsidR="006206F5" w:rsidRDefault="00691CF7" w:rsidP="00AA020E">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The applicant</w:t>
      </w:r>
      <w:r w:rsidR="006206F5">
        <w:rPr>
          <w:rFonts w:ascii="Times New Roman" w:hAnsi="Times New Roman" w:cs="Times New Roman"/>
        </w:rPr>
        <w:t xml:space="preserve"> applies for the final sequestration of the respondent’s estate</w:t>
      </w:r>
      <w:r w:rsidR="00E334B9">
        <w:rPr>
          <w:rFonts w:ascii="Times New Roman" w:hAnsi="Times New Roman" w:cs="Times New Roman"/>
        </w:rPr>
        <w:t>, a provisional sequestration order having been granted on 10 November 2021.</w:t>
      </w:r>
    </w:p>
    <w:p w14:paraId="75F8D975" w14:textId="77777777" w:rsidR="00BA2944" w:rsidRDefault="00BA2944" w:rsidP="00BA2944">
      <w:pPr>
        <w:pStyle w:val="ListParagraph"/>
        <w:spacing w:line="480" w:lineRule="auto"/>
        <w:ind w:left="851"/>
        <w:jc w:val="both"/>
        <w:rPr>
          <w:rFonts w:ascii="Times New Roman" w:hAnsi="Times New Roman" w:cs="Times New Roman"/>
        </w:rPr>
      </w:pPr>
    </w:p>
    <w:p w14:paraId="682A26D4" w14:textId="2DBC5DAE" w:rsidR="00E334B9" w:rsidRDefault="00E334B9" w:rsidP="00AA020E">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Section 12 of the Insolvency Act 24 of 19</w:t>
      </w:r>
      <w:r w:rsidR="000A3F90">
        <w:rPr>
          <w:rFonts w:ascii="Times New Roman" w:hAnsi="Times New Roman" w:cs="Times New Roman"/>
        </w:rPr>
        <w:t xml:space="preserve">36 sets out the requirements for </w:t>
      </w:r>
      <w:r w:rsidR="00BA2944">
        <w:rPr>
          <w:rFonts w:ascii="Times New Roman" w:hAnsi="Times New Roman" w:cs="Times New Roman"/>
        </w:rPr>
        <w:t>a</w:t>
      </w:r>
      <w:r w:rsidR="000A3F90">
        <w:rPr>
          <w:rFonts w:ascii="Times New Roman" w:hAnsi="Times New Roman" w:cs="Times New Roman"/>
        </w:rPr>
        <w:t xml:space="preserve"> final sequestration order</w:t>
      </w:r>
      <w:r w:rsidR="00BA2944">
        <w:rPr>
          <w:rFonts w:ascii="Times New Roman" w:hAnsi="Times New Roman" w:cs="Times New Roman"/>
        </w:rPr>
        <w:t>.</w:t>
      </w:r>
      <w:r w:rsidR="000A3F90">
        <w:rPr>
          <w:rFonts w:ascii="Times New Roman" w:hAnsi="Times New Roman" w:cs="Times New Roman"/>
        </w:rPr>
        <w:t xml:space="preserve"> </w:t>
      </w:r>
      <w:r w:rsidR="00BA2944">
        <w:rPr>
          <w:rFonts w:ascii="Times New Roman" w:hAnsi="Times New Roman" w:cs="Times New Roman"/>
        </w:rPr>
        <w:t>T</w:t>
      </w:r>
      <w:r w:rsidR="000A3F90">
        <w:rPr>
          <w:rFonts w:ascii="Times New Roman" w:hAnsi="Times New Roman" w:cs="Times New Roman"/>
        </w:rPr>
        <w:t xml:space="preserve">he court may grant such an order if it is satisfied that the petitioning </w:t>
      </w:r>
      <w:r w:rsidR="00A03FA4">
        <w:rPr>
          <w:rFonts w:ascii="Times New Roman" w:hAnsi="Times New Roman" w:cs="Times New Roman"/>
        </w:rPr>
        <w:t>creditor has established a liquidated claim of at least R100</w:t>
      </w:r>
      <w:r w:rsidR="009940D5">
        <w:rPr>
          <w:rFonts w:ascii="Times New Roman" w:hAnsi="Times New Roman" w:cs="Times New Roman"/>
        </w:rPr>
        <w:t xml:space="preserve"> </w:t>
      </w:r>
      <w:r w:rsidR="009940D5" w:rsidRPr="009940D5">
        <w:rPr>
          <w:rFonts w:ascii="Times New Roman" w:hAnsi="Times New Roman" w:cs="Times New Roman"/>
          <w:lang w:val="en-ZA"/>
        </w:rPr>
        <w:t>against the debtor</w:t>
      </w:r>
      <w:r w:rsidR="00A03FA4">
        <w:rPr>
          <w:rFonts w:ascii="Times New Roman" w:hAnsi="Times New Roman" w:cs="Times New Roman"/>
        </w:rPr>
        <w:t xml:space="preserve">; that the debtor has committed an act of insolvency or is factually insolvent; and that there is reason to believe </w:t>
      </w:r>
      <w:r w:rsidR="00E37723">
        <w:rPr>
          <w:rFonts w:ascii="Times New Roman" w:hAnsi="Times New Roman" w:cs="Times New Roman"/>
        </w:rPr>
        <w:t>that it will be to the advantage of creditors of the debtor if the debtor’s estate is sequestrated. For a final order, these three elements must be established on a balance of proba</w:t>
      </w:r>
      <w:r w:rsidR="00D2481C">
        <w:rPr>
          <w:rFonts w:ascii="Times New Roman" w:hAnsi="Times New Roman" w:cs="Times New Roman"/>
        </w:rPr>
        <w:t>b</w:t>
      </w:r>
      <w:r w:rsidR="00E37723">
        <w:rPr>
          <w:rFonts w:ascii="Times New Roman" w:hAnsi="Times New Roman" w:cs="Times New Roman"/>
        </w:rPr>
        <w:t>ilit</w:t>
      </w:r>
      <w:r w:rsidR="009545D1">
        <w:rPr>
          <w:rFonts w:ascii="Times New Roman" w:hAnsi="Times New Roman" w:cs="Times New Roman"/>
        </w:rPr>
        <w:t xml:space="preserve">ies. </w:t>
      </w:r>
    </w:p>
    <w:p w14:paraId="09ED6D54" w14:textId="77777777" w:rsidR="00BA2944" w:rsidRDefault="00BA2944" w:rsidP="00BA2944">
      <w:pPr>
        <w:pStyle w:val="ListParagraph"/>
        <w:spacing w:line="480" w:lineRule="auto"/>
        <w:ind w:left="851"/>
        <w:jc w:val="both"/>
        <w:rPr>
          <w:rFonts w:ascii="Times New Roman" w:hAnsi="Times New Roman" w:cs="Times New Roman"/>
        </w:rPr>
      </w:pPr>
    </w:p>
    <w:p w14:paraId="51C85B89" w14:textId="213125F8" w:rsidR="009545D1" w:rsidRDefault="009545D1" w:rsidP="00AA020E">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The applicant relies on </w:t>
      </w:r>
      <w:r w:rsidR="00DD03F1">
        <w:rPr>
          <w:rFonts w:ascii="Times New Roman" w:hAnsi="Times New Roman" w:cs="Times New Roman"/>
        </w:rPr>
        <w:t>two</w:t>
      </w:r>
      <w:r>
        <w:rPr>
          <w:rFonts w:ascii="Times New Roman" w:hAnsi="Times New Roman" w:cs="Times New Roman"/>
        </w:rPr>
        <w:t xml:space="preserve"> unsatisfied judgments for its liquidated claims: </w:t>
      </w:r>
      <w:r w:rsidR="006F3207">
        <w:rPr>
          <w:rFonts w:ascii="Times New Roman" w:hAnsi="Times New Roman" w:cs="Times New Roman"/>
        </w:rPr>
        <w:t xml:space="preserve">the first </w:t>
      </w:r>
      <w:r>
        <w:rPr>
          <w:rFonts w:ascii="Times New Roman" w:hAnsi="Times New Roman" w:cs="Times New Roman"/>
        </w:rPr>
        <w:t>for R6,358,107.32</w:t>
      </w:r>
      <w:r w:rsidR="00A830C8">
        <w:rPr>
          <w:rFonts w:ascii="Times New Roman" w:hAnsi="Times New Roman" w:cs="Times New Roman"/>
        </w:rPr>
        <w:t xml:space="preserve"> granted on 16 August 2016 </w:t>
      </w:r>
      <w:r w:rsidR="00D2481C">
        <w:rPr>
          <w:rFonts w:ascii="Times New Roman" w:hAnsi="Times New Roman" w:cs="Times New Roman"/>
        </w:rPr>
        <w:t>under Gauteng Division, Pretoria case number 42519/20</w:t>
      </w:r>
      <w:r w:rsidR="001527CC">
        <w:rPr>
          <w:rFonts w:ascii="Times New Roman" w:hAnsi="Times New Roman" w:cs="Times New Roman"/>
        </w:rPr>
        <w:t>16</w:t>
      </w:r>
      <w:r w:rsidR="00CA7568">
        <w:rPr>
          <w:rFonts w:ascii="Times New Roman" w:hAnsi="Times New Roman" w:cs="Times New Roman"/>
        </w:rPr>
        <w:t xml:space="preserve"> </w:t>
      </w:r>
      <w:r w:rsidR="00A830C8">
        <w:rPr>
          <w:rFonts w:ascii="Times New Roman" w:hAnsi="Times New Roman" w:cs="Times New Roman"/>
        </w:rPr>
        <w:t>(“the first judgment”</w:t>
      </w:r>
      <w:r w:rsidR="00BA2944">
        <w:rPr>
          <w:rFonts w:ascii="Times New Roman" w:hAnsi="Times New Roman" w:cs="Times New Roman"/>
        </w:rPr>
        <w:t xml:space="preserve">, </w:t>
      </w:r>
      <w:r w:rsidR="00CA7568">
        <w:rPr>
          <w:rFonts w:ascii="Times New Roman" w:hAnsi="Times New Roman" w:cs="Times New Roman"/>
        </w:rPr>
        <w:t>annexure “FA2” to the founding affidavit)</w:t>
      </w:r>
      <w:r w:rsidR="004240F5">
        <w:rPr>
          <w:rFonts w:ascii="Times New Roman" w:hAnsi="Times New Roman" w:cs="Times New Roman"/>
        </w:rPr>
        <w:t>;</w:t>
      </w:r>
      <w:r w:rsidR="00A830C8">
        <w:rPr>
          <w:rFonts w:ascii="Times New Roman" w:hAnsi="Times New Roman" w:cs="Times New Roman"/>
        </w:rPr>
        <w:t xml:space="preserve"> and </w:t>
      </w:r>
      <w:r w:rsidR="006F3207">
        <w:rPr>
          <w:rFonts w:ascii="Times New Roman" w:hAnsi="Times New Roman" w:cs="Times New Roman"/>
        </w:rPr>
        <w:t xml:space="preserve">the second </w:t>
      </w:r>
      <w:r w:rsidR="00A830C8">
        <w:rPr>
          <w:rFonts w:ascii="Times New Roman" w:hAnsi="Times New Roman" w:cs="Times New Roman"/>
        </w:rPr>
        <w:t>for R1,</w:t>
      </w:r>
      <w:r w:rsidR="005300C7">
        <w:rPr>
          <w:rFonts w:ascii="Times New Roman" w:hAnsi="Times New Roman" w:cs="Times New Roman"/>
        </w:rPr>
        <w:t>5</w:t>
      </w:r>
      <w:r w:rsidR="00A830C8">
        <w:rPr>
          <w:rFonts w:ascii="Times New Roman" w:hAnsi="Times New Roman" w:cs="Times New Roman"/>
        </w:rPr>
        <w:t>28,</w:t>
      </w:r>
      <w:r w:rsidR="005300C7">
        <w:rPr>
          <w:rFonts w:ascii="Times New Roman" w:hAnsi="Times New Roman" w:cs="Times New Roman"/>
        </w:rPr>
        <w:t>881.08</w:t>
      </w:r>
      <w:r w:rsidR="00A830C8">
        <w:rPr>
          <w:rFonts w:ascii="Times New Roman" w:hAnsi="Times New Roman" w:cs="Times New Roman"/>
        </w:rPr>
        <w:t xml:space="preserve"> granted on 21 February 2018</w:t>
      </w:r>
      <w:r w:rsidR="001527CC">
        <w:rPr>
          <w:rFonts w:ascii="Times New Roman" w:hAnsi="Times New Roman" w:cs="Times New Roman"/>
        </w:rPr>
        <w:t xml:space="preserve"> under</w:t>
      </w:r>
      <w:r w:rsidR="007F0976">
        <w:rPr>
          <w:rFonts w:ascii="Times New Roman" w:hAnsi="Times New Roman" w:cs="Times New Roman"/>
        </w:rPr>
        <w:t xml:space="preserve"> Gauteng Local Division</w:t>
      </w:r>
      <w:r w:rsidR="005300C7">
        <w:rPr>
          <w:rFonts w:ascii="Times New Roman" w:hAnsi="Times New Roman" w:cs="Times New Roman"/>
        </w:rPr>
        <w:t>,</w:t>
      </w:r>
      <w:r w:rsidR="007F0976">
        <w:rPr>
          <w:rFonts w:ascii="Times New Roman" w:hAnsi="Times New Roman" w:cs="Times New Roman"/>
        </w:rPr>
        <w:t xml:space="preserve"> case number 2017/46489</w:t>
      </w:r>
      <w:r w:rsidR="005300C7">
        <w:rPr>
          <w:rFonts w:ascii="Times New Roman" w:hAnsi="Times New Roman" w:cs="Times New Roman"/>
        </w:rPr>
        <w:t xml:space="preserve"> </w:t>
      </w:r>
      <w:r w:rsidR="00A830C8">
        <w:rPr>
          <w:rFonts w:ascii="Times New Roman" w:hAnsi="Times New Roman" w:cs="Times New Roman"/>
        </w:rPr>
        <w:t>(“the second judgement”</w:t>
      </w:r>
      <w:r w:rsidR="00BA2944">
        <w:rPr>
          <w:rFonts w:ascii="Times New Roman" w:hAnsi="Times New Roman" w:cs="Times New Roman"/>
        </w:rPr>
        <w:t xml:space="preserve">, </w:t>
      </w:r>
      <w:r w:rsidR="00CA7568">
        <w:rPr>
          <w:rFonts w:ascii="Times New Roman" w:hAnsi="Times New Roman" w:cs="Times New Roman"/>
        </w:rPr>
        <w:t>annexure “FA9” to the founding affidavit)</w:t>
      </w:r>
      <w:r w:rsidR="00A830C8">
        <w:rPr>
          <w:rFonts w:ascii="Times New Roman" w:hAnsi="Times New Roman" w:cs="Times New Roman"/>
        </w:rPr>
        <w:t>.</w:t>
      </w:r>
    </w:p>
    <w:p w14:paraId="29976950" w14:textId="77777777" w:rsidR="002449A0" w:rsidRDefault="002449A0" w:rsidP="002449A0">
      <w:pPr>
        <w:pStyle w:val="ListParagraph"/>
        <w:spacing w:line="480" w:lineRule="auto"/>
        <w:ind w:left="851"/>
        <w:jc w:val="both"/>
        <w:rPr>
          <w:rFonts w:ascii="Times New Roman" w:hAnsi="Times New Roman" w:cs="Times New Roman"/>
        </w:rPr>
      </w:pPr>
    </w:p>
    <w:p w14:paraId="6C49282D" w14:textId="08BF2FBF" w:rsidR="001D2591" w:rsidRDefault="00A830C8" w:rsidP="00AA020E">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In addition, the applicant relies on a liquidated claim in the amou</w:t>
      </w:r>
      <w:r w:rsidR="00D2481C">
        <w:rPr>
          <w:rFonts w:ascii="Times New Roman" w:hAnsi="Times New Roman" w:cs="Times New Roman"/>
        </w:rPr>
        <w:t>n</w:t>
      </w:r>
      <w:r>
        <w:rPr>
          <w:rFonts w:ascii="Times New Roman" w:hAnsi="Times New Roman" w:cs="Times New Roman"/>
        </w:rPr>
        <w:t>t of R4,479,</w:t>
      </w:r>
      <w:r w:rsidR="00D2481C">
        <w:rPr>
          <w:rFonts w:ascii="Times New Roman" w:hAnsi="Times New Roman" w:cs="Times New Roman"/>
        </w:rPr>
        <w:t xml:space="preserve">476.26 under a </w:t>
      </w:r>
      <w:r w:rsidR="00BA2944">
        <w:rPr>
          <w:rFonts w:ascii="Times New Roman" w:hAnsi="Times New Roman" w:cs="Times New Roman"/>
        </w:rPr>
        <w:t>loan</w:t>
      </w:r>
      <w:r w:rsidR="00D2481C">
        <w:rPr>
          <w:rFonts w:ascii="Times New Roman" w:hAnsi="Times New Roman" w:cs="Times New Roman"/>
        </w:rPr>
        <w:t xml:space="preserve"> agreement.</w:t>
      </w:r>
      <w:r w:rsidR="00EA1809">
        <w:rPr>
          <w:rFonts w:ascii="Times New Roman" w:hAnsi="Times New Roman" w:cs="Times New Roman"/>
        </w:rPr>
        <w:t xml:space="preserve"> </w:t>
      </w:r>
    </w:p>
    <w:p w14:paraId="35DA3806" w14:textId="77777777" w:rsidR="001D2591" w:rsidRDefault="001D2591" w:rsidP="001D2591">
      <w:pPr>
        <w:pStyle w:val="ListParagraph"/>
        <w:spacing w:line="480" w:lineRule="auto"/>
        <w:ind w:left="851"/>
        <w:jc w:val="both"/>
        <w:rPr>
          <w:rFonts w:ascii="Times New Roman" w:hAnsi="Times New Roman" w:cs="Times New Roman"/>
        </w:rPr>
      </w:pPr>
    </w:p>
    <w:p w14:paraId="7596C420" w14:textId="553F83D3" w:rsidR="00A830C8" w:rsidRDefault="00EA1809" w:rsidP="00AA020E">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The first respondent’s attempts to </w:t>
      </w:r>
      <w:r w:rsidR="001D2591">
        <w:rPr>
          <w:rFonts w:ascii="Times New Roman" w:hAnsi="Times New Roman" w:cs="Times New Roman"/>
        </w:rPr>
        <w:t xml:space="preserve">obtain leave to appeal the two judgments against him were unsuccessful, and those judgments are presently enforceable and unpaid. A </w:t>
      </w:r>
      <w:r w:rsidR="001D2591">
        <w:rPr>
          <w:rFonts w:ascii="Times New Roman" w:hAnsi="Times New Roman" w:cs="Times New Roman"/>
        </w:rPr>
        <w:lastRenderedPageBreak/>
        <w:t xml:space="preserve">judgment debt is clearly a liquidated amount and the </w:t>
      </w:r>
      <w:r w:rsidR="00143C4A">
        <w:rPr>
          <w:rFonts w:ascii="Times New Roman" w:hAnsi="Times New Roman" w:cs="Times New Roman"/>
        </w:rPr>
        <w:t>R7,886,988.40 total of the capital amounts in the two judgments is in</w:t>
      </w:r>
      <w:r w:rsidR="004240F5">
        <w:rPr>
          <w:rFonts w:ascii="Times New Roman" w:hAnsi="Times New Roman" w:cs="Times New Roman"/>
        </w:rPr>
        <w:t>disputable</w:t>
      </w:r>
      <w:r w:rsidR="00143C4A">
        <w:rPr>
          <w:rFonts w:ascii="Times New Roman" w:hAnsi="Times New Roman" w:cs="Times New Roman"/>
        </w:rPr>
        <w:t>.</w:t>
      </w:r>
    </w:p>
    <w:p w14:paraId="43ECD1A9" w14:textId="77777777" w:rsidR="00143C4A" w:rsidRPr="00143C4A" w:rsidRDefault="00143C4A" w:rsidP="00143C4A">
      <w:pPr>
        <w:pStyle w:val="ListParagraph"/>
        <w:rPr>
          <w:rFonts w:ascii="Times New Roman" w:hAnsi="Times New Roman" w:cs="Times New Roman"/>
        </w:rPr>
      </w:pPr>
    </w:p>
    <w:p w14:paraId="285D0562" w14:textId="77777777" w:rsidR="00143C4A" w:rsidRPr="00143C4A" w:rsidRDefault="00143C4A" w:rsidP="00143C4A">
      <w:pPr>
        <w:pStyle w:val="ListParagraph"/>
        <w:rPr>
          <w:rFonts w:ascii="Times New Roman" w:hAnsi="Times New Roman" w:cs="Times New Roman"/>
        </w:rPr>
      </w:pPr>
    </w:p>
    <w:p w14:paraId="24F6BA7D" w14:textId="0D881E7A" w:rsidR="00143C4A" w:rsidRDefault="00143C4A" w:rsidP="00AA020E">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It follows that even without taking into account the third debt under the loan agreement, the applicant has satisfied the first requirement for a final winding up order on a balance of probabilities.</w:t>
      </w:r>
    </w:p>
    <w:p w14:paraId="3A05EB3D" w14:textId="77777777" w:rsidR="00143C4A" w:rsidRDefault="00143C4A" w:rsidP="00143C4A">
      <w:pPr>
        <w:pStyle w:val="ListParagraph"/>
        <w:spacing w:line="480" w:lineRule="auto"/>
        <w:ind w:left="851"/>
        <w:jc w:val="both"/>
        <w:rPr>
          <w:rFonts w:ascii="Times New Roman" w:hAnsi="Times New Roman" w:cs="Times New Roman"/>
        </w:rPr>
      </w:pPr>
    </w:p>
    <w:p w14:paraId="230BC8DC" w14:textId="45549139" w:rsidR="004240F5" w:rsidRDefault="004240F5" w:rsidP="00AA020E">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Section 9(1) of the Insolvency Act provides for sequestration of a debtor “</w:t>
      </w:r>
      <w:r w:rsidRPr="004240F5">
        <w:rPr>
          <w:rFonts w:ascii="Times New Roman" w:hAnsi="Times New Roman" w:cs="Times New Roman"/>
          <w:i/>
          <w:iCs/>
        </w:rPr>
        <w:t>who has committed an act of insolvency, or is insolvent</w:t>
      </w:r>
      <w:r>
        <w:rPr>
          <w:rFonts w:ascii="Times New Roman" w:hAnsi="Times New Roman" w:cs="Times New Roman"/>
        </w:rPr>
        <w:t>”.</w:t>
      </w:r>
    </w:p>
    <w:p w14:paraId="16255559" w14:textId="77777777" w:rsidR="004240F5" w:rsidRPr="004240F5" w:rsidRDefault="004240F5" w:rsidP="004240F5">
      <w:pPr>
        <w:pStyle w:val="ListParagraph"/>
        <w:rPr>
          <w:rFonts w:ascii="Times New Roman" w:hAnsi="Times New Roman" w:cs="Times New Roman"/>
        </w:rPr>
      </w:pPr>
    </w:p>
    <w:p w14:paraId="266AA39C" w14:textId="7D93059E" w:rsidR="009D7F47" w:rsidRPr="006F3207" w:rsidRDefault="00143C4A" w:rsidP="006F3207">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Section 8</w:t>
      </w:r>
      <w:r w:rsidR="004240F5">
        <w:rPr>
          <w:rFonts w:ascii="Times New Roman" w:hAnsi="Times New Roman" w:cs="Times New Roman"/>
        </w:rPr>
        <w:t>(</w:t>
      </w:r>
      <w:r>
        <w:rPr>
          <w:rFonts w:ascii="Times New Roman" w:hAnsi="Times New Roman" w:cs="Times New Roman"/>
        </w:rPr>
        <w:t>b</w:t>
      </w:r>
      <w:r w:rsidR="004240F5">
        <w:rPr>
          <w:rFonts w:ascii="Times New Roman" w:hAnsi="Times New Roman" w:cs="Times New Roman"/>
        </w:rPr>
        <w:t>)</w:t>
      </w:r>
      <w:r>
        <w:rPr>
          <w:rFonts w:ascii="Times New Roman" w:hAnsi="Times New Roman" w:cs="Times New Roman"/>
        </w:rPr>
        <w:t xml:space="preserve"> of the Insolvency Act  states that “</w:t>
      </w:r>
      <w:r w:rsidRPr="004240F5">
        <w:rPr>
          <w:rFonts w:ascii="Times New Roman" w:hAnsi="Times New Roman" w:cs="Times New Roman"/>
          <w:i/>
          <w:iCs/>
        </w:rPr>
        <w:t xml:space="preserve">A debtor commits an act of insolvency if a court has given judgment </w:t>
      </w:r>
      <w:r w:rsidR="009D7F47" w:rsidRPr="004240F5">
        <w:rPr>
          <w:rFonts w:ascii="Times New Roman" w:hAnsi="Times New Roman" w:cs="Times New Roman"/>
          <w:i/>
          <w:iCs/>
        </w:rPr>
        <w:t>against him and he fails, upon the demand of the officer whose duty it is to execute that judgment, to satisfy it or to indicate to that officer disposable property sufficient to satisfy it, or if it appears from the return made by that officer that he has not found sufficient disposable property to satisfy the judgment</w:t>
      </w:r>
      <w:r w:rsidR="009D7F47">
        <w:rPr>
          <w:rFonts w:ascii="Times New Roman" w:hAnsi="Times New Roman" w:cs="Times New Roman"/>
        </w:rPr>
        <w:t>.</w:t>
      </w:r>
      <w:r>
        <w:rPr>
          <w:rFonts w:ascii="Times New Roman" w:hAnsi="Times New Roman" w:cs="Times New Roman"/>
        </w:rPr>
        <w:t>”</w:t>
      </w:r>
    </w:p>
    <w:p w14:paraId="18593249" w14:textId="77777777" w:rsidR="00266234" w:rsidRDefault="00266234" w:rsidP="00266234">
      <w:pPr>
        <w:pStyle w:val="ListParagraph"/>
        <w:spacing w:line="480" w:lineRule="auto"/>
        <w:ind w:left="851"/>
        <w:jc w:val="both"/>
        <w:rPr>
          <w:rFonts w:ascii="Times New Roman" w:hAnsi="Times New Roman" w:cs="Times New Roman"/>
        </w:rPr>
      </w:pPr>
    </w:p>
    <w:p w14:paraId="624C9FFA" w14:textId="0C4B8725" w:rsidR="00266234" w:rsidRDefault="00266234" w:rsidP="00AA020E">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Annexure “FA14” to the founding affidavit is a warrant for execution against movable property dated 2 March 2020, issued by the </w:t>
      </w:r>
      <w:r w:rsidR="00FC3CE9">
        <w:rPr>
          <w:rFonts w:ascii="Times New Roman" w:hAnsi="Times New Roman" w:cs="Times New Roman"/>
        </w:rPr>
        <w:t>registrar</w:t>
      </w:r>
      <w:r>
        <w:rPr>
          <w:rFonts w:ascii="Times New Roman" w:hAnsi="Times New Roman" w:cs="Times New Roman"/>
        </w:rPr>
        <w:t xml:space="preserve"> of the High Court under the first judgment. Annexure “FA15” is a Sheriff’s return of service dated 25 March 2020, providing details of an attempt to execute the warrant at the respondent’s residence at 154 Senior Drive, Northcliff, Johannesburg, on 18 March 2020. The return of service includes a handwritten note signed by the respondent, stating “</w:t>
      </w:r>
      <w:r w:rsidRPr="004240F5">
        <w:rPr>
          <w:rFonts w:ascii="Times New Roman" w:hAnsi="Times New Roman" w:cs="Times New Roman"/>
          <w:i/>
          <w:iCs/>
        </w:rPr>
        <w:t>Def informed that he has no assets to cover this writ therefore my return of service will be of a nulla bona return</w:t>
      </w:r>
      <w:r>
        <w:rPr>
          <w:rFonts w:ascii="Times New Roman" w:hAnsi="Times New Roman" w:cs="Times New Roman"/>
        </w:rPr>
        <w:t>”.</w:t>
      </w:r>
      <w:r w:rsidR="004240F5">
        <w:rPr>
          <w:rFonts w:ascii="Times New Roman" w:hAnsi="Times New Roman" w:cs="Times New Roman"/>
        </w:rPr>
        <w:t xml:space="preserve">  </w:t>
      </w:r>
    </w:p>
    <w:p w14:paraId="4CED27EC" w14:textId="77777777" w:rsidR="00266234" w:rsidRDefault="00266234" w:rsidP="00266234">
      <w:pPr>
        <w:pStyle w:val="ListParagraph"/>
        <w:spacing w:line="480" w:lineRule="auto"/>
        <w:ind w:left="851"/>
        <w:jc w:val="both"/>
        <w:rPr>
          <w:rFonts w:ascii="Times New Roman" w:hAnsi="Times New Roman" w:cs="Times New Roman"/>
        </w:rPr>
      </w:pPr>
    </w:p>
    <w:p w14:paraId="49E35BD5" w14:textId="408289DE" w:rsidR="004240F5" w:rsidRPr="004240F5" w:rsidRDefault="004240F5" w:rsidP="004240F5">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lastRenderedPageBreak/>
        <w:t xml:space="preserve">An act of insolvency is sufficient for sequestration without the need to prove actual or commercial insolvency, provided the respondent does not </w:t>
      </w:r>
      <w:r w:rsidR="00587624">
        <w:rPr>
          <w:rFonts w:ascii="Times New Roman" w:hAnsi="Times New Roman" w:cs="Times New Roman"/>
        </w:rPr>
        <w:t>rebut</w:t>
      </w:r>
      <w:r>
        <w:rPr>
          <w:rFonts w:ascii="Times New Roman" w:hAnsi="Times New Roman" w:cs="Times New Roman"/>
        </w:rPr>
        <w:t xml:space="preserve"> the act of insolvency by producing admissible evidence that the respondent’s assets </w:t>
      </w:r>
      <w:r w:rsidR="006F3207">
        <w:rPr>
          <w:rFonts w:ascii="Times New Roman" w:hAnsi="Times New Roman" w:cs="Times New Roman"/>
        </w:rPr>
        <w:t xml:space="preserve">actually </w:t>
      </w:r>
      <w:r>
        <w:rPr>
          <w:rFonts w:ascii="Times New Roman" w:hAnsi="Times New Roman" w:cs="Times New Roman"/>
        </w:rPr>
        <w:t>exceed the respondent’s liabilities.</w:t>
      </w:r>
    </w:p>
    <w:p w14:paraId="3246D558" w14:textId="77777777" w:rsidR="004240F5" w:rsidRPr="004240F5" w:rsidRDefault="004240F5" w:rsidP="004240F5">
      <w:pPr>
        <w:pStyle w:val="ListParagraph"/>
        <w:rPr>
          <w:rFonts w:ascii="Times New Roman" w:hAnsi="Times New Roman" w:cs="Times New Roman"/>
        </w:rPr>
      </w:pPr>
    </w:p>
    <w:p w14:paraId="0FEF2AA0" w14:textId="75B14474" w:rsidR="00266234" w:rsidRDefault="00266234" w:rsidP="00AA020E">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The respondent neither denies this </w:t>
      </w:r>
      <w:r w:rsidRPr="00587624">
        <w:rPr>
          <w:rFonts w:ascii="Times New Roman" w:hAnsi="Times New Roman" w:cs="Times New Roman"/>
          <w:i/>
          <w:iCs/>
        </w:rPr>
        <w:t>nulla bona</w:t>
      </w:r>
      <w:r>
        <w:rPr>
          <w:rFonts w:ascii="Times New Roman" w:hAnsi="Times New Roman" w:cs="Times New Roman"/>
        </w:rPr>
        <w:t xml:space="preserve"> return</w:t>
      </w:r>
      <w:r w:rsidR="00587624">
        <w:rPr>
          <w:rFonts w:ascii="Times New Roman" w:hAnsi="Times New Roman" w:cs="Times New Roman"/>
        </w:rPr>
        <w:t>,</w:t>
      </w:r>
      <w:r>
        <w:rPr>
          <w:rFonts w:ascii="Times New Roman" w:hAnsi="Times New Roman" w:cs="Times New Roman"/>
        </w:rPr>
        <w:t xml:space="preserve"> nor </w:t>
      </w:r>
      <w:r w:rsidR="00587624">
        <w:rPr>
          <w:rFonts w:ascii="Times New Roman" w:hAnsi="Times New Roman" w:cs="Times New Roman"/>
        </w:rPr>
        <w:t>discloses</w:t>
      </w:r>
      <w:r>
        <w:rPr>
          <w:rFonts w:ascii="Times New Roman" w:hAnsi="Times New Roman" w:cs="Times New Roman"/>
        </w:rPr>
        <w:t xml:space="preserve"> evidence of assets sufficient to rebut the presumption of insolvency created by it.</w:t>
      </w:r>
    </w:p>
    <w:p w14:paraId="4D6B069C" w14:textId="081224A6" w:rsidR="00266234" w:rsidRDefault="00266234" w:rsidP="00266234">
      <w:pPr>
        <w:pStyle w:val="ListParagraph"/>
        <w:rPr>
          <w:rFonts w:ascii="Times New Roman" w:hAnsi="Times New Roman" w:cs="Times New Roman"/>
        </w:rPr>
      </w:pPr>
    </w:p>
    <w:p w14:paraId="3B14A289" w14:textId="77777777" w:rsidR="00266234" w:rsidRPr="00266234" w:rsidRDefault="00266234" w:rsidP="00266234">
      <w:pPr>
        <w:pStyle w:val="ListParagraph"/>
        <w:rPr>
          <w:rFonts w:ascii="Times New Roman" w:hAnsi="Times New Roman" w:cs="Times New Roman"/>
        </w:rPr>
      </w:pPr>
    </w:p>
    <w:p w14:paraId="5AA37FCF" w14:textId="787F8DF1" w:rsidR="00266234" w:rsidRDefault="00266234" w:rsidP="00AA020E">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The two immovable properties which are the subjects of the first and second judgments, are bonded to the applicant. The Northcliff property to which the first judgment relates has a market value of R5,900,000 and a forced sale value of R3,875,000, while the market value of the Observatory property to which the second judgment refers is R985</w:t>
      </w:r>
      <w:r w:rsidR="00434DF8">
        <w:rPr>
          <w:rFonts w:ascii="Times New Roman" w:hAnsi="Times New Roman" w:cs="Times New Roman"/>
        </w:rPr>
        <w:t>,000. At best for the respondent, the combined value of these immovable assets is substantially lower than his total capital indebtedness (</w:t>
      </w:r>
      <w:r w:rsidR="00FC3CE9">
        <w:rPr>
          <w:rFonts w:ascii="Times New Roman" w:hAnsi="Times New Roman" w:cs="Times New Roman"/>
        </w:rPr>
        <w:t>excluding</w:t>
      </w:r>
      <w:r w:rsidR="00434DF8">
        <w:rPr>
          <w:rFonts w:ascii="Times New Roman" w:hAnsi="Times New Roman" w:cs="Times New Roman"/>
        </w:rPr>
        <w:t xml:space="preserve"> interest) to the applicant, which </w:t>
      </w:r>
      <w:r w:rsidR="00587624">
        <w:rPr>
          <w:rFonts w:ascii="Times New Roman" w:hAnsi="Times New Roman" w:cs="Times New Roman"/>
        </w:rPr>
        <w:t>amounts to R12,366,464.70</w:t>
      </w:r>
      <w:r w:rsidR="00434DF8">
        <w:rPr>
          <w:rFonts w:ascii="Times New Roman" w:hAnsi="Times New Roman" w:cs="Times New Roman"/>
        </w:rPr>
        <w:t xml:space="preserve">. </w:t>
      </w:r>
    </w:p>
    <w:p w14:paraId="0ABA114E" w14:textId="77777777" w:rsidR="00434DF8" w:rsidRDefault="00434DF8" w:rsidP="00434DF8">
      <w:pPr>
        <w:pStyle w:val="ListParagraph"/>
        <w:spacing w:line="480" w:lineRule="auto"/>
        <w:ind w:left="851"/>
        <w:jc w:val="both"/>
        <w:rPr>
          <w:rFonts w:ascii="Times New Roman" w:hAnsi="Times New Roman" w:cs="Times New Roman"/>
        </w:rPr>
      </w:pPr>
    </w:p>
    <w:p w14:paraId="34F66DEF" w14:textId="07C597E2" w:rsidR="00434DF8" w:rsidRDefault="00434DF8" w:rsidP="00AA020E">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The respondent provides no evidence of other liquid assets. Rather, the respondent relies for </w:t>
      </w:r>
      <w:r w:rsidR="00FC3CE9">
        <w:rPr>
          <w:rFonts w:ascii="Times New Roman" w:hAnsi="Times New Roman" w:cs="Times New Roman"/>
        </w:rPr>
        <w:t>solvency</w:t>
      </w:r>
      <w:r>
        <w:rPr>
          <w:rFonts w:ascii="Times New Roman" w:hAnsi="Times New Roman" w:cs="Times New Roman"/>
        </w:rPr>
        <w:t xml:space="preserve"> on claims which he alleges he has </w:t>
      </w:r>
      <w:r w:rsidR="004D6512">
        <w:rPr>
          <w:rFonts w:ascii="Times New Roman" w:hAnsi="Times New Roman" w:cs="Times New Roman"/>
        </w:rPr>
        <w:t>against</w:t>
      </w:r>
      <w:r>
        <w:rPr>
          <w:rFonts w:ascii="Times New Roman" w:hAnsi="Times New Roman" w:cs="Times New Roman"/>
        </w:rPr>
        <w:t xml:space="preserve"> the Premier of North West Province for R20 million</w:t>
      </w:r>
      <w:r w:rsidR="009D60E3">
        <w:rPr>
          <w:rFonts w:ascii="Times New Roman" w:hAnsi="Times New Roman" w:cs="Times New Roman"/>
        </w:rPr>
        <w:t>;</w:t>
      </w:r>
      <w:r>
        <w:rPr>
          <w:rFonts w:ascii="Times New Roman" w:hAnsi="Times New Roman" w:cs="Times New Roman"/>
        </w:rPr>
        <w:t xml:space="preserve"> against a person named Neil David Rissik for R6,5 million</w:t>
      </w:r>
      <w:r w:rsidR="009D60E3">
        <w:rPr>
          <w:rFonts w:ascii="Times New Roman" w:hAnsi="Times New Roman" w:cs="Times New Roman"/>
        </w:rPr>
        <w:t>;</w:t>
      </w:r>
      <w:r>
        <w:rPr>
          <w:rFonts w:ascii="Times New Roman" w:hAnsi="Times New Roman" w:cs="Times New Roman"/>
        </w:rPr>
        <w:t xml:space="preserve"> and against his estranged wife for R15 million.</w:t>
      </w:r>
    </w:p>
    <w:p w14:paraId="29EDE3D4" w14:textId="77777777" w:rsidR="00434DF8" w:rsidRDefault="00434DF8" w:rsidP="00434DF8">
      <w:pPr>
        <w:pStyle w:val="ListParagraph"/>
        <w:spacing w:line="480" w:lineRule="auto"/>
        <w:ind w:left="851"/>
        <w:jc w:val="both"/>
        <w:rPr>
          <w:rFonts w:ascii="Times New Roman" w:hAnsi="Times New Roman" w:cs="Times New Roman"/>
        </w:rPr>
      </w:pPr>
    </w:p>
    <w:p w14:paraId="008A1A65" w14:textId="7E88E983" w:rsidR="00434DF8" w:rsidRDefault="00434DF8" w:rsidP="00AA020E">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These claims against third parties are baldly alleged without detail or substantiation, and the respondent does not do sufficient to satisfy the court that these contingent claims should have the status of assets in his estate</w:t>
      </w:r>
      <w:r w:rsidR="00587624">
        <w:rPr>
          <w:rFonts w:ascii="Times New Roman" w:hAnsi="Times New Roman" w:cs="Times New Roman"/>
        </w:rPr>
        <w:t xml:space="preserve"> for purposes of assessing solvency</w:t>
      </w:r>
      <w:r>
        <w:rPr>
          <w:rFonts w:ascii="Times New Roman" w:hAnsi="Times New Roman" w:cs="Times New Roman"/>
        </w:rPr>
        <w:t xml:space="preserve">. In any event, until such time as those claims might be successfully concluded and the </w:t>
      </w:r>
      <w:r>
        <w:rPr>
          <w:rFonts w:ascii="Times New Roman" w:hAnsi="Times New Roman" w:cs="Times New Roman"/>
        </w:rPr>
        <w:lastRenderedPageBreak/>
        <w:t>amounts recovered, the respondent is commercially insolvent in the sense that he is presently unable to pay his debts.</w:t>
      </w:r>
    </w:p>
    <w:p w14:paraId="197CF8ED" w14:textId="77777777" w:rsidR="00434DF8" w:rsidRDefault="00434DF8" w:rsidP="00434DF8">
      <w:pPr>
        <w:pStyle w:val="ListParagraph"/>
        <w:spacing w:line="480" w:lineRule="auto"/>
        <w:ind w:left="851"/>
        <w:jc w:val="both"/>
        <w:rPr>
          <w:rFonts w:ascii="Times New Roman" w:hAnsi="Times New Roman" w:cs="Times New Roman"/>
        </w:rPr>
      </w:pPr>
    </w:p>
    <w:p w14:paraId="782DA43C" w14:textId="077F4966" w:rsidR="00434DF8" w:rsidRPr="009D60E3" w:rsidRDefault="00434DF8" w:rsidP="00AA020E">
      <w:pPr>
        <w:pStyle w:val="ListParagraph"/>
        <w:numPr>
          <w:ilvl w:val="0"/>
          <w:numId w:val="2"/>
        </w:numPr>
        <w:spacing w:line="480" w:lineRule="auto"/>
        <w:jc w:val="both"/>
        <w:rPr>
          <w:rFonts w:ascii="Times New Roman" w:hAnsi="Times New Roman" w:cs="Times New Roman"/>
        </w:rPr>
      </w:pPr>
      <w:r w:rsidRPr="009D60E3">
        <w:rPr>
          <w:rFonts w:ascii="Times New Roman" w:hAnsi="Times New Roman" w:cs="Times New Roman"/>
        </w:rPr>
        <w:t>The respondent alleges that his indebtedness to the applicant for the Northcliff house should be reduced by half because there has been a termination of the joint</w:t>
      </w:r>
      <w:r w:rsidR="00584283" w:rsidRPr="009D60E3">
        <w:rPr>
          <w:rFonts w:ascii="Times New Roman" w:hAnsi="Times New Roman" w:cs="Times New Roman"/>
        </w:rPr>
        <w:t xml:space="preserve"> </w:t>
      </w:r>
      <w:r w:rsidRPr="009D60E3">
        <w:rPr>
          <w:rFonts w:ascii="Times New Roman" w:hAnsi="Times New Roman" w:cs="Times New Roman"/>
        </w:rPr>
        <w:t xml:space="preserve">ownership of this property by him and nis estranged wife. The respondent’s logic appears to be that his wife’s independent ownership of 50% of that property absolves the respondent of 50% of the </w:t>
      </w:r>
      <w:r w:rsidR="004D6512" w:rsidRPr="009D60E3">
        <w:rPr>
          <w:rFonts w:ascii="Times New Roman" w:hAnsi="Times New Roman" w:cs="Times New Roman"/>
        </w:rPr>
        <w:t>indebtedness</w:t>
      </w:r>
      <w:r w:rsidRPr="009D60E3">
        <w:rPr>
          <w:rFonts w:ascii="Times New Roman" w:hAnsi="Times New Roman" w:cs="Times New Roman"/>
        </w:rPr>
        <w:t xml:space="preserve"> under the first judgment. It is not necessary to decide this issue, because even after a deduction of </w:t>
      </w:r>
      <w:r w:rsidR="009D60E3">
        <w:rPr>
          <w:rFonts w:ascii="Times New Roman" w:hAnsi="Times New Roman" w:cs="Times New Roman"/>
        </w:rPr>
        <w:t xml:space="preserve">half the Northcliff </w:t>
      </w:r>
      <w:r w:rsidR="0002752C">
        <w:rPr>
          <w:rFonts w:ascii="Times New Roman" w:hAnsi="Times New Roman" w:cs="Times New Roman"/>
        </w:rPr>
        <w:t>indebtedness</w:t>
      </w:r>
      <w:r w:rsidRPr="009D60E3">
        <w:rPr>
          <w:rFonts w:ascii="Times New Roman" w:hAnsi="Times New Roman" w:cs="Times New Roman"/>
        </w:rPr>
        <w:t xml:space="preserve"> from the respondent’s </w:t>
      </w:r>
      <w:r w:rsidR="0002752C">
        <w:rPr>
          <w:rFonts w:ascii="Times New Roman" w:hAnsi="Times New Roman" w:cs="Times New Roman"/>
        </w:rPr>
        <w:t xml:space="preserve">total </w:t>
      </w:r>
      <w:r w:rsidRPr="009D60E3">
        <w:rPr>
          <w:rFonts w:ascii="Times New Roman" w:hAnsi="Times New Roman" w:cs="Times New Roman"/>
        </w:rPr>
        <w:t xml:space="preserve">capital indebtedness to the applicant, the unpaid </w:t>
      </w:r>
      <w:r w:rsidR="0002752C">
        <w:rPr>
          <w:rFonts w:ascii="Times New Roman" w:hAnsi="Times New Roman" w:cs="Times New Roman"/>
        </w:rPr>
        <w:t>difference</w:t>
      </w:r>
      <w:r w:rsidRPr="009D60E3">
        <w:rPr>
          <w:rFonts w:ascii="Times New Roman" w:hAnsi="Times New Roman" w:cs="Times New Roman"/>
        </w:rPr>
        <w:t xml:space="preserve"> exceeds his non-contingent assets. </w:t>
      </w:r>
    </w:p>
    <w:p w14:paraId="469EA5AE" w14:textId="1A06CEC8" w:rsidR="00434DF8" w:rsidRDefault="00434DF8" w:rsidP="00434DF8">
      <w:pPr>
        <w:pStyle w:val="ListParagraph"/>
        <w:rPr>
          <w:rFonts w:ascii="Times New Roman" w:hAnsi="Times New Roman" w:cs="Times New Roman"/>
        </w:rPr>
      </w:pPr>
    </w:p>
    <w:p w14:paraId="123780DD" w14:textId="77777777" w:rsidR="00434DF8" w:rsidRPr="00434DF8" w:rsidRDefault="00434DF8" w:rsidP="00434DF8">
      <w:pPr>
        <w:pStyle w:val="ListParagraph"/>
        <w:rPr>
          <w:rFonts w:ascii="Times New Roman" w:hAnsi="Times New Roman" w:cs="Times New Roman"/>
        </w:rPr>
      </w:pPr>
    </w:p>
    <w:p w14:paraId="6DEA0A6B" w14:textId="6B5A7AAE" w:rsidR="00434DF8" w:rsidRDefault="00434DF8" w:rsidP="00AA020E">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It follows that the applicant has satisfied the second requirement for a final sequestration order, on a balance of probabilities.</w:t>
      </w:r>
    </w:p>
    <w:p w14:paraId="09215070" w14:textId="77777777" w:rsidR="00434DF8" w:rsidRDefault="00434DF8" w:rsidP="00434DF8">
      <w:pPr>
        <w:pStyle w:val="ListParagraph"/>
        <w:spacing w:line="480" w:lineRule="auto"/>
        <w:ind w:left="851"/>
        <w:jc w:val="both"/>
        <w:rPr>
          <w:rFonts w:ascii="Times New Roman" w:hAnsi="Times New Roman" w:cs="Times New Roman"/>
        </w:rPr>
      </w:pPr>
    </w:p>
    <w:p w14:paraId="0070F321" w14:textId="77777777" w:rsidR="00587624" w:rsidRDefault="00190F5E" w:rsidP="00AA020E">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Regarding benefit to creditors, the insolven</w:t>
      </w:r>
      <w:r w:rsidR="00F22EC1">
        <w:rPr>
          <w:rFonts w:ascii="Times New Roman" w:hAnsi="Times New Roman" w:cs="Times New Roman"/>
        </w:rPr>
        <w:t>t’s version is that his tangible assets are the Observatory Property and half the value of the Northcliff property. The Observatory property was sold in execution for R985,000</w:t>
      </w:r>
      <w:r w:rsidR="00587624">
        <w:rPr>
          <w:rFonts w:ascii="Times New Roman" w:hAnsi="Times New Roman" w:cs="Times New Roman"/>
        </w:rPr>
        <w:t>,</w:t>
      </w:r>
      <w:r w:rsidR="00F22EC1">
        <w:rPr>
          <w:rFonts w:ascii="Times New Roman" w:hAnsi="Times New Roman" w:cs="Times New Roman"/>
        </w:rPr>
        <w:t xml:space="preserve"> and half the forced sale value of R3,875,000 for the Northcliff Property is R1,937</w:t>
      </w:r>
      <w:r w:rsidR="00EF02E3">
        <w:rPr>
          <w:rFonts w:ascii="Times New Roman" w:hAnsi="Times New Roman" w:cs="Times New Roman"/>
        </w:rPr>
        <w:t>,500. Their combined value is R2,929,506</w:t>
      </w:r>
      <w:r w:rsidR="00587624">
        <w:rPr>
          <w:rFonts w:ascii="Times New Roman" w:hAnsi="Times New Roman" w:cs="Times New Roman"/>
        </w:rPr>
        <w:t>:</w:t>
      </w:r>
      <w:r w:rsidR="00EF02E3">
        <w:rPr>
          <w:rFonts w:ascii="Times New Roman" w:hAnsi="Times New Roman" w:cs="Times New Roman"/>
        </w:rPr>
        <w:t xml:space="preserve"> applied to payment of the total of R12,366,464.70 for the first and second judgments and the </w:t>
      </w:r>
      <w:r w:rsidR="00587624">
        <w:rPr>
          <w:rFonts w:ascii="Times New Roman" w:hAnsi="Times New Roman" w:cs="Times New Roman"/>
        </w:rPr>
        <w:t xml:space="preserve">loan </w:t>
      </w:r>
      <w:r w:rsidR="00EF02E3">
        <w:rPr>
          <w:rFonts w:ascii="Times New Roman" w:hAnsi="Times New Roman" w:cs="Times New Roman"/>
        </w:rPr>
        <w:t xml:space="preserve">indebtedness, the result is a potential dividend of 23 cents in the rand. Moreover, there will be additional benefit to creditors </w:t>
      </w:r>
      <w:r w:rsidR="00CC7D8C">
        <w:rPr>
          <w:rFonts w:ascii="Times New Roman" w:hAnsi="Times New Roman" w:cs="Times New Roman"/>
        </w:rPr>
        <w:t xml:space="preserve">if a trustee in final </w:t>
      </w:r>
      <w:r w:rsidR="004D6512">
        <w:rPr>
          <w:rFonts w:ascii="Times New Roman" w:hAnsi="Times New Roman" w:cs="Times New Roman"/>
        </w:rPr>
        <w:t>sequestration</w:t>
      </w:r>
      <w:r w:rsidR="00CC7D8C">
        <w:rPr>
          <w:rFonts w:ascii="Times New Roman" w:hAnsi="Times New Roman" w:cs="Times New Roman"/>
        </w:rPr>
        <w:t xml:space="preserve"> uncovers further assets in the respondent’s estate. </w:t>
      </w:r>
    </w:p>
    <w:p w14:paraId="082BDD2F" w14:textId="77777777" w:rsidR="00587624" w:rsidRPr="00587624" w:rsidRDefault="00587624" w:rsidP="00587624">
      <w:pPr>
        <w:pStyle w:val="ListParagraph"/>
        <w:rPr>
          <w:rFonts w:ascii="Times New Roman" w:hAnsi="Times New Roman" w:cs="Times New Roman"/>
        </w:rPr>
      </w:pPr>
    </w:p>
    <w:p w14:paraId="46F97717" w14:textId="4A38CF2E" w:rsidR="00434DF8" w:rsidRDefault="00CC7D8C" w:rsidP="00AA020E">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The court is accordingly satisfied that on a balance of probabilities, final winding up will result in benefit to creditors.</w:t>
      </w:r>
    </w:p>
    <w:p w14:paraId="0F05E336" w14:textId="657C8A01" w:rsidR="00CC7D8C" w:rsidRDefault="00CC7D8C" w:rsidP="00CC7D8C">
      <w:pPr>
        <w:pStyle w:val="ListParagraph"/>
        <w:rPr>
          <w:rFonts w:ascii="Times New Roman" w:hAnsi="Times New Roman" w:cs="Times New Roman"/>
        </w:rPr>
      </w:pPr>
    </w:p>
    <w:p w14:paraId="75C736A8" w14:textId="77777777" w:rsidR="00CC7D8C" w:rsidRDefault="00CC7D8C" w:rsidP="00CC7D8C">
      <w:pPr>
        <w:pStyle w:val="ListParagraph"/>
        <w:rPr>
          <w:rFonts w:ascii="Times New Roman" w:hAnsi="Times New Roman" w:cs="Times New Roman"/>
        </w:rPr>
      </w:pPr>
    </w:p>
    <w:p w14:paraId="3F7F3AF7" w14:textId="5CDC5327" w:rsidR="00CC7D8C" w:rsidRDefault="00CC7D8C" w:rsidP="00AA020E">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It remains to consider the defences raised by </w:t>
      </w:r>
      <w:r w:rsidR="009C5D92">
        <w:rPr>
          <w:rFonts w:ascii="Times New Roman" w:hAnsi="Times New Roman" w:cs="Times New Roman"/>
        </w:rPr>
        <w:t>the respondent, which is done in the following paragraphs.</w:t>
      </w:r>
    </w:p>
    <w:p w14:paraId="0B6EDA6F" w14:textId="36BE90F1" w:rsidR="009C5D92" w:rsidRDefault="009C5D92" w:rsidP="009C5D92">
      <w:pPr>
        <w:pStyle w:val="ListParagraph"/>
        <w:spacing w:line="480" w:lineRule="auto"/>
        <w:ind w:left="851"/>
        <w:jc w:val="both"/>
        <w:rPr>
          <w:rFonts w:ascii="Times New Roman" w:hAnsi="Times New Roman" w:cs="Times New Roman"/>
        </w:rPr>
      </w:pPr>
    </w:p>
    <w:p w14:paraId="47CB455E" w14:textId="30956D6F" w:rsidR="009C5D92" w:rsidRPr="009C5D92" w:rsidRDefault="009C5D92" w:rsidP="004260B4">
      <w:pPr>
        <w:pStyle w:val="ListParagraph"/>
        <w:spacing w:line="360" w:lineRule="auto"/>
        <w:ind w:left="851"/>
        <w:jc w:val="both"/>
        <w:rPr>
          <w:rFonts w:ascii="Times New Roman" w:hAnsi="Times New Roman" w:cs="Times New Roman"/>
          <w:b/>
          <w:bCs/>
        </w:rPr>
      </w:pPr>
      <w:bookmarkStart w:id="1" w:name="_Hlk121998804"/>
      <w:r>
        <w:rPr>
          <w:rFonts w:ascii="Times New Roman" w:hAnsi="Times New Roman" w:cs="Times New Roman"/>
          <w:b/>
          <w:bCs/>
        </w:rPr>
        <w:t>That the applicant failed to comply with sections 10</w:t>
      </w:r>
      <w:r w:rsidR="0002752C">
        <w:rPr>
          <w:rFonts w:ascii="Times New Roman" w:hAnsi="Times New Roman" w:cs="Times New Roman"/>
          <w:b/>
          <w:bCs/>
        </w:rPr>
        <w:t xml:space="preserve"> </w:t>
      </w:r>
      <w:r>
        <w:rPr>
          <w:rFonts w:ascii="Times New Roman" w:hAnsi="Times New Roman" w:cs="Times New Roman"/>
          <w:b/>
          <w:bCs/>
        </w:rPr>
        <w:t>and 1</w:t>
      </w:r>
      <w:r w:rsidR="00587624">
        <w:rPr>
          <w:rFonts w:ascii="Times New Roman" w:hAnsi="Times New Roman" w:cs="Times New Roman"/>
          <w:b/>
          <w:bCs/>
        </w:rPr>
        <w:t>2</w:t>
      </w:r>
      <w:r>
        <w:rPr>
          <w:rFonts w:ascii="Times New Roman" w:hAnsi="Times New Roman" w:cs="Times New Roman"/>
          <w:b/>
          <w:bCs/>
        </w:rPr>
        <w:t xml:space="preserve"> of the Insolvency Act</w:t>
      </w:r>
      <w:r w:rsidR="0002752C">
        <w:rPr>
          <w:rFonts w:ascii="Times New Roman" w:hAnsi="Times New Roman" w:cs="Times New Roman"/>
          <w:b/>
          <w:bCs/>
        </w:rPr>
        <w:t>,</w:t>
      </w:r>
      <w:r w:rsidR="004260B4">
        <w:rPr>
          <w:rFonts w:ascii="Times New Roman" w:hAnsi="Times New Roman" w:cs="Times New Roman"/>
          <w:b/>
          <w:bCs/>
        </w:rPr>
        <w:t xml:space="preserve"> by seeking a sequestration order rather </w:t>
      </w:r>
      <w:bookmarkEnd w:id="1"/>
      <w:r w:rsidR="004260B4">
        <w:rPr>
          <w:rFonts w:ascii="Times New Roman" w:hAnsi="Times New Roman" w:cs="Times New Roman"/>
          <w:b/>
          <w:bCs/>
        </w:rPr>
        <w:t xml:space="preserve">than a provisional sequestration order in the notice of motion </w:t>
      </w:r>
    </w:p>
    <w:p w14:paraId="390D4D5B" w14:textId="77777777" w:rsidR="00CC7D8C" w:rsidRPr="00CC7D8C" w:rsidRDefault="00CC7D8C" w:rsidP="00CC7D8C">
      <w:pPr>
        <w:pStyle w:val="ListParagraph"/>
        <w:rPr>
          <w:rFonts w:ascii="Times New Roman" w:hAnsi="Times New Roman" w:cs="Times New Roman"/>
        </w:rPr>
      </w:pPr>
    </w:p>
    <w:p w14:paraId="3A751758" w14:textId="1A4BE484" w:rsidR="00CC7D8C" w:rsidRDefault="005A3B75" w:rsidP="00AA020E">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It is the practice in these courts to grant a provisional sequestration order </w:t>
      </w:r>
      <w:r w:rsidR="00A77272">
        <w:rPr>
          <w:rFonts w:ascii="Times New Roman" w:hAnsi="Times New Roman" w:cs="Times New Roman"/>
        </w:rPr>
        <w:t xml:space="preserve">pending an </w:t>
      </w:r>
      <w:r w:rsidR="004D6512">
        <w:rPr>
          <w:rFonts w:ascii="Times New Roman" w:hAnsi="Times New Roman" w:cs="Times New Roman"/>
        </w:rPr>
        <w:t>application</w:t>
      </w:r>
      <w:r w:rsidR="00A77272">
        <w:rPr>
          <w:rFonts w:ascii="Times New Roman" w:hAnsi="Times New Roman" w:cs="Times New Roman"/>
        </w:rPr>
        <w:t xml:space="preserve"> for a final sequestration order, even though the notice of motion does not expressly request </w:t>
      </w:r>
      <w:r w:rsidR="00224B44">
        <w:rPr>
          <w:rFonts w:ascii="Times New Roman" w:hAnsi="Times New Roman" w:cs="Times New Roman"/>
        </w:rPr>
        <w:t xml:space="preserve">a provisional sequestration order. </w:t>
      </w:r>
    </w:p>
    <w:p w14:paraId="31AFF946" w14:textId="77777777" w:rsidR="00224B44" w:rsidRDefault="00224B44" w:rsidP="00224B44">
      <w:pPr>
        <w:pStyle w:val="ListParagraph"/>
        <w:spacing w:line="480" w:lineRule="auto"/>
        <w:ind w:left="851"/>
        <w:jc w:val="both"/>
        <w:rPr>
          <w:rFonts w:ascii="Times New Roman" w:hAnsi="Times New Roman" w:cs="Times New Roman"/>
        </w:rPr>
      </w:pPr>
    </w:p>
    <w:p w14:paraId="1215CB64" w14:textId="05B4330A" w:rsidR="00224B44" w:rsidRDefault="00224B44" w:rsidP="00AA020E">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In accordance </w:t>
      </w:r>
      <w:r w:rsidR="00710FCC">
        <w:rPr>
          <w:rFonts w:ascii="Times New Roman" w:hAnsi="Times New Roman" w:cs="Times New Roman"/>
        </w:rPr>
        <w:t xml:space="preserve">with that practice, a provisional </w:t>
      </w:r>
      <w:r w:rsidR="00C97D7D">
        <w:rPr>
          <w:rFonts w:ascii="Times New Roman" w:hAnsi="Times New Roman" w:cs="Times New Roman"/>
        </w:rPr>
        <w:t xml:space="preserve">sequestration order was granted in this matter. This defence accordingly has no merit. </w:t>
      </w:r>
    </w:p>
    <w:p w14:paraId="1A172B0E" w14:textId="5E41EFF7" w:rsidR="00582826" w:rsidRDefault="00582826" w:rsidP="00582826">
      <w:pPr>
        <w:pStyle w:val="ListParagraph"/>
        <w:rPr>
          <w:rFonts w:ascii="Times New Roman" w:hAnsi="Times New Roman" w:cs="Times New Roman"/>
        </w:rPr>
      </w:pPr>
    </w:p>
    <w:p w14:paraId="229FCEB1" w14:textId="13EA600C" w:rsidR="00582826" w:rsidRDefault="00582826" w:rsidP="00582826">
      <w:pPr>
        <w:pStyle w:val="ListParagraph"/>
        <w:spacing w:line="360" w:lineRule="auto"/>
        <w:rPr>
          <w:rFonts w:ascii="Times New Roman" w:hAnsi="Times New Roman" w:cs="Times New Roman"/>
        </w:rPr>
      </w:pPr>
      <w:r>
        <w:rPr>
          <w:rFonts w:ascii="Times New Roman" w:hAnsi="Times New Roman" w:cs="Times New Roman"/>
          <w:b/>
          <w:bCs/>
        </w:rPr>
        <w:t xml:space="preserve">That the applicant failed to </w:t>
      </w:r>
      <w:r w:rsidR="009D1DBF">
        <w:rPr>
          <w:rFonts w:ascii="Times New Roman" w:hAnsi="Times New Roman" w:cs="Times New Roman"/>
          <w:b/>
          <w:bCs/>
        </w:rPr>
        <w:t xml:space="preserve">file a </w:t>
      </w:r>
      <w:r w:rsidR="004D6512">
        <w:rPr>
          <w:rFonts w:ascii="Times New Roman" w:hAnsi="Times New Roman" w:cs="Times New Roman"/>
          <w:b/>
          <w:bCs/>
        </w:rPr>
        <w:t>security</w:t>
      </w:r>
      <w:r w:rsidR="009D1DBF">
        <w:rPr>
          <w:rFonts w:ascii="Times New Roman" w:hAnsi="Times New Roman" w:cs="Times New Roman"/>
          <w:b/>
          <w:bCs/>
        </w:rPr>
        <w:t xml:space="preserve"> </w:t>
      </w:r>
      <w:r w:rsidR="00981ABF">
        <w:rPr>
          <w:rFonts w:ascii="Times New Roman" w:hAnsi="Times New Roman" w:cs="Times New Roman"/>
          <w:b/>
          <w:bCs/>
        </w:rPr>
        <w:t>certificate as required by section 9(3)(b) of the Insolvency Act</w:t>
      </w:r>
    </w:p>
    <w:p w14:paraId="28BFB9A6" w14:textId="77777777" w:rsidR="00582826" w:rsidRPr="00582826" w:rsidRDefault="00582826" w:rsidP="00582826">
      <w:pPr>
        <w:pStyle w:val="ListParagraph"/>
        <w:rPr>
          <w:rFonts w:ascii="Times New Roman" w:hAnsi="Times New Roman" w:cs="Times New Roman"/>
        </w:rPr>
      </w:pPr>
    </w:p>
    <w:p w14:paraId="6D16ADD1" w14:textId="01321A0A" w:rsidR="00582826" w:rsidRDefault="00981ABF" w:rsidP="00AA020E">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The applicant’s certificate of tendered security is part of the record</w:t>
      </w:r>
      <w:r w:rsidR="00C3264A">
        <w:rPr>
          <w:rFonts w:ascii="Times New Roman" w:hAnsi="Times New Roman" w:cs="Times New Roman"/>
        </w:rPr>
        <w:t>.</w:t>
      </w:r>
      <w:r>
        <w:rPr>
          <w:rFonts w:ascii="Times New Roman" w:hAnsi="Times New Roman" w:cs="Times New Roman"/>
        </w:rPr>
        <w:t xml:space="preserve"> </w:t>
      </w:r>
    </w:p>
    <w:p w14:paraId="6EB423DC" w14:textId="77777777" w:rsidR="00981ABF" w:rsidRDefault="00981ABF" w:rsidP="00981ABF">
      <w:pPr>
        <w:pStyle w:val="ListParagraph"/>
        <w:spacing w:line="480" w:lineRule="auto"/>
        <w:ind w:left="851"/>
        <w:jc w:val="both"/>
        <w:rPr>
          <w:rFonts w:ascii="Times New Roman" w:hAnsi="Times New Roman" w:cs="Times New Roman"/>
        </w:rPr>
      </w:pPr>
    </w:p>
    <w:p w14:paraId="31CA1EDA" w14:textId="5246DB29" w:rsidR="00981ABF" w:rsidRDefault="00981ABF" w:rsidP="00AA020E">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The respondent did not persist with this line of defence during the hearing. It is not a valid defence.</w:t>
      </w:r>
    </w:p>
    <w:p w14:paraId="6553F464" w14:textId="77777777" w:rsidR="00584283" w:rsidRDefault="00584283" w:rsidP="00981ABF">
      <w:pPr>
        <w:pStyle w:val="ListParagraph"/>
        <w:spacing w:line="360" w:lineRule="auto"/>
        <w:rPr>
          <w:rFonts w:ascii="Times New Roman" w:hAnsi="Times New Roman" w:cs="Times New Roman"/>
          <w:b/>
          <w:bCs/>
        </w:rPr>
      </w:pPr>
    </w:p>
    <w:p w14:paraId="2D3EC712" w14:textId="77777777" w:rsidR="00584283" w:rsidRDefault="00584283" w:rsidP="00981ABF">
      <w:pPr>
        <w:pStyle w:val="ListParagraph"/>
        <w:spacing w:line="360" w:lineRule="auto"/>
        <w:rPr>
          <w:rFonts w:ascii="Times New Roman" w:hAnsi="Times New Roman" w:cs="Times New Roman"/>
          <w:b/>
          <w:bCs/>
        </w:rPr>
      </w:pPr>
    </w:p>
    <w:p w14:paraId="11FBACBF" w14:textId="77777777" w:rsidR="00584283" w:rsidRDefault="00584283" w:rsidP="00981ABF">
      <w:pPr>
        <w:pStyle w:val="ListParagraph"/>
        <w:spacing w:line="360" w:lineRule="auto"/>
        <w:rPr>
          <w:rFonts w:ascii="Times New Roman" w:hAnsi="Times New Roman" w:cs="Times New Roman"/>
          <w:b/>
          <w:bCs/>
        </w:rPr>
      </w:pPr>
    </w:p>
    <w:p w14:paraId="10BDFADA" w14:textId="5C67B79B" w:rsidR="00981ABF" w:rsidRDefault="00981ABF" w:rsidP="00981ABF">
      <w:pPr>
        <w:pStyle w:val="ListParagraph"/>
        <w:spacing w:line="360" w:lineRule="auto"/>
        <w:rPr>
          <w:rFonts w:ascii="Times New Roman" w:hAnsi="Times New Roman" w:cs="Times New Roman"/>
        </w:rPr>
      </w:pPr>
      <w:r>
        <w:rPr>
          <w:rFonts w:ascii="Times New Roman" w:hAnsi="Times New Roman" w:cs="Times New Roman"/>
          <w:b/>
          <w:bCs/>
        </w:rPr>
        <w:t>That the applicant</w:t>
      </w:r>
      <w:r w:rsidR="00A66DEE">
        <w:rPr>
          <w:rFonts w:ascii="Times New Roman" w:hAnsi="Times New Roman" w:cs="Times New Roman"/>
          <w:b/>
          <w:bCs/>
        </w:rPr>
        <w:t>’s claims are not liquidated</w:t>
      </w:r>
    </w:p>
    <w:p w14:paraId="1CEE3FE5" w14:textId="77777777" w:rsidR="00981ABF" w:rsidRPr="00981ABF" w:rsidRDefault="00981ABF" w:rsidP="00981ABF">
      <w:pPr>
        <w:pStyle w:val="ListParagraph"/>
        <w:rPr>
          <w:rFonts w:ascii="Times New Roman" w:hAnsi="Times New Roman" w:cs="Times New Roman"/>
        </w:rPr>
      </w:pPr>
    </w:p>
    <w:p w14:paraId="03528B7D" w14:textId="3CAE488E" w:rsidR="00981ABF" w:rsidRDefault="00A66DEE" w:rsidP="00AA020E">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Both the first and second judgments are incontestably for payment of liquid amounts. Since one liquidated claim exceeding R100 </w:t>
      </w:r>
      <w:r w:rsidR="00EA70CE">
        <w:rPr>
          <w:rFonts w:ascii="Times New Roman" w:hAnsi="Times New Roman" w:cs="Times New Roman"/>
        </w:rPr>
        <w:t>is sufficient for a sequestration order</w:t>
      </w:r>
      <w:r w:rsidR="00587624">
        <w:rPr>
          <w:rFonts w:ascii="Times New Roman" w:hAnsi="Times New Roman" w:cs="Times New Roman"/>
        </w:rPr>
        <w:t>,</w:t>
      </w:r>
      <w:r w:rsidR="00EA70CE">
        <w:rPr>
          <w:rFonts w:ascii="Times New Roman" w:hAnsi="Times New Roman" w:cs="Times New Roman"/>
        </w:rPr>
        <w:t xml:space="preserve"> this defence cannot succeed.</w:t>
      </w:r>
    </w:p>
    <w:p w14:paraId="5BCD9B96" w14:textId="79D6A474" w:rsidR="00EA70CE" w:rsidRDefault="00EA70CE" w:rsidP="00EA70CE">
      <w:pPr>
        <w:pStyle w:val="ListParagraph"/>
        <w:spacing w:line="480" w:lineRule="auto"/>
        <w:ind w:left="851"/>
        <w:jc w:val="both"/>
        <w:rPr>
          <w:rFonts w:ascii="Times New Roman" w:hAnsi="Times New Roman" w:cs="Times New Roman"/>
        </w:rPr>
      </w:pPr>
    </w:p>
    <w:p w14:paraId="3A6FE39D" w14:textId="4DAF4F04" w:rsidR="00EA70CE" w:rsidRDefault="00EA70CE" w:rsidP="00EA70CE">
      <w:pPr>
        <w:pStyle w:val="ListParagraph"/>
        <w:spacing w:line="360" w:lineRule="auto"/>
        <w:ind w:left="851"/>
        <w:jc w:val="both"/>
        <w:rPr>
          <w:rFonts w:ascii="Times New Roman" w:hAnsi="Times New Roman" w:cs="Times New Roman"/>
          <w:b/>
          <w:bCs/>
        </w:rPr>
      </w:pPr>
      <w:r>
        <w:rPr>
          <w:rFonts w:ascii="Times New Roman" w:hAnsi="Times New Roman" w:cs="Times New Roman"/>
          <w:b/>
          <w:bCs/>
        </w:rPr>
        <w:t>That a sequestration order will have equal and competing rights with the 20 November 2019 court order terminating joint ownership of the Northcliff property by the applicant and his wife</w:t>
      </w:r>
    </w:p>
    <w:p w14:paraId="5977252B" w14:textId="77777777" w:rsidR="00EA70CE" w:rsidRDefault="00EA70CE" w:rsidP="00EA70CE">
      <w:pPr>
        <w:pStyle w:val="ListParagraph"/>
        <w:spacing w:line="360" w:lineRule="auto"/>
        <w:ind w:left="851"/>
        <w:jc w:val="both"/>
        <w:rPr>
          <w:rFonts w:ascii="Times New Roman" w:hAnsi="Times New Roman" w:cs="Times New Roman"/>
          <w:b/>
          <w:bCs/>
        </w:rPr>
      </w:pPr>
    </w:p>
    <w:p w14:paraId="73B5BB9A" w14:textId="7BB46946" w:rsidR="00EA70CE" w:rsidRDefault="00EA70CE" w:rsidP="00AA020E">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There is no dispute regarding the existence of the 20 November 2019 judgment. </w:t>
      </w:r>
    </w:p>
    <w:p w14:paraId="5337AD92" w14:textId="77777777" w:rsidR="00EA70CE" w:rsidRDefault="00EA70CE" w:rsidP="00EA70CE">
      <w:pPr>
        <w:pStyle w:val="ListParagraph"/>
        <w:spacing w:line="480" w:lineRule="auto"/>
        <w:ind w:left="851"/>
        <w:jc w:val="both"/>
        <w:rPr>
          <w:rFonts w:ascii="Times New Roman" w:hAnsi="Times New Roman" w:cs="Times New Roman"/>
        </w:rPr>
      </w:pPr>
    </w:p>
    <w:p w14:paraId="53ABB547" w14:textId="3FFECBFF" w:rsidR="00EA70CE" w:rsidRDefault="00EA70CE" w:rsidP="00AA020E">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That judgment, however, does not affect or prevent the sequestration of the respondent. The</w:t>
      </w:r>
      <w:r w:rsidR="00587624">
        <w:rPr>
          <w:rFonts w:ascii="Times New Roman" w:hAnsi="Times New Roman" w:cs="Times New Roman"/>
        </w:rPr>
        <w:t xml:space="preserve"> trustee of the</w:t>
      </w:r>
      <w:r>
        <w:rPr>
          <w:rFonts w:ascii="Times New Roman" w:hAnsi="Times New Roman" w:cs="Times New Roman"/>
        </w:rPr>
        <w:t xml:space="preserve"> insolvent estate will be </w:t>
      </w:r>
      <w:r w:rsidR="00085146">
        <w:rPr>
          <w:rFonts w:ascii="Times New Roman" w:hAnsi="Times New Roman" w:cs="Times New Roman"/>
        </w:rPr>
        <w:t>required to determine what assets are owned wholly or partly by the applicant and wholly or partly by his estranged wife, and will</w:t>
      </w:r>
      <w:r w:rsidR="00FA2ACF">
        <w:rPr>
          <w:rFonts w:ascii="Times New Roman" w:hAnsi="Times New Roman" w:cs="Times New Roman"/>
        </w:rPr>
        <w:t xml:space="preserve"> </w:t>
      </w:r>
      <w:r w:rsidR="008E7156">
        <w:rPr>
          <w:rFonts w:ascii="Times New Roman" w:hAnsi="Times New Roman" w:cs="Times New Roman"/>
        </w:rPr>
        <w:t xml:space="preserve">deal with those assets or the applicable portions of those assets accordingly. </w:t>
      </w:r>
    </w:p>
    <w:p w14:paraId="6974DB12" w14:textId="60ACCDD4" w:rsidR="008E7156" w:rsidRDefault="008E7156" w:rsidP="008E7156">
      <w:pPr>
        <w:pStyle w:val="ListParagraph"/>
        <w:rPr>
          <w:rFonts w:ascii="Times New Roman" w:hAnsi="Times New Roman" w:cs="Times New Roman"/>
        </w:rPr>
      </w:pPr>
    </w:p>
    <w:p w14:paraId="60612797" w14:textId="4506B2BE" w:rsidR="008E7156" w:rsidRDefault="0079587C" w:rsidP="008E7156">
      <w:pPr>
        <w:pStyle w:val="ListParagraph"/>
        <w:spacing w:line="360" w:lineRule="auto"/>
        <w:rPr>
          <w:rFonts w:ascii="Times New Roman" w:hAnsi="Times New Roman" w:cs="Times New Roman"/>
        </w:rPr>
      </w:pPr>
      <w:r>
        <w:rPr>
          <w:rFonts w:ascii="Times New Roman" w:hAnsi="Times New Roman" w:cs="Times New Roman"/>
          <w:b/>
          <w:bCs/>
        </w:rPr>
        <w:t xml:space="preserve">Non-joinder </w:t>
      </w:r>
      <w:r w:rsidR="005C413C">
        <w:rPr>
          <w:rFonts w:ascii="Times New Roman" w:hAnsi="Times New Roman" w:cs="Times New Roman"/>
          <w:b/>
          <w:bCs/>
        </w:rPr>
        <w:t>of the respondent’s estranged wife</w:t>
      </w:r>
    </w:p>
    <w:p w14:paraId="015623EC" w14:textId="5306DED8" w:rsidR="008E7156" w:rsidRPr="008E7156" w:rsidRDefault="008E7156" w:rsidP="008E7156">
      <w:pPr>
        <w:pStyle w:val="ListParagraph"/>
        <w:rPr>
          <w:rFonts w:ascii="Times New Roman" w:hAnsi="Times New Roman" w:cs="Times New Roman"/>
        </w:rPr>
      </w:pPr>
    </w:p>
    <w:p w14:paraId="4067CEC9" w14:textId="3663CC45" w:rsidR="008E7156" w:rsidRDefault="005C413C" w:rsidP="00AA020E">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The respondent did not deliver heads of argument for this hearing. Rather</w:t>
      </w:r>
      <w:r w:rsidR="00A33918">
        <w:rPr>
          <w:rFonts w:ascii="Times New Roman" w:hAnsi="Times New Roman" w:cs="Times New Roman"/>
        </w:rPr>
        <w:t xml:space="preserve">, on 21 November 2022 the respondent produced a “notice to take a point of law” referring specifically </w:t>
      </w:r>
      <w:r w:rsidR="00334722">
        <w:rPr>
          <w:rFonts w:ascii="Times New Roman" w:hAnsi="Times New Roman" w:cs="Times New Roman"/>
        </w:rPr>
        <w:t xml:space="preserve">to “non-joinder” of a necessary party. This refers to the respondent’s wife, Dr Neo Brenda Mothuloe. To avoid confusion, this judgment refers to her as the respondent’s wife. </w:t>
      </w:r>
    </w:p>
    <w:p w14:paraId="2DA04C4F" w14:textId="77777777" w:rsidR="009255B8" w:rsidRDefault="009255B8" w:rsidP="009255B8">
      <w:pPr>
        <w:pStyle w:val="ListParagraph"/>
        <w:spacing w:line="480" w:lineRule="auto"/>
        <w:ind w:left="851"/>
        <w:jc w:val="both"/>
        <w:rPr>
          <w:rFonts w:ascii="Times New Roman" w:hAnsi="Times New Roman" w:cs="Times New Roman"/>
        </w:rPr>
      </w:pPr>
    </w:p>
    <w:p w14:paraId="2FA51B8E" w14:textId="0AF7D42A" w:rsidR="0034442B" w:rsidRDefault="009255B8" w:rsidP="00AA020E">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The respondent’s argument was that his wife should be joined as a necessary party to this application, not on account of how a final sequestration order might affect her rights, but on the basis that she has sufficient assets to settle the applicant’s claims and thereby avoid the respondent’s final sequestration.</w:t>
      </w:r>
    </w:p>
    <w:p w14:paraId="051B9E1C" w14:textId="77777777" w:rsidR="009255B8" w:rsidRPr="009255B8" w:rsidRDefault="009255B8" w:rsidP="009255B8">
      <w:pPr>
        <w:pStyle w:val="ListParagraph"/>
        <w:rPr>
          <w:rFonts w:ascii="Times New Roman" w:hAnsi="Times New Roman" w:cs="Times New Roman"/>
        </w:rPr>
      </w:pPr>
    </w:p>
    <w:p w14:paraId="609311B8" w14:textId="016E14E6" w:rsidR="009255B8" w:rsidRDefault="009255B8" w:rsidP="00AA020E">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lastRenderedPageBreak/>
        <w:t xml:space="preserve">This argument has no merit. The sequestration </w:t>
      </w:r>
      <w:r w:rsidR="004D6512">
        <w:rPr>
          <w:rFonts w:ascii="Times New Roman" w:hAnsi="Times New Roman" w:cs="Times New Roman"/>
        </w:rPr>
        <w:t>application</w:t>
      </w:r>
      <w:r>
        <w:rPr>
          <w:rFonts w:ascii="Times New Roman" w:hAnsi="Times New Roman" w:cs="Times New Roman"/>
        </w:rPr>
        <w:t xml:space="preserve"> is against the respondent alone and he has no entitlement to join his wife in </w:t>
      </w:r>
      <w:r w:rsidR="00587624">
        <w:rPr>
          <w:rFonts w:ascii="Times New Roman" w:hAnsi="Times New Roman" w:cs="Times New Roman"/>
        </w:rPr>
        <w:t xml:space="preserve">the hope of inducing her to use </w:t>
      </w:r>
      <w:r w:rsidR="008C264F">
        <w:rPr>
          <w:rFonts w:ascii="Times New Roman" w:hAnsi="Times New Roman" w:cs="Times New Roman"/>
        </w:rPr>
        <w:t>her assets</w:t>
      </w:r>
      <w:r>
        <w:rPr>
          <w:rFonts w:ascii="Times New Roman" w:hAnsi="Times New Roman" w:cs="Times New Roman"/>
        </w:rPr>
        <w:t xml:space="preserve"> </w:t>
      </w:r>
      <w:r w:rsidR="00587624">
        <w:rPr>
          <w:rFonts w:ascii="Times New Roman" w:hAnsi="Times New Roman" w:cs="Times New Roman"/>
        </w:rPr>
        <w:t>to pay the</w:t>
      </w:r>
      <w:r>
        <w:rPr>
          <w:rFonts w:ascii="Times New Roman" w:hAnsi="Times New Roman" w:cs="Times New Roman"/>
        </w:rPr>
        <w:t xml:space="preserve"> applicant.</w:t>
      </w:r>
    </w:p>
    <w:p w14:paraId="42A905A4" w14:textId="57CF51E7" w:rsidR="009255B8" w:rsidRDefault="009255B8" w:rsidP="009255B8">
      <w:pPr>
        <w:pStyle w:val="ListParagraph"/>
        <w:rPr>
          <w:rFonts w:ascii="Times New Roman" w:hAnsi="Times New Roman" w:cs="Times New Roman"/>
        </w:rPr>
      </w:pPr>
    </w:p>
    <w:p w14:paraId="4785FE28" w14:textId="77777777" w:rsidR="009255B8" w:rsidRPr="009255B8" w:rsidRDefault="009255B8" w:rsidP="009255B8">
      <w:pPr>
        <w:pStyle w:val="ListParagraph"/>
        <w:rPr>
          <w:rFonts w:ascii="Times New Roman" w:hAnsi="Times New Roman" w:cs="Times New Roman"/>
        </w:rPr>
      </w:pPr>
    </w:p>
    <w:p w14:paraId="66BFA3F6" w14:textId="390661DD" w:rsidR="00EB64A5" w:rsidRDefault="009255B8" w:rsidP="00EB64A5">
      <w:pPr>
        <w:pStyle w:val="ListParagraph"/>
        <w:numPr>
          <w:ilvl w:val="0"/>
          <w:numId w:val="2"/>
        </w:numPr>
        <w:spacing w:line="480" w:lineRule="auto"/>
        <w:jc w:val="both"/>
        <w:rPr>
          <w:rFonts w:ascii="Times New Roman" w:hAnsi="Times New Roman" w:cs="Times New Roman"/>
        </w:rPr>
      </w:pPr>
      <w:r w:rsidRPr="009B016E">
        <w:rPr>
          <w:rFonts w:ascii="Times New Roman" w:hAnsi="Times New Roman" w:cs="Times New Roman"/>
        </w:rPr>
        <w:t xml:space="preserve">In </w:t>
      </w:r>
      <w:r w:rsidRPr="00587624">
        <w:rPr>
          <w:rFonts w:ascii="Times New Roman" w:hAnsi="Times New Roman" w:cs="Times New Roman"/>
          <w:u w:val="single"/>
        </w:rPr>
        <w:t>De Ja</w:t>
      </w:r>
      <w:r w:rsidR="00494274" w:rsidRPr="00587624">
        <w:rPr>
          <w:rFonts w:ascii="Times New Roman" w:hAnsi="Times New Roman" w:cs="Times New Roman"/>
          <w:u w:val="single"/>
        </w:rPr>
        <w:t>g</w:t>
      </w:r>
      <w:r w:rsidRPr="00587624">
        <w:rPr>
          <w:rFonts w:ascii="Times New Roman" w:hAnsi="Times New Roman" w:cs="Times New Roman"/>
          <w:u w:val="single"/>
        </w:rPr>
        <w:t xml:space="preserve">er Investments </w:t>
      </w:r>
      <w:r w:rsidR="009B016E" w:rsidRPr="00587624">
        <w:rPr>
          <w:rFonts w:ascii="Times New Roman" w:hAnsi="Times New Roman" w:cs="Times New Roman"/>
          <w:u w:val="single"/>
        </w:rPr>
        <w:t>(Pty) Ltd v Mark</w:t>
      </w:r>
      <w:r w:rsidR="009B016E" w:rsidRPr="009B016E">
        <w:rPr>
          <w:rFonts w:ascii="Times New Roman" w:hAnsi="Times New Roman" w:cs="Times New Roman"/>
        </w:rPr>
        <w:t xml:space="preserve"> 1952 (3) SA 471 (W), the court decided that a spouse of a person defending a sequestration application has no direct and substantial interest in the application, and </w:t>
      </w:r>
      <w:r w:rsidR="004D6512" w:rsidRPr="009B016E">
        <w:rPr>
          <w:rFonts w:ascii="Times New Roman" w:hAnsi="Times New Roman" w:cs="Times New Roman"/>
        </w:rPr>
        <w:t>rejected</w:t>
      </w:r>
      <w:r w:rsidR="009B016E" w:rsidRPr="009B016E">
        <w:rPr>
          <w:rFonts w:ascii="Times New Roman" w:hAnsi="Times New Roman" w:cs="Times New Roman"/>
        </w:rPr>
        <w:t xml:space="preserve"> a similar defence of non-joinder</w:t>
      </w:r>
      <w:r w:rsidR="00E140F1">
        <w:rPr>
          <w:rFonts w:ascii="Times New Roman" w:hAnsi="Times New Roman" w:cs="Times New Roman"/>
        </w:rPr>
        <w:t>.</w:t>
      </w:r>
    </w:p>
    <w:p w14:paraId="4BBD0750" w14:textId="77777777" w:rsidR="00E140F1" w:rsidRDefault="00E140F1" w:rsidP="00E140F1">
      <w:pPr>
        <w:pStyle w:val="ListParagraph"/>
        <w:spacing w:line="480" w:lineRule="auto"/>
        <w:ind w:left="851"/>
        <w:jc w:val="both"/>
        <w:rPr>
          <w:rFonts w:ascii="Times New Roman" w:hAnsi="Times New Roman" w:cs="Times New Roman"/>
        </w:rPr>
      </w:pPr>
    </w:p>
    <w:p w14:paraId="1FCAE57F" w14:textId="2E920314" w:rsidR="00E140F1" w:rsidRDefault="00587624" w:rsidP="00EB64A5">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Section 21 of the Insolvency Act provides that the property of the spouse of a sequestrated person vests in the </w:t>
      </w:r>
      <w:r w:rsidRPr="00587624">
        <w:rPr>
          <w:rFonts w:ascii="Times New Roman" w:hAnsi="Times New Roman" w:cs="Times New Roman"/>
        </w:rPr>
        <w:t>trustee</w:t>
      </w:r>
      <w:r>
        <w:rPr>
          <w:rFonts w:ascii="Times New Roman" w:hAnsi="Times New Roman" w:cs="Times New Roman"/>
        </w:rPr>
        <w:t xml:space="preserve"> as if it were the property of the sequestrated estate, subject to the spouse whose estate has not been sequestrated having the right to prove that such property is the property of that spouse alone. and should therefore be excluded from the sequestrated estate.  </w:t>
      </w:r>
      <w:r w:rsidR="00494274">
        <w:rPr>
          <w:rFonts w:ascii="Times New Roman" w:hAnsi="Times New Roman" w:cs="Times New Roman"/>
        </w:rPr>
        <w:t xml:space="preserve">In </w:t>
      </w:r>
      <w:r w:rsidR="00494274" w:rsidRPr="00587624">
        <w:rPr>
          <w:rFonts w:ascii="Times New Roman" w:hAnsi="Times New Roman" w:cs="Times New Roman"/>
          <w:u w:val="single"/>
        </w:rPr>
        <w:t>Harksen v Lane NO and Others</w:t>
      </w:r>
      <w:r w:rsidR="00494274">
        <w:rPr>
          <w:rFonts w:ascii="Times New Roman" w:hAnsi="Times New Roman" w:cs="Times New Roman"/>
        </w:rPr>
        <w:t xml:space="preserve"> 1998 (1) SA 300 (CC), the Constitutional Court considered and upheld the constitutionality of section 21, without </w:t>
      </w:r>
      <w:r w:rsidR="00C3264A">
        <w:rPr>
          <w:rFonts w:ascii="Times New Roman" w:hAnsi="Times New Roman" w:cs="Times New Roman"/>
        </w:rPr>
        <w:t>considering</w:t>
      </w:r>
      <w:r w:rsidR="00494274">
        <w:rPr>
          <w:rFonts w:ascii="Times New Roman" w:hAnsi="Times New Roman" w:cs="Times New Roman"/>
        </w:rPr>
        <w:t xml:space="preserve"> or </w:t>
      </w:r>
      <w:r w:rsidR="004D6512">
        <w:rPr>
          <w:rFonts w:ascii="Times New Roman" w:hAnsi="Times New Roman" w:cs="Times New Roman"/>
        </w:rPr>
        <w:t>overruling</w:t>
      </w:r>
      <w:r w:rsidR="00494274">
        <w:rPr>
          <w:rFonts w:ascii="Times New Roman" w:hAnsi="Times New Roman" w:cs="Times New Roman"/>
        </w:rPr>
        <w:t xml:space="preserve"> the </w:t>
      </w:r>
      <w:r w:rsidR="00494274" w:rsidRPr="00C3264A">
        <w:rPr>
          <w:rFonts w:ascii="Times New Roman" w:hAnsi="Times New Roman" w:cs="Times New Roman"/>
          <w:u w:val="single"/>
        </w:rPr>
        <w:t>De Jager</w:t>
      </w:r>
      <w:r w:rsidR="00494274">
        <w:rPr>
          <w:rFonts w:ascii="Times New Roman" w:hAnsi="Times New Roman" w:cs="Times New Roman"/>
        </w:rPr>
        <w:t xml:space="preserve"> judgment. </w:t>
      </w:r>
    </w:p>
    <w:p w14:paraId="4B76FEBF" w14:textId="63811921" w:rsidR="00805A33" w:rsidRDefault="00805A33" w:rsidP="00805A33">
      <w:pPr>
        <w:pStyle w:val="ListParagraph"/>
        <w:rPr>
          <w:rFonts w:ascii="Times New Roman" w:hAnsi="Times New Roman" w:cs="Times New Roman"/>
        </w:rPr>
      </w:pPr>
    </w:p>
    <w:p w14:paraId="6AADF68E" w14:textId="77777777" w:rsidR="00805A33" w:rsidRPr="00805A33" w:rsidRDefault="00805A33" w:rsidP="00805A33">
      <w:pPr>
        <w:pStyle w:val="ListParagraph"/>
        <w:rPr>
          <w:rFonts w:ascii="Times New Roman" w:hAnsi="Times New Roman" w:cs="Times New Roman"/>
        </w:rPr>
      </w:pPr>
    </w:p>
    <w:p w14:paraId="08EEC7E3" w14:textId="13747A98" w:rsidR="00805A33" w:rsidRDefault="00805A33" w:rsidP="00EB64A5">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In the </w:t>
      </w:r>
      <w:r w:rsidRPr="008C264F">
        <w:rPr>
          <w:rFonts w:ascii="Times New Roman" w:hAnsi="Times New Roman" w:cs="Times New Roman"/>
          <w:u w:val="single"/>
        </w:rPr>
        <w:t>Harksen</w:t>
      </w:r>
      <w:r>
        <w:rPr>
          <w:rFonts w:ascii="Times New Roman" w:hAnsi="Times New Roman" w:cs="Times New Roman"/>
        </w:rPr>
        <w:t xml:space="preserve"> judgment, the </w:t>
      </w:r>
      <w:r w:rsidR="004D6512">
        <w:rPr>
          <w:rFonts w:ascii="Times New Roman" w:hAnsi="Times New Roman" w:cs="Times New Roman"/>
        </w:rPr>
        <w:t>Constitutional</w:t>
      </w:r>
      <w:r>
        <w:rPr>
          <w:rFonts w:ascii="Times New Roman" w:hAnsi="Times New Roman" w:cs="Times New Roman"/>
        </w:rPr>
        <w:t xml:space="preserve"> Court did not deal with the issue of whether the </w:t>
      </w:r>
      <w:r w:rsidRPr="008C264F">
        <w:rPr>
          <w:rFonts w:ascii="Times New Roman" w:hAnsi="Times New Roman" w:cs="Times New Roman"/>
          <w:u w:val="single"/>
        </w:rPr>
        <w:t>De Jager</w:t>
      </w:r>
      <w:r>
        <w:rPr>
          <w:rFonts w:ascii="Times New Roman" w:hAnsi="Times New Roman" w:cs="Times New Roman"/>
        </w:rPr>
        <w:t xml:space="preserve"> judgment remains good law under the South African Constitution.</w:t>
      </w:r>
    </w:p>
    <w:p w14:paraId="7D6AE94A" w14:textId="77777777" w:rsidR="00805A33" w:rsidRDefault="00805A33" w:rsidP="00805A33">
      <w:pPr>
        <w:pStyle w:val="ListParagraph"/>
        <w:spacing w:line="480" w:lineRule="auto"/>
        <w:ind w:left="851"/>
        <w:jc w:val="both"/>
        <w:rPr>
          <w:rFonts w:ascii="Times New Roman" w:hAnsi="Times New Roman" w:cs="Times New Roman"/>
        </w:rPr>
      </w:pPr>
    </w:p>
    <w:p w14:paraId="0EBB5B76" w14:textId="6199A7DC" w:rsidR="00805A33" w:rsidRDefault="00805A33" w:rsidP="00EB64A5">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It is not necessary </w:t>
      </w:r>
      <w:r w:rsidR="009432DE">
        <w:rPr>
          <w:rFonts w:ascii="Times New Roman" w:hAnsi="Times New Roman" w:cs="Times New Roman"/>
        </w:rPr>
        <w:t xml:space="preserve">to consider that issue in this judgment, however, because the respondent himself served an application on his wife for her joinder as a party to this </w:t>
      </w:r>
      <w:r w:rsidR="00BB2E5D">
        <w:rPr>
          <w:rFonts w:ascii="Times New Roman" w:hAnsi="Times New Roman" w:cs="Times New Roman"/>
        </w:rPr>
        <w:t xml:space="preserve">sequestration application, and </w:t>
      </w:r>
      <w:r w:rsidR="008C264F">
        <w:rPr>
          <w:rFonts w:ascii="Times New Roman" w:hAnsi="Times New Roman" w:cs="Times New Roman"/>
        </w:rPr>
        <w:t xml:space="preserve">on 17 October 2022 </w:t>
      </w:r>
      <w:r w:rsidR="00BB2E5D">
        <w:rPr>
          <w:rFonts w:ascii="Times New Roman" w:hAnsi="Times New Roman" w:cs="Times New Roman"/>
        </w:rPr>
        <w:t>her attorneys</w:t>
      </w:r>
      <w:r w:rsidR="008C264F">
        <w:rPr>
          <w:rFonts w:ascii="Times New Roman" w:hAnsi="Times New Roman" w:cs="Times New Roman"/>
        </w:rPr>
        <w:t xml:space="preserve"> </w:t>
      </w:r>
      <w:r w:rsidR="00BB2E5D">
        <w:rPr>
          <w:rFonts w:ascii="Times New Roman" w:hAnsi="Times New Roman" w:cs="Times New Roman"/>
        </w:rPr>
        <w:t xml:space="preserve">delivered a notice of her intention to oppose the </w:t>
      </w:r>
      <w:r w:rsidR="006B4708">
        <w:rPr>
          <w:rFonts w:ascii="Times New Roman" w:hAnsi="Times New Roman" w:cs="Times New Roman"/>
        </w:rPr>
        <w:t xml:space="preserve">joinder </w:t>
      </w:r>
      <w:r w:rsidR="00C3264A">
        <w:rPr>
          <w:rFonts w:ascii="Times New Roman" w:hAnsi="Times New Roman" w:cs="Times New Roman"/>
        </w:rPr>
        <w:t>application.</w:t>
      </w:r>
      <w:r w:rsidR="00D853C4">
        <w:rPr>
          <w:rFonts w:ascii="Times New Roman" w:hAnsi="Times New Roman" w:cs="Times New Roman"/>
        </w:rPr>
        <w:t xml:space="preserve"> </w:t>
      </w:r>
    </w:p>
    <w:p w14:paraId="1582CFDD" w14:textId="77777777" w:rsidR="00D853C4" w:rsidRPr="00D853C4" w:rsidRDefault="00D853C4" w:rsidP="00D853C4">
      <w:pPr>
        <w:pStyle w:val="ListParagraph"/>
        <w:rPr>
          <w:rFonts w:ascii="Times New Roman" w:hAnsi="Times New Roman" w:cs="Times New Roman"/>
        </w:rPr>
      </w:pPr>
    </w:p>
    <w:p w14:paraId="2E05378E" w14:textId="055C1DF6" w:rsidR="00D853C4" w:rsidRDefault="00D853C4" w:rsidP="00EB64A5">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lastRenderedPageBreak/>
        <w:t xml:space="preserve">There can be no clearer indication that the respondent’s wife is aware of this application, and has made a positive election to not be joined as a party to it. Accordingly, insofar as she has rights worthy of </w:t>
      </w:r>
      <w:r w:rsidR="004D6512">
        <w:rPr>
          <w:rFonts w:ascii="Times New Roman" w:hAnsi="Times New Roman" w:cs="Times New Roman"/>
        </w:rPr>
        <w:t>protection</w:t>
      </w:r>
      <w:r>
        <w:rPr>
          <w:rFonts w:ascii="Times New Roman" w:hAnsi="Times New Roman" w:cs="Times New Roman"/>
        </w:rPr>
        <w:t>, the procedure under section 21 of the Insolvency Act will be available to her.</w:t>
      </w:r>
    </w:p>
    <w:p w14:paraId="1930FDEF" w14:textId="7B5AE006" w:rsidR="00D853C4" w:rsidRDefault="00D853C4" w:rsidP="00D853C4">
      <w:pPr>
        <w:pStyle w:val="ListParagraph"/>
        <w:rPr>
          <w:rFonts w:ascii="Times New Roman" w:hAnsi="Times New Roman" w:cs="Times New Roman"/>
        </w:rPr>
      </w:pPr>
    </w:p>
    <w:p w14:paraId="685139A4" w14:textId="77777777" w:rsidR="00D853C4" w:rsidRPr="00D853C4" w:rsidRDefault="00D853C4" w:rsidP="00D853C4">
      <w:pPr>
        <w:pStyle w:val="ListParagraph"/>
        <w:rPr>
          <w:rFonts w:ascii="Times New Roman" w:hAnsi="Times New Roman" w:cs="Times New Roman"/>
        </w:rPr>
      </w:pPr>
    </w:p>
    <w:p w14:paraId="284EE49C" w14:textId="094B4F79" w:rsidR="008279A2" w:rsidRDefault="00D853C4" w:rsidP="00EB64A5">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As the respondent’s wife knows of </w:t>
      </w:r>
      <w:r w:rsidR="008279A2">
        <w:rPr>
          <w:rFonts w:ascii="Times New Roman" w:hAnsi="Times New Roman" w:cs="Times New Roman"/>
        </w:rPr>
        <w:t xml:space="preserve">and objects to being a party to this </w:t>
      </w:r>
      <w:r w:rsidR="004D6512">
        <w:rPr>
          <w:rFonts w:ascii="Times New Roman" w:hAnsi="Times New Roman" w:cs="Times New Roman"/>
        </w:rPr>
        <w:t>application</w:t>
      </w:r>
      <w:r w:rsidR="008279A2">
        <w:rPr>
          <w:rFonts w:ascii="Times New Roman" w:hAnsi="Times New Roman" w:cs="Times New Roman"/>
        </w:rPr>
        <w:t>, the non-joinder defence cannot succeed.</w:t>
      </w:r>
    </w:p>
    <w:p w14:paraId="5BE25925" w14:textId="463632FD" w:rsidR="00D853C4" w:rsidRPr="009B016E" w:rsidRDefault="00D853C4" w:rsidP="008279A2">
      <w:pPr>
        <w:pStyle w:val="ListParagraph"/>
        <w:spacing w:line="480" w:lineRule="auto"/>
        <w:ind w:left="851"/>
        <w:jc w:val="both"/>
        <w:rPr>
          <w:rFonts w:ascii="Times New Roman" w:hAnsi="Times New Roman" w:cs="Times New Roman"/>
        </w:rPr>
      </w:pPr>
      <w:r>
        <w:rPr>
          <w:rFonts w:ascii="Times New Roman" w:hAnsi="Times New Roman" w:cs="Times New Roman"/>
        </w:rPr>
        <w:t xml:space="preserve"> </w:t>
      </w:r>
    </w:p>
    <w:p w14:paraId="212D6D1D" w14:textId="77F41AC3" w:rsidR="00EB64A5" w:rsidRDefault="008279A2" w:rsidP="00AA020E">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For these reasons the court order</w:t>
      </w:r>
      <w:r w:rsidR="00C3264A">
        <w:rPr>
          <w:rFonts w:ascii="Times New Roman" w:hAnsi="Times New Roman" w:cs="Times New Roman"/>
        </w:rPr>
        <w:t>s</w:t>
      </w:r>
      <w:r>
        <w:rPr>
          <w:rFonts w:ascii="Times New Roman" w:hAnsi="Times New Roman" w:cs="Times New Roman"/>
        </w:rPr>
        <w:t xml:space="preserve"> as follows:</w:t>
      </w:r>
    </w:p>
    <w:p w14:paraId="09E41B49" w14:textId="77777777" w:rsidR="008279A2" w:rsidRPr="008279A2" w:rsidRDefault="008279A2" w:rsidP="008279A2">
      <w:pPr>
        <w:pStyle w:val="ListParagraph"/>
        <w:rPr>
          <w:rFonts w:ascii="Times New Roman" w:hAnsi="Times New Roman" w:cs="Times New Roman"/>
        </w:rPr>
      </w:pPr>
    </w:p>
    <w:p w14:paraId="29931046" w14:textId="3B98C681" w:rsidR="008279A2" w:rsidRDefault="008279A2" w:rsidP="008279A2">
      <w:pPr>
        <w:pStyle w:val="ListParagraph"/>
        <w:numPr>
          <w:ilvl w:val="1"/>
          <w:numId w:val="2"/>
        </w:numPr>
        <w:spacing w:line="480" w:lineRule="auto"/>
        <w:jc w:val="both"/>
        <w:rPr>
          <w:rFonts w:ascii="Times New Roman" w:hAnsi="Times New Roman" w:cs="Times New Roman"/>
        </w:rPr>
      </w:pPr>
      <w:r>
        <w:rPr>
          <w:rFonts w:ascii="Times New Roman" w:hAnsi="Times New Roman" w:cs="Times New Roman"/>
        </w:rPr>
        <w:t xml:space="preserve">The respondent’s estate is finally </w:t>
      </w:r>
      <w:r w:rsidR="00FC3CE9">
        <w:rPr>
          <w:rFonts w:ascii="Times New Roman" w:hAnsi="Times New Roman" w:cs="Times New Roman"/>
        </w:rPr>
        <w:t>sequestrated;</w:t>
      </w:r>
    </w:p>
    <w:p w14:paraId="62EBAE97" w14:textId="63EB11EE" w:rsidR="00245192" w:rsidRPr="002449A0" w:rsidRDefault="00FC3CE9" w:rsidP="002449A0">
      <w:pPr>
        <w:pStyle w:val="ListParagraph"/>
        <w:numPr>
          <w:ilvl w:val="1"/>
          <w:numId w:val="2"/>
        </w:numPr>
        <w:spacing w:line="480" w:lineRule="auto"/>
        <w:jc w:val="both"/>
        <w:rPr>
          <w:rFonts w:ascii="Times New Roman" w:hAnsi="Times New Roman" w:cs="Times New Roman"/>
        </w:rPr>
      </w:pPr>
      <w:r>
        <w:rPr>
          <w:rFonts w:ascii="Times New Roman" w:hAnsi="Times New Roman" w:cs="Times New Roman"/>
        </w:rPr>
        <w:t xml:space="preserve">The costs of the </w:t>
      </w:r>
      <w:r w:rsidR="004D6512">
        <w:rPr>
          <w:rFonts w:ascii="Times New Roman" w:hAnsi="Times New Roman" w:cs="Times New Roman"/>
        </w:rPr>
        <w:t>sequestration</w:t>
      </w:r>
      <w:r>
        <w:rPr>
          <w:rFonts w:ascii="Times New Roman" w:hAnsi="Times New Roman" w:cs="Times New Roman"/>
        </w:rPr>
        <w:t xml:space="preserve"> application are to be </w:t>
      </w:r>
      <w:r w:rsidR="004D6512">
        <w:rPr>
          <w:rFonts w:ascii="Times New Roman" w:hAnsi="Times New Roman" w:cs="Times New Roman"/>
        </w:rPr>
        <w:t>costs</w:t>
      </w:r>
      <w:r>
        <w:rPr>
          <w:rFonts w:ascii="Times New Roman" w:hAnsi="Times New Roman" w:cs="Times New Roman"/>
        </w:rPr>
        <w:t xml:space="preserve"> in the </w:t>
      </w:r>
      <w:r w:rsidR="004D6512">
        <w:rPr>
          <w:rFonts w:ascii="Times New Roman" w:hAnsi="Times New Roman" w:cs="Times New Roman"/>
        </w:rPr>
        <w:t>sequestration</w:t>
      </w:r>
      <w:r>
        <w:rPr>
          <w:rFonts w:ascii="Times New Roman" w:hAnsi="Times New Roman" w:cs="Times New Roman"/>
        </w:rPr>
        <w:t>.</w:t>
      </w:r>
      <w:r w:rsidR="00245192" w:rsidRPr="00DE6F6D">
        <w:tab/>
      </w:r>
      <w:r w:rsidR="00245192" w:rsidRPr="00DE6F6D">
        <w:tab/>
      </w:r>
      <w:r w:rsidR="00245192" w:rsidRPr="00DE6F6D">
        <w:tab/>
      </w:r>
      <w:r w:rsidR="00245192" w:rsidRPr="00DE6F6D">
        <w:tab/>
      </w:r>
      <w:r w:rsidR="00245192" w:rsidRPr="00DE6F6D">
        <w:tab/>
      </w:r>
    </w:p>
    <w:p w14:paraId="007CF594" w14:textId="15B43179" w:rsidR="00D9093D" w:rsidRDefault="00D9093D" w:rsidP="00245192">
      <w:pPr>
        <w:pStyle w:val="ListParagraph"/>
        <w:spacing w:line="480" w:lineRule="auto"/>
        <w:ind w:left="851"/>
        <w:jc w:val="right"/>
        <w:rPr>
          <w:rFonts w:ascii="Times New Roman" w:hAnsi="Times New Roman" w:cs="Times New Roman"/>
          <w:sz w:val="30"/>
          <w:szCs w:val="30"/>
        </w:rPr>
      </w:pPr>
      <w:r>
        <w:rPr>
          <w:rFonts w:ascii="Times New Roman" w:hAnsi="Times New Roman" w:cs="Times New Roman"/>
          <w:sz w:val="30"/>
          <w:szCs w:val="30"/>
        </w:rPr>
        <w:t>_________________________________</w:t>
      </w:r>
    </w:p>
    <w:p w14:paraId="0695BEC9" w14:textId="0FD52F1C" w:rsidR="00245192" w:rsidRPr="00D9093D" w:rsidRDefault="00245192" w:rsidP="00245192">
      <w:pPr>
        <w:pStyle w:val="ListParagraph"/>
        <w:spacing w:line="480" w:lineRule="auto"/>
        <w:ind w:left="851"/>
        <w:jc w:val="right"/>
        <w:rPr>
          <w:rFonts w:ascii="Times New Roman" w:hAnsi="Times New Roman" w:cs="Times New Roman"/>
          <w:sz w:val="30"/>
          <w:szCs w:val="30"/>
        </w:rPr>
      </w:pPr>
      <w:r w:rsidRPr="00D9093D">
        <w:rPr>
          <w:rFonts w:ascii="Times New Roman" w:hAnsi="Times New Roman" w:cs="Times New Roman"/>
          <w:sz w:val="30"/>
          <w:szCs w:val="30"/>
        </w:rPr>
        <w:t>KEMACK AJ</w:t>
      </w:r>
    </w:p>
    <w:p w14:paraId="39C4D606" w14:textId="77777777" w:rsidR="00245192" w:rsidRPr="00D9093D" w:rsidRDefault="00245192" w:rsidP="00245192">
      <w:pPr>
        <w:pStyle w:val="ListParagraph"/>
        <w:spacing w:line="480" w:lineRule="auto"/>
        <w:ind w:left="851"/>
        <w:jc w:val="right"/>
        <w:rPr>
          <w:rFonts w:ascii="Times New Roman" w:hAnsi="Times New Roman" w:cs="Times New Roman"/>
          <w:sz w:val="30"/>
          <w:szCs w:val="30"/>
        </w:rPr>
      </w:pPr>
      <w:r w:rsidRPr="00D9093D">
        <w:rPr>
          <w:rFonts w:ascii="Times New Roman" w:hAnsi="Times New Roman" w:cs="Times New Roman"/>
          <w:sz w:val="30"/>
          <w:szCs w:val="30"/>
        </w:rPr>
        <w:t>ACTING JUDGE OF THE HIGH COURT</w:t>
      </w:r>
    </w:p>
    <w:p w14:paraId="4F537613" w14:textId="77777777" w:rsidR="00245192" w:rsidRPr="00D9093D" w:rsidRDefault="00245192" w:rsidP="00245192">
      <w:pPr>
        <w:pStyle w:val="ListParagraph"/>
        <w:spacing w:line="480" w:lineRule="auto"/>
        <w:ind w:left="851"/>
        <w:jc w:val="right"/>
        <w:rPr>
          <w:rFonts w:ascii="Times New Roman" w:hAnsi="Times New Roman" w:cs="Times New Roman"/>
          <w:sz w:val="30"/>
          <w:szCs w:val="30"/>
        </w:rPr>
      </w:pPr>
      <w:r w:rsidRPr="00D9093D">
        <w:rPr>
          <w:rFonts w:ascii="Times New Roman" w:hAnsi="Times New Roman" w:cs="Times New Roman"/>
          <w:sz w:val="30"/>
          <w:szCs w:val="30"/>
        </w:rPr>
        <w:t>GAUTENG LOCAL DIVISION OF THE HIGH COURT,</w:t>
      </w:r>
    </w:p>
    <w:p w14:paraId="3D3D9AC5" w14:textId="4EA8E7E7" w:rsidR="00AE33A3" w:rsidRPr="002449A0" w:rsidRDefault="00245192" w:rsidP="002449A0">
      <w:pPr>
        <w:pStyle w:val="ListParagraph"/>
        <w:spacing w:line="480" w:lineRule="auto"/>
        <w:ind w:left="851"/>
        <w:jc w:val="right"/>
        <w:rPr>
          <w:rFonts w:ascii="Times New Roman" w:hAnsi="Times New Roman" w:cs="Times New Roman"/>
          <w:sz w:val="30"/>
          <w:szCs w:val="30"/>
        </w:rPr>
      </w:pPr>
      <w:r w:rsidRPr="00D9093D">
        <w:rPr>
          <w:rFonts w:ascii="Times New Roman" w:hAnsi="Times New Roman" w:cs="Times New Roman"/>
          <w:sz w:val="30"/>
          <w:szCs w:val="30"/>
        </w:rPr>
        <w:t>JOHANNESBURG</w:t>
      </w:r>
    </w:p>
    <w:p w14:paraId="6358ACF2" w14:textId="77777777" w:rsidR="002449A0" w:rsidRDefault="002449A0" w:rsidP="00AE33A3">
      <w:pPr>
        <w:pStyle w:val="ListParagraph"/>
        <w:spacing w:line="480" w:lineRule="auto"/>
        <w:ind w:left="851"/>
        <w:rPr>
          <w:rFonts w:ascii="Times New Roman" w:hAnsi="Times New Roman" w:cs="Times New Roman"/>
          <w:sz w:val="30"/>
          <w:szCs w:val="30"/>
        </w:rPr>
      </w:pPr>
    </w:p>
    <w:p w14:paraId="3657FABC" w14:textId="756CA090" w:rsidR="00AE33A3" w:rsidRDefault="00AE33A3" w:rsidP="002449A0">
      <w:pPr>
        <w:pStyle w:val="ListParagraph"/>
        <w:spacing w:line="276" w:lineRule="auto"/>
        <w:ind w:left="851"/>
        <w:rPr>
          <w:rFonts w:ascii="Times New Roman" w:hAnsi="Times New Roman" w:cs="Times New Roman"/>
          <w:sz w:val="30"/>
          <w:szCs w:val="30"/>
        </w:rPr>
      </w:pPr>
      <w:r w:rsidRPr="00AE33A3">
        <w:rPr>
          <w:rFonts w:ascii="Times New Roman" w:hAnsi="Times New Roman" w:cs="Times New Roman"/>
          <w:sz w:val="30"/>
          <w:szCs w:val="30"/>
        </w:rPr>
        <w:t>COUNSEL FOR APPLICANT:</w:t>
      </w:r>
      <w:r w:rsidR="00E62B81">
        <w:rPr>
          <w:rFonts w:ascii="Times New Roman" w:hAnsi="Times New Roman" w:cs="Times New Roman"/>
          <w:sz w:val="30"/>
          <w:szCs w:val="30"/>
        </w:rPr>
        <w:t xml:space="preserve"> </w:t>
      </w:r>
      <w:r w:rsidR="00E62B81" w:rsidRPr="00E62B81">
        <w:rPr>
          <w:rFonts w:ascii="Times New Roman" w:hAnsi="Times New Roman" w:cs="Times New Roman"/>
          <w:sz w:val="30"/>
          <w:szCs w:val="30"/>
        </w:rPr>
        <w:t xml:space="preserve">Adv </w:t>
      </w:r>
      <w:r w:rsidR="006206F5">
        <w:rPr>
          <w:rFonts w:ascii="Times New Roman" w:hAnsi="Times New Roman" w:cs="Times New Roman"/>
          <w:sz w:val="30"/>
          <w:szCs w:val="30"/>
        </w:rPr>
        <w:t>L Acker</w:t>
      </w:r>
    </w:p>
    <w:p w14:paraId="5ADCCE9F" w14:textId="3DB4AFA9" w:rsidR="00AE33A3" w:rsidRDefault="00575458" w:rsidP="002449A0">
      <w:pPr>
        <w:pStyle w:val="ListParagraph"/>
        <w:spacing w:line="276" w:lineRule="auto"/>
        <w:ind w:left="851"/>
        <w:rPr>
          <w:rFonts w:ascii="Times New Roman" w:hAnsi="Times New Roman" w:cs="Times New Roman"/>
          <w:sz w:val="30"/>
          <w:szCs w:val="30"/>
        </w:rPr>
      </w:pPr>
      <w:r>
        <w:rPr>
          <w:rFonts w:ascii="Times New Roman" w:hAnsi="Times New Roman" w:cs="Times New Roman"/>
          <w:sz w:val="30"/>
          <w:szCs w:val="30"/>
        </w:rPr>
        <w:t>ATTORNEY FOR APPLICANT:</w:t>
      </w:r>
      <w:r w:rsidR="007C75BF">
        <w:rPr>
          <w:rFonts w:ascii="Times New Roman" w:hAnsi="Times New Roman" w:cs="Times New Roman"/>
          <w:sz w:val="30"/>
          <w:szCs w:val="30"/>
        </w:rPr>
        <w:t xml:space="preserve"> Claassen Inc</w:t>
      </w:r>
      <w:r w:rsidR="006206F5">
        <w:rPr>
          <w:rFonts w:ascii="Times New Roman" w:hAnsi="Times New Roman" w:cs="Times New Roman"/>
          <w:sz w:val="30"/>
          <w:szCs w:val="30"/>
        </w:rPr>
        <w:t>. Attorneys</w:t>
      </w:r>
    </w:p>
    <w:p w14:paraId="66C32F33" w14:textId="77777777" w:rsidR="003D66D6" w:rsidRPr="002449A0" w:rsidRDefault="003D66D6" w:rsidP="002449A0">
      <w:pPr>
        <w:spacing w:line="276" w:lineRule="auto"/>
        <w:ind w:firstLine="0"/>
        <w:rPr>
          <w:sz w:val="30"/>
          <w:szCs w:val="30"/>
        </w:rPr>
      </w:pPr>
    </w:p>
    <w:p w14:paraId="597E1D3E" w14:textId="386494D3" w:rsidR="004E4914" w:rsidRDefault="004E4914" w:rsidP="002449A0">
      <w:pPr>
        <w:pStyle w:val="ListParagraph"/>
        <w:spacing w:line="276" w:lineRule="auto"/>
        <w:ind w:left="851"/>
        <w:rPr>
          <w:rFonts w:ascii="Times New Roman" w:hAnsi="Times New Roman" w:cs="Times New Roman"/>
          <w:sz w:val="30"/>
          <w:szCs w:val="30"/>
        </w:rPr>
      </w:pPr>
      <w:r w:rsidRPr="00AE33A3">
        <w:rPr>
          <w:rFonts w:ascii="Times New Roman" w:hAnsi="Times New Roman" w:cs="Times New Roman"/>
          <w:sz w:val="30"/>
          <w:szCs w:val="30"/>
        </w:rPr>
        <w:t xml:space="preserve">COUNSEL FOR </w:t>
      </w:r>
      <w:r>
        <w:rPr>
          <w:rFonts w:ascii="Times New Roman" w:hAnsi="Times New Roman" w:cs="Times New Roman"/>
          <w:sz w:val="30"/>
          <w:szCs w:val="30"/>
        </w:rPr>
        <w:t>RESPONDENT</w:t>
      </w:r>
      <w:r w:rsidR="00872C3C">
        <w:rPr>
          <w:rFonts w:ascii="Times New Roman" w:hAnsi="Times New Roman" w:cs="Times New Roman"/>
          <w:sz w:val="30"/>
          <w:szCs w:val="30"/>
        </w:rPr>
        <w:t>S</w:t>
      </w:r>
      <w:r w:rsidRPr="00AE33A3">
        <w:rPr>
          <w:rFonts w:ascii="Times New Roman" w:hAnsi="Times New Roman" w:cs="Times New Roman"/>
          <w:sz w:val="30"/>
          <w:szCs w:val="30"/>
        </w:rPr>
        <w:t>:</w:t>
      </w:r>
      <w:r w:rsidR="009B6617">
        <w:rPr>
          <w:rFonts w:ascii="Times New Roman" w:hAnsi="Times New Roman" w:cs="Times New Roman"/>
          <w:sz w:val="30"/>
          <w:szCs w:val="30"/>
        </w:rPr>
        <w:t xml:space="preserve"> </w:t>
      </w:r>
      <w:r w:rsidR="009B6617" w:rsidRPr="009B6617">
        <w:rPr>
          <w:rFonts w:ascii="Times New Roman" w:hAnsi="Times New Roman" w:cs="Times New Roman"/>
          <w:sz w:val="30"/>
          <w:szCs w:val="30"/>
        </w:rPr>
        <w:t xml:space="preserve">Adv </w:t>
      </w:r>
      <w:r w:rsidR="008C264F">
        <w:rPr>
          <w:rFonts w:ascii="Times New Roman" w:hAnsi="Times New Roman" w:cs="Times New Roman"/>
          <w:sz w:val="30"/>
          <w:szCs w:val="30"/>
        </w:rPr>
        <w:t>R. Maphutha</w:t>
      </w:r>
    </w:p>
    <w:p w14:paraId="5634C929" w14:textId="697D564E" w:rsidR="004E4914" w:rsidRDefault="004E4914" w:rsidP="002449A0">
      <w:pPr>
        <w:pStyle w:val="ListParagraph"/>
        <w:spacing w:line="276" w:lineRule="auto"/>
        <w:ind w:left="851"/>
        <w:rPr>
          <w:rFonts w:ascii="Times New Roman" w:hAnsi="Times New Roman" w:cs="Times New Roman"/>
          <w:sz w:val="30"/>
          <w:szCs w:val="30"/>
        </w:rPr>
      </w:pPr>
      <w:r>
        <w:rPr>
          <w:rFonts w:ascii="Times New Roman" w:hAnsi="Times New Roman" w:cs="Times New Roman"/>
          <w:sz w:val="30"/>
          <w:szCs w:val="30"/>
        </w:rPr>
        <w:t>ATTORNEY FOR</w:t>
      </w:r>
      <w:r w:rsidR="00872C3C">
        <w:rPr>
          <w:rFonts w:ascii="Times New Roman" w:hAnsi="Times New Roman" w:cs="Times New Roman"/>
          <w:sz w:val="30"/>
          <w:szCs w:val="30"/>
        </w:rPr>
        <w:t xml:space="preserve"> </w:t>
      </w:r>
      <w:r>
        <w:rPr>
          <w:rFonts w:ascii="Times New Roman" w:hAnsi="Times New Roman" w:cs="Times New Roman"/>
          <w:sz w:val="30"/>
          <w:szCs w:val="30"/>
        </w:rPr>
        <w:t>RESPONDENT:</w:t>
      </w:r>
      <w:r w:rsidR="006206F5">
        <w:rPr>
          <w:rFonts w:ascii="Times New Roman" w:hAnsi="Times New Roman" w:cs="Times New Roman"/>
          <w:sz w:val="30"/>
          <w:szCs w:val="30"/>
        </w:rPr>
        <w:t xml:space="preserve"> MSMM Attorneys</w:t>
      </w:r>
    </w:p>
    <w:p w14:paraId="5BCB146A" w14:textId="77777777" w:rsidR="003D66D6" w:rsidRDefault="003D66D6" w:rsidP="004E4914">
      <w:pPr>
        <w:pStyle w:val="ListParagraph"/>
        <w:spacing w:line="480" w:lineRule="auto"/>
        <w:ind w:left="851"/>
        <w:rPr>
          <w:rFonts w:ascii="Times New Roman" w:hAnsi="Times New Roman" w:cs="Times New Roman"/>
          <w:sz w:val="30"/>
          <w:szCs w:val="30"/>
        </w:rPr>
      </w:pPr>
    </w:p>
    <w:sectPr w:rsidR="003D66D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03705" w14:textId="77777777" w:rsidR="004352E6" w:rsidRDefault="004352E6" w:rsidP="004240F5">
      <w:pPr>
        <w:spacing w:after="0" w:line="240" w:lineRule="auto"/>
      </w:pPr>
      <w:r>
        <w:separator/>
      </w:r>
    </w:p>
  </w:endnote>
  <w:endnote w:type="continuationSeparator" w:id="0">
    <w:p w14:paraId="1246251B" w14:textId="77777777" w:rsidR="004352E6" w:rsidRDefault="004352E6" w:rsidP="00424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6635A" w14:textId="77777777" w:rsidR="004352E6" w:rsidRDefault="004352E6" w:rsidP="004240F5">
      <w:pPr>
        <w:spacing w:after="0" w:line="240" w:lineRule="auto"/>
      </w:pPr>
      <w:r>
        <w:separator/>
      </w:r>
    </w:p>
  </w:footnote>
  <w:footnote w:type="continuationSeparator" w:id="0">
    <w:p w14:paraId="37C53139" w14:textId="77777777" w:rsidR="004352E6" w:rsidRDefault="004352E6" w:rsidP="00424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B7519" w14:textId="01C1DD76" w:rsidR="004240F5" w:rsidRDefault="004240F5">
    <w:pPr>
      <w:pStyle w:val="Header"/>
    </w:pPr>
    <w:r>
      <w:tab/>
    </w:r>
    <w:r>
      <w:tab/>
    </w:r>
    <w:r>
      <w:rPr>
        <w:lang w:val="en-GB"/>
      </w:rPr>
      <w:t xml:space="preserve">Page </w:t>
    </w:r>
    <w:r>
      <w:rPr>
        <w:lang w:val="en-GB"/>
      </w:rPr>
      <w:fldChar w:fldCharType="begin"/>
    </w:r>
    <w:r>
      <w:rPr>
        <w:lang w:val="en-GB"/>
      </w:rPr>
      <w:instrText xml:space="preserve"> PAGE </w:instrText>
    </w:r>
    <w:r>
      <w:rPr>
        <w:lang w:val="en-GB"/>
      </w:rPr>
      <w:fldChar w:fldCharType="separate"/>
    </w:r>
    <w:r w:rsidR="00E83023">
      <w:rPr>
        <w:noProof/>
        <w:lang w:val="en-GB"/>
      </w:rPr>
      <w:t>4</w:t>
    </w:r>
    <w:r>
      <w:rPr>
        <w:lang w:val="en-GB"/>
      </w:rPr>
      <w:fldChar w:fldCharType="end"/>
    </w:r>
    <w:r>
      <w:rPr>
        <w:lang w:val="en-GB"/>
      </w:rPr>
      <w:t xml:space="preserve"> of </w:t>
    </w:r>
    <w:r>
      <w:rPr>
        <w:lang w:val="en-GB"/>
      </w:rPr>
      <w:fldChar w:fldCharType="begin"/>
    </w:r>
    <w:r>
      <w:rPr>
        <w:lang w:val="en-GB"/>
      </w:rPr>
      <w:instrText xml:space="preserve"> NUMPAGES </w:instrText>
    </w:r>
    <w:r>
      <w:rPr>
        <w:lang w:val="en-GB"/>
      </w:rPr>
      <w:fldChar w:fldCharType="separate"/>
    </w:r>
    <w:r w:rsidR="00E83023">
      <w:rPr>
        <w:noProof/>
        <w:lang w:val="en-GB"/>
      </w:rPr>
      <w:t>9</w:t>
    </w:r>
    <w:r>
      <w:rPr>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2CE8"/>
    <w:multiLevelType w:val="multilevel"/>
    <w:tmpl w:val="6A243EB4"/>
    <w:lvl w:ilvl="0">
      <w:start w:val="1"/>
      <w:numFmt w:val="decimal"/>
      <w:lvlText w:val="%1."/>
      <w:lvlJc w:val="left"/>
      <w:pPr>
        <w:ind w:left="851" w:hanging="851"/>
      </w:pPr>
      <w:rPr>
        <w:rFonts w:ascii="Times New Roman" w:hAnsi="Times New Roman" w:cs="Times New Roman" w:hint="default"/>
        <w:b w:val="0"/>
        <w:i w:val="0"/>
        <w:sz w:val="24"/>
      </w:rPr>
    </w:lvl>
    <w:lvl w:ilvl="1">
      <w:start w:val="1"/>
      <w:numFmt w:val="decimal"/>
      <w:lvlText w:val="%1.%2."/>
      <w:lvlJc w:val="left"/>
      <w:pPr>
        <w:tabs>
          <w:tab w:val="num" w:pos="1418"/>
        </w:tabs>
        <w:ind w:left="1418" w:hanging="1418"/>
      </w:pPr>
      <w:rPr>
        <w:rFonts w:ascii="Times New Roman" w:hAnsi="Times New Roman" w:cs="Times New Roman" w:hint="default"/>
        <w:b w:val="0"/>
        <w:i w:val="0"/>
        <w:sz w:val="24"/>
      </w:rPr>
    </w:lvl>
    <w:lvl w:ilvl="2">
      <w:start w:val="1"/>
      <w:numFmt w:val="decimal"/>
      <w:lvlText w:val="%1.%2.%3."/>
      <w:lvlJc w:val="left"/>
      <w:pPr>
        <w:tabs>
          <w:tab w:val="num" w:pos="1985"/>
        </w:tabs>
        <w:ind w:left="1985" w:hanging="1985"/>
      </w:pPr>
      <w:rPr>
        <w:rFonts w:hint="default"/>
      </w:rPr>
    </w:lvl>
    <w:lvl w:ilvl="3">
      <w:start w:val="1"/>
      <w:numFmt w:val="decimal"/>
      <w:lvlText w:val="%1.%2.%3.%4."/>
      <w:lvlJc w:val="left"/>
      <w:pPr>
        <w:tabs>
          <w:tab w:val="num" w:pos="2552"/>
        </w:tabs>
        <w:ind w:left="2552" w:hanging="2552"/>
      </w:pPr>
      <w:rPr>
        <w:rFonts w:hint="default"/>
      </w:rPr>
    </w:lvl>
    <w:lvl w:ilvl="4">
      <w:start w:val="1"/>
      <w:numFmt w:val="decimal"/>
      <w:lvlText w:val="%1.%2.%3.%4.%5."/>
      <w:lvlJc w:val="left"/>
      <w:pPr>
        <w:tabs>
          <w:tab w:val="num" w:pos="3119"/>
        </w:tabs>
        <w:ind w:left="3119" w:hanging="3119"/>
      </w:pPr>
      <w:rPr>
        <w:rFonts w:hint="default"/>
      </w:rPr>
    </w:lvl>
    <w:lvl w:ilvl="5">
      <w:start w:val="1"/>
      <w:numFmt w:val="decimal"/>
      <w:lvlText w:val="%1.%2.%3.%4.%5.%6."/>
      <w:lvlJc w:val="left"/>
      <w:pPr>
        <w:tabs>
          <w:tab w:val="num" w:pos="3686"/>
        </w:tabs>
        <w:ind w:left="3686" w:hanging="3686"/>
      </w:pPr>
      <w:rPr>
        <w:rFonts w:hint="default"/>
      </w:rPr>
    </w:lvl>
    <w:lvl w:ilvl="6">
      <w:start w:val="1"/>
      <w:numFmt w:val="decimal"/>
      <w:lvlText w:val="%1.%2.%3.%4.%5.%6.%7."/>
      <w:lvlJc w:val="left"/>
      <w:pPr>
        <w:tabs>
          <w:tab w:val="num" w:pos="4253"/>
        </w:tabs>
        <w:ind w:left="4253" w:hanging="4253"/>
      </w:pPr>
      <w:rPr>
        <w:rFonts w:hint="default"/>
      </w:rPr>
    </w:lvl>
    <w:lvl w:ilvl="7">
      <w:start w:val="1"/>
      <w:numFmt w:val="decimal"/>
      <w:lvlText w:val="%1.%2.%3.%4.%5.%6.%7.%8."/>
      <w:lvlJc w:val="left"/>
      <w:pPr>
        <w:tabs>
          <w:tab w:val="num" w:pos="4820"/>
        </w:tabs>
        <w:ind w:left="4820" w:hanging="4820"/>
      </w:pPr>
      <w:rPr>
        <w:rFonts w:hint="default"/>
      </w:rPr>
    </w:lvl>
    <w:lvl w:ilvl="8">
      <w:start w:val="1"/>
      <w:numFmt w:val="decimal"/>
      <w:lvlText w:val="%1.%2.%3.%4.%5.%6.%7.%8.%9."/>
      <w:lvlJc w:val="left"/>
      <w:pPr>
        <w:tabs>
          <w:tab w:val="num" w:pos="5387"/>
        </w:tabs>
        <w:ind w:left="5387" w:hanging="5387"/>
      </w:pPr>
      <w:rPr>
        <w:rFonts w:hint="default"/>
      </w:rPr>
    </w:lvl>
  </w:abstractNum>
  <w:abstractNum w:abstractNumId="1" w15:restartNumberingAfterBreak="0">
    <w:nsid w:val="642401C8"/>
    <w:multiLevelType w:val="hybridMultilevel"/>
    <w:tmpl w:val="2C004D28"/>
    <w:lvl w:ilvl="0" w:tplc="87EABF6C">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A099F8">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5EEC56">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41DCC">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28AB6">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2D8B6">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A2E7C">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E5EB6">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6639C">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0E"/>
    <w:rsid w:val="0002752C"/>
    <w:rsid w:val="00042EAA"/>
    <w:rsid w:val="000629D7"/>
    <w:rsid w:val="00067169"/>
    <w:rsid w:val="00085146"/>
    <w:rsid w:val="000A3F90"/>
    <w:rsid w:val="000A7FB0"/>
    <w:rsid w:val="000D52ED"/>
    <w:rsid w:val="001312A8"/>
    <w:rsid w:val="00143C4A"/>
    <w:rsid w:val="00151B0F"/>
    <w:rsid w:val="001527CC"/>
    <w:rsid w:val="00190F5E"/>
    <w:rsid w:val="00192277"/>
    <w:rsid w:val="001D2591"/>
    <w:rsid w:val="001F5083"/>
    <w:rsid w:val="00211C6B"/>
    <w:rsid w:val="00224B44"/>
    <w:rsid w:val="00242EAB"/>
    <w:rsid w:val="002449A0"/>
    <w:rsid w:val="00245192"/>
    <w:rsid w:val="00252708"/>
    <w:rsid w:val="00255626"/>
    <w:rsid w:val="00266234"/>
    <w:rsid w:val="0027407C"/>
    <w:rsid w:val="0028548E"/>
    <w:rsid w:val="00291E5C"/>
    <w:rsid w:val="00317E0D"/>
    <w:rsid w:val="00334722"/>
    <w:rsid w:val="0034442B"/>
    <w:rsid w:val="00374333"/>
    <w:rsid w:val="003B2E6E"/>
    <w:rsid w:val="003C64D1"/>
    <w:rsid w:val="003D66D6"/>
    <w:rsid w:val="004240F5"/>
    <w:rsid w:val="004260B4"/>
    <w:rsid w:val="00433BD0"/>
    <w:rsid w:val="00434DF8"/>
    <w:rsid w:val="004352E6"/>
    <w:rsid w:val="00435C38"/>
    <w:rsid w:val="00483ED2"/>
    <w:rsid w:val="00487EA0"/>
    <w:rsid w:val="00494274"/>
    <w:rsid w:val="004A244F"/>
    <w:rsid w:val="004C187A"/>
    <w:rsid w:val="004C7C52"/>
    <w:rsid w:val="004D6512"/>
    <w:rsid w:val="004E4914"/>
    <w:rsid w:val="004E7E2F"/>
    <w:rsid w:val="005025CD"/>
    <w:rsid w:val="00527F55"/>
    <w:rsid w:val="005300C7"/>
    <w:rsid w:val="00554685"/>
    <w:rsid w:val="00564963"/>
    <w:rsid w:val="00575458"/>
    <w:rsid w:val="005823FB"/>
    <w:rsid w:val="00582826"/>
    <w:rsid w:val="00584283"/>
    <w:rsid w:val="00587624"/>
    <w:rsid w:val="005A3B75"/>
    <w:rsid w:val="005B4BA0"/>
    <w:rsid w:val="005B5673"/>
    <w:rsid w:val="005C332E"/>
    <w:rsid w:val="005C37B4"/>
    <w:rsid w:val="005C413C"/>
    <w:rsid w:val="005D5CE8"/>
    <w:rsid w:val="006206F5"/>
    <w:rsid w:val="006474E6"/>
    <w:rsid w:val="00691CF7"/>
    <w:rsid w:val="006B4708"/>
    <w:rsid w:val="006E0C06"/>
    <w:rsid w:val="006F2DFA"/>
    <w:rsid w:val="006F3207"/>
    <w:rsid w:val="006F5D44"/>
    <w:rsid w:val="007021FA"/>
    <w:rsid w:val="007028BA"/>
    <w:rsid w:val="00710FCC"/>
    <w:rsid w:val="00717B7A"/>
    <w:rsid w:val="00726A72"/>
    <w:rsid w:val="00730DEC"/>
    <w:rsid w:val="007469E4"/>
    <w:rsid w:val="0075359A"/>
    <w:rsid w:val="00757C21"/>
    <w:rsid w:val="00773CA1"/>
    <w:rsid w:val="0079587C"/>
    <w:rsid w:val="007A1460"/>
    <w:rsid w:val="007B230E"/>
    <w:rsid w:val="007C75BF"/>
    <w:rsid w:val="007F0976"/>
    <w:rsid w:val="0080434B"/>
    <w:rsid w:val="00805A33"/>
    <w:rsid w:val="00813F51"/>
    <w:rsid w:val="00826F94"/>
    <w:rsid w:val="008279A2"/>
    <w:rsid w:val="00832932"/>
    <w:rsid w:val="00860826"/>
    <w:rsid w:val="00872C3C"/>
    <w:rsid w:val="008A5A4A"/>
    <w:rsid w:val="008B5978"/>
    <w:rsid w:val="008C264F"/>
    <w:rsid w:val="008D0DE0"/>
    <w:rsid w:val="008E7156"/>
    <w:rsid w:val="008F54A6"/>
    <w:rsid w:val="009012E9"/>
    <w:rsid w:val="00902CD2"/>
    <w:rsid w:val="00912BCB"/>
    <w:rsid w:val="009170FD"/>
    <w:rsid w:val="009255B8"/>
    <w:rsid w:val="0094190A"/>
    <w:rsid w:val="009432DE"/>
    <w:rsid w:val="00943C99"/>
    <w:rsid w:val="00944675"/>
    <w:rsid w:val="009545D1"/>
    <w:rsid w:val="00963269"/>
    <w:rsid w:val="00965C75"/>
    <w:rsid w:val="00981ABF"/>
    <w:rsid w:val="00987FFC"/>
    <w:rsid w:val="009940D5"/>
    <w:rsid w:val="00996FAD"/>
    <w:rsid w:val="009973A7"/>
    <w:rsid w:val="009A7949"/>
    <w:rsid w:val="009B016E"/>
    <w:rsid w:val="009B6617"/>
    <w:rsid w:val="009C5D92"/>
    <w:rsid w:val="009C6A66"/>
    <w:rsid w:val="009D1DBF"/>
    <w:rsid w:val="009D5196"/>
    <w:rsid w:val="009D60E3"/>
    <w:rsid w:val="009D7F47"/>
    <w:rsid w:val="009F33A8"/>
    <w:rsid w:val="009F716F"/>
    <w:rsid w:val="00A03FA4"/>
    <w:rsid w:val="00A06C3B"/>
    <w:rsid w:val="00A25554"/>
    <w:rsid w:val="00A33918"/>
    <w:rsid w:val="00A3690A"/>
    <w:rsid w:val="00A370BF"/>
    <w:rsid w:val="00A66DEE"/>
    <w:rsid w:val="00A77272"/>
    <w:rsid w:val="00A830C8"/>
    <w:rsid w:val="00AA020E"/>
    <w:rsid w:val="00AB0BBC"/>
    <w:rsid w:val="00AE33A3"/>
    <w:rsid w:val="00AF7B2D"/>
    <w:rsid w:val="00B265CA"/>
    <w:rsid w:val="00B606BD"/>
    <w:rsid w:val="00BA22AE"/>
    <w:rsid w:val="00BA2944"/>
    <w:rsid w:val="00BA4C95"/>
    <w:rsid w:val="00BB2E5D"/>
    <w:rsid w:val="00BE1562"/>
    <w:rsid w:val="00C131F5"/>
    <w:rsid w:val="00C3264A"/>
    <w:rsid w:val="00C448FA"/>
    <w:rsid w:val="00C470C3"/>
    <w:rsid w:val="00C52511"/>
    <w:rsid w:val="00C83A94"/>
    <w:rsid w:val="00C977C4"/>
    <w:rsid w:val="00C97D7D"/>
    <w:rsid w:val="00CA7568"/>
    <w:rsid w:val="00CC7D8C"/>
    <w:rsid w:val="00CD63DF"/>
    <w:rsid w:val="00CE075C"/>
    <w:rsid w:val="00CF0285"/>
    <w:rsid w:val="00CF0FA7"/>
    <w:rsid w:val="00D10633"/>
    <w:rsid w:val="00D2481C"/>
    <w:rsid w:val="00D459CF"/>
    <w:rsid w:val="00D523B8"/>
    <w:rsid w:val="00D557D0"/>
    <w:rsid w:val="00D603AD"/>
    <w:rsid w:val="00D80468"/>
    <w:rsid w:val="00D853C4"/>
    <w:rsid w:val="00D9093D"/>
    <w:rsid w:val="00D9164A"/>
    <w:rsid w:val="00DC4634"/>
    <w:rsid w:val="00DD03F1"/>
    <w:rsid w:val="00DE6F6D"/>
    <w:rsid w:val="00DF0D2F"/>
    <w:rsid w:val="00E04BD1"/>
    <w:rsid w:val="00E140F1"/>
    <w:rsid w:val="00E25D43"/>
    <w:rsid w:val="00E334B9"/>
    <w:rsid w:val="00E37723"/>
    <w:rsid w:val="00E508F3"/>
    <w:rsid w:val="00E62B81"/>
    <w:rsid w:val="00E716EB"/>
    <w:rsid w:val="00E83023"/>
    <w:rsid w:val="00E90A2F"/>
    <w:rsid w:val="00E966C4"/>
    <w:rsid w:val="00EA1809"/>
    <w:rsid w:val="00EA70CE"/>
    <w:rsid w:val="00EB5FD6"/>
    <w:rsid w:val="00EB64A5"/>
    <w:rsid w:val="00EC1746"/>
    <w:rsid w:val="00EF02E3"/>
    <w:rsid w:val="00F00CAD"/>
    <w:rsid w:val="00F07382"/>
    <w:rsid w:val="00F22EC1"/>
    <w:rsid w:val="00F33E47"/>
    <w:rsid w:val="00F35406"/>
    <w:rsid w:val="00F86087"/>
    <w:rsid w:val="00FA2ACF"/>
    <w:rsid w:val="00FA5DB9"/>
    <w:rsid w:val="00FA6EF1"/>
    <w:rsid w:val="00FB39E2"/>
    <w:rsid w:val="00FB77E0"/>
    <w:rsid w:val="00FC3CE9"/>
    <w:rsid w:val="00FC5AA2"/>
    <w:rsid w:val="00FC6F10"/>
    <w:rsid w:val="00FD5321"/>
    <w:rsid w:val="00FE56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FA86"/>
  <w15:chartTrackingRefBased/>
  <w15:docId w15:val="{74FCFDD6-A6C5-4C79-ABE8-7A1297AE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20E"/>
    <w:pPr>
      <w:spacing w:after="368" w:line="379" w:lineRule="auto"/>
      <w:ind w:right="38" w:firstLine="9"/>
      <w:jc w:val="both"/>
    </w:pPr>
    <w:rPr>
      <w:rFonts w:ascii="Times New Roman" w:eastAsia="Times New Roman" w:hAnsi="Times New Roman" w:cs="Times New Roman"/>
      <w:color w:val="000000"/>
      <w:sz w:val="2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A020E"/>
    <w:pPr>
      <w:spacing w:after="0" w:line="240" w:lineRule="auto"/>
    </w:pPr>
    <w:rPr>
      <w:rFonts w:eastAsiaTheme="minorEastAsia"/>
      <w:lang w:eastAsia="en-ZA"/>
    </w:rPr>
    <w:tblPr>
      <w:tblCellMar>
        <w:top w:w="0" w:type="dxa"/>
        <w:left w:w="0" w:type="dxa"/>
        <w:bottom w:w="0" w:type="dxa"/>
        <w:right w:w="0" w:type="dxa"/>
      </w:tblCellMar>
    </w:tblPr>
  </w:style>
  <w:style w:type="paragraph" w:styleId="ListParagraph">
    <w:name w:val="List Paragraph"/>
    <w:basedOn w:val="Normal"/>
    <w:uiPriority w:val="34"/>
    <w:qFormat/>
    <w:rsid w:val="00AA020E"/>
    <w:pPr>
      <w:spacing w:after="0" w:line="240" w:lineRule="auto"/>
      <w:ind w:left="720" w:right="0" w:firstLine="0"/>
      <w:contextualSpacing/>
      <w:jc w:val="left"/>
    </w:pPr>
    <w:rPr>
      <w:rFonts w:asciiTheme="minorHAnsi" w:eastAsiaTheme="minorHAnsi" w:hAnsiTheme="minorHAnsi" w:cstheme="minorBidi"/>
      <w:color w:val="auto"/>
      <w:sz w:val="24"/>
      <w:szCs w:val="24"/>
      <w:lang w:val="en-GB" w:eastAsia="en-US"/>
    </w:rPr>
  </w:style>
  <w:style w:type="paragraph" w:styleId="Header">
    <w:name w:val="header"/>
    <w:basedOn w:val="Normal"/>
    <w:link w:val="HeaderChar"/>
    <w:uiPriority w:val="99"/>
    <w:unhideWhenUsed/>
    <w:rsid w:val="00424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0F5"/>
    <w:rPr>
      <w:rFonts w:ascii="Times New Roman" w:eastAsia="Times New Roman" w:hAnsi="Times New Roman" w:cs="Times New Roman"/>
      <w:color w:val="000000"/>
      <w:sz w:val="26"/>
      <w:lang w:eastAsia="en-ZA"/>
    </w:rPr>
  </w:style>
  <w:style w:type="paragraph" w:styleId="Footer">
    <w:name w:val="footer"/>
    <w:basedOn w:val="Normal"/>
    <w:link w:val="FooterChar"/>
    <w:uiPriority w:val="99"/>
    <w:unhideWhenUsed/>
    <w:rsid w:val="00424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0F5"/>
    <w:rPr>
      <w:rFonts w:ascii="Times New Roman" w:eastAsia="Times New Roman" w:hAnsi="Times New Roman" w:cs="Times New Roman"/>
      <w:color w:val="000000"/>
      <w:sz w:val="2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Ross</dc:creator>
  <cp:keywords/>
  <dc:description/>
  <cp:lastModifiedBy>Lazarus Rakgwale</cp:lastModifiedBy>
  <cp:revision>2</cp:revision>
  <dcterms:created xsi:type="dcterms:W3CDTF">2023-01-04T06:59:00Z</dcterms:created>
  <dcterms:modified xsi:type="dcterms:W3CDTF">2023-01-04T06:59:00Z</dcterms:modified>
</cp:coreProperties>
</file>