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C8CBE" w14:textId="576C74A6" w:rsidR="00E162DF" w:rsidRPr="00E162DF" w:rsidRDefault="00E162DF" w:rsidP="00E162DF">
      <w:pPr>
        <w:rPr>
          <w:color w:val="FF0000"/>
          <w:sz w:val="24"/>
          <w:u w:val="single"/>
        </w:rPr>
      </w:pPr>
      <w:r>
        <w:rPr>
          <w:rFonts w:ascii="Arial" w:hAnsi="Arial" w:cs="Arial"/>
          <w:color w:val="FF0000"/>
        </w:rPr>
        <w:t>Editorial note: Certain information has been redacted from this judgment in compliance with the law.</w:t>
      </w:r>
    </w:p>
    <w:p w14:paraId="7E18FEE7" w14:textId="76B8FBB0" w:rsidR="00AA020E" w:rsidRPr="00AA020E" w:rsidRDefault="00AA020E" w:rsidP="00AA020E">
      <w:pPr>
        <w:spacing w:after="125" w:line="265" w:lineRule="auto"/>
        <w:ind w:left="130" w:right="0" w:hanging="10"/>
        <w:jc w:val="center"/>
      </w:pPr>
      <w:r w:rsidRPr="00AA020E">
        <w:rPr>
          <w:sz w:val="30"/>
        </w:rPr>
        <w:t>IN THE HIGH COURT OF SOUTH AFRICA</w:t>
      </w:r>
    </w:p>
    <w:p w14:paraId="1FF7E745" w14:textId="1C950A04" w:rsidR="00AA020E" w:rsidRPr="00AA020E" w:rsidRDefault="00AA020E" w:rsidP="00AA020E">
      <w:pPr>
        <w:spacing w:after="380" w:line="265" w:lineRule="auto"/>
        <w:ind w:left="130" w:right="10" w:hanging="10"/>
        <w:jc w:val="center"/>
      </w:pPr>
      <w:r w:rsidRPr="00AA020E">
        <w:rPr>
          <w:noProof/>
        </w:rPr>
        <w:drawing>
          <wp:anchor distT="0" distB="0" distL="114300" distR="114300" simplePos="0" relativeHeight="251656192" behindDoc="0" locked="0" layoutInCell="1" allowOverlap="1" wp14:anchorId="59E0ED91" wp14:editId="1CAE0E07">
            <wp:simplePos x="0" y="0"/>
            <wp:positionH relativeFrom="margin">
              <wp:align>center</wp:align>
            </wp:positionH>
            <wp:positionV relativeFrom="paragraph">
              <wp:posOffset>425450</wp:posOffset>
            </wp:positionV>
            <wp:extent cx="935799" cy="1008984"/>
            <wp:effectExtent l="0" t="0" r="0" b="1270"/>
            <wp:wrapSquare wrapText="bothSides"/>
            <wp:docPr id="912"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799" cy="1008984"/>
                    </a:xfrm>
                    <a:prstGeom prst="rect">
                      <a:avLst/>
                    </a:prstGeom>
                  </pic:spPr>
                </pic:pic>
              </a:graphicData>
            </a:graphic>
          </wp:anchor>
        </w:drawing>
      </w:r>
      <w:r w:rsidRPr="00AA020E">
        <w:rPr>
          <w:sz w:val="30"/>
        </w:rPr>
        <w:t>GAUTENG LOCAL DIVISION, JOHANNESBURG</w:t>
      </w:r>
    </w:p>
    <w:p w14:paraId="72659ECB" w14:textId="1C68CCDC" w:rsidR="00813F51" w:rsidRPr="00AA020E" w:rsidRDefault="00813F51"/>
    <w:p w14:paraId="7B87E19F" w14:textId="7703778F" w:rsidR="00AA020E" w:rsidRPr="00AA020E" w:rsidRDefault="00AA020E"/>
    <w:p w14:paraId="7950D7BF" w14:textId="51417B49" w:rsidR="00AA020E" w:rsidRPr="00757C21" w:rsidRDefault="00E03901" w:rsidP="00AA020E">
      <w:pPr>
        <w:spacing w:after="5" w:line="259" w:lineRule="auto"/>
        <w:ind w:left="2501" w:firstLine="720"/>
        <w:jc w:val="center"/>
        <w:rPr>
          <w:sz w:val="28"/>
          <w:szCs w:val="28"/>
        </w:rPr>
      </w:pPr>
      <w:r>
        <w:rPr>
          <w:sz w:val="28"/>
          <w:szCs w:val="28"/>
        </w:rPr>
        <w:t xml:space="preserve">         </w:t>
      </w:r>
      <w:r w:rsidR="00AA020E" w:rsidRPr="00757C21">
        <w:rPr>
          <w:sz w:val="28"/>
          <w:szCs w:val="28"/>
        </w:rPr>
        <w:t xml:space="preserve">Case number: </w:t>
      </w:r>
      <w:r>
        <w:rPr>
          <w:sz w:val="28"/>
          <w:szCs w:val="28"/>
        </w:rPr>
        <w:t xml:space="preserve">20/2814   </w:t>
      </w:r>
    </w:p>
    <w:p w14:paraId="2D71B904" w14:textId="71A1C0D5" w:rsidR="00AA020E" w:rsidRPr="00757C21" w:rsidRDefault="00AA020E" w:rsidP="00AA020E">
      <w:pPr>
        <w:spacing w:after="45" w:line="259" w:lineRule="auto"/>
        <w:ind w:left="10" w:hanging="10"/>
        <w:jc w:val="center"/>
        <w:rPr>
          <w:sz w:val="28"/>
          <w:szCs w:val="28"/>
        </w:rPr>
      </w:pPr>
      <w:r w:rsidRPr="00757C21">
        <w:rPr>
          <w:sz w:val="28"/>
          <w:szCs w:val="28"/>
        </w:rPr>
        <w:t xml:space="preserve">                                        </w:t>
      </w:r>
      <w:r w:rsidR="00E03901">
        <w:rPr>
          <w:sz w:val="28"/>
          <w:szCs w:val="28"/>
        </w:rPr>
        <w:t xml:space="preserve">   </w:t>
      </w:r>
      <w:r w:rsidR="00470795">
        <w:rPr>
          <w:sz w:val="28"/>
          <w:szCs w:val="28"/>
        </w:rPr>
        <w:tab/>
      </w:r>
      <w:r w:rsidR="00470795">
        <w:rPr>
          <w:sz w:val="28"/>
          <w:szCs w:val="28"/>
        </w:rPr>
        <w:tab/>
      </w:r>
      <w:r w:rsidRPr="00757C21">
        <w:rPr>
          <w:sz w:val="28"/>
          <w:szCs w:val="28"/>
        </w:rPr>
        <w:t xml:space="preserve">  Date of hearing:</w:t>
      </w:r>
      <w:r w:rsidR="00470795">
        <w:rPr>
          <w:sz w:val="28"/>
          <w:szCs w:val="28"/>
        </w:rPr>
        <w:t xml:space="preserve"> 24/10/2022 </w:t>
      </w:r>
    </w:p>
    <w:p w14:paraId="7ED3A764" w14:textId="200BBCBC" w:rsidR="00AA020E" w:rsidRPr="00757C21" w:rsidRDefault="00AA020E" w:rsidP="00AA020E">
      <w:pPr>
        <w:spacing w:after="184" w:line="259" w:lineRule="auto"/>
        <w:ind w:left="10" w:hanging="10"/>
        <w:jc w:val="center"/>
        <w:rPr>
          <w:sz w:val="28"/>
          <w:szCs w:val="28"/>
        </w:rPr>
      </w:pPr>
      <w:r w:rsidRPr="00757C21">
        <w:rPr>
          <w:sz w:val="28"/>
          <w:szCs w:val="28"/>
        </w:rPr>
        <w:t xml:space="preserve">                                           </w:t>
      </w:r>
      <w:r w:rsidR="00DF0F04">
        <w:rPr>
          <w:sz w:val="28"/>
          <w:szCs w:val="28"/>
        </w:rPr>
        <w:t xml:space="preserve">                   </w:t>
      </w:r>
      <w:r w:rsidRPr="00757C21">
        <w:rPr>
          <w:sz w:val="28"/>
          <w:szCs w:val="28"/>
        </w:rPr>
        <w:t xml:space="preserve">Date delivered: </w:t>
      </w:r>
      <w:r w:rsidR="00DF0F04">
        <w:rPr>
          <w:sz w:val="28"/>
          <w:szCs w:val="28"/>
        </w:rPr>
        <w:t>12/12/2022</w:t>
      </w:r>
    </w:p>
    <w:p w14:paraId="55AEE471" w14:textId="317E9A6B" w:rsidR="00AA020E" w:rsidRPr="00AA020E" w:rsidRDefault="00AA020E" w:rsidP="00AA020E">
      <w:pPr>
        <w:spacing w:after="184" w:line="259" w:lineRule="auto"/>
        <w:ind w:left="10" w:hanging="10"/>
        <w:jc w:val="center"/>
        <w:rPr>
          <w:sz w:val="28"/>
        </w:rPr>
      </w:pPr>
    </w:p>
    <w:tbl>
      <w:tblPr>
        <w:tblStyle w:val="TableGrid"/>
        <w:tblW w:w="4987" w:type="dxa"/>
        <w:tblInd w:w="-170" w:type="dxa"/>
        <w:tblCellMar>
          <w:left w:w="122" w:type="dxa"/>
          <w:right w:w="115" w:type="dxa"/>
        </w:tblCellMar>
        <w:tblLook w:val="04A0" w:firstRow="1" w:lastRow="0" w:firstColumn="1" w:lastColumn="0" w:noHBand="0" w:noVBand="1"/>
      </w:tblPr>
      <w:tblGrid>
        <w:gridCol w:w="4987"/>
      </w:tblGrid>
      <w:tr w:rsidR="00AA020E" w:rsidRPr="00AA020E" w14:paraId="5186D4B2" w14:textId="77777777" w:rsidTr="007028BA">
        <w:trPr>
          <w:trHeight w:val="2473"/>
        </w:trPr>
        <w:tc>
          <w:tcPr>
            <w:tcW w:w="4987" w:type="dxa"/>
            <w:tcBorders>
              <w:top w:val="single" w:sz="2" w:space="0" w:color="000000"/>
              <w:left w:val="single" w:sz="2" w:space="0" w:color="000000"/>
              <w:bottom w:val="single" w:sz="2" w:space="0" w:color="000000"/>
              <w:right w:val="single" w:sz="2" w:space="0" w:color="000000"/>
            </w:tcBorders>
            <w:vAlign w:val="center"/>
          </w:tcPr>
          <w:p w14:paraId="138D8DE3" w14:textId="55016F9C" w:rsidR="00AA020E" w:rsidRPr="00AA020E" w:rsidRDefault="00E966C4" w:rsidP="00120F65">
            <w:pPr>
              <w:spacing w:after="0" w:line="259" w:lineRule="auto"/>
              <w:ind w:left="14" w:right="0" w:firstLine="0"/>
              <w:jc w:val="left"/>
            </w:pPr>
            <w:r>
              <w:rPr>
                <w:sz w:val="20"/>
              </w:rPr>
              <w:t xml:space="preserve">         </w:t>
            </w:r>
            <w:r w:rsidR="00AA020E" w:rsidRPr="00AA020E">
              <w:rPr>
                <w:sz w:val="20"/>
              </w:rPr>
              <w:t>DELETE WHICHEVER IS NOT APPLICABLE</w:t>
            </w:r>
          </w:p>
          <w:p w14:paraId="3888EADF" w14:textId="4CA8B85B" w:rsidR="00AA020E" w:rsidRPr="00AA020E" w:rsidRDefault="002D5A13" w:rsidP="002D5A13">
            <w:pPr>
              <w:spacing w:after="0" w:line="259" w:lineRule="auto"/>
              <w:ind w:left="447" w:right="0" w:hanging="851"/>
              <w:jc w:val="left"/>
            </w:pPr>
            <w:r w:rsidRPr="00AA020E">
              <w:rPr>
                <w:sz w:val="24"/>
                <w:szCs w:val="24"/>
                <w:u w:color="000000"/>
              </w:rPr>
              <w:t>(1)</w:t>
            </w:r>
            <w:r w:rsidRPr="00AA020E">
              <w:rPr>
                <w:sz w:val="24"/>
                <w:szCs w:val="24"/>
                <w:u w:color="000000"/>
              </w:rPr>
              <w:tab/>
            </w:r>
            <w:r w:rsidR="00AA020E" w:rsidRPr="00AA020E">
              <w:rPr>
                <w:sz w:val="22"/>
              </w:rPr>
              <w:t xml:space="preserve">REPORTABLE: </w:t>
            </w:r>
            <w:r w:rsidR="00AA020E" w:rsidRPr="00E22579">
              <w:rPr>
                <w:strike/>
                <w:sz w:val="22"/>
              </w:rPr>
              <w:t>YES</w:t>
            </w:r>
            <w:r w:rsidR="00AA020E" w:rsidRPr="00AA020E">
              <w:rPr>
                <w:sz w:val="22"/>
              </w:rPr>
              <w:t>/NO</w:t>
            </w:r>
          </w:p>
          <w:p w14:paraId="77A749B2" w14:textId="31956DF9" w:rsidR="00AA020E" w:rsidRPr="007028BA" w:rsidRDefault="002D5A13" w:rsidP="002D5A13">
            <w:pPr>
              <w:spacing w:after="0" w:line="259" w:lineRule="auto"/>
              <w:ind w:left="447" w:right="0" w:hanging="851"/>
              <w:jc w:val="left"/>
              <w:rPr>
                <w:sz w:val="22"/>
              </w:rPr>
            </w:pPr>
            <w:r w:rsidRPr="007028BA">
              <w:rPr>
                <w:sz w:val="24"/>
                <w:szCs w:val="24"/>
                <w:u w:color="000000"/>
              </w:rPr>
              <w:t>(2)</w:t>
            </w:r>
            <w:r w:rsidRPr="007028BA">
              <w:rPr>
                <w:sz w:val="24"/>
                <w:szCs w:val="24"/>
                <w:u w:color="000000"/>
              </w:rPr>
              <w:tab/>
            </w:r>
            <w:r w:rsidR="00AA020E" w:rsidRPr="007028BA">
              <w:rPr>
                <w:sz w:val="22"/>
              </w:rPr>
              <w:t xml:space="preserve">OF INTEREST TO OTHER JUDGES: </w:t>
            </w:r>
            <w:r w:rsidR="00AA020E" w:rsidRPr="00DF0F04">
              <w:rPr>
                <w:strike/>
                <w:sz w:val="22"/>
              </w:rPr>
              <w:t>YES</w:t>
            </w:r>
            <w:r w:rsidR="00AA020E" w:rsidRPr="007028BA">
              <w:rPr>
                <w:sz w:val="22"/>
              </w:rPr>
              <w:t>/NO</w:t>
            </w:r>
          </w:p>
          <w:p w14:paraId="67C325F3" w14:textId="1B694C00" w:rsidR="00AA020E" w:rsidRPr="007028BA" w:rsidRDefault="002D5A13" w:rsidP="002D5A13">
            <w:pPr>
              <w:spacing w:after="231" w:line="259" w:lineRule="auto"/>
              <w:ind w:left="447" w:right="0" w:hanging="851"/>
              <w:jc w:val="left"/>
              <w:rPr>
                <w:sz w:val="22"/>
              </w:rPr>
            </w:pPr>
            <w:r w:rsidRPr="007028BA">
              <w:rPr>
                <w:sz w:val="24"/>
                <w:szCs w:val="24"/>
                <w:u w:color="000000"/>
              </w:rPr>
              <w:t>(3)</w:t>
            </w:r>
            <w:r w:rsidRPr="007028BA">
              <w:rPr>
                <w:sz w:val="24"/>
                <w:szCs w:val="24"/>
                <w:u w:color="000000"/>
              </w:rPr>
              <w:tab/>
            </w:r>
            <w:r w:rsidR="00AA020E" w:rsidRPr="007028BA">
              <w:rPr>
                <w:sz w:val="22"/>
              </w:rPr>
              <w:t>REVISED</w:t>
            </w:r>
          </w:p>
          <w:p w14:paraId="4493D7E2" w14:textId="17947D12" w:rsidR="00AA020E" w:rsidRPr="007028BA" w:rsidRDefault="007028BA" w:rsidP="00120F65">
            <w:pPr>
              <w:spacing w:after="0" w:line="259" w:lineRule="auto"/>
              <w:ind w:right="104" w:firstLine="0"/>
              <w:jc w:val="left"/>
              <w:rPr>
                <w:sz w:val="22"/>
              </w:rPr>
            </w:pPr>
            <w:r>
              <w:rPr>
                <w:rFonts w:eastAsia="Calibri"/>
                <w:sz w:val="22"/>
              </w:rPr>
              <w:t xml:space="preserve">       </w:t>
            </w:r>
            <w:r w:rsidR="00AA020E" w:rsidRPr="007028BA">
              <w:rPr>
                <w:rFonts w:eastAsia="Calibri"/>
                <w:sz w:val="22"/>
              </w:rPr>
              <w:t>.</w:t>
            </w:r>
            <w:r w:rsidR="00DF0F04">
              <w:rPr>
                <w:rFonts w:eastAsia="Calibri"/>
                <w:sz w:val="22"/>
              </w:rPr>
              <w:t>12</w:t>
            </w:r>
            <w:r w:rsidR="00E22579">
              <w:rPr>
                <w:rFonts w:eastAsia="Calibri"/>
                <w:sz w:val="22"/>
              </w:rPr>
              <w:t>/12/2022</w:t>
            </w:r>
            <w:r w:rsidR="00DF0F04">
              <w:rPr>
                <w:rFonts w:eastAsia="Calibri"/>
                <w:sz w:val="22"/>
              </w:rPr>
              <w:t xml:space="preserve">.              </w:t>
            </w:r>
            <w:r w:rsidR="00E966C4">
              <w:rPr>
                <w:rFonts w:eastAsia="Calibri"/>
                <w:sz w:val="22"/>
              </w:rPr>
              <w:t>..........................</w:t>
            </w:r>
          </w:p>
          <w:p w14:paraId="76CDD58F" w14:textId="77777777" w:rsidR="00AA020E" w:rsidRPr="00AA020E" w:rsidRDefault="00AA020E" w:rsidP="00120F65">
            <w:pPr>
              <w:spacing w:after="0" w:line="259" w:lineRule="auto"/>
              <w:ind w:left="413" w:right="104" w:firstLine="0"/>
              <w:jc w:val="left"/>
            </w:pPr>
            <w:r w:rsidRPr="007028BA">
              <w:rPr>
                <w:sz w:val="22"/>
              </w:rPr>
              <w:t>DATE                      SIGNATURE</w:t>
            </w:r>
          </w:p>
        </w:tc>
      </w:tr>
    </w:tbl>
    <w:p w14:paraId="4B4E155D" w14:textId="3E1D6D3A" w:rsidR="00AA020E" w:rsidRPr="00AA020E" w:rsidRDefault="00AA020E" w:rsidP="00AA020E">
      <w:pPr>
        <w:spacing w:after="184" w:line="259" w:lineRule="auto"/>
        <w:ind w:firstLine="0"/>
        <w:jc w:val="left"/>
        <w:rPr>
          <w:sz w:val="28"/>
        </w:rPr>
      </w:pPr>
    </w:p>
    <w:p w14:paraId="13316332" w14:textId="77777777" w:rsidR="00AA020E" w:rsidRPr="009D5196" w:rsidRDefault="00AA020E" w:rsidP="00AA020E">
      <w:pPr>
        <w:tabs>
          <w:tab w:val="right" w:pos="9072"/>
        </w:tabs>
        <w:spacing w:line="360" w:lineRule="auto"/>
        <w:rPr>
          <w:rFonts w:eastAsia="Calibri"/>
          <w:sz w:val="30"/>
          <w:szCs w:val="30"/>
        </w:rPr>
      </w:pPr>
      <w:r w:rsidRPr="009D5196">
        <w:rPr>
          <w:rFonts w:eastAsia="Calibri"/>
          <w:sz w:val="30"/>
          <w:szCs w:val="30"/>
        </w:rPr>
        <w:t>In the matter between:</w:t>
      </w:r>
    </w:p>
    <w:p w14:paraId="572B9B67" w14:textId="44506EDD" w:rsidR="00AA020E" w:rsidRDefault="00E03901" w:rsidP="00AA020E">
      <w:pPr>
        <w:tabs>
          <w:tab w:val="right" w:pos="9072"/>
        </w:tabs>
        <w:rPr>
          <w:rFonts w:eastAsia="Calibri"/>
          <w:sz w:val="30"/>
          <w:szCs w:val="30"/>
        </w:rPr>
      </w:pPr>
      <w:r>
        <w:rPr>
          <w:rFonts w:eastAsia="Calibri"/>
          <w:bCs/>
          <w:sz w:val="30"/>
          <w:szCs w:val="30"/>
        </w:rPr>
        <w:t>ANGLOWEALTH SHARIAH (PTY)</w:t>
      </w:r>
      <w:r w:rsidR="009D5196" w:rsidRPr="009D5196">
        <w:rPr>
          <w:rFonts w:eastAsia="Calibri"/>
          <w:bCs/>
          <w:sz w:val="30"/>
          <w:szCs w:val="30"/>
        </w:rPr>
        <w:t xml:space="preserve"> </w:t>
      </w:r>
      <w:r>
        <w:rPr>
          <w:rFonts w:eastAsia="Calibri"/>
          <w:bCs/>
          <w:sz w:val="30"/>
          <w:szCs w:val="30"/>
        </w:rPr>
        <w:t>LTD</w:t>
      </w:r>
      <w:r w:rsidR="00AA020E" w:rsidRPr="009D5196">
        <w:rPr>
          <w:rFonts w:eastAsia="Calibri"/>
          <w:b/>
          <w:sz w:val="30"/>
          <w:szCs w:val="30"/>
        </w:rPr>
        <w:tab/>
      </w:r>
      <w:r w:rsidR="00AA020E" w:rsidRPr="009D5196">
        <w:rPr>
          <w:rFonts w:eastAsia="Calibri"/>
          <w:sz w:val="30"/>
          <w:szCs w:val="30"/>
        </w:rPr>
        <w:t xml:space="preserve">Applicant </w:t>
      </w:r>
    </w:p>
    <w:p w14:paraId="5CB9DB77" w14:textId="43ED222F" w:rsidR="00E03901" w:rsidRPr="009D5196" w:rsidRDefault="00E03901" w:rsidP="00AA020E">
      <w:pPr>
        <w:tabs>
          <w:tab w:val="right" w:pos="9072"/>
        </w:tabs>
        <w:rPr>
          <w:rFonts w:eastAsia="Calibri"/>
          <w:sz w:val="30"/>
          <w:szCs w:val="30"/>
        </w:rPr>
      </w:pPr>
      <w:r>
        <w:rPr>
          <w:rFonts w:eastAsia="Calibri"/>
          <w:sz w:val="30"/>
          <w:szCs w:val="30"/>
        </w:rPr>
        <w:t>[Reg No</w:t>
      </w:r>
      <w:r w:rsidR="005C21AE">
        <w:rPr>
          <w:rFonts w:eastAsia="Calibri"/>
          <w:sz w:val="30"/>
          <w:szCs w:val="30"/>
        </w:rPr>
        <w:t>. 2013/126289/07</w:t>
      </w:r>
      <w:r>
        <w:rPr>
          <w:rFonts w:eastAsia="Calibri"/>
          <w:sz w:val="30"/>
          <w:szCs w:val="30"/>
        </w:rPr>
        <w:t>]</w:t>
      </w:r>
    </w:p>
    <w:p w14:paraId="286A9183" w14:textId="77777777" w:rsidR="00AA020E" w:rsidRPr="009D5196" w:rsidRDefault="00AA020E" w:rsidP="00AA020E">
      <w:pPr>
        <w:tabs>
          <w:tab w:val="right" w:pos="9072"/>
        </w:tabs>
        <w:spacing w:line="360" w:lineRule="auto"/>
        <w:rPr>
          <w:rFonts w:eastAsia="Calibri"/>
          <w:sz w:val="30"/>
          <w:szCs w:val="30"/>
        </w:rPr>
      </w:pPr>
      <w:r w:rsidRPr="009D5196">
        <w:rPr>
          <w:rFonts w:eastAsia="Calibri"/>
          <w:sz w:val="30"/>
          <w:szCs w:val="30"/>
        </w:rPr>
        <w:t>and</w:t>
      </w:r>
    </w:p>
    <w:p w14:paraId="5D21B572" w14:textId="45842DD1" w:rsidR="00AA020E" w:rsidRDefault="005C21AE" w:rsidP="00591986">
      <w:pPr>
        <w:tabs>
          <w:tab w:val="right" w:pos="9072"/>
        </w:tabs>
        <w:jc w:val="center"/>
        <w:rPr>
          <w:rFonts w:eastAsia="Calibri"/>
          <w:sz w:val="30"/>
          <w:szCs w:val="30"/>
        </w:rPr>
      </w:pPr>
      <w:r>
        <w:rPr>
          <w:rFonts w:eastAsia="Calibri"/>
          <w:bCs/>
          <w:sz w:val="30"/>
          <w:szCs w:val="30"/>
        </w:rPr>
        <w:t>HUSSAI</w:t>
      </w:r>
      <w:r w:rsidR="00591986">
        <w:rPr>
          <w:rFonts w:eastAsia="Calibri"/>
          <w:bCs/>
          <w:sz w:val="30"/>
          <w:szCs w:val="30"/>
        </w:rPr>
        <w:t>N ALI ADAM</w:t>
      </w:r>
      <w:r w:rsidR="00AA020E" w:rsidRPr="009D5196">
        <w:rPr>
          <w:rFonts w:eastAsia="Calibri"/>
          <w:sz w:val="30"/>
          <w:szCs w:val="30"/>
        </w:rPr>
        <w:tab/>
      </w:r>
      <w:r w:rsidR="009D5196">
        <w:rPr>
          <w:rFonts w:eastAsia="Calibri"/>
          <w:sz w:val="30"/>
          <w:szCs w:val="30"/>
        </w:rPr>
        <w:t>1</w:t>
      </w:r>
      <w:r w:rsidR="009D5196" w:rsidRPr="009D5196">
        <w:rPr>
          <w:rFonts w:eastAsia="Calibri"/>
          <w:sz w:val="30"/>
          <w:szCs w:val="30"/>
          <w:vertAlign w:val="superscript"/>
        </w:rPr>
        <w:t>st</w:t>
      </w:r>
      <w:r w:rsidR="009D5196">
        <w:rPr>
          <w:rFonts w:eastAsia="Calibri"/>
          <w:sz w:val="30"/>
          <w:szCs w:val="30"/>
        </w:rPr>
        <w:t xml:space="preserve"> </w:t>
      </w:r>
      <w:r w:rsidR="00AA020E" w:rsidRPr="009D5196">
        <w:rPr>
          <w:rFonts w:eastAsia="Calibri"/>
          <w:sz w:val="30"/>
          <w:szCs w:val="30"/>
        </w:rPr>
        <w:t>Respondent</w:t>
      </w:r>
    </w:p>
    <w:p w14:paraId="11B23C16" w14:textId="77777777" w:rsidR="00A11A68" w:rsidRDefault="00377E88" w:rsidP="00377E88">
      <w:pPr>
        <w:tabs>
          <w:tab w:val="right" w:pos="9072"/>
        </w:tabs>
        <w:jc w:val="left"/>
        <w:rPr>
          <w:rFonts w:eastAsia="Calibri"/>
          <w:sz w:val="30"/>
          <w:szCs w:val="30"/>
        </w:rPr>
      </w:pPr>
      <w:r>
        <w:rPr>
          <w:rFonts w:eastAsia="Calibri"/>
          <w:sz w:val="30"/>
          <w:szCs w:val="30"/>
        </w:rPr>
        <w:t>[Identity Number:</w:t>
      </w:r>
      <w:r w:rsidR="002C52FE">
        <w:rPr>
          <w:rFonts w:eastAsia="Calibri"/>
          <w:sz w:val="30"/>
          <w:szCs w:val="30"/>
        </w:rPr>
        <w:t xml:space="preserve"> </w:t>
      </w:r>
      <w:r w:rsidR="00E9237D">
        <w:rPr>
          <w:rFonts w:eastAsia="Calibri"/>
          <w:sz w:val="30"/>
          <w:szCs w:val="30"/>
        </w:rPr>
        <w:t>[…]</w:t>
      </w:r>
    </w:p>
    <w:p w14:paraId="7ADE94A5" w14:textId="5EE1A636" w:rsidR="00591986" w:rsidRDefault="00377E88" w:rsidP="00377E88">
      <w:pPr>
        <w:tabs>
          <w:tab w:val="right" w:pos="9072"/>
        </w:tabs>
        <w:jc w:val="left"/>
        <w:rPr>
          <w:rFonts w:eastAsia="Calibri"/>
          <w:sz w:val="30"/>
          <w:szCs w:val="30"/>
        </w:rPr>
      </w:pPr>
      <w:bookmarkStart w:id="0" w:name="_GoBack"/>
      <w:bookmarkEnd w:id="0"/>
      <w:r>
        <w:rPr>
          <w:rFonts w:eastAsia="Calibri"/>
          <w:sz w:val="30"/>
          <w:szCs w:val="30"/>
        </w:rPr>
        <w:lastRenderedPageBreak/>
        <w:t>]</w:t>
      </w:r>
    </w:p>
    <w:p w14:paraId="1A931712" w14:textId="5D2300C5" w:rsidR="008A5334" w:rsidRPr="00591986" w:rsidRDefault="008A5334" w:rsidP="00377E88">
      <w:pPr>
        <w:tabs>
          <w:tab w:val="right" w:pos="9072"/>
        </w:tabs>
        <w:jc w:val="left"/>
        <w:rPr>
          <w:rFonts w:eastAsia="Calibri"/>
          <w:bCs/>
          <w:sz w:val="30"/>
          <w:szCs w:val="30"/>
        </w:rPr>
      </w:pPr>
      <w:r>
        <w:rPr>
          <w:rFonts w:eastAsia="Calibri"/>
          <w:sz w:val="30"/>
          <w:szCs w:val="30"/>
        </w:rPr>
        <w:t>Married by Islamic rites, to</w:t>
      </w:r>
    </w:p>
    <w:p w14:paraId="02BC4628" w14:textId="6A869792" w:rsidR="009D5196" w:rsidRPr="009D5196" w:rsidRDefault="008A5334" w:rsidP="008A5334">
      <w:pPr>
        <w:tabs>
          <w:tab w:val="right" w:pos="9072"/>
        </w:tabs>
        <w:jc w:val="center"/>
        <w:rPr>
          <w:rFonts w:eastAsia="Calibri"/>
          <w:sz w:val="30"/>
          <w:szCs w:val="30"/>
        </w:rPr>
      </w:pPr>
      <w:r>
        <w:rPr>
          <w:rFonts w:eastAsia="Calibri"/>
          <w:bCs/>
          <w:sz w:val="30"/>
          <w:szCs w:val="30"/>
        </w:rPr>
        <w:t>SHENAAZ ADAM</w:t>
      </w:r>
      <w:r w:rsidR="009D5196" w:rsidRPr="009D5196">
        <w:rPr>
          <w:rFonts w:eastAsia="Calibri"/>
          <w:sz w:val="30"/>
          <w:szCs w:val="30"/>
        </w:rPr>
        <w:tab/>
      </w:r>
      <w:r w:rsidR="00717B7A">
        <w:rPr>
          <w:rFonts w:eastAsia="Calibri"/>
          <w:sz w:val="30"/>
          <w:szCs w:val="30"/>
        </w:rPr>
        <w:t>2</w:t>
      </w:r>
      <w:r w:rsidR="00717B7A" w:rsidRPr="00717B7A">
        <w:rPr>
          <w:rFonts w:eastAsia="Calibri"/>
          <w:sz w:val="30"/>
          <w:szCs w:val="30"/>
          <w:vertAlign w:val="superscript"/>
        </w:rPr>
        <w:t>nd</w:t>
      </w:r>
      <w:r w:rsidR="00717B7A">
        <w:rPr>
          <w:rFonts w:eastAsia="Calibri"/>
          <w:sz w:val="30"/>
          <w:szCs w:val="30"/>
        </w:rPr>
        <w:t xml:space="preserve"> </w:t>
      </w:r>
      <w:r w:rsidR="009D5196" w:rsidRPr="009D5196">
        <w:rPr>
          <w:rFonts w:eastAsia="Calibri"/>
          <w:sz w:val="30"/>
          <w:szCs w:val="30"/>
        </w:rPr>
        <w:t>Respondent</w:t>
      </w:r>
    </w:p>
    <w:p w14:paraId="5F279E17" w14:textId="70445F8D" w:rsidR="00AA020E" w:rsidRPr="009D5196" w:rsidRDefault="009D5196" w:rsidP="009D5196">
      <w:pPr>
        <w:tabs>
          <w:tab w:val="right" w:pos="9072"/>
        </w:tabs>
        <w:spacing w:after="0" w:line="480" w:lineRule="auto"/>
        <w:ind w:right="40" w:firstLine="11"/>
        <w:jc w:val="center"/>
        <w:rPr>
          <w:rFonts w:eastAsia="Calibri"/>
          <w:b/>
          <w:sz w:val="30"/>
          <w:szCs w:val="30"/>
        </w:rPr>
      </w:pPr>
      <w:r w:rsidRPr="009D5196">
        <w:rPr>
          <w:rFonts w:eastAsia="Calibri"/>
          <w:b/>
          <w:sz w:val="30"/>
          <w:szCs w:val="30"/>
        </w:rPr>
        <w:t>___________________________________________________________</w:t>
      </w:r>
    </w:p>
    <w:p w14:paraId="7BFF70E6" w14:textId="5DABED58" w:rsidR="009D5196" w:rsidRPr="009D5196" w:rsidRDefault="00AA020E" w:rsidP="009D5196">
      <w:pPr>
        <w:tabs>
          <w:tab w:val="right" w:pos="9072"/>
        </w:tabs>
        <w:spacing w:after="0" w:line="480" w:lineRule="auto"/>
        <w:ind w:right="40" w:firstLine="11"/>
        <w:jc w:val="center"/>
        <w:rPr>
          <w:rFonts w:eastAsia="Calibri"/>
          <w:bCs/>
          <w:sz w:val="30"/>
          <w:szCs w:val="30"/>
        </w:rPr>
      </w:pPr>
      <w:r w:rsidRPr="009D5196">
        <w:rPr>
          <w:bCs/>
          <w:sz w:val="30"/>
          <w:szCs w:val="30"/>
        </w:rPr>
        <w:t>JUDGMENT</w:t>
      </w:r>
    </w:p>
    <w:p w14:paraId="0CE51F24" w14:textId="77777777" w:rsidR="009D5196" w:rsidRPr="009D5196" w:rsidRDefault="009D5196" w:rsidP="009D5196">
      <w:pPr>
        <w:tabs>
          <w:tab w:val="right" w:pos="9072"/>
        </w:tabs>
        <w:jc w:val="center"/>
        <w:rPr>
          <w:rFonts w:eastAsia="Calibri"/>
          <w:b/>
          <w:sz w:val="30"/>
          <w:szCs w:val="30"/>
        </w:rPr>
      </w:pPr>
      <w:r w:rsidRPr="009D5196">
        <w:rPr>
          <w:rFonts w:eastAsia="Calibri"/>
          <w:b/>
          <w:sz w:val="30"/>
          <w:szCs w:val="30"/>
        </w:rPr>
        <w:t>___________________________________________________________</w:t>
      </w:r>
    </w:p>
    <w:p w14:paraId="00DD4FCC" w14:textId="77777777" w:rsidR="00AA020E" w:rsidRPr="00AA020E" w:rsidRDefault="00AA020E" w:rsidP="00AA020E">
      <w:pPr>
        <w:pStyle w:val="ListParagraph"/>
        <w:spacing w:line="360" w:lineRule="auto"/>
        <w:ind w:left="0"/>
        <w:jc w:val="center"/>
        <w:rPr>
          <w:rFonts w:ascii="Times New Roman" w:hAnsi="Times New Roman" w:cs="Times New Roman"/>
          <w:b/>
        </w:rPr>
      </w:pPr>
    </w:p>
    <w:p w14:paraId="454AEE05" w14:textId="62FE7719" w:rsidR="00AA020E" w:rsidRDefault="00AA020E" w:rsidP="009D5196">
      <w:pPr>
        <w:pStyle w:val="ListParagraph"/>
        <w:spacing w:line="480" w:lineRule="auto"/>
        <w:ind w:left="0" w:firstLine="720"/>
        <w:jc w:val="both"/>
        <w:rPr>
          <w:rFonts w:ascii="Times New Roman" w:hAnsi="Times New Roman" w:cs="Times New Roman"/>
          <w:b/>
          <w:sz w:val="26"/>
          <w:szCs w:val="26"/>
        </w:rPr>
      </w:pPr>
      <w:r w:rsidRPr="009D5196">
        <w:rPr>
          <w:rFonts w:ascii="Times New Roman" w:hAnsi="Times New Roman" w:cs="Times New Roman"/>
          <w:b/>
          <w:sz w:val="26"/>
          <w:szCs w:val="26"/>
        </w:rPr>
        <w:t>KEMACK AJ:</w:t>
      </w:r>
    </w:p>
    <w:p w14:paraId="572BE2C1" w14:textId="77777777" w:rsidR="00340D42" w:rsidRPr="009D5196" w:rsidRDefault="00340D42" w:rsidP="009D5196">
      <w:pPr>
        <w:pStyle w:val="ListParagraph"/>
        <w:spacing w:line="480" w:lineRule="auto"/>
        <w:ind w:left="0" w:firstLine="720"/>
        <w:jc w:val="both"/>
        <w:rPr>
          <w:rFonts w:ascii="Times New Roman" w:hAnsi="Times New Roman" w:cs="Times New Roman"/>
          <w:b/>
          <w:sz w:val="26"/>
          <w:szCs w:val="26"/>
        </w:rPr>
      </w:pPr>
    </w:p>
    <w:p w14:paraId="7AA0D9D1" w14:textId="54B769F9" w:rsidR="00A83DB2" w:rsidRPr="002D5A13" w:rsidRDefault="002D5A13" w:rsidP="002D5A13">
      <w:pPr>
        <w:spacing w:line="480" w:lineRule="auto"/>
        <w:ind w:left="851" w:hanging="851"/>
      </w:pPr>
      <w:r>
        <w:rPr>
          <w:rFonts w:eastAsiaTheme="minorHAnsi"/>
          <w:color w:val="auto"/>
          <w:sz w:val="24"/>
          <w:szCs w:val="24"/>
          <w:lang w:val="en-GB" w:eastAsia="en-US"/>
        </w:rPr>
        <w:t>1.</w:t>
      </w:r>
      <w:r>
        <w:rPr>
          <w:rFonts w:eastAsiaTheme="minorHAnsi"/>
          <w:color w:val="auto"/>
          <w:sz w:val="24"/>
          <w:szCs w:val="24"/>
          <w:lang w:val="en-GB" w:eastAsia="en-US"/>
        </w:rPr>
        <w:tab/>
      </w:r>
      <w:r w:rsidR="00691CF7" w:rsidRPr="002D5A13">
        <w:t>The applicant</w:t>
      </w:r>
      <w:r w:rsidR="00492AF4" w:rsidRPr="002D5A13">
        <w:t xml:space="preserve"> applies for a final sequestration order </w:t>
      </w:r>
      <w:r w:rsidR="00A83DB2" w:rsidRPr="002D5A13">
        <w:t xml:space="preserve">against the first </w:t>
      </w:r>
      <w:r w:rsidR="00B67EB0" w:rsidRPr="002D5A13">
        <w:t>respondent</w:t>
      </w:r>
      <w:r w:rsidR="00DF0F04" w:rsidRPr="002D5A13">
        <w:t>,</w:t>
      </w:r>
      <w:r w:rsidR="00A83DB2" w:rsidRPr="002D5A13">
        <w:t xml:space="preserve"> his court, having issued a provisional sequestration order on 3 June 2022 returnable on 21 November 2022.  The second respondent is the first respondent’s spouse by Islamic rites.</w:t>
      </w:r>
    </w:p>
    <w:p w14:paraId="34A729D2" w14:textId="77777777" w:rsidR="00DF0F04" w:rsidRDefault="00DF0F04" w:rsidP="00DF0F04">
      <w:pPr>
        <w:pStyle w:val="ListParagraph"/>
        <w:spacing w:line="480" w:lineRule="auto"/>
        <w:ind w:left="851"/>
        <w:jc w:val="both"/>
        <w:rPr>
          <w:rFonts w:ascii="Times New Roman" w:hAnsi="Times New Roman" w:cs="Times New Roman"/>
        </w:rPr>
      </w:pPr>
    </w:p>
    <w:p w14:paraId="6D9D5C52" w14:textId="378FDE8F" w:rsidR="00A83DB2" w:rsidRPr="002D5A13" w:rsidRDefault="002D5A13" w:rsidP="002D5A13">
      <w:pPr>
        <w:spacing w:line="480" w:lineRule="auto"/>
        <w:ind w:left="851" w:hanging="851"/>
      </w:pPr>
      <w:r>
        <w:rPr>
          <w:rFonts w:eastAsiaTheme="minorHAnsi"/>
          <w:color w:val="auto"/>
          <w:sz w:val="24"/>
          <w:szCs w:val="24"/>
          <w:lang w:val="en-GB" w:eastAsia="en-US"/>
        </w:rPr>
        <w:t>2.</w:t>
      </w:r>
      <w:r>
        <w:rPr>
          <w:rFonts w:eastAsiaTheme="minorHAnsi"/>
          <w:color w:val="auto"/>
          <w:sz w:val="24"/>
          <w:szCs w:val="24"/>
          <w:lang w:val="en-GB" w:eastAsia="en-US"/>
        </w:rPr>
        <w:tab/>
      </w:r>
      <w:r w:rsidR="00A83DB2" w:rsidRPr="002D5A13">
        <w:t>The time initially allocated for the hearing of this matter was 14</w:t>
      </w:r>
      <w:r w:rsidR="00DF0F04" w:rsidRPr="002D5A13">
        <w:t>:00</w:t>
      </w:r>
      <w:r w:rsidR="00A83DB2" w:rsidRPr="002D5A13">
        <w:t xml:space="preserve"> on Tuesday 22 November 2022. Owing to an electricity blackout at that time, the court</w:t>
      </w:r>
      <w:r w:rsidR="00BD2C12" w:rsidRPr="002D5A13">
        <w:t>room</w:t>
      </w:r>
      <w:r w:rsidR="00A83DB2" w:rsidRPr="002D5A13">
        <w:t xml:space="preserve"> had </w:t>
      </w:r>
      <w:r w:rsidR="00BD2C12" w:rsidRPr="002D5A13">
        <w:t xml:space="preserve">neither </w:t>
      </w:r>
      <w:r w:rsidR="00A83DB2" w:rsidRPr="002D5A13">
        <w:t xml:space="preserve">lights </w:t>
      </w:r>
      <w:r w:rsidR="00BD2C12" w:rsidRPr="002D5A13">
        <w:t>n</w:t>
      </w:r>
      <w:r w:rsidR="00A83DB2" w:rsidRPr="002D5A13">
        <w:t xml:space="preserve">or the recording </w:t>
      </w:r>
      <w:r w:rsidR="00BD2C12" w:rsidRPr="002D5A13">
        <w:t xml:space="preserve">system. Counsel for both parties accordingly attended on the judge in chambers, and the application stood down for hearing on the morning of Thursday 24 November 2022. </w:t>
      </w:r>
    </w:p>
    <w:p w14:paraId="2902B75F" w14:textId="77777777" w:rsidR="00DF0F04" w:rsidRDefault="00DF0F04" w:rsidP="00DF0F04">
      <w:pPr>
        <w:pStyle w:val="ListParagraph"/>
        <w:spacing w:line="480" w:lineRule="auto"/>
        <w:ind w:left="851"/>
        <w:jc w:val="both"/>
        <w:rPr>
          <w:rFonts w:ascii="Times New Roman" w:hAnsi="Times New Roman" w:cs="Times New Roman"/>
        </w:rPr>
      </w:pPr>
    </w:p>
    <w:p w14:paraId="7900B283" w14:textId="5F009E3E" w:rsidR="00BD2C12" w:rsidRPr="002D5A13" w:rsidRDefault="002D5A13" w:rsidP="002D5A13">
      <w:pPr>
        <w:spacing w:line="480" w:lineRule="auto"/>
        <w:ind w:left="851" w:hanging="851"/>
      </w:pPr>
      <w:r>
        <w:rPr>
          <w:rFonts w:eastAsiaTheme="minorHAnsi"/>
          <w:color w:val="auto"/>
          <w:sz w:val="24"/>
          <w:szCs w:val="24"/>
          <w:lang w:val="en-GB" w:eastAsia="en-US"/>
        </w:rPr>
        <w:lastRenderedPageBreak/>
        <w:t>3.</w:t>
      </w:r>
      <w:r>
        <w:rPr>
          <w:rFonts w:eastAsiaTheme="minorHAnsi"/>
          <w:color w:val="auto"/>
          <w:sz w:val="24"/>
          <w:szCs w:val="24"/>
          <w:lang w:val="en-GB" w:eastAsia="en-US"/>
        </w:rPr>
        <w:tab/>
      </w:r>
      <w:r w:rsidR="00BD2C12" w:rsidRPr="002D5A13">
        <w:t xml:space="preserve">Section 12 of the Insolvency Act 24 of 1937 lays down the requirements for the granting of a final sequestration order. The court may sequestrate the </w:t>
      </w:r>
      <w:r w:rsidR="00B67EB0" w:rsidRPr="002D5A13">
        <w:t>estate</w:t>
      </w:r>
      <w:r w:rsidR="00BD2C12" w:rsidRPr="002D5A13">
        <w:t xml:space="preserve"> of the </w:t>
      </w:r>
      <w:r w:rsidR="00A75F22" w:rsidRPr="002D5A13">
        <w:t>debtor</w:t>
      </w:r>
      <w:r w:rsidR="00BD2C12" w:rsidRPr="002D5A13">
        <w:t xml:space="preserve"> if it is satisfied that the petitioning creditor has established against the debtor a liquidated claim for not less than R100, </w:t>
      </w:r>
      <w:r w:rsidR="00B67EB0" w:rsidRPr="002D5A13">
        <w:t>that</w:t>
      </w:r>
      <w:r w:rsidR="00BD2C12" w:rsidRPr="002D5A13">
        <w:t xml:space="preserve"> the </w:t>
      </w:r>
      <w:r w:rsidR="00A75F22" w:rsidRPr="002D5A13">
        <w:t>debtor</w:t>
      </w:r>
      <w:r w:rsidR="00BD2C12" w:rsidRPr="002D5A13">
        <w:t xml:space="preserve"> has committed an act of insolvency or is insolvent, and that there is reason to believe that it will be to the </w:t>
      </w:r>
      <w:r w:rsidR="00B67EB0" w:rsidRPr="002D5A13">
        <w:t>advance</w:t>
      </w:r>
      <w:r w:rsidR="00BD2C12" w:rsidRPr="002D5A13">
        <w:t xml:space="preserve"> of creditors of the </w:t>
      </w:r>
      <w:r w:rsidR="00B67EB0" w:rsidRPr="002D5A13">
        <w:t>debtor</w:t>
      </w:r>
      <w:r w:rsidR="00BD2C12" w:rsidRPr="002D5A13">
        <w:t xml:space="preserve"> if the debtor’s estate is sequestrated. The applicant is required to </w:t>
      </w:r>
      <w:r w:rsidR="00B67EB0" w:rsidRPr="002D5A13">
        <w:t>establish</w:t>
      </w:r>
      <w:r w:rsidR="00BD2C12" w:rsidRPr="002D5A13">
        <w:t xml:space="preserve"> all three of these requirements on a balance of probabilities.</w:t>
      </w:r>
    </w:p>
    <w:p w14:paraId="3216AD8C" w14:textId="77777777" w:rsidR="00DF0F04" w:rsidRDefault="00DF0F04" w:rsidP="00DF0F04">
      <w:pPr>
        <w:pStyle w:val="ListParagraph"/>
        <w:spacing w:line="480" w:lineRule="auto"/>
        <w:ind w:left="851"/>
        <w:jc w:val="both"/>
        <w:rPr>
          <w:rFonts w:ascii="Times New Roman" w:hAnsi="Times New Roman" w:cs="Times New Roman"/>
        </w:rPr>
      </w:pPr>
    </w:p>
    <w:p w14:paraId="0F75B8BA" w14:textId="58F0CED1" w:rsidR="00BD2C12" w:rsidRPr="002D5A13" w:rsidRDefault="002D5A13" w:rsidP="002D5A13">
      <w:pPr>
        <w:spacing w:line="480" w:lineRule="auto"/>
        <w:ind w:left="851" w:hanging="851"/>
      </w:pPr>
      <w:r>
        <w:rPr>
          <w:rFonts w:eastAsiaTheme="minorHAnsi"/>
          <w:color w:val="auto"/>
          <w:sz w:val="24"/>
          <w:szCs w:val="24"/>
          <w:lang w:val="en-GB" w:eastAsia="en-US"/>
        </w:rPr>
        <w:t>4.</w:t>
      </w:r>
      <w:r>
        <w:rPr>
          <w:rFonts w:eastAsiaTheme="minorHAnsi"/>
          <w:color w:val="auto"/>
          <w:sz w:val="24"/>
          <w:szCs w:val="24"/>
          <w:lang w:val="en-GB" w:eastAsia="en-US"/>
        </w:rPr>
        <w:tab/>
      </w:r>
      <w:r w:rsidR="00BD2C12" w:rsidRPr="002D5A13">
        <w:t>The applicant relies on two settlement agreements incorporating acknowledgements of liability to the applicant by the respondent</w:t>
      </w:r>
      <w:r w:rsidR="00DF0F04" w:rsidRPr="002D5A13">
        <w:t>,</w:t>
      </w:r>
      <w:r w:rsidR="00BD2C12" w:rsidRPr="002D5A13">
        <w:t xml:space="preserve"> in the total sum of R62,351,000 for which the first respondent is jointly and severally liable. Unless the first respondent shows either </w:t>
      </w:r>
      <w:r w:rsidR="00486CEF" w:rsidRPr="002D5A13">
        <w:t>that</w:t>
      </w:r>
      <w:r w:rsidR="00BD2C12" w:rsidRPr="002D5A13">
        <w:t xml:space="preserve"> this acknowledged indebtedness is unenforceable or that no amount in excess of R100 remains payable, the applicant has satisfied the first requirement for a final sequestration order. </w:t>
      </w:r>
    </w:p>
    <w:p w14:paraId="5BD0C401" w14:textId="77777777" w:rsidR="00DF0F04" w:rsidRDefault="00DF0F04" w:rsidP="00DF0F04">
      <w:pPr>
        <w:pStyle w:val="ListParagraph"/>
        <w:spacing w:line="480" w:lineRule="auto"/>
        <w:ind w:left="851"/>
        <w:jc w:val="both"/>
        <w:rPr>
          <w:rFonts w:ascii="Times New Roman" w:hAnsi="Times New Roman" w:cs="Times New Roman"/>
        </w:rPr>
      </w:pPr>
    </w:p>
    <w:p w14:paraId="0CD982CA" w14:textId="6C52D5A9" w:rsidR="00BD2C12" w:rsidRPr="002D5A13" w:rsidRDefault="002D5A13" w:rsidP="002D5A13">
      <w:pPr>
        <w:spacing w:line="480" w:lineRule="auto"/>
        <w:ind w:left="851" w:hanging="851"/>
      </w:pPr>
      <w:r>
        <w:rPr>
          <w:rFonts w:eastAsiaTheme="minorHAnsi"/>
          <w:color w:val="auto"/>
          <w:sz w:val="24"/>
          <w:szCs w:val="24"/>
          <w:lang w:val="en-GB" w:eastAsia="en-US"/>
        </w:rPr>
        <w:t>5.</w:t>
      </w:r>
      <w:r>
        <w:rPr>
          <w:rFonts w:eastAsiaTheme="minorHAnsi"/>
          <w:color w:val="auto"/>
          <w:sz w:val="24"/>
          <w:szCs w:val="24"/>
          <w:lang w:val="en-GB" w:eastAsia="en-US"/>
        </w:rPr>
        <w:tab/>
      </w:r>
      <w:r w:rsidR="00BD2C12" w:rsidRPr="002D5A13">
        <w:t xml:space="preserve">The applicant alleges that the first </w:t>
      </w:r>
      <w:r w:rsidR="00486CEF" w:rsidRPr="002D5A13">
        <w:t>respondent’s</w:t>
      </w:r>
      <w:r w:rsidR="00BD2C12" w:rsidRPr="002D5A13">
        <w:t xml:space="preserve"> liabilities substantially exceed his assets so that he is factually insolvent, and that he is commercially insolvent in that he is unable to pay his debts. The applicant also alleges that the </w:t>
      </w:r>
      <w:r w:rsidR="00486CEF" w:rsidRPr="002D5A13">
        <w:t>first respondent</w:t>
      </w:r>
      <w:r w:rsidR="00BD2C12" w:rsidRPr="002D5A13">
        <w:t xml:space="preserve"> has committed an act of insolvency under section 8(d) of the Insolvency Act, by removing or attempting to remove property with the intent </w:t>
      </w:r>
      <w:r w:rsidR="00BD2C12" w:rsidRPr="002D5A13">
        <w:lastRenderedPageBreak/>
        <w:t xml:space="preserve">to prejudice his creditors; and an act of insolvency under section 8(e) of the </w:t>
      </w:r>
      <w:r w:rsidR="00486CEF" w:rsidRPr="002D5A13">
        <w:t>Insolvency</w:t>
      </w:r>
      <w:r w:rsidR="00BD2C12" w:rsidRPr="002D5A13">
        <w:t xml:space="preserve"> Act by concluding the member’s interest </w:t>
      </w:r>
      <w:r w:rsidR="00486CEF" w:rsidRPr="002D5A13">
        <w:t>transfer</w:t>
      </w:r>
      <w:r w:rsidR="00BD2C12" w:rsidRPr="002D5A13">
        <w:t xml:space="preserve"> agreement (annexure “AF3” to the founding affidavit) with applicant’s member Shoa</w:t>
      </w:r>
      <w:r w:rsidR="00E96C14" w:rsidRPr="002D5A13">
        <w:t xml:space="preserve">yb Joosub. Unless materially disputed, these </w:t>
      </w:r>
      <w:r w:rsidR="00486CEF" w:rsidRPr="002D5A13">
        <w:t>allegations</w:t>
      </w:r>
      <w:r w:rsidR="00E96C14" w:rsidRPr="002D5A13">
        <w:t xml:space="preserve"> satisfy the second requirement for a final sequestration order.</w:t>
      </w:r>
    </w:p>
    <w:p w14:paraId="50A21E1B" w14:textId="77777777" w:rsidR="00DF0F04" w:rsidRDefault="00DF0F04" w:rsidP="00DF0F04">
      <w:pPr>
        <w:pStyle w:val="ListParagraph"/>
        <w:spacing w:line="480" w:lineRule="auto"/>
        <w:ind w:left="851"/>
        <w:jc w:val="both"/>
        <w:rPr>
          <w:rFonts w:ascii="Times New Roman" w:hAnsi="Times New Roman" w:cs="Times New Roman"/>
        </w:rPr>
      </w:pPr>
    </w:p>
    <w:p w14:paraId="090D7BA2" w14:textId="7806B740" w:rsidR="00DF0F04" w:rsidRPr="002D5A13" w:rsidRDefault="002D5A13" w:rsidP="002D5A13">
      <w:pPr>
        <w:spacing w:line="480" w:lineRule="auto"/>
        <w:ind w:left="851" w:hanging="851"/>
      </w:pPr>
      <w:r w:rsidRPr="00DF0F04">
        <w:rPr>
          <w:rFonts w:eastAsiaTheme="minorHAnsi"/>
          <w:color w:val="auto"/>
          <w:sz w:val="24"/>
          <w:szCs w:val="24"/>
          <w:lang w:val="en-GB" w:eastAsia="en-US"/>
        </w:rPr>
        <w:t>6.</w:t>
      </w:r>
      <w:r w:rsidRPr="00DF0F04">
        <w:rPr>
          <w:rFonts w:eastAsiaTheme="minorHAnsi"/>
          <w:color w:val="auto"/>
          <w:sz w:val="24"/>
          <w:szCs w:val="24"/>
          <w:lang w:val="en-GB" w:eastAsia="en-US"/>
        </w:rPr>
        <w:tab/>
      </w:r>
      <w:r w:rsidR="00E96C14" w:rsidRPr="002D5A13">
        <w:t xml:space="preserve">The applicant alleges that the first respondent </w:t>
      </w:r>
      <w:r w:rsidR="00486CEF" w:rsidRPr="002D5A13">
        <w:t>owns</w:t>
      </w:r>
      <w:r w:rsidR="00E96C14" w:rsidRPr="002D5A13">
        <w:t xml:space="preserve"> assets worth </w:t>
      </w:r>
      <w:r w:rsidR="00A75F22" w:rsidRPr="002D5A13">
        <w:t>approximately</w:t>
      </w:r>
      <w:r w:rsidR="00E96C14" w:rsidRPr="002D5A13">
        <w:t xml:space="preserve"> R25 million. The first respondent denies this value, and concedes owning a Golf GTi motor vehicle worth approximately R300,000 and a recoverable claim against one Fouzia Mokkada</w:t>
      </w:r>
      <w:r w:rsidR="00DF0F04" w:rsidRPr="002D5A13">
        <w:t>n</w:t>
      </w:r>
      <w:r w:rsidR="00E96C14" w:rsidRPr="002D5A13">
        <w:t xml:space="preserve"> for an amount no greater than R12 million. The court is satisfied that these amounts, together with the advantage of a trustee investigating the first respondent’s financial affairs satisfy the third </w:t>
      </w:r>
      <w:r w:rsidR="00486CEF" w:rsidRPr="002D5A13">
        <w:t>requirement</w:t>
      </w:r>
      <w:r w:rsidR="00E96C14" w:rsidRPr="002D5A13">
        <w:t xml:space="preserve"> of advantage to creditors if the first respondent’s estate is finally sequestrated.</w:t>
      </w:r>
    </w:p>
    <w:p w14:paraId="127D091E" w14:textId="77777777" w:rsidR="00DF0F04" w:rsidRDefault="00DF0F04" w:rsidP="00DF0F04">
      <w:pPr>
        <w:pStyle w:val="ListParagraph"/>
        <w:spacing w:line="480" w:lineRule="auto"/>
        <w:ind w:left="851"/>
        <w:jc w:val="both"/>
        <w:rPr>
          <w:rFonts w:ascii="Times New Roman" w:hAnsi="Times New Roman" w:cs="Times New Roman"/>
        </w:rPr>
      </w:pPr>
    </w:p>
    <w:p w14:paraId="02887F43" w14:textId="6FB4E280" w:rsidR="00E96C14" w:rsidRPr="002D5A13" w:rsidRDefault="002D5A13" w:rsidP="002D5A13">
      <w:pPr>
        <w:spacing w:line="480" w:lineRule="auto"/>
        <w:ind w:left="851" w:hanging="851"/>
      </w:pPr>
      <w:r>
        <w:rPr>
          <w:rFonts w:eastAsiaTheme="minorHAnsi"/>
          <w:color w:val="auto"/>
          <w:sz w:val="24"/>
          <w:szCs w:val="24"/>
          <w:lang w:val="en-GB" w:eastAsia="en-US"/>
        </w:rPr>
        <w:t>7.</w:t>
      </w:r>
      <w:r>
        <w:rPr>
          <w:rFonts w:eastAsiaTheme="minorHAnsi"/>
          <w:color w:val="auto"/>
          <w:sz w:val="24"/>
          <w:szCs w:val="24"/>
          <w:lang w:val="en-GB" w:eastAsia="en-US"/>
        </w:rPr>
        <w:tab/>
      </w:r>
      <w:r w:rsidR="00E96C14" w:rsidRPr="002D5A13">
        <w:t xml:space="preserve">The first respondent disputes the court’s jurisdiction on the </w:t>
      </w:r>
      <w:r w:rsidR="00486CEF" w:rsidRPr="002D5A13">
        <w:t>basis</w:t>
      </w:r>
      <w:r w:rsidR="00E96C14" w:rsidRPr="002D5A13">
        <w:t xml:space="preserve"> that he resides in </w:t>
      </w:r>
      <w:r w:rsidR="00486CEF" w:rsidRPr="002D5A13">
        <w:t>Pretoria</w:t>
      </w:r>
      <w:r w:rsidR="00E96C14" w:rsidRPr="002D5A13">
        <w:t xml:space="preserve"> and the seat of this court is in Johannesburg.</w:t>
      </w:r>
    </w:p>
    <w:p w14:paraId="0B68EF17" w14:textId="77777777" w:rsidR="00DF0F04" w:rsidRDefault="00DF0F04" w:rsidP="00DF0F04">
      <w:pPr>
        <w:pStyle w:val="ListParagraph"/>
        <w:spacing w:line="480" w:lineRule="auto"/>
        <w:ind w:left="851"/>
        <w:jc w:val="both"/>
        <w:rPr>
          <w:rFonts w:ascii="Times New Roman" w:hAnsi="Times New Roman" w:cs="Times New Roman"/>
        </w:rPr>
      </w:pPr>
    </w:p>
    <w:p w14:paraId="4148F651" w14:textId="16002D83" w:rsidR="00E96C14" w:rsidRPr="002D5A13" w:rsidRDefault="002D5A13" w:rsidP="002D5A13">
      <w:pPr>
        <w:spacing w:line="480" w:lineRule="auto"/>
        <w:ind w:left="851" w:hanging="851"/>
      </w:pPr>
      <w:r>
        <w:rPr>
          <w:rFonts w:eastAsiaTheme="minorHAnsi"/>
          <w:color w:val="auto"/>
          <w:sz w:val="24"/>
          <w:szCs w:val="24"/>
          <w:lang w:val="en-GB" w:eastAsia="en-US"/>
        </w:rPr>
        <w:t>8.</w:t>
      </w:r>
      <w:r>
        <w:rPr>
          <w:rFonts w:eastAsiaTheme="minorHAnsi"/>
          <w:color w:val="auto"/>
          <w:sz w:val="24"/>
          <w:szCs w:val="24"/>
          <w:lang w:val="en-GB" w:eastAsia="en-US"/>
        </w:rPr>
        <w:tab/>
      </w:r>
      <w:r w:rsidR="00E96C14" w:rsidRPr="002D5A13">
        <w:t>Th</w:t>
      </w:r>
      <w:r w:rsidR="00DF0F04" w:rsidRPr="002D5A13">
        <w:t>is</w:t>
      </w:r>
      <w:r w:rsidR="00E96C14" w:rsidRPr="002D5A13">
        <w:t xml:space="preserve"> jurisdictional defence cannot </w:t>
      </w:r>
      <w:r w:rsidR="00486CEF" w:rsidRPr="002D5A13">
        <w:t>succeed</w:t>
      </w:r>
      <w:r w:rsidR="00E96C14" w:rsidRPr="002D5A13">
        <w:t xml:space="preserve"> because the </w:t>
      </w:r>
      <w:r w:rsidR="00A75F22" w:rsidRPr="002D5A13">
        <w:t>Johannesburg</w:t>
      </w:r>
      <w:r w:rsidR="00E96C14" w:rsidRPr="002D5A13">
        <w:t xml:space="preserve"> High Court has </w:t>
      </w:r>
      <w:r w:rsidR="00DF0F04" w:rsidRPr="002D5A13">
        <w:t xml:space="preserve">had </w:t>
      </w:r>
      <w:r w:rsidR="00E96C14" w:rsidRPr="002D5A13">
        <w:t xml:space="preserve">concurrent jurisdiction with the Gauteng division in Pretoria since 15 January 2016, in terms of Government Notice 30 </w:t>
      </w:r>
      <w:r w:rsidR="00486CEF" w:rsidRPr="002D5A13">
        <w:t>published</w:t>
      </w:r>
      <w:r w:rsidR="00E96C14" w:rsidRPr="002D5A13">
        <w:t xml:space="preserve"> on that date in Government Gazette 39601. The notice deals with determination of </w:t>
      </w:r>
      <w:r w:rsidR="00E96C14" w:rsidRPr="002D5A13">
        <w:lastRenderedPageBreak/>
        <w:t xml:space="preserve">areas under the </w:t>
      </w:r>
      <w:r w:rsidR="00E35A60" w:rsidRPr="002D5A13">
        <w:t>Jurisdi</w:t>
      </w:r>
      <w:r w:rsidR="00E96C14" w:rsidRPr="002D5A13">
        <w:t xml:space="preserve">ction </w:t>
      </w:r>
      <w:r w:rsidR="00486CEF" w:rsidRPr="002D5A13">
        <w:t>Division</w:t>
      </w:r>
      <w:r w:rsidR="00DF0F04" w:rsidRPr="002D5A13">
        <w:t>s</w:t>
      </w:r>
      <w:r w:rsidR="00E96C14" w:rsidRPr="002D5A13">
        <w:t xml:space="preserve"> of the High Court of South Africa </w:t>
      </w:r>
      <w:r w:rsidR="00665130" w:rsidRPr="002D5A13">
        <w:t xml:space="preserve">and </w:t>
      </w:r>
      <w:r w:rsidR="00665130" w:rsidRPr="002D5A13">
        <w:rPr>
          <w:i/>
          <w:iCs/>
        </w:rPr>
        <w:t>inter alia</w:t>
      </w:r>
      <w:r w:rsidR="00665130" w:rsidRPr="002D5A13">
        <w:t xml:space="preserve"> states in respect of the Johannesburg High Court “</w:t>
      </w:r>
      <w:r w:rsidR="00665130" w:rsidRPr="002D5A13">
        <w:rPr>
          <w:i/>
          <w:iCs/>
        </w:rPr>
        <w:t xml:space="preserve">The local seat has concurrent </w:t>
      </w:r>
      <w:r w:rsidR="00486CEF" w:rsidRPr="002D5A13">
        <w:rPr>
          <w:i/>
          <w:iCs/>
        </w:rPr>
        <w:t>jurisdiction</w:t>
      </w:r>
      <w:r w:rsidR="00665130" w:rsidRPr="002D5A13">
        <w:rPr>
          <w:i/>
          <w:iCs/>
        </w:rPr>
        <w:t xml:space="preserve"> with the main seat until such time that the area of jurisdiction of the local seat is determined in terms of section 6(3)(c) of the Superior Courts Act, 2013</w:t>
      </w:r>
      <w:r w:rsidR="00665130" w:rsidRPr="002D5A13">
        <w:t xml:space="preserve">”. Such a determination has not yet </w:t>
      </w:r>
      <w:r w:rsidR="00DF0F04" w:rsidRPr="002D5A13">
        <w:t>occurred,</w:t>
      </w:r>
      <w:r w:rsidR="00665130" w:rsidRPr="002D5A13">
        <w:t xml:space="preserve"> and the Johannesburg and Pretoria High Courts have concurrent jurisdiction.</w:t>
      </w:r>
    </w:p>
    <w:p w14:paraId="45355835" w14:textId="77777777" w:rsidR="00DF0F04" w:rsidRDefault="00DF0F04" w:rsidP="00DF0F04">
      <w:pPr>
        <w:pStyle w:val="ListParagraph"/>
        <w:spacing w:line="480" w:lineRule="auto"/>
        <w:ind w:left="851"/>
        <w:jc w:val="both"/>
        <w:rPr>
          <w:rFonts w:ascii="Times New Roman" w:hAnsi="Times New Roman" w:cs="Times New Roman"/>
        </w:rPr>
      </w:pPr>
    </w:p>
    <w:p w14:paraId="3B8DC422" w14:textId="5367843D" w:rsidR="00DF0F04" w:rsidRPr="002D5A13" w:rsidRDefault="002D5A13" w:rsidP="002D5A13">
      <w:pPr>
        <w:spacing w:line="480" w:lineRule="auto"/>
        <w:ind w:left="851" w:hanging="851"/>
      </w:pPr>
      <w:r>
        <w:rPr>
          <w:rFonts w:eastAsiaTheme="minorHAnsi"/>
          <w:color w:val="auto"/>
          <w:sz w:val="24"/>
          <w:szCs w:val="24"/>
          <w:lang w:val="en-GB" w:eastAsia="en-US"/>
        </w:rPr>
        <w:t>9.</w:t>
      </w:r>
      <w:r>
        <w:rPr>
          <w:rFonts w:eastAsiaTheme="minorHAnsi"/>
          <w:color w:val="auto"/>
          <w:sz w:val="24"/>
          <w:szCs w:val="24"/>
          <w:lang w:val="en-GB" w:eastAsia="en-US"/>
        </w:rPr>
        <w:tab/>
      </w:r>
      <w:r w:rsidR="00665130" w:rsidRPr="002D5A13">
        <w:t xml:space="preserve">The first respondent raises the defence that the amount of his indebtedness is overstated </w:t>
      </w:r>
      <w:r w:rsidR="003A3A82" w:rsidRPr="002D5A13">
        <w:t xml:space="preserve">because he is one of four joint </w:t>
      </w:r>
      <w:r w:rsidR="00486CEF" w:rsidRPr="002D5A13">
        <w:t>debtors</w:t>
      </w:r>
      <w:r w:rsidR="003A3A82" w:rsidRPr="002D5A13">
        <w:t xml:space="preserve"> under the settlement agreements incorporating the acknowledgment of </w:t>
      </w:r>
      <w:r w:rsidR="00486CEF" w:rsidRPr="002D5A13">
        <w:t>indebtedness</w:t>
      </w:r>
      <w:r w:rsidR="00DF0F04" w:rsidRPr="002D5A13">
        <w:t>,</w:t>
      </w:r>
      <w:r w:rsidR="003A3A82" w:rsidRPr="002D5A13">
        <w:t xml:space="preserve"> and that he is therefore only a debtor for one quarter of the total amount. This defence is unsustainable because the </w:t>
      </w:r>
      <w:r w:rsidR="00486CEF" w:rsidRPr="002D5A13">
        <w:t>settlement</w:t>
      </w:r>
      <w:r w:rsidR="003A3A82" w:rsidRPr="002D5A13">
        <w:t xml:space="preserve"> agreements clearly state that the first respondent is a joint and several </w:t>
      </w:r>
      <w:proofErr w:type="gramStart"/>
      <w:r w:rsidR="003A3A82" w:rsidRPr="002D5A13">
        <w:t>debtor</w:t>
      </w:r>
      <w:proofErr w:type="gramEnd"/>
      <w:r w:rsidR="003A3A82" w:rsidRPr="002D5A13">
        <w:t xml:space="preserve">, not </w:t>
      </w:r>
      <w:r w:rsidR="00486CEF" w:rsidRPr="002D5A13">
        <w:t>merely</w:t>
      </w:r>
      <w:r w:rsidR="003A3A82" w:rsidRPr="002D5A13">
        <w:t xml:space="preserve"> a joint debtor.</w:t>
      </w:r>
      <w:r w:rsidR="00FD1AC3" w:rsidRPr="002D5A13">
        <w:t xml:space="preserve"> </w:t>
      </w:r>
    </w:p>
    <w:p w14:paraId="48AA0D8A" w14:textId="77777777" w:rsidR="00DF0F04" w:rsidRPr="00DF0F04" w:rsidRDefault="00DF0F04" w:rsidP="00DF0F04">
      <w:pPr>
        <w:pStyle w:val="ListParagraph"/>
        <w:rPr>
          <w:rFonts w:ascii="Times New Roman" w:hAnsi="Times New Roman" w:cs="Times New Roman"/>
        </w:rPr>
      </w:pPr>
    </w:p>
    <w:p w14:paraId="7344851B" w14:textId="3064F4F3" w:rsidR="000507A6" w:rsidRPr="002D5A13" w:rsidRDefault="002D5A13" w:rsidP="002D5A13">
      <w:pPr>
        <w:spacing w:line="480" w:lineRule="auto"/>
        <w:ind w:left="851" w:hanging="851"/>
      </w:pPr>
      <w:r>
        <w:rPr>
          <w:rFonts w:eastAsiaTheme="minorHAnsi"/>
          <w:color w:val="auto"/>
          <w:sz w:val="24"/>
          <w:szCs w:val="24"/>
          <w:lang w:val="en-GB" w:eastAsia="en-US"/>
        </w:rPr>
        <w:t>10.</w:t>
      </w:r>
      <w:r>
        <w:rPr>
          <w:rFonts w:eastAsiaTheme="minorHAnsi"/>
          <w:color w:val="auto"/>
          <w:sz w:val="24"/>
          <w:szCs w:val="24"/>
          <w:lang w:val="en-GB" w:eastAsia="en-US"/>
        </w:rPr>
        <w:tab/>
      </w:r>
      <w:r w:rsidR="00FD1AC3" w:rsidRPr="002D5A13">
        <w:t xml:space="preserve">The first respondent alleges </w:t>
      </w:r>
      <w:r w:rsidR="00486CEF" w:rsidRPr="002D5A13">
        <w:t>that</w:t>
      </w:r>
      <w:r w:rsidR="00FD1AC3" w:rsidRPr="002D5A13">
        <w:t xml:space="preserve"> the two Settlement Agreements incorporating the </w:t>
      </w:r>
      <w:r w:rsidR="00486CEF" w:rsidRPr="002D5A13">
        <w:t>acknowledgement</w:t>
      </w:r>
      <w:r w:rsidR="00A75F22" w:rsidRPr="002D5A13">
        <w:t>s</w:t>
      </w:r>
      <w:r w:rsidR="00FD1AC3" w:rsidRPr="002D5A13">
        <w:t xml:space="preserve"> of indebtedness are of no force and effect because they have been replaced by </w:t>
      </w:r>
      <w:r w:rsidR="000507A6" w:rsidRPr="002D5A13">
        <w:t>a</w:t>
      </w:r>
      <w:r w:rsidR="00FD1AC3" w:rsidRPr="002D5A13">
        <w:t xml:space="preserve"> </w:t>
      </w:r>
      <w:r w:rsidR="000507A6" w:rsidRPr="002D5A13">
        <w:t>M</w:t>
      </w:r>
      <w:r w:rsidR="00FD1AC3" w:rsidRPr="002D5A13">
        <w:t xml:space="preserve">ember’s </w:t>
      </w:r>
      <w:r w:rsidR="000507A6" w:rsidRPr="002D5A13">
        <w:t>I</w:t>
      </w:r>
      <w:r w:rsidR="00FD1AC3" w:rsidRPr="002D5A13">
        <w:t xml:space="preserve">nterest </w:t>
      </w:r>
      <w:r w:rsidR="000507A6" w:rsidRPr="002D5A13">
        <w:t>T</w:t>
      </w:r>
      <w:r w:rsidR="00FD1AC3" w:rsidRPr="002D5A13">
        <w:t xml:space="preserve">ransfer </w:t>
      </w:r>
      <w:r w:rsidR="000507A6" w:rsidRPr="002D5A13">
        <w:t>A</w:t>
      </w:r>
      <w:r w:rsidR="00FD1AC3" w:rsidRPr="002D5A13">
        <w:t xml:space="preserve">greement (annexure “AF3” to the founding </w:t>
      </w:r>
      <w:r w:rsidR="00A75F22" w:rsidRPr="002D5A13">
        <w:t>affidavit</w:t>
      </w:r>
      <w:r w:rsidR="00FD1AC3" w:rsidRPr="002D5A13">
        <w:t xml:space="preserve">). </w:t>
      </w:r>
    </w:p>
    <w:p w14:paraId="26B343D6" w14:textId="77777777" w:rsidR="000507A6" w:rsidRPr="000507A6" w:rsidRDefault="000507A6" w:rsidP="000507A6">
      <w:pPr>
        <w:pStyle w:val="ListParagraph"/>
        <w:rPr>
          <w:rFonts w:ascii="Times New Roman" w:hAnsi="Times New Roman" w:cs="Times New Roman"/>
        </w:rPr>
      </w:pPr>
    </w:p>
    <w:p w14:paraId="2400C4FE" w14:textId="455A6FAA" w:rsidR="00665130" w:rsidRPr="002D5A13" w:rsidRDefault="002D5A13" w:rsidP="002D5A13">
      <w:pPr>
        <w:spacing w:line="480" w:lineRule="auto"/>
        <w:ind w:left="851" w:hanging="851"/>
      </w:pPr>
      <w:r>
        <w:rPr>
          <w:rFonts w:eastAsiaTheme="minorHAnsi"/>
          <w:color w:val="auto"/>
          <w:sz w:val="24"/>
          <w:szCs w:val="24"/>
          <w:lang w:val="en-GB" w:eastAsia="en-US"/>
        </w:rPr>
        <w:t>11.</w:t>
      </w:r>
      <w:r>
        <w:rPr>
          <w:rFonts w:eastAsiaTheme="minorHAnsi"/>
          <w:color w:val="auto"/>
          <w:sz w:val="24"/>
          <w:szCs w:val="24"/>
          <w:lang w:val="en-GB" w:eastAsia="en-US"/>
        </w:rPr>
        <w:tab/>
      </w:r>
      <w:r w:rsidR="00FD1AC3" w:rsidRPr="002D5A13">
        <w:t xml:space="preserve">Inconsistently with this </w:t>
      </w:r>
      <w:r w:rsidR="000507A6" w:rsidRPr="002D5A13">
        <w:t>allegation</w:t>
      </w:r>
      <w:r w:rsidR="00FD1AC3" w:rsidRPr="002D5A13">
        <w:t xml:space="preserve">, the first respondent also alleges that </w:t>
      </w:r>
      <w:r w:rsidR="000507A6" w:rsidRPr="002D5A13">
        <w:t>the M</w:t>
      </w:r>
      <w:r w:rsidR="00FD1AC3" w:rsidRPr="002D5A13">
        <w:t xml:space="preserve">ember’s </w:t>
      </w:r>
      <w:r w:rsidR="000507A6" w:rsidRPr="002D5A13">
        <w:t>I</w:t>
      </w:r>
      <w:r w:rsidR="00FD1AC3" w:rsidRPr="002D5A13">
        <w:t xml:space="preserve">nterest </w:t>
      </w:r>
      <w:r w:rsidR="000507A6" w:rsidRPr="002D5A13">
        <w:t>T</w:t>
      </w:r>
      <w:r w:rsidR="00FD1AC3" w:rsidRPr="002D5A13">
        <w:t xml:space="preserve">ransfer </w:t>
      </w:r>
      <w:r w:rsidR="000507A6" w:rsidRPr="002D5A13">
        <w:t>A</w:t>
      </w:r>
      <w:r w:rsidR="00FD1AC3" w:rsidRPr="002D5A13">
        <w:t>greement is inchoate and unenforceable because it not only records the first respondent</w:t>
      </w:r>
      <w:r w:rsidR="000507A6" w:rsidRPr="002D5A13">
        <w:t>’</w:t>
      </w:r>
      <w:r w:rsidR="00FD1AC3" w:rsidRPr="002D5A13">
        <w:t>s agreement to transfer his member’s interest in a close corporation named Long Island Trading 55 CC</w:t>
      </w:r>
      <w:r w:rsidR="003575F8" w:rsidRPr="002D5A13">
        <w:t xml:space="preserve"> for R18 </w:t>
      </w:r>
      <w:r w:rsidR="003575F8" w:rsidRPr="002D5A13">
        <w:lastRenderedPageBreak/>
        <w:t>million, but also and in addition the net asset value of the close corporation as per an annexure A to the agreement which was never attached.</w:t>
      </w:r>
    </w:p>
    <w:p w14:paraId="1C0D811E" w14:textId="77777777" w:rsidR="000507A6" w:rsidRDefault="000507A6" w:rsidP="000507A6">
      <w:pPr>
        <w:pStyle w:val="ListParagraph"/>
        <w:spacing w:line="480" w:lineRule="auto"/>
        <w:ind w:left="851"/>
        <w:jc w:val="both"/>
        <w:rPr>
          <w:rFonts w:ascii="Times New Roman" w:hAnsi="Times New Roman" w:cs="Times New Roman"/>
        </w:rPr>
      </w:pPr>
    </w:p>
    <w:p w14:paraId="752006BD" w14:textId="22523682" w:rsidR="003575F8" w:rsidRPr="002D5A13" w:rsidRDefault="002D5A13" w:rsidP="002D5A13">
      <w:pPr>
        <w:spacing w:line="480" w:lineRule="auto"/>
        <w:ind w:left="851" w:hanging="851"/>
      </w:pPr>
      <w:r w:rsidRPr="000507A6">
        <w:rPr>
          <w:rFonts w:eastAsiaTheme="minorHAnsi"/>
          <w:color w:val="auto"/>
          <w:sz w:val="24"/>
          <w:szCs w:val="24"/>
          <w:lang w:val="en-GB" w:eastAsia="en-US"/>
        </w:rPr>
        <w:t>12.</w:t>
      </w:r>
      <w:r w:rsidRPr="000507A6">
        <w:rPr>
          <w:rFonts w:eastAsiaTheme="minorHAnsi"/>
          <w:color w:val="auto"/>
          <w:sz w:val="24"/>
          <w:szCs w:val="24"/>
          <w:lang w:val="en-GB" w:eastAsia="en-US"/>
        </w:rPr>
        <w:tab/>
      </w:r>
      <w:r w:rsidR="003575F8" w:rsidRPr="002D5A13">
        <w:t xml:space="preserve">This court does not intend deciding whether the </w:t>
      </w:r>
      <w:r w:rsidR="000507A6" w:rsidRPr="002D5A13">
        <w:t>M</w:t>
      </w:r>
      <w:r w:rsidR="003575F8" w:rsidRPr="002D5A13">
        <w:t xml:space="preserve">ember’s </w:t>
      </w:r>
      <w:r w:rsidR="000507A6" w:rsidRPr="002D5A13">
        <w:t>I</w:t>
      </w:r>
      <w:r w:rsidR="003575F8" w:rsidRPr="002D5A13">
        <w:t xml:space="preserve">nterest </w:t>
      </w:r>
      <w:r w:rsidR="000507A6" w:rsidRPr="002D5A13">
        <w:t>T</w:t>
      </w:r>
      <w:r w:rsidR="003575F8" w:rsidRPr="002D5A13">
        <w:t xml:space="preserve">ransfer </w:t>
      </w:r>
      <w:r w:rsidR="000507A6" w:rsidRPr="002D5A13">
        <w:t>A</w:t>
      </w:r>
      <w:r w:rsidR="003575F8" w:rsidRPr="002D5A13">
        <w:t>greement is valid and enforceable or inchoate and unenforceable.</w:t>
      </w:r>
      <w:r w:rsidR="000507A6" w:rsidRPr="002D5A13">
        <w:t xml:space="preserve"> </w:t>
      </w:r>
      <w:r w:rsidR="003575F8" w:rsidRPr="000507A6">
        <w:t>Suffice it to state that in paragraph 15 of the answering affidavit, the first respondent alleges that this agreement does not constitute a binding agreement because it was intended that it would only be binding once signed by both parties, which was not done; and in the absence of annexure “A” setting out the asset value forming part of the purchase price, there was no agreement regarding price.</w:t>
      </w:r>
    </w:p>
    <w:p w14:paraId="19BB701A" w14:textId="77777777" w:rsidR="000507A6" w:rsidRDefault="000507A6" w:rsidP="000507A6">
      <w:pPr>
        <w:pStyle w:val="ListParagraph"/>
        <w:spacing w:line="480" w:lineRule="auto"/>
        <w:ind w:left="851"/>
        <w:jc w:val="both"/>
        <w:rPr>
          <w:rFonts w:ascii="Times New Roman" w:hAnsi="Times New Roman" w:cs="Times New Roman"/>
        </w:rPr>
      </w:pPr>
    </w:p>
    <w:p w14:paraId="1B19C81D" w14:textId="3BFD25D1" w:rsidR="003575F8" w:rsidRPr="002D5A13" w:rsidRDefault="002D5A13" w:rsidP="002D5A13">
      <w:pPr>
        <w:spacing w:line="480" w:lineRule="auto"/>
        <w:ind w:left="851" w:hanging="851"/>
      </w:pPr>
      <w:r>
        <w:rPr>
          <w:rFonts w:eastAsiaTheme="minorHAnsi"/>
          <w:color w:val="auto"/>
          <w:sz w:val="24"/>
          <w:szCs w:val="24"/>
          <w:lang w:val="en-GB" w:eastAsia="en-US"/>
        </w:rPr>
        <w:t>13.</w:t>
      </w:r>
      <w:r>
        <w:rPr>
          <w:rFonts w:eastAsiaTheme="minorHAnsi"/>
          <w:color w:val="auto"/>
          <w:sz w:val="24"/>
          <w:szCs w:val="24"/>
          <w:lang w:val="en-GB" w:eastAsia="en-US"/>
        </w:rPr>
        <w:tab/>
      </w:r>
      <w:r w:rsidR="003575F8" w:rsidRPr="002D5A13">
        <w:t xml:space="preserve">A decision regarding the validity or invalidity of the </w:t>
      </w:r>
      <w:r w:rsidR="000507A6" w:rsidRPr="002D5A13">
        <w:t>M</w:t>
      </w:r>
      <w:r w:rsidR="003575F8" w:rsidRPr="002D5A13">
        <w:t xml:space="preserve">ember’s </w:t>
      </w:r>
      <w:r w:rsidR="000507A6" w:rsidRPr="002D5A13">
        <w:t>I</w:t>
      </w:r>
      <w:r w:rsidR="003575F8" w:rsidRPr="002D5A13">
        <w:t xml:space="preserve">nterest </w:t>
      </w:r>
      <w:r w:rsidR="000507A6" w:rsidRPr="002D5A13">
        <w:t>T</w:t>
      </w:r>
      <w:r w:rsidR="003575F8" w:rsidRPr="002D5A13">
        <w:t xml:space="preserve">ransfer </w:t>
      </w:r>
      <w:r w:rsidR="000507A6" w:rsidRPr="002D5A13">
        <w:t>A</w:t>
      </w:r>
      <w:r w:rsidR="003575F8" w:rsidRPr="002D5A13">
        <w:t>greement</w:t>
      </w:r>
      <w:r w:rsidR="002C5C1B" w:rsidRPr="002D5A13">
        <w:t xml:space="preserve"> involves disputes of fact as well as disputes of law. For purposes of this opposed final sequestration </w:t>
      </w:r>
      <w:r w:rsidR="00A75F22" w:rsidRPr="002D5A13">
        <w:t>application</w:t>
      </w:r>
      <w:r w:rsidR="002C5C1B" w:rsidRPr="002D5A13">
        <w:t>, the court accept</w:t>
      </w:r>
      <w:r w:rsidR="002D700A" w:rsidRPr="002D5A13">
        <w:t>s</w:t>
      </w:r>
      <w:r w:rsidR="002C5C1B" w:rsidRPr="002D5A13">
        <w:t xml:space="preserve"> the respondents’ factual version in accordance with the judgment in</w:t>
      </w:r>
      <w:r w:rsidR="00836AEF" w:rsidRPr="002D5A13">
        <w:t xml:space="preserve"> </w:t>
      </w:r>
      <w:r w:rsidR="00836AEF" w:rsidRPr="002D5A13">
        <w:rPr>
          <w:u w:val="single"/>
        </w:rPr>
        <w:t>Plascon Evans Paints (Pty) Ltd v Van Riebeeck Paints (Pty) Ltd</w:t>
      </w:r>
      <w:r w:rsidR="00836AEF" w:rsidRPr="002D5A13">
        <w:t xml:space="preserve"> 1984 (3) SA 623 (A)</w:t>
      </w:r>
      <w:r w:rsidR="002C5C1B" w:rsidRPr="002D5A13">
        <w:t>, and treat</w:t>
      </w:r>
      <w:r w:rsidR="002D700A" w:rsidRPr="002D5A13">
        <w:t>s</w:t>
      </w:r>
      <w:r w:rsidR="002C5C1B" w:rsidRPr="002D5A13">
        <w:t xml:space="preserve"> the agreement as inchoate. As that conclusion is reached </w:t>
      </w:r>
      <w:r w:rsidR="002D700A" w:rsidRPr="002D5A13">
        <w:t>by applying the Plascon Evans rule to</w:t>
      </w:r>
      <w:r w:rsidR="002C5C1B" w:rsidRPr="002D5A13">
        <w:t xml:space="preserve"> the allegations in the papers before this court in this sequestration application, it is not a binding </w:t>
      </w:r>
      <w:r w:rsidR="00A75F22" w:rsidRPr="002D5A13">
        <w:t>precedent</w:t>
      </w:r>
      <w:r w:rsidR="005E1421" w:rsidRPr="002D5A13">
        <w:t xml:space="preserve"> in an</w:t>
      </w:r>
      <w:r w:rsidR="000507A6" w:rsidRPr="002D5A13">
        <w:t>y</w:t>
      </w:r>
      <w:r w:rsidR="005E1421" w:rsidRPr="002D5A13">
        <w:t xml:space="preserve"> other litigation that might arise involving the same agreement.</w:t>
      </w:r>
    </w:p>
    <w:p w14:paraId="2F67A7C5" w14:textId="77777777" w:rsidR="000507A6" w:rsidRDefault="000507A6" w:rsidP="000507A6">
      <w:pPr>
        <w:pStyle w:val="ListParagraph"/>
        <w:spacing w:line="480" w:lineRule="auto"/>
        <w:ind w:left="851"/>
        <w:jc w:val="both"/>
        <w:rPr>
          <w:rFonts w:ascii="Times New Roman" w:hAnsi="Times New Roman" w:cs="Times New Roman"/>
        </w:rPr>
      </w:pPr>
    </w:p>
    <w:p w14:paraId="409DC0B4" w14:textId="0E205CCF" w:rsidR="005E1421" w:rsidRPr="002D5A13" w:rsidRDefault="002D5A13" w:rsidP="002D5A13">
      <w:pPr>
        <w:spacing w:line="480" w:lineRule="auto"/>
        <w:ind w:left="851" w:hanging="851"/>
      </w:pPr>
      <w:r>
        <w:rPr>
          <w:rFonts w:eastAsiaTheme="minorHAnsi"/>
          <w:color w:val="auto"/>
          <w:sz w:val="24"/>
          <w:szCs w:val="24"/>
          <w:lang w:val="en-GB" w:eastAsia="en-US"/>
        </w:rPr>
        <w:lastRenderedPageBreak/>
        <w:t>14.</w:t>
      </w:r>
      <w:r>
        <w:rPr>
          <w:rFonts w:eastAsiaTheme="minorHAnsi"/>
          <w:color w:val="auto"/>
          <w:sz w:val="24"/>
          <w:szCs w:val="24"/>
          <w:lang w:val="en-GB" w:eastAsia="en-US"/>
        </w:rPr>
        <w:tab/>
      </w:r>
      <w:r w:rsidR="005E1421" w:rsidRPr="002D5A13">
        <w:t xml:space="preserve">On this basis, the </w:t>
      </w:r>
      <w:r w:rsidR="00A75F22" w:rsidRPr="002D5A13">
        <w:t>applica</w:t>
      </w:r>
      <w:r w:rsidR="000507A6" w:rsidRPr="002D5A13">
        <w:t>nt</w:t>
      </w:r>
      <w:r w:rsidR="005E1421" w:rsidRPr="002D5A13">
        <w:t xml:space="preserve"> has made out a sufficient case for a final sequestration order. That, however, is not the end of the matter.</w:t>
      </w:r>
    </w:p>
    <w:p w14:paraId="73952BA1" w14:textId="77777777" w:rsidR="000507A6" w:rsidRDefault="000507A6" w:rsidP="000507A6">
      <w:pPr>
        <w:pStyle w:val="ListParagraph"/>
        <w:spacing w:line="480" w:lineRule="auto"/>
        <w:ind w:left="851"/>
        <w:jc w:val="both"/>
        <w:rPr>
          <w:rFonts w:ascii="Times New Roman" w:hAnsi="Times New Roman" w:cs="Times New Roman"/>
        </w:rPr>
      </w:pPr>
    </w:p>
    <w:p w14:paraId="75B0435F" w14:textId="55AB3148" w:rsidR="005E1421" w:rsidRPr="002D5A13" w:rsidRDefault="002D5A13" w:rsidP="002D5A13">
      <w:pPr>
        <w:spacing w:line="480" w:lineRule="auto"/>
        <w:ind w:left="851" w:hanging="851"/>
      </w:pPr>
      <w:r>
        <w:rPr>
          <w:rFonts w:eastAsiaTheme="minorHAnsi"/>
          <w:color w:val="auto"/>
          <w:sz w:val="24"/>
          <w:szCs w:val="24"/>
          <w:lang w:val="en-GB" w:eastAsia="en-US"/>
        </w:rPr>
        <w:t>15.</w:t>
      </w:r>
      <w:r>
        <w:rPr>
          <w:rFonts w:eastAsiaTheme="minorHAnsi"/>
          <w:color w:val="auto"/>
          <w:sz w:val="24"/>
          <w:szCs w:val="24"/>
          <w:lang w:val="en-GB" w:eastAsia="en-US"/>
        </w:rPr>
        <w:tab/>
      </w:r>
      <w:r w:rsidR="005E1421" w:rsidRPr="002D5A13">
        <w:t xml:space="preserve">On Wednesday 23 November 2022, between the original 22 </w:t>
      </w:r>
      <w:r w:rsidR="00A75F22" w:rsidRPr="002D5A13">
        <w:t>November</w:t>
      </w:r>
      <w:r w:rsidR="005E1421" w:rsidRPr="002D5A13">
        <w:t xml:space="preserve"> and adjourned 24 November 2022 hearing dates, the first respondent delivered a notice in terms of Uniform Rules 35(3) and 35(6) and an application for postponement of the sequestration application. On 24 November 2022, the applicant delivered a response to the Rule 35(3) a</w:t>
      </w:r>
      <w:r w:rsidR="00A75F22" w:rsidRPr="002D5A13">
        <w:t>n</w:t>
      </w:r>
      <w:r w:rsidR="005E1421" w:rsidRPr="002D5A13">
        <w:t>d (6) notice</w:t>
      </w:r>
      <w:r w:rsidR="000507A6" w:rsidRPr="002D5A13">
        <w:t>,</w:t>
      </w:r>
      <w:r w:rsidR="005E1421" w:rsidRPr="002D5A13">
        <w:t xml:space="preserve"> and at the hearing on 24 November 2022 the applicant both objected to the </w:t>
      </w:r>
      <w:r w:rsidR="00A75F22" w:rsidRPr="002D5A13">
        <w:t>notice</w:t>
      </w:r>
      <w:r w:rsidR="005E1421" w:rsidRPr="002D5A13">
        <w:t xml:space="preserve"> and opposed the postponement.</w:t>
      </w:r>
    </w:p>
    <w:p w14:paraId="7BE9FA7F" w14:textId="77777777" w:rsidR="000507A6" w:rsidRDefault="000507A6" w:rsidP="000507A6">
      <w:pPr>
        <w:pStyle w:val="ListParagraph"/>
        <w:spacing w:line="480" w:lineRule="auto"/>
        <w:ind w:left="851"/>
        <w:jc w:val="both"/>
        <w:rPr>
          <w:rFonts w:ascii="Times New Roman" w:hAnsi="Times New Roman" w:cs="Times New Roman"/>
        </w:rPr>
      </w:pPr>
    </w:p>
    <w:p w14:paraId="3FBB90E0" w14:textId="2C0B7915" w:rsidR="005E1421" w:rsidRPr="002D5A13" w:rsidRDefault="002D5A13" w:rsidP="002D5A13">
      <w:pPr>
        <w:spacing w:line="480" w:lineRule="auto"/>
        <w:ind w:left="851" w:hanging="851"/>
      </w:pPr>
      <w:r>
        <w:rPr>
          <w:rFonts w:eastAsiaTheme="minorHAnsi"/>
          <w:color w:val="auto"/>
          <w:sz w:val="24"/>
          <w:szCs w:val="24"/>
          <w:lang w:val="en-GB" w:eastAsia="en-US"/>
        </w:rPr>
        <w:t>16.</w:t>
      </w:r>
      <w:r>
        <w:rPr>
          <w:rFonts w:eastAsiaTheme="minorHAnsi"/>
          <w:color w:val="auto"/>
          <w:sz w:val="24"/>
          <w:szCs w:val="24"/>
          <w:lang w:val="en-GB" w:eastAsia="en-US"/>
        </w:rPr>
        <w:tab/>
      </w:r>
      <w:r w:rsidR="005E1421" w:rsidRPr="002D5A13">
        <w:t xml:space="preserve">The </w:t>
      </w:r>
      <w:r w:rsidR="00A75F22" w:rsidRPr="002D5A13">
        <w:t>respondent’s</w:t>
      </w:r>
      <w:r w:rsidR="005E1421" w:rsidRPr="002D5A13">
        <w:t xml:space="preserve"> Rule 35(3) and (6) notice seeks production of the following </w:t>
      </w:r>
      <w:r w:rsidR="00A75F22" w:rsidRPr="002D5A13">
        <w:t>documents</w:t>
      </w:r>
      <w:r w:rsidR="005E1421" w:rsidRPr="002D5A13">
        <w:t xml:space="preserve">: the missing annexure “A” to the member’s interest transfer agreement; the applicant’s bank statements for the period from </w:t>
      </w:r>
      <w:r w:rsidR="0053373C" w:rsidRPr="002D5A13">
        <w:t xml:space="preserve">1 May 2019 to 31 November 2022; Long Island Trading CC's audited financial statements for the period February 2019 to date; and the formal computerised stocktake documents from the applicant’s </w:t>
      </w:r>
      <w:r w:rsidR="00A75F22" w:rsidRPr="002D5A13">
        <w:t>computer</w:t>
      </w:r>
      <w:r w:rsidR="0053373C" w:rsidRPr="002D5A13">
        <w:t xml:space="preserve"> system for the close corporation, at the time of its takeover by the </w:t>
      </w:r>
      <w:r w:rsidR="00A75F22" w:rsidRPr="002D5A13">
        <w:t>applicants</w:t>
      </w:r>
      <w:r w:rsidR="0053373C" w:rsidRPr="002D5A13">
        <w:t xml:space="preserve"> Mr Joosub in December 2019 in terms of the member’s interest transfer agreement.</w:t>
      </w:r>
    </w:p>
    <w:p w14:paraId="42992B5B" w14:textId="77777777" w:rsidR="000507A6" w:rsidRDefault="000507A6" w:rsidP="000507A6">
      <w:pPr>
        <w:pStyle w:val="ListParagraph"/>
        <w:spacing w:line="480" w:lineRule="auto"/>
        <w:ind w:left="851"/>
        <w:jc w:val="both"/>
        <w:rPr>
          <w:rFonts w:ascii="Times New Roman" w:hAnsi="Times New Roman" w:cs="Times New Roman"/>
        </w:rPr>
      </w:pPr>
    </w:p>
    <w:p w14:paraId="1BBD5D59" w14:textId="7882307B" w:rsidR="0053373C" w:rsidRPr="002D5A13" w:rsidRDefault="002D5A13" w:rsidP="002D5A13">
      <w:pPr>
        <w:spacing w:line="480" w:lineRule="auto"/>
        <w:ind w:left="851" w:hanging="851"/>
      </w:pPr>
      <w:r>
        <w:rPr>
          <w:rFonts w:eastAsiaTheme="minorHAnsi"/>
          <w:color w:val="auto"/>
          <w:sz w:val="24"/>
          <w:szCs w:val="24"/>
          <w:lang w:val="en-GB" w:eastAsia="en-US"/>
        </w:rPr>
        <w:t>17.</w:t>
      </w:r>
      <w:r>
        <w:rPr>
          <w:rFonts w:eastAsiaTheme="minorHAnsi"/>
          <w:color w:val="auto"/>
          <w:sz w:val="24"/>
          <w:szCs w:val="24"/>
          <w:lang w:val="en-GB" w:eastAsia="en-US"/>
        </w:rPr>
        <w:tab/>
      </w:r>
      <w:r w:rsidR="0053373C" w:rsidRPr="002D5A13">
        <w:t xml:space="preserve">In the postponement application, the first respondent alleged that the </w:t>
      </w:r>
      <w:r w:rsidR="000507A6" w:rsidRPr="002D5A13">
        <w:t xml:space="preserve">requested documents </w:t>
      </w:r>
      <w:r w:rsidR="0053373C" w:rsidRPr="002D5A13">
        <w:t xml:space="preserve">are relevant either to ascertain </w:t>
      </w:r>
      <w:r w:rsidR="00C600D8" w:rsidRPr="002D5A13">
        <w:t xml:space="preserve">the net asset value of the </w:t>
      </w:r>
      <w:r w:rsidR="00A75F22" w:rsidRPr="002D5A13">
        <w:t>purchase</w:t>
      </w:r>
      <w:r w:rsidR="00C600D8" w:rsidRPr="002D5A13">
        <w:t xml:space="preserve"> </w:t>
      </w:r>
      <w:r w:rsidR="00C600D8" w:rsidRPr="002D5A13">
        <w:lastRenderedPageBreak/>
        <w:t xml:space="preserve">price under the missing </w:t>
      </w:r>
      <w:r w:rsidR="000507A6" w:rsidRPr="002D5A13">
        <w:t>A</w:t>
      </w:r>
      <w:r w:rsidR="00C600D8" w:rsidRPr="002D5A13">
        <w:t xml:space="preserve">ttachment </w:t>
      </w:r>
      <w:r w:rsidR="000507A6" w:rsidRPr="002D5A13">
        <w:t>“</w:t>
      </w:r>
      <w:r w:rsidR="00C600D8" w:rsidRPr="002D5A13">
        <w:t>A</w:t>
      </w:r>
      <w:r w:rsidR="000507A6" w:rsidRPr="002D5A13">
        <w:t>”</w:t>
      </w:r>
      <w:r w:rsidR="00C600D8" w:rsidRPr="002D5A13">
        <w:t xml:space="preserve">, or to establish payments made by the first respondent to the applicant. The postponement application is based on the approach that the first respondent needs these documents </w:t>
      </w:r>
      <w:r w:rsidR="00A75F22" w:rsidRPr="002D5A13">
        <w:t>in</w:t>
      </w:r>
      <w:r w:rsidR="00C600D8" w:rsidRPr="002D5A13">
        <w:t xml:space="preserve"> order to supplement his defence. </w:t>
      </w:r>
    </w:p>
    <w:p w14:paraId="2EEA13CB" w14:textId="77777777" w:rsidR="000507A6" w:rsidRDefault="000507A6" w:rsidP="000507A6">
      <w:pPr>
        <w:pStyle w:val="ListParagraph"/>
        <w:spacing w:line="480" w:lineRule="auto"/>
        <w:ind w:left="851"/>
        <w:jc w:val="both"/>
        <w:rPr>
          <w:rFonts w:ascii="Times New Roman" w:hAnsi="Times New Roman" w:cs="Times New Roman"/>
        </w:rPr>
      </w:pPr>
    </w:p>
    <w:p w14:paraId="112308EC" w14:textId="55D69807" w:rsidR="00C600D8" w:rsidRPr="002D5A13" w:rsidRDefault="002D5A13" w:rsidP="002D5A13">
      <w:pPr>
        <w:spacing w:line="480" w:lineRule="auto"/>
        <w:ind w:left="851" w:hanging="851"/>
      </w:pPr>
      <w:r>
        <w:rPr>
          <w:rFonts w:eastAsiaTheme="minorHAnsi"/>
          <w:color w:val="auto"/>
          <w:sz w:val="24"/>
          <w:szCs w:val="24"/>
          <w:lang w:val="en-GB" w:eastAsia="en-US"/>
        </w:rPr>
        <w:t>18.</w:t>
      </w:r>
      <w:r>
        <w:rPr>
          <w:rFonts w:eastAsiaTheme="minorHAnsi"/>
          <w:color w:val="auto"/>
          <w:sz w:val="24"/>
          <w:szCs w:val="24"/>
          <w:lang w:val="en-GB" w:eastAsia="en-US"/>
        </w:rPr>
        <w:tab/>
      </w:r>
      <w:r w:rsidR="00C600D8" w:rsidRPr="002D5A13">
        <w:t xml:space="preserve">Taking into account the timing of the Rule 35(3) and (6) notice and the postponement application, the conclusion is unavoidable that they were opportunistically submitted at an extremely late stage, in order to engineer a postponement of the </w:t>
      </w:r>
      <w:r w:rsidR="00A75F22" w:rsidRPr="002D5A13">
        <w:t>sequestration</w:t>
      </w:r>
      <w:r w:rsidR="00C600D8" w:rsidRPr="002D5A13">
        <w:t xml:space="preserve"> application. </w:t>
      </w:r>
    </w:p>
    <w:p w14:paraId="3967C279" w14:textId="77777777" w:rsidR="000507A6" w:rsidRDefault="000507A6" w:rsidP="000507A6">
      <w:pPr>
        <w:pStyle w:val="ListParagraph"/>
        <w:spacing w:line="480" w:lineRule="auto"/>
        <w:ind w:left="851"/>
        <w:jc w:val="both"/>
        <w:rPr>
          <w:rFonts w:ascii="Times New Roman" w:hAnsi="Times New Roman" w:cs="Times New Roman"/>
        </w:rPr>
      </w:pPr>
    </w:p>
    <w:p w14:paraId="3E69B8ED" w14:textId="68F06012" w:rsidR="00C600D8" w:rsidRPr="002D5A13" w:rsidRDefault="002D5A13" w:rsidP="002D5A13">
      <w:pPr>
        <w:spacing w:line="480" w:lineRule="auto"/>
        <w:ind w:left="851" w:hanging="851"/>
      </w:pPr>
      <w:r>
        <w:rPr>
          <w:rFonts w:eastAsiaTheme="minorHAnsi"/>
          <w:color w:val="auto"/>
          <w:sz w:val="24"/>
          <w:szCs w:val="24"/>
          <w:lang w:val="en-GB" w:eastAsia="en-US"/>
        </w:rPr>
        <w:t>19.</w:t>
      </w:r>
      <w:r>
        <w:rPr>
          <w:rFonts w:eastAsiaTheme="minorHAnsi"/>
          <w:color w:val="auto"/>
          <w:sz w:val="24"/>
          <w:szCs w:val="24"/>
          <w:lang w:val="en-GB" w:eastAsia="en-US"/>
        </w:rPr>
        <w:tab/>
      </w:r>
      <w:r w:rsidR="00C600D8" w:rsidRPr="002D5A13">
        <w:t xml:space="preserve">In its response to the Rule (3) and (6) notice, the </w:t>
      </w:r>
      <w:r w:rsidR="00A75F22" w:rsidRPr="002D5A13">
        <w:t>applica</w:t>
      </w:r>
      <w:r w:rsidR="000507A6" w:rsidRPr="002D5A13">
        <w:t>nt</w:t>
      </w:r>
      <w:r w:rsidR="00C600D8" w:rsidRPr="002D5A13">
        <w:t xml:space="preserve"> </w:t>
      </w:r>
      <w:r w:rsidR="00A75F22" w:rsidRPr="002D5A13">
        <w:t>correctly</w:t>
      </w:r>
      <w:r w:rsidR="00C600D8" w:rsidRPr="002D5A13">
        <w:t xml:space="preserve"> points out that under </w:t>
      </w:r>
      <w:r w:rsidR="00A75F22" w:rsidRPr="002D5A13">
        <w:t>Uniform</w:t>
      </w:r>
      <w:r w:rsidR="00C600D8" w:rsidRPr="002D5A13">
        <w:t xml:space="preserve"> Rule 35(13) the provisions of Rules 35 (3) and (6) only apply to </w:t>
      </w:r>
      <w:r w:rsidR="00A75F22" w:rsidRPr="002D5A13">
        <w:t>applications</w:t>
      </w:r>
      <w:r w:rsidR="00C600D8" w:rsidRPr="002D5A13">
        <w:t xml:space="preserve"> insofar as the court may direct, and that in this instance, the </w:t>
      </w:r>
      <w:r w:rsidR="000507A6" w:rsidRPr="002D5A13">
        <w:t>first respondent</w:t>
      </w:r>
      <w:r w:rsidR="00C600D8" w:rsidRPr="002D5A13">
        <w:t xml:space="preserve"> has not applied for such a direction and the court has not made one. The Rule 35(3) and (6) notice is accordingly invalid in these proceedings.</w:t>
      </w:r>
    </w:p>
    <w:p w14:paraId="7AE11373" w14:textId="77777777" w:rsidR="000507A6" w:rsidRDefault="000507A6" w:rsidP="000507A6">
      <w:pPr>
        <w:pStyle w:val="ListParagraph"/>
        <w:spacing w:line="480" w:lineRule="auto"/>
        <w:ind w:left="851"/>
        <w:jc w:val="both"/>
        <w:rPr>
          <w:rFonts w:ascii="Times New Roman" w:hAnsi="Times New Roman" w:cs="Times New Roman"/>
        </w:rPr>
      </w:pPr>
    </w:p>
    <w:p w14:paraId="78A16E93" w14:textId="7F6FEE96" w:rsidR="00C600D8" w:rsidRPr="002D5A13" w:rsidRDefault="002D5A13" w:rsidP="002D5A13">
      <w:pPr>
        <w:spacing w:line="480" w:lineRule="auto"/>
        <w:ind w:left="851" w:hanging="851"/>
      </w:pPr>
      <w:r>
        <w:rPr>
          <w:rFonts w:eastAsiaTheme="minorHAnsi"/>
          <w:color w:val="auto"/>
          <w:sz w:val="24"/>
          <w:szCs w:val="24"/>
          <w:lang w:val="en-GB" w:eastAsia="en-US"/>
        </w:rPr>
        <w:t>20.</w:t>
      </w:r>
      <w:r>
        <w:rPr>
          <w:rFonts w:eastAsiaTheme="minorHAnsi"/>
          <w:color w:val="auto"/>
          <w:sz w:val="24"/>
          <w:szCs w:val="24"/>
          <w:lang w:val="en-GB" w:eastAsia="en-US"/>
        </w:rPr>
        <w:tab/>
      </w:r>
      <w:r w:rsidR="00C600D8" w:rsidRPr="002D5A13">
        <w:t xml:space="preserve">The </w:t>
      </w:r>
      <w:r w:rsidR="00A75F22" w:rsidRPr="002D5A13">
        <w:t>applica</w:t>
      </w:r>
      <w:r w:rsidR="000507A6" w:rsidRPr="002D5A13">
        <w:t>nt</w:t>
      </w:r>
      <w:r w:rsidR="00C600D8" w:rsidRPr="002D5A13">
        <w:t xml:space="preserve"> also points out that on </w:t>
      </w:r>
      <w:r w:rsidR="00900090" w:rsidRPr="002D5A13">
        <w:t>the first respondent</w:t>
      </w:r>
      <w:r w:rsidR="000507A6" w:rsidRPr="002D5A13">
        <w:t>’</w:t>
      </w:r>
      <w:r w:rsidR="00900090" w:rsidRPr="002D5A13">
        <w:t xml:space="preserve">s own version in </w:t>
      </w:r>
      <w:r w:rsidR="00A75F22" w:rsidRPr="002D5A13">
        <w:t>paragraph</w:t>
      </w:r>
      <w:r w:rsidR="00900090" w:rsidRPr="002D5A13">
        <w:t xml:space="preserve"> 15.2 of the answering affidavit, there is no </w:t>
      </w:r>
      <w:r w:rsidR="000507A6" w:rsidRPr="002D5A13">
        <w:t>A</w:t>
      </w:r>
      <w:r w:rsidR="00900090" w:rsidRPr="002D5A13">
        <w:t>nnexure “A” and it cannot therefore be produced.</w:t>
      </w:r>
    </w:p>
    <w:p w14:paraId="60C78589" w14:textId="77777777" w:rsidR="000507A6" w:rsidRDefault="000507A6" w:rsidP="000507A6">
      <w:pPr>
        <w:pStyle w:val="ListParagraph"/>
        <w:spacing w:line="480" w:lineRule="auto"/>
        <w:ind w:left="851"/>
        <w:jc w:val="both"/>
        <w:rPr>
          <w:rFonts w:ascii="Times New Roman" w:hAnsi="Times New Roman" w:cs="Times New Roman"/>
        </w:rPr>
      </w:pPr>
    </w:p>
    <w:p w14:paraId="691E25AC" w14:textId="1246237C" w:rsidR="006F15CF" w:rsidRPr="002D5A13" w:rsidRDefault="002D5A13" w:rsidP="002D5A13">
      <w:pPr>
        <w:spacing w:line="480" w:lineRule="auto"/>
        <w:ind w:left="851" w:hanging="851"/>
      </w:pPr>
      <w:r>
        <w:rPr>
          <w:rFonts w:eastAsiaTheme="minorHAnsi"/>
          <w:color w:val="auto"/>
          <w:sz w:val="24"/>
          <w:szCs w:val="24"/>
          <w:lang w:val="en-GB" w:eastAsia="en-US"/>
        </w:rPr>
        <w:lastRenderedPageBreak/>
        <w:t>21.</w:t>
      </w:r>
      <w:r>
        <w:rPr>
          <w:rFonts w:eastAsiaTheme="minorHAnsi"/>
          <w:color w:val="auto"/>
          <w:sz w:val="24"/>
          <w:szCs w:val="24"/>
          <w:lang w:val="en-GB" w:eastAsia="en-US"/>
        </w:rPr>
        <w:tab/>
      </w:r>
      <w:r w:rsidR="00900090" w:rsidRPr="002D5A13">
        <w:t xml:space="preserve">The </w:t>
      </w:r>
      <w:r w:rsidR="00A75F22" w:rsidRPr="002D5A13">
        <w:t>applica</w:t>
      </w:r>
      <w:r w:rsidR="000507A6" w:rsidRPr="002D5A13">
        <w:t>nt</w:t>
      </w:r>
      <w:r w:rsidR="00900090" w:rsidRPr="002D5A13">
        <w:t xml:space="preserve"> correctly points out that it makes no sense for the first respondent to call </w:t>
      </w:r>
      <w:r w:rsidR="00A75F22" w:rsidRPr="002D5A13">
        <w:t>for</w:t>
      </w:r>
      <w:r w:rsidR="00900090" w:rsidRPr="002D5A13">
        <w:t xml:space="preserve"> the applicant’s bank statements to prove payments by the first respondent to the applicant, since the applicant </w:t>
      </w:r>
      <w:r w:rsidR="00A75F22" w:rsidRPr="002D5A13">
        <w:t>ought</w:t>
      </w:r>
      <w:r w:rsidR="00900090" w:rsidRPr="002D5A13">
        <w:t xml:space="preserve"> to be able to rely on his own bank statements to </w:t>
      </w:r>
      <w:r w:rsidR="00A75F22" w:rsidRPr="002D5A13">
        <w:t>provide</w:t>
      </w:r>
      <w:r w:rsidR="00900090" w:rsidRPr="002D5A13">
        <w:t xml:space="preserve"> such payments</w:t>
      </w:r>
      <w:r w:rsidR="000507A6" w:rsidRPr="002D5A13">
        <w:t>,</w:t>
      </w:r>
      <w:r w:rsidR="00900090" w:rsidRPr="002D5A13">
        <w:t xml:space="preserve"> </w:t>
      </w:r>
      <w:r w:rsidR="000507A6" w:rsidRPr="002D5A13">
        <w:t>and</w:t>
      </w:r>
      <w:r w:rsidR="00900090" w:rsidRPr="002D5A13">
        <w:t xml:space="preserve"> that </w:t>
      </w:r>
      <w:r w:rsidR="00855CF8" w:rsidRPr="002D5A13">
        <w:t>the first respondents own bank statements attached to the answering affidavit marked annexure “E”, in support of the allegation that instalments were paid, do not in fact show payments.</w:t>
      </w:r>
    </w:p>
    <w:p w14:paraId="039E93B1" w14:textId="77777777" w:rsidR="000507A6" w:rsidRDefault="000507A6" w:rsidP="000507A6">
      <w:pPr>
        <w:pStyle w:val="ListParagraph"/>
        <w:spacing w:line="480" w:lineRule="auto"/>
        <w:ind w:left="1418"/>
        <w:jc w:val="both"/>
        <w:rPr>
          <w:rFonts w:ascii="Times New Roman" w:hAnsi="Times New Roman" w:cs="Times New Roman"/>
        </w:rPr>
      </w:pPr>
    </w:p>
    <w:p w14:paraId="2D002A84" w14:textId="2D923286" w:rsidR="006F15CF" w:rsidRPr="002D5A13" w:rsidRDefault="002D5A13" w:rsidP="002D5A13">
      <w:pPr>
        <w:spacing w:line="480" w:lineRule="auto"/>
        <w:ind w:left="851" w:hanging="851"/>
      </w:pPr>
      <w:r>
        <w:rPr>
          <w:rFonts w:eastAsiaTheme="minorHAnsi"/>
          <w:color w:val="auto"/>
          <w:sz w:val="24"/>
          <w:szCs w:val="24"/>
          <w:lang w:val="en-GB" w:eastAsia="en-US"/>
        </w:rPr>
        <w:t>22.</w:t>
      </w:r>
      <w:r>
        <w:rPr>
          <w:rFonts w:eastAsiaTheme="minorHAnsi"/>
          <w:color w:val="auto"/>
          <w:sz w:val="24"/>
          <w:szCs w:val="24"/>
          <w:lang w:val="en-GB" w:eastAsia="en-US"/>
        </w:rPr>
        <w:tab/>
      </w:r>
      <w:r w:rsidR="006F15CF" w:rsidRPr="002D5A13">
        <w:t>The applicant states that there are no additional financial statements and computerised stocktaking documents as requested, and that they are therefore incapable of production.</w:t>
      </w:r>
    </w:p>
    <w:p w14:paraId="601CD8A8" w14:textId="77777777" w:rsidR="000507A6" w:rsidRDefault="000507A6" w:rsidP="000507A6">
      <w:pPr>
        <w:pStyle w:val="ListParagraph"/>
        <w:spacing w:line="480" w:lineRule="auto"/>
        <w:ind w:left="851"/>
        <w:jc w:val="both"/>
        <w:rPr>
          <w:rFonts w:ascii="Times New Roman" w:hAnsi="Times New Roman" w:cs="Times New Roman"/>
        </w:rPr>
      </w:pPr>
    </w:p>
    <w:p w14:paraId="5FD46D13" w14:textId="76FD7007" w:rsidR="00855CF8" w:rsidRPr="002D5A13" w:rsidRDefault="002D5A13" w:rsidP="002D5A13">
      <w:pPr>
        <w:spacing w:line="480" w:lineRule="auto"/>
        <w:ind w:left="851" w:hanging="851"/>
      </w:pPr>
      <w:r w:rsidRPr="006F15CF">
        <w:rPr>
          <w:rFonts w:eastAsiaTheme="minorHAnsi"/>
          <w:color w:val="auto"/>
          <w:sz w:val="24"/>
          <w:szCs w:val="24"/>
          <w:lang w:val="en-GB" w:eastAsia="en-US"/>
        </w:rPr>
        <w:t>23.</w:t>
      </w:r>
      <w:r w:rsidRPr="006F15CF">
        <w:rPr>
          <w:rFonts w:eastAsiaTheme="minorHAnsi"/>
          <w:color w:val="auto"/>
          <w:sz w:val="24"/>
          <w:szCs w:val="24"/>
          <w:lang w:val="en-GB" w:eastAsia="en-US"/>
        </w:rPr>
        <w:tab/>
      </w:r>
      <w:r w:rsidR="00855CF8" w:rsidRPr="002D5A13">
        <w:t xml:space="preserve">On behalf of the respondents, Mr Köhn objected that the applicants Rule 35(3) and (6) response </w:t>
      </w:r>
      <w:r w:rsidR="009836E3" w:rsidRPr="002D5A13">
        <w:t xml:space="preserve">is not in the form of an affidavit as required. This may have been an arguable issue had the respondents’ </w:t>
      </w:r>
      <w:r w:rsidR="00836AEF" w:rsidRPr="002D5A13">
        <w:t>R</w:t>
      </w:r>
      <w:r w:rsidR="009836E3" w:rsidRPr="002D5A13">
        <w:t>ule 35(3) and (6) notice complied with Rule 35(</w:t>
      </w:r>
      <w:r w:rsidR="00CA02DF" w:rsidRPr="002D5A13">
        <w:t>13</w:t>
      </w:r>
      <w:r w:rsidR="009836E3" w:rsidRPr="002D5A13">
        <w:t>)</w:t>
      </w:r>
      <w:r w:rsidR="00836AEF" w:rsidRPr="002D5A13">
        <w:t>,</w:t>
      </w:r>
      <w:r w:rsidR="00CA02DF" w:rsidRPr="002D5A13">
        <w:t xml:space="preserve"> but since that is not the situation it is not necessary to further consider Mr Köhn’s objection.</w:t>
      </w:r>
    </w:p>
    <w:p w14:paraId="6CCC0E4E" w14:textId="77777777" w:rsidR="00836AEF" w:rsidRDefault="00836AEF" w:rsidP="00836AEF">
      <w:pPr>
        <w:pStyle w:val="ListParagraph"/>
        <w:spacing w:line="480" w:lineRule="auto"/>
        <w:ind w:left="851"/>
        <w:jc w:val="both"/>
        <w:rPr>
          <w:rFonts w:ascii="Times New Roman" w:hAnsi="Times New Roman" w:cs="Times New Roman"/>
        </w:rPr>
      </w:pPr>
    </w:p>
    <w:p w14:paraId="7543254E" w14:textId="2889C120" w:rsidR="00855CF8" w:rsidRPr="002D5A13" w:rsidRDefault="002D5A13" w:rsidP="002D5A13">
      <w:pPr>
        <w:spacing w:line="480" w:lineRule="auto"/>
        <w:ind w:left="851" w:hanging="851"/>
      </w:pPr>
      <w:r>
        <w:rPr>
          <w:rFonts w:eastAsiaTheme="minorHAnsi"/>
          <w:color w:val="auto"/>
          <w:sz w:val="24"/>
          <w:szCs w:val="24"/>
          <w:lang w:val="en-GB" w:eastAsia="en-US"/>
        </w:rPr>
        <w:t>24.</w:t>
      </w:r>
      <w:r>
        <w:rPr>
          <w:rFonts w:eastAsiaTheme="minorHAnsi"/>
          <w:color w:val="auto"/>
          <w:sz w:val="24"/>
          <w:szCs w:val="24"/>
          <w:lang w:val="en-GB" w:eastAsia="en-US"/>
        </w:rPr>
        <w:tab/>
      </w:r>
      <w:r w:rsidR="00CA02DF" w:rsidRPr="002D5A13">
        <w:t>The applicant’s responses, however, do demonstrate that the respondents’ requests are either for documents which are not relevant or are non-existent and that no prejudice is caused to the respondents by being unable to proceed with this line of enquiry.</w:t>
      </w:r>
    </w:p>
    <w:p w14:paraId="1CC74782" w14:textId="77777777" w:rsidR="00836AEF" w:rsidRDefault="00836AEF" w:rsidP="00836AEF">
      <w:pPr>
        <w:pStyle w:val="ListParagraph"/>
        <w:spacing w:line="480" w:lineRule="auto"/>
        <w:ind w:left="851"/>
        <w:jc w:val="both"/>
        <w:rPr>
          <w:rFonts w:ascii="Times New Roman" w:hAnsi="Times New Roman" w:cs="Times New Roman"/>
        </w:rPr>
      </w:pPr>
    </w:p>
    <w:p w14:paraId="4AA6AA75" w14:textId="509F9EC5" w:rsidR="00CA02DF" w:rsidRPr="002D5A13" w:rsidRDefault="002D5A13" w:rsidP="002D5A13">
      <w:pPr>
        <w:spacing w:line="480" w:lineRule="auto"/>
        <w:ind w:left="851" w:hanging="851"/>
      </w:pPr>
      <w:r>
        <w:rPr>
          <w:rFonts w:eastAsiaTheme="minorHAnsi"/>
          <w:color w:val="auto"/>
          <w:sz w:val="24"/>
          <w:szCs w:val="24"/>
          <w:lang w:val="en-GB" w:eastAsia="en-US"/>
        </w:rPr>
        <w:t>25.</w:t>
      </w:r>
      <w:r>
        <w:rPr>
          <w:rFonts w:eastAsiaTheme="minorHAnsi"/>
          <w:color w:val="auto"/>
          <w:sz w:val="24"/>
          <w:szCs w:val="24"/>
          <w:lang w:val="en-GB" w:eastAsia="en-US"/>
        </w:rPr>
        <w:tab/>
      </w:r>
      <w:r w:rsidR="00CA02DF" w:rsidRPr="002D5A13">
        <w:t xml:space="preserve">The respondents’ postponement </w:t>
      </w:r>
      <w:r w:rsidR="00A75F22" w:rsidRPr="002D5A13">
        <w:t>application</w:t>
      </w:r>
      <w:r w:rsidR="00CA02DF" w:rsidRPr="002D5A13">
        <w:t xml:space="preserve"> is premised on a need to pursue their Rule 35 (3) a</w:t>
      </w:r>
      <w:r w:rsidR="00A75F22" w:rsidRPr="002D5A13">
        <w:t>n</w:t>
      </w:r>
      <w:r w:rsidR="00CA02DF" w:rsidRPr="002D5A13">
        <w:t xml:space="preserve">d (6) notice. Since the notice is invalid and </w:t>
      </w:r>
      <w:r w:rsidR="00A75F22" w:rsidRPr="002D5A13">
        <w:t>irrelevant</w:t>
      </w:r>
      <w:r w:rsidR="00CA02DF" w:rsidRPr="002D5A13">
        <w:t xml:space="preserve">, and taking into account the lateness of the </w:t>
      </w:r>
      <w:r w:rsidR="004246F2" w:rsidRPr="002D5A13">
        <w:t xml:space="preserve">notice </w:t>
      </w:r>
      <w:r w:rsidR="00A75F22" w:rsidRPr="002D5A13">
        <w:t>and</w:t>
      </w:r>
      <w:r w:rsidR="004246F2" w:rsidRPr="002D5A13">
        <w:t xml:space="preserve"> the </w:t>
      </w:r>
      <w:r w:rsidR="00A75F22" w:rsidRPr="002D5A13">
        <w:t>postponement</w:t>
      </w:r>
      <w:r w:rsidR="004246F2" w:rsidRPr="002D5A13">
        <w:t xml:space="preserve"> application and their obvious underlying strategy of procuring a </w:t>
      </w:r>
      <w:r w:rsidR="00A75F22" w:rsidRPr="002D5A13">
        <w:t>postponement</w:t>
      </w:r>
      <w:r w:rsidR="004246F2" w:rsidRPr="002D5A13">
        <w:t>, the postponement application must fail.</w:t>
      </w:r>
    </w:p>
    <w:p w14:paraId="6E7435B7" w14:textId="77777777" w:rsidR="00836AEF" w:rsidRDefault="00836AEF" w:rsidP="00836AEF">
      <w:pPr>
        <w:pStyle w:val="ListParagraph"/>
        <w:spacing w:line="480" w:lineRule="auto"/>
        <w:ind w:left="851"/>
        <w:jc w:val="both"/>
        <w:rPr>
          <w:rFonts w:ascii="Times New Roman" w:hAnsi="Times New Roman" w:cs="Times New Roman"/>
        </w:rPr>
      </w:pPr>
    </w:p>
    <w:p w14:paraId="339BBE24" w14:textId="5DBC714B" w:rsidR="004246F2" w:rsidRPr="002D5A13" w:rsidRDefault="002D5A13" w:rsidP="002D5A13">
      <w:pPr>
        <w:spacing w:line="480" w:lineRule="auto"/>
        <w:ind w:left="851" w:hanging="851"/>
      </w:pPr>
      <w:r>
        <w:rPr>
          <w:rFonts w:eastAsiaTheme="minorHAnsi"/>
          <w:color w:val="auto"/>
          <w:sz w:val="24"/>
          <w:szCs w:val="24"/>
          <w:lang w:val="en-GB" w:eastAsia="en-US"/>
        </w:rPr>
        <w:t>26.</w:t>
      </w:r>
      <w:r>
        <w:rPr>
          <w:rFonts w:eastAsiaTheme="minorHAnsi"/>
          <w:color w:val="auto"/>
          <w:sz w:val="24"/>
          <w:szCs w:val="24"/>
          <w:lang w:val="en-GB" w:eastAsia="en-US"/>
        </w:rPr>
        <w:tab/>
      </w:r>
      <w:r w:rsidR="004246F2" w:rsidRPr="002D5A13">
        <w:t>For these reasons the court order as follows:</w:t>
      </w:r>
    </w:p>
    <w:p w14:paraId="705BD533" w14:textId="00A16273" w:rsidR="004246F2" w:rsidRPr="002D5A13" w:rsidRDefault="002D5A13" w:rsidP="002D5A13">
      <w:pPr>
        <w:tabs>
          <w:tab w:val="left" w:pos="1418"/>
        </w:tabs>
        <w:spacing w:line="480" w:lineRule="auto"/>
        <w:ind w:left="1418" w:hanging="1418"/>
      </w:pPr>
      <w:r>
        <w:rPr>
          <w:rFonts w:eastAsiaTheme="minorHAnsi"/>
          <w:color w:val="auto"/>
          <w:sz w:val="24"/>
          <w:szCs w:val="24"/>
          <w:lang w:val="en-GB" w:eastAsia="en-US"/>
        </w:rPr>
        <w:t>26.1.</w:t>
      </w:r>
      <w:r>
        <w:rPr>
          <w:rFonts w:eastAsiaTheme="minorHAnsi"/>
          <w:color w:val="auto"/>
          <w:sz w:val="24"/>
          <w:szCs w:val="24"/>
          <w:lang w:val="en-GB" w:eastAsia="en-US"/>
        </w:rPr>
        <w:tab/>
      </w:r>
      <w:r w:rsidR="004246F2" w:rsidRPr="002D5A13">
        <w:t>The respondents’ postponement application dated 23 November 2022 is dismissed with costs;</w:t>
      </w:r>
    </w:p>
    <w:p w14:paraId="17608260" w14:textId="425F164F" w:rsidR="004246F2" w:rsidRPr="002D5A13" w:rsidRDefault="002D5A13" w:rsidP="002D5A13">
      <w:pPr>
        <w:tabs>
          <w:tab w:val="left" w:pos="1418"/>
        </w:tabs>
        <w:spacing w:line="480" w:lineRule="auto"/>
        <w:ind w:left="1418" w:hanging="1418"/>
      </w:pPr>
      <w:r>
        <w:rPr>
          <w:rFonts w:eastAsiaTheme="minorHAnsi"/>
          <w:color w:val="auto"/>
          <w:sz w:val="24"/>
          <w:szCs w:val="24"/>
          <w:lang w:val="en-GB" w:eastAsia="en-US"/>
        </w:rPr>
        <w:t>26.2.</w:t>
      </w:r>
      <w:r>
        <w:rPr>
          <w:rFonts w:eastAsiaTheme="minorHAnsi"/>
          <w:color w:val="auto"/>
          <w:sz w:val="24"/>
          <w:szCs w:val="24"/>
          <w:lang w:val="en-GB" w:eastAsia="en-US"/>
        </w:rPr>
        <w:tab/>
      </w:r>
      <w:r w:rsidR="009154EF" w:rsidRPr="002D5A13">
        <w:t>The first respondent’s estate is finally sequestrated;</w:t>
      </w:r>
    </w:p>
    <w:p w14:paraId="66709C61" w14:textId="2672C406" w:rsidR="009154EF" w:rsidRPr="002D5A13" w:rsidRDefault="002D5A13" w:rsidP="002D5A13">
      <w:pPr>
        <w:tabs>
          <w:tab w:val="left" w:pos="1418"/>
        </w:tabs>
        <w:spacing w:line="480" w:lineRule="auto"/>
        <w:ind w:left="1418" w:hanging="1418"/>
      </w:pPr>
      <w:r>
        <w:rPr>
          <w:rFonts w:eastAsiaTheme="minorHAnsi"/>
          <w:color w:val="auto"/>
          <w:sz w:val="24"/>
          <w:szCs w:val="24"/>
          <w:lang w:val="en-GB" w:eastAsia="en-US"/>
        </w:rPr>
        <w:t>26.3.</w:t>
      </w:r>
      <w:r>
        <w:rPr>
          <w:rFonts w:eastAsiaTheme="minorHAnsi"/>
          <w:color w:val="auto"/>
          <w:sz w:val="24"/>
          <w:szCs w:val="24"/>
          <w:lang w:val="en-GB" w:eastAsia="en-US"/>
        </w:rPr>
        <w:tab/>
      </w:r>
      <w:r w:rsidR="009154EF" w:rsidRPr="002D5A13">
        <w:t xml:space="preserve">The costs of the postponement </w:t>
      </w:r>
      <w:r w:rsidR="00836AEF" w:rsidRPr="002D5A13">
        <w:t>application</w:t>
      </w:r>
      <w:r w:rsidR="009154EF" w:rsidRPr="002D5A13">
        <w:t xml:space="preserve"> and the </w:t>
      </w:r>
      <w:r w:rsidR="00A75F22" w:rsidRPr="002D5A13">
        <w:t>sequestration</w:t>
      </w:r>
      <w:r w:rsidR="009154EF" w:rsidRPr="002D5A13">
        <w:t xml:space="preserve"> </w:t>
      </w:r>
      <w:r w:rsidR="00A75F22" w:rsidRPr="002D5A13">
        <w:t>application</w:t>
      </w:r>
      <w:r w:rsidR="009154EF" w:rsidRPr="002D5A13">
        <w:t xml:space="preserve"> are to </w:t>
      </w:r>
      <w:r w:rsidR="00836AEF" w:rsidRPr="002D5A13">
        <w:t>b</w:t>
      </w:r>
      <w:r w:rsidR="009154EF" w:rsidRPr="002D5A13">
        <w:t xml:space="preserve">e costs in the </w:t>
      </w:r>
      <w:r w:rsidR="00A75F22" w:rsidRPr="002D5A13">
        <w:t>sequestration</w:t>
      </w:r>
      <w:r w:rsidR="009154EF" w:rsidRPr="002D5A13">
        <w:t xml:space="preserve">. </w:t>
      </w:r>
    </w:p>
    <w:p w14:paraId="79936738" w14:textId="13DA264A" w:rsidR="003575F8" w:rsidRDefault="003575F8" w:rsidP="002C52FE">
      <w:pPr>
        <w:pStyle w:val="ListParagraph"/>
        <w:spacing w:line="480" w:lineRule="auto"/>
        <w:ind w:left="851"/>
        <w:jc w:val="both"/>
        <w:rPr>
          <w:rFonts w:ascii="Times New Roman" w:hAnsi="Times New Roman" w:cs="Times New Roman"/>
        </w:rPr>
      </w:pPr>
    </w:p>
    <w:p w14:paraId="62B96DCF" w14:textId="77777777" w:rsidR="00340D42" w:rsidRDefault="00340D42" w:rsidP="00340D42">
      <w:pPr>
        <w:pStyle w:val="ListParagraph"/>
        <w:spacing w:line="480" w:lineRule="auto"/>
        <w:ind w:left="851"/>
        <w:jc w:val="both"/>
        <w:rPr>
          <w:rFonts w:ascii="Times New Roman" w:hAnsi="Times New Roman" w:cs="Times New Roman"/>
        </w:rPr>
      </w:pPr>
    </w:p>
    <w:p w14:paraId="2D5196E1" w14:textId="77777777" w:rsidR="00567BCA" w:rsidRDefault="00567BCA" w:rsidP="00245192">
      <w:pPr>
        <w:pStyle w:val="ListParagraph"/>
        <w:spacing w:line="480" w:lineRule="auto"/>
        <w:ind w:left="851"/>
        <w:rPr>
          <w:rFonts w:ascii="Times New Roman" w:hAnsi="Times New Roman" w:cs="Times New Roman"/>
        </w:rPr>
      </w:pPr>
    </w:p>
    <w:p w14:paraId="62EBAE97" w14:textId="0DE88C0D" w:rsidR="00245192" w:rsidRPr="00245192" w:rsidRDefault="00245192" w:rsidP="00245192">
      <w:pPr>
        <w:pStyle w:val="ListParagraph"/>
        <w:spacing w:line="480" w:lineRule="auto"/>
        <w:ind w:left="851"/>
        <w:rPr>
          <w:rFonts w:ascii="Times New Roman" w:hAnsi="Times New Roman" w:cs="Times New Roman"/>
        </w:rPr>
      </w:pP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p>
    <w:p w14:paraId="007CF594" w14:textId="15B43179" w:rsidR="00D9093D" w:rsidRDefault="00D9093D" w:rsidP="00245192">
      <w:pPr>
        <w:pStyle w:val="ListParagraph"/>
        <w:spacing w:line="480" w:lineRule="auto"/>
        <w:ind w:left="851"/>
        <w:jc w:val="right"/>
        <w:rPr>
          <w:rFonts w:ascii="Times New Roman" w:hAnsi="Times New Roman" w:cs="Times New Roman"/>
          <w:sz w:val="30"/>
          <w:szCs w:val="30"/>
        </w:rPr>
      </w:pPr>
      <w:r>
        <w:rPr>
          <w:rFonts w:ascii="Times New Roman" w:hAnsi="Times New Roman" w:cs="Times New Roman"/>
          <w:sz w:val="30"/>
          <w:szCs w:val="30"/>
        </w:rPr>
        <w:t>_________________________________</w:t>
      </w:r>
    </w:p>
    <w:p w14:paraId="0695BEC9" w14:textId="0FD52F1C" w:rsidR="00245192" w:rsidRPr="00567BCA" w:rsidRDefault="00245192" w:rsidP="00245192">
      <w:pPr>
        <w:pStyle w:val="ListParagraph"/>
        <w:spacing w:line="480" w:lineRule="auto"/>
        <w:ind w:left="851"/>
        <w:jc w:val="right"/>
        <w:rPr>
          <w:rFonts w:ascii="Times New Roman" w:hAnsi="Times New Roman" w:cs="Times New Roman"/>
          <w:sz w:val="26"/>
          <w:szCs w:val="26"/>
        </w:rPr>
      </w:pPr>
      <w:r w:rsidRPr="00567BCA">
        <w:rPr>
          <w:rFonts w:ascii="Times New Roman" w:hAnsi="Times New Roman" w:cs="Times New Roman"/>
          <w:sz w:val="26"/>
          <w:szCs w:val="26"/>
        </w:rPr>
        <w:t>KEMACK AJ</w:t>
      </w:r>
    </w:p>
    <w:p w14:paraId="39C4D606" w14:textId="77777777" w:rsidR="00245192" w:rsidRPr="00567BCA" w:rsidRDefault="00245192" w:rsidP="00245192">
      <w:pPr>
        <w:pStyle w:val="ListParagraph"/>
        <w:spacing w:line="480" w:lineRule="auto"/>
        <w:ind w:left="851"/>
        <w:jc w:val="right"/>
        <w:rPr>
          <w:rFonts w:ascii="Times New Roman" w:hAnsi="Times New Roman" w:cs="Times New Roman"/>
          <w:sz w:val="26"/>
          <w:szCs w:val="26"/>
        </w:rPr>
      </w:pPr>
      <w:r w:rsidRPr="00567BCA">
        <w:rPr>
          <w:rFonts w:ascii="Times New Roman" w:hAnsi="Times New Roman" w:cs="Times New Roman"/>
          <w:sz w:val="26"/>
          <w:szCs w:val="26"/>
        </w:rPr>
        <w:t>ACTING JUDGE OF THE HIGH COURT</w:t>
      </w:r>
    </w:p>
    <w:p w14:paraId="4F537613" w14:textId="77777777" w:rsidR="00245192" w:rsidRPr="00567BCA" w:rsidRDefault="00245192" w:rsidP="00245192">
      <w:pPr>
        <w:pStyle w:val="ListParagraph"/>
        <w:spacing w:line="480" w:lineRule="auto"/>
        <w:ind w:left="851"/>
        <w:jc w:val="right"/>
        <w:rPr>
          <w:rFonts w:ascii="Times New Roman" w:hAnsi="Times New Roman" w:cs="Times New Roman"/>
          <w:sz w:val="26"/>
          <w:szCs w:val="26"/>
        </w:rPr>
      </w:pPr>
      <w:r w:rsidRPr="00567BCA">
        <w:rPr>
          <w:rFonts w:ascii="Times New Roman" w:hAnsi="Times New Roman" w:cs="Times New Roman"/>
          <w:sz w:val="26"/>
          <w:szCs w:val="26"/>
        </w:rPr>
        <w:t>GAUTENG LOCAL DIVISION OF THE HIGH COURT,</w:t>
      </w:r>
    </w:p>
    <w:p w14:paraId="40C991E4" w14:textId="4FE5A532" w:rsidR="00A3690A" w:rsidRPr="00567BCA" w:rsidRDefault="00245192" w:rsidP="00245192">
      <w:pPr>
        <w:pStyle w:val="ListParagraph"/>
        <w:spacing w:line="480" w:lineRule="auto"/>
        <w:ind w:left="851"/>
        <w:jc w:val="right"/>
        <w:rPr>
          <w:rFonts w:ascii="Times New Roman" w:hAnsi="Times New Roman" w:cs="Times New Roman"/>
          <w:sz w:val="26"/>
          <w:szCs w:val="26"/>
        </w:rPr>
      </w:pPr>
      <w:r w:rsidRPr="00567BCA">
        <w:rPr>
          <w:rFonts w:ascii="Times New Roman" w:hAnsi="Times New Roman" w:cs="Times New Roman"/>
          <w:sz w:val="26"/>
          <w:szCs w:val="26"/>
        </w:rPr>
        <w:lastRenderedPageBreak/>
        <w:t>JOHANNESBURG</w:t>
      </w:r>
    </w:p>
    <w:p w14:paraId="3D3D9AC5" w14:textId="77777777" w:rsidR="00AE33A3" w:rsidRPr="00567BCA" w:rsidRDefault="00AE33A3" w:rsidP="00245192">
      <w:pPr>
        <w:pStyle w:val="ListParagraph"/>
        <w:spacing w:line="480" w:lineRule="auto"/>
        <w:ind w:left="851"/>
        <w:jc w:val="right"/>
        <w:rPr>
          <w:rFonts w:ascii="Times New Roman" w:hAnsi="Times New Roman" w:cs="Times New Roman"/>
          <w:sz w:val="26"/>
          <w:szCs w:val="26"/>
        </w:rPr>
      </w:pPr>
    </w:p>
    <w:p w14:paraId="3657FABC" w14:textId="032F25F1" w:rsidR="00AE33A3" w:rsidRPr="00567BCA" w:rsidRDefault="00AE33A3" w:rsidP="00AE33A3">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COUNSEL FOR APPLICANT:</w:t>
      </w:r>
      <w:r w:rsidR="00340D42">
        <w:rPr>
          <w:rFonts w:ascii="Times New Roman" w:hAnsi="Times New Roman" w:cs="Times New Roman"/>
          <w:sz w:val="26"/>
          <w:szCs w:val="26"/>
        </w:rPr>
        <w:t xml:space="preserve">  </w:t>
      </w:r>
      <w:r w:rsidR="00E22579">
        <w:rPr>
          <w:rFonts w:ascii="Times New Roman" w:hAnsi="Times New Roman" w:cs="Times New Roman"/>
          <w:sz w:val="26"/>
          <w:szCs w:val="26"/>
        </w:rPr>
        <w:t xml:space="preserve">ADVOCATE </w:t>
      </w:r>
      <w:r w:rsidR="00492AF4">
        <w:rPr>
          <w:rFonts w:ascii="Times New Roman" w:hAnsi="Times New Roman" w:cs="Times New Roman"/>
          <w:sz w:val="26"/>
          <w:szCs w:val="26"/>
        </w:rPr>
        <w:t>A BOTHA SC</w:t>
      </w:r>
    </w:p>
    <w:p w14:paraId="5ADCCE9F" w14:textId="6366D9D9" w:rsidR="00AE33A3" w:rsidRPr="00567BCA" w:rsidRDefault="00575458" w:rsidP="00AE33A3">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ATTORNEY FOR APPLICANT:</w:t>
      </w:r>
      <w:r w:rsidR="00E22579">
        <w:rPr>
          <w:rFonts w:ascii="Times New Roman" w:hAnsi="Times New Roman" w:cs="Times New Roman"/>
          <w:sz w:val="26"/>
          <w:szCs w:val="26"/>
        </w:rPr>
        <w:t xml:space="preserve"> </w:t>
      </w:r>
      <w:r w:rsidR="00492AF4">
        <w:rPr>
          <w:rFonts w:ascii="Times New Roman" w:hAnsi="Times New Roman" w:cs="Times New Roman"/>
          <w:sz w:val="26"/>
          <w:szCs w:val="26"/>
        </w:rPr>
        <w:t>SHAHEED DOLLIE INC.</w:t>
      </w:r>
      <w:r w:rsidR="00E22579">
        <w:rPr>
          <w:rFonts w:ascii="Times New Roman" w:hAnsi="Times New Roman" w:cs="Times New Roman"/>
          <w:sz w:val="26"/>
          <w:szCs w:val="26"/>
        </w:rPr>
        <w:t xml:space="preserve"> ATTORNEYS</w:t>
      </w:r>
    </w:p>
    <w:p w14:paraId="66C32F33" w14:textId="40F68769" w:rsidR="003D66D6" w:rsidRDefault="003D66D6" w:rsidP="00AE33A3">
      <w:pPr>
        <w:pStyle w:val="ListParagraph"/>
        <w:spacing w:line="480" w:lineRule="auto"/>
        <w:ind w:left="851"/>
        <w:rPr>
          <w:rFonts w:ascii="Times New Roman" w:hAnsi="Times New Roman" w:cs="Times New Roman"/>
          <w:sz w:val="30"/>
          <w:szCs w:val="30"/>
        </w:rPr>
      </w:pPr>
    </w:p>
    <w:p w14:paraId="645B52B5" w14:textId="5125CE4F" w:rsidR="004E4914" w:rsidRDefault="00842E68" w:rsidP="00842E68">
      <w:pPr>
        <w:pStyle w:val="ListParagraph"/>
        <w:spacing w:line="480" w:lineRule="auto"/>
        <w:ind w:left="851"/>
        <w:rPr>
          <w:rFonts w:ascii="Times New Roman" w:hAnsi="Times New Roman" w:cs="Times New Roman"/>
          <w:sz w:val="26"/>
          <w:szCs w:val="26"/>
        </w:rPr>
      </w:pPr>
      <w:r>
        <w:rPr>
          <w:rFonts w:ascii="Times New Roman" w:hAnsi="Times New Roman" w:cs="Times New Roman"/>
          <w:sz w:val="26"/>
          <w:szCs w:val="26"/>
        </w:rPr>
        <w:t>COUNSEL</w:t>
      </w:r>
      <w:r w:rsidR="004E4914" w:rsidRPr="00567BCA">
        <w:rPr>
          <w:rFonts w:ascii="Times New Roman" w:hAnsi="Times New Roman" w:cs="Times New Roman"/>
          <w:sz w:val="26"/>
          <w:szCs w:val="26"/>
        </w:rPr>
        <w:t xml:space="preserve"> FOR RESPONDENT</w:t>
      </w:r>
      <w:r w:rsidR="00470795">
        <w:rPr>
          <w:rFonts w:ascii="Times New Roman" w:hAnsi="Times New Roman" w:cs="Times New Roman"/>
          <w:sz w:val="26"/>
          <w:szCs w:val="26"/>
        </w:rPr>
        <w:t>S</w:t>
      </w:r>
      <w:r w:rsidR="004E4914" w:rsidRPr="00567BCA">
        <w:rPr>
          <w:rFonts w:ascii="Times New Roman" w:hAnsi="Times New Roman" w:cs="Times New Roman"/>
          <w:sz w:val="26"/>
          <w:szCs w:val="26"/>
        </w:rPr>
        <w:t>:</w:t>
      </w:r>
      <w:r w:rsidR="00E22579">
        <w:rPr>
          <w:rFonts w:ascii="Times New Roman" w:hAnsi="Times New Roman" w:cs="Times New Roman"/>
          <w:sz w:val="26"/>
          <w:szCs w:val="26"/>
        </w:rPr>
        <w:t xml:space="preserve">  </w:t>
      </w:r>
      <w:r w:rsidR="00470795">
        <w:rPr>
          <w:rFonts w:ascii="Times New Roman" w:hAnsi="Times New Roman" w:cs="Times New Roman"/>
          <w:sz w:val="26"/>
          <w:szCs w:val="26"/>
        </w:rPr>
        <w:t>ADV</w:t>
      </w:r>
      <w:r>
        <w:rPr>
          <w:rFonts w:ascii="Times New Roman" w:hAnsi="Times New Roman" w:cs="Times New Roman"/>
          <w:sz w:val="26"/>
          <w:szCs w:val="26"/>
        </w:rPr>
        <w:t>OCATE</w:t>
      </w:r>
      <w:r w:rsidR="00470795">
        <w:rPr>
          <w:rFonts w:ascii="Times New Roman" w:hAnsi="Times New Roman" w:cs="Times New Roman"/>
          <w:sz w:val="26"/>
          <w:szCs w:val="26"/>
        </w:rPr>
        <w:t xml:space="preserve"> D M D K</w:t>
      </w:r>
      <w:r w:rsidR="00492AF4">
        <w:rPr>
          <w:rFonts w:ascii="Times New Roman" w:hAnsi="Times New Roman" w:cs="Times New Roman"/>
          <w:sz w:val="26"/>
          <w:szCs w:val="26"/>
        </w:rPr>
        <w:t>Ö</w:t>
      </w:r>
      <w:r>
        <w:rPr>
          <w:rFonts w:ascii="Times New Roman" w:hAnsi="Times New Roman" w:cs="Times New Roman"/>
          <w:sz w:val="26"/>
          <w:szCs w:val="26"/>
        </w:rPr>
        <w:t xml:space="preserve">HN </w:t>
      </w:r>
    </w:p>
    <w:p w14:paraId="66A367FC" w14:textId="62D826AC" w:rsidR="00842E68" w:rsidRPr="00E22579" w:rsidRDefault="00842E68" w:rsidP="00842E68">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ATTORNEY FOR RESPONDENT</w:t>
      </w:r>
      <w:r>
        <w:rPr>
          <w:rFonts w:ascii="Times New Roman" w:hAnsi="Times New Roman" w:cs="Times New Roman"/>
          <w:sz w:val="26"/>
          <w:szCs w:val="26"/>
        </w:rPr>
        <w:t>S</w:t>
      </w:r>
      <w:r w:rsidRPr="00567BCA">
        <w:rPr>
          <w:rFonts w:ascii="Times New Roman" w:hAnsi="Times New Roman" w:cs="Times New Roman"/>
          <w:sz w:val="26"/>
          <w:szCs w:val="26"/>
        </w:rPr>
        <w:t>:</w:t>
      </w:r>
      <w:r>
        <w:rPr>
          <w:rFonts w:ascii="Times New Roman" w:hAnsi="Times New Roman" w:cs="Times New Roman"/>
          <w:sz w:val="26"/>
          <w:szCs w:val="26"/>
        </w:rPr>
        <w:t xml:space="preserve">  IMAN ADAM ATTORNEYS</w:t>
      </w:r>
    </w:p>
    <w:p w14:paraId="0376262E" w14:textId="77777777" w:rsidR="00842E68" w:rsidRPr="00E22579" w:rsidRDefault="00842E68" w:rsidP="00E22579">
      <w:pPr>
        <w:pStyle w:val="ListParagraph"/>
        <w:spacing w:line="480" w:lineRule="auto"/>
        <w:ind w:left="851"/>
        <w:rPr>
          <w:rFonts w:ascii="Times New Roman" w:hAnsi="Times New Roman" w:cs="Times New Roman"/>
          <w:sz w:val="26"/>
          <w:szCs w:val="26"/>
        </w:rPr>
      </w:pPr>
    </w:p>
    <w:p w14:paraId="2F752A08" w14:textId="77777777" w:rsidR="00E22579" w:rsidRDefault="00E22579" w:rsidP="004E4914">
      <w:pPr>
        <w:pStyle w:val="ListParagraph"/>
        <w:spacing w:line="480" w:lineRule="auto"/>
        <w:ind w:left="851"/>
        <w:rPr>
          <w:rFonts w:ascii="Times New Roman" w:hAnsi="Times New Roman" w:cs="Times New Roman"/>
          <w:sz w:val="26"/>
          <w:szCs w:val="26"/>
        </w:rPr>
      </w:pPr>
    </w:p>
    <w:p w14:paraId="4E847FD2" w14:textId="000B6FB7" w:rsidR="003D66D6" w:rsidRPr="00567BCA" w:rsidRDefault="003D66D6" w:rsidP="004E4914">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 xml:space="preserve">DATE HEARD: </w:t>
      </w:r>
      <w:r w:rsidRPr="00567BCA">
        <w:rPr>
          <w:rFonts w:ascii="Times New Roman" w:hAnsi="Times New Roman" w:cs="Times New Roman"/>
          <w:sz w:val="26"/>
          <w:szCs w:val="26"/>
        </w:rPr>
        <w:tab/>
      </w:r>
      <w:r w:rsidRPr="00567BCA">
        <w:rPr>
          <w:rFonts w:ascii="Times New Roman" w:hAnsi="Times New Roman" w:cs="Times New Roman"/>
          <w:sz w:val="26"/>
          <w:szCs w:val="26"/>
        </w:rPr>
        <w:tab/>
      </w:r>
      <w:r w:rsidRPr="00567BCA">
        <w:rPr>
          <w:rFonts w:ascii="Times New Roman" w:hAnsi="Times New Roman" w:cs="Times New Roman"/>
          <w:sz w:val="26"/>
          <w:szCs w:val="26"/>
        </w:rPr>
        <w:tab/>
      </w:r>
      <w:r w:rsidRPr="00567BCA">
        <w:rPr>
          <w:rFonts w:ascii="Times New Roman" w:hAnsi="Times New Roman" w:cs="Times New Roman"/>
          <w:sz w:val="26"/>
          <w:szCs w:val="26"/>
        </w:rPr>
        <w:tab/>
      </w:r>
      <w:r w:rsidR="00773CA1" w:rsidRPr="00567BCA">
        <w:rPr>
          <w:rFonts w:ascii="Times New Roman" w:hAnsi="Times New Roman" w:cs="Times New Roman"/>
          <w:sz w:val="26"/>
          <w:szCs w:val="26"/>
        </w:rPr>
        <w:tab/>
      </w:r>
      <w:r w:rsidR="00E22579">
        <w:rPr>
          <w:rFonts w:ascii="Times New Roman" w:hAnsi="Times New Roman" w:cs="Times New Roman"/>
          <w:sz w:val="26"/>
          <w:szCs w:val="26"/>
        </w:rPr>
        <w:t xml:space="preserve">23 November </w:t>
      </w:r>
      <w:r w:rsidRPr="00567BCA">
        <w:rPr>
          <w:rFonts w:ascii="Times New Roman" w:hAnsi="Times New Roman" w:cs="Times New Roman"/>
          <w:sz w:val="26"/>
          <w:szCs w:val="26"/>
        </w:rPr>
        <w:t>2022</w:t>
      </w:r>
    </w:p>
    <w:p w14:paraId="08034E94" w14:textId="0FAC5494" w:rsidR="00575458" w:rsidRPr="00567BCA" w:rsidRDefault="00773CA1" w:rsidP="00AE33A3">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DATE OF JUDGMENT:</w:t>
      </w:r>
      <w:r w:rsidRPr="00567BCA">
        <w:rPr>
          <w:rFonts w:ascii="Times New Roman" w:hAnsi="Times New Roman" w:cs="Times New Roman"/>
          <w:sz w:val="26"/>
          <w:szCs w:val="26"/>
        </w:rPr>
        <w:tab/>
      </w:r>
      <w:r w:rsidRPr="00567BCA">
        <w:rPr>
          <w:rFonts w:ascii="Times New Roman" w:hAnsi="Times New Roman" w:cs="Times New Roman"/>
          <w:sz w:val="26"/>
          <w:szCs w:val="26"/>
        </w:rPr>
        <w:tab/>
      </w:r>
      <w:r w:rsidRPr="00567BCA">
        <w:rPr>
          <w:rFonts w:ascii="Times New Roman" w:hAnsi="Times New Roman" w:cs="Times New Roman"/>
          <w:sz w:val="26"/>
          <w:szCs w:val="26"/>
        </w:rPr>
        <w:tab/>
      </w:r>
      <w:r w:rsidRPr="00567BCA">
        <w:rPr>
          <w:rFonts w:ascii="Times New Roman" w:hAnsi="Times New Roman" w:cs="Times New Roman"/>
          <w:sz w:val="26"/>
          <w:szCs w:val="26"/>
        </w:rPr>
        <w:tab/>
      </w:r>
      <w:r w:rsidR="00836AEF">
        <w:rPr>
          <w:rFonts w:ascii="Times New Roman" w:hAnsi="Times New Roman" w:cs="Times New Roman"/>
          <w:sz w:val="26"/>
          <w:szCs w:val="26"/>
        </w:rPr>
        <w:t>12</w:t>
      </w:r>
      <w:r w:rsidR="00E22579">
        <w:rPr>
          <w:rFonts w:ascii="Times New Roman" w:hAnsi="Times New Roman" w:cs="Times New Roman"/>
          <w:sz w:val="26"/>
          <w:szCs w:val="26"/>
        </w:rPr>
        <w:t xml:space="preserve"> December </w:t>
      </w:r>
      <w:r w:rsidRPr="00567BCA">
        <w:rPr>
          <w:rFonts w:ascii="Times New Roman" w:hAnsi="Times New Roman" w:cs="Times New Roman"/>
          <w:sz w:val="26"/>
          <w:szCs w:val="26"/>
        </w:rPr>
        <w:t>2022</w:t>
      </w:r>
    </w:p>
    <w:sectPr w:rsidR="00575458" w:rsidRPr="00567BC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0D5" w14:textId="77777777" w:rsidR="00235BC7" w:rsidRDefault="00235BC7" w:rsidP="00DF0F04">
      <w:pPr>
        <w:spacing w:after="0" w:line="240" w:lineRule="auto"/>
      </w:pPr>
      <w:r>
        <w:separator/>
      </w:r>
    </w:p>
  </w:endnote>
  <w:endnote w:type="continuationSeparator" w:id="0">
    <w:p w14:paraId="1D276042" w14:textId="77777777" w:rsidR="00235BC7" w:rsidRDefault="00235BC7" w:rsidP="00DF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A9C95" w14:textId="77777777" w:rsidR="00235BC7" w:rsidRDefault="00235BC7" w:rsidP="00DF0F04">
      <w:pPr>
        <w:spacing w:after="0" w:line="240" w:lineRule="auto"/>
      </w:pPr>
      <w:r>
        <w:separator/>
      </w:r>
    </w:p>
  </w:footnote>
  <w:footnote w:type="continuationSeparator" w:id="0">
    <w:p w14:paraId="0EAF6D38" w14:textId="77777777" w:rsidR="00235BC7" w:rsidRDefault="00235BC7" w:rsidP="00DF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B7EE" w14:textId="7D9AF272" w:rsidR="00DF0F04" w:rsidRDefault="00DF0F04">
    <w:pPr>
      <w:pStyle w:val="Header"/>
    </w:pPr>
    <w:r>
      <w:rPr>
        <w:lang w:val="en-GB"/>
      </w:rPr>
      <w:tab/>
    </w:r>
    <w:r>
      <w:rPr>
        <w:lang w:val="en-GB"/>
      </w:rPr>
      <w:tab/>
      <w:t xml:space="preserve">Page </w:t>
    </w:r>
    <w:r>
      <w:rPr>
        <w:lang w:val="en-GB"/>
      </w:rPr>
      <w:fldChar w:fldCharType="begin"/>
    </w:r>
    <w:r>
      <w:rPr>
        <w:lang w:val="en-GB"/>
      </w:rPr>
      <w:instrText xml:space="preserve"> PAGE </w:instrText>
    </w:r>
    <w:r>
      <w:rPr>
        <w:lang w:val="en-GB"/>
      </w:rPr>
      <w:fldChar w:fldCharType="separate"/>
    </w:r>
    <w:r w:rsidR="00A11A68">
      <w:rPr>
        <w:noProof/>
        <w:lang w:val="en-GB"/>
      </w:rPr>
      <w:t>11</w:t>
    </w:r>
    <w:r>
      <w:rPr>
        <w:lang w:val="en-GB"/>
      </w:rPr>
      <w:fldChar w:fldCharType="end"/>
    </w:r>
    <w:r>
      <w:rPr>
        <w:lang w:val="en-GB"/>
      </w:rPr>
      <w:t xml:space="preserve"> of </w:t>
    </w:r>
    <w:r>
      <w:rPr>
        <w:lang w:val="en-GB"/>
      </w:rPr>
      <w:fldChar w:fldCharType="begin"/>
    </w:r>
    <w:r>
      <w:rPr>
        <w:lang w:val="en-GB"/>
      </w:rPr>
      <w:instrText xml:space="preserve"> NUMPAGES </w:instrText>
    </w:r>
    <w:r>
      <w:rPr>
        <w:lang w:val="en-GB"/>
      </w:rPr>
      <w:fldChar w:fldCharType="separate"/>
    </w:r>
    <w:r w:rsidR="00A11A68">
      <w:rPr>
        <w:noProof/>
        <w:lang w:val="en-GB"/>
      </w:rPr>
      <w:t>11</w:t>
    </w:r>
    <w:r>
      <w:rPr>
        <w:lang w:val="en-G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CE8"/>
    <w:multiLevelType w:val="multilevel"/>
    <w:tmpl w:val="7586FBBA"/>
    <w:lvl w:ilvl="0">
      <w:start w:val="1"/>
      <w:numFmt w:val="decimal"/>
      <w:lvlText w:val="%1."/>
      <w:lvlJc w:val="left"/>
      <w:pPr>
        <w:ind w:left="851" w:hanging="851"/>
      </w:pPr>
      <w:rPr>
        <w:rFonts w:ascii="Times New Roman" w:hAnsi="Times New Roman" w:cs="Times New Roman" w:hint="default"/>
        <w:b w:val="0"/>
        <w:i w:val="0"/>
        <w:sz w:val="24"/>
      </w:rPr>
    </w:lvl>
    <w:lvl w:ilvl="1">
      <w:start w:val="1"/>
      <w:numFmt w:val="decimal"/>
      <w:lvlText w:val="%1.%2."/>
      <w:lvlJc w:val="left"/>
      <w:pPr>
        <w:tabs>
          <w:tab w:val="num" w:pos="1418"/>
        </w:tabs>
        <w:ind w:left="1418" w:hanging="1418"/>
      </w:pPr>
      <w:rPr>
        <w:rFonts w:ascii="Times New Roman" w:hAnsi="Times New Roman" w:cs="Times New Roman" w:hint="default"/>
        <w:b w:val="0"/>
        <w:i w:val="0"/>
        <w:sz w:val="24"/>
      </w:rPr>
    </w:lvl>
    <w:lvl w:ilvl="2">
      <w:start w:val="1"/>
      <w:numFmt w:val="decimal"/>
      <w:lvlText w:val="%1.%2.%3."/>
      <w:lvlJc w:val="left"/>
      <w:pPr>
        <w:tabs>
          <w:tab w:val="num" w:pos="1985"/>
        </w:tabs>
        <w:ind w:left="1985" w:hanging="1985"/>
      </w:pPr>
      <w:rPr>
        <w:rFonts w:hint="default"/>
      </w:rPr>
    </w:lvl>
    <w:lvl w:ilvl="3">
      <w:start w:val="1"/>
      <w:numFmt w:val="decimal"/>
      <w:lvlText w:val="%1.%2.%3.%4."/>
      <w:lvlJc w:val="left"/>
      <w:pPr>
        <w:tabs>
          <w:tab w:val="num" w:pos="2552"/>
        </w:tabs>
        <w:ind w:left="2552" w:hanging="2552"/>
      </w:pPr>
      <w:rPr>
        <w:rFonts w:hint="default"/>
      </w:rPr>
    </w:lvl>
    <w:lvl w:ilvl="4">
      <w:start w:val="1"/>
      <w:numFmt w:val="decimal"/>
      <w:lvlText w:val="%1.%2.%3.%4.%5."/>
      <w:lvlJc w:val="left"/>
      <w:pPr>
        <w:tabs>
          <w:tab w:val="num" w:pos="3119"/>
        </w:tabs>
        <w:ind w:left="3119" w:hanging="3119"/>
      </w:pPr>
      <w:rPr>
        <w:rFonts w:hint="default"/>
      </w:rPr>
    </w:lvl>
    <w:lvl w:ilvl="5">
      <w:start w:val="1"/>
      <w:numFmt w:val="decimal"/>
      <w:lvlText w:val="%1.%2.%3.%4.%5.%6."/>
      <w:lvlJc w:val="left"/>
      <w:pPr>
        <w:tabs>
          <w:tab w:val="num" w:pos="3686"/>
        </w:tabs>
        <w:ind w:left="3686" w:hanging="3686"/>
      </w:pPr>
      <w:rPr>
        <w:rFonts w:hint="default"/>
      </w:rPr>
    </w:lvl>
    <w:lvl w:ilvl="6">
      <w:start w:val="1"/>
      <w:numFmt w:val="decimal"/>
      <w:lvlText w:val="%1.%2.%3.%4.%5.%6.%7."/>
      <w:lvlJc w:val="left"/>
      <w:pPr>
        <w:tabs>
          <w:tab w:val="num" w:pos="4253"/>
        </w:tabs>
        <w:ind w:left="4253" w:hanging="4253"/>
      </w:pPr>
      <w:rPr>
        <w:rFonts w:hint="default"/>
      </w:rPr>
    </w:lvl>
    <w:lvl w:ilvl="7">
      <w:start w:val="1"/>
      <w:numFmt w:val="decimal"/>
      <w:lvlText w:val="%1.%2.%3.%4.%5.%6.%7.%8."/>
      <w:lvlJc w:val="left"/>
      <w:pPr>
        <w:tabs>
          <w:tab w:val="num" w:pos="4820"/>
        </w:tabs>
        <w:ind w:left="4820" w:hanging="4820"/>
      </w:pPr>
      <w:rPr>
        <w:rFonts w:hint="default"/>
      </w:rPr>
    </w:lvl>
    <w:lvl w:ilvl="8">
      <w:start w:val="1"/>
      <w:numFmt w:val="decimal"/>
      <w:lvlText w:val="%1.%2.%3.%4.%5.%6.%7.%8.%9."/>
      <w:lvlJc w:val="left"/>
      <w:pPr>
        <w:tabs>
          <w:tab w:val="num" w:pos="5387"/>
        </w:tabs>
        <w:ind w:left="5387" w:hanging="5387"/>
      </w:pPr>
      <w:rPr>
        <w:rFonts w:hint="default"/>
      </w:rPr>
    </w:lvl>
  </w:abstractNum>
  <w:abstractNum w:abstractNumId="1"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0E"/>
    <w:rsid w:val="0000462B"/>
    <w:rsid w:val="000507A6"/>
    <w:rsid w:val="000629D7"/>
    <w:rsid w:val="000A6AD9"/>
    <w:rsid w:val="001312A8"/>
    <w:rsid w:val="00170DC6"/>
    <w:rsid w:val="00192277"/>
    <w:rsid w:val="001A1519"/>
    <w:rsid w:val="001D76FB"/>
    <w:rsid w:val="001F5083"/>
    <w:rsid w:val="00235BC7"/>
    <w:rsid w:val="00245192"/>
    <w:rsid w:val="00284634"/>
    <w:rsid w:val="002C52FE"/>
    <w:rsid w:val="002C5C1B"/>
    <w:rsid w:val="002D5A13"/>
    <w:rsid w:val="002D700A"/>
    <w:rsid w:val="00340D42"/>
    <w:rsid w:val="00350125"/>
    <w:rsid w:val="003575F8"/>
    <w:rsid w:val="00377E88"/>
    <w:rsid w:val="003A3A82"/>
    <w:rsid w:val="003D66D6"/>
    <w:rsid w:val="003F1DDC"/>
    <w:rsid w:val="004246F2"/>
    <w:rsid w:val="00470795"/>
    <w:rsid w:val="00486CEF"/>
    <w:rsid w:val="00492AF4"/>
    <w:rsid w:val="004C7C52"/>
    <w:rsid w:val="004E4914"/>
    <w:rsid w:val="005025CD"/>
    <w:rsid w:val="00511F3B"/>
    <w:rsid w:val="0053373C"/>
    <w:rsid w:val="00554685"/>
    <w:rsid w:val="00567BCA"/>
    <w:rsid w:val="00575458"/>
    <w:rsid w:val="00591986"/>
    <w:rsid w:val="005C21AE"/>
    <w:rsid w:val="005C229F"/>
    <w:rsid w:val="005E1421"/>
    <w:rsid w:val="005F5652"/>
    <w:rsid w:val="006614AC"/>
    <w:rsid w:val="00664294"/>
    <w:rsid w:val="00665130"/>
    <w:rsid w:val="00691CF7"/>
    <w:rsid w:val="006F15CF"/>
    <w:rsid w:val="007021FA"/>
    <w:rsid w:val="007028BA"/>
    <w:rsid w:val="00717B7A"/>
    <w:rsid w:val="00757C21"/>
    <w:rsid w:val="00773CA1"/>
    <w:rsid w:val="00786A49"/>
    <w:rsid w:val="007B230E"/>
    <w:rsid w:val="00813F51"/>
    <w:rsid w:val="00832932"/>
    <w:rsid w:val="00836AEF"/>
    <w:rsid w:val="00842E68"/>
    <w:rsid w:val="00855CF8"/>
    <w:rsid w:val="00860826"/>
    <w:rsid w:val="008A5334"/>
    <w:rsid w:val="008A5A4A"/>
    <w:rsid w:val="008F2730"/>
    <w:rsid w:val="008F54A6"/>
    <w:rsid w:val="00900090"/>
    <w:rsid w:val="00902CD2"/>
    <w:rsid w:val="009154EF"/>
    <w:rsid w:val="0094190A"/>
    <w:rsid w:val="00943C99"/>
    <w:rsid w:val="00944675"/>
    <w:rsid w:val="00962647"/>
    <w:rsid w:val="00965C75"/>
    <w:rsid w:val="009836E3"/>
    <w:rsid w:val="009A7F63"/>
    <w:rsid w:val="009D5196"/>
    <w:rsid w:val="00A11A68"/>
    <w:rsid w:val="00A2132A"/>
    <w:rsid w:val="00A3690A"/>
    <w:rsid w:val="00A62ADA"/>
    <w:rsid w:val="00A75F22"/>
    <w:rsid w:val="00A83DB2"/>
    <w:rsid w:val="00A8507C"/>
    <w:rsid w:val="00AA020E"/>
    <w:rsid w:val="00AE33A3"/>
    <w:rsid w:val="00B242AB"/>
    <w:rsid w:val="00B67EB0"/>
    <w:rsid w:val="00B96319"/>
    <w:rsid w:val="00BD0104"/>
    <w:rsid w:val="00BD2C12"/>
    <w:rsid w:val="00BD6718"/>
    <w:rsid w:val="00C470C3"/>
    <w:rsid w:val="00C600D8"/>
    <w:rsid w:val="00C73748"/>
    <w:rsid w:val="00CA02DF"/>
    <w:rsid w:val="00CD2C2A"/>
    <w:rsid w:val="00D26BB4"/>
    <w:rsid w:val="00D603AD"/>
    <w:rsid w:val="00D9093D"/>
    <w:rsid w:val="00D9164A"/>
    <w:rsid w:val="00DF0F04"/>
    <w:rsid w:val="00E03901"/>
    <w:rsid w:val="00E162DF"/>
    <w:rsid w:val="00E22579"/>
    <w:rsid w:val="00E35A60"/>
    <w:rsid w:val="00E9237D"/>
    <w:rsid w:val="00E966C4"/>
    <w:rsid w:val="00E96C14"/>
    <w:rsid w:val="00EB2A8F"/>
    <w:rsid w:val="00F33E47"/>
    <w:rsid w:val="00F745FA"/>
    <w:rsid w:val="00FD1AC3"/>
    <w:rsid w:val="00FD7BC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A86"/>
  <w15:chartTrackingRefBased/>
  <w15:docId w15:val="{74FCFDD6-A6C5-4C79-ABE8-7A1297AE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0E"/>
    <w:pPr>
      <w:spacing w:after="368" w:line="379" w:lineRule="auto"/>
      <w:ind w:right="38" w:firstLine="9"/>
      <w:jc w:val="both"/>
    </w:pPr>
    <w:rPr>
      <w:rFonts w:ascii="Times New Roman" w:eastAsia="Times New Roman" w:hAnsi="Times New Roman" w:cs="Times New Roman"/>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A020E"/>
    <w:pPr>
      <w:spacing w:after="0" w:line="240" w:lineRule="auto"/>
    </w:pPr>
    <w:rPr>
      <w:rFonts w:eastAsiaTheme="minorEastAsia"/>
      <w:lang w:eastAsia="en-ZA"/>
    </w:rPr>
    <w:tblPr>
      <w:tblCellMar>
        <w:top w:w="0" w:type="dxa"/>
        <w:left w:w="0" w:type="dxa"/>
        <w:bottom w:w="0" w:type="dxa"/>
        <w:right w:w="0" w:type="dxa"/>
      </w:tblCellMar>
    </w:tblPr>
  </w:style>
  <w:style w:type="paragraph" w:styleId="ListParagraph">
    <w:name w:val="List Paragraph"/>
    <w:basedOn w:val="Normal"/>
    <w:uiPriority w:val="34"/>
    <w:qFormat/>
    <w:rsid w:val="00AA020E"/>
    <w:pPr>
      <w:spacing w:after="0" w:line="240" w:lineRule="auto"/>
      <w:ind w:left="720" w:right="0" w:firstLine="0"/>
      <w:contextualSpacing/>
      <w:jc w:val="left"/>
    </w:pPr>
    <w:rPr>
      <w:rFonts w:asciiTheme="minorHAnsi" w:eastAsiaTheme="minorHAnsi" w:hAnsiTheme="minorHAnsi" w:cstheme="minorBidi"/>
      <w:color w:val="auto"/>
      <w:sz w:val="24"/>
      <w:szCs w:val="24"/>
      <w:lang w:val="en-GB" w:eastAsia="en-US"/>
    </w:rPr>
  </w:style>
  <w:style w:type="paragraph" w:styleId="Header">
    <w:name w:val="header"/>
    <w:basedOn w:val="Normal"/>
    <w:link w:val="HeaderChar"/>
    <w:uiPriority w:val="99"/>
    <w:unhideWhenUsed/>
    <w:rsid w:val="00DF0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F04"/>
    <w:rPr>
      <w:rFonts w:ascii="Times New Roman" w:eastAsia="Times New Roman" w:hAnsi="Times New Roman" w:cs="Times New Roman"/>
      <w:color w:val="000000"/>
      <w:sz w:val="26"/>
      <w:lang w:eastAsia="en-ZA"/>
    </w:rPr>
  </w:style>
  <w:style w:type="paragraph" w:styleId="Footer">
    <w:name w:val="footer"/>
    <w:basedOn w:val="Normal"/>
    <w:link w:val="FooterChar"/>
    <w:uiPriority w:val="99"/>
    <w:unhideWhenUsed/>
    <w:rsid w:val="00DF0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F04"/>
    <w:rPr>
      <w:rFonts w:ascii="Times New Roman" w:eastAsia="Times New Roman" w:hAnsi="Times New Roman" w:cs="Times New Roman"/>
      <w:color w:val="000000"/>
      <w:sz w:val="2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85589">
      <w:bodyDiv w:val="1"/>
      <w:marLeft w:val="0"/>
      <w:marRight w:val="0"/>
      <w:marTop w:val="0"/>
      <w:marBottom w:val="0"/>
      <w:divBdr>
        <w:top w:val="none" w:sz="0" w:space="0" w:color="auto"/>
        <w:left w:val="none" w:sz="0" w:space="0" w:color="auto"/>
        <w:bottom w:val="none" w:sz="0" w:space="0" w:color="auto"/>
        <w:right w:val="none" w:sz="0" w:space="0" w:color="auto"/>
      </w:divBdr>
    </w:div>
    <w:div w:id="1262491102">
      <w:bodyDiv w:val="1"/>
      <w:marLeft w:val="0"/>
      <w:marRight w:val="0"/>
      <w:marTop w:val="0"/>
      <w:marBottom w:val="0"/>
      <w:divBdr>
        <w:top w:val="none" w:sz="0" w:space="0" w:color="auto"/>
        <w:left w:val="none" w:sz="0" w:space="0" w:color="auto"/>
        <w:bottom w:val="none" w:sz="0" w:space="0" w:color="auto"/>
        <w:right w:val="none" w:sz="0" w:space="0" w:color="auto"/>
      </w:divBdr>
    </w:div>
    <w:div w:id="14609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8ED1-A001-413E-BB0D-016F4B38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Ross</dc:creator>
  <cp:keywords/>
  <dc:description/>
  <cp:lastModifiedBy>Mary Bruce</cp:lastModifiedBy>
  <cp:revision>6</cp:revision>
  <dcterms:created xsi:type="dcterms:W3CDTF">2023-01-04T06:45:00Z</dcterms:created>
  <dcterms:modified xsi:type="dcterms:W3CDTF">2023-01-04T11:15:00Z</dcterms:modified>
</cp:coreProperties>
</file>