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6811" w14:textId="77777777" w:rsidR="00524880" w:rsidRPr="00DD4454" w:rsidRDefault="00DD4454" w:rsidP="00DD4454">
      <w:pPr>
        <w:tabs>
          <w:tab w:val="left" w:pos="4140"/>
        </w:tabs>
        <w:spacing w:line="480" w:lineRule="auto"/>
        <w:ind w:left="4140"/>
        <w:rPr>
          <w:rFonts w:ascii="Arial" w:hAnsi="Arial" w:cs="Arial"/>
          <w:sz w:val="24"/>
          <w:szCs w:val="24"/>
        </w:rPr>
      </w:pPr>
      <w:r>
        <w:rPr>
          <w:rFonts w:ascii="Arial" w:hAnsi="Arial" w:cs="Arial"/>
          <w:sz w:val="24"/>
          <w:szCs w:val="24"/>
        </w:rPr>
        <w:t xml:space="preserve"> </w:t>
      </w:r>
      <w:r w:rsidR="00524880" w:rsidRPr="00BD365B">
        <w:rPr>
          <w:noProof/>
        </w:rPr>
        <w:drawing>
          <wp:inline distT="0" distB="0" distL="0" distR="0" wp14:anchorId="43B23A3C" wp14:editId="2770F879">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F211570" w14:textId="77777777" w:rsidR="00524880" w:rsidRPr="00BD365B" w:rsidRDefault="00DC7E88" w:rsidP="00E34DA7">
      <w:pPr>
        <w:pStyle w:val="Heading1"/>
        <w:widowControl w:val="0"/>
        <w:tabs>
          <w:tab w:val="left" w:pos="4140"/>
        </w:tabs>
        <w:autoSpaceDE w:val="0"/>
        <w:autoSpaceDN w:val="0"/>
        <w:spacing w:line="480" w:lineRule="auto"/>
        <w:ind w:left="360"/>
        <w:jc w:val="center"/>
        <w:rPr>
          <w:rFonts w:ascii="Arial" w:hAnsi="Arial" w:cs="Arial"/>
          <w:color w:val="auto"/>
          <w:sz w:val="24"/>
          <w:szCs w:val="24"/>
        </w:rPr>
      </w:pPr>
      <w:r>
        <w:rPr>
          <w:rFonts w:ascii="Arial" w:hAnsi="Arial" w:cs="Arial"/>
          <w:color w:val="auto"/>
          <w:sz w:val="24"/>
          <w:szCs w:val="24"/>
        </w:rPr>
        <w:t xml:space="preserve"> </w:t>
      </w:r>
      <w:r w:rsidR="00524880" w:rsidRPr="00BD365B">
        <w:rPr>
          <w:rFonts w:ascii="Arial" w:hAnsi="Arial" w:cs="Arial"/>
          <w:color w:val="auto"/>
          <w:sz w:val="24"/>
          <w:szCs w:val="24"/>
        </w:rPr>
        <w:t>IN THE HIGH COURT OF UTH AFRICA</w:t>
      </w:r>
    </w:p>
    <w:p w14:paraId="73404B8B" w14:textId="77777777" w:rsidR="00524880" w:rsidRPr="00BD365B" w:rsidRDefault="00DC7E88" w:rsidP="00E34DA7">
      <w:pPr>
        <w:pStyle w:val="Heading1"/>
        <w:widowControl w:val="0"/>
        <w:tabs>
          <w:tab w:val="left" w:pos="4140"/>
        </w:tabs>
        <w:autoSpaceDE w:val="0"/>
        <w:autoSpaceDN w:val="0"/>
        <w:spacing w:line="480" w:lineRule="auto"/>
        <w:ind w:left="360"/>
        <w:jc w:val="center"/>
        <w:rPr>
          <w:rFonts w:ascii="Arial" w:hAnsi="Arial" w:cs="Arial"/>
          <w:sz w:val="24"/>
          <w:szCs w:val="24"/>
        </w:rPr>
      </w:pPr>
      <w:r>
        <w:rPr>
          <w:rFonts w:ascii="Arial" w:hAnsi="Arial" w:cs="Arial"/>
          <w:color w:val="auto"/>
          <w:sz w:val="24"/>
          <w:szCs w:val="24"/>
        </w:rPr>
        <w:t xml:space="preserve"> </w:t>
      </w:r>
      <w:r w:rsidR="00524880" w:rsidRPr="00BD365B">
        <w:rPr>
          <w:rFonts w:ascii="Arial" w:hAnsi="Arial" w:cs="Arial"/>
          <w:color w:val="auto"/>
          <w:sz w:val="24"/>
          <w:szCs w:val="24"/>
        </w:rPr>
        <w:t>(GAUTENG DIVISION, JOHANNESBURG</w:t>
      </w:r>
      <w:r w:rsidR="00524880" w:rsidRPr="00BD365B">
        <w:rPr>
          <w:rFonts w:ascii="Arial" w:hAnsi="Arial" w:cs="Arial"/>
          <w:sz w:val="24"/>
          <w:szCs w:val="24"/>
        </w:rPr>
        <w:t>)</w:t>
      </w:r>
    </w:p>
    <w:p w14:paraId="049EF5E2" w14:textId="77777777" w:rsidR="00524880" w:rsidRPr="00BD365B" w:rsidRDefault="000033D3" w:rsidP="000033D3">
      <w:pPr>
        <w:tabs>
          <w:tab w:val="left" w:pos="4140"/>
        </w:tabs>
        <w:spacing w:after="0" w:line="480" w:lineRule="auto"/>
        <w:ind w:left="360"/>
        <w:jc w:val="both"/>
        <w:rPr>
          <w:rFonts w:ascii="Arial" w:hAnsi="Arial" w:cs="Arial"/>
          <w:sz w:val="24"/>
          <w:szCs w:val="24"/>
        </w:rPr>
      </w:pPr>
      <w:r w:rsidRPr="000033D3">
        <w:rPr>
          <w:rFonts w:ascii="Arial" w:hAnsi="Arial" w:cs="Arial"/>
          <w:b/>
          <w:bCs/>
          <w:sz w:val="24"/>
          <w:szCs w:val="24"/>
        </w:rPr>
        <w:tab/>
      </w:r>
      <w:r w:rsidRPr="000033D3">
        <w:rPr>
          <w:rFonts w:ascii="Arial" w:hAnsi="Arial" w:cs="Arial"/>
          <w:b/>
          <w:bCs/>
          <w:sz w:val="24"/>
          <w:szCs w:val="24"/>
        </w:rPr>
        <w:tab/>
      </w:r>
      <w:r w:rsidRPr="000033D3">
        <w:rPr>
          <w:rFonts w:ascii="Arial" w:hAnsi="Arial" w:cs="Arial"/>
          <w:b/>
          <w:bCs/>
          <w:sz w:val="24"/>
          <w:szCs w:val="24"/>
        </w:rPr>
        <w:tab/>
      </w:r>
      <w:r w:rsidRPr="000033D3">
        <w:rPr>
          <w:rFonts w:ascii="Arial" w:hAnsi="Arial" w:cs="Arial"/>
          <w:b/>
          <w:bCs/>
          <w:sz w:val="24"/>
          <w:szCs w:val="24"/>
        </w:rPr>
        <w:tab/>
      </w:r>
      <w:r w:rsidRPr="000033D3">
        <w:rPr>
          <w:rFonts w:ascii="Arial" w:hAnsi="Arial" w:cs="Arial"/>
          <w:b/>
          <w:bCs/>
          <w:sz w:val="24"/>
          <w:szCs w:val="24"/>
        </w:rPr>
        <w:tab/>
      </w:r>
      <w:r w:rsidR="00524880" w:rsidRPr="00DC7E88">
        <w:rPr>
          <w:rFonts w:ascii="Arial" w:hAnsi="Arial" w:cs="Arial"/>
          <w:b/>
          <w:bCs/>
          <w:sz w:val="24"/>
          <w:szCs w:val="24"/>
        </w:rPr>
        <w:t xml:space="preserve">  </w:t>
      </w:r>
      <w:r>
        <w:rPr>
          <w:rFonts w:ascii="Segoe UI" w:hAnsi="Segoe UI" w:cs="Segoe UI"/>
          <w:color w:val="000000"/>
          <w:sz w:val="27"/>
          <w:szCs w:val="27"/>
        </w:rPr>
        <w:t xml:space="preserve">CASE NO: 16634/2021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tblGrid>
      <w:tr w:rsidR="00524880" w:rsidRPr="00BD365B" w14:paraId="45677853" w14:textId="77777777" w:rsidTr="00DD4454">
        <w:trPr>
          <w:trHeight w:val="517"/>
        </w:trPr>
        <w:tc>
          <w:tcPr>
            <w:tcW w:w="3562" w:type="dxa"/>
          </w:tcPr>
          <w:p w14:paraId="614B7F3E" w14:textId="77777777" w:rsidR="00524880" w:rsidRPr="00DD4454" w:rsidRDefault="00DC7E88" w:rsidP="00DD4454">
            <w:pPr>
              <w:tabs>
                <w:tab w:val="left" w:pos="4140"/>
              </w:tabs>
              <w:spacing w:after="0" w:line="240" w:lineRule="auto"/>
              <w:ind w:left="360"/>
              <w:rPr>
                <w:rFonts w:ascii="Arial" w:hAnsi="Arial" w:cs="Arial"/>
                <w:sz w:val="16"/>
                <w:szCs w:val="16"/>
              </w:rPr>
            </w:pPr>
            <w:r>
              <w:rPr>
                <w:rFonts w:ascii="Arial" w:hAnsi="Arial" w:cs="Arial"/>
                <w:sz w:val="24"/>
                <w:szCs w:val="24"/>
              </w:rPr>
              <w:t xml:space="preserve"> </w:t>
            </w:r>
            <w:r w:rsidR="00524880" w:rsidRPr="00DD4454">
              <w:rPr>
                <w:rFonts w:ascii="Arial" w:hAnsi="Arial" w:cs="Arial"/>
                <w:sz w:val="16"/>
                <w:szCs w:val="16"/>
              </w:rPr>
              <w:t xml:space="preserve">REPORTABLE: No </w:t>
            </w:r>
          </w:p>
          <w:p w14:paraId="285D6ACE" w14:textId="77777777" w:rsidR="00524880" w:rsidRPr="00DD4454" w:rsidRDefault="00DC7E88" w:rsidP="00DD4454">
            <w:pPr>
              <w:tabs>
                <w:tab w:val="left" w:pos="4140"/>
              </w:tabs>
              <w:spacing w:after="0" w:line="240" w:lineRule="auto"/>
              <w:ind w:left="360"/>
              <w:rPr>
                <w:rFonts w:ascii="Arial" w:hAnsi="Arial" w:cs="Arial"/>
                <w:sz w:val="16"/>
                <w:szCs w:val="16"/>
              </w:rPr>
            </w:pPr>
            <w:r w:rsidRPr="00DD4454">
              <w:rPr>
                <w:rFonts w:ascii="Arial" w:hAnsi="Arial" w:cs="Arial"/>
                <w:sz w:val="16"/>
                <w:szCs w:val="16"/>
              </w:rPr>
              <w:t xml:space="preserve"> </w:t>
            </w:r>
            <w:r w:rsidR="00524880" w:rsidRPr="00DD4454">
              <w:rPr>
                <w:rFonts w:ascii="Arial" w:hAnsi="Arial" w:cs="Arial"/>
                <w:sz w:val="16"/>
                <w:szCs w:val="16"/>
              </w:rPr>
              <w:t xml:space="preserve">OF INTEREST TO OTHER JUDGES: No </w:t>
            </w:r>
          </w:p>
          <w:p w14:paraId="22D72F4A" w14:textId="77777777" w:rsidR="00524880" w:rsidRPr="00DD4454" w:rsidRDefault="00DC7E88" w:rsidP="00DD4454">
            <w:pPr>
              <w:tabs>
                <w:tab w:val="left" w:pos="4140"/>
              </w:tabs>
              <w:spacing w:after="0" w:line="240" w:lineRule="auto"/>
              <w:ind w:left="360"/>
              <w:rPr>
                <w:rFonts w:ascii="Arial" w:hAnsi="Arial" w:cs="Arial"/>
                <w:sz w:val="16"/>
                <w:szCs w:val="16"/>
              </w:rPr>
            </w:pPr>
            <w:r w:rsidRPr="00DD4454">
              <w:rPr>
                <w:rFonts w:ascii="Arial" w:hAnsi="Arial" w:cs="Arial"/>
                <w:sz w:val="16"/>
                <w:szCs w:val="16"/>
              </w:rPr>
              <w:t xml:space="preserve"> </w:t>
            </w:r>
            <w:r w:rsidR="00524880" w:rsidRPr="00DD4454">
              <w:rPr>
                <w:rFonts w:ascii="Arial" w:hAnsi="Arial" w:cs="Arial"/>
                <w:sz w:val="16"/>
                <w:szCs w:val="16"/>
              </w:rPr>
              <w:t>REVISED: NO</w:t>
            </w:r>
          </w:p>
          <w:p w14:paraId="343DE42E" w14:textId="77777777" w:rsidR="00524880" w:rsidRPr="00DD4454" w:rsidRDefault="00DD4454" w:rsidP="00DD4454">
            <w:pPr>
              <w:tabs>
                <w:tab w:val="left" w:pos="4140"/>
              </w:tabs>
              <w:spacing w:after="0" w:line="480" w:lineRule="auto"/>
              <w:rPr>
                <w:rFonts w:ascii="Arial" w:hAnsi="Arial" w:cs="Arial"/>
                <w:sz w:val="16"/>
                <w:szCs w:val="16"/>
              </w:rPr>
            </w:pPr>
            <w:r w:rsidRPr="00DD4454">
              <w:rPr>
                <w:rFonts w:ascii="Arial" w:hAnsi="Arial" w:cs="Arial"/>
                <w:sz w:val="16"/>
                <w:szCs w:val="16"/>
              </w:rPr>
              <w:t>28 December 2022</w:t>
            </w:r>
          </w:p>
        </w:tc>
      </w:tr>
    </w:tbl>
    <w:p w14:paraId="2D7FEA29" w14:textId="77777777" w:rsidR="00524880" w:rsidRPr="000033D3" w:rsidRDefault="00DC7E88" w:rsidP="000033D3">
      <w:pPr>
        <w:tabs>
          <w:tab w:val="left" w:pos="4140"/>
        </w:tabs>
        <w:spacing w:after="0" w:line="480" w:lineRule="auto"/>
        <w:ind w:left="360"/>
        <w:jc w:val="both"/>
        <w:rPr>
          <w:rFonts w:ascii="Arial" w:hAnsi="Arial" w:cs="Arial"/>
          <w:b/>
          <w:sz w:val="24"/>
          <w:szCs w:val="24"/>
        </w:rPr>
      </w:pPr>
      <w:r>
        <w:rPr>
          <w:rFonts w:ascii="Arial" w:hAnsi="Arial" w:cs="Arial"/>
          <w:sz w:val="24"/>
          <w:szCs w:val="24"/>
        </w:rPr>
        <w:t xml:space="preserve"> </w:t>
      </w:r>
      <w:r w:rsidR="00524880" w:rsidRPr="000033D3">
        <w:rPr>
          <w:rFonts w:ascii="Arial" w:hAnsi="Arial" w:cs="Arial"/>
          <w:b/>
          <w:sz w:val="24"/>
          <w:szCs w:val="24"/>
        </w:rPr>
        <w:t xml:space="preserve">In the matter between: </w:t>
      </w:r>
      <w:r w:rsidR="000033D3" w:rsidRPr="000033D3">
        <w:rPr>
          <w:rFonts w:ascii="Arial" w:hAnsi="Arial" w:cs="Arial"/>
          <w:b/>
          <w:sz w:val="24"/>
          <w:szCs w:val="24"/>
        </w:rPr>
        <w:t xml:space="preserve"> </w:t>
      </w:r>
    </w:p>
    <w:p w14:paraId="1F46F0DA" w14:textId="77777777" w:rsidR="000033D3" w:rsidRPr="000033D3" w:rsidRDefault="000033D3" w:rsidP="000033D3">
      <w:pPr>
        <w:tabs>
          <w:tab w:val="left" w:pos="4140"/>
        </w:tabs>
        <w:spacing w:after="0" w:line="480" w:lineRule="auto"/>
        <w:ind w:left="360"/>
        <w:jc w:val="both"/>
        <w:rPr>
          <w:rFonts w:ascii="Segoe UI" w:hAnsi="Segoe UI" w:cs="Segoe UI"/>
          <w:b/>
          <w:color w:val="000000"/>
          <w:sz w:val="27"/>
          <w:szCs w:val="27"/>
        </w:rPr>
      </w:pPr>
      <w:r w:rsidRPr="000033D3">
        <w:rPr>
          <w:rFonts w:ascii="Segoe UI" w:hAnsi="Segoe UI" w:cs="Segoe UI"/>
          <w:b/>
          <w:color w:val="000000"/>
          <w:sz w:val="27"/>
          <w:szCs w:val="27"/>
        </w:rPr>
        <w:t xml:space="preserve">SASFIN BANK LIMITED </w:t>
      </w:r>
      <w:r w:rsidRPr="000033D3">
        <w:rPr>
          <w:rFonts w:ascii="Segoe UI" w:hAnsi="Segoe UI" w:cs="Segoe UI"/>
          <w:b/>
          <w:color w:val="000000"/>
          <w:sz w:val="27"/>
          <w:szCs w:val="27"/>
        </w:rPr>
        <w:tab/>
      </w:r>
      <w:r>
        <w:rPr>
          <w:rFonts w:ascii="Segoe UI" w:hAnsi="Segoe UI" w:cs="Segoe UI"/>
          <w:b/>
          <w:color w:val="000000"/>
          <w:sz w:val="27"/>
          <w:szCs w:val="27"/>
        </w:rPr>
        <w:tab/>
      </w:r>
      <w:r w:rsidRPr="000033D3">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Pr="000033D3">
        <w:rPr>
          <w:rFonts w:ascii="Segoe UI" w:hAnsi="Segoe UI" w:cs="Segoe UI"/>
          <w:b/>
          <w:color w:val="000000"/>
          <w:sz w:val="27"/>
          <w:szCs w:val="27"/>
        </w:rPr>
        <w:t xml:space="preserve">First Plaintiff </w:t>
      </w:r>
    </w:p>
    <w:p w14:paraId="7F929962" w14:textId="77777777" w:rsidR="000033D3" w:rsidRPr="000033D3" w:rsidRDefault="000033D3" w:rsidP="000033D3">
      <w:pPr>
        <w:tabs>
          <w:tab w:val="left" w:pos="4140"/>
        </w:tabs>
        <w:spacing w:after="0" w:line="480" w:lineRule="auto"/>
        <w:ind w:left="360"/>
        <w:jc w:val="both"/>
        <w:rPr>
          <w:rFonts w:ascii="Segoe UI" w:hAnsi="Segoe UI" w:cs="Segoe UI"/>
          <w:b/>
          <w:color w:val="000000"/>
          <w:sz w:val="27"/>
          <w:szCs w:val="27"/>
        </w:rPr>
      </w:pPr>
      <w:r w:rsidRPr="000033D3">
        <w:rPr>
          <w:rFonts w:ascii="Segoe UI" w:hAnsi="Segoe UI" w:cs="Segoe UI"/>
          <w:b/>
          <w:color w:val="000000"/>
          <w:sz w:val="27"/>
          <w:szCs w:val="27"/>
        </w:rPr>
        <w:t xml:space="preserve">SUNLYN (PTY) LTD </w:t>
      </w:r>
      <w:r w:rsidRPr="000033D3">
        <w:rPr>
          <w:rFonts w:ascii="Segoe UI" w:hAnsi="Segoe UI" w:cs="Segoe UI"/>
          <w:b/>
          <w:color w:val="000000"/>
          <w:sz w:val="27"/>
          <w:szCs w:val="27"/>
        </w:rPr>
        <w:tab/>
      </w:r>
      <w:r w:rsidRPr="000033D3">
        <w:rPr>
          <w:rFonts w:ascii="Segoe UI" w:hAnsi="Segoe UI" w:cs="Segoe UI"/>
          <w:b/>
          <w:color w:val="000000"/>
          <w:sz w:val="27"/>
          <w:szCs w:val="27"/>
        </w:rPr>
        <w:tab/>
      </w:r>
      <w:r>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Pr="000033D3">
        <w:rPr>
          <w:rFonts w:ascii="Segoe UI" w:hAnsi="Segoe UI" w:cs="Segoe UI"/>
          <w:b/>
          <w:color w:val="000000"/>
          <w:sz w:val="27"/>
          <w:szCs w:val="27"/>
        </w:rPr>
        <w:t xml:space="preserve">Second Plaintiff </w:t>
      </w:r>
    </w:p>
    <w:p w14:paraId="36133BAA" w14:textId="77777777" w:rsidR="000033D3" w:rsidRPr="000033D3" w:rsidRDefault="000033D3" w:rsidP="000033D3">
      <w:pPr>
        <w:tabs>
          <w:tab w:val="left" w:pos="4140"/>
        </w:tabs>
        <w:spacing w:after="0" w:line="480" w:lineRule="auto"/>
        <w:ind w:left="360"/>
        <w:jc w:val="both"/>
        <w:rPr>
          <w:rFonts w:ascii="Segoe UI" w:hAnsi="Segoe UI" w:cs="Segoe UI"/>
          <w:b/>
          <w:color w:val="000000"/>
          <w:sz w:val="27"/>
          <w:szCs w:val="27"/>
        </w:rPr>
      </w:pPr>
      <w:r w:rsidRPr="000033D3">
        <w:rPr>
          <w:rFonts w:ascii="Segoe UI" w:hAnsi="Segoe UI" w:cs="Segoe UI"/>
          <w:b/>
          <w:color w:val="000000"/>
          <w:sz w:val="27"/>
          <w:szCs w:val="27"/>
        </w:rPr>
        <w:t xml:space="preserve">and </w:t>
      </w:r>
      <w:r w:rsidRPr="000033D3">
        <w:rPr>
          <w:rFonts w:ascii="Segoe UI" w:hAnsi="Segoe UI" w:cs="Segoe UI"/>
          <w:b/>
          <w:color w:val="000000"/>
          <w:sz w:val="27"/>
          <w:szCs w:val="27"/>
        </w:rPr>
        <w:tab/>
      </w:r>
    </w:p>
    <w:p w14:paraId="1AE4B45D" w14:textId="77777777" w:rsidR="000033D3" w:rsidRPr="000033D3" w:rsidRDefault="000033D3" w:rsidP="000033D3">
      <w:pPr>
        <w:tabs>
          <w:tab w:val="left" w:pos="4140"/>
        </w:tabs>
        <w:spacing w:after="0" w:line="480" w:lineRule="auto"/>
        <w:ind w:left="360"/>
        <w:jc w:val="both"/>
        <w:rPr>
          <w:rFonts w:ascii="Arial" w:hAnsi="Arial" w:cs="Arial"/>
          <w:b/>
          <w:sz w:val="24"/>
          <w:szCs w:val="24"/>
        </w:rPr>
      </w:pPr>
      <w:r w:rsidRPr="000033D3">
        <w:rPr>
          <w:rFonts w:ascii="Segoe UI" w:hAnsi="Segoe UI" w:cs="Segoe UI"/>
          <w:b/>
          <w:color w:val="000000"/>
          <w:sz w:val="27"/>
          <w:szCs w:val="27"/>
        </w:rPr>
        <w:t xml:space="preserve">FITNESS HOLDINGS LTD </w:t>
      </w:r>
      <w:r w:rsidRPr="000033D3">
        <w:rPr>
          <w:rFonts w:ascii="Segoe UI" w:hAnsi="Segoe UI" w:cs="Segoe UI"/>
          <w:b/>
          <w:color w:val="000000"/>
          <w:sz w:val="27"/>
          <w:szCs w:val="27"/>
        </w:rPr>
        <w:tab/>
      </w:r>
      <w:r>
        <w:rPr>
          <w:rFonts w:ascii="Segoe UI" w:hAnsi="Segoe UI" w:cs="Segoe UI"/>
          <w:b/>
          <w:color w:val="000000"/>
          <w:sz w:val="27"/>
          <w:szCs w:val="27"/>
        </w:rPr>
        <w:tab/>
      </w:r>
      <w:r w:rsidRPr="000033D3">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00E701E0">
        <w:rPr>
          <w:rFonts w:ascii="Segoe UI" w:hAnsi="Segoe UI" w:cs="Segoe UI"/>
          <w:b/>
          <w:color w:val="000000"/>
          <w:sz w:val="27"/>
          <w:szCs w:val="27"/>
        </w:rPr>
        <w:tab/>
      </w:r>
      <w:r w:rsidRPr="000033D3">
        <w:rPr>
          <w:rFonts w:ascii="Segoe UI" w:hAnsi="Segoe UI" w:cs="Segoe UI"/>
          <w:b/>
          <w:color w:val="000000"/>
          <w:sz w:val="27"/>
          <w:szCs w:val="27"/>
        </w:rPr>
        <w:t>Defendant</w:t>
      </w:r>
    </w:p>
    <w:p w14:paraId="52E811D3" w14:textId="77777777" w:rsidR="00524880" w:rsidRPr="00DC7E88" w:rsidRDefault="000033D3" w:rsidP="00E701E0">
      <w:pPr>
        <w:tabs>
          <w:tab w:val="left" w:pos="4140"/>
        </w:tabs>
        <w:spacing w:after="0" w:line="480" w:lineRule="auto"/>
        <w:ind w:left="360"/>
        <w:jc w:val="both"/>
        <w:rPr>
          <w:rFonts w:ascii="Arial" w:hAnsi="Arial" w:cs="Arial"/>
          <w:b/>
          <w:sz w:val="24"/>
          <w:szCs w:val="24"/>
        </w:rPr>
      </w:pPr>
      <w:r>
        <w:rPr>
          <w:rFonts w:ascii="Arial" w:hAnsi="Arial" w:cs="Arial"/>
          <w:b/>
          <w:sz w:val="24"/>
          <w:szCs w:val="24"/>
        </w:rPr>
        <w:t xml:space="preserve"> </w:t>
      </w:r>
    </w:p>
    <w:p w14:paraId="2C00B4C7" w14:textId="42375DD9" w:rsidR="00CC4BAD" w:rsidRDefault="00DC7E88" w:rsidP="00E701E0">
      <w:pPr>
        <w:spacing w:line="480" w:lineRule="auto"/>
        <w:ind w:left="1440" w:hanging="1440"/>
        <w:jc w:val="both"/>
        <w:rPr>
          <w:rFonts w:ascii="Arial" w:hAnsi="Arial" w:cs="Arial"/>
          <w:sz w:val="24"/>
          <w:szCs w:val="24"/>
        </w:rPr>
      </w:pPr>
      <w:r>
        <w:rPr>
          <w:rFonts w:ascii="Arial" w:hAnsi="Arial" w:cs="Arial"/>
          <w:b/>
          <w:sz w:val="24"/>
          <w:szCs w:val="24"/>
        </w:rPr>
        <w:t xml:space="preserve"> </w:t>
      </w:r>
      <w:r w:rsidR="00CC4BAD" w:rsidRPr="00DC7E88">
        <w:rPr>
          <w:rFonts w:ascii="Arial" w:hAnsi="Arial" w:cs="Arial"/>
          <w:b/>
          <w:sz w:val="24"/>
          <w:szCs w:val="24"/>
        </w:rPr>
        <w:t xml:space="preserve">Delivered: </w:t>
      </w:r>
      <w:r w:rsidR="00CC4BAD" w:rsidRPr="00DC7E88">
        <w:rPr>
          <w:rFonts w:ascii="Arial" w:hAnsi="Arial" w:cs="Arial"/>
          <w:b/>
          <w:sz w:val="24"/>
          <w:szCs w:val="24"/>
        </w:rPr>
        <w:tab/>
      </w:r>
      <w:r w:rsidR="00CC4BAD" w:rsidRPr="00DC7E88">
        <w:rPr>
          <w:rFonts w:ascii="Arial" w:hAnsi="Arial" w:cs="Arial"/>
          <w:sz w:val="24"/>
          <w:szCs w:val="24"/>
        </w:rPr>
        <w:t xml:space="preserve">This judgment was handed down electronically by circulation to the parties' legal representatives by </w:t>
      </w:r>
      <w:r w:rsidR="003A2848" w:rsidRPr="00DC7E88">
        <w:rPr>
          <w:rFonts w:ascii="Arial" w:hAnsi="Arial" w:cs="Arial"/>
          <w:sz w:val="24"/>
          <w:szCs w:val="24"/>
        </w:rPr>
        <w:t>email and</w:t>
      </w:r>
      <w:r w:rsidR="00CC4BAD" w:rsidRPr="00DC7E88">
        <w:rPr>
          <w:rFonts w:ascii="Arial" w:hAnsi="Arial" w:cs="Arial"/>
          <w:sz w:val="24"/>
          <w:szCs w:val="24"/>
        </w:rPr>
        <w:t xml:space="preserve"> uploaded on </w:t>
      </w:r>
      <w:proofErr w:type="spellStart"/>
      <w:r w:rsidR="00CC4BAD" w:rsidRPr="00DC7E88">
        <w:rPr>
          <w:rFonts w:ascii="Arial" w:hAnsi="Arial" w:cs="Arial"/>
          <w:sz w:val="24"/>
          <w:szCs w:val="24"/>
        </w:rPr>
        <w:t>caselines</w:t>
      </w:r>
      <w:proofErr w:type="spellEnd"/>
      <w:r w:rsidR="00CC4BAD" w:rsidRPr="00DC7E88">
        <w:rPr>
          <w:rFonts w:ascii="Arial" w:hAnsi="Arial" w:cs="Arial"/>
          <w:sz w:val="24"/>
          <w:szCs w:val="24"/>
        </w:rPr>
        <w:t xml:space="preserve"> electronic platform. The date for hand-down is deemed to be </w:t>
      </w:r>
      <w:r w:rsidR="00711CC6">
        <w:rPr>
          <w:rFonts w:ascii="Arial" w:hAnsi="Arial" w:cs="Arial"/>
          <w:sz w:val="24"/>
          <w:szCs w:val="24"/>
        </w:rPr>
        <w:t>28 December 2022.</w:t>
      </w:r>
    </w:p>
    <w:p w14:paraId="32240A10" w14:textId="77777777" w:rsidR="00DD4454" w:rsidRPr="00DD4454" w:rsidRDefault="00DD4454" w:rsidP="00E701E0">
      <w:pPr>
        <w:spacing w:line="480" w:lineRule="auto"/>
        <w:ind w:left="709" w:hanging="709"/>
        <w:jc w:val="both"/>
        <w:rPr>
          <w:rFonts w:ascii="Arial" w:hAnsi="Arial" w:cs="Arial"/>
          <w:sz w:val="24"/>
          <w:szCs w:val="24"/>
        </w:rPr>
      </w:pPr>
      <w:r>
        <w:rPr>
          <w:rFonts w:ascii="Arial" w:hAnsi="Arial" w:cs="Arial"/>
          <w:b/>
          <w:sz w:val="24"/>
          <w:szCs w:val="24"/>
        </w:rPr>
        <w:t>Summary:</w:t>
      </w:r>
      <w:r>
        <w:rPr>
          <w:rFonts w:ascii="Arial" w:hAnsi="Arial" w:cs="Arial"/>
          <w:sz w:val="24"/>
          <w:szCs w:val="24"/>
        </w:rPr>
        <w:t xml:space="preserve"> </w:t>
      </w:r>
      <w:r>
        <w:rPr>
          <w:rFonts w:ascii="Arial" w:hAnsi="Arial" w:cs="Arial"/>
          <w:b/>
          <w:sz w:val="24"/>
          <w:szCs w:val="24"/>
        </w:rPr>
        <w:t xml:space="preserve"> </w:t>
      </w:r>
      <w:r w:rsidRPr="00DD4454">
        <w:rPr>
          <w:rFonts w:ascii="Arial" w:hAnsi="Arial" w:cs="Arial"/>
          <w:sz w:val="24"/>
          <w:szCs w:val="24"/>
        </w:rPr>
        <w:t>E</w:t>
      </w:r>
      <w:r>
        <w:rPr>
          <w:rFonts w:ascii="Arial" w:hAnsi="Arial" w:cs="Arial"/>
          <w:sz w:val="24"/>
          <w:szCs w:val="24"/>
        </w:rPr>
        <w:t xml:space="preserve">xception- the defendant contending that the particulars of claim lacks particulars to sustain the cause of action based on the allegation that the plaintiff has failed to plead </w:t>
      </w:r>
      <w:proofErr w:type="spellStart"/>
      <w:r w:rsidRPr="00DD4454">
        <w:rPr>
          <w:rFonts w:ascii="Arial" w:hAnsi="Arial" w:cs="Arial"/>
          <w:i/>
          <w:sz w:val="24"/>
          <w:szCs w:val="24"/>
        </w:rPr>
        <w:t>locu</w:t>
      </w:r>
      <w:proofErr w:type="spellEnd"/>
      <w:r w:rsidRPr="00DD4454">
        <w:rPr>
          <w:rFonts w:ascii="Arial" w:hAnsi="Arial" w:cs="Arial"/>
          <w:i/>
          <w:sz w:val="24"/>
          <w:szCs w:val="24"/>
        </w:rPr>
        <w:t xml:space="preserve"> standi</w:t>
      </w:r>
      <w:r>
        <w:rPr>
          <w:rFonts w:ascii="Arial" w:hAnsi="Arial" w:cs="Arial"/>
          <w:sz w:val="24"/>
          <w:szCs w:val="24"/>
        </w:rPr>
        <w:t xml:space="preserve"> adequately in the averment relating to cession. The </w:t>
      </w:r>
      <w:r>
        <w:rPr>
          <w:rFonts w:ascii="Arial" w:hAnsi="Arial" w:cs="Arial"/>
          <w:sz w:val="24"/>
          <w:szCs w:val="24"/>
        </w:rPr>
        <w:lastRenderedPageBreak/>
        <w:t xml:space="preserve">principles governing exception and cession restated. The confusion between an undertaking to cede rights and the cession itself explained. The distinction between the undertaking to cede rights and the cession itself explained. The undertaking to cede rights and the underlying cessionary agreement are two distinct enforceable juristic acts. </w:t>
      </w:r>
    </w:p>
    <w:p w14:paraId="2BA2E480" w14:textId="77777777" w:rsidR="00524880" w:rsidRPr="00711CC6" w:rsidRDefault="00711CC6" w:rsidP="00E701E0">
      <w:pPr>
        <w:tabs>
          <w:tab w:val="left" w:pos="4140"/>
        </w:tabs>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324D06D" w14:textId="77777777" w:rsidR="00524880" w:rsidRDefault="00DC7E88" w:rsidP="00E701E0">
      <w:pPr>
        <w:tabs>
          <w:tab w:val="left" w:pos="4140"/>
        </w:tabs>
        <w:spacing w:after="0" w:line="480" w:lineRule="auto"/>
        <w:ind w:left="3240"/>
        <w:jc w:val="both"/>
        <w:rPr>
          <w:rFonts w:ascii="Arial" w:hAnsi="Arial" w:cs="Arial"/>
          <w:b/>
          <w:sz w:val="24"/>
          <w:szCs w:val="24"/>
        </w:rPr>
      </w:pPr>
      <w:r>
        <w:rPr>
          <w:rFonts w:ascii="Arial" w:hAnsi="Arial" w:cs="Arial"/>
          <w:b/>
          <w:sz w:val="24"/>
          <w:szCs w:val="24"/>
        </w:rPr>
        <w:t xml:space="preserve"> </w:t>
      </w:r>
      <w:r w:rsidR="00524880" w:rsidRPr="00DC7E88">
        <w:rPr>
          <w:rFonts w:ascii="Arial" w:hAnsi="Arial" w:cs="Arial"/>
          <w:b/>
          <w:sz w:val="24"/>
          <w:szCs w:val="24"/>
        </w:rPr>
        <w:t>JUDGMENT</w:t>
      </w:r>
    </w:p>
    <w:p w14:paraId="565CBBD7" w14:textId="77777777" w:rsidR="00711CC6" w:rsidRPr="00711CC6" w:rsidRDefault="00711CC6" w:rsidP="00E701E0">
      <w:pPr>
        <w:tabs>
          <w:tab w:val="left" w:pos="4140"/>
        </w:tabs>
        <w:spacing w:after="0" w:line="480" w:lineRule="auto"/>
        <w:jc w:val="both"/>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E9F0391" w14:textId="77777777" w:rsidR="00524880" w:rsidRPr="00BD365B" w:rsidRDefault="00524880" w:rsidP="00E701E0">
      <w:pPr>
        <w:tabs>
          <w:tab w:val="left" w:pos="4140"/>
        </w:tabs>
        <w:spacing w:after="0" w:line="480" w:lineRule="auto"/>
        <w:ind w:firstLine="8640"/>
        <w:jc w:val="both"/>
        <w:rPr>
          <w:rFonts w:ascii="Arial" w:hAnsi="Arial" w:cs="Arial"/>
          <w:sz w:val="24"/>
          <w:szCs w:val="24"/>
          <w:u w:val="single"/>
        </w:rPr>
      </w:pPr>
    </w:p>
    <w:p w14:paraId="7558B10E" w14:textId="77777777" w:rsidR="00CC4BAD" w:rsidRPr="00DC7E88" w:rsidRDefault="00DC7E88" w:rsidP="00E701E0">
      <w:pPr>
        <w:tabs>
          <w:tab w:val="left" w:pos="4140"/>
        </w:tabs>
        <w:spacing w:line="480" w:lineRule="auto"/>
        <w:ind w:left="360"/>
        <w:jc w:val="both"/>
        <w:rPr>
          <w:rFonts w:ascii="Arial" w:hAnsi="Arial" w:cs="Arial"/>
          <w:color w:val="000000"/>
          <w:sz w:val="24"/>
          <w:szCs w:val="24"/>
        </w:rPr>
      </w:pPr>
      <w:r>
        <w:rPr>
          <w:rFonts w:ascii="Arial" w:hAnsi="Arial" w:cs="Arial"/>
          <w:b/>
          <w:sz w:val="24"/>
          <w:szCs w:val="24"/>
          <w:lang w:val="en-GB"/>
        </w:rPr>
        <w:t xml:space="preserve"> </w:t>
      </w:r>
      <w:proofErr w:type="spellStart"/>
      <w:r w:rsidR="00CC4BAD" w:rsidRPr="00DC7E88">
        <w:rPr>
          <w:rFonts w:ascii="Arial" w:hAnsi="Arial" w:cs="Arial"/>
          <w:b/>
          <w:sz w:val="24"/>
          <w:szCs w:val="24"/>
          <w:lang w:val="en-GB"/>
        </w:rPr>
        <w:t>Molahlehi</w:t>
      </w:r>
      <w:proofErr w:type="spellEnd"/>
      <w:r w:rsidR="00CC4BAD" w:rsidRPr="00DC7E88">
        <w:rPr>
          <w:rFonts w:ascii="Arial" w:hAnsi="Arial" w:cs="Arial"/>
          <w:b/>
          <w:sz w:val="24"/>
          <w:szCs w:val="24"/>
          <w:lang w:val="en-GB"/>
        </w:rPr>
        <w:t xml:space="preserve"> J </w:t>
      </w:r>
    </w:p>
    <w:p w14:paraId="668D6F0E" w14:textId="77777777" w:rsidR="003F3C59" w:rsidRPr="00711CC6" w:rsidRDefault="00DC7E88" w:rsidP="00E701E0">
      <w:pPr>
        <w:pStyle w:val="NormalWeb"/>
        <w:tabs>
          <w:tab w:val="left" w:pos="4140"/>
        </w:tabs>
        <w:spacing w:before="0" w:beforeAutospacing="0" w:after="0" w:afterAutospacing="0" w:line="480" w:lineRule="auto"/>
        <w:ind w:left="360"/>
        <w:jc w:val="both"/>
        <w:rPr>
          <w:rFonts w:ascii="Arial" w:hAnsi="Arial" w:cs="Arial"/>
          <w:b/>
          <w:color w:val="0E101A"/>
        </w:rPr>
      </w:pPr>
      <w:r w:rsidRPr="00711CC6">
        <w:rPr>
          <w:rFonts w:ascii="Arial" w:hAnsi="Arial" w:cs="Arial"/>
          <w:b/>
          <w:color w:val="0E101A"/>
        </w:rPr>
        <w:t xml:space="preserve"> </w:t>
      </w:r>
      <w:r w:rsidR="003F3C59" w:rsidRPr="00711CC6">
        <w:rPr>
          <w:rFonts w:ascii="Arial" w:hAnsi="Arial" w:cs="Arial"/>
          <w:b/>
          <w:color w:val="0E101A"/>
        </w:rPr>
        <w:t>Introduction </w:t>
      </w:r>
    </w:p>
    <w:p w14:paraId="5AEA476C"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68C2E42E" w14:textId="246033CB"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This is an exception brought by the defendant, against the plaintiffs' particulars of the claim, based on the contention that the particulars of claim lack averments necessary to sustain a cause of action. </w:t>
      </w:r>
    </w:p>
    <w:p w14:paraId="17B8B2C6"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23AF0549" w14:textId="06F82343"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[2]</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essential aspect of the defendant's complain is that the plaintiffs have failed to adequately plead their </w:t>
      </w:r>
      <w:r w:rsidR="003F3C59" w:rsidRPr="003A2848">
        <w:rPr>
          <w:rFonts w:ascii="Arial" w:eastAsia="Times New Roman" w:hAnsi="Arial" w:cs="Arial"/>
          <w:i/>
          <w:iCs/>
          <w:color w:val="0E101A"/>
          <w:sz w:val="24"/>
          <w:szCs w:val="24"/>
        </w:rPr>
        <w:t>locus standi</w:t>
      </w:r>
      <w:r w:rsidR="003F3C59" w:rsidRPr="003A2848">
        <w:rPr>
          <w:rFonts w:ascii="Arial" w:eastAsia="Times New Roman" w:hAnsi="Arial" w:cs="Arial"/>
          <w:color w:val="0E101A"/>
          <w:sz w:val="24"/>
          <w:szCs w:val="24"/>
        </w:rPr>
        <w:t> to sue the defendant.</w:t>
      </w:r>
    </w:p>
    <w:p w14:paraId="0C6A9392" w14:textId="77777777" w:rsidR="003F3C59" w:rsidRPr="003F3C59" w:rsidRDefault="003F3C59" w:rsidP="00E701E0">
      <w:pPr>
        <w:tabs>
          <w:tab w:val="left" w:pos="4140"/>
        </w:tabs>
        <w:spacing w:after="0" w:line="480" w:lineRule="auto"/>
        <w:jc w:val="both"/>
        <w:rPr>
          <w:rFonts w:ascii="Arial" w:eastAsia="Times New Roman" w:hAnsi="Arial" w:cs="Arial"/>
          <w:b/>
          <w:color w:val="0E101A"/>
          <w:sz w:val="24"/>
          <w:szCs w:val="24"/>
        </w:rPr>
      </w:pPr>
    </w:p>
    <w:p w14:paraId="6FABF78B" w14:textId="77777777" w:rsidR="003F3C59" w:rsidRDefault="00DC7E88" w:rsidP="00E701E0">
      <w:pPr>
        <w:tabs>
          <w:tab w:val="left" w:pos="4140"/>
        </w:tabs>
        <w:spacing w:after="0" w:line="480" w:lineRule="auto"/>
        <w:ind w:left="360"/>
        <w:jc w:val="both"/>
        <w:rPr>
          <w:rFonts w:ascii="Arial" w:eastAsia="Times New Roman" w:hAnsi="Arial" w:cs="Arial"/>
          <w:b/>
          <w:color w:val="0E101A"/>
          <w:sz w:val="24"/>
          <w:szCs w:val="24"/>
        </w:rPr>
      </w:pPr>
      <w:r w:rsidRPr="00DC7E88">
        <w:rPr>
          <w:rFonts w:ascii="Arial" w:eastAsia="Times New Roman" w:hAnsi="Arial" w:cs="Arial"/>
          <w:b/>
          <w:color w:val="0E101A"/>
          <w:sz w:val="24"/>
          <w:szCs w:val="24"/>
        </w:rPr>
        <w:t xml:space="preserve"> </w:t>
      </w:r>
      <w:r w:rsidR="003F3C59" w:rsidRPr="00DC7E88">
        <w:rPr>
          <w:rFonts w:ascii="Arial" w:eastAsia="Times New Roman" w:hAnsi="Arial" w:cs="Arial"/>
          <w:b/>
          <w:color w:val="0E101A"/>
          <w:sz w:val="24"/>
          <w:szCs w:val="24"/>
        </w:rPr>
        <w:t>The background facts </w:t>
      </w:r>
    </w:p>
    <w:p w14:paraId="33446F7B" w14:textId="77777777" w:rsidR="00840D0A" w:rsidRPr="00DC7E88" w:rsidRDefault="00840D0A" w:rsidP="00E701E0">
      <w:pPr>
        <w:tabs>
          <w:tab w:val="left" w:pos="4140"/>
        </w:tabs>
        <w:spacing w:after="0" w:line="480" w:lineRule="auto"/>
        <w:ind w:left="360"/>
        <w:jc w:val="both"/>
        <w:rPr>
          <w:rFonts w:ascii="Arial" w:eastAsia="Times New Roman" w:hAnsi="Arial" w:cs="Arial"/>
          <w:b/>
          <w:color w:val="0E101A"/>
          <w:sz w:val="24"/>
          <w:szCs w:val="24"/>
        </w:rPr>
      </w:pPr>
    </w:p>
    <w:p w14:paraId="63758F62" w14:textId="10551791"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[3]</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The background facts relating to the dispute between the parties are set out in the plaintiff's particulars of claim, which for this judgment, is accepted as being </w:t>
      </w:r>
      <w:r w:rsidR="003F3C59" w:rsidRPr="003A2848">
        <w:rPr>
          <w:rFonts w:ascii="Arial" w:eastAsia="Times New Roman" w:hAnsi="Arial" w:cs="Arial"/>
          <w:color w:val="0E101A"/>
          <w:sz w:val="24"/>
          <w:szCs w:val="24"/>
        </w:rPr>
        <w:lastRenderedPageBreak/>
        <w:t>correct.</w:t>
      </w:r>
      <w:r w:rsidR="00711CC6">
        <w:rPr>
          <w:rStyle w:val="FootnoteReference"/>
          <w:rFonts w:ascii="Arial" w:eastAsia="Times New Roman" w:hAnsi="Arial" w:cs="Arial"/>
          <w:color w:val="0E101A"/>
          <w:sz w:val="24"/>
          <w:szCs w:val="24"/>
        </w:rPr>
        <w:footnoteReference w:id="1"/>
      </w:r>
      <w:r w:rsidR="003F3C59" w:rsidRPr="003A2848">
        <w:rPr>
          <w:rFonts w:ascii="Arial" w:eastAsia="Times New Roman" w:hAnsi="Arial" w:cs="Arial"/>
          <w:color w:val="0E101A"/>
          <w:sz w:val="24"/>
          <w:szCs w:val="24"/>
        </w:rPr>
        <w:t> </w:t>
      </w:r>
      <w:r w:rsidR="00711CC6" w:rsidRPr="003A2848">
        <w:rPr>
          <w:rFonts w:ascii="Arial" w:eastAsia="Times New Roman" w:hAnsi="Arial" w:cs="Arial"/>
          <w:color w:val="0E101A"/>
          <w:sz w:val="24"/>
          <w:szCs w:val="24"/>
        </w:rPr>
        <w:t xml:space="preserve"> </w:t>
      </w:r>
      <w:r w:rsidR="003F3C59" w:rsidRPr="003A2848">
        <w:rPr>
          <w:rFonts w:ascii="Arial" w:eastAsia="Times New Roman" w:hAnsi="Arial" w:cs="Arial"/>
          <w:color w:val="0E101A"/>
          <w:sz w:val="24"/>
          <w:szCs w:val="24"/>
        </w:rPr>
        <w:t>The dispute arose from a complex contractual relationship between various parties.</w:t>
      </w:r>
    </w:p>
    <w:p w14:paraId="300A8A4E"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1F6894CD" w14:textId="7F8006BE"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[4]</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The plaintiff's claim is for payment of monies owing in terms of three separate master rental agreements concluded between </w:t>
      </w:r>
      <w:proofErr w:type="spellStart"/>
      <w:r w:rsidR="003F3C59" w:rsidRPr="003A2848">
        <w:rPr>
          <w:rFonts w:ascii="Arial" w:eastAsia="Times New Roman" w:hAnsi="Arial" w:cs="Arial"/>
          <w:color w:val="0E101A"/>
          <w:sz w:val="24"/>
          <w:szCs w:val="24"/>
        </w:rPr>
        <w:t>Astfin</w:t>
      </w:r>
      <w:proofErr w:type="spellEnd"/>
      <w:r w:rsidR="003F3C59" w:rsidRPr="003A2848">
        <w:rPr>
          <w:rFonts w:ascii="Arial" w:eastAsia="Times New Roman" w:hAnsi="Arial" w:cs="Arial"/>
          <w:color w:val="0E101A"/>
          <w:sz w:val="24"/>
          <w:szCs w:val="24"/>
        </w:rPr>
        <w:t xml:space="preserve"> and the defendant, Planet Fitness Holding (Pty) Ltd.</w:t>
      </w:r>
    </w:p>
    <w:p w14:paraId="0A21345F"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36E2E752" w14:textId="0240C0E1"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[5]</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amount to be paid for the rental by the defendant is set out in each agreement with the specified date for the commencement of the payment.</w:t>
      </w:r>
    </w:p>
    <w:p w14:paraId="39D10137"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22287F50" w14:textId="22DCD291"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[6]</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plaintiffs aver in the particulars of claim that the equipment, which is the subject of the lease agreement, was delivered and installed to the satisfaction of the defendant.</w:t>
      </w:r>
    </w:p>
    <w:p w14:paraId="06A8DBDC"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17073874" w14:textId="0D075172" w:rsidR="00A37750"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A37750">
        <w:rPr>
          <w:rFonts w:ascii="Arial" w:eastAsia="Times New Roman" w:hAnsi="Arial" w:cs="Arial"/>
          <w:color w:val="0E101A"/>
          <w:sz w:val="24"/>
          <w:szCs w:val="24"/>
          <w:lang w:eastAsia="en-US"/>
        </w:rPr>
        <w:t>[7]</w:t>
      </w:r>
      <w:r w:rsidRPr="00A37750">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three rental agreements contain the same terms and conditions. The terms and conditions of the agreements,</w:t>
      </w:r>
      <w:r w:rsidR="00711CC6" w:rsidRPr="003A2848">
        <w:rPr>
          <w:rFonts w:ascii="Arial" w:eastAsia="Times New Roman" w:hAnsi="Arial" w:cs="Arial"/>
          <w:color w:val="0E101A"/>
          <w:sz w:val="24"/>
          <w:szCs w:val="24"/>
        </w:rPr>
        <w:t xml:space="preserve"> are as summaris</w:t>
      </w:r>
      <w:r w:rsidR="003F3C59" w:rsidRPr="003A2848">
        <w:rPr>
          <w:rFonts w:ascii="Arial" w:eastAsia="Times New Roman" w:hAnsi="Arial" w:cs="Arial"/>
          <w:color w:val="0E101A"/>
          <w:sz w:val="24"/>
          <w:szCs w:val="24"/>
        </w:rPr>
        <w:t>ed in the plaintiff's heads of argument as follows:</w:t>
      </w:r>
    </w:p>
    <w:p w14:paraId="0B0D7018" w14:textId="77777777" w:rsidR="00A37750" w:rsidRPr="00A37750" w:rsidRDefault="00A37750" w:rsidP="00E701E0">
      <w:pPr>
        <w:tabs>
          <w:tab w:val="left" w:pos="4140"/>
        </w:tabs>
        <w:autoSpaceDE w:val="0"/>
        <w:autoSpaceDN w:val="0"/>
        <w:adjustRightInd w:val="0"/>
        <w:spacing w:after="0" w:line="480" w:lineRule="auto"/>
        <w:ind w:left="1134" w:hanging="425"/>
        <w:jc w:val="both"/>
        <w:rPr>
          <w:rFonts w:ascii="Arial" w:eastAsiaTheme="minorHAnsi" w:hAnsi="Arial" w:cs="Arial"/>
          <w:color w:val="000000"/>
          <w:lang w:eastAsia="en-US"/>
        </w:rPr>
      </w:pPr>
      <w:r>
        <w:rPr>
          <w:rFonts w:ascii="Arial" w:eastAsiaTheme="minorHAnsi" w:hAnsi="Arial" w:cs="Arial"/>
          <w:color w:val="000000"/>
          <w:lang w:eastAsia="en-US"/>
        </w:rPr>
        <w:t>“</w:t>
      </w:r>
      <w:r w:rsidRPr="00A37750">
        <w:rPr>
          <w:rFonts w:ascii="Arial" w:eastAsiaTheme="minorHAnsi" w:hAnsi="Arial" w:cs="Arial"/>
          <w:color w:val="000000"/>
          <w:lang w:eastAsia="en-US"/>
        </w:rPr>
        <w:t>9</w:t>
      </w:r>
      <w:r>
        <w:rPr>
          <w:rFonts w:ascii="Arial" w:eastAsiaTheme="minorHAnsi" w:hAnsi="Arial" w:cs="Arial"/>
          <w:color w:val="000000"/>
          <w:lang w:eastAsia="en-US"/>
        </w:rPr>
        <w:t xml:space="preserve">.1 </w:t>
      </w:r>
      <w:proofErr w:type="spellStart"/>
      <w:r>
        <w:rPr>
          <w:rFonts w:ascii="Arial" w:eastAsiaTheme="minorHAnsi" w:hAnsi="Arial" w:cs="Arial"/>
          <w:color w:val="000000"/>
          <w:lang w:eastAsia="en-US"/>
        </w:rPr>
        <w:t>Asfin</w:t>
      </w:r>
      <w:proofErr w:type="spellEnd"/>
      <w:r>
        <w:rPr>
          <w:rFonts w:ascii="Arial" w:eastAsiaTheme="minorHAnsi" w:hAnsi="Arial" w:cs="Arial"/>
          <w:color w:val="000000"/>
          <w:lang w:eastAsia="en-US"/>
        </w:rPr>
        <w:t xml:space="preserve"> would rent </w:t>
      </w:r>
      <w:r w:rsidRPr="00A37750">
        <w:rPr>
          <w:rFonts w:ascii="Arial" w:eastAsiaTheme="minorHAnsi" w:hAnsi="Arial" w:cs="Arial"/>
          <w:color w:val="000000"/>
          <w:lang w:eastAsia="en-US"/>
        </w:rPr>
        <w:t>to the d</w:t>
      </w:r>
      <w:r>
        <w:rPr>
          <w:rFonts w:ascii="Arial" w:eastAsiaTheme="minorHAnsi" w:hAnsi="Arial" w:cs="Arial"/>
          <w:color w:val="000000"/>
          <w:lang w:eastAsia="en-US"/>
        </w:rPr>
        <w:t>efendant and the defendant would hire, the goods</w:t>
      </w:r>
      <w:r w:rsidRPr="00A37750">
        <w:rPr>
          <w:rFonts w:ascii="Arial" w:eastAsiaTheme="minorHAnsi" w:hAnsi="Arial" w:cs="Arial"/>
          <w:color w:val="000000"/>
          <w:lang w:eastAsia="en-US"/>
        </w:rPr>
        <w:t xml:space="preserve"> as described in the addendum's to each of the rental agreement</w:t>
      </w:r>
      <w:r>
        <w:rPr>
          <w:rFonts w:ascii="Arial" w:eastAsiaTheme="minorHAnsi" w:hAnsi="Arial" w:cs="Arial"/>
          <w:color w:val="000000"/>
          <w:lang w:eastAsia="en-US"/>
        </w:rPr>
        <w:t xml:space="preserve"> </w:t>
      </w:r>
      <w:proofErr w:type="gramStart"/>
      <w:r>
        <w:rPr>
          <w:rFonts w:ascii="Arial" w:eastAsiaTheme="minorHAnsi" w:hAnsi="Arial" w:cs="Arial"/>
          <w:color w:val="000000"/>
          <w:lang w:eastAsia="en-US"/>
        </w:rPr>
        <w:t>( “</w:t>
      </w:r>
      <w:proofErr w:type="gramEnd"/>
      <w:r w:rsidRPr="00A37750">
        <w:rPr>
          <w:rFonts w:ascii="Arial" w:eastAsiaTheme="minorHAnsi" w:hAnsi="Arial" w:cs="Arial"/>
          <w:i/>
          <w:color w:val="000000"/>
          <w:lang w:eastAsia="en-US"/>
        </w:rPr>
        <w:t>the equipment”)</w:t>
      </w:r>
      <w:r>
        <w:rPr>
          <w:rFonts w:ascii="Arial" w:eastAsiaTheme="minorHAnsi" w:hAnsi="Arial" w:cs="Arial"/>
          <w:color w:val="000000"/>
          <w:lang w:eastAsia="en-US"/>
        </w:rPr>
        <w:t xml:space="preserve"> </w:t>
      </w:r>
      <w:r w:rsidRPr="00A37750">
        <w:rPr>
          <w:rFonts w:ascii="Arial" w:eastAsiaTheme="minorHAnsi" w:hAnsi="Arial" w:cs="Arial"/>
          <w:color w:val="000000"/>
          <w:lang w:eastAsia="en-US"/>
        </w:rPr>
        <w:t xml:space="preserve"> in respect of the first rental agreement, for a minimum period of 60 months and 48 months in respect of the second and third rental agreement. </w:t>
      </w:r>
      <w:r>
        <w:rPr>
          <w:rFonts w:ascii="Arial" w:eastAsiaTheme="minorHAnsi" w:hAnsi="Arial" w:cs="Arial"/>
          <w:color w:val="000000"/>
          <w:lang w:eastAsia="en-US"/>
        </w:rPr>
        <w:t xml:space="preserve"> </w:t>
      </w:r>
    </w:p>
    <w:p w14:paraId="1D91F3CE"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Pr>
          <w:rFonts w:ascii="Arial" w:eastAsiaTheme="minorHAnsi" w:hAnsi="Arial" w:cs="Arial"/>
          <w:color w:val="000000"/>
          <w:lang w:eastAsia="en-US"/>
        </w:rPr>
        <w:t>9.2 the rental</w:t>
      </w:r>
      <w:r w:rsidRPr="00A37750">
        <w:rPr>
          <w:rFonts w:ascii="Arial" w:eastAsiaTheme="minorHAnsi" w:hAnsi="Arial" w:cs="Arial"/>
          <w:color w:val="000000"/>
          <w:lang w:eastAsia="en-US"/>
        </w:rPr>
        <w:t xml:space="preserve"> payable would not escalate.</w:t>
      </w:r>
    </w:p>
    <w:p w14:paraId="0342EA53"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sidRPr="00A37750">
        <w:rPr>
          <w:rFonts w:ascii="Arial" w:eastAsiaTheme="minorHAnsi" w:hAnsi="Arial" w:cs="Arial"/>
          <w:color w:val="000000"/>
          <w:lang w:eastAsia="en-US"/>
        </w:rPr>
        <w:lastRenderedPageBreak/>
        <w:t>9.3. In th</w:t>
      </w:r>
      <w:r>
        <w:rPr>
          <w:rFonts w:ascii="Arial" w:eastAsiaTheme="minorHAnsi" w:hAnsi="Arial" w:cs="Arial"/>
          <w:color w:val="000000"/>
          <w:lang w:eastAsia="en-US"/>
        </w:rPr>
        <w:t xml:space="preserve">e event of the defendant failing to </w:t>
      </w:r>
      <w:r w:rsidRPr="00A37750">
        <w:rPr>
          <w:rFonts w:ascii="Arial" w:eastAsiaTheme="minorHAnsi" w:hAnsi="Arial" w:cs="Arial"/>
          <w:color w:val="000000"/>
          <w:lang w:eastAsia="en-US"/>
        </w:rPr>
        <w:t xml:space="preserve">make payment to in terms of any of the rental </w:t>
      </w:r>
      <w:r>
        <w:rPr>
          <w:rFonts w:ascii="Arial" w:eastAsiaTheme="minorHAnsi" w:hAnsi="Arial" w:cs="Arial"/>
          <w:color w:val="000000"/>
          <w:lang w:eastAsia="en-US"/>
        </w:rPr>
        <w:t>agreement on the due date there</w:t>
      </w:r>
      <w:r w:rsidRPr="00A37750">
        <w:rPr>
          <w:rFonts w:ascii="Arial" w:eastAsiaTheme="minorHAnsi" w:hAnsi="Arial" w:cs="Arial"/>
          <w:color w:val="000000"/>
          <w:lang w:eastAsia="en-US"/>
        </w:rPr>
        <w:t xml:space="preserve">of, it would be deemed that the defendant would be in breach in respect of any or all of the rental agreements, whereupon </w:t>
      </w:r>
      <w:proofErr w:type="spellStart"/>
      <w:r>
        <w:rPr>
          <w:rFonts w:ascii="Arial" w:eastAsiaTheme="minorHAnsi" w:hAnsi="Arial" w:cs="Arial"/>
          <w:color w:val="000000"/>
          <w:lang w:eastAsia="en-US"/>
        </w:rPr>
        <w:t>Astfin</w:t>
      </w:r>
      <w:proofErr w:type="spellEnd"/>
      <w:r w:rsidRPr="00A37750">
        <w:rPr>
          <w:rFonts w:ascii="Arial" w:eastAsiaTheme="minorHAnsi" w:hAnsi="Arial" w:cs="Arial"/>
          <w:color w:val="000000"/>
          <w:lang w:eastAsia="en-US"/>
        </w:rPr>
        <w:t xml:space="preserve"> would </w:t>
      </w:r>
      <w:r>
        <w:rPr>
          <w:rFonts w:ascii="Arial" w:eastAsiaTheme="minorHAnsi" w:hAnsi="Arial" w:cs="Arial"/>
          <w:color w:val="000000"/>
          <w:lang w:eastAsia="en-US"/>
        </w:rPr>
        <w:t xml:space="preserve">be entitled, </w:t>
      </w:r>
      <w:r w:rsidRPr="00A37750">
        <w:rPr>
          <w:rFonts w:ascii="Arial" w:eastAsiaTheme="minorHAnsi" w:hAnsi="Arial" w:cs="Arial"/>
          <w:i/>
          <w:color w:val="000000"/>
          <w:lang w:eastAsia="en-US"/>
        </w:rPr>
        <w:t>inter alia</w:t>
      </w:r>
      <w:r>
        <w:rPr>
          <w:rFonts w:ascii="Arial" w:eastAsiaTheme="minorHAnsi" w:hAnsi="Arial" w:cs="Arial"/>
          <w:color w:val="000000"/>
          <w:lang w:eastAsia="en-US"/>
        </w:rPr>
        <w:t xml:space="preserve">, to forthwith claim </w:t>
      </w:r>
      <w:r w:rsidRPr="00A37750">
        <w:rPr>
          <w:rFonts w:ascii="Arial" w:eastAsiaTheme="minorHAnsi" w:hAnsi="Arial" w:cs="Arial"/>
          <w:color w:val="000000"/>
          <w:lang w:eastAsia="en-US"/>
        </w:rPr>
        <w:t>immediate payment of all amounts which would have been payable in terms of any of the of the rental agreements until the expiry of the Arctic rental agreement</w:t>
      </w:r>
      <w:r>
        <w:rPr>
          <w:rFonts w:ascii="Arial" w:eastAsiaTheme="minorHAnsi" w:hAnsi="Arial" w:cs="Arial"/>
          <w:color w:val="000000"/>
          <w:lang w:eastAsia="en-US"/>
        </w:rPr>
        <w:t xml:space="preserve"> (s)</w:t>
      </w:r>
      <w:r w:rsidRPr="00A37750">
        <w:rPr>
          <w:rFonts w:ascii="Arial" w:eastAsiaTheme="minorHAnsi" w:hAnsi="Arial" w:cs="Arial"/>
          <w:color w:val="000000"/>
          <w:lang w:eastAsia="en-US"/>
        </w:rPr>
        <w:t>.</w:t>
      </w:r>
      <w:r>
        <w:rPr>
          <w:rFonts w:ascii="Arial" w:eastAsiaTheme="minorHAnsi" w:hAnsi="Arial" w:cs="Arial"/>
          <w:color w:val="000000"/>
          <w:lang w:eastAsia="en-US"/>
        </w:rPr>
        <w:t>”</w:t>
      </w:r>
    </w:p>
    <w:p w14:paraId="39242661"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p>
    <w:p w14:paraId="3AE121DF"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sidRPr="00A37750">
        <w:rPr>
          <w:rFonts w:ascii="Arial" w:eastAsiaTheme="minorHAnsi" w:hAnsi="Arial" w:cs="Arial"/>
          <w:color w:val="000000"/>
          <w:lang w:eastAsia="en-US"/>
        </w:rPr>
        <w:t xml:space="preserve">9.4. Austin will be entitled, without notice to the defendant, receipt, transfer and make over, </w:t>
      </w:r>
      <w:proofErr w:type="gramStart"/>
      <w:r w:rsidRPr="00A37750">
        <w:rPr>
          <w:rFonts w:ascii="Arial" w:eastAsiaTheme="minorHAnsi" w:hAnsi="Arial" w:cs="Arial"/>
          <w:color w:val="000000"/>
          <w:lang w:eastAsia="en-US"/>
        </w:rPr>
        <w:t>any and all</w:t>
      </w:r>
      <w:proofErr w:type="gramEnd"/>
      <w:r w:rsidRPr="00A37750">
        <w:rPr>
          <w:rFonts w:ascii="Arial" w:eastAsiaTheme="minorHAnsi" w:hAnsi="Arial" w:cs="Arial"/>
          <w:color w:val="000000"/>
          <w:lang w:eastAsia="en-US"/>
        </w:rPr>
        <w:t xml:space="preserve"> rights in and to any of all of the rental agreem</w:t>
      </w:r>
      <w:r w:rsidR="00C953CE">
        <w:rPr>
          <w:rFonts w:ascii="Arial" w:eastAsiaTheme="minorHAnsi" w:hAnsi="Arial" w:cs="Arial"/>
          <w:color w:val="000000"/>
          <w:lang w:eastAsia="en-US"/>
        </w:rPr>
        <w:t xml:space="preserve">ents, to any person </w:t>
      </w:r>
      <w:r w:rsidRPr="00A37750">
        <w:rPr>
          <w:rFonts w:ascii="Arial" w:eastAsiaTheme="minorHAnsi" w:hAnsi="Arial" w:cs="Arial"/>
          <w:color w:val="000000"/>
          <w:lang w:eastAsia="en-US"/>
        </w:rPr>
        <w:t>whatsoever.</w:t>
      </w:r>
    </w:p>
    <w:p w14:paraId="69DD2F31"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p>
    <w:p w14:paraId="65685A11"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sidRPr="00A37750">
        <w:rPr>
          <w:rFonts w:ascii="Arial" w:eastAsiaTheme="minorHAnsi" w:hAnsi="Arial" w:cs="Arial"/>
          <w:color w:val="000000"/>
          <w:lang w:eastAsia="en-US"/>
        </w:rPr>
        <w:t>9.5. A certificate signed by any manager of Austin, certifying the amount due by the defendant would on the face of it, the proof of the amount of the defendant's indebtedness.</w:t>
      </w:r>
    </w:p>
    <w:p w14:paraId="6F543443"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p>
    <w:p w14:paraId="0C65D25F" w14:textId="77777777" w:rsidR="00A37750" w:rsidRPr="00A37750" w:rsidRDefault="00C953CE"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Pr>
          <w:rFonts w:ascii="Arial" w:eastAsiaTheme="minorHAnsi" w:hAnsi="Arial" w:cs="Arial"/>
          <w:color w:val="000000"/>
          <w:lang w:eastAsia="en-US"/>
        </w:rPr>
        <w:t xml:space="preserve">9.6. The defendant will pay </w:t>
      </w:r>
      <w:proofErr w:type="spellStart"/>
      <w:r>
        <w:rPr>
          <w:rFonts w:ascii="Arial" w:eastAsiaTheme="minorHAnsi" w:hAnsi="Arial" w:cs="Arial"/>
          <w:color w:val="000000"/>
          <w:lang w:eastAsia="en-US"/>
        </w:rPr>
        <w:t>Astfin</w:t>
      </w:r>
      <w:proofErr w:type="spellEnd"/>
      <w:r>
        <w:rPr>
          <w:rFonts w:ascii="Arial" w:eastAsiaTheme="minorHAnsi" w:hAnsi="Arial" w:cs="Arial"/>
          <w:color w:val="000000"/>
          <w:lang w:eastAsia="en-US"/>
        </w:rPr>
        <w:t xml:space="preserve">, interest at the prime rate plus </w:t>
      </w:r>
      <w:r w:rsidR="00A37750" w:rsidRPr="00A37750">
        <w:rPr>
          <w:rFonts w:ascii="Arial" w:eastAsiaTheme="minorHAnsi" w:hAnsi="Arial" w:cs="Arial"/>
          <w:color w:val="000000"/>
          <w:lang w:eastAsia="en-US"/>
        </w:rPr>
        <w:t xml:space="preserve">6% on all amounts </w:t>
      </w:r>
      <w:r>
        <w:rPr>
          <w:rFonts w:ascii="Arial" w:eastAsiaTheme="minorHAnsi" w:hAnsi="Arial" w:cs="Arial"/>
          <w:color w:val="000000"/>
          <w:lang w:eastAsia="en-US"/>
        </w:rPr>
        <w:t>over</w:t>
      </w:r>
      <w:r w:rsidR="00A37750" w:rsidRPr="00A37750">
        <w:rPr>
          <w:rFonts w:ascii="Arial" w:eastAsiaTheme="minorHAnsi" w:hAnsi="Arial" w:cs="Arial"/>
          <w:color w:val="000000"/>
          <w:lang w:eastAsia="en-US"/>
        </w:rPr>
        <w:t xml:space="preserve">due in terms of any or </w:t>
      </w:r>
      <w:proofErr w:type="gramStart"/>
      <w:r w:rsidR="00A37750" w:rsidRPr="00A37750">
        <w:rPr>
          <w:rFonts w:ascii="Arial" w:eastAsiaTheme="minorHAnsi" w:hAnsi="Arial" w:cs="Arial"/>
          <w:color w:val="000000"/>
          <w:lang w:eastAsia="en-US"/>
        </w:rPr>
        <w:t>all of</w:t>
      </w:r>
      <w:proofErr w:type="gramEnd"/>
      <w:r w:rsidR="00A37750" w:rsidRPr="00A37750">
        <w:rPr>
          <w:rFonts w:ascii="Arial" w:eastAsiaTheme="minorHAnsi" w:hAnsi="Arial" w:cs="Arial"/>
          <w:color w:val="000000"/>
          <w:lang w:eastAsia="en-US"/>
        </w:rPr>
        <w:t xml:space="preserve"> the rental agreements.</w:t>
      </w:r>
    </w:p>
    <w:p w14:paraId="39444CDF" w14:textId="77777777" w:rsidR="00A37750" w:rsidRPr="00A37750" w:rsidRDefault="00A37750"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p>
    <w:p w14:paraId="0C45CFFF" w14:textId="77777777" w:rsidR="00A37750" w:rsidRPr="00A37750" w:rsidRDefault="00C953CE" w:rsidP="00E701E0">
      <w:pPr>
        <w:tabs>
          <w:tab w:val="left" w:pos="4140"/>
        </w:tabs>
        <w:autoSpaceDE w:val="0"/>
        <w:autoSpaceDN w:val="0"/>
        <w:adjustRightInd w:val="0"/>
        <w:spacing w:after="0" w:line="480" w:lineRule="auto"/>
        <w:ind w:left="1134" w:hanging="567"/>
        <w:jc w:val="both"/>
        <w:rPr>
          <w:rFonts w:ascii="Arial" w:eastAsiaTheme="minorHAnsi" w:hAnsi="Arial" w:cs="Arial"/>
          <w:color w:val="000000"/>
          <w:lang w:eastAsia="en-US"/>
        </w:rPr>
      </w:pPr>
      <w:r>
        <w:rPr>
          <w:rFonts w:ascii="Arial" w:eastAsiaTheme="minorHAnsi" w:hAnsi="Arial" w:cs="Arial"/>
          <w:color w:val="000000"/>
          <w:lang w:eastAsia="en-US"/>
        </w:rPr>
        <w:t xml:space="preserve">9.7 The defendant will bear </w:t>
      </w:r>
      <w:proofErr w:type="spellStart"/>
      <w:r>
        <w:rPr>
          <w:rFonts w:ascii="Arial" w:eastAsiaTheme="minorHAnsi" w:hAnsi="Arial" w:cs="Arial"/>
          <w:color w:val="000000"/>
          <w:lang w:eastAsia="en-US"/>
        </w:rPr>
        <w:t>Astfin’s</w:t>
      </w:r>
      <w:proofErr w:type="spellEnd"/>
      <w:r>
        <w:rPr>
          <w:rFonts w:ascii="Arial" w:eastAsiaTheme="minorHAnsi" w:hAnsi="Arial" w:cs="Arial"/>
          <w:color w:val="000000"/>
          <w:lang w:eastAsia="en-US"/>
        </w:rPr>
        <w:t xml:space="preserve"> legal </w:t>
      </w:r>
      <w:r w:rsidR="00A37750" w:rsidRPr="00A37750">
        <w:rPr>
          <w:rFonts w:ascii="Arial" w:eastAsiaTheme="minorHAnsi" w:hAnsi="Arial" w:cs="Arial"/>
          <w:color w:val="000000"/>
          <w:lang w:eastAsia="en-US"/>
        </w:rPr>
        <w:t>expenses, including attorney and own client cost incurred in recovering any amounts in terms of any or all of the rental agreements."</w:t>
      </w:r>
    </w:p>
    <w:p w14:paraId="6D4919F7" w14:textId="77777777" w:rsidR="003F3C59" w:rsidRPr="003F3C59" w:rsidRDefault="00C953CE" w:rsidP="00E701E0">
      <w:pPr>
        <w:tabs>
          <w:tab w:val="left" w:pos="4140"/>
        </w:tabs>
        <w:spacing w:after="0" w:line="480" w:lineRule="auto"/>
        <w:ind w:left="360"/>
        <w:jc w:val="both"/>
        <w:rPr>
          <w:rFonts w:ascii="Arial" w:eastAsia="Times New Roman" w:hAnsi="Arial" w:cs="Arial"/>
          <w:color w:val="0E101A"/>
          <w:sz w:val="24"/>
          <w:szCs w:val="24"/>
        </w:rPr>
      </w:pPr>
      <w:r>
        <w:rPr>
          <w:rFonts w:ascii="Arial" w:eastAsia="Times New Roman" w:hAnsi="Arial" w:cs="Arial"/>
          <w:color w:val="0E101A"/>
          <w:sz w:val="24"/>
          <w:szCs w:val="24"/>
        </w:rPr>
        <w:t xml:space="preserve"> </w:t>
      </w:r>
    </w:p>
    <w:p w14:paraId="2875F8A4" w14:textId="710CB3DD" w:rsidR="003F3C59" w:rsidRPr="003A2848" w:rsidRDefault="003A2848" w:rsidP="003A2848">
      <w:pPr>
        <w:tabs>
          <w:tab w:val="left" w:pos="4140"/>
        </w:tabs>
        <w:spacing w:after="0" w:line="480" w:lineRule="auto"/>
        <w:ind w:left="720" w:hanging="360"/>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[8]</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The agreement that the plaintiffs rely on in claim A, which is between </w:t>
      </w:r>
      <w:proofErr w:type="spellStart"/>
      <w:r w:rsidR="003F3C59" w:rsidRPr="003A2848">
        <w:rPr>
          <w:rFonts w:ascii="Arial" w:eastAsia="Times New Roman" w:hAnsi="Arial" w:cs="Arial"/>
          <w:color w:val="0E101A"/>
          <w:sz w:val="24"/>
          <w:szCs w:val="24"/>
        </w:rPr>
        <w:t>Astfin</w:t>
      </w:r>
      <w:proofErr w:type="spellEnd"/>
      <w:r w:rsidR="003F3C59" w:rsidRPr="003A2848">
        <w:rPr>
          <w:rFonts w:ascii="Arial" w:eastAsia="Times New Roman" w:hAnsi="Arial" w:cs="Arial"/>
          <w:color w:val="0E101A"/>
          <w:sz w:val="24"/>
          <w:szCs w:val="24"/>
        </w:rPr>
        <w:t xml:space="preserve"> and ABSA </w:t>
      </w:r>
      <w:r w:rsidR="00C953CE" w:rsidRPr="003A2848">
        <w:rPr>
          <w:rFonts w:ascii="Arial" w:eastAsia="Times New Roman" w:hAnsi="Arial" w:cs="Arial"/>
          <w:color w:val="0E101A"/>
          <w:sz w:val="24"/>
          <w:szCs w:val="24"/>
        </w:rPr>
        <w:t xml:space="preserve">Technologies </w:t>
      </w:r>
      <w:r w:rsidR="003F3C59" w:rsidRPr="003A2848">
        <w:rPr>
          <w:rFonts w:ascii="Arial" w:eastAsia="Times New Roman" w:hAnsi="Arial" w:cs="Arial"/>
          <w:color w:val="0E101A"/>
          <w:sz w:val="24"/>
          <w:szCs w:val="24"/>
        </w:rPr>
        <w:t>Finance</w:t>
      </w:r>
      <w:r w:rsidR="00C953CE" w:rsidRPr="003A2848">
        <w:rPr>
          <w:rFonts w:ascii="Arial" w:eastAsia="Times New Roman" w:hAnsi="Arial" w:cs="Arial"/>
          <w:color w:val="0E101A"/>
          <w:sz w:val="24"/>
          <w:szCs w:val="24"/>
        </w:rPr>
        <w:t xml:space="preserve"> Solutions (Pty) Ltd (ABSA Finance) makes</w:t>
      </w:r>
      <w:r w:rsidR="003F3C59" w:rsidRPr="003A2848">
        <w:rPr>
          <w:rFonts w:ascii="Arial" w:eastAsia="Times New Roman" w:hAnsi="Arial" w:cs="Arial"/>
          <w:color w:val="0E101A"/>
          <w:sz w:val="24"/>
          <w:szCs w:val="24"/>
        </w:rPr>
        <w:t xml:space="preserve"> provision for a mechanism in clause 3.1 whereby the contracts can be ceded.</w:t>
      </w:r>
    </w:p>
    <w:p w14:paraId="50D0723C"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67BB4CA6" w14:textId="2CD4BEDD" w:rsidR="008F0447" w:rsidRPr="003A2848" w:rsidRDefault="003A2848" w:rsidP="003A2848">
      <w:pPr>
        <w:spacing w:after="0" w:line="480" w:lineRule="auto"/>
        <w:jc w:val="both"/>
        <w:rPr>
          <w:rFonts w:ascii="Arial" w:eastAsia="Times New Roman" w:hAnsi="Arial" w:cs="Arial"/>
          <w:color w:val="0E101A"/>
          <w:sz w:val="24"/>
          <w:szCs w:val="24"/>
        </w:rPr>
      </w:pPr>
      <w:r w:rsidRPr="00711CC6">
        <w:rPr>
          <w:rFonts w:ascii="Arial" w:eastAsia="Times New Roman" w:hAnsi="Arial" w:cs="Arial"/>
          <w:color w:val="0E101A"/>
          <w:sz w:val="24"/>
          <w:szCs w:val="24"/>
          <w:lang w:eastAsia="en-US"/>
        </w:rPr>
        <w:lastRenderedPageBreak/>
        <w:t>[9]</w:t>
      </w:r>
      <w:r w:rsidRPr="00711CC6">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Similarly, the agreements relied upon in claims B and C</w:t>
      </w:r>
      <w:r w:rsidR="008F0447" w:rsidRPr="003A2848">
        <w:rPr>
          <w:rFonts w:ascii="Arial" w:eastAsia="Times New Roman" w:hAnsi="Arial" w:cs="Arial"/>
          <w:color w:val="0E101A"/>
          <w:sz w:val="24"/>
          <w:szCs w:val="24"/>
        </w:rPr>
        <w:t xml:space="preserve">, between </w:t>
      </w:r>
      <w:proofErr w:type="spellStart"/>
      <w:r w:rsidR="008F0447" w:rsidRPr="003A2848">
        <w:rPr>
          <w:rFonts w:ascii="Arial" w:eastAsia="Times New Roman" w:hAnsi="Arial" w:cs="Arial"/>
          <w:color w:val="0E101A"/>
          <w:sz w:val="24"/>
          <w:szCs w:val="24"/>
        </w:rPr>
        <w:t>Asfin</w:t>
      </w:r>
      <w:proofErr w:type="spellEnd"/>
      <w:r w:rsidR="008F0447" w:rsidRPr="003A2848">
        <w:rPr>
          <w:rFonts w:ascii="Arial" w:eastAsia="Times New Roman" w:hAnsi="Arial" w:cs="Arial"/>
          <w:color w:val="0E101A"/>
          <w:sz w:val="24"/>
          <w:szCs w:val="24"/>
        </w:rPr>
        <w:t xml:space="preserve"> and </w:t>
      </w:r>
      <w:proofErr w:type="spellStart"/>
      <w:r w:rsidR="008F0447" w:rsidRPr="003A2848">
        <w:rPr>
          <w:rFonts w:ascii="Arial" w:eastAsia="Times New Roman" w:hAnsi="Arial" w:cs="Arial"/>
          <w:color w:val="0E101A"/>
          <w:sz w:val="24"/>
          <w:szCs w:val="24"/>
        </w:rPr>
        <w:t>Sunlyn</w:t>
      </w:r>
      <w:proofErr w:type="spellEnd"/>
      <w:r w:rsidR="008F0447" w:rsidRPr="003A2848">
        <w:rPr>
          <w:rFonts w:ascii="Arial" w:eastAsia="Times New Roman" w:hAnsi="Arial" w:cs="Arial"/>
          <w:color w:val="0E101A"/>
          <w:sz w:val="24"/>
          <w:szCs w:val="24"/>
        </w:rPr>
        <w:t xml:space="preserve"> </w:t>
      </w:r>
      <w:r w:rsidR="003F3C59" w:rsidRPr="003A2848">
        <w:rPr>
          <w:rFonts w:ascii="Arial" w:eastAsia="Times New Roman" w:hAnsi="Arial" w:cs="Arial"/>
          <w:color w:val="0E101A"/>
          <w:sz w:val="24"/>
          <w:szCs w:val="24"/>
        </w:rPr>
        <w:t>provide for a mechanism whereby the contract can be ceded.</w:t>
      </w:r>
      <w:r w:rsidR="008F0447" w:rsidRPr="003A2848">
        <w:rPr>
          <w:rFonts w:ascii="Arial" w:eastAsia="Times New Roman" w:hAnsi="Arial" w:cs="Arial"/>
          <w:color w:val="0E101A"/>
          <w:sz w:val="24"/>
          <w:szCs w:val="24"/>
        </w:rPr>
        <w:t xml:space="preserve">  </w:t>
      </w:r>
    </w:p>
    <w:p w14:paraId="177868E1"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015C3AC9" w14:textId="72964C94" w:rsidR="003F3C59" w:rsidRPr="003A2848" w:rsidRDefault="003A2848" w:rsidP="003A2848">
      <w:pPr>
        <w:spacing w:after="0" w:line="480" w:lineRule="auto"/>
        <w:ind w:firstLine="142"/>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[10]</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plaintiffs contend that in terms of the underlying contract, claims were ceded to ABSA Finance on 20 November 2015.</w:t>
      </w:r>
    </w:p>
    <w:p w14:paraId="4A47E997"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43D92504" w14:textId="642FD49B" w:rsidR="00E6142A" w:rsidRPr="003A2848" w:rsidRDefault="003A2848" w:rsidP="003A2848">
      <w:pPr>
        <w:spacing w:after="0" w:line="480" w:lineRule="auto"/>
        <w:jc w:val="both"/>
        <w:rPr>
          <w:rFonts w:ascii="Arial" w:eastAsia="Times New Roman" w:hAnsi="Arial" w:cs="Arial"/>
          <w:color w:val="0E101A"/>
          <w:sz w:val="24"/>
          <w:szCs w:val="24"/>
        </w:rPr>
      </w:pPr>
      <w:r>
        <w:rPr>
          <w:rFonts w:ascii="Arial" w:eastAsia="Times New Roman" w:hAnsi="Arial" w:cs="Arial"/>
          <w:color w:val="0E101A"/>
          <w:sz w:val="24"/>
          <w:szCs w:val="24"/>
          <w:lang w:eastAsia="en-US"/>
        </w:rPr>
        <w:t>[11]</w:t>
      </w:r>
      <w:r>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About claims B and C, the plaintiffs contend that </w:t>
      </w:r>
      <w:proofErr w:type="spellStart"/>
      <w:r w:rsidR="003F3C59" w:rsidRPr="003A2848">
        <w:rPr>
          <w:rFonts w:ascii="Arial" w:eastAsia="Times New Roman" w:hAnsi="Arial" w:cs="Arial"/>
          <w:color w:val="0E101A"/>
          <w:sz w:val="24"/>
          <w:szCs w:val="24"/>
        </w:rPr>
        <w:t>Astfin</w:t>
      </w:r>
      <w:proofErr w:type="spellEnd"/>
      <w:r w:rsidR="003F3C59" w:rsidRPr="003A2848">
        <w:rPr>
          <w:rFonts w:ascii="Arial" w:eastAsia="Times New Roman" w:hAnsi="Arial" w:cs="Arial"/>
          <w:color w:val="0E101A"/>
          <w:sz w:val="24"/>
          <w:szCs w:val="24"/>
        </w:rPr>
        <w:t xml:space="preserve"> ceded the contracts on 31 October 2017 and 9 December 2019, respectively. In this respect, the rental agreements were offered for cession by </w:t>
      </w:r>
      <w:proofErr w:type="spellStart"/>
      <w:r w:rsidR="003F3C59" w:rsidRPr="003A2848">
        <w:rPr>
          <w:rFonts w:ascii="Arial" w:eastAsia="Times New Roman" w:hAnsi="Arial" w:cs="Arial"/>
          <w:color w:val="0E101A"/>
          <w:sz w:val="24"/>
          <w:szCs w:val="24"/>
        </w:rPr>
        <w:t>Astfin</w:t>
      </w:r>
      <w:proofErr w:type="spellEnd"/>
      <w:r w:rsidR="003F3C59" w:rsidRPr="003A2848">
        <w:rPr>
          <w:rFonts w:ascii="Arial" w:eastAsia="Times New Roman" w:hAnsi="Arial" w:cs="Arial"/>
          <w:color w:val="0E101A"/>
          <w:sz w:val="24"/>
          <w:szCs w:val="24"/>
        </w:rPr>
        <w:t xml:space="preserve"> and accepted by </w:t>
      </w:r>
      <w:proofErr w:type="spellStart"/>
      <w:r w:rsidR="003F3C59" w:rsidRPr="003A2848">
        <w:rPr>
          <w:rFonts w:ascii="Arial" w:eastAsia="Times New Roman" w:hAnsi="Arial" w:cs="Arial"/>
          <w:color w:val="0E101A"/>
          <w:sz w:val="24"/>
          <w:szCs w:val="24"/>
        </w:rPr>
        <w:t>Sunlyn</w:t>
      </w:r>
      <w:proofErr w:type="spellEnd"/>
      <w:r w:rsidR="003F3C59" w:rsidRPr="003A2848">
        <w:rPr>
          <w:rFonts w:ascii="Arial" w:eastAsia="Times New Roman" w:hAnsi="Arial" w:cs="Arial"/>
          <w:color w:val="0E101A"/>
          <w:sz w:val="24"/>
          <w:szCs w:val="24"/>
        </w:rPr>
        <w:t xml:space="preserve"> on 31 December 2017. The offer was accepted by way of </w:t>
      </w:r>
      <w:proofErr w:type="spellStart"/>
      <w:r w:rsidR="003F3C59" w:rsidRPr="003A2848">
        <w:rPr>
          <w:rFonts w:ascii="Arial" w:eastAsia="Times New Roman" w:hAnsi="Arial" w:cs="Arial"/>
          <w:color w:val="0E101A"/>
          <w:sz w:val="24"/>
          <w:szCs w:val="24"/>
        </w:rPr>
        <w:t>Sunlyn</w:t>
      </w:r>
      <w:proofErr w:type="spellEnd"/>
      <w:r w:rsidR="003F3C59" w:rsidRPr="003A2848">
        <w:rPr>
          <w:rFonts w:ascii="Arial" w:eastAsia="Times New Roman" w:hAnsi="Arial" w:cs="Arial"/>
          <w:color w:val="0E101A"/>
          <w:sz w:val="24"/>
          <w:szCs w:val="24"/>
        </w:rPr>
        <w:t xml:space="preserve"> making payment of the purchase price.</w:t>
      </w:r>
    </w:p>
    <w:p w14:paraId="7C6DE39D" w14:textId="77777777" w:rsidR="00E6142A" w:rsidRPr="00E6142A" w:rsidRDefault="00E6142A" w:rsidP="00E701E0">
      <w:pPr>
        <w:pStyle w:val="ListParagraph"/>
        <w:tabs>
          <w:tab w:val="left" w:pos="4140"/>
        </w:tabs>
        <w:jc w:val="both"/>
        <w:rPr>
          <w:rFonts w:ascii="Arial" w:eastAsia="Times New Roman" w:hAnsi="Arial" w:cs="Arial"/>
          <w:b/>
          <w:color w:val="0E101A"/>
          <w:sz w:val="24"/>
          <w:szCs w:val="24"/>
        </w:rPr>
      </w:pPr>
    </w:p>
    <w:p w14:paraId="1EC20416" w14:textId="77777777" w:rsidR="00E6142A" w:rsidRPr="00E6142A" w:rsidRDefault="008F0447" w:rsidP="00E701E0">
      <w:pPr>
        <w:tabs>
          <w:tab w:val="left" w:pos="4140"/>
        </w:tabs>
        <w:spacing w:after="0" w:line="480" w:lineRule="auto"/>
        <w:jc w:val="both"/>
        <w:rPr>
          <w:rFonts w:ascii="Arial" w:eastAsia="Times New Roman" w:hAnsi="Arial" w:cs="Arial"/>
          <w:color w:val="0E101A"/>
          <w:sz w:val="24"/>
          <w:szCs w:val="24"/>
        </w:rPr>
      </w:pPr>
      <w:r w:rsidRPr="00E6142A">
        <w:rPr>
          <w:rFonts w:ascii="Arial" w:eastAsia="Times New Roman" w:hAnsi="Arial" w:cs="Arial"/>
          <w:b/>
          <w:color w:val="0E101A"/>
          <w:sz w:val="24"/>
          <w:szCs w:val="24"/>
        </w:rPr>
        <w:t xml:space="preserve"> </w:t>
      </w:r>
      <w:r w:rsidR="003F3C59" w:rsidRPr="00E6142A">
        <w:rPr>
          <w:rFonts w:ascii="Arial" w:eastAsia="Times New Roman" w:hAnsi="Arial" w:cs="Arial"/>
          <w:b/>
          <w:color w:val="0E101A"/>
          <w:sz w:val="24"/>
          <w:szCs w:val="24"/>
        </w:rPr>
        <w:t xml:space="preserve">The grounds of exception </w:t>
      </w:r>
    </w:p>
    <w:p w14:paraId="142371D3" w14:textId="77777777" w:rsidR="00E6142A" w:rsidRPr="00E6142A" w:rsidRDefault="00E6142A" w:rsidP="00E701E0">
      <w:pPr>
        <w:pStyle w:val="ListParagraph"/>
        <w:tabs>
          <w:tab w:val="left" w:pos="4140"/>
        </w:tabs>
        <w:jc w:val="both"/>
        <w:rPr>
          <w:rFonts w:ascii="Arial" w:eastAsia="Times New Roman" w:hAnsi="Arial" w:cs="Arial"/>
          <w:b/>
          <w:color w:val="0E101A"/>
          <w:sz w:val="24"/>
          <w:szCs w:val="24"/>
        </w:rPr>
      </w:pPr>
    </w:p>
    <w:p w14:paraId="2ED2571D" w14:textId="1B932A30" w:rsidR="00E6142A" w:rsidRPr="003A2848" w:rsidRDefault="003A2848" w:rsidP="003A2848">
      <w:pPr>
        <w:spacing w:after="0" w:line="480" w:lineRule="auto"/>
        <w:jc w:val="both"/>
        <w:rPr>
          <w:rFonts w:ascii="Arial" w:eastAsia="Times New Roman" w:hAnsi="Arial" w:cs="Arial"/>
          <w:color w:val="0E101A"/>
          <w:sz w:val="24"/>
          <w:szCs w:val="24"/>
        </w:rPr>
      </w:pPr>
      <w:r w:rsidRPr="00E6142A">
        <w:rPr>
          <w:rFonts w:ascii="Arial" w:eastAsia="Times New Roman" w:hAnsi="Arial" w:cs="Arial"/>
          <w:color w:val="0E101A"/>
          <w:sz w:val="24"/>
          <w:szCs w:val="24"/>
          <w:lang w:eastAsia="en-US"/>
        </w:rPr>
        <w:t>[12]</w:t>
      </w:r>
      <w:r w:rsidRPr="00E6142A">
        <w:rPr>
          <w:rFonts w:ascii="Arial" w:eastAsia="Times New Roman" w:hAnsi="Arial" w:cs="Arial"/>
          <w:color w:val="0E101A"/>
          <w:sz w:val="24"/>
          <w:szCs w:val="24"/>
          <w:lang w:eastAsia="en-US"/>
        </w:rPr>
        <w:tab/>
      </w:r>
      <w:r w:rsidR="00E6142A" w:rsidRPr="003A2848">
        <w:rPr>
          <w:rFonts w:ascii="Arial" w:eastAsia="Times New Roman" w:hAnsi="Arial" w:cs="Arial"/>
          <w:color w:val="0E101A"/>
          <w:sz w:val="24"/>
          <w:szCs w:val="24"/>
        </w:rPr>
        <w:t xml:space="preserve">The first ground of exception of the defendant is formulated as follows: </w:t>
      </w:r>
    </w:p>
    <w:p w14:paraId="5664B47F" w14:textId="77777777" w:rsidR="00E6142A" w:rsidRPr="00E6142A" w:rsidRDefault="00711CC6" w:rsidP="00E701E0">
      <w:pPr>
        <w:widowControl w:val="0"/>
        <w:autoSpaceDE w:val="0"/>
        <w:autoSpaceDN w:val="0"/>
        <w:adjustRightInd w:val="0"/>
        <w:spacing w:after="0" w:line="480" w:lineRule="auto"/>
        <w:ind w:left="1134" w:hanging="567"/>
        <w:jc w:val="both"/>
        <w:rPr>
          <w:rFonts w:ascii="Arial" w:hAnsi="Arial" w:cs="Arial"/>
          <w:color w:val="000000"/>
        </w:rPr>
      </w:pPr>
      <w:r>
        <w:rPr>
          <w:rFonts w:ascii="Arial" w:hAnsi="Arial" w:cs="Arial"/>
          <w:color w:val="000000"/>
        </w:rPr>
        <w:t>“</w:t>
      </w:r>
      <w:r w:rsidR="00E6142A" w:rsidRPr="00E6142A">
        <w:rPr>
          <w:rFonts w:ascii="Arial" w:hAnsi="Arial" w:cs="Arial"/>
          <w:color w:val="000000"/>
        </w:rPr>
        <w:t>[8]</w:t>
      </w:r>
      <w:r w:rsidR="00E34DA7">
        <w:rPr>
          <w:rFonts w:ascii="Arial" w:hAnsi="Arial" w:cs="Arial"/>
          <w:color w:val="000000"/>
        </w:rPr>
        <w:tab/>
      </w:r>
      <w:r w:rsidR="00E6142A" w:rsidRPr="00E6142A">
        <w:rPr>
          <w:rFonts w:ascii="Arial" w:hAnsi="Arial" w:cs="Arial"/>
          <w:color w:val="000000"/>
        </w:rPr>
        <w:t xml:space="preserve">the particulars of claim do not plead out that the Claim A Agreement was offered </w:t>
      </w:r>
      <w:proofErr w:type="gramStart"/>
      <w:r w:rsidR="00E6142A" w:rsidRPr="00E6142A">
        <w:rPr>
          <w:rFonts w:ascii="Arial" w:hAnsi="Arial" w:cs="Arial"/>
          <w:color w:val="000000"/>
        </w:rPr>
        <w:t xml:space="preserve">by  </w:t>
      </w:r>
      <w:proofErr w:type="spellStart"/>
      <w:r w:rsidR="00E6142A" w:rsidRPr="00E6142A">
        <w:rPr>
          <w:rFonts w:ascii="Arial" w:hAnsi="Arial" w:cs="Arial"/>
          <w:color w:val="000000"/>
        </w:rPr>
        <w:t>Astfin</w:t>
      </w:r>
      <w:proofErr w:type="spellEnd"/>
      <w:proofErr w:type="gramEnd"/>
      <w:r w:rsidR="00E6142A" w:rsidRPr="00E6142A">
        <w:rPr>
          <w:rFonts w:ascii="Arial" w:hAnsi="Arial" w:cs="Arial"/>
          <w:color w:val="000000"/>
        </w:rPr>
        <w:t xml:space="preserve"> and accepted by Absa Finance, in writing, and accordingly not set out the averments necessary to prove: –</w:t>
      </w:r>
    </w:p>
    <w:p w14:paraId="706D587B" w14:textId="77777777" w:rsidR="00E6142A" w:rsidRPr="00E6142A" w:rsidRDefault="00E34DA7" w:rsidP="00E701E0">
      <w:pPr>
        <w:widowControl w:val="0"/>
        <w:tabs>
          <w:tab w:val="left" w:pos="4140"/>
        </w:tabs>
        <w:autoSpaceDE w:val="0"/>
        <w:autoSpaceDN w:val="0"/>
        <w:adjustRightInd w:val="0"/>
        <w:spacing w:after="0" w:line="480" w:lineRule="auto"/>
        <w:ind w:left="1134" w:hanging="567"/>
        <w:jc w:val="both"/>
        <w:rPr>
          <w:rFonts w:ascii="Arial" w:hAnsi="Arial" w:cs="Arial"/>
          <w:color w:val="000000"/>
        </w:rPr>
      </w:pPr>
      <w:r>
        <w:rPr>
          <w:rFonts w:ascii="Arial" w:hAnsi="Arial" w:cs="Arial"/>
          <w:color w:val="000000"/>
        </w:rPr>
        <w:tab/>
      </w:r>
      <w:r w:rsidR="00DD4454">
        <w:rPr>
          <w:rFonts w:ascii="Arial" w:hAnsi="Arial" w:cs="Arial"/>
          <w:color w:val="000000"/>
        </w:rPr>
        <w:t>8.1. The initial c</w:t>
      </w:r>
      <w:r w:rsidR="00E6142A" w:rsidRPr="00E6142A">
        <w:rPr>
          <w:rFonts w:ascii="Arial" w:hAnsi="Arial" w:cs="Arial"/>
          <w:color w:val="000000"/>
        </w:rPr>
        <w:t>ession to Absa Finance:</w:t>
      </w:r>
    </w:p>
    <w:p w14:paraId="2DE8598D" w14:textId="77777777" w:rsidR="00E6142A" w:rsidRPr="00E6142A" w:rsidRDefault="00E34DA7" w:rsidP="00E701E0">
      <w:pPr>
        <w:widowControl w:val="0"/>
        <w:tabs>
          <w:tab w:val="left" w:pos="4140"/>
        </w:tabs>
        <w:autoSpaceDE w:val="0"/>
        <w:autoSpaceDN w:val="0"/>
        <w:adjustRightInd w:val="0"/>
        <w:spacing w:after="0" w:line="480" w:lineRule="auto"/>
        <w:ind w:left="1134" w:hanging="567"/>
        <w:jc w:val="both"/>
        <w:rPr>
          <w:rFonts w:ascii="Arial" w:hAnsi="Arial" w:cs="Arial"/>
          <w:color w:val="000000"/>
        </w:rPr>
      </w:pPr>
      <w:r>
        <w:rPr>
          <w:rFonts w:ascii="Arial" w:hAnsi="Arial" w:cs="Arial"/>
          <w:color w:val="000000"/>
        </w:rPr>
        <w:tab/>
      </w:r>
      <w:proofErr w:type="gramStart"/>
      <w:r w:rsidR="00E6142A" w:rsidRPr="00E6142A">
        <w:rPr>
          <w:rFonts w:ascii="Arial" w:hAnsi="Arial" w:cs="Arial"/>
          <w:color w:val="000000"/>
        </w:rPr>
        <w:t>8.2  The</w:t>
      </w:r>
      <w:proofErr w:type="gramEnd"/>
      <w:r w:rsidR="00E6142A" w:rsidRPr="00E6142A">
        <w:rPr>
          <w:rFonts w:ascii="Arial" w:hAnsi="Arial" w:cs="Arial"/>
          <w:color w:val="000000"/>
        </w:rPr>
        <w:t xml:space="preserve"> cessions thereafter to </w:t>
      </w:r>
      <w:proofErr w:type="spellStart"/>
      <w:r w:rsidR="00E6142A" w:rsidRPr="00E6142A">
        <w:rPr>
          <w:rFonts w:ascii="Arial" w:hAnsi="Arial" w:cs="Arial"/>
          <w:color w:val="000000"/>
        </w:rPr>
        <w:t>Sunlyn</w:t>
      </w:r>
      <w:proofErr w:type="spellEnd"/>
      <w:r w:rsidR="00E6142A" w:rsidRPr="00E6142A">
        <w:rPr>
          <w:rFonts w:ascii="Arial" w:hAnsi="Arial" w:cs="Arial"/>
          <w:color w:val="000000"/>
        </w:rPr>
        <w:t xml:space="preserve"> and /or </w:t>
      </w:r>
      <w:proofErr w:type="spellStart"/>
      <w:r w:rsidR="00E6142A" w:rsidRPr="00E6142A">
        <w:rPr>
          <w:rFonts w:ascii="Arial" w:hAnsi="Arial" w:cs="Arial"/>
          <w:color w:val="000000"/>
        </w:rPr>
        <w:t>Sasfin</w:t>
      </w:r>
      <w:proofErr w:type="spellEnd"/>
      <w:r w:rsidR="00E6142A" w:rsidRPr="00E6142A">
        <w:rPr>
          <w:rFonts w:ascii="Arial" w:hAnsi="Arial" w:cs="Arial"/>
          <w:color w:val="000000"/>
        </w:rPr>
        <w:t>; and</w:t>
      </w:r>
    </w:p>
    <w:p w14:paraId="45C03B3B" w14:textId="77777777" w:rsidR="00E6142A" w:rsidRPr="00E6142A" w:rsidRDefault="00E6142A" w:rsidP="00E701E0">
      <w:pPr>
        <w:widowControl w:val="0"/>
        <w:tabs>
          <w:tab w:val="left" w:pos="4140"/>
        </w:tabs>
        <w:autoSpaceDE w:val="0"/>
        <w:autoSpaceDN w:val="0"/>
        <w:adjustRightInd w:val="0"/>
        <w:spacing w:after="0" w:line="480" w:lineRule="auto"/>
        <w:ind w:left="1134" w:hanging="567"/>
        <w:jc w:val="both"/>
        <w:rPr>
          <w:rFonts w:ascii="Arial" w:hAnsi="Arial" w:cs="Arial"/>
          <w:color w:val="000000"/>
        </w:rPr>
      </w:pPr>
      <w:r w:rsidRPr="00E6142A">
        <w:rPr>
          <w:rFonts w:ascii="Arial" w:hAnsi="Arial" w:cs="Arial"/>
          <w:color w:val="000000"/>
        </w:rPr>
        <w:t xml:space="preserve">9. </w:t>
      </w:r>
      <w:r w:rsidR="00DD4454">
        <w:rPr>
          <w:rFonts w:ascii="Arial" w:hAnsi="Arial" w:cs="Arial"/>
          <w:color w:val="000000"/>
        </w:rPr>
        <w:tab/>
      </w:r>
      <w:r w:rsidRPr="00E6142A">
        <w:rPr>
          <w:rFonts w:ascii="Arial" w:hAnsi="Arial" w:cs="Arial"/>
          <w:color w:val="000000"/>
        </w:rPr>
        <w:t xml:space="preserve">Further, in pursuant to the </w:t>
      </w:r>
      <w:proofErr w:type="gramStart"/>
      <w:r w:rsidRPr="00E6142A">
        <w:rPr>
          <w:rFonts w:ascii="Arial" w:hAnsi="Arial" w:cs="Arial"/>
          <w:color w:val="000000"/>
        </w:rPr>
        <w:t>principle</w:t>
      </w:r>
      <w:proofErr w:type="gramEnd"/>
      <w:r w:rsidRPr="00E6142A">
        <w:rPr>
          <w:rFonts w:ascii="Arial" w:hAnsi="Arial" w:cs="Arial"/>
          <w:color w:val="000000"/>
        </w:rPr>
        <w:t xml:space="preserve"> </w:t>
      </w:r>
      <w:r w:rsidRPr="00E6142A">
        <w:rPr>
          <w:rFonts w:ascii="Arial" w:hAnsi="Arial" w:cs="Arial"/>
          <w:i/>
          <w:color w:val="000000"/>
        </w:rPr>
        <w:t xml:space="preserve">nemo </w:t>
      </w:r>
      <w:proofErr w:type="spellStart"/>
      <w:r w:rsidRPr="00E6142A">
        <w:rPr>
          <w:rFonts w:ascii="Arial" w:hAnsi="Arial" w:cs="Arial"/>
          <w:i/>
          <w:color w:val="000000"/>
        </w:rPr>
        <w:t>dat</w:t>
      </w:r>
      <w:proofErr w:type="spellEnd"/>
      <w:r w:rsidRPr="00E6142A">
        <w:rPr>
          <w:rFonts w:ascii="Arial" w:hAnsi="Arial" w:cs="Arial"/>
          <w:i/>
          <w:color w:val="000000"/>
        </w:rPr>
        <w:t xml:space="preserve"> quod non </w:t>
      </w:r>
      <w:proofErr w:type="spellStart"/>
      <w:r w:rsidRPr="00E6142A">
        <w:rPr>
          <w:rFonts w:ascii="Arial" w:hAnsi="Arial" w:cs="Arial"/>
          <w:i/>
          <w:color w:val="000000"/>
        </w:rPr>
        <w:t>habet</w:t>
      </w:r>
      <w:proofErr w:type="spellEnd"/>
      <w:r w:rsidRPr="00E6142A">
        <w:rPr>
          <w:rFonts w:ascii="Arial" w:hAnsi="Arial" w:cs="Arial"/>
          <w:color w:val="000000"/>
        </w:rPr>
        <w:t xml:space="preserve">, even if Austin had ceded its rights in Claim </w:t>
      </w:r>
      <w:proofErr w:type="spellStart"/>
      <w:r w:rsidRPr="00E6142A">
        <w:rPr>
          <w:rFonts w:ascii="Arial" w:hAnsi="Arial" w:cs="Arial"/>
          <w:color w:val="000000"/>
        </w:rPr>
        <w:t>A</w:t>
      </w:r>
      <w:proofErr w:type="spellEnd"/>
      <w:r w:rsidRPr="00E6142A">
        <w:rPr>
          <w:rFonts w:ascii="Arial" w:hAnsi="Arial" w:cs="Arial"/>
          <w:color w:val="000000"/>
        </w:rPr>
        <w:t xml:space="preserve"> agreement to Absa Finance, and subsequently the cession by Absa Finance to </w:t>
      </w:r>
      <w:proofErr w:type="spellStart"/>
      <w:r w:rsidRPr="00E6142A">
        <w:rPr>
          <w:rFonts w:ascii="Arial" w:hAnsi="Arial" w:cs="Arial"/>
          <w:color w:val="000000"/>
        </w:rPr>
        <w:t>Sunlyn</w:t>
      </w:r>
      <w:proofErr w:type="spellEnd"/>
      <w:r w:rsidRPr="00E6142A">
        <w:rPr>
          <w:rFonts w:ascii="Arial" w:hAnsi="Arial" w:cs="Arial"/>
          <w:color w:val="000000"/>
        </w:rPr>
        <w:t xml:space="preserve"> and/or </w:t>
      </w:r>
      <w:proofErr w:type="spellStart"/>
      <w:r w:rsidRPr="00E6142A">
        <w:rPr>
          <w:rFonts w:ascii="Arial" w:hAnsi="Arial" w:cs="Arial"/>
          <w:color w:val="000000"/>
        </w:rPr>
        <w:t>Sasfin</w:t>
      </w:r>
      <w:proofErr w:type="spellEnd"/>
      <w:r w:rsidRPr="00E6142A">
        <w:rPr>
          <w:rFonts w:ascii="Arial" w:hAnsi="Arial" w:cs="Arial"/>
          <w:color w:val="000000"/>
        </w:rPr>
        <w:t>, it would still be subject to the provisions of the   "the first main cession agreement.</w:t>
      </w:r>
    </w:p>
    <w:p w14:paraId="7AAD2B6F" w14:textId="77777777" w:rsidR="00E6142A" w:rsidRPr="00E6142A" w:rsidRDefault="00E6142A" w:rsidP="00E701E0">
      <w:pPr>
        <w:widowControl w:val="0"/>
        <w:tabs>
          <w:tab w:val="left" w:pos="4140"/>
        </w:tabs>
        <w:autoSpaceDE w:val="0"/>
        <w:autoSpaceDN w:val="0"/>
        <w:adjustRightInd w:val="0"/>
        <w:spacing w:after="0" w:line="480" w:lineRule="auto"/>
        <w:ind w:left="1134" w:hanging="567"/>
        <w:jc w:val="both"/>
        <w:rPr>
          <w:rFonts w:ascii="Arial" w:hAnsi="Arial" w:cs="Arial"/>
          <w:color w:val="000000"/>
        </w:rPr>
      </w:pPr>
      <w:r w:rsidRPr="00E6142A">
        <w:rPr>
          <w:rFonts w:ascii="Arial" w:hAnsi="Arial" w:cs="Arial"/>
          <w:color w:val="000000"/>
        </w:rPr>
        <w:t xml:space="preserve">10 </w:t>
      </w:r>
      <w:r w:rsidR="00DD4454">
        <w:rPr>
          <w:rFonts w:ascii="Arial" w:hAnsi="Arial" w:cs="Arial"/>
          <w:color w:val="000000"/>
        </w:rPr>
        <w:tab/>
      </w:r>
      <w:r w:rsidRPr="00E6142A">
        <w:rPr>
          <w:rFonts w:ascii="Arial" w:hAnsi="Arial" w:cs="Arial"/>
          <w:color w:val="000000"/>
        </w:rPr>
        <w:t xml:space="preserve">Accordingly, and on 22, November 2020 when the Initial period of Claim </w:t>
      </w:r>
      <w:proofErr w:type="gramStart"/>
      <w:r w:rsidRPr="00E6142A">
        <w:rPr>
          <w:rFonts w:ascii="Arial" w:hAnsi="Arial" w:cs="Arial"/>
          <w:color w:val="000000"/>
        </w:rPr>
        <w:t>A</w:t>
      </w:r>
      <w:proofErr w:type="gramEnd"/>
      <w:r w:rsidRPr="00E6142A">
        <w:rPr>
          <w:rFonts w:ascii="Arial" w:hAnsi="Arial" w:cs="Arial"/>
          <w:color w:val="000000"/>
        </w:rPr>
        <w:t xml:space="preserve"> Agreement expired, the rights in and to Claim Agreement would have automatically been ceded </w:t>
      </w:r>
      <w:r w:rsidRPr="00E6142A">
        <w:rPr>
          <w:rFonts w:ascii="Arial" w:hAnsi="Arial" w:cs="Arial"/>
          <w:color w:val="000000"/>
        </w:rPr>
        <w:lastRenderedPageBreak/>
        <w:t xml:space="preserve">back to </w:t>
      </w:r>
      <w:proofErr w:type="spellStart"/>
      <w:r w:rsidRPr="00E6142A">
        <w:rPr>
          <w:rFonts w:ascii="Arial" w:hAnsi="Arial" w:cs="Arial"/>
          <w:color w:val="000000"/>
        </w:rPr>
        <w:t>Astfin</w:t>
      </w:r>
      <w:proofErr w:type="spellEnd"/>
      <w:r w:rsidRPr="00E6142A">
        <w:rPr>
          <w:rFonts w:ascii="Arial" w:hAnsi="Arial" w:cs="Arial"/>
          <w:color w:val="000000"/>
        </w:rPr>
        <w:t>.”</w:t>
      </w:r>
    </w:p>
    <w:p w14:paraId="60683BD5" w14:textId="77777777" w:rsidR="00E6142A" w:rsidRPr="00E6142A" w:rsidRDefault="00E6142A" w:rsidP="00E701E0">
      <w:pPr>
        <w:tabs>
          <w:tab w:val="left" w:pos="4140"/>
        </w:tabs>
        <w:spacing w:after="0" w:line="480" w:lineRule="auto"/>
        <w:jc w:val="both"/>
        <w:rPr>
          <w:rFonts w:ascii="Arial" w:eastAsia="Times New Roman" w:hAnsi="Arial" w:cs="Arial"/>
          <w:color w:val="0E101A"/>
          <w:sz w:val="24"/>
          <w:szCs w:val="24"/>
        </w:rPr>
      </w:pPr>
    </w:p>
    <w:p w14:paraId="19CC339F" w14:textId="77777777" w:rsidR="003F3C59" w:rsidRPr="00DC7E88" w:rsidRDefault="00DC7E88" w:rsidP="00E701E0">
      <w:pPr>
        <w:tabs>
          <w:tab w:val="left" w:pos="4140"/>
        </w:tabs>
        <w:spacing w:after="0" w:line="480" w:lineRule="auto"/>
        <w:ind w:left="360"/>
        <w:jc w:val="both"/>
        <w:rPr>
          <w:rFonts w:ascii="Arial" w:eastAsia="Times New Roman" w:hAnsi="Arial" w:cs="Arial"/>
          <w:color w:val="0E101A"/>
          <w:sz w:val="24"/>
          <w:szCs w:val="24"/>
        </w:rPr>
      </w:pPr>
      <w:r>
        <w:rPr>
          <w:rFonts w:ascii="Arial" w:eastAsia="Times New Roman" w:hAnsi="Arial" w:cs="Arial"/>
          <w:b/>
          <w:bCs/>
          <w:color w:val="0E101A"/>
          <w:sz w:val="24"/>
          <w:szCs w:val="24"/>
        </w:rPr>
        <w:t xml:space="preserve"> </w:t>
      </w:r>
      <w:r w:rsidR="003F3C59" w:rsidRPr="00DC7E88">
        <w:rPr>
          <w:rFonts w:ascii="Arial" w:eastAsia="Times New Roman" w:hAnsi="Arial" w:cs="Arial"/>
          <w:b/>
          <w:bCs/>
          <w:color w:val="0E101A"/>
          <w:sz w:val="24"/>
          <w:szCs w:val="24"/>
        </w:rPr>
        <w:t>The principles governing exception</w:t>
      </w:r>
    </w:p>
    <w:p w14:paraId="49E51B0D"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754B95B7" w14:textId="69107DC6" w:rsidR="00654426"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654426">
        <w:rPr>
          <w:rFonts w:ascii="Arial" w:eastAsia="Times New Roman" w:hAnsi="Arial" w:cs="Arial"/>
          <w:color w:val="0E101A"/>
          <w:sz w:val="24"/>
          <w:szCs w:val="24"/>
          <w:lang w:eastAsia="en-US"/>
        </w:rPr>
        <w:t>[13]</w:t>
      </w:r>
      <w:r w:rsidRPr="00654426">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The approach to adopt in determining whether the pleading is </w:t>
      </w:r>
      <w:proofErr w:type="spellStart"/>
      <w:r w:rsidR="003F3C59" w:rsidRPr="003A2848">
        <w:rPr>
          <w:rFonts w:ascii="Arial" w:eastAsia="Times New Roman" w:hAnsi="Arial" w:cs="Arial"/>
          <w:color w:val="0E101A"/>
          <w:sz w:val="24"/>
          <w:szCs w:val="24"/>
        </w:rPr>
        <w:t>excepiable</w:t>
      </w:r>
      <w:proofErr w:type="spellEnd"/>
      <w:r w:rsidR="003F3C59" w:rsidRPr="003A2848">
        <w:rPr>
          <w:rFonts w:ascii="Arial" w:eastAsia="Times New Roman" w:hAnsi="Arial" w:cs="Arial"/>
          <w:color w:val="0E101A"/>
          <w:sz w:val="24"/>
          <w:szCs w:val="24"/>
        </w:rPr>
        <w:t xml:space="preserve"> </w:t>
      </w:r>
      <w:r w:rsidR="00E6142A" w:rsidRPr="003A2848">
        <w:rPr>
          <w:rFonts w:ascii="Arial" w:eastAsia="Times New Roman" w:hAnsi="Arial" w:cs="Arial"/>
          <w:color w:val="0E101A"/>
          <w:sz w:val="24"/>
          <w:szCs w:val="24"/>
        </w:rPr>
        <w:t>is set out in Barnard v Barnard,</w:t>
      </w:r>
      <w:r w:rsidR="00E6142A" w:rsidRPr="00654426">
        <w:rPr>
          <w:rStyle w:val="FootnoteReference"/>
          <w:rFonts w:ascii="Arial" w:eastAsia="Times New Roman" w:hAnsi="Arial" w:cs="Arial"/>
          <w:color w:val="0E101A"/>
          <w:sz w:val="24"/>
          <w:szCs w:val="24"/>
        </w:rPr>
        <w:footnoteReference w:id="2"/>
      </w:r>
      <w:r w:rsidR="00E6142A" w:rsidRPr="003A2848">
        <w:rPr>
          <w:rFonts w:ascii="Arial" w:eastAsia="Times New Roman" w:hAnsi="Arial" w:cs="Arial"/>
          <w:color w:val="0E101A"/>
          <w:sz w:val="24"/>
          <w:szCs w:val="24"/>
        </w:rPr>
        <w:t xml:space="preserve"> as follows: </w:t>
      </w:r>
    </w:p>
    <w:p w14:paraId="6FBB7F12" w14:textId="77777777" w:rsidR="00654426" w:rsidRPr="00654426" w:rsidRDefault="00654426" w:rsidP="00E701E0">
      <w:pPr>
        <w:tabs>
          <w:tab w:val="left" w:pos="1134"/>
        </w:tabs>
        <w:spacing w:after="0" w:line="480" w:lineRule="auto"/>
        <w:ind w:left="1134" w:hanging="567"/>
        <w:jc w:val="both"/>
        <w:rPr>
          <w:rFonts w:ascii="Arial" w:eastAsia="Times New Roman" w:hAnsi="Arial" w:cs="Arial"/>
          <w:color w:val="0E101A"/>
        </w:rPr>
      </w:pPr>
      <w:r>
        <w:rPr>
          <w:rFonts w:ascii="Verdana" w:hAnsi="Verdana"/>
          <w:color w:val="000000"/>
          <w:sz w:val="20"/>
          <w:szCs w:val="20"/>
        </w:rPr>
        <w:tab/>
      </w:r>
      <w:r w:rsidRPr="00654426">
        <w:rPr>
          <w:rFonts w:ascii="Verdana" w:hAnsi="Verdana"/>
          <w:color w:val="000000"/>
        </w:rPr>
        <w:t xml:space="preserve">“[10] In considering the question whether the plaintiff's proposed amendment (or any part of it) is </w:t>
      </w:r>
      <w:proofErr w:type="spellStart"/>
      <w:r w:rsidRPr="00654426">
        <w:rPr>
          <w:rFonts w:ascii="Verdana" w:hAnsi="Verdana"/>
          <w:color w:val="000000"/>
        </w:rPr>
        <w:t>excipiable</w:t>
      </w:r>
      <w:proofErr w:type="spellEnd"/>
      <w:r w:rsidRPr="00654426">
        <w:rPr>
          <w:rFonts w:ascii="Verdana" w:hAnsi="Verdana"/>
          <w:color w:val="000000"/>
        </w:rPr>
        <w:t xml:space="preserve">, the Court must accept the truth of the allegations contained therein and determine whether those allegations </w:t>
      </w:r>
      <w:proofErr w:type="gramStart"/>
      <w:r w:rsidRPr="00654426">
        <w:rPr>
          <w:rFonts w:ascii="Verdana" w:hAnsi="Verdana"/>
          <w:color w:val="000000"/>
        </w:rPr>
        <w:t>are capable of supporting</w:t>
      </w:r>
      <w:proofErr w:type="gramEnd"/>
      <w:r w:rsidRPr="00654426">
        <w:rPr>
          <w:rFonts w:ascii="Verdana" w:hAnsi="Verdana"/>
          <w:color w:val="000000"/>
        </w:rPr>
        <w:t xml:space="preserve"> a cause of action.  In considering this question the Court is ordinarily not entitled to consider any facts outside those stated in the particulars and the proposed amendment. It is for the excipient (defendant in this case) to satisfy the Court that in all its possible meanings no cause of action is disclosed.</w:t>
      </w:r>
      <w:bookmarkStart w:id="0" w:name="0-0-0-457281"/>
      <w:bookmarkEnd w:id="0"/>
      <w:r w:rsidRPr="00654426">
        <w:rPr>
          <w:rFonts w:ascii="Verdana" w:hAnsi="Verdana"/>
          <w:color w:val="000000"/>
        </w:rPr>
        <w:t>”</w:t>
      </w:r>
      <w:r w:rsidRPr="00654426">
        <w:rPr>
          <w:rFonts w:ascii="Arial" w:eastAsia="Times New Roman" w:hAnsi="Arial" w:cs="Arial"/>
          <w:color w:val="0E101A"/>
        </w:rPr>
        <w:t xml:space="preserve"> </w:t>
      </w:r>
    </w:p>
    <w:p w14:paraId="0706BD78" w14:textId="77777777" w:rsidR="00E6142A" w:rsidRPr="00E6142A" w:rsidRDefault="00E6142A" w:rsidP="00E701E0">
      <w:pPr>
        <w:tabs>
          <w:tab w:val="left" w:pos="4140"/>
        </w:tabs>
        <w:spacing w:after="0" w:line="480" w:lineRule="auto"/>
        <w:jc w:val="both"/>
        <w:rPr>
          <w:rFonts w:ascii="Arial" w:eastAsia="Times New Roman" w:hAnsi="Arial" w:cs="Arial"/>
          <w:color w:val="0E101A"/>
          <w:sz w:val="24"/>
          <w:szCs w:val="24"/>
        </w:rPr>
      </w:pPr>
    </w:p>
    <w:p w14:paraId="289F55AC" w14:textId="19AE646D" w:rsidR="003F3C59" w:rsidRPr="003A2848" w:rsidRDefault="003A2848" w:rsidP="003A2848">
      <w:pPr>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[14]</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It is also a well-establish</w:t>
      </w:r>
      <w:r w:rsidR="00E34DA7" w:rsidRPr="003A2848">
        <w:rPr>
          <w:rFonts w:ascii="Arial" w:eastAsia="Times New Roman" w:hAnsi="Arial" w:cs="Arial"/>
          <w:color w:val="0E101A"/>
          <w:sz w:val="24"/>
          <w:szCs w:val="24"/>
        </w:rPr>
        <w:t>ed principle of our law that an</w:t>
      </w:r>
      <w:r w:rsidR="003F3C59" w:rsidRPr="003A2848">
        <w:rPr>
          <w:rFonts w:ascii="Arial" w:eastAsia="Times New Roman" w:hAnsi="Arial" w:cs="Arial"/>
          <w:color w:val="0E101A"/>
          <w:sz w:val="24"/>
          <w:szCs w:val="24"/>
        </w:rPr>
        <w:t xml:space="preserve"> exception </w:t>
      </w:r>
      <w:proofErr w:type="gramStart"/>
      <w:r w:rsidR="003F3C59" w:rsidRPr="003A2848">
        <w:rPr>
          <w:rFonts w:ascii="Arial" w:eastAsia="Times New Roman" w:hAnsi="Arial" w:cs="Arial"/>
          <w:color w:val="0E101A"/>
          <w:sz w:val="24"/>
          <w:szCs w:val="24"/>
        </w:rPr>
        <w:t>has to</w:t>
      </w:r>
      <w:proofErr w:type="gramEnd"/>
      <w:r w:rsidR="003F3C59" w:rsidRPr="003A2848">
        <w:rPr>
          <w:rFonts w:ascii="Arial" w:eastAsia="Times New Roman" w:hAnsi="Arial" w:cs="Arial"/>
          <w:color w:val="0E101A"/>
          <w:sz w:val="24"/>
          <w:szCs w:val="24"/>
        </w:rPr>
        <w:t xml:space="preserve"> be confined to the four corners of pleadings. In other words, the excipie</w:t>
      </w:r>
      <w:r w:rsidR="00520AD4" w:rsidRPr="003A2848">
        <w:rPr>
          <w:rFonts w:ascii="Arial" w:eastAsia="Times New Roman" w:hAnsi="Arial" w:cs="Arial"/>
          <w:color w:val="0E101A"/>
          <w:sz w:val="24"/>
          <w:szCs w:val="24"/>
        </w:rPr>
        <w:t xml:space="preserve">nt must confine his or her </w:t>
      </w:r>
      <w:r w:rsidR="003F3C59" w:rsidRPr="003A2848">
        <w:rPr>
          <w:rFonts w:ascii="Arial" w:eastAsia="Times New Roman" w:hAnsi="Arial" w:cs="Arial"/>
          <w:color w:val="0E101A"/>
          <w:sz w:val="24"/>
          <w:szCs w:val="24"/>
        </w:rPr>
        <w:t>complaint to what is pleaded in by the other party</w:t>
      </w:r>
      <w:r w:rsidR="00E34DA7" w:rsidRPr="003A2848">
        <w:rPr>
          <w:rFonts w:ascii="Arial" w:eastAsia="Times New Roman" w:hAnsi="Arial" w:cs="Arial"/>
          <w:color w:val="0E101A"/>
          <w:sz w:val="24"/>
          <w:szCs w:val="24"/>
        </w:rPr>
        <w:t>.</w:t>
      </w:r>
      <w:r w:rsidR="00E34DA7">
        <w:rPr>
          <w:rStyle w:val="FootnoteReference"/>
          <w:rFonts w:ascii="Arial" w:eastAsia="Times New Roman" w:hAnsi="Arial" w:cs="Arial"/>
          <w:color w:val="0E101A"/>
          <w:sz w:val="24"/>
          <w:szCs w:val="24"/>
        </w:rPr>
        <w:footnoteReference w:id="3"/>
      </w:r>
    </w:p>
    <w:p w14:paraId="03A6805A"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2596C082" w14:textId="718DC32F" w:rsidR="003F3C59"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[15]</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In the present matter, the defendant complains that although the plaintiff contends in Claim A that the contract was ceded over to ABSA Finance on 20 November 2015, the </w:t>
      </w:r>
      <w:r w:rsidR="003F3C59" w:rsidRPr="003A2848">
        <w:rPr>
          <w:rFonts w:ascii="Arial" w:eastAsia="Times New Roman" w:hAnsi="Arial" w:cs="Arial"/>
          <w:color w:val="0E101A"/>
          <w:sz w:val="24"/>
          <w:szCs w:val="24"/>
        </w:rPr>
        <w:lastRenderedPageBreak/>
        <w:t xml:space="preserve">essentials of the cession as provided for in the contract has not been complied with. It further contends that in the absence of establishing the underlying cession between </w:t>
      </w:r>
      <w:proofErr w:type="spellStart"/>
      <w:r w:rsidR="003F3C59" w:rsidRPr="003A2848">
        <w:rPr>
          <w:rFonts w:ascii="Arial" w:eastAsia="Times New Roman" w:hAnsi="Arial" w:cs="Arial"/>
          <w:color w:val="0E101A"/>
          <w:sz w:val="24"/>
          <w:szCs w:val="24"/>
        </w:rPr>
        <w:t>Sasfin</w:t>
      </w:r>
      <w:proofErr w:type="spellEnd"/>
      <w:r w:rsidR="003F3C59" w:rsidRPr="003A2848">
        <w:rPr>
          <w:rFonts w:ascii="Arial" w:eastAsia="Times New Roman" w:hAnsi="Arial" w:cs="Arial"/>
          <w:color w:val="0E101A"/>
          <w:sz w:val="24"/>
          <w:szCs w:val="24"/>
        </w:rPr>
        <w:t xml:space="preserve"> and ABSA Finance, cession cannot be said to have taken place.</w:t>
      </w:r>
    </w:p>
    <w:p w14:paraId="2363FD77"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4DFF8796" w14:textId="0465374D" w:rsidR="003F3C59"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[16]</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The other challenge faced by the plaintiffs, according to the defendant, is that when the contract in Claim A expired in September 2020, the agreement between </w:t>
      </w:r>
      <w:proofErr w:type="spellStart"/>
      <w:r w:rsidR="003F3C59" w:rsidRPr="003A2848">
        <w:rPr>
          <w:rFonts w:ascii="Arial" w:eastAsia="Times New Roman" w:hAnsi="Arial" w:cs="Arial"/>
          <w:color w:val="0E101A"/>
          <w:sz w:val="24"/>
          <w:szCs w:val="24"/>
        </w:rPr>
        <w:t>Asfin</w:t>
      </w:r>
      <w:proofErr w:type="spellEnd"/>
      <w:r w:rsidR="003F3C59" w:rsidRPr="003A2848">
        <w:rPr>
          <w:rFonts w:ascii="Arial" w:eastAsia="Times New Roman" w:hAnsi="Arial" w:cs="Arial"/>
          <w:color w:val="0E101A"/>
          <w:sz w:val="24"/>
          <w:szCs w:val="24"/>
        </w:rPr>
        <w:t xml:space="preserve"> and ABSA Finance automatically receded to </w:t>
      </w:r>
      <w:proofErr w:type="spellStart"/>
      <w:r w:rsidR="003F3C59" w:rsidRPr="003A2848">
        <w:rPr>
          <w:rFonts w:ascii="Arial" w:eastAsia="Times New Roman" w:hAnsi="Arial" w:cs="Arial"/>
          <w:color w:val="0E101A"/>
          <w:sz w:val="24"/>
          <w:szCs w:val="24"/>
        </w:rPr>
        <w:t>Asfin</w:t>
      </w:r>
      <w:proofErr w:type="spellEnd"/>
      <w:r w:rsidR="003F3C59" w:rsidRPr="003A2848">
        <w:rPr>
          <w:rFonts w:ascii="Arial" w:eastAsia="Times New Roman" w:hAnsi="Arial" w:cs="Arial"/>
          <w:color w:val="0E101A"/>
          <w:sz w:val="24"/>
          <w:szCs w:val="24"/>
        </w:rPr>
        <w:t xml:space="preserve"> and not any of the plaintiffs. The defendant contends, based on the above, that the plaintiff lacks</w:t>
      </w:r>
      <w:r w:rsidR="003F3C59" w:rsidRPr="003A2848">
        <w:rPr>
          <w:rFonts w:ascii="Arial" w:eastAsia="Times New Roman" w:hAnsi="Arial" w:cs="Arial"/>
          <w:i/>
          <w:iCs/>
          <w:color w:val="0E101A"/>
          <w:sz w:val="24"/>
          <w:szCs w:val="24"/>
        </w:rPr>
        <w:t> locus standi</w:t>
      </w:r>
      <w:r w:rsidR="003F3C59" w:rsidRPr="003A2848">
        <w:rPr>
          <w:rFonts w:ascii="Arial" w:eastAsia="Times New Roman" w:hAnsi="Arial" w:cs="Arial"/>
          <w:color w:val="0E101A"/>
          <w:sz w:val="24"/>
          <w:szCs w:val="24"/>
        </w:rPr>
        <w:t> to sue under that agreement.</w:t>
      </w:r>
    </w:p>
    <w:p w14:paraId="5F0158A9"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51B33D0F" w14:textId="77777777" w:rsidR="003F3C59" w:rsidRPr="00DC7E88" w:rsidRDefault="003F3C59" w:rsidP="00E701E0">
      <w:pPr>
        <w:tabs>
          <w:tab w:val="left" w:pos="0"/>
        </w:tabs>
        <w:spacing w:after="0" w:line="480" w:lineRule="auto"/>
        <w:jc w:val="both"/>
        <w:rPr>
          <w:rFonts w:ascii="Arial" w:eastAsia="Times New Roman" w:hAnsi="Arial" w:cs="Arial"/>
          <w:color w:val="0E101A"/>
          <w:sz w:val="24"/>
          <w:szCs w:val="24"/>
        </w:rPr>
      </w:pPr>
      <w:r w:rsidRPr="00DC7E88">
        <w:rPr>
          <w:rFonts w:ascii="Arial" w:eastAsia="Times New Roman" w:hAnsi="Arial" w:cs="Arial"/>
          <w:b/>
          <w:bCs/>
          <w:color w:val="0E101A"/>
          <w:sz w:val="24"/>
          <w:szCs w:val="24"/>
        </w:rPr>
        <w:t>Evaluation </w:t>
      </w:r>
    </w:p>
    <w:p w14:paraId="643A5757" w14:textId="09661888" w:rsidR="003F3C59" w:rsidRPr="003A2848" w:rsidRDefault="003A2848" w:rsidP="003A2848">
      <w:pPr>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[17]</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 xml:space="preserve">As the above shows, the exception is based on the contention that the particulars of claim are </w:t>
      </w:r>
      <w:proofErr w:type="spellStart"/>
      <w:r w:rsidR="003F3C59" w:rsidRPr="003A2848">
        <w:rPr>
          <w:rFonts w:ascii="Arial" w:eastAsia="Times New Roman" w:hAnsi="Arial" w:cs="Arial"/>
          <w:color w:val="0E101A"/>
          <w:sz w:val="24"/>
          <w:szCs w:val="24"/>
        </w:rPr>
        <w:t>excepiable</w:t>
      </w:r>
      <w:proofErr w:type="spellEnd"/>
      <w:r w:rsidR="003F3C59" w:rsidRPr="003A2848">
        <w:rPr>
          <w:rFonts w:ascii="Arial" w:eastAsia="Times New Roman" w:hAnsi="Arial" w:cs="Arial"/>
          <w:color w:val="0E101A"/>
          <w:sz w:val="24"/>
          <w:szCs w:val="24"/>
        </w:rPr>
        <w:t xml:space="preserve"> because of </w:t>
      </w:r>
      <w:r w:rsidR="00711CC6" w:rsidRPr="003A2848">
        <w:rPr>
          <w:rFonts w:ascii="Arial" w:eastAsia="Times New Roman" w:hAnsi="Arial" w:cs="Arial"/>
          <w:color w:val="0E101A"/>
          <w:sz w:val="24"/>
          <w:szCs w:val="24"/>
        </w:rPr>
        <w:t xml:space="preserve">the </w:t>
      </w:r>
      <w:r w:rsidR="003F3C59" w:rsidRPr="003A2848">
        <w:rPr>
          <w:rFonts w:ascii="Arial" w:eastAsia="Times New Roman" w:hAnsi="Arial" w:cs="Arial"/>
          <w:color w:val="0E101A"/>
          <w:sz w:val="24"/>
          <w:szCs w:val="24"/>
        </w:rPr>
        <w:t xml:space="preserve">failure to plead the essentials of the cession. It is particularly alleged that the cause of failure to establish the cession between </w:t>
      </w:r>
      <w:proofErr w:type="spellStart"/>
      <w:r w:rsidR="003F3C59" w:rsidRPr="003A2848">
        <w:rPr>
          <w:rFonts w:ascii="Arial" w:eastAsia="Times New Roman" w:hAnsi="Arial" w:cs="Arial"/>
          <w:color w:val="0E101A"/>
          <w:sz w:val="24"/>
          <w:szCs w:val="24"/>
        </w:rPr>
        <w:t>Asfin</w:t>
      </w:r>
      <w:proofErr w:type="spellEnd"/>
      <w:r w:rsidR="003F3C59" w:rsidRPr="003A2848">
        <w:rPr>
          <w:rFonts w:ascii="Arial" w:eastAsia="Times New Roman" w:hAnsi="Arial" w:cs="Arial"/>
          <w:color w:val="0E101A"/>
          <w:sz w:val="24"/>
          <w:szCs w:val="24"/>
        </w:rPr>
        <w:t xml:space="preserve"> and ABSA Finance, any subsequent cession between the plaintiffs and </w:t>
      </w:r>
      <w:proofErr w:type="spellStart"/>
      <w:r w:rsidR="003F3C59" w:rsidRPr="003A2848">
        <w:rPr>
          <w:rFonts w:ascii="Arial" w:eastAsia="Times New Roman" w:hAnsi="Arial" w:cs="Arial"/>
          <w:color w:val="0E101A"/>
          <w:sz w:val="24"/>
          <w:szCs w:val="24"/>
        </w:rPr>
        <w:t>Sunlyn</w:t>
      </w:r>
      <w:proofErr w:type="spellEnd"/>
      <w:r w:rsidR="003F3C59" w:rsidRPr="003A2848">
        <w:rPr>
          <w:rFonts w:ascii="Arial" w:eastAsia="Times New Roman" w:hAnsi="Arial" w:cs="Arial"/>
          <w:color w:val="0E101A"/>
          <w:sz w:val="24"/>
          <w:szCs w:val="24"/>
        </w:rPr>
        <w:t>, cannot be said to have taken place.</w:t>
      </w:r>
    </w:p>
    <w:p w14:paraId="2D359E37"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7D037640" w14:textId="3907D2ED" w:rsidR="003F3C59" w:rsidRPr="003A2848" w:rsidRDefault="003A2848" w:rsidP="003A2848">
      <w:pPr>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[18]</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The complexity of this matter arises from the conceptual confusion that often arises between t</w:t>
      </w:r>
      <w:r w:rsidR="00DD4454" w:rsidRPr="003A2848">
        <w:rPr>
          <w:rFonts w:ascii="Arial" w:eastAsia="Times New Roman" w:hAnsi="Arial" w:cs="Arial"/>
          <w:color w:val="0E101A"/>
          <w:sz w:val="24"/>
          <w:szCs w:val="24"/>
        </w:rPr>
        <w:t>he undertaking to cede and the c</w:t>
      </w:r>
      <w:r w:rsidR="003F3C59" w:rsidRPr="003A2848">
        <w:rPr>
          <w:rFonts w:ascii="Arial" w:eastAsia="Times New Roman" w:hAnsi="Arial" w:cs="Arial"/>
          <w:color w:val="0E101A"/>
          <w:sz w:val="24"/>
          <w:szCs w:val="24"/>
        </w:rPr>
        <w:t xml:space="preserve">ession itself. The undertaking is abstract in its nature and distinct from the underlying agreement. It should, however, be pointed out that the two juristic acts constitute two types of binding agreements, as explained in Brayton </w:t>
      </w:r>
      <w:proofErr w:type="spellStart"/>
      <w:r w:rsidR="003F3C59" w:rsidRPr="003A2848">
        <w:rPr>
          <w:rFonts w:ascii="Arial" w:eastAsia="Times New Roman" w:hAnsi="Arial" w:cs="Arial"/>
          <w:color w:val="0E101A"/>
          <w:sz w:val="24"/>
          <w:szCs w:val="24"/>
        </w:rPr>
        <w:lastRenderedPageBreak/>
        <w:t>Chartswald</w:t>
      </w:r>
      <w:proofErr w:type="spellEnd"/>
      <w:r w:rsidR="003F3C59" w:rsidRPr="003A2848">
        <w:rPr>
          <w:rFonts w:ascii="Arial" w:eastAsia="Times New Roman" w:hAnsi="Arial" w:cs="Arial"/>
          <w:color w:val="0E101A"/>
          <w:sz w:val="24"/>
          <w:szCs w:val="24"/>
        </w:rPr>
        <w:t xml:space="preserve"> and Another v Brews</w:t>
      </w:r>
      <w:r w:rsidR="00E5054C" w:rsidRPr="003A2848">
        <w:rPr>
          <w:rFonts w:ascii="Arial" w:eastAsia="Times New Roman" w:hAnsi="Arial" w:cs="Arial"/>
          <w:color w:val="0E101A"/>
          <w:sz w:val="24"/>
          <w:szCs w:val="24"/>
        </w:rPr>
        <w:t>,</w:t>
      </w:r>
      <w:r w:rsidR="00E5054C">
        <w:rPr>
          <w:rStyle w:val="FootnoteReference"/>
          <w:rFonts w:ascii="Arial" w:eastAsia="Times New Roman" w:hAnsi="Arial" w:cs="Arial"/>
          <w:color w:val="0E101A"/>
          <w:sz w:val="24"/>
          <w:szCs w:val="24"/>
        </w:rPr>
        <w:footnoteReference w:id="4"/>
      </w:r>
      <w:r w:rsidR="003F3C59" w:rsidRPr="003A2848">
        <w:rPr>
          <w:rFonts w:ascii="Arial" w:eastAsia="Times New Roman" w:hAnsi="Arial" w:cs="Arial"/>
          <w:color w:val="0E101A"/>
          <w:sz w:val="24"/>
          <w:szCs w:val="24"/>
        </w:rPr>
        <w:t xml:space="preserve"> In further explaining the distinction between the two types of agreements the SCA quoted with approval what was said in Law of South Africa: </w:t>
      </w:r>
    </w:p>
    <w:p w14:paraId="08DC6007" w14:textId="77777777" w:rsidR="003F3C59" w:rsidRPr="00E5054C" w:rsidRDefault="003F3C59" w:rsidP="00E701E0">
      <w:pPr>
        <w:tabs>
          <w:tab w:val="left" w:pos="4140"/>
        </w:tabs>
        <w:spacing w:after="0" w:line="480" w:lineRule="auto"/>
        <w:ind w:left="567"/>
        <w:jc w:val="both"/>
        <w:rPr>
          <w:rFonts w:ascii="Arial" w:eastAsia="Times New Roman" w:hAnsi="Arial" w:cs="Arial"/>
          <w:color w:val="0E101A"/>
        </w:rPr>
      </w:pPr>
      <w:r w:rsidRPr="00E5054C">
        <w:rPr>
          <w:rFonts w:ascii="Arial" w:eastAsia="Times New Roman" w:hAnsi="Arial" w:cs="Arial"/>
          <w:color w:val="0E101A"/>
        </w:rPr>
        <w:t xml:space="preserve">"The undertaking to cede and actually cession will often coincide and be consolidated in a single </w:t>
      </w:r>
      <w:proofErr w:type="gramStart"/>
      <w:r w:rsidRPr="00E5054C">
        <w:rPr>
          <w:rFonts w:ascii="Arial" w:eastAsia="Times New Roman" w:hAnsi="Arial" w:cs="Arial"/>
          <w:color w:val="0E101A"/>
        </w:rPr>
        <w:t>document, yet</w:t>
      </w:r>
      <w:proofErr w:type="gramEnd"/>
      <w:r w:rsidRPr="00E5054C">
        <w:rPr>
          <w:rFonts w:ascii="Arial" w:eastAsia="Times New Roman" w:hAnsi="Arial" w:cs="Arial"/>
          <w:color w:val="0E101A"/>
        </w:rPr>
        <w:t xml:space="preserve"> remain discreetly juristic acts. However, because they are frequently merged into one transaction between the obligatory agreement to cede, and the actual cession sometimes tends to be smudged. They are nevertheless distinct in function and can be so in time: By the former, a duty to cede is created, the latter is discharged."</w:t>
      </w:r>
    </w:p>
    <w:p w14:paraId="095C99E1"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4087FC18" w14:textId="6B0B5BAE" w:rsidR="003F3C59"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BD365B">
        <w:rPr>
          <w:rFonts w:ascii="Arial" w:eastAsia="Times New Roman" w:hAnsi="Arial" w:cs="Arial"/>
          <w:color w:val="0E101A"/>
          <w:sz w:val="24"/>
          <w:szCs w:val="24"/>
          <w:lang w:eastAsia="en-US"/>
        </w:rPr>
        <w:t>[19]</w:t>
      </w:r>
      <w:r w:rsidRPr="00BD365B">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It is trite that a debtor has no role to play in the cessionary process between cedent and cessionary. This means that the debtor need not know about the cessionary pro</w:t>
      </w:r>
      <w:r w:rsidR="006F6468" w:rsidRPr="003A2848">
        <w:rPr>
          <w:rFonts w:ascii="Arial" w:eastAsia="Times New Roman" w:hAnsi="Arial" w:cs="Arial"/>
          <w:color w:val="0E101A"/>
          <w:sz w:val="24"/>
          <w:szCs w:val="24"/>
        </w:rPr>
        <w:t>cess. Neither is his or her</w:t>
      </w:r>
      <w:r w:rsidR="003F3C59" w:rsidRPr="003A2848">
        <w:rPr>
          <w:rFonts w:ascii="Arial" w:eastAsia="Times New Roman" w:hAnsi="Arial" w:cs="Arial"/>
          <w:color w:val="0E101A"/>
          <w:sz w:val="24"/>
          <w:szCs w:val="24"/>
        </w:rPr>
        <w:t xml:space="preserve"> consent required. Furthermore, the debtor has no right to veto the </w:t>
      </w:r>
      <w:r w:rsidR="006F6468" w:rsidRPr="003A2848">
        <w:rPr>
          <w:rFonts w:ascii="Arial" w:eastAsia="Times New Roman" w:hAnsi="Arial" w:cs="Arial"/>
          <w:color w:val="0E101A"/>
          <w:sz w:val="24"/>
          <w:szCs w:val="24"/>
        </w:rPr>
        <w:t xml:space="preserve">agreement between the cessionary and the cadent. </w:t>
      </w:r>
      <w:r w:rsidR="003F3C59" w:rsidRPr="003A2848">
        <w:rPr>
          <w:rFonts w:ascii="Arial" w:eastAsia="Times New Roman" w:hAnsi="Arial" w:cs="Arial"/>
          <w:color w:val="0E101A"/>
          <w:sz w:val="24"/>
          <w:szCs w:val="24"/>
        </w:rPr>
        <w:t xml:space="preserve">This also means that </w:t>
      </w:r>
      <w:r w:rsidR="006F6468" w:rsidRPr="003A2848">
        <w:rPr>
          <w:rFonts w:ascii="Arial" w:eastAsia="Times New Roman" w:hAnsi="Arial" w:cs="Arial"/>
          <w:color w:val="0E101A"/>
          <w:sz w:val="24"/>
          <w:szCs w:val="24"/>
        </w:rPr>
        <w:t xml:space="preserve">the </w:t>
      </w:r>
      <w:r w:rsidR="003F3C59" w:rsidRPr="003A2848">
        <w:rPr>
          <w:rFonts w:ascii="Arial" w:eastAsia="Times New Roman" w:hAnsi="Arial" w:cs="Arial"/>
          <w:color w:val="0E101A"/>
          <w:sz w:val="24"/>
          <w:szCs w:val="24"/>
        </w:rPr>
        <w:t>cedent need not not</w:t>
      </w:r>
      <w:r w:rsidR="006F6468" w:rsidRPr="003A2848">
        <w:rPr>
          <w:rFonts w:ascii="Arial" w:eastAsia="Times New Roman" w:hAnsi="Arial" w:cs="Arial"/>
          <w:color w:val="0E101A"/>
          <w:sz w:val="24"/>
          <w:szCs w:val="24"/>
        </w:rPr>
        <w:t>ify the debtor in concluding a c</w:t>
      </w:r>
      <w:r w:rsidR="003F3C59" w:rsidRPr="003A2848">
        <w:rPr>
          <w:rFonts w:ascii="Arial" w:eastAsia="Times New Roman" w:hAnsi="Arial" w:cs="Arial"/>
          <w:color w:val="0E101A"/>
          <w:sz w:val="24"/>
          <w:szCs w:val="24"/>
        </w:rPr>
        <w:t>ession</w:t>
      </w:r>
      <w:r w:rsidR="006F6468" w:rsidRPr="003A2848">
        <w:rPr>
          <w:rFonts w:ascii="Arial" w:eastAsia="Times New Roman" w:hAnsi="Arial" w:cs="Arial"/>
          <w:color w:val="0E101A"/>
          <w:sz w:val="24"/>
          <w:szCs w:val="24"/>
        </w:rPr>
        <w:t xml:space="preserve"> with</w:t>
      </w:r>
      <w:r w:rsidR="00520AD4" w:rsidRPr="003A2848">
        <w:rPr>
          <w:rFonts w:ascii="Arial" w:eastAsia="Times New Roman" w:hAnsi="Arial" w:cs="Arial"/>
          <w:color w:val="0E101A"/>
          <w:sz w:val="24"/>
          <w:szCs w:val="24"/>
        </w:rPr>
        <w:t xml:space="preserve"> the</w:t>
      </w:r>
      <w:r w:rsidR="006F6468" w:rsidRPr="003A2848">
        <w:rPr>
          <w:rFonts w:ascii="Arial" w:eastAsia="Times New Roman" w:hAnsi="Arial" w:cs="Arial"/>
          <w:color w:val="0E101A"/>
          <w:sz w:val="24"/>
          <w:szCs w:val="24"/>
        </w:rPr>
        <w:t xml:space="preserve"> </w:t>
      </w:r>
      <w:r w:rsidR="003F3C59" w:rsidRPr="003A2848">
        <w:rPr>
          <w:rFonts w:ascii="Arial" w:eastAsia="Times New Roman" w:hAnsi="Arial" w:cs="Arial"/>
          <w:color w:val="0E101A"/>
          <w:sz w:val="24"/>
          <w:szCs w:val="24"/>
        </w:rPr>
        <w:t>cessionary.</w:t>
      </w:r>
    </w:p>
    <w:p w14:paraId="3BDEF6C4" w14:textId="77777777" w:rsidR="003F3C59" w:rsidRPr="003F3C59" w:rsidRDefault="003F3C59" w:rsidP="00E701E0">
      <w:pPr>
        <w:tabs>
          <w:tab w:val="left" w:pos="4140"/>
        </w:tabs>
        <w:spacing w:after="0" w:line="480" w:lineRule="auto"/>
        <w:jc w:val="both"/>
        <w:rPr>
          <w:rFonts w:ascii="Arial" w:eastAsia="Times New Roman" w:hAnsi="Arial" w:cs="Arial"/>
          <w:color w:val="0E101A"/>
          <w:sz w:val="24"/>
          <w:szCs w:val="24"/>
        </w:rPr>
      </w:pPr>
    </w:p>
    <w:p w14:paraId="73AD9311" w14:textId="63AA4AA3" w:rsidR="003F3C59" w:rsidRPr="003A2848" w:rsidRDefault="003A2848" w:rsidP="003A2848">
      <w:pPr>
        <w:tabs>
          <w:tab w:val="left" w:pos="0"/>
        </w:tabs>
        <w:spacing w:after="0" w:line="480" w:lineRule="auto"/>
        <w:jc w:val="both"/>
        <w:rPr>
          <w:rFonts w:ascii="Arial" w:eastAsia="Times New Roman" w:hAnsi="Arial" w:cs="Arial"/>
          <w:color w:val="0E101A"/>
          <w:sz w:val="20"/>
          <w:szCs w:val="20"/>
        </w:rPr>
      </w:pPr>
      <w:r w:rsidRPr="00711CC6">
        <w:rPr>
          <w:rFonts w:ascii="Arial" w:eastAsia="Times New Roman" w:hAnsi="Arial" w:cs="Arial"/>
          <w:color w:val="0E101A"/>
          <w:sz w:val="20"/>
          <w:szCs w:val="20"/>
          <w:lang w:eastAsia="en-US"/>
        </w:rPr>
        <w:t>[20]</w:t>
      </w:r>
      <w:r w:rsidRPr="00711CC6">
        <w:rPr>
          <w:rFonts w:ascii="Arial" w:eastAsia="Times New Roman" w:hAnsi="Arial" w:cs="Arial"/>
          <w:color w:val="0E101A"/>
          <w:sz w:val="20"/>
          <w:szCs w:val="20"/>
          <w:lang w:eastAsia="en-US"/>
        </w:rPr>
        <w:tab/>
      </w:r>
      <w:r w:rsidR="003F3C59" w:rsidRPr="003A2848">
        <w:rPr>
          <w:rFonts w:ascii="Arial" w:eastAsia="Times New Roman" w:hAnsi="Arial" w:cs="Arial"/>
          <w:color w:val="0E101A"/>
          <w:sz w:val="24"/>
          <w:szCs w:val="24"/>
        </w:rPr>
        <w:t xml:space="preserve">Simply put, a cession is an agreement to transfer rights from </w:t>
      </w:r>
      <w:r w:rsidR="003037A4" w:rsidRPr="003A2848">
        <w:rPr>
          <w:rFonts w:ascii="Arial" w:eastAsia="Times New Roman" w:hAnsi="Arial" w:cs="Arial"/>
          <w:color w:val="0E101A"/>
          <w:sz w:val="24"/>
          <w:szCs w:val="24"/>
        </w:rPr>
        <w:t xml:space="preserve">the </w:t>
      </w:r>
      <w:r w:rsidR="003F3C59" w:rsidRPr="003A2848">
        <w:rPr>
          <w:rFonts w:ascii="Arial" w:eastAsia="Times New Roman" w:hAnsi="Arial" w:cs="Arial"/>
          <w:color w:val="0E101A"/>
          <w:sz w:val="24"/>
          <w:szCs w:val="24"/>
        </w:rPr>
        <w:t>ceden</w:t>
      </w:r>
      <w:r w:rsidR="003037A4" w:rsidRPr="003A2848">
        <w:rPr>
          <w:rFonts w:ascii="Arial" w:eastAsia="Times New Roman" w:hAnsi="Arial" w:cs="Arial"/>
          <w:color w:val="0E101A"/>
          <w:sz w:val="24"/>
          <w:szCs w:val="24"/>
        </w:rPr>
        <w:t xml:space="preserve">t (the </w:t>
      </w:r>
      <w:r w:rsidR="006F6468" w:rsidRPr="003A2848">
        <w:rPr>
          <w:rFonts w:ascii="Arial" w:eastAsia="Times New Roman" w:hAnsi="Arial" w:cs="Arial"/>
          <w:color w:val="0E101A"/>
          <w:sz w:val="24"/>
          <w:szCs w:val="24"/>
        </w:rPr>
        <w:t>creditor</w:t>
      </w:r>
      <w:r w:rsidR="003037A4" w:rsidRPr="003A2848">
        <w:rPr>
          <w:rFonts w:ascii="Arial" w:eastAsia="Times New Roman" w:hAnsi="Arial" w:cs="Arial"/>
          <w:color w:val="0E101A"/>
          <w:sz w:val="24"/>
          <w:szCs w:val="24"/>
        </w:rPr>
        <w:t>)</w:t>
      </w:r>
      <w:r w:rsidR="006F6468" w:rsidRPr="003A2848">
        <w:rPr>
          <w:rFonts w:ascii="Arial" w:eastAsia="Times New Roman" w:hAnsi="Arial" w:cs="Arial"/>
          <w:color w:val="0E101A"/>
          <w:sz w:val="24"/>
          <w:szCs w:val="24"/>
        </w:rPr>
        <w:t xml:space="preserve"> to cessionary (</w:t>
      </w:r>
      <w:r w:rsidR="003037A4" w:rsidRPr="003A2848">
        <w:rPr>
          <w:rFonts w:ascii="Arial" w:eastAsia="Times New Roman" w:hAnsi="Arial" w:cs="Arial"/>
          <w:color w:val="0E101A"/>
          <w:sz w:val="24"/>
          <w:szCs w:val="24"/>
        </w:rPr>
        <w:t>the new creditor).</w:t>
      </w:r>
      <w:r w:rsidR="003037A4">
        <w:rPr>
          <w:rStyle w:val="FootnoteReference"/>
          <w:rFonts w:ascii="Arial" w:eastAsia="Times New Roman" w:hAnsi="Arial" w:cs="Arial"/>
          <w:color w:val="0E101A"/>
          <w:sz w:val="24"/>
          <w:szCs w:val="24"/>
        </w:rPr>
        <w:footnoteReference w:id="5"/>
      </w:r>
      <w:r w:rsidR="003F3C59" w:rsidRPr="003A2848">
        <w:rPr>
          <w:rFonts w:ascii="Arial" w:eastAsia="Times New Roman" w:hAnsi="Arial" w:cs="Arial"/>
          <w:color w:val="0E101A"/>
          <w:sz w:val="24"/>
          <w:szCs w:val="24"/>
        </w:rPr>
        <w:t xml:space="preserve"> And thus as a matter</w:t>
      </w:r>
      <w:r w:rsidR="003037A4" w:rsidRPr="003A2848">
        <w:rPr>
          <w:rFonts w:ascii="Arial" w:eastAsia="Times New Roman" w:hAnsi="Arial" w:cs="Arial"/>
          <w:color w:val="0E101A"/>
          <w:sz w:val="24"/>
          <w:szCs w:val="24"/>
        </w:rPr>
        <w:t xml:space="preserve"> of </w:t>
      </w:r>
      <w:proofErr w:type="gramStart"/>
      <w:r w:rsidR="003037A4" w:rsidRPr="003A2848">
        <w:rPr>
          <w:rFonts w:ascii="Arial" w:eastAsia="Times New Roman" w:hAnsi="Arial" w:cs="Arial"/>
          <w:color w:val="0E101A"/>
          <w:sz w:val="24"/>
          <w:szCs w:val="24"/>
        </w:rPr>
        <w:t xml:space="preserve">law, </w:t>
      </w:r>
      <w:r w:rsidR="003F3C59" w:rsidRPr="003A2848">
        <w:rPr>
          <w:rFonts w:ascii="Arial" w:eastAsia="Times New Roman" w:hAnsi="Arial" w:cs="Arial"/>
          <w:color w:val="0E101A"/>
          <w:sz w:val="24"/>
          <w:szCs w:val="24"/>
        </w:rPr>
        <w:t xml:space="preserve"> contractual</w:t>
      </w:r>
      <w:proofErr w:type="gramEnd"/>
      <w:r w:rsidR="003F3C59" w:rsidRPr="003A2848">
        <w:rPr>
          <w:rFonts w:ascii="Arial" w:eastAsia="Times New Roman" w:hAnsi="Arial" w:cs="Arial"/>
          <w:color w:val="0E101A"/>
          <w:sz w:val="24"/>
          <w:szCs w:val="24"/>
        </w:rPr>
        <w:t xml:space="preserve"> obligations arising from such an agre</w:t>
      </w:r>
      <w:r w:rsidR="00520AD4" w:rsidRPr="003A2848">
        <w:rPr>
          <w:rFonts w:ascii="Arial" w:eastAsia="Times New Roman" w:hAnsi="Arial" w:cs="Arial"/>
          <w:color w:val="0E101A"/>
          <w:sz w:val="24"/>
          <w:szCs w:val="24"/>
        </w:rPr>
        <w:t xml:space="preserve">ement would exist between the </w:t>
      </w:r>
      <w:r w:rsidR="003F3C59" w:rsidRPr="003A2848">
        <w:rPr>
          <w:rFonts w:ascii="Arial" w:eastAsia="Times New Roman" w:hAnsi="Arial" w:cs="Arial"/>
          <w:color w:val="0E101A"/>
          <w:sz w:val="24"/>
          <w:szCs w:val="24"/>
        </w:rPr>
        <w:t xml:space="preserve">cedent and the cessionary. It follows, therefore, that it is only any one of the parties </w:t>
      </w:r>
      <w:r w:rsidR="003037A4" w:rsidRPr="003A2848">
        <w:rPr>
          <w:rFonts w:ascii="Arial" w:eastAsia="Times New Roman" w:hAnsi="Arial" w:cs="Arial"/>
          <w:color w:val="0E101A"/>
          <w:sz w:val="24"/>
          <w:szCs w:val="24"/>
        </w:rPr>
        <w:t xml:space="preserve">to such a contract that </w:t>
      </w:r>
      <w:r w:rsidR="003F3C59" w:rsidRPr="003A2848">
        <w:rPr>
          <w:rFonts w:ascii="Arial" w:eastAsia="Times New Roman" w:hAnsi="Arial" w:cs="Arial"/>
          <w:color w:val="0E101A"/>
          <w:sz w:val="24"/>
          <w:szCs w:val="24"/>
        </w:rPr>
        <w:t xml:space="preserve">would have the right to challenge the validity or enforcement of the terms of the cession. This rule was stated in </w:t>
      </w:r>
      <w:proofErr w:type="spellStart"/>
      <w:r w:rsidR="003F3C59" w:rsidRPr="003A2848">
        <w:rPr>
          <w:rFonts w:ascii="Arial" w:eastAsia="Times New Roman" w:hAnsi="Arial" w:cs="Arial"/>
          <w:color w:val="0E101A"/>
          <w:sz w:val="24"/>
          <w:szCs w:val="24"/>
        </w:rPr>
        <w:t>Letseng</w:t>
      </w:r>
      <w:proofErr w:type="spellEnd"/>
      <w:r w:rsidR="003F3C59" w:rsidRPr="003A2848">
        <w:rPr>
          <w:rFonts w:ascii="Arial" w:eastAsia="Times New Roman" w:hAnsi="Arial" w:cs="Arial"/>
          <w:color w:val="0E101A"/>
          <w:sz w:val="24"/>
          <w:szCs w:val="24"/>
        </w:rPr>
        <w:t xml:space="preserve"> Diamonds Ltd v JCI Ltd and Others</w:t>
      </w:r>
      <w:r w:rsidR="00711CC6" w:rsidRPr="003A2848">
        <w:rPr>
          <w:rFonts w:ascii="Arial" w:eastAsia="Times New Roman" w:hAnsi="Arial" w:cs="Arial"/>
          <w:color w:val="0E101A"/>
          <w:sz w:val="24"/>
          <w:szCs w:val="24"/>
        </w:rPr>
        <w:t>,</w:t>
      </w:r>
      <w:r w:rsidR="00711CC6">
        <w:rPr>
          <w:rStyle w:val="FootnoteReference"/>
          <w:rFonts w:ascii="Arial" w:eastAsia="Times New Roman" w:hAnsi="Arial" w:cs="Arial"/>
          <w:color w:val="0E101A"/>
          <w:sz w:val="24"/>
          <w:szCs w:val="24"/>
        </w:rPr>
        <w:footnoteReference w:id="6"/>
      </w:r>
      <w:r w:rsidR="003F3C59" w:rsidRPr="003A2848">
        <w:rPr>
          <w:rFonts w:ascii="Arial" w:eastAsia="Times New Roman" w:hAnsi="Arial" w:cs="Arial"/>
          <w:color w:val="0E101A"/>
          <w:sz w:val="20"/>
          <w:szCs w:val="20"/>
        </w:rPr>
        <w:t xml:space="preserve"> </w:t>
      </w:r>
      <w:r w:rsidR="00711CC6" w:rsidRPr="003A2848">
        <w:rPr>
          <w:rFonts w:ascii="Arial" w:eastAsia="Times New Roman" w:hAnsi="Arial" w:cs="Arial"/>
          <w:color w:val="0E101A"/>
          <w:sz w:val="24"/>
          <w:szCs w:val="24"/>
        </w:rPr>
        <w:t>as follows</w:t>
      </w:r>
      <w:r w:rsidR="00711CC6" w:rsidRPr="003A2848">
        <w:rPr>
          <w:rFonts w:ascii="Arial" w:eastAsia="Times New Roman" w:hAnsi="Arial" w:cs="Arial"/>
          <w:color w:val="0E101A"/>
          <w:sz w:val="20"/>
          <w:szCs w:val="20"/>
        </w:rPr>
        <w:t>:</w:t>
      </w:r>
    </w:p>
    <w:p w14:paraId="64EFF985" w14:textId="77777777" w:rsidR="003F3C59" w:rsidRPr="003F3C59" w:rsidRDefault="00F07350" w:rsidP="00E701E0">
      <w:pPr>
        <w:spacing w:after="0" w:line="480" w:lineRule="auto"/>
        <w:ind w:left="720"/>
        <w:jc w:val="both"/>
        <w:rPr>
          <w:rFonts w:ascii="Arial" w:eastAsia="Times New Roman" w:hAnsi="Arial" w:cs="Arial"/>
          <w:color w:val="0E101A"/>
          <w:sz w:val="24"/>
          <w:szCs w:val="24"/>
        </w:rPr>
      </w:pPr>
      <w:r>
        <w:rPr>
          <w:rFonts w:ascii="Arial" w:eastAsia="Times New Roman" w:hAnsi="Arial" w:cs="Arial"/>
          <w:color w:val="0E101A"/>
          <w:sz w:val="24"/>
          <w:szCs w:val="24"/>
        </w:rPr>
        <w:lastRenderedPageBreak/>
        <w:t>“The general rule is that if two parties enter into an agreement and there has been non-compliance with its terms, it is only the contracting parties who can challenge the validity of the agreement.”</w:t>
      </w:r>
    </w:p>
    <w:p w14:paraId="65445761" w14:textId="77777777" w:rsidR="003F3C59" w:rsidRPr="00DC7E88" w:rsidRDefault="00DC7E88" w:rsidP="00E701E0">
      <w:pPr>
        <w:tabs>
          <w:tab w:val="left" w:pos="4140"/>
        </w:tabs>
        <w:spacing w:after="0" w:line="480" w:lineRule="auto"/>
        <w:ind w:left="360"/>
        <w:jc w:val="both"/>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F07350">
        <w:rPr>
          <w:rFonts w:ascii="Arial" w:eastAsia="Times New Roman" w:hAnsi="Arial" w:cs="Arial"/>
          <w:color w:val="0E101A"/>
          <w:sz w:val="24"/>
          <w:szCs w:val="24"/>
        </w:rPr>
        <w:t xml:space="preserve"> </w:t>
      </w:r>
    </w:p>
    <w:p w14:paraId="09D90BF1" w14:textId="037CAD71" w:rsidR="00F07350"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520AD4">
        <w:rPr>
          <w:rFonts w:ascii="Arial" w:eastAsia="Times New Roman" w:hAnsi="Arial" w:cs="Arial"/>
          <w:color w:val="0E101A"/>
          <w:sz w:val="24"/>
          <w:szCs w:val="24"/>
          <w:lang w:eastAsia="en-US"/>
        </w:rPr>
        <w:t>[21]</w:t>
      </w:r>
      <w:proofErr w:type="gramStart"/>
      <w:r w:rsidRPr="00520AD4">
        <w:rPr>
          <w:rFonts w:ascii="Arial" w:eastAsia="Times New Roman" w:hAnsi="Arial" w:cs="Arial"/>
          <w:color w:val="0E101A"/>
          <w:sz w:val="24"/>
          <w:szCs w:val="24"/>
          <w:lang w:eastAsia="en-US"/>
        </w:rPr>
        <w:tab/>
      </w:r>
      <w:r w:rsidR="00F07350" w:rsidRPr="003A2848">
        <w:rPr>
          <w:rFonts w:ascii="Arial" w:eastAsia="Times New Roman" w:hAnsi="Arial" w:cs="Arial"/>
          <w:color w:val="0E101A"/>
          <w:sz w:val="24"/>
          <w:szCs w:val="24"/>
        </w:rPr>
        <w:t xml:space="preserve"> </w:t>
      </w:r>
      <w:r w:rsidR="003F3C59" w:rsidRPr="003A2848">
        <w:rPr>
          <w:rFonts w:ascii="Arial" w:eastAsia="Times New Roman" w:hAnsi="Arial" w:cs="Arial"/>
          <w:color w:val="0E101A"/>
          <w:sz w:val="24"/>
          <w:szCs w:val="24"/>
        </w:rPr>
        <w:t xml:space="preserve"> In</w:t>
      </w:r>
      <w:proofErr w:type="gramEnd"/>
      <w:r w:rsidR="003F3C59" w:rsidRPr="003A2848">
        <w:rPr>
          <w:rFonts w:ascii="Arial" w:eastAsia="Times New Roman" w:hAnsi="Arial" w:cs="Arial"/>
          <w:color w:val="0E101A"/>
          <w:sz w:val="24"/>
          <w:szCs w:val="24"/>
        </w:rPr>
        <w:t xml:space="preserve"> my view, both exceptions </w:t>
      </w:r>
      <w:r w:rsidR="00C20170" w:rsidRPr="003A2848">
        <w:rPr>
          <w:rFonts w:ascii="Arial" w:eastAsia="Times New Roman" w:hAnsi="Arial" w:cs="Arial"/>
          <w:color w:val="0E101A"/>
          <w:sz w:val="24"/>
          <w:szCs w:val="24"/>
        </w:rPr>
        <w:t>raised by the defendant are bad in</w:t>
      </w:r>
      <w:r w:rsidR="003F3C59" w:rsidRPr="003A2848">
        <w:rPr>
          <w:rFonts w:ascii="Arial" w:eastAsia="Times New Roman" w:hAnsi="Arial" w:cs="Arial"/>
          <w:color w:val="0E101A"/>
          <w:sz w:val="24"/>
          <w:szCs w:val="24"/>
        </w:rPr>
        <w:t xml:space="preserve"> law. The defendant was not a party to the agreement between </w:t>
      </w:r>
      <w:proofErr w:type="spellStart"/>
      <w:r w:rsidR="00C20170" w:rsidRPr="003A2848">
        <w:rPr>
          <w:rFonts w:ascii="Arial" w:eastAsia="Times New Roman" w:hAnsi="Arial" w:cs="Arial"/>
          <w:color w:val="0E101A"/>
          <w:sz w:val="24"/>
          <w:szCs w:val="24"/>
        </w:rPr>
        <w:t>Astfin</w:t>
      </w:r>
      <w:proofErr w:type="spellEnd"/>
      <w:r w:rsidR="00C20170" w:rsidRPr="003A2848">
        <w:rPr>
          <w:rFonts w:ascii="Arial" w:eastAsia="Times New Roman" w:hAnsi="Arial" w:cs="Arial"/>
          <w:color w:val="0E101A"/>
          <w:sz w:val="24"/>
          <w:szCs w:val="24"/>
        </w:rPr>
        <w:t xml:space="preserve"> and ABSA Finance.  </w:t>
      </w:r>
      <w:r w:rsidR="003F3C59" w:rsidRPr="003A2848">
        <w:rPr>
          <w:rFonts w:ascii="Arial" w:eastAsia="Times New Roman" w:hAnsi="Arial" w:cs="Arial"/>
          <w:color w:val="0E101A"/>
          <w:sz w:val="24"/>
          <w:szCs w:val="24"/>
        </w:rPr>
        <w:t xml:space="preserve">As the matter stands, it appears from the papers that </w:t>
      </w:r>
      <w:proofErr w:type="spellStart"/>
      <w:r w:rsidR="003F3C59" w:rsidRPr="003A2848">
        <w:rPr>
          <w:rFonts w:ascii="Arial" w:eastAsia="Times New Roman" w:hAnsi="Arial" w:cs="Arial"/>
          <w:color w:val="0E101A"/>
          <w:sz w:val="24"/>
          <w:szCs w:val="24"/>
        </w:rPr>
        <w:t>Astfin</w:t>
      </w:r>
      <w:proofErr w:type="spellEnd"/>
      <w:r w:rsidR="003F3C59" w:rsidRPr="003A2848">
        <w:rPr>
          <w:rFonts w:ascii="Arial" w:eastAsia="Times New Roman" w:hAnsi="Arial" w:cs="Arial"/>
          <w:color w:val="0E101A"/>
          <w:sz w:val="24"/>
          <w:szCs w:val="24"/>
        </w:rPr>
        <w:t xml:space="preserve"> and ABSA Finance, being the only parties to the main cession, were no longer parties at the expiry of the first rental agreement. The rights to the first rental agreement were at that stage ceded to </w:t>
      </w:r>
      <w:proofErr w:type="spellStart"/>
      <w:r w:rsidR="003F3C59" w:rsidRPr="003A2848">
        <w:rPr>
          <w:rFonts w:ascii="Arial" w:eastAsia="Times New Roman" w:hAnsi="Arial" w:cs="Arial"/>
          <w:color w:val="0E101A"/>
          <w:sz w:val="24"/>
          <w:szCs w:val="24"/>
        </w:rPr>
        <w:t>Sunlyn</w:t>
      </w:r>
      <w:proofErr w:type="spellEnd"/>
      <w:r w:rsidR="003F3C59" w:rsidRPr="003A2848">
        <w:rPr>
          <w:rFonts w:ascii="Arial" w:eastAsia="Times New Roman" w:hAnsi="Arial" w:cs="Arial"/>
          <w:color w:val="0E101A"/>
          <w:sz w:val="24"/>
          <w:szCs w:val="24"/>
        </w:rPr>
        <w:t> </w:t>
      </w:r>
      <w:r w:rsidR="00F07350" w:rsidRPr="003A2848">
        <w:rPr>
          <w:rFonts w:ascii="Arial" w:eastAsia="Times New Roman" w:hAnsi="Arial" w:cs="Arial"/>
          <w:color w:val="0E101A"/>
          <w:sz w:val="24"/>
          <w:szCs w:val="24"/>
        </w:rPr>
        <w:t xml:space="preserve">and thereafter to </w:t>
      </w:r>
      <w:proofErr w:type="spellStart"/>
      <w:r w:rsidR="00F07350" w:rsidRPr="003A2848">
        <w:rPr>
          <w:rFonts w:ascii="Arial" w:eastAsia="Times New Roman" w:hAnsi="Arial" w:cs="Arial"/>
          <w:color w:val="0E101A"/>
          <w:sz w:val="24"/>
          <w:szCs w:val="24"/>
        </w:rPr>
        <w:t>Sasfin</w:t>
      </w:r>
      <w:proofErr w:type="spellEnd"/>
      <w:r w:rsidR="00F07350" w:rsidRPr="003A2848">
        <w:rPr>
          <w:rFonts w:ascii="Arial" w:eastAsia="Times New Roman" w:hAnsi="Arial" w:cs="Arial"/>
          <w:color w:val="0E101A"/>
          <w:sz w:val="24"/>
          <w:szCs w:val="24"/>
        </w:rPr>
        <w:t xml:space="preserve">. </w:t>
      </w:r>
    </w:p>
    <w:p w14:paraId="66ABDF03" w14:textId="77777777" w:rsidR="00F07350" w:rsidRPr="00F07350" w:rsidRDefault="00F07350" w:rsidP="00E701E0">
      <w:pPr>
        <w:pStyle w:val="ListParagraph"/>
        <w:jc w:val="both"/>
        <w:rPr>
          <w:rFonts w:ascii="Arial" w:eastAsia="Times New Roman" w:hAnsi="Arial" w:cs="Arial"/>
          <w:color w:val="0E101A"/>
          <w:sz w:val="24"/>
          <w:szCs w:val="24"/>
        </w:rPr>
      </w:pPr>
    </w:p>
    <w:p w14:paraId="6A975459" w14:textId="4C9A3D32" w:rsidR="00F07350" w:rsidRPr="003A2848" w:rsidRDefault="003A2848" w:rsidP="003A2848">
      <w:pPr>
        <w:tabs>
          <w:tab w:val="left" w:pos="0"/>
        </w:tabs>
        <w:spacing w:after="0" w:line="480" w:lineRule="auto"/>
        <w:jc w:val="both"/>
        <w:rPr>
          <w:rFonts w:ascii="Arial" w:eastAsia="Times New Roman" w:hAnsi="Arial" w:cs="Arial"/>
          <w:color w:val="0E101A"/>
          <w:sz w:val="24"/>
          <w:szCs w:val="24"/>
        </w:rPr>
      </w:pPr>
      <w:r>
        <w:rPr>
          <w:rFonts w:ascii="Arial" w:eastAsia="Times New Roman" w:hAnsi="Arial" w:cs="Arial"/>
          <w:color w:val="0E101A"/>
          <w:sz w:val="24"/>
          <w:szCs w:val="24"/>
          <w:lang w:eastAsia="en-US"/>
        </w:rPr>
        <w:t>[22]</w:t>
      </w:r>
      <w:r>
        <w:rPr>
          <w:rFonts w:ascii="Arial" w:eastAsia="Times New Roman" w:hAnsi="Arial" w:cs="Arial"/>
          <w:color w:val="0E101A"/>
          <w:sz w:val="24"/>
          <w:szCs w:val="24"/>
          <w:lang w:eastAsia="en-US"/>
        </w:rPr>
        <w:tab/>
      </w:r>
      <w:r w:rsidR="00520AD4" w:rsidRPr="003A2848">
        <w:rPr>
          <w:rFonts w:ascii="Arial" w:eastAsia="Times New Roman" w:hAnsi="Arial" w:cs="Arial"/>
          <w:color w:val="0E101A"/>
          <w:sz w:val="24"/>
          <w:szCs w:val="24"/>
        </w:rPr>
        <w:t>As I understood the submission</w:t>
      </w:r>
      <w:r w:rsidR="003F3C59" w:rsidRPr="003A2848">
        <w:rPr>
          <w:rFonts w:ascii="Arial" w:eastAsia="Times New Roman" w:hAnsi="Arial" w:cs="Arial"/>
          <w:color w:val="0E101A"/>
          <w:sz w:val="24"/>
          <w:szCs w:val="24"/>
        </w:rPr>
        <w:t xml:space="preserve"> made during the hearing, the defendant did not persist with the second groun</w:t>
      </w:r>
      <w:r w:rsidR="00F07350" w:rsidRPr="003A2848">
        <w:rPr>
          <w:rFonts w:ascii="Arial" w:eastAsia="Times New Roman" w:hAnsi="Arial" w:cs="Arial"/>
          <w:color w:val="0E101A"/>
          <w:sz w:val="24"/>
          <w:szCs w:val="24"/>
        </w:rPr>
        <w:t xml:space="preserve">d of exception. Even if it did </w:t>
      </w:r>
      <w:r w:rsidR="003F3C59" w:rsidRPr="003A2848">
        <w:rPr>
          <w:rFonts w:ascii="Arial" w:eastAsia="Times New Roman" w:hAnsi="Arial" w:cs="Arial"/>
          <w:color w:val="0E101A"/>
          <w:sz w:val="24"/>
          <w:szCs w:val="24"/>
        </w:rPr>
        <w:t>it would, for the same reasons as those stated in the first exception, not be sustainable.</w:t>
      </w:r>
    </w:p>
    <w:p w14:paraId="4A8BC781" w14:textId="77777777" w:rsidR="00F07350" w:rsidRPr="00F07350" w:rsidRDefault="00F07350" w:rsidP="00E701E0">
      <w:pPr>
        <w:pStyle w:val="ListParagraph"/>
        <w:jc w:val="both"/>
        <w:rPr>
          <w:rFonts w:ascii="Arial" w:eastAsia="Times New Roman" w:hAnsi="Arial" w:cs="Arial"/>
          <w:color w:val="0E101A"/>
          <w:sz w:val="24"/>
          <w:szCs w:val="24"/>
        </w:rPr>
      </w:pPr>
    </w:p>
    <w:p w14:paraId="6F716C4A" w14:textId="7FBD41C9" w:rsidR="00F07350"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F07350">
        <w:rPr>
          <w:rFonts w:ascii="Arial" w:eastAsia="Times New Roman" w:hAnsi="Arial" w:cs="Arial"/>
          <w:color w:val="0E101A"/>
          <w:sz w:val="24"/>
          <w:szCs w:val="24"/>
          <w:lang w:eastAsia="en-US"/>
        </w:rPr>
        <w:t>[23]</w:t>
      </w:r>
      <w:r w:rsidRPr="00F07350">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For the above reasons, I find that the defendant has failed to demonstrate that the plaintiffs' particulars of claim do not disclose a cause of action. In other words, the defendant has failed to show that the plaintiffs do not have </w:t>
      </w:r>
      <w:r w:rsidR="003F3C59" w:rsidRPr="003A2848">
        <w:rPr>
          <w:rFonts w:ascii="Arial" w:eastAsia="Times New Roman" w:hAnsi="Arial" w:cs="Arial"/>
          <w:i/>
          <w:iCs/>
          <w:color w:val="0E101A"/>
          <w:sz w:val="24"/>
          <w:szCs w:val="24"/>
        </w:rPr>
        <w:t>locus standi</w:t>
      </w:r>
      <w:r w:rsidR="00F07350" w:rsidRPr="003A2848">
        <w:rPr>
          <w:rFonts w:ascii="Arial" w:eastAsia="Times New Roman" w:hAnsi="Arial" w:cs="Arial"/>
          <w:color w:val="0E101A"/>
          <w:sz w:val="24"/>
          <w:szCs w:val="24"/>
        </w:rPr>
        <w:t> to i</w:t>
      </w:r>
      <w:r w:rsidR="003F3C59" w:rsidRPr="003A2848">
        <w:rPr>
          <w:rFonts w:ascii="Arial" w:eastAsia="Times New Roman" w:hAnsi="Arial" w:cs="Arial"/>
          <w:color w:val="0E101A"/>
          <w:sz w:val="24"/>
          <w:szCs w:val="24"/>
        </w:rPr>
        <w:t>nstitute action proceedings against it.</w:t>
      </w:r>
      <w:r w:rsidR="00DC7E88" w:rsidRPr="003A2848">
        <w:rPr>
          <w:rFonts w:ascii="Arial" w:eastAsia="Times New Roman" w:hAnsi="Arial" w:cs="Arial"/>
          <w:b/>
          <w:color w:val="0E101A"/>
          <w:sz w:val="24"/>
          <w:szCs w:val="24"/>
        </w:rPr>
        <w:t xml:space="preserve"> </w:t>
      </w:r>
    </w:p>
    <w:p w14:paraId="6D543736" w14:textId="77777777" w:rsidR="00F07350" w:rsidRPr="00F07350" w:rsidRDefault="00F07350" w:rsidP="00E701E0">
      <w:pPr>
        <w:pStyle w:val="ListParagraph"/>
        <w:jc w:val="both"/>
        <w:rPr>
          <w:rFonts w:ascii="Arial" w:eastAsia="Times New Roman" w:hAnsi="Arial" w:cs="Arial"/>
          <w:b/>
          <w:color w:val="0E101A"/>
          <w:sz w:val="24"/>
          <w:szCs w:val="24"/>
        </w:rPr>
      </w:pPr>
    </w:p>
    <w:p w14:paraId="52D6F4D9" w14:textId="77777777" w:rsidR="00F07350" w:rsidRPr="00F07350" w:rsidRDefault="003F3C59" w:rsidP="00E701E0">
      <w:pPr>
        <w:pStyle w:val="ListParagraph"/>
        <w:tabs>
          <w:tab w:val="left" w:pos="0"/>
        </w:tabs>
        <w:spacing w:after="0" w:line="480" w:lineRule="auto"/>
        <w:ind w:left="0"/>
        <w:jc w:val="both"/>
        <w:rPr>
          <w:rFonts w:ascii="Arial" w:eastAsia="Times New Roman" w:hAnsi="Arial" w:cs="Arial"/>
          <w:color w:val="0E101A"/>
          <w:sz w:val="24"/>
          <w:szCs w:val="24"/>
        </w:rPr>
      </w:pPr>
      <w:r w:rsidRPr="00F07350">
        <w:rPr>
          <w:rFonts w:ascii="Arial" w:eastAsia="Times New Roman" w:hAnsi="Arial" w:cs="Arial"/>
          <w:b/>
          <w:color w:val="0E101A"/>
          <w:sz w:val="24"/>
          <w:szCs w:val="24"/>
        </w:rPr>
        <w:t>Order</w:t>
      </w:r>
    </w:p>
    <w:p w14:paraId="1B7C07C5" w14:textId="77777777" w:rsidR="00F07350" w:rsidRPr="00F07350" w:rsidRDefault="00F07350" w:rsidP="00E701E0">
      <w:pPr>
        <w:pStyle w:val="ListParagraph"/>
        <w:jc w:val="both"/>
        <w:rPr>
          <w:rFonts w:ascii="Arial" w:eastAsia="Times New Roman" w:hAnsi="Arial" w:cs="Arial"/>
          <w:color w:val="0E101A"/>
          <w:sz w:val="24"/>
          <w:szCs w:val="24"/>
        </w:rPr>
      </w:pPr>
    </w:p>
    <w:p w14:paraId="0042C95E" w14:textId="250EEA5F" w:rsidR="003F3C59" w:rsidRPr="003A2848" w:rsidRDefault="003A2848" w:rsidP="003A2848">
      <w:pPr>
        <w:tabs>
          <w:tab w:val="left" w:pos="0"/>
        </w:tabs>
        <w:spacing w:after="0" w:line="480" w:lineRule="auto"/>
        <w:jc w:val="both"/>
        <w:rPr>
          <w:rFonts w:ascii="Arial" w:eastAsia="Times New Roman" w:hAnsi="Arial" w:cs="Arial"/>
          <w:color w:val="0E101A"/>
          <w:sz w:val="24"/>
          <w:szCs w:val="24"/>
        </w:rPr>
      </w:pPr>
      <w:r w:rsidRPr="00F07350">
        <w:rPr>
          <w:rFonts w:ascii="Arial" w:eastAsia="Times New Roman" w:hAnsi="Arial" w:cs="Arial"/>
          <w:color w:val="0E101A"/>
          <w:sz w:val="24"/>
          <w:szCs w:val="24"/>
          <w:lang w:eastAsia="en-US"/>
        </w:rPr>
        <w:t>[24]</w:t>
      </w:r>
      <w:r w:rsidRPr="00F07350">
        <w:rPr>
          <w:rFonts w:ascii="Arial" w:eastAsia="Times New Roman" w:hAnsi="Arial" w:cs="Arial"/>
          <w:color w:val="0E101A"/>
          <w:sz w:val="24"/>
          <w:szCs w:val="24"/>
          <w:lang w:eastAsia="en-US"/>
        </w:rPr>
        <w:tab/>
      </w:r>
      <w:r w:rsidR="003F3C59" w:rsidRPr="003A2848">
        <w:rPr>
          <w:rFonts w:ascii="Arial" w:eastAsia="Times New Roman" w:hAnsi="Arial" w:cs="Arial"/>
          <w:color w:val="0E101A"/>
          <w:sz w:val="24"/>
          <w:szCs w:val="24"/>
        </w:rPr>
        <w:t>In the premises, the defendant's exception is dismissed with costs on the attorney and client scale.</w:t>
      </w:r>
    </w:p>
    <w:p w14:paraId="1D33C27D" w14:textId="77777777" w:rsidR="00524880" w:rsidRPr="00BD365B" w:rsidRDefault="00524880" w:rsidP="00E34DA7">
      <w:pPr>
        <w:widowControl w:val="0"/>
        <w:tabs>
          <w:tab w:val="left" w:pos="4140"/>
        </w:tabs>
        <w:autoSpaceDE w:val="0"/>
        <w:autoSpaceDN w:val="0"/>
        <w:adjustRightInd w:val="0"/>
        <w:spacing w:after="0" w:line="480" w:lineRule="auto"/>
        <w:ind w:left="5040" w:firstLine="3600"/>
        <w:rPr>
          <w:rFonts w:ascii="Arial" w:hAnsi="Arial" w:cs="Arial"/>
          <w:color w:val="000000"/>
          <w:sz w:val="24"/>
          <w:szCs w:val="24"/>
          <w:u w:val="single"/>
        </w:rPr>
      </w:pPr>
    </w:p>
    <w:p w14:paraId="65B8F6BF" w14:textId="77777777" w:rsidR="00524880" w:rsidRPr="00DC7E88" w:rsidRDefault="00DC7E88" w:rsidP="00E34DA7">
      <w:pPr>
        <w:widowControl w:val="0"/>
        <w:tabs>
          <w:tab w:val="left" w:pos="4140"/>
        </w:tabs>
        <w:autoSpaceDE w:val="0"/>
        <w:autoSpaceDN w:val="0"/>
        <w:adjustRightInd w:val="0"/>
        <w:spacing w:after="0" w:line="480" w:lineRule="auto"/>
        <w:ind w:left="540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 xml:space="preserve">E </w:t>
      </w:r>
      <w:proofErr w:type="spellStart"/>
      <w:r w:rsidR="00524880" w:rsidRPr="00DC7E88">
        <w:rPr>
          <w:rFonts w:ascii="Arial" w:hAnsi="Arial" w:cs="Arial"/>
          <w:color w:val="000000"/>
          <w:sz w:val="24"/>
          <w:szCs w:val="24"/>
        </w:rPr>
        <w:t>Molahlehi</w:t>
      </w:r>
      <w:proofErr w:type="spellEnd"/>
      <w:r w:rsidR="00524880" w:rsidRPr="00DC7E88">
        <w:rPr>
          <w:rFonts w:ascii="Arial" w:hAnsi="Arial" w:cs="Arial"/>
          <w:color w:val="000000"/>
          <w:sz w:val="24"/>
          <w:szCs w:val="24"/>
        </w:rPr>
        <w:t xml:space="preserve"> </w:t>
      </w:r>
    </w:p>
    <w:p w14:paraId="03DEF49A" w14:textId="77777777" w:rsidR="00524880" w:rsidRPr="00DC7E88" w:rsidRDefault="00DC7E88" w:rsidP="00E34DA7">
      <w:pPr>
        <w:widowControl w:val="0"/>
        <w:tabs>
          <w:tab w:val="left" w:pos="4140"/>
        </w:tabs>
        <w:autoSpaceDE w:val="0"/>
        <w:autoSpaceDN w:val="0"/>
        <w:adjustRightInd w:val="0"/>
        <w:spacing w:after="0" w:line="480" w:lineRule="auto"/>
        <w:ind w:left="540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 xml:space="preserve">JUDGE OF THE HIGH COURT OF SOUTH AFRICA, GAUTENG DIVISION, JOHANNNESBURG. </w:t>
      </w:r>
    </w:p>
    <w:p w14:paraId="1B5A6B0D" w14:textId="77777777" w:rsidR="00524880" w:rsidRPr="00DC7E88" w:rsidRDefault="00DC7E88"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Representation:</w:t>
      </w:r>
    </w:p>
    <w:p w14:paraId="76C9808D" w14:textId="77777777" w:rsidR="00524880" w:rsidRDefault="00DC7E88"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 </w:t>
      </w:r>
      <w:r w:rsidR="00C20170">
        <w:rPr>
          <w:rFonts w:ascii="Arial" w:hAnsi="Arial" w:cs="Arial"/>
          <w:color w:val="000000"/>
          <w:sz w:val="24"/>
          <w:szCs w:val="24"/>
        </w:rPr>
        <w:t xml:space="preserve">For the </w:t>
      </w:r>
      <w:proofErr w:type="gramStart"/>
      <w:r w:rsidR="00C20170">
        <w:rPr>
          <w:rFonts w:ascii="Arial" w:hAnsi="Arial" w:cs="Arial"/>
          <w:color w:val="000000"/>
          <w:sz w:val="24"/>
          <w:szCs w:val="24"/>
        </w:rPr>
        <w:t xml:space="preserve">applicant </w:t>
      </w:r>
      <w:r w:rsidR="00524880" w:rsidRPr="00DC7E88">
        <w:rPr>
          <w:rFonts w:ascii="Arial" w:hAnsi="Arial" w:cs="Arial"/>
          <w:color w:val="000000"/>
          <w:sz w:val="24"/>
          <w:szCs w:val="24"/>
        </w:rPr>
        <w:t>:</w:t>
      </w:r>
      <w:proofErr w:type="gramEnd"/>
      <w:r w:rsidR="00524880" w:rsidRPr="00DC7E88">
        <w:rPr>
          <w:rFonts w:ascii="Arial" w:hAnsi="Arial" w:cs="Arial"/>
          <w:color w:val="000000"/>
          <w:sz w:val="24"/>
          <w:szCs w:val="24"/>
        </w:rPr>
        <w:t xml:space="preserve">  </w:t>
      </w:r>
      <w:r w:rsidR="00C20170">
        <w:rPr>
          <w:rFonts w:ascii="Arial" w:hAnsi="Arial" w:cs="Arial"/>
          <w:color w:val="000000"/>
          <w:sz w:val="24"/>
          <w:szCs w:val="24"/>
        </w:rPr>
        <w:t xml:space="preserve">Adv J M Hoffman </w:t>
      </w:r>
    </w:p>
    <w:p w14:paraId="2B558F38" w14:textId="77777777" w:rsidR="00C20170" w:rsidRPr="00DC7E88" w:rsidRDefault="00C20170"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Instructed by: Smit Jones and Pratt Inc. </w:t>
      </w:r>
    </w:p>
    <w:p w14:paraId="0C6423B3" w14:textId="77777777" w:rsidR="00524880" w:rsidRDefault="00DC7E88"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 xml:space="preserve">For the respondents:   </w:t>
      </w:r>
      <w:r w:rsidR="00C20170">
        <w:rPr>
          <w:rFonts w:ascii="Arial" w:hAnsi="Arial" w:cs="Arial"/>
          <w:color w:val="000000"/>
          <w:sz w:val="24"/>
          <w:szCs w:val="24"/>
        </w:rPr>
        <w:t xml:space="preserve">Adv S Aucamp </w:t>
      </w:r>
    </w:p>
    <w:p w14:paraId="78BA4106" w14:textId="77777777" w:rsidR="00C20170" w:rsidRPr="00DC7E88" w:rsidRDefault="00C20170"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Instructed by: Swartz Weil Van Der Merwe Greenberg Inc. </w:t>
      </w:r>
    </w:p>
    <w:p w14:paraId="1C5D6976" w14:textId="77777777" w:rsidR="00524880" w:rsidRPr="00DC7E88" w:rsidRDefault="00DC7E88"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 xml:space="preserve">Heard on:  </w:t>
      </w:r>
      <w:r w:rsidR="00C20170">
        <w:rPr>
          <w:rFonts w:ascii="Arial" w:hAnsi="Arial" w:cs="Arial"/>
          <w:color w:val="000000"/>
          <w:sz w:val="24"/>
          <w:szCs w:val="24"/>
        </w:rPr>
        <w:t>29 August</w:t>
      </w:r>
      <w:r w:rsidR="00524880" w:rsidRPr="00DC7E88">
        <w:rPr>
          <w:rFonts w:ascii="Arial" w:hAnsi="Arial" w:cs="Arial"/>
          <w:color w:val="000000"/>
          <w:sz w:val="24"/>
          <w:szCs w:val="24"/>
        </w:rPr>
        <w:t xml:space="preserve"> 2022</w:t>
      </w:r>
    </w:p>
    <w:p w14:paraId="46A38518" w14:textId="77777777" w:rsidR="00524880" w:rsidRPr="00DC7E88" w:rsidRDefault="00DC7E88" w:rsidP="00E34DA7">
      <w:pPr>
        <w:widowControl w:val="0"/>
        <w:tabs>
          <w:tab w:val="left" w:pos="4140"/>
        </w:tabs>
        <w:autoSpaceDE w:val="0"/>
        <w:autoSpaceDN w:val="0"/>
        <w:adjustRightInd w:val="0"/>
        <w:spacing w:after="0" w:line="480" w:lineRule="auto"/>
        <w:ind w:left="360"/>
        <w:rPr>
          <w:rFonts w:ascii="Arial" w:hAnsi="Arial" w:cs="Arial"/>
          <w:color w:val="000000"/>
          <w:sz w:val="24"/>
          <w:szCs w:val="24"/>
        </w:rPr>
      </w:pPr>
      <w:r>
        <w:rPr>
          <w:rFonts w:ascii="Arial" w:hAnsi="Arial" w:cs="Arial"/>
          <w:color w:val="000000"/>
          <w:sz w:val="24"/>
          <w:szCs w:val="24"/>
        </w:rPr>
        <w:t xml:space="preserve"> </w:t>
      </w:r>
      <w:r w:rsidR="00524880" w:rsidRPr="00DC7E88">
        <w:rPr>
          <w:rFonts w:ascii="Arial" w:hAnsi="Arial" w:cs="Arial"/>
          <w:color w:val="000000"/>
          <w:sz w:val="24"/>
          <w:szCs w:val="24"/>
        </w:rPr>
        <w:t xml:space="preserve">Delivered:  </w:t>
      </w:r>
      <w:r w:rsidR="00C20170">
        <w:rPr>
          <w:rFonts w:ascii="Arial" w:hAnsi="Arial" w:cs="Arial"/>
          <w:color w:val="000000"/>
          <w:sz w:val="24"/>
          <w:szCs w:val="24"/>
        </w:rPr>
        <w:t>28 December</w:t>
      </w:r>
      <w:r w:rsidR="00524880" w:rsidRPr="00DC7E88">
        <w:rPr>
          <w:rFonts w:ascii="Arial" w:hAnsi="Arial" w:cs="Arial"/>
          <w:color w:val="000000"/>
          <w:sz w:val="24"/>
          <w:szCs w:val="24"/>
        </w:rPr>
        <w:t xml:space="preserve"> 2022</w:t>
      </w:r>
    </w:p>
    <w:p w14:paraId="0A35D086" w14:textId="77777777" w:rsidR="00524880" w:rsidRPr="00BD365B" w:rsidRDefault="00524880" w:rsidP="00E34DA7">
      <w:pPr>
        <w:widowControl w:val="0"/>
        <w:tabs>
          <w:tab w:val="left" w:pos="4140"/>
        </w:tabs>
        <w:autoSpaceDE w:val="0"/>
        <w:autoSpaceDN w:val="0"/>
        <w:adjustRightInd w:val="0"/>
        <w:spacing w:after="0" w:line="480" w:lineRule="auto"/>
        <w:rPr>
          <w:rFonts w:ascii="Arial" w:hAnsi="Arial" w:cs="Arial"/>
          <w:color w:val="000000"/>
          <w:sz w:val="24"/>
          <w:szCs w:val="24"/>
        </w:rPr>
      </w:pPr>
    </w:p>
    <w:p w14:paraId="4D8D603F" w14:textId="77777777" w:rsidR="00214B41" w:rsidRPr="00BD365B" w:rsidRDefault="00214B41" w:rsidP="00E34DA7">
      <w:pPr>
        <w:tabs>
          <w:tab w:val="left" w:pos="4140"/>
        </w:tabs>
        <w:spacing w:line="480" w:lineRule="auto"/>
        <w:rPr>
          <w:rFonts w:ascii="Arial" w:hAnsi="Arial" w:cs="Arial"/>
          <w:sz w:val="24"/>
          <w:szCs w:val="24"/>
        </w:rPr>
      </w:pPr>
    </w:p>
    <w:sectPr w:rsidR="00214B41" w:rsidRPr="00BD365B">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3929" w14:textId="77777777" w:rsidR="008635C3" w:rsidRDefault="008635C3" w:rsidP="00524880">
      <w:pPr>
        <w:spacing w:after="0" w:line="240" w:lineRule="auto"/>
      </w:pPr>
      <w:r>
        <w:separator/>
      </w:r>
    </w:p>
  </w:endnote>
  <w:endnote w:type="continuationSeparator" w:id="0">
    <w:p w14:paraId="39FBEE35" w14:textId="77777777" w:rsidR="008635C3" w:rsidRDefault="008635C3" w:rsidP="0052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0D55" w14:textId="77777777" w:rsidR="008635C3" w:rsidRDefault="008635C3" w:rsidP="00524880">
      <w:pPr>
        <w:spacing w:after="0" w:line="240" w:lineRule="auto"/>
      </w:pPr>
      <w:r>
        <w:separator/>
      </w:r>
    </w:p>
  </w:footnote>
  <w:footnote w:type="continuationSeparator" w:id="0">
    <w:p w14:paraId="0906A262" w14:textId="77777777" w:rsidR="008635C3" w:rsidRDefault="008635C3" w:rsidP="00524880">
      <w:pPr>
        <w:spacing w:after="0" w:line="240" w:lineRule="auto"/>
      </w:pPr>
      <w:r>
        <w:continuationSeparator/>
      </w:r>
    </w:p>
  </w:footnote>
  <w:footnote w:id="1">
    <w:p w14:paraId="358B89A0" w14:textId="77777777" w:rsidR="00711CC6" w:rsidRPr="00711CC6" w:rsidRDefault="00711CC6">
      <w:pPr>
        <w:pStyle w:val="FootnoteText"/>
        <w:rPr>
          <w:lang w:val="en-GB"/>
        </w:rPr>
      </w:pPr>
      <w:r>
        <w:rPr>
          <w:rStyle w:val="FootnoteReference"/>
        </w:rPr>
        <w:footnoteRef/>
      </w:r>
      <w:r>
        <w:t xml:space="preserve"> </w:t>
      </w:r>
      <w:r w:rsidRPr="00711CC6">
        <w:rPr>
          <w:rFonts w:ascii="Arial" w:eastAsia="Times New Roman" w:hAnsi="Arial" w:cs="Arial"/>
          <w:bCs/>
          <w:color w:val="0E101A"/>
        </w:rPr>
        <w:t xml:space="preserve">See </w:t>
      </w:r>
      <w:proofErr w:type="spellStart"/>
      <w:r w:rsidRPr="00711CC6">
        <w:rPr>
          <w:rFonts w:ascii="Arial" w:eastAsia="Times New Roman" w:hAnsi="Arial" w:cs="Arial"/>
          <w:bCs/>
          <w:color w:val="0E101A"/>
        </w:rPr>
        <w:t>Makgae</w:t>
      </w:r>
      <w:proofErr w:type="spellEnd"/>
      <w:r w:rsidRPr="00711CC6">
        <w:rPr>
          <w:rFonts w:ascii="Arial" w:eastAsia="Times New Roman" w:hAnsi="Arial" w:cs="Arial"/>
          <w:bCs/>
          <w:color w:val="0E101A"/>
        </w:rPr>
        <w:t xml:space="preserve"> v </w:t>
      </w:r>
      <w:proofErr w:type="spellStart"/>
      <w:r w:rsidRPr="00711CC6">
        <w:rPr>
          <w:rFonts w:ascii="Arial" w:eastAsia="Times New Roman" w:hAnsi="Arial" w:cs="Arial"/>
          <w:bCs/>
          <w:color w:val="0E101A"/>
        </w:rPr>
        <w:t>Sentramboer</w:t>
      </w:r>
      <w:proofErr w:type="spellEnd"/>
      <w:r w:rsidRPr="00711CC6">
        <w:rPr>
          <w:rFonts w:ascii="Arial" w:eastAsia="Times New Roman" w:hAnsi="Arial" w:cs="Arial"/>
          <w:bCs/>
          <w:color w:val="0E101A"/>
        </w:rPr>
        <w:t xml:space="preserve"> (</w:t>
      </w:r>
      <w:proofErr w:type="spellStart"/>
      <w:r w:rsidR="00DD4454">
        <w:rPr>
          <w:rFonts w:ascii="Arial" w:eastAsia="Times New Roman" w:hAnsi="Arial" w:cs="Arial"/>
          <w:bCs/>
          <w:color w:val="0E101A"/>
        </w:rPr>
        <w:t>Kopertatief</w:t>
      </w:r>
      <w:proofErr w:type="spellEnd"/>
      <w:r w:rsidR="00DD4454">
        <w:rPr>
          <w:rFonts w:ascii="Arial" w:eastAsia="Times New Roman" w:hAnsi="Arial" w:cs="Arial"/>
          <w:bCs/>
          <w:color w:val="0E101A"/>
        </w:rPr>
        <w:t xml:space="preserve">) </w:t>
      </w:r>
      <w:proofErr w:type="spellStart"/>
      <w:r w:rsidR="00DD4454">
        <w:rPr>
          <w:rFonts w:ascii="Arial" w:eastAsia="Times New Roman" w:hAnsi="Arial" w:cs="Arial"/>
          <w:bCs/>
          <w:color w:val="0E101A"/>
        </w:rPr>
        <w:t>Bpk</w:t>
      </w:r>
      <w:proofErr w:type="spellEnd"/>
      <w:r w:rsidR="00DD4454">
        <w:rPr>
          <w:rFonts w:ascii="Arial" w:eastAsia="Times New Roman" w:hAnsi="Arial" w:cs="Arial"/>
          <w:bCs/>
          <w:color w:val="0E101A"/>
        </w:rPr>
        <w:t xml:space="preserve"> 1981 (</w:t>
      </w:r>
      <w:r w:rsidRPr="00711CC6">
        <w:rPr>
          <w:rFonts w:ascii="Arial" w:eastAsia="Times New Roman" w:hAnsi="Arial" w:cs="Arial"/>
          <w:bCs/>
          <w:color w:val="0E101A"/>
        </w:rPr>
        <w:t>4</w:t>
      </w:r>
      <w:r w:rsidR="00DD4454">
        <w:rPr>
          <w:rFonts w:ascii="Arial" w:eastAsia="Times New Roman" w:hAnsi="Arial" w:cs="Arial"/>
          <w:bCs/>
          <w:color w:val="0E101A"/>
        </w:rPr>
        <w:t>) SA 239 (</w:t>
      </w:r>
      <w:r w:rsidRPr="00711CC6">
        <w:rPr>
          <w:rFonts w:ascii="Arial" w:eastAsia="Times New Roman" w:hAnsi="Arial" w:cs="Arial"/>
          <w:bCs/>
          <w:color w:val="0E101A"/>
        </w:rPr>
        <w:t>T</w:t>
      </w:r>
      <w:r w:rsidR="00DD4454">
        <w:rPr>
          <w:rFonts w:ascii="Arial" w:eastAsia="Times New Roman" w:hAnsi="Arial" w:cs="Arial"/>
          <w:bCs/>
          <w:color w:val="0E101A"/>
        </w:rPr>
        <w:t xml:space="preserve">) at 244H – 245A and Stalls v </w:t>
      </w:r>
      <w:proofErr w:type="spellStart"/>
      <w:r w:rsidR="00DD4454">
        <w:rPr>
          <w:rFonts w:ascii="Arial" w:eastAsia="Times New Roman" w:hAnsi="Arial" w:cs="Arial"/>
          <w:bCs/>
          <w:color w:val="0E101A"/>
        </w:rPr>
        <w:t>Garlicke</w:t>
      </w:r>
      <w:proofErr w:type="spellEnd"/>
      <w:r w:rsidR="00DD4454">
        <w:rPr>
          <w:rFonts w:ascii="Arial" w:eastAsia="Times New Roman" w:hAnsi="Arial" w:cs="Arial"/>
          <w:bCs/>
          <w:color w:val="0E101A"/>
        </w:rPr>
        <w:t xml:space="preserve"> 2012 (4)</w:t>
      </w:r>
      <w:r w:rsidRPr="00711CC6">
        <w:rPr>
          <w:rFonts w:ascii="Arial" w:eastAsia="Times New Roman" w:hAnsi="Arial" w:cs="Arial"/>
          <w:bCs/>
          <w:color w:val="0E101A"/>
        </w:rPr>
        <w:t xml:space="preserve"> SCA 415. 421 H.</w:t>
      </w:r>
      <w:r w:rsidRPr="00BD365B">
        <w:rPr>
          <w:rFonts w:ascii="Arial" w:eastAsia="Times New Roman" w:hAnsi="Arial" w:cs="Arial"/>
          <w:b/>
          <w:bCs/>
          <w:color w:val="0E101A"/>
          <w:sz w:val="24"/>
          <w:szCs w:val="24"/>
        </w:rPr>
        <w:t> </w:t>
      </w:r>
    </w:p>
  </w:footnote>
  <w:footnote w:id="2">
    <w:p w14:paraId="452B96CB" w14:textId="77777777" w:rsidR="00E6142A" w:rsidRPr="00E34DA7" w:rsidRDefault="00E6142A" w:rsidP="00E34DA7">
      <w:pPr>
        <w:pStyle w:val="ListParagraph"/>
        <w:spacing w:after="0" w:line="480" w:lineRule="auto"/>
        <w:ind w:left="0"/>
        <w:rPr>
          <w:lang w:val="en-GB"/>
        </w:rPr>
      </w:pPr>
      <w:r>
        <w:rPr>
          <w:rStyle w:val="FootnoteReference"/>
        </w:rPr>
        <w:footnoteRef/>
      </w:r>
      <w:r>
        <w:t xml:space="preserve"> </w:t>
      </w:r>
      <w:r w:rsidRPr="00E34DA7">
        <w:rPr>
          <w:rFonts w:ascii="Arial" w:eastAsia="Times New Roman" w:hAnsi="Arial" w:cs="Arial"/>
          <w:color w:val="0E101A"/>
          <w:sz w:val="20"/>
          <w:szCs w:val="20"/>
        </w:rPr>
        <w:t>2000 [3] SA 741 [C] in paragraphs 9 and 10.</w:t>
      </w:r>
    </w:p>
  </w:footnote>
  <w:footnote w:id="3">
    <w:p w14:paraId="3444B127" w14:textId="77777777" w:rsidR="00E34DA7" w:rsidRPr="00E34DA7" w:rsidRDefault="00E34DA7">
      <w:pPr>
        <w:pStyle w:val="FootnoteText"/>
        <w:rPr>
          <w:lang w:val="en-GB"/>
        </w:rPr>
      </w:pPr>
      <w:r>
        <w:rPr>
          <w:rStyle w:val="FootnoteReference"/>
        </w:rPr>
        <w:footnoteRef/>
      </w:r>
      <w:r>
        <w:t xml:space="preserve"> </w:t>
      </w:r>
      <w:r w:rsidRPr="00E34DA7">
        <w:rPr>
          <w:rFonts w:ascii="Arial" w:eastAsia="Times New Roman" w:hAnsi="Arial" w:cs="Arial"/>
          <w:color w:val="0E101A"/>
        </w:rPr>
        <w:t>See Sanan v ESKOM Holdings, Ltd 2010 [6] SA 638 [GSJ] paragraph 20 and 21.</w:t>
      </w:r>
      <w:r w:rsidRPr="00BD365B">
        <w:rPr>
          <w:rFonts w:ascii="Arial" w:eastAsia="Times New Roman" w:hAnsi="Arial" w:cs="Arial"/>
          <w:color w:val="0E101A"/>
          <w:sz w:val="24"/>
          <w:szCs w:val="24"/>
        </w:rPr>
        <w:t>  </w:t>
      </w:r>
    </w:p>
  </w:footnote>
  <w:footnote w:id="4">
    <w:p w14:paraId="4A4D02FA" w14:textId="77777777" w:rsidR="00E5054C" w:rsidRPr="00E5054C" w:rsidRDefault="00E5054C">
      <w:pPr>
        <w:pStyle w:val="FootnoteText"/>
        <w:rPr>
          <w:lang w:val="en-GB"/>
        </w:rPr>
      </w:pPr>
      <w:r>
        <w:rPr>
          <w:rStyle w:val="FootnoteReference"/>
        </w:rPr>
        <w:footnoteRef/>
      </w:r>
      <w:r>
        <w:t xml:space="preserve"> </w:t>
      </w:r>
      <w:r w:rsidR="00520AD4">
        <w:rPr>
          <w:rFonts w:ascii="Arial" w:eastAsia="Times New Roman" w:hAnsi="Arial" w:cs="Arial"/>
          <w:color w:val="0E101A"/>
        </w:rPr>
        <w:t>2017 (5)</w:t>
      </w:r>
      <w:r w:rsidRPr="00E5054C">
        <w:rPr>
          <w:rFonts w:ascii="Arial" w:eastAsia="Times New Roman" w:hAnsi="Arial" w:cs="Arial"/>
          <w:color w:val="0E101A"/>
        </w:rPr>
        <w:t xml:space="preserve"> SA </w:t>
      </w:r>
      <w:r w:rsidR="00520AD4">
        <w:rPr>
          <w:rFonts w:ascii="Arial" w:eastAsia="Times New Roman" w:hAnsi="Arial" w:cs="Arial"/>
          <w:color w:val="0E101A"/>
        </w:rPr>
        <w:t>498 (SCA) paragraph (</w:t>
      </w:r>
      <w:r w:rsidRPr="00E5054C">
        <w:rPr>
          <w:rFonts w:ascii="Arial" w:eastAsia="Times New Roman" w:hAnsi="Arial" w:cs="Arial"/>
          <w:color w:val="0E101A"/>
        </w:rPr>
        <w:t>15</w:t>
      </w:r>
      <w:r w:rsidR="00520AD4">
        <w:rPr>
          <w:rFonts w:ascii="Arial" w:eastAsia="Times New Roman" w:hAnsi="Arial" w:cs="Arial"/>
          <w:color w:val="0E101A"/>
        </w:rPr>
        <w:t>)</w:t>
      </w:r>
      <w:r>
        <w:rPr>
          <w:rFonts w:ascii="Arial" w:eastAsia="Times New Roman" w:hAnsi="Arial" w:cs="Arial"/>
          <w:color w:val="0E101A"/>
        </w:rPr>
        <w:t>.</w:t>
      </w:r>
    </w:p>
  </w:footnote>
  <w:footnote w:id="5">
    <w:p w14:paraId="07781A8C" w14:textId="77777777" w:rsidR="003037A4" w:rsidRPr="003037A4" w:rsidRDefault="003037A4" w:rsidP="003037A4">
      <w:pPr>
        <w:pStyle w:val="FootnoteText"/>
      </w:pPr>
      <w:r>
        <w:rPr>
          <w:rStyle w:val="FootnoteReference"/>
        </w:rPr>
        <w:footnoteRef/>
      </w:r>
      <w:r>
        <w:t xml:space="preserve"> S</w:t>
      </w:r>
      <w:r w:rsidR="00520AD4">
        <w:t xml:space="preserve">ee </w:t>
      </w:r>
      <w:proofErr w:type="spellStart"/>
      <w:r w:rsidR="00520AD4">
        <w:t>Damsam</w:t>
      </w:r>
      <w:proofErr w:type="spellEnd"/>
      <w:r w:rsidR="00520AD4">
        <w:t xml:space="preserve"> (Pty) Ltd v </w:t>
      </w:r>
      <w:proofErr w:type="spellStart"/>
      <w:r w:rsidR="00520AD4">
        <w:t>Cywilnut</w:t>
      </w:r>
      <w:proofErr w:type="spellEnd"/>
      <w:r w:rsidR="00520AD4">
        <w:t xml:space="preserve"> (</w:t>
      </w:r>
      <w:r w:rsidR="003F3C59" w:rsidRPr="003037A4">
        <w:t>P</w:t>
      </w:r>
      <w:r w:rsidR="00520AD4">
        <w:t>ty) Ltd 1991 (</w:t>
      </w:r>
      <w:r w:rsidR="003F3C59" w:rsidRPr="003037A4">
        <w:t>1</w:t>
      </w:r>
      <w:r w:rsidR="00520AD4">
        <w:t>) SA 100 (</w:t>
      </w:r>
      <w:r w:rsidR="003F3C59" w:rsidRPr="003037A4">
        <w:t>A</w:t>
      </w:r>
      <w:r w:rsidR="00520AD4">
        <w:t>)</w:t>
      </w:r>
      <w:r w:rsidR="003F3C59" w:rsidRPr="003037A4">
        <w:t>.</w:t>
      </w:r>
    </w:p>
  </w:footnote>
  <w:footnote w:id="6">
    <w:p w14:paraId="259F2BA7" w14:textId="77777777" w:rsidR="00711CC6" w:rsidRPr="00711CC6" w:rsidRDefault="00711CC6">
      <w:pPr>
        <w:pStyle w:val="FootnoteText"/>
        <w:rPr>
          <w:lang w:val="en-GB"/>
        </w:rPr>
      </w:pPr>
      <w:r>
        <w:rPr>
          <w:rStyle w:val="FootnoteReference"/>
        </w:rPr>
        <w:footnoteRef/>
      </w:r>
      <w:r>
        <w:t xml:space="preserve"> </w:t>
      </w:r>
      <w:r w:rsidRPr="00711CC6">
        <w:rPr>
          <w:rFonts w:ascii="Arial" w:eastAsia="Times New Roman" w:hAnsi="Arial" w:cs="Arial"/>
          <w:color w:val="0E101A"/>
        </w:rPr>
        <w:t>2009. [4] SA58 [SCA] in paragraph [23</w:t>
      </w:r>
      <w:r w:rsidRPr="00711CC6">
        <w:rPr>
          <w:rFonts w:ascii="Arial" w:eastAsia="Times New Roman" w:hAnsi="Arial" w:cs="Arial"/>
          <w:color w:val="0E101A"/>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02228"/>
      <w:docPartObj>
        <w:docPartGallery w:val="Page Numbers (Top of Page)"/>
        <w:docPartUnique/>
      </w:docPartObj>
    </w:sdtPr>
    <w:sdtEndPr>
      <w:rPr>
        <w:noProof/>
      </w:rPr>
    </w:sdtEndPr>
    <w:sdtContent>
      <w:p w14:paraId="454D471A" w14:textId="77777777" w:rsidR="00BD365B" w:rsidRDefault="00BD365B">
        <w:pPr>
          <w:pStyle w:val="Header"/>
          <w:jc w:val="right"/>
        </w:pPr>
        <w:r>
          <w:t xml:space="preserve">Page- </w:t>
        </w:r>
        <w:r>
          <w:fldChar w:fldCharType="begin"/>
        </w:r>
        <w:r>
          <w:instrText xml:space="preserve"> PAGE   \* MERGEFORMAT </w:instrText>
        </w:r>
        <w:r>
          <w:fldChar w:fldCharType="separate"/>
        </w:r>
        <w:r w:rsidR="00225CC0">
          <w:rPr>
            <w:noProof/>
          </w:rPr>
          <w:t>10</w:t>
        </w:r>
        <w:r>
          <w:rPr>
            <w:noProof/>
          </w:rPr>
          <w:fldChar w:fldCharType="end"/>
        </w:r>
      </w:p>
    </w:sdtContent>
  </w:sdt>
  <w:p w14:paraId="40AD7F6C" w14:textId="77777777" w:rsidR="00BD365B" w:rsidRDefault="00BD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4CBE"/>
    <w:multiLevelType w:val="hybridMultilevel"/>
    <w:tmpl w:val="AB6E45B6"/>
    <w:lvl w:ilvl="0" w:tplc="5566C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27881091">
    <w:abstractNumId w:val="1"/>
  </w:num>
  <w:num w:numId="2" w16cid:durableId="20286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80"/>
    <w:rsid w:val="000033D3"/>
    <w:rsid w:val="00095AFF"/>
    <w:rsid w:val="00214B41"/>
    <w:rsid w:val="00225CC0"/>
    <w:rsid w:val="002923E5"/>
    <w:rsid w:val="003037A4"/>
    <w:rsid w:val="003A2848"/>
    <w:rsid w:val="003F3C59"/>
    <w:rsid w:val="004C43A9"/>
    <w:rsid w:val="00520AD4"/>
    <w:rsid w:val="00524880"/>
    <w:rsid w:val="005A0AAB"/>
    <w:rsid w:val="00654426"/>
    <w:rsid w:val="00695F7C"/>
    <w:rsid w:val="006F6468"/>
    <w:rsid w:val="00710F3C"/>
    <w:rsid w:val="00711CC6"/>
    <w:rsid w:val="00725342"/>
    <w:rsid w:val="00774FEE"/>
    <w:rsid w:val="00840D0A"/>
    <w:rsid w:val="008635C3"/>
    <w:rsid w:val="008652AB"/>
    <w:rsid w:val="00885FBE"/>
    <w:rsid w:val="008B5AE3"/>
    <w:rsid w:val="008E6565"/>
    <w:rsid w:val="008F0447"/>
    <w:rsid w:val="009C7710"/>
    <w:rsid w:val="00A05E36"/>
    <w:rsid w:val="00A37750"/>
    <w:rsid w:val="00BC4DF5"/>
    <w:rsid w:val="00BD365B"/>
    <w:rsid w:val="00C20170"/>
    <w:rsid w:val="00C21CE8"/>
    <w:rsid w:val="00C804CB"/>
    <w:rsid w:val="00C84B79"/>
    <w:rsid w:val="00C953CE"/>
    <w:rsid w:val="00CC4BAD"/>
    <w:rsid w:val="00CF4CBB"/>
    <w:rsid w:val="00DC7E88"/>
    <w:rsid w:val="00DD4454"/>
    <w:rsid w:val="00E34DA7"/>
    <w:rsid w:val="00E5054C"/>
    <w:rsid w:val="00E6142A"/>
    <w:rsid w:val="00E701E0"/>
    <w:rsid w:val="00F073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5BE7"/>
  <w15:chartTrackingRefBased/>
  <w15:docId w15:val="{F4278A6B-EC6A-4B0B-B3BA-44C0A07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80"/>
    <w:rPr>
      <w:rFonts w:eastAsiaTheme="minorEastAsia"/>
      <w:lang w:eastAsia="en-ZA"/>
    </w:rPr>
  </w:style>
  <w:style w:type="paragraph" w:styleId="Heading1">
    <w:name w:val="heading 1"/>
    <w:basedOn w:val="Normal"/>
    <w:next w:val="Normal"/>
    <w:link w:val="Heading1Char"/>
    <w:uiPriority w:val="9"/>
    <w:qFormat/>
    <w:rsid w:val="0052488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2488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488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524880"/>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524880"/>
    <w:rPr>
      <w:vertAlign w:val="superscript"/>
    </w:rPr>
  </w:style>
  <w:style w:type="paragraph" w:styleId="ListParagraph">
    <w:name w:val="List Paragraph"/>
    <w:basedOn w:val="Normal"/>
    <w:uiPriority w:val="34"/>
    <w:qFormat/>
    <w:rsid w:val="00524880"/>
    <w:pPr>
      <w:ind w:left="720"/>
      <w:contextualSpacing/>
    </w:pPr>
    <w:rPr>
      <w:rFonts w:eastAsiaTheme="minorHAnsi"/>
      <w:lang w:eastAsia="en-US"/>
    </w:rPr>
  </w:style>
  <w:style w:type="character" w:styleId="Emphasis">
    <w:name w:val="Emphasis"/>
    <w:basedOn w:val="DefaultParagraphFont"/>
    <w:uiPriority w:val="20"/>
    <w:qFormat/>
    <w:rsid w:val="003F3C59"/>
    <w:rPr>
      <w:i/>
      <w:iCs/>
    </w:rPr>
  </w:style>
  <w:style w:type="character" w:styleId="Strong">
    <w:name w:val="Strong"/>
    <w:basedOn w:val="DefaultParagraphFont"/>
    <w:uiPriority w:val="22"/>
    <w:qFormat/>
    <w:rsid w:val="003F3C59"/>
    <w:rPr>
      <w:b/>
      <w:bCs/>
    </w:rPr>
  </w:style>
  <w:style w:type="paragraph" w:styleId="Header">
    <w:name w:val="header"/>
    <w:basedOn w:val="Normal"/>
    <w:link w:val="HeaderChar"/>
    <w:uiPriority w:val="99"/>
    <w:unhideWhenUsed/>
    <w:rsid w:val="00BD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5B"/>
    <w:rPr>
      <w:rFonts w:eastAsiaTheme="minorEastAsia"/>
      <w:lang w:eastAsia="en-ZA"/>
    </w:rPr>
  </w:style>
  <w:style w:type="paragraph" w:styleId="Footer">
    <w:name w:val="footer"/>
    <w:basedOn w:val="Normal"/>
    <w:link w:val="FooterChar"/>
    <w:uiPriority w:val="99"/>
    <w:unhideWhenUsed/>
    <w:rsid w:val="00BD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5B"/>
    <w:rPr>
      <w:rFonts w:eastAsiaTheme="minorEastAsia"/>
      <w:lang w:eastAsia="en-ZA"/>
    </w:rPr>
  </w:style>
  <w:style w:type="paragraph" w:styleId="BalloonText">
    <w:name w:val="Balloon Text"/>
    <w:basedOn w:val="Normal"/>
    <w:link w:val="BalloonTextChar"/>
    <w:uiPriority w:val="99"/>
    <w:semiHidden/>
    <w:unhideWhenUsed/>
    <w:rsid w:val="008B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E3"/>
    <w:rPr>
      <w:rFonts w:ascii="Segoe UI" w:eastAsiaTheme="minorEastAsia" w:hAnsi="Segoe UI" w:cs="Segoe UI"/>
      <w:sz w:val="18"/>
      <w:szCs w:val="18"/>
      <w:lang w:eastAsia="en-ZA"/>
    </w:rPr>
  </w:style>
  <w:style w:type="character" w:customStyle="1" w:styleId="mc">
    <w:name w:val="mc"/>
    <w:basedOn w:val="DefaultParagraphFont"/>
    <w:rsid w:val="00654426"/>
  </w:style>
  <w:style w:type="character" w:customStyle="1" w:styleId="g1">
    <w:name w:val="g1"/>
    <w:basedOn w:val="DefaultParagraphFont"/>
    <w:rsid w:val="00654426"/>
  </w:style>
  <w:style w:type="character" w:styleId="Hyperlink">
    <w:name w:val="Hyperlink"/>
    <w:basedOn w:val="DefaultParagraphFont"/>
    <w:uiPriority w:val="99"/>
    <w:semiHidden/>
    <w:unhideWhenUsed/>
    <w:rsid w:val="00654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F0A9-6721-450C-9E25-7BAE6AE6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1643</Words>
  <Characters>9863</Characters>
  <Application>Microsoft Office Word</Application>
  <DocSecurity>0</DocSecurity>
  <Lines>821</Lines>
  <Paragraphs>605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cp:lastPrinted>2022-12-25T08:39:00Z</cp:lastPrinted>
  <dcterms:created xsi:type="dcterms:W3CDTF">2023-01-10T10:05:00Z</dcterms:created>
  <dcterms:modified xsi:type="dcterms:W3CDTF">2023-01-11T18:15:00Z</dcterms:modified>
</cp:coreProperties>
</file>