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C1C3" w14:textId="7760EDFC" w:rsidR="00962E34" w:rsidRDefault="00962E34" w:rsidP="006430AB">
      <w:pPr>
        <w:jc w:val="center"/>
        <w:rPr>
          <w:rFonts w:ascii="Lato" w:hAnsi="Lato"/>
          <w:color w:val="212529"/>
          <w:kern w:val="1"/>
          <w:sz w:val="21"/>
          <w:szCs w:val="24"/>
        </w:rPr>
      </w:pPr>
      <w:r>
        <w:rPr>
          <w:rFonts w:ascii="Lato" w:hAnsi="Lato"/>
          <w:color w:val="212529"/>
          <w:kern w:val="1"/>
          <w:sz w:val="21"/>
          <w:szCs w:val="24"/>
        </w:rPr>
        <w:t>Editorial note: Certain information has been redacted from this judgment in compliance with the law</w:t>
      </w:r>
    </w:p>
    <w:p w14:paraId="5C96DE3F" w14:textId="77777777" w:rsidR="00962E34" w:rsidRDefault="00962E34" w:rsidP="006430AB">
      <w:pPr>
        <w:jc w:val="center"/>
        <w:rPr>
          <w:rFonts w:asciiTheme="minorHAnsi" w:hAnsiTheme="minorHAnsi" w:cstheme="minorHAnsi"/>
          <w:b/>
          <w:sz w:val="26"/>
          <w:szCs w:val="26"/>
        </w:rPr>
      </w:pPr>
    </w:p>
    <w:p w14:paraId="35EBEAD3" w14:textId="1AC50C4E" w:rsidR="006430AB" w:rsidRPr="006A31DA" w:rsidRDefault="006430AB" w:rsidP="006430AB">
      <w:pPr>
        <w:jc w:val="center"/>
        <w:rPr>
          <w:rFonts w:asciiTheme="minorHAnsi" w:hAnsiTheme="minorHAnsi" w:cstheme="minorHAnsi"/>
          <w:b/>
          <w:sz w:val="26"/>
          <w:szCs w:val="26"/>
        </w:rPr>
      </w:pPr>
      <w:r w:rsidRPr="006A31DA">
        <w:rPr>
          <w:rFonts w:asciiTheme="minorHAnsi" w:hAnsiTheme="minorHAnsi" w:cstheme="minorHAnsi"/>
          <w:b/>
          <w:sz w:val="26"/>
          <w:szCs w:val="26"/>
        </w:rPr>
        <w:t>IN THE HIGH COURT OF SOUTH AFRICA</w:t>
      </w:r>
    </w:p>
    <w:p w14:paraId="369C794B" w14:textId="77777777" w:rsidR="006430AB" w:rsidRPr="006A31DA" w:rsidRDefault="006430AB" w:rsidP="006430AB">
      <w:pPr>
        <w:jc w:val="center"/>
        <w:rPr>
          <w:rFonts w:asciiTheme="minorHAnsi" w:hAnsiTheme="minorHAnsi" w:cstheme="minorHAnsi"/>
          <w:b/>
          <w:sz w:val="26"/>
          <w:szCs w:val="26"/>
        </w:rPr>
      </w:pPr>
      <w:r w:rsidRPr="006A31DA">
        <w:rPr>
          <w:rFonts w:asciiTheme="minorHAnsi" w:hAnsiTheme="minorHAnsi" w:cstheme="minorHAnsi"/>
          <w:b/>
          <w:sz w:val="26"/>
          <w:szCs w:val="26"/>
        </w:rPr>
        <w:t>GAUTENG LOCAL DIVISION, JOHANNESBURG</w:t>
      </w:r>
    </w:p>
    <w:p w14:paraId="2BE60784" w14:textId="77777777" w:rsidR="006430AB" w:rsidRPr="006A31DA" w:rsidRDefault="006430AB" w:rsidP="006430AB">
      <w:pPr>
        <w:jc w:val="center"/>
        <w:rPr>
          <w:rFonts w:asciiTheme="minorHAnsi" w:hAnsiTheme="minorHAnsi" w:cstheme="minorHAnsi"/>
          <w:sz w:val="26"/>
          <w:szCs w:val="26"/>
        </w:rPr>
      </w:pPr>
      <w:r w:rsidRPr="006A31DA">
        <w:rPr>
          <w:rFonts w:asciiTheme="minorHAnsi" w:hAnsiTheme="minorHAnsi" w:cstheme="minorHAnsi"/>
          <w:sz w:val="26"/>
          <w:szCs w:val="26"/>
        </w:rPr>
        <w:br/>
      </w:r>
      <w:r w:rsidRPr="006A31DA">
        <w:rPr>
          <w:rFonts w:asciiTheme="minorHAnsi" w:hAnsiTheme="minorHAnsi" w:cstheme="minorHAnsi"/>
          <w:noProof/>
          <w:sz w:val="26"/>
          <w:szCs w:val="26"/>
          <w:lang w:val="en-ZA" w:eastAsia="en-ZA"/>
        </w:rPr>
        <w:drawing>
          <wp:inline distT="0" distB="0" distL="0" distR="0" wp14:anchorId="526E086F" wp14:editId="62467DC9">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14:paraId="32BB218E" w14:textId="77777777" w:rsidR="006430AB" w:rsidRPr="006A31DA" w:rsidRDefault="006430AB" w:rsidP="006430AB">
      <w:pPr>
        <w:jc w:val="right"/>
        <w:rPr>
          <w:rFonts w:asciiTheme="minorHAnsi" w:hAnsiTheme="minorHAnsi" w:cstheme="minorHAnsi"/>
          <w:b/>
          <w:sz w:val="26"/>
          <w:szCs w:val="26"/>
        </w:rPr>
      </w:pPr>
      <w:r>
        <w:rPr>
          <w:rFonts w:asciiTheme="minorHAnsi" w:hAnsiTheme="minorHAnsi" w:cstheme="minorHAnsi"/>
          <w:b/>
          <w:sz w:val="26"/>
          <w:szCs w:val="26"/>
        </w:rPr>
        <w:t>CASE NO: 2021/19942</w:t>
      </w:r>
    </w:p>
    <w:p w14:paraId="50030CD1" w14:textId="77777777" w:rsidR="006430AB" w:rsidRPr="006A31DA" w:rsidRDefault="006430AB" w:rsidP="006430AB">
      <w:pPr>
        <w:spacing w:after="120"/>
        <w:jc w:val="both"/>
        <w:rPr>
          <w:rFonts w:asciiTheme="minorHAnsi" w:hAnsiTheme="minorHAnsi" w:cstheme="minorHAnsi"/>
          <w:sz w:val="26"/>
          <w:szCs w:val="26"/>
        </w:rPr>
      </w:pPr>
    </w:p>
    <w:p w14:paraId="200F8BAA" w14:textId="77777777" w:rsidR="006430AB" w:rsidRPr="006A31DA" w:rsidRDefault="006430AB" w:rsidP="006430AB">
      <w:pPr>
        <w:spacing w:after="120"/>
        <w:jc w:val="both"/>
        <w:rPr>
          <w:rFonts w:asciiTheme="minorHAnsi" w:hAnsiTheme="minorHAnsi" w:cstheme="minorHAnsi"/>
          <w:sz w:val="26"/>
          <w:szCs w:val="26"/>
        </w:rPr>
      </w:pPr>
      <w:r w:rsidRPr="006A31DA">
        <w:rPr>
          <w:rFonts w:asciiTheme="minorHAnsi" w:hAnsiTheme="minorHAnsi" w:cstheme="minorHAnsi"/>
          <w:sz w:val="26"/>
          <w:szCs w:val="26"/>
        </w:rPr>
        <w:t>In the matter between:</w:t>
      </w:r>
    </w:p>
    <w:p w14:paraId="0F6DB527" w14:textId="77777777" w:rsidR="006430AB" w:rsidRPr="006A31DA" w:rsidRDefault="006430AB" w:rsidP="006430AB">
      <w:pPr>
        <w:spacing w:after="120"/>
        <w:rPr>
          <w:rFonts w:asciiTheme="minorHAnsi" w:hAnsiTheme="minorHAnsi" w:cstheme="minorHAnsi"/>
          <w:sz w:val="26"/>
          <w:szCs w:val="26"/>
        </w:rPr>
      </w:pPr>
    </w:p>
    <w:p w14:paraId="7ECB5C13" w14:textId="0A86C31A" w:rsidR="006430AB" w:rsidRPr="006A31DA" w:rsidRDefault="004C4696" w:rsidP="006430AB">
      <w:pPr>
        <w:spacing w:after="120"/>
        <w:rPr>
          <w:rFonts w:asciiTheme="minorHAnsi" w:hAnsiTheme="minorHAnsi" w:cstheme="minorHAnsi"/>
          <w:sz w:val="26"/>
          <w:szCs w:val="26"/>
        </w:rPr>
      </w:pPr>
      <w:r w:rsidRPr="004C4696">
        <w:rPr>
          <w:rFonts w:asciiTheme="minorHAnsi" w:hAnsiTheme="minorHAnsi" w:cstheme="minorHAnsi"/>
          <w:b/>
          <w:sz w:val="26"/>
          <w:szCs w:val="26"/>
        </w:rPr>
        <w:t>M</w:t>
      </w:r>
      <w:r w:rsidR="00962E34">
        <w:rPr>
          <w:rFonts w:asciiTheme="minorHAnsi" w:hAnsiTheme="minorHAnsi" w:cstheme="minorHAnsi"/>
          <w:b/>
          <w:sz w:val="26"/>
          <w:szCs w:val="26"/>
        </w:rPr>
        <w:t xml:space="preserve"> […] </w:t>
      </w:r>
      <w:r w:rsidRPr="004C4696">
        <w:rPr>
          <w:rFonts w:asciiTheme="minorHAnsi" w:hAnsiTheme="minorHAnsi" w:cstheme="minorHAnsi"/>
          <w:b/>
          <w:sz w:val="26"/>
          <w:szCs w:val="26"/>
        </w:rPr>
        <w:t>T</w:t>
      </w:r>
      <w:r w:rsidR="00962E34">
        <w:rPr>
          <w:rFonts w:asciiTheme="minorHAnsi" w:hAnsiTheme="minorHAnsi" w:cstheme="minorHAnsi"/>
          <w:b/>
          <w:sz w:val="26"/>
          <w:szCs w:val="26"/>
        </w:rPr>
        <w:t xml:space="preserve"> […]</w:t>
      </w:r>
      <w:r w:rsidR="006430AB" w:rsidRPr="006A31DA">
        <w:rPr>
          <w:rFonts w:asciiTheme="minorHAnsi" w:hAnsiTheme="minorHAnsi" w:cstheme="minorHAnsi"/>
          <w:sz w:val="26"/>
          <w:szCs w:val="26"/>
        </w:rPr>
        <w:tab/>
      </w:r>
      <w:r w:rsidR="006430AB" w:rsidRPr="006A31DA">
        <w:rPr>
          <w:rFonts w:asciiTheme="minorHAnsi" w:hAnsiTheme="minorHAnsi" w:cstheme="minorHAnsi"/>
          <w:sz w:val="26"/>
          <w:szCs w:val="26"/>
        </w:rPr>
        <w:tab/>
      </w:r>
      <w:r w:rsidR="006430AB" w:rsidRPr="006A31DA">
        <w:rPr>
          <w:rFonts w:asciiTheme="minorHAnsi" w:hAnsiTheme="minorHAnsi" w:cstheme="minorHAnsi"/>
          <w:sz w:val="26"/>
          <w:szCs w:val="26"/>
        </w:rPr>
        <w:tab/>
      </w:r>
      <w:r w:rsidR="006430AB" w:rsidRPr="006A31DA">
        <w:rPr>
          <w:rFonts w:asciiTheme="minorHAnsi" w:hAnsiTheme="minorHAnsi" w:cstheme="minorHAnsi"/>
          <w:sz w:val="26"/>
          <w:szCs w:val="26"/>
        </w:rPr>
        <w:tab/>
      </w:r>
      <w:r w:rsidR="006430AB">
        <w:rPr>
          <w:rFonts w:asciiTheme="minorHAnsi" w:hAnsiTheme="minorHAnsi" w:cstheme="minorHAnsi"/>
          <w:sz w:val="26"/>
          <w:szCs w:val="26"/>
        </w:rPr>
        <w:tab/>
      </w:r>
      <w:r w:rsidR="006430AB">
        <w:rPr>
          <w:rFonts w:asciiTheme="minorHAnsi" w:hAnsiTheme="minorHAnsi" w:cstheme="minorHAnsi"/>
          <w:sz w:val="26"/>
          <w:szCs w:val="26"/>
        </w:rPr>
        <w:tab/>
      </w:r>
      <w:r w:rsidR="006430AB">
        <w:rPr>
          <w:rFonts w:asciiTheme="minorHAnsi" w:hAnsiTheme="minorHAnsi" w:cstheme="minorHAnsi"/>
          <w:sz w:val="26"/>
          <w:szCs w:val="26"/>
        </w:rPr>
        <w:tab/>
      </w:r>
      <w:r w:rsidR="006430AB">
        <w:rPr>
          <w:rFonts w:asciiTheme="minorHAnsi" w:hAnsiTheme="minorHAnsi" w:cstheme="minorHAnsi"/>
          <w:sz w:val="26"/>
          <w:szCs w:val="26"/>
        </w:rPr>
        <w:tab/>
        <w:t xml:space="preserve">     </w:t>
      </w:r>
      <w:r w:rsidR="006430AB" w:rsidRPr="006A31DA">
        <w:rPr>
          <w:rFonts w:asciiTheme="minorHAnsi" w:hAnsiTheme="minorHAnsi" w:cstheme="minorHAnsi"/>
          <w:sz w:val="26"/>
          <w:szCs w:val="26"/>
        </w:rPr>
        <w:t>Applicant</w:t>
      </w:r>
    </w:p>
    <w:p w14:paraId="5A984CF9" w14:textId="77777777" w:rsidR="006430AB" w:rsidRPr="006A31DA" w:rsidRDefault="006430AB" w:rsidP="006430AB">
      <w:pPr>
        <w:spacing w:after="120"/>
        <w:rPr>
          <w:rFonts w:asciiTheme="minorHAnsi" w:hAnsiTheme="minorHAnsi" w:cstheme="minorHAnsi"/>
          <w:sz w:val="26"/>
          <w:szCs w:val="26"/>
        </w:rPr>
      </w:pPr>
      <w:r w:rsidRPr="006A31DA">
        <w:rPr>
          <w:rFonts w:asciiTheme="minorHAnsi" w:hAnsiTheme="minorHAnsi" w:cstheme="minorHAnsi"/>
          <w:sz w:val="26"/>
          <w:szCs w:val="26"/>
        </w:rPr>
        <w:t>and</w:t>
      </w:r>
    </w:p>
    <w:p w14:paraId="1FCDC0E7" w14:textId="77777777" w:rsidR="006430AB" w:rsidRPr="006A31DA" w:rsidRDefault="006430AB" w:rsidP="006430AB">
      <w:pPr>
        <w:spacing w:after="120"/>
        <w:rPr>
          <w:rFonts w:asciiTheme="minorHAnsi" w:hAnsiTheme="minorHAnsi" w:cstheme="minorHAnsi"/>
          <w:sz w:val="26"/>
          <w:szCs w:val="26"/>
        </w:rPr>
      </w:pPr>
    </w:p>
    <w:p w14:paraId="336E2C98" w14:textId="77777777" w:rsidR="006430AB" w:rsidRPr="00491AA1" w:rsidRDefault="004C4696" w:rsidP="006430AB">
      <w:pPr>
        <w:spacing w:after="120"/>
        <w:rPr>
          <w:rFonts w:asciiTheme="minorHAnsi" w:hAnsiTheme="minorHAnsi" w:cstheme="minorHAnsi"/>
          <w:b/>
          <w:sz w:val="26"/>
          <w:szCs w:val="26"/>
        </w:rPr>
      </w:pPr>
      <w:r>
        <w:rPr>
          <w:rFonts w:asciiTheme="minorHAnsi" w:hAnsiTheme="minorHAnsi" w:cstheme="minorHAnsi"/>
          <w:b/>
          <w:sz w:val="26"/>
          <w:szCs w:val="26"/>
        </w:rPr>
        <w:t>THE STATE</w:t>
      </w:r>
      <w:r w:rsidR="00491AA1">
        <w:rPr>
          <w:rFonts w:asciiTheme="minorHAnsi" w:hAnsiTheme="minorHAnsi" w:cstheme="minorHAnsi"/>
          <w:b/>
          <w:sz w:val="26"/>
          <w:szCs w:val="26"/>
        </w:rPr>
        <w:tab/>
      </w:r>
      <w:r w:rsidR="00491AA1">
        <w:rPr>
          <w:rFonts w:asciiTheme="minorHAnsi" w:hAnsiTheme="minorHAnsi" w:cstheme="minorHAnsi"/>
          <w:b/>
          <w:sz w:val="26"/>
          <w:szCs w:val="26"/>
        </w:rPr>
        <w:tab/>
      </w:r>
      <w:r w:rsidR="00491AA1">
        <w:rPr>
          <w:rFonts w:asciiTheme="minorHAnsi" w:hAnsiTheme="minorHAnsi" w:cstheme="minorHAnsi"/>
          <w:b/>
          <w:sz w:val="26"/>
          <w:szCs w:val="26"/>
        </w:rPr>
        <w:tab/>
      </w:r>
      <w:r w:rsidR="00491AA1">
        <w:rPr>
          <w:rFonts w:asciiTheme="minorHAnsi" w:hAnsiTheme="minorHAnsi" w:cstheme="minorHAnsi"/>
          <w:b/>
          <w:sz w:val="26"/>
          <w:szCs w:val="26"/>
        </w:rPr>
        <w:tab/>
      </w:r>
      <w:r w:rsidR="00491AA1">
        <w:rPr>
          <w:rFonts w:asciiTheme="minorHAnsi" w:hAnsiTheme="minorHAnsi" w:cstheme="minorHAnsi"/>
          <w:b/>
          <w:sz w:val="26"/>
          <w:szCs w:val="26"/>
        </w:rPr>
        <w:tab/>
      </w:r>
      <w:r w:rsidR="00491AA1">
        <w:rPr>
          <w:rFonts w:asciiTheme="minorHAnsi" w:hAnsiTheme="minorHAnsi" w:cstheme="minorHAnsi"/>
          <w:b/>
          <w:sz w:val="26"/>
          <w:szCs w:val="26"/>
        </w:rPr>
        <w:tab/>
      </w:r>
      <w:r w:rsidR="00491AA1">
        <w:rPr>
          <w:rFonts w:asciiTheme="minorHAnsi" w:hAnsiTheme="minorHAnsi" w:cstheme="minorHAnsi"/>
          <w:b/>
          <w:sz w:val="26"/>
          <w:szCs w:val="26"/>
        </w:rPr>
        <w:tab/>
      </w:r>
      <w:r w:rsidR="00491AA1">
        <w:rPr>
          <w:rFonts w:asciiTheme="minorHAnsi" w:hAnsiTheme="minorHAnsi" w:cstheme="minorHAnsi"/>
          <w:b/>
          <w:sz w:val="26"/>
          <w:szCs w:val="26"/>
        </w:rPr>
        <w:tab/>
      </w:r>
      <w:r w:rsidR="00491AA1">
        <w:rPr>
          <w:rFonts w:asciiTheme="minorHAnsi" w:hAnsiTheme="minorHAnsi" w:cstheme="minorHAnsi"/>
          <w:b/>
          <w:sz w:val="26"/>
          <w:szCs w:val="26"/>
        </w:rPr>
        <w:tab/>
      </w:r>
      <w:proofErr w:type="gramStart"/>
      <w:r w:rsidR="00491AA1">
        <w:rPr>
          <w:rFonts w:asciiTheme="minorHAnsi" w:hAnsiTheme="minorHAnsi" w:cstheme="minorHAnsi"/>
          <w:b/>
          <w:sz w:val="26"/>
          <w:szCs w:val="26"/>
        </w:rPr>
        <w:tab/>
        <w:t xml:space="preserve">  </w:t>
      </w:r>
      <w:r w:rsidR="006430AB" w:rsidRPr="006A31DA">
        <w:rPr>
          <w:rFonts w:asciiTheme="minorHAnsi" w:hAnsiTheme="minorHAnsi" w:cstheme="minorHAnsi"/>
          <w:sz w:val="26"/>
          <w:szCs w:val="26"/>
        </w:rPr>
        <w:t>Respondent</w:t>
      </w:r>
      <w:proofErr w:type="gramEnd"/>
    </w:p>
    <w:p w14:paraId="24B1926C" w14:textId="77777777" w:rsidR="006430AB" w:rsidRPr="006A31DA" w:rsidRDefault="006430AB" w:rsidP="006430AB">
      <w:pPr>
        <w:spacing w:after="120"/>
        <w:rPr>
          <w:rFonts w:asciiTheme="minorHAnsi" w:hAnsiTheme="minorHAnsi" w:cstheme="minorHAnsi"/>
          <w:sz w:val="26"/>
          <w:szCs w:val="26"/>
        </w:rPr>
      </w:pPr>
    </w:p>
    <w:p w14:paraId="4B4AEC7C" w14:textId="77777777" w:rsidR="006430AB" w:rsidRPr="006A31DA" w:rsidRDefault="006430AB" w:rsidP="006430AB">
      <w:pPr>
        <w:spacing w:after="120"/>
        <w:jc w:val="both"/>
        <w:rPr>
          <w:rFonts w:asciiTheme="minorHAnsi" w:hAnsiTheme="minorHAnsi" w:cstheme="minorHAnsi"/>
          <w:sz w:val="26"/>
          <w:szCs w:val="26"/>
        </w:rPr>
      </w:pPr>
      <w:r w:rsidRPr="006A31DA">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______________</w:t>
      </w:r>
    </w:p>
    <w:p w14:paraId="145F342E" w14:textId="77777777" w:rsidR="006430AB" w:rsidRDefault="006430AB" w:rsidP="006430AB">
      <w:pPr>
        <w:spacing w:after="120"/>
        <w:jc w:val="center"/>
        <w:rPr>
          <w:rFonts w:asciiTheme="minorHAnsi" w:hAnsiTheme="minorHAnsi" w:cstheme="minorHAnsi"/>
          <w:sz w:val="26"/>
          <w:szCs w:val="26"/>
        </w:rPr>
      </w:pPr>
      <w:r w:rsidRPr="006A31DA">
        <w:rPr>
          <w:rFonts w:asciiTheme="minorHAnsi" w:hAnsiTheme="minorHAnsi" w:cstheme="minorHAnsi"/>
          <w:sz w:val="26"/>
          <w:szCs w:val="26"/>
        </w:rPr>
        <w:t xml:space="preserve">J U D G M E N T </w:t>
      </w:r>
    </w:p>
    <w:p w14:paraId="2361881A" w14:textId="77777777" w:rsidR="006430AB" w:rsidRPr="006A31DA" w:rsidRDefault="006430AB" w:rsidP="006430AB">
      <w:pPr>
        <w:spacing w:after="120"/>
        <w:jc w:val="center"/>
        <w:rPr>
          <w:rFonts w:asciiTheme="minorHAnsi" w:hAnsiTheme="minorHAnsi" w:cstheme="minorHAnsi"/>
          <w:sz w:val="26"/>
          <w:szCs w:val="26"/>
        </w:rPr>
      </w:pPr>
      <w:r w:rsidRPr="006A31DA">
        <w:rPr>
          <w:rFonts w:asciiTheme="minorHAnsi" w:hAnsiTheme="minorHAnsi" w:cstheme="minorHAnsi"/>
          <w:sz w:val="26"/>
          <w:szCs w:val="26"/>
        </w:rPr>
        <w:t>(</w:t>
      </w:r>
      <w:r>
        <w:rPr>
          <w:rFonts w:asciiTheme="minorHAnsi" w:hAnsiTheme="minorHAnsi" w:cstheme="minorHAnsi"/>
          <w:sz w:val="26"/>
          <w:szCs w:val="26"/>
        </w:rPr>
        <w:t xml:space="preserve">APPLICATION FOR </w:t>
      </w:r>
      <w:r w:rsidRPr="006A31DA">
        <w:rPr>
          <w:rFonts w:asciiTheme="minorHAnsi" w:hAnsiTheme="minorHAnsi" w:cstheme="minorHAnsi"/>
          <w:sz w:val="26"/>
          <w:szCs w:val="26"/>
        </w:rPr>
        <w:t>LEAVE TO APPEAL)</w:t>
      </w:r>
    </w:p>
    <w:p w14:paraId="6FAF1A8B" w14:textId="77777777" w:rsidR="006430AB" w:rsidRPr="006A31DA" w:rsidRDefault="006430AB" w:rsidP="006430AB">
      <w:pPr>
        <w:jc w:val="both"/>
        <w:rPr>
          <w:rFonts w:asciiTheme="minorHAnsi" w:hAnsiTheme="minorHAnsi" w:cstheme="minorHAnsi"/>
          <w:sz w:val="26"/>
          <w:szCs w:val="26"/>
        </w:rPr>
      </w:pPr>
      <w:r w:rsidRPr="006A31DA">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______________</w:t>
      </w:r>
    </w:p>
    <w:p w14:paraId="2B9A432E" w14:textId="77777777" w:rsidR="006430AB" w:rsidRPr="006A31DA" w:rsidRDefault="006430AB" w:rsidP="006430AB">
      <w:pPr>
        <w:spacing w:line="360" w:lineRule="auto"/>
        <w:jc w:val="both"/>
        <w:rPr>
          <w:rFonts w:asciiTheme="minorHAnsi" w:hAnsiTheme="minorHAnsi" w:cstheme="minorHAnsi"/>
          <w:b/>
          <w:sz w:val="26"/>
          <w:szCs w:val="26"/>
          <w:u w:val="single"/>
        </w:rPr>
      </w:pPr>
      <w:r w:rsidRPr="006A31DA">
        <w:rPr>
          <w:rFonts w:asciiTheme="minorHAnsi" w:hAnsiTheme="minorHAnsi" w:cstheme="minorHAnsi"/>
          <w:b/>
          <w:sz w:val="26"/>
          <w:szCs w:val="26"/>
          <w:u w:val="single"/>
        </w:rPr>
        <w:t>MAIER-FRAWLEY J</w:t>
      </w:r>
    </w:p>
    <w:p w14:paraId="580FF8C7" w14:textId="4FC96385" w:rsidR="006430AB" w:rsidRPr="00CD4174" w:rsidRDefault="00CD4174" w:rsidP="00CD4174">
      <w:pPr>
        <w:spacing w:line="360" w:lineRule="auto"/>
        <w:ind w:left="851" w:hanging="851"/>
        <w:jc w:val="both"/>
        <w:rPr>
          <w:rFonts w:asciiTheme="minorHAnsi" w:hAnsiTheme="minorHAnsi" w:cstheme="minorHAnsi"/>
          <w:sz w:val="26"/>
          <w:szCs w:val="26"/>
        </w:rPr>
      </w:pPr>
      <w:r w:rsidRPr="00D11156">
        <w:rPr>
          <w:rFonts w:asciiTheme="minorHAnsi" w:hAnsiTheme="minorHAnsi" w:cstheme="minorHAnsi"/>
          <w:sz w:val="26"/>
          <w:szCs w:val="26"/>
        </w:rPr>
        <w:t>1.</w:t>
      </w:r>
      <w:r w:rsidRPr="00D11156">
        <w:rPr>
          <w:rFonts w:asciiTheme="minorHAnsi" w:hAnsiTheme="minorHAnsi" w:cstheme="minorHAnsi"/>
          <w:sz w:val="26"/>
          <w:szCs w:val="26"/>
        </w:rPr>
        <w:tab/>
      </w:r>
      <w:r w:rsidR="00CC188D" w:rsidRPr="00CD4174">
        <w:rPr>
          <w:rFonts w:asciiTheme="minorHAnsi" w:hAnsiTheme="minorHAnsi" w:cstheme="minorHAnsi"/>
          <w:sz w:val="26"/>
          <w:szCs w:val="26"/>
        </w:rPr>
        <w:t xml:space="preserve">The applicant seeks leave to appeal against </w:t>
      </w:r>
      <w:r w:rsidR="00D11156" w:rsidRPr="00CD4174">
        <w:rPr>
          <w:rFonts w:asciiTheme="minorHAnsi" w:hAnsiTheme="minorHAnsi" w:cstheme="minorHAnsi"/>
          <w:sz w:val="26"/>
          <w:szCs w:val="26"/>
        </w:rPr>
        <w:t>both</w:t>
      </w:r>
      <w:r w:rsidR="00CC188D" w:rsidRPr="00CD4174">
        <w:rPr>
          <w:rFonts w:asciiTheme="minorHAnsi" w:hAnsiTheme="minorHAnsi" w:cstheme="minorHAnsi"/>
          <w:sz w:val="26"/>
          <w:szCs w:val="26"/>
        </w:rPr>
        <w:t xml:space="preserve"> conviction and sentence. On 4 February 2021 the applicant was convicted of the crimes of Kidnapping, Rape, Murder, Defeating or Obstructing the Administration of Justice by committing an </w:t>
      </w:r>
      <w:r w:rsidR="00CC188D" w:rsidRPr="00CD4174">
        <w:rPr>
          <w:rFonts w:asciiTheme="minorHAnsi" w:hAnsiTheme="minorHAnsi" w:cstheme="minorHAnsi"/>
          <w:sz w:val="26"/>
          <w:szCs w:val="26"/>
        </w:rPr>
        <w:lastRenderedPageBreak/>
        <w:t xml:space="preserve">act to conceal the corpse of the deceased and </w:t>
      </w:r>
      <w:r w:rsidR="00521253" w:rsidRPr="00CD4174">
        <w:rPr>
          <w:rFonts w:asciiTheme="minorHAnsi" w:hAnsiTheme="minorHAnsi" w:cstheme="minorHAnsi"/>
          <w:sz w:val="26"/>
          <w:szCs w:val="26"/>
        </w:rPr>
        <w:t>C</w:t>
      </w:r>
      <w:r w:rsidR="00CC188D" w:rsidRPr="00CD4174">
        <w:rPr>
          <w:rFonts w:asciiTheme="minorHAnsi" w:hAnsiTheme="minorHAnsi" w:cstheme="minorHAnsi"/>
          <w:sz w:val="26"/>
          <w:szCs w:val="26"/>
        </w:rPr>
        <w:t xml:space="preserve">ommon </w:t>
      </w:r>
      <w:r w:rsidR="00521253" w:rsidRPr="00CD4174">
        <w:rPr>
          <w:rFonts w:asciiTheme="minorHAnsi" w:hAnsiTheme="minorHAnsi" w:cstheme="minorHAnsi"/>
          <w:sz w:val="26"/>
          <w:szCs w:val="26"/>
        </w:rPr>
        <w:t>A</w:t>
      </w:r>
      <w:r w:rsidR="00CC188D" w:rsidRPr="00CD4174">
        <w:rPr>
          <w:rFonts w:asciiTheme="minorHAnsi" w:hAnsiTheme="minorHAnsi" w:cstheme="minorHAnsi"/>
          <w:sz w:val="26"/>
          <w:szCs w:val="26"/>
        </w:rPr>
        <w:t>ssault. On 7 April 2022, the applicant was sentenced to</w:t>
      </w:r>
      <w:r w:rsidR="00521253" w:rsidRPr="00CD4174">
        <w:rPr>
          <w:rFonts w:asciiTheme="minorHAnsi" w:hAnsiTheme="minorHAnsi" w:cstheme="minorHAnsi"/>
          <w:sz w:val="26"/>
          <w:szCs w:val="26"/>
        </w:rPr>
        <w:t xml:space="preserve"> life impris</w:t>
      </w:r>
      <w:r w:rsidR="00CC188D" w:rsidRPr="00CD4174">
        <w:rPr>
          <w:rFonts w:asciiTheme="minorHAnsi" w:hAnsiTheme="minorHAnsi" w:cstheme="minorHAnsi"/>
          <w:sz w:val="26"/>
          <w:szCs w:val="26"/>
        </w:rPr>
        <w:t xml:space="preserve">onment in respect of </w:t>
      </w:r>
      <w:r w:rsidR="00521253" w:rsidRPr="00CD4174">
        <w:rPr>
          <w:rFonts w:asciiTheme="minorHAnsi" w:hAnsiTheme="minorHAnsi" w:cstheme="minorHAnsi"/>
          <w:sz w:val="26"/>
          <w:szCs w:val="26"/>
        </w:rPr>
        <w:t>the murder conviction</w:t>
      </w:r>
      <w:r w:rsidR="00D11156" w:rsidRPr="00CD4174">
        <w:rPr>
          <w:rFonts w:asciiTheme="minorHAnsi" w:hAnsiTheme="minorHAnsi" w:cstheme="minorHAnsi"/>
          <w:sz w:val="26"/>
          <w:szCs w:val="26"/>
        </w:rPr>
        <w:t>.</w:t>
      </w:r>
      <w:r w:rsidR="00CC188D" w:rsidRPr="00CD4174">
        <w:rPr>
          <w:rFonts w:asciiTheme="minorHAnsi" w:hAnsiTheme="minorHAnsi" w:cstheme="minorHAnsi"/>
          <w:sz w:val="26"/>
          <w:szCs w:val="26"/>
        </w:rPr>
        <w:t xml:space="preserve"> The sentences imposed in respect of </w:t>
      </w:r>
      <w:r w:rsidR="00521253" w:rsidRPr="00CD4174">
        <w:rPr>
          <w:rFonts w:asciiTheme="minorHAnsi" w:hAnsiTheme="minorHAnsi" w:cstheme="minorHAnsi"/>
          <w:sz w:val="26"/>
          <w:szCs w:val="26"/>
        </w:rPr>
        <w:t>the other</w:t>
      </w:r>
      <w:r w:rsidR="00CC188D" w:rsidRPr="00CD4174">
        <w:rPr>
          <w:rFonts w:asciiTheme="minorHAnsi" w:hAnsiTheme="minorHAnsi" w:cstheme="minorHAnsi"/>
          <w:sz w:val="26"/>
          <w:szCs w:val="26"/>
        </w:rPr>
        <w:t xml:space="preserve"> crimes</w:t>
      </w:r>
      <w:r w:rsidR="006430AB" w:rsidRPr="00CD4174">
        <w:rPr>
          <w:rFonts w:asciiTheme="minorHAnsi" w:hAnsiTheme="minorHAnsi" w:cstheme="minorHAnsi"/>
          <w:sz w:val="26"/>
          <w:szCs w:val="26"/>
        </w:rPr>
        <w:t xml:space="preserve"> </w:t>
      </w:r>
      <w:r w:rsidR="00521253" w:rsidRPr="00CD4174">
        <w:rPr>
          <w:rFonts w:asciiTheme="minorHAnsi" w:hAnsiTheme="minorHAnsi" w:cstheme="minorHAnsi"/>
          <w:sz w:val="26"/>
          <w:szCs w:val="26"/>
        </w:rPr>
        <w:t>were ordered to run concurrently with the sentence of life imprisonment imposed in respect of the conviction for murder.</w:t>
      </w:r>
    </w:p>
    <w:p w14:paraId="77C7C58D" w14:textId="77777777" w:rsidR="006430AB" w:rsidRDefault="006430AB" w:rsidP="006430AB">
      <w:pPr>
        <w:pStyle w:val="ListParagraph"/>
        <w:rPr>
          <w:rFonts w:asciiTheme="minorHAnsi" w:hAnsiTheme="minorHAnsi" w:cstheme="minorHAnsi"/>
          <w:sz w:val="26"/>
          <w:szCs w:val="26"/>
        </w:rPr>
      </w:pPr>
    </w:p>
    <w:p w14:paraId="45F2BB91" w14:textId="48ED54F7" w:rsidR="0047200A" w:rsidRPr="00CD4174" w:rsidRDefault="00CD4174" w:rsidP="00CD4174">
      <w:pPr>
        <w:spacing w:line="360" w:lineRule="auto"/>
        <w:ind w:left="851" w:hanging="851"/>
        <w:jc w:val="both"/>
        <w:rPr>
          <w:rFonts w:asciiTheme="minorHAnsi" w:hAnsiTheme="minorHAnsi" w:cstheme="minorHAnsi"/>
          <w:sz w:val="26"/>
          <w:szCs w:val="26"/>
        </w:rPr>
      </w:pPr>
      <w:r>
        <w:rPr>
          <w:rFonts w:asciiTheme="minorHAnsi" w:hAnsiTheme="minorHAnsi" w:cstheme="minorHAnsi"/>
          <w:sz w:val="26"/>
          <w:szCs w:val="26"/>
        </w:rPr>
        <w:t>2.</w:t>
      </w:r>
      <w:r>
        <w:rPr>
          <w:rFonts w:asciiTheme="minorHAnsi" w:hAnsiTheme="minorHAnsi" w:cstheme="minorHAnsi"/>
          <w:sz w:val="26"/>
          <w:szCs w:val="26"/>
        </w:rPr>
        <w:tab/>
      </w:r>
      <w:r w:rsidR="0047200A" w:rsidRPr="00CD4174">
        <w:rPr>
          <w:rFonts w:asciiTheme="minorHAnsi" w:hAnsiTheme="minorHAnsi" w:cstheme="minorHAnsi"/>
          <w:sz w:val="26"/>
          <w:szCs w:val="26"/>
        </w:rPr>
        <w:t xml:space="preserve">At the hearing of the matter, the applicant was represented by Ms </w:t>
      </w:r>
      <w:r w:rsidR="00197B01" w:rsidRPr="00CD4174">
        <w:rPr>
          <w:rFonts w:asciiTheme="minorHAnsi" w:hAnsiTheme="minorHAnsi" w:cstheme="minorHAnsi"/>
          <w:sz w:val="26"/>
          <w:szCs w:val="26"/>
        </w:rPr>
        <w:t>Brits</w:t>
      </w:r>
      <w:r w:rsidR="0047200A" w:rsidRPr="00CD4174">
        <w:rPr>
          <w:rFonts w:asciiTheme="minorHAnsi" w:hAnsiTheme="minorHAnsi" w:cstheme="minorHAnsi"/>
          <w:sz w:val="26"/>
          <w:szCs w:val="26"/>
        </w:rPr>
        <w:t xml:space="preserve"> from Legal Aid SA whilst Ms </w:t>
      </w:r>
      <w:proofErr w:type="spellStart"/>
      <w:r w:rsidR="0047200A" w:rsidRPr="00CD4174">
        <w:rPr>
          <w:rFonts w:asciiTheme="minorHAnsi" w:hAnsiTheme="minorHAnsi" w:cstheme="minorHAnsi"/>
          <w:sz w:val="26"/>
          <w:szCs w:val="26"/>
        </w:rPr>
        <w:t>Marasela</w:t>
      </w:r>
      <w:proofErr w:type="spellEnd"/>
      <w:r w:rsidR="0047200A" w:rsidRPr="00CD4174">
        <w:rPr>
          <w:rFonts w:asciiTheme="minorHAnsi" w:hAnsiTheme="minorHAnsi" w:cstheme="minorHAnsi"/>
          <w:sz w:val="26"/>
          <w:szCs w:val="26"/>
        </w:rPr>
        <w:t xml:space="preserve"> represented the State. It bears mention that the applicant was legally represented by private attorneys for the entire duration of the trial until sentencing proceedings were concluded. </w:t>
      </w:r>
    </w:p>
    <w:p w14:paraId="0C128192" w14:textId="77777777" w:rsidR="0047200A" w:rsidRPr="006A31DA" w:rsidRDefault="0047200A" w:rsidP="006430AB">
      <w:pPr>
        <w:pStyle w:val="ListParagraph"/>
        <w:rPr>
          <w:rFonts w:asciiTheme="minorHAnsi" w:hAnsiTheme="minorHAnsi" w:cstheme="minorHAnsi"/>
          <w:sz w:val="26"/>
          <w:szCs w:val="26"/>
        </w:rPr>
      </w:pPr>
    </w:p>
    <w:p w14:paraId="3D0173FD" w14:textId="6935E61E" w:rsidR="00DC1074" w:rsidRPr="00CD4174" w:rsidRDefault="00CD4174" w:rsidP="00CD4174">
      <w:pPr>
        <w:spacing w:line="360" w:lineRule="auto"/>
        <w:ind w:left="851" w:hanging="851"/>
        <w:jc w:val="both"/>
        <w:rPr>
          <w:rFonts w:asciiTheme="minorHAnsi" w:hAnsiTheme="minorHAnsi" w:cstheme="minorHAnsi"/>
          <w:sz w:val="26"/>
          <w:szCs w:val="26"/>
        </w:rPr>
      </w:pPr>
      <w:r>
        <w:rPr>
          <w:rFonts w:asciiTheme="minorHAnsi" w:hAnsiTheme="minorHAnsi" w:cstheme="minorHAnsi"/>
          <w:sz w:val="26"/>
          <w:szCs w:val="26"/>
        </w:rPr>
        <w:t>3.</w:t>
      </w:r>
      <w:r>
        <w:rPr>
          <w:rFonts w:asciiTheme="minorHAnsi" w:hAnsiTheme="minorHAnsi" w:cstheme="minorHAnsi"/>
          <w:sz w:val="26"/>
          <w:szCs w:val="26"/>
        </w:rPr>
        <w:tab/>
      </w:r>
      <w:r w:rsidR="00D11156" w:rsidRPr="00CD4174">
        <w:rPr>
          <w:rFonts w:asciiTheme="minorHAnsi" w:hAnsiTheme="minorHAnsi" w:cstheme="minorHAnsi"/>
          <w:sz w:val="26"/>
          <w:szCs w:val="26"/>
        </w:rPr>
        <w:t xml:space="preserve">The applicant seeks condonation for the late filing of the application for leave to appeal. In terms of section 316(1)(b) of the </w:t>
      </w:r>
      <w:r w:rsidR="00DC1074" w:rsidRPr="00CD4174">
        <w:rPr>
          <w:rFonts w:asciiTheme="minorHAnsi" w:hAnsiTheme="minorHAnsi" w:cstheme="minorHAnsi"/>
          <w:sz w:val="26"/>
          <w:szCs w:val="26"/>
        </w:rPr>
        <w:t xml:space="preserve">Criminal Procedure Act, 51 of 1977, an application referred to in s 316(1)(a) must be made within 14 days after passing of sentence. In terms of s 316(1)(b)(ii), the application may be made within such extended period as the court may on application and for good cause allow. </w:t>
      </w:r>
    </w:p>
    <w:p w14:paraId="7BCB825B" w14:textId="77777777" w:rsidR="00DC1074" w:rsidRPr="00DC1074" w:rsidRDefault="00DC1074" w:rsidP="00DC1074">
      <w:pPr>
        <w:pStyle w:val="ListParagraph"/>
        <w:rPr>
          <w:rFonts w:asciiTheme="minorHAnsi" w:hAnsiTheme="minorHAnsi" w:cstheme="minorHAnsi"/>
          <w:sz w:val="26"/>
          <w:szCs w:val="26"/>
        </w:rPr>
      </w:pPr>
    </w:p>
    <w:p w14:paraId="4954C7E8" w14:textId="326746F1" w:rsidR="006430AB" w:rsidRPr="00CD4174" w:rsidRDefault="00CD4174" w:rsidP="00CD4174">
      <w:pPr>
        <w:spacing w:line="360" w:lineRule="auto"/>
        <w:ind w:left="851" w:hanging="851"/>
        <w:jc w:val="both"/>
        <w:rPr>
          <w:rFonts w:asciiTheme="minorHAnsi" w:hAnsiTheme="minorHAnsi" w:cstheme="minorHAnsi"/>
          <w:sz w:val="26"/>
          <w:szCs w:val="26"/>
        </w:rPr>
      </w:pPr>
      <w:r w:rsidRPr="008009A6">
        <w:rPr>
          <w:rFonts w:asciiTheme="minorHAnsi" w:hAnsiTheme="minorHAnsi" w:cstheme="minorHAnsi"/>
          <w:sz w:val="26"/>
          <w:szCs w:val="26"/>
        </w:rPr>
        <w:t>4.</w:t>
      </w:r>
      <w:r w:rsidRPr="008009A6">
        <w:rPr>
          <w:rFonts w:asciiTheme="minorHAnsi" w:hAnsiTheme="minorHAnsi" w:cstheme="minorHAnsi"/>
          <w:sz w:val="26"/>
          <w:szCs w:val="26"/>
        </w:rPr>
        <w:tab/>
      </w:r>
      <w:r w:rsidR="00D11156" w:rsidRPr="00CD4174">
        <w:rPr>
          <w:rFonts w:asciiTheme="minorHAnsi" w:hAnsiTheme="minorHAnsi" w:cstheme="minorHAnsi"/>
          <w:sz w:val="26"/>
          <w:szCs w:val="26"/>
        </w:rPr>
        <w:t xml:space="preserve">The papers </w:t>
      </w:r>
      <w:r w:rsidR="00DC1074" w:rsidRPr="00CD4174">
        <w:rPr>
          <w:rFonts w:asciiTheme="minorHAnsi" w:hAnsiTheme="minorHAnsi" w:cstheme="minorHAnsi"/>
          <w:sz w:val="26"/>
          <w:szCs w:val="26"/>
        </w:rPr>
        <w:t xml:space="preserve">in the electronic file </w:t>
      </w:r>
      <w:r w:rsidR="00D11156" w:rsidRPr="00CD4174">
        <w:rPr>
          <w:rFonts w:asciiTheme="minorHAnsi" w:hAnsiTheme="minorHAnsi" w:cstheme="minorHAnsi"/>
          <w:sz w:val="26"/>
          <w:szCs w:val="26"/>
        </w:rPr>
        <w:t xml:space="preserve">in respect of the application for leave to appeal and condonation </w:t>
      </w:r>
      <w:r w:rsidR="00DC1074" w:rsidRPr="00CD4174">
        <w:rPr>
          <w:rFonts w:asciiTheme="minorHAnsi" w:hAnsiTheme="minorHAnsi" w:cstheme="minorHAnsi"/>
          <w:sz w:val="26"/>
          <w:szCs w:val="26"/>
        </w:rPr>
        <w:t>were</w:t>
      </w:r>
      <w:r w:rsidR="00D11156" w:rsidRPr="00CD4174">
        <w:rPr>
          <w:rFonts w:asciiTheme="minorHAnsi" w:hAnsiTheme="minorHAnsi" w:cstheme="minorHAnsi"/>
          <w:sz w:val="26"/>
          <w:szCs w:val="26"/>
        </w:rPr>
        <w:t xml:space="preserve"> prepared by the applicant himself</w:t>
      </w:r>
      <w:r w:rsidR="00DC1074" w:rsidRPr="00CD4174">
        <w:rPr>
          <w:rFonts w:asciiTheme="minorHAnsi" w:hAnsiTheme="minorHAnsi" w:cstheme="minorHAnsi"/>
          <w:sz w:val="26"/>
          <w:szCs w:val="26"/>
        </w:rPr>
        <w:t>, ostensibly</w:t>
      </w:r>
      <w:r w:rsidR="00D11156" w:rsidRPr="00CD4174">
        <w:rPr>
          <w:rFonts w:asciiTheme="minorHAnsi" w:hAnsiTheme="minorHAnsi" w:cstheme="minorHAnsi"/>
          <w:sz w:val="26"/>
          <w:szCs w:val="26"/>
        </w:rPr>
        <w:t xml:space="preserve"> without legal assistance. The applicant avers that </w:t>
      </w:r>
      <w:r w:rsidR="00D11156" w:rsidRPr="00CD4174">
        <w:rPr>
          <w:rFonts w:asciiTheme="minorHAnsi" w:hAnsiTheme="minorHAnsi" w:cstheme="minorHAnsi"/>
          <w:i/>
          <w:sz w:val="26"/>
          <w:szCs w:val="26"/>
        </w:rPr>
        <w:t>two</w:t>
      </w:r>
      <w:r w:rsidR="00D11156" w:rsidRPr="00CD4174">
        <w:rPr>
          <w:rFonts w:asciiTheme="minorHAnsi" w:hAnsiTheme="minorHAnsi" w:cstheme="minorHAnsi"/>
          <w:sz w:val="26"/>
          <w:szCs w:val="26"/>
        </w:rPr>
        <w:t xml:space="preserve"> applications for leave to appeal were filed by him</w:t>
      </w:r>
      <w:r w:rsidR="0047200A" w:rsidRPr="00CD4174">
        <w:rPr>
          <w:rFonts w:asciiTheme="minorHAnsi" w:hAnsiTheme="minorHAnsi" w:cstheme="minorHAnsi"/>
          <w:sz w:val="26"/>
          <w:szCs w:val="26"/>
        </w:rPr>
        <w:t>, one preceding 12 July 2021 and one dated 12 July 2021</w:t>
      </w:r>
      <w:r w:rsidR="00D11156" w:rsidRPr="00CD4174">
        <w:rPr>
          <w:rFonts w:asciiTheme="minorHAnsi" w:hAnsiTheme="minorHAnsi" w:cstheme="minorHAnsi"/>
          <w:sz w:val="26"/>
          <w:szCs w:val="26"/>
        </w:rPr>
        <w:t xml:space="preserve">. </w:t>
      </w:r>
      <w:r w:rsidR="00DC1074" w:rsidRPr="00CD4174">
        <w:rPr>
          <w:rFonts w:asciiTheme="minorHAnsi" w:hAnsiTheme="minorHAnsi" w:cstheme="minorHAnsi"/>
          <w:sz w:val="26"/>
          <w:szCs w:val="26"/>
        </w:rPr>
        <w:t xml:space="preserve">The </w:t>
      </w:r>
      <w:r w:rsidR="00D11156" w:rsidRPr="00CD4174">
        <w:rPr>
          <w:rFonts w:asciiTheme="minorHAnsi" w:hAnsiTheme="minorHAnsi" w:cstheme="minorHAnsi"/>
          <w:sz w:val="26"/>
          <w:szCs w:val="26"/>
        </w:rPr>
        <w:t>application for leave to appeal</w:t>
      </w:r>
      <w:r w:rsidR="0047200A" w:rsidRPr="00CD4174">
        <w:rPr>
          <w:rFonts w:asciiTheme="minorHAnsi" w:hAnsiTheme="minorHAnsi" w:cstheme="minorHAnsi"/>
          <w:sz w:val="26"/>
          <w:szCs w:val="26"/>
        </w:rPr>
        <w:t>, which is</w:t>
      </w:r>
      <w:r w:rsidR="00DC1074" w:rsidRPr="00CD4174">
        <w:rPr>
          <w:rFonts w:asciiTheme="minorHAnsi" w:hAnsiTheme="minorHAnsi" w:cstheme="minorHAnsi"/>
          <w:sz w:val="26"/>
          <w:szCs w:val="26"/>
        </w:rPr>
        <w:t xml:space="preserve"> on file</w:t>
      </w:r>
      <w:r w:rsidR="0047200A" w:rsidRPr="00CD4174">
        <w:rPr>
          <w:rFonts w:asciiTheme="minorHAnsi" w:hAnsiTheme="minorHAnsi" w:cstheme="minorHAnsi"/>
          <w:sz w:val="26"/>
          <w:szCs w:val="26"/>
        </w:rPr>
        <w:t>,</w:t>
      </w:r>
      <w:r w:rsidR="00D11156" w:rsidRPr="00CD4174">
        <w:rPr>
          <w:rFonts w:asciiTheme="minorHAnsi" w:hAnsiTheme="minorHAnsi" w:cstheme="minorHAnsi"/>
          <w:sz w:val="26"/>
          <w:szCs w:val="26"/>
        </w:rPr>
        <w:t xml:space="preserve"> </w:t>
      </w:r>
      <w:r w:rsidR="00DC1074" w:rsidRPr="00CD4174">
        <w:rPr>
          <w:rFonts w:asciiTheme="minorHAnsi" w:hAnsiTheme="minorHAnsi" w:cstheme="minorHAnsi"/>
          <w:sz w:val="26"/>
          <w:szCs w:val="26"/>
        </w:rPr>
        <w:t xml:space="preserve">is </w:t>
      </w:r>
      <w:r w:rsidR="00D11156" w:rsidRPr="00CD4174">
        <w:rPr>
          <w:rFonts w:asciiTheme="minorHAnsi" w:hAnsiTheme="minorHAnsi" w:cstheme="minorHAnsi"/>
          <w:sz w:val="26"/>
          <w:szCs w:val="26"/>
        </w:rPr>
        <w:t>dated 1</w:t>
      </w:r>
      <w:r w:rsidR="00DC1074" w:rsidRPr="00CD4174">
        <w:rPr>
          <w:rFonts w:asciiTheme="minorHAnsi" w:hAnsiTheme="minorHAnsi" w:cstheme="minorHAnsi"/>
          <w:sz w:val="26"/>
          <w:szCs w:val="26"/>
        </w:rPr>
        <w:t>2</w:t>
      </w:r>
      <w:r w:rsidR="00D11156" w:rsidRPr="00CD4174">
        <w:rPr>
          <w:rFonts w:asciiTheme="minorHAnsi" w:hAnsiTheme="minorHAnsi" w:cstheme="minorHAnsi"/>
          <w:sz w:val="26"/>
          <w:szCs w:val="26"/>
        </w:rPr>
        <w:t xml:space="preserve"> July 2021</w:t>
      </w:r>
      <w:r w:rsidR="00DC1074" w:rsidRPr="00CD4174">
        <w:rPr>
          <w:rFonts w:asciiTheme="minorHAnsi" w:hAnsiTheme="minorHAnsi" w:cstheme="minorHAnsi"/>
          <w:sz w:val="26"/>
          <w:szCs w:val="26"/>
        </w:rPr>
        <w:t xml:space="preserve">. It </w:t>
      </w:r>
      <w:r w:rsidR="00D11156" w:rsidRPr="00CD4174">
        <w:rPr>
          <w:rFonts w:asciiTheme="minorHAnsi" w:hAnsiTheme="minorHAnsi" w:cstheme="minorHAnsi"/>
          <w:sz w:val="26"/>
          <w:szCs w:val="26"/>
        </w:rPr>
        <w:t>bears the Registrar’s stamp</w:t>
      </w:r>
      <w:r w:rsidR="0047200A" w:rsidRPr="00CD4174">
        <w:rPr>
          <w:rFonts w:asciiTheme="minorHAnsi" w:hAnsiTheme="minorHAnsi" w:cstheme="minorHAnsi"/>
          <w:sz w:val="26"/>
          <w:szCs w:val="26"/>
        </w:rPr>
        <w:t xml:space="preserve">, dated </w:t>
      </w:r>
      <w:r w:rsidR="00DC1074" w:rsidRPr="00CD4174">
        <w:rPr>
          <w:rFonts w:asciiTheme="minorHAnsi" w:hAnsiTheme="minorHAnsi" w:cstheme="minorHAnsi"/>
          <w:sz w:val="26"/>
          <w:szCs w:val="26"/>
        </w:rPr>
        <w:t>16</w:t>
      </w:r>
      <w:r w:rsidR="00D11156" w:rsidRPr="00CD4174">
        <w:rPr>
          <w:rFonts w:asciiTheme="minorHAnsi" w:hAnsiTheme="minorHAnsi" w:cstheme="minorHAnsi"/>
          <w:sz w:val="26"/>
          <w:szCs w:val="26"/>
        </w:rPr>
        <w:t xml:space="preserve"> July 2021</w:t>
      </w:r>
      <w:r w:rsidR="00DC1074" w:rsidRPr="00CD4174">
        <w:rPr>
          <w:rFonts w:asciiTheme="minorHAnsi" w:hAnsiTheme="minorHAnsi" w:cstheme="minorHAnsi"/>
          <w:sz w:val="26"/>
          <w:szCs w:val="26"/>
        </w:rPr>
        <w:t xml:space="preserve">. </w:t>
      </w:r>
      <w:r w:rsidR="0047200A" w:rsidRPr="00CD4174">
        <w:rPr>
          <w:rFonts w:asciiTheme="minorHAnsi" w:hAnsiTheme="minorHAnsi" w:cstheme="minorHAnsi"/>
          <w:sz w:val="26"/>
          <w:szCs w:val="26"/>
        </w:rPr>
        <w:t xml:space="preserve">The applicant explained on affidavit that the application dated 12 July 2021 </w:t>
      </w:r>
      <w:r w:rsidR="00DC1074" w:rsidRPr="00CD4174">
        <w:rPr>
          <w:rFonts w:asciiTheme="minorHAnsi" w:hAnsiTheme="minorHAnsi" w:cstheme="minorHAnsi"/>
          <w:sz w:val="26"/>
          <w:szCs w:val="26"/>
        </w:rPr>
        <w:t xml:space="preserve">was the second application </w:t>
      </w:r>
      <w:r w:rsidR="004940C8" w:rsidRPr="00CD4174">
        <w:rPr>
          <w:rFonts w:asciiTheme="minorHAnsi" w:hAnsiTheme="minorHAnsi" w:cstheme="minorHAnsi"/>
          <w:sz w:val="26"/>
          <w:szCs w:val="26"/>
        </w:rPr>
        <w:t xml:space="preserve">as </w:t>
      </w:r>
      <w:r w:rsidR="00DC1074" w:rsidRPr="00CD4174">
        <w:rPr>
          <w:rFonts w:asciiTheme="minorHAnsi" w:hAnsiTheme="minorHAnsi" w:cstheme="minorHAnsi"/>
          <w:sz w:val="26"/>
          <w:szCs w:val="26"/>
        </w:rPr>
        <w:t xml:space="preserve">filed by him. </w:t>
      </w:r>
      <w:r w:rsidR="00D11156" w:rsidRPr="00CD4174">
        <w:rPr>
          <w:rFonts w:asciiTheme="minorHAnsi" w:hAnsiTheme="minorHAnsi" w:cstheme="minorHAnsi"/>
          <w:sz w:val="26"/>
          <w:szCs w:val="26"/>
        </w:rPr>
        <w:t xml:space="preserve">It </w:t>
      </w:r>
      <w:r w:rsidR="00DC1074" w:rsidRPr="00CD4174">
        <w:rPr>
          <w:rFonts w:asciiTheme="minorHAnsi" w:hAnsiTheme="minorHAnsi" w:cstheme="minorHAnsi"/>
          <w:sz w:val="26"/>
          <w:szCs w:val="26"/>
        </w:rPr>
        <w:lastRenderedPageBreak/>
        <w:t>remains</w:t>
      </w:r>
      <w:r w:rsidR="00D11156" w:rsidRPr="00CD4174">
        <w:rPr>
          <w:rFonts w:asciiTheme="minorHAnsi" w:hAnsiTheme="minorHAnsi" w:cstheme="minorHAnsi"/>
          <w:sz w:val="26"/>
          <w:szCs w:val="26"/>
        </w:rPr>
        <w:t xml:space="preserve"> unclear </w:t>
      </w:r>
      <w:r w:rsidR="00DC1074" w:rsidRPr="00CD4174">
        <w:rPr>
          <w:rFonts w:asciiTheme="minorHAnsi" w:hAnsiTheme="minorHAnsi" w:cstheme="minorHAnsi"/>
          <w:sz w:val="26"/>
          <w:szCs w:val="26"/>
        </w:rPr>
        <w:t>to this court or the</w:t>
      </w:r>
      <w:r w:rsidR="0047200A" w:rsidRPr="00CD4174">
        <w:rPr>
          <w:rFonts w:asciiTheme="minorHAnsi" w:hAnsiTheme="minorHAnsi" w:cstheme="minorHAnsi"/>
          <w:sz w:val="26"/>
          <w:szCs w:val="26"/>
        </w:rPr>
        <w:t xml:space="preserve"> respective legal</w:t>
      </w:r>
      <w:r w:rsidR="00DC1074" w:rsidRPr="00CD4174">
        <w:rPr>
          <w:rFonts w:asciiTheme="minorHAnsi" w:hAnsiTheme="minorHAnsi" w:cstheme="minorHAnsi"/>
          <w:sz w:val="26"/>
          <w:szCs w:val="26"/>
        </w:rPr>
        <w:t xml:space="preserve"> representatives of the parties </w:t>
      </w:r>
      <w:r w:rsidR="00D11156" w:rsidRPr="00CD4174">
        <w:rPr>
          <w:rFonts w:asciiTheme="minorHAnsi" w:hAnsiTheme="minorHAnsi" w:cstheme="minorHAnsi"/>
          <w:sz w:val="26"/>
          <w:szCs w:val="26"/>
        </w:rPr>
        <w:t xml:space="preserve">how the matter was handled </w:t>
      </w:r>
      <w:r w:rsidR="0047200A" w:rsidRPr="00CD4174">
        <w:rPr>
          <w:rFonts w:asciiTheme="minorHAnsi" w:hAnsiTheme="minorHAnsi" w:cstheme="minorHAnsi"/>
          <w:sz w:val="26"/>
          <w:szCs w:val="26"/>
        </w:rPr>
        <w:t xml:space="preserve">both </w:t>
      </w:r>
      <w:r w:rsidR="00DC1074" w:rsidRPr="00CD4174">
        <w:rPr>
          <w:rFonts w:asciiTheme="minorHAnsi" w:hAnsiTheme="minorHAnsi" w:cstheme="minorHAnsi"/>
          <w:sz w:val="26"/>
          <w:szCs w:val="26"/>
        </w:rPr>
        <w:t xml:space="preserve">prior to 16 July 2021 </w:t>
      </w:r>
      <w:proofErr w:type="gramStart"/>
      <w:r w:rsidR="00DC1074" w:rsidRPr="00CD4174">
        <w:rPr>
          <w:rFonts w:asciiTheme="minorHAnsi" w:hAnsiTheme="minorHAnsi" w:cstheme="minorHAnsi"/>
          <w:sz w:val="26"/>
          <w:szCs w:val="26"/>
        </w:rPr>
        <w:t>or</w:t>
      </w:r>
      <w:proofErr w:type="gramEnd"/>
      <w:r w:rsidR="00DC1074" w:rsidRPr="00CD4174">
        <w:rPr>
          <w:rFonts w:asciiTheme="minorHAnsi" w:hAnsiTheme="minorHAnsi" w:cstheme="minorHAnsi"/>
          <w:sz w:val="26"/>
          <w:szCs w:val="26"/>
        </w:rPr>
        <w:t xml:space="preserve"> thereafter</w:t>
      </w:r>
      <w:r w:rsidR="004940C8" w:rsidRPr="00CD4174">
        <w:rPr>
          <w:rFonts w:asciiTheme="minorHAnsi" w:hAnsiTheme="minorHAnsi" w:cstheme="minorHAnsi"/>
          <w:sz w:val="26"/>
          <w:szCs w:val="26"/>
        </w:rPr>
        <w:t xml:space="preserve">, at least until June 2022 when I was alerted thereto, </w:t>
      </w:r>
      <w:r w:rsidR="0047200A" w:rsidRPr="00CD4174">
        <w:rPr>
          <w:rFonts w:asciiTheme="minorHAnsi" w:hAnsiTheme="minorHAnsi" w:cstheme="minorHAnsi"/>
          <w:sz w:val="26"/>
          <w:szCs w:val="26"/>
        </w:rPr>
        <w:t xml:space="preserve">an anomaly that nobody appears able to explain, least of all the applicant. </w:t>
      </w:r>
      <w:r w:rsidR="004940C8" w:rsidRPr="00CD4174">
        <w:rPr>
          <w:rFonts w:asciiTheme="minorHAnsi" w:hAnsiTheme="minorHAnsi" w:cstheme="minorHAnsi"/>
          <w:sz w:val="26"/>
          <w:szCs w:val="26"/>
        </w:rPr>
        <w:t xml:space="preserve">The application was postponed at the instance of the applicant on more than one occasion </w:t>
      </w:r>
      <w:proofErr w:type="gramStart"/>
      <w:r w:rsidR="004940C8" w:rsidRPr="00CD4174">
        <w:rPr>
          <w:rFonts w:asciiTheme="minorHAnsi" w:hAnsiTheme="minorHAnsi" w:cstheme="minorHAnsi"/>
          <w:sz w:val="26"/>
          <w:szCs w:val="26"/>
        </w:rPr>
        <w:t>in order to</w:t>
      </w:r>
      <w:proofErr w:type="gramEnd"/>
      <w:r w:rsidR="004940C8" w:rsidRPr="00CD4174">
        <w:rPr>
          <w:rFonts w:asciiTheme="minorHAnsi" w:hAnsiTheme="minorHAnsi" w:cstheme="minorHAnsi"/>
          <w:sz w:val="26"/>
          <w:szCs w:val="26"/>
        </w:rPr>
        <w:t xml:space="preserve"> procure legal assistance. The application was eventually heard in September 2022. </w:t>
      </w:r>
      <w:r w:rsidR="0047200A" w:rsidRPr="00CD4174">
        <w:rPr>
          <w:rFonts w:asciiTheme="minorHAnsi" w:hAnsiTheme="minorHAnsi" w:cstheme="minorHAnsi"/>
          <w:sz w:val="26"/>
          <w:szCs w:val="26"/>
        </w:rPr>
        <w:t xml:space="preserve">The respondent does not oppose the grant of condonation. In the peculiar circumstances of the matter, I am of the view that it is in the interests of justice to grant condonation. </w:t>
      </w:r>
    </w:p>
    <w:p w14:paraId="5485EA05" w14:textId="77777777" w:rsidR="006430AB" w:rsidRPr="006A31DA" w:rsidRDefault="006430AB" w:rsidP="006430AB">
      <w:pPr>
        <w:pStyle w:val="ListParagraph"/>
        <w:rPr>
          <w:rFonts w:asciiTheme="minorHAnsi" w:hAnsiTheme="minorHAnsi" w:cstheme="minorHAnsi"/>
          <w:sz w:val="26"/>
          <w:szCs w:val="26"/>
        </w:rPr>
      </w:pPr>
    </w:p>
    <w:p w14:paraId="306F9A62" w14:textId="79E56D8A" w:rsidR="006430AB" w:rsidRPr="00CD4174" w:rsidRDefault="00CD4174" w:rsidP="00CD4174">
      <w:pPr>
        <w:spacing w:line="360" w:lineRule="auto"/>
        <w:ind w:left="851" w:hanging="851"/>
        <w:jc w:val="both"/>
        <w:rPr>
          <w:rFonts w:asciiTheme="minorHAnsi" w:hAnsiTheme="minorHAnsi" w:cstheme="minorHAnsi"/>
          <w:sz w:val="26"/>
          <w:szCs w:val="26"/>
        </w:rPr>
      </w:pPr>
      <w:r w:rsidRPr="00A31F51">
        <w:rPr>
          <w:rFonts w:asciiTheme="minorHAnsi" w:hAnsiTheme="minorHAnsi" w:cstheme="minorHAnsi"/>
          <w:sz w:val="26"/>
          <w:szCs w:val="26"/>
        </w:rPr>
        <w:t>5.</w:t>
      </w:r>
      <w:r w:rsidRPr="00A31F51">
        <w:rPr>
          <w:rFonts w:asciiTheme="minorHAnsi" w:hAnsiTheme="minorHAnsi" w:cstheme="minorHAnsi"/>
          <w:sz w:val="26"/>
          <w:szCs w:val="26"/>
        </w:rPr>
        <w:tab/>
      </w:r>
      <w:r w:rsidR="006430AB" w:rsidRPr="00CD4174">
        <w:rPr>
          <w:rFonts w:asciiTheme="minorHAnsi" w:hAnsiTheme="minorHAnsi" w:cstheme="minorHAnsi"/>
          <w:sz w:val="26"/>
          <w:szCs w:val="26"/>
        </w:rPr>
        <w:t xml:space="preserve">In terms of section 17 of the Superior Courts Act, 10 of 2013: </w:t>
      </w:r>
    </w:p>
    <w:p w14:paraId="44826FE7" w14:textId="77777777" w:rsidR="006430AB" w:rsidRPr="006A31DA" w:rsidRDefault="006430AB" w:rsidP="006430AB">
      <w:pPr>
        <w:pStyle w:val="ListParagraph"/>
        <w:spacing w:line="360" w:lineRule="auto"/>
        <w:ind w:left="1440"/>
        <w:jc w:val="both"/>
        <w:rPr>
          <w:rFonts w:asciiTheme="minorHAnsi" w:hAnsiTheme="minorHAnsi" w:cstheme="minorHAnsi"/>
          <w:sz w:val="26"/>
          <w:szCs w:val="26"/>
        </w:rPr>
      </w:pPr>
      <w:r w:rsidRPr="006A31DA">
        <w:rPr>
          <w:rFonts w:asciiTheme="minorHAnsi" w:hAnsiTheme="minorHAnsi" w:cstheme="minorHAnsi"/>
          <w:sz w:val="26"/>
          <w:szCs w:val="26"/>
        </w:rPr>
        <w:t xml:space="preserve">“(1) Leave to appeal may only be given where the judge or judges concerned are of the opinion that - </w:t>
      </w:r>
    </w:p>
    <w:p w14:paraId="5B0BC3A3" w14:textId="3F3381C0" w:rsidR="006430AB" w:rsidRPr="00CD4174" w:rsidRDefault="00CD4174" w:rsidP="00CD4174">
      <w:pPr>
        <w:spacing w:line="360" w:lineRule="auto"/>
        <w:ind w:left="3079" w:hanging="1050"/>
        <w:jc w:val="both"/>
        <w:rPr>
          <w:rFonts w:asciiTheme="minorHAnsi" w:hAnsiTheme="minorHAnsi" w:cstheme="minorHAnsi"/>
          <w:sz w:val="26"/>
          <w:szCs w:val="26"/>
        </w:rPr>
      </w:pPr>
      <w:r w:rsidRPr="006A31DA">
        <w:rPr>
          <w:rFonts w:asciiTheme="minorHAnsi" w:hAnsiTheme="minorHAnsi" w:cstheme="minorHAnsi"/>
          <w:sz w:val="26"/>
          <w:szCs w:val="26"/>
        </w:rPr>
        <w:t>(a)</w:t>
      </w:r>
      <w:r w:rsidRPr="006A31DA">
        <w:rPr>
          <w:rFonts w:asciiTheme="minorHAnsi" w:hAnsiTheme="minorHAnsi" w:cstheme="minorHAnsi"/>
          <w:sz w:val="26"/>
          <w:szCs w:val="26"/>
        </w:rPr>
        <w:tab/>
      </w:r>
      <w:r w:rsidR="006430AB" w:rsidRPr="00CD4174">
        <w:rPr>
          <w:rFonts w:asciiTheme="minorHAnsi" w:hAnsiTheme="minorHAnsi" w:cstheme="minorHAnsi"/>
          <w:sz w:val="26"/>
          <w:szCs w:val="26"/>
        </w:rPr>
        <w:t>(</w:t>
      </w:r>
      <w:proofErr w:type="spellStart"/>
      <w:r w:rsidR="006430AB" w:rsidRPr="00CD4174">
        <w:rPr>
          <w:rFonts w:asciiTheme="minorHAnsi" w:hAnsiTheme="minorHAnsi" w:cstheme="minorHAnsi"/>
          <w:sz w:val="26"/>
          <w:szCs w:val="26"/>
        </w:rPr>
        <w:t>i</w:t>
      </w:r>
      <w:proofErr w:type="spellEnd"/>
      <w:r w:rsidR="006430AB" w:rsidRPr="00CD4174">
        <w:rPr>
          <w:rFonts w:asciiTheme="minorHAnsi" w:hAnsiTheme="minorHAnsi" w:cstheme="minorHAnsi"/>
          <w:sz w:val="26"/>
          <w:szCs w:val="26"/>
        </w:rPr>
        <w:t xml:space="preserve">) the appeal would have a reasonable prospect of success; or </w:t>
      </w:r>
    </w:p>
    <w:p w14:paraId="6D5D326F" w14:textId="77777777" w:rsidR="006430AB" w:rsidRPr="006A31DA" w:rsidRDefault="006430AB" w:rsidP="006430AB">
      <w:pPr>
        <w:pStyle w:val="ListParagraph"/>
        <w:spacing w:line="360" w:lineRule="auto"/>
        <w:ind w:left="3079"/>
        <w:jc w:val="both"/>
        <w:rPr>
          <w:rFonts w:asciiTheme="minorHAnsi" w:hAnsiTheme="minorHAnsi" w:cstheme="minorHAnsi"/>
          <w:sz w:val="26"/>
          <w:szCs w:val="26"/>
        </w:rPr>
      </w:pPr>
      <w:r w:rsidRPr="006A31DA">
        <w:rPr>
          <w:rFonts w:asciiTheme="minorHAnsi" w:hAnsiTheme="minorHAnsi" w:cstheme="minorHAnsi"/>
          <w:sz w:val="26"/>
          <w:szCs w:val="26"/>
        </w:rPr>
        <w:t xml:space="preserve">(ii) there is some other compelling reason why the appeal should be heard, including conflicting judgments on the matter under </w:t>
      </w:r>
      <w:proofErr w:type="gramStart"/>
      <w:r w:rsidRPr="006A31DA">
        <w:rPr>
          <w:rFonts w:asciiTheme="minorHAnsi" w:hAnsiTheme="minorHAnsi" w:cstheme="minorHAnsi"/>
          <w:sz w:val="26"/>
          <w:szCs w:val="26"/>
        </w:rPr>
        <w:t>consideration;</w:t>
      </w:r>
      <w:proofErr w:type="gramEnd"/>
    </w:p>
    <w:p w14:paraId="2B64AD95" w14:textId="5B7E8C12" w:rsidR="006430AB" w:rsidRPr="00CD4174" w:rsidRDefault="00CD4174" w:rsidP="00CD4174">
      <w:pPr>
        <w:spacing w:line="360" w:lineRule="auto"/>
        <w:ind w:left="3079" w:hanging="1050"/>
        <w:jc w:val="both"/>
        <w:rPr>
          <w:rFonts w:asciiTheme="minorHAnsi" w:hAnsiTheme="minorHAnsi" w:cstheme="minorHAnsi"/>
          <w:sz w:val="26"/>
          <w:szCs w:val="26"/>
        </w:rPr>
      </w:pPr>
      <w:r w:rsidRPr="006A31DA">
        <w:rPr>
          <w:rFonts w:asciiTheme="minorHAnsi" w:hAnsiTheme="minorHAnsi" w:cstheme="minorHAnsi"/>
          <w:sz w:val="26"/>
          <w:szCs w:val="26"/>
        </w:rPr>
        <w:t>(b)</w:t>
      </w:r>
      <w:r w:rsidRPr="006A31DA">
        <w:rPr>
          <w:rFonts w:asciiTheme="minorHAnsi" w:hAnsiTheme="minorHAnsi" w:cstheme="minorHAnsi"/>
          <w:sz w:val="26"/>
          <w:szCs w:val="26"/>
        </w:rPr>
        <w:tab/>
      </w:r>
      <w:r w:rsidR="006430AB" w:rsidRPr="00CD4174">
        <w:rPr>
          <w:rFonts w:asciiTheme="minorHAnsi" w:hAnsiTheme="minorHAnsi" w:cstheme="minorHAnsi"/>
          <w:sz w:val="26"/>
          <w:szCs w:val="26"/>
        </w:rPr>
        <w:t>…”</w:t>
      </w:r>
    </w:p>
    <w:p w14:paraId="5063FE47" w14:textId="77777777" w:rsidR="006430AB" w:rsidRPr="006A31DA" w:rsidRDefault="006430AB" w:rsidP="006430AB">
      <w:pPr>
        <w:pStyle w:val="ListParagraph"/>
        <w:spacing w:line="360" w:lineRule="auto"/>
        <w:rPr>
          <w:rFonts w:asciiTheme="minorHAnsi" w:hAnsiTheme="minorHAnsi" w:cstheme="minorHAnsi"/>
          <w:sz w:val="26"/>
          <w:szCs w:val="26"/>
        </w:rPr>
      </w:pPr>
    </w:p>
    <w:p w14:paraId="271EB8C5" w14:textId="611E8111" w:rsidR="006430AB" w:rsidRPr="00CD4174" w:rsidRDefault="00CD4174" w:rsidP="00CD4174">
      <w:pPr>
        <w:spacing w:line="360" w:lineRule="auto"/>
        <w:ind w:left="851" w:hanging="851"/>
        <w:jc w:val="both"/>
        <w:rPr>
          <w:rFonts w:asciiTheme="minorHAnsi" w:hAnsiTheme="minorHAnsi" w:cstheme="minorHAnsi"/>
          <w:sz w:val="26"/>
          <w:szCs w:val="26"/>
        </w:rPr>
      </w:pPr>
      <w:r w:rsidRPr="006A31DA">
        <w:rPr>
          <w:rFonts w:asciiTheme="minorHAnsi" w:hAnsiTheme="minorHAnsi" w:cstheme="minorHAnsi"/>
          <w:sz w:val="26"/>
          <w:szCs w:val="26"/>
        </w:rPr>
        <w:t>6.</w:t>
      </w:r>
      <w:r w:rsidRPr="006A31DA">
        <w:rPr>
          <w:rFonts w:asciiTheme="minorHAnsi" w:hAnsiTheme="minorHAnsi" w:cstheme="minorHAnsi"/>
          <w:sz w:val="26"/>
          <w:szCs w:val="26"/>
        </w:rPr>
        <w:tab/>
      </w:r>
      <w:r w:rsidR="006430AB" w:rsidRPr="00CD4174">
        <w:rPr>
          <w:rFonts w:asciiTheme="minorHAnsi" w:hAnsiTheme="minorHAnsi" w:cstheme="minorHAnsi"/>
          <w:sz w:val="26"/>
          <w:szCs w:val="26"/>
        </w:rPr>
        <w:t>The use of the word ‘would’ in section 17 (1)(a)(</w:t>
      </w:r>
      <w:proofErr w:type="spellStart"/>
      <w:r w:rsidR="006430AB" w:rsidRPr="00CD4174">
        <w:rPr>
          <w:rFonts w:asciiTheme="minorHAnsi" w:hAnsiTheme="minorHAnsi" w:cstheme="minorHAnsi"/>
          <w:sz w:val="26"/>
          <w:szCs w:val="26"/>
        </w:rPr>
        <w:t>i</w:t>
      </w:r>
      <w:proofErr w:type="spellEnd"/>
      <w:r w:rsidR="006430AB" w:rsidRPr="00CD4174">
        <w:rPr>
          <w:rFonts w:asciiTheme="minorHAnsi" w:hAnsiTheme="minorHAnsi" w:cstheme="minorHAnsi"/>
          <w:sz w:val="26"/>
          <w:szCs w:val="26"/>
        </w:rPr>
        <w:t xml:space="preserve">) of the Superior Courts has been held to denote </w:t>
      </w:r>
      <w:r w:rsidR="006430AB" w:rsidRPr="00CD4174">
        <w:rPr>
          <w:rFonts w:asciiTheme="minorHAnsi" w:hAnsiTheme="minorHAnsi" w:cstheme="minorHAnsi"/>
          <w:i/>
          <w:sz w:val="26"/>
          <w:szCs w:val="26"/>
        </w:rPr>
        <w:t>‘</w:t>
      </w:r>
      <w:r w:rsidR="006430AB" w:rsidRPr="00CD4174">
        <w:rPr>
          <w:rFonts w:asciiTheme="minorHAnsi" w:hAnsiTheme="minorHAnsi" w:cstheme="minorHAnsi"/>
          <w:i/>
          <w:color w:val="242121"/>
          <w:sz w:val="26"/>
          <w:szCs w:val="26"/>
          <w:shd w:val="clear" w:color="auto" w:fill="FFFFFF"/>
        </w:rPr>
        <w:t xml:space="preserve">a </w:t>
      </w:r>
      <w:r w:rsidR="006430AB" w:rsidRPr="00CD4174">
        <w:rPr>
          <w:rFonts w:asciiTheme="minorHAnsi" w:hAnsiTheme="minorHAnsi" w:cstheme="minorHAnsi"/>
          <w:i/>
          <w:iCs/>
          <w:color w:val="242121"/>
          <w:sz w:val="26"/>
          <w:szCs w:val="26"/>
          <w:shd w:val="clear" w:color="auto" w:fill="FFFFFF"/>
        </w:rPr>
        <w:t>measure o</w:t>
      </w:r>
      <w:r w:rsidR="006430AB" w:rsidRPr="00CD4174">
        <w:rPr>
          <w:rFonts w:asciiTheme="minorHAnsi" w:hAnsiTheme="minorHAnsi" w:cstheme="minorHAnsi"/>
          <w:i/>
          <w:color w:val="242121"/>
          <w:sz w:val="26"/>
          <w:szCs w:val="26"/>
          <w:shd w:val="clear" w:color="auto" w:fill="FFFFFF"/>
        </w:rPr>
        <w:t>f c</w:t>
      </w:r>
      <w:r w:rsidR="006430AB" w:rsidRPr="00CD4174">
        <w:rPr>
          <w:rFonts w:asciiTheme="minorHAnsi" w:hAnsiTheme="minorHAnsi" w:cstheme="minorHAnsi"/>
          <w:i/>
          <w:iCs/>
          <w:color w:val="242121"/>
          <w:sz w:val="26"/>
          <w:szCs w:val="26"/>
          <w:shd w:val="clear" w:color="auto" w:fill="FFFFFF"/>
        </w:rPr>
        <w:t xml:space="preserve">ertainty that another court will differ from the court </w:t>
      </w:r>
      <w:r w:rsidR="006430AB" w:rsidRPr="00CD4174">
        <w:rPr>
          <w:rFonts w:asciiTheme="minorHAnsi" w:hAnsiTheme="minorHAnsi" w:cstheme="minorHAnsi"/>
          <w:i/>
          <w:iCs/>
          <w:color w:val="242121"/>
          <w:sz w:val="26"/>
          <w:szCs w:val="26"/>
          <w:shd w:val="clear" w:color="auto" w:fill="FFFFFF"/>
        </w:rPr>
        <w:lastRenderedPageBreak/>
        <w:t>whose judgment is sought to be appealed against.’</w:t>
      </w:r>
      <w:r w:rsidR="006430AB" w:rsidRPr="006A31DA">
        <w:rPr>
          <w:rStyle w:val="FootnoteReference"/>
          <w:rFonts w:asciiTheme="minorHAnsi" w:hAnsiTheme="minorHAnsi" w:cstheme="minorHAnsi"/>
          <w:i/>
          <w:iCs/>
          <w:color w:val="242121"/>
          <w:sz w:val="26"/>
          <w:szCs w:val="26"/>
          <w:shd w:val="clear" w:color="auto" w:fill="FFFFFF"/>
        </w:rPr>
        <w:footnoteReference w:id="1"/>
      </w:r>
      <w:r w:rsidR="006430AB" w:rsidRPr="00CD4174">
        <w:rPr>
          <w:rFonts w:asciiTheme="minorHAnsi" w:hAnsiTheme="minorHAnsi" w:cstheme="minorHAnsi"/>
          <w:i/>
          <w:iCs/>
          <w:color w:val="242121"/>
          <w:sz w:val="26"/>
          <w:szCs w:val="26"/>
          <w:shd w:val="clear" w:color="auto" w:fill="FFFFFF"/>
        </w:rPr>
        <w:t xml:space="preserve"> </w:t>
      </w:r>
      <w:r w:rsidR="006430AB" w:rsidRPr="00CD4174">
        <w:rPr>
          <w:rFonts w:asciiTheme="minorHAnsi" w:hAnsiTheme="minorHAnsi" w:cstheme="minorHAnsi"/>
          <w:iCs/>
          <w:color w:val="242121"/>
          <w:sz w:val="26"/>
          <w:szCs w:val="26"/>
          <w:shd w:val="clear" w:color="auto" w:fill="FFFFFF"/>
        </w:rPr>
        <w:t xml:space="preserve"> </w:t>
      </w:r>
      <w:r w:rsidR="006430AB" w:rsidRPr="00CD4174">
        <w:rPr>
          <w:rFonts w:asciiTheme="minorHAnsi" w:hAnsiTheme="minorHAnsi" w:cstheme="minorHAnsi"/>
          <w:color w:val="000000"/>
          <w:sz w:val="26"/>
          <w:szCs w:val="26"/>
        </w:rPr>
        <w:t xml:space="preserve">Such approach was endorsed in this division in </w:t>
      </w:r>
      <w:r w:rsidR="006430AB" w:rsidRPr="00CD4174">
        <w:rPr>
          <w:rFonts w:asciiTheme="minorHAnsi" w:hAnsiTheme="minorHAnsi" w:cstheme="minorHAnsi"/>
          <w:i/>
          <w:color w:val="000000"/>
          <w:sz w:val="26"/>
          <w:szCs w:val="26"/>
        </w:rPr>
        <w:t>Acting National Director of Public Prosecutions and Others v Democratic Alliance</w:t>
      </w:r>
      <w:r w:rsidR="006430AB" w:rsidRPr="006A31DA">
        <w:rPr>
          <w:rStyle w:val="FootnoteReference"/>
          <w:rFonts w:asciiTheme="minorHAnsi" w:hAnsiTheme="minorHAnsi" w:cstheme="minorHAnsi"/>
          <w:i/>
          <w:color w:val="000000"/>
          <w:sz w:val="26"/>
          <w:szCs w:val="26"/>
        </w:rPr>
        <w:footnoteReference w:id="2"/>
      </w:r>
      <w:r w:rsidR="006430AB" w:rsidRPr="00CD4174">
        <w:rPr>
          <w:rFonts w:asciiTheme="minorHAnsi" w:hAnsiTheme="minorHAnsi" w:cstheme="minorHAnsi"/>
          <w:i/>
          <w:color w:val="000000"/>
          <w:sz w:val="26"/>
          <w:szCs w:val="26"/>
        </w:rPr>
        <w:t xml:space="preserve"> </w:t>
      </w:r>
      <w:r w:rsidR="006430AB" w:rsidRPr="00CD4174">
        <w:rPr>
          <w:rFonts w:asciiTheme="minorHAnsi" w:hAnsiTheme="minorHAnsi" w:cstheme="minorHAnsi"/>
          <w:color w:val="000000"/>
          <w:sz w:val="26"/>
          <w:szCs w:val="26"/>
        </w:rPr>
        <w:t xml:space="preserve">To this may be added, further cautionary notes sounded by the Supreme Court of Appeal in dealing with appeals: In </w:t>
      </w:r>
      <w:r w:rsidR="006430AB" w:rsidRPr="00CD4174">
        <w:rPr>
          <w:rFonts w:asciiTheme="minorHAnsi" w:hAnsiTheme="minorHAnsi" w:cstheme="minorHAnsi"/>
          <w:i/>
          <w:color w:val="000000"/>
          <w:sz w:val="26"/>
          <w:szCs w:val="26"/>
        </w:rPr>
        <w:t>S v Smith</w:t>
      </w:r>
      <w:r w:rsidR="006430AB" w:rsidRPr="00CD4174">
        <w:rPr>
          <w:rFonts w:asciiTheme="minorHAnsi" w:hAnsiTheme="minorHAnsi" w:cstheme="minorHAnsi"/>
          <w:color w:val="000000"/>
          <w:sz w:val="26"/>
          <w:szCs w:val="26"/>
        </w:rPr>
        <w:t>,</w:t>
      </w:r>
      <w:r w:rsidR="006430AB" w:rsidRPr="006A31DA">
        <w:rPr>
          <w:rStyle w:val="FootnoteReference"/>
          <w:rFonts w:asciiTheme="minorHAnsi" w:hAnsiTheme="minorHAnsi" w:cstheme="minorHAnsi"/>
          <w:color w:val="000000"/>
          <w:sz w:val="26"/>
          <w:szCs w:val="26"/>
        </w:rPr>
        <w:footnoteReference w:id="3"/>
      </w:r>
      <w:r w:rsidR="006430AB" w:rsidRPr="00CD4174">
        <w:rPr>
          <w:rFonts w:asciiTheme="minorHAnsi" w:hAnsiTheme="minorHAnsi" w:cstheme="minorHAnsi"/>
          <w:color w:val="000000"/>
          <w:sz w:val="26"/>
          <w:szCs w:val="26"/>
        </w:rPr>
        <w:t xml:space="preserve"> it was stated that in deciding whether there is a reasonable prospect of success on appeal, there must be ‘</w:t>
      </w:r>
      <w:r w:rsidR="006430AB" w:rsidRPr="00CD4174">
        <w:rPr>
          <w:rFonts w:asciiTheme="minorHAnsi" w:hAnsiTheme="minorHAnsi" w:cstheme="minorHAnsi"/>
          <w:i/>
          <w:color w:val="000000"/>
          <w:sz w:val="26"/>
          <w:szCs w:val="26"/>
        </w:rPr>
        <w:t>a sound, rational basis for the conclusion that there are prospects of success on appeal.</w:t>
      </w:r>
      <w:r w:rsidR="006430AB" w:rsidRPr="00CD4174">
        <w:rPr>
          <w:rFonts w:asciiTheme="minorHAnsi" w:hAnsiTheme="minorHAnsi" w:cstheme="minorHAnsi"/>
          <w:color w:val="000000"/>
          <w:sz w:val="26"/>
          <w:szCs w:val="26"/>
        </w:rPr>
        <w:t xml:space="preserve">’ In </w:t>
      </w:r>
      <w:proofErr w:type="spellStart"/>
      <w:r w:rsidR="006430AB" w:rsidRPr="00CD4174">
        <w:rPr>
          <w:rFonts w:asciiTheme="minorHAnsi" w:hAnsiTheme="minorHAnsi" w:cstheme="minorHAnsi"/>
          <w:i/>
          <w:color w:val="000000"/>
          <w:sz w:val="26"/>
          <w:szCs w:val="26"/>
        </w:rPr>
        <w:t>Dexgroup</w:t>
      </w:r>
      <w:proofErr w:type="spellEnd"/>
      <w:r w:rsidR="006430AB" w:rsidRPr="00CD4174">
        <w:rPr>
          <w:rFonts w:asciiTheme="minorHAnsi" w:hAnsiTheme="minorHAnsi" w:cstheme="minorHAnsi"/>
          <w:i/>
          <w:color w:val="000000"/>
          <w:sz w:val="26"/>
          <w:szCs w:val="26"/>
        </w:rPr>
        <w:t>,</w:t>
      </w:r>
      <w:r w:rsidR="006430AB" w:rsidRPr="006A31DA">
        <w:rPr>
          <w:rStyle w:val="FootnoteReference"/>
          <w:rFonts w:asciiTheme="minorHAnsi" w:hAnsiTheme="minorHAnsi" w:cstheme="minorHAnsi"/>
          <w:i/>
          <w:color w:val="000000"/>
          <w:sz w:val="26"/>
          <w:szCs w:val="26"/>
        </w:rPr>
        <w:footnoteReference w:id="4"/>
      </w:r>
      <w:r w:rsidR="006430AB" w:rsidRPr="00CD4174">
        <w:rPr>
          <w:rFonts w:asciiTheme="minorHAnsi" w:hAnsiTheme="minorHAnsi" w:cstheme="minorHAnsi"/>
          <w:i/>
          <w:color w:val="000000"/>
          <w:sz w:val="26"/>
          <w:szCs w:val="26"/>
        </w:rPr>
        <w:t xml:space="preserve"> </w:t>
      </w:r>
      <w:r w:rsidR="006430AB" w:rsidRPr="00CD4174">
        <w:rPr>
          <w:rFonts w:asciiTheme="minorHAnsi" w:hAnsiTheme="minorHAnsi" w:cstheme="minorHAnsi"/>
          <w:color w:val="000000"/>
          <w:sz w:val="26"/>
          <w:szCs w:val="26"/>
        </w:rPr>
        <w:t>the SCA cautioned that the ‘</w:t>
      </w:r>
      <w:r w:rsidR="006430AB" w:rsidRPr="00CD4174">
        <w:rPr>
          <w:rFonts w:asciiTheme="minorHAnsi" w:hAnsiTheme="minorHAnsi" w:cstheme="minorHAnsi"/>
          <w:i/>
          <w:color w:val="000000"/>
          <w:sz w:val="26"/>
          <w:szCs w:val="26"/>
        </w:rPr>
        <w:t>need to obtain leave to appeal is a valuable tool in ensuring that scarce judicial resources are not spent on appeals that lack merit.</w:t>
      </w:r>
      <w:r w:rsidR="006430AB" w:rsidRPr="00CD4174">
        <w:rPr>
          <w:rFonts w:asciiTheme="minorHAnsi" w:hAnsiTheme="minorHAnsi" w:cstheme="minorHAnsi"/>
          <w:color w:val="000000"/>
          <w:sz w:val="26"/>
          <w:szCs w:val="26"/>
        </w:rPr>
        <w:t xml:space="preserve">’ More recently, in </w:t>
      </w:r>
      <w:r w:rsidR="006430AB" w:rsidRPr="00CD4174">
        <w:rPr>
          <w:rFonts w:asciiTheme="minorHAnsi" w:hAnsiTheme="minorHAnsi" w:cstheme="minorHAnsi"/>
          <w:i/>
          <w:color w:val="000000"/>
          <w:sz w:val="26"/>
          <w:szCs w:val="26"/>
        </w:rPr>
        <w:t>Kruger v S,</w:t>
      </w:r>
      <w:r w:rsidR="006430AB">
        <w:rPr>
          <w:rStyle w:val="FootnoteReference"/>
          <w:rFonts w:asciiTheme="minorHAnsi" w:hAnsiTheme="minorHAnsi" w:cstheme="minorHAnsi"/>
          <w:i/>
          <w:color w:val="000000"/>
          <w:sz w:val="26"/>
          <w:szCs w:val="26"/>
        </w:rPr>
        <w:footnoteReference w:id="5"/>
      </w:r>
      <w:r w:rsidR="006430AB" w:rsidRPr="00CD4174">
        <w:rPr>
          <w:rFonts w:asciiTheme="minorHAnsi" w:hAnsiTheme="minorHAnsi" w:cstheme="minorHAnsi"/>
          <w:i/>
          <w:color w:val="000000"/>
          <w:sz w:val="26"/>
          <w:szCs w:val="26"/>
        </w:rPr>
        <w:t xml:space="preserve"> </w:t>
      </w:r>
      <w:r w:rsidR="006430AB" w:rsidRPr="00CD4174">
        <w:rPr>
          <w:rFonts w:asciiTheme="minorHAnsi" w:hAnsiTheme="minorHAnsi" w:cstheme="minorHAnsi"/>
          <w:color w:val="000000"/>
          <w:sz w:val="26"/>
          <w:szCs w:val="26"/>
        </w:rPr>
        <w:t>the Supreme Court of Appeal</w:t>
      </w:r>
      <w:r w:rsidR="006430AB" w:rsidRPr="00CD4174">
        <w:rPr>
          <w:rFonts w:asciiTheme="minorHAnsi" w:hAnsiTheme="minorHAnsi" w:cstheme="minorHAnsi"/>
          <w:i/>
          <w:color w:val="000000"/>
          <w:sz w:val="26"/>
          <w:szCs w:val="26"/>
        </w:rPr>
        <w:t xml:space="preserve"> </w:t>
      </w:r>
      <w:r w:rsidR="006430AB" w:rsidRPr="00CD4174">
        <w:rPr>
          <w:rFonts w:asciiTheme="minorHAnsi" w:hAnsiTheme="minorHAnsi" w:cstheme="minorHAnsi"/>
          <w:color w:val="000000"/>
          <w:sz w:val="26"/>
          <w:szCs w:val="26"/>
        </w:rPr>
        <w:t xml:space="preserve">reiterated the need for a lower court to act as a filter in ensuing that the appeal court’s time is spent only on hearing appeals that are truly deserving of its attention and that the test for the grant of leave to appeal should thus be scrupulously followed. </w:t>
      </w:r>
      <w:proofErr w:type="gramStart"/>
      <w:r w:rsidR="006430AB" w:rsidRPr="00CD4174">
        <w:rPr>
          <w:rFonts w:asciiTheme="minorHAnsi" w:hAnsiTheme="minorHAnsi" w:cstheme="minorHAnsi"/>
          <w:color w:val="000000"/>
          <w:sz w:val="26"/>
          <w:szCs w:val="26"/>
        </w:rPr>
        <w:t>In order to</w:t>
      </w:r>
      <w:proofErr w:type="gramEnd"/>
      <w:r w:rsidR="006430AB" w:rsidRPr="00CD4174">
        <w:rPr>
          <w:rFonts w:asciiTheme="minorHAnsi" w:hAnsiTheme="minorHAnsi" w:cstheme="minorHAnsi"/>
          <w:color w:val="000000"/>
          <w:sz w:val="26"/>
          <w:szCs w:val="26"/>
        </w:rPr>
        <w:t xml:space="preserve"> meet the test for the grant of leave to appeal, ‘</w:t>
      </w:r>
      <w:r w:rsidR="006430AB" w:rsidRPr="00CD4174">
        <w:rPr>
          <w:rFonts w:asciiTheme="minorHAnsi" w:hAnsiTheme="minorHAnsi" w:cstheme="minorHAnsi"/>
          <w:i/>
          <w:color w:val="000000"/>
          <w:sz w:val="26"/>
          <w:szCs w:val="26"/>
        </w:rPr>
        <w:t xml:space="preserve">more is required than the mere ‘possibility’ that another court might arrive at a different conclusion.’ </w:t>
      </w:r>
      <w:r w:rsidR="006430AB" w:rsidRPr="00CD4174">
        <w:rPr>
          <w:rFonts w:asciiTheme="minorHAnsi" w:hAnsiTheme="minorHAnsi" w:cstheme="minorHAnsi"/>
          <w:color w:val="000000"/>
          <w:sz w:val="26"/>
          <w:szCs w:val="26"/>
        </w:rPr>
        <w:t xml:space="preserve">Quoting </w:t>
      </w:r>
      <w:r w:rsidR="006430AB" w:rsidRPr="00CD4174">
        <w:rPr>
          <w:rFonts w:asciiTheme="minorHAnsi" w:hAnsiTheme="minorHAnsi" w:cstheme="minorHAnsi"/>
          <w:i/>
          <w:color w:val="000000"/>
          <w:sz w:val="26"/>
          <w:szCs w:val="26"/>
        </w:rPr>
        <w:t xml:space="preserve">S v Smith, </w:t>
      </w:r>
      <w:r w:rsidR="006430AB" w:rsidRPr="00CD4174">
        <w:rPr>
          <w:rFonts w:asciiTheme="minorHAnsi" w:hAnsiTheme="minorHAnsi" w:cstheme="minorHAnsi"/>
          <w:color w:val="000000"/>
          <w:sz w:val="26"/>
          <w:szCs w:val="26"/>
        </w:rPr>
        <w:t>the court went on to state that it is not enough that the case is arguable on appeal or not hopeless, instead the appeal must have ‘</w:t>
      </w:r>
      <w:r w:rsidR="006430AB" w:rsidRPr="00CD4174">
        <w:rPr>
          <w:rFonts w:asciiTheme="minorHAnsi" w:hAnsiTheme="minorHAnsi" w:cstheme="minorHAnsi"/>
          <w:i/>
          <w:color w:val="000000"/>
          <w:sz w:val="26"/>
          <w:szCs w:val="26"/>
        </w:rPr>
        <w:t>a realistic chance of succeeding.’</w:t>
      </w:r>
    </w:p>
    <w:p w14:paraId="60A32246" w14:textId="77777777" w:rsidR="006430AB" w:rsidRPr="004F652F" w:rsidRDefault="006430AB" w:rsidP="006430AB">
      <w:pPr>
        <w:pStyle w:val="ListParagraph"/>
        <w:rPr>
          <w:rFonts w:asciiTheme="minorHAnsi" w:hAnsiTheme="minorHAnsi" w:cstheme="minorHAnsi"/>
          <w:sz w:val="26"/>
          <w:szCs w:val="26"/>
        </w:rPr>
      </w:pPr>
    </w:p>
    <w:p w14:paraId="6D66C6EC" w14:textId="56710A60" w:rsidR="00BC3C0C" w:rsidRPr="00CD4174" w:rsidRDefault="00CD4174" w:rsidP="00CD4174">
      <w:pPr>
        <w:spacing w:line="360" w:lineRule="auto"/>
        <w:ind w:left="851" w:hanging="851"/>
        <w:jc w:val="both"/>
        <w:rPr>
          <w:rFonts w:asciiTheme="minorHAnsi" w:hAnsiTheme="minorHAnsi" w:cstheme="minorHAnsi"/>
          <w:sz w:val="26"/>
          <w:szCs w:val="26"/>
        </w:rPr>
      </w:pPr>
      <w:r>
        <w:rPr>
          <w:rFonts w:asciiTheme="minorHAnsi" w:hAnsiTheme="minorHAnsi" w:cstheme="minorHAnsi"/>
          <w:sz w:val="26"/>
          <w:szCs w:val="26"/>
        </w:rPr>
        <w:lastRenderedPageBreak/>
        <w:t>7.</w:t>
      </w:r>
      <w:r>
        <w:rPr>
          <w:rFonts w:asciiTheme="minorHAnsi" w:hAnsiTheme="minorHAnsi" w:cstheme="minorHAnsi"/>
          <w:sz w:val="26"/>
          <w:szCs w:val="26"/>
        </w:rPr>
        <w:tab/>
      </w:r>
      <w:r w:rsidR="004940C8" w:rsidRPr="00CD4174">
        <w:rPr>
          <w:rFonts w:asciiTheme="minorHAnsi" w:hAnsiTheme="minorHAnsi" w:cstheme="minorHAnsi"/>
          <w:sz w:val="26"/>
          <w:szCs w:val="26"/>
        </w:rPr>
        <w:t xml:space="preserve">The </w:t>
      </w:r>
      <w:r w:rsidR="00BC3C0C" w:rsidRPr="00CD4174">
        <w:rPr>
          <w:rFonts w:asciiTheme="minorHAnsi" w:hAnsiTheme="minorHAnsi" w:cstheme="minorHAnsi"/>
          <w:sz w:val="26"/>
          <w:szCs w:val="26"/>
        </w:rPr>
        <w:t>issues raised in the application for leave to appeal are not new or novel. They are factors I considered when I</w:t>
      </w:r>
      <w:r w:rsidR="00981B4D" w:rsidRPr="00CD4174">
        <w:rPr>
          <w:rFonts w:asciiTheme="minorHAnsi" w:hAnsiTheme="minorHAnsi" w:cstheme="minorHAnsi"/>
          <w:sz w:val="26"/>
          <w:szCs w:val="26"/>
        </w:rPr>
        <w:t xml:space="preserve"> gave a detailed judgment on conviction and the judgment on sentence. </w:t>
      </w:r>
      <w:r w:rsidR="00BC3C0C" w:rsidRPr="00CD4174">
        <w:rPr>
          <w:rFonts w:asciiTheme="minorHAnsi" w:hAnsiTheme="minorHAnsi" w:cstheme="minorHAnsi"/>
          <w:sz w:val="26"/>
          <w:szCs w:val="26"/>
        </w:rPr>
        <w:t xml:space="preserve">Although a myriad of reasons </w:t>
      </w:r>
      <w:proofErr w:type="gramStart"/>
      <w:r w:rsidR="00BC3C0C" w:rsidRPr="00CD4174">
        <w:rPr>
          <w:rFonts w:asciiTheme="minorHAnsi" w:hAnsiTheme="minorHAnsi" w:cstheme="minorHAnsi"/>
          <w:sz w:val="26"/>
          <w:szCs w:val="26"/>
        </w:rPr>
        <w:t>were</w:t>
      </w:r>
      <w:proofErr w:type="gramEnd"/>
      <w:r w:rsidR="00BC3C0C" w:rsidRPr="00CD4174">
        <w:rPr>
          <w:rFonts w:asciiTheme="minorHAnsi" w:hAnsiTheme="minorHAnsi" w:cstheme="minorHAnsi"/>
          <w:sz w:val="26"/>
          <w:szCs w:val="26"/>
        </w:rPr>
        <w:t xml:space="preserve"> proffered for why I am said to have erred in my respective judgments on conviction and sentence, essentially only two grounds were ultimately pursued at the hearing of the matter. I deal with these </w:t>
      </w:r>
      <w:r w:rsidR="00981B4D" w:rsidRPr="00CD4174">
        <w:rPr>
          <w:rFonts w:asciiTheme="minorHAnsi" w:hAnsiTheme="minorHAnsi" w:cstheme="minorHAnsi"/>
          <w:sz w:val="26"/>
          <w:szCs w:val="26"/>
        </w:rPr>
        <w:t>in turn.</w:t>
      </w:r>
      <w:r w:rsidR="00BC3C0C" w:rsidRPr="00CD4174">
        <w:rPr>
          <w:rFonts w:asciiTheme="minorHAnsi" w:hAnsiTheme="minorHAnsi" w:cstheme="minorHAnsi"/>
          <w:sz w:val="26"/>
          <w:szCs w:val="26"/>
        </w:rPr>
        <w:t xml:space="preserve"> </w:t>
      </w:r>
    </w:p>
    <w:p w14:paraId="1AEA305E" w14:textId="77777777" w:rsidR="00BC3C0C" w:rsidRPr="00BC3C0C" w:rsidRDefault="00BC3C0C" w:rsidP="00BC3C0C">
      <w:pPr>
        <w:pStyle w:val="ListParagraph"/>
        <w:rPr>
          <w:rFonts w:asciiTheme="minorHAnsi" w:hAnsiTheme="minorHAnsi" w:cstheme="minorHAnsi"/>
          <w:sz w:val="26"/>
          <w:szCs w:val="26"/>
        </w:rPr>
      </w:pPr>
    </w:p>
    <w:p w14:paraId="254E3787" w14:textId="31D2AAA1" w:rsidR="00E9648E" w:rsidRPr="00CD4174" w:rsidRDefault="00CD4174" w:rsidP="00CD4174">
      <w:pPr>
        <w:spacing w:line="360" w:lineRule="auto"/>
        <w:ind w:left="851" w:hanging="851"/>
        <w:jc w:val="both"/>
        <w:rPr>
          <w:rFonts w:asciiTheme="minorHAnsi" w:hAnsiTheme="minorHAnsi" w:cstheme="minorHAnsi"/>
          <w:sz w:val="26"/>
          <w:szCs w:val="26"/>
        </w:rPr>
      </w:pPr>
      <w:r>
        <w:rPr>
          <w:rFonts w:asciiTheme="minorHAnsi" w:hAnsiTheme="minorHAnsi" w:cstheme="minorHAnsi"/>
          <w:sz w:val="26"/>
          <w:szCs w:val="26"/>
        </w:rPr>
        <w:t>8.</w:t>
      </w:r>
      <w:r>
        <w:rPr>
          <w:rFonts w:asciiTheme="minorHAnsi" w:hAnsiTheme="minorHAnsi" w:cstheme="minorHAnsi"/>
          <w:sz w:val="26"/>
          <w:szCs w:val="26"/>
        </w:rPr>
        <w:tab/>
      </w:r>
      <w:r w:rsidR="00981B4D" w:rsidRPr="00CD4174">
        <w:rPr>
          <w:rFonts w:asciiTheme="minorHAnsi" w:hAnsiTheme="minorHAnsi" w:cstheme="minorHAnsi"/>
          <w:sz w:val="26"/>
          <w:szCs w:val="26"/>
        </w:rPr>
        <w:t xml:space="preserve">In respect of conviction, counsel for the applicant submitted at the hearing of the matter that the court should not have accepted the evidence of the state witness, Mr Katlego </w:t>
      </w:r>
      <w:proofErr w:type="spellStart"/>
      <w:r w:rsidR="00981B4D" w:rsidRPr="00CD4174">
        <w:rPr>
          <w:rFonts w:asciiTheme="minorHAnsi" w:hAnsiTheme="minorHAnsi" w:cstheme="minorHAnsi"/>
          <w:sz w:val="26"/>
          <w:szCs w:val="26"/>
        </w:rPr>
        <w:t>Mahlogo</w:t>
      </w:r>
      <w:proofErr w:type="spellEnd"/>
      <w:r w:rsidR="00981B4D" w:rsidRPr="00CD4174">
        <w:rPr>
          <w:rFonts w:asciiTheme="minorHAnsi" w:hAnsiTheme="minorHAnsi" w:cstheme="minorHAnsi"/>
          <w:sz w:val="26"/>
          <w:szCs w:val="26"/>
        </w:rPr>
        <w:t xml:space="preserve"> Mabuza</w:t>
      </w:r>
      <w:r w:rsidR="00197B01" w:rsidRPr="00CD4174">
        <w:rPr>
          <w:rFonts w:asciiTheme="minorHAnsi" w:hAnsiTheme="minorHAnsi" w:cstheme="minorHAnsi"/>
          <w:sz w:val="26"/>
          <w:szCs w:val="26"/>
        </w:rPr>
        <w:t xml:space="preserve"> (Katlego)</w:t>
      </w:r>
      <w:r w:rsidR="00E9648E" w:rsidRPr="00CD4174">
        <w:rPr>
          <w:rFonts w:asciiTheme="minorHAnsi" w:hAnsiTheme="minorHAnsi" w:cstheme="minorHAnsi"/>
          <w:sz w:val="26"/>
          <w:szCs w:val="26"/>
        </w:rPr>
        <w:t xml:space="preserve"> ‘</w:t>
      </w:r>
      <w:r w:rsidR="00E9648E" w:rsidRPr="00CD4174">
        <w:rPr>
          <w:rFonts w:asciiTheme="minorHAnsi" w:hAnsiTheme="minorHAnsi" w:cstheme="minorHAnsi"/>
          <w:i/>
          <w:sz w:val="26"/>
          <w:szCs w:val="26"/>
        </w:rPr>
        <w:t xml:space="preserve"> as he was involved in criminal activities’,</w:t>
      </w:r>
      <w:r w:rsidR="00E9648E" w:rsidRPr="00CD4174">
        <w:rPr>
          <w:rFonts w:asciiTheme="minorHAnsi" w:hAnsiTheme="minorHAnsi" w:cstheme="minorHAnsi"/>
          <w:sz w:val="26"/>
          <w:szCs w:val="26"/>
        </w:rPr>
        <w:t xml:space="preserve"> or that of Mr Julian </w:t>
      </w:r>
      <w:proofErr w:type="spellStart"/>
      <w:r w:rsidR="00E9648E" w:rsidRPr="00CD4174">
        <w:rPr>
          <w:rFonts w:asciiTheme="minorHAnsi" w:hAnsiTheme="minorHAnsi" w:cstheme="minorHAnsi"/>
          <w:sz w:val="26"/>
          <w:szCs w:val="26"/>
        </w:rPr>
        <w:t>Ntoyi</w:t>
      </w:r>
      <w:proofErr w:type="spellEnd"/>
      <w:r w:rsidR="00197B01" w:rsidRPr="00CD4174">
        <w:rPr>
          <w:rFonts w:asciiTheme="minorHAnsi" w:hAnsiTheme="minorHAnsi" w:cstheme="minorHAnsi"/>
          <w:sz w:val="26"/>
          <w:szCs w:val="26"/>
        </w:rPr>
        <w:t xml:space="preserve"> (</w:t>
      </w:r>
      <w:proofErr w:type="spellStart"/>
      <w:r w:rsidR="00197B01" w:rsidRPr="00CD4174">
        <w:rPr>
          <w:rFonts w:asciiTheme="minorHAnsi" w:hAnsiTheme="minorHAnsi" w:cstheme="minorHAnsi"/>
          <w:sz w:val="26"/>
          <w:szCs w:val="26"/>
        </w:rPr>
        <w:t>Ntoyi</w:t>
      </w:r>
      <w:proofErr w:type="spellEnd"/>
      <w:r w:rsidR="00197B01" w:rsidRPr="00CD4174">
        <w:rPr>
          <w:rFonts w:asciiTheme="minorHAnsi" w:hAnsiTheme="minorHAnsi" w:cstheme="minorHAnsi"/>
          <w:sz w:val="26"/>
          <w:szCs w:val="26"/>
        </w:rPr>
        <w:t>)</w:t>
      </w:r>
      <w:r w:rsidR="00E9648E" w:rsidRPr="00CD4174">
        <w:rPr>
          <w:rFonts w:asciiTheme="minorHAnsi" w:hAnsiTheme="minorHAnsi" w:cstheme="minorHAnsi"/>
          <w:sz w:val="26"/>
          <w:szCs w:val="26"/>
        </w:rPr>
        <w:t xml:space="preserve"> ‘</w:t>
      </w:r>
      <w:r w:rsidR="00E9648E" w:rsidRPr="00CD4174">
        <w:rPr>
          <w:rFonts w:asciiTheme="minorHAnsi" w:hAnsiTheme="minorHAnsi" w:cstheme="minorHAnsi"/>
          <w:i/>
          <w:sz w:val="26"/>
          <w:szCs w:val="26"/>
        </w:rPr>
        <w:t>because he had reason to fabricate his evidence and changed his version because he was scared of going to prison for this matter</w:t>
      </w:r>
      <w:r w:rsidR="00981B4D" w:rsidRPr="00CD4174">
        <w:rPr>
          <w:rFonts w:asciiTheme="minorHAnsi" w:hAnsiTheme="minorHAnsi" w:cstheme="minorHAnsi"/>
          <w:sz w:val="26"/>
          <w:szCs w:val="26"/>
        </w:rPr>
        <w:t>.</w:t>
      </w:r>
      <w:r w:rsidR="00E9648E" w:rsidRPr="00CD4174">
        <w:rPr>
          <w:rFonts w:asciiTheme="minorHAnsi" w:hAnsiTheme="minorHAnsi" w:cstheme="minorHAnsi"/>
          <w:sz w:val="26"/>
          <w:szCs w:val="26"/>
        </w:rPr>
        <w:t xml:space="preserve">’ The argument concluded with the submission that the court </w:t>
      </w:r>
      <w:proofErr w:type="gramStart"/>
      <w:r w:rsidR="00E9648E" w:rsidRPr="00CD4174">
        <w:rPr>
          <w:rFonts w:asciiTheme="minorHAnsi" w:hAnsiTheme="minorHAnsi" w:cstheme="minorHAnsi"/>
          <w:sz w:val="26"/>
          <w:szCs w:val="26"/>
        </w:rPr>
        <w:t>‘</w:t>
      </w:r>
      <w:r w:rsidR="00E9648E" w:rsidRPr="00CD4174">
        <w:rPr>
          <w:rFonts w:asciiTheme="minorHAnsi" w:hAnsiTheme="minorHAnsi" w:cstheme="minorHAnsi"/>
          <w:i/>
          <w:sz w:val="26"/>
          <w:szCs w:val="26"/>
        </w:rPr>
        <w:t xml:space="preserve"> should</w:t>
      </w:r>
      <w:proofErr w:type="gramEnd"/>
      <w:r w:rsidR="00E9648E" w:rsidRPr="00CD4174">
        <w:rPr>
          <w:rFonts w:asciiTheme="minorHAnsi" w:hAnsiTheme="minorHAnsi" w:cstheme="minorHAnsi"/>
          <w:i/>
          <w:sz w:val="26"/>
          <w:szCs w:val="26"/>
        </w:rPr>
        <w:t xml:space="preserve"> have accepted [the applicant’s evidence] </w:t>
      </w:r>
      <w:r w:rsidR="00197B01" w:rsidRPr="00CD4174">
        <w:rPr>
          <w:rFonts w:asciiTheme="minorHAnsi" w:hAnsiTheme="minorHAnsi" w:cstheme="minorHAnsi"/>
          <w:i/>
          <w:sz w:val="26"/>
          <w:szCs w:val="26"/>
        </w:rPr>
        <w:t>that he had dropped the decease</w:t>
      </w:r>
      <w:r w:rsidR="00E9648E" w:rsidRPr="00CD4174">
        <w:rPr>
          <w:rFonts w:asciiTheme="minorHAnsi" w:hAnsiTheme="minorHAnsi" w:cstheme="minorHAnsi"/>
          <w:i/>
          <w:sz w:val="26"/>
          <w:szCs w:val="26"/>
        </w:rPr>
        <w:t>d off [whilst she was unharmed and alive] and that he was therefore not responsible for her murder.’</w:t>
      </w:r>
      <w:r w:rsidR="00981B4D" w:rsidRPr="00CD4174">
        <w:rPr>
          <w:rFonts w:asciiTheme="minorHAnsi" w:hAnsiTheme="minorHAnsi" w:cstheme="minorHAnsi"/>
          <w:sz w:val="26"/>
          <w:szCs w:val="26"/>
        </w:rPr>
        <w:t xml:space="preserve"> </w:t>
      </w:r>
    </w:p>
    <w:p w14:paraId="44B5046B" w14:textId="77777777" w:rsidR="00E9648E" w:rsidRPr="00E9648E" w:rsidRDefault="00E9648E" w:rsidP="00E9648E">
      <w:pPr>
        <w:pStyle w:val="ListParagraph"/>
        <w:rPr>
          <w:rFonts w:asciiTheme="minorHAnsi" w:hAnsiTheme="minorHAnsi" w:cstheme="minorHAnsi"/>
          <w:sz w:val="26"/>
          <w:szCs w:val="26"/>
        </w:rPr>
      </w:pPr>
    </w:p>
    <w:p w14:paraId="6F77568F" w14:textId="0F0699B3" w:rsidR="006430AB" w:rsidRPr="00CD4174" w:rsidRDefault="00CD4174" w:rsidP="00CD4174">
      <w:pPr>
        <w:spacing w:line="360" w:lineRule="auto"/>
        <w:ind w:left="851" w:hanging="851"/>
        <w:jc w:val="both"/>
        <w:rPr>
          <w:rFonts w:asciiTheme="minorHAnsi" w:hAnsiTheme="minorHAnsi" w:cstheme="minorHAnsi"/>
          <w:sz w:val="26"/>
          <w:szCs w:val="26"/>
        </w:rPr>
      </w:pPr>
      <w:r w:rsidRPr="006A31DA">
        <w:rPr>
          <w:rFonts w:asciiTheme="minorHAnsi" w:hAnsiTheme="minorHAnsi" w:cstheme="minorHAnsi"/>
          <w:sz w:val="26"/>
          <w:szCs w:val="26"/>
        </w:rPr>
        <w:t>9.</w:t>
      </w:r>
      <w:r w:rsidRPr="006A31DA">
        <w:rPr>
          <w:rFonts w:asciiTheme="minorHAnsi" w:hAnsiTheme="minorHAnsi" w:cstheme="minorHAnsi"/>
          <w:sz w:val="26"/>
          <w:szCs w:val="26"/>
        </w:rPr>
        <w:tab/>
      </w:r>
      <w:r w:rsidR="00E9648E" w:rsidRPr="00CD4174">
        <w:rPr>
          <w:rFonts w:asciiTheme="minorHAnsi" w:hAnsiTheme="minorHAnsi" w:cstheme="minorHAnsi"/>
          <w:sz w:val="26"/>
          <w:szCs w:val="26"/>
        </w:rPr>
        <w:t xml:space="preserve">Katlego’s </w:t>
      </w:r>
      <w:r w:rsidR="00981B4D" w:rsidRPr="00CD4174">
        <w:rPr>
          <w:rFonts w:asciiTheme="minorHAnsi" w:hAnsiTheme="minorHAnsi" w:cstheme="minorHAnsi"/>
          <w:sz w:val="26"/>
          <w:szCs w:val="26"/>
        </w:rPr>
        <w:t xml:space="preserve">evidence is </w:t>
      </w:r>
      <w:r w:rsidR="00E9648E" w:rsidRPr="00CD4174">
        <w:rPr>
          <w:rFonts w:asciiTheme="minorHAnsi" w:hAnsiTheme="minorHAnsi" w:cstheme="minorHAnsi"/>
          <w:sz w:val="26"/>
          <w:szCs w:val="26"/>
        </w:rPr>
        <w:t xml:space="preserve">set out </w:t>
      </w:r>
      <w:r w:rsidR="00981B4D" w:rsidRPr="00CD4174">
        <w:rPr>
          <w:rFonts w:asciiTheme="minorHAnsi" w:hAnsiTheme="minorHAnsi" w:cstheme="minorHAnsi"/>
          <w:sz w:val="26"/>
          <w:szCs w:val="26"/>
        </w:rPr>
        <w:t>in paragraphs 17 to 39 of the judgment on convictio</w:t>
      </w:r>
      <w:r w:rsidR="00E9648E" w:rsidRPr="00CD4174">
        <w:rPr>
          <w:rFonts w:asciiTheme="minorHAnsi" w:hAnsiTheme="minorHAnsi" w:cstheme="minorHAnsi"/>
          <w:sz w:val="26"/>
          <w:szCs w:val="26"/>
        </w:rPr>
        <w:t>n</w:t>
      </w:r>
      <w:r w:rsidR="00981B4D" w:rsidRPr="00CD4174">
        <w:rPr>
          <w:rFonts w:asciiTheme="minorHAnsi" w:hAnsiTheme="minorHAnsi" w:cstheme="minorHAnsi"/>
          <w:sz w:val="26"/>
          <w:szCs w:val="26"/>
        </w:rPr>
        <w:t xml:space="preserve">. His pivotal evidence, it will be recalled, was that he witnessed the lifeless body of the deceased in the applicant’s vehicle in the early hours of the morning on 9 October 2016, contrary to the applicant’s version that he had dropped the deceased off in </w:t>
      </w:r>
      <w:proofErr w:type="spellStart"/>
      <w:r w:rsidR="00981B4D" w:rsidRPr="00CD4174">
        <w:rPr>
          <w:rFonts w:asciiTheme="minorHAnsi" w:hAnsiTheme="minorHAnsi" w:cstheme="minorHAnsi"/>
          <w:sz w:val="26"/>
          <w:szCs w:val="26"/>
        </w:rPr>
        <w:t>Finetown</w:t>
      </w:r>
      <w:proofErr w:type="spellEnd"/>
      <w:r w:rsidR="00981B4D" w:rsidRPr="00CD4174">
        <w:rPr>
          <w:rFonts w:asciiTheme="minorHAnsi" w:hAnsiTheme="minorHAnsi" w:cstheme="minorHAnsi"/>
          <w:sz w:val="26"/>
          <w:szCs w:val="26"/>
        </w:rPr>
        <w:t xml:space="preserve"> during the evening of 8 October 2016, </w:t>
      </w:r>
      <w:r w:rsidR="00A95C5A" w:rsidRPr="00CD4174">
        <w:rPr>
          <w:rFonts w:asciiTheme="minorHAnsi" w:hAnsiTheme="minorHAnsi" w:cstheme="minorHAnsi"/>
          <w:sz w:val="26"/>
          <w:szCs w:val="26"/>
        </w:rPr>
        <w:t>when</w:t>
      </w:r>
      <w:r w:rsidR="00981B4D" w:rsidRPr="00CD4174">
        <w:rPr>
          <w:rFonts w:asciiTheme="minorHAnsi" w:hAnsiTheme="minorHAnsi" w:cstheme="minorHAnsi"/>
          <w:sz w:val="26"/>
          <w:szCs w:val="26"/>
        </w:rPr>
        <w:t xml:space="preserve"> she was </w:t>
      </w:r>
      <w:r w:rsidR="00A95C5A" w:rsidRPr="00CD4174">
        <w:rPr>
          <w:rFonts w:asciiTheme="minorHAnsi" w:hAnsiTheme="minorHAnsi" w:cstheme="minorHAnsi"/>
          <w:sz w:val="26"/>
          <w:szCs w:val="26"/>
        </w:rPr>
        <w:t xml:space="preserve">uninjured and </w:t>
      </w:r>
      <w:r w:rsidR="00981B4D" w:rsidRPr="00CD4174">
        <w:rPr>
          <w:rFonts w:asciiTheme="minorHAnsi" w:hAnsiTheme="minorHAnsi" w:cstheme="minorHAnsi"/>
          <w:sz w:val="26"/>
          <w:szCs w:val="26"/>
        </w:rPr>
        <w:t>alive, never to see her again. Katlego witnessed injuries on the body of the deceased at the time</w:t>
      </w:r>
      <w:r w:rsidR="00A95C5A" w:rsidRPr="00CD4174">
        <w:rPr>
          <w:rFonts w:asciiTheme="minorHAnsi" w:hAnsiTheme="minorHAnsi" w:cstheme="minorHAnsi"/>
          <w:sz w:val="26"/>
          <w:szCs w:val="26"/>
        </w:rPr>
        <w:t xml:space="preserve"> (many hours after the applicant had allegedly dropped the deceased off in </w:t>
      </w:r>
      <w:proofErr w:type="spellStart"/>
      <w:r w:rsidR="00A95C5A" w:rsidRPr="00CD4174">
        <w:rPr>
          <w:rFonts w:asciiTheme="minorHAnsi" w:hAnsiTheme="minorHAnsi" w:cstheme="minorHAnsi"/>
          <w:sz w:val="26"/>
          <w:szCs w:val="26"/>
        </w:rPr>
        <w:t>Finetown</w:t>
      </w:r>
      <w:proofErr w:type="spellEnd"/>
      <w:r w:rsidR="00A95C5A" w:rsidRPr="00CD4174">
        <w:rPr>
          <w:rFonts w:asciiTheme="minorHAnsi" w:hAnsiTheme="minorHAnsi" w:cstheme="minorHAnsi"/>
          <w:sz w:val="26"/>
          <w:szCs w:val="26"/>
        </w:rPr>
        <w:t>)</w:t>
      </w:r>
      <w:r w:rsidR="00981B4D" w:rsidRPr="00CD4174">
        <w:rPr>
          <w:rFonts w:asciiTheme="minorHAnsi" w:hAnsiTheme="minorHAnsi" w:cstheme="minorHAnsi"/>
          <w:sz w:val="26"/>
          <w:szCs w:val="26"/>
        </w:rPr>
        <w:t xml:space="preserve"> which were consistent with the injuries described in the post-mortem report, which </w:t>
      </w:r>
      <w:r w:rsidR="00A95C5A" w:rsidRPr="00CD4174">
        <w:rPr>
          <w:rFonts w:asciiTheme="minorHAnsi" w:hAnsiTheme="minorHAnsi" w:cstheme="minorHAnsi"/>
          <w:sz w:val="26"/>
          <w:szCs w:val="26"/>
        </w:rPr>
        <w:t xml:space="preserve">report </w:t>
      </w:r>
      <w:r w:rsidR="00981B4D" w:rsidRPr="00CD4174">
        <w:rPr>
          <w:rFonts w:asciiTheme="minorHAnsi" w:hAnsiTheme="minorHAnsi" w:cstheme="minorHAnsi"/>
          <w:sz w:val="26"/>
          <w:szCs w:val="26"/>
        </w:rPr>
        <w:t xml:space="preserve">was </w:t>
      </w:r>
      <w:r w:rsidR="00E9648E" w:rsidRPr="00CD4174">
        <w:rPr>
          <w:rFonts w:asciiTheme="minorHAnsi" w:hAnsiTheme="minorHAnsi" w:cstheme="minorHAnsi"/>
          <w:sz w:val="26"/>
          <w:szCs w:val="26"/>
        </w:rPr>
        <w:t>not in dispute</w:t>
      </w:r>
      <w:r w:rsidR="00981B4D" w:rsidRPr="00CD4174">
        <w:rPr>
          <w:rFonts w:asciiTheme="minorHAnsi" w:hAnsiTheme="minorHAnsi" w:cstheme="minorHAnsi"/>
          <w:sz w:val="26"/>
          <w:szCs w:val="26"/>
        </w:rPr>
        <w:t>.</w:t>
      </w:r>
      <w:r w:rsidR="00E9648E" w:rsidRPr="00CD4174">
        <w:rPr>
          <w:rFonts w:asciiTheme="minorHAnsi" w:hAnsiTheme="minorHAnsi" w:cstheme="minorHAnsi"/>
          <w:sz w:val="26"/>
          <w:szCs w:val="26"/>
        </w:rPr>
        <w:t xml:space="preserve"> </w:t>
      </w:r>
      <w:r w:rsidR="00E9648E" w:rsidRPr="00CD4174">
        <w:rPr>
          <w:rFonts w:asciiTheme="minorHAnsi" w:hAnsiTheme="minorHAnsi" w:cstheme="minorHAnsi"/>
          <w:sz w:val="26"/>
          <w:szCs w:val="26"/>
        </w:rPr>
        <w:lastRenderedPageBreak/>
        <w:t>He witnessed the applicant trying to resuscitate the deceased on that occasion, however, without success.</w:t>
      </w:r>
      <w:r w:rsidR="00316391" w:rsidRPr="00CD4174">
        <w:rPr>
          <w:rFonts w:asciiTheme="minorHAnsi" w:hAnsiTheme="minorHAnsi" w:cstheme="minorHAnsi"/>
          <w:sz w:val="26"/>
          <w:szCs w:val="26"/>
        </w:rPr>
        <w:t xml:space="preserve"> </w:t>
      </w:r>
      <w:proofErr w:type="spellStart"/>
      <w:r w:rsidR="00316391" w:rsidRPr="00CD4174">
        <w:rPr>
          <w:rFonts w:asciiTheme="minorHAnsi" w:hAnsiTheme="minorHAnsi" w:cstheme="minorHAnsi"/>
          <w:sz w:val="26"/>
          <w:szCs w:val="26"/>
        </w:rPr>
        <w:t>Ntoyi’s</w:t>
      </w:r>
      <w:proofErr w:type="spellEnd"/>
      <w:r w:rsidR="00316391" w:rsidRPr="00CD4174">
        <w:rPr>
          <w:rFonts w:asciiTheme="minorHAnsi" w:hAnsiTheme="minorHAnsi" w:cstheme="minorHAnsi"/>
          <w:sz w:val="26"/>
          <w:szCs w:val="26"/>
        </w:rPr>
        <w:t xml:space="preserve"> evidence is set out in paragraphs 40 to 70 of the judgment. The court’s evaluation of the evidence of these witnesses is contained in paragraphs 248 to </w:t>
      </w:r>
      <w:proofErr w:type="spellStart"/>
      <w:r w:rsidR="00316391" w:rsidRPr="00CD4174">
        <w:rPr>
          <w:rFonts w:asciiTheme="minorHAnsi" w:hAnsiTheme="minorHAnsi" w:cstheme="minorHAnsi"/>
          <w:sz w:val="26"/>
          <w:szCs w:val="26"/>
        </w:rPr>
        <w:t>to</w:t>
      </w:r>
      <w:proofErr w:type="spellEnd"/>
      <w:r w:rsidR="00316391" w:rsidRPr="00CD4174">
        <w:rPr>
          <w:rFonts w:asciiTheme="minorHAnsi" w:hAnsiTheme="minorHAnsi" w:cstheme="minorHAnsi"/>
          <w:sz w:val="26"/>
          <w:szCs w:val="26"/>
        </w:rPr>
        <w:t xml:space="preserve"> 254 of the judgment. Both </w:t>
      </w:r>
      <w:r w:rsidR="00E9648E" w:rsidRPr="00CD4174">
        <w:rPr>
          <w:rFonts w:asciiTheme="minorHAnsi" w:hAnsiTheme="minorHAnsi" w:cstheme="minorHAnsi"/>
          <w:sz w:val="26"/>
          <w:szCs w:val="26"/>
        </w:rPr>
        <w:t xml:space="preserve">Katlego </w:t>
      </w:r>
      <w:r w:rsidR="00316391" w:rsidRPr="00CD4174">
        <w:rPr>
          <w:rFonts w:asciiTheme="minorHAnsi" w:hAnsiTheme="minorHAnsi" w:cstheme="minorHAnsi"/>
          <w:sz w:val="26"/>
          <w:szCs w:val="26"/>
        </w:rPr>
        <w:t xml:space="preserve">and </w:t>
      </w:r>
      <w:proofErr w:type="spellStart"/>
      <w:r w:rsidR="00316391" w:rsidRPr="00CD4174">
        <w:rPr>
          <w:rFonts w:asciiTheme="minorHAnsi" w:hAnsiTheme="minorHAnsi" w:cstheme="minorHAnsi"/>
          <w:sz w:val="26"/>
          <w:szCs w:val="26"/>
        </w:rPr>
        <w:t>Ntoyi</w:t>
      </w:r>
      <w:proofErr w:type="spellEnd"/>
      <w:r w:rsidR="00316391" w:rsidRPr="00CD4174">
        <w:rPr>
          <w:rFonts w:asciiTheme="minorHAnsi" w:hAnsiTheme="minorHAnsi" w:cstheme="minorHAnsi"/>
          <w:sz w:val="26"/>
          <w:szCs w:val="26"/>
        </w:rPr>
        <w:t xml:space="preserve"> were found to be credible witnesses, whilst the accused was not. The accused’s version was riddled with contradictions. These are dealt with in paragraphs 259 to 271 and 274. The </w:t>
      </w:r>
      <w:proofErr w:type="gramStart"/>
      <w:r w:rsidR="00316391" w:rsidRPr="00CD4174">
        <w:rPr>
          <w:rFonts w:asciiTheme="minorHAnsi" w:hAnsiTheme="minorHAnsi" w:cstheme="minorHAnsi"/>
          <w:sz w:val="26"/>
          <w:szCs w:val="26"/>
        </w:rPr>
        <w:t>ultimate conclusion</w:t>
      </w:r>
      <w:proofErr w:type="gramEnd"/>
      <w:r w:rsidR="00316391" w:rsidRPr="00CD4174">
        <w:rPr>
          <w:rFonts w:asciiTheme="minorHAnsi" w:hAnsiTheme="minorHAnsi" w:cstheme="minorHAnsi"/>
          <w:sz w:val="26"/>
          <w:szCs w:val="26"/>
        </w:rPr>
        <w:t>, namely that the accused’s version was not reasonable possibly true, was reached on a consideration of the totality of the evidence, including DNA evidence that confirmed that the applicant’s semen was found in the deceased’s body.</w:t>
      </w:r>
      <w:r w:rsidR="00A95C5A">
        <w:rPr>
          <w:rStyle w:val="FootnoteReference"/>
          <w:rFonts w:asciiTheme="minorHAnsi" w:hAnsiTheme="minorHAnsi" w:cstheme="minorHAnsi"/>
          <w:sz w:val="26"/>
          <w:szCs w:val="26"/>
        </w:rPr>
        <w:footnoteReference w:id="6"/>
      </w:r>
      <w:r w:rsidR="00316391" w:rsidRPr="00CD4174">
        <w:rPr>
          <w:rFonts w:asciiTheme="minorHAnsi" w:hAnsiTheme="minorHAnsi" w:cstheme="minorHAnsi"/>
          <w:sz w:val="26"/>
          <w:szCs w:val="26"/>
        </w:rPr>
        <w:t xml:space="preserve"> </w:t>
      </w:r>
      <w:r w:rsidR="00E9648E" w:rsidRPr="00CD4174">
        <w:rPr>
          <w:rFonts w:asciiTheme="minorHAnsi" w:hAnsiTheme="minorHAnsi" w:cstheme="minorHAnsi"/>
          <w:sz w:val="26"/>
          <w:szCs w:val="26"/>
        </w:rPr>
        <w:t xml:space="preserve"> </w:t>
      </w:r>
    </w:p>
    <w:p w14:paraId="5040960C" w14:textId="77777777" w:rsidR="006430AB" w:rsidRPr="006A31DA" w:rsidRDefault="006430AB" w:rsidP="006430AB">
      <w:pPr>
        <w:pStyle w:val="ListParagraph"/>
        <w:rPr>
          <w:rFonts w:asciiTheme="minorHAnsi" w:hAnsiTheme="minorHAnsi" w:cstheme="minorHAnsi"/>
          <w:sz w:val="26"/>
          <w:szCs w:val="26"/>
        </w:rPr>
      </w:pPr>
    </w:p>
    <w:p w14:paraId="58C92BFD" w14:textId="191D6ADE" w:rsidR="006430AB" w:rsidRPr="00CD4174" w:rsidRDefault="00CD4174" w:rsidP="00CD4174">
      <w:pPr>
        <w:spacing w:line="360" w:lineRule="auto"/>
        <w:ind w:left="851" w:hanging="851"/>
        <w:jc w:val="both"/>
        <w:rPr>
          <w:rFonts w:asciiTheme="minorHAnsi" w:hAnsiTheme="minorHAnsi" w:cstheme="minorHAnsi"/>
          <w:sz w:val="26"/>
          <w:szCs w:val="26"/>
        </w:rPr>
      </w:pPr>
      <w:r>
        <w:rPr>
          <w:rFonts w:asciiTheme="minorHAnsi" w:hAnsiTheme="minorHAnsi" w:cstheme="minorHAnsi"/>
          <w:sz w:val="26"/>
          <w:szCs w:val="26"/>
        </w:rPr>
        <w:t>10.</w:t>
      </w:r>
      <w:r>
        <w:rPr>
          <w:rFonts w:asciiTheme="minorHAnsi" w:hAnsiTheme="minorHAnsi" w:cstheme="minorHAnsi"/>
          <w:sz w:val="26"/>
          <w:szCs w:val="26"/>
        </w:rPr>
        <w:tab/>
      </w:r>
      <w:r w:rsidR="00A95C5A" w:rsidRPr="00CD4174">
        <w:rPr>
          <w:rFonts w:asciiTheme="minorHAnsi" w:hAnsiTheme="minorHAnsi" w:cstheme="minorHAnsi"/>
          <w:sz w:val="26"/>
          <w:szCs w:val="26"/>
        </w:rPr>
        <w:t xml:space="preserve">In respect of sentence, counsel for the applicant submitted that the court should have </w:t>
      </w:r>
      <w:proofErr w:type="gramStart"/>
      <w:r w:rsidR="00A95C5A" w:rsidRPr="00CD4174">
        <w:rPr>
          <w:rFonts w:asciiTheme="minorHAnsi" w:hAnsiTheme="minorHAnsi" w:cstheme="minorHAnsi"/>
          <w:sz w:val="26"/>
          <w:szCs w:val="26"/>
        </w:rPr>
        <w:t>taken into account</w:t>
      </w:r>
      <w:proofErr w:type="gramEnd"/>
      <w:r w:rsidR="00A95C5A" w:rsidRPr="00CD4174">
        <w:rPr>
          <w:rFonts w:asciiTheme="minorHAnsi" w:hAnsiTheme="minorHAnsi" w:cstheme="minorHAnsi"/>
          <w:sz w:val="26"/>
          <w:szCs w:val="26"/>
        </w:rPr>
        <w:t xml:space="preserve"> that the applicant had spent four years in prison whilst awaiting trial</w:t>
      </w:r>
      <w:r w:rsidR="006430AB" w:rsidRPr="00CD4174">
        <w:rPr>
          <w:rFonts w:asciiTheme="minorHAnsi" w:hAnsiTheme="minorHAnsi" w:cstheme="minorHAnsi"/>
          <w:sz w:val="26"/>
          <w:szCs w:val="26"/>
        </w:rPr>
        <w:t>.</w:t>
      </w:r>
      <w:r w:rsidR="00A95C5A" w:rsidRPr="00CD4174">
        <w:rPr>
          <w:rFonts w:asciiTheme="minorHAnsi" w:hAnsiTheme="minorHAnsi" w:cstheme="minorHAnsi"/>
          <w:sz w:val="26"/>
          <w:szCs w:val="26"/>
        </w:rPr>
        <w:t xml:space="preserve"> The judgment on sentence records that this issue was duly considered.</w:t>
      </w:r>
      <w:r w:rsidR="00A95C5A">
        <w:rPr>
          <w:rStyle w:val="FootnoteReference"/>
          <w:rFonts w:asciiTheme="minorHAnsi" w:hAnsiTheme="minorHAnsi" w:cstheme="minorHAnsi"/>
          <w:sz w:val="26"/>
          <w:szCs w:val="26"/>
        </w:rPr>
        <w:footnoteReference w:id="7"/>
      </w:r>
      <w:r w:rsidR="00DA0095" w:rsidRPr="00CD4174">
        <w:rPr>
          <w:rFonts w:asciiTheme="minorHAnsi" w:hAnsiTheme="minorHAnsi" w:cstheme="minorHAnsi"/>
          <w:sz w:val="26"/>
          <w:szCs w:val="26"/>
        </w:rPr>
        <w:t xml:space="preserve"> </w:t>
      </w:r>
      <w:r w:rsidR="00197B01" w:rsidRPr="00CD4174">
        <w:rPr>
          <w:rFonts w:asciiTheme="minorHAnsi" w:hAnsiTheme="minorHAnsi" w:cstheme="minorHAnsi"/>
          <w:sz w:val="26"/>
          <w:szCs w:val="26"/>
        </w:rPr>
        <w:t>No</w:t>
      </w:r>
      <w:r w:rsidR="00A95C5A" w:rsidRPr="00CD4174">
        <w:rPr>
          <w:rFonts w:asciiTheme="minorHAnsi" w:hAnsiTheme="minorHAnsi" w:cstheme="minorHAnsi"/>
          <w:sz w:val="26"/>
          <w:szCs w:val="26"/>
        </w:rPr>
        <w:t xml:space="preserve"> substantial or compelling reasons were found that would warrant a departure from the prescribed minimum sentence for murder, being life imprisonment</w:t>
      </w:r>
      <w:r w:rsidR="00DA0095" w:rsidRPr="00CD4174">
        <w:rPr>
          <w:rFonts w:asciiTheme="minorHAnsi" w:hAnsiTheme="minorHAnsi" w:cstheme="minorHAnsi"/>
          <w:sz w:val="26"/>
          <w:szCs w:val="26"/>
        </w:rPr>
        <w:t>. It was further submitted that the court should have attached more weight to the fact that the applicant has eight children whom he is responsible for supporting and that long term imprisonment will have a negative effect on his responsibilities as a father.</w:t>
      </w:r>
      <w:r w:rsidR="00F30FD7" w:rsidRPr="00CD4174">
        <w:rPr>
          <w:rFonts w:asciiTheme="minorHAnsi" w:hAnsiTheme="minorHAnsi" w:cstheme="minorHAnsi"/>
          <w:sz w:val="26"/>
          <w:szCs w:val="26"/>
        </w:rPr>
        <w:t xml:space="preserve"> This factor was duly considered by me, as is apparent from the contents of paragraph 12 of the judgment on sentence, as further evaluated in paragraph 13 of the judgment on sentence.</w:t>
      </w:r>
      <w:r w:rsidR="00A95C5A" w:rsidRPr="00CD4174">
        <w:rPr>
          <w:rFonts w:asciiTheme="minorHAnsi" w:hAnsiTheme="minorHAnsi" w:cstheme="minorHAnsi"/>
          <w:sz w:val="26"/>
          <w:szCs w:val="26"/>
        </w:rPr>
        <w:t xml:space="preserve"> </w:t>
      </w:r>
    </w:p>
    <w:p w14:paraId="38A97CC0" w14:textId="77777777" w:rsidR="006430AB" w:rsidRDefault="006430AB" w:rsidP="006430AB">
      <w:pPr>
        <w:pStyle w:val="ListParagraph"/>
        <w:rPr>
          <w:rFonts w:asciiTheme="minorHAnsi" w:hAnsiTheme="minorHAnsi" w:cstheme="minorHAnsi"/>
          <w:sz w:val="26"/>
          <w:szCs w:val="26"/>
        </w:rPr>
      </w:pPr>
    </w:p>
    <w:p w14:paraId="5923A48B" w14:textId="4ADA2238" w:rsidR="006430AB" w:rsidRPr="00CD4174" w:rsidRDefault="00CD4174" w:rsidP="00CD4174">
      <w:pPr>
        <w:spacing w:line="360" w:lineRule="auto"/>
        <w:ind w:left="851" w:hanging="851"/>
        <w:jc w:val="both"/>
        <w:rPr>
          <w:rFonts w:asciiTheme="minorHAnsi" w:hAnsiTheme="minorHAnsi" w:cstheme="minorHAnsi"/>
          <w:sz w:val="26"/>
          <w:szCs w:val="26"/>
        </w:rPr>
      </w:pPr>
      <w:r>
        <w:rPr>
          <w:rFonts w:asciiTheme="minorHAnsi" w:hAnsiTheme="minorHAnsi" w:cstheme="minorHAnsi"/>
          <w:sz w:val="26"/>
          <w:szCs w:val="26"/>
        </w:rPr>
        <w:lastRenderedPageBreak/>
        <w:t>11.</w:t>
      </w:r>
      <w:r>
        <w:rPr>
          <w:rFonts w:asciiTheme="minorHAnsi" w:hAnsiTheme="minorHAnsi" w:cstheme="minorHAnsi"/>
          <w:sz w:val="26"/>
          <w:szCs w:val="26"/>
        </w:rPr>
        <w:tab/>
      </w:r>
      <w:r w:rsidR="00DA0095" w:rsidRPr="00CD4174">
        <w:rPr>
          <w:rFonts w:asciiTheme="minorHAnsi" w:hAnsiTheme="minorHAnsi" w:cstheme="minorHAnsi"/>
          <w:sz w:val="26"/>
          <w:szCs w:val="26"/>
        </w:rPr>
        <w:t>Having re-read both my judgments</w:t>
      </w:r>
      <w:r w:rsidR="006430AB" w:rsidRPr="00CD4174">
        <w:rPr>
          <w:rFonts w:asciiTheme="minorHAnsi" w:hAnsiTheme="minorHAnsi" w:cstheme="minorHAnsi"/>
          <w:sz w:val="26"/>
          <w:szCs w:val="26"/>
        </w:rPr>
        <w:t xml:space="preserve"> </w:t>
      </w:r>
      <w:r w:rsidR="00DA0095" w:rsidRPr="00CD4174">
        <w:rPr>
          <w:rFonts w:asciiTheme="minorHAnsi" w:hAnsiTheme="minorHAnsi" w:cstheme="minorHAnsi"/>
          <w:sz w:val="26"/>
          <w:szCs w:val="26"/>
        </w:rPr>
        <w:t xml:space="preserve">and having dispassionately applied my mind to the </w:t>
      </w:r>
      <w:r w:rsidR="001E5833" w:rsidRPr="00CD4174">
        <w:rPr>
          <w:rFonts w:asciiTheme="minorHAnsi" w:hAnsiTheme="minorHAnsi" w:cstheme="minorHAnsi"/>
          <w:sz w:val="26"/>
          <w:szCs w:val="26"/>
        </w:rPr>
        <w:t>circumstances</w:t>
      </w:r>
      <w:r w:rsidR="00DA0095" w:rsidRPr="00CD4174">
        <w:rPr>
          <w:rFonts w:asciiTheme="minorHAnsi" w:hAnsiTheme="minorHAnsi" w:cstheme="minorHAnsi"/>
          <w:sz w:val="26"/>
          <w:szCs w:val="26"/>
        </w:rPr>
        <w:t xml:space="preserve"> elucidated and reasoning employed therein, I remain unpersuaded that there exists a reasonable prospect that another court will come to a different conclusion in respect of the applicant’s conviction. Likewise, in respect of the sentence imposed, I remain of the view that the sentence imposed was neither inappropriate </w:t>
      </w:r>
      <w:r w:rsidR="001E5833" w:rsidRPr="00CD4174">
        <w:rPr>
          <w:rFonts w:asciiTheme="minorHAnsi" w:hAnsiTheme="minorHAnsi" w:cstheme="minorHAnsi"/>
          <w:sz w:val="26"/>
          <w:szCs w:val="26"/>
        </w:rPr>
        <w:t>n</w:t>
      </w:r>
      <w:r w:rsidR="00DA0095" w:rsidRPr="00CD4174">
        <w:rPr>
          <w:rFonts w:asciiTheme="minorHAnsi" w:hAnsiTheme="minorHAnsi" w:cstheme="minorHAnsi"/>
          <w:sz w:val="26"/>
          <w:szCs w:val="26"/>
        </w:rPr>
        <w:t>or harsh</w:t>
      </w:r>
      <w:r w:rsidR="001E5833" w:rsidRPr="00CD4174">
        <w:rPr>
          <w:rFonts w:asciiTheme="minorHAnsi" w:hAnsiTheme="minorHAnsi" w:cstheme="minorHAnsi"/>
          <w:sz w:val="26"/>
          <w:szCs w:val="26"/>
        </w:rPr>
        <w:t>, taking into consideration the aggravating circumstances discussed in paragraphs 16 to 19 of the judgment on sentence.</w:t>
      </w:r>
    </w:p>
    <w:p w14:paraId="476C5DAF" w14:textId="77777777" w:rsidR="006430AB" w:rsidRDefault="006430AB" w:rsidP="006430AB">
      <w:pPr>
        <w:pStyle w:val="ListParagraph"/>
        <w:rPr>
          <w:rFonts w:asciiTheme="minorHAnsi" w:hAnsiTheme="minorHAnsi" w:cstheme="minorHAnsi"/>
          <w:sz w:val="26"/>
          <w:szCs w:val="26"/>
        </w:rPr>
      </w:pPr>
    </w:p>
    <w:p w14:paraId="2352DFB6" w14:textId="683CF840" w:rsidR="006430AB" w:rsidRPr="00CD4174" w:rsidRDefault="00CD4174" w:rsidP="00CD4174">
      <w:pPr>
        <w:spacing w:line="360" w:lineRule="auto"/>
        <w:ind w:left="851" w:hanging="851"/>
        <w:jc w:val="both"/>
        <w:rPr>
          <w:rFonts w:asciiTheme="minorHAnsi" w:hAnsiTheme="minorHAnsi" w:cstheme="minorHAnsi"/>
          <w:sz w:val="26"/>
          <w:szCs w:val="26"/>
        </w:rPr>
      </w:pPr>
      <w:r>
        <w:rPr>
          <w:rFonts w:asciiTheme="minorHAnsi" w:hAnsiTheme="minorHAnsi" w:cstheme="minorHAnsi"/>
          <w:sz w:val="26"/>
          <w:szCs w:val="26"/>
        </w:rPr>
        <w:t>12.</w:t>
      </w:r>
      <w:r>
        <w:rPr>
          <w:rFonts w:asciiTheme="minorHAnsi" w:hAnsiTheme="minorHAnsi" w:cstheme="minorHAnsi"/>
          <w:sz w:val="26"/>
          <w:szCs w:val="26"/>
        </w:rPr>
        <w:tab/>
      </w:r>
      <w:r w:rsidR="006430AB" w:rsidRPr="00CD4174">
        <w:rPr>
          <w:rFonts w:asciiTheme="minorHAnsi" w:hAnsiTheme="minorHAnsi" w:cstheme="minorHAnsi"/>
          <w:sz w:val="26"/>
          <w:szCs w:val="26"/>
        </w:rPr>
        <w:t xml:space="preserve">I am not persuaded that a different court </w:t>
      </w:r>
      <w:r w:rsidR="006430AB" w:rsidRPr="00CD4174">
        <w:rPr>
          <w:rFonts w:asciiTheme="minorHAnsi" w:hAnsiTheme="minorHAnsi" w:cstheme="minorHAnsi"/>
          <w:sz w:val="26"/>
          <w:szCs w:val="26"/>
          <w:u w:val="single"/>
        </w:rPr>
        <w:t>would</w:t>
      </w:r>
      <w:r w:rsidR="006430AB" w:rsidRPr="00CD4174">
        <w:rPr>
          <w:rFonts w:asciiTheme="minorHAnsi" w:hAnsiTheme="minorHAnsi" w:cstheme="minorHAnsi"/>
          <w:sz w:val="26"/>
          <w:szCs w:val="26"/>
        </w:rPr>
        <w:t xml:space="preserve"> find in accordance with </w:t>
      </w:r>
      <w:r w:rsidR="001E5833" w:rsidRPr="00CD4174">
        <w:rPr>
          <w:rFonts w:asciiTheme="minorHAnsi" w:hAnsiTheme="minorHAnsi" w:cstheme="minorHAnsi"/>
          <w:sz w:val="26"/>
          <w:szCs w:val="26"/>
        </w:rPr>
        <w:t xml:space="preserve">the applicant’s </w:t>
      </w:r>
      <w:r w:rsidR="006430AB" w:rsidRPr="00CD4174">
        <w:rPr>
          <w:rFonts w:asciiTheme="minorHAnsi" w:hAnsiTheme="minorHAnsi" w:cstheme="minorHAnsi"/>
          <w:sz w:val="26"/>
          <w:szCs w:val="26"/>
        </w:rPr>
        <w:t>submissions.</w:t>
      </w:r>
    </w:p>
    <w:p w14:paraId="3D5D1A7D" w14:textId="77777777" w:rsidR="006430AB" w:rsidRPr="000644B7" w:rsidRDefault="006430AB" w:rsidP="006430AB">
      <w:pPr>
        <w:pStyle w:val="ListParagraph"/>
        <w:rPr>
          <w:rFonts w:asciiTheme="minorHAnsi" w:hAnsiTheme="minorHAnsi" w:cstheme="minorHAnsi"/>
          <w:sz w:val="26"/>
          <w:szCs w:val="26"/>
        </w:rPr>
      </w:pPr>
    </w:p>
    <w:p w14:paraId="37CE114A" w14:textId="6CC273A5" w:rsidR="006430AB" w:rsidRPr="00CD4174" w:rsidRDefault="00CD4174" w:rsidP="00CD4174">
      <w:pPr>
        <w:spacing w:line="360" w:lineRule="auto"/>
        <w:ind w:left="851" w:hanging="851"/>
        <w:jc w:val="both"/>
        <w:rPr>
          <w:rFonts w:asciiTheme="minorHAnsi" w:hAnsiTheme="minorHAnsi" w:cstheme="minorHAnsi"/>
          <w:sz w:val="26"/>
          <w:szCs w:val="26"/>
        </w:rPr>
      </w:pPr>
      <w:r w:rsidRPr="006A31DA">
        <w:rPr>
          <w:rFonts w:asciiTheme="minorHAnsi" w:hAnsiTheme="minorHAnsi" w:cstheme="minorHAnsi"/>
          <w:sz w:val="26"/>
          <w:szCs w:val="26"/>
        </w:rPr>
        <w:t>13.</w:t>
      </w:r>
      <w:r w:rsidRPr="006A31DA">
        <w:rPr>
          <w:rFonts w:asciiTheme="minorHAnsi" w:hAnsiTheme="minorHAnsi" w:cstheme="minorHAnsi"/>
          <w:sz w:val="26"/>
          <w:szCs w:val="26"/>
        </w:rPr>
        <w:tab/>
      </w:r>
      <w:r w:rsidR="006430AB" w:rsidRPr="00CD4174">
        <w:rPr>
          <w:rFonts w:asciiTheme="minorHAnsi" w:hAnsiTheme="minorHAnsi" w:cstheme="minorHAnsi"/>
          <w:sz w:val="26"/>
          <w:szCs w:val="26"/>
        </w:rPr>
        <w:t>I accordingly make the following order:</w:t>
      </w:r>
    </w:p>
    <w:p w14:paraId="777A2297" w14:textId="77777777" w:rsidR="006430AB" w:rsidRPr="006A31DA" w:rsidRDefault="006430AB" w:rsidP="006430AB">
      <w:pPr>
        <w:pStyle w:val="ListParagraph"/>
        <w:spacing w:line="360" w:lineRule="auto"/>
        <w:ind w:left="1702"/>
        <w:jc w:val="both"/>
        <w:rPr>
          <w:rFonts w:asciiTheme="minorHAnsi" w:hAnsiTheme="minorHAnsi" w:cstheme="minorHAnsi"/>
          <w:sz w:val="26"/>
          <w:szCs w:val="26"/>
        </w:rPr>
      </w:pPr>
    </w:p>
    <w:p w14:paraId="238DEB7A" w14:textId="71CB6778" w:rsidR="006430AB" w:rsidRPr="00CD4174" w:rsidRDefault="00CD4174" w:rsidP="00CD4174">
      <w:pPr>
        <w:spacing w:line="360" w:lineRule="auto"/>
        <w:ind w:left="1702" w:hanging="851"/>
        <w:jc w:val="both"/>
        <w:rPr>
          <w:rFonts w:asciiTheme="minorHAnsi" w:hAnsiTheme="minorHAnsi" w:cstheme="minorHAnsi"/>
          <w:sz w:val="26"/>
          <w:szCs w:val="26"/>
        </w:rPr>
      </w:pPr>
      <w:r w:rsidRPr="006A31DA">
        <w:rPr>
          <w:rFonts w:asciiTheme="minorHAnsi" w:hAnsiTheme="minorHAnsi" w:cstheme="minorHAnsi"/>
          <w:sz w:val="26"/>
          <w:szCs w:val="26"/>
        </w:rPr>
        <w:t>13.1.</w:t>
      </w:r>
      <w:r w:rsidRPr="006A31DA">
        <w:rPr>
          <w:rFonts w:asciiTheme="minorHAnsi" w:hAnsiTheme="minorHAnsi" w:cstheme="minorHAnsi"/>
          <w:sz w:val="26"/>
          <w:szCs w:val="26"/>
        </w:rPr>
        <w:tab/>
      </w:r>
      <w:r w:rsidR="006430AB" w:rsidRPr="00CD4174">
        <w:rPr>
          <w:rFonts w:asciiTheme="minorHAnsi" w:hAnsiTheme="minorHAnsi" w:cstheme="minorHAnsi"/>
          <w:sz w:val="26"/>
          <w:szCs w:val="26"/>
        </w:rPr>
        <w:t>The application for leave to appeal by the applicant is dismissed</w:t>
      </w:r>
      <w:r w:rsidR="001E5833" w:rsidRPr="00CD4174">
        <w:rPr>
          <w:rFonts w:asciiTheme="minorHAnsi" w:hAnsiTheme="minorHAnsi" w:cstheme="minorHAnsi"/>
          <w:sz w:val="26"/>
          <w:szCs w:val="26"/>
        </w:rPr>
        <w:t>.</w:t>
      </w:r>
      <w:r w:rsidR="006430AB" w:rsidRPr="00CD4174">
        <w:rPr>
          <w:rFonts w:asciiTheme="minorHAnsi" w:hAnsiTheme="minorHAnsi" w:cstheme="minorHAnsi"/>
          <w:sz w:val="26"/>
          <w:szCs w:val="26"/>
        </w:rPr>
        <w:t xml:space="preserve"> </w:t>
      </w:r>
    </w:p>
    <w:p w14:paraId="168F5B19" w14:textId="77777777" w:rsidR="006430AB" w:rsidRPr="006A31DA" w:rsidRDefault="006430AB" w:rsidP="006430AB">
      <w:pPr>
        <w:pStyle w:val="ListParagraph"/>
        <w:spacing w:line="360" w:lineRule="auto"/>
        <w:ind w:left="851"/>
        <w:jc w:val="both"/>
        <w:rPr>
          <w:rFonts w:asciiTheme="minorHAnsi" w:hAnsiTheme="minorHAnsi" w:cstheme="minorHAnsi"/>
          <w:sz w:val="26"/>
          <w:szCs w:val="26"/>
        </w:rPr>
      </w:pPr>
    </w:p>
    <w:p w14:paraId="14A69544" w14:textId="77777777" w:rsidR="006430AB" w:rsidRPr="006A31DA" w:rsidRDefault="006430AB" w:rsidP="006430AB">
      <w:pPr>
        <w:spacing w:line="360" w:lineRule="auto"/>
        <w:rPr>
          <w:rFonts w:asciiTheme="minorHAnsi" w:hAnsiTheme="minorHAnsi" w:cstheme="minorHAnsi"/>
          <w:sz w:val="26"/>
          <w:szCs w:val="26"/>
        </w:rPr>
      </w:pPr>
    </w:p>
    <w:p w14:paraId="55B91A9B" w14:textId="77777777" w:rsidR="006430AB" w:rsidRPr="006A31DA" w:rsidRDefault="006430AB" w:rsidP="006430AB">
      <w:pPr>
        <w:pStyle w:val="ListParagraph"/>
        <w:suppressAutoHyphens/>
        <w:spacing w:line="360" w:lineRule="auto"/>
        <w:ind w:left="0" w:right="-334"/>
        <w:rPr>
          <w:rFonts w:asciiTheme="minorHAnsi" w:hAnsiTheme="minorHAnsi" w:cstheme="minorHAnsi"/>
          <w:sz w:val="26"/>
          <w:szCs w:val="26"/>
        </w:rPr>
      </w:pPr>
      <w:r>
        <w:rPr>
          <w:rFonts w:asciiTheme="minorHAnsi" w:hAnsiTheme="minorHAnsi" w:cstheme="minorHAnsi"/>
          <w:sz w:val="26"/>
          <w:szCs w:val="26"/>
        </w:rPr>
        <w:t>_________________</w:t>
      </w:r>
    </w:p>
    <w:p w14:paraId="393EA265" w14:textId="77777777" w:rsidR="006430AB" w:rsidRPr="002519C5" w:rsidRDefault="006430AB" w:rsidP="006430AB">
      <w:pPr>
        <w:suppressAutoHyphens/>
        <w:spacing w:line="360" w:lineRule="auto"/>
        <w:ind w:right="-334"/>
        <w:rPr>
          <w:rFonts w:asciiTheme="minorHAnsi" w:hAnsiTheme="minorHAnsi" w:cstheme="minorHAnsi"/>
          <w:b/>
          <w:sz w:val="26"/>
          <w:szCs w:val="26"/>
        </w:rPr>
      </w:pPr>
      <w:r w:rsidRPr="002519C5">
        <w:rPr>
          <w:rFonts w:asciiTheme="minorHAnsi" w:hAnsiTheme="minorHAnsi" w:cstheme="minorHAnsi"/>
          <w:b/>
          <w:sz w:val="26"/>
          <w:szCs w:val="26"/>
        </w:rPr>
        <w:t>A.</w:t>
      </w:r>
      <w:r w:rsidRPr="002519C5">
        <w:rPr>
          <w:rFonts w:asciiTheme="minorHAnsi" w:hAnsiTheme="minorHAnsi" w:cstheme="minorHAnsi"/>
          <w:sz w:val="26"/>
          <w:szCs w:val="26"/>
        </w:rPr>
        <w:t xml:space="preserve"> </w:t>
      </w:r>
      <w:r w:rsidRPr="002519C5">
        <w:rPr>
          <w:rFonts w:asciiTheme="minorHAnsi" w:hAnsiTheme="minorHAnsi" w:cstheme="minorHAnsi"/>
          <w:b/>
          <w:sz w:val="26"/>
          <w:szCs w:val="26"/>
        </w:rPr>
        <w:t xml:space="preserve">MAIER-FRAWLEY </w:t>
      </w:r>
    </w:p>
    <w:p w14:paraId="32E8E0B9" w14:textId="77777777" w:rsidR="006430AB" w:rsidRDefault="006430AB" w:rsidP="006430AB">
      <w:pPr>
        <w:pStyle w:val="ListParagraph"/>
        <w:suppressAutoHyphens/>
        <w:spacing w:line="360" w:lineRule="auto"/>
        <w:ind w:left="0" w:right="-334"/>
        <w:rPr>
          <w:rFonts w:asciiTheme="minorHAnsi" w:hAnsiTheme="minorHAnsi" w:cstheme="minorHAnsi"/>
          <w:b/>
          <w:sz w:val="26"/>
          <w:szCs w:val="26"/>
        </w:rPr>
      </w:pPr>
      <w:r w:rsidRPr="006A31DA">
        <w:rPr>
          <w:rFonts w:asciiTheme="minorHAnsi" w:hAnsiTheme="minorHAnsi" w:cstheme="minorHAnsi"/>
          <w:b/>
          <w:sz w:val="26"/>
          <w:szCs w:val="26"/>
        </w:rPr>
        <w:t>JUDGE OF THE HIGH COURT</w:t>
      </w:r>
    </w:p>
    <w:p w14:paraId="2B01DF7E" w14:textId="77777777" w:rsidR="006430AB" w:rsidRPr="002519C5" w:rsidRDefault="006430AB" w:rsidP="006430AB">
      <w:pPr>
        <w:pStyle w:val="ListParagraph"/>
        <w:suppressAutoHyphens/>
        <w:spacing w:line="360" w:lineRule="auto"/>
        <w:ind w:left="0" w:right="-334"/>
        <w:rPr>
          <w:rFonts w:asciiTheme="minorHAnsi" w:hAnsiTheme="minorHAnsi" w:cstheme="minorHAnsi"/>
          <w:b/>
          <w:sz w:val="26"/>
          <w:szCs w:val="26"/>
        </w:rPr>
      </w:pPr>
      <w:r w:rsidRPr="002519C5">
        <w:rPr>
          <w:rFonts w:asciiTheme="minorHAnsi" w:hAnsiTheme="minorHAnsi" w:cstheme="minorHAnsi"/>
          <w:b/>
          <w:sz w:val="26"/>
          <w:szCs w:val="26"/>
        </w:rPr>
        <w:t>GAUTENG DIVISION, JOHANNESBURG</w:t>
      </w:r>
    </w:p>
    <w:p w14:paraId="01E7A6CA" w14:textId="77777777" w:rsidR="006430AB" w:rsidRPr="006A31DA" w:rsidRDefault="006430AB" w:rsidP="006430AB">
      <w:pPr>
        <w:pStyle w:val="ListParagraph"/>
        <w:spacing w:line="360" w:lineRule="auto"/>
        <w:ind w:left="851"/>
        <w:rPr>
          <w:rFonts w:asciiTheme="minorHAnsi" w:hAnsiTheme="minorHAnsi" w:cstheme="minorHAnsi"/>
          <w:sz w:val="26"/>
          <w:szCs w:val="26"/>
        </w:rPr>
      </w:pPr>
    </w:p>
    <w:p w14:paraId="2EF647D6" w14:textId="77777777" w:rsidR="006430AB" w:rsidRPr="006A31DA" w:rsidRDefault="006430AB" w:rsidP="006430AB">
      <w:pPr>
        <w:pStyle w:val="ListParagraph"/>
        <w:spacing w:line="360" w:lineRule="auto"/>
        <w:ind w:left="851"/>
        <w:rPr>
          <w:rFonts w:asciiTheme="minorHAnsi" w:hAnsiTheme="minorHAnsi" w:cstheme="minorHAnsi"/>
          <w:sz w:val="26"/>
          <w:szCs w:val="26"/>
        </w:rPr>
      </w:pPr>
    </w:p>
    <w:p w14:paraId="392E95EA" w14:textId="77777777" w:rsidR="006430AB" w:rsidRDefault="006430AB" w:rsidP="006430AB">
      <w:pPr>
        <w:pStyle w:val="ListParagraph"/>
        <w:spacing w:line="240" w:lineRule="auto"/>
        <w:ind w:left="0"/>
        <w:rPr>
          <w:rFonts w:asciiTheme="minorHAnsi" w:hAnsiTheme="minorHAnsi" w:cstheme="minorHAnsi"/>
          <w:sz w:val="26"/>
          <w:szCs w:val="26"/>
        </w:rPr>
      </w:pPr>
      <w:r w:rsidRPr="006A31DA">
        <w:rPr>
          <w:rFonts w:asciiTheme="minorHAnsi" w:hAnsiTheme="minorHAnsi" w:cstheme="minorHAnsi"/>
          <w:sz w:val="26"/>
          <w:szCs w:val="26"/>
        </w:rPr>
        <w:t xml:space="preserve">Date of hearing: </w:t>
      </w:r>
      <w:r w:rsidRPr="006A31DA">
        <w:rPr>
          <w:rFonts w:asciiTheme="minorHAnsi" w:hAnsiTheme="minorHAnsi" w:cstheme="minorHAnsi"/>
          <w:sz w:val="26"/>
          <w:szCs w:val="26"/>
        </w:rPr>
        <w:tab/>
      </w:r>
      <w:r w:rsidRPr="006A31DA">
        <w:rPr>
          <w:rFonts w:asciiTheme="minorHAnsi" w:hAnsiTheme="minorHAnsi" w:cstheme="minorHAnsi"/>
          <w:sz w:val="26"/>
          <w:szCs w:val="26"/>
        </w:rPr>
        <w:tab/>
      </w:r>
      <w:r w:rsidRPr="006A31DA">
        <w:rPr>
          <w:rFonts w:asciiTheme="minorHAnsi" w:hAnsiTheme="minorHAnsi" w:cstheme="minorHAnsi"/>
          <w:sz w:val="26"/>
          <w:szCs w:val="26"/>
        </w:rPr>
        <w:tab/>
      </w:r>
      <w:r w:rsidRPr="006A31DA">
        <w:rPr>
          <w:rFonts w:asciiTheme="minorHAnsi" w:hAnsiTheme="minorHAnsi" w:cstheme="minorHAnsi"/>
          <w:sz w:val="26"/>
          <w:szCs w:val="26"/>
        </w:rPr>
        <w:tab/>
      </w:r>
      <w:r w:rsidR="00C44AD2">
        <w:rPr>
          <w:rFonts w:asciiTheme="minorHAnsi" w:hAnsiTheme="minorHAnsi" w:cstheme="minorHAnsi"/>
          <w:sz w:val="26"/>
          <w:szCs w:val="26"/>
        </w:rPr>
        <w:t>13</w:t>
      </w:r>
      <w:r w:rsidR="001E5833">
        <w:rPr>
          <w:rFonts w:asciiTheme="minorHAnsi" w:hAnsiTheme="minorHAnsi" w:cstheme="minorHAnsi"/>
          <w:sz w:val="26"/>
          <w:szCs w:val="26"/>
        </w:rPr>
        <w:t xml:space="preserve"> September</w:t>
      </w:r>
      <w:r>
        <w:rPr>
          <w:rFonts w:asciiTheme="minorHAnsi" w:hAnsiTheme="minorHAnsi" w:cstheme="minorHAnsi"/>
          <w:sz w:val="26"/>
          <w:szCs w:val="26"/>
        </w:rPr>
        <w:t xml:space="preserve"> 2022</w:t>
      </w:r>
    </w:p>
    <w:p w14:paraId="4B3A1330" w14:textId="77777777" w:rsidR="006430AB" w:rsidRPr="006A31DA" w:rsidRDefault="006430AB" w:rsidP="006430AB">
      <w:pPr>
        <w:pStyle w:val="ListParagraph"/>
        <w:spacing w:line="240" w:lineRule="auto"/>
        <w:ind w:left="0"/>
        <w:rPr>
          <w:rFonts w:asciiTheme="minorHAnsi" w:hAnsiTheme="minorHAnsi" w:cstheme="minorHAnsi"/>
          <w:sz w:val="26"/>
          <w:szCs w:val="26"/>
        </w:rPr>
      </w:pPr>
      <w:r>
        <w:rPr>
          <w:rFonts w:asciiTheme="minorHAnsi" w:hAnsiTheme="minorHAnsi" w:cstheme="minorHAnsi"/>
          <w:sz w:val="26"/>
          <w:szCs w:val="26"/>
        </w:rPr>
        <w:lastRenderedPageBreak/>
        <w:t>J</w:t>
      </w:r>
      <w:r w:rsidRPr="006A31DA">
        <w:rPr>
          <w:rFonts w:asciiTheme="minorHAnsi" w:hAnsiTheme="minorHAnsi" w:cstheme="minorHAnsi"/>
          <w:sz w:val="26"/>
          <w:szCs w:val="26"/>
        </w:rPr>
        <w:t>udgment</w:t>
      </w:r>
      <w:r>
        <w:rPr>
          <w:rFonts w:asciiTheme="minorHAnsi" w:hAnsiTheme="minorHAnsi" w:cstheme="minorHAnsi"/>
          <w:sz w:val="26"/>
          <w:szCs w:val="26"/>
        </w:rPr>
        <w:t xml:space="preserve"> delivered</w:t>
      </w:r>
      <w:r w:rsidRPr="006A31DA">
        <w:rPr>
          <w:rFonts w:asciiTheme="minorHAnsi" w:hAnsiTheme="minorHAnsi" w:cstheme="minorHAnsi"/>
          <w:sz w:val="26"/>
          <w:szCs w:val="26"/>
        </w:rPr>
        <w:t xml:space="preserve"> </w:t>
      </w:r>
      <w:r w:rsidRPr="006A31DA">
        <w:rPr>
          <w:rFonts w:asciiTheme="minorHAnsi" w:hAnsiTheme="minorHAnsi" w:cstheme="minorHAnsi"/>
          <w:sz w:val="26"/>
          <w:szCs w:val="26"/>
        </w:rPr>
        <w:tab/>
      </w:r>
      <w:r w:rsidRPr="006A31DA">
        <w:rPr>
          <w:rFonts w:asciiTheme="minorHAnsi" w:hAnsiTheme="minorHAnsi" w:cstheme="minorHAnsi"/>
          <w:sz w:val="26"/>
          <w:szCs w:val="26"/>
        </w:rPr>
        <w:tab/>
      </w:r>
      <w:r w:rsidRPr="006A31DA">
        <w:rPr>
          <w:rFonts w:asciiTheme="minorHAnsi" w:hAnsiTheme="minorHAnsi" w:cstheme="minorHAnsi"/>
          <w:sz w:val="26"/>
          <w:szCs w:val="26"/>
        </w:rPr>
        <w:tab/>
      </w:r>
      <w:r w:rsidRPr="006A31DA">
        <w:rPr>
          <w:rFonts w:asciiTheme="minorHAnsi" w:hAnsiTheme="minorHAnsi" w:cstheme="minorHAnsi"/>
          <w:sz w:val="26"/>
          <w:szCs w:val="26"/>
        </w:rPr>
        <w:tab/>
      </w:r>
      <w:r w:rsidR="00197B01">
        <w:rPr>
          <w:rFonts w:asciiTheme="minorHAnsi" w:hAnsiTheme="minorHAnsi" w:cstheme="minorHAnsi"/>
          <w:sz w:val="26"/>
          <w:szCs w:val="26"/>
        </w:rPr>
        <w:t>14 December</w:t>
      </w:r>
      <w:r w:rsidR="001E5833">
        <w:rPr>
          <w:rFonts w:asciiTheme="minorHAnsi" w:hAnsiTheme="minorHAnsi" w:cstheme="minorHAnsi"/>
          <w:sz w:val="26"/>
          <w:szCs w:val="26"/>
        </w:rPr>
        <w:t xml:space="preserve"> 2022</w:t>
      </w:r>
    </w:p>
    <w:p w14:paraId="0DFF08D5" w14:textId="77777777" w:rsidR="006430AB" w:rsidRDefault="006430AB" w:rsidP="006430AB">
      <w:pPr>
        <w:pStyle w:val="ListParagraph"/>
        <w:spacing w:line="240" w:lineRule="auto"/>
        <w:ind w:left="0"/>
        <w:rPr>
          <w:rFonts w:asciiTheme="minorHAnsi" w:hAnsiTheme="minorHAnsi" w:cstheme="minorHAnsi"/>
          <w:sz w:val="26"/>
          <w:szCs w:val="26"/>
        </w:rPr>
      </w:pPr>
    </w:p>
    <w:p w14:paraId="0C02988B" w14:textId="77777777" w:rsidR="006430AB" w:rsidRPr="00730BB0" w:rsidRDefault="006430AB" w:rsidP="006430AB">
      <w:pPr>
        <w:pStyle w:val="ListParagraph"/>
        <w:spacing w:line="240" w:lineRule="auto"/>
        <w:ind w:left="0"/>
        <w:jc w:val="both"/>
        <w:rPr>
          <w:rFonts w:asciiTheme="minorHAnsi" w:hAnsiTheme="minorHAnsi" w:cstheme="minorHAnsi"/>
          <w:sz w:val="22"/>
          <w:szCs w:val="22"/>
        </w:rPr>
      </w:pPr>
      <w:r w:rsidRPr="00730BB0">
        <w:rPr>
          <w:rFonts w:asciiTheme="minorHAnsi" w:hAnsiTheme="minorHAnsi" w:cstheme="minorHAnsi"/>
          <w:i/>
          <w:sz w:val="22"/>
          <w:szCs w:val="22"/>
        </w:rPr>
        <w:t xml:space="preserve">This judgment was handed down electronically by circulation to the parties’ legal representatives by email, publication on </w:t>
      </w:r>
      <w:proofErr w:type="spellStart"/>
      <w:r w:rsidRPr="00730BB0">
        <w:rPr>
          <w:rFonts w:asciiTheme="minorHAnsi" w:hAnsiTheme="minorHAnsi" w:cstheme="minorHAnsi"/>
          <w:i/>
          <w:sz w:val="22"/>
          <w:szCs w:val="22"/>
        </w:rPr>
        <w:t>Caselines</w:t>
      </w:r>
      <w:proofErr w:type="spellEnd"/>
      <w:r w:rsidRPr="00730BB0">
        <w:rPr>
          <w:rFonts w:asciiTheme="minorHAnsi" w:hAnsiTheme="minorHAnsi" w:cstheme="minorHAnsi"/>
          <w:i/>
          <w:sz w:val="22"/>
          <w:szCs w:val="22"/>
        </w:rPr>
        <w:t xml:space="preserve"> and release to SAFLII. The date and time for hand-down is deemed to </w:t>
      </w:r>
      <w:proofErr w:type="gramStart"/>
      <w:r w:rsidRPr="00730BB0">
        <w:rPr>
          <w:rFonts w:asciiTheme="minorHAnsi" w:hAnsiTheme="minorHAnsi" w:cstheme="minorHAnsi"/>
          <w:i/>
          <w:sz w:val="22"/>
          <w:szCs w:val="22"/>
        </w:rPr>
        <w:t>be have</w:t>
      </w:r>
      <w:proofErr w:type="gramEnd"/>
      <w:r w:rsidRPr="00730BB0">
        <w:rPr>
          <w:rFonts w:asciiTheme="minorHAnsi" w:hAnsiTheme="minorHAnsi" w:cstheme="minorHAnsi"/>
          <w:i/>
          <w:sz w:val="22"/>
          <w:szCs w:val="22"/>
        </w:rPr>
        <w:t xml:space="preserve"> been at 10h00 on</w:t>
      </w:r>
      <w:r>
        <w:rPr>
          <w:rFonts w:asciiTheme="minorHAnsi" w:hAnsiTheme="minorHAnsi" w:cstheme="minorHAnsi"/>
          <w:i/>
          <w:sz w:val="22"/>
          <w:szCs w:val="22"/>
        </w:rPr>
        <w:t xml:space="preserve"> </w:t>
      </w:r>
      <w:r w:rsidR="00197B01">
        <w:rPr>
          <w:rFonts w:asciiTheme="minorHAnsi" w:hAnsiTheme="minorHAnsi" w:cstheme="minorHAnsi"/>
          <w:i/>
          <w:sz w:val="22"/>
          <w:szCs w:val="22"/>
        </w:rPr>
        <w:t>14 December</w:t>
      </w:r>
      <w:r w:rsidRPr="00730BB0">
        <w:rPr>
          <w:rFonts w:asciiTheme="minorHAnsi" w:hAnsiTheme="minorHAnsi" w:cstheme="minorHAnsi"/>
          <w:i/>
          <w:sz w:val="22"/>
          <w:szCs w:val="22"/>
        </w:rPr>
        <w:t xml:space="preserve"> 2022.</w:t>
      </w:r>
    </w:p>
    <w:p w14:paraId="5AA2B2B5" w14:textId="77777777" w:rsidR="006430AB" w:rsidRDefault="006430AB" w:rsidP="006430AB">
      <w:pPr>
        <w:pStyle w:val="ListParagraph"/>
        <w:spacing w:line="240" w:lineRule="auto"/>
        <w:ind w:left="0"/>
        <w:rPr>
          <w:rFonts w:asciiTheme="minorHAnsi" w:hAnsiTheme="minorHAnsi" w:cstheme="minorHAnsi"/>
          <w:sz w:val="26"/>
          <w:szCs w:val="26"/>
        </w:rPr>
      </w:pPr>
    </w:p>
    <w:p w14:paraId="2EAEBC05" w14:textId="77777777" w:rsidR="006430AB" w:rsidRPr="006A31DA" w:rsidRDefault="006430AB" w:rsidP="006430AB">
      <w:pPr>
        <w:pStyle w:val="ListParagraph"/>
        <w:spacing w:line="240" w:lineRule="auto"/>
        <w:ind w:left="0"/>
        <w:rPr>
          <w:rFonts w:asciiTheme="minorHAnsi" w:hAnsiTheme="minorHAnsi" w:cstheme="minorHAnsi"/>
          <w:sz w:val="26"/>
          <w:szCs w:val="26"/>
        </w:rPr>
      </w:pPr>
    </w:p>
    <w:p w14:paraId="006FE5BC" w14:textId="77777777" w:rsidR="006430AB" w:rsidRPr="00730BB0" w:rsidRDefault="006430AB" w:rsidP="006430AB">
      <w:pPr>
        <w:pStyle w:val="ListParagraph"/>
        <w:spacing w:line="240" w:lineRule="auto"/>
        <w:ind w:left="0"/>
        <w:rPr>
          <w:rFonts w:asciiTheme="minorHAnsi" w:hAnsiTheme="minorHAnsi" w:cstheme="minorHAnsi"/>
          <w:sz w:val="22"/>
          <w:szCs w:val="22"/>
        </w:rPr>
      </w:pPr>
      <w:r w:rsidRPr="00730BB0">
        <w:rPr>
          <w:rFonts w:asciiTheme="minorHAnsi" w:hAnsiTheme="minorHAnsi" w:cstheme="minorHAnsi"/>
          <w:sz w:val="22"/>
          <w:szCs w:val="22"/>
          <w:u w:val="single"/>
        </w:rPr>
        <w:t>APPEARANCES</w:t>
      </w:r>
      <w:r w:rsidRPr="00730BB0">
        <w:rPr>
          <w:rFonts w:asciiTheme="minorHAnsi" w:hAnsiTheme="minorHAnsi" w:cstheme="minorHAnsi"/>
          <w:sz w:val="22"/>
          <w:szCs w:val="22"/>
        </w:rPr>
        <w:t>:</w:t>
      </w:r>
    </w:p>
    <w:p w14:paraId="5FCD0F92" w14:textId="77777777" w:rsidR="006430AB" w:rsidRDefault="006430AB" w:rsidP="006430AB">
      <w:pPr>
        <w:pStyle w:val="ListParagraph"/>
        <w:spacing w:line="240" w:lineRule="auto"/>
        <w:ind w:left="0"/>
        <w:rPr>
          <w:rFonts w:asciiTheme="minorHAnsi" w:hAnsiTheme="minorHAnsi" w:cstheme="minorHAnsi"/>
          <w:sz w:val="22"/>
          <w:szCs w:val="22"/>
        </w:rPr>
      </w:pPr>
    </w:p>
    <w:p w14:paraId="58DB4FAC" w14:textId="77777777" w:rsidR="006430AB" w:rsidRDefault="00C44AD2" w:rsidP="006430AB">
      <w:pPr>
        <w:pStyle w:val="ListParagraph"/>
        <w:spacing w:line="240" w:lineRule="auto"/>
        <w:ind w:left="0"/>
        <w:rPr>
          <w:rFonts w:asciiTheme="minorHAnsi" w:hAnsiTheme="minorHAnsi" w:cstheme="minorHAnsi"/>
          <w:sz w:val="22"/>
          <w:szCs w:val="22"/>
        </w:rPr>
      </w:pPr>
      <w:r>
        <w:rPr>
          <w:rFonts w:asciiTheme="minorHAnsi" w:hAnsiTheme="minorHAnsi" w:cstheme="minorHAnsi"/>
          <w:sz w:val="22"/>
          <w:szCs w:val="22"/>
        </w:rPr>
        <w:t>Counsel f</w:t>
      </w:r>
      <w:r w:rsidR="006430AB" w:rsidRPr="00730BB0">
        <w:rPr>
          <w:rFonts w:asciiTheme="minorHAnsi" w:hAnsiTheme="minorHAnsi" w:cstheme="minorHAnsi"/>
          <w:sz w:val="22"/>
          <w:szCs w:val="22"/>
        </w:rPr>
        <w:t xml:space="preserve">or the Applicant: </w:t>
      </w:r>
      <w:r w:rsidR="006430AB" w:rsidRPr="00730BB0">
        <w:rPr>
          <w:rFonts w:asciiTheme="minorHAnsi" w:hAnsiTheme="minorHAnsi" w:cstheme="minorHAnsi"/>
          <w:sz w:val="22"/>
          <w:szCs w:val="22"/>
        </w:rPr>
        <w:tab/>
      </w:r>
      <w:r w:rsidR="006430AB" w:rsidRPr="00730BB0">
        <w:rPr>
          <w:rFonts w:asciiTheme="minorHAnsi" w:hAnsiTheme="minorHAnsi" w:cstheme="minorHAnsi"/>
          <w:sz w:val="22"/>
          <w:szCs w:val="22"/>
        </w:rPr>
        <w:tab/>
      </w:r>
      <w:r w:rsidR="006430AB" w:rsidRPr="00730BB0">
        <w:rPr>
          <w:rFonts w:asciiTheme="minorHAnsi" w:hAnsiTheme="minorHAnsi" w:cstheme="minorHAnsi"/>
          <w:sz w:val="22"/>
          <w:szCs w:val="22"/>
        </w:rPr>
        <w:tab/>
      </w:r>
      <w:r w:rsidR="001E5833">
        <w:rPr>
          <w:rFonts w:asciiTheme="minorHAnsi" w:hAnsiTheme="minorHAnsi" w:cstheme="minorHAnsi"/>
          <w:sz w:val="22"/>
          <w:szCs w:val="22"/>
        </w:rPr>
        <w:t>Adv Brits</w:t>
      </w:r>
      <w:r>
        <w:rPr>
          <w:rFonts w:asciiTheme="minorHAnsi" w:hAnsiTheme="minorHAnsi" w:cstheme="minorHAnsi"/>
          <w:sz w:val="22"/>
          <w:szCs w:val="22"/>
        </w:rPr>
        <w:t xml:space="preserve"> (Legal aid SA)</w:t>
      </w:r>
    </w:p>
    <w:p w14:paraId="708C538C" w14:textId="77777777" w:rsidR="006430AB" w:rsidRPr="00730BB0" w:rsidRDefault="006430AB" w:rsidP="006430AB">
      <w:pPr>
        <w:spacing w:line="240" w:lineRule="auto"/>
        <w:ind w:left="4320" w:hanging="4320"/>
        <w:jc w:val="both"/>
        <w:rPr>
          <w:rFonts w:asciiTheme="minorHAnsi" w:hAnsiTheme="minorHAnsi" w:cstheme="minorHAnsi"/>
          <w:sz w:val="22"/>
          <w:szCs w:val="22"/>
        </w:rPr>
      </w:pPr>
      <w:r w:rsidRPr="00730BB0">
        <w:rPr>
          <w:rFonts w:asciiTheme="minorHAnsi" w:hAnsiTheme="minorHAnsi" w:cstheme="minorHAnsi"/>
          <w:sz w:val="22"/>
          <w:szCs w:val="22"/>
        </w:rPr>
        <w:t>Counsel for the Respondent</w:t>
      </w:r>
      <w:r w:rsidRPr="00730BB0">
        <w:rPr>
          <w:rFonts w:asciiTheme="minorHAnsi" w:hAnsiTheme="minorHAnsi" w:cstheme="minorHAnsi"/>
          <w:sz w:val="22"/>
          <w:szCs w:val="22"/>
        </w:rPr>
        <w:tab/>
        <w:t xml:space="preserve">Adv </w:t>
      </w:r>
      <w:r w:rsidR="00C44AD2">
        <w:rPr>
          <w:rFonts w:asciiTheme="minorHAnsi" w:hAnsiTheme="minorHAnsi" w:cstheme="minorHAnsi"/>
          <w:sz w:val="22"/>
          <w:szCs w:val="22"/>
        </w:rPr>
        <w:t xml:space="preserve">P </w:t>
      </w:r>
      <w:proofErr w:type="spellStart"/>
      <w:proofErr w:type="gramStart"/>
      <w:r w:rsidR="00C44AD2">
        <w:rPr>
          <w:rFonts w:asciiTheme="minorHAnsi" w:hAnsiTheme="minorHAnsi" w:cstheme="minorHAnsi"/>
          <w:sz w:val="22"/>
          <w:szCs w:val="22"/>
        </w:rPr>
        <w:t>Marasela</w:t>
      </w:r>
      <w:proofErr w:type="spellEnd"/>
      <w:r w:rsidRPr="00730BB0">
        <w:rPr>
          <w:rFonts w:asciiTheme="minorHAnsi" w:hAnsiTheme="minorHAnsi" w:cstheme="minorHAnsi"/>
          <w:sz w:val="22"/>
          <w:szCs w:val="22"/>
        </w:rPr>
        <w:t xml:space="preserve"> </w:t>
      </w:r>
      <w:r w:rsidR="00C44AD2">
        <w:rPr>
          <w:rFonts w:asciiTheme="minorHAnsi" w:hAnsiTheme="minorHAnsi" w:cstheme="minorHAnsi"/>
          <w:sz w:val="22"/>
          <w:szCs w:val="22"/>
        </w:rPr>
        <w:t xml:space="preserve"> (</w:t>
      </w:r>
      <w:proofErr w:type="gramEnd"/>
      <w:r w:rsidR="00C44AD2">
        <w:rPr>
          <w:rFonts w:asciiTheme="minorHAnsi" w:hAnsiTheme="minorHAnsi" w:cstheme="minorHAnsi"/>
          <w:sz w:val="22"/>
          <w:szCs w:val="22"/>
        </w:rPr>
        <w:t>NPA)</w:t>
      </w:r>
    </w:p>
    <w:sectPr w:rsidR="006430AB" w:rsidRPr="00730BB0" w:rsidSect="00B54F31">
      <w:headerReference w:type="default" r:id="rId9"/>
      <w:headerReference w:type="first" r:id="rId10"/>
      <w:pgSz w:w="12240" w:h="15840"/>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5CAB" w14:textId="77777777" w:rsidR="00370797" w:rsidRDefault="00370797" w:rsidP="006430AB">
      <w:pPr>
        <w:spacing w:after="0" w:line="240" w:lineRule="auto"/>
      </w:pPr>
      <w:r>
        <w:separator/>
      </w:r>
    </w:p>
  </w:endnote>
  <w:endnote w:type="continuationSeparator" w:id="0">
    <w:p w14:paraId="24F2DCF0" w14:textId="77777777" w:rsidR="00370797" w:rsidRDefault="00370797" w:rsidP="0064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28F9B" w14:textId="77777777" w:rsidR="00370797" w:rsidRDefault="00370797" w:rsidP="006430AB">
      <w:pPr>
        <w:spacing w:after="0" w:line="240" w:lineRule="auto"/>
      </w:pPr>
      <w:r>
        <w:separator/>
      </w:r>
    </w:p>
  </w:footnote>
  <w:footnote w:type="continuationSeparator" w:id="0">
    <w:p w14:paraId="330A5609" w14:textId="77777777" w:rsidR="00370797" w:rsidRDefault="00370797" w:rsidP="006430AB">
      <w:pPr>
        <w:spacing w:after="0" w:line="240" w:lineRule="auto"/>
      </w:pPr>
      <w:r>
        <w:continuationSeparator/>
      </w:r>
    </w:p>
  </w:footnote>
  <w:footnote w:id="1">
    <w:p w14:paraId="79CA4E13" w14:textId="77777777" w:rsidR="006430AB" w:rsidRPr="001A053C" w:rsidRDefault="006430AB" w:rsidP="006430AB">
      <w:pPr>
        <w:pStyle w:val="FootnoteText"/>
        <w:jc w:val="both"/>
        <w:rPr>
          <w:lang w:val="en-ZA"/>
        </w:rPr>
      </w:pPr>
      <w:r>
        <w:rPr>
          <w:rStyle w:val="FootnoteReference"/>
        </w:rPr>
        <w:footnoteRef/>
      </w:r>
      <w:r>
        <w:t xml:space="preserve"> </w:t>
      </w:r>
      <w:r w:rsidRPr="001936F3">
        <w:rPr>
          <w:i/>
        </w:rPr>
        <w:t xml:space="preserve">The Mont </w:t>
      </w:r>
      <w:proofErr w:type="spellStart"/>
      <w:r w:rsidRPr="001936F3">
        <w:rPr>
          <w:i/>
        </w:rPr>
        <w:t>Chevaux</w:t>
      </w:r>
      <w:proofErr w:type="spellEnd"/>
      <w:r w:rsidRPr="001936F3">
        <w:rPr>
          <w:i/>
        </w:rPr>
        <w:t xml:space="preserve"> Trust and Tina Goosen </w:t>
      </w:r>
      <w:r>
        <w:rPr>
          <w:i/>
        </w:rPr>
        <w:t>&amp;</w:t>
      </w:r>
      <w:r w:rsidRPr="001936F3">
        <w:rPr>
          <w:i/>
        </w:rPr>
        <w:t xml:space="preserve"> 18 Others</w:t>
      </w:r>
      <w:r>
        <w:t xml:space="preserve"> (Case No. LCC 14R/2004, dated 3 November 2014), at para [6], followed by the Land Claims Court in </w:t>
      </w:r>
      <w:r>
        <w:rPr>
          <w:i/>
        </w:rPr>
        <w:t xml:space="preserve">Daantjie Community and Others v Crocodile Valley Citrus Company (Pty) Ltd and Another </w:t>
      </w:r>
      <w:r w:rsidRPr="001A053C">
        <w:t>(</w:t>
      </w:r>
      <w:r>
        <w:t>75/2008) [2015] ZALLC 7 (28 July 2015) at par 3.</w:t>
      </w:r>
    </w:p>
  </w:footnote>
  <w:footnote w:id="2">
    <w:p w14:paraId="61222E81" w14:textId="77777777" w:rsidR="006430AB" w:rsidRPr="00A87332" w:rsidRDefault="006430AB" w:rsidP="006430AB">
      <w:pPr>
        <w:jc w:val="both"/>
        <w:rPr>
          <w:sz w:val="20"/>
          <w:szCs w:val="20"/>
          <w:lang w:val="en-ZA"/>
        </w:rPr>
      </w:pPr>
      <w:r>
        <w:rPr>
          <w:rStyle w:val="FootnoteReference"/>
        </w:rPr>
        <w:footnoteRef/>
      </w:r>
      <w:r>
        <w:t xml:space="preserve"> </w:t>
      </w:r>
      <w:r w:rsidRPr="00CD7027">
        <w:rPr>
          <w:i/>
          <w:color w:val="000000"/>
          <w:sz w:val="20"/>
          <w:szCs w:val="20"/>
        </w:rPr>
        <w:t xml:space="preserve">Acting National Director of Public Prosecutions and Others v Democratic Alliance, In Re: Democratic Alliance v Acting National Director of Public Prosecutions and </w:t>
      </w:r>
      <w:proofErr w:type="gramStart"/>
      <w:r w:rsidRPr="00A31F51">
        <w:rPr>
          <w:i/>
          <w:color w:val="000000"/>
          <w:sz w:val="20"/>
          <w:szCs w:val="20"/>
        </w:rPr>
        <w:t xml:space="preserve">Others </w:t>
      </w:r>
      <w:r w:rsidRPr="00A31F51">
        <w:rPr>
          <w:sz w:val="20"/>
          <w:szCs w:val="20"/>
        </w:rPr>
        <w:t xml:space="preserve"> (</w:t>
      </w:r>
      <w:proofErr w:type="gramEnd"/>
      <w:r w:rsidRPr="00A31F51">
        <w:rPr>
          <w:sz w:val="20"/>
          <w:szCs w:val="20"/>
        </w:rPr>
        <w:t xml:space="preserve">19577/09) [2016) ZAGPPHC </w:t>
      </w:r>
      <w:r w:rsidRPr="00A31F51">
        <w:rPr>
          <w:color w:val="000000"/>
          <w:sz w:val="20"/>
          <w:szCs w:val="20"/>
        </w:rPr>
        <w:t>489 (24</w:t>
      </w:r>
      <w:r w:rsidRPr="00A31F51">
        <w:rPr>
          <w:b/>
          <w:color w:val="000000"/>
          <w:sz w:val="20"/>
          <w:szCs w:val="20"/>
        </w:rPr>
        <w:t xml:space="preserve"> </w:t>
      </w:r>
      <w:r w:rsidRPr="00A31F51">
        <w:rPr>
          <w:color w:val="000000"/>
          <w:sz w:val="20"/>
          <w:szCs w:val="20"/>
        </w:rPr>
        <w:t>June 2016) para [25], a decision of the Full Court which is binding upon me.</w:t>
      </w:r>
    </w:p>
  </w:footnote>
  <w:footnote w:id="3">
    <w:p w14:paraId="775EF196" w14:textId="77777777" w:rsidR="006430AB" w:rsidRPr="001936F3" w:rsidRDefault="006430AB" w:rsidP="006430AB">
      <w:pPr>
        <w:pStyle w:val="FootnoteText"/>
        <w:rPr>
          <w:lang w:val="en-ZA"/>
        </w:rPr>
      </w:pPr>
      <w:r>
        <w:rPr>
          <w:rStyle w:val="FootnoteReference"/>
        </w:rPr>
        <w:footnoteRef/>
      </w:r>
      <w:r>
        <w:t xml:space="preserve"> </w:t>
      </w:r>
      <w:r>
        <w:rPr>
          <w:i/>
        </w:rPr>
        <w:t xml:space="preserve">S v Smith </w:t>
      </w:r>
      <w:r>
        <w:rPr>
          <w:lang w:val="en-ZA"/>
        </w:rPr>
        <w:t>2012 (1) SACR 567 (SCA) para 7.</w:t>
      </w:r>
    </w:p>
  </w:footnote>
  <w:footnote w:id="4">
    <w:p w14:paraId="106708D2" w14:textId="77777777" w:rsidR="006430AB" w:rsidRPr="00A87332" w:rsidRDefault="006430AB" w:rsidP="006430AB">
      <w:pPr>
        <w:spacing w:line="360" w:lineRule="auto"/>
        <w:jc w:val="both"/>
        <w:rPr>
          <w:sz w:val="20"/>
          <w:szCs w:val="20"/>
          <w:lang w:val="en-ZA"/>
        </w:rPr>
      </w:pPr>
      <w:r>
        <w:rPr>
          <w:rStyle w:val="FootnoteReference"/>
        </w:rPr>
        <w:footnoteRef/>
      </w:r>
      <w:r>
        <w:t xml:space="preserve"> </w:t>
      </w:r>
      <w:r w:rsidRPr="00A87332">
        <w:rPr>
          <w:i/>
          <w:color w:val="000000"/>
          <w:sz w:val="20"/>
          <w:szCs w:val="20"/>
        </w:rPr>
        <w:t xml:space="preserve">Dexgroup (Pty) Ltd v Trustco Group International (Pty) Ltd and </w:t>
      </w:r>
      <w:proofErr w:type="gramStart"/>
      <w:r w:rsidRPr="00A87332">
        <w:rPr>
          <w:i/>
          <w:color w:val="000000"/>
          <w:sz w:val="20"/>
          <w:szCs w:val="20"/>
        </w:rPr>
        <w:t xml:space="preserve">Others </w:t>
      </w:r>
      <w:r w:rsidRPr="00A87332">
        <w:rPr>
          <w:color w:val="000000"/>
          <w:sz w:val="20"/>
          <w:szCs w:val="20"/>
        </w:rPr>
        <w:t xml:space="preserve"> 2012</w:t>
      </w:r>
      <w:proofErr w:type="gramEnd"/>
      <w:r w:rsidRPr="00A87332">
        <w:rPr>
          <w:color w:val="000000"/>
          <w:sz w:val="20"/>
          <w:szCs w:val="20"/>
        </w:rPr>
        <w:t xml:space="preserve"> (6) SA 520 (SCA) at par 24.</w:t>
      </w:r>
    </w:p>
  </w:footnote>
  <w:footnote w:id="5">
    <w:p w14:paraId="5BCA278B" w14:textId="77777777" w:rsidR="006430AB" w:rsidRPr="00A31F51" w:rsidRDefault="006430AB" w:rsidP="006430AB">
      <w:pPr>
        <w:pStyle w:val="FootnoteText"/>
        <w:rPr>
          <w:lang w:val="en-US"/>
        </w:rPr>
      </w:pPr>
      <w:r>
        <w:rPr>
          <w:rStyle w:val="FootnoteReference"/>
        </w:rPr>
        <w:footnoteRef/>
      </w:r>
      <w:r>
        <w:t xml:space="preserve"> </w:t>
      </w:r>
      <w:r>
        <w:rPr>
          <w:i/>
          <w:lang w:val="en-US"/>
        </w:rPr>
        <w:t xml:space="preserve">Kruger v </w:t>
      </w:r>
      <w:proofErr w:type="gramStart"/>
      <w:r>
        <w:rPr>
          <w:i/>
          <w:lang w:val="en-US"/>
        </w:rPr>
        <w:t xml:space="preserve">S </w:t>
      </w:r>
      <w:r>
        <w:rPr>
          <w:lang w:val="en-US"/>
        </w:rPr>
        <w:t xml:space="preserve"> 2014</w:t>
      </w:r>
      <w:proofErr w:type="gramEnd"/>
      <w:r>
        <w:rPr>
          <w:lang w:val="en-US"/>
        </w:rPr>
        <w:t xml:space="preserve"> (1) SACR 647 (SCA) at paras 2 and 3</w:t>
      </w:r>
    </w:p>
  </w:footnote>
  <w:footnote w:id="6">
    <w:p w14:paraId="755BF5BB" w14:textId="77777777" w:rsidR="00A95C5A" w:rsidRPr="00A95C5A" w:rsidRDefault="00A95C5A">
      <w:pPr>
        <w:pStyle w:val="FootnoteText"/>
        <w:rPr>
          <w:lang w:val="en-US"/>
        </w:rPr>
      </w:pPr>
      <w:r>
        <w:rPr>
          <w:rStyle w:val="FootnoteReference"/>
        </w:rPr>
        <w:footnoteRef/>
      </w:r>
      <w:r>
        <w:t xml:space="preserve"> </w:t>
      </w:r>
      <w:r>
        <w:rPr>
          <w:lang w:val="en-US"/>
        </w:rPr>
        <w:t>See</w:t>
      </w:r>
      <w:proofErr w:type="gramStart"/>
      <w:r>
        <w:rPr>
          <w:lang w:val="en-US"/>
        </w:rPr>
        <w:t>, in particular, paras</w:t>
      </w:r>
      <w:proofErr w:type="gramEnd"/>
      <w:r>
        <w:rPr>
          <w:lang w:val="en-US"/>
        </w:rPr>
        <w:t xml:space="preserve"> 285 to 289 read with par 291 of the judgment.</w:t>
      </w:r>
    </w:p>
  </w:footnote>
  <w:footnote w:id="7">
    <w:p w14:paraId="63EEF8E6" w14:textId="77777777" w:rsidR="00A95C5A" w:rsidRPr="00A95C5A" w:rsidRDefault="00A95C5A">
      <w:pPr>
        <w:pStyle w:val="FootnoteText"/>
        <w:rPr>
          <w:lang w:val="en-US"/>
        </w:rPr>
      </w:pPr>
      <w:r>
        <w:rPr>
          <w:rStyle w:val="FootnoteReference"/>
        </w:rPr>
        <w:footnoteRef/>
      </w:r>
      <w:r>
        <w:t xml:space="preserve"> </w:t>
      </w:r>
      <w:r>
        <w:rPr>
          <w:lang w:val="en-US"/>
        </w:rPr>
        <w:t>See par 9</w:t>
      </w:r>
      <w:r w:rsidR="00DA0095">
        <w:rPr>
          <w:lang w:val="en-US"/>
        </w:rPr>
        <w:t xml:space="preserve"> read with paras 12, 17 &amp; 19</w:t>
      </w:r>
      <w:r w:rsidR="00197B01">
        <w:rPr>
          <w:lang w:val="en-US"/>
        </w:rPr>
        <w:t xml:space="preserve"> </w:t>
      </w:r>
      <w:r w:rsidR="00DA0095">
        <w:rPr>
          <w:lang w:val="en-US"/>
        </w:rPr>
        <w:t>of the judgment on sentence.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49267"/>
      <w:docPartObj>
        <w:docPartGallery w:val="Page Numbers (Top of Page)"/>
        <w:docPartUnique/>
      </w:docPartObj>
    </w:sdtPr>
    <w:sdtEndPr>
      <w:rPr>
        <w:noProof/>
      </w:rPr>
    </w:sdtEndPr>
    <w:sdtContent>
      <w:p w14:paraId="269F23FD" w14:textId="77777777" w:rsidR="0062382C" w:rsidRDefault="00BE6ABA">
        <w:pPr>
          <w:pStyle w:val="Header"/>
          <w:jc w:val="right"/>
        </w:pPr>
        <w:r>
          <w:fldChar w:fldCharType="begin"/>
        </w:r>
        <w:r>
          <w:instrText xml:space="preserve"> PAGE   \* MERGEFORMAT </w:instrText>
        </w:r>
        <w:r>
          <w:fldChar w:fldCharType="separate"/>
        </w:r>
        <w:r w:rsidR="00204188">
          <w:rPr>
            <w:noProof/>
          </w:rPr>
          <w:t>7</w:t>
        </w:r>
        <w:r>
          <w:rPr>
            <w:noProof/>
          </w:rPr>
          <w:fldChar w:fldCharType="end"/>
        </w:r>
      </w:p>
    </w:sdtContent>
  </w:sdt>
  <w:p w14:paraId="42346F6F" w14:textId="77777777" w:rsidR="0062382C" w:rsidRDefault="00000000" w:rsidP="00E11118">
    <w:pPr>
      <w:pStyle w:val="Header"/>
      <w:tabs>
        <w:tab w:val="clear" w:pos="4680"/>
        <w:tab w:val="clear" w:pos="9360"/>
        <w:tab w:val="left" w:pos="78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628670"/>
      <w:docPartObj>
        <w:docPartGallery w:val="Page Numbers (Top of Page)"/>
        <w:docPartUnique/>
      </w:docPartObj>
    </w:sdtPr>
    <w:sdtEndPr>
      <w:rPr>
        <w:noProof/>
      </w:rPr>
    </w:sdtEndPr>
    <w:sdtContent>
      <w:p w14:paraId="59603822" w14:textId="77777777" w:rsidR="006430AB" w:rsidRDefault="006430AB">
        <w:pPr>
          <w:pStyle w:val="Header"/>
          <w:jc w:val="right"/>
        </w:pPr>
        <w:r>
          <w:fldChar w:fldCharType="begin"/>
        </w:r>
        <w:r>
          <w:instrText xml:space="preserve"> PAGE   \* MERGEFORMAT </w:instrText>
        </w:r>
        <w:r>
          <w:fldChar w:fldCharType="separate"/>
        </w:r>
        <w:r w:rsidR="00204188">
          <w:rPr>
            <w:noProof/>
          </w:rPr>
          <w:t>1</w:t>
        </w:r>
        <w:r>
          <w:rPr>
            <w:noProof/>
          </w:rPr>
          <w:fldChar w:fldCharType="end"/>
        </w:r>
      </w:p>
    </w:sdtContent>
  </w:sdt>
  <w:p w14:paraId="5B5652E2" w14:textId="77777777" w:rsidR="006430AB" w:rsidRDefault="00643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1" w15:restartNumberingAfterBreak="0">
    <w:nsid w:val="4E6B1C91"/>
    <w:multiLevelType w:val="hybridMultilevel"/>
    <w:tmpl w:val="14DA4A8A"/>
    <w:lvl w:ilvl="0" w:tplc="88DAB214">
      <w:start w:val="1"/>
      <w:numFmt w:val="lowerLetter"/>
      <w:lvlText w:val="(%1)"/>
      <w:lvlJc w:val="left"/>
      <w:pPr>
        <w:ind w:left="3079" w:hanging="1050"/>
      </w:pPr>
      <w:rPr>
        <w:rFonts w:hint="default"/>
      </w:rPr>
    </w:lvl>
    <w:lvl w:ilvl="1" w:tplc="1C090019" w:tentative="1">
      <w:start w:val="1"/>
      <w:numFmt w:val="lowerLetter"/>
      <w:lvlText w:val="%2."/>
      <w:lvlJc w:val="left"/>
      <w:pPr>
        <w:ind w:left="3109" w:hanging="360"/>
      </w:pPr>
    </w:lvl>
    <w:lvl w:ilvl="2" w:tplc="1C09001B" w:tentative="1">
      <w:start w:val="1"/>
      <w:numFmt w:val="lowerRoman"/>
      <w:lvlText w:val="%3."/>
      <w:lvlJc w:val="right"/>
      <w:pPr>
        <w:ind w:left="3829" w:hanging="180"/>
      </w:pPr>
    </w:lvl>
    <w:lvl w:ilvl="3" w:tplc="1C09000F" w:tentative="1">
      <w:start w:val="1"/>
      <w:numFmt w:val="decimal"/>
      <w:lvlText w:val="%4."/>
      <w:lvlJc w:val="left"/>
      <w:pPr>
        <w:ind w:left="4549" w:hanging="360"/>
      </w:pPr>
    </w:lvl>
    <w:lvl w:ilvl="4" w:tplc="1C090019" w:tentative="1">
      <w:start w:val="1"/>
      <w:numFmt w:val="lowerLetter"/>
      <w:lvlText w:val="%5."/>
      <w:lvlJc w:val="left"/>
      <w:pPr>
        <w:ind w:left="5269" w:hanging="360"/>
      </w:pPr>
    </w:lvl>
    <w:lvl w:ilvl="5" w:tplc="1C09001B" w:tentative="1">
      <w:start w:val="1"/>
      <w:numFmt w:val="lowerRoman"/>
      <w:lvlText w:val="%6."/>
      <w:lvlJc w:val="right"/>
      <w:pPr>
        <w:ind w:left="5989" w:hanging="180"/>
      </w:pPr>
    </w:lvl>
    <w:lvl w:ilvl="6" w:tplc="1C09000F" w:tentative="1">
      <w:start w:val="1"/>
      <w:numFmt w:val="decimal"/>
      <w:lvlText w:val="%7."/>
      <w:lvlJc w:val="left"/>
      <w:pPr>
        <w:ind w:left="6709" w:hanging="360"/>
      </w:pPr>
    </w:lvl>
    <w:lvl w:ilvl="7" w:tplc="1C090019" w:tentative="1">
      <w:start w:val="1"/>
      <w:numFmt w:val="lowerLetter"/>
      <w:lvlText w:val="%8."/>
      <w:lvlJc w:val="left"/>
      <w:pPr>
        <w:ind w:left="7429" w:hanging="360"/>
      </w:pPr>
    </w:lvl>
    <w:lvl w:ilvl="8" w:tplc="1C09001B" w:tentative="1">
      <w:start w:val="1"/>
      <w:numFmt w:val="lowerRoman"/>
      <w:lvlText w:val="%9."/>
      <w:lvlJc w:val="right"/>
      <w:pPr>
        <w:ind w:left="8149" w:hanging="180"/>
      </w:pPr>
    </w:lvl>
  </w:abstractNum>
  <w:abstractNum w:abstractNumId="2" w15:restartNumberingAfterBreak="0">
    <w:nsid w:val="50F7650A"/>
    <w:multiLevelType w:val="multilevel"/>
    <w:tmpl w:val="FBFA6894"/>
    <w:numStyleLink w:val="Style3"/>
  </w:abstractNum>
  <w:num w:numId="1" w16cid:durableId="1465074773">
    <w:abstractNumId w:val="0"/>
  </w:num>
  <w:num w:numId="2" w16cid:durableId="1060322018">
    <w:abstractNumId w:val="2"/>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1702" w:hanging="851"/>
        </w:pPr>
        <w:rPr>
          <w:rFonts w:hint="default"/>
        </w:rPr>
      </w:lvl>
    </w:lvlOverride>
    <w:lvlOverride w:ilvl="2">
      <w:lvl w:ilvl="2">
        <w:start w:val="1"/>
        <w:numFmt w:val="decimal"/>
        <w:lvlText w:val="%1.%2.%3."/>
        <w:lvlJc w:val="left"/>
        <w:pPr>
          <w:ind w:left="2553" w:hanging="851"/>
        </w:pPr>
        <w:rPr>
          <w:rFonts w:hint="default"/>
        </w:rPr>
      </w:lvl>
    </w:lvlOverride>
    <w:lvlOverride w:ilvl="3">
      <w:lvl w:ilvl="3">
        <w:start w:val="1"/>
        <w:numFmt w:val="decimal"/>
        <w:lvlText w:val="%1.%2.%3.%4."/>
        <w:lvlJc w:val="left"/>
        <w:pPr>
          <w:ind w:left="3404" w:hanging="851"/>
        </w:pPr>
        <w:rPr>
          <w:rFonts w:hint="default"/>
        </w:rPr>
      </w:lvl>
    </w:lvlOverride>
    <w:lvlOverride w:ilvl="4">
      <w:lvl w:ilvl="4">
        <w:start w:val="1"/>
        <w:numFmt w:val="decimal"/>
        <w:lvlText w:val="%1.%2.%3.%4.%5."/>
        <w:lvlJc w:val="left"/>
        <w:pPr>
          <w:ind w:left="4255" w:hanging="851"/>
        </w:pPr>
        <w:rPr>
          <w:rFonts w:hint="default"/>
        </w:rPr>
      </w:lvl>
    </w:lvlOverride>
    <w:lvlOverride w:ilvl="5">
      <w:lvl w:ilvl="5">
        <w:start w:val="1"/>
        <w:numFmt w:val="decimal"/>
        <w:lvlText w:val="%1.%2.%3.%4.%5.%6."/>
        <w:lvlJc w:val="left"/>
        <w:pPr>
          <w:ind w:left="5106" w:hanging="851"/>
        </w:pPr>
        <w:rPr>
          <w:rFonts w:hint="default"/>
        </w:rPr>
      </w:lvl>
    </w:lvlOverride>
    <w:lvlOverride w:ilvl="6">
      <w:lvl w:ilvl="6">
        <w:start w:val="1"/>
        <w:numFmt w:val="decimal"/>
        <w:lvlText w:val="%1.%2.%3.%4.%5.%6.%7."/>
        <w:lvlJc w:val="left"/>
        <w:pPr>
          <w:ind w:left="5957" w:hanging="851"/>
        </w:pPr>
        <w:rPr>
          <w:rFonts w:hint="default"/>
        </w:rPr>
      </w:lvl>
    </w:lvlOverride>
    <w:lvlOverride w:ilvl="7">
      <w:lvl w:ilvl="7">
        <w:start w:val="1"/>
        <w:numFmt w:val="decimal"/>
        <w:lvlText w:val="%1.%2.%3.%4.%5.%6.%7.%8."/>
        <w:lvlJc w:val="left"/>
        <w:pPr>
          <w:ind w:left="6808" w:hanging="851"/>
        </w:pPr>
        <w:rPr>
          <w:rFonts w:hint="default"/>
        </w:rPr>
      </w:lvl>
    </w:lvlOverride>
    <w:lvlOverride w:ilvl="8">
      <w:lvl w:ilvl="8">
        <w:start w:val="1"/>
        <w:numFmt w:val="decimal"/>
        <w:lvlText w:val="%1.%2.%3.%4.%5.%6.%7.%8.%9."/>
        <w:lvlJc w:val="left"/>
        <w:pPr>
          <w:ind w:left="7659" w:hanging="851"/>
        </w:pPr>
        <w:rPr>
          <w:rFonts w:hint="default"/>
        </w:rPr>
      </w:lvl>
    </w:lvlOverride>
  </w:num>
  <w:num w:numId="3" w16cid:durableId="1022441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0AB"/>
    <w:rsid w:val="000332DE"/>
    <w:rsid w:val="00197B01"/>
    <w:rsid w:val="001E5833"/>
    <w:rsid w:val="00204188"/>
    <w:rsid w:val="00316391"/>
    <w:rsid w:val="00337785"/>
    <w:rsid w:val="00370797"/>
    <w:rsid w:val="0047200A"/>
    <w:rsid w:val="00491AA1"/>
    <w:rsid w:val="004940C8"/>
    <w:rsid w:val="004C4696"/>
    <w:rsid w:val="00521253"/>
    <w:rsid w:val="00542EC9"/>
    <w:rsid w:val="006430AB"/>
    <w:rsid w:val="00962E34"/>
    <w:rsid w:val="00981B4D"/>
    <w:rsid w:val="00A075A0"/>
    <w:rsid w:val="00A95C5A"/>
    <w:rsid w:val="00BC3C0C"/>
    <w:rsid w:val="00BE6ABA"/>
    <w:rsid w:val="00C44AD2"/>
    <w:rsid w:val="00C933D3"/>
    <w:rsid w:val="00CC188D"/>
    <w:rsid w:val="00CD4174"/>
    <w:rsid w:val="00D11156"/>
    <w:rsid w:val="00DA0095"/>
    <w:rsid w:val="00DC1074"/>
    <w:rsid w:val="00E9648E"/>
    <w:rsid w:val="00EB529D"/>
    <w:rsid w:val="00EE6AA6"/>
    <w:rsid w:val="00F271DD"/>
    <w:rsid w:val="00F30F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9AA7"/>
  <w15:docId w15:val="{6DFA0330-95B3-4563-BAAD-0AAC3079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AB"/>
    <w:rPr>
      <w:rFonts w:ascii="Arial" w:hAnsi="Arial" w:cs="Arial"/>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0AB"/>
    <w:pPr>
      <w:ind w:left="720"/>
      <w:contextualSpacing/>
    </w:pPr>
  </w:style>
  <w:style w:type="paragraph" w:styleId="Header">
    <w:name w:val="header"/>
    <w:basedOn w:val="Normal"/>
    <w:link w:val="HeaderChar"/>
    <w:uiPriority w:val="99"/>
    <w:unhideWhenUsed/>
    <w:rsid w:val="00643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0AB"/>
    <w:rPr>
      <w:rFonts w:ascii="Arial" w:hAnsi="Arial" w:cs="Arial"/>
      <w:sz w:val="28"/>
      <w:szCs w:val="28"/>
      <w:lang w:val="en-GB"/>
    </w:rPr>
  </w:style>
  <w:style w:type="paragraph" w:styleId="FootnoteText">
    <w:name w:val="footnote text"/>
    <w:basedOn w:val="Normal"/>
    <w:link w:val="FootnoteTextChar"/>
    <w:uiPriority w:val="99"/>
    <w:semiHidden/>
    <w:unhideWhenUsed/>
    <w:rsid w:val="00643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0AB"/>
    <w:rPr>
      <w:rFonts w:ascii="Arial" w:hAnsi="Arial" w:cs="Arial"/>
      <w:sz w:val="20"/>
      <w:szCs w:val="20"/>
      <w:lang w:val="en-GB"/>
    </w:rPr>
  </w:style>
  <w:style w:type="character" w:styleId="FootnoteReference">
    <w:name w:val="footnote reference"/>
    <w:basedOn w:val="DefaultParagraphFont"/>
    <w:uiPriority w:val="99"/>
    <w:semiHidden/>
    <w:unhideWhenUsed/>
    <w:rsid w:val="006430AB"/>
    <w:rPr>
      <w:vertAlign w:val="superscript"/>
    </w:rPr>
  </w:style>
  <w:style w:type="numbering" w:customStyle="1" w:styleId="Style3">
    <w:name w:val="Style3"/>
    <w:rsid w:val="006430AB"/>
    <w:pPr>
      <w:numPr>
        <w:numId w:val="1"/>
      </w:numPr>
    </w:pPr>
  </w:style>
  <w:style w:type="paragraph" w:styleId="NormalWeb">
    <w:name w:val="Normal (Web)"/>
    <w:basedOn w:val="Normal"/>
    <w:uiPriority w:val="99"/>
    <w:semiHidden/>
    <w:unhideWhenUsed/>
    <w:rsid w:val="006430A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6430AB"/>
    <w:rPr>
      <w:i/>
      <w:iCs/>
    </w:rPr>
  </w:style>
  <w:style w:type="paragraph" w:styleId="BalloonText">
    <w:name w:val="Balloon Text"/>
    <w:basedOn w:val="Normal"/>
    <w:link w:val="BalloonTextChar"/>
    <w:uiPriority w:val="99"/>
    <w:semiHidden/>
    <w:unhideWhenUsed/>
    <w:rsid w:val="0064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0AB"/>
    <w:rPr>
      <w:rFonts w:ascii="Tahoma" w:hAnsi="Tahoma" w:cs="Tahoma"/>
      <w:sz w:val="16"/>
      <w:szCs w:val="16"/>
      <w:lang w:val="en-GB"/>
    </w:rPr>
  </w:style>
  <w:style w:type="paragraph" w:styleId="Footer">
    <w:name w:val="footer"/>
    <w:basedOn w:val="Normal"/>
    <w:link w:val="FooterChar"/>
    <w:uiPriority w:val="99"/>
    <w:unhideWhenUsed/>
    <w:rsid w:val="00643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0AB"/>
    <w:rPr>
      <w:rFonts w:ascii="Arial" w:hAnsi="Arial" w:cs="Arial"/>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A7200-7EF3-430E-ABF7-8BCD2BA1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1377</Words>
  <Characters>8262</Characters>
  <Application>Microsoft Office Word</Application>
  <DocSecurity>0</DocSecurity>
  <Lines>688</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Avrille</dc:creator>
  <cp:lastModifiedBy>Mariana Anguelov</cp:lastModifiedBy>
  <cp:revision>3</cp:revision>
  <cp:lastPrinted>2022-12-14T04:35:00Z</cp:lastPrinted>
  <dcterms:created xsi:type="dcterms:W3CDTF">2023-01-12T17:18:00Z</dcterms:created>
  <dcterms:modified xsi:type="dcterms:W3CDTF">2023-01-12T17:24:00Z</dcterms:modified>
</cp:coreProperties>
</file>