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5515" w14:textId="77777777" w:rsidR="00A81108" w:rsidRPr="00A81108" w:rsidRDefault="00A81108" w:rsidP="00A81108">
      <w:pPr>
        <w:spacing w:after="120" w:line="360" w:lineRule="auto"/>
        <w:jc w:val="center"/>
        <w:rPr>
          <w:rFonts w:cs="Arial"/>
          <w:b/>
          <w:bCs/>
          <w:sz w:val="22"/>
        </w:rPr>
      </w:pPr>
      <w:r w:rsidRPr="00A81108">
        <w:rPr>
          <w:rFonts w:cs="Arial"/>
          <w:b/>
          <w:bCs/>
          <w:noProof/>
          <w:sz w:val="22"/>
          <w:lang w:eastAsia="en-ZA"/>
        </w:rPr>
        <w:drawing>
          <wp:inline distT="0" distB="0" distL="0" distR="0" wp14:anchorId="72250232" wp14:editId="10D22C2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3486E02B" w14:textId="77777777" w:rsidR="00A81108" w:rsidRPr="00A81108" w:rsidRDefault="00A81108" w:rsidP="00A81108">
      <w:pPr>
        <w:jc w:val="center"/>
        <w:rPr>
          <w:b/>
          <w:sz w:val="22"/>
        </w:rPr>
      </w:pPr>
      <w:r w:rsidRPr="00A81108">
        <w:rPr>
          <w:b/>
          <w:sz w:val="22"/>
        </w:rPr>
        <w:t xml:space="preserve">IN THE HIGH COURT OF SOUTH AFRICA, </w:t>
      </w:r>
    </w:p>
    <w:p w14:paraId="3552ADC9" w14:textId="77777777" w:rsidR="00A81108" w:rsidRPr="00A81108" w:rsidRDefault="00A81108" w:rsidP="00A81108">
      <w:pPr>
        <w:jc w:val="center"/>
        <w:rPr>
          <w:b/>
          <w:sz w:val="22"/>
        </w:rPr>
      </w:pPr>
      <w:r w:rsidRPr="00A81108">
        <w:rPr>
          <w:b/>
          <w:sz w:val="22"/>
        </w:rPr>
        <w:t>GAUTENG LOCAL DIVISION, JOHANNESBURG</w:t>
      </w:r>
    </w:p>
    <w:p w14:paraId="3FE1BB88" w14:textId="77777777" w:rsidR="00A81108" w:rsidRPr="00A81108" w:rsidRDefault="00A81108" w:rsidP="00A81108">
      <w:pPr>
        <w:jc w:val="both"/>
        <w:rPr>
          <w:b/>
          <w:sz w:val="22"/>
        </w:rPr>
      </w:pPr>
    </w:p>
    <w:p w14:paraId="51E41D22" w14:textId="77777777" w:rsidR="00A81108" w:rsidRPr="00A81108" w:rsidRDefault="00A81108" w:rsidP="00A81108">
      <w:pPr>
        <w:spacing w:line="360" w:lineRule="auto"/>
        <w:jc w:val="right"/>
        <w:rPr>
          <w:b/>
          <w:sz w:val="22"/>
        </w:rPr>
      </w:pPr>
      <w:r w:rsidRPr="00A81108">
        <w:rPr>
          <w:b/>
          <w:sz w:val="22"/>
        </w:rPr>
        <w:t xml:space="preserve">CASE NO:  </w:t>
      </w:r>
      <w:r w:rsidR="00855F1B">
        <w:rPr>
          <w:b/>
          <w:sz w:val="22"/>
        </w:rPr>
        <w:t>3664/2015</w:t>
      </w:r>
    </w:p>
    <w:p w14:paraId="373E7B31" w14:textId="77777777" w:rsidR="00A81108" w:rsidRPr="00A81108" w:rsidRDefault="00A81108" w:rsidP="00A81108">
      <w:pPr>
        <w:spacing w:line="360" w:lineRule="auto"/>
        <w:jc w:val="right"/>
        <w:rPr>
          <w:sz w:val="22"/>
        </w:rPr>
      </w:pPr>
      <w:r w:rsidRPr="00A81108">
        <w:rPr>
          <w:noProof/>
          <w:sz w:val="22"/>
          <w:lang w:eastAsia="en-ZA"/>
        </w:rPr>
        <mc:AlternateContent>
          <mc:Choice Requires="wps">
            <w:drawing>
              <wp:anchor distT="0" distB="0" distL="114300" distR="114300" simplePos="0" relativeHeight="251659264" behindDoc="0" locked="0" layoutInCell="1" allowOverlap="1" wp14:anchorId="69F4B4E6" wp14:editId="6BCCC880">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ADB55BE" w14:textId="77777777" w:rsidR="008577E9" w:rsidRPr="00913F95" w:rsidRDefault="008577E9" w:rsidP="00A81108">
                            <w:pPr>
                              <w:jc w:val="center"/>
                              <w:rPr>
                                <w:rFonts w:ascii="Century Gothic" w:hAnsi="Century Gothic"/>
                                <w:b/>
                                <w:sz w:val="20"/>
                                <w:szCs w:val="20"/>
                              </w:rPr>
                            </w:pPr>
                          </w:p>
                          <w:p w14:paraId="4B754A0A" w14:textId="411CD0BF" w:rsidR="008577E9" w:rsidRDefault="001929B9" w:rsidP="001929B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577E9">
                              <w:rPr>
                                <w:rFonts w:ascii="Century Gothic" w:hAnsi="Century Gothic"/>
                                <w:sz w:val="20"/>
                                <w:szCs w:val="20"/>
                              </w:rPr>
                              <w:t>REPORTABLE: NO</w:t>
                            </w:r>
                          </w:p>
                          <w:p w14:paraId="6DA650C0" w14:textId="278F5782" w:rsidR="008577E9" w:rsidRPr="00913F95" w:rsidRDefault="001929B9" w:rsidP="001929B9">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8577E9" w:rsidRPr="00913F95">
                              <w:rPr>
                                <w:rFonts w:ascii="Century Gothic" w:hAnsi="Century Gothic"/>
                                <w:sz w:val="20"/>
                                <w:szCs w:val="20"/>
                              </w:rPr>
                              <w:t>OF INTEREST TO OTHER JUDGES</w:t>
                            </w:r>
                            <w:r w:rsidR="008577E9">
                              <w:rPr>
                                <w:rFonts w:ascii="Century Gothic" w:hAnsi="Century Gothic"/>
                                <w:sz w:val="20"/>
                                <w:szCs w:val="20"/>
                              </w:rPr>
                              <w:t xml:space="preserve">: </w:t>
                            </w:r>
                            <w:r w:rsidR="008577E9" w:rsidRPr="00913F95">
                              <w:rPr>
                                <w:rFonts w:ascii="Century Gothic" w:hAnsi="Century Gothic"/>
                                <w:sz w:val="20"/>
                                <w:szCs w:val="20"/>
                              </w:rPr>
                              <w:t>NO</w:t>
                            </w:r>
                          </w:p>
                          <w:p w14:paraId="2074BDE7" w14:textId="120A1333" w:rsidR="008577E9" w:rsidRPr="00913F95" w:rsidRDefault="001929B9" w:rsidP="001929B9">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8577E9" w:rsidRPr="00913F95">
                              <w:rPr>
                                <w:rFonts w:ascii="Century Gothic" w:hAnsi="Century Gothic"/>
                                <w:sz w:val="20"/>
                                <w:szCs w:val="20"/>
                              </w:rPr>
                              <w:t>REVISED</w:t>
                            </w:r>
                            <w:r w:rsidR="008577E9">
                              <w:rPr>
                                <w:rFonts w:ascii="Century Gothic" w:hAnsi="Century Gothic"/>
                                <w:sz w:val="20"/>
                                <w:szCs w:val="20"/>
                              </w:rPr>
                              <w:t xml:space="preserve">. </w:t>
                            </w:r>
                          </w:p>
                          <w:p w14:paraId="39A60CFA" w14:textId="77777777" w:rsidR="008577E9" w:rsidRDefault="008577E9" w:rsidP="00A81108">
                            <w:pPr>
                              <w:rPr>
                                <w:rFonts w:ascii="Century Gothic" w:hAnsi="Century Gothic"/>
                                <w:b/>
                                <w:sz w:val="18"/>
                                <w:szCs w:val="18"/>
                              </w:rPr>
                            </w:pPr>
                          </w:p>
                          <w:p w14:paraId="324CA64B" w14:textId="77777777" w:rsidR="008577E9" w:rsidRPr="00084341" w:rsidRDefault="008577E9" w:rsidP="00A81108">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4F7275">
                              <w:rPr>
                                <w:rFonts w:ascii="Century Gothic" w:hAnsi="Century Gothic"/>
                                <w:b/>
                                <w:sz w:val="18"/>
                                <w:szCs w:val="18"/>
                              </w:rPr>
                              <w:t>21</w:t>
                            </w:r>
                            <w:r>
                              <w:rPr>
                                <w:rFonts w:ascii="Century Gothic" w:hAnsi="Century Gothic"/>
                                <w:b/>
                                <w:sz w:val="18"/>
                                <w:szCs w:val="18"/>
                              </w:rPr>
                              <w:t>.12.2022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p>
                          <w:p w14:paraId="41944C0F" w14:textId="77777777" w:rsidR="008577E9" w:rsidRPr="00084341" w:rsidRDefault="008577E9"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B4E6"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7ADB55BE" w14:textId="77777777" w:rsidR="008577E9" w:rsidRPr="00913F95" w:rsidRDefault="008577E9" w:rsidP="00A81108">
                      <w:pPr>
                        <w:jc w:val="center"/>
                        <w:rPr>
                          <w:rFonts w:ascii="Century Gothic" w:hAnsi="Century Gothic"/>
                          <w:b/>
                          <w:sz w:val="20"/>
                          <w:szCs w:val="20"/>
                        </w:rPr>
                      </w:pPr>
                    </w:p>
                    <w:p w14:paraId="4B754A0A" w14:textId="411CD0BF" w:rsidR="008577E9" w:rsidRDefault="001929B9" w:rsidP="001929B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577E9">
                        <w:rPr>
                          <w:rFonts w:ascii="Century Gothic" w:hAnsi="Century Gothic"/>
                          <w:sz w:val="20"/>
                          <w:szCs w:val="20"/>
                        </w:rPr>
                        <w:t>REPORTABLE: NO</w:t>
                      </w:r>
                    </w:p>
                    <w:p w14:paraId="6DA650C0" w14:textId="278F5782" w:rsidR="008577E9" w:rsidRPr="00913F95" w:rsidRDefault="001929B9" w:rsidP="001929B9">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8577E9" w:rsidRPr="00913F95">
                        <w:rPr>
                          <w:rFonts w:ascii="Century Gothic" w:hAnsi="Century Gothic"/>
                          <w:sz w:val="20"/>
                          <w:szCs w:val="20"/>
                        </w:rPr>
                        <w:t>OF INTEREST TO OTHER JUDGES</w:t>
                      </w:r>
                      <w:r w:rsidR="008577E9">
                        <w:rPr>
                          <w:rFonts w:ascii="Century Gothic" w:hAnsi="Century Gothic"/>
                          <w:sz w:val="20"/>
                          <w:szCs w:val="20"/>
                        </w:rPr>
                        <w:t xml:space="preserve">: </w:t>
                      </w:r>
                      <w:r w:rsidR="008577E9" w:rsidRPr="00913F95">
                        <w:rPr>
                          <w:rFonts w:ascii="Century Gothic" w:hAnsi="Century Gothic"/>
                          <w:sz w:val="20"/>
                          <w:szCs w:val="20"/>
                        </w:rPr>
                        <w:t>NO</w:t>
                      </w:r>
                    </w:p>
                    <w:p w14:paraId="2074BDE7" w14:textId="120A1333" w:rsidR="008577E9" w:rsidRPr="00913F95" w:rsidRDefault="001929B9" w:rsidP="001929B9">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8577E9" w:rsidRPr="00913F95">
                        <w:rPr>
                          <w:rFonts w:ascii="Century Gothic" w:hAnsi="Century Gothic"/>
                          <w:sz w:val="20"/>
                          <w:szCs w:val="20"/>
                        </w:rPr>
                        <w:t>REVISED</w:t>
                      </w:r>
                      <w:r w:rsidR="008577E9">
                        <w:rPr>
                          <w:rFonts w:ascii="Century Gothic" w:hAnsi="Century Gothic"/>
                          <w:sz w:val="20"/>
                          <w:szCs w:val="20"/>
                        </w:rPr>
                        <w:t xml:space="preserve">. </w:t>
                      </w:r>
                    </w:p>
                    <w:p w14:paraId="39A60CFA" w14:textId="77777777" w:rsidR="008577E9" w:rsidRDefault="008577E9" w:rsidP="00A81108">
                      <w:pPr>
                        <w:rPr>
                          <w:rFonts w:ascii="Century Gothic" w:hAnsi="Century Gothic"/>
                          <w:b/>
                          <w:sz w:val="18"/>
                          <w:szCs w:val="18"/>
                        </w:rPr>
                      </w:pPr>
                    </w:p>
                    <w:p w14:paraId="324CA64B" w14:textId="77777777" w:rsidR="008577E9" w:rsidRPr="00084341" w:rsidRDefault="008577E9" w:rsidP="00A81108">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4F7275">
                        <w:rPr>
                          <w:rFonts w:ascii="Century Gothic" w:hAnsi="Century Gothic"/>
                          <w:b/>
                          <w:sz w:val="18"/>
                          <w:szCs w:val="18"/>
                        </w:rPr>
                        <w:t>21</w:t>
                      </w:r>
                      <w:r>
                        <w:rPr>
                          <w:rFonts w:ascii="Century Gothic" w:hAnsi="Century Gothic"/>
                          <w:b/>
                          <w:sz w:val="18"/>
                          <w:szCs w:val="18"/>
                        </w:rPr>
                        <w:t>.12.2022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p>
                    <w:p w14:paraId="41944C0F" w14:textId="77777777" w:rsidR="008577E9" w:rsidRPr="00084341" w:rsidRDefault="008577E9" w:rsidP="00A8110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308D878" w14:textId="77777777" w:rsidR="00A81108" w:rsidRPr="00A81108" w:rsidRDefault="00A81108" w:rsidP="00A81108">
      <w:pPr>
        <w:spacing w:line="360" w:lineRule="auto"/>
        <w:jc w:val="both"/>
        <w:rPr>
          <w:sz w:val="22"/>
        </w:rPr>
      </w:pPr>
    </w:p>
    <w:p w14:paraId="35657359" w14:textId="77777777" w:rsidR="00A81108" w:rsidRPr="00A81108" w:rsidRDefault="00A81108" w:rsidP="00A81108">
      <w:pPr>
        <w:spacing w:line="360" w:lineRule="auto"/>
        <w:jc w:val="both"/>
        <w:rPr>
          <w:sz w:val="22"/>
        </w:rPr>
      </w:pPr>
    </w:p>
    <w:p w14:paraId="1006EBA3" w14:textId="77777777" w:rsidR="00A81108" w:rsidRPr="00A81108" w:rsidRDefault="00A81108" w:rsidP="00A81108">
      <w:pPr>
        <w:spacing w:line="360" w:lineRule="auto"/>
        <w:jc w:val="both"/>
        <w:rPr>
          <w:sz w:val="22"/>
        </w:rPr>
      </w:pPr>
    </w:p>
    <w:p w14:paraId="748A7892" w14:textId="77777777" w:rsidR="00A81108" w:rsidRPr="00A81108" w:rsidRDefault="00A81108" w:rsidP="00A81108">
      <w:pPr>
        <w:spacing w:line="480" w:lineRule="auto"/>
        <w:jc w:val="both"/>
        <w:rPr>
          <w:sz w:val="22"/>
        </w:rPr>
      </w:pPr>
    </w:p>
    <w:p w14:paraId="7F406741" w14:textId="77777777" w:rsidR="00A81108" w:rsidRPr="00A81108" w:rsidRDefault="00A81108" w:rsidP="00A81108">
      <w:pPr>
        <w:spacing w:line="480" w:lineRule="auto"/>
        <w:jc w:val="both"/>
        <w:rPr>
          <w:sz w:val="22"/>
        </w:rPr>
      </w:pPr>
    </w:p>
    <w:p w14:paraId="64C6304E" w14:textId="77777777" w:rsidR="00A81108" w:rsidRPr="00A81108" w:rsidRDefault="00A81108" w:rsidP="00A81108">
      <w:pPr>
        <w:spacing w:line="480" w:lineRule="auto"/>
        <w:jc w:val="both"/>
        <w:rPr>
          <w:rFonts w:cs="Arial"/>
          <w:sz w:val="22"/>
          <w:szCs w:val="22"/>
        </w:rPr>
      </w:pPr>
      <w:r w:rsidRPr="00A81108">
        <w:rPr>
          <w:rFonts w:cs="Arial"/>
          <w:sz w:val="22"/>
          <w:szCs w:val="22"/>
        </w:rPr>
        <w:t>In the matter between:</w:t>
      </w:r>
    </w:p>
    <w:p w14:paraId="22381EBE" w14:textId="77777777" w:rsidR="00A81108" w:rsidRPr="00A81108" w:rsidRDefault="00A81108" w:rsidP="00A81108">
      <w:pPr>
        <w:spacing w:line="480" w:lineRule="auto"/>
        <w:jc w:val="both"/>
        <w:rPr>
          <w:rFonts w:cs="Arial"/>
          <w:sz w:val="22"/>
          <w:szCs w:val="22"/>
        </w:rPr>
      </w:pPr>
    </w:p>
    <w:tbl>
      <w:tblPr>
        <w:tblW w:w="0" w:type="auto"/>
        <w:tblLook w:val="0000" w:firstRow="0" w:lastRow="0" w:firstColumn="0" w:lastColumn="0" w:noHBand="0" w:noVBand="0"/>
      </w:tblPr>
      <w:tblGrid>
        <w:gridCol w:w="6345"/>
        <w:gridCol w:w="2410"/>
      </w:tblGrid>
      <w:tr w:rsidR="00A81108" w:rsidRPr="00A81108" w14:paraId="5548296E" w14:textId="77777777" w:rsidTr="00E33DD8">
        <w:tc>
          <w:tcPr>
            <w:tcW w:w="6345" w:type="dxa"/>
          </w:tcPr>
          <w:p w14:paraId="5E0022E8" w14:textId="77777777" w:rsidR="00A81108" w:rsidRPr="00A81108" w:rsidRDefault="00855F1B" w:rsidP="00A81108">
            <w:pPr>
              <w:rPr>
                <w:rFonts w:cs="Arial"/>
                <w:b/>
                <w:bCs/>
                <w:sz w:val="22"/>
                <w:szCs w:val="22"/>
              </w:rPr>
            </w:pPr>
            <w:r>
              <w:rPr>
                <w:rFonts w:cs="Arial"/>
                <w:b/>
                <w:bCs/>
                <w:sz w:val="22"/>
                <w:szCs w:val="22"/>
              </w:rPr>
              <w:t>SIPHO SIBEKO</w:t>
            </w:r>
          </w:p>
        </w:tc>
        <w:tc>
          <w:tcPr>
            <w:tcW w:w="2410" w:type="dxa"/>
          </w:tcPr>
          <w:p w14:paraId="46480DD9" w14:textId="77777777" w:rsidR="00A81108" w:rsidRPr="00A81108" w:rsidRDefault="00A81108" w:rsidP="00A81108">
            <w:pPr>
              <w:jc w:val="right"/>
              <w:rPr>
                <w:rFonts w:cs="Arial"/>
                <w:sz w:val="22"/>
                <w:szCs w:val="22"/>
              </w:rPr>
            </w:pPr>
            <w:r w:rsidRPr="00A81108">
              <w:rPr>
                <w:rFonts w:cs="Arial"/>
                <w:sz w:val="22"/>
                <w:szCs w:val="22"/>
              </w:rPr>
              <w:t>Applicant</w:t>
            </w:r>
          </w:p>
        </w:tc>
      </w:tr>
      <w:tr w:rsidR="00A81108" w:rsidRPr="00A81108" w14:paraId="501D3892" w14:textId="77777777" w:rsidTr="00E33DD8">
        <w:tc>
          <w:tcPr>
            <w:tcW w:w="6345" w:type="dxa"/>
          </w:tcPr>
          <w:p w14:paraId="4C6A3481" w14:textId="77777777" w:rsidR="00A81108" w:rsidRPr="00A81108" w:rsidRDefault="00A81108" w:rsidP="00A81108">
            <w:pPr>
              <w:rPr>
                <w:sz w:val="22"/>
                <w:szCs w:val="22"/>
              </w:rPr>
            </w:pPr>
          </w:p>
          <w:p w14:paraId="216D2703" w14:textId="77777777" w:rsidR="00A81108" w:rsidRPr="00A81108" w:rsidRDefault="00A81108" w:rsidP="00A81108">
            <w:pPr>
              <w:rPr>
                <w:sz w:val="22"/>
                <w:szCs w:val="22"/>
              </w:rPr>
            </w:pPr>
          </w:p>
        </w:tc>
        <w:tc>
          <w:tcPr>
            <w:tcW w:w="2410" w:type="dxa"/>
          </w:tcPr>
          <w:p w14:paraId="737E5203" w14:textId="77777777" w:rsidR="00A81108" w:rsidRPr="00A81108" w:rsidRDefault="00A81108" w:rsidP="00A81108">
            <w:pPr>
              <w:jc w:val="right"/>
              <w:rPr>
                <w:rFonts w:cs="Arial"/>
                <w:sz w:val="22"/>
                <w:szCs w:val="22"/>
              </w:rPr>
            </w:pPr>
          </w:p>
        </w:tc>
      </w:tr>
      <w:tr w:rsidR="00A81108" w:rsidRPr="00A81108" w14:paraId="77AB494A" w14:textId="77777777" w:rsidTr="00E33DD8">
        <w:tc>
          <w:tcPr>
            <w:tcW w:w="6345" w:type="dxa"/>
          </w:tcPr>
          <w:p w14:paraId="0C102012" w14:textId="77777777" w:rsidR="00A81108" w:rsidRPr="00A81108" w:rsidRDefault="00A81108" w:rsidP="00A81108">
            <w:pPr>
              <w:rPr>
                <w:sz w:val="22"/>
                <w:szCs w:val="22"/>
              </w:rPr>
            </w:pPr>
            <w:r w:rsidRPr="00A81108">
              <w:rPr>
                <w:sz w:val="22"/>
                <w:szCs w:val="22"/>
              </w:rPr>
              <w:t xml:space="preserve">and  </w:t>
            </w:r>
          </w:p>
        </w:tc>
        <w:tc>
          <w:tcPr>
            <w:tcW w:w="2410" w:type="dxa"/>
          </w:tcPr>
          <w:p w14:paraId="61AAFCA6" w14:textId="77777777" w:rsidR="00A81108" w:rsidRPr="00A81108" w:rsidRDefault="00A81108" w:rsidP="00A81108">
            <w:pPr>
              <w:jc w:val="right"/>
              <w:rPr>
                <w:rFonts w:cs="Arial"/>
                <w:sz w:val="22"/>
                <w:szCs w:val="22"/>
              </w:rPr>
            </w:pPr>
          </w:p>
        </w:tc>
      </w:tr>
      <w:tr w:rsidR="00A81108" w:rsidRPr="00A81108" w14:paraId="21E4D6DE" w14:textId="77777777" w:rsidTr="00E33DD8">
        <w:tc>
          <w:tcPr>
            <w:tcW w:w="6345" w:type="dxa"/>
          </w:tcPr>
          <w:p w14:paraId="012785B0" w14:textId="77777777" w:rsidR="00A81108" w:rsidRPr="00A81108" w:rsidRDefault="00A81108" w:rsidP="00A81108">
            <w:pPr>
              <w:rPr>
                <w:sz w:val="22"/>
                <w:szCs w:val="22"/>
              </w:rPr>
            </w:pPr>
          </w:p>
          <w:p w14:paraId="64405055" w14:textId="77777777" w:rsidR="00A81108" w:rsidRPr="00A81108" w:rsidRDefault="00A81108" w:rsidP="00A81108">
            <w:pPr>
              <w:rPr>
                <w:sz w:val="22"/>
                <w:szCs w:val="22"/>
              </w:rPr>
            </w:pPr>
          </w:p>
        </w:tc>
        <w:tc>
          <w:tcPr>
            <w:tcW w:w="2410" w:type="dxa"/>
          </w:tcPr>
          <w:p w14:paraId="1256AAD8" w14:textId="77777777" w:rsidR="00A81108" w:rsidRPr="00A81108" w:rsidRDefault="00A81108" w:rsidP="00A81108">
            <w:pPr>
              <w:jc w:val="right"/>
              <w:rPr>
                <w:rFonts w:cs="Arial"/>
                <w:sz w:val="22"/>
                <w:szCs w:val="22"/>
              </w:rPr>
            </w:pPr>
          </w:p>
        </w:tc>
      </w:tr>
      <w:tr w:rsidR="00A81108" w:rsidRPr="00A81108" w14:paraId="4E50A73C" w14:textId="77777777" w:rsidTr="00E33DD8">
        <w:tc>
          <w:tcPr>
            <w:tcW w:w="6345" w:type="dxa"/>
          </w:tcPr>
          <w:p w14:paraId="6313D78A" w14:textId="77777777" w:rsidR="00A81108" w:rsidRPr="00855F1B" w:rsidRDefault="00855F1B" w:rsidP="00855F1B">
            <w:pPr>
              <w:rPr>
                <w:b/>
                <w:sz w:val="22"/>
                <w:szCs w:val="22"/>
              </w:rPr>
            </w:pPr>
            <w:r>
              <w:rPr>
                <w:b/>
                <w:sz w:val="22"/>
                <w:szCs w:val="22"/>
              </w:rPr>
              <w:t>SHACKLETON CREDIT MANAGEMENT (PTY) LTD</w:t>
            </w:r>
          </w:p>
        </w:tc>
        <w:tc>
          <w:tcPr>
            <w:tcW w:w="2410" w:type="dxa"/>
          </w:tcPr>
          <w:p w14:paraId="0B40C19F" w14:textId="77777777" w:rsidR="00A81108" w:rsidRPr="00A81108" w:rsidRDefault="00855F1B" w:rsidP="00A81108">
            <w:pPr>
              <w:jc w:val="right"/>
              <w:rPr>
                <w:rFonts w:cs="Arial"/>
                <w:sz w:val="22"/>
                <w:szCs w:val="22"/>
              </w:rPr>
            </w:pPr>
            <w:r>
              <w:rPr>
                <w:rFonts w:cs="Arial"/>
                <w:sz w:val="22"/>
                <w:szCs w:val="22"/>
              </w:rPr>
              <w:t xml:space="preserve">First </w:t>
            </w:r>
            <w:r w:rsidR="00A81108" w:rsidRPr="00A81108">
              <w:rPr>
                <w:rFonts w:cs="Arial"/>
                <w:sz w:val="22"/>
                <w:szCs w:val="22"/>
              </w:rPr>
              <w:t>Respondent</w:t>
            </w:r>
          </w:p>
        </w:tc>
      </w:tr>
      <w:tr w:rsidR="00855F1B" w:rsidRPr="00A81108" w14:paraId="1C43A0E8" w14:textId="77777777" w:rsidTr="00E33DD8">
        <w:tc>
          <w:tcPr>
            <w:tcW w:w="6345" w:type="dxa"/>
          </w:tcPr>
          <w:p w14:paraId="072C84AA" w14:textId="77777777" w:rsidR="00855F1B" w:rsidRDefault="00855F1B" w:rsidP="00855F1B">
            <w:pPr>
              <w:rPr>
                <w:b/>
                <w:sz w:val="22"/>
                <w:szCs w:val="22"/>
              </w:rPr>
            </w:pPr>
          </w:p>
        </w:tc>
        <w:tc>
          <w:tcPr>
            <w:tcW w:w="2410" w:type="dxa"/>
          </w:tcPr>
          <w:p w14:paraId="51EA1565" w14:textId="77777777" w:rsidR="00855F1B" w:rsidRDefault="00855F1B" w:rsidP="00A81108">
            <w:pPr>
              <w:jc w:val="right"/>
              <w:rPr>
                <w:rFonts w:cs="Arial"/>
                <w:sz w:val="22"/>
                <w:szCs w:val="22"/>
              </w:rPr>
            </w:pPr>
          </w:p>
        </w:tc>
      </w:tr>
      <w:tr w:rsidR="00855F1B" w:rsidRPr="00A81108" w14:paraId="0213A863" w14:textId="77777777" w:rsidTr="00E33DD8">
        <w:tc>
          <w:tcPr>
            <w:tcW w:w="6345" w:type="dxa"/>
          </w:tcPr>
          <w:p w14:paraId="69809642" w14:textId="77777777" w:rsidR="00855F1B" w:rsidRDefault="00855F1B" w:rsidP="00855F1B">
            <w:pPr>
              <w:rPr>
                <w:b/>
                <w:sz w:val="22"/>
                <w:szCs w:val="22"/>
              </w:rPr>
            </w:pPr>
            <w:r>
              <w:rPr>
                <w:b/>
                <w:sz w:val="22"/>
                <w:szCs w:val="22"/>
              </w:rPr>
              <w:t xml:space="preserve">LYNN &amp; MAIN INCORPORATED ATTORNEYS </w:t>
            </w:r>
          </w:p>
        </w:tc>
        <w:tc>
          <w:tcPr>
            <w:tcW w:w="2410" w:type="dxa"/>
          </w:tcPr>
          <w:p w14:paraId="051141BD" w14:textId="77777777" w:rsidR="00855F1B" w:rsidRDefault="00855F1B" w:rsidP="00A81108">
            <w:pPr>
              <w:jc w:val="right"/>
              <w:rPr>
                <w:rFonts w:cs="Arial"/>
                <w:sz w:val="22"/>
                <w:szCs w:val="22"/>
              </w:rPr>
            </w:pPr>
            <w:r>
              <w:rPr>
                <w:rFonts w:cs="Arial"/>
                <w:sz w:val="22"/>
                <w:szCs w:val="22"/>
              </w:rPr>
              <w:t>Second Respondent</w:t>
            </w:r>
          </w:p>
        </w:tc>
      </w:tr>
    </w:tbl>
    <w:p w14:paraId="472F7E55" w14:textId="77777777" w:rsidR="00A81108" w:rsidRPr="00A81108" w:rsidRDefault="00A81108" w:rsidP="00A81108">
      <w:pPr>
        <w:spacing w:line="360" w:lineRule="auto"/>
        <w:jc w:val="both"/>
        <w:rPr>
          <w:rFonts w:cs="Arial"/>
          <w:sz w:val="22"/>
          <w:szCs w:val="22"/>
        </w:rPr>
      </w:pPr>
    </w:p>
    <w:p w14:paraId="040E6EB5" w14:textId="77777777" w:rsidR="00A81108" w:rsidRPr="00A81108" w:rsidRDefault="00A81108" w:rsidP="00A81108">
      <w:pPr>
        <w:pBdr>
          <w:bottom w:val="single" w:sz="4" w:space="1" w:color="auto"/>
        </w:pBdr>
        <w:spacing w:line="360" w:lineRule="auto"/>
        <w:jc w:val="both"/>
        <w:rPr>
          <w:rFonts w:cs="Arial"/>
          <w:sz w:val="22"/>
          <w:szCs w:val="22"/>
        </w:rPr>
      </w:pPr>
    </w:p>
    <w:p w14:paraId="38B9C87B" w14:textId="77777777" w:rsidR="00A81108" w:rsidRPr="00A81108" w:rsidRDefault="00A81108" w:rsidP="00A81108">
      <w:pPr>
        <w:spacing w:line="276" w:lineRule="auto"/>
        <w:jc w:val="both"/>
        <w:rPr>
          <w:rFonts w:cs="Arial"/>
          <w:sz w:val="22"/>
          <w:szCs w:val="22"/>
        </w:rPr>
      </w:pPr>
    </w:p>
    <w:p w14:paraId="4A4CEF66" w14:textId="77777777" w:rsidR="00A81108" w:rsidRPr="00A81108" w:rsidRDefault="00A81108" w:rsidP="00A81108">
      <w:pPr>
        <w:keepNext/>
        <w:spacing w:line="276" w:lineRule="auto"/>
        <w:jc w:val="center"/>
        <w:outlineLvl w:val="1"/>
        <w:rPr>
          <w:rFonts w:cs="Arial"/>
          <w:b/>
          <w:bCs/>
          <w:sz w:val="22"/>
          <w:szCs w:val="22"/>
        </w:rPr>
      </w:pPr>
      <w:r w:rsidRPr="00A81108">
        <w:rPr>
          <w:rFonts w:cs="Arial"/>
          <w:b/>
          <w:bCs/>
          <w:sz w:val="22"/>
          <w:szCs w:val="22"/>
        </w:rPr>
        <w:t>JUDGMENT</w:t>
      </w:r>
    </w:p>
    <w:p w14:paraId="0488F84C" w14:textId="77777777" w:rsidR="00A81108" w:rsidRPr="00A81108" w:rsidRDefault="00A81108" w:rsidP="00A81108">
      <w:pPr>
        <w:pBdr>
          <w:bottom w:val="single" w:sz="4" w:space="1" w:color="auto"/>
        </w:pBdr>
        <w:jc w:val="both"/>
        <w:rPr>
          <w:rFonts w:cs="Arial"/>
          <w:sz w:val="22"/>
          <w:szCs w:val="22"/>
        </w:rPr>
      </w:pPr>
    </w:p>
    <w:p w14:paraId="15AA1FBA" w14:textId="77777777" w:rsidR="00A81108" w:rsidRPr="00A81108" w:rsidRDefault="00A81108" w:rsidP="00A81108">
      <w:pPr>
        <w:spacing w:after="480" w:line="480" w:lineRule="auto"/>
        <w:jc w:val="both"/>
        <w:rPr>
          <w:rFonts w:cs="Arial"/>
          <w:sz w:val="22"/>
          <w:szCs w:val="22"/>
        </w:rPr>
      </w:pPr>
    </w:p>
    <w:p w14:paraId="3A8FEB2D" w14:textId="77777777" w:rsidR="00A81108" w:rsidRPr="00A81108" w:rsidRDefault="00A81108" w:rsidP="00A81108">
      <w:pPr>
        <w:spacing w:after="480" w:line="480" w:lineRule="auto"/>
        <w:jc w:val="both"/>
        <w:rPr>
          <w:rFonts w:cs="Arial"/>
          <w:b/>
          <w:sz w:val="22"/>
          <w:szCs w:val="22"/>
        </w:rPr>
      </w:pPr>
      <w:r w:rsidRPr="00A81108">
        <w:rPr>
          <w:rFonts w:cs="Arial"/>
          <w:b/>
          <w:sz w:val="22"/>
          <w:szCs w:val="22"/>
        </w:rPr>
        <w:t>CRUTCHFIELD J:</w:t>
      </w:r>
    </w:p>
    <w:p w14:paraId="3E3DF790" w14:textId="4844CA1A" w:rsidR="00A81108" w:rsidRDefault="001929B9" w:rsidP="001929B9">
      <w:pPr>
        <w:tabs>
          <w:tab w:val="left" w:pos="680"/>
        </w:tabs>
        <w:spacing w:after="480" w:line="480" w:lineRule="auto"/>
        <w:jc w:val="both"/>
        <w:rPr>
          <w:rFonts w:cs="Arial"/>
          <w:bCs/>
          <w:sz w:val="22"/>
          <w:szCs w:val="22"/>
        </w:rPr>
      </w:pPr>
      <w:r>
        <w:rPr>
          <w:rFonts w:cs="Arial"/>
          <w:bCs/>
          <w:sz w:val="21"/>
          <w:szCs w:val="21"/>
        </w:rPr>
        <w:lastRenderedPageBreak/>
        <w:t>[1]</w:t>
      </w:r>
      <w:r>
        <w:rPr>
          <w:rFonts w:cs="Arial"/>
          <w:bCs/>
          <w:sz w:val="21"/>
          <w:szCs w:val="21"/>
        </w:rPr>
        <w:tab/>
      </w:r>
      <w:r w:rsidR="00855F1B">
        <w:rPr>
          <w:rFonts w:cs="Arial"/>
          <w:bCs/>
          <w:sz w:val="22"/>
          <w:szCs w:val="22"/>
        </w:rPr>
        <w:t>The applicant, Sipho Sibeko, sought rescission of a judgment granted against him by default in his absence, on 20 November 2015, at the instance of the first respondent, Shackle</w:t>
      </w:r>
      <w:r w:rsidR="003C6B06">
        <w:rPr>
          <w:rFonts w:cs="Arial"/>
          <w:bCs/>
          <w:sz w:val="22"/>
          <w:szCs w:val="22"/>
        </w:rPr>
        <w:t>ton Credit Management (Pty) Ltd (‘the judgment’).</w:t>
      </w:r>
      <w:r w:rsidR="00855F1B">
        <w:rPr>
          <w:rFonts w:cs="Arial"/>
          <w:bCs/>
          <w:sz w:val="22"/>
          <w:szCs w:val="22"/>
        </w:rPr>
        <w:t xml:space="preserve"> In </w:t>
      </w:r>
      <w:r w:rsidR="001F3148">
        <w:rPr>
          <w:rFonts w:cs="Arial"/>
          <w:bCs/>
          <w:sz w:val="22"/>
          <w:szCs w:val="22"/>
        </w:rPr>
        <w:t>addition, the applicant claimed</w:t>
      </w:r>
      <w:r w:rsidR="00855F1B">
        <w:rPr>
          <w:rFonts w:cs="Arial"/>
          <w:bCs/>
          <w:sz w:val="22"/>
          <w:szCs w:val="22"/>
        </w:rPr>
        <w:t xml:space="preserve"> a declarator that the purported service of the summons on the applicant on 24 October 2015 was invalid</w:t>
      </w:r>
      <w:r w:rsidR="00361D0E">
        <w:rPr>
          <w:rFonts w:cs="Arial"/>
          <w:bCs/>
          <w:sz w:val="22"/>
          <w:szCs w:val="22"/>
        </w:rPr>
        <w:t>,</w:t>
      </w:r>
      <w:r w:rsidR="00855F1B">
        <w:rPr>
          <w:rFonts w:cs="Arial"/>
          <w:bCs/>
          <w:sz w:val="22"/>
          <w:szCs w:val="22"/>
        </w:rPr>
        <w:t xml:space="preserve"> as well as the setting aside of any process issued pursuant to the judgment. </w:t>
      </w:r>
    </w:p>
    <w:p w14:paraId="6A4F1D76" w14:textId="1AE46D60" w:rsidR="00855F1B" w:rsidRDefault="001929B9" w:rsidP="001929B9">
      <w:pPr>
        <w:tabs>
          <w:tab w:val="left" w:pos="680"/>
        </w:tabs>
        <w:spacing w:after="480" w:line="480" w:lineRule="auto"/>
        <w:jc w:val="both"/>
        <w:rPr>
          <w:rFonts w:cs="Arial"/>
          <w:bCs/>
          <w:sz w:val="22"/>
          <w:szCs w:val="22"/>
        </w:rPr>
      </w:pPr>
      <w:r>
        <w:rPr>
          <w:rFonts w:cs="Arial"/>
          <w:bCs/>
          <w:sz w:val="21"/>
          <w:szCs w:val="21"/>
        </w:rPr>
        <w:t>[2]</w:t>
      </w:r>
      <w:r>
        <w:rPr>
          <w:rFonts w:cs="Arial"/>
          <w:bCs/>
          <w:sz w:val="21"/>
          <w:szCs w:val="21"/>
        </w:rPr>
        <w:tab/>
      </w:r>
      <w:r w:rsidR="00855F1B">
        <w:rPr>
          <w:rFonts w:cs="Arial"/>
          <w:bCs/>
          <w:sz w:val="22"/>
          <w:szCs w:val="22"/>
        </w:rPr>
        <w:t>The second respondent was Lynn &amp; Main Incorporated Attorneys, the</w:t>
      </w:r>
      <w:r w:rsidR="00361D0E" w:rsidRPr="00361D0E">
        <w:rPr>
          <w:rFonts w:cs="Arial"/>
          <w:bCs/>
          <w:sz w:val="22"/>
          <w:szCs w:val="22"/>
        </w:rPr>
        <w:t xml:space="preserve"> </w:t>
      </w:r>
      <w:r w:rsidR="00361D0E">
        <w:rPr>
          <w:rFonts w:cs="Arial"/>
          <w:bCs/>
          <w:sz w:val="22"/>
          <w:szCs w:val="22"/>
        </w:rPr>
        <w:t>first respondent’s attorneys of record.</w:t>
      </w:r>
      <w:r w:rsidR="00855F1B">
        <w:rPr>
          <w:rFonts w:cs="Arial"/>
          <w:bCs/>
          <w:sz w:val="22"/>
          <w:szCs w:val="22"/>
        </w:rPr>
        <w:t xml:space="preserve"> The </w:t>
      </w:r>
      <w:r w:rsidR="00A122D6">
        <w:rPr>
          <w:rFonts w:cs="Arial"/>
          <w:bCs/>
          <w:sz w:val="22"/>
          <w:szCs w:val="22"/>
        </w:rPr>
        <w:t>applicant claimed</w:t>
      </w:r>
      <w:r w:rsidR="00A122D6" w:rsidRPr="00A122D6">
        <w:rPr>
          <w:rFonts w:cs="Arial"/>
          <w:bCs/>
          <w:sz w:val="22"/>
          <w:szCs w:val="22"/>
        </w:rPr>
        <w:t xml:space="preserve"> </w:t>
      </w:r>
      <w:r w:rsidR="00A122D6">
        <w:rPr>
          <w:rFonts w:cs="Arial"/>
          <w:bCs/>
          <w:sz w:val="22"/>
          <w:szCs w:val="22"/>
        </w:rPr>
        <w:t xml:space="preserve">costs of the application on a punitive scale against the </w:t>
      </w:r>
      <w:r w:rsidR="00855F1B">
        <w:rPr>
          <w:rFonts w:cs="Arial"/>
          <w:bCs/>
          <w:sz w:val="22"/>
          <w:szCs w:val="22"/>
        </w:rPr>
        <w:t xml:space="preserve">second respondent </w:t>
      </w:r>
      <w:r w:rsidR="00A122D6">
        <w:rPr>
          <w:rFonts w:cs="Arial"/>
          <w:bCs/>
          <w:sz w:val="22"/>
          <w:szCs w:val="22"/>
        </w:rPr>
        <w:t>pursuant to their allegedly</w:t>
      </w:r>
      <w:r w:rsidR="00855F1B">
        <w:rPr>
          <w:rFonts w:cs="Arial"/>
          <w:bCs/>
          <w:sz w:val="22"/>
          <w:szCs w:val="22"/>
        </w:rPr>
        <w:t xml:space="preserve"> dilatory conduct in providing</w:t>
      </w:r>
      <w:r w:rsidR="00361D0E">
        <w:rPr>
          <w:rFonts w:cs="Arial"/>
          <w:bCs/>
          <w:sz w:val="22"/>
          <w:szCs w:val="22"/>
        </w:rPr>
        <w:t xml:space="preserve"> documents to the applicant</w:t>
      </w:r>
      <w:r w:rsidR="00855F1B">
        <w:rPr>
          <w:rFonts w:cs="Arial"/>
          <w:bCs/>
          <w:sz w:val="22"/>
          <w:szCs w:val="22"/>
        </w:rPr>
        <w:t xml:space="preserve"> pursuant to the</w:t>
      </w:r>
      <w:r w:rsidR="00361D0E">
        <w:rPr>
          <w:rFonts w:cs="Arial"/>
          <w:bCs/>
          <w:sz w:val="22"/>
          <w:szCs w:val="22"/>
        </w:rPr>
        <w:t>ir</w:t>
      </w:r>
      <w:r w:rsidR="00855F1B">
        <w:rPr>
          <w:rFonts w:cs="Arial"/>
          <w:bCs/>
          <w:sz w:val="22"/>
          <w:szCs w:val="22"/>
        </w:rPr>
        <w:t xml:space="preserve"> attachment and freezing of the applicant’s Capitec bank account.</w:t>
      </w:r>
    </w:p>
    <w:p w14:paraId="782A2303" w14:textId="388D2C2C" w:rsidR="00855F1B" w:rsidRDefault="001929B9" w:rsidP="001929B9">
      <w:pPr>
        <w:tabs>
          <w:tab w:val="left" w:pos="680"/>
        </w:tabs>
        <w:spacing w:after="480" w:line="480" w:lineRule="auto"/>
        <w:jc w:val="both"/>
        <w:rPr>
          <w:rFonts w:cs="Arial"/>
          <w:bCs/>
          <w:sz w:val="22"/>
          <w:szCs w:val="22"/>
        </w:rPr>
      </w:pPr>
      <w:r>
        <w:rPr>
          <w:rFonts w:cs="Arial"/>
          <w:bCs/>
          <w:sz w:val="21"/>
          <w:szCs w:val="21"/>
        </w:rPr>
        <w:t>[3]</w:t>
      </w:r>
      <w:r>
        <w:rPr>
          <w:rFonts w:cs="Arial"/>
          <w:bCs/>
          <w:sz w:val="21"/>
          <w:szCs w:val="21"/>
        </w:rPr>
        <w:tab/>
      </w:r>
      <w:r w:rsidR="00855F1B">
        <w:rPr>
          <w:rFonts w:cs="Arial"/>
          <w:bCs/>
          <w:sz w:val="22"/>
          <w:szCs w:val="22"/>
        </w:rPr>
        <w:t>The applicant relied for the relief sought by him on Rule 42(1)(a), alternatively Rule 31(2)(b), further alternatively the common law</w:t>
      </w:r>
      <w:r w:rsidR="003C6B06">
        <w:rPr>
          <w:rFonts w:cs="Arial"/>
          <w:bCs/>
          <w:sz w:val="22"/>
          <w:szCs w:val="22"/>
        </w:rPr>
        <w:t xml:space="preserve">, for </w:t>
      </w:r>
      <w:r w:rsidR="00855F1B">
        <w:rPr>
          <w:rFonts w:cs="Arial"/>
          <w:bCs/>
          <w:sz w:val="22"/>
          <w:szCs w:val="22"/>
        </w:rPr>
        <w:t xml:space="preserve">rescission of the judgment. </w:t>
      </w:r>
    </w:p>
    <w:p w14:paraId="038E208E" w14:textId="714D2B90" w:rsidR="00855F1B" w:rsidRDefault="001929B9" w:rsidP="001929B9">
      <w:pPr>
        <w:tabs>
          <w:tab w:val="left" w:pos="680"/>
        </w:tabs>
        <w:spacing w:after="480" w:line="480" w:lineRule="auto"/>
        <w:jc w:val="both"/>
        <w:rPr>
          <w:rFonts w:cs="Arial"/>
          <w:bCs/>
          <w:sz w:val="22"/>
          <w:szCs w:val="22"/>
        </w:rPr>
      </w:pPr>
      <w:r>
        <w:rPr>
          <w:rFonts w:cs="Arial"/>
          <w:bCs/>
          <w:sz w:val="21"/>
          <w:szCs w:val="21"/>
        </w:rPr>
        <w:t>[4]</w:t>
      </w:r>
      <w:r>
        <w:rPr>
          <w:rFonts w:cs="Arial"/>
          <w:bCs/>
          <w:sz w:val="21"/>
          <w:szCs w:val="21"/>
        </w:rPr>
        <w:tab/>
      </w:r>
      <w:r w:rsidR="00855F1B">
        <w:rPr>
          <w:rFonts w:cs="Arial"/>
          <w:bCs/>
          <w:sz w:val="22"/>
          <w:szCs w:val="22"/>
        </w:rPr>
        <w:t>The respondents oppose</w:t>
      </w:r>
      <w:r w:rsidR="00A122D6">
        <w:rPr>
          <w:rFonts w:cs="Arial"/>
          <w:bCs/>
          <w:sz w:val="22"/>
          <w:szCs w:val="22"/>
        </w:rPr>
        <w:t>d</w:t>
      </w:r>
      <w:r w:rsidR="00855F1B">
        <w:rPr>
          <w:rFonts w:cs="Arial"/>
          <w:bCs/>
          <w:sz w:val="22"/>
          <w:szCs w:val="22"/>
        </w:rPr>
        <w:t xml:space="preserve"> the application.</w:t>
      </w:r>
    </w:p>
    <w:p w14:paraId="7E83A1CD" w14:textId="37632347" w:rsidR="00361D0E" w:rsidRDefault="001929B9" w:rsidP="001929B9">
      <w:pPr>
        <w:tabs>
          <w:tab w:val="left" w:pos="680"/>
        </w:tabs>
        <w:spacing w:after="480" w:line="480" w:lineRule="auto"/>
        <w:jc w:val="both"/>
        <w:rPr>
          <w:rFonts w:cs="Arial"/>
          <w:bCs/>
          <w:sz w:val="22"/>
          <w:szCs w:val="22"/>
        </w:rPr>
      </w:pPr>
      <w:r>
        <w:rPr>
          <w:rFonts w:cs="Arial"/>
          <w:bCs/>
          <w:sz w:val="21"/>
          <w:szCs w:val="21"/>
        </w:rPr>
        <w:t>[5]</w:t>
      </w:r>
      <w:r>
        <w:rPr>
          <w:rFonts w:cs="Arial"/>
          <w:bCs/>
          <w:sz w:val="21"/>
          <w:szCs w:val="21"/>
        </w:rPr>
        <w:tab/>
      </w:r>
      <w:r w:rsidR="00361D0E">
        <w:rPr>
          <w:rFonts w:cs="Arial"/>
          <w:bCs/>
          <w:sz w:val="22"/>
          <w:szCs w:val="22"/>
        </w:rPr>
        <w:t xml:space="preserve">In order to find success, the applicant had to meet the requirements of a rescission, being a reasonable explanation for his default and a bona fide defence to the first respondent’s claim.   </w:t>
      </w:r>
    </w:p>
    <w:p w14:paraId="1AE33AD9" w14:textId="5172ACFC" w:rsidR="00361D0E" w:rsidRDefault="001929B9" w:rsidP="001929B9">
      <w:pPr>
        <w:tabs>
          <w:tab w:val="left" w:pos="680"/>
        </w:tabs>
        <w:spacing w:after="480" w:line="480" w:lineRule="auto"/>
        <w:jc w:val="both"/>
        <w:rPr>
          <w:rFonts w:cs="Arial"/>
          <w:bCs/>
          <w:sz w:val="22"/>
          <w:szCs w:val="22"/>
        </w:rPr>
      </w:pPr>
      <w:r>
        <w:rPr>
          <w:rFonts w:cs="Arial"/>
          <w:bCs/>
          <w:sz w:val="21"/>
          <w:szCs w:val="21"/>
        </w:rPr>
        <w:t>[6]</w:t>
      </w:r>
      <w:r>
        <w:rPr>
          <w:rFonts w:cs="Arial"/>
          <w:bCs/>
          <w:sz w:val="21"/>
          <w:szCs w:val="21"/>
        </w:rPr>
        <w:tab/>
      </w:r>
      <w:r w:rsidR="00A122D6" w:rsidRPr="0022042F">
        <w:rPr>
          <w:rFonts w:cs="Arial"/>
          <w:bCs/>
          <w:sz w:val="22"/>
          <w:szCs w:val="22"/>
        </w:rPr>
        <w:t>The applicant concluded</w:t>
      </w:r>
      <w:r w:rsidR="00855F1B" w:rsidRPr="0022042F">
        <w:rPr>
          <w:rFonts w:cs="Arial"/>
          <w:bCs/>
          <w:sz w:val="22"/>
          <w:szCs w:val="22"/>
        </w:rPr>
        <w:t xml:space="preserve"> an instalment sale agreement</w:t>
      </w:r>
      <w:r w:rsidR="00A122D6" w:rsidRPr="0022042F">
        <w:rPr>
          <w:rFonts w:cs="Arial"/>
          <w:bCs/>
          <w:sz w:val="22"/>
          <w:szCs w:val="22"/>
        </w:rPr>
        <w:t xml:space="preserve"> </w:t>
      </w:r>
      <w:r w:rsidR="00361D0E">
        <w:rPr>
          <w:rFonts w:cs="Arial"/>
          <w:bCs/>
          <w:sz w:val="22"/>
          <w:szCs w:val="22"/>
        </w:rPr>
        <w:t xml:space="preserve">for the purchase of a motor vehicle </w:t>
      </w:r>
      <w:r w:rsidR="00A122D6" w:rsidRPr="0022042F">
        <w:rPr>
          <w:rFonts w:cs="Arial"/>
          <w:bCs/>
          <w:sz w:val="22"/>
          <w:szCs w:val="22"/>
        </w:rPr>
        <w:t xml:space="preserve">with </w:t>
      </w:r>
      <w:proofErr w:type="spellStart"/>
      <w:r w:rsidR="00A122D6" w:rsidRPr="0022042F">
        <w:rPr>
          <w:rFonts w:cs="Arial"/>
          <w:bCs/>
          <w:sz w:val="22"/>
          <w:szCs w:val="22"/>
        </w:rPr>
        <w:t>Wesbank</w:t>
      </w:r>
      <w:proofErr w:type="spellEnd"/>
      <w:r w:rsidR="0022042F" w:rsidRPr="0022042F">
        <w:rPr>
          <w:rFonts w:cs="Arial"/>
          <w:bCs/>
          <w:sz w:val="22"/>
          <w:szCs w:val="22"/>
        </w:rPr>
        <w:t xml:space="preserve">, a division of </w:t>
      </w:r>
      <w:proofErr w:type="spellStart"/>
      <w:r w:rsidR="0022042F" w:rsidRPr="0022042F">
        <w:rPr>
          <w:rFonts w:cs="Arial"/>
          <w:bCs/>
          <w:sz w:val="22"/>
          <w:szCs w:val="22"/>
        </w:rPr>
        <w:t>Firstrand</w:t>
      </w:r>
      <w:proofErr w:type="spellEnd"/>
      <w:r w:rsidR="0022042F" w:rsidRPr="0022042F">
        <w:rPr>
          <w:rFonts w:cs="Arial"/>
          <w:bCs/>
          <w:sz w:val="22"/>
          <w:szCs w:val="22"/>
        </w:rPr>
        <w:t xml:space="preserve"> Limited</w:t>
      </w:r>
      <w:r w:rsidR="00361D0E">
        <w:rPr>
          <w:rFonts w:cs="Arial"/>
          <w:bCs/>
          <w:sz w:val="22"/>
          <w:szCs w:val="22"/>
        </w:rPr>
        <w:t xml:space="preserve"> </w:t>
      </w:r>
      <w:r w:rsidR="00361D0E" w:rsidRPr="0022042F">
        <w:rPr>
          <w:rFonts w:cs="Arial"/>
          <w:bCs/>
          <w:sz w:val="22"/>
          <w:szCs w:val="22"/>
        </w:rPr>
        <w:t>(‘the agreement’).</w:t>
      </w:r>
      <w:r w:rsidR="00B3052F" w:rsidRPr="0022042F">
        <w:rPr>
          <w:rFonts w:cs="Arial"/>
          <w:bCs/>
          <w:sz w:val="22"/>
          <w:szCs w:val="22"/>
        </w:rPr>
        <w:t xml:space="preserve"> </w:t>
      </w:r>
      <w:proofErr w:type="spellStart"/>
      <w:r w:rsidR="00361D0E">
        <w:rPr>
          <w:rFonts w:cs="Arial"/>
          <w:bCs/>
          <w:sz w:val="22"/>
          <w:szCs w:val="22"/>
        </w:rPr>
        <w:t>Wesbank</w:t>
      </w:r>
      <w:proofErr w:type="spellEnd"/>
      <w:r w:rsidR="00B3052F" w:rsidRPr="0022042F">
        <w:rPr>
          <w:rFonts w:cs="Arial"/>
          <w:bCs/>
          <w:sz w:val="22"/>
          <w:szCs w:val="22"/>
        </w:rPr>
        <w:t xml:space="preserve"> </w:t>
      </w:r>
      <w:r w:rsidR="00361D0E">
        <w:rPr>
          <w:rFonts w:cs="Arial"/>
          <w:bCs/>
          <w:sz w:val="22"/>
          <w:szCs w:val="22"/>
        </w:rPr>
        <w:t>ceded the</w:t>
      </w:r>
      <w:r w:rsidR="00A122D6" w:rsidRPr="0022042F">
        <w:rPr>
          <w:rFonts w:cs="Arial"/>
          <w:bCs/>
          <w:sz w:val="22"/>
          <w:szCs w:val="22"/>
        </w:rPr>
        <w:t xml:space="preserve"> agreement to the </w:t>
      </w:r>
      <w:r w:rsidR="00855F1B" w:rsidRPr="0022042F">
        <w:rPr>
          <w:rFonts w:cs="Arial"/>
          <w:bCs/>
          <w:sz w:val="22"/>
          <w:szCs w:val="22"/>
        </w:rPr>
        <w:t>first respondent</w:t>
      </w:r>
      <w:r w:rsidR="00361D0E">
        <w:rPr>
          <w:rFonts w:cs="Arial"/>
          <w:bCs/>
          <w:sz w:val="22"/>
          <w:szCs w:val="22"/>
        </w:rPr>
        <w:t>.</w:t>
      </w:r>
      <w:r w:rsidR="00A122D6" w:rsidRPr="0022042F">
        <w:rPr>
          <w:rFonts w:cs="Arial"/>
          <w:bCs/>
          <w:sz w:val="22"/>
          <w:szCs w:val="22"/>
        </w:rPr>
        <w:t xml:space="preserve"> </w:t>
      </w:r>
    </w:p>
    <w:p w14:paraId="1A555699" w14:textId="23BAD463" w:rsidR="005C3870" w:rsidRPr="00361D0E" w:rsidRDefault="001929B9" w:rsidP="001929B9">
      <w:pPr>
        <w:tabs>
          <w:tab w:val="left" w:pos="680"/>
        </w:tabs>
        <w:spacing w:after="480" w:line="480" w:lineRule="auto"/>
        <w:jc w:val="both"/>
        <w:rPr>
          <w:rFonts w:cs="Arial"/>
          <w:bCs/>
          <w:sz w:val="22"/>
          <w:szCs w:val="22"/>
        </w:rPr>
      </w:pPr>
      <w:r w:rsidRPr="00361D0E">
        <w:rPr>
          <w:rFonts w:cs="Arial"/>
          <w:bCs/>
          <w:sz w:val="21"/>
          <w:szCs w:val="21"/>
        </w:rPr>
        <w:t>[7]</w:t>
      </w:r>
      <w:r w:rsidRPr="00361D0E">
        <w:rPr>
          <w:rFonts w:cs="Arial"/>
          <w:bCs/>
          <w:sz w:val="21"/>
          <w:szCs w:val="21"/>
        </w:rPr>
        <w:tab/>
      </w:r>
      <w:r w:rsidR="00361D0E">
        <w:rPr>
          <w:rFonts w:cs="Arial"/>
          <w:bCs/>
          <w:sz w:val="22"/>
          <w:szCs w:val="22"/>
        </w:rPr>
        <w:t xml:space="preserve">In </w:t>
      </w:r>
      <w:r w:rsidR="005C3870" w:rsidRPr="0022042F">
        <w:rPr>
          <w:rFonts w:cs="Arial"/>
          <w:bCs/>
          <w:sz w:val="22"/>
          <w:szCs w:val="22"/>
        </w:rPr>
        <w:t>terms o</w:t>
      </w:r>
      <w:r w:rsidR="005C3870">
        <w:rPr>
          <w:rFonts w:cs="Arial"/>
          <w:bCs/>
          <w:sz w:val="22"/>
          <w:szCs w:val="22"/>
        </w:rPr>
        <w:t>f the agreement, t</w:t>
      </w:r>
      <w:r w:rsidR="00A122D6">
        <w:rPr>
          <w:rFonts w:cs="Arial"/>
          <w:bCs/>
          <w:sz w:val="22"/>
          <w:szCs w:val="22"/>
        </w:rPr>
        <w:t>he</w:t>
      </w:r>
      <w:r w:rsidR="00855F1B">
        <w:rPr>
          <w:rFonts w:cs="Arial"/>
          <w:bCs/>
          <w:sz w:val="22"/>
          <w:szCs w:val="22"/>
        </w:rPr>
        <w:t xml:space="preserve"> </w:t>
      </w:r>
      <w:r w:rsidR="00A122D6">
        <w:rPr>
          <w:rFonts w:cs="Arial"/>
          <w:bCs/>
          <w:sz w:val="22"/>
          <w:szCs w:val="22"/>
        </w:rPr>
        <w:t xml:space="preserve">applicant </w:t>
      </w:r>
      <w:r w:rsidR="00855F1B">
        <w:rPr>
          <w:rFonts w:cs="Arial"/>
          <w:bCs/>
          <w:sz w:val="22"/>
          <w:szCs w:val="22"/>
        </w:rPr>
        <w:t xml:space="preserve">chose a </w:t>
      </w:r>
      <w:proofErr w:type="spellStart"/>
      <w:r w:rsidR="00855F1B">
        <w:rPr>
          <w:rFonts w:cs="Arial"/>
          <w:bCs/>
          <w:i/>
          <w:sz w:val="22"/>
          <w:szCs w:val="22"/>
        </w:rPr>
        <w:t>domicilium</w:t>
      </w:r>
      <w:proofErr w:type="spellEnd"/>
      <w:r w:rsidR="00855F1B">
        <w:rPr>
          <w:rFonts w:cs="Arial"/>
          <w:bCs/>
          <w:i/>
          <w:sz w:val="22"/>
          <w:szCs w:val="22"/>
        </w:rPr>
        <w:t xml:space="preserve"> </w:t>
      </w:r>
      <w:proofErr w:type="spellStart"/>
      <w:r w:rsidR="00855F1B">
        <w:rPr>
          <w:rFonts w:cs="Arial"/>
          <w:bCs/>
          <w:i/>
          <w:sz w:val="22"/>
          <w:szCs w:val="22"/>
        </w:rPr>
        <w:t>citandi</w:t>
      </w:r>
      <w:proofErr w:type="spellEnd"/>
      <w:r w:rsidR="00855F1B">
        <w:rPr>
          <w:rFonts w:cs="Arial"/>
          <w:bCs/>
          <w:i/>
          <w:sz w:val="22"/>
          <w:szCs w:val="22"/>
        </w:rPr>
        <w:t xml:space="preserve"> et </w:t>
      </w:r>
      <w:proofErr w:type="spellStart"/>
      <w:r w:rsidR="00855F1B">
        <w:rPr>
          <w:rFonts w:cs="Arial"/>
          <w:bCs/>
          <w:i/>
          <w:sz w:val="22"/>
          <w:szCs w:val="22"/>
        </w:rPr>
        <w:t>executandi</w:t>
      </w:r>
      <w:proofErr w:type="spellEnd"/>
      <w:r w:rsidR="005C3870" w:rsidRPr="005C3870">
        <w:rPr>
          <w:rFonts w:cs="Arial"/>
          <w:bCs/>
          <w:sz w:val="22"/>
          <w:szCs w:val="22"/>
        </w:rPr>
        <w:t xml:space="preserve"> </w:t>
      </w:r>
      <w:r w:rsidR="00A122D6" w:rsidRPr="005C3870">
        <w:rPr>
          <w:rFonts w:cs="Arial"/>
          <w:bCs/>
          <w:sz w:val="22"/>
          <w:szCs w:val="22"/>
        </w:rPr>
        <w:t>as</w:t>
      </w:r>
      <w:r w:rsidR="00A122D6">
        <w:rPr>
          <w:rFonts w:cs="Arial"/>
          <w:bCs/>
          <w:i/>
          <w:sz w:val="22"/>
          <w:szCs w:val="22"/>
        </w:rPr>
        <w:t xml:space="preserve"> </w:t>
      </w:r>
      <w:r w:rsidR="00A122D6" w:rsidRPr="00A122D6">
        <w:rPr>
          <w:rFonts w:cs="Arial"/>
          <w:bCs/>
          <w:sz w:val="22"/>
          <w:szCs w:val="22"/>
        </w:rPr>
        <w:t xml:space="preserve">the address </w:t>
      </w:r>
      <w:r w:rsidR="00A122D6">
        <w:rPr>
          <w:rFonts w:cs="Arial"/>
          <w:bCs/>
          <w:sz w:val="22"/>
          <w:szCs w:val="22"/>
        </w:rPr>
        <w:t>for</w:t>
      </w:r>
      <w:r w:rsidR="00CA6F88" w:rsidRPr="00A122D6">
        <w:rPr>
          <w:rFonts w:cs="Arial"/>
          <w:bCs/>
          <w:sz w:val="22"/>
          <w:szCs w:val="22"/>
        </w:rPr>
        <w:t xml:space="preserve"> </w:t>
      </w:r>
      <w:r w:rsidR="005C3870">
        <w:rPr>
          <w:rFonts w:cs="Arial"/>
          <w:bCs/>
          <w:sz w:val="22"/>
          <w:szCs w:val="22"/>
        </w:rPr>
        <w:t xml:space="preserve">service on him of legal process </w:t>
      </w:r>
      <w:r w:rsidR="00CA6F88" w:rsidRPr="00A122D6">
        <w:rPr>
          <w:rFonts w:cs="Arial"/>
          <w:bCs/>
          <w:sz w:val="22"/>
          <w:szCs w:val="22"/>
        </w:rPr>
        <w:t>pursuant to the</w:t>
      </w:r>
      <w:r w:rsidR="00361D0E">
        <w:rPr>
          <w:rFonts w:cs="Arial"/>
          <w:bCs/>
          <w:sz w:val="22"/>
          <w:szCs w:val="22"/>
        </w:rPr>
        <w:t xml:space="preserve"> agreement, being</w:t>
      </w:r>
      <w:r w:rsidR="00CA6F88" w:rsidRPr="00361D0E">
        <w:rPr>
          <w:rFonts w:cs="Arial"/>
          <w:bCs/>
          <w:sz w:val="22"/>
          <w:szCs w:val="22"/>
        </w:rPr>
        <w:t xml:space="preserve"> 71 </w:t>
      </w:r>
      <w:proofErr w:type="spellStart"/>
      <w:r w:rsidR="00CA6F88" w:rsidRPr="00361D0E">
        <w:rPr>
          <w:rFonts w:cs="Arial"/>
          <w:bCs/>
          <w:sz w:val="22"/>
          <w:szCs w:val="22"/>
        </w:rPr>
        <w:t>Herenshaw</w:t>
      </w:r>
      <w:proofErr w:type="spellEnd"/>
      <w:r w:rsidR="00CA6F88" w:rsidRPr="00361D0E">
        <w:rPr>
          <w:rFonts w:cs="Arial"/>
          <w:bCs/>
          <w:sz w:val="22"/>
          <w:szCs w:val="22"/>
        </w:rPr>
        <w:t xml:space="preserve"> Street, Buccleuch</w:t>
      </w:r>
      <w:r w:rsidR="00361D0E">
        <w:rPr>
          <w:rFonts w:cs="Arial"/>
          <w:bCs/>
          <w:sz w:val="22"/>
          <w:szCs w:val="22"/>
        </w:rPr>
        <w:t>, Sandton, Gauteng</w:t>
      </w:r>
      <w:r w:rsidR="005C3870" w:rsidRPr="00361D0E">
        <w:rPr>
          <w:rFonts w:cs="Arial"/>
          <w:bCs/>
          <w:sz w:val="22"/>
          <w:szCs w:val="22"/>
        </w:rPr>
        <w:t xml:space="preserve"> </w:t>
      </w:r>
      <w:r w:rsidR="00361D0E" w:rsidRPr="00361D0E">
        <w:rPr>
          <w:rFonts w:cs="Arial"/>
          <w:bCs/>
          <w:sz w:val="22"/>
          <w:szCs w:val="22"/>
        </w:rPr>
        <w:t>(‘</w:t>
      </w:r>
      <w:r w:rsidR="00361D0E">
        <w:rPr>
          <w:rFonts w:cs="Arial"/>
          <w:bCs/>
          <w:sz w:val="22"/>
          <w:szCs w:val="22"/>
        </w:rPr>
        <w:t xml:space="preserve">the </w:t>
      </w:r>
      <w:proofErr w:type="spellStart"/>
      <w:r w:rsidR="00361D0E" w:rsidRPr="00361D0E">
        <w:rPr>
          <w:rFonts w:cs="Arial"/>
          <w:bCs/>
          <w:i/>
          <w:sz w:val="22"/>
          <w:szCs w:val="22"/>
        </w:rPr>
        <w:t>domicilium</w:t>
      </w:r>
      <w:proofErr w:type="spellEnd"/>
      <w:r w:rsidR="00361D0E" w:rsidRPr="00361D0E">
        <w:rPr>
          <w:rFonts w:cs="Arial"/>
          <w:bCs/>
          <w:i/>
          <w:sz w:val="22"/>
          <w:szCs w:val="22"/>
        </w:rPr>
        <w:t xml:space="preserve"> </w:t>
      </w:r>
      <w:r w:rsidR="00361D0E" w:rsidRPr="00361D0E">
        <w:rPr>
          <w:rFonts w:cs="Arial"/>
          <w:bCs/>
          <w:sz w:val="22"/>
          <w:szCs w:val="22"/>
        </w:rPr>
        <w:t>address’</w:t>
      </w:r>
      <w:r w:rsidR="00361D0E" w:rsidRPr="00361D0E">
        <w:rPr>
          <w:rFonts w:cs="Arial"/>
          <w:bCs/>
          <w:i/>
          <w:sz w:val="22"/>
          <w:szCs w:val="22"/>
        </w:rPr>
        <w:t>),</w:t>
      </w:r>
    </w:p>
    <w:p w14:paraId="56E7F529" w14:textId="11CA94CA" w:rsidR="0022042F" w:rsidRDefault="001929B9" w:rsidP="001929B9">
      <w:pPr>
        <w:tabs>
          <w:tab w:val="left" w:pos="680"/>
        </w:tabs>
        <w:spacing w:after="480" w:line="480" w:lineRule="auto"/>
        <w:jc w:val="both"/>
        <w:rPr>
          <w:rFonts w:cs="Arial"/>
          <w:bCs/>
          <w:sz w:val="22"/>
          <w:szCs w:val="22"/>
        </w:rPr>
      </w:pPr>
      <w:r>
        <w:rPr>
          <w:rFonts w:cs="Arial"/>
          <w:bCs/>
          <w:sz w:val="21"/>
          <w:szCs w:val="21"/>
        </w:rPr>
        <w:lastRenderedPageBreak/>
        <w:t>[8]</w:t>
      </w:r>
      <w:r>
        <w:rPr>
          <w:rFonts w:cs="Arial"/>
          <w:bCs/>
          <w:sz w:val="21"/>
          <w:szCs w:val="21"/>
        </w:rPr>
        <w:tab/>
      </w:r>
      <w:r w:rsidR="00A94264" w:rsidRPr="00A94264">
        <w:rPr>
          <w:rFonts w:cs="Arial"/>
          <w:bCs/>
          <w:i/>
          <w:sz w:val="22"/>
          <w:szCs w:val="22"/>
        </w:rPr>
        <w:t>Ex facie</w:t>
      </w:r>
      <w:r w:rsidR="00A94264">
        <w:rPr>
          <w:rFonts w:cs="Arial"/>
          <w:bCs/>
          <w:sz w:val="22"/>
          <w:szCs w:val="22"/>
        </w:rPr>
        <w:t xml:space="preserve"> t</w:t>
      </w:r>
      <w:r w:rsidR="00CA6F88" w:rsidRPr="005C3870">
        <w:rPr>
          <w:rFonts w:cs="Arial"/>
          <w:bCs/>
          <w:sz w:val="22"/>
          <w:szCs w:val="22"/>
        </w:rPr>
        <w:t xml:space="preserve">he </w:t>
      </w:r>
      <w:r w:rsidR="00A94264">
        <w:rPr>
          <w:rFonts w:cs="Arial"/>
          <w:bCs/>
          <w:sz w:val="22"/>
          <w:szCs w:val="22"/>
        </w:rPr>
        <w:t xml:space="preserve">sheriff’s </w:t>
      </w:r>
      <w:r w:rsidR="00CA6F88" w:rsidRPr="005C3870">
        <w:rPr>
          <w:rFonts w:cs="Arial"/>
          <w:bCs/>
          <w:sz w:val="22"/>
          <w:szCs w:val="22"/>
        </w:rPr>
        <w:t xml:space="preserve">return of service </w:t>
      </w:r>
      <w:r w:rsidR="003C6B06">
        <w:rPr>
          <w:rFonts w:cs="Arial"/>
          <w:bCs/>
          <w:sz w:val="22"/>
          <w:szCs w:val="22"/>
        </w:rPr>
        <w:t>upon which the first respondent relied for purposes of the</w:t>
      </w:r>
      <w:r w:rsidR="00CA6F88" w:rsidRPr="005C3870">
        <w:rPr>
          <w:rFonts w:cs="Arial"/>
          <w:bCs/>
          <w:sz w:val="22"/>
          <w:szCs w:val="22"/>
        </w:rPr>
        <w:t xml:space="preserve"> a</w:t>
      </w:r>
      <w:r w:rsidR="00A94264">
        <w:rPr>
          <w:rFonts w:cs="Arial"/>
          <w:bCs/>
          <w:sz w:val="22"/>
          <w:szCs w:val="22"/>
        </w:rPr>
        <w:t>pp</w:t>
      </w:r>
      <w:r w:rsidR="00235ACF">
        <w:rPr>
          <w:rFonts w:cs="Arial"/>
          <w:bCs/>
          <w:sz w:val="22"/>
          <w:szCs w:val="22"/>
        </w:rPr>
        <w:t>lication for default judgment,</w:t>
      </w:r>
      <w:r w:rsidR="00361D0E">
        <w:rPr>
          <w:rFonts w:cs="Arial"/>
          <w:bCs/>
          <w:sz w:val="22"/>
          <w:szCs w:val="22"/>
        </w:rPr>
        <w:t xml:space="preserve"> </w:t>
      </w:r>
      <w:r w:rsidR="003C6B06">
        <w:rPr>
          <w:rFonts w:cs="Arial"/>
          <w:bCs/>
          <w:sz w:val="22"/>
          <w:szCs w:val="22"/>
        </w:rPr>
        <w:t>“</w:t>
      </w:r>
      <w:r w:rsidR="00F75E77">
        <w:rPr>
          <w:rFonts w:cs="Arial"/>
          <w:bCs/>
          <w:sz w:val="22"/>
          <w:szCs w:val="22"/>
        </w:rPr>
        <w:t xml:space="preserve">at </w:t>
      </w:r>
      <w:r w:rsidR="00235ACF">
        <w:rPr>
          <w:rFonts w:cs="Arial"/>
          <w:bCs/>
          <w:sz w:val="22"/>
          <w:szCs w:val="22"/>
        </w:rPr>
        <w:t xml:space="preserve"> </w:t>
      </w:r>
      <w:r w:rsidR="00CA6F88" w:rsidRPr="005C3870">
        <w:rPr>
          <w:rFonts w:cs="Arial"/>
          <w:bCs/>
          <w:sz w:val="22"/>
          <w:szCs w:val="22"/>
        </w:rPr>
        <w:t>71 </w:t>
      </w:r>
      <w:proofErr w:type="spellStart"/>
      <w:r w:rsidR="00CA6F88" w:rsidRPr="005C3870">
        <w:rPr>
          <w:rFonts w:cs="Arial"/>
          <w:bCs/>
          <w:sz w:val="22"/>
          <w:szCs w:val="22"/>
        </w:rPr>
        <w:t>Heren</w:t>
      </w:r>
      <w:r w:rsidR="003C6B06">
        <w:rPr>
          <w:rFonts w:cs="Arial"/>
          <w:bCs/>
          <w:sz w:val="22"/>
          <w:szCs w:val="22"/>
        </w:rPr>
        <w:t>shaw</w:t>
      </w:r>
      <w:proofErr w:type="spellEnd"/>
      <w:r w:rsidR="003C6B06">
        <w:rPr>
          <w:rFonts w:cs="Arial"/>
          <w:bCs/>
          <w:sz w:val="22"/>
          <w:szCs w:val="22"/>
        </w:rPr>
        <w:t xml:space="preserve"> Street, Buccleuch, Sandton</w:t>
      </w:r>
      <w:r w:rsidR="0022042F">
        <w:rPr>
          <w:rFonts w:cs="Arial"/>
          <w:bCs/>
          <w:sz w:val="22"/>
          <w:szCs w:val="22"/>
        </w:rPr>
        <w:t xml:space="preserve">, being the chosen </w:t>
      </w:r>
      <w:proofErr w:type="spellStart"/>
      <w:r w:rsidR="0022042F">
        <w:rPr>
          <w:rFonts w:cs="Arial"/>
          <w:bCs/>
          <w:sz w:val="22"/>
          <w:szCs w:val="22"/>
        </w:rPr>
        <w:t>domicilium</w:t>
      </w:r>
      <w:proofErr w:type="spellEnd"/>
      <w:r w:rsidR="0022042F">
        <w:rPr>
          <w:rFonts w:cs="Arial"/>
          <w:bCs/>
          <w:sz w:val="22"/>
          <w:szCs w:val="22"/>
        </w:rPr>
        <w:t xml:space="preserve"> </w:t>
      </w:r>
      <w:proofErr w:type="spellStart"/>
      <w:r w:rsidR="0022042F">
        <w:rPr>
          <w:rFonts w:cs="Arial"/>
          <w:bCs/>
          <w:sz w:val="22"/>
          <w:szCs w:val="22"/>
        </w:rPr>
        <w:t>citandi</w:t>
      </w:r>
      <w:proofErr w:type="spellEnd"/>
      <w:r w:rsidR="0022042F">
        <w:rPr>
          <w:rFonts w:cs="Arial"/>
          <w:bCs/>
          <w:sz w:val="22"/>
          <w:szCs w:val="22"/>
        </w:rPr>
        <w:t xml:space="preserve"> et </w:t>
      </w:r>
      <w:proofErr w:type="spellStart"/>
      <w:r w:rsidR="0022042F">
        <w:rPr>
          <w:rFonts w:cs="Arial"/>
          <w:bCs/>
          <w:sz w:val="22"/>
          <w:szCs w:val="22"/>
        </w:rPr>
        <w:t>executandi</w:t>
      </w:r>
      <w:proofErr w:type="spellEnd"/>
      <w:r w:rsidR="0022042F">
        <w:rPr>
          <w:rFonts w:cs="Arial"/>
          <w:bCs/>
          <w:sz w:val="22"/>
          <w:szCs w:val="22"/>
        </w:rPr>
        <w:t xml:space="preserve"> address of the defendant Sipho Sibeko, a copy of the combined summons was served upon </w:t>
      </w:r>
      <w:r w:rsidR="00CA6F88" w:rsidRPr="005C3870">
        <w:rPr>
          <w:rFonts w:cs="Arial"/>
          <w:bCs/>
          <w:sz w:val="22"/>
          <w:szCs w:val="22"/>
        </w:rPr>
        <w:t xml:space="preserve">Solomon </w:t>
      </w:r>
      <w:proofErr w:type="spellStart"/>
      <w:r w:rsidR="00CA6F88" w:rsidRPr="005C3870">
        <w:rPr>
          <w:rFonts w:cs="Arial"/>
          <w:bCs/>
          <w:sz w:val="22"/>
          <w:szCs w:val="22"/>
        </w:rPr>
        <w:t>Pango</w:t>
      </w:r>
      <w:proofErr w:type="spellEnd"/>
      <w:r w:rsidR="00CA6F88" w:rsidRPr="005C3870">
        <w:rPr>
          <w:rFonts w:cs="Arial"/>
          <w:bCs/>
          <w:sz w:val="22"/>
          <w:szCs w:val="22"/>
        </w:rPr>
        <w:t>,</w:t>
      </w:r>
      <w:r w:rsidR="0022042F">
        <w:rPr>
          <w:rFonts w:cs="Arial"/>
          <w:bCs/>
          <w:sz w:val="22"/>
          <w:szCs w:val="22"/>
        </w:rPr>
        <w:t xml:space="preserve"> s</w:t>
      </w:r>
      <w:r w:rsidR="003C6B06">
        <w:rPr>
          <w:rFonts w:cs="Arial"/>
          <w:bCs/>
          <w:sz w:val="22"/>
          <w:szCs w:val="22"/>
        </w:rPr>
        <w:t>ecurity</w:t>
      </w:r>
      <w:r w:rsidR="0022042F">
        <w:rPr>
          <w:rFonts w:cs="Arial"/>
          <w:bCs/>
          <w:sz w:val="22"/>
          <w:szCs w:val="22"/>
        </w:rPr>
        <w:t>, being</w:t>
      </w:r>
      <w:r w:rsidR="0022042F" w:rsidRPr="0022042F">
        <w:rPr>
          <w:rFonts w:cs="Arial"/>
          <w:bCs/>
          <w:sz w:val="22"/>
          <w:szCs w:val="22"/>
        </w:rPr>
        <w:t xml:space="preserve"> </w:t>
      </w:r>
      <w:r w:rsidR="0022042F">
        <w:rPr>
          <w:rFonts w:cs="Arial"/>
          <w:bCs/>
          <w:sz w:val="22"/>
          <w:szCs w:val="22"/>
        </w:rPr>
        <w:t>a person not less than 16 years of age and apparently in employed there after the origina</w:t>
      </w:r>
      <w:r w:rsidR="00F75E77">
        <w:rPr>
          <w:rFonts w:cs="Arial"/>
          <w:bCs/>
          <w:sz w:val="22"/>
          <w:szCs w:val="22"/>
        </w:rPr>
        <w:t>l document had been shown and the nature and</w:t>
      </w:r>
      <w:r w:rsidR="0022042F">
        <w:rPr>
          <w:rFonts w:cs="Arial"/>
          <w:bCs/>
          <w:sz w:val="22"/>
          <w:szCs w:val="22"/>
        </w:rPr>
        <w:t xml:space="preserve"> contents thereof explained to </w:t>
      </w:r>
      <w:r w:rsidR="00F75E77">
        <w:rPr>
          <w:rFonts w:cs="Arial"/>
          <w:bCs/>
          <w:sz w:val="22"/>
          <w:szCs w:val="22"/>
        </w:rPr>
        <w:t>t</w:t>
      </w:r>
      <w:r w:rsidR="0022042F">
        <w:rPr>
          <w:rFonts w:cs="Arial"/>
          <w:bCs/>
          <w:sz w:val="22"/>
          <w:szCs w:val="22"/>
        </w:rPr>
        <w:t>h</w:t>
      </w:r>
      <w:r w:rsidR="00F75E77">
        <w:rPr>
          <w:rFonts w:cs="Arial"/>
          <w:bCs/>
          <w:sz w:val="22"/>
          <w:szCs w:val="22"/>
        </w:rPr>
        <w:t>e said person.”</w:t>
      </w:r>
      <w:r w:rsidR="0022042F">
        <w:rPr>
          <w:rFonts w:cs="Arial"/>
          <w:bCs/>
          <w:sz w:val="22"/>
          <w:szCs w:val="22"/>
        </w:rPr>
        <w:t xml:space="preserve"> The service was </w:t>
      </w:r>
      <w:proofErr w:type="gramStart"/>
      <w:r w:rsidR="0022042F">
        <w:rPr>
          <w:rFonts w:cs="Arial"/>
          <w:bCs/>
          <w:sz w:val="22"/>
          <w:szCs w:val="22"/>
        </w:rPr>
        <w:t>effec</w:t>
      </w:r>
      <w:r w:rsidR="00D43173">
        <w:rPr>
          <w:rFonts w:cs="Arial"/>
          <w:bCs/>
          <w:sz w:val="22"/>
          <w:szCs w:val="22"/>
        </w:rPr>
        <w:t>ted</w:t>
      </w:r>
      <w:proofErr w:type="gramEnd"/>
      <w:r w:rsidR="00A04C4A">
        <w:rPr>
          <w:rFonts w:cs="Arial"/>
          <w:bCs/>
          <w:sz w:val="22"/>
          <w:szCs w:val="22"/>
        </w:rPr>
        <w:t xml:space="preserve"> by the s</w:t>
      </w:r>
      <w:r w:rsidR="00D43173">
        <w:rPr>
          <w:rFonts w:cs="Arial"/>
          <w:bCs/>
          <w:sz w:val="22"/>
          <w:szCs w:val="22"/>
        </w:rPr>
        <w:t>heriff in terms of r</w:t>
      </w:r>
      <w:r w:rsidR="0022042F">
        <w:rPr>
          <w:rFonts w:cs="Arial"/>
          <w:bCs/>
          <w:sz w:val="22"/>
          <w:szCs w:val="22"/>
        </w:rPr>
        <w:t xml:space="preserve">ule 4(1)(a)(ii). </w:t>
      </w:r>
    </w:p>
    <w:p w14:paraId="1BB50DF9" w14:textId="4CF5EE7A" w:rsidR="00A062DA" w:rsidRPr="00235ACF" w:rsidRDefault="001929B9" w:rsidP="001929B9">
      <w:pPr>
        <w:tabs>
          <w:tab w:val="left" w:pos="680"/>
        </w:tabs>
        <w:spacing w:after="480" w:line="480" w:lineRule="auto"/>
        <w:jc w:val="both"/>
        <w:rPr>
          <w:rFonts w:cs="Arial"/>
          <w:bCs/>
          <w:sz w:val="22"/>
          <w:szCs w:val="22"/>
        </w:rPr>
      </w:pPr>
      <w:r w:rsidRPr="00235ACF">
        <w:rPr>
          <w:rFonts w:cs="Arial"/>
          <w:bCs/>
          <w:sz w:val="21"/>
          <w:szCs w:val="21"/>
        </w:rPr>
        <w:t>[9]</w:t>
      </w:r>
      <w:r w:rsidRPr="00235ACF">
        <w:rPr>
          <w:rFonts w:cs="Arial"/>
          <w:bCs/>
          <w:sz w:val="21"/>
          <w:szCs w:val="21"/>
        </w:rPr>
        <w:tab/>
      </w:r>
      <w:r w:rsidR="00235ACF">
        <w:rPr>
          <w:rFonts w:cs="Arial"/>
          <w:bCs/>
          <w:sz w:val="22"/>
          <w:szCs w:val="22"/>
        </w:rPr>
        <w:t xml:space="preserve"> </w:t>
      </w:r>
      <w:r w:rsidR="00944ACC" w:rsidRPr="00235ACF">
        <w:rPr>
          <w:rFonts w:cs="Arial"/>
          <w:bCs/>
          <w:sz w:val="22"/>
          <w:szCs w:val="22"/>
        </w:rPr>
        <w:t xml:space="preserve">The return of service was signed by one Mr J </w:t>
      </w:r>
      <w:proofErr w:type="spellStart"/>
      <w:r w:rsidR="00944ACC" w:rsidRPr="00235ACF">
        <w:rPr>
          <w:rFonts w:cs="Arial"/>
          <w:bCs/>
          <w:sz w:val="22"/>
          <w:szCs w:val="22"/>
        </w:rPr>
        <w:t>Matham</w:t>
      </w:r>
      <w:r w:rsidR="00235ACF">
        <w:rPr>
          <w:rFonts w:cs="Arial"/>
          <w:bCs/>
          <w:sz w:val="22"/>
          <w:szCs w:val="22"/>
        </w:rPr>
        <w:t>ba</w:t>
      </w:r>
      <w:proofErr w:type="spellEnd"/>
      <w:r w:rsidR="00235ACF">
        <w:rPr>
          <w:rFonts w:cs="Arial"/>
          <w:bCs/>
          <w:sz w:val="22"/>
          <w:szCs w:val="22"/>
        </w:rPr>
        <w:t>, duly appointed in terms of s</w:t>
      </w:r>
      <w:r w:rsidR="00944ACC" w:rsidRPr="00235ACF">
        <w:rPr>
          <w:rFonts w:cs="Arial"/>
          <w:bCs/>
          <w:sz w:val="22"/>
          <w:szCs w:val="22"/>
        </w:rPr>
        <w:t xml:space="preserve"> 6(1) of the Sheriff’s Act, 90 of 1988. </w:t>
      </w:r>
    </w:p>
    <w:p w14:paraId="0BE5C866" w14:textId="41A0B2BE" w:rsidR="00A94264" w:rsidRPr="006C4C7A" w:rsidRDefault="001929B9" w:rsidP="001929B9">
      <w:pPr>
        <w:tabs>
          <w:tab w:val="left" w:pos="680"/>
        </w:tabs>
        <w:spacing w:after="480" w:line="480" w:lineRule="auto"/>
        <w:jc w:val="both"/>
        <w:rPr>
          <w:rFonts w:cs="Arial"/>
          <w:bCs/>
          <w:sz w:val="22"/>
          <w:szCs w:val="22"/>
        </w:rPr>
      </w:pPr>
      <w:r w:rsidRPr="006C4C7A">
        <w:rPr>
          <w:rFonts w:cs="Arial"/>
          <w:bCs/>
          <w:sz w:val="21"/>
          <w:szCs w:val="21"/>
        </w:rPr>
        <w:t>[10]</w:t>
      </w:r>
      <w:r w:rsidRPr="006C4C7A">
        <w:rPr>
          <w:rFonts w:cs="Arial"/>
          <w:bCs/>
          <w:sz w:val="21"/>
          <w:szCs w:val="21"/>
        </w:rPr>
        <w:tab/>
      </w:r>
      <w:r w:rsidR="00A062DA" w:rsidRPr="006C4C7A">
        <w:rPr>
          <w:rFonts w:cs="Arial"/>
          <w:bCs/>
          <w:sz w:val="22"/>
          <w:szCs w:val="22"/>
        </w:rPr>
        <w:t xml:space="preserve">Accordingly, the return of service indicated that service of the summons took place on the </w:t>
      </w:r>
      <w:r w:rsidR="006C4C7A" w:rsidRPr="006C4C7A">
        <w:rPr>
          <w:rFonts w:cs="Arial"/>
          <w:bCs/>
          <w:sz w:val="22"/>
          <w:szCs w:val="22"/>
        </w:rPr>
        <w:t>applicant’s</w:t>
      </w:r>
      <w:r w:rsidR="00D43173" w:rsidRPr="006C4C7A">
        <w:rPr>
          <w:rFonts w:cs="Arial"/>
          <w:bCs/>
          <w:sz w:val="22"/>
          <w:szCs w:val="22"/>
        </w:rPr>
        <w:t xml:space="preserve"> </w:t>
      </w:r>
      <w:proofErr w:type="spellStart"/>
      <w:r w:rsidR="00D43173" w:rsidRPr="006C4C7A">
        <w:rPr>
          <w:rFonts w:cs="Arial"/>
          <w:bCs/>
          <w:sz w:val="22"/>
          <w:szCs w:val="22"/>
        </w:rPr>
        <w:t>domi</w:t>
      </w:r>
      <w:r w:rsidR="006C4C7A" w:rsidRPr="006C4C7A">
        <w:rPr>
          <w:rFonts w:cs="Arial"/>
          <w:bCs/>
          <w:sz w:val="22"/>
          <w:szCs w:val="22"/>
        </w:rPr>
        <w:t>cilium</w:t>
      </w:r>
      <w:proofErr w:type="spellEnd"/>
      <w:r w:rsidR="006C4C7A" w:rsidRPr="006C4C7A">
        <w:rPr>
          <w:rFonts w:cs="Arial"/>
          <w:bCs/>
          <w:sz w:val="22"/>
          <w:szCs w:val="22"/>
        </w:rPr>
        <w:t xml:space="preserve"> address albeit that the s</w:t>
      </w:r>
      <w:r w:rsidR="00D43173" w:rsidRPr="006C4C7A">
        <w:rPr>
          <w:rFonts w:cs="Arial"/>
          <w:bCs/>
          <w:sz w:val="22"/>
          <w:szCs w:val="22"/>
        </w:rPr>
        <w:t>heriff stated that the service took place in terms of rule 4(1)(a)(ii).</w:t>
      </w:r>
      <w:r w:rsidR="006C4C7A" w:rsidRPr="006C4C7A">
        <w:rPr>
          <w:rFonts w:cs="Arial"/>
          <w:bCs/>
          <w:sz w:val="22"/>
          <w:szCs w:val="22"/>
        </w:rPr>
        <w:t xml:space="preserve"> </w:t>
      </w:r>
      <w:r w:rsidR="00A062DA" w:rsidRPr="006C4C7A">
        <w:rPr>
          <w:rFonts w:cs="Arial"/>
          <w:bCs/>
          <w:sz w:val="22"/>
          <w:szCs w:val="22"/>
        </w:rPr>
        <w:t xml:space="preserve"> </w:t>
      </w:r>
      <w:r w:rsidR="00A94264" w:rsidRPr="006C4C7A">
        <w:rPr>
          <w:rFonts w:cs="Arial"/>
          <w:bCs/>
          <w:sz w:val="22"/>
          <w:szCs w:val="22"/>
        </w:rPr>
        <w:t>Notice of intention to defend the summons was not delivered by or on behalf of t</w:t>
      </w:r>
      <w:r w:rsidR="00A062DA" w:rsidRPr="006C4C7A">
        <w:rPr>
          <w:rFonts w:cs="Arial"/>
          <w:bCs/>
          <w:sz w:val="22"/>
          <w:szCs w:val="22"/>
        </w:rPr>
        <w:t>he applicant.</w:t>
      </w:r>
    </w:p>
    <w:p w14:paraId="0945BAB6" w14:textId="2F2BE298" w:rsidR="00A94264" w:rsidRPr="00A94264" w:rsidRDefault="001929B9" w:rsidP="001929B9">
      <w:pPr>
        <w:tabs>
          <w:tab w:val="left" w:pos="680"/>
        </w:tabs>
        <w:spacing w:after="480" w:line="480" w:lineRule="auto"/>
        <w:jc w:val="both"/>
        <w:rPr>
          <w:rFonts w:cs="Arial"/>
          <w:bCs/>
          <w:sz w:val="22"/>
          <w:szCs w:val="22"/>
        </w:rPr>
      </w:pPr>
      <w:r w:rsidRPr="00A94264">
        <w:rPr>
          <w:rFonts w:cs="Arial"/>
          <w:bCs/>
          <w:sz w:val="21"/>
          <w:szCs w:val="21"/>
        </w:rPr>
        <w:t>[11]</w:t>
      </w:r>
      <w:r w:rsidRPr="00A94264">
        <w:rPr>
          <w:rFonts w:cs="Arial"/>
          <w:bCs/>
          <w:sz w:val="21"/>
          <w:szCs w:val="21"/>
        </w:rPr>
        <w:tab/>
      </w:r>
      <w:r w:rsidR="00A94264">
        <w:rPr>
          <w:rFonts w:cs="Arial"/>
          <w:bCs/>
          <w:sz w:val="22"/>
          <w:szCs w:val="22"/>
        </w:rPr>
        <w:t>Whilst the first respondent placed an amended return of service before me in terms of its answering affidavit, it is the return on which reliance was placed by the first respondent at the time that default judgment was sought and granted, that stands to be considere</w:t>
      </w:r>
      <w:r w:rsidR="00AB32F5">
        <w:rPr>
          <w:rFonts w:cs="Arial"/>
          <w:bCs/>
          <w:sz w:val="22"/>
          <w:szCs w:val="22"/>
        </w:rPr>
        <w:t>d for purposes of this judgment.</w:t>
      </w:r>
      <w:r w:rsidR="00A94264">
        <w:rPr>
          <w:rFonts w:cs="Arial"/>
          <w:bCs/>
          <w:sz w:val="22"/>
          <w:szCs w:val="22"/>
        </w:rPr>
        <w:t xml:space="preserve"> </w:t>
      </w:r>
    </w:p>
    <w:p w14:paraId="5318A0CC" w14:textId="0A8F1BD8" w:rsidR="007E45C6" w:rsidRDefault="001929B9" w:rsidP="001929B9">
      <w:pPr>
        <w:tabs>
          <w:tab w:val="left" w:pos="680"/>
        </w:tabs>
        <w:spacing w:after="480" w:line="480" w:lineRule="auto"/>
        <w:jc w:val="both"/>
        <w:rPr>
          <w:rFonts w:cs="Arial"/>
          <w:bCs/>
          <w:sz w:val="22"/>
          <w:szCs w:val="22"/>
        </w:rPr>
      </w:pPr>
      <w:r>
        <w:rPr>
          <w:rFonts w:cs="Arial"/>
          <w:bCs/>
          <w:sz w:val="21"/>
          <w:szCs w:val="21"/>
        </w:rPr>
        <w:t>[12]</w:t>
      </w:r>
      <w:r>
        <w:rPr>
          <w:rFonts w:cs="Arial"/>
          <w:bCs/>
          <w:sz w:val="21"/>
          <w:szCs w:val="21"/>
        </w:rPr>
        <w:tab/>
      </w:r>
      <w:r w:rsidR="007E45C6">
        <w:rPr>
          <w:rFonts w:cs="Arial"/>
          <w:bCs/>
          <w:sz w:val="22"/>
          <w:szCs w:val="22"/>
        </w:rPr>
        <w:t xml:space="preserve">The applicant contended that service on the security guard at the entrance to the security complex at the </w:t>
      </w:r>
      <w:proofErr w:type="spellStart"/>
      <w:r w:rsidR="007E45C6">
        <w:rPr>
          <w:rFonts w:cs="Arial"/>
          <w:bCs/>
          <w:i/>
          <w:sz w:val="22"/>
          <w:szCs w:val="22"/>
        </w:rPr>
        <w:t>domicilium</w:t>
      </w:r>
      <w:proofErr w:type="spellEnd"/>
      <w:r w:rsidR="007E45C6">
        <w:rPr>
          <w:rFonts w:cs="Arial"/>
          <w:bCs/>
          <w:i/>
          <w:sz w:val="22"/>
          <w:szCs w:val="22"/>
        </w:rPr>
        <w:t xml:space="preserve"> </w:t>
      </w:r>
      <w:r w:rsidR="007E45C6">
        <w:rPr>
          <w:rFonts w:cs="Arial"/>
          <w:bCs/>
          <w:sz w:val="22"/>
          <w:szCs w:val="22"/>
        </w:rPr>
        <w:t>address</w:t>
      </w:r>
      <w:r w:rsidR="00A04C4A">
        <w:rPr>
          <w:rFonts w:cs="Arial"/>
          <w:bCs/>
          <w:sz w:val="22"/>
          <w:szCs w:val="22"/>
        </w:rPr>
        <w:t>,</w:t>
      </w:r>
      <w:r w:rsidR="007E45C6">
        <w:rPr>
          <w:rFonts w:cs="Arial"/>
          <w:bCs/>
          <w:sz w:val="22"/>
          <w:szCs w:val="22"/>
        </w:rPr>
        <w:t xml:space="preserve"> did not accord with any of the competent methods of service. As a result, the judgment was sought and granted in error</w:t>
      </w:r>
      <w:r w:rsidR="00A04C4A">
        <w:rPr>
          <w:rFonts w:cs="Arial"/>
          <w:bCs/>
          <w:sz w:val="22"/>
          <w:szCs w:val="22"/>
        </w:rPr>
        <w:t xml:space="preserve"> as envisaged in rule 42(1)(a) according to the applicant.</w:t>
      </w:r>
    </w:p>
    <w:p w14:paraId="72DD934A" w14:textId="4BA4C10E" w:rsidR="0085616D" w:rsidRDefault="001929B9" w:rsidP="001929B9">
      <w:pPr>
        <w:tabs>
          <w:tab w:val="left" w:pos="680"/>
        </w:tabs>
        <w:spacing w:after="480" w:line="480" w:lineRule="auto"/>
        <w:jc w:val="both"/>
        <w:rPr>
          <w:rFonts w:cs="Arial"/>
          <w:bCs/>
          <w:sz w:val="22"/>
          <w:szCs w:val="22"/>
        </w:rPr>
      </w:pPr>
      <w:r>
        <w:rPr>
          <w:rFonts w:cs="Arial"/>
          <w:bCs/>
          <w:sz w:val="21"/>
          <w:szCs w:val="21"/>
        </w:rPr>
        <w:t>[13]</w:t>
      </w:r>
      <w:r>
        <w:rPr>
          <w:rFonts w:cs="Arial"/>
          <w:bCs/>
          <w:sz w:val="21"/>
          <w:szCs w:val="21"/>
        </w:rPr>
        <w:tab/>
      </w:r>
      <w:r w:rsidR="00944ACC" w:rsidRPr="00A94264">
        <w:rPr>
          <w:rFonts w:cs="Arial"/>
          <w:bCs/>
          <w:sz w:val="22"/>
          <w:szCs w:val="22"/>
        </w:rPr>
        <w:t xml:space="preserve">Service on an address chosen by a debtor as the </w:t>
      </w:r>
      <w:proofErr w:type="spellStart"/>
      <w:r w:rsidR="00944ACC" w:rsidRPr="00A94264">
        <w:rPr>
          <w:rFonts w:cs="Arial"/>
          <w:bCs/>
          <w:i/>
          <w:sz w:val="22"/>
          <w:szCs w:val="22"/>
        </w:rPr>
        <w:t>domicilium</w:t>
      </w:r>
      <w:proofErr w:type="spellEnd"/>
      <w:r w:rsidR="00944ACC" w:rsidRPr="00A94264">
        <w:rPr>
          <w:rFonts w:cs="Arial"/>
          <w:bCs/>
          <w:i/>
          <w:sz w:val="22"/>
          <w:szCs w:val="22"/>
        </w:rPr>
        <w:t xml:space="preserve"> </w:t>
      </w:r>
      <w:proofErr w:type="spellStart"/>
      <w:r w:rsidR="00944ACC" w:rsidRPr="00A94264">
        <w:rPr>
          <w:rFonts w:cs="Arial"/>
          <w:bCs/>
          <w:i/>
          <w:sz w:val="22"/>
          <w:szCs w:val="22"/>
        </w:rPr>
        <w:t>citandi</w:t>
      </w:r>
      <w:proofErr w:type="spellEnd"/>
      <w:r w:rsidR="00944ACC" w:rsidRPr="00A94264">
        <w:rPr>
          <w:rFonts w:cs="Arial"/>
          <w:bCs/>
          <w:i/>
          <w:sz w:val="22"/>
          <w:szCs w:val="22"/>
        </w:rPr>
        <w:t xml:space="preserve"> et </w:t>
      </w:r>
      <w:proofErr w:type="spellStart"/>
      <w:r w:rsidR="00944ACC" w:rsidRPr="00A94264">
        <w:rPr>
          <w:rFonts w:cs="Arial"/>
          <w:bCs/>
          <w:i/>
          <w:sz w:val="22"/>
          <w:szCs w:val="22"/>
        </w:rPr>
        <w:t>executandi</w:t>
      </w:r>
      <w:proofErr w:type="spellEnd"/>
      <w:r w:rsidR="00944ACC" w:rsidRPr="00A94264">
        <w:rPr>
          <w:rFonts w:cs="Arial"/>
          <w:bCs/>
          <w:sz w:val="22"/>
          <w:szCs w:val="22"/>
        </w:rPr>
        <w:t xml:space="preserve"> constitutes good service even if the debtor is known not to be residing at the </w:t>
      </w:r>
      <w:proofErr w:type="spellStart"/>
      <w:r w:rsidR="00944ACC" w:rsidRPr="00A94264">
        <w:rPr>
          <w:rFonts w:cs="Arial"/>
          <w:bCs/>
          <w:i/>
          <w:sz w:val="22"/>
          <w:szCs w:val="22"/>
        </w:rPr>
        <w:t>domicilium</w:t>
      </w:r>
      <w:proofErr w:type="spellEnd"/>
      <w:r w:rsidR="00944ACC" w:rsidRPr="00A94264">
        <w:rPr>
          <w:rFonts w:cs="Arial"/>
          <w:bCs/>
          <w:i/>
          <w:sz w:val="22"/>
          <w:szCs w:val="22"/>
        </w:rPr>
        <w:t xml:space="preserve"> </w:t>
      </w:r>
      <w:r w:rsidR="00C4312E">
        <w:rPr>
          <w:rFonts w:cs="Arial"/>
          <w:bCs/>
          <w:sz w:val="22"/>
          <w:szCs w:val="22"/>
        </w:rPr>
        <w:lastRenderedPageBreak/>
        <w:t xml:space="preserve">address, </w:t>
      </w:r>
      <w:r w:rsidR="00944ACC" w:rsidRPr="00A94264">
        <w:rPr>
          <w:rFonts w:cs="Arial"/>
          <w:bCs/>
          <w:sz w:val="22"/>
          <w:szCs w:val="22"/>
        </w:rPr>
        <w:t>is overseas</w:t>
      </w:r>
      <w:r w:rsidR="00C4312E">
        <w:rPr>
          <w:rFonts w:cs="Arial"/>
          <w:bCs/>
          <w:sz w:val="22"/>
          <w:szCs w:val="22"/>
        </w:rPr>
        <w:t xml:space="preserve"> or has abandoned the premises</w:t>
      </w:r>
      <w:r w:rsidR="00944ACC" w:rsidRPr="00A94264">
        <w:rPr>
          <w:rFonts w:cs="Arial"/>
          <w:bCs/>
          <w:sz w:val="22"/>
          <w:szCs w:val="22"/>
        </w:rPr>
        <w:t>.</w:t>
      </w:r>
      <w:r w:rsidR="00944ACC">
        <w:rPr>
          <w:rStyle w:val="FootnoteReference"/>
          <w:rFonts w:cs="Arial"/>
          <w:bCs/>
          <w:sz w:val="22"/>
          <w:szCs w:val="22"/>
        </w:rPr>
        <w:footnoteReference w:id="1"/>
      </w:r>
      <w:r w:rsidR="00944ACC" w:rsidRPr="00A94264">
        <w:rPr>
          <w:rFonts w:cs="Arial"/>
          <w:bCs/>
          <w:sz w:val="22"/>
          <w:szCs w:val="22"/>
        </w:rPr>
        <w:t xml:space="preserve"> The </w:t>
      </w:r>
      <w:r w:rsidR="00C4312E">
        <w:rPr>
          <w:rFonts w:cs="Arial"/>
          <w:bCs/>
          <w:sz w:val="22"/>
          <w:szCs w:val="22"/>
        </w:rPr>
        <w:t xml:space="preserve">manner of </w:t>
      </w:r>
      <w:r w:rsidR="00C1325F">
        <w:rPr>
          <w:rFonts w:cs="Arial"/>
          <w:bCs/>
          <w:sz w:val="22"/>
          <w:szCs w:val="22"/>
        </w:rPr>
        <w:t xml:space="preserve">service at a </w:t>
      </w:r>
      <w:proofErr w:type="spellStart"/>
      <w:r w:rsidR="00C1325F" w:rsidRPr="00C1325F">
        <w:rPr>
          <w:rFonts w:cs="Arial"/>
          <w:bCs/>
          <w:i/>
          <w:sz w:val="22"/>
          <w:szCs w:val="22"/>
        </w:rPr>
        <w:t>domic</w:t>
      </w:r>
      <w:r w:rsidR="00C4312E" w:rsidRPr="00C1325F">
        <w:rPr>
          <w:rFonts w:cs="Arial"/>
          <w:bCs/>
          <w:i/>
          <w:sz w:val="22"/>
          <w:szCs w:val="22"/>
        </w:rPr>
        <w:t>ilium</w:t>
      </w:r>
      <w:proofErr w:type="spellEnd"/>
      <w:r w:rsidR="0085616D">
        <w:rPr>
          <w:rFonts w:cs="Arial"/>
          <w:bCs/>
          <w:sz w:val="22"/>
          <w:szCs w:val="22"/>
        </w:rPr>
        <w:t xml:space="preserve"> address, however, must</w:t>
      </w:r>
      <w:r w:rsidR="00675017">
        <w:rPr>
          <w:rFonts w:cs="Arial"/>
          <w:bCs/>
          <w:sz w:val="22"/>
          <w:szCs w:val="22"/>
        </w:rPr>
        <w:t xml:space="preserve"> be effective.</w:t>
      </w:r>
      <w:r w:rsidR="005A7428">
        <w:rPr>
          <w:rFonts w:cs="Arial"/>
          <w:bCs/>
          <w:sz w:val="22"/>
          <w:szCs w:val="22"/>
        </w:rPr>
        <w:t xml:space="preserve"> It </w:t>
      </w:r>
      <w:r w:rsidR="00675017">
        <w:rPr>
          <w:rFonts w:cs="Arial"/>
          <w:bCs/>
          <w:sz w:val="22"/>
          <w:szCs w:val="22"/>
        </w:rPr>
        <w:t xml:space="preserve">must </w:t>
      </w:r>
      <w:r w:rsidR="00C4312E">
        <w:rPr>
          <w:rFonts w:cs="Arial"/>
          <w:bCs/>
          <w:sz w:val="22"/>
          <w:szCs w:val="22"/>
        </w:rPr>
        <w:t xml:space="preserve">be </w:t>
      </w:r>
      <w:r w:rsidR="00C1325F">
        <w:rPr>
          <w:rFonts w:cs="Arial"/>
          <w:bCs/>
          <w:sz w:val="22"/>
          <w:szCs w:val="22"/>
        </w:rPr>
        <w:t xml:space="preserve">such that the process served </w:t>
      </w:r>
      <w:r w:rsidR="00D43173">
        <w:rPr>
          <w:rFonts w:cs="Arial"/>
          <w:bCs/>
          <w:sz w:val="22"/>
          <w:szCs w:val="22"/>
        </w:rPr>
        <w:t>at</w:t>
      </w:r>
      <w:r w:rsidR="00D43173" w:rsidRPr="00A94264">
        <w:rPr>
          <w:rFonts w:cs="Arial"/>
          <w:bCs/>
          <w:sz w:val="22"/>
          <w:szCs w:val="22"/>
        </w:rPr>
        <w:t xml:space="preserve"> the </w:t>
      </w:r>
      <w:proofErr w:type="spellStart"/>
      <w:r w:rsidR="00D43173" w:rsidRPr="00A94264">
        <w:rPr>
          <w:rFonts w:cs="Arial"/>
          <w:bCs/>
          <w:i/>
          <w:sz w:val="22"/>
          <w:szCs w:val="22"/>
        </w:rPr>
        <w:t>domicilium</w:t>
      </w:r>
      <w:proofErr w:type="spellEnd"/>
      <w:r w:rsidR="00D43173" w:rsidRPr="00A94264">
        <w:rPr>
          <w:rFonts w:cs="Arial"/>
          <w:bCs/>
          <w:i/>
          <w:sz w:val="22"/>
          <w:szCs w:val="22"/>
        </w:rPr>
        <w:t xml:space="preserve"> </w:t>
      </w:r>
      <w:proofErr w:type="spellStart"/>
      <w:r w:rsidR="00D43173" w:rsidRPr="00A94264">
        <w:rPr>
          <w:rFonts w:cs="Arial"/>
          <w:bCs/>
          <w:i/>
          <w:sz w:val="22"/>
          <w:szCs w:val="22"/>
        </w:rPr>
        <w:t>citandi</w:t>
      </w:r>
      <w:proofErr w:type="spellEnd"/>
      <w:r w:rsidR="00D43173" w:rsidRPr="00A94264">
        <w:rPr>
          <w:rFonts w:cs="Arial"/>
          <w:bCs/>
          <w:i/>
          <w:sz w:val="22"/>
          <w:szCs w:val="22"/>
        </w:rPr>
        <w:t xml:space="preserve"> et </w:t>
      </w:r>
      <w:proofErr w:type="spellStart"/>
      <w:r w:rsidR="00D43173" w:rsidRPr="00A94264">
        <w:rPr>
          <w:rFonts w:cs="Arial"/>
          <w:bCs/>
          <w:i/>
          <w:sz w:val="22"/>
          <w:szCs w:val="22"/>
        </w:rPr>
        <w:t>executandi</w:t>
      </w:r>
      <w:proofErr w:type="spellEnd"/>
      <w:r w:rsidR="00D43173" w:rsidRPr="00A94264">
        <w:rPr>
          <w:rFonts w:cs="Arial"/>
          <w:bCs/>
          <w:sz w:val="22"/>
          <w:szCs w:val="22"/>
        </w:rPr>
        <w:t xml:space="preserve"> </w:t>
      </w:r>
      <w:r w:rsidR="00C1325F">
        <w:rPr>
          <w:rFonts w:cs="Arial"/>
          <w:bCs/>
          <w:sz w:val="22"/>
          <w:szCs w:val="22"/>
        </w:rPr>
        <w:t>would, in the ordinary course, come to the attention of and be received by the intended re</w:t>
      </w:r>
      <w:r w:rsidR="00A04C4A">
        <w:rPr>
          <w:rFonts w:cs="Arial"/>
          <w:bCs/>
          <w:sz w:val="22"/>
          <w:szCs w:val="22"/>
        </w:rPr>
        <w:t>cipient.</w:t>
      </w:r>
      <w:r w:rsidR="00C1325F">
        <w:rPr>
          <w:rStyle w:val="FootnoteReference"/>
          <w:rFonts w:cs="Arial"/>
          <w:bCs/>
          <w:sz w:val="22"/>
          <w:szCs w:val="22"/>
        </w:rPr>
        <w:footnoteReference w:id="2"/>
      </w:r>
      <w:r w:rsidR="00C1325F">
        <w:rPr>
          <w:rFonts w:cs="Arial"/>
          <w:bCs/>
          <w:sz w:val="22"/>
          <w:szCs w:val="22"/>
        </w:rPr>
        <w:t xml:space="preserve"> </w:t>
      </w:r>
      <w:r w:rsidR="00C4312E">
        <w:rPr>
          <w:rFonts w:cs="Arial"/>
          <w:bCs/>
          <w:sz w:val="22"/>
          <w:szCs w:val="22"/>
        </w:rPr>
        <w:t xml:space="preserve"> </w:t>
      </w:r>
    </w:p>
    <w:p w14:paraId="39686E47" w14:textId="0039FCD2" w:rsidR="00944ACC" w:rsidRPr="00A94264" w:rsidRDefault="001929B9" w:rsidP="001929B9">
      <w:pPr>
        <w:tabs>
          <w:tab w:val="left" w:pos="680"/>
        </w:tabs>
        <w:spacing w:after="480" w:line="480" w:lineRule="auto"/>
        <w:jc w:val="both"/>
        <w:rPr>
          <w:rFonts w:cs="Arial"/>
          <w:bCs/>
          <w:sz w:val="22"/>
          <w:szCs w:val="22"/>
        </w:rPr>
      </w:pPr>
      <w:r w:rsidRPr="00A94264">
        <w:rPr>
          <w:rFonts w:cs="Arial"/>
          <w:bCs/>
          <w:sz w:val="21"/>
          <w:szCs w:val="21"/>
        </w:rPr>
        <w:t>[14]</w:t>
      </w:r>
      <w:r w:rsidRPr="00A94264">
        <w:rPr>
          <w:rFonts w:cs="Arial"/>
          <w:bCs/>
          <w:sz w:val="21"/>
          <w:szCs w:val="21"/>
        </w:rPr>
        <w:tab/>
      </w:r>
      <w:r w:rsidR="0085616D">
        <w:rPr>
          <w:rFonts w:cs="Arial"/>
          <w:bCs/>
          <w:sz w:val="22"/>
          <w:szCs w:val="22"/>
        </w:rPr>
        <w:t>It is the obligation of a debtor</w:t>
      </w:r>
      <w:r w:rsidR="00D43173">
        <w:rPr>
          <w:rFonts w:cs="Arial"/>
          <w:bCs/>
          <w:sz w:val="22"/>
          <w:szCs w:val="22"/>
        </w:rPr>
        <w:t>, being the applicant, to update or amend the debtor’s chosen</w:t>
      </w:r>
      <w:r w:rsidR="00944ACC" w:rsidRPr="00A94264">
        <w:rPr>
          <w:rFonts w:cs="Arial"/>
          <w:bCs/>
          <w:sz w:val="22"/>
          <w:szCs w:val="22"/>
        </w:rPr>
        <w:t xml:space="preserve"> </w:t>
      </w:r>
      <w:proofErr w:type="spellStart"/>
      <w:r w:rsidR="00944ACC" w:rsidRPr="00A94264">
        <w:rPr>
          <w:rFonts w:cs="Arial"/>
          <w:bCs/>
          <w:i/>
          <w:sz w:val="22"/>
          <w:szCs w:val="22"/>
        </w:rPr>
        <w:t>domicilium</w:t>
      </w:r>
      <w:proofErr w:type="spellEnd"/>
      <w:r w:rsidR="00944ACC" w:rsidRPr="00A94264">
        <w:rPr>
          <w:rFonts w:cs="Arial"/>
          <w:bCs/>
          <w:i/>
          <w:sz w:val="22"/>
          <w:szCs w:val="22"/>
        </w:rPr>
        <w:t xml:space="preserve"> </w:t>
      </w:r>
      <w:r w:rsidR="00944ACC" w:rsidRPr="00A94264">
        <w:rPr>
          <w:rFonts w:cs="Arial"/>
          <w:bCs/>
          <w:sz w:val="22"/>
          <w:szCs w:val="22"/>
        </w:rPr>
        <w:t>address with the credit provid</w:t>
      </w:r>
      <w:r w:rsidR="00A04C4A">
        <w:rPr>
          <w:rFonts w:cs="Arial"/>
          <w:bCs/>
          <w:sz w:val="22"/>
          <w:szCs w:val="22"/>
        </w:rPr>
        <w:t xml:space="preserve">er, </w:t>
      </w:r>
      <w:r w:rsidR="0085616D">
        <w:rPr>
          <w:rFonts w:cs="Arial"/>
          <w:bCs/>
          <w:sz w:val="22"/>
          <w:szCs w:val="22"/>
        </w:rPr>
        <w:t xml:space="preserve">the first respondent, in the event of a change to the </w:t>
      </w:r>
      <w:proofErr w:type="spellStart"/>
      <w:r w:rsidR="0085616D" w:rsidRPr="00A94264">
        <w:rPr>
          <w:rFonts w:cs="Arial"/>
          <w:bCs/>
          <w:i/>
          <w:sz w:val="22"/>
          <w:szCs w:val="22"/>
        </w:rPr>
        <w:t>domicilium</w:t>
      </w:r>
      <w:proofErr w:type="spellEnd"/>
      <w:r w:rsidR="0085616D" w:rsidRPr="00A94264">
        <w:rPr>
          <w:rFonts w:cs="Arial"/>
          <w:bCs/>
          <w:i/>
          <w:sz w:val="22"/>
          <w:szCs w:val="22"/>
        </w:rPr>
        <w:t xml:space="preserve"> </w:t>
      </w:r>
      <w:r w:rsidR="0085616D" w:rsidRPr="00A94264">
        <w:rPr>
          <w:rFonts w:cs="Arial"/>
          <w:bCs/>
          <w:sz w:val="22"/>
          <w:szCs w:val="22"/>
        </w:rPr>
        <w:t>address</w:t>
      </w:r>
      <w:r w:rsidR="0085616D">
        <w:rPr>
          <w:rFonts w:cs="Arial"/>
          <w:bCs/>
          <w:sz w:val="22"/>
          <w:szCs w:val="22"/>
        </w:rPr>
        <w:t>.</w:t>
      </w:r>
    </w:p>
    <w:p w14:paraId="765B5EF3" w14:textId="184A94C5" w:rsidR="00A04C4A" w:rsidRDefault="001929B9" w:rsidP="001929B9">
      <w:pPr>
        <w:tabs>
          <w:tab w:val="left" w:pos="680"/>
        </w:tabs>
        <w:spacing w:after="480" w:line="480" w:lineRule="auto"/>
        <w:jc w:val="both"/>
        <w:rPr>
          <w:rFonts w:cs="Arial"/>
          <w:bCs/>
          <w:sz w:val="22"/>
          <w:szCs w:val="22"/>
        </w:rPr>
      </w:pPr>
      <w:r>
        <w:rPr>
          <w:rFonts w:cs="Arial"/>
          <w:bCs/>
          <w:sz w:val="21"/>
          <w:szCs w:val="21"/>
        </w:rPr>
        <w:t>[15]</w:t>
      </w:r>
      <w:r>
        <w:rPr>
          <w:rFonts w:cs="Arial"/>
          <w:bCs/>
          <w:sz w:val="21"/>
          <w:szCs w:val="21"/>
        </w:rPr>
        <w:tab/>
      </w:r>
      <w:r w:rsidR="00A04C4A">
        <w:rPr>
          <w:rFonts w:cs="Arial"/>
          <w:bCs/>
          <w:sz w:val="22"/>
          <w:szCs w:val="22"/>
        </w:rPr>
        <w:t xml:space="preserve">The applicant </w:t>
      </w:r>
      <w:proofErr w:type="gramStart"/>
      <w:r w:rsidR="00A04C4A">
        <w:rPr>
          <w:rFonts w:cs="Arial"/>
          <w:bCs/>
          <w:sz w:val="22"/>
          <w:szCs w:val="22"/>
        </w:rPr>
        <w:t>alleged</w:t>
      </w:r>
      <w:proofErr w:type="gramEnd"/>
      <w:r w:rsidR="00944ACC">
        <w:rPr>
          <w:rFonts w:cs="Arial"/>
          <w:bCs/>
          <w:sz w:val="22"/>
          <w:szCs w:val="22"/>
        </w:rPr>
        <w:t xml:space="preserve"> </w:t>
      </w:r>
      <w:r w:rsidR="00A04C4A">
        <w:rPr>
          <w:rFonts w:cs="Arial"/>
          <w:bCs/>
          <w:sz w:val="22"/>
          <w:szCs w:val="22"/>
        </w:rPr>
        <w:t>and the first respondent accepted that th</w:t>
      </w:r>
      <w:r w:rsidR="00944ACC">
        <w:rPr>
          <w:rFonts w:cs="Arial"/>
          <w:bCs/>
          <w:sz w:val="22"/>
          <w:szCs w:val="22"/>
        </w:rPr>
        <w:t>e</w:t>
      </w:r>
      <w:r w:rsidR="00A04C4A">
        <w:rPr>
          <w:rFonts w:cs="Arial"/>
          <w:bCs/>
          <w:sz w:val="22"/>
          <w:szCs w:val="22"/>
        </w:rPr>
        <w:t xml:space="preserve"> applicant</w:t>
      </w:r>
      <w:r w:rsidR="00944ACC">
        <w:rPr>
          <w:rFonts w:cs="Arial"/>
          <w:bCs/>
          <w:sz w:val="22"/>
          <w:szCs w:val="22"/>
        </w:rPr>
        <w:t xml:space="preserve"> informed the first respondent </w:t>
      </w:r>
      <w:r w:rsidR="0085616D">
        <w:rPr>
          <w:rFonts w:cs="Arial"/>
          <w:bCs/>
          <w:sz w:val="22"/>
          <w:szCs w:val="22"/>
        </w:rPr>
        <w:t xml:space="preserve">telephonically </w:t>
      </w:r>
      <w:r w:rsidR="00D43173">
        <w:rPr>
          <w:rFonts w:cs="Arial"/>
          <w:bCs/>
          <w:sz w:val="22"/>
          <w:szCs w:val="22"/>
        </w:rPr>
        <w:t>that he was no longer</w:t>
      </w:r>
      <w:r w:rsidR="00944ACC">
        <w:rPr>
          <w:rFonts w:cs="Arial"/>
          <w:bCs/>
          <w:sz w:val="22"/>
          <w:szCs w:val="22"/>
        </w:rPr>
        <w:t xml:space="preserve"> living at</w:t>
      </w:r>
      <w:r w:rsidR="00B90B22">
        <w:rPr>
          <w:rFonts w:cs="Arial"/>
          <w:bCs/>
          <w:sz w:val="22"/>
          <w:szCs w:val="22"/>
        </w:rPr>
        <w:t xml:space="preserve"> </w:t>
      </w:r>
      <w:r w:rsidR="00B90B22" w:rsidRPr="005C3870">
        <w:rPr>
          <w:rFonts w:cs="Arial"/>
          <w:bCs/>
          <w:sz w:val="22"/>
          <w:szCs w:val="22"/>
        </w:rPr>
        <w:t>71 </w:t>
      </w:r>
      <w:proofErr w:type="spellStart"/>
      <w:r w:rsidR="00B90B22" w:rsidRPr="005C3870">
        <w:rPr>
          <w:rFonts w:cs="Arial"/>
          <w:bCs/>
          <w:sz w:val="22"/>
          <w:szCs w:val="22"/>
        </w:rPr>
        <w:t>Heren</w:t>
      </w:r>
      <w:r w:rsidR="00B90B22">
        <w:rPr>
          <w:rFonts w:cs="Arial"/>
          <w:bCs/>
          <w:sz w:val="22"/>
          <w:szCs w:val="22"/>
        </w:rPr>
        <w:t>shaw</w:t>
      </w:r>
      <w:proofErr w:type="spellEnd"/>
      <w:r w:rsidR="00B90B22">
        <w:rPr>
          <w:rFonts w:cs="Arial"/>
          <w:bCs/>
          <w:sz w:val="22"/>
          <w:szCs w:val="22"/>
        </w:rPr>
        <w:t xml:space="preserve"> Street, Buccleuch, Sandton</w:t>
      </w:r>
      <w:r w:rsidR="00944ACC">
        <w:rPr>
          <w:rFonts w:cs="Arial"/>
          <w:bCs/>
          <w:sz w:val="22"/>
          <w:szCs w:val="22"/>
        </w:rPr>
        <w:t xml:space="preserve"> in early </w:t>
      </w:r>
      <w:r w:rsidR="00944ACC" w:rsidRPr="00A04C4A">
        <w:rPr>
          <w:rFonts w:cs="Arial"/>
          <w:bCs/>
          <w:sz w:val="22"/>
          <w:szCs w:val="22"/>
        </w:rPr>
        <w:t>2014</w:t>
      </w:r>
      <w:r w:rsidR="0085616D" w:rsidRPr="00A04C4A">
        <w:rPr>
          <w:rFonts w:cs="Arial"/>
          <w:bCs/>
          <w:sz w:val="22"/>
          <w:szCs w:val="22"/>
        </w:rPr>
        <w:t xml:space="preserve"> or thereabouts</w:t>
      </w:r>
      <w:r w:rsidR="00944ACC" w:rsidRPr="00A04C4A">
        <w:rPr>
          <w:rFonts w:cs="Arial"/>
          <w:bCs/>
          <w:sz w:val="22"/>
          <w:szCs w:val="22"/>
        </w:rPr>
        <w:t>.</w:t>
      </w:r>
      <w:r w:rsidR="00944ACC">
        <w:rPr>
          <w:rFonts w:cs="Arial"/>
          <w:bCs/>
          <w:sz w:val="22"/>
          <w:szCs w:val="22"/>
        </w:rPr>
        <w:t xml:space="preserve"> </w:t>
      </w:r>
      <w:r w:rsidR="00A04C4A">
        <w:rPr>
          <w:rFonts w:cs="Arial"/>
          <w:bCs/>
          <w:sz w:val="22"/>
          <w:szCs w:val="22"/>
        </w:rPr>
        <w:t xml:space="preserve">A change in residential address does not serve to change a </w:t>
      </w:r>
      <w:proofErr w:type="spellStart"/>
      <w:r w:rsidR="00A04C4A">
        <w:rPr>
          <w:rFonts w:cs="Arial"/>
          <w:bCs/>
          <w:sz w:val="22"/>
          <w:szCs w:val="22"/>
        </w:rPr>
        <w:t>domicilium</w:t>
      </w:r>
      <w:proofErr w:type="spellEnd"/>
      <w:r w:rsidR="00A04C4A">
        <w:rPr>
          <w:rFonts w:cs="Arial"/>
          <w:bCs/>
          <w:sz w:val="22"/>
          <w:szCs w:val="22"/>
        </w:rPr>
        <w:t xml:space="preserve"> address and the applicant’s averment did not amount to an amendment of the </w:t>
      </w:r>
      <w:r w:rsidR="00B90B22">
        <w:rPr>
          <w:rFonts w:cs="Arial"/>
          <w:bCs/>
          <w:sz w:val="22"/>
          <w:szCs w:val="22"/>
        </w:rPr>
        <w:t>applicant’s</w:t>
      </w:r>
      <w:r w:rsidR="00A04C4A">
        <w:rPr>
          <w:rFonts w:cs="Arial"/>
          <w:bCs/>
          <w:sz w:val="22"/>
          <w:szCs w:val="22"/>
        </w:rPr>
        <w:t xml:space="preserve"> </w:t>
      </w:r>
      <w:proofErr w:type="spellStart"/>
      <w:r w:rsidR="00A04C4A" w:rsidRPr="00A04C4A">
        <w:rPr>
          <w:rFonts w:cs="Arial"/>
          <w:bCs/>
          <w:i/>
          <w:sz w:val="22"/>
          <w:szCs w:val="22"/>
        </w:rPr>
        <w:t>domicilium</w:t>
      </w:r>
      <w:proofErr w:type="spellEnd"/>
      <w:r w:rsidR="00A04C4A">
        <w:rPr>
          <w:rFonts w:cs="Arial"/>
          <w:bCs/>
          <w:sz w:val="22"/>
          <w:szCs w:val="22"/>
        </w:rPr>
        <w:t xml:space="preserve"> address.</w:t>
      </w:r>
    </w:p>
    <w:p w14:paraId="2A568338" w14:textId="571D40C4" w:rsidR="00B90B22" w:rsidRDefault="001929B9" w:rsidP="001929B9">
      <w:pPr>
        <w:tabs>
          <w:tab w:val="left" w:pos="680"/>
        </w:tabs>
        <w:spacing w:after="480" w:line="480" w:lineRule="auto"/>
        <w:jc w:val="both"/>
        <w:rPr>
          <w:rFonts w:cs="Arial"/>
          <w:bCs/>
          <w:sz w:val="22"/>
          <w:szCs w:val="22"/>
        </w:rPr>
      </w:pPr>
      <w:r>
        <w:rPr>
          <w:rFonts w:cs="Arial"/>
          <w:bCs/>
          <w:sz w:val="21"/>
          <w:szCs w:val="21"/>
        </w:rPr>
        <w:t>[16]</w:t>
      </w:r>
      <w:r>
        <w:rPr>
          <w:rFonts w:cs="Arial"/>
          <w:bCs/>
          <w:sz w:val="21"/>
          <w:szCs w:val="21"/>
        </w:rPr>
        <w:tab/>
      </w:r>
      <w:r w:rsidR="00B90B22">
        <w:rPr>
          <w:rFonts w:cs="Arial"/>
          <w:bCs/>
          <w:sz w:val="22"/>
          <w:szCs w:val="22"/>
        </w:rPr>
        <w:t xml:space="preserve">In any event, </w:t>
      </w:r>
      <w:r w:rsidR="00944ACC">
        <w:rPr>
          <w:rFonts w:cs="Arial"/>
          <w:bCs/>
          <w:sz w:val="22"/>
          <w:szCs w:val="22"/>
        </w:rPr>
        <w:t>the first respondent,</w:t>
      </w:r>
      <w:r w:rsidR="006B0F7D">
        <w:rPr>
          <w:rFonts w:cs="Arial"/>
          <w:bCs/>
          <w:sz w:val="22"/>
          <w:szCs w:val="22"/>
        </w:rPr>
        <w:t xml:space="preserve"> </w:t>
      </w:r>
      <w:proofErr w:type="gramStart"/>
      <w:r w:rsidR="00B90B22">
        <w:rPr>
          <w:rFonts w:cs="Arial"/>
          <w:bCs/>
          <w:sz w:val="22"/>
          <w:szCs w:val="22"/>
        </w:rPr>
        <w:t>it’s</w:t>
      </w:r>
      <w:proofErr w:type="gramEnd"/>
      <w:r w:rsidR="00B90B22">
        <w:rPr>
          <w:rFonts w:cs="Arial"/>
          <w:bCs/>
          <w:sz w:val="22"/>
          <w:szCs w:val="22"/>
        </w:rPr>
        <w:t xml:space="preserve"> representatives </w:t>
      </w:r>
      <w:r w:rsidR="006B0F7D">
        <w:rPr>
          <w:rFonts w:cs="Arial"/>
          <w:bCs/>
          <w:sz w:val="22"/>
          <w:szCs w:val="22"/>
        </w:rPr>
        <w:t>having visited the premises of</w:t>
      </w:r>
      <w:r w:rsidR="0085616D">
        <w:rPr>
          <w:rFonts w:cs="Arial"/>
          <w:bCs/>
          <w:sz w:val="22"/>
          <w:szCs w:val="22"/>
        </w:rPr>
        <w:t xml:space="preserve"> the new address,</w:t>
      </w:r>
      <w:r w:rsidR="00944ACC">
        <w:rPr>
          <w:rFonts w:cs="Arial"/>
          <w:bCs/>
          <w:sz w:val="22"/>
          <w:szCs w:val="22"/>
        </w:rPr>
        <w:t xml:space="preserve"> denied that the applicant resided </w:t>
      </w:r>
      <w:r w:rsidR="006B0F7D">
        <w:rPr>
          <w:rFonts w:cs="Arial"/>
          <w:bCs/>
          <w:sz w:val="22"/>
          <w:szCs w:val="22"/>
        </w:rPr>
        <w:t>there.</w:t>
      </w:r>
      <w:r w:rsidR="00944ACC">
        <w:rPr>
          <w:rFonts w:cs="Arial"/>
          <w:bCs/>
          <w:sz w:val="22"/>
          <w:szCs w:val="22"/>
        </w:rPr>
        <w:t xml:space="preserve"> This was because the security guard at the new address informed the first respondent’s representatives that the applicant’s possessions were in the</w:t>
      </w:r>
      <w:r w:rsidR="00B90B22">
        <w:rPr>
          <w:rFonts w:cs="Arial"/>
          <w:bCs/>
          <w:sz w:val="22"/>
          <w:szCs w:val="22"/>
        </w:rPr>
        <w:t xml:space="preserve"> relevant</w:t>
      </w:r>
      <w:r w:rsidR="00944ACC">
        <w:rPr>
          <w:rFonts w:cs="Arial"/>
          <w:bCs/>
          <w:sz w:val="22"/>
          <w:szCs w:val="22"/>
        </w:rPr>
        <w:t xml:space="preserve"> </w:t>
      </w:r>
      <w:proofErr w:type="gramStart"/>
      <w:r w:rsidR="00944ACC">
        <w:rPr>
          <w:rFonts w:cs="Arial"/>
          <w:bCs/>
          <w:sz w:val="22"/>
          <w:szCs w:val="22"/>
        </w:rPr>
        <w:t>unit</w:t>
      </w:r>
      <w:proofErr w:type="gramEnd"/>
      <w:r w:rsidR="00944ACC">
        <w:rPr>
          <w:rFonts w:cs="Arial"/>
          <w:bCs/>
          <w:sz w:val="22"/>
          <w:szCs w:val="22"/>
        </w:rPr>
        <w:t xml:space="preserve"> bu</w:t>
      </w:r>
      <w:r w:rsidR="00B90B22">
        <w:rPr>
          <w:rFonts w:cs="Arial"/>
          <w:bCs/>
          <w:sz w:val="22"/>
          <w:szCs w:val="22"/>
        </w:rPr>
        <w:t>t</w:t>
      </w:r>
      <w:r w:rsidR="00944ACC">
        <w:rPr>
          <w:rFonts w:cs="Arial"/>
          <w:bCs/>
          <w:sz w:val="22"/>
          <w:szCs w:val="22"/>
        </w:rPr>
        <w:t xml:space="preserve"> the applicant did not reside there. </w:t>
      </w:r>
      <w:r w:rsidR="00944ACC" w:rsidRPr="006B0F7D">
        <w:rPr>
          <w:rFonts w:cs="Arial"/>
          <w:bCs/>
          <w:sz w:val="22"/>
          <w:szCs w:val="22"/>
        </w:rPr>
        <w:t xml:space="preserve">I accept that the applicant informed the first respondent’s representatives </w:t>
      </w:r>
      <w:r w:rsidR="006B0F7D" w:rsidRPr="006B0F7D">
        <w:rPr>
          <w:rFonts w:cs="Arial"/>
          <w:bCs/>
          <w:sz w:val="22"/>
          <w:szCs w:val="22"/>
        </w:rPr>
        <w:t xml:space="preserve">telephonically </w:t>
      </w:r>
      <w:r w:rsidR="006B0F7D">
        <w:rPr>
          <w:rFonts w:cs="Arial"/>
          <w:bCs/>
          <w:sz w:val="22"/>
          <w:szCs w:val="22"/>
        </w:rPr>
        <w:t>that he</w:t>
      </w:r>
      <w:r w:rsidR="00944ACC" w:rsidRPr="006B0F7D">
        <w:rPr>
          <w:rFonts w:cs="Arial"/>
          <w:bCs/>
          <w:sz w:val="22"/>
          <w:szCs w:val="22"/>
        </w:rPr>
        <w:t xml:space="preserve"> resided at an address other than the </w:t>
      </w:r>
      <w:proofErr w:type="spellStart"/>
      <w:r w:rsidR="00944ACC" w:rsidRPr="006B0F7D">
        <w:rPr>
          <w:rFonts w:cs="Arial"/>
          <w:bCs/>
          <w:i/>
          <w:sz w:val="22"/>
          <w:szCs w:val="22"/>
        </w:rPr>
        <w:t>domicilium</w:t>
      </w:r>
      <w:proofErr w:type="spellEnd"/>
      <w:r w:rsidR="00944ACC" w:rsidRPr="006B0F7D">
        <w:rPr>
          <w:rFonts w:cs="Arial"/>
          <w:bCs/>
          <w:i/>
          <w:sz w:val="22"/>
          <w:szCs w:val="22"/>
        </w:rPr>
        <w:t xml:space="preserve"> </w:t>
      </w:r>
      <w:r w:rsidR="00944ACC" w:rsidRPr="006B0F7D">
        <w:rPr>
          <w:rFonts w:cs="Arial"/>
          <w:bCs/>
          <w:sz w:val="22"/>
          <w:szCs w:val="22"/>
        </w:rPr>
        <w:t>address</w:t>
      </w:r>
      <w:r w:rsidR="00B90B22">
        <w:rPr>
          <w:rFonts w:cs="Arial"/>
          <w:bCs/>
          <w:sz w:val="22"/>
          <w:szCs w:val="22"/>
        </w:rPr>
        <w:t xml:space="preserve"> but that did not serve to amend the </w:t>
      </w:r>
      <w:proofErr w:type="spellStart"/>
      <w:r w:rsidR="00B90B22" w:rsidRPr="006B0F7D">
        <w:rPr>
          <w:rFonts w:cs="Arial"/>
          <w:bCs/>
          <w:i/>
          <w:sz w:val="22"/>
          <w:szCs w:val="22"/>
        </w:rPr>
        <w:t>domicilium</w:t>
      </w:r>
      <w:proofErr w:type="spellEnd"/>
      <w:r w:rsidR="00B90B22">
        <w:rPr>
          <w:rFonts w:cs="Arial"/>
          <w:bCs/>
          <w:sz w:val="22"/>
          <w:szCs w:val="22"/>
        </w:rPr>
        <w:t xml:space="preserve"> address.</w:t>
      </w:r>
    </w:p>
    <w:p w14:paraId="53F4C765" w14:textId="3D53E8F8" w:rsidR="00944ACC" w:rsidRPr="00B90B22" w:rsidRDefault="001929B9" w:rsidP="001929B9">
      <w:pPr>
        <w:tabs>
          <w:tab w:val="left" w:pos="680"/>
        </w:tabs>
        <w:spacing w:after="480" w:line="480" w:lineRule="auto"/>
        <w:jc w:val="both"/>
        <w:rPr>
          <w:rFonts w:cs="Arial"/>
          <w:bCs/>
          <w:sz w:val="22"/>
          <w:szCs w:val="22"/>
        </w:rPr>
      </w:pPr>
      <w:r w:rsidRPr="00B90B22">
        <w:rPr>
          <w:rFonts w:cs="Arial"/>
          <w:bCs/>
          <w:sz w:val="21"/>
          <w:szCs w:val="21"/>
        </w:rPr>
        <w:lastRenderedPageBreak/>
        <w:t>[17]</w:t>
      </w:r>
      <w:r w:rsidRPr="00B90B22">
        <w:rPr>
          <w:rFonts w:cs="Arial"/>
          <w:bCs/>
          <w:sz w:val="21"/>
          <w:szCs w:val="21"/>
        </w:rPr>
        <w:tab/>
      </w:r>
      <w:r w:rsidR="00B90B22">
        <w:rPr>
          <w:rFonts w:cs="Arial"/>
          <w:bCs/>
          <w:sz w:val="22"/>
          <w:szCs w:val="22"/>
        </w:rPr>
        <w:t xml:space="preserve">The first respondent, in my view, </w:t>
      </w:r>
      <w:r w:rsidR="006B0F7D" w:rsidRPr="00B90B22">
        <w:rPr>
          <w:rFonts w:cs="Arial"/>
          <w:bCs/>
          <w:sz w:val="22"/>
          <w:szCs w:val="22"/>
        </w:rPr>
        <w:t xml:space="preserve">was entitled </w:t>
      </w:r>
      <w:r w:rsidR="00B90B22">
        <w:rPr>
          <w:rFonts w:cs="Arial"/>
          <w:bCs/>
          <w:sz w:val="22"/>
          <w:szCs w:val="22"/>
        </w:rPr>
        <w:t xml:space="preserve">and </w:t>
      </w:r>
      <w:r w:rsidR="00A41D07">
        <w:rPr>
          <w:rFonts w:cs="Arial"/>
          <w:bCs/>
          <w:sz w:val="22"/>
          <w:szCs w:val="22"/>
        </w:rPr>
        <w:t xml:space="preserve">contractually </w:t>
      </w:r>
      <w:r w:rsidR="00B90B22">
        <w:rPr>
          <w:rFonts w:cs="Arial"/>
          <w:bCs/>
          <w:sz w:val="22"/>
          <w:szCs w:val="22"/>
        </w:rPr>
        <w:t>obliged</w:t>
      </w:r>
      <w:r w:rsidR="00B90B22">
        <w:rPr>
          <w:rStyle w:val="FootnoteReference"/>
          <w:rFonts w:cs="Arial"/>
          <w:bCs/>
          <w:sz w:val="22"/>
          <w:szCs w:val="22"/>
        </w:rPr>
        <w:footnoteReference w:id="3"/>
      </w:r>
      <w:r w:rsidR="00B90B22">
        <w:rPr>
          <w:rFonts w:cs="Arial"/>
          <w:bCs/>
          <w:sz w:val="22"/>
          <w:szCs w:val="22"/>
        </w:rPr>
        <w:t xml:space="preserve"> </w:t>
      </w:r>
      <w:r w:rsidR="006B0F7D" w:rsidRPr="00B90B22">
        <w:rPr>
          <w:rFonts w:cs="Arial"/>
          <w:bCs/>
          <w:sz w:val="22"/>
          <w:szCs w:val="22"/>
        </w:rPr>
        <w:t>to rely on the</w:t>
      </w:r>
      <w:r w:rsidR="00C31016" w:rsidRPr="00B90B22">
        <w:rPr>
          <w:rFonts w:cs="Arial"/>
          <w:bCs/>
          <w:sz w:val="22"/>
          <w:szCs w:val="22"/>
        </w:rPr>
        <w:t xml:space="preserve"> </w:t>
      </w:r>
      <w:proofErr w:type="spellStart"/>
      <w:r w:rsidR="006B0F7D" w:rsidRPr="00B90B22">
        <w:rPr>
          <w:rFonts w:cs="Arial"/>
          <w:bCs/>
          <w:i/>
          <w:sz w:val="22"/>
          <w:szCs w:val="22"/>
        </w:rPr>
        <w:t>domicilium</w:t>
      </w:r>
      <w:proofErr w:type="spellEnd"/>
      <w:r w:rsidR="006B0F7D" w:rsidRPr="00B90B22">
        <w:rPr>
          <w:rFonts w:cs="Arial"/>
          <w:bCs/>
          <w:sz w:val="22"/>
          <w:szCs w:val="22"/>
        </w:rPr>
        <w:t xml:space="preserve"> address for the purposes of service of the combined summons </w:t>
      </w:r>
      <w:r w:rsidR="005A7428">
        <w:rPr>
          <w:rFonts w:cs="Arial"/>
          <w:bCs/>
          <w:sz w:val="22"/>
          <w:szCs w:val="22"/>
        </w:rPr>
        <w:t>on the applicant. T</w:t>
      </w:r>
      <w:r w:rsidR="006B0F7D" w:rsidRPr="00B90B22">
        <w:rPr>
          <w:rFonts w:cs="Arial"/>
          <w:bCs/>
          <w:sz w:val="22"/>
          <w:szCs w:val="22"/>
        </w:rPr>
        <w:t>he telephonic conversation relied upon by the applicant</w:t>
      </w:r>
      <w:r w:rsidR="00CD3989" w:rsidRPr="00B90B22">
        <w:rPr>
          <w:rFonts w:cs="Arial"/>
          <w:bCs/>
          <w:sz w:val="22"/>
          <w:szCs w:val="22"/>
        </w:rPr>
        <w:t xml:space="preserve"> in respect of his change of </w:t>
      </w:r>
      <w:r w:rsidR="005A7428">
        <w:rPr>
          <w:rFonts w:cs="Arial"/>
          <w:bCs/>
          <w:sz w:val="22"/>
          <w:szCs w:val="22"/>
        </w:rPr>
        <w:t xml:space="preserve">residential </w:t>
      </w:r>
      <w:r w:rsidR="00CD3989" w:rsidRPr="00B90B22">
        <w:rPr>
          <w:rFonts w:cs="Arial"/>
          <w:bCs/>
          <w:sz w:val="22"/>
          <w:szCs w:val="22"/>
        </w:rPr>
        <w:t>address</w:t>
      </w:r>
      <w:r w:rsidR="00944ACC" w:rsidRPr="00B90B22">
        <w:rPr>
          <w:rFonts w:cs="Arial"/>
          <w:bCs/>
          <w:sz w:val="22"/>
          <w:szCs w:val="22"/>
        </w:rPr>
        <w:t xml:space="preserve"> did not constitute a valid amendment to the </w:t>
      </w:r>
      <w:proofErr w:type="spellStart"/>
      <w:r w:rsidR="00944ACC" w:rsidRPr="00B90B22">
        <w:rPr>
          <w:rFonts w:cs="Arial"/>
          <w:bCs/>
          <w:i/>
          <w:sz w:val="22"/>
          <w:szCs w:val="22"/>
        </w:rPr>
        <w:t>domicilium</w:t>
      </w:r>
      <w:proofErr w:type="spellEnd"/>
      <w:r w:rsidR="00944ACC" w:rsidRPr="00B90B22">
        <w:rPr>
          <w:rFonts w:cs="Arial"/>
          <w:bCs/>
          <w:i/>
          <w:sz w:val="22"/>
          <w:szCs w:val="22"/>
        </w:rPr>
        <w:t xml:space="preserve"> </w:t>
      </w:r>
      <w:r w:rsidR="00944ACC" w:rsidRPr="00B90B22">
        <w:rPr>
          <w:rFonts w:cs="Arial"/>
          <w:bCs/>
          <w:sz w:val="22"/>
          <w:szCs w:val="22"/>
        </w:rPr>
        <w:t>address in terms of the agreement.</w:t>
      </w:r>
      <w:r w:rsidR="00CD3989" w:rsidRPr="00B90B22">
        <w:rPr>
          <w:rFonts w:cs="Arial"/>
          <w:bCs/>
          <w:sz w:val="22"/>
          <w:szCs w:val="22"/>
        </w:rPr>
        <w:t xml:space="preserve"> The obligation rested upon </w:t>
      </w:r>
      <w:r w:rsidR="00944ACC" w:rsidRPr="00B90B22">
        <w:rPr>
          <w:rFonts w:cs="Arial"/>
          <w:bCs/>
          <w:sz w:val="22"/>
          <w:szCs w:val="22"/>
        </w:rPr>
        <w:t>th</w:t>
      </w:r>
      <w:r w:rsidR="00CD3989" w:rsidRPr="00B90B22">
        <w:rPr>
          <w:rFonts w:cs="Arial"/>
          <w:bCs/>
          <w:sz w:val="22"/>
          <w:szCs w:val="22"/>
        </w:rPr>
        <w:t xml:space="preserve">e applicant to update the </w:t>
      </w:r>
      <w:proofErr w:type="spellStart"/>
      <w:r w:rsidR="00CD3989" w:rsidRPr="00B90B22">
        <w:rPr>
          <w:rFonts w:cs="Arial"/>
          <w:bCs/>
          <w:i/>
          <w:sz w:val="22"/>
          <w:szCs w:val="22"/>
        </w:rPr>
        <w:t>domicilium</w:t>
      </w:r>
      <w:proofErr w:type="spellEnd"/>
      <w:r w:rsidR="00CD3989" w:rsidRPr="00B90B22">
        <w:rPr>
          <w:rFonts w:cs="Arial"/>
          <w:bCs/>
          <w:sz w:val="22"/>
          <w:szCs w:val="22"/>
        </w:rPr>
        <w:t xml:space="preserve"> address </w:t>
      </w:r>
      <w:r w:rsidR="00C31016" w:rsidRPr="00B90B22">
        <w:rPr>
          <w:rFonts w:cs="Arial"/>
          <w:bCs/>
          <w:sz w:val="22"/>
          <w:szCs w:val="22"/>
        </w:rPr>
        <w:t xml:space="preserve">in accordance with the requirements </w:t>
      </w:r>
      <w:r w:rsidR="006C4BC4">
        <w:rPr>
          <w:rFonts w:cs="Arial"/>
          <w:bCs/>
          <w:sz w:val="22"/>
          <w:szCs w:val="22"/>
        </w:rPr>
        <w:t xml:space="preserve">of </w:t>
      </w:r>
      <w:r w:rsidR="00C31016" w:rsidRPr="00B90B22">
        <w:rPr>
          <w:rFonts w:cs="Arial"/>
          <w:bCs/>
          <w:sz w:val="22"/>
          <w:szCs w:val="22"/>
        </w:rPr>
        <w:t>a valid amendment to the agreement. T</w:t>
      </w:r>
      <w:r w:rsidR="006B0F7D" w:rsidRPr="00B90B22">
        <w:rPr>
          <w:rFonts w:cs="Arial"/>
          <w:bCs/>
          <w:sz w:val="22"/>
          <w:szCs w:val="22"/>
        </w:rPr>
        <w:t>he telephonic conversation</w:t>
      </w:r>
      <w:r w:rsidR="00944ACC" w:rsidRPr="00B90B22">
        <w:rPr>
          <w:rFonts w:cs="Arial"/>
          <w:bCs/>
          <w:sz w:val="22"/>
          <w:szCs w:val="22"/>
        </w:rPr>
        <w:t xml:space="preserve"> did not </w:t>
      </w:r>
      <w:r w:rsidR="005A7428">
        <w:rPr>
          <w:rFonts w:cs="Arial"/>
          <w:bCs/>
          <w:sz w:val="22"/>
          <w:szCs w:val="22"/>
        </w:rPr>
        <w:t xml:space="preserve">do so.  </w:t>
      </w:r>
    </w:p>
    <w:p w14:paraId="7092558A" w14:textId="2684523E" w:rsidR="00AE6717" w:rsidRDefault="001929B9" w:rsidP="001929B9">
      <w:pPr>
        <w:tabs>
          <w:tab w:val="left" w:pos="680"/>
        </w:tabs>
        <w:spacing w:after="480" w:line="480" w:lineRule="auto"/>
        <w:jc w:val="both"/>
        <w:rPr>
          <w:rFonts w:cs="Arial"/>
          <w:bCs/>
          <w:sz w:val="22"/>
          <w:szCs w:val="22"/>
        </w:rPr>
      </w:pPr>
      <w:r>
        <w:rPr>
          <w:rFonts w:cs="Arial"/>
          <w:bCs/>
          <w:sz w:val="21"/>
          <w:szCs w:val="21"/>
        </w:rPr>
        <w:t>[18]</w:t>
      </w:r>
      <w:r>
        <w:rPr>
          <w:rFonts w:cs="Arial"/>
          <w:bCs/>
          <w:sz w:val="21"/>
          <w:szCs w:val="21"/>
        </w:rPr>
        <w:tab/>
      </w:r>
      <w:r w:rsidR="00AE6717">
        <w:rPr>
          <w:rFonts w:cs="Arial"/>
          <w:bCs/>
          <w:sz w:val="22"/>
          <w:szCs w:val="22"/>
        </w:rPr>
        <w:t>Absent a valid amendment to the agreement, the first respondent was well within its rights to serve the</w:t>
      </w:r>
      <w:r w:rsidR="00C31016">
        <w:rPr>
          <w:rFonts w:cs="Arial"/>
          <w:bCs/>
          <w:sz w:val="22"/>
          <w:szCs w:val="22"/>
        </w:rPr>
        <w:t xml:space="preserve"> combined</w:t>
      </w:r>
      <w:r w:rsidR="00AE6717">
        <w:rPr>
          <w:rFonts w:cs="Arial"/>
          <w:bCs/>
          <w:sz w:val="22"/>
          <w:szCs w:val="22"/>
        </w:rPr>
        <w:t xml:space="preserve"> summons on the applicant</w:t>
      </w:r>
      <w:r w:rsidR="00C31016">
        <w:rPr>
          <w:rFonts w:cs="Arial"/>
          <w:bCs/>
          <w:sz w:val="22"/>
          <w:szCs w:val="22"/>
        </w:rPr>
        <w:t xml:space="preserve"> at the</w:t>
      </w:r>
      <w:r w:rsidR="00AE6717">
        <w:rPr>
          <w:rFonts w:cs="Arial"/>
          <w:bCs/>
          <w:sz w:val="22"/>
          <w:szCs w:val="22"/>
        </w:rPr>
        <w:t xml:space="preserve"> </w:t>
      </w:r>
      <w:proofErr w:type="spellStart"/>
      <w:r w:rsidR="00AE6717">
        <w:rPr>
          <w:rFonts w:cs="Arial"/>
          <w:bCs/>
          <w:i/>
          <w:sz w:val="22"/>
          <w:szCs w:val="22"/>
        </w:rPr>
        <w:t>domicilium</w:t>
      </w:r>
      <w:proofErr w:type="spellEnd"/>
      <w:r w:rsidR="00AE6717">
        <w:rPr>
          <w:rFonts w:cs="Arial"/>
          <w:bCs/>
          <w:i/>
          <w:sz w:val="22"/>
          <w:szCs w:val="22"/>
        </w:rPr>
        <w:t xml:space="preserve"> </w:t>
      </w:r>
      <w:r w:rsidR="00AE6717">
        <w:rPr>
          <w:rFonts w:cs="Arial"/>
          <w:bCs/>
          <w:sz w:val="22"/>
          <w:szCs w:val="22"/>
        </w:rPr>
        <w:t>address. That serv</w:t>
      </w:r>
      <w:r w:rsidR="00C31016">
        <w:rPr>
          <w:rFonts w:cs="Arial"/>
          <w:bCs/>
          <w:sz w:val="22"/>
          <w:szCs w:val="22"/>
        </w:rPr>
        <w:t xml:space="preserve">ice, </w:t>
      </w:r>
      <w:proofErr w:type="gramStart"/>
      <w:r w:rsidR="00C31016">
        <w:rPr>
          <w:rFonts w:cs="Arial"/>
          <w:bCs/>
          <w:sz w:val="22"/>
          <w:szCs w:val="22"/>
        </w:rPr>
        <w:t>in order to</w:t>
      </w:r>
      <w:proofErr w:type="gramEnd"/>
      <w:r w:rsidR="00C31016">
        <w:rPr>
          <w:rFonts w:cs="Arial"/>
          <w:bCs/>
          <w:sz w:val="22"/>
          <w:szCs w:val="22"/>
        </w:rPr>
        <w:t xml:space="preserve"> be valid, had to </w:t>
      </w:r>
      <w:r w:rsidR="00AE6717">
        <w:rPr>
          <w:rFonts w:cs="Arial"/>
          <w:bCs/>
          <w:sz w:val="22"/>
          <w:szCs w:val="22"/>
        </w:rPr>
        <w:t xml:space="preserve">be effective and comply with the relevant principles. </w:t>
      </w:r>
    </w:p>
    <w:p w14:paraId="38E885E5" w14:textId="68DDF81D" w:rsidR="00AE6717" w:rsidRPr="00551A13" w:rsidRDefault="001929B9" w:rsidP="001929B9">
      <w:pPr>
        <w:tabs>
          <w:tab w:val="left" w:pos="680"/>
        </w:tabs>
        <w:spacing w:after="480" w:line="480" w:lineRule="auto"/>
        <w:jc w:val="both"/>
        <w:rPr>
          <w:rFonts w:cs="Arial"/>
          <w:bCs/>
          <w:sz w:val="22"/>
          <w:szCs w:val="22"/>
        </w:rPr>
      </w:pPr>
      <w:r w:rsidRPr="00551A13">
        <w:rPr>
          <w:rFonts w:cs="Arial"/>
          <w:bCs/>
          <w:sz w:val="21"/>
          <w:szCs w:val="21"/>
        </w:rPr>
        <w:t>[19]</w:t>
      </w:r>
      <w:r w:rsidRPr="00551A13">
        <w:rPr>
          <w:rFonts w:cs="Arial"/>
          <w:bCs/>
          <w:sz w:val="21"/>
          <w:szCs w:val="21"/>
        </w:rPr>
        <w:tab/>
      </w:r>
      <w:r w:rsidR="00AE6717" w:rsidRPr="00551A13">
        <w:rPr>
          <w:rFonts w:cs="Arial"/>
          <w:bCs/>
          <w:sz w:val="22"/>
          <w:szCs w:val="22"/>
        </w:rPr>
        <w:t>It was common cause between the parties th</w:t>
      </w:r>
      <w:r w:rsidR="00551A13">
        <w:rPr>
          <w:rFonts w:cs="Arial"/>
          <w:bCs/>
          <w:sz w:val="22"/>
          <w:szCs w:val="22"/>
        </w:rPr>
        <w:t>at the summons was not left at unit n</w:t>
      </w:r>
      <w:r w:rsidR="00AE6717" w:rsidRPr="00551A13">
        <w:rPr>
          <w:rFonts w:cs="Arial"/>
          <w:bCs/>
          <w:sz w:val="22"/>
          <w:szCs w:val="22"/>
        </w:rPr>
        <w:t>o 71</w:t>
      </w:r>
      <w:r w:rsidR="00551A13">
        <w:rPr>
          <w:rFonts w:cs="Arial"/>
          <w:bCs/>
          <w:sz w:val="22"/>
          <w:szCs w:val="22"/>
        </w:rPr>
        <w:t>, being the specific</w:t>
      </w:r>
      <w:r w:rsidR="00AE6717" w:rsidRPr="00551A13">
        <w:rPr>
          <w:rFonts w:cs="Arial"/>
          <w:bCs/>
          <w:sz w:val="22"/>
          <w:szCs w:val="22"/>
        </w:rPr>
        <w:t xml:space="preserve"> unit </w:t>
      </w:r>
      <w:r w:rsidR="00643C4A">
        <w:rPr>
          <w:rFonts w:cs="Arial"/>
          <w:bCs/>
          <w:sz w:val="22"/>
          <w:szCs w:val="22"/>
        </w:rPr>
        <w:t xml:space="preserve">of the </w:t>
      </w:r>
      <w:proofErr w:type="spellStart"/>
      <w:r w:rsidR="00643C4A">
        <w:rPr>
          <w:rFonts w:cs="Arial"/>
          <w:bCs/>
          <w:sz w:val="22"/>
          <w:szCs w:val="22"/>
        </w:rPr>
        <w:t>domicilium</w:t>
      </w:r>
      <w:proofErr w:type="spellEnd"/>
      <w:r w:rsidR="00643C4A">
        <w:rPr>
          <w:rFonts w:cs="Arial"/>
          <w:bCs/>
          <w:sz w:val="22"/>
          <w:szCs w:val="22"/>
        </w:rPr>
        <w:t xml:space="preserve"> address</w:t>
      </w:r>
      <w:r w:rsidR="005A7428">
        <w:rPr>
          <w:rFonts w:cs="Arial"/>
          <w:bCs/>
          <w:sz w:val="22"/>
          <w:szCs w:val="22"/>
        </w:rPr>
        <w:t>,</w:t>
      </w:r>
      <w:r w:rsidR="00643C4A">
        <w:rPr>
          <w:rFonts w:cs="Arial"/>
          <w:bCs/>
          <w:sz w:val="22"/>
          <w:szCs w:val="22"/>
        </w:rPr>
        <w:t xml:space="preserve"> but with the guard at the gate of the complex.</w:t>
      </w:r>
    </w:p>
    <w:p w14:paraId="4B657849" w14:textId="32D9CEC4" w:rsidR="00AE6717" w:rsidRDefault="001929B9" w:rsidP="001929B9">
      <w:pPr>
        <w:tabs>
          <w:tab w:val="left" w:pos="680"/>
        </w:tabs>
        <w:spacing w:after="480" w:line="480" w:lineRule="auto"/>
        <w:jc w:val="both"/>
        <w:rPr>
          <w:rFonts w:cs="Arial"/>
          <w:bCs/>
          <w:sz w:val="22"/>
          <w:szCs w:val="22"/>
        </w:rPr>
      </w:pPr>
      <w:r>
        <w:rPr>
          <w:rFonts w:cs="Arial"/>
          <w:bCs/>
          <w:sz w:val="21"/>
          <w:szCs w:val="21"/>
        </w:rPr>
        <w:t>[20]</w:t>
      </w:r>
      <w:r>
        <w:rPr>
          <w:rFonts w:cs="Arial"/>
          <w:bCs/>
          <w:sz w:val="21"/>
          <w:szCs w:val="21"/>
        </w:rPr>
        <w:tab/>
      </w:r>
      <w:r w:rsidR="00AE6717">
        <w:rPr>
          <w:rFonts w:cs="Arial"/>
          <w:bCs/>
          <w:sz w:val="22"/>
          <w:szCs w:val="22"/>
        </w:rPr>
        <w:t xml:space="preserve">Both parties relied on </w:t>
      </w:r>
      <w:r w:rsidR="00AE6717">
        <w:rPr>
          <w:rFonts w:cs="Arial"/>
          <w:bCs/>
          <w:i/>
          <w:sz w:val="22"/>
          <w:szCs w:val="22"/>
        </w:rPr>
        <w:t xml:space="preserve">Kemp v </w:t>
      </w:r>
      <w:proofErr w:type="spellStart"/>
      <w:r w:rsidR="00AE6717">
        <w:rPr>
          <w:rFonts w:cs="Arial"/>
          <w:bCs/>
          <w:i/>
          <w:sz w:val="22"/>
          <w:szCs w:val="22"/>
        </w:rPr>
        <w:t>Knoesen</w:t>
      </w:r>
      <w:proofErr w:type="spellEnd"/>
      <w:r w:rsidR="00A21839">
        <w:rPr>
          <w:rFonts w:cs="Arial"/>
          <w:bCs/>
          <w:i/>
          <w:sz w:val="22"/>
          <w:szCs w:val="22"/>
        </w:rPr>
        <w:t>,</w:t>
      </w:r>
      <w:r w:rsidR="00AE6717">
        <w:rPr>
          <w:rStyle w:val="FootnoteReference"/>
          <w:rFonts w:cs="Arial"/>
          <w:bCs/>
          <w:i/>
          <w:sz w:val="22"/>
          <w:szCs w:val="22"/>
        </w:rPr>
        <w:footnoteReference w:id="4"/>
      </w:r>
      <w:r w:rsidR="00A21839">
        <w:rPr>
          <w:rFonts w:cs="Arial"/>
          <w:bCs/>
          <w:sz w:val="22"/>
          <w:szCs w:val="22"/>
        </w:rPr>
        <w:t xml:space="preserve"> in which</w:t>
      </w:r>
      <w:r w:rsidR="00AE6717">
        <w:rPr>
          <w:rFonts w:cs="Arial"/>
          <w:bCs/>
          <w:sz w:val="22"/>
          <w:szCs w:val="22"/>
        </w:rPr>
        <w:t xml:space="preserve"> </w:t>
      </w:r>
      <w:r w:rsidR="00551A13">
        <w:rPr>
          <w:rFonts w:cs="Arial"/>
          <w:bCs/>
          <w:sz w:val="22"/>
          <w:szCs w:val="22"/>
        </w:rPr>
        <w:t>the court</w:t>
      </w:r>
      <w:r w:rsidR="00AE6717">
        <w:rPr>
          <w:rFonts w:cs="Arial"/>
          <w:bCs/>
          <w:sz w:val="22"/>
          <w:szCs w:val="22"/>
        </w:rPr>
        <w:t xml:space="preserve"> held that service on a security guard at the entrance </w:t>
      </w:r>
      <w:r w:rsidR="00A21839">
        <w:rPr>
          <w:rFonts w:cs="Arial"/>
          <w:bCs/>
          <w:sz w:val="22"/>
          <w:szCs w:val="22"/>
        </w:rPr>
        <w:t>to</w:t>
      </w:r>
      <w:r w:rsidR="00AE6717">
        <w:rPr>
          <w:rFonts w:cs="Arial"/>
          <w:bCs/>
          <w:sz w:val="22"/>
          <w:szCs w:val="22"/>
        </w:rPr>
        <w:t xml:space="preserve"> a security</w:t>
      </w:r>
      <w:r w:rsidR="00A21839">
        <w:rPr>
          <w:rFonts w:cs="Arial"/>
          <w:bCs/>
          <w:sz w:val="22"/>
          <w:szCs w:val="22"/>
        </w:rPr>
        <w:t xml:space="preserve"> complex was good service. The c</w:t>
      </w:r>
      <w:r w:rsidR="00AE6717">
        <w:rPr>
          <w:rFonts w:cs="Arial"/>
          <w:bCs/>
          <w:sz w:val="22"/>
          <w:szCs w:val="22"/>
        </w:rPr>
        <w:t xml:space="preserve">ourt in </w:t>
      </w:r>
      <w:r w:rsidR="00A21839">
        <w:rPr>
          <w:rFonts w:cs="Arial"/>
          <w:bCs/>
          <w:sz w:val="22"/>
          <w:szCs w:val="22"/>
        </w:rPr>
        <w:t xml:space="preserve">Kemp </w:t>
      </w:r>
      <w:r w:rsidR="00AE6717">
        <w:rPr>
          <w:rFonts w:cs="Arial"/>
          <w:bCs/>
          <w:sz w:val="22"/>
          <w:szCs w:val="22"/>
        </w:rPr>
        <w:t xml:space="preserve">had </w:t>
      </w:r>
      <w:r w:rsidR="005A4780">
        <w:rPr>
          <w:rFonts w:cs="Arial"/>
          <w:bCs/>
          <w:sz w:val="22"/>
          <w:szCs w:val="22"/>
        </w:rPr>
        <w:t xml:space="preserve">regard to the difficulties of </w:t>
      </w:r>
      <w:r w:rsidR="00AE6717">
        <w:rPr>
          <w:rFonts w:cs="Arial"/>
          <w:bCs/>
          <w:sz w:val="22"/>
          <w:szCs w:val="22"/>
        </w:rPr>
        <w:t>accessing such complex</w:t>
      </w:r>
      <w:r w:rsidR="00816DF8">
        <w:rPr>
          <w:rFonts w:cs="Arial"/>
          <w:bCs/>
          <w:sz w:val="22"/>
          <w:szCs w:val="22"/>
        </w:rPr>
        <w:t xml:space="preserve">es </w:t>
      </w:r>
      <w:proofErr w:type="gramStart"/>
      <w:r w:rsidR="00816DF8">
        <w:rPr>
          <w:rFonts w:cs="Arial"/>
          <w:bCs/>
          <w:sz w:val="22"/>
          <w:szCs w:val="22"/>
        </w:rPr>
        <w:t>in order to</w:t>
      </w:r>
      <w:proofErr w:type="gramEnd"/>
      <w:r w:rsidR="00816DF8">
        <w:rPr>
          <w:rFonts w:cs="Arial"/>
          <w:bCs/>
          <w:sz w:val="22"/>
          <w:szCs w:val="22"/>
        </w:rPr>
        <w:t xml:space="preserve"> serve</w:t>
      </w:r>
      <w:r w:rsidR="00AE6717">
        <w:rPr>
          <w:rFonts w:cs="Arial"/>
          <w:bCs/>
          <w:sz w:val="22"/>
          <w:szCs w:val="22"/>
        </w:rPr>
        <w:t xml:space="preserve"> process on the unit occupied by th</w:t>
      </w:r>
      <w:r w:rsidR="005A7428">
        <w:rPr>
          <w:rFonts w:cs="Arial"/>
          <w:bCs/>
          <w:sz w:val="22"/>
          <w:szCs w:val="22"/>
        </w:rPr>
        <w:t xml:space="preserve">e debtor, as well as certain evidence </w:t>
      </w:r>
      <w:r w:rsidR="00AE6717">
        <w:rPr>
          <w:rFonts w:cs="Arial"/>
          <w:bCs/>
          <w:sz w:val="22"/>
          <w:szCs w:val="22"/>
        </w:rPr>
        <w:t xml:space="preserve">specific to that matter. These included an arrangement in terms of which the </w:t>
      </w:r>
      <w:r w:rsidR="00816DF8">
        <w:rPr>
          <w:rFonts w:cs="Arial"/>
          <w:bCs/>
          <w:sz w:val="22"/>
          <w:szCs w:val="22"/>
        </w:rPr>
        <w:t xml:space="preserve">security </w:t>
      </w:r>
      <w:r w:rsidR="00AE6717">
        <w:rPr>
          <w:rFonts w:cs="Arial"/>
          <w:bCs/>
          <w:sz w:val="22"/>
          <w:szCs w:val="22"/>
        </w:rPr>
        <w:t>guard received d</w:t>
      </w:r>
      <w:r w:rsidR="00816DF8">
        <w:rPr>
          <w:rFonts w:cs="Arial"/>
          <w:bCs/>
          <w:sz w:val="22"/>
          <w:szCs w:val="22"/>
        </w:rPr>
        <w:t xml:space="preserve">eliveries on behalf of residents of the complex, an aspect </w:t>
      </w:r>
      <w:proofErr w:type="gramStart"/>
      <w:r w:rsidR="00816DF8">
        <w:rPr>
          <w:rFonts w:cs="Arial"/>
          <w:bCs/>
          <w:sz w:val="22"/>
          <w:szCs w:val="22"/>
        </w:rPr>
        <w:t>not present</w:t>
      </w:r>
      <w:proofErr w:type="gramEnd"/>
      <w:r w:rsidR="00816DF8">
        <w:rPr>
          <w:rFonts w:cs="Arial"/>
          <w:bCs/>
          <w:sz w:val="22"/>
          <w:szCs w:val="22"/>
        </w:rPr>
        <w:t xml:space="preserve"> in the application before me.</w:t>
      </w:r>
      <w:r w:rsidR="00AE6717">
        <w:rPr>
          <w:rFonts w:cs="Arial"/>
          <w:bCs/>
          <w:sz w:val="22"/>
          <w:szCs w:val="22"/>
        </w:rPr>
        <w:t xml:space="preserve"> Furthermore, the debtor in </w:t>
      </w:r>
      <w:r w:rsidR="00AE6717">
        <w:rPr>
          <w:rFonts w:cs="Arial"/>
          <w:bCs/>
          <w:i/>
          <w:sz w:val="22"/>
          <w:szCs w:val="22"/>
        </w:rPr>
        <w:t>Kemp</w:t>
      </w:r>
      <w:r w:rsidR="00AE6717">
        <w:rPr>
          <w:rFonts w:cs="Arial"/>
          <w:bCs/>
          <w:sz w:val="22"/>
          <w:szCs w:val="22"/>
        </w:rPr>
        <w:t xml:space="preserve"> entered an appearance to defend, meaning that the summons came to the debtor’s attention. </w:t>
      </w:r>
    </w:p>
    <w:p w14:paraId="0EC4570C" w14:textId="7427B864" w:rsidR="00AE6717" w:rsidRDefault="001929B9" w:rsidP="001929B9">
      <w:pPr>
        <w:tabs>
          <w:tab w:val="left" w:pos="680"/>
        </w:tabs>
        <w:spacing w:after="480" w:line="480" w:lineRule="auto"/>
        <w:jc w:val="both"/>
        <w:rPr>
          <w:rFonts w:cs="Arial"/>
          <w:bCs/>
          <w:sz w:val="22"/>
          <w:szCs w:val="22"/>
        </w:rPr>
      </w:pPr>
      <w:r>
        <w:rPr>
          <w:rFonts w:cs="Arial"/>
          <w:bCs/>
          <w:sz w:val="21"/>
          <w:szCs w:val="21"/>
        </w:rPr>
        <w:lastRenderedPageBreak/>
        <w:t>[21]</w:t>
      </w:r>
      <w:r>
        <w:rPr>
          <w:rFonts w:cs="Arial"/>
          <w:bCs/>
          <w:sz w:val="21"/>
          <w:szCs w:val="21"/>
        </w:rPr>
        <w:tab/>
      </w:r>
      <w:r w:rsidR="00AE6717">
        <w:rPr>
          <w:rFonts w:cs="Arial"/>
          <w:bCs/>
          <w:sz w:val="22"/>
          <w:szCs w:val="22"/>
        </w:rPr>
        <w:t xml:space="preserve">The principles governing </w:t>
      </w:r>
      <w:r w:rsidR="00784CFC">
        <w:rPr>
          <w:rFonts w:cs="Arial"/>
          <w:bCs/>
          <w:sz w:val="22"/>
          <w:szCs w:val="22"/>
        </w:rPr>
        <w:t xml:space="preserve">effective </w:t>
      </w:r>
      <w:r w:rsidR="00AE6717">
        <w:rPr>
          <w:rFonts w:cs="Arial"/>
          <w:bCs/>
          <w:sz w:val="22"/>
          <w:szCs w:val="22"/>
        </w:rPr>
        <w:t xml:space="preserve">service on a </w:t>
      </w:r>
      <w:proofErr w:type="spellStart"/>
      <w:r w:rsidR="00AE6717">
        <w:rPr>
          <w:rFonts w:cs="Arial"/>
          <w:bCs/>
          <w:i/>
          <w:sz w:val="22"/>
          <w:szCs w:val="22"/>
        </w:rPr>
        <w:t>domicilium</w:t>
      </w:r>
      <w:proofErr w:type="spellEnd"/>
      <w:r w:rsidR="00AE6717">
        <w:rPr>
          <w:rFonts w:cs="Arial"/>
          <w:bCs/>
          <w:i/>
          <w:sz w:val="22"/>
          <w:szCs w:val="22"/>
        </w:rPr>
        <w:t xml:space="preserve"> </w:t>
      </w:r>
      <w:r w:rsidR="00AE6717">
        <w:rPr>
          <w:rFonts w:cs="Arial"/>
          <w:bCs/>
          <w:sz w:val="22"/>
          <w:szCs w:val="22"/>
        </w:rPr>
        <w:t xml:space="preserve">address require that service be </w:t>
      </w:r>
      <w:proofErr w:type="gramStart"/>
      <w:r w:rsidR="00AE6717">
        <w:rPr>
          <w:rFonts w:cs="Arial"/>
          <w:bCs/>
          <w:sz w:val="22"/>
          <w:szCs w:val="22"/>
        </w:rPr>
        <w:t>effected</w:t>
      </w:r>
      <w:proofErr w:type="gramEnd"/>
      <w:r w:rsidR="00AE6717">
        <w:rPr>
          <w:rFonts w:cs="Arial"/>
          <w:bCs/>
          <w:sz w:val="22"/>
          <w:szCs w:val="22"/>
        </w:rPr>
        <w:t xml:space="preserve"> </w:t>
      </w:r>
      <w:r w:rsidR="00784CFC">
        <w:rPr>
          <w:rFonts w:cs="Arial"/>
          <w:bCs/>
          <w:sz w:val="22"/>
          <w:szCs w:val="22"/>
        </w:rPr>
        <w:t>“</w:t>
      </w:r>
      <w:r w:rsidR="00AE6717">
        <w:rPr>
          <w:rFonts w:cs="Arial"/>
          <w:bCs/>
          <w:sz w:val="22"/>
          <w:szCs w:val="22"/>
        </w:rPr>
        <w:t>in</w:t>
      </w:r>
      <w:r w:rsidR="00784CFC">
        <w:rPr>
          <w:rFonts w:cs="Arial"/>
          <w:bCs/>
          <w:sz w:val="22"/>
          <w:szCs w:val="22"/>
        </w:rPr>
        <w:t xml:space="preserve"> any manner by which in the ordinary course the (process) </w:t>
      </w:r>
      <w:r w:rsidR="00AE6717">
        <w:rPr>
          <w:rFonts w:cs="Arial"/>
          <w:bCs/>
          <w:sz w:val="22"/>
          <w:szCs w:val="22"/>
        </w:rPr>
        <w:t xml:space="preserve">would come to the attention </w:t>
      </w:r>
      <w:r w:rsidR="00784CFC">
        <w:rPr>
          <w:rFonts w:cs="Arial"/>
          <w:bCs/>
          <w:sz w:val="22"/>
          <w:szCs w:val="22"/>
        </w:rPr>
        <w:t xml:space="preserve">of </w:t>
      </w:r>
      <w:r w:rsidR="00AE6717">
        <w:rPr>
          <w:rFonts w:cs="Arial"/>
          <w:bCs/>
          <w:sz w:val="22"/>
          <w:szCs w:val="22"/>
        </w:rPr>
        <w:t xml:space="preserve">and be received by the </w:t>
      </w:r>
      <w:r w:rsidR="00784CFC">
        <w:rPr>
          <w:rFonts w:cs="Arial"/>
          <w:bCs/>
          <w:sz w:val="22"/>
          <w:szCs w:val="22"/>
        </w:rPr>
        <w:t>(</w:t>
      </w:r>
      <w:r w:rsidR="00AE6717">
        <w:rPr>
          <w:rFonts w:cs="Arial"/>
          <w:bCs/>
          <w:sz w:val="22"/>
          <w:szCs w:val="22"/>
        </w:rPr>
        <w:t>i</w:t>
      </w:r>
      <w:r w:rsidR="00784CFC">
        <w:rPr>
          <w:rFonts w:cs="Arial"/>
          <w:bCs/>
          <w:sz w:val="22"/>
          <w:szCs w:val="22"/>
        </w:rPr>
        <w:t>ntended recipient)”</w:t>
      </w:r>
      <w:r w:rsidR="00AE6717">
        <w:rPr>
          <w:rFonts w:cs="Arial"/>
          <w:bCs/>
          <w:sz w:val="22"/>
          <w:szCs w:val="22"/>
        </w:rPr>
        <w:t>.</w:t>
      </w:r>
      <w:r w:rsidR="00AE6717">
        <w:rPr>
          <w:rStyle w:val="FootnoteReference"/>
          <w:rFonts w:cs="Arial"/>
          <w:bCs/>
          <w:sz w:val="22"/>
          <w:szCs w:val="22"/>
        </w:rPr>
        <w:footnoteReference w:id="5"/>
      </w:r>
    </w:p>
    <w:p w14:paraId="1D4C28A0" w14:textId="02E3B1C6" w:rsidR="00AE6717" w:rsidRDefault="001929B9" w:rsidP="001929B9">
      <w:pPr>
        <w:tabs>
          <w:tab w:val="left" w:pos="680"/>
        </w:tabs>
        <w:spacing w:after="480" w:line="480" w:lineRule="auto"/>
        <w:jc w:val="both"/>
        <w:rPr>
          <w:rFonts w:cs="Arial"/>
          <w:bCs/>
          <w:sz w:val="22"/>
          <w:szCs w:val="22"/>
        </w:rPr>
      </w:pPr>
      <w:r>
        <w:rPr>
          <w:rFonts w:cs="Arial"/>
          <w:bCs/>
          <w:sz w:val="21"/>
          <w:szCs w:val="21"/>
        </w:rPr>
        <w:t>[22]</w:t>
      </w:r>
      <w:r>
        <w:rPr>
          <w:rFonts w:cs="Arial"/>
          <w:bCs/>
          <w:sz w:val="21"/>
          <w:szCs w:val="21"/>
        </w:rPr>
        <w:tab/>
      </w:r>
      <w:r w:rsidR="00AE6717">
        <w:rPr>
          <w:rFonts w:cs="Arial"/>
          <w:bCs/>
          <w:sz w:val="22"/>
          <w:szCs w:val="22"/>
        </w:rPr>
        <w:t>One of the methods of doing so is by handing the process to a responsible employee.</w:t>
      </w:r>
      <w:r w:rsidR="00AE6717">
        <w:rPr>
          <w:rStyle w:val="FootnoteReference"/>
          <w:rFonts w:cs="Arial"/>
          <w:bCs/>
          <w:sz w:val="22"/>
          <w:szCs w:val="22"/>
        </w:rPr>
        <w:footnoteReference w:id="6"/>
      </w:r>
    </w:p>
    <w:p w14:paraId="0DBF3D9F" w14:textId="77F16604" w:rsidR="00537EFB" w:rsidRPr="008435A2" w:rsidRDefault="001929B9" w:rsidP="001929B9">
      <w:pPr>
        <w:tabs>
          <w:tab w:val="left" w:pos="680"/>
        </w:tabs>
        <w:spacing w:after="480" w:line="480" w:lineRule="auto"/>
        <w:jc w:val="both"/>
        <w:rPr>
          <w:rFonts w:cs="Arial"/>
          <w:bCs/>
          <w:sz w:val="22"/>
          <w:szCs w:val="22"/>
        </w:rPr>
      </w:pPr>
      <w:r w:rsidRPr="008435A2">
        <w:rPr>
          <w:rFonts w:cs="Arial"/>
          <w:bCs/>
          <w:sz w:val="21"/>
          <w:szCs w:val="21"/>
        </w:rPr>
        <w:t>[23]</w:t>
      </w:r>
      <w:r w:rsidRPr="008435A2">
        <w:rPr>
          <w:rFonts w:cs="Arial"/>
          <w:bCs/>
          <w:sz w:val="21"/>
          <w:szCs w:val="21"/>
        </w:rPr>
        <w:tab/>
      </w:r>
      <w:r w:rsidR="00537EFB">
        <w:rPr>
          <w:rFonts w:cs="Arial"/>
          <w:bCs/>
          <w:sz w:val="22"/>
          <w:szCs w:val="22"/>
        </w:rPr>
        <w:t xml:space="preserve">The security guard at the applicant’s </w:t>
      </w:r>
      <w:proofErr w:type="spellStart"/>
      <w:r w:rsidR="00537EFB">
        <w:rPr>
          <w:rFonts w:cs="Arial"/>
          <w:bCs/>
          <w:i/>
          <w:sz w:val="22"/>
          <w:szCs w:val="22"/>
        </w:rPr>
        <w:t>domicilium</w:t>
      </w:r>
      <w:proofErr w:type="spellEnd"/>
      <w:r w:rsidR="00537EFB">
        <w:rPr>
          <w:rFonts w:cs="Arial"/>
          <w:bCs/>
          <w:i/>
          <w:sz w:val="22"/>
          <w:szCs w:val="22"/>
        </w:rPr>
        <w:t xml:space="preserve"> </w:t>
      </w:r>
      <w:r w:rsidR="00537EFB">
        <w:rPr>
          <w:rFonts w:cs="Arial"/>
          <w:bCs/>
          <w:sz w:val="22"/>
          <w:szCs w:val="22"/>
        </w:rPr>
        <w:t>address</w:t>
      </w:r>
      <w:r w:rsidR="00C770C1">
        <w:rPr>
          <w:rFonts w:cs="Arial"/>
          <w:bCs/>
          <w:sz w:val="22"/>
          <w:szCs w:val="22"/>
        </w:rPr>
        <w:t xml:space="preserve"> </w:t>
      </w:r>
      <w:r w:rsidR="00C770C1" w:rsidRPr="00C770C1">
        <w:rPr>
          <w:rFonts w:cs="Arial"/>
          <w:bCs/>
          <w:i/>
          <w:sz w:val="22"/>
          <w:szCs w:val="22"/>
        </w:rPr>
        <w:t>ex facie</w:t>
      </w:r>
      <w:r w:rsidR="00C770C1">
        <w:rPr>
          <w:rFonts w:cs="Arial"/>
          <w:bCs/>
          <w:sz w:val="22"/>
          <w:szCs w:val="22"/>
        </w:rPr>
        <w:t xml:space="preserve"> th</w:t>
      </w:r>
      <w:r w:rsidR="008435A2">
        <w:rPr>
          <w:rFonts w:cs="Arial"/>
          <w:bCs/>
          <w:sz w:val="22"/>
          <w:szCs w:val="22"/>
        </w:rPr>
        <w:t>e return of service wa</w:t>
      </w:r>
      <w:r w:rsidR="00C770C1">
        <w:rPr>
          <w:rFonts w:cs="Arial"/>
          <w:bCs/>
          <w:sz w:val="22"/>
          <w:szCs w:val="22"/>
        </w:rPr>
        <w:t xml:space="preserve">s </w:t>
      </w:r>
      <w:r w:rsidR="00537EFB">
        <w:rPr>
          <w:rFonts w:cs="Arial"/>
          <w:bCs/>
          <w:sz w:val="22"/>
          <w:szCs w:val="22"/>
        </w:rPr>
        <w:t>a responsible employee</w:t>
      </w:r>
      <w:r w:rsidR="008435A2" w:rsidRPr="008435A2">
        <w:rPr>
          <w:rFonts w:cs="Arial"/>
          <w:bCs/>
          <w:sz w:val="22"/>
          <w:szCs w:val="22"/>
        </w:rPr>
        <w:t xml:space="preserve"> </w:t>
      </w:r>
      <w:r w:rsidR="008435A2">
        <w:rPr>
          <w:rFonts w:cs="Arial"/>
          <w:bCs/>
          <w:sz w:val="22"/>
          <w:szCs w:val="22"/>
        </w:rPr>
        <w:t xml:space="preserve">who accepted service of the combined summons. </w:t>
      </w:r>
      <w:r w:rsidR="00C770C1" w:rsidRPr="008435A2">
        <w:rPr>
          <w:rFonts w:cs="Arial"/>
          <w:bCs/>
          <w:sz w:val="22"/>
          <w:szCs w:val="22"/>
        </w:rPr>
        <w:t xml:space="preserve">I accept </w:t>
      </w:r>
      <w:r w:rsidR="00537EFB" w:rsidRPr="008435A2">
        <w:rPr>
          <w:rFonts w:cs="Arial"/>
          <w:bCs/>
          <w:sz w:val="22"/>
          <w:szCs w:val="22"/>
        </w:rPr>
        <w:t>that the security guard was not the applicant’s employee</w:t>
      </w:r>
      <w:r w:rsidR="00A41D07">
        <w:rPr>
          <w:rFonts w:cs="Arial"/>
          <w:bCs/>
          <w:sz w:val="22"/>
          <w:szCs w:val="22"/>
        </w:rPr>
        <w:t xml:space="preserve"> but an employee of the complex. That, </w:t>
      </w:r>
      <w:r w:rsidR="008435A2">
        <w:rPr>
          <w:rFonts w:cs="Arial"/>
          <w:bCs/>
          <w:sz w:val="22"/>
          <w:szCs w:val="22"/>
        </w:rPr>
        <w:t>however</w:t>
      </w:r>
      <w:r w:rsidR="00A41D07">
        <w:rPr>
          <w:rFonts w:cs="Arial"/>
          <w:bCs/>
          <w:sz w:val="22"/>
          <w:szCs w:val="22"/>
        </w:rPr>
        <w:t>, in the light of the difficulties with gaining access to complexes in the absence of the relevant occupants, was</w:t>
      </w:r>
      <w:r w:rsidR="00C770C1" w:rsidRPr="008435A2">
        <w:rPr>
          <w:rFonts w:cs="Arial"/>
          <w:bCs/>
          <w:sz w:val="22"/>
          <w:szCs w:val="22"/>
        </w:rPr>
        <w:t xml:space="preserve"> not sufficient to render the service ineffective</w:t>
      </w:r>
      <w:r w:rsidR="00A41D07">
        <w:rPr>
          <w:rFonts w:cs="Arial"/>
          <w:bCs/>
          <w:sz w:val="22"/>
          <w:szCs w:val="22"/>
        </w:rPr>
        <w:t>. This was</w:t>
      </w:r>
      <w:r w:rsidR="00C770C1" w:rsidRPr="008435A2">
        <w:rPr>
          <w:rFonts w:cs="Arial"/>
          <w:bCs/>
          <w:sz w:val="22"/>
          <w:szCs w:val="22"/>
        </w:rPr>
        <w:t xml:space="preserve"> notwithstanding that there was no evidence before me of any arrangement whereby the security guard would receive deliveries on behalf of residents of the complex. The guard referred to in the return of service accepted s</w:t>
      </w:r>
      <w:r w:rsidR="00A41D07">
        <w:rPr>
          <w:rFonts w:cs="Arial"/>
          <w:bCs/>
          <w:sz w:val="22"/>
          <w:szCs w:val="22"/>
        </w:rPr>
        <w:t>ervice of the combined summons and was a responsible employee over the age of 16 years.</w:t>
      </w:r>
    </w:p>
    <w:p w14:paraId="7CABB8C7" w14:textId="562581CC" w:rsidR="00537EFB" w:rsidRDefault="001929B9" w:rsidP="001929B9">
      <w:pPr>
        <w:tabs>
          <w:tab w:val="left" w:pos="680"/>
        </w:tabs>
        <w:spacing w:after="480" w:line="480" w:lineRule="auto"/>
        <w:jc w:val="both"/>
        <w:rPr>
          <w:rFonts w:cs="Arial"/>
          <w:bCs/>
          <w:sz w:val="22"/>
          <w:szCs w:val="22"/>
        </w:rPr>
      </w:pPr>
      <w:r>
        <w:rPr>
          <w:rFonts w:cs="Arial"/>
          <w:bCs/>
          <w:sz w:val="21"/>
          <w:szCs w:val="21"/>
        </w:rPr>
        <w:t>[24]</w:t>
      </w:r>
      <w:r>
        <w:rPr>
          <w:rFonts w:cs="Arial"/>
          <w:bCs/>
          <w:sz w:val="21"/>
          <w:szCs w:val="21"/>
        </w:rPr>
        <w:tab/>
      </w:r>
      <w:r w:rsidR="00537EFB">
        <w:rPr>
          <w:rFonts w:cs="Arial"/>
          <w:bCs/>
          <w:sz w:val="22"/>
          <w:szCs w:val="22"/>
        </w:rPr>
        <w:t xml:space="preserve">Furthermore, I accept </w:t>
      </w:r>
      <w:r w:rsidR="00C770C1">
        <w:rPr>
          <w:rFonts w:cs="Arial"/>
          <w:bCs/>
          <w:sz w:val="22"/>
          <w:szCs w:val="22"/>
        </w:rPr>
        <w:t>that the complex situated at the</w:t>
      </w:r>
      <w:r w:rsidR="00537EFB">
        <w:rPr>
          <w:rFonts w:cs="Arial"/>
          <w:bCs/>
          <w:sz w:val="22"/>
          <w:szCs w:val="22"/>
        </w:rPr>
        <w:t xml:space="preserve"> applicant’s </w:t>
      </w:r>
      <w:proofErr w:type="spellStart"/>
      <w:r w:rsidR="00537EFB">
        <w:rPr>
          <w:rFonts w:cs="Arial"/>
          <w:bCs/>
          <w:i/>
          <w:sz w:val="22"/>
          <w:szCs w:val="22"/>
        </w:rPr>
        <w:t>domicilium</w:t>
      </w:r>
      <w:proofErr w:type="spellEnd"/>
      <w:r w:rsidR="00537EFB">
        <w:rPr>
          <w:rFonts w:cs="Arial"/>
          <w:bCs/>
          <w:i/>
          <w:sz w:val="22"/>
          <w:szCs w:val="22"/>
        </w:rPr>
        <w:t xml:space="preserve"> </w:t>
      </w:r>
      <w:r w:rsidR="008435A2">
        <w:rPr>
          <w:rFonts w:cs="Arial"/>
          <w:bCs/>
          <w:sz w:val="22"/>
          <w:szCs w:val="22"/>
        </w:rPr>
        <w:t xml:space="preserve">address had many </w:t>
      </w:r>
      <w:r w:rsidR="00A41D07">
        <w:rPr>
          <w:rFonts w:cs="Arial"/>
          <w:bCs/>
          <w:sz w:val="22"/>
          <w:szCs w:val="22"/>
        </w:rPr>
        <w:t>residents.</w:t>
      </w:r>
      <w:r w:rsidR="008435A2">
        <w:rPr>
          <w:rFonts w:cs="Arial"/>
          <w:bCs/>
          <w:sz w:val="22"/>
          <w:szCs w:val="22"/>
        </w:rPr>
        <w:t xml:space="preserve"> </w:t>
      </w:r>
      <w:r w:rsidR="00A41D07">
        <w:rPr>
          <w:rFonts w:cs="Arial"/>
          <w:bCs/>
          <w:sz w:val="22"/>
          <w:szCs w:val="22"/>
        </w:rPr>
        <w:t>That</w:t>
      </w:r>
      <w:r w:rsidR="008435A2">
        <w:rPr>
          <w:rFonts w:cs="Arial"/>
          <w:bCs/>
          <w:sz w:val="22"/>
          <w:szCs w:val="22"/>
        </w:rPr>
        <w:t xml:space="preserve"> did</w:t>
      </w:r>
      <w:r w:rsidR="00537EFB">
        <w:rPr>
          <w:rFonts w:cs="Arial"/>
          <w:bCs/>
          <w:sz w:val="22"/>
          <w:szCs w:val="22"/>
        </w:rPr>
        <w:t xml:space="preserve"> not militate agains</w:t>
      </w:r>
      <w:r w:rsidR="008435A2">
        <w:rPr>
          <w:rFonts w:cs="Arial"/>
          <w:bCs/>
          <w:sz w:val="22"/>
          <w:szCs w:val="22"/>
        </w:rPr>
        <w:t>t</w:t>
      </w:r>
      <w:r w:rsidR="008435A2" w:rsidRPr="008435A2">
        <w:rPr>
          <w:rFonts w:cs="Arial"/>
          <w:bCs/>
          <w:sz w:val="22"/>
          <w:szCs w:val="22"/>
        </w:rPr>
        <w:t xml:space="preserve"> </w:t>
      </w:r>
      <w:r w:rsidR="008435A2">
        <w:rPr>
          <w:rFonts w:cs="Arial"/>
          <w:bCs/>
          <w:sz w:val="22"/>
          <w:szCs w:val="22"/>
        </w:rPr>
        <w:t>the validity of service of the summons by way of it being handed to the security guard</w:t>
      </w:r>
      <w:r w:rsidR="00537EFB">
        <w:rPr>
          <w:rFonts w:cs="Arial"/>
          <w:bCs/>
          <w:sz w:val="22"/>
          <w:szCs w:val="22"/>
        </w:rPr>
        <w:t xml:space="preserve"> at the applicant’s </w:t>
      </w:r>
      <w:proofErr w:type="spellStart"/>
      <w:r w:rsidR="00537EFB">
        <w:rPr>
          <w:rFonts w:cs="Arial"/>
          <w:bCs/>
          <w:i/>
          <w:sz w:val="22"/>
          <w:szCs w:val="22"/>
        </w:rPr>
        <w:t>domicilium</w:t>
      </w:r>
      <w:proofErr w:type="spellEnd"/>
      <w:r w:rsidR="008435A2">
        <w:rPr>
          <w:rFonts w:cs="Arial"/>
          <w:bCs/>
          <w:sz w:val="22"/>
          <w:szCs w:val="22"/>
        </w:rPr>
        <w:t xml:space="preserve"> address</w:t>
      </w:r>
      <w:r w:rsidR="00A41D07">
        <w:rPr>
          <w:rFonts w:cs="Arial"/>
          <w:bCs/>
          <w:sz w:val="22"/>
          <w:szCs w:val="22"/>
        </w:rPr>
        <w:t>,</w:t>
      </w:r>
      <w:r w:rsidR="008435A2">
        <w:rPr>
          <w:rFonts w:cs="Arial"/>
          <w:bCs/>
          <w:sz w:val="22"/>
          <w:szCs w:val="22"/>
        </w:rPr>
        <w:t xml:space="preserve"> in</w:t>
      </w:r>
      <w:r w:rsidR="00A41D07">
        <w:rPr>
          <w:rFonts w:cs="Arial"/>
          <w:bCs/>
          <w:sz w:val="22"/>
          <w:szCs w:val="22"/>
        </w:rPr>
        <w:t xml:space="preserve"> the face of the difficulties posed by access to such complexes. </w:t>
      </w:r>
      <w:r w:rsidR="008435A2">
        <w:rPr>
          <w:rFonts w:cs="Arial"/>
          <w:bCs/>
          <w:sz w:val="22"/>
          <w:szCs w:val="22"/>
        </w:rPr>
        <w:t xml:space="preserve"> </w:t>
      </w:r>
      <w:r w:rsidR="00A41D07">
        <w:rPr>
          <w:rFonts w:cs="Arial"/>
          <w:bCs/>
          <w:sz w:val="22"/>
          <w:szCs w:val="22"/>
        </w:rPr>
        <w:t xml:space="preserve"> </w:t>
      </w:r>
    </w:p>
    <w:p w14:paraId="62DC9716" w14:textId="2958FE6E" w:rsidR="00303819" w:rsidRDefault="001929B9" w:rsidP="001929B9">
      <w:pPr>
        <w:tabs>
          <w:tab w:val="left" w:pos="680"/>
        </w:tabs>
        <w:spacing w:after="480" w:line="480" w:lineRule="auto"/>
        <w:jc w:val="both"/>
        <w:rPr>
          <w:rFonts w:cs="Arial"/>
          <w:bCs/>
          <w:sz w:val="22"/>
          <w:szCs w:val="22"/>
        </w:rPr>
      </w:pPr>
      <w:r>
        <w:rPr>
          <w:rFonts w:cs="Arial"/>
          <w:bCs/>
          <w:sz w:val="21"/>
          <w:szCs w:val="21"/>
        </w:rPr>
        <w:t>[25]</w:t>
      </w:r>
      <w:r>
        <w:rPr>
          <w:rFonts w:cs="Arial"/>
          <w:bCs/>
          <w:sz w:val="21"/>
          <w:szCs w:val="21"/>
        </w:rPr>
        <w:tab/>
      </w:r>
      <w:r w:rsidR="00537EFB">
        <w:rPr>
          <w:rFonts w:cs="Arial"/>
          <w:bCs/>
          <w:sz w:val="22"/>
          <w:szCs w:val="22"/>
        </w:rPr>
        <w:t>I</w:t>
      </w:r>
      <w:r w:rsidR="0003413B">
        <w:rPr>
          <w:rFonts w:cs="Arial"/>
          <w:bCs/>
          <w:sz w:val="22"/>
          <w:szCs w:val="22"/>
        </w:rPr>
        <w:t>n my view,</w:t>
      </w:r>
      <w:r w:rsidR="00303819">
        <w:rPr>
          <w:rFonts w:cs="Arial"/>
          <w:bCs/>
          <w:sz w:val="22"/>
          <w:szCs w:val="22"/>
        </w:rPr>
        <w:t xml:space="preserve"> given the difficulties of a sheriff or his deputy accessing a security complex in the absence of the occupant for the purposes of service in terms of rule 4, service of process by way of it being handed to the </w:t>
      </w:r>
      <w:r w:rsidR="00B32685">
        <w:rPr>
          <w:rFonts w:cs="Arial"/>
          <w:bCs/>
          <w:sz w:val="22"/>
          <w:szCs w:val="22"/>
        </w:rPr>
        <w:t xml:space="preserve">security </w:t>
      </w:r>
      <w:r w:rsidR="00303819">
        <w:rPr>
          <w:rFonts w:cs="Arial"/>
          <w:bCs/>
          <w:sz w:val="22"/>
          <w:szCs w:val="22"/>
        </w:rPr>
        <w:t>guard at the complex, a responsible employee older than</w:t>
      </w:r>
      <w:r w:rsidR="00B32685">
        <w:rPr>
          <w:rFonts w:cs="Arial"/>
          <w:bCs/>
          <w:sz w:val="22"/>
          <w:szCs w:val="22"/>
        </w:rPr>
        <w:t xml:space="preserve"> 16 years, i</w:t>
      </w:r>
      <w:r w:rsidR="00303819">
        <w:rPr>
          <w:rFonts w:cs="Arial"/>
          <w:bCs/>
          <w:sz w:val="22"/>
          <w:szCs w:val="22"/>
        </w:rPr>
        <w:t xml:space="preserve">s valid and effective service on the debtor. </w:t>
      </w:r>
    </w:p>
    <w:p w14:paraId="439D1D4E" w14:textId="572E6156" w:rsidR="00B15915" w:rsidRDefault="001929B9" w:rsidP="001929B9">
      <w:pPr>
        <w:tabs>
          <w:tab w:val="left" w:pos="680"/>
        </w:tabs>
        <w:spacing w:after="480" w:line="480" w:lineRule="auto"/>
        <w:jc w:val="both"/>
        <w:rPr>
          <w:rFonts w:cs="Arial"/>
          <w:bCs/>
          <w:sz w:val="22"/>
          <w:szCs w:val="22"/>
        </w:rPr>
      </w:pPr>
      <w:r>
        <w:rPr>
          <w:rFonts w:cs="Arial"/>
          <w:bCs/>
          <w:sz w:val="21"/>
          <w:szCs w:val="21"/>
        </w:rPr>
        <w:lastRenderedPageBreak/>
        <w:t>[26]</w:t>
      </w:r>
      <w:r>
        <w:rPr>
          <w:rFonts w:cs="Arial"/>
          <w:bCs/>
          <w:sz w:val="21"/>
          <w:szCs w:val="21"/>
        </w:rPr>
        <w:tab/>
      </w:r>
      <w:r w:rsidR="005B4265">
        <w:rPr>
          <w:rFonts w:cs="Arial"/>
          <w:bCs/>
          <w:sz w:val="22"/>
          <w:szCs w:val="22"/>
        </w:rPr>
        <w:t>In respect of the argument that the first respondent could not serve on the applicant’s</w:t>
      </w:r>
      <w:r w:rsidR="005B4265" w:rsidRPr="005B4265">
        <w:rPr>
          <w:rFonts w:cs="Arial"/>
          <w:bCs/>
          <w:i/>
          <w:sz w:val="22"/>
          <w:szCs w:val="22"/>
        </w:rPr>
        <w:t xml:space="preserve"> </w:t>
      </w:r>
      <w:proofErr w:type="spellStart"/>
      <w:r w:rsidR="005B4265" w:rsidRPr="005B4265">
        <w:rPr>
          <w:rFonts w:cs="Arial"/>
          <w:bCs/>
          <w:i/>
          <w:sz w:val="22"/>
          <w:szCs w:val="22"/>
        </w:rPr>
        <w:t>domicilium</w:t>
      </w:r>
      <w:proofErr w:type="spellEnd"/>
      <w:r w:rsidR="005B4265">
        <w:rPr>
          <w:rFonts w:cs="Arial"/>
          <w:bCs/>
          <w:sz w:val="22"/>
          <w:szCs w:val="22"/>
        </w:rPr>
        <w:t xml:space="preserve"> address after cancellation of the agreement, </w:t>
      </w:r>
      <w:r w:rsidR="007D42E0">
        <w:rPr>
          <w:rFonts w:cs="Arial"/>
          <w:bCs/>
          <w:sz w:val="22"/>
          <w:szCs w:val="22"/>
        </w:rPr>
        <w:t>termination of the primary obligations</w:t>
      </w:r>
      <w:r w:rsidR="00B15915">
        <w:rPr>
          <w:rFonts w:cs="Arial"/>
          <w:bCs/>
          <w:sz w:val="22"/>
          <w:szCs w:val="22"/>
        </w:rPr>
        <w:t xml:space="preserve"> by way of cancellation of</w:t>
      </w:r>
      <w:r w:rsidR="007D42E0">
        <w:rPr>
          <w:rFonts w:cs="Arial"/>
          <w:bCs/>
          <w:sz w:val="22"/>
          <w:szCs w:val="22"/>
        </w:rPr>
        <w:t xml:space="preserve"> a c</w:t>
      </w:r>
      <w:r w:rsidR="00B15915">
        <w:rPr>
          <w:rFonts w:cs="Arial"/>
          <w:bCs/>
          <w:sz w:val="22"/>
          <w:szCs w:val="22"/>
        </w:rPr>
        <w:t xml:space="preserve">ontract </w:t>
      </w:r>
      <w:r w:rsidR="007D42E0">
        <w:rPr>
          <w:rFonts w:cs="Arial"/>
          <w:bCs/>
          <w:sz w:val="22"/>
          <w:szCs w:val="22"/>
        </w:rPr>
        <w:t>does not bring an end to the secondary obligations</w:t>
      </w:r>
      <w:r w:rsidR="00A41D07">
        <w:rPr>
          <w:rFonts w:cs="Arial"/>
          <w:bCs/>
          <w:sz w:val="22"/>
          <w:szCs w:val="22"/>
        </w:rPr>
        <w:t>. T</w:t>
      </w:r>
      <w:r w:rsidR="005B4265">
        <w:rPr>
          <w:rFonts w:cs="Arial"/>
          <w:bCs/>
          <w:sz w:val="22"/>
          <w:szCs w:val="22"/>
        </w:rPr>
        <w:t>he</w:t>
      </w:r>
      <w:r w:rsidR="000024F3">
        <w:rPr>
          <w:rFonts w:cs="Arial"/>
          <w:bCs/>
          <w:sz w:val="22"/>
          <w:szCs w:val="22"/>
        </w:rPr>
        <w:t xml:space="preserve"> debtor remains liable for performance of obligations due and</w:t>
      </w:r>
      <w:r w:rsidR="007D42E0">
        <w:rPr>
          <w:rFonts w:cs="Arial"/>
          <w:bCs/>
          <w:sz w:val="22"/>
          <w:szCs w:val="22"/>
        </w:rPr>
        <w:t xml:space="preserve"> enforceable as at cancellation.</w:t>
      </w:r>
      <w:r w:rsidR="00B15915">
        <w:rPr>
          <w:rFonts w:cs="Arial"/>
          <w:bCs/>
          <w:sz w:val="22"/>
          <w:szCs w:val="22"/>
        </w:rPr>
        <w:t xml:space="preserve"> The</w:t>
      </w:r>
      <w:r w:rsidR="00A41D07">
        <w:rPr>
          <w:rFonts w:cs="Arial"/>
          <w:bCs/>
          <w:i/>
          <w:sz w:val="22"/>
          <w:szCs w:val="22"/>
        </w:rPr>
        <w:t xml:space="preserve"> </w:t>
      </w:r>
      <w:proofErr w:type="spellStart"/>
      <w:r w:rsidR="00011EDC">
        <w:rPr>
          <w:rFonts w:cs="Arial"/>
          <w:bCs/>
          <w:i/>
          <w:sz w:val="22"/>
          <w:szCs w:val="22"/>
        </w:rPr>
        <w:t>domicilium</w:t>
      </w:r>
      <w:proofErr w:type="spellEnd"/>
      <w:r w:rsidR="005B4265">
        <w:rPr>
          <w:rFonts w:cs="Arial"/>
          <w:bCs/>
          <w:sz w:val="22"/>
          <w:szCs w:val="22"/>
        </w:rPr>
        <w:t xml:space="preserve"> address </w:t>
      </w:r>
      <w:r w:rsidR="00B15915">
        <w:rPr>
          <w:rFonts w:cs="Arial"/>
          <w:bCs/>
          <w:sz w:val="22"/>
          <w:szCs w:val="22"/>
        </w:rPr>
        <w:t>is reasonably necessary to effect service on the debtor such as may be necessary after cancellation of the agreement. Thus, the</w:t>
      </w:r>
      <w:r w:rsidR="00B15915" w:rsidRPr="00B15915">
        <w:rPr>
          <w:rFonts w:cs="Arial"/>
          <w:bCs/>
          <w:i/>
          <w:sz w:val="22"/>
          <w:szCs w:val="22"/>
        </w:rPr>
        <w:t xml:space="preserve"> </w:t>
      </w:r>
      <w:proofErr w:type="spellStart"/>
      <w:r w:rsidR="00011EDC">
        <w:rPr>
          <w:rFonts w:cs="Arial"/>
          <w:bCs/>
          <w:i/>
          <w:sz w:val="22"/>
          <w:szCs w:val="22"/>
        </w:rPr>
        <w:t>domicilium</w:t>
      </w:r>
      <w:proofErr w:type="spellEnd"/>
      <w:r w:rsidR="00B15915">
        <w:rPr>
          <w:rFonts w:cs="Arial"/>
          <w:bCs/>
          <w:sz w:val="22"/>
          <w:szCs w:val="22"/>
        </w:rPr>
        <w:t xml:space="preserve"> address survives</w:t>
      </w:r>
      <w:r w:rsidR="005B4265">
        <w:rPr>
          <w:rFonts w:cs="Arial"/>
          <w:bCs/>
          <w:sz w:val="22"/>
          <w:szCs w:val="22"/>
        </w:rPr>
        <w:t xml:space="preserve"> cancellation of the agreement</w:t>
      </w:r>
      <w:r w:rsidR="00B15915">
        <w:rPr>
          <w:rFonts w:cs="Arial"/>
          <w:bCs/>
          <w:sz w:val="22"/>
          <w:szCs w:val="22"/>
        </w:rPr>
        <w:t>.</w:t>
      </w:r>
    </w:p>
    <w:p w14:paraId="7D7A0BE7" w14:textId="320A7B71" w:rsidR="00537EFB" w:rsidRPr="00B15915" w:rsidRDefault="001929B9" w:rsidP="001929B9">
      <w:pPr>
        <w:tabs>
          <w:tab w:val="left" w:pos="680"/>
        </w:tabs>
        <w:spacing w:after="480" w:line="480" w:lineRule="auto"/>
        <w:jc w:val="both"/>
        <w:rPr>
          <w:rFonts w:cs="Arial"/>
          <w:bCs/>
          <w:sz w:val="22"/>
          <w:szCs w:val="22"/>
        </w:rPr>
      </w:pPr>
      <w:r w:rsidRPr="00B15915">
        <w:rPr>
          <w:rFonts w:cs="Arial"/>
          <w:bCs/>
          <w:sz w:val="21"/>
          <w:szCs w:val="21"/>
        </w:rPr>
        <w:t>[27]</w:t>
      </w:r>
      <w:r w:rsidRPr="00B15915">
        <w:rPr>
          <w:rFonts w:cs="Arial"/>
          <w:bCs/>
          <w:sz w:val="21"/>
          <w:szCs w:val="21"/>
        </w:rPr>
        <w:tab/>
      </w:r>
      <w:r w:rsidR="00B32685" w:rsidRPr="00B15915">
        <w:rPr>
          <w:rFonts w:cs="Arial"/>
          <w:bCs/>
          <w:sz w:val="22"/>
          <w:szCs w:val="22"/>
        </w:rPr>
        <w:t xml:space="preserve">Accordingly, </w:t>
      </w:r>
      <w:r w:rsidR="0003413B" w:rsidRPr="00B15915">
        <w:rPr>
          <w:rFonts w:cs="Arial"/>
          <w:bCs/>
          <w:sz w:val="22"/>
          <w:szCs w:val="22"/>
        </w:rPr>
        <w:t xml:space="preserve">service on the applicant </w:t>
      </w:r>
      <w:r w:rsidR="00B32685" w:rsidRPr="00B15915">
        <w:rPr>
          <w:rFonts w:cs="Arial"/>
          <w:bCs/>
          <w:sz w:val="22"/>
          <w:szCs w:val="22"/>
        </w:rPr>
        <w:t xml:space="preserve">at the </w:t>
      </w:r>
      <w:proofErr w:type="spellStart"/>
      <w:r w:rsidR="00B32685" w:rsidRPr="00B15915">
        <w:rPr>
          <w:rFonts w:cs="Arial"/>
          <w:bCs/>
          <w:i/>
          <w:sz w:val="22"/>
          <w:szCs w:val="22"/>
        </w:rPr>
        <w:t>domicilium</w:t>
      </w:r>
      <w:proofErr w:type="spellEnd"/>
      <w:r w:rsidR="00B32685" w:rsidRPr="00B15915">
        <w:rPr>
          <w:rFonts w:cs="Arial"/>
          <w:bCs/>
          <w:sz w:val="22"/>
          <w:szCs w:val="22"/>
        </w:rPr>
        <w:t xml:space="preserve"> address by way of the process being </w:t>
      </w:r>
      <w:r w:rsidR="00B15915">
        <w:rPr>
          <w:rFonts w:cs="Arial"/>
          <w:bCs/>
          <w:sz w:val="22"/>
          <w:szCs w:val="22"/>
        </w:rPr>
        <w:t xml:space="preserve">handed to the security guard at the complex, a responsible employee older than 16 years, </w:t>
      </w:r>
      <w:r w:rsidR="0003413B" w:rsidRPr="00B15915">
        <w:rPr>
          <w:rFonts w:cs="Arial"/>
          <w:bCs/>
          <w:sz w:val="22"/>
          <w:szCs w:val="22"/>
        </w:rPr>
        <w:t>was valid and effective</w:t>
      </w:r>
      <w:r w:rsidR="00B32685" w:rsidRPr="00B15915">
        <w:rPr>
          <w:rFonts w:cs="Arial"/>
          <w:bCs/>
          <w:sz w:val="22"/>
          <w:szCs w:val="22"/>
        </w:rPr>
        <w:t xml:space="preserve"> service</w:t>
      </w:r>
      <w:r w:rsidR="0003413B">
        <w:rPr>
          <w:rStyle w:val="FootnoteReference"/>
          <w:rFonts w:cs="Arial"/>
          <w:bCs/>
          <w:sz w:val="22"/>
          <w:szCs w:val="22"/>
        </w:rPr>
        <w:footnoteReference w:id="7"/>
      </w:r>
      <w:r w:rsidR="00B15915">
        <w:rPr>
          <w:rFonts w:cs="Arial"/>
          <w:bCs/>
          <w:sz w:val="22"/>
          <w:szCs w:val="22"/>
        </w:rPr>
        <w:t xml:space="preserve"> on the applicant.</w:t>
      </w:r>
    </w:p>
    <w:p w14:paraId="4E27A390" w14:textId="63F50AD0" w:rsidR="0003413B" w:rsidRDefault="001929B9" w:rsidP="001929B9">
      <w:pPr>
        <w:tabs>
          <w:tab w:val="left" w:pos="680"/>
        </w:tabs>
        <w:spacing w:after="480" w:line="480" w:lineRule="auto"/>
        <w:jc w:val="both"/>
        <w:rPr>
          <w:rFonts w:cs="Arial"/>
          <w:bCs/>
          <w:sz w:val="22"/>
          <w:szCs w:val="22"/>
        </w:rPr>
      </w:pPr>
      <w:r>
        <w:rPr>
          <w:rFonts w:cs="Arial"/>
          <w:bCs/>
          <w:sz w:val="21"/>
          <w:szCs w:val="21"/>
        </w:rPr>
        <w:t>[28]</w:t>
      </w:r>
      <w:r>
        <w:rPr>
          <w:rFonts w:cs="Arial"/>
          <w:bCs/>
          <w:sz w:val="21"/>
          <w:szCs w:val="21"/>
        </w:rPr>
        <w:tab/>
      </w:r>
      <w:r w:rsidR="0003413B">
        <w:rPr>
          <w:rFonts w:cs="Arial"/>
          <w:bCs/>
          <w:sz w:val="22"/>
          <w:szCs w:val="22"/>
        </w:rPr>
        <w:t>Thu</w:t>
      </w:r>
      <w:r w:rsidR="00B32685">
        <w:rPr>
          <w:rFonts w:cs="Arial"/>
          <w:bCs/>
          <w:sz w:val="22"/>
          <w:szCs w:val="22"/>
        </w:rPr>
        <w:t>s, the application in terms of r</w:t>
      </w:r>
      <w:r w:rsidR="0003413B">
        <w:rPr>
          <w:rFonts w:cs="Arial"/>
          <w:bCs/>
          <w:sz w:val="22"/>
          <w:szCs w:val="22"/>
        </w:rPr>
        <w:t xml:space="preserve">ule 42(1)(a) must fail in that the </w:t>
      </w:r>
      <w:r w:rsidR="00B32685">
        <w:rPr>
          <w:rFonts w:cs="Arial"/>
          <w:bCs/>
          <w:sz w:val="22"/>
          <w:szCs w:val="22"/>
        </w:rPr>
        <w:t>first respondent</w:t>
      </w:r>
      <w:r w:rsidR="0003413B">
        <w:rPr>
          <w:rFonts w:cs="Arial"/>
          <w:bCs/>
          <w:sz w:val="22"/>
          <w:szCs w:val="22"/>
        </w:rPr>
        <w:t xml:space="preserve"> justifiably sought and was entitled</w:t>
      </w:r>
      <w:r w:rsidR="00B32685">
        <w:rPr>
          <w:rFonts w:cs="Arial"/>
          <w:bCs/>
          <w:sz w:val="22"/>
          <w:szCs w:val="22"/>
        </w:rPr>
        <w:t xml:space="preserve"> to be granted default judgment against the applicant in the absence of the </w:t>
      </w:r>
      <w:r w:rsidR="00D5443C">
        <w:rPr>
          <w:rFonts w:cs="Arial"/>
          <w:bCs/>
          <w:sz w:val="22"/>
          <w:szCs w:val="22"/>
        </w:rPr>
        <w:t>l</w:t>
      </w:r>
      <w:r w:rsidR="00B32685">
        <w:rPr>
          <w:rFonts w:cs="Arial"/>
          <w:bCs/>
          <w:sz w:val="22"/>
          <w:szCs w:val="22"/>
        </w:rPr>
        <w:t>a</w:t>
      </w:r>
      <w:r w:rsidR="00D5443C">
        <w:rPr>
          <w:rFonts w:cs="Arial"/>
          <w:bCs/>
          <w:sz w:val="22"/>
          <w:szCs w:val="22"/>
        </w:rPr>
        <w:t xml:space="preserve">tter.  </w:t>
      </w:r>
      <w:r w:rsidR="00B32685">
        <w:rPr>
          <w:rFonts w:cs="Arial"/>
          <w:bCs/>
          <w:sz w:val="22"/>
          <w:szCs w:val="22"/>
        </w:rPr>
        <w:t xml:space="preserve"> </w:t>
      </w:r>
    </w:p>
    <w:p w14:paraId="61BAB4E2" w14:textId="7F6BC1C1" w:rsidR="0006225D" w:rsidRPr="0006225D" w:rsidRDefault="001929B9" w:rsidP="001929B9">
      <w:pPr>
        <w:tabs>
          <w:tab w:val="left" w:pos="680"/>
        </w:tabs>
        <w:spacing w:after="480" w:line="480" w:lineRule="auto"/>
        <w:jc w:val="both"/>
        <w:rPr>
          <w:rFonts w:cs="Arial"/>
          <w:b/>
          <w:bCs/>
          <w:sz w:val="22"/>
          <w:szCs w:val="22"/>
        </w:rPr>
      </w:pPr>
      <w:r w:rsidRPr="0006225D">
        <w:rPr>
          <w:rFonts w:cs="Arial"/>
          <w:bCs/>
          <w:sz w:val="21"/>
          <w:szCs w:val="21"/>
        </w:rPr>
        <w:t>[29]</w:t>
      </w:r>
      <w:r w:rsidRPr="0006225D">
        <w:rPr>
          <w:rFonts w:cs="Arial"/>
          <w:bCs/>
          <w:sz w:val="21"/>
          <w:szCs w:val="21"/>
        </w:rPr>
        <w:tab/>
      </w:r>
      <w:r w:rsidR="0003413B">
        <w:rPr>
          <w:rFonts w:cs="Arial"/>
          <w:bCs/>
          <w:sz w:val="22"/>
          <w:szCs w:val="22"/>
        </w:rPr>
        <w:t xml:space="preserve">As to the applicant’s defences to </w:t>
      </w:r>
      <w:r w:rsidR="00D5443C">
        <w:rPr>
          <w:rFonts w:cs="Arial"/>
          <w:bCs/>
          <w:sz w:val="22"/>
          <w:szCs w:val="22"/>
        </w:rPr>
        <w:t xml:space="preserve">the </w:t>
      </w:r>
      <w:r w:rsidR="0003413B">
        <w:rPr>
          <w:rFonts w:cs="Arial"/>
          <w:bCs/>
          <w:sz w:val="22"/>
          <w:szCs w:val="22"/>
        </w:rPr>
        <w:t>summons,</w:t>
      </w:r>
      <w:r w:rsidR="00B32685">
        <w:rPr>
          <w:rFonts w:cs="Arial"/>
          <w:bCs/>
          <w:sz w:val="22"/>
          <w:szCs w:val="22"/>
        </w:rPr>
        <w:t xml:space="preserve"> the applicant contended</w:t>
      </w:r>
      <w:r w:rsidR="0003413B">
        <w:rPr>
          <w:rFonts w:cs="Arial"/>
          <w:bCs/>
          <w:sz w:val="22"/>
          <w:szCs w:val="22"/>
        </w:rPr>
        <w:t xml:space="preserve"> that the first respondent’s claim prescribed prior to servic</w:t>
      </w:r>
      <w:r w:rsidR="0006225D">
        <w:rPr>
          <w:rFonts w:cs="Arial"/>
          <w:bCs/>
          <w:sz w:val="22"/>
          <w:szCs w:val="22"/>
        </w:rPr>
        <w:t>e of the summons and the applicant’s bank account was unlawfully attached and frozen.</w:t>
      </w:r>
    </w:p>
    <w:p w14:paraId="52BA3FAE" w14:textId="75635975" w:rsidR="0009653D" w:rsidRDefault="001929B9" w:rsidP="001929B9">
      <w:pPr>
        <w:tabs>
          <w:tab w:val="left" w:pos="680"/>
        </w:tabs>
        <w:spacing w:after="480" w:line="480" w:lineRule="auto"/>
        <w:jc w:val="both"/>
        <w:rPr>
          <w:rFonts w:cs="Arial"/>
          <w:bCs/>
          <w:sz w:val="22"/>
          <w:szCs w:val="22"/>
        </w:rPr>
      </w:pPr>
      <w:r>
        <w:rPr>
          <w:rFonts w:cs="Arial"/>
          <w:bCs/>
          <w:sz w:val="21"/>
          <w:szCs w:val="21"/>
        </w:rPr>
        <w:t>[30]</w:t>
      </w:r>
      <w:r>
        <w:rPr>
          <w:rFonts w:cs="Arial"/>
          <w:bCs/>
          <w:sz w:val="21"/>
          <w:szCs w:val="21"/>
        </w:rPr>
        <w:tab/>
      </w:r>
      <w:r w:rsidR="00011EDC">
        <w:rPr>
          <w:rFonts w:cs="Arial"/>
          <w:bCs/>
          <w:sz w:val="22"/>
          <w:szCs w:val="22"/>
        </w:rPr>
        <w:t>The applicant relied</w:t>
      </w:r>
      <w:r w:rsidR="005B4265">
        <w:rPr>
          <w:rFonts w:cs="Arial"/>
          <w:bCs/>
          <w:sz w:val="22"/>
          <w:szCs w:val="22"/>
        </w:rPr>
        <w:t xml:space="preserve"> </w:t>
      </w:r>
      <w:r w:rsidR="0003413B">
        <w:rPr>
          <w:rFonts w:cs="Arial"/>
          <w:bCs/>
          <w:sz w:val="22"/>
          <w:szCs w:val="22"/>
        </w:rPr>
        <w:t xml:space="preserve">on the </w:t>
      </w:r>
      <w:r w:rsidR="0009653D">
        <w:rPr>
          <w:rFonts w:cs="Arial"/>
          <w:bCs/>
          <w:sz w:val="22"/>
          <w:szCs w:val="22"/>
        </w:rPr>
        <w:t xml:space="preserve">alleged </w:t>
      </w:r>
      <w:r w:rsidR="0003413B">
        <w:rPr>
          <w:rFonts w:cs="Arial"/>
          <w:bCs/>
          <w:sz w:val="22"/>
          <w:szCs w:val="22"/>
        </w:rPr>
        <w:t>cancellation of the contract</w:t>
      </w:r>
      <w:r w:rsidR="00B32685">
        <w:rPr>
          <w:rFonts w:cs="Arial"/>
          <w:bCs/>
          <w:sz w:val="22"/>
          <w:szCs w:val="22"/>
        </w:rPr>
        <w:t xml:space="preserve"> </w:t>
      </w:r>
      <w:r w:rsidR="0003413B">
        <w:rPr>
          <w:rFonts w:cs="Arial"/>
          <w:bCs/>
          <w:sz w:val="22"/>
          <w:szCs w:val="22"/>
        </w:rPr>
        <w:t>on 14 October 2011</w:t>
      </w:r>
      <w:r w:rsidR="00011EDC">
        <w:rPr>
          <w:rFonts w:cs="Arial"/>
          <w:bCs/>
          <w:sz w:val="22"/>
          <w:szCs w:val="22"/>
        </w:rPr>
        <w:t>,</w:t>
      </w:r>
      <w:r w:rsidR="0003413B">
        <w:rPr>
          <w:rFonts w:cs="Arial"/>
          <w:bCs/>
          <w:sz w:val="22"/>
          <w:szCs w:val="22"/>
        </w:rPr>
        <w:t xml:space="preserve"> as </w:t>
      </w:r>
      <w:r w:rsidR="0009653D">
        <w:rPr>
          <w:rFonts w:cs="Arial"/>
          <w:bCs/>
          <w:sz w:val="22"/>
          <w:szCs w:val="22"/>
        </w:rPr>
        <w:t>pleaded</w:t>
      </w:r>
      <w:r w:rsidR="0003413B">
        <w:rPr>
          <w:rFonts w:cs="Arial"/>
          <w:bCs/>
          <w:sz w:val="22"/>
          <w:szCs w:val="22"/>
        </w:rPr>
        <w:t xml:space="preserve"> in the first respondent’s particulars of claim. The applicant </w:t>
      </w:r>
      <w:r w:rsidR="0009653D">
        <w:rPr>
          <w:rFonts w:cs="Arial"/>
          <w:bCs/>
          <w:sz w:val="22"/>
          <w:szCs w:val="22"/>
        </w:rPr>
        <w:t xml:space="preserve">argued </w:t>
      </w:r>
      <w:r w:rsidR="0003413B">
        <w:rPr>
          <w:rFonts w:cs="Arial"/>
          <w:bCs/>
          <w:sz w:val="22"/>
          <w:szCs w:val="22"/>
        </w:rPr>
        <w:t xml:space="preserve">that the claim prescribed on 14 October 2014, </w:t>
      </w:r>
      <w:r w:rsidR="00B32685">
        <w:rPr>
          <w:rFonts w:cs="Arial"/>
          <w:bCs/>
          <w:sz w:val="22"/>
          <w:szCs w:val="22"/>
        </w:rPr>
        <w:t>three years after cancellation of the agreement. However, t</w:t>
      </w:r>
      <w:r w:rsidR="0003413B">
        <w:rPr>
          <w:rFonts w:cs="Arial"/>
          <w:bCs/>
          <w:sz w:val="22"/>
          <w:szCs w:val="22"/>
        </w:rPr>
        <w:t xml:space="preserve">he </w:t>
      </w:r>
      <w:r w:rsidR="00634B23">
        <w:rPr>
          <w:rFonts w:cs="Arial"/>
          <w:bCs/>
          <w:sz w:val="22"/>
          <w:szCs w:val="22"/>
        </w:rPr>
        <w:t xml:space="preserve">first respondent repossessed the vehicle </w:t>
      </w:r>
      <w:r w:rsidR="00D92E83">
        <w:rPr>
          <w:rFonts w:cs="Arial"/>
          <w:bCs/>
          <w:sz w:val="22"/>
          <w:szCs w:val="22"/>
        </w:rPr>
        <w:t>that was the subject of the agreement</w:t>
      </w:r>
      <w:r w:rsidR="001001E6">
        <w:rPr>
          <w:rFonts w:cs="Arial"/>
          <w:bCs/>
          <w:sz w:val="22"/>
          <w:szCs w:val="22"/>
        </w:rPr>
        <w:t>,</w:t>
      </w:r>
      <w:r w:rsidR="00D92E83">
        <w:rPr>
          <w:rFonts w:cs="Arial"/>
          <w:bCs/>
          <w:sz w:val="22"/>
          <w:szCs w:val="22"/>
        </w:rPr>
        <w:t xml:space="preserve"> </w:t>
      </w:r>
      <w:r w:rsidR="00634B23">
        <w:rPr>
          <w:rFonts w:cs="Arial"/>
          <w:bCs/>
          <w:sz w:val="22"/>
          <w:szCs w:val="22"/>
        </w:rPr>
        <w:t>on 31 O</w:t>
      </w:r>
      <w:r w:rsidR="001001E6">
        <w:rPr>
          <w:rFonts w:cs="Arial"/>
          <w:bCs/>
          <w:sz w:val="22"/>
          <w:szCs w:val="22"/>
        </w:rPr>
        <w:t>ctober 2012, after</w:t>
      </w:r>
      <w:r w:rsidR="00634B23">
        <w:rPr>
          <w:rFonts w:cs="Arial"/>
          <w:bCs/>
          <w:sz w:val="22"/>
          <w:szCs w:val="22"/>
        </w:rPr>
        <w:t xml:space="preserve"> </w:t>
      </w:r>
      <w:r w:rsidR="001001E6">
        <w:rPr>
          <w:rFonts w:cs="Arial"/>
          <w:bCs/>
          <w:sz w:val="22"/>
          <w:szCs w:val="22"/>
        </w:rPr>
        <w:t>t</w:t>
      </w:r>
      <w:r w:rsidR="00634B23">
        <w:rPr>
          <w:rFonts w:cs="Arial"/>
          <w:bCs/>
          <w:sz w:val="22"/>
          <w:szCs w:val="22"/>
        </w:rPr>
        <w:t xml:space="preserve">he </w:t>
      </w:r>
      <w:r w:rsidR="0003413B">
        <w:rPr>
          <w:rFonts w:cs="Arial"/>
          <w:bCs/>
          <w:sz w:val="22"/>
          <w:szCs w:val="22"/>
        </w:rPr>
        <w:t>applicant s</w:t>
      </w:r>
      <w:r w:rsidR="00D92E83">
        <w:rPr>
          <w:rFonts w:cs="Arial"/>
          <w:bCs/>
          <w:sz w:val="22"/>
          <w:szCs w:val="22"/>
        </w:rPr>
        <w:t>igned a voluntary termination notice</w:t>
      </w:r>
      <w:r w:rsidR="00011EDC" w:rsidRPr="00011EDC">
        <w:rPr>
          <w:rFonts w:cs="Arial"/>
          <w:bCs/>
          <w:sz w:val="22"/>
          <w:szCs w:val="22"/>
        </w:rPr>
        <w:t xml:space="preserve"> </w:t>
      </w:r>
      <w:r w:rsidR="00011EDC">
        <w:rPr>
          <w:rFonts w:cs="Arial"/>
          <w:bCs/>
          <w:sz w:val="22"/>
          <w:szCs w:val="22"/>
        </w:rPr>
        <w:t>(“</w:t>
      </w:r>
      <w:r w:rsidR="00011EDC" w:rsidRPr="00062AAC">
        <w:rPr>
          <w:rFonts w:cs="Arial"/>
          <w:bCs/>
          <w:sz w:val="22"/>
          <w:szCs w:val="22"/>
        </w:rPr>
        <w:t>VTN</w:t>
      </w:r>
      <w:r w:rsidR="00011EDC">
        <w:rPr>
          <w:rFonts w:cs="Arial"/>
          <w:bCs/>
          <w:sz w:val="22"/>
          <w:szCs w:val="22"/>
        </w:rPr>
        <w:t>”),</w:t>
      </w:r>
      <w:r w:rsidR="0009653D">
        <w:rPr>
          <w:rFonts w:cs="Arial"/>
          <w:bCs/>
          <w:sz w:val="22"/>
          <w:szCs w:val="22"/>
        </w:rPr>
        <w:t xml:space="preserve"> in terms of s127 of the </w:t>
      </w:r>
      <w:r w:rsidR="0009653D">
        <w:rPr>
          <w:rFonts w:cs="Arial"/>
          <w:bCs/>
          <w:sz w:val="22"/>
          <w:szCs w:val="22"/>
        </w:rPr>
        <w:lastRenderedPageBreak/>
        <w:t>National Credit Act, 2005 (‘the Act’)</w:t>
      </w:r>
      <w:r w:rsidR="00011EDC">
        <w:rPr>
          <w:rFonts w:cs="Arial"/>
          <w:bCs/>
          <w:sz w:val="22"/>
          <w:szCs w:val="22"/>
        </w:rPr>
        <w:t>. T</w:t>
      </w:r>
      <w:r w:rsidR="0009653D">
        <w:rPr>
          <w:rFonts w:cs="Arial"/>
          <w:bCs/>
          <w:sz w:val="22"/>
          <w:szCs w:val="22"/>
        </w:rPr>
        <w:t>he applicant acknowledged liability for any shortfall on the motor vehicle,</w:t>
      </w:r>
      <w:r w:rsidR="00011EDC">
        <w:rPr>
          <w:rFonts w:cs="Arial"/>
          <w:bCs/>
          <w:sz w:val="22"/>
          <w:szCs w:val="22"/>
        </w:rPr>
        <w:t xml:space="preserve"> after the sale of the vehicle, in terms of the VTN.</w:t>
      </w:r>
    </w:p>
    <w:p w14:paraId="4E29E089" w14:textId="1572EFB9" w:rsidR="0009653D" w:rsidRDefault="001929B9" w:rsidP="001929B9">
      <w:pPr>
        <w:tabs>
          <w:tab w:val="left" w:pos="680"/>
        </w:tabs>
        <w:spacing w:after="480" w:line="480" w:lineRule="auto"/>
        <w:jc w:val="both"/>
        <w:rPr>
          <w:rFonts w:cs="Arial"/>
          <w:bCs/>
          <w:sz w:val="22"/>
          <w:szCs w:val="22"/>
        </w:rPr>
      </w:pPr>
      <w:r>
        <w:rPr>
          <w:rFonts w:cs="Arial"/>
          <w:bCs/>
          <w:sz w:val="21"/>
          <w:szCs w:val="21"/>
        </w:rPr>
        <w:t>[31]</w:t>
      </w:r>
      <w:r>
        <w:rPr>
          <w:rFonts w:cs="Arial"/>
          <w:bCs/>
          <w:sz w:val="21"/>
          <w:szCs w:val="21"/>
        </w:rPr>
        <w:tab/>
      </w:r>
      <w:r w:rsidR="001001E6" w:rsidRPr="0009653D">
        <w:rPr>
          <w:rFonts w:cs="Arial"/>
          <w:bCs/>
          <w:sz w:val="22"/>
          <w:szCs w:val="22"/>
        </w:rPr>
        <w:t>T</w:t>
      </w:r>
      <w:r w:rsidR="00B32685" w:rsidRPr="0009653D">
        <w:rPr>
          <w:rFonts w:cs="Arial"/>
          <w:bCs/>
          <w:sz w:val="22"/>
          <w:szCs w:val="22"/>
        </w:rPr>
        <w:t>he</w:t>
      </w:r>
      <w:r w:rsidR="001001E6" w:rsidRPr="0009653D">
        <w:rPr>
          <w:rFonts w:cs="Arial"/>
          <w:bCs/>
          <w:sz w:val="22"/>
          <w:szCs w:val="22"/>
        </w:rPr>
        <w:t xml:space="preserve">reafter, the </w:t>
      </w:r>
      <w:r w:rsidR="00B32685" w:rsidRPr="0009653D">
        <w:rPr>
          <w:rFonts w:cs="Arial"/>
          <w:bCs/>
          <w:sz w:val="22"/>
          <w:szCs w:val="22"/>
        </w:rPr>
        <w:t>first respondent issued</w:t>
      </w:r>
      <w:r w:rsidR="0003413B" w:rsidRPr="0009653D">
        <w:rPr>
          <w:rFonts w:cs="Arial"/>
          <w:bCs/>
          <w:sz w:val="22"/>
          <w:szCs w:val="22"/>
        </w:rPr>
        <w:t xml:space="preserve"> summons, service of which took place on 24 October 2015.</w:t>
      </w:r>
      <w:r w:rsidR="0009653D">
        <w:rPr>
          <w:rFonts w:cs="Arial"/>
          <w:bCs/>
          <w:sz w:val="22"/>
          <w:szCs w:val="22"/>
        </w:rPr>
        <w:t xml:space="preserve"> </w:t>
      </w:r>
      <w:r w:rsidR="00011EDC">
        <w:rPr>
          <w:rFonts w:cs="Arial"/>
          <w:bCs/>
          <w:sz w:val="22"/>
          <w:szCs w:val="22"/>
        </w:rPr>
        <w:t xml:space="preserve"> </w:t>
      </w:r>
      <w:r w:rsidR="00D5443C" w:rsidRPr="0009653D">
        <w:rPr>
          <w:rFonts w:cs="Arial"/>
          <w:bCs/>
          <w:sz w:val="22"/>
          <w:szCs w:val="22"/>
        </w:rPr>
        <w:t xml:space="preserve"> </w:t>
      </w:r>
    </w:p>
    <w:p w14:paraId="3797B7F2" w14:textId="2B8E8437" w:rsidR="00062AAC" w:rsidRDefault="001929B9" w:rsidP="001929B9">
      <w:pPr>
        <w:tabs>
          <w:tab w:val="left" w:pos="680"/>
        </w:tabs>
        <w:spacing w:after="480" w:line="480" w:lineRule="auto"/>
        <w:jc w:val="both"/>
        <w:rPr>
          <w:rFonts w:cs="Arial"/>
          <w:bCs/>
          <w:sz w:val="22"/>
          <w:szCs w:val="22"/>
        </w:rPr>
      </w:pPr>
      <w:r>
        <w:rPr>
          <w:rFonts w:cs="Arial"/>
          <w:bCs/>
          <w:sz w:val="21"/>
          <w:szCs w:val="21"/>
        </w:rPr>
        <w:t>[32]</w:t>
      </w:r>
      <w:r>
        <w:rPr>
          <w:rFonts w:cs="Arial"/>
          <w:bCs/>
          <w:sz w:val="21"/>
          <w:szCs w:val="21"/>
        </w:rPr>
        <w:tab/>
      </w:r>
      <w:r w:rsidR="00711072" w:rsidRPr="00062AAC">
        <w:rPr>
          <w:rFonts w:cs="Arial"/>
          <w:bCs/>
          <w:sz w:val="22"/>
          <w:szCs w:val="22"/>
        </w:rPr>
        <w:t xml:space="preserve">The first respondent </w:t>
      </w:r>
      <w:r w:rsidR="0009653D" w:rsidRPr="00062AAC">
        <w:rPr>
          <w:rFonts w:cs="Arial"/>
          <w:bCs/>
          <w:sz w:val="22"/>
          <w:szCs w:val="22"/>
        </w:rPr>
        <w:t>argued</w:t>
      </w:r>
      <w:r w:rsidR="00711072" w:rsidRPr="00062AAC">
        <w:rPr>
          <w:rFonts w:cs="Arial"/>
          <w:bCs/>
          <w:sz w:val="22"/>
          <w:szCs w:val="22"/>
        </w:rPr>
        <w:t xml:space="preserve"> that th</w:t>
      </w:r>
      <w:r w:rsidR="0009653D" w:rsidRPr="00062AAC">
        <w:rPr>
          <w:rFonts w:cs="Arial"/>
          <w:bCs/>
          <w:sz w:val="22"/>
          <w:szCs w:val="22"/>
        </w:rPr>
        <w:t>e cancellation date of 14 October 2011</w:t>
      </w:r>
      <w:r w:rsidR="00011EDC">
        <w:rPr>
          <w:rFonts w:cs="Arial"/>
          <w:bCs/>
          <w:sz w:val="22"/>
          <w:szCs w:val="22"/>
        </w:rPr>
        <w:t>,</w:t>
      </w:r>
      <w:r w:rsidR="0009653D" w:rsidRPr="00062AAC">
        <w:rPr>
          <w:rFonts w:cs="Arial"/>
          <w:bCs/>
          <w:sz w:val="22"/>
          <w:szCs w:val="22"/>
        </w:rPr>
        <w:t xml:space="preserve"> pleaded in the particulars of claim was</w:t>
      </w:r>
      <w:r w:rsidR="00711072" w:rsidRPr="00062AAC">
        <w:rPr>
          <w:rFonts w:cs="Arial"/>
          <w:bCs/>
          <w:sz w:val="22"/>
          <w:szCs w:val="22"/>
        </w:rPr>
        <w:t xml:space="preserve"> a typogr</w:t>
      </w:r>
      <w:r w:rsidR="0009653D" w:rsidRPr="00062AAC">
        <w:rPr>
          <w:rFonts w:cs="Arial"/>
          <w:bCs/>
          <w:sz w:val="22"/>
          <w:szCs w:val="22"/>
        </w:rPr>
        <w:t>aphical error that ought to</w:t>
      </w:r>
      <w:r w:rsidR="00711072" w:rsidRPr="00062AAC">
        <w:rPr>
          <w:rFonts w:cs="Arial"/>
          <w:bCs/>
          <w:sz w:val="22"/>
          <w:szCs w:val="22"/>
        </w:rPr>
        <w:t xml:space="preserve"> </w:t>
      </w:r>
      <w:r w:rsidR="00062AAC" w:rsidRPr="00062AAC">
        <w:rPr>
          <w:rFonts w:cs="Arial"/>
          <w:bCs/>
          <w:sz w:val="22"/>
          <w:szCs w:val="22"/>
        </w:rPr>
        <w:t xml:space="preserve">have </w:t>
      </w:r>
      <w:r w:rsidR="00711072" w:rsidRPr="00062AAC">
        <w:rPr>
          <w:rFonts w:cs="Arial"/>
          <w:bCs/>
          <w:sz w:val="22"/>
          <w:szCs w:val="22"/>
        </w:rPr>
        <w:t xml:space="preserve">read </w:t>
      </w:r>
      <w:r w:rsidR="00011EDC" w:rsidRPr="00062AAC">
        <w:rPr>
          <w:rFonts w:cs="Arial"/>
          <w:bCs/>
          <w:sz w:val="22"/>
          <w:szCs w:val="22"/>
        </w:rPr>
        <w:t xml:space="preserve">14 October </w:t>
      </w:r>
      <w:r w:rsidR="00711072" w:rsidRPr="00062AAC">
        <w:rPr>
          <w:rFonts w:cs="Arial"/>
          <w:bCs/>
          <w:sz w:val="22"/>
          <w:szCs w:val="22"/>
        </w:rPr>
        <w:t>2012</w:t>
      </w:r>
      <w:r w:rsidR="00062AAC" w:rsidRPr="00062AAC">
        <w:rPr>
          <w:rFonts w:cs="Arial"/>
          <w:bCs/>
          <w:sz w:val="22"/>
          <w:szCs w:val="22"/>
        </w:rPr>
        <w:t xml:space="preserve">. This because the vehicle was repossessed on 31 October 2012 </w:t>
      </w:r>
      <w:r w:rsidR="00011EDC">
        <w:rPr>
          <w:rFonts w:cs="Arial"/>
          <w:bCs/>
          <w:sz w:val="22"/>
          <w:szCs w:val="22"/>
        </w:rPr>
        <w:t xml:space="preserve">after the applicant signed the </w:t>
      </w:r>
      <w:r w:rsidR="00062AAC" w:rsidRPr="00062AAC">
        <w:rPr>
          <w:rFonts w:cs="Arial"/>
          <w:bCs/>
          <w:sz w:val="22"/>
          <w:szCs w:val="22"/>
        </w:rPr>
        <w:t xml:space="preserve">VTN. Furthermore, the vehicle was sold on auction </w:t>
      </w:r>
      <w:r w:rsidR="00711072" w:rsidRPr="00062AAC">
        <w:rPr>
          <w:rFonts w:cs="Arial"/>
          <w:bCs/>
          <w:sz w:val="22"/>
          <w:szCs w:val="22"/>
        </w:rPr>
        <w:t>towards the end of 2012</w:t>
      </w:r>
      <w:r w:rsidR="00062AAC" w:rsidRPr="00062AAC">
        <w:rPr>
          <w:rFonts w:cs="Arial"/>
          <w:bCs/>
          <w:sz w:val="22"/>
          <w:szCs w:val="22"/>
        </w:rPr>
        <w:t xml:space="preserve"> and the proceeds of </w:t>
      </w:r>
      <w:r w:rsidR="00062AAC">
        <w:rPr>
          <w:rFonts w:cs="Arial"/>
          <w:bCs/>
          <w:sz w:val="22"/>
          <w:szCs w:val="22"/>
        </w:rPr>
        <w:t xml:space="preserve">R36 480.00 from </w:t>
      </w:r>
      <w:r w:rsidR="00062AAC" w:rsidRPr="00062AAC">
        <w:rPr>
          <w:rFonts w:cs="Arial"/>
          <w:bCs/>
          <w:sz w:val="22"/>
          <w:szCs w:val="22"/>
        </w:rPr>
        <w:t xml:space="preserve">the sale were received on 7 December 2012. </w:t>
      </w:r>
    </w:p>
    <w:p w14:paraId="52788007" w14:textId="10F89591" w:rsidR="006D0608" w:rsidRDefault="001929B9" w:rsidP="001929B9">
      <w:pPr>
        <w:tabs>
          <w:tab w:val="left" w:pos="680"/>
        </w:tabs>
        <w:spacing w:after="480" w:line="480" w:lineRule="auto"/>
        <w:jc w:val="both"/>
        <w:rPr>
          <w:rFonts w:cs="Arial"/>
          <w:bCs/>
          <w:sz w:val="22"/>
          <w:szCs w:val="22"/>
        </w:rPr>
      </w:pPr>
      <w:r>
        <w:rPr>
          <w:rFonts w:cs="Arial"/>
          <w:bCs/>
          <w:sz w:val="21"/>
          <w:szCs w:val="21"/>
        </w:rPr>
        <w:t>[33]</w:t>
      </w:r>
      <w:r>
        <w:rPr>
          <w:rFonts w:cs="Arial"/>
          <w:bCs/>
          <w:sz w:val="21"/>
          <w:szCs w:val="21"/>
        </w:rPr>
        <w:tab/>
      </w:r>
      <w:r w:rsidR="006D0608">
        <w:rPr>
          <w:rFonts w:cs="Arial"/>
          <w:bCs/>
          <w:sz w:val="22"/>
          <w:szCs w:val="22"/>
        </w:rPr>
        <w:t xml:space="preserve">The applicant implied that the signed </w:t>
      </w:r>
      <w:r w:rsidR="008577E9">
        <w:rPr>
          <w:rFonts w:cs="Arial"/>
          <w:bCs/>
          <w:sz w:val="22"/>
          <w:szCs w:val="22"/>
        </w:rPr>
        <w:t xml:space="preserve">VTN </w:t>
      </w:r>
      <w:r w:rsidR="006D0608">
        <w:rPr>
          <w:rFonts w:cs="Arial"/>
          <w:bCs/>
          <w:sz w:val="22"/>
          <w:szCs w:val="22"/>
        </w:rPr>
        <w:t>relied upon by the first respondent in these proceedings was not a genuine document. However, the applicant admitted that he</w:t>
      </w:r>
      <w:r w:rsidR="00FF6D82">
        <w:rPr>
          <w:rFonts w:cs="Arial"/>
          <w:bCs/>
          <w:sz w:val="22"/>
          <w:szCs w:val="22"/>
        </w:rPr>
        <w:t xml:space="preserve"> may have signed a document when surrendering the vehicle but did not recall it being the</w:t>
      </w:r>
      <w:r w:rsidR="008577E9" w:rsidRPr="008577E9">
        <w:rPr>
          <w:rFonts w:cs="Arial"/>
          <w:bCs/>
          <w:sz w:val="22"/>
          <w:szCs w:val="22"/>
        </w:rPr>
        <w:t xml:space="preserve"> </w:t>
      </w:r>
      <w:r w:rsidR="008577E9">
        <w:rPr>
          <w:rFonts w:cs="Arial"/>
          <w:bCs/>
          <w:sz w:val="22"/>
          <w:szCs w:val="22"/>
        </w:rPr>
        <w:t>VTN.</w:t>
      </w:r>
      <w:r w:rsidR="00FF6D82">
        <w:rPr>
          <w:rFonts w:cs="Arial"/>
          <w:bCs/>
          <w:sz w:val="22"/>
          <w:szCs w:val="22"/>
        </w:rPr>
        <w:t xml:space="preserve"> T</w:t>
      </w:r>
      <w:r w:rsidR="006D0608">
        <w:rPr>
          <w:rFonts w:cs="Arial"/>
          <w:bCs/>
          <w:sz w:val="22"/>
          <w:szCs w:val="22"/>
        </w:rPr>
        <w:t xml:space="preserve">here was no suggestion </w:t>
      </w:r>
      <w:r w:rsidR="00FF6D82">
        <w:rPr>
          <w:rFonts w:cs="Arial"/>
          <w:bCs/>
          <w:sz w:val="22"/>
          <w:szCs w:val="22"/>
        </w:rPr>
        <w:t xml:space="preserve">however that the applicant signed any other </w:t>
      </w:r>
      <w:r w:rsidR="006D0608">
        <w:rPr>
          <w:rFonts w:cs="Arial"/>
          <w:bCs/>
          <w:sz w:val="22"/>
          <w:szCs w:val="22"/>
        </w:rPr>
        <w:t xml:space="preserve">document </w:t>
      </w:r>
      <w:r w:rsidR="00FF6D82">
        <w:rPr>
          <w:rFonts w:cs="Arial"/>
          <w:bCs/>
          <w:sz w:val="22"/>
          <w:szCs w:val="22"/>
        </w:rPr>
        <w:t xml:space="preserve">at the relevant time.  </w:t>
      </w:r>
    </w:p>
    <w:p w14:paraId="73D46076" w14:textId="3F328A83" w:rsidR="00062AAC" w:rsidRPr="006D0608" w:rsidRDefault="001929B9" w:rsidP="001929B9">
      <w:pPr>
        <w:tabs>
          <w:tab w:val="left" w:pos="680"/>
        </w:tabs>
        <w:spacing w:after="480" w:line="480" w:lineRule="auto"/>
        <w:jc w:val="both"/>
        <w:rPr>
          <w:rFonts w:cs="Arial"/>
          <w:bCs/>
          <w:sz w:val="22"/>
          <w:szCs w:val="22"/>
        </w:rPr>
      </w:pPr>
      <w:r w:rsidRPr="006D0608">
        <w:rPr>
          <w:rFonts w:cs="Arial"/>
          <w:bCs/>
          <w:sz w:val="21"/>
          <w:szCs w:val="21"/>
        </w:rPr>
        <w:t>[34]</w:t>
      </w:r>
      <w:r w:rsidRPr="006D0608">
        <w:rPr>
          <w:rFonts w:cs="Arial"/>
          <w:bCs/>
          <w:sz w:val="21"/>
          <w:szCs w:val="21"/>
        </w:rPr>
        <w:tab/>
      </w:r>
      <w:r w:rsidR="00711072" w:rsidRPr="006D0608">
        <w:rPr>
          <w:rFonts w:cs="Arial"/>
          <w:bCs/>
          <w:sz w:val="22"/>
          <w:szCs w:val="22"/>
        </w:rPr>
        <w:t>I</w:t>
      </w:r>
      <w:r w:rsidR="00062AAC" w:rsidRPr="006D0608">
        <w:rPr>
          <w:rFonts w:cs="Arial"/>
          <w:bCs/>
          <w:sz w:val="22"/>
          <w:szCs w:val="22"/>
        </w:rPr>
        <w:t>n those circumstances, I</w:t>
      </w:r>
      <w:r w:rsidR="00711072" w:rsidRPr="006D0608">
        <w:rPr>
          <w:rFonts w:cs="Arial"/>
          <w:bCs/>
          <w:sz w:val="22"/>
          <w:szCs w:val="22"/>
        </w:rPr>
        <w:t xml:space="preserve"> accept that the agreement was cancelled in 2012 and that the reference to 2011 in the p</w:t>
      </w:r>
      <w:r w:rsidR="00062AAC" w:rsidRPr="006D0608">
        <w:rPr>
          <w:rFonts w:cs="Arial"/>
          <w:bCs/>
          <w:sz w:val="22"/>
          <w:szCs w:val="22"/>
        </w:rPr>
        <w:t>articulars of claim was a typographical error that ought to have read 2012.</w:t>
      </w:r>
    </w:p>
    <w:p w14:paraId="3585797E" w14:textId="396A5458" w:rsidR="00E90C34" w:rsidRDefault="001929B9" w:rsidP="001929B9">
      <w:pPr>
        <w:tabs>
          <w:tab w:val="left" w:pos="680"/>
        </w:tabs>
        <w:spacing w:after="480" w:line="480" w:lineRule="auto"/>
        <w:jc w:val="both"/>
        <w:rPr>
          <w:rFonts w:cs="Arial"/>
          <w:bCs/>
          <w:sz w:val="22"/>
          <w:szCs w:val="22"/>
        </w:rPr>
      </w:pPr>
      <w:r>
        <w:rPr>
          <w:rFonts w:cs="Arial"/>
          <w:bCs/>
          <w:sz w:val="21"/>
          <w:szCs w:val="21"/>
        </w:rPr>
        <w:t>[35]</w:t>
      </w:r>
      <w:r>
        <w:rPr>
          <w:rFonts w:cs="Arial"/>
          <w:bCs/>
          <w:sz w:val="21"/>
          <w:szCs w:val="21"/>
        </w:rPr>
        <w:tab/>
      </w:r>
      <w:r w:rsidR="006D0608" w:rsidRPr="00FA0200">
        <w:rPr>
          <w:rFonts w:cs="Arial"/>
          <w:bCs/>
          <w:sz w:val="22"/>
          <w:szCs w:val="22"/>
        </w:rPr>
        <w:t>Subsequent to the applicant surrendering th</w:t>
      </w:r>
      <w:r w:rsidR="00FF6D82">
        <w:rPr>
          <w:rFonts w:cs="Arial"/>
          <w:bCs/>
          <w:sz w:val="22"/>
          <w:szCs w:val="22"/>
        </w:rPr>
        <w:t xml:space="preserve">e vehicle, the first respondent, </w:t>
      </w:r>
      <w:r w:rsidR="006D0608" w:rsidRPr="00FA0200">
        <w:rPr>
          <w:rFonts w:cs="Arial"/>
          <w:bCs/>
          <w:sz w:val="22"/>
          <w:szCs w:val="22"/>
        </w:rPr>
        <w:t>in terms of s 127(</w:t>
      </w:r>
      <w:r w:rsidR="00FA0200" w:rsidRPr="00FA0200">
        <w:rPr>
          <w:rFonts w:cs="Arial"/>
          <w:bCs/>
          <w:sz w:val="22"/>
          <w:szCs w:val="22"/>
        </w:rPr>
        <w:t>5</w:t>
      </w:r>
      <w:r w:rsidR="006D0608" w:rsidRPr="00FA0200">
        <w:rPr>
          <w:rFonts w:cs="Arial"/>
          <w:bCs/>
          <w:sz w:val="22"/>
          <w:szCs w:val="22"/>
        </w:rPr>
        <w:t>)</w:t>
      </w:r>
      <w:r w:rsidR="00FA0200" w:rsidRPr="00FA0200">
        <w:rPr>
          <w:rFonts w:cs="Arial"/>
          <w:bCs/>
          <w:sz w:val="22"/>
          <w:szCs w:val="22"/>
        </w:rPr>
        <w:t>(b)</w:t>
      </w:r>
      <w:r w:rsidR="00FA0200">
        <w:rPr>
          <w:rFonts w:cs="Arial"/>
          <w:bCs/>
          <w:sz w:val="22"/>
          <w:szCs w:val="22"/>
        </w:rPr>
        <w:t xml:space="preserve"> and (7)</w:t>
      </w:r>
      <w:r w:rsidR="00FA0200" w:rsidRPr="00FA0200">
        <w:rPr>
          <w:rFonts w:cs="Arial"/>
          <w:bCs/>
          <w:sz w:val="22"/>
          <w:szCs w:val="22"/>
        </w:rPr>
        <w:t xml:space="preserve"> of the Act,</w:t>
      </w:r>
      <w:r w:rsidR="00FF6D82">
        <w:rPr>
          <w:rFonts w:cs="Arial"/>
          <w:bCs/>
          <w:sz w:val="22"/>
          <w:szCs w:val="22"/>
        </w:rPr>
        <w:t xml:space="preserve"> provided </w:t>
      </w:r>
      <w:r w:rsidR="006D0608" w:rsidRPr="00FA0200">
        <w:rPr>
          <w:rFonts w:cs="Arial"/>
          <w:bCs/>
          <w:sz w:val="22"/>
          <w:szCs w:val="22"/>
        </w:rPr>
        <w:t xml:space="preserve">the applicant with </w:t>
      </w:r>
      <w:r w:rsidR="00E90C34" w:rsidRPr="00FA0200">
        <w:rPr>
          <w:rFonts w:cs="Arial"/>
          <w:bCs/>
          <w:sz w:val="22"/>
          <w:szCs w:val="22"/>
        </w:rPr>
        <w:t xml:space="preserve">a post-sale notice that served to advise the applicant </w:t>
      </w:r>
      <w:r w:rsidR="00FF6D82" w:rsidRPr="008577E9">
        <w:rPr>
          <w:rFonts w:cs="Arial"/>
          <w:bCs/>
          <w:i/>
          <w:sz w:val="22"/>
          <w:szCs w:val="22"/>
        </w:rPr>
        <w:t>inter alia</w:t>
      </w:r>
      <w:r w:rsidR="00FF6D82">
        <w:rPr>
          <w:rFonts w:cs="Arial"/>
          <w:bCs/>
          <w:sz w:val="22"/>
          <w:szCs w:val="22"/>
        </w:rPr>
        <w:t xml:space="preserve"> of </w:t>
      </w:r>
      <w:r w:rsidR="00FA0200" w:rsidRPr="00FA0200">
        <w:rPr>
          <w:rFonts w:cs="Arial"/>
          <w:bCs/>
          <w:sz w:val="22"/>
          <w:szCs w:val="22"/>
        </w:rPr>
        <w:t>the gross and net proceeds of the</w:t>
      </w:r>
      <w:r w:rsidR="00E90C34" w:rsidRPr="00FA0200">
        <w:rPr>
          <w:rFonts w:cs="Arial"/>
          <w:bCs/>
          <w:sz w:val="22"/>
          <w:szCs w:val="22"/>
        </w:rPr>
        <w:t xml:space="preserve"> sale</w:t>
      </w:r>
      <w:r w:rsidR="00FA0200" w:rsidRPr="00FA0200">
        <w:rPr>
          <w:rFonts w:cs="Arial"/>
          <w:bCs/>
          <w:sz w:val="22"/>
          <w:szCs w:val="22"/>
        </w:rPr>
        <w:t xml:space="preserve"> and the amount credited or debited to the applicant’s account, </w:t>
      </w:r>
      <w:r w:rsidR="00E90C34" w:rsidRPr="00FA0200">
        <w:rPr>
          <w:rFonts w:cs="Arial"/>
          <w:bCs/>
          <w:sz w:val="22"/>
          <w:szCs w:val="22"/>
        </w:rPr>
        <w:t xml:space="preserve">sent to the applicant at the </w:t>
      </w:r>
      <w:proofErr w:type="spellStart"/>
      <w:r w:rsidR="00E90C34" w:rsidRPr="00FA0200">
        <w:rPr>
          <w:rFonts w:cs="Arial"/>
          <w:bCs/>
          <w:i/>
          <w:sz w:val="22"/>
          <w:szCs w:val="22"/>
        </w:rPr>
        <w:t>domicilium</w:t>
      </w:r>
      <w:proofErr w:type="spellEnd"/>
      <w:r w:rsidR="00E90C34" w:rsidRPr="00FA0200">
        <w:rPr>
          <w:rFonts w:cs="Arial"/>
          <w:bCs/>
          <w:i/>
          <w:sz w:val="22"/>
          <w:szCs w:val="22"/>
        </w:rPr>
        <w:t xml:space="preserve"> </w:t>
      </w:r>
      <w:r w:rsidR="00E90C34" w:rsidRPr="00FA0200">
        <w:rPr>
          <w:rFonts w:cs="Arial"/>
          <w:bCs/>
          <w:sz w:val="22"/>
          <w:szCs w:val="22"/>
        </w:rPr>
        <w:t>address on 19 February 2013</w:t>
      </w:r>
      <w:r w:rsidR="00FF6D82">
        <w:rPr>
          <w:rFonts w:cs="Arial"/>
          <w:bCs/>
          <w:sz w:val="22"/>
          <w:szCs w:val="22"/>
        </w:rPr>
        <w:t xml:space="preserve"> (“the </w:t>
      </w:r>
      <w:r w:rsidR="00FF6D82" w:rsidRPr="00FA0200">
        <w:rPr>
          <w:rFonts w:cs="Arial"/>
          <w:bCs/>
          <w:sz w:val="22"/>
          <w:szCs w:val="22"/>
        </w:rPr>
        <w:t>post-sale notice</w:t>
      </w:r>
      <w:r w:rsidR="00FF6D82">
        <w:rPr>
          <w:rFonts w:cs="Arial"/>
          <w:bCs/>
          <w:sz w:val="22"/>
          <w:szCs w:val="22"/>
        </w:rPr>
        <w:t>”).</w:t>
      </w:r>
    </w:p>
    <w:p w14:paraId="5C929C88" w14:textId="2E3EC723" w:rsidR="00FC4B57" w:rsidRDefault="001929B9" w:rsidP="001929B9">
      <w:pPr>
        <w:tabs>
          <w:tab w:val="left" w:pos="680"/>
        </w:tabs>
        <w:spacing w:after="480" w:line="480" w:lineRule="auto"/>
        <w:jc w:val="both"/>
        <w:rPr>
          <w:rFonts w:cs="Arial"/>
          <w:bCs/>
          <w:sz w:val="22"/>
          <w:szCs w:val="22"/>
        </w:rPr>
      </w:pPr>
      <w:r>
        <w:rPr>
          <w:rFonts w:cs="Arial"/>
          <w:bCs/>
          <w:sz w:val="21"/>
          <w:szCs w:val="21"/>
        </w:rPr>
        <w:lastRenderedPageBreak/>
        <w:t>[36]</w:t>
      </w:r>
      <w:r>
        <w:rPr>
          <w:rFonts w:cs="Arial"/>
          <w:bCs/>
          <w:sz w:val="21"/>
          <w:szCs w:val="21"/>
        </w:rPr>
        <w:tab/>
      </w:r>
      <w:r w:rsidR="00FF6D82">
        <w:rPr>
          <w:rFonts w:cs="Arial"/>
          <w:bCs/>
          <w:sz w:val="22"/>
          <w:szCs w:val="22"/>
        </w:rPr>
        <w:t xml:space="preserve">In addition, the </w:t>
      </w:r>
      <w:r w:rsidR="00FF6D82" w:rsidRPr="00FA0200">
        <w:rPr>
          <w:rFonts w:cs="Arial"/>
          <w:bCs/>
          <w:sz w:val="22"/>
          <w:szCs w:val="22"/>
        </w:rPr>
        <w:t>post-sale notice</w:t>
      </w:r>
      <w:r w:rsidR="00FF6D82">
        <w:rPr>
          <w:rFonts w:cs="Arial"/>
          <w:bCs/>
          <w:sz w:val="22"/>
          <w:szCs w:val="22"/>
        </w:rPr>
        <w:t xml:space="preserve"> inform</w:t>
      </w:r>
      <w:r w:rsidR="008577E9">
        <w:rPr>
          <w:rFonts w:cs="Arial"/>
          <w:bCs/>
          <w:sz w:val="22"/>
          <w:szCs w:val="22"/>
        </w:rPr>
        <w:t xml:space="preserve">ed </w:t>
      </w:r>
      <w:r w:rsidR="00E90C34" w:rsidRPr="00FF6D82">
        <w:rPr>
          <w:rFonts w:cs="Arial"/>
          <w:bCs/>
          <w:sz w:val="22"/>
          <w:szCs w:val="22"/>
        </w:rPr>
        <w:t>the applicant that his account reflected an outstanding balance of R108 162.98 together with interest thereon calculated from the date the proceeds of the sale were cred</w:t>
      </w:r>
      <w:r w:rsidR="00FC4B57">
        <w:rPr>
          <w:rFonts w:cs="Arial"/>
          <w:bCs/>
          <w:sz w:val="22"/>
          <w:szCs w:val="22"/>
        </w:rPr>
        <w:t xml:space="preserve">ited to the applicant’s account, </w:t>
      </w:r>
      <w:proofErr w:type="gramStart"/>
      <w:r w:rsidR="00FC4B57">
        <w:rPr>
          <w:rFonts w:cs="Arial"/>
          <w:bCs/>
          <w:sz w:val="22"/>
          <w:szCs w:val="22"/>
        </w:rPr>
        <w:t>and,</w:t>
      </w:r>
      <w:proofErr w:type="gramEnd"/>
      <w:r w:rsidR="00FC4B57">
        <w:rPr>
          <w:rFonts w:cs="Arial"/>
          <w:bCs/>
          <w:sz w:val="22"/>
          <w:szCs w:val="22"/>
        </w:rPr>
        <w:t xml:space="preserve"> required the applicant to contact </w:t>
      </w:r>
      <w:r w:rsidR="00E90C34" w:rsidRPr="00FF6D82">
        <w:rPr>
          <w:rFonts w:cs="Arial"/>
          <w:bCs/>
          <w:sz w:val="22"/>
          <w:szCs w:val="22"/>
        </w:rPr>
        <w:t xml:space="preserve">the author of the </w:t>
      </w:r>
      <w:r w:rsidR="00FC4B57" w:rsidRPr="00FA0200">
        <w:rPr>
          <w:rFonts w:cs="Arial"/>
          <w:bCs/>
          <w:sz w:val="22"/>
          <w:szCs w:val="22"/>
        </w:rPr>
        <w:t>post-sale notice</w:t>
      </w:r>
      <w:r w:rsidR="00E90C34" w:rsidRPr="00FF6D82">
        <w:rPr>
          <w:rFonts w:cs="Arial"/>
          <w:bCs/>
          <w:sz w:val="22"/>
          <w:szCs w:val="22"/>
        </w:rPr>
        <w:t xml:space="preserve"> within ten (10) days in order to make suitable arrangement</w:t>
      </w:r>
      <w:r w:rsidR="00FC4B57">
        <w:rPr>
          <w:rFonts w:cs="Arial"/>
          <w:bCs/>
          <w:sz w:val="22"/>
          <w:szCs w:val="22"/>
        </w:rPr>
        <w:t>s</w:t>
      </w:r>
      <w:r w:rsidR="00E90C34" w:rsidRPr="00FF6D82">
        <w:rPr>
          <w:rFonts w:cs="Arial"/>
          <w:bCs/>
          <w:sz w:val="22"/>
          <w:szCs w:val="22"/>
        </w:rPr>
        <w:t xml:space="preserve"> for payment of the outstanding balance. </w:t>
      </w:r>
    </w:p>
    <w:p w14:paraId="7F8BEB5D" w14:textId="43083DFC" w:rsidR="00CA6F88" w:rsidRDefault="001929B9" w:rsidP="001929B9">
      <w:pPr>
        <w:tabs>
          <w:tab w:val="left" w:pos="680"/>
        </w:tabs>
        <w:spacing w:after="480" w:line="480" w:lineRule="auto"/>
        <w:jc w:val="both"/>
        <w:rPr>
          <w:rFonts w:cs="Arial"/>
          <w:bCs/>
          <w:sz w:val="22"/>
          <w:szCs w:val="22"/>
        </w:rPr>
      </w:pPr>
      <w:r>
        <w:rPr>
          <w:rFonts w:cs="Arial"/>
          <w:bCs/>
          <w:sz w:val="21"/>
          <w:szCs w:val="21"/>
        </w:rPr>
        <w:t>[37]</w:t>
      </w:r>
      <w:r>
        <w:rPr>
          <w:rFonts w:cs="Arial"/>
          <w:bCs/>
          <w:sz w:val="21"/>
          <w:szCs w:val="21"/>
        </w:rPr>
        <w:tab/>
      </w:r>
      <w:r w:rsidR="00E90C34" w:rsidRPr="00FF6D82">
        <w:rPr>
          <w:rFonts w:cs="Arial"/>
          <w:bCs/>
          <w:sz w:val="22"/>
          <w:szCs w:val="22"/>
        </w:rPr>
        <w:t>Furthermore, the</w:t>
      </w:r>
      <w:r w:rsidR="00FC4B57">
        <w:rPr>
          <w:rFonts w:cs="Arial"/>
          <w:bCs/>
          <w:sz w:val="22"/>
          <w:szCs w:val="22"/>
        </w:rPr>
        <w:t xml:space="preserve"> post-sale notic</w:t>
      </w:r>
      <w:r w:rsidR="00E90C34" w:rsidRPr="00FF6D82">
        <w:rPr>
          <w:rFonts w:cs="Arial"/>
          <w:bCs/>
          <w:sz w:val="22"/>
          <w:szCs w:val="22"/>
        </w:rPr>
        <w:t>e</w:t>
      </w:r>
      <w:r w:rsidR="00FC4B57">
        <w:rPr>
          <w:rFonts w:cs="Arial"/>
          <w:bCs/>
          <w:sz w:val="22"/>
          <w:szCs w:val="22"/>
        </w:rPr>
        <w:t xml:space="preserve"> a</w:t>
      </w:r>
      <w:r w:rsidR="00E90C34" w:rsidRPr="00FF6D82">
        <w:rPr>
          <w:rFonts w:cs="Arial"/>
          <w:bCs/>
          <w:sz w:val="22"/>
          <w:szCs w:val="22"/>
        </w:rPr>
        <w:t>d</w:t>
      </w:r>
      <w:r w:rsidR="00FC4B57">
        <w:rPr>
          <w:rFonts w:cs="Arial"/>
          <w:bCs/>
          <w:sz w:val="22"/>
          <w:szCs w:val="22"/>
        </w:rPr>
        <w:t>vised</w:t>
      </w:r>
      <w:r w:rsidR="00E90C34" w:rsidRPr="00FF6D82">
        <w:rPr>
          <w:rFonts w:cs="Arial"/>
          <w:bCs/>
          <w:sz w:val="22"/>
          <w:szCs w:val="22"/>
        </w:rPr>
        <w:t xml:space="preserve"> the applicant that his failure to do so would r</w:t>
      </w:r>
      <w:r w:rsidR="00FC4B57">
        <w:rPr>
          <w:rFonts w:cs="Arial"/>
          <w:bCs/>
          <w:sz w:val="22"/>
          <w:szCs w:val="22"/>
        </w:rPr>
        <w:t>esult in the first respondent having no</w:t>
      </w:r>
      <w:r w:rsidR="00E90C34" w:rsidRPr="00FF6D82">
        <w:rPr>
          <w:rFonts w:cs="Arial"/>
          <w:bCs/>
          <w:sz w:val="22"/>
          <w:szCs w:val="22"/>
        </w:rPr>
        <w:t xml:space="preserve"> alternative but to proceed with legal action for recovery of the outstanding amount. </w:t>
      </w:r>
    </w:p>
    <w:p w14:paraId="35D14672" w14:textId="250EC780" w:rsidR="00FC4B57" w:rsidRDefault="001929B9" w:rsidP="001929B9">
      <w:pPr>
        <w:tabs>
          <w:tab w:val="left" w:pos="680"/>
        </w:tabs>
        <w:spacing w:after="480" w:line="480" w:lineRule="auto"/>
        <w:jc w:val="both"/>
        <w:rPr>
          <w:rFonts w:cs="Arial"/>
          <w:bCs/>
          <w:sz w:val="22"/>
          <w:szCs w:val="22"/>
        </w:rPr>
      </w:pPr>
      <w:r>
        <w:rPr>
          <w:rFonts w:cs="Arial"/>
          <w:bCs/>
          <w:sz w:val="21"/>
          <w:szCs w:val="21"/>
        </w:rPr>
        <w:t>[38]</w:t>
      </w:r>
      <w:r>
        <w:rPr>
          <w:rFonts w:cs="Arial"/>
          <w:bCs/>
          <w:sz w:val="21"/>
          <w:szCs w:val="21"/>
        </w:rPr>
        <w:tab/>
      </w:r>
      <w:r w:rsidR="00FC4B57">
        <w:rPr>
          <w:rFonts w:cs="Arial"/>
          <w:bCs/>
          <w:sz w:val="22"/>
          <w:szCs w:val="22"/>
        </w:rPr>
        <w:t xml:space="preserve">The </w:t>
      </w:r>
      <w:r w:rsidR="00FC4B57" w:rsidRPr="00FA0200">
        <w:rPr>
          <w:rFonts w:cs="Arial"/>
          <w:bCs/>
          <w:sz w:val="22"/>
          <w:szCs w:val="22"/>
        </w:rPr>
        <w:t>post-sale notice</w:t>
      </w:r>
      <w:r w:rsidR="00FC4B57">
        <w:rPr>
          <w:rFonts w:cs="Arial"/>
          <w:bCs/>
          <w:sz w:val="22"/>
          <w:szCs w:val="22"/>
        </w:rPr>
        <w:t xml:space="preserve"> in terms of s127(7) served as a statutory demand for payment. It afforded the applicant ten days in which to make suitable arrangements with the first respondent to pay the amount owing. </w:t>
      </w:r>
    </w:p>
    <w:p w14:paraId="38886067" w14:textId="3DB6B371" w:rsidR="00C614CD" w:rsidRDefault="001929B9" w:rsidP="001929B9">
      <w:pPr>
        <w:tabs>
          <w:tab w:val="left" w:pos="680"/>
        </w:tabs>
        <w:spacing w:after="480" w:line="480" w:lineRule="auto"/>
        <w:jc w:val="both"/>
        <w:rPr>
          <w:rFonts w:cs="Arial"/>
          <w:bCs/>
          <w:sz w:val="22"/>
          <w:szCs w:val="22"/>
        </w:rPr>
      </w:pPr>
      <w:r>
        <w:rPr>
          <w:rFonts w:cs="Arial"/>
          <w:bCs/>
          <w:sz w:val="21"/>
          <w:szCs w:val="21"/>
        </w:rPr>
        <w:t>[39]</w:t>
      </w:r>
      <w:r>
        <w:rPr>
          <w:rFonts w:cs="Arial"/>
          <w:bCs/>
          <w:sz w:val="21"/>
          <w:szCs w:val="21"/>
        </w:rPr>
        <w:tab/>
      </w:r>
      <w:r w:rsidR="00FC4B57">
        <w:rPr>
          <w:rFonts w:cs="Arial"/>
          <w:bCs/>
          <w:sz w:val="22"/>
          <w:szCs w:val="22"/>
        </w:rPr>
        <w:t>Section 12</w:t>
      </w:r>
      <w:r w:rsidR="00C614CD">
        <w:rPr>
          <w:rFonts w:cs="Arial"/>
          <w:bCs/>
          <w:sz w:val="22"/>
          <w:szCs w:val="22"/>
        </w:rPr>
        <w:t xml:space="preserve">8 of the Act provides in terms that if the consumer, the applicant, fails to pay the amount demanded in terms of s 127(7) of the Act, within ten business days of receiving the demand notice, the creditor may then commence legal proceedings. </w:t>
      </w:r>
    </w:p>
    <w:p w14:paraId="62E712DA" w14:textId="6F196EA5" w:rsidR="00FC4B57" w:rsidRPr="00C614CD" w:rsidRDefault="001929B9" w:rsidP="001929B9">
      <w:pPr>
        <w:tabs>
          <w:tab w:val="left" w:pos="680"/>
        </w:tabs>
        <w:spacing w:after="480" w:line="480" w:lineRule="auto"/>
        <w:jc w:val="both"/>
        <w:rPr>
          <w:rFonts w:cs="Arial"/>
          <w:bCs/>
          <w:sz w:val="22"/>
          <w:szCs w:val="22"/>
        </w:rPr>
      </w:pPr>
      <w:r w:rsidRPr="00C614CD">
        <w:rPr>
          <w:rFonts w:cs="Arial"/>
          <w:bCs/>
          <w:sz w:val="21"/>
          <w:szCs w:val="21"/>
        </w:rPr>
        <w:t>[40]</w:t>
      </w:r>
      <w:r w:rsidRPr="00C614CD">
        <w:rPr>
          <w:rFonts w:cs="Arial"/>
          <w:bCs/>
          <w:sz w:val="21"/>
          <w:szCs w:val="21"/>
        </w:rPr>
        <w:tab/>
      </w:r>
      <w:r w:rsidR="00B44443">
        <w:rPr>
          <w:rFonts w:cs="Arial"/>
          <w:bCs/>
          <w:sz w:val="22"/>
          <w:szCs w:val="22"/>
        </w:rPr>
        <w:t>Accordingly,</w:t>
      </w:r>
      <w:r w:rsidR="00C614CD">
        <w:rPr>
          <w:rFonts w:cs="Arial"/>
          <w:bCs/>
          <w:sz w:val="22"/>
          <w:szCs w:val="22"/>
        </w:rPr>
        <w:t xml:space="preserve"> t</w:t>
      </w:r>
      <w:r w:rsidR="00FC4B57" w:rsidRPr="00C614CD">
        <w:rPr>
          <w:rFonts w:cs="Arial"/>
          <w:bCs/>
          <w:sz w:val="22"/>
          <w:szCs w:val="22"/>
        </w:rPr>
        <w:t>he first respondent was not permitted to issu</w:t>
      </w:r>
      <w:r w:rsidR="00C614CD">
        <w:rPr>
          <w:rFonts w:cs="Arial"/>
          <w:bCs/>
          <w:sz w:val="22"/>
          <w:szCs w:val="22"/>
        </w:rPr>
        <w:t xml:space="preserve">e summons prior to expiry of ten days from 19 February 2013. </w:t>
      </w:r>
    </w:p>
    <w:p w14:paraId="55CB2151" w14:textId="37811BEF" w:rsidR="00E90C34" w:rsidRPr="00AC7A96" w:rsidRDefault="001929B9" w:rsidP="001929B9">
      <w:pPr>
        <w:tabs>
          <w:tab w:val="left" w:pos="680"/>
        </w:tabs>
        <w:spacing w:after="480" w:line="480" w:lineRule="auto"/>
        <w:jc w:val="both"/>
        <w:rPr>
          <w:rFonts w:cs="Arial"/>
          <w:bCs/>
          <w:sz w:val="22"/>
          <w:szCs w:val="22"/>
        </w:rPr>
      </w:pPr>
      <w:r w:rsidRPr="00AC7A96">
        <w:rPr>
          <w:rFonts w:cs="Arial"/>
          <w:bCs/>
          <w:sz w:val="21"/>
          <w:szCs w:val="21"/>
        </w:rPr>
        <w:t>[41]</w:t>
      </w:r>
      <w:r w:rsidRPr="00AC7A96">
        <w:rPr>
          <w:rFonts w:cs="Arial"/>
          <w:bCs/>
          <w:sz w:val="21"/>
          <w:szCs w:val="21"/>
        </w:rPr>
        <w:tab/>
      </w:r>
      <w:r w:rsidR="00B44443" w:rsidRPr="00AC7A96">
        <w:rPr>
          <w:rFonts w:cs="Arial"/>
          <w:bCs/>
          <w:sz w:val="22"/>
          <w:szCs w:val="22"/>
        </w:rPr>
        <w:t xml:space="preserve">Thus, prescription of the outstanding amount did not incept until </w:t>
      </w:r>
      <w:r w:rsidR="00AC7A96">
        <w:rPr>
          <w:rFonts w:cs="Arial"/>
          <w:bCs/>
          <w:sz w:val="22"/>
          <w:szCs w:val="22"/>
        </w:rPr>
        <w:t xml:space="preserve">the </w:t>
      </w:r>
      <w:r w:rsidR="00B44443" w:rsidRPr="00AC7A96">
        <w:rPr>
          <w:rFonts w:cs="Arial"/>
          <w:bCs/>
          <w:sz w:val="22"/>
          <w:szCs w:val="22"/>
        </w:rPr>
        <w:t>expiry of ten days after</w:t>
      </w:r>
      <w:r w:rsidR="00AC7A96">
        <w:rPr>
          <w:rFonts w:cs="Arial"/>
          <w:bCs/>
          <w:sz w:val="22"/>
          <w:szCs w:val="22"/>
        </w:rPr>
        <w:t xml:space="preserve"> the s </w:t>
      </w:r>
      <w:r w:rsidR="00B44443" w:rsidRPr="00AC7A96">
        <w:rPr>
          <w:rFonts w:cs="Arial"/>
          <w:bCs/>
          <w:sz w:val="22"/>
          <w:szCs w:val="22"/>
        </w:rPr>
        <w:t>127(7) notice sent to the</w:t>
      </w:r>
      <w:r w:rsidR="00AC7A96">
        <w:rPr>
          <w:rFonts w:cs="Arial"/>
          <w:bCs/>
          <w:sz w:val="22"/>
          <w:szCs w:val="22"/>
        </w:rPr>
        <w:t xml:space="preserve"> applicant on 19 February 2013, being </w:t>
      </w:r>
      <w:r w:rsidR="00AC7A96" w:rsidRPr="00AC7A96">
        <w:rPr>
          <w:rFonts w:cs="Arial"/>
          <w:bCs/>
          <w:sz w:val="22"/>
          <w:szCs w:val="22"/>
        </w:rPr>
        <w:t>1 March 20</w:t>
      </w:r>
      <w:r w:rsidR="00AC7A96">
        <w:rPr>
          <w:rFonts w:cs="Arial"/>
          <w:bCs/>
          <w:sz w:val="22"/>
          <w:szCs w:val="22"/>
        </w:rPr>
        <w:t>13. Service of the summons</w:t>
      </w:r>
      <w:r w:rsidR="00AC7A96" w:rsidRPr="00AC7A96">
        <w:rPr>
          <w:rFonts w:cs="Arial"/>
          <w:bCs/>
          <w:sz w:val="22"/>
          <w:szCs w:val="22"/>
        </w:rPr>
        <w:t xml:space="preserve"> on 24 October 2015,</w:t>
      </w:r>
      <w:r w:rsidR="008577E9">
        <w:rPr>
          <w:rFonts w:cs="Arial"/>
          <w:bCs/>
          <w:sz w:val="22"/>
          <w:szCs w:val="22"/>
        </w:rPr>
        <w:t xml:space="preserve"> fell well within the three-</w:t>
      </w:r>
      <w:r w:rsidR="00AC7A96" w:rsidRPr="00AC7A96">
        <w:rPr>
          <w:rFonts w:cs="Arial"/>
          <w:bCs/>
          <w:sz w:val="22"/>
          <w:szCs w:val="22"/>
        </w:rPr>
        <w:t>ye</w:t>
      </w:r>
      <w:r w:rsidR="00AC7A96">
        <w:rPr>
          <w:rFonts w:cs="Arial"/>
          <w:bCs/>
          <w:sz w:val="22"/>
          <w:szCs w:val="22"/>
        </w:rPr>
        <w:t>ar</w:t>
      </w:r>
      <w:r w:rsidR="00AC7A96" w:rsidRPr="00AC7A96">
        <w:rPr>
          <w:rFonts w:cs="Arial"/>
          <w:bCs/>
          <w:sz w:val="22"/>
          <w:szCs w:val="22"/>
        </w:rPr>
        <w:t xml:space="preserve"> period of prescription. </w:t>
      </w:r>
      <w:r w:rsidR="00AC7A96">
        <w:rPr>
          <w:rFonts w:cs="Arial"/>
          <w:bCs/>
          <w:sz w:val="22"/>
          <w:szCs w:val="22"/>
        </w:rPr>
        <w:t xml:space="preserve"> </w:t>
      </w:r>
      <w:r w:rsidR="00E90C34" w:rsidRPr="00AC7A96">
        <w:rPr>
          <w:rFonts w:cs="Arial"/>
          <w:bCs/>
          <w:sz w:val="22"/>
          <w:szCs w:val="22"/>
        </w:rPr>
        <w:t xml:space="preserve"> </w:t>
      </w:r>
    </w:p>
    <w:p w14:paraId="6CC9FE62" w14:textId="3F30357F" w:rsidR="00E90C34" w:rsidRDefault="001929B9" w:rsidP="001929B9">
      <w:pPr>
        <w:tabs>
          <w:tab w:val="left" w:pos="680"/>
        </w:tabs>
        <w:spacing w:after="480" w:line="480" w:lineRule="auto"/>
        <w:jc w:val="both"/>
        <w:rPr>
          <w:rFonts w:cs="Arial"/>
          <w:bCs/>
          <w:sz w:val="22"/>
          <w:szCs w:val="22"/>
        </w:rPr>
      </w:pPr>
      <w:r>
        <w:rPr>
          <w:rFonts w:cs="Arial"/>
          <w:bCs/>
          <w:sz w:val="21"/>
          <w:szCs w:val="21"/>
        </w:rPr>
        <w:lastRenderedPageBreak/>
        <w:t>[42]</w:t>
      </w:r>
      <w:r>
        <w:rPr>
          <w:rFonts w:cs="Arial"/>
          <w:bCs/>
          <w:sz w:val="21"/>
          <w:szCs w:val="21"/>
        </w:rPr>
        <w:tab/>
      </w:r>
      <w:r w:rsidR="00E90C34" w:rsidRPr="00C271B8">
        <w:rPr>
          <w:rFonts w:cs="Arial"/>
          <w:bCs/>
          <w:sz w:val="22"/>
          <w:szCs w:val="22"/>
        </w:rPr>
        <w:t xml:space="preserve">In any event, the applicant acknowledged his indebtedness to </w:t>
      </w:r>
      <w:proofErr w:type="spellStart"/>
      <w:r w:rsidR="00E90C34" w:rsidRPr="00C271B8">
        <w:rPr>
          <w:rFonts w:cs="Arial"/>
          <w:bCs/>
          <w:sz w:val="22"/>
          <w:szCs w:val="22"/>
        </w:rPr>
        <w:t>Wesbank</w:t>
      </w:r>
      <w:proofErr w:type="spellEnd"/>
      <w:r w:rsidR="00E90C34" w:rsidRPr="00C271B8">
        <w:rPr>
          <w:rFonts w:cs="Arial"/>
          <w:bCs/>
          <w:sz w:val="22"/>
          <w:szCs w:val="22"/>
        </w:rPr>
        <w:t xml:space="preserve"> </w:t>
      </w:r>
      <w:r w:rsidR="006E7D8C">
        <w:rPr>
          <w:rFonts w:cs="Arial"/>
          <w:bCs/>
          <w:sz w:val="22"/>
          <w:szCs w:val="22"/>
        </w:rPr>
        <w:t>in respect of the shortfall</w:t>
      </w:r>
      <w:r w:rsidR="00E90C34" w:rsidRPr="00C271B8">
        <w:rPr>
          <w:rFonts w:cs="Arial"/>
          <w:bCs/>
          <w:sz w:val="22"/>
          <w:szCs w:val="22"/>
        </w:rPr>
        <w:t xml:space="preserve"> in terms of the </w:t>
      </w:r>
      <w:r w:rsidR="006E7D8C">
        <w:rPr>
          <w:rFonts w:cs="Arial"/>
          <w:bCs/>
          <w:sz w:val="22"/>
          <w:szCs w:val="22"/>
        </w:rPr>
        <w:t>VTN.</w:t>
      </w:r>
      <w:r w:rsidR="00E90C34" w:rsidRPr="00C271B8">
        <w:rPr>
          <w:rFonts w:cs="Arial"/>
          <w:bCs/>
          <w:sz w:val="22"/>
          <w:szCs w:val="22"/>
        </w:rPr>
        <w:t xml:space="preserve"> </w:t>
      </w:r>
      <w:r w:rsidR="00C271B8">
        <w:rPr>
          <w:rFonts w:cs="Arial"/>
          <w:bCs/>
          <w:sz w:val="22"/>
          <w:szCs w:val="22"/>
        </w:rPr>
        <w:t>Whilst the do</w:t>
      </w:r>
      <w:r w:rsidR="006E7D8C">
        <w:rPr>
          <w:rFonts w:cs="Arial"/>
          <w:bCs/>
          <w:sz w:val="22"/>
          <w:szCs w:val="22"/>
        </w:rPr>
        <w:t xml:space="preserve">cument placed before the Court was </w:t>
      </w:r>
      <w:r w:rsidR="00C271B8">
        <w:rPr>
          <w:rFonts w:cs="Arial"/>
          <w:bCs/>
          <w:sz w:val="22"/>
          <w:szCs w:val="22"/>
        </w:rPr>
        <w:t>of extremely poor qualit</w:t>
      </w:r>
      <w:r w:rsidR="006E7D8C">
        <w:rPr>
          <w:rFonts w:cs="Arial"/>
          <w:bCs/>
          <w:sz w:val="22"/>
          <w:szCs w:val="22"/>
        </w:rPr>
        <w:t>y, the relevant provision, paragraph 6, wa</w:t>
      </w:r>
      <w:r w:rsidR="00C271B8">
        <w:rPr>
          <w:rFonts w:cs="Arial"/>
          <w:bCs/>
          <w:sz w:val="22"/>
          <w:szCs w:val="22"/>
        </w:rPr>
        <w:t xml:space="preserve">s sufficiently legible. </w:t>
      </w:r>
      <w:r w:rsidR="006E7D8C">
        <w:rPr>
          <w:rFonts w:cs="Arial"/>
          <w:b/>
          <w:bCs/>
          <w:sz w:val="22"/>
          <w:szCs w:val="22"/>
        </w:rPr>
        <w:t xml:space="preserve"> </w:t>
      </w:r>
    </w:p>
    <w:p w14:paraId="1C30ED44" w14:textId="3213DDC9" w:rsidR="00C271B8" w:rsidRDefault="001929B9" w:rsidP="001929B9">
      <w:pPr>
        <w:tabs>
          <w:tab w:val="left" w:pos="680"/>
        </w:tabs>
        <w:spacing w:after="480" w:line="480" w:lineRule="auto"/>
        <w:jc w:val="both"/>
        <w:rPr>
          <w:rFonts w:cs="Arial"/>
          <w:bCs/>
          <w:sz w:val="22"/>
          <w:szCs w:val="22"/>
        </w:rPr>
      </w:pPr>
      <w:r>
        <w:rPr>
          <w:rFonts w:cs="Arial"/>
          <w:bCs/>
          <w:sz w:val="21"/>
          <w:szCs w:val="21"/>
        </w:rPr>
        <w:t>[43]</w:t>
      </w:r>
      <w:r>
        <w:rPr>
          <w:rFonts w:cs="Arial"/>
          <w:bCs/>
          <w:sz w:val="21"/>
          <w:szCs w:val="21"/>
        </w:rPr>
        <w:tab/>
      </w:r>
      <w:r w:rsidR="007710CA">
        <w:rPr>
          <w:rFonts w:cs="Arial"/>
          <w:bCs/>
          <w:sz w:val="22"/>
          <w:szCs w:val="22"/>
        </w:rPr>
        <w:t>The applicant’s</w:t>
      </w:r>
      <w:r w:rsidR="00722763">
        <w:rPr>
          <w:rFonts w:cs="Arial"/>
          <w:bCs/>
          <w:sz w:val="22"/>
          <w:szCs w:val="22"/>
        </w:rPr>
        <w:t xml:space="preserve"> contention that the first respondent’s cause of action prescribed prior to service of the summons, held no merit. </w:t>
      </w:r>
    </w:p>
    <w:p w14:paraId="1C0B0054" w14:textId="54A3FC53" w:rsidR="00D5443C" w:rsidRDefault="001929B9" w:rsidP="001929B9">
      <w:pPr>
        <w:tabs>
          <w:tab w:val="left" w:pos="680"/>
        </w:tabs>
        <w:spacing w:after="480" w:line="480" w:lineRule="auto"/>
        <w:jc w:val="both"/>
        <w:rPr>
          <w:rFonts w:cs="Arial"/>
          <w:bCs/>
          <w:sz w:val="22"/>
          <w:szCs w:val="22"/>
        </w:rPr>
      </w:pPr>
      <w:r>
        <w:rPr>
          <w:rFonts w:cs="Arial"/>
          <w:bCs/>
          <w:sz w:val="21"/>
          <w:szCs w:val="21"/>
        </w:rPr>
        <w:t>[44]</w:t>
      </w:r>
      <w:r>
        <w:rPr>
          <w:rFonts w:cs="Arial"/>
          <w:bCs/>
          <w:sz w:val="21"/>
          <w:szCs w:val="21"/>
        </w:rPr>
        <w:tab/>
      </w:r>
      <w:r w:rsidR="00D5443C">
        <w:rPr>
          <w:rFonts w:cs="Arial"/>
          <w:bCs/>
          <w:sz w:val="22"/>
          <w:szCs w:val="22"/>
        </w:rPr>
        <w:t xml:space="preserve">Subsequent to procuring the judgment against the applicant, the first respondent obtained a warrant of execution during June 2021 and caused the applicant’s Capitec bank account to be frozen from 26 June 2021 to 13 July 2021. </w:t>
      </w:r>
    </w:p>
    <w:p w14:paraId="6D1859F3" w14:textId="5B4A8382" w:rsidR="00D5443C" w:rsidRPr="00644744" w:rsidRDefault="001929B9" w:rsidP="001929B9">
      <w:pPr>
        <w:tabs>
          <w:tab w:val="left" w:pos="680"/>
        </w:tabs>
        <w:spacing w:after="480" w:line="480" w:lineRule="auto"/>
        <w:jc w:val="both"/>
        <w:rPr>
          <w:rFonts w:cs="Arial"/>
          <w:bCs/>
          <w:sz w:val="22"/>
          <w:szCs w:val="22"/>
        </w:rPr>
      </w:pPr>
      <w:r w:rsidRPr="00644744">
        <w:rPr>
          <w:rFonts w:cs="Arial"/>
          <w:bCs/>
          <w:sz w:val="21"/>
          <w:szCs w:val="21"/>
        </w:rPr>
        <w:t>[45]</w:t>
      </w:r>
      <w:r w:rsidRPr="00644744">
        <w:rPr>
          <w:rFonts w:cs="Arial"/>
          <w:bCs/>
          <w:sz w:val="21"/>
          <w:szCs w:val="21"/>
        </w:rPr>
        <w:tab/>
      </w:r>
      <w:r w:rsidR="00D5443C" w:rsidRPr="00644744">
        <w:rPr>
          <w:rFonts w:cs="Arial"/>
          <w:bCs/>
          <w:sz w:val="22"/>
          <w:szCs w:val="22"/>
        </w:rPr>
        <w:t xml:space="preserve">The applicant contended that he became aware of the judgment for the </w:t>
      </w:r>
      <w:proofErr w:type="gramStart"/>
      <w:r w:rsidR="00D5443C" w:rsidRPr="00644744">
        <w:rPr>
          <w:rFonts w:cs="Arial"/>
          <w:bCs/>
          <w:sz w:val="22"/>
          <w:szCs w:val="22"/>
        </w:rPr>
        <w:t>first time</w:t>
      </w:r>
      <w:proofErr w:type="gramEnd"/>
      <w:r w:rsidR="00D5443C" w:rsidRPr="00644744">
        <w:rPr>
          <w:rFonts w:cs="Arial"/>
          <w:bCs/>
          <w:sz w:val="22"/>
          <w:szCs w:val="22"/>
        </w:rPr>
        <w:t xml:space="preserve"> during July 2021. </w:t>
      </w:r>
      <w:r w:rsidR="00D5443C">
        <w:rPr>
          <w:rFonts w:cs="Arial"/>
          <w:bCs/>
          <w:sz w:val="22"/>
          <w:szCs w:val="22"/>
        </w:rPr>
        <w:t>Contrary thereto, however, the applicant’s attorney of record requested various pleadings and the court order from the second respondent’s repre</w:t>
      </w:r>
      <w:r w:rsidR="006E7D8C">
        <w:rPr>
          <w:rFonts w:cs="Arial"/>
          <w:bCs/>
          <w:sz w:val="22"/>
          <w:szCs w:val="22"/>
        </w:rPr>
        <w:t>sentative, from 29 June 2021. The documents</w:t>
      </w:r>
      <w:r w:rsidR="00D5443C">
        <w:rPr>
          <w:rFonts w:cs="Arial"/>
          <w:bCs/>
          <w:sz w:val="22"/>
          <w:szCs w:val="22"/>
        </w:rPr>
        <w:t xml:space="preserve"> </w:t>
      </w:r>
      <w:r w:rsidR="00D5443C" w:rsidRPr="00644744">
        <w:rPr>
          <w:rFonts w:cs="Arial"/>
          <w:bCs/>
          <w:sz w:val="22"/>
          <w:szCs w:val="22"/>
        </w:rPr>
        <w:t>were provid</w:t>
      </w:r>
      <w:r w:rsidR="00D5443C">
        <w:rPr>
          <w:rFonts w:cs="Arial"/>
          <w:bCs/>
          <w:sz w:val="22"/>
          <w:szCs w:val="22"/>
        </w:rPr>
        <w:t>ed to him</w:t>
      </w:r>
      <w:r w:rsidR="00D5443C" w:rsidRPr="00644744">
        <w:rPr>
          <w:rFonts w:cs="Arial"/>
          <w:bCs/>
          <w:sz w:val="22"/>
          <w:szCs w:val="22"/>
        </w:rPr>
        <w:t xml:space="preserve"> on 12 July 2021.</w:t>
      </w:r>
    </w:p>
    <w:p w14:paraId="5A3FAB66" w14:textId="0E2FCFFB" w:rsidR="00F218E4" w:rsidRDefault="001929B9" w:rsidP="001929B9">
      <w:pPr>
        <w:tabs>
          <w:tab w:val="left" w:pos="680"/>
        </w:tabs>
        <w:spacing w:after="480" w:line="480" w:lineRule="auto"/>
        <w:jc w:val="both"/>
        <w:rPr>
          <w:rFonts w:cs="Arial"/>
          <w:bCs/>
          <w:sz w:val="22"/>
          <w:szCs w:val="22"/>
        </w:rPr>
      </w:pPr>
      <w:r>
        <w:rPr>
          <w:rFonts w:cs="Arial"/>
          <w:bCs/>
          <w:sz w:val="21"/>
          <w:szCs w:val="21"/>
        </w:rPr>
        <w:t>[46]</w:t>
      </w:r>
      <w:r>
        <w:rPr>
          <w:rFonts w:cs="Arial"/>
          <w:bCs/>
          <w:sz w:val="21"/>
          <w:szCs w:val="21"/>
        </w:rPr>
        <w:tab/>
      </w:r>
      <w:r w:rsidR="00D5443C" w:rsidRPr="00644744">
        <w:rPr>
          <w:rFonts w:cs="Arial"/>
          <w:bCs/>
          <w:sz w:val="22"/>
          <w:szCs w:val="22"/>
        </w:rPr>
        <w:t xml:space="preserve">The freeze on the applicant’s bank account allegedly rendered him penniless and without financial means to pay medical expenses incurred during a bout of covid. The applicant, </w:t>
      </w:r>
      <w:r w:rsidR="00D5443C" w:rsidRPr="006C4C7A">
        <w:rPr>
          <w:rFonts w:cs="Arial"/>
          <w:bCs/>
          <w:sz w:val="22"/>
          <w:szCs w:val="22"/>
        </w:rPr>
        <w:t xml:space="preserve">however, </w:t>
      </w:r>
      <w:r w:rsidR="00F218E4" w:rsidRPr="006C4C7A">
        <w:rPr>
          <w:rFonts w:cs="Arial"/>
          <w:bCs/>
          <w:sz w:val="22"/>
          <w:szCs w:val="22"/>
        </w:rPr>
        <w:t>was a beneficiary of a medical aid scheme at the time and his medical expenses were paid by the medical aid.</w:t>
      </w:r>
      <w:r w:rsidR="00F218E4">
        <w:rPr>
          <w:rFonts w:cs="Arial"/>
          <w:bCs/>
          <w:sz w:val="22"/>
          <w:szCs w:val="22"/>
        </w:rPr>
        <w:t xml:space="preserve"> </w:t>
      </w:r>
    </w:p>
    <w:p w14:paraId="579F4617" w14:textId="3F3C7A62" w:rsidR="00722763" w:rsidRPr="00F218E4" w:rsidRDefault="001929B9" w:rsidP="001929B9">
      <w:pPr>
        <w:tabs>
          <w:tab w:val="left" w:pos="680"/>
        </w:tabs>
        <w:spacing w:after="480" w:line="480" w:lineRule="auto"/>
        <w:jc w:val="both"/>
        <w:rPr>
          <w:rFonts w:cs="Arial"/>
          <w:bCs/>
          <w:sz w:val="22"/>
          <w:szCs w:val="22"/>
        </w:rPr>
      </w:pPr>
      <w:r w:rsidRPr="00F218E4">
        <w:rPr>
          <w:rFonts w:cs="Arial"/>
          <w:bCs/>
          <w:sz w:val="21"/>
          <w:szCs w:val="21"/>
        </w:rPr>
        <w:t>[47]</w:t>
      </w:r>
      <w:r w:rsidRPr="00F218E4">
        <w:rPr>
          <w:rFonts w:cs="Arial"/>
          <w:bCs/>
          <w:sz w:val="21"/>
          <w:szCs w:val="21"/>
        </w:rPr>
        <w:tab/>
      </w:r>
      <w:r w:rsidR="00722763" w:rsidRPr="00F218E4">
        <w:rPr>
          <w:rFonts w:cs="Arial"/>
          <w:bCs/>
          <w:sz w:val="22"/>
          <w:szCs w:val="22"/>
        </w:rPr>
        <w:t>Whilst th</w:t>
      </w:r>
      <w:r w:rsidR="008577E9">
        <w:rPr>
          <w:rFonts w:cs="Arial"/>
          <w:bCs/>
          <w:sz w:val="22"/>
          <w:szCs w:val="22"/>
        </w:rPr>
        <w:t xml:space="preserve">e applicant complained about </w:t>
      </w:r>
      <w:r w:rsidR="008A4C34" w:rsidRPr="00F218E4">
        <w:rPr>
          <w:rFonts w:cs="Arial"/>
          <w:bCs/>
          <w:sz w:val="22"/>
          <w:szCs w:val="22"/>
        </w:rPr>
        <w:t>the attachment o</w:t>
      </w:r>
      <w:r w:rsidR="00596F61" w:rsidRPr="00F218E4">
        <w:rPr>
          <w:rFonts w:cs="Arial"/>
          <w:bCs/>
          <w:sz w:val="22"/>
          <w:szCs w:val="22"/>
        </w:rPr>
        <w:t>f his bank account in terms of r</w:t>
      </w:r>
      <w:r w:rsidR="008A4C34" w:rsidRPr="00F218E4">
        <w:rPr>
          <w:rFonts w:cs="Arial"/>
          <w:bCs/>
          <w:sz w:val="22"/>
          <w:szCs w:val="22"/>
        </w:rPr>
        <w:t xml:space="preserve">ule 45(12)(a), that he alleged was not </w:t>
      </w:r>
      <w:proofErr w:type="gramStart"/>
      <w:r w:rsidR="008A4C34" w:rsidRPr="00F218E4">
        <w:rPr>
          <w:rFonts w:cs="Arial"/>
          <w:bCs/>
          <w:sz w:val="22"/>
          <w:szCs w:val="22"/>
        </w:rPr>
        <w:t>effected</w:t>
      </w:r>
      <w:proofErr w:type="gramEnd"/>
      <w:r w:rsidR="008A4C34" w:rsidRPr="00F218E4">
        <w:rPr>
          <w:rFonts w:cs="Arial"/>
          <w:bCs/>
          <w:sz w:val="22"/>
          <w:szCs w:val="22"/>
        </w:rPr>
        <w:t xml:space="preserve"> in a procedurally correct manner, those averments,</w:t>
      </w:r>
      <w:r w:rsidR="00596F61" w:rsidRPr="00F218E4">
        <w:rPr>
          <w:rFonts w:cs="Arial"/>
          <w:bCs/>
          <w:sz w:val="22"/>
          <w:szCs w:val="22"/>
        </w:rPr>
        <w:t xml:space="preserve"> if meritorious,</w:t>
      </w:r>
      <w:r w:rsidR="008A4C34" w:rsidRPr="00F218E4">
        <w:rPr>
          <w:rFonts w:cs="Arial"/>
          <w:bCs/>
          <w:sz w:val="22"/>
          <w:szCs w:val="22"/>
        </w:rPr>
        <w:t xml:space="preserve"> did not constitute a substantive defence to the first respondent’s </w:t>
      </w:r>
      <w:r w:rsidR="00596F61" w:rsidRPr="00F218E4">
        <w:rPr>
          <w:rFonts w:cs="Arial"/>
          <w:bCs/>
          <w:sz w:val="22"/>
          <w:szCs w:val="22"/>
        </w:rPr>
        <w:t>combined summons against the applicant. N</w:t>
      </w:r>
      <w:r w:rsidR="008A4C34" w:rsidRPr="00F218E4">
        <w:rPr>
          <w:rFonts w:cs="Arial"/>
          <w:bCs/>
          <w:sz w:val="22"/>
          <w:szCs w:val="22"/>
        </w:rPr>
        <w:t xml:space="preserve">or did they constitute a </w:t>
      </w:r>
      <w:r w:rsidR="00596F61" w:rsidRPr="00F218E4">
        <w:rPr>
          <w:rFonts w:cs="Arial"/>
          <w:bCs/>
          <w:i/>
          <w:sz w:val="22"/>
          <w:szCs w:val="22"/>
        </w:rPr>
        <w:t>bona fide</w:t>
      </w:r>
      <w:r w:rsidR="008A4C34" w:rsidRPr="00F218E4">
        <w:rPr>
          <w:rFonts w:cs="Arial"/>
          <w:bCs/>
          <w:sz w:val="22"/>
          <w:szCs w:val="22"/>
        </w:rPr>
        <w:t xml:space="preserve"> triable defence, for purposes of this rescission application. </w:t>
      </w:r>
    </w:p>
    <w:p w14:paraId="1450B8A0" w14:textId="5F223AF4" w:rsidR="00F218E4" w:rsidRDefault="001929B9" w:rsidP="001929B9">
      <w:pPr>
        <w:tabs>
          <w:tab w:val="left" w:pos="680"/>
        </w:tabs>
        <w:spacing w:after="480" w:line="480" w:lineRule="auto"/>
        <w:jc w:val="both"/>
        <w:rPr>
          <w:rFonts w:cs="Arial"/>
          <w:bCs/>
          <w:sz w:val="22"/>
          <w:szCs w:val="22"/>
        </w:rPr>
      </w:pPr>
      <w:r>
        <w:rPr>
          <w:rFonts w:cs="Arial"/>
          <w:bCs/>
          <w:sz w:val="21"/>
          <w:szCs w:val="21"/>
        </w:rPr>
        <w:lastRenderedPageBreak/>
        <w:t>[48]</w:t>
      </w:r>
      <w:r>
        <w:rPr>
          <w:rFonts w:cs="Arial"/>
          <w:bCs/>
          <w:sz w:val="21"/>
          <w:szCs w:val="21"/>
        </w:rPr>
        <w:tab/>
      </w:r>
      <w:r w:rsidR="008A4C34">
        <w:rPr>
          <w:rFonts w:cs="Arial"/>
          <w:bCs/>
          <w:sz w:val="22"/>
          <w:szCs w:val="22"/>
        </w:rPr>
        <w:t xml:space="preserve">Assuming but without finding </w:t>
      </w:r>
      <w:r w:rsidR="00596F61">
        <w:rPr>
          <w:rFonts w:cs="Arial"/>
          <w:bCs/>
          <w:sz w:val="22"/>
          <w:szCs w:val="22"/>
        </w:rPr>
        <w:t xml:space="preserve">in the applicant’s favour </w:t>
      </w:r>
      <w:r w:rsidR="008A4C34">
        <w:rPr>
          <w:rFonts w:cs="Arial"/>
          <w:bCs/>
          <w:sz w:val="22"/>
          <w:szCs w:val="22"/>
        </w:rPr>
        <w:t xml:space="preserve">that the writ was not lawfully executed, that would not result in the judgment being set aside. </w:t>
      </w:r>
    </w:p>
    <w:p w14:paraId="77C7848C" w14:textId="7F0E355D" w:rsidR="00DC79F2" w:rsidRDefault="001929B9" w:rsidP="001929B9">
      <w:pPr>
        <w:tabs>
          <w:tab w:val="left" w:pos="680"/>
        </w:tabs>
        <w:spacing w:after="480" w:line="480" w:lineRule="auto"/>
        <w:jc w:val="both"/>
        <w:rPr>
          <w:rFonts w:cs="Arial"/>
          <w:bCs/>
          <w:sz w:val="22"/>
          <w:szCs w:val="22"/>
        </w:rPr>
      </w:pPr>
      <w:r>
        <w:rPr>
          <w:rFonts w:cs="Arial"/>
          <w:bCs/>
          <w:sz w:val="21"/>
          <w:szCs w:val="21"/>
        </w:rPr>
        <w:t>[49]</w:t>
      </w:r>
      <w:r>
        <w:rPr>
          <w:rFonts w:cs="Arial"/>
          <w:bCs/>
          <w:sz w:val="21"/>
          <w:szCs w:val="21"/>
        </w:rPr>
        <w:tab/>
      </w:r>
      <w:r w:rsidR="00F218E4">
        <w:rPr>
          <w:rFonts w:cs="Arial"/>
          <w:bCs/>
          <w:sz w:val="22"/>
          <w:szCs w:val="22"/>
        </w:rPr>
        <w:t>T</w:t>
      </w:r>
      <w:r w:rsidR="008A4C34" w:rsidRPr="00F218E4">
        <w:rPr>
          <w:rFonts w:cs="Arial"/>
          <w:bCs/>
          <w:sz w:val="22"/>
          <w:szCs w:val="22"/>
        </w:rPr>
        <w:t>he second respondent did not perfect the attachment of t</w:t>
      </w:r>
      <w:r w:rsidR="008577E9">
        <w:rPr>
          <w:rFonts w:cs="Arial"/>
          <w:bCs/>
          <w:sz w:val="22"/>
          <w:szCs w:val="22"/>
        </w:rPr>
        <w:t>he applicant’s bank account as</w:t>
      </w:r>
      <w:r w:rsidR="008A4C34" w:rsidRPr="00F218E4">
        <w:rPr>
          <w:rFonts w:cs="Arial"/>
          <w:bCs/>
          <w:sz w:val="22"/>
          <w:szCs w:val="22"/>
        </w:rPr>
        <w:t xml:space="preserve"> the a</w:t>
      </w:r>
      <w:r w:rsidR="00F218E4">
        <w:rPr>
          <w:rFonts w:cs="Arial"/>
          <w:bCs/>
          <w:sz w:val="22"/>
          <w:szCs w:val="22"/>
        </w:rPr>
        <w:t>pplicant was hospitalised with c</w:t>
      </w:r>
      <w:r w:rsidR="008A4C34" w:rsidRPr="00F218E4">
        <w:rPr>
          <w:rFonts w:cs="Arial"/>
          <w:bCs/>
          <w:sz w:val="22"/>
          <w:szCs w:val="22"/>
        </w:rPr>
        <w:t xml:space="preserve">ovid and in an allegedly financial straightened position. </w:t>
      </w:r>
      <w:r w:rsidR="008577E9">
        <w:rPr>
          <w:rFonts w:cs="Arial"/>
          <w:bCs/>
          <w:sz w:val="22"/>
          <w:szCs w:val="22"/>
        </w:rPr>
        <w:t xml:space="preserve"> </w:t>
      </w:r>
    </w:p>
    <w:p w14:paraId="3C34F86E" w14:textId="559CE51C" w:rsidR="00DC79F2" w:rsidRDefault="001929B9" w:rsidP="001929B9">
      <w:pPr>
        <w:tabs>
          <w:tab w:val="left" w:pos="680"/>
        </w:tabs>
        <w:spacing w:after="480" w:line="480" w:lineRule="auto"/>
        <w:jc w:val="both"/>
        <w:rPr>
          <w:rFonts w:cs="Arial"/>
          <w:bCs/>
          <w:sz w:val="22"/>
          <w:szCs w:val="22"/>
        </w:rPr>
      </w:pPr>
      <w:r>
        <w:rPr>
          <w:rFonts w:cs="Arial"/>
          <w:bCs/>
          <w:sz w:val="21"/>
          <w:szCs w:val="21"/>
        </w:rPr>
        <w:t>[50]</w:t>
      </w:r>
      <w:r>
        <w:rPr>
          <w:rFonts w:cs="Arial"/>
          <w:bCs/>
          <w:sz w:val="21"/>
          <w:szCs w:val="21"/>
        </w:rPr>
        <w:tab/>
      </w:r>
      <w:r w:rsidR="00DC79F2">
        <w:rPr>
          <w:rFonts w:cs="Arial"/>
          <w:bCs/>
          <w:sz w:val="22"/>
          <w:szCs w:val="22"/>
        </w:rPr>
        <w:t>T</w:t>
      </w:r>
      <w:r w:rsidR="00DC79F2" w:rsidRPr="00DC79F2">
        <w:rPr>
          <w:rFonts w:cs="Arial"/>
          <w:bCs/>
          <w:sz w:val="22"/>
          <w:szCs w:val="22"/>
        </w:rPr>
        <w:t xml:space="preserve">he </w:t>
      </w:r>
      <w:r w:rsidR="00DC79F2">
        <w:rPr>
          <w:rFonts w:cs="Arial"/>
          <w:bCs/>
          <w:sz w:val="22"/>
          <w:szCs w:val="22"/>
        </w:rPr>
        <w:t xml:space="preserve">defences raised by the </w:t>
      </w:r>
      <w:r w:rsidR="00DC79F2" w:rsidRPr="00DC79F2">
        <w:rPr>
          <w:rFonts w:cs="Arial"/>
          <w:bCs/>
          <w:sz w:val="22"/>
          <w:szCs w:val="22"/>
        </w:rPr>
        <w:t>applicant to the first respondent’s combined summons</w:t>
      </w:r>
      <w:r w:rsidR="00DC79F2">
        <w:rPr>
          <w:rFonts w:cs="Arial"/>
          <w:bCs/>
          <w:sz w:val="22"/>
          <w:szCs w:val="22"/>
        </w:rPr>
        <w:t xml:space="preserve"> for purposes of this rescission application were those dealt with above.  </w:t>
      </w:r>
    </w:p>
    <w:p w14:paraId="572B5A51" w14:textId="225FF092" w:rsidR="000F4102" w:rsidRDefault="001929B9" w:rsidP="001929B9">
      <w:pPr>
        <w:tabs>
          <w:tab w:val="left" w:pos="680"/>
        </w:tabs>
        <w:spacing w:after="480" w:line="480" w:lineRule="auto"/>
        <w:jc w:val="both"/>
        <w:rPr>
          <w:rFonts w:cs="Arial"/>
          <w:bCs/>
          <w:sz w:val="22"/>
          <w:szCs w:val="22"/>
        </w:rPr>
      </w:pPr>
      <w:r>
        <w:rPr>
          <w:rFonts w:cs="Arial"/>
          <w:bCs/>
          <w:sz w:val="21"/>
          <w:szCs w:val="21"/>
        </w:rPr>
        <w:t>[51]</w:t>
      </w:r>
      <w:r>
        <w:rPr>
          <w:rFonts w:cs="Arial"/>
          <w:bCs/>
          <w:sz w:val="21"/>
          <w:szCs w:val="21"/>
        </w:rPr>
        <w:tab/>
      </w:r>
      <w:r w:rsidR="00DC79F2">
        <w:rPr>
          <w:rFonts w:cs="Arial"/>
          <w:bCs/>
          <w:sz w:val="22"/>
          <w:szCs w:val="22"/>
        </w:rPr>
        <w:t>The applicant did not deny his</w:t>
      </w:r>
      <w:r w:rsidR="007068D0" w:rsidRPr="00DC79F2">
        <w:rPr>
          <w:rFonts w:cs="Arial"/>
          <w:bCs/>
          <w:sz w:val="22"/>
          <w:szCs w:val="22"/>
        </w:rPr>
        <w:t xml:space="preserve"> indebtedness to the first respondent in the amount claimed. </w:t>
      </w:r>
      <w:r w:rsidR="00DC79F2">
        <w:rPr>
          <w:rFonts w:cs="Arial"/>
          <w:bCs/>
          <w:sz w:val="22"/>
          <w:szCs w:val="22"/>
        </w:rPr>
        <w:t>Moreover,</w:t>
      </w:r>
      <w:r w:rsidR="008A4C34" w:rsidRPr="00DC79F2">
        <w:rPr>
          <w:rFonts w:cs="Arial"/>
          <w:bCs/>
          <w:sz w:val="22"/>
          <w:szCs w:val="22"/>
        </w:rPr>
        <w:t xml:space="preserve"> the applicant did not suggest that if the summons had come to his a</w:t>
      </w:r>
      <w:r w:rsidR="000F4102">
        <w:rPr>
          <w:rFonts w:cs="Arial"/>
          <w:bCs/>
          <w:sz w:val="22"/>
          <w:szCs w:val="22"/>
        </w:rPr>
        <w:t>ttention, he would have been</w:t>
      </w:r>
      <w:r w:rsidR="008A4C34" w:rsidRPr="00DC79F2">
        <w:rPr>
          <w:rFonts w:cs="Arial"/>
          <w:bCs/>
          <w:sz w:val="22"/>
          <w:szCs w:val="22"/>
        </w:rPr>
        <w:t xml:space="preserve"> financially</w:t>
      </w:r>
      <w:r w:rsidR="000F4102">
        <w:rPr>
          <w:rFonts w:cs="Arial"/>
          <w:bCs/>
          <w:sz w:val="22"/>
          <w:szCs w:val="22"/>
        </w:rPr>
        <w:t xml:space="preserve"> able</w:t>
      </w:r>
      <w:r w:rsidR="008A4C34" w:rsidRPr="00DC79F2">
        <w:rPr>
          <w:rFonts w:cs="Arial"/>
          <w:bCs/>
          <w:sz w:val="22"/>
          <w:szCs w:val="22"/>
        </w:rPr>
        <w:t xml:space="preserve"> to pay the outstanding amount c</w:t>
      </w:r>
      <w:r w:rsidR="000F4102">
        <w:rPr>
          <w:rFonts w:cs="Arial"/>
          <w:bCs/>
          <w:sz w:val="22"/>
          <w:szCs w:val="22"/>
        </w:rPr>
        <w:t>laimed by the first respondent.</w:t>
      </w:r>
    </w:p>
    <w:p w14:paraId="3534C4C5" w14:textId="3DBD4DD6" w:rsidR="00462F14" w:rsidRPr="000F4102" w:rsidRDefault="001929B9" w:rsidP="001929B9">
      <w:pPr>
        <w:tabs>
          <w:tab w:val="left" w:pos="680"/>
        </w:tabs>
        <w:spacing w:after="480" w:line="480" w:lineRule="auto"/>
        <w:jc w:val="both"/>
        <w:rPr>
          <w:rFonts w:cs="Arial"/>
          <w:bCs/>
          <w:sz w:val="22"/>
          <w:szCs w:val="22"/>
        </w:rPr>
      </w:pPr>
      <w:r w:rsidRPr="000F4102">
        <w:rPr>
          <w:rFonts w:cs="Arial"/>
          <w:bCs/>
          <w:sz w:val="21"/>
          <w:szCs w:val="21"/>
        </w:rPr>
        <w:t>[52]</w:t>
      </w:r>
      <w:r w:rsidRPr="000F4102">
        <w:rPr>
          <w:rFonts w:cs="Arial"/>
          <w:bCs/>
          <w:sz w:val="21"/>
          <w:szCs w:val="21"/>
        </w:rPr>
        <w:tab/>
      </w:r>
      <w:r w:rsidR="00462F14" w:rsidRPr="000F4102">
        <w:rPr>
          <w:rFonts w:cs="Arial"/>
          <w:bCs/>
          <w:sz w:val="22"/>
          <w:szCs w:val="22"/>
        </w:rPr>
        <w:t xml:space="preserve">The applicant did not disclose his financial circumstances at the </w:t>
      </w:r>
      <w:r w:rsidR="008577E9">
        <w:rPr>
          <w:rFonts w:cs="Arial"/>
          <w:bCs/>
          <w:sz w:val="22"/>
          <w:szCs w:val="22"/>
        </w:rPr>
        <w:t xml:space="preserve">time of service of the summons </w:t>
      </w:r>
      <w:r w:rsidR="000F4102">
        <w:rPr>
          <w:rFonts w:cs="Arial"/>
          <w:bCs/>
          <w:sz w:val="22"/>
          <w:szCs w:val="22"/>
        </w:rPr>
        <w:t>or at the stage</w:t>
      </w:r>
      <w:r w:rsidR="00462F14" w:rsidRPr="000F4102">
        <w:rPr>
          <w:rFonts w:cs="Arial"/>
          <w:bCs/>
          <w:sz w:val="22"/>
          <w:szCs w:val="22"/>
        </w:rPr>
        <w:t xml:space="preserve"> that the resc</w:t>
      </w:r>
      <w:r w:rsidR="000F4102">
        <w:rPr>
          <w:rFonts w:cs="Arial"/>
          <w:bCs/>
          <w:sz w:val="22"/>
          <w:szCs w:val="22"/>
        </w:rPr>
        <w:t>ission application was launched,</w:t>
      </w:r>
      <w:r w:rsidR="00462F14" w:rsidRPr="000F4102">
        <w:rPr>
          <w:rFonts w:cs="Arial"/>
          <w:bCs/>
          <w:sz w:val="22"/>
          <w:szCs w:val="22"/>
        </w:rPr>
        <w:t xml:space="preserve"> </w:t>
      </w:r>
      <w:r w:rsidR="000F4102" w:rsidRPr="000F4102">
        <w:rPr>
          <w:rFonts w:cs="Arial"/>
          <w:bCs/>
          <w:sz w:val="22"/>
          <w:szCs w:val="22"/>
        </w:rPr>
        <w:t>to this Court</w:t>
      </w:r>
      <w:r w:rsidR="000F4102">
        <w:rPr>
          <w:rFonts w:cs="Arial"/>
          <w:bCs/>
          <w:sz w:val="22"/>
          <w:szCs w:val="22"/>
        </w:rPr>
        <w:t>.</w:t>
      </w:r>
      <w:r w:rsidR="000F4102" w:rsidRPr="000F4102">
        <w:rPr>
          <w:rFonts w:cs="Arial"/>
          <w:bCs/>
          <w:sz w:val="22"/>
          <w:szCs w:val="22"/>
        </w:rPr>
        <w:t xml:space="preserve"> </w:t>
      </w:r>
      <w:r w:rsidR="000F4102">
        <w:rPr>
          <w:rFonts w:cs="Arial"/>
          <w:bCs/>
          <w:sz w:val="22"/>
          <w:szCs w:val="22"/>
        </w:rPr>
        <w:t xml:space="preserve">Nor </w:t>
      </w:r>
      <w:r w:rsidR="00462F14" w:rsidRPr="000F4102">
        <w:rPr>
          <w:rFonts w:cs="Arial"/>
          <w:bCs/>
          <w:sz w:val="22"/>
          <w:szCs w:val="22"/>
        </w:rPr>
        <w:t>did the applicant state what would have transpired if the summons had come to his knowledge</w:t>
      </w:r>
      <w:r w:rsidR="00664B8A" w:rsidRPr="000F4102">
        <w:rPr>
          <w:rFonts w:cs="Arial"/>
          <w:bCs/>
          <w:sz w:val="22"/>
          <w:szCs w:val="22"/>
        </w:rPr>
        <w:t xml:space="preserve">, </w:t>
      </w:r>
      <w:r w:rsidR="000F4102">
        <w:rPr>
          <w:rFonts w:cs="Arial"/>
          <w:bCs/>
          <w:sz w:val="22"/>
          <w:szCs w:val="22"/>
        </w:rPr>
        <w:t xml:space="preserve">which was </w:t>
      </w:r>
      <w:r w:rsidR="00FD5DF7">
        <w:rPr>
          <w:rFonts w:cs="Arial"/>
          <w:bCs/>
          <w:sz w:val="22"/>
          <w:szCs w:val="22"/>
        </w:rPr>
        <w:t xml:space="preserve">of </w:t>
      </w:r>
      <w:proofErr w:type="gramStart"/>
      <w:r w:rsidR="00FD5DF7">
        <w:rPr>
          <w:rFonts w:cs="Arial"/>
          <w:bCs/>
          <w:sz w:val="22"/>
          <w:szCs w:val="22"/>
        </w:rPr>
        <w:t>particular relevance</w:t>
      </w:r>
      <w:proofErr w:type="gramEnd"/>
      <w:r w:rsidR="00664B8A" w:rsidRPr="000F4102">
        <w:rPr>
          <w:rFonts w:cs="Arial"/>
          <w:bCs/>
          <w:sz w:val="22"/>
          <w:szCs w:val="22"/>
        </w:rPr>
        <w:t xml:space="preserve"> in the light of the applicant signing the </w:t>
      </w:r>
      <w:r w:rsidR="000F4102">
        <w:rPr>
          <w:rFonts w:cs="Arial"/>
          <w:bCs/>
          <w:sz w:val="22"/>
          <w:szCs w:val="22"/>
        </w:rPr>
        <w:t xml:space="preserve">VTN.  </w:t>
      </w:r>
    </w:p>
    <w:p w14:paraId="446D9042" w14:textId="1A335129" w:rsidR="00A1094C" w:rsidRDefault="001929B9" w:rsidP="001929B9">
      <w:pPr>
        <w:tabs>
          <w:tab w:val="left" w:pos="680"/>
        </w:tabs>
        <w:spacing w:after="480" w:line="480" w:lineRule="auto"/>
        <w:jc w:val="both"/>
        <w:rPr>
          <w:rFonts w:cs="Arial"/>
          <w:bCs/>
          <w:sz w:val="22"/>
          <w:szCs w:val="22"/>
        </w:rPr>
      </w:pPr>
      <w:r>
        <w:rPr>
          <w:rFonts w:cs="Arial"/>
          <w:bCs/>
          <w:sz w:val="21"/>
          <w:szCs w:val="21"/>
        </w:rPr>
        <w:t>[53]</w:t>
      </w:r>
      <w:r>
        <w:rPr>
          <w:rFonts w:cs="Arial"/>
          <w:bCs/>
          <w:sz w:val="21"/>
          <w:szCs w:val="21"/>
        </w:rPr>
        <w:tab/>
      </w:r>
      <w:r w:rsidR="00664B8A" w:rsidRPr="000F4102">
        <w:rPr>
          <w:rFonts w:cs="Arial"/>
          <w:bCs/>
          <w:sz w:val="22"/>
          <w:szCs w:val="22"/>
        </w:rPr>
        <w:t>In the circumstances,</w:t>
      </w:r>
      <w:r w:rsidR="000F4102">
        <w:rPr>
          <w:rFonts w:cs="Arial"/>
          <w:bCs/>
          <w:sz w:val="22"/>
          <w:szCs w:val="22"/>
        </w:rPr>
        <w:t xml:space="preserve"> </w:t>
      </w:r>
      <w:r w:rsidR="00664B8A" w:rsidRPr="000F4102">
        <w:rPr>
          <w:rFonts w:cs="Arial"/>
          <w:bCs/>
          <w:sz w:val="22"/>
          <w:szCs w:val="22"/>
        </w:rPr>
        <w:t xml:space="preserve">the applicant failed to </w:t>
      </w:r>
      <w:r w:rsidR="000F4102">
        <w:rPr>
          <w:rFonts w:cs="Arial"/>
          <w:bCs/>
          <w:sz w:val="22"/>
          <w:szCs w:val="22"/>
        </w:rPr>
        <w:t>set out a triable defence and failed to meet the requirements for rescission of the jud</w:t>
      </w:r>
      <w:r w:rsidR="00A1094C">
        <w:rPr>
          <w:rFonts w:cs="Arial"/>
          <w:bCs/>
          <w:sz w:val="22"/>
          <w:szCs w:val="22"/>
        </w:rPr>
        <w:t>gment. Accordingly, t</w:t>
      </w:r>
      <w:r w:rsidR="000F4102">
        <w:rPr>
          <w:rFonts w:cs="Arial"/>
          <w:bCs/>
          <w:sz w:val="22"/>
          <w:szCs w:val="22"/>
        </w:rPr>
        <w:t xml:space="preserve">he application for </w:t>
      </w:r>
      <w:r w:rsidR="00A1094C">
        <w:rPr>
          <w:rFonts w:cs="Arial"/>
          <w:bCs/>
          <w:sz w:val="22"/>
          <w:szCs w:val="22"/>
        </w:rPr>
        <w:t>rescission</w:t>
      </w:r>
      <w:r w:rsidR="000F4102">
        <w:rPr>
          <w:rFonts w:cs="Arial"/>
          <w:bCs/>
          <w:sz w:val="22"/>
          <w:szCs w:val="22"/>
        </w:rPr>
        <w:t xml:space="preserve"> </w:t>
      </w:r>
      <w:r w:rsidR="00A1094C">
        <w:rPr>
          <w:rFonts w:cs="Arial"/>
          <w:bCs/>
          <w:sz w:val="22"/>
          <w:szCs w:val="22"/>
        </w:rPr>
        <w:t xml:space="preserve">stands to be dismissed and </w:t>
      </w:r>
      <w:r w:rsidR="000F4102">
        <w:rPr>
          <w:rFonts w:cs="Arial"/>
          <w:bCs/>
          <w:sz w:val="22"/>
          <w:szCs w:val="22"/>
        </w:rPr>
        <w:t>a suitable order will follow hereunder.</w:t>
      </w:r>
    </w:p>
    <w:p w14:paraId="3A4413E3" w14:textId="04610CC3" w:rsidR="006C4C7A" w:rsidRDefault="001929B9" w:rsidP="001929B9">
      <w:pPr>
        <w:tabs>
          <w:tab w:val="left" w:pos="680"/>
        </w:tabs>
        <w:spacing w:after="480" w:line="480" w:lineRule="auto"/>
        <w:jc w:val="both"/>
        <w:rPr>
          <w:rFonts w:cs="Arial"/>
          <w:bCs/>
          <w:sz w:val="22"/>
          <w:szCs w:val="22"/>
        </w:rPr>
      </w:pPr>
      <w:r>
        <w:rPr>
          <w:rFonts w:cs="Arial"/>
          <w:bCs/>
          <w:sz w:val="21"/>
          <w:szCs w:val="21"/>
        </w:rPr>
        <w:t>[54]</w:t>
      </w:r>
      <w:r>
        <w:rPr>
          <w:rFonts w:cs="Arial"/>
          <w:bCs/>
          <w:sz w:val="21"/>
          <w:szCs w:val="21"/>
        </w:rPr>
        <w:tab/>
      </w:r>
      <w:r w:rsidR="00A1094C">
        <w:rPr>
          <w:rFonts w:cs="Arial"/>
          <w:bCs/>
          <w:sz w:val="22"/>
          <w:szCs w:val="22"/>
        </w:rPr>
        <w:t>As regards the a</w:t>
      </w:r>
      <w:r w:rsidR="000F4102" w:rsidRPr="00A1094C">
        <w:rPr>
          <w:rFonts w:cs="Arial"/>
          <w:bCs/>
          <w:sz w:val="22"/>
          <w:szCs w:val="22"/>
        </w:rPr>
        <w:t>pplicant’s c</w:t>
      </w:r>
      <w:r w:rsidR="005C07A3" w:rsidRPr="00A1094C">
        <w:rPr>
          <w:rFonts w:cs="Arial"/>
          <w:bCs/>
          <w:sz w:val="22"/>
          <w:szCs w:val="22"/>
        </w:rPr>
        <w:t xml:space="preserve">laim </w:t>
      </w:r>
      <w:r w:rsidR="006C4C7A">
        <w:rPr>
          <w:rFonts w:cs="Arial"/>
          <w:bCs/>
          <w:sz w:val="22"/>
          <w:szCs w:val="22"/>
        </w:rPr>
        <w:t xml:space="preserve">for punitive costs </w:t>
      </w:r>
      <w:r w:rsidR="00A1094C">
        <w:rPr>
          <w:rFonts w:cs="Arial"/>
          <w:bCs/>
          <w:sz w:val="22"/>
          <w:szCs w:val="22"/>
        </w:rPr>
        <w:t>against the second respondent,</w:t>
      </w:r>
      <w:r w:rsidR="006C4C7A">
        <w:rPr>
          <w:rFonts w:cs="Arial"/>
          <w:bCs/>
          <w:sz w:val="22"/>
          <w:szCs w:val="22"/>
        </w:rPr>
        <w:t xml:space="preserve"> t</w:t>
      </w:r>
      <w:r w:rsidR="005C07A3" w:rsidRPr="006C4C7A">
        <w:rPr>
          <w:rFonts w:cs="Arial"/>
          <w:bCs/>
          <w:sz w:val="22"/>
          <w:szCs w:val="22"/>
        </w:rPr>
        <w:t xml:space="preserve">he </w:t>
      </w:r>
      <w:r w:rsidR="006C4C7A">
        <w:rPr>
          <w:rFonts w:cs="Arial"/>
          <w:bCs/>
          <w:sz w:val="22"/>
          <w:szCs w:val="22"/>
        </w:rPr>
        <w:t>latter</w:t>
      </w:r>
      <w:r w:rsidR="005C07A3" w:rsidRPr="006C4C7A">
        <w:rPr>
          <w:rFonts w:cs="Arial"/>
          <w:bCs/>
          <w:sz w:val="22"/>
          <w:szCs w:val="22"/>
        </w:rPr>
        <w:t xml:space="preserve"> allege</w:t>
      </w:r>
      <w:r w:rsidR="00A1094C" w:rsidRPr="006C4C7A">
        <w:rPr>
          <w:rFonts w:cs="Arial"/>
          <w:bCs/>
          <w:sz w:val="22"/>
          <w:szCs w:val="22"/>
        </w:rPr>
        <w:t>d</w:t>
      </w:r>
      <w:r w:rsidR="005C07A3" w:rsidRPr="006C4C7A">
        <w:rPr>
          <w:rFonts w:cs="Arial"/>
          <w:bCs/>
          <w:sz w:val="22"/>
          <w:szCs w:val="22"/>
        </w:rPr>
        <w:t xml:space="preserve"> that the reason for the delay in furnishing the </w:t>
      </w:r>
      <w:r w:rsidR="006C4C7A">
        <w:rPr>
          <w:rFonts w:cs="Arial"/>
          <w:bCs/>
          <w:sz w:val="22"/>
          <w:szCs w:val="22"/>
        </w:rPr>
        <w:t xml:space="preserve">requested </w:t>
      </w:r>
      <w:r w:rsidR="005C07A3" w:rsidRPr="006C4C7A">
        <w:rPr>
          <w:rFonts w:cs="Arial"/>
          <w:bCs/>
          <w:sz w:val="22"/>
          <w:szCs w:val="22"/>
        </w:rPr>
        <w:t>documents to the applicant’s attorney was that the second respondent</w:t>
      </w:r>
      <w:r w:rsidR="00A1094C" w:rsidRPr="006C4C7A">
        <w:rPr>
          <w:rFonts w:cs="Arial"/>
          <w:bCs/>
          <w:sz w:val="22"/>
          <w:szCs w:val="22"/>
        </w:rPr>
        <w:t xml:space="preserve">’s representative </w:t>
      </w:r>
      <w:r w:rsidR="005C07A3" w:rsidRPr="006C4C7A">
        <w:rPr>
          <w:rFonts w:cs="Arial"/>
          <w:bCs/>
          <w:sz w:val="22"/>
          <w:szCs w:val="22"/>
        </w:rPr>
        <w:t>dealing with the app</w:t>
      </w:r>
      <w:r w:rsidR="00A1094C" w:rsidRPr="006C4C7A">
        <w:rPr>
          <w:rFonts w:cs="Arial"/>
          <w:bCs/>
          <w:sz w:val="22"/>
          <w:szCs w:val="22"/>
        </w:rPr>
        <w:t>licant’s matter at the time, fell</w:t>
      </w:r>
      <w:r w:rsidR="005C07A3" w:rsidRPr="006C4C7A">
        <w:rPr>
          <w:rFonts w:cs="Arial"/>
          <w:bCs/>
          <w:sz w:val="22"/>
          <w:szCs w:val="22"/>
        </w:rPr>
        <w:t xml:space="preserve"> ill </w:t>
      </w:r>
      <w:r w:rsidR="00A1094C" w:rsidRPr="006C4C7A">
        <w:rPr>
          <w:rFonts w:cs="Arial"/>
          <w:bCs/>
          <w:sz w:val="22"/>
          <w:szCs w:val="22"/>
        </w:rPr>
        <w:t>with c</w:t>
      </w:r>
      <w:r w:rsidR="005C07A3" w:rsidRPr="006C4C7A">
        <w:rPr>
          <w:rFonts w:cs="Arial"/>
          <w:bCs/>
          <w:sz w:val="22"/>
          <w:szCs w:val="22"/>
        </w:rPr>
        <w:t xml:space="preserve">ovid. </w:t>
      </w:r>
      <w:r w:rsidR="00A1094C" w:rsidRPr="006C4C7A">
        <w:rPr>
          <w:rFonts w:cs="Arial"/>
          <w:bCs/>
          <w:sz w:val="22"/>
          <w:szCs w:val="22"/>
        </w:rPr>
        <w:t xml:space="preserve">The second respondent ought to have ensured that the representative’s workload was covered by an alternate employee. </w:t>
      </w:r>
    </w:p>
    <w:p w14:paraId="60BBB21F" w14:textId="7A1B4CDF" w:rsidR="005C07A3" w:rsidRPr="006C4C7A" w:rsidRDefault="001929B9" w:rsidP="001929B9">
      <w:pPr>
        <w:tabs>
          <w:tab w:val="left" w:pos="680"/>
        </w:tabs>
        <w:spacing w:after="480" w:line="480" w:lineRule="auto"/>
        <w:jc w:val="both"/>
        <w:rPr>
          <w:rFonts w:cs="Arial"/>
          <w:bCs/>
          <w:sz w:val="22"/>
          <w:szCs w:val="22"/>
        </w:rPr>
      </w:pPr>
      <w:r w:rsidRPr="006C4C7A">
        <w:rPr>
          <w:rFonts w:cs="Arial"/>
          <w:bCs/>
          <w:sz w:val="21"/>
          <w:szCs w:val="21"/>
        </w:rPr>
        <w:lastRenderedPageBreak/>
        <w:t>[55]</w:t>
      </w:r>
      <w:r w:rsidRPr="006C4C7A">
        <w:rPr>
          <w:rFonts w:cs="Arial"/>
          <w:bCs/>
          <w:sz w:val="21"/>
          <w:szCs w:val="21"/>
        </w:rPr>
        <w:tab/>
      </w:r>
      <w:r w:rsidR="006C4C7A">
        <w:rPr>
          <w:rFonts w:cs="Arial"/>
          <w:bCs/>
          <w:sz w:val="22"/>
          <w:szCs w:val="22"/>
        </w:rPr>
        <w:t>However, i</w:t>
      </w:r>
      <w:r w:rsidR="005C07A3" w:rsidRPr="006C4C7A">
        <w:rPr>
          <w:rFonts w:cs="Arial"/>
          <w:bCs/>
          <w:sz w:val="22"/>
          <w:szCs w:val="22"/>
        </w:rPr>
        <w:t>n the light of the applicant’s complaint</w:t>
      </w:r>
      <w:r w:rsidR="006C4C7A">
        <w:rPr>
          <w:rFonts w:cs="Arial"/>
          <w:bCs/>
          <w:sz w:val="22"/>
          <w:szCs w:val="22"/>
        </w:rPr>
        <w:t>s</w:t>
      </w:r>
      <w:r w:rsidR="005C07A3" w:rsidRPr="006C4C7A">
        <w:rPr>
          <w:rFonts w:cs="Arial"/>
          <w:bCs/>
          <w:sz w:val="22"/>
          <w:szCs w:val="22"/>
        </w:rPr>
        <w:t xml:space="preserve"> in respect of the attachment not being material to the rescission</w:t>
      </w:r>
      <w:r w:rsidR="006C4C7A">
        <w:rPr>
          <w:rFonts w:cs="Arial"/>
          <w:bCs/>
          <w:sz w:val="22"/>
          <w:szCs w:val="22"/>
        </w:rPr>
        <w:t xml:space="preserve"> itself</w:t>
      </w:r>
      <w:r w:rsidR="00A1094C" w:rsidRPr="006C4C7A">
        <w:rPr>
          <w:rFonts w:cs="Arial"/>
          <w:bCs/>
          <w:sz w:val="22"/>
          <w:szCs w:val="22"/>
        </w:rPr>
        <w:t>,</w:t>
      </w:r>
      <w:r w:rsidR="005C07A3" w:rsidRPr="006C4C7A">
        <w:rPr>
          <w:rFonts w:cs="Arial"/>
          <w:bCs/>
          <w:sz w:val="22"/>
          <w:szCs w:val="22"/>
        </w:rPr>
        <w:t xml:space="preserve"> there is no</w:t>
      </w:r>
      <w:r w:rsidR="00A1094C" w:rsidRPr="006C4C7A">
        <w:rPr>
          <w:rFonts w:cs="Arial"/>
          <w:bCs/>
          <w:sz w:val="22"/>
          <w:szCs w:val="22"/>
        </w:rPr>
        <w:t xml:space="preserve"> basis upon which I should </w:t>
      </w:r>
      <w:r w:rsidR="005C07A3" w:rsidRPr="006C4C7A">
        <w:rPr>
          <w:rFonts w:cs="Arial"/>
          <w:bCs/>
          <w:sz w:val="22"/>
          <w:szCs w:val="22"/>
        </w:rPr>
        <w:t>award punitive costs against the second respondent.</w:t>
      </w:r>
    </w:p>
    <w:p w14:paraId="1BAD341E" w14:textId="77DD2682" w:rsidR="00664B8A" w:rsidRPr="00C271B8" w:rsidRDefault="001929B9" w:rsidP="001929B9">
      <w:pPr>
        <w:tabs>
          <w:tab w:val="left" w:pos="680"/>
        </w:tabs>
        <w:spacing w:after="480" w:line="480" w:lineRule="auto"/>
        <w:jc w:val="both"/>
        <w:rPr>
          <w:rFonts w:cs="Arial"/>
          <w:bCs/>
          <w:sz w:val="22"/>
          <w:szCs w:val="22"/>
        </w:rPr>
      </w:pPr>
      <w:r w:rsidRPr="00C271B8">
        <w:rPr>
          <w:rFonts w:cs="Arial"/>
          <w:bCs/>
          <w:sz w:val="21"/>
          <w:szCs w:val="21"/>
        </w:rPr>
        <w:t>[56]</w:t>
      </w:r>
      <w:r w:rsidRPr="00C271B8">
        <w:rPr>
          <w:rFonts w:cs="Arial"/>
          <w:bCs/>
          <w:sz w:val="21"/>
          <w:szCs w:val="21"/>
        </w:rPr>
        <w:tab/>
      </w:r>
      <w:r w:rsidR="005C07A3">
        <w:rPr>
          <w:rFonts w:cs="Arial"/>
          <w:bCs/>
          <w:sz w:val="22"/>
          <w:szCs w:val="22"/>
        </w:rPr>
        <w:t>There is no reason wh</w:t>
      </w:r>
      <w:r w:rsidR="00FD5DF7">
        <w:rPr>
          <w:rFonts w:cs="Arial"/>
          <w:bCs/>
          <w:sz w:val="22"/>
          <w:szCs w:val="22"/>
        </w:rPr>
        <w:t>y the costs of this application</w:t>
      </w:r>
      <w:r w:rsidR="005C07A3">
        <w:rPr>
          <w:rFonts w:cs="Arial"/>
          <w:bCs/>
          <w:sz w:val="22"/>
          <w:szCs w:val="22"/>
        </w:rPr>
        <w:t xml:space="preserve"> should not follow the order on the merits. </w:t>
      </w:r>
    </w:p>
    <w:p w14:paraId="5EB5291B" w14:textId="73F0CC5E" w:rsidR="00A81108" w:rsidRDefault="001929B9" w:rsidP="001929B9">
      <w:pPr>
        <w:tabs>
          <w:tab w:val="left" w:pos="567"/>
        </w:tabs>
        <w:spacing w:after="480" w:line="480" w:lineRule="auto"/>
        <w:jc w:val="both"/>
        <w:rPr>
          <w:rFonts w:cs="Arial"/>
          <w:bCs/>
          <w:sz w:val="22"/>
          <w:szCs w:val="22"/>
        </w:rPr>
      </w:pPr>
      <w:r>
        <w:rPr>
          <w:rFonts w:cs="Arial"/>
          <w:bCs/>
          <w:sz w:val="21"/>
          <w:szCs w:val="21"/>
        </w:rPr>
        <w:t>[57]</w:t>
      </w:r>
      <w:r>
        <w:rPr>
          <w:rFonts w:cs="Arial"/>
          <w:bCs/>
          <w:sz w:val="21"/>
          <w:szCs w:val="21"/>
        </w:rPr>
        <w:tab/>
      </w:r>
      <w:r w:rsidR="005C07A3">
        <w:rPr>
          <w:rFonts w:cs="Arial"/>
          <w:bCs/>
          <w:sz w:val="22"/>
          <w:szCs w:val="22"/>
        </w:rPr>
        <w:t>In the circumstances, the application is dismissed with costs.</w:t>
      </w:r>
    </w:p>
    <w:p w14:paraId="66F6D237" w14:textId="77777777" w:rsidR="00FD5DF7" w:rsidRPr="00FD5DF7" w:rsidRDefault="00FD5DF7" w:rsidP="00FD5DF7">
      <w:pPr>
        <w:spacing w:after="480" w:line="480" w:lineRule="auto"/>
        <w:jc w:val="both"/>
        <w:rPr>
          <w:rFonts w:cs="Arial"/>
          <w:bCs/>
          <w:sz w:val="22"/>
          <w:szCs w:val="22"/>
        </w:rPr>
      </w:pPr>
    </w:p>
    <w:p w14:paraId="25EB66EB" w14:textId="77777777" w:rsidR="00A81108" w:rsidRPr="00A81108" w:rsidRDefault="00A81108" w:rsidP="00A81108">
      <w:pPr>
        <w:keepNext/>
        <w:tabs>
          <w:tab w:val="right" w:pos="0"/>
        </w:tabs>
        <w:spacing w:line="360" w:lineRule="auto"/>
        <w:contextualSpacing/>
        <w:jc w:val="right"/>
        <w:rPr>
          <w:rFonts w:cs="Arial"/>
        </w:rPr>
      </w:pPr>
      <w:r w:rsidRPr="00A81108">
        <w:rPr>
          <w:rFonts w:cs="Arial"/>
        </w:rPr>
        <w:t>_____________________________________</w:t>
      </w:r>
    </w:p>
    <w:p w14:paraId="52D7FE2A" w14:textId="77777777" w:rsidR="00A81108" w:rsidRPr="00A81108" w:rsidRDefault="00A81108" w:rsidP="00A81108">
      <w:pPr>
        <w:tabs>
          <w:tab w:val="right" w:pos="0"/>
        </w:tabs>
        <w:spacing w:line="360" w:lineRule="auto"/>
        <w:contextualSpacing/>
        <w:jc w:val="right"/>
        <w:rPr>
          <w:rFonts w:cs="Arial"/>
          <w:b/>
        </w:rPr>
      </w:pPr>
      <w:r w:rsidRPr="00A81108">
        <w:rPr>
          <w:rFonts w:cs="Arial"/>
          <w:b/>
        </w:rPr>
        <w:t xml:space="preserve">A </w:t>
      </w:r>
      <w:proofErr w:type="spellStart"/>
      <w:r w:rsidRPr="00A81108">
        <w:rPr>
          <w:rFonts w:cs="Arial"/>
          <w:b/>
        </w:rPr>
        <w:t>A</w:t>
      </w:r>
      <w:proofErr w:type="spellEnd"/>
      <w:r w:rsidRPr="00A81108">
        <w:rPr>
          <w:rFonts w:cs="Arial"/>
          <w:b/>
        </w:rPr>
        <w:t xml:space="preserve"> CRUTCHFIELD</w:t>
      </w:r>
    </w:p>
    <w:p w14:paraId="433E8552" w14:textId="77777777" w:rsidR="00A81108" w:rsidRPr="00A81108" w:rsidRDefault="00A81108" w:rsidP="00A81108">
      <w:pPr>
        <w:tabs>
          <w:tab w:val="right" w:pos="0"/>
        </w:tabs>
        <w:spacing w:line="360" w:lineRule="auto"/>
        <w:contextualSpacing/>
        <w:jc w:val="right"/>
        <w:rPr>
          <w:rFonts w:cs="Arial"/>
          <w:b/>
        </w:rPr>
      </w:pPr>
      <w:r w:rsidRPr="00A81108">
        <w:rPr>
          <w:rFonts w:cs="Arial"/>
          <w:b/>
        </w:rPr>
        <w:t>JUDGE OF THE HIGH COURT OF SOUTH AFRICA</w:t>
      </w:r>
    </w:p>
    <w:p w14:paraId="508D827D"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GAUTENG LOCAL DIVISION</w:t>
      </w:r>
    </w:p>
    <w:p w14:paraId="5FD3DE3C" w14:textId="77777777" w:rsidR="00A81108" w:rsidRPr="00FD5DF7" w:rsidRDefault="00FD5DF7" w:rsidP="00FD5DF7">
      <w:pPr>
        <w:tabs>
          <w:tab w:val="right" w:pos="0"/>
          <w:tab w:val="left" w:pos="4253"/>
        </w:tabs>
        <w:spacing w:line="360" w:lineRule="auto"/>
        <w:contextualSpacing/>
        <w:jc w:val="right"/>
        <w:rPr>
          <w:rFonts w:cs="Arial"/>
          <w:b/>
        </w:rPr>
      </w:pPr>
      <w:r>
        <w:rPr>
          <w:rFonts w:cs="Arial"/>
          <w:b/>
        </w:rPr>
        <w:t>JOHANNESBURG</w:t>
      </w:r>
    </w:p>
    <w:p w14:paraId="5E01820E" w14:textId="77777777" w:rsidR="00A81108" w:rsidRPr="00A81108" w:rsidRDefault="00A81108" w:rsidP="00A81108">
      <w:pPr>
        <w:spacing w:after="200" w:line="360" w:lineRule="auto"/>
        <w:contextualSpacing/>
        <w:jc w:val="both"/>
        <w:rPr>
          <w:rFonts w:eastAsia="Arial Unicode MS" w:cs="Arial"/>
          <w:bCs/>
          <w:sz w:val="22"/>
        </w:rPr>
      </w:pPr>
    </w:p>
    <w:p w14:paraId="7AE74041" w14:textId="77777777" w:rsidR="00A81108" w:rsidRPr="00A81108" w:rsidRDefault="00A81108" w:rsidP="00A81108">
      <w:pPr>
        <w:spacing w:after="200" w:line="360" w:lineRule="auto"/>
        <w:contextualSpacing/>
        <w:jc w:val="both"/>
        <w:rPr>
          <w:rFonts w:eastAsia="Arial Unicode MS" w:cs="Arial"/>
          <w:bCs/>
          <w:sz w:val="22"/>
        </w:rPr>
      </w:pPr>
    </w:p>
    <w:p w14:paraId="1498F068" w14:textId="77777777" w:rsidR="00A81108" w:rsidRPr="00A81108" w:rsidRDefault="00A81108" w:rsidP="00A81108">
      <w:pPr>
        <w:spacing w:after="200" w:line="360" w:lineRule="auto"/>
        <w:contextualSpacing/>
        <w:jc w:val="both"/>
        <w:rPr>
          <w:rFonts w:eastAsia="Arial Unicode MS" w:cs="Arial"/>
          <w:bCs/>
          <w:sz w:val="22"/>
        </w:rPr>
      </w:pPr>
      <w:r w:rsidRPr="00A81108">
        <w:rPr>
          <w:rFonts w:eastAsia="Arial Unicode MS" w:cs="Arial"/>
          <w:bCs/>
          <w:sz w:val="22"/>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A81108">
        <w:rPr>
          <w:rFonts w:eastAsia="Arial Unicode MS" w:cs="Arial"/>
          <w:bCs/>
          <w:sz w:val="22"/>
        </w:rPr>
        <w:t>CaseLines</w:t>
      </w:r>
      <w:proofErr w:type="spellEnd"/>
      <w:r w:rsidRPr="00A81108">
        <w:rPr>
          <w:rFonts w:eastAsia="Arial Unicode MS" w:cs="Arial"/>
          <w:bCs/>
          <w:sz w:val="22"/>
        </w:rPr>
        <w:t xml:space="preserve">. The date of the judgment is deemed to be </w:t>
      </w:r>
      <w:r w:rsidR="00FD5DF7" w:rsidRPr="00FD5DF7">
        <w:rPr>
          <w:rFonts w:eastAsia="Arial Unicode MS" w:cs="Arial"/>
          <w:bCs/>
          <w:sz w:val="22"/>
        </w:rPr>
        <w:t xml:space="preserve">21 December </w:t>
      </w:r>
      <w:r w:rsidRPr="00FD5DF7">
        <w:rPr>
          <w:rFonts w:eastAsia="Arial Unicode MS" w:cs="Arial"/>
          <w:bCs/>
          <w:sz w:val="22"/>
        </w:rPr>
        <w:t>202</w:t>
      </w:r>
      <w:r w:rsidR="004A63F0" w:rsidRPr="00FD5DF7">
        <w:rPr>
          <w:rFonts w:eastAsia="Arial Unicode MS" w:cs="Arial"/>
          <w:bCs/>
          <w:sz w:val="22"/>
        </w:rPr>
        <w:t>2</w:t>
      </w:r>
      <w:r w:rsidRPr="00FD5DF7">
        <w:rPr>
          <w:rFonts w:eastAsia="Arial Unicode MS" w:cs="Arial"/>
          <w:bCs/>
          <w:sz w:val="22"/>
        </w:rPr>
        <w:t>.</w:t>
      </w:r>
    </w:p>
    <w:p w14:paraId="4A4B83BF" w14:textId="77777777" w:rsidR="00A81108" w:rsidRPr="00A81108" w:rsidRDefault="00A81108" w:rsidP="00A81108">
      <w:pPr>
        <w:tabs>
          <w:tab w:val="right" w:pos="0"/>
          <w:tab w:val="left" w:pos="4253"/>
        </w:tabs>
        <w:spacing w:line="360" w:lineRule="auto"/>
        <w:contextualSpacing/>
        <w:jc w:val="center"/>
        <w:rPr>
          <w:rFonts w:cs="Arial"/>
          <w:b/>
        </w:rPr>
      </w:pPr>
    </w:p>
    <w:p w14:paraId="4E0A188B" w14:textId="77777777" w:rsidR="00A81108" w:rsidRPr="00A81108" w:rsidRDefault="00A81108" w:rsidP="00A81108">
      <w:pPr>
        <w:tabs>
          <w:tab w:val="right" w:pos="0"/>
          <w:tab w:val="left" w:pos="4253"/>
        </w:tabs>
        <w:spacing w:line="360" w:lineRule="auto"/>
        <w:contextualSpacing/>
        <w:jc w:val="center"/>
        <w:rPr>
          <w:rFonts w:cs="Arial"/>
          <w:b/>
        </w:rPr>
      </w:pPr>
    </w:p>
    <w:p w14:paraId="745C6462" w14:textId="77777777" w:rsidR="00A81108" w:rsidRPr="00A81108" w:rsidRDefault="00A81108" w:rsidP="00A81108">
      <w:pPr>
        <w:tabs>
          <w:tab w:val="right" w:pos="0"/>
          <w:tab w:val="left" w:pos="4253"/>
        </w:tabs>
        <w:spacing w:line="360" w:lineRule="auto"/>
        <w:contextualSpacing/>
        <w:jc w:val="both"/>
        <w:rPr>
          <w:rFonts w:cs="Arial"/>
        </w:rPr>
      </w:pPr>
    </w:p>
    <w:p w14:paraId="17840647" w14:textId="77777777" w:rsidR="00A81108" w:rsidRPr="00A81108" w:rsidRDefault="00A81108" w:rsidP="00D26700">
      <w:pPr>
        <w:tabs>
          <w:tab w:val="right" w:pos="8647"/>
        </w:tabs>
        <w:spacing w:line="360" w:lineRule="auto"/>
        <w:contextualSpacing/>
        <w:jc w:val="both"/>
        <w:rPr>
          <w:rFonts w:cs="Arial"/>
        </w:rPr>
      </w:pPr>
      <w:r w:rsidRPr="00A81108">
        <w:rPr>
          <w:rFonts w:cs="Arial"/>
        </w:rPr>
        <w:t>COUNSEL FOR THE APPLICANT:</w:t>
      </w:r>
      <w:r w:rsidR="00FD5DF7">
        <w:rPr>
          <w:rFonts w:cs="Arial"/>
        </w:rPr>
        <w:t xml:space="preserve">                                                </w:t>
      </w:r>
      <w:r w:rsidRPr="00A81108">
        <w:rPr>
          <w:rFonts w:cs="Arial"/>
        </w:rPr>
        <w:t xml:space="preserve"> </w:t>
      </w:r>
      <w:r w:rsidR="00FD5DF7">
        <w:rPr>
          <w:rFonts w:cs="Arial"/>
        </w:rPr>
        <w:t>Mr U Van Niekerk.</w:t>
      </w:r>
      <w:r w:rsidR="00D26700">
        <w:rPr>
          <w:rFonts w:cs="Arial"/>
        </w:rPr>
        <w:tab/>
      </w:r>
    </w:p>
    <w:p w14:paraId="3EF1A33E" w14:textId="77777777" w:rsidR="00A81108" w:rsidRPr="00A81108" w:rsidRDefault="00A81108" w:rsidP="00D26700">
      <w:pPr>
        <w:tabs>
          <w:tab w:val="right" w:pos="8647"/>
        </w:tabs>
        <w:spacing w:line="360" w:lineRule="auto"/>
        <w:ind w:left="3119" w:hanging="3119"/>
        <w:contextualSpacing/>
        <w:rPr>
          <w:rFonts w:cs="Arial"/>
        </w:rPr>
      </w:pPr>
      <w:r w:rsidRPr="00A81108">
        <w:rPr>
          <w:rFonts w:cs="Arial"/>
        </w:rPr>
        <w:t xml:space="preserve">INSTRUCTED BY: </w:t>
      </w:r>
      <w:r w:rsidR="00D26700">
        <w:rPr>
          <w:rFonts w:cs="Arial"/>
        </w:rPr>
        <w:t xml:space="preserve">                                                                         J I Van Niekerk </w:t>
      </w:r>
      <w:proofErr w:type="gramStart"/>
      <w:r w:rsidR="00D26700">
        <w:rPr>
          <w:rFonts w:cs="Arial"/>
        </w:rPr>
        <w:t>Inc. .</w:t>
      </w:r>
      <w:proofErr w:type="gramEnd"/>
      <w:r w:rsidR="00D26700">
        <w:rPr>
          <w:rFonts w:cs="Arial"/>
        </w:rPr>
        <w:tab/>
      </w:r>
    </w:p>
    <w:p w14:paraId="57104602"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COUNSEL FOR THE RESPONDENT</w:t>
      </w:r>
      <w:r w:rsidR="00FD5DF7">
        <w:rPr>
          <w:rFonts w:cs="Arial"/>
        </w:rPr>
        <w:t>S</w:t>
      </w:r>
      <w:r w:rsidRPr="00A81108">
        <w:rPr>
          <w:rFonts w:cs="Arial"/>
        </w:rPr>
        <w:t>:</w:t>
      </w:r>
      <w:r w:rsidR="00FD5DF7">
        <w:rPr>
          <w:rFonts w:cs="Arial"/>
        </w:rPr>
        <w:t xml:space="preserve">                                           Ms R Stevenson.</w:t>
      </w:r>
      <w:r w:rsidRPr="00A81108">
        <w:rPr>
          <w:rFonts w:cs="Arial"/>
        </w:rPr>
        <w:t xml:space="preserve"> </w:t>
      </w:r>
      <w:r w:rsidRPr="00A81108">
        <w:rPr>
          <w:rFonts w:cs="Arial"/>
        </w:rPr>
        <w:tab/>
      </w:r>
    </w:p>
    <w:p w14:paraId="265A9551" w14:textId="77777777" w:rsidR="00A81108" w:rsidRPr="00A81108" w:rsidRDefault="00A81108" w:rsidP="00A81108">
      <w:pPr>
        <w:tabs>
          <w:tab w:val="right" w:pos="0"/>
          <w:tab w:val="right" w:pos="8647"/>
        </w:tabs>
        <w:spacing w:line="360" w:lineRule="auto"/>
        <w:contextualSpacing/>
        <w:jc w:val="both"/>
        <w:rPr>
          <w:rFonts w:cs="Arial"/>
        </w:rPr>
      </w:pPr>
    </w:p>
    <w:p w14:paraId="7C1F0F0D" w14:textId="77777777" w:rsidR="004A63F0" w:rsidRPr="00A81108" w:rsidRDefault="00A81108" w:rsidP="00D26700">
      <w:pPr>
        <w:tabs>
          <w:tab w:val="right" w:pos="8647"/>
        </w:tabs>
        <w:spacing w:line="360" w:lineRule="auto"/>
        <w:contextualSpacing/>
        <w:jc w:val="both"/>
        <w:rPr>
          <w:rFonts w:cs="Arial"/>
        </w:rPr>
      </w:pPr>
      <w:r w:rsidRPr="00A81108">
        <w:rPr>
          <w:rFonts w:cs="Arial"/>
        </w:rPr>
        <w:lastRenderedPageBreak/>
        <w:t xml:space="preserve">INSTRUCTED BY: </w:t>
      </w:r>
      <w:r w:rsidR="003A722B">
        <w:rPr>
          <w:rFonts w:cs="Arial"/>
        </w:rPr>
        <w:t xml:space="preserve">                                                         Lynn &amp; Main Incorporated.</w:t>
      </w:r>
      <w:r w:rsidR="00D26700">
        <w:rPr>
          <w:rFonts w:cs="Arial"/>
        </w:rPr>
        <w:tab/>
      </w:r>
    </w:p>
    <w:p w14:paraId="4E9162A1"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THE HEARING:</w:t>
      </w:r>
      <w:r w:rsidR="003A722B">
        <w:rPr>
          <w:rFonts w:cs="Arial"/>
        </w:rPr>
        <w:t xml:space="preserve">                                                                2 August 2022.</w:t>
      </w:r>
      <w:r w:rsidR="003A722B">
        <w:rPr>
          <w:rFonts w:cs="Arial"/>
        </w:rPr>
        <w:tab/>
      </w:r>
    </w:p>
    <w:p w14:paraId="3A818C89"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JUDGMENT:</w:t>
      </w:r>
      <w:r w:rsidR="00FD5DF7">
        <w:rPr>
          <w:rFonts w:cs="Arial"/>
        </w:rPr>
        <w:t xml:space="preserve">                                                               </w:t>
      </w:r>
      <w:r w:rsidR="00D26700">
        <w:rPr>
          <w:rFonts w:cs="Arial"/>
        </w:rPr>
        <w:t xml:space="preserve"> </w:t>
      </w:r>
      <w:r w:rsidR="00FD5DF7">
        <w:rPr>
          <w:rFonts w:cs="Arial"/>
        </w:rPr>
        <w:t>21 December 2022.</w:t>
      </w:r>
      <w:r w:rsidRPr="00A81108">
        <w:rPr>
          <w:rFonts w:cs="Arial"/>
        </w:rPr>
        <w:tab/>
      </w:r>
    </w:p>
    <w:p w14:paraId="16F939A4" w14:textId="77777777" w:rsidR="00AA6E8C" w:rsidRPr="00A81108" w:rsidRDefault="00AA6E8C" w:rsidP="00A81108"/>
    <w:sectPr w:rsidR="00AA6E8C" w:rsidRPr="00A81108" w:rsidSect="00643C4A">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F77C" w14:textId="77777777" w:rsidR="00D23DD5" w:rsidRDefault="00D23DD5">
      <w:r>
        <w:separator/>
      </w:r>
    </w:p>
  </w:endnote>
  <w:endnote w:type="continuationSeparator" w:id="0">
    <w:p w14:paraId="59553775" w14:textId="77777777" w:rsidR="00D23DD5" w:rsidRDefault="00D2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00BC" w14:textId="77777777" w:rsidR="00D23DD5" w:rsidRDefault="00D23DD5">
      <w:r>
        <w:separator/>
      </w:r>
    </w:p>
  </w:footnote>
  <w:footnote w:type="continuationSeparator" w:id="0">
    <w:p w14:paraId="6CD0E53D" w14:textId="77777777" w:rsidR="00D23DD5" w:rsidRDefault="00D23DD5">
      <w:r>
        <w:continuationSeparator/>
      </w:r>
    </w:p>
  </w:footnote>
  <w:footnote w:id="1">
    <w:p w14:paraId="3E458AFD" w14:textId="77777777" w:rsidR="008577E9" w:rsidRPr="00C4312E" w:rsidRDefault="008577E9">
      <w:pPr>
        <w:pStyle w:val="FootnoteText"/>
      </w:pPr>
      <w:r>
        <w:rPr>
          <w:rStyle w:val="FootnoteReference"/>
        </w:rPr>
        <w:footnoteRef/>
      </w:r>
      <w:r>
        <w:t xml:space="preserve"> </w:t>
      </w:r>
      <w:r>
        <w:tab/>
      </w:r>
      <w:r>
        <w:rPr>
          <w:i/>
        </w:rPr>
        <w:t xml:space="preserve">Amcoal Collieries Ltd v Truter </w:t>
      </w:r>
      <w:r w:rsidRPr="00C4312E">
        <w:t>1990 (1) SA 1 (A)</w:t>
      </w:r>
      <w:r>
        <w:t xml:space="preserve"> (“</w:t>
      </w:r>
      <w:r w:rsidRPr="00C4312E">
        <w:rPr>
          <w:i/>
        </w:rPr>
        <w:t>Amcoal</w:t>
      </w:r>
      <w:r>
        <w:rPr>
          <w:i/>
        </w:rPr>
        <w:t>”)</w:t>
      </w:r>
      <w:r>
        <w:t xml:space="preserve"> at 5H – 6D</w:t>
      </w:r>
      <w:r>
        <w:rPr>
          <w:i/>
        </w:rPr>
        <w:t xml:space="preserve">; Absa Bank Ltd v Mare and Others </w:t>
      </w:r>
      <w:r w:rsidRPr="00C4312E">
        <w:t>2021 (2) SA 151 (GP)</w:t>
      </w:r>
      <w:r>
        <w:t xml:space="preserve"> (“</w:t>
      </w:r>
      <w:r>
        <w:rPr>
          <w:i/>
        </w:rPr>
        <w:t>Mar</w:t>
      </w:r>
      <w:r w:rsidRPr="00C4312E">
        <w:rPr>
          <w:i/>
        </w:rPr>
        <w:t>e</w:t>
      </w:r>
      <w:r>
        <w:t>”) para 25.</w:t>
      </w:r>
    </w:p>
  </w:footnote>
  <w:footnote w:id="2">
    <w:p w14:paraId="0CF1E946" w14:textId="77777777" w:rsidR="008577E9" w:rsidRPr="00C1325F" w:rsidRDefault="008577E9">
      <w:pPr>
        <w:pStyle w:val="FootnoteText"/>
        <w:rPr>
          <w:lang w:val="en-GB"/>
        </w:rPr>
      </w:pPr>
      <w:r>
        <w:rPr>
          <w:rStyle w:val="FootnoteReference"/>
        </w:rPr>
        <w:footnoteRef/>
      </w:r>
      <w:r>
        <w:t xml:space="preserve"> </w:t>
      </w:r>
      <w:r>
        <w:rPr>
          <w:lang w:val="en-GB"/>
        </w:rPr>
        <w:tab/>
      </w:r>
      <w:r w:rsidRPr="00675017">
        <w:rPr>
          <w:i/>
          <w:lang w:val="en-GB"/>
        </w:rPr>
        <w:t>Loryan (Pty) Ltd v Solarsh T</w:t>
      </w:r>
      <w:r>
        <w:rPr>
          <w:i/>
          <w:lang w:val="en-GB"/>
        </w:rPr>
        <w:t xml:space="preserve">ea </w:t>
      </w:r>
      <w:r w:rsidRPr="00675017">
        <w:rPr>
          <w:i/>
          <w:lang w:val="en-GB"/>
        </w:rPr>
        <w:t>and Coffee (Pty) Ltd</w:t>
      </w:r>
      <w:r>
        <w:rPr>
          <w:lang w:val="en-GB"/>
        </w:rPr>
        <w:t xml:space="preserve"> 1984 3(3) SA 834 (W) (“</w:t>
      </w:r>
      <w:r w:rsidRPr="0006225D">
        <w:rPr>
          <w:i/>
          <w:lang w:val="en-GB"/>
        </w:rPr>
        <w:t>Solarsh</w:t>
      </w:r>
      <w:r>
        <w:rPr>
          <w:lang w:val="en-GB"/>
        </w:rPr>
        <w:t xml:space="preserve">”); </w:t>
      </w:r>
      <w:r w:rsidRPr="00C1325F">
        <w:rPr>
          <w:i/>
          <w:lang w:val="en-GB"/>
        </w:rPr>
        <w:t>Maree</w:t>
      </w:r>
      <w:r>
        <w:rPr>
          <w:lang w:val="en-GB"/>
        </w:rPr>
        <w:t xml:space="preserve"> id para 26.</w:t>
      </w:r>
    </w:p>
  </w:footnote>
  <w:footnote w:id="3">
    <w:p w14:paraId="378EE258" w14:textId="77777777" w:rsidR="008577E9" w:rsidRPr="00B90B22" w:rsidRDefault="008577E9">
      <w:pPr>
        <w:pStyle w:val="FootnoteText"/>
        <w:rPr>
          <w:lang w:val="en-GB"/>
        </w:rPr>
      </w:pPr>
      <w:r>
        <w:rPr>
          <w:rStyle w:val="FootnoteReference"/>
        </w:rPr>
        <w:footnoteRef/>
      </w:r>
      <w:r>
        <w:t xml:space="preserve"> </w:t>
      </w:r>
      <w:r>
        <w:tab/>
      </w:r>
      <w:r w:rsidRPr="005A7428">
        <w:rPr>
          <w:i/>
        </w:rPr>
        <w:t>Shepard v Emmerich</w:t>
      </w:r>
      <w:r>
        <w:t xml:space="preserve"> 2015 (3) SA 309 (GJ).</w:t>
      </w:r>
    </w:p>
  </w:footnote>
  <w:footnote w:id="4">
    <w:p w14:paraId="7F8E217B" w14:textId="77777777" w:rsidR="008577E9" w:rsidRPr="00AE6717" w:rsidRDefault="008577E9">
      <w:pPr>
        <w:pStyle w:val="FootnoteText"/>
      </w:pPr>
      <w:r>
        <w:rPr>
          <w:rStyle w:val="FootnoteReference"/>
        </w:rPr>
        <w:footnoteRef/>
      </w:r>
      <w:r>
        <w:t xml:space="preserve"> </w:t>
      </w:r>
      <w:r>
        <w:tab/>
      </w:r>
      <w:r>
        <w:rPr>
          <w:rFonts w:cs="Arial"/>
          <w:bCs/>
          <w:i/>
          <w:sz w:val="22"/>
          <w:szCs w:val="22"/>
        </w:rPr>
        <w:t>Kemp v Knoesen</w:t>
      </w:r>
      <w:r>
        <w:rPr>
          <w:rFonts w:cs="Arial"/>
          <w:bCs/>
          <w:sz w:val="22"/>
          <w:szCs w:val="22"/>
        </w:rPr>
        <w:t xml:space="preserve"> [2007] JOL 19194 (T).</w:t>
      </w:r>
    </w:p>
  </w:footnote>
  <w:footnote w:id="5">
    <w:p w14:paraId="0AA771E2" w14:textId="77777777" w:rsidR="008577E9" w:rsidRPr="00AE6717" w:rsidRDefault="008577E9">
      <w:pPr>
        <w:pStyle w:val="FootnoteText"/>
      </w:pPr>
      <w:r>
        <w:rPr>
          <w:rStyle w:val="FootnoteReference"/>
        </w:rPr>
        <w:footnoteRef/>
      </w:r>
      <w:r>
        <w:t xml:space="preserve"> </w:t>
      </w:r>
      <w:r>
        <w:tab/>
      </w:r>
      <w:r>
        <w:rPr>
          <w:i/>
        </w:rPr>
        <w:t xml:space="preserve">Mare </w:t>
      </w:r>
      <w:r w:rsidRPr="0006225D">
        <w:t>note 1 above</w:t>
      </w:r>
      <w:r>
        <w:rPr>
          <w:i/>
        </w:rPr>
        <w:t xml:space="preserve"> </w:t>
      </w:r>
      <w:r>
        <w:t>para 26.</w:t>
      </w:r>
    </w:p>
  </w:footnote>
  <w:footnote w:id="6">
    <w:p w14:paraId="54C8AADD" w14:textId="77777777" w:rsidR="008577E9" w:rsidRPr="00AE6717" w:rsidRDefault="008577E9">
      <w:pPr>
        <w:pStyle w:val="FootnoteText"/>
      </w:pPr>
      <w:r>
        <w:rPr>
          <w:rStyle w:val="FootnoteReference"/>
        </w:rPr>
        <w:footnoteRef/>
      </w:r>
      <w:r>
        <w:t xml:space="preserve"> </w:t>
      </w:r>
      <w:r>
        <w:tab/>
      </w:r>
      <w:r>
        <w:rPr>
          <w:i/>
        </w:rPr>
        <w:t xml:space="preserve">Solarsh </w:t>
      </w:r>
      <w:r w:rsidRPr="0006225D">
        <w:t>note 2 above</w:t>
      </w:r>
      <w:r>
        <w:rPr>
          <w:i/>
        </w:rPr>
        <w:t xml:space="preserve"> </w:t>
      </w:r>
      <w:r>
        <w:t>at 849A-B.</w:t>
      </w:r>
    </w:p>
  </w:footnote>
  <w:footnote w:id="7">
    <w:p w14:paraId="314FD03B" w14:textId="77777777" w:rsidR="008577E9" w:rsidRPr="0003413B" w:rsidRDefault="008577E9">
      <w:pPr>
        <w:pStyle w:val="FootnoteText"/>
      </w:pPr>
      <w:r>
        <w:rPr>
          <w:rStyle w:val="FootnoteReference"/>
        </w:rPr>
        <w:footnoteRef/>
      </w:r>
      <w:r>
        <w:t xml:space="preserve"> </w:t>
      </w:r>
      <w:r>
        <w:tab/>
      </w:r>
      <w:r>
        <w:rPr>
          <w:i/>
        </w:rPr>
        <w:t xml:space="preserve">Mare </w:t>
      </w:r>
      <w:r>
        <w:t>note 1 above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3925" w14:textId="77777777" w:rsidR="008577E9" w:rsidRDefault="008577E9">
    <w:pPr>
      <w:pStyle w:val="Header"/>
      <w:spacing w:line="480" w:lineRule="auto"/>
      <w:jc w:val="right"/>
      <w:rPr>
        <w:rStyle w:val="PageNumber"/>
        <w:rFonts w:cs="Arial"/>
      </w:rPr>
    </w:pPr>
    <w:r>
      <w:rPr>
        <w:rFonts w:cs="Arial"/>
        <w:lang w:val="en-US"/>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D4636">
      <w:rPr>
        <w:rStyle w:val="PageNumber"/>
        <w:rFonts w:cs="Arial"/>
        <w:noProof/>
      </w:rPr>
      <w:t>12</w:t>
    </w:r>
    <w:r>
      <w:rPr>
        <w:rStyle w:val="PageNumber"/>
        <w:rFonts w:cs="Arial"/>
      </w:rPr>
      <w:fldChar w:fldCharType="end"/>
    </w:r>
  </w:p>
  <w:p w14:paraId="6F431EC6" w14:textId="77777777" w:rsidR="008577E9" w:rsidRDefault="008577E9">
    <w:pPr>
      <w:pStyle w:val="Heade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FFC1874"/>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5278415">
    <w:abstractNumId w:val="1"/>
  </w:num>
  <w:num w:numId="2" w16cid:durableId="1898591358">
    <w:abstractNumId w:val="0"/>
  </w:num>
  <w:num w:numId="3" w16cid:durableId="830176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1B"/>
    <w:rsid w:val="000024F3"/>
    <w:rsid w:val="00006C1B"/>
    <w:rsid w:val="0001111B"/>
    <w:rsid w:val="00011EDC"/>
    <w:rsid w:val="00023EB5"/>
    <w:rsid w:val="0003413B"/>
    <w:rsid w:val="0006225D"/>
    <w:rsid w:val="00062AAC"/>
    <w:rsid w:val="0009653D"/>
    <w:rsid w:val="000A5348"/>
    <w:rsid w:val="000B286F"/>
    <w:rsid w:val="000F4102"/>
    <w:rsid w:val="001001E6"/>
    <w:rsid w:val="001565EE"/>
    <w:rsid w:val="001678DB"/>
    <w:rsid w:val="001929B9"/>
    <w:rsid w:val="001F3148"/>
    <w:rsid w:val="0022042F"/>
    <w:rsid w:val="0022218D"/>
    <w:rsid w:val="00235ACF"/>
    <w:rsid w:val="00262819"/>
    <w:rsid w:val="002F45AB"/>
    <w:rsid w:val="00303819"/>
    <w:rsid w:val="00312EBC"/>
    <w:rsid w:val="00346DE6"/>
    <w:rsid w:val="00361D0E"/>
    <w:rsid w:val="003852B3"/>
    <w:rsid w:val="003A722B"/>
    <w:rsid w:val="003B55B8"/>
    <w:rsid w:val="003C6B06"/>
    <w:rsid w:val="003D4636"/>
    <w:rsid w:val="00457A56"/>
    <w:rsid w:val="00462F14"/>
    <w:rsid w:val="00475275"/>
    <w:rsid w:val="004A63F0"/>
    <w:rsid w:val="004F7275"/>
    <w:rsid w:val="00501C7A"/>
    <w:rsid w:val="00537EFB"/>
    <w:rsid w:val="00551A13"/>
    <w:rsid w:val="00596F61"/>
    <w:rsid w:val="005A4780"/>
    <w:rsid w:val="005A7428"/>
    <w:rsid w:val="005B4265"/>
    <w:rsid w:val="005C07A3"/>
    <w:rsid w:val="005C3870"/>
    <w:rsid w:val="005C7FC2"/>
    <w:rsid w:val="00634B23"/>
    <w:rsid w:val="00643C4A"/>
    <w:rsid w:val="00644744"/>
    <w:rsid w:val="00660C84"/>
    <w:rsid w:val="00664B8A"/>
    <w:rsid w:val="00675017"/>
    <w:rsid w:val="006752A2"/>
    <w:rsid w:val="006B0F7D"/>
    <w:rsid w:val="006C4BC4"/>
    <w:rsid w:val="006C4C7A"/>
    <w:rsid w:val="006C5694"/>
    <w:rsid w:val="006D0608"/>
    <w:rsid w:val="006E7D8C"/>
    <w:rsid w:val="006F2FCE"/>
    <w:rsid w:val="007068D0"/>
    <w:rsid w:val="00711072"/>
    <w:rsid w:val="00722763"/>
    <w:rsid w:val="007710CA"/>
    <w:rsid w:val="007821F1"/>
    <w:rsid w:val="00784CFC"/>
    <w:rsid w:val="007A264E"/>
    <w:rsid w:val="007B0D50"/>
    <w:rsid w:val="007D42E0"/>
    <w:rsid w:val="007E45C6"/>
    <w:rsid w:val="00816DF8"/>
    <w:rsid w:val="008435A2"/>
    <w:rsid w:val="00855F1B"/>
    <w:rsid w:val="0085616D"/>
    <w:rsid w:val="008577E9"/>
    <w:rsid w:val="008678B8"/>
    <w:rsid w:val="008A4C34"/>
    <w:rsid w:val="008B1DA9"/>
    <w:rsid w:val="00944804"/>
    <w:rsid w:val="00944ACC"/>
    <w:rsid w:val="009B08AF"/>
    <w:rsid w:val="009B3DFC"/>
    <w:rsid w:val="00A04C4A"/>
    <w:rsid w:val="00A062DA"/>
    <w:rsid w:val="00A1094C"/>
    <w:rsid w:val="00A122D6"/>
    <w:rsid w:val="00A21839"/>
    <w:rsid w:val="00A37BA4"/>
    <w:rsid w:val="00A41D07"/>
    <w:rsid w:val="00A70C60"/>
    <w:rsid w:val="00A81108"/>
    <w:rsid w:val="00A94264"/>
    <w:rsid w:val="00AA6E8C"/>
    <w:rsid w:val="00AB32F5"/>
    <w:rsid w:val="00AB7A66"/>
    <w:rsid w:val="00AC7A96"/>
    <w:rsid w:val="00AE6717"/>
    <w:rsid w:val="00B15915"/>
    <w:rsid w:val="00B3052F"/>
    <w:rsid w:val="00B32685"/>
    <w:rsid w:val="00B44443"/>
    <w:rsid w:val="00B5765C"/>
    <w:rsid w:val="00B72A13"/>
    <w:rsid w:val="00B90B22"/>
    <w:rsid w:val="00BA049F"/>
    <w:rsid w:val="00C1325F"/>
    <w:rsid w:val="00C271B8"/>
    <w:rsid w:val="00C31016"/>
    <w:rsid w:val="00C4312E"/>
    <w:rsid w:val="00C458AF"/>
    <w:rsid w:val="00C614CD"/>
    <w:rsid w:val="00C770C1"/>
    <w:rsid w:val="00CA6F88"/>
    <w:rsid w:val="00CD3989"/>
    <w:rsid w:val="00D23DD5"/>
    <w:rsid w:val="00D26700"/>
    <w:rsid w:val="00D43173"/>
    <w:rsid w:val="00D5443C"/>
    <w:rsid w:val="00D64745"/>
    <w:rsid w:val="00D92E83"/>
    <w:rsid w:val="00D94745"/>
    <w:rsid w:val="00DA62B5"/>
    <w:rsid w:val="00DC6A98"/>
    <w:rsid w:val="00DC79F2"/>
    <w:rsid w:val="00E33DD8"/>
    <w:rsid w:val="00E6644B"/>
    <w:rsid w:val="00E73413"/>
    <w:rsid w:val="00E90C34"/>
    <w:rsid w:val="00EC70BC"/>
    <w:rsid w:val="00F218E4"/>
    <w:rsid w:val="00F221FC"/>
    <w:rsid w:val="00F75E77"/>
    <w:rsid w:val="00F96AF7"/>
    <w:rsid w:val="00FA0200"/>
    <w:rsid w:val="00FC4B57"/>
    <w:rsid w:val="00FD5DF7"/>
    <w:rsid w:val="00FF6D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09248"/>
  <w15:docId w15:val="{A48C0921-88F8-4B72-B7DE-F5973452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FC"/>
    <w:rPr>
      <w:rFonts w:ascii="Arial" w:hAnsi="Arial"/>
      <w:sz w:val="24"/>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C914-6FD8-432C-8892-C66AE32A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Crutchfield</Template>
  <TotalTime>2</TotalTime>
  <Pages>13</Pages>
  <Words>2669</Words>
  <Characters>16017</Characters>
  <Application>Microsoft Office Word</Application>
  <DocSecurity>0</DocSecurity>
  <Lines>1334</Lines>
  <Paragraphs>983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Mariana Anguelov</cp:lastModifiedBy>
  <cp:revision>3</cp:revision>
  <cp:lastPrinted>2022-12-20T19:00:00Z</cp:lastPrinted>
  <dcterms:created xsi:type="dcterms:W3CDTF">2023-01-10T10:51:00Z</dcterms:created>
  <dcterms:modified xsi:type="dcterms:W3CDTF">2023-01-12T17:31:00Z</dcterms:modified>
</cp:coreProperties>
</file>