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D9A0" w14:textId="698C649F" w:rsidR="00C5475F" w:rsidRPr="00C5475F" w:rsidRDefault="00C5475F" w:rsidP="00C5475F">
      <w:pPr>
        <w:jc w:val="center"/>
        <w:rPr>
          <w:rFonts w:ascii="Times New Roman" w:eastAsia="Times New Roman" w:hAnsi="Times New Roman" w:cs="Times New Roman"/>
          <w:lang w:eastAsia="en-GB"/>
        </w:rPr>
      </w:pPr>
      <w:r w:rsidRPr="00C5475F">
        <w:rPr>
          <w:rFonts w:ascii="Times New Roman" w:eastAsia="Times New Roman" w:hAnsi="Times New Roman" w:cs="Times New Roman"/>
          <w:lang w:eastAsia="en-GB"/>
        </w:rPr>
        <w:fldChar w:fldCharType="begin"/>
      </w:r>
      <w:r w:rsidR="00F4398C">
        <w:rPr>
          <w:rFonts w:ascii="Times New Roman" w:eastAsia="Times New Roman" w:hAnsi="Times New Roman" w:cs="Times New Roman"/>
          <w:lang w:eastAsia="en-GB"/>
        </w:rPr>
        <w:instrText xml:space="preserve"> INCLUDEPICTURE "C:\\var\\folders\\52\\qpmf_2f51qg41g2g3gy4kymm0000gn\\T\\com.microsoft.Word\\WebArchiveCopyPasteTempFiles\\page1image9486544" \* MERGEFORMAT </w:instrText>
      </w:r>
      <w:r w:rsidRPr="00C5475F">
        <w:rPr>
          <w:rFonts w:ascii="Times New Roman" w:eastAsia="Times New Roman" w:hAnsi="Times New Roman" w:cs="Times New Roman"/>
          <w:lang w:eastAsia="en-GB"/>
        </w:rPr>
        <w:fldChar w:fldCharType="separate"/>
      </w:r>
      <w:r w:rsidRPr="00C5475F">
        <w:rPr>
          <w:rFonts w:ascii="Times New Roman" w:eastAsia="Times New Roman" w:hAnsi="Times New Roman" w:cs="Times New Roman"/>
          <w:noProof/>
          <w:lang w:eastAsia="en-ZA"/>
        </w:rPr>
        <w:drawing>
          <wp:inline distT="0" distB="0" distL="0" distR="0" wp14:anchorId="34FA2C5E" wp14:editId="10440FBD">
            <wp:extent cx="1079500" cy="1313180"/>
            <wp:effectExtent l="0" t="0" r="0" b="0"/>
            <wp:docPr id="7"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9486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313180"/>
                    </a:xfrm>
                    <a:prstGeom prst="rect">
                      <a:avLst/>
                    </a:prstGeom>
                    <a:noFill/>
                    <a:ln>
                      <a:noFill/>
                    </a:ln>
                  </pic:spPr>
                </pic:pic>
              </a:graphicData>
            </a:graphic>
          </wp:inline>
        </w:drawing>
      </w:r>
      <w:r w:rsidRPr="00C5475F">
        <w:rPr>
          <w:rFonts w:ascii="Times New Roman" w:eastAsia="Times New Roman" w:hAnsi="Times New Roman" w:cs="Times New Roman"/>
          <w:lang w:eastAsia="en-GB"/>
        </w:rPr>
        <w:fldChar w:fldCharType="end"/>
      </w:r>
    </w:p>
    <w:p w14:paraId="5E4E813D" w14:textId="04C0F707" w:rsidR="00C5475F" w:rsidRDefault="00C5475F" w:rsidP="00DE0CD1">
      <w:pPr>
        <w:rPr>
          <w:rFonts w:ascii="Times New Roman" w:eastAsia="Times New Roman" w:hAnsi="Times New Roman" w:cs="Times New Roman"/>
          <w:lang w:eastAsia="en-GB"/>
        </w:rPr>
      </w:pPr>
    </w:p>
    <w:p w14:paraId="79D1704D" w14:textId="32A26A5A" w:rsidR="00C5475F" w:rsidRDefault="00C5475F" w:rsidP="00C5475F">
      <w:pPr>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IN THE HIGH COURT OF SOUTH AFRICA</w:t>
      </w:r>
    </w:p>
    <w:p w14:paraId="1BD6DC0F" w14:textId="5D2850C6" w:rsidR="00C5475F" w:rsidRDefault="00C5475F" w:rsidP="00C5475F">
      <w:pPr>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GAUTENG LOCAL DIVISION, JOHANNESBURG</w:t>
      </w:r>
    </w:p>
    <w:p w14:paraId="2526829E" w14:textId="516DA97C" w:rsidR="00C5475F" w:rsidRDefault="00C5475F"/>
    <w:p w14:paraId="770BDBD3" w14:textId="39FD89C0" w:rsidR="00C5475F" w:rsidRDefault="00C5475F" w:rsidP="00C5475F">
      <w:pPr>
        <w:pStyle w:val="ListParagraph"/>
        <w:numPr>
          <w:ilvl w:val="0"/>
          <w:numId w:val="1"/>
        </w:numPr>
        <w:pBdr>
          <w:top w:val="single" w:sz="4" w:space="1" w:color="auto"/>
          <w:left w:val="single" w:sz="4" w:space="4" w:color="auto"/>
          <w:bottom w:val="single" w:sz="4" w:space="1" w:color="auto"/>
          <w:right w:val="single" w:sz="4" w:space="0" w:color="auto"/>
        </w:pBdr>
      </w:pPr>
      <w:r>
        <w:t>REPORTABLE: NO</w:t>
      </w:r>
    </w:p>
    <w:p w14:paraId="26A6305C" w14:textId="6210C1FA" w:rsidR="00C5475F" w:rsidRDefault="00C5475F" w:rsidP="00C5475F">
      <w:pPr>
        <w:pStyle w:val="ListParagraph"/>
        <w:numPr>
          <w:ilvl w:val="0"/>
          <w:numId w:val="1"/>
        </w:numPr>
        <w:pBdr>
          <w:top w:val="single" w:sz="4" w:space="1" w:color="auto"/>
          <w:left w:val="single" w:sz="4" w:space="4" w:color="auto"/>
          <w:bottom w:val="single" w:sz="4" w:space="1" w:color="auto"/>
          <w:right w:val="single" w:sz="4" w:space="0" w:color="auto"/>
        </w:pBdr>
      </w:pPr>
      <w:r>
        <w:t>OF INTEREST OF OTHER JUDGES: NO</w:t>
      </w:r>
    </w:p>
    <w:p w14:paraId="72DAD67C" w14:textId="5BB4EB17" w:rsidR="00C5475F" w:rsidRDefault="00C5475F" w:rsidP="00C5475F">
      <w:pPr>
        <w:pStyle w:val="ListParagraph"/>
        <w:numPr>
          <w:ilvl w:val="0"/>
          <w:numId w:val="1"/>
        </w:numPr>
        <w:pBdr>
          <w:top w:val="single" w:sz="4" w:space="1" w:color="auto"/>
          <w:left w:val="single" w:sz="4" w:space="4" w:color="auto"/>
          <w:bottom w:val="single" w:sz="4" w:space="1" w:color="auto"/>
          <w:right w:val="single" w:sz="4" w:space="0" w:color="auto"/>
        </w:pBdr>
      </w:pPr>
      <w:r>
        <w:t>REVISED</w:t>
      </w:r>
    </w:p>
    <w:p w14:paraId="46ABAF3E" w14:textId="1749E5B9" w:rsidR="00C5475F" w:rsidRDefault="00DE0CD1" w:rsidP="00C5475F">
      <w:pPr>
        <w:pBdr>
          <w:top w:val="single" w:sz="4" w:space="1" w:color="auto"/>
          <w:left w:val="single" w:sz="4" w:space="4" w:color="auto"/>
          <w:bottom w:val="single" w:sz="4" w:space="1" w:color="auto"/>
          <w:right w:val="single" w:sz="4" w:space="0" w:color="auto"/>
        </w:pBdr>
        <w:ind w:left="360"/>
        <w:rPr>
          <w:noProof/>
          <w:lang w:eastAsia="en-ZA"/>
        </w:rPr>
      </w:pPr>
      <w:r>
        <w:t>25/1/2022</w:t>
      </w:r>
      <w:r w:rsidR="00C5475F">
        <w:t xml:space="preserve">                              </w:t>
      </w:r>
      <w:r>
        <w:t xml:space="preserve">                </w:t>
      </w:r>
    </w:p>
    <w:p w14:paraId="08FEB7E9" w14:textId="77777777" w:rsidR="00133CFA" w:rsidRDefault="00133CFA" w:rsidP="00C5475F">
      <w:pPr>
        <w:pBdr>
          <w:top w:val="single" w:sz="4" w:space="1" w:color="auto"/>
          <w:left w:val="single" w:sz="4" w:space="4" w:color="auto"/>
          <w:bottom w:val="single" w:sz="4" w:space="1" w:color="auto"/>
          <w:right w:val="single" w:sz="4" w:space="0" w:color="auto"/>
        </w:pBdr>
        <w:ind w:left="360"/>
      </w:pPr>
    </w:p>
    <w:p w14:paraId="65C6E2F5" w14:textId="6F6D7905" w:rsidR="00C5475F" w:rsidRDefault="00C5475F" w:rsidP="00C5475F">
      <w:pPr>
        <w:pBdr>
          <w:top w:val="single" w:sz="4" w:space="1" w:color="auto"/>
          <w:left w:val="single" w:sz="4" w:space="4" w:color="auto"/>
          <w:bottom w:val="single" w:sz="4" w:space="1" w:color="auto"/>
          <w:right w:val="single" w:sz="4" w:space="0" w:color="auto"/>
        </w:pBdr>
        <w:ind w:left="360"/>
      </w:pPr>
      <w:r>
        <w:t>DATE</w:t>
      </w:r>
      <w:r>
        <w:tab/>
      </w:r>
      <w:r>
        <w:tab/>
      </w:r>
      <w:r>
        <w:tab/>
      </w:r>
      <w:r>
        <w:tab/>
        <w:t xml:space="preserve">         SIGNITURE</w:t>
      </w:r>
    </w:p>
    <w:p w14:paraId="55C89A45" w14:textId="0BD320D0" w:rsidR="00C5475F" w:rsidRDefault="00C5475F" w:rsidP="00C5475F">
      <w:pPr>
        <w:pBdr>
          <w:top w:val="single" w:sz="4" w:space="1" w:color="auto"/>
          <w:left w:val="single" w:sz="4" w:space="4" w:color="auto"/>
          <w:bottom w:val="single" w:sz="4" w:space="1" w:color="auto"/>
          <w:right w:val="single" w:sz="4" w:space="0" w:color="auto"/>
        </w:pBdr>
        <w:ind w:left="360"/>
      </w:pPr>
    </w:p>
    <w:p w14:paraId="3D9E7393" w14:textId="02C4A818" w:rsidR="00C5475F" w:rsidRPr="00C5475F" w:rsidRDefault="00C5475F" w:rsidP="00C5475F"/>
    <w:p w14:paraId="4D716474" w14:textId="122797C7" w:rsidR="00C5475F" w:rsidRDefault="00C5475F" w:rsidP="00C5475F"/>
    <w:p w14:paraId="13F66B69" w14:textId="6E5072A3" w:rsidR="00C5475F" w:rsidRDefault="00C5475F" w:rsidP="00C5475F">
      <w:pPr>
        <w:jc w:val="right"/>
        <w:rPr>
          <w:rFonts w:ascii="Arial" w:hAnsi="Arial" w:cs="Arial"/>
          <w:sz w:val="28"/>
          <w:szCs w:val="28"/>
        </w:rPr>
      </w:pPr>
      <w:r w:rsidRPr="00C5475F">
        <w:rPr>
          <w:rFonts w:ascii="Arial" w:hAnsi="Arial" w:cs="Arial"/>
          <w:sz w:val="28"/>
          <w:szCs w:val="28"/>
        </w:rPr>
        <w:t>CASE NUMBER:</w:t>
      </w:r>
      <w:r>
        <w:rPr>
          <w:rFonts w:ascii="Arial" w:hAnsi="Arial" w:cs="Arial"/>
          <w:sz w:val="28"/>
          <w:szCs w:val="28"/>
        </w:rPr>
        <w:t xml:space="preserve"> </w:t>
      </w:r>
      <w:r w:rsidR="004D48F4">
        <w:rPr>
          <w:rFonts w:ascii="Arial" w:hAnsi="Arial" w:cs="Arial"/>
          <w:sz w:val="28"/>
          <w:szCs w:val="28"/>
        </w:rPr>
        <w:t>26535/2021</w:t>
      </w:r>
      <w:r>
        <w:rPr>
          <w:rFonts w:ascii="Arial" w:hAnsi="Arial" w:cs="Arial"/>
          <w:sz w:val="28"/>
          <w:szCs w:val="28"/>
        </w:rPr>
        <w:t xml:space="preserve">  </w:t>
      </w:r>
    </w:p>
    <w:p w14:paraId="0124B0BA" w14:textId="779C879D" w:rsidR="00C5475F" w:rsidRDefault="00C5475F" w:rsidP="00C5475F">
      <w:pPr>
        <w:jc w:val="right"/>
        <w:rPr>
          <w:rFonts w:ascii="Arial" w:hAnsi="Arial" w:cs="Arial"/>
          <w:sz w:val="28"/>
          <w:szCs w:val="28"/>
        </w:rPr>
      </w:pPr>
    </w:p>
    <w:p w14:paraId="4B0B8D25" w14:textId="3893401D" w:rsidR="00C5475F" w:rsidRDefault="00C5475F" w:rsidP="00C5475F">
      <w:pPr>
        <w:rPr>
          <w:rFonts w:ascii="Arial" w:hAnsi="Arial" w:cs="Arial"/>
          <w:sz w:val="28"/>
          <w:szCs w:val="28"/>
        </w:rPr>
      </w:pPr>
      <w:r>
        <w:rPr>
          <w:rFonts w:ascii="Arial" w:hAnsi="Arial" w:cs="Arial"/>
          <w:sz w:val="28"/>
          <w:szCs w:val="28"/>
        </w:rPr>
        <w:t>In the matter of</w:t>
      </w:r>
    </w:p>
    <w:p w14:paraId="040F5BE6" w14:textId="5C454558" w:rsidR="00C5475F" w:rsidRDefault="00C5475F" w:rsidP="00C5475F">
      <w:pPr>
        <w:rPr>
          <w:rFonts w:ascii="Arial" w:hAnsi="Arial" w:cs="Arial"/>
          <w:sz w:val="28"/>
          <w:szCs w:val="28"/>
        </w:rPr>
      </w:pPr>
    </w:p>
    <w:p w14:paraId="4DD20548" w14:textId="1BF3C0C0" w:rsidR="00C5475F" w:rsidRDefault="004D48F4" w:rsidP="00C5475F">
      <w:pPr>
        <w:rPr>
          <w:rFonts w:ascii="Arial" w:hAnsi="Arial" w:cs="Arial"/>
          <w:b/>
          <w:bCs/>
          <w:sz w:val="28"/>
          <w:szCs w:val="28"/>
        </w:rPr>
      </w:pPr>
      <w:r>
        <w:rPr>
          <w:rFonts w:ascii="Arial" w:hAnsi="Arial" w:cs="Arial"/>
          <w:b/>
          <w:bCs/>
          <w:sz w:val="28"/>
          <w:szCs w:val="28"/>
        </w:rPr>
        <w:t>MOKORO HOLDING COMPANY</w:t>
      </w:r>
      <w:r w:rsidR="00F91C2F">
        <w:rPr>
          <w:rFonts w:ascii="Arial" w:hAnsi="Arial" w:cs="Arial"/>
          <w:b/>
          <w:bCs/>
          <w:sz w:val="28"/>
          <w:szCs w:val="28"/>
        </w:rPr>
        <w:t xml:space="preserve"> </w:t>
      </w:r>
      <w:r>
        <w:rPr>
          <w:rFonts w:ascii="Arial" w:hAnsi="Arial" w:cs="Arial"/>
          <w:b/>
          <w:bCs/>
          <w:sz w:val="28"/>
          <w:szCs w:val="28"/>
        </w:rPr>
        <w:t xml:space="preserve">(PTY) LTD           FIRST </w:t>
      </w:r>
      <w:r w:rsidR="00C5475F">
        <w:rPr>
          <w:rFonts w:ascii="Arial" w:hAnsi="Arial" w:cs="Arial"/>
          <w:b/>
          <w:bCs/>
          <w:sz w:val="28"/>
          <w:szCs w:val="28"/>
        </w:rPr>
        <w:t>APPLICANT</w:t>
      </w:r>
    </w:p>
    <w:p w14:paraId="204B3ED9" w14:textId="4253D202" w:rsidR="004D48F4" w:rsidRDefault="004D48F4" w:rsidP="00C5475F">
      <w:pPr>
        <w:rPr>
          <w:rFonts w:ascii="Arial" w:hAnsi="Arial" w:cs="Arial"/>
          <w:b/>
          <w:bCs/>
          <w:sz w:val="28"/>
          <w:szCs w:val="28"/>
        </w:rPr>
      </w:pPr>
      <w:r>
        <w:rPr>
          <w:rFonts w:ascii="Arial" w:hAnsi="Arial" w:cs="Arial"/>
          <w:b/>
          <w:bCs/>
          <w:sz w:val="28"/>
          <w:szCs w:val="28"/>
        </w:rPr>
        <w:t>t/a BRIDGE TAXI FINANCE HOLDINGS</w:t>
      </w:r>
    </w:p>
    <w:p w14:paraId="24AC7A4F" w14:textId="07DCEB8A" w:rsidR="004D48F4" w:rsidRDefault="004D48F4" w:rsidP="00C5475F">
      <w:pPr>
        <w:rPr>
          <w:rFonts w:ascii="Arial" w:hAnsi="Arial" w:cs="Arial"/>
          <w:b/>
          <w:bCs/>
          <w:sz w:val="28"/>
          <w:szCs w:val="28"/>
        </w:rPr>
      </w:pPr>
    </w:p>
    <w:p w14:paraId="4144C182" w14:textId="331783E6" w:rsidR="004D48F4" w:rsidRDefault="004D48F4" w:rsidP="00C5475F">
      <w:pPr>
        <w:rPr>
          <w:rFonts w:ascii="Arial" w:hAnsi="Arial" w:cs="Arial"/>
          <w:b/>
          <w:bCs/>
          <w:sz w:val="28"/>
          <w:szCs w:val="28"/>
        </w:rPr>
      </w:pPr>
      <w:r>
        <w:rPr>
          <w:rFonts w:ascii="Arial" w:hAnsi="Arial" w:cs="Arial"/>
          <w:b/>
          <w:bCs/>
          <w:sz w:val="28"/>
          <w:szCs w:val="28"/>
        </w:rPr>
        <w:t>BRIDGE SERVICE PANEL (PTY) LTD               SECOND APPLICANT</w:t>
      </w:r>
    </w:p>
    <w:p w14:paraId="282BDD4E" w14:textId="35D5CF81" w:rsidR="004D48F4" w:rsidRDefault="004D48F4" w:rsidP="00C5475F">
      <w:pPr>
        <w:rPr>
          <w:rFonts w:ascii="Arial" w:hAnsi="Arial" w:cs="Arial"/>
          <w:b/>
          <w:bCs/>
          <w:sz w:val="28"/>
          <w:szCs w:val="28"/>
        </w:rPr>
      </w:pPr>
    </w:p>
    <w:p w14:paraId="66865D5B" w14:textId="3D8A29FE" w:rsidR="004D48F4" w:rsidRDefault="004D48F4" w:rsidP="00C5475F">
      <w:pPr>
        <w:rPr>
          <w:rFonts w:ascii="Arial" w:hAnsi="Arial" w:cs="Arial"/>
          <w:b/>
          <w:bCs/>
          <w:sz w:val="28"/>
          <w:szCs w:val="28"/>
        </w:rPr>
      </w:pPr>
      <w:r>
        <w:rPr>
          <w:rFonts w:ascii="Arial" w:hAnsi="Arial" w:cs="Arial"/>
          <w:b/>
          <w:bCs/>
          <w:sz w:val="28"/>
          <w:szCs w:val="28"/>
        </w:rPr>
        <w:t>CAPITAL PRO</w:t>
      </w:r>
      <w:r w:rsidR="005D66EE">
        <w:rPr>
          <w:rFonts w:ascii="Arial" w:hAnsi="Arial" w:cs="Arial"/>
          <w:b/>
          <w:bCs/>
          <w:sz w:val="28"/>
          <w:szCs w:val="28"/>
        </w:rPr>
        <w:t>P</w:t>
      </w:r>
      <w:r>
        <w:rPr>
          <w:rFonts w:ascii="Arial" w:hAnsi="Arial" w:cs="Arial"/>
          <w:b/>
          <w:bCs/>
          <w:sz w:val="28"/>
          <w:szCs w:val="28"/>
        </w:rPr>
        <w:t>FUND (PTY) LTD                           THIRD APPLICANT</w:t>
      </w:r>
    </w:p>
    <w:p w14:paraId="2FCC671D" w14:textId="4F9C95E1" w:rsidR="004D48F4" w:rsidRDefault="004D48F4" w:rsidP="00C5475F">
      <w:pPr>
        <w:rPr>
          <w:rFonts w:ascii="Arial" w:hAnsi="Arial" w:cs="Arial"/>
          <w:b/>
          <w:bCs/>
          <w:sz w:val="28"/>
          <w:szCs w:val="28"/>
        </w:rPr>
      </w:pPr>
    </w:p>
    <w:p w14:paraId="452ECA7B" w14:textId="4A7D1DE0" w:rsidR="004D48F4" w:rsidRDefault="004D48F4" w:rsidP="00C5475F">
      <w:pPr>
        <w:rPr>
          <w:rFonts w:ascii="Arial" w:hAnsi="Arial" w:cs="Arial"/>
          <w:b/>
          <w:bCs/>
          <w:sz w:val="28"/>
          <w:szCs w:val="28"/>
        </w:rPr>
      </w:pPr>
      <w:r>
        <w:rPr>
          <w:rFonts w:ascii="Arial" w:hAnsi="Arial" w:cs="Arial"/>
          <w:b/>
          <w:bCs/>
          <w:sz w:val="28"/>
          <w:szCs w:val="28"/>
        </w:rPr>
        <w:t xml:space="preserve">JT ROSS PROPERTIES (PTY) LTD                     </w:t>
      </w:r>
      <w:r w:rsidR="00F91C2F">
        <w:rPr>
          <w:rFonts w:ascii="Arial" w:hAnsi="Arial" w:cs="Arial"/>
          <w:b/>
          <w:bCs/>
          <w:sz w:val="28"/>
          <w:szCs w:val="28"/>
        </w:rPr>
        <w:t xml:space="preserve"> </w:t>
      </w:r>
      <w:r>
        <w:rPr>
          <w:rFonts w:ascii="Arial" w:hAnsi="Arial" w:cs="Arial"/>
          <w:b/>
          <w:bCs/>
          <w:sz w:val="28"/>
          <w:szCs w:val="28"/>
        </w:rPr>
        <w:t>FOUTH APPLICANT</w:t>
      </w:r>
    </w:p>
    <w:p w14:paraId="4C0FBAB6" w14:textId="127AAD9D" w:rsidR="00B92FAE" w:rsidRDefault="00B92FAE" w:rsidP="00C5475F">
      <w:pPr>
        <w:rPr>
          <w:rFonts w:ascii="Arial" w:hAnsi="Arial" w:cs="Arial"/>
          <w:b/>
          <w:bCs/>
          <w:sz w:val="28"/>
          <w:szCs w:val="28"/>
        </w:rPr>
      </w:pPr>
    </w:p>
    <w:p w14:paraId="07631D2E" w14:textId="0FE5C6EC" w:rsidR="00B92FAE" w:rsidRDefault="00B92FAE" w:rsidP="00C5475F">
      <w:pPr>
        <w:rPr>
          <w:rFonts w:ascii="Arial" w:hAnsi="Arial" w:cs="Arial"/>
        </w:rPr>
      </w:pPr>
      <w:r>
        <w:rPr>
          <w:rFonts w:ascii="Arial" w:hAnsi="Arial" w:cs="Arial"/>
        </w:rPr>
        <w:t>And</w:t>
      </w:r>
    </w:p>
    <w:p w14:paraId="66359DBD" w14:textId="77777777" w:rsidR="00B92FAE" w:rsidRPr="00B92FAE" w:rsidRDefault="00B92FAE" w:rsidP="00C5475F">
      <w:pPr>
        <w:rPr>
          <w:rFonts w:ascii="Arial" w:hAnsi="Arial" w:cs="Arial"/>
        </w:rPr>
      </w:pPr>
    </w:p>
    <w:p w14:paraId="0F0424F9" w14:textId="77777777" w:rsidR="004D48F4" w:rsidRPr="004D48F4" w:rsidRDefault="004D48F4" w:rsidP="00C5475F">
      <w:pPr>
        <w:rPr>
          <w:rFonts w:ascii="Arial" w:hAnsi="Arial" w:cs="Arial"/>
          <w:b/>
          <w:bCs/>
          <w:sz w:val="28"/>
          <w:szCs w:val="28"/>
        </w:rPr>
      </w:pPr>
    </w:p>
    <w:p w14:paraId="3A367E2D" w14:textId="08A61B03" w:rsidR="00C5475F" w:rsidRDefault="00B92FAE" w:rsidP="00C5475F">
      <w:pPr>
        <w:rPr>
          <w:rFonts w:ascii="Arial" w:hAnsi="Arial" w:cs="Arial"/>
          <w:b/>
          <w:bCs/>
          <w:sz w:val="28"/>
          <w:szCs w:val="28"/>
        </w:rPr>
      </w:pPr>
      <w:r>
        <w:rPr>
          <w:rFonts w:ascii="Arial" w:hAnsi="Arial" w:cs="Arial"/>
          <w:b/>
          <w:bCs/>
          <w:sz w:val="28"/>
          <w:szCs w:val="28"/>
        </w:rPr>
        <w:t>COG OIL</w:t>
      </w:r>
      <w:r w:rsidR="00F91C2F">
        <w:rPr>
          <w:rFonts w:ascii="Arial" w:hAnsi="Arial" w:cs="Arial"/>
          <w:b/>
          <w:bCs/>
          <w:sz w:val="28"/>
          <w:szCs w:val="28"/>
        </w:rPr>
        <w:t xml:space="preserve"> PROPRIETARY</w:t>
      </w:r>
      <w:r>
        <w:rPr>
          <w:rFonts w:ascii="Arial" w:hAnsi="Arial" w:cs="Arial"/>
          <w:b/>
          <w:bCs/>
          <w:sz w:val="28"/>
          <w:szCs w:val="28"/>
        </w:rPr>
        <w:t xml:space="preserve"> (PTY) LTD                </w:t>
      </w:r>
      <w:r w:rsidR="00F91C2F">
        <w:rPr>
          <w:rFonts w:ascii="Arial" w:hAnsi="Arial" w:cs="Arial"/>
          <w:b/>
          <w:bCs/>
          <w:sz w:val="28"/>
          <w:szCs w:val="28"/>
        </w:rPr>
        <w:t xml:space="preserve">  </w:t>
      </w:r>
      <w:r>
        <w:rPr>
          <w:rFonts w:ascii="Arial" w:hAnsi="Arial" w:cs="Arial"/>
          <w:b/>
          <w:bCs/>
          <w:sz w:val="28"/>
          <w:szCs w:val="28"/>
        </w:rPr>
        <w:t>FIRST</w:t>
      </w:r>
      <w:r w:rsidR="00F91C2F">
        <w:rPr>
          <w:rFonts w:ascii="Arial" w:hAnsi="Arial" w:cs="Arial"/>
          <w:b/>
          <w:bCs/>
          <w:sz w:val="28"/>
          <w:szCs w:val="28"/>
        </w:rPr>
        <w:t xml:space="preserve"> </w:t>
      </w:r>
      <w:r w:rsidR="00C5475F">
        <w:rPr>
          <w:rFonts w:ascii="Arial" w:hAnsi="Arial" w:cs="Arial"/>
          <w:b/>
          <w:bCs/>
          <w:sz w:val="28"/>
          <w:szCs w:val="28"/>
        </w:rPr>
        <w:t>RESPONDENT</w:t>
      </w:r>
    </w:p>
    <w:p w14:paraId="3B501775" w14:textId="0AA0AA2A" w:rsidR="00B92FAE" w:rsidRDefault="00B92FAE" w:rsidP="00C5475F">
      <w:pPr>
        <w:rPr>
          <w:rFonts w:ascii="Arial" w:hAnsi="Arial" w:cs="Arial"/>
          <w:b/>
          <w:bCs/>
          <w:sz w:val="28"/>
          <w:szCs w:val="28"/>
        </w:rPr>
      </w:pPr>
    </w:p>
    <w:p w14:paraId="50ACCBBF" w14:textId="0FFEEDEE" w:rsidR="00B92FAE" w:rsidRDefault="00B92FAE" w:rsidP="00C5475F">
      <w:pPr>
        <w:rPr>
          <w:rFonts w:ascii="Arial" w:hAnsi="Arial" w:cs="Arial"/>
          <w:b/>
          <w:bCs/>
          <w:sz w:val="28"/>
          <w:szCs w:val="28"/>
        </w:rPr>
      </w:pPr>
      <w:r>
        <w:rPr>
          <w:rFonts w:ascii="Arial" w:hAnsi="Arial" w:cs="Arial"/>
          <w:b/>
          <w:bCs/>
          <w:sz w:val="28"/>
          <w:szCs w:val="28"/>
        </w:rPr>
        <w:t>CITY OF JOHANNESBURG                         SECOND RESWPONDENT</w:t>
      </w:r>
    </w:p>
    <w:p w14:paraId="41FA7EE1" w14:textId="5BAC3E97" w:rsidR="00B92FAE" w:rsidRDefault="00B92FAE" w:rsidP="00C5475F">
      <w:pPr>
        <w:rPr>
          <w:rFonts w:ascii="Arial" w:hAnsi="Arial" w:cs="Arial"/>
          <w:b/>
          <w:bCs/>
          <w:sz w:val="28"/>
          <w:szCs w:val="28"/>
        </w:rPr>
      </w:pPr>
      <w:r>
        <w:rPr>
          <w:rFonts w:ascii="Arial" w:hAnsi="Arial" w:cs="Arial"/>
          <w:b/>
          <w:bCs/>
          <w:sz w:val="28"/>
          <w:szCs w:val="28"/>
        </w:rPr>
        <w:t>METROPOLITAN MUNICIPALITY</w:t>
      </w:r>
    </w:p>
    <w:p w14:paraId="79E9FBAC" w14:textId="2068E701" w:rsidR="00B92FAE" w:rsidRDefault="00B92FAE" w:rsidP="00C5475F">
      <w:pPr>
        <w:rPr>
          <w:rFonts w:ascii="Arial" w:hAnsi="Arial" w:cs="Arial"/>
          <w:b/>
          <w:bCs/>
          <w:sz w:val="28"/>
          <w:szCs w:val="28"/>
        </w:rPr>
      </w:pPr>
    </w:p>
    <w:p w14:paraId="7372CC08" w14:textId="3609620C" w:rsidR="00B92FAE" w:rsidRDefault="00B92FAE" w:rsidP="00C5475F">
      <w:pPr>
        <w:rPr>
          <w:rFonts w:ascii="Arial" w:hAnsi="Arial" w:cs="Arial"/>
          <w:b/>
          <w:bCs/>
          <w:sz w:val="28"/>
          <w:szCs w:val="28"/>
        </w:rPr>
      </w:pPr>
      <w:r>
        <w:rPr>
          <w:rFonts w:ascii="Arial" w:hAnsi="Arial" w:cs="Arial"/>
          <w:b/>
          <w:bCs/>
          <w:sz w:val="28"/>
          <w:szCs w:val="28"/>
        </w:rPr>
        <w:t>CITY OF JOHANNESBURG PROPERTY           THIRD RESPONDENT</w:t>
      </w:r>
    </w:p>
    <w:p w14:paraId="6FC022A4" w14:textId="65C658DF" w:rsidR="00C5475F" w:rsidRDefault="00B92FAE" w:rsidP="00C5475F">
      <w:pPr>
        <w:rPr>
          <w:rFonts w:ascii="Arial" w:hAnsi="Arial" w:cs="Arial"/>
          <w:b/>
          <w:bCs/>
          <w:sz w:val="28"/>
          <w:szCs w:val="28"/>
        </w:rPr>
      </w:pPr>
      <w:r>
        <w:rPr>
          <w:rFonts w:ascii="Arial" w:hAnsi="Arial" w:cs="Arial"/>
          <w:b/>
          <w:bCs/>
          <w:sz w:val="28"/>
          <w:szCs w:val="28"/>
        </w:rPr>
        <w:t>COMPANY SOC L</w:t>
      </w:r>
      <w:r w:rsidR="00F91C2F">
        <w:rPr>
          <w:rFonts w:ascii="Arial" w:hAnsi="Arial" w:cs="Arial"/>
          <w:b/>
          <w:bCs/>
          <w:sz w:val="28"/>
          <w:szCs w:val="28"/>
        </w:rPr>
        <w:t>IMITED</w:t>
      </w:r>
    </w:p>
    <w:p w14:paraId="7F64512A" w14:textId="468AA49B" w:rsidR="00C5475F" w:rsidRDefault="00C5475F" w:rsidP="00C5475F">
      <w:pPr>
        <w:pBdr>
          <w:bottom w:val="single" w:sz="12" w:space="1" w:color="auto"/>
        </w:pBdr>
        <w:rPr>
          <w:rFonts w:ascii="Arial" w:hAnsi="Arial" w:cs="Arial"/>
          <w:b/>
          <w:bCs/>
          <w:sz w:val="28"/>
          <w:szCs w:val="28"/>
        </w:rPr>
      </w:pPr>
    </w:p>
    <w:p w14:paraId="5E890503" w14:textId="71C6CE88" w:rsidR="00C5475F" w:rsidRDefault="00C5475F" w:rsidP="00C5475F">
      <w:pPr>
        <w:rPr>
          <w:rFonts w:ascii="Arial" w:hAnsi="Arial" w:cs="Arial"/>
          <w:b/>
          <w:bCs/>
          <w:sz w:val="28"/>
          <w:szCs w:val="28"/>
        </w:rPr>
      </w:pPr>
    </w:p>
    <w:p w14:paraId="05D2424B" w14:textId="77DDA1E5" w:rsidR="00C5475F" w:rsidRDefault="00C5475F" w:rsidP="00C5475F">
      <w:pPr>
        <w:jc w:val="center"/>
        <w:rPr>
          <w:rFonts w:ascii="Arial" w:hAnsi="Arial" w:cs="Arial"/>
          <w:b/>
          <w:bCs/>
          <w:sz w:val="28"/>
          <w:szCs w:val="28"/>
        </w:rPr>
      </w:pPr>
      <w:r>
        <w:rPr>
          <w:rFonts w:ascii="Arial" w:hAnsi="Arial" w:cs="Arial"/>
          <w:b/>
          <w:bCs/>
          <w:sz w:val="28"/>
          <w:szCs w:val="28"/>
        </w:rPr>
        <w:t>JUDGMENT</w:t>
      </w:r>
    </w:p>
    <w:p w14:paraId="0C98C794" w14:textId="5C2D3621" w:rsidR="00C5475F" w:rsidRDefault="00C5475F" w:rsidP="00C5475F">
      <w:pPr>
        <w:pBdr>
          <w:bottom w:val="single" w:sz="12" w:space="1" w:color="auto"/>
        </w:pBdr>
        <w:jc w:val="center"/>
        <w:rPr>
          <w:rFonts w:ascii="Arial" w:hAnsi="Arial" w:cs="Arial"/>
          <w:b/>
          <w:bCs/>
          <w:sz w:val="28"/>
          <w:szCs w:val="28"/>
        </w:rPr>
      </w:pPr>
    </w:p>
    <w:p w14:paraId="03EEFEAD" w14:textId="02ACD7F1" w:rsidR="00C5475F" w:rsidRDefault="00C5475F" w:rsidP="00C5475F">
      <w:pPr>
        <w:rPr>
          <w:rFonts w:ascii="Arial" w:hAnsi="Arial" w:cs="Arial"/>
          <w:sz w:val="28"/>
          <w:szCs w:val="28"/>
        </w:rPr>
      </w:pPr>
    </w:p>
    <w:p w14:paraId="3BE4E8A8" w14:textId="33E1C86A" w:rsidR="00C5475F" w:rsidRDefault="00C5475F" w:rsidP="00C5475F">
      <w:pPr>
        <w:rPr>
          <w:rFonts w:ascii="Arial" w:hAnsi="Arial" w:cs="Arial"/>
          <w:b/>
          <w:bCs/>
          <w:sz w:val="28"/>
          <w:szCs w:val="28"/>
        </w:rPr>
      </w:pPr>
      <w:r>
        <w:rPr>
          <w:rFonts w:ascii="Arial" w:hAnsi="Arial" w:cs="Arial"/>
          <w:b/>
          <w:bCs/>
          <w:sz w:val="28"/>
          <w:szCs w:val="28"/>
        </w:rPr>
        <w:t xml:space="preserve">OOSTHUIZEN-SENEKAL </w:t>
      </w:r>
      <w:r w:rsidR="00385311">
        <w:rPr>
          <w:rFonts w:ascii="Arial" w:hAnsi="Arial" w:cs="Arial"/>
          <w:b/>
          <w:bCs/>
          <w:sz w:val="28"/>
          <w:szCs w:val="28"/>
        </w:rPr>
        <w:t>CSP AJ:</w:t>
      </w:r>
    </w:p>
    <w:p w14:paraId="77D26C5C" w14:textId="5E940E2A" w:rsidR="00385311" w:rsidRDefault="00385311" w:rsidP="00C5475F">
      <w:pPr>
        <w:rPr>
          <w:rFonts w:ascii="Arial" w:hAnsi="Arial" w:cs="Arial"/>
          <w:b/>
          <w:bCs/>
          <w:sz w:val="28"/>
          <w:szCs w:val="28"/>
        </w:rPr>
      </w:pPr>
    </w:p>
    <w:p w14:paraId="70F04E20" w14:textId="5DE3B378" w:rsidR="00385311" w:rsidRDefault="00CA6226" w:rsidP="00F3123A">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I</w:t>
      </w:r>
      <w:r w:rsidRPr="00CA6226">
        <w:rPr>
          <w:rFonts w:ascii="Times New Roman" w:hAnsi="Times New Roman" w:cs="Times New Roman"/>
          <w:i/>
          <w:iCs/>
          <w:sz w:val="26"/>
          <w:szCs w:val="26"/>
        </w:rPr>
        <w:t>ntroduction</w:t>
      </w:r>
    </w:p>
    <w:p w14:paraId="0368DFCF" w14:textId="1B4B7E49" w:rsidR="00F3123A" w:rsidRDefault="00BA4300"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1</w:t>
      </w:r>
      <w:r>
        <w:rPr>
          <w:rFonts w:ascii="Times New Roman" w:hAnsi="Times New Roman" w:cs="Times New Roman"/>
          <w:sz w:val="26"/>
          <w:szCs w:val="26"/>
        </w:rPr>
        <w:t xml:space="preserve">] </w:t>
      </w:r>
      <w:r w:rsidR="00567145">
        <w:rPr>
          <w:rFonts w:ascii="Times New Roman" w:hAnsi="Times New Roman" w:cs="Times New Roman"/>
          <w:sz w:val="26"/>
          <w:szCs w:val="26"/>
        </w:rPr>
        <w:t xml:space="preserve">This is an application for a final interdict in which the applicants seeks an order interdicting the first respondent from using any portion of the public road comprising of the </w:t>
      </w:r>
      <w:r w:rsidR="00567145" w:rsidRPr="00FC5DB9">
        <w:rPr>
          <w:rFonts w:ascii="Times New Roman" w:hAnsi="Times New Roman" w:cs="Times New Roman"/>
          <w:i/>
          <w:iCs/>
          <w:sz w:val="26"/>
          <w:szCs w:val="26"/>
        </w:rPr>
        <w:t>cul-de-sac</w:t>
      </w:r>
      <w:r w:rsidR="00567145">
        <w:rPr>
          <w:rFonts w:ascii="Times New Roman" w:hAnsi="Times New Roman" w:cs="Times New Roman"/>
          <w:sz w:val="26"/>
          <w:szCs w:val="26"/>
        </w:rPr>
        <w:t xml:space="preserve"> of Tungsten, Str</w:t>
      </w:r>
      <w:r w:rsidR="00596BB8">
        <w:rPr>
          <w:rFonts w:ascii="Times New Roman" w:hAnsi="Times New Roman" w:cs="Times New Roman"/>
          <w:sz w:val="26"/>
          <w:szCs w:val="26"/>
        </w:rPr>
        <w:t>ij</w:t>
      </w:r>
      <w:r w:rsidR="00567145">
        <w:rPr>
          <w:rFonts w:ascii="Times New Roman" w:hAnsi="Times New Roman" w:cs="Times New Roman"/>
          <w:sz w:val="26"/>
          <w:szCs w:val="26"/>
        </w:rPr>
        <w:t xml:space="preserve">dompark, Johannesburg for any purpose other than a </w:t>
      </w:r>
      <w:r w:rsidR="00567145" w:rsidRPr="00A26785">
        <w:rPr>
          <w:rFonts w:ascii="Times New Roman" w:hAnsi="Times New Roman" w:cs="Times New Roman"/>
          <w:i/>
          <w:iCs/>
          <w:sz w:val="26"/>
          <w:szCs w:val="26"/>
        </w:rPr>
        <w:t>public road</w:t>
      </w:r>
      <w:r w:rsidR="00567145">
        <w:rPr>
          <w:rFonts w:ascii="Times New Roman" w:hAnsi="Times New Roman" w:cs="Times New Roman"/>
          <w:sz w:val="26"/>
          <w:szCs w:val="26"/>
        </w:rPr>
        <w:t xml:space="preserve"> as contemplated in the Consolidated Johannesburg Town Planning Scheme for so long as the </w:t>
      </w:r>
      <w:r w:rsidR="00567145" w:rsidRPr="00FC5DB9">
        <w:rPr>
          <w:rFonts w:ascii="Times New Roman" w:hAnsi="Times New Roman" w:cs="Times New Roman"/>
          <w:i/>
          <w:iCs/>
          <w:sz w:val="26"/>
          <w:szCs w:val="26"/>
        </w:rPr>
        <w:t>cul-de-sac</w:t>
      </w:r>
      <w:r w:rsidR="00567145">
        <w:rPr>
          <w:rFonts w:ascii="Times New Roman" w:hAnsi="Times New Roman" w:cs="Times New Roman"/>
          <w:sz w:val="26"/>
          <w:szCs w:val="26"/>
        </w:rPr>
        <w:t xml:space="preserve"> is zoned as a public road. </w:t>
      </w:r>
    </w:p>
    <w:p w14:paraId="1C4DCCF0" w14:textId="6FBBC8AF" w:rsidR="0088747E" w:rsidRDefault="0088747E" w:rsidP="00F3123A">
      <w:pPr>
        <w:spacing w:line="360" w:lineRule="auto"/>
        <w:jc w:val="both"/>
        <w:rPr>
          <w:rFonts w:ascii="Times New Roman" w:hAnsi="Times New Roman" w:cs="Times New Roman"/>
          <w:sz w:val="26"/>
          <w:szCs w:val="26"/>
        </w:rPr>
      </w:pPr>
    </w:p>
    <w:p w14:paraId="120ED5F1" w14:textId="3A3882B9" w:rsidR="0088747E" w:rsidRPr="0088747E" w:rsidRDefault="0088747E"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w:t>
      </w:r>
      <w:r>
        <w:rPr>
          <w:rFonts w:ascii="Times New Roman" w:hAnsi="Times New Roman" w:cs="Times New Roman"/>
          <w:sz w:val="26"/>
          <w:szCs w:val="26"/>
        </w:rPr>
        <w:t xml:space="preserve">] The final interdict is aimed at preventing the first respondent from using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at the end of Tungsten Road in Strijdompark in accordance with the written lease agreement concluded by it with the second and third respondents </w:t>
      </w:r>
      <w:r w:rsidR="00A26785">
        <w:rPr>
          <w:rFonts w:ascii="Times New Roman" w:hAnsi="Times New Roman" w:cs="Times New Roman"/>
          <w:sz w:val="26"/>
          <w:szCs w:val="26"/>
        </w:rPr>
        <w:t>on 24 October 2019</w:t>
      </w:r>
      <w:r>
        <w:rPr>
          <w:rFonts w:ascii="Times New Roman" w:hAnsi="Times New Roman" w:cs="Times New Roman"/>
          <w:sz w:val="26"/>
          <w:szCs w:val="26"/>
        </w:rPr>
        <w:t>.</w:t>
      </w:r>
    </w:p>
    <w:p w14:paraId="085114D4" w14:textId="1A460BDF" w:rsidR="00385311" w:rsidRDefault="00385311" w:rsidP="00F3123A">
      <w:pPr>
        <w:spacing w:line="360" w:lineRule="auto"/>
        <w:jc w:val="both"/>
        <w:rPr>
          <w:rFonts w:ascii="Times New Roman" w:hAnsi="Times New Roman" w:cs="Times New Roman"/>
          <w:i/>
          <w:iCs/>
          <w:sz w:val="26"/>
          <w:szCs w:val="26"/>
        </w:rPr>
      </w:pPr>
    </w:p>
    <w:p w14:paraId="0C42359E" w14:textId="139E2EF8" w:rsidR="00567145" w:rsidRDefault="00567145" w:rsidP="00F3123A">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Parties</w:t>
      </w:r>
    </w:p>
    <w:p w14:paraId="367CA7F3" w14:textId="24FBC2A2" w:rsidR="00567145" w:rsidRDefault="00BA4300"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w:t>
      </w:r>
      <w:r>
        <w:rPr>
          <w:rFonts w:ascii="Times New Roman" w:hAnsi="Times New Roman" w:cs="Times New Roman"/>
          <w:sz w:val="26"/>
          <w:szCs w:val="26"/>
        </w:rPr>
        <w:t xml:space="preserve">] </w:t>
      </w:r>
      <w:r w:rsidR="0050318C" w:rsidRPr="0050318C">
        <w:rPr>
          <w:rFonts w:ascii="Times New Roman" w:hAnsi="Times New Roman" w:cs="Times New Roman"/>
          <w:sz w:val="26"/>
          <w:szCs w:val="26"/>
        </w:rPr>
        <w:t xml:space="preserve">The first applicant is </w:t>
      </w:r>
      <w:r w:rsidR="0050318C">
        <w:rPr>
          <w:rFonts w:ascii="Times New Roman" w:hAnsi="Times New Roman" w:cs="Times New Roman"/>
          <w:sz w:val="26"/>
          <w:szCs w:val="26"/>
        </w:rPr>
        <w:t>Mo</w:t>
      </w:r>
      <w:r w:rsidR="0050318C" w:rsidRPr="0050318C">
        <w:rPr>
          <w:rFonts w:ascii="Times New Roman" w:hAnsi="Times New Roman" w:cs="Times New Roman"/>
          <w:sz w:val="26"/>
          <w:szCs w:val="26"/>
        </w:rPr>
        <w:t>k</w:t>
      </w:r>
      <w:r w:rsidR="0050318C">
        <w:rPr>
          <w:rFonts w:ascii="Times New Roman" w:hAnsi="Times New Roman" w:cs="Times New Roman"/>
          <w:sz w:val="26"/>
          <w:szCs w:val="26"/>
        </w:rPr>
        <w:t>o</w:t>
      </w:r>
      <w:r w:rsidR="0050318C" w:rsidRPr="0050318C">
        <w:rPr>
          <w:rFonts w:ascii="Times New Roman" w:hAnsi="Times New Roman" w:cs="Times New Roman"/>
          <w:sz w:val="26"/>
          <w:szCs w:val="26"/>
        </w:rPr>
        <w:t>r</w:t>
      </w:r>
      <w:r w:rsidR="0050318C">
        <w:rPr>
          <w:rFonts w:ascii="Times New Roman" w:hAnsi="Times New Roman" w:cs="Times New Roman"/>
          <w:sz w:val="26"/>
          <w:szCs w:val="26"/>
        </w:rPr>
        <w:t>o</w:t>
      </w:r>
      <w:r w:rsidR="0050318C" w:rsidRPr="0050318C">
        <w:rPr>
          <w:rFonts w:ascii="Times New Roman" w:hAnsi="Times New Roman" w:cs="Times New Roman"/>
          <w:sz w:val="26"/>
          <w:szCs w:val="26"/>
        </w:rPr>
        <w:t xml:space="preserve"> </w:t>
      </w:r>
      <w:r w:rsidR="0050318C">
        <w:rPr>
          <w:rFonts w:ascii="Times New Roman" w:hAnsi="Times New Roman" w:cs="Times New Roman"/>
          <w:sz w:val="26"/>
          <w:szCs w:val="26"/>
        </w:rPr>
        <w:t>H</w:t>
      </w:r>
      <w:r w:rsidR="0050318C" w:rsidRPr="0050318C">
        <w:rPr>
          <w:rFonts w:ascii="Times New Roman" w:hAnsi="Times New Roman" w:cs="Times New Roman"/>
          <w:sz w:val="26"/>
          <w:szCs w:val="26"/>
        </w:rPr>
        <w:t xml:space="preserve">olding </w:t>
      </w:r>
      <w:r w:rsidR="0050318C">
        <w:rPr>
          <w:rFonts w:ascii="Times New Roman" w:hAnsi="Times New Roman" w:cs="Times New Roman"/>
          <w:sz w:val="26"/>
          <w:szCs w:val="26"/>
        </w:rPr>
        <w:t>C</w:t>
      </w:r>
      <w:r w:rsidR="0050318C" w:rsidRPr="0050318C">
        <w:rPr>
          <w:rFonts w:ascii="Times New Roman" w:hAnsi="Times New Roman" w:cs="Times New Roman"/>
          <w:sz w:val="26"/>
          <w:szCs w:val="26"/>
        </w:rPr>
        <w:t>ompany (PTY) L</w:t>
      </w:r>
      <w:r w:rsidR="00A26785">
        <w:rPr>
          <w:rFonts w:ascii="Times New Roman" w:hAnsi="Times New Roman" w:cs="Times New Roman"/>
          <w:sz w:val="26"/>
          <w:szCs w:val="26"/>
        </w:rPr>
        <w:t xml:space="preserve">td </w:t>
      </w:r>
      <w:r w:rsidR="0050318C" w:rsidRPr="0050318C">
        <w:rPr>
          <w:rFonts w:ascii="Times New Roman" w:hAnsi="Times New Roman" w:cs="Times New Roman"/>
          <w:sz w:val="26"/>
          <w:szCs w:val="26"/>
        </w:rPr>
        <w:t>t</w:t>
      </w:r>
      <w:r w:rsidR="0050318C">
        <w:rPr>
          <w:rFonts w:ascii="Times New Roman" w:hAnsi="Times New Roman" w:cs="Times New Roman"/>
          <w:sz w:val="26"/>
          <w:szCs w:val="26"/>
        </w:rPr>
        <w:t>/a</w:t>
      </w:r>
      <w:r w:rsidR="0050318C" w:rsidRPr="0050318C">
        <w:rPr>
          <w:rFonts w:ascii="Times New Roman" w:hAnsi="Times New Roman" w:cs="Times New Roman"/>
          <w:sz w:val="26"/>
          <w:szCs w:val="26"/>
        </w:rPr>
        <w:t xml:space="preserve"> </w:t>
      </w:r>
      <w:r w:rsidR="0050318C">
        <w:rPr>
          <w:rFonts w:ascii="Times New Roman" w:hAnsi="Times New Roman" w:cs="Times New Roman"/>
          <w:sz w:val="26"/>
          <w:szCs w:val="26"/>
        </w:rPr>
        <w:t>B</w:t>
      </w:r>
      <w:r w:rsidR="0050318C" w:rsidRPr="0050318C">
        <w:rPr>
          <w:rFonts w:ascii="Times New Roman" w:hAnsi="Times New Roman" w:cs="Times New Roman"/>
          <w:sz w:val="26"/>
          <w:szCs w:val="26"/>
        </w:rPr>
        <w:t xml:space="preserve">ridge </w:t>
      </w:r>
      <w:r w:rsidR="0050318C">
        <w:rPr>
          <w:rFonts w:ascii="Times New Roman" w:hAnsi="Times New Roman" w:cs="Times New Roman"/>
          <w:sz w:val="26"/>
          <w:szCs w:val="26"/>
        </w:rPr>
        <w:t>T</w:t>
      </w:r>
      <w:r w:rsidR="0050318C" w:rsidRPr="0050318C">
        <w:rPr>
          <w:rFonts w:ascii="Times New Roman" w:hAnsi="Times New Roman" w:cs="Times New Roman"/>
          <w:sz w:val="26"/>
          <w:szCs w:val="26"/>
        </w:rPr>
        <w:t>ax</w:t>
      </w:r>
      <w:r w:rsidR="0050318C">
        <w:rPr>
          <w:rFonts w:ascii="Times New Roman" w:hAnsi="Times New Roman" w:cs="Times New Roman"/>
          <w:sz w:val="26"/>
          <w:szCs w:val="26"/>
        </w:rPr>
        <w:t>i F</w:t>
      </w:r>
      <w:r w:rsidR="0050318C" w:rsidRPr="0050318C">
        <w:rPr>
          <w:rFonts w:ascii="Times New Roman" w:hAnsi="Times New Roman" w:cs="Times New Roman"/>
          <w:sz w:val="26"/>
          <w:szCs w:val="26"/>
        </w:rPr>
        <w:t xml:space="preserve">inance </w:t>
      </w:r>
      <w:r w:rsidR="0050318C">
        <w:rPr>
          <w:rFonts w:ascii="Times New Roman" w:hAnsi="Times New Roman" w:cs="Times New Roman"/>
          <w:sz w:val="26"/>
          <w:szCs w:val="26"/>
        </w:rPr>
        <w:t>H</w:t>
      </w:r>
      <w:r w:rsidR="0050318C" w:rsidRPr="0050318C">
        <w:rPr>
          <w:rFonts w:ascii="Times New Roman" w:hAnsi="Times New Roman" w:cs="Times New Roman"/>
          <w:sz w:val="26"/>
          <w:szCs w:val="26"/>
        </w:rPr>
        <w:t>ol</w:t>
      </w:r>
      <w:r w:rsidR="0050318C">
        <w:rPr>
          <w:rFonts w:ascii="Times New Roman" w:hAnsi="Times New Roman" w:cs="Times New Roman"/>
          <w:sz w:val="26"/>
          <w:szCs w:val="26"/>
        </w:rPr>
        <w:t>d</w:t>
      </w:r>
      <w:r w:rsidR="0050318C" w:rsidRPr="0050318C">
        <w:rPr>
          <w:rFonts w:ascii="Times New Roman" w:hAnsi="Times New Roman" w:cs="Times New Roman"/>
          <w:sz w:val="26"/>
          <w:szCs w:val="26"/>
        </w:rPr>
        <w:t>ings</w:t>
      </w:r>
      <w:r w:rsidR="0050318C">
        <w:rPr>
          <w:rFonts w:ascii="Times New Roman" w:hAnsi="Times New Roman" w:cs="Times New Roman"/>
          <w:sz w:val="26"/>
          <w:szCs w:val="26"/>
        </w:rPr>
        <w:t>, a private company registered and incorporated in South Africa</w:t>
      </w:r>
      <w:r w:rsidR="005D66EE">
        <w:rPr>
          <w:rFonts w:ascii="Times New Roman" w:hAnsi="Times New Roman" w:cs="Times New Roman"/>
          <w:sz w:val="26"/>
          <w:szCs w:val="26"/>
        </w:rPr>
        <w:t xml:space="preserve">. </w:t>
      </w:r>
    </w:p>
    <w:p w14:paraId="7B935932" w14:textId="5ED1BBEA" w:rsidR="005D66EE" w:rsidRDefault="005D66EE" w:rsidP="00F3123A">
      <w:pPr>
        <w:spacing w:line="360" w:lineRule="auto"/>
        <w:jc w:val="both"/>
        <w:rPr>
          <w:rFonts w:ascii="Times New Roman" w:hAnsi="Times New Roman" w:cs="Times New Roman"/>
          <w:sz w:val="26"/>
          <w:szCs w:val="26"/>
        </w:rPr>
      </w:pPr>
    </w:p>
    <w:p w14:paraId="2F22D773" w14:textId="69668901" w:rsidR="005D66EE" w:rsidRDefault="00BA4300"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4</w:t>
      </w:r>
      <w:r>
        <w:rPr>
          <w:rFonts w:ascii="Times New Roman" w:hAnsi="Times New Roman" w:cs="Times New Roman"/>
          <w:sz w:val="26"/>
          <w:szCs w:val="26"/>
        </w:rPr>
        <w:t xml:space="preserve">] </w:t>
      </w:r>
      <w:r w:rsidR="008A73F5">
        <w:rPr>
          <w:rFonts w:ascii="Times New Roman" w:hAnsi="Times New Roman" w:cs="Times New Roman"/>
          <w:sz w:val="26"/>
          <w:szCs w:val="26"/>
        </w:rPr>
        <w:t>T</w:t>
      </w:r>
      <w:r w:rsidR="005D66EE" w:rsidRPr="005D66EE">
        <w:rPr>
          <w:rFonts w:ascii="Times New Roman" w:hAnsi="Times New Roman" w:cs="Times New Roman"/>
          <w:sz w:val="26"/>
          <w:szCs w:val="26"/>
        </w:rPr>
        <w:t>he second app</w:t>
      </w:r>
      <w:r w:rsidR="005D66EE">
        <w:rPr>
          <w:rFonts w:ascii="Times New Roman" w:hAnsi="Times New Roman" w:cs="Times New Roman"/>
          <w:sz w:val="26"/>
          <w:szCs w:val="26"/>
        </w:rPr>
        <w:t>licant</w:t>
      </w:r>
      <w:r w:rsidR="005D66EE" w:rsidRPr="005D66EE">
        <w:rPr>
          <w:rFonts w:ascii="Times New Roman" w:hAnsi="Times New Roman" w:cs="Times New Roman"/>
          <w:sz w:val="26"/>
          <w:szCs w:val="26"/>
        </w:rPr>
        <w:t xml:space="preserve"> is B</w:t>
      </w:r>
      <w:r w:rsidR="005D66EE">
        <w:rPr>
          <w:rFonts w:ascii="Times New Roman" w:hAnsi="Times New Roman" w:cs="Times New Roman"/>
          <w:sz w:val="26"/>
          <w:szCs w:val="26"/>
        </w:rPr>
        <w:t>ridge Service and Panel (PTY) L</w:t>
      </w:r>
      <w:r w:rsidR="00A26785">
        <w:rPr>
          <w:rFonts w:ascii="Times New Roman" w:hAnsi="Times New Roman" w:cs="Times New Roman"/>
          <w:sz w:val="26"/>
          <w:szCs w:val="26"/>
        </w:rPr>
        <w:t>td</w:t>
      </w:r>
      <w:r w:rsidR="005D66EE">
        <w:rPr>
          <w:rFonts w:ascii="Times New Roman" w:hAnsi="Times New Roman" w:cs="Times New Roman"/>
          <w:sz w:val="26"/>
          <w:szCs w:val="26"/>
        </w:rPr>
        <w:t xml:space="preserve">, </w:t>
      </w:r>
      <w:r w:rsidR="005D66EE" w:rsidRPr="005D66EE">
        <w:rPr>
          <w:rFonts w:ascii="Times New Roman" w:hAnsi="Times New Roman" w:cs="Times New Roman"/>
          <w:sz w:val="26"/>
          <w:szCs w:val="26"/>
        </w:rPr>
        <w:t>a private company registered and incorporated in South Africa</w:t>
      </w:r>
      <w:r w:rsidR="005D66EE">
        <w:rPr>
          <w:rFonts w:ascii="Times New Roman" w:hAnsi="Times New Roman" w:cs="Times New Roman"/>
          <w:sz w:val="26"/>
          <w:szCs w:val="26"/>
        </w:rPr>
        <w:t>.</w:t>
      </w:r>
      <w:r w:rsidR="0053462F">
        <w:rPr>
          <w:rFonts w:ascii="Times New Roman" w:hAnsi="Times New Roman" w:cs="Times New Roman"/>
          <w:sz w:val="26"/>
          <w:szCs w:val="26"/>
        </w:rPr>
        <w:t xml:space="preserve"> </w:t>
      </w:r>
      <w:r w:rsidR="008A73F5">
        <w:rPr>
          <w:rFonts w:ascii="Times New Roman" w:hAnsi="Times New Roman" w:cs="Times New Roman"/>
          <w:sz w:val="26"/>
          <w:szCs w:val="26"/>
        </w:rPr>
        <w:t xml:space="preserve"> </w:t>
      </w:r>
      <w:r w:rsidR="008A73F5" w:rsidRPr="008A73F5">
        <w:rPr>
          <w:rFonts w:ascii="Times New Roman" w:hAnsi="Times New Roman" w:cs="Times New Roman"/>
          <w:sz w:val="26"/>
          <w:szCs w:val="26"/>
        </w:rPr>
        <w:t>Bridge is in occupation of Erf 432 and Erf 329. Each of these erven are used by B</w:t>
      </w:r>
      <w:r w:rsidR="008A73F5">
        <w:rPr>
          <w:rFonts w:ascii="Times New Roman" w:hAnsi="Times New Roman" w:cs="Times New Roman"/>
          <w:sz w:val="26"/>
          <w:szCs w:val="26"/>
        </w:rPr>
        <w:t xml:space="preserve">ridge </w:t>
      </w:r>
      <w:r w:rsidR="008A73F5" w:rsidRPr="008A73F5">
        <w:rPr>
          <w:rFonts w:ascii="Times New Roman" w:hAnsi="Times New Roman" w:cs="Times New Roman"/>
          <w:sz w:val="26"/>
          <w:szCs w:val="26"/>
        </w:rPr>
        <w:t>in carrying on its business, pursuant to lease agreements concluded with Capital and JT Ross.</w:t>
      </w:r>
    </w:p>
    <w:p w14:paraId="44B631F6" w14:textId="1CA77932" w:rsidR="005D66EE" w:rsidRDefault="005D66EE" w:rsidP="00F3123A">
      <w:pPr>
        <w:spacing w:line="360" w:lineRule="auto"/>
        <w:jc w:val="both"/>
        <w:rPr>
          <w:rFonts w:ascii="Times New Roman" w:hAnsi="Times New Roman" w:cs="Times New Roman"/>
          <w:sz w:val="26"/>
          <w:szCs w:val="26"/>
        </w:rPr>
      </w:pPr>
    </w:p>
    <w:p w14:paraId="5FE129EF" w14:textId="1DA2E87F" w:rsidR="005D66EE" w:rsidRPr="008A73F5" w:rsidRDefault="00BA4300"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5</w:t>
      </w:r>
      <w:r>
        <w:rPr>
          <w:rFonts w:ascii="Times New Roman" w:hAnsi="Times New Roman" w:cs="Times New Roman"/>
          <w:sz w:val="26"/>
          <w:szCs w:val="26"/>
        </w:rPr>
        <w:t xml:space="preserve">] </w:t>
      </w:r>
      <w:r w:rsidR="005D66EE">
        <w:rPr>
          <w:rFonts w:ascii="Times New Roman" w:hAnsi="Times New Roman" w:cs="Times New Roman"/>
          <w:sz w:val="26"/>
          <w:szCs w:val="26"/>
        </w:rPr>
        <w:t>The third applicant is Capital Propfund (PTY) L</w:t>
      </w:r>
      <w:r w:rsidR="00A26785">
        <w:rPr>
          <w:rFonts w:ascii="Times New Roman" w:hAnsi="Times New Roman" w:cs="Times New Roman"/>
          <w:sz w:val="26"/>
          <w:szCs w:val="26"/>
        </w:rPr>
        <w:t>td</w:t>
      </w:r>
      <w:r w:rsidR="005D66EE">
        <w:rPr>
          <w:rFonts w:ascii="Times New Roman" w:hAnsi="Times New Roman" w:cs="Times New Roman"/>
          <w:sz w:val="26"/>
          <w:szCs w:val="26"/>
        </w:rPr>
        <w:t>, a private company registered and incorporated in South Africa.</w:t>
      </w:r>
      <w:r w:rsidR="00596BB8">
        <w:rPr>
          <w:rFonts w:ascii="Times New Roman" w:hAnsi="Times New Roman" w:cs="Times New Roman"/>
          <w:sz w:val="26"/>
          <w:szCs w:val="26"/>
        </w:rPr>
        <w:t xml:space="preserve"> </w:t>
      </w:r>
      <w:r w:rsidR="0053462F">
        <w:rPr>
          <w:rFonts w:ascii="Times New Roman" w:hAnsi="Times New Roman" w:cs="Times New Roman"/>
          <w:sz w:val="26"/>
          <w:szCs w:val="26"/>
        </w:rPr>
        <w:t xml:space="preserve"> </w:t>
      </w:r>
      <w:r w:rsidR="00A2306E">
        <w:rPr>
          <w:rFonts w:ascii="Times New Roman" w:hAnsi="Times New Roman" w:cs="Times New Roman"/>
          <w:sz w:val="26"/>
          <w:szCs w:val="26"/>
        </w:rPr>
        <w:t>Capital is the registered owner of the property known as Erf 432</w:t>
      </w:r>
      <w:r w:rsidR="008A73F5">
        <w:rPr>
          <w:rFonts w:ascii="Times New Roman" w:hAnsi="Times New Roman" w:cs="Times New Roman"/>
          <w:sz w:val="26"/>
          <w:szCs w:val="26"/>
        </w:rPr>
        <w:t xml:space="preserve"> (previously erven 426 and 427) Hans Strijdom Drive and Tungsten Stree</w:t>
      </w:r>
      <w:r w:rsidR="008B7C21">
        <w:rPr>
          <w:rFonts w:ascii="Times New Roman" w:hAnsi="Times New Roman" w:cs="Times New Roman"/>
          <w:sz w:val="26"/>
          <w:szCs w:val="26"/>
        </w:rPr>
        <w:t>t, Strijdom Park.</w:t>
      </w:r>
    </w:p>
    <w:p w14:paraId="7308A8D8" w14:textId="2E42597C" w:rsidR="005D66EE" w:rsidRDefault="005D66EE" w:rsidP="00F3123A">
      <w:pPr>
        <w:spacing w:line="360" w:lineRule="auto"/>
        <w:jc w:val="both"/>
        <w:rPr>
          <w:rFonts w:ascii="Times New Roman" w:hAnsi="Times New Roman" w:cs="Times New Roman"/>
          <w:sz w:val="26"/>
          <w:szCs w:val="26"/>
        </w:rPr>
      </w:pPr>
    </w:p>
    <w:p w14:paraId="57F739F9" w14:textId="0DBE10A7" w:rsidR="00596BB8" w:rsidRDefault="00BA4300" w:rsidP="00596BB8">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EE4725">
        <w:rPr>
          <w:rFonts w:ascii="Times New Roman" w:hAnsi="Times New Roman" w:cs="Times New Roman"/>
          <w:sz w:val="26"/>
          <w:szCs w:val="26"/>
        </w:rPr>
        <w:t>6</w:t>
      </w:r>
      <w:r>
        <w:rPr>
          <w:rFonts w:ascii="Times New Roman" w:hAnsi="Times New Roman" w:cs="Times New Roman"/>
          <w:sz w:val="26"/>
          <w:szCs w:val="26"/>
        </w:rPr>
        <w:t xml:space="preserve">] </w:t>
      </w:r>
      <w:r w:rsidR="005D66EE">
        <w:rPr>
          <w:rFonts w:ascii="Times New Roman" w:hAnsi="Times New Roman" w:cs="Times New Roman"/>
          <w:sz w:val="26"/>
          <w:szCs w:val="26"/>
        </w:rPr>
        <w:t>The fourth applicant is JT Ross Properties (PTY) LTD</w:t>
      </w:r>
      <w:r w:rsidR="00596BB8">
        <w:rPr>
          <w:rFonts w:ascii="Times New Roman" w:hAnsi="Times New Roman" w:cs="Times New Roman"/>
          <w:sz w:val="26"/>
          <w:szCs w:val="26"/>
        </w:rPr>
        <w:t xml:space="preserve">, a private company registered and incorporated in South Africa. </w:t>
      </w:r>
      <w:r w:rsidR="00596BB8" w:rsidRPr="00596BB8">
        <w:rPr>
          <w:rFonts w:ascii="Times New Roman" w:hAnsi="Times New Roman" w:cs="Times New Roman"/>
          <w:sz w:val="26"/>
          <w:szCs w:val="26"/>
        </w:rPr>
        <w:t>JT Ross is the registered owner of the property known as Erf 329 Strijdompark</w:t>
      </w:r>
      <w:r w:rsidR="00A26785">
        <w:rPr>
          <w:rFonts w:ascii="Times New Roman" w:hAnsi="Times New Roman" w:cs="Times New Roman"/>
          <w:sz w:val="26"/>
          <w:szCs w:val="26"/>
        </w:rPr>
        <w:t>,</w:t>
      </w:r>
      <w:r w:rsidR="00596BB8" w:rsidRPr="00596BB8">
        <w:rPr>
          <w:rFonts w:ascii="Times New Roman" w:hAnsi="Times New Roman" w:cs="Times New Roman"/>
          <w:sz w:val="26"/>
          <w:szCs w:val="26"/>
        </w:rPr>
        <w:t xml:space="preserve"> which is the vacant land at 329 Tungsten Street, Strijdom Park</w:t>
      </w:r>
      <w:r w:rsidR="008A73F5">
        <w:rPr>
          <w:rFonts w:ascii="Times New Roman" w:hAnsi="Times New Roman" w:cs="Times New Roman"/>
          <w:sz w:val="26"/>
          <w:szCs w:val="26"/>
        </w:rPr>
        <w:t>.</w:t>
      </w:r>
    </w:p>
    <w:p w14:paraId="08817236" w14:textId="6907291A" w:rsidR="008A73F5" w:rsidRDefault="008A73F5" w:rsidP="00596BB8">
      <w:pPr>
        <w:spacing w:line="360" w:lineRule="auto"/>
        <w:jc w:val="both"/>
        <w:rPr>
          <w:rFonts w:ascii="Times New Roman" w:hAnsi="Times New Roman" w:cs="Times New Roman"/>
          <w:sz w:val="26"/>
          <w:szCs w:val="26"/>
        </w:rPr>
      </w:pPr>
    </w:p>
    <w:p w14:paraId="52C0C015" w14:textId="4F919934" w:rsidR="008A73F5" w:rsidRDefault="00BA4300" w:rsidP="00596BB8">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7</w:t>
      </w:r>
      <w:r>
        <w:rPr>
          <w:rFonts w:ascii="Times New Roman" w:hAnsi="Times New Roman" w:cs="Times New Roman"/>
          <w:sz w:val="26"/>
          <w:szCs w:val="26"/>
        </w:rPr>
        <w:t xml:space="preserve">] </w:t>
      </w:r>
      <w:r w:rsidR="008A73F5" w:rsidRPr="008A73F5">
        <w:rPr>
          <w:rFonts w:ascii="Times New Roman" w:hAnsi="Times New Roman" w:cs="Times New Roman"/>
          <w:sz w:val="26"/>
          <w:szCs w:val="26"/>
        </w:rPr>
        <w:t xml:space="preserve">The first respondent is COG </w:t>
      </w:r>
      <w:r w:rsidR="008A73F5">
        <w:rPr>
          <w:rFonts w:ascii="Times New Roman" w:hAnsi="Times New Roman" w:cs="Times New Roman"/>
          <w:sz w:val="26"/>
          <w:szCs w:val="26"/>
        </w:rPr>
        <w:t>Oil Proprie</w:t>
      </w:r>
      <w:r w:rsidR="00501587">
        <w:rPr>
          <w:rFonts w:ascii="Times New Roman" w:hAnsi="Times New Roman" w:cs="Times New Roman"/>
          <w:sz w:val="26"/>
          <w:szCs w:val="26"/>
        </w:rPr>
        <w:t>tary Limited (</w:t>
      </w:r>
      <w:r w:rsidR="00501587">
        <w:rPr>
          <w:rFonts w:ascii="Times New Roman" w:hAnsi="Times New Roman" w:cs="Times New Roman"/>
          <w:b/>
          <w:bCs/>
          <w:sz w:val="26"/>
          <w:szCs w:val="26"/>
        </w:rPr>
        <w:t>“COG”</w:t>
      </w:r>
      <w:r w:rsidR="00501587">
        <w:rPr>
          <w:rFonts w:ascii="Times New Roman" w:hAnsi="Times New Roman" w:cs="Times New Roman"/>
          <w:sz w:val="26"/>
          <w:szCs w:val="26"/>
        </w:rPr>
        <w:t xml:space="preserve">), </w:t>
      </w:r>
      <w:r w:rsidR="008A73F5" w:rsidRPr="008A73F5">
        <w:rPr>
          <w:rFonts w:ascii="Times New Roman" w:hAnsi="Times New Roman" w:cs="Times New Roman"/>
          <w:sz w:val="26"/>
          <w:szCs w:val="26"/>
        </w:rPr>
        <w:t>a private company registered and incorporated in South Africa</w:t>
      </w:r>
      <w:r w:rsidR="00501587">
        <w:rPr>
          <w:rFonts w:ascii="Times New Roman" w:hAnsi="Times New Roman" w:cs="Times New Roman"/>
          <w:sz w:val="26"/>
          <w:szCs w:val="26"/>
        </w:rPr>
        <w:t>. COG carries on business at 75 Wakis Avenue, Strijdompark, Randburg, the rear of which property borders Tungsten Street, Strijdompark.</w:t>
      </w:r>
    </w:p>
    <w:p w14:paraId="7CB38974" w14:textId="0EAD3462" w:rsidR="00501587" w:rsidRDefault="00501587" w:rsidP="00596BB8">
      <w:pPr>
        <w:spacing w:line="360" w:lineRule="auto"/>
        <w:jc w:val="both"/>
        <w:rPr>
          <w:rFonts w:ascii="Times New Roman" w:hAnsi="Times New Roman" w:cs="Times New Roman"/>
          <w:sz w:val="26"/>
          <w:szCs w:val="26"/>
        </w:rPr>
      </w:pPr>
    </w:p>
    <w:p w14:paraId="25BF5637" w14:textId="1FAF451F" w:rsidR="00501587" w:rsidRDefault="00BA4300" w:rsidP="00596BB8">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8</w:t>
      </w:r>
      <w:r>
        <w:rPr>
          <w:rFonts w:ascii="Times New Roman" w:hAnsi="Times New Roman" w:cs="Times New Roman"/>
          <w:sz w:val="26"/>
          <w:szCs w:val="26"/>
        </w:rPr>
        <w:t xml:space="preserve">] </w:t>
      </w:r>
      <w:r w:rsidR="00501587">
        <w:rPr>
          <w:rFonts w:ascii="Times New Roman" w:hAnsi="Times New Roman" w:cs="Times New Roman"/>
          <w:sz w:val="26"/>
          <w:szCs w:val="26"/>
        </w:rPr>
        <w:t>The second respondent is the City of Johannesburg Metropolitan Municipality</w:t>
      </w:r>
      <w:r w:rsidR="003658AD">
        <w:rPr>
          <w:rFonts w:ascii="Times New Roman" w:hAnsi="Times New Roman" w:cs="Times New Roman"/>
          <w:sz w:val="26"/>
          <w:szCs w:val="26"/>
        </w:rPr>
        <w:t xml:space="preserve"> </w:t>
      </w:r>
      <w:r w:rsidR="00501587">
        <w:rPr>
          <w:rFonts w:ascii="Times New Roman" w:hAnsi="Times New Roman" w:cs="Times New Roman"/>
          <w:sz w:val="26"/>
          <w:szCs w:val="26"/>
        </w:rPr>
        <w:t>(</w:t>
      </w:r>
      <w:r w:rsidR="00501587">
        <w:rPr>
          <w:rFonts w:ascii="Times New Roman" w:hAnsi="Times New Roman" w:cs="Times New Roman"/>
          <w:b/>
          <w:bCs/>
          <w:sz w:val="26"/>
          <w:szCs w:val="26"/>
        </w:rPr>
        <w:t>“the City”</w:t>
      </w:r>
      <w:r w:rsidR="00501587">
        <w:rPr>
          <w:rFonts w:ascii="Times New Roman" w:hAnsi="Times New Roman" w:cs="Times New Roman"/>
          <w:sz w:val="26"/>
          <w:szCs w:val="26"/>
        </w:rPr>
        <w:t xml:space="preserve">), a local municipality as contemplated in the Local Government: </w:t>
      </w:r>
      <w:r w:rsidR="00501587" w:rsidRPr="00501587">
        <w:rPr>
          <w:rFonts w:ascii="Times New Roman" w:hAnsi="Times New Roman" w:cs="Times New Roman"/>
          <w:sz w:val="26"/>
          <w:szCs w:val="26"/>
        </w:rPr>
        <w:t>Municipa</w:t>
      </w:r>
      <w:r w:rsidR="00501587">
        <w:rPr>
          <w:rFonts w:ascii="Times New Roman" w:hAnsi="Times New Roman" w:cs="Times New Roman"/>
          <w:sz w:val="26"/>
          <w:szCs w:val="26"/>
        </w:rPr>
        <w:t xml:space="preserve">l </w:t>
      </w:r>
      <w:r w:rsidR="00501587" w:rsidRPr="00501587">
        <w:rPr>
          <w:rFonts w:ascii="Times New Roman" w:hAnsi="Times New Roman" w:cs="Times New Roman"/>
          <w:sz w:val="26"/>
          <w:szCs w:val="26"/>
        </w:rPr>
        <w:t xml:space="preserve">Systems Act, 32 of 2000 and the Local Government Municipal Structures Act,117 of 1998, as amended and published in Provincial Gazette Extraordinary No </w:t>
      </w:r>
      <w:r w:rsidR="00384EDE">
        <w:rPr>
          <w:rFonts w:ascii="Times New Roman" w:hAnsi="Times New Roman" w:cs="Times New Roman"/>
          <w:sz w:val="26"/>
          <w:szCs w:val="26"/>
        </w:rPr>
        <w:t>141</w:t>
      </w:r>
      <w:r w:rsidR="00501587" w:rsidRPr="00501587">
        <w:rPr>
          <w:rFonts w:ascii="Times New Roman" w:hAnsi="Times New Roman" w:cs="Times New Roman"/>
          <w:sz w:val="26"/>
          <w:szCs w:val="26"/>
        </w:rPr>
        <w:t xml:space="preserve"> of 1 October 2000, as amended by Notice 8698/2000 </w:t>
      </w:r>
      <w:r w:rsidR="00384EDE" w:rsidRPr="00501587">
        <w:rPr>
          <w:rFonts w:ascii="Times New Roman" w:hAnsi="Times New Roman" w:cs="Times New Roman"/>
          <w:sz w:val="26"/>
          <w:szCs w:val="26"/>
        </w:rPr>
        <w:t>published</w:t>
      </w:r>
      <w:r w:rsidR="00501587" w:rsidRPr="00501587">
        <w:rPr>
          <w:rFonts w:ascii="Times New Roman" w:hAnsi="Times New Roman" w:cs="Times New Roman"/>
          <w:sz w:val="26"/>
          <w:szCs w:val="26"/>
        </w:rPr>
        <w:t xml:space="preserve"> in Provincial Gazette Extraordinary No 195 of 4 December 2000</w:t>
      </w:r>
      <w:r w:rsidR="00384EDE">
        <w:rPr>
          <w:rFonts w:ascii="Times New Roman" w:hAnsi="Times New Roman" w:cs="Times New Roman"/>
          <w:sz w:val="26"/>
          <w:szCs w:val="26"/>
        </w:rPr>
        <w:t>.</w:t>
      </w:r>
    </w:p>
    <w:p w14:paraId="3F295F96" w14:textId="3144D2B0" w:rsidR="00384EDE" w:rsidRDefault="00384EDE" w:rsidP="00596BB8">
      <w:pPr>
        <w:spacing w:line="360" w:lineRule="auto"/>
        <w:jc w:val="both"/>
        <w:rPr>
          <w:rFonts w:ascii="Times New Roman" w:hAnsi="Times New Roman" w:cs="Times New Roman"/>
          <w:sz w:val="26"/>
          <w:szCs w:val="26"/>
        </w:rPr>
      </w:pPr>
    </w:p>
    <w:p w14:paraId="38537192" w14:textId="21FB78F3" w:rsidR="00384EDE" w:rsidRDefault="00BA4300" w:rsidP="00596BB8">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9</w:t>
      </w:r>
      <w:r>
        <w:rPr>
          <w:rFonts w:ascii="Times New Roman" w:hAnsi="Times New Roman" w:cs="Times New Roman"/>
          <w:sz w:val="26"/>
          <w:szCs w:val="26"/>
        </w:rPr>
        <w:t xml:space="preserve">] </w:t>
      </w:r>
      <w:r w:rsidR="00384EDE">
        <w:rPr>
          <w:rFonts w:ascii="Times New Roman" w:hAnsi="Times New Roman" w:cs="Times New Roman"/>
          <w:sz w:val="26"/>
          <w:szCs w:val="26"/>
        </w:rPr>
        <w:t>The third respondent is the City of Johannesburg Property Company SOC Limited (</w:t>
      </w:r>
      <w:r w:rsidR="00384EDE">
        <w:rPr>
          <w:rFonts w:ascii="Times New Roman" w:hAnsi="Times New Roman" w:cs="Times New Roman"/>
          <w:b/>
          <w:bCs/>
          <w:sz w:val="26"/>
          <w:szCs w:val="26"/>
        </w:rPr>
        <w:t>“JPC”</w:t>
      </w:r>
      <w:r w:rsidR="00384EDE">
        <w:rPr>
          <w:rFonts w:ascii="Times New Roman" w:hAnsi="Times New Roman" w:cs="Times New Roman"/>
          <w:sz w:val="26"/>
          <w:szCs w:val="26"/>
        </w:rPr>
        <w:t>), a public company registered and incorporated in South Africa.</w:t>
      </w:r>
    </w:p>
    <w:p w14:paraId="72B6466E" w14:textId="77777777" w:rsidR="00384EDE" w:rsidRDefault="00384EDE" w:rsidP="00596BB8">
      <w:pPr>
        <w:spacing w:line="360" w:lineRule="auto"/>
        <w:jc w:val="both"/>
        <w:rPr>
          <w:rFonts w:ascii="Times New Roman" w:hAnsi="Times New Roman" w:cs="Times New Roman"/>
          <w:sz w:val="26"/>
          <w:szCs w:val="26"/>
        </w:rPr>
      </w:pPr>
    </w:p>
    <w:p w14:paraId="50C9AC7B" w14:textId="28241313" w:rsidR="00384EDE" w:rsidRDefault="00BA4300" w:rsidP="00596BB8">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10</w:t>
      </w:r>
      <w:r>
        <w:rPr>
          <w:rFonts w:ascii="Times New Roman" w:hAnsi="Times New Roman" w:cs="Times New Roman"/>
          <w:sz w:val="26"/>
          <w:szCs w:val="26"/>
        </w:rPr>
        <w:t xml:space="preserve">] </w:t>
      </w:r>
      <w:r w:rsidR="00384EDE" w:rsidRPr="00384EDE">
        <w:rPr>
          <w:rFonts w:ascii="Times New Roman" w:hAnsi="Times New Roman" w:cs="Times New Roman"/>
          <w:sz w:val="26"/>
          <w:szCs w:val="26"/>
        </w:rPr>
        <w:t xml:space="preserve">The </w:t>
      </w:r>
      <w:r w:rsidR="008B7C21">
        <w:rPr>
          <w:rFonts w:ascii="Times New Roman" w:hAnsi="Times New Roman" w:cs="Times New Roman"/>
          <w:sz w:val="26"/>
          <w:szCs w:val="26"/>
        </w:rPr>
        <w:t>second and third respondents</w:t>
      </w:r>
      <w:r w:rsidR="00384EDE" w:rsidRPr="00384EDE">
        <w:rPr>
          <w:rFonts w:ascii="Times New Roman" w:hAnsi="Times New Roman" w:cs="Times New Roman"/>
          <w:sz w:val="26"/>
          <w:szCs w:val="26"/>
        </w:rPr>
        <w:t xml:space="preserve"> are cited in this application on account of their interest in the outcome of this application and, particularly, the review that</w:t>
      </w:r>
      <w:r w:rsidR="00384EDE">
        <w:rPr>
          <w:rFonts w:ascii="Times New Roman" w:hAnsi="Times New Roman" w:cs="Times New Roman"/>
          <w:sz w:val="26"/>
          <w:szCs w:val="26"/>
        </w:rPr>
        <w:t xml:space="preserve"> </w:t>
      </w:r>
      <w:r w:rsidR="00384EDE" w:rsidRPr="00384EDE">
        <w:rPr>
          <w:rFonts w:ascii="Times New Roman" w:hAnsi="Times New Roman" w:cs="Times New Roman"/>
          <w:sz w:val="26"/>
          <w:szCs w:val="26"/>
        </w:rPr>
        <w:t>the applicants are launching in respect of the decision taken by the City, alternatively, by JPC,</w:t>
      </w:r>
      <w:r w:rsidR="00384EDE">
        <w:rPr>
          <w:rFonts w:ascii="Times New Roman" w:hAnsi="Times New Roman" w:cs="Times New Roman"/>
          <w:sz w:val="26"/>
          <w:szCs w:val="26"/>
        </w:rPr>
        <w:t xml:space="preserve"> to enter into a lease agreement with COG for the </w:t>
      </w:r>
      <w:r w:rsidR="00384EDE" w:rsidRPr="00FC5DB9">
        <w:rPr>
          <w:rFonts w:ascii="Times New Roman" w:hAnsi="Times New Roman" w:cs="Times New Roman"/>
          <w:i/>
          <w:iCs/>
          <w:sz w:val="26"/>
          <w:szCs w:val="26"/>
        </w:rPr>
        <w:t>cul-de-sac</w:t>
      </w:r>
      <w:r w:rsidR="00384EDE">
        <w:rPr>
          <w:rFonts w:ascii="Times New Roman" w:hAnsi="Times New Roman" w:cs="Times New Roman"/>
          <w:sz w:val="26"/>
          <w:szCs w:val="26"/>
        </w:rPr>
        <w:t xml:space="preserve"> at the end of Tungsten Street, Randburg, which </w:t>
      </w:r>
      <w:r w:rsidR="008B7C21">
        <w:rPr>
          <w:rFonts w:ascii="Times New Roman" w:hAnsi="Times New Roman" w:cs="Times New Roman"/>
          <w:sz w:val="26"/>
          <w:szCs w:val="26"/>
        </w:rPr>
        <w:t>the second applicant</w:t>
      </w:r>
      <w:r w:rsidR="00384EDE">
        <w:rPr>
          <w:rFonts w:ascii="Times New Roman" w:hAnsi="Times New Roman" w:cs="Times New Roman"/>
          <w:sz w:val="26"/>
          <w:szCs w:val="26"/>
        </w:rPr>
        <w:t xml:space="preserve"> uses in the course of carrying  on its business.</w:t>
      </w:r>
    </w:p>
    <w:p w14:paraId="426FBCFE" w14:textId="4277FD44" w:rsidR="005D66EE" w:rsidRPr="005D66EE" w:rsidRDefault="005D66EE" w:rsidP="00F3123A">
      <w:pPr>
        <w:spacing w:line="360" w:lineRule="auto"/>
        <w:jc w:val="both"/>
        <w:rPr>
          <w:rFonts w:ascii="Times New Roman" w:hAnsi="Times New Roman" w:cs="Times New Roman"/>
          <w:i/>
          <w:iCs/>
          <w:sz w:val="26"/>
          <w:szCs w:val="26"/>
        </w:rPr>
      </w:pPr>
    </w:p>
    <w:p w14:paraId="688D1647" w14:textId="5A5A1364" w:rsidR="00CA6226" w:rsidRDefault="00CA6226" w:rsidP="00F3123A">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B</w:t>
      </w:r>
      <w:r w:rsidRPr="00CA6226">
        <w:rPr>
          <w:rFonts w:ascii="Times New Roman" w:hAnsi="Times New Roman" w:cs="Times New Roman"/>
          <w:i/>
          <w:iCs/>
          <w:sz w:val="26"/>
          <w:szCs w:val="26"/>
        </w:rPr>
        <w:t>ac</w:t>
      </w:r>
      <w:r>
        <w:rPr>
          <w:rFonts w:ascii="Times New Roman" w:hAnsi="Times New Roman" w:cs="Times New Roman"/>
          <w:i/>
          <w:iCs/>
          <w:sz w:val="26"/>
          <w:szCs w:val="26"/>
        </w:rPr>
        <w:t>k</w:t>
      </w:r>
      <w:r w:rsidRPr="00CA6226">
        <w:rPr>
          <w:rFonts w:ascii="Times New Roman" w:hAnsi="Times New Roman" w:cs="Times New Roman"/>
          <w:i/>
          <w:iCs/>
          <w:sz w:val="26"/>
          <w:szCs w:val="26"/>
        </w:rPr>
        <w:t>ground</w:t>
      </w:r>
      <w:r>
        <w:rPr>
          <w:rFonts w:ascii="Times New Roman" w:hAnsi="Times New Roman" w:cs="Times New Roman"/>
          <w:i/>
          <w:iCs/>
          <w:sz w:val="26"/>
          <w:szCs w:val="26"/>
        </w:rPr>
        <w:t xml:space="preserve"> of relevant facts</w:t>
      </w:r>
    </w:p>
    <w:p w14:paraId="60AE7D9A" w14:textId="15CB74E8" w:rsidR="007A42EA" w:rsidRPr="0004406C" w:rsidRDefault="007A42EA" w:rsidP="007A42E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11</w:t>
      </w:r>
      <w:r>
        <w:rPr>
          <w:rFonts w:ascii="Times New Roman" w:hAnsi="Times New Roman" w:cs="Times New Roman"/>
          <w:sz w:val="26"/>
          <w:szCs w:val="26"/>
        </w:rPr>
        <w:t xml:space="preserve">] For purposes of the application it is important to note that Erf 432 and Erf 329, occupied by the second applicant are adjoining erven in the </w:t>
      </w:r>
      <w:r w:rsidRPr="0004406C">
        <w:rPr>
          <w:rFonts w:ascii="Times New Roman" w:hAnsi="Times New Roman" w:cs="Times New Roman"/>
          <w:i/>
          <w:iCs/>
          <w:sz w:val="26"/>
          <w:szCs w:val="26"/>
        </w:rPr>
        <w:t>cul-de-sac</w:t>
      </w:r>
      <w:r>
        <w:rPr>
          <w:rFonts w:ascii="Times New Roman" w:hAnsi="Times New Roman" w:cs="Times New Roman"/>
          <w:sz w:val="26"/>
          <w:szCs w:val="26"/>
        </w:rPr>
        <w:t xml:space="preserve"> at the end of Tungsten Road. Erf 432 is an office park where the second applicant has its workshop.  </w:t>
      </w:r>
      <w:r>
        <w:rPr>
          <w:rFonts w:ascii="Times New Roman" w:hAnsi="Times New Roman" w:cs="Times New Roman"/>
          <w:sz w:val="26"/>
          <w:szCs w:val="26"/>
        </w:rPr>
        <w:lastRenderedPageBreak/>
        <w:t xml:space="preserve">The second applicant utilizes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via a gate on Erf 432  in order to enter and exit Erf 329 which it uses as a storage yard. </w:t>
      </w:r>
    </w:p>
    <w:p w14:paraId="4CA6D7EB" w14:textId="77777777" w:rsidR="007A42EA" w:rsidRDefault="007A42EA" w:rsidP="00F3123A">
      <w:pPr>
        <w:spacing w:line="360" w:lineRule="auto"/>
        <w:jc w:val="both"/>
        <w:rPr>
          <w:rFonts w:ascii="Times New Roman" w:hAnsi="Times New Roman" w:cs="Times New Roman"/>
          <w:i/>
          <w:iCs/>
          <w:sz w:val="26"/>
          <w:szCs w:val="26"/>
        </w:rPr>
      </w:pPr>
    </w:p>
    <w:p w14:paraId="3302860C" w14:textId="67EF4B0E" w:rsidR="00E83F79" w:rsidRDefault="00E83F79"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12</w:t>
      </w:r>
      <w:r>
        <w:rPr>
          <w:rFonts w:ascii="Times New Roman" w:hAnsi="Times New Roman" w:cs="Times New Roman"/>
          <w:sz w:val="26"/>
          <w:szCs w:val="26"/>
        </w:rPr>
        <w:t xml:space="preserve">] During 2014 Dr Wright, the Group Operations </w:t>
      </w:r>
      <w:r w:rsidR="007F7033">
        <w:rPr>
          <w:rFonts w:ascii="Times New Roman" w:hAnsi="Times New Roman" w:cs="Times New Roman"/>
          <w:sz w:val="26"/>
          <w:szCs w:val="26"/>
        </w:rPr>
        <w:t>Officer of the</w:t>
      </w:r>
      <w:r w:rsidR="00A31ADA">
        <w:rPr>
          <w:rFonts w:ascii="Times New Roman" w:hAnsi="Times New Roman" w:cs="Times New Roman"/>
          <w:sz w:val="26"/>
          <w:szCs w:val="26"/>
        </w:rPr>
        <w:t xml:space="preserve"> first respondent,</w:t>
      </w:r>
      <w:r w:rsidR="007F7033">
        <w:rPr>
          <w:rFonts w:ascii="Times New Roman" w:hAnsi="Times New Roman" w:cs="Times New Roman"/>
          <w:sz w:val="26"/>
          <w:szCs w:val="26"/>
        </w:rPr>
        <w:t xml:space="preserve"> C</w:t>
      </w:r>
      <w:r w:rsidR="00A31ADA">
        <w:rPr>
          <w:rFonts w:ascii="Times New Roman" w:hAnsi="Times New Roman" w:cs="Times New Roman"/>
          <w:sz w:val="26"/>
          <w:szCs w:val="26"/>
        </w:rPr>
        <w:t>OG</w:t>
      </w:r>
      <w:r w:rsidR="007F7033">
        <w:rPr>
          <w:rFonts w:ascii="Times New Roman" w:hAnsi="Times New Roman" w:cs="Times New Roman"/>
          <w:sz w:val="26"/>
          <w:szCs w:val="26"/>
        </w:rPr>
        <w:t xml:space="preserve"> approached the</w:t>
      </w:r>
      <w:r w:rsidR="00A31ADA">
        <w:rPr>
          <w:rFonts w:ascii="Times New Roman" w:hAnsi="Times New Roman" w:cs="Times New Roman"/>
          <w:sz w:val="26"/>
          <w:szCs w:val="26"/>
        </w:rPr>
        <w:t xml:space="preserve"> second and third respondents</w:t>
      </w:r>
      <w:r w:rsidR="007A42EA">
        <w:rPr>
          <w:rFonts w:ascii="Times New Roman" w:hAnsi="Times New Roman" w:cs="Times New Roman"/>
          <w:sz w:val="26"/>
          <w:szCs w:val="26"/>
        </w:rPr>
        <w:t xml:space="preserve"> </w:t>
      </w:r>
      <w:r w:rsidR="007F7033">
        <w:rPr>
          <w:rFonts w:ascii="Times New Roman" w:hAnsi="Times New Roman" w:cs="Times New Roman"/>
          <w:sz w:val="26"/>
          <w:szCs w:val="26"/>
        </w:rPr>
        <w:t xml:space="preserve">to purchase or lease the </w:t>
      </w:r>
      <w:r w:rsidR="007F7033">
        <w:rPr>
          <w:rFonts w:ascii="Times New Roman" w:hAnsi="Times New Roman" w:cs="Times New Roman"/>
          <w:i/>
          <w:iCs/>
          <w:sz w:val="26"/>
          <w:szCs w:val="26"/>
        </w:rPr>
        <w:t xml:space="preserve">cul-de-sac </w:t>
      </w:r>
      <w:r w:rsidR="007F7033">
        <w:rPr>
          <w:rFonts w:ascii="Times New Roman" w:hAnsi="Times New Roman" w:cs="Times New Roman"/>
          <w:sz w:val="26"/>
          <w:szCs w:val="26"/>
        </w:rPr>
        <w:t>in order to facilitate the expansion of the business of the Clive Teubes Group of Companies</w:t>
      </w:r>
      <w:r w:rsidR="007F7033">
        <w:rPr>
          <w:rStyle w:val="FootnoteReference"/>
          <w:rFonts w:ascii="Times New Roman" w:hAnsi="Times New Roman" w:cs="Times New Roman"/>
          <w:sz w:val="26"/>
          <w:szCs w:val="26"/>
        </w:rPr>
        <w:footnoteReference w:id="1"/>
      </w:r>
      <w:r w:rsidR="007F7033">
        <w:rPr>
          <w:rFonts w:ascii="Times New Roman" w:hAnsi="Times New Roman" w:cs="Times New Roman"/>
          <w:sz w:val="26"/>
          <w:szCs w:val="26"/>
        </w:rPr>
        <w:t>, of which COG is the property-owning company.</w:t>
      </w:r>
    </w:p>
    <w:p w14:paraId="1FE80862" w14:textId="51B137FE" w:rsidR="008B7C21" w:rsidRDefault="008B7C21" w:rsidP="00F3123A">
      <w:pPr>
        <w:spacing w:line="360" w:lineRule="auto"/>
        <w:jc w:val="both"/>
        <w:rPr>
          <w:rFonts w:ascii="Times New Roman" w:hAnsi="Times New Roman" w:cs="Times New Roman"/>
          <w:sz w:val="26"/>
          <w:szCs w:val="26"/>
        </w:rPr>
      </w:pPr>
    </w:p>
    <w:p w14:paraId="5D8B65A0" w14:textId="65BEF53F" w:rsidR="00ED2AD9" w:rsidRDefault="00ED2AD9" w:rsidP="00F3123A">
      <w:pPr>
        <w:spacing w:line="360" w:lineRule="auto"/>
        <w:jc w:val="both"/>
        <w:rPr>
          <w:rFonts w:ascii="Times New Roman" w:hAnsi="Times New Roman" w:cs="Times New Roman"/>
          <w:i/>
          <w:iCs/>
          <w:sz w:val="26"/>
          <w:szCs w:val="26"/>
        </w:rPr>
      </w:pPr>
      <w:r>
        <w:rPr>
          <w:rFonts w:ascii="Times New Roman" w:hAnsi="Times New Roman" w:cs="Times New Roman"/>
          <w:sz w:val="26"/>
          <w:szCs w:val="26"/>
        </w:rPr>
        <w:t>[</w:t>
      </w:r>
      <w:r w:rsidR="00EE4725">
        <w:rPr>
          <w:rFonts w:ascii="Times New Roman" w:hAnsi="Times New Roman" w:cs="Times New Roman"/>
          <w:sz w:val="26"/>
          <w:szCs w:val="26"/>
        </w:rPr>
        <w:t>13</w:t>
      </w:r>
      <w:r>
        <w:rPr>
          <w:rFonts w:ascii="Times New Roman" w:hAnsi="Times New Roman" w:cs="Times New Roman"/>
          <w:sz w:val="26"/>
          <w:szCs w:val="26"/>
        </w:rPr>
        <w:t>] The process took five years</w:t>
      </w:r>
      <w:r w:rsidR="007A42EA">
        <w:rPr>
          <w:rFonts w:ascii="Times New Roman" w:hAnsi="Times New Roman" w:cs="Times New Roman"/>
          <w:sz w:val="26"/>
          <w:szCs w:val="26"/>
        </w:rPr>
        <w:t xml:space="preserve"> until finalization. </w:t>
      </w:r>
      <w:r>
        <w:rPr>
          <w:rFonts w:ascii="Times New Roman" w:hAnsi="Times New Roman" w:cs="Times New Roman"/>
          <w:sz w:val="26"/>
          <w:szCs w:val="26"/>
        </w:rPr>
        <w:t xml:space="preserve"> </w:t>
      </w:r>
      <w:r w:rsidR="007A42EA">
        <w:rPr>
          <w:rFonts w:ascii="Times New Roman" w:hAnsi="Times New Roman" w:cs="Times New Roman"/>
          <w:sz w:val="26"/>
          <w:szCs w:val="26"/>
        </w:rPr>
        <w:t>D</w:t>
      </w:r>
      <w:r>
        <w:rPr>
          <w:rFonts w:ascii="Times New Roman" w:hAnsi="Times New Roman" w:cs="Times New Roman"/>
          <w:sz w:val="26"/>
          <w:szCs w:val="26"/>
        </w:rPr>
        <w:t xml:space="preserve">uring </w:t>
      </w:r>
      <w:r w:rsidR="002C479B">
        <w:rPr>
          <w:rFonts w:ascii="Times New Roman" w:hAnsi="Times New Roman" w:cs="Times New Roman"/>
          <w:sz w:val="26"/>
          <w:szCs w:val="26"/>
        </w:rPr>
        <w:t>the period</w:t>
      </w:r>
      <w:r>
        <w:rPr>
          <w:rFonts w:ascii="Times New Roman" w:hAnsi="Times New Roman" w:cs="Times New Roman"/>
          <w:sz w:val="26"/>
          <w:szCs w:val="26"/>
        </w:rPr>
        <w:t xml:space="preserve"> the intended use of the </w:t>
      </w:r>
      <w:r>
        <w:rPr>
          <w:rFonts w:ascii="Times New Roman" w:hAnsi="Times New Roman" w:cs="Times New Roman"/>
          <w:i/>
          <w:iCs/>
          <w:sz w:val="26"/>
          <w:szCs w:val="26"/>
        </w:rPr>
        <w:t xml:space="preserve">cul-de-sac </w:t>
      </w:r>
      <w:r>
        <w:rPr>
          <w:rFonts w:ascii="Times New Roman" w:hAnsi="Times New Roman" w:cs="Times New Roman"/>
          <w:sz w:val="26"/>
          <w:szCs w:val="26"/>
        </w:rPr>
        <w:t>was advertised</w:t>
      </w:r>
      <w:r w:rsidR="002C479B">
        <w:rPr>
          <w:rFonts w:ascii="Times New Roman" w:hAnsi="Times New Roman" w:cs="Times New Roman"/>
          <w:sz w:val="26"/>
          <w:szCs w:val="26"/>
        </w:rPr>
        <w:t xml:space="preserve"> by the relevant parties</w:t>
      </w:r>
      <w:r>
        <w:rPr>
          <w:rFonts w:ascii="Times New Roman" w:hAnsi="Times New Roman" w:cs="Times New Roman"/>
          <w:sz w:val="26"/>
          <w:szCs w:val="26"/>
        </w:rPr>
        <w:t xml:space="preserve">, and no objections were received to the enclosure of the </w:t>
      </w:r>
      <w:r>
        <w:rPr>
          <w:rFonts w:ascii="Times New Roman" w:hAnsi="Times New Roman" w:cs="Times New Roman"/>
          <w:i/>
          <w:iCs/>
          <w:sz w:val="26"/>
          <w:szCs w:val="26"/>
        </w:rPr>
        <w:t>cul-de-sac.</w:t>
      </w:r>
      <w:r w:rsidRPr="00ED2AD9">
        <w:rPr>
          <w:rStyle w:val="FootnoteReference"/>
          <w:rFonts w:ascii="Times New Roman" w:hAnsi="Times New Roman" w:cs="Times New Roman"/>
          <w:sz w:val="26"/>
          <w:szCs w:val="26"/>
        </w:rPr>
        <w:footnoteReference w:id="2"/>
      </w:r>
      <w:r>
        <w:rPr>
          <w:rFonts w:ascii="Times New Roman" w:hAnsi="Times New Roman" w:cs="Times New Roman"/>
          <w:i/>
          <w:iCs/>
          <w:sz w:val="26"/>
          <w:szCs w:val="26"/>
        </w:rPr>
        <w:t xml:space="preserve"> </w:t>
      </w:r>
    </w:p>
    <w:p w14:paraId="609989EF" w14:textId="7D4D75BB" w:rsidR="0033402D" w:rsidRDefault="0033402D" w:rsidP="00F3123A">
      <w:pPr>
        <w:spacing w:line="360" w:lineRule="auto"/>
        <w:jc w:val="both"/>
        <w:rPr>
          <w:rFonts w:ascii="Times New Roman" w:hAnsi="Times New Roman" w:cs="Times New Roman"/>
          <w:i/>
          <w:iCs/>
          <w:sz w:val="26"/>
          <w:szCs w:val="26"/>
        </w:rPr>
      </w:pPr>
    </w:p>
    <w:p w14:paraId="1FAA73F5" w14:textId="6B0FA49A" w:rsidR="0033402D" w:rsidRDefault="0033402D"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14</w:t>
      </w:r>
      <w:r>
        <w:rPr>
          <w:rFonts w:ascii="Times New Roman" w:hAnsi="Times New Roman" w:cs="Times New Roman"/>
          <w:sz w:val="26"/>
          <w:szCs w:val="26"/>
        </w:rPr>
        <w:t xml:space="preserve">] </w:t>
      </w:r>
      <w:r w:rsidR="00A31ADA">
        <w:rPr>
          <w:rFonts w:ascii="Times New Roman" w:hAnsi="Times New Roman" w:cs="Times New Roman"/>
          <w:sz w:val="26"/>
          <w:szCs w:val="26"/>
        </w:rPr>
        <w:t xml:space="preserve">The </w:t>
      </w:r>
      <w:r w:rsidR="002C479B">
        <w:rPr>
          <w:rFonts w:ascii="Times New Roman" w:hAnsi="Times New Roman" w:cs="Times New Roman"/>
          <w:sz w:val="26"/>
          <w:szCs w:val="26"/>
        </w:rPr>
        <w:t xml:space="preserve">third </w:t>
      </w:r>
      <w:r w:rsidR="00A31ADA">
        <w:rPr>
          <w:rFonts w:ascii="Times New Roman" w:hAnsi="Times New Roman" w:cs="Times New Roman"/>
          <w:sz w:val="26"/>
          <w:szCs w:val="26"/>
        </w:rPr>
        <w:t>applicant purchased the building</w:t>
      </w:r>
      <w:r w:rsidR="002C479B">
        <w:rPr>
          <w:rFonts w:ascii="Times New Roman" w:hAnsi="Times New Roman" w:cs="Times New Roman"/>
          <w:sz w:val="26"/>
          <w:szCs w:val="26"/>
        </w:rPr>
        <w:t xml:space="preserve"> on erf 432 on 26 July 2016. </w:t>
      </w:r>
      <w:r w:rsidR="00A31ADA">
        <w:rPr>
          <w:rFonts w:ascii="Times New Roman" w:hAnsi="Times New Roman" w:cs="Times New Roman"/>
          <w:sz w:val="26"/>
          <w:szCs w:val="26"/>
        </w:rPr>
        <w:t xml:space="preserve"> </w:t>
      </w:r>
      <w:r w:rsidR="002C479B">
        <w:rPr>
          <w:rFonts w:ascii="Times New Roman" w:hAnsi="Times New Roman" w:cs="Times New Roman"/>
          <w:sz w:val="26"/>
          <w:szCs w:val="26"/>
        </w:rPr>
        <w:t xml:space="preserve">During December 2019 the property was </w:t>
      </w:r>
      <w:r w:rsidR="003658AD">
        <w:rPr>
          <w:rFonts w:ascii="Times New Roman" w:hAnsi="Times New Roman" w:cs="Times New Roman"/>
          <w:sz w:val="26"/>
          <w:szCs w:val="26"/>
        </w:rPr>
        <w:t>leased</w:t>
      </w:r>
      <w:r w:rsidR="002C479B">
        <w:rPr>
          <w:rFonts w:ascii="Times New Roman" w:hAnsi="Times New Roman" w:cs="Times New Roman"/>
          <w:sz w:val="26"/>
          <w:szCs w:val="26"/>
        </w:rPr>
        <w:t xml:space="preserve"> </w:t>
      </w:r>
      <w:r w:rsidR="003658AD">
        <w:rPr>
          <w:rFonts w:ascii="Times New Roman" w:hAnsi="Times New Roman" w:cs="Times New Roman"/>
          <w:sz w:val="26"/>
          <w:szCs w:val="26"/>
        </w:rPr>
        <w:t>by</w:t>
      </w:r>
      <w:r w:rsidR="00FD76E6">
        <w:rPr>
          <w:rFonts w:ascii="Times New Roman" w:hAnsi="Times New Roman" w:cs="Times New Roman"/>
          <w:sz w:val="26"/>
          <w:szCs w:val="26"/>
        </w:rPr>
        <w:t xml:space="preserve"> the third applicant to the first and second applicants. </w:t>
      </w:r>
      <w:r w:rsidR="0053462F">
        <w:rPr>
          <w:rFonts w:ascii="Times New Roman" w:hAnsi="Times New Roman" w:cs="Times New Roman"/>
          <w:sz w:val="26"/>
          <w:szCs w:val="26"/>
        </w:rPr>
        <w:t xml:space="preserve"> </w:t>
      </w:r>
      <w:r w:rsidR="00FD76E6">
        <w:rPr>
          <w:rFonts w:ascii="Times New Roman" w:hAnsi="Times New Roman" w:cs="Times New Roman"/>
          <w:sz w:val="26"/>
          <w:szCs w:val="26"/>
        </w:rPr>
        <w:t xml:space="preserve">This was </w:t>
      </w:r>
      <w:r w:rsidR="00A31ADA">
        <w:rPr>
          <w:rFonts w:ascii="Times New Roman" w:hAnsi="Times New Roman" w:cs="Times New Roman"/>
          <w:sz w:val="26"/>
          <w:szCs w:val="26"/>
        </w:rPr>
        <w:t xml:space="preserve">after the intended use of the </w:t>
      </w:r>
      <w:r w:rsidR="00A31ADA">
        <w:rPr>
          <w:rFonts w:ascii="Times New Roman" w:hAnsi="Times New Roman" w:cs="Times New Roman"/>
          <w:i/>
          <w:iCs/>
          <w:sz w:val="26"/>
          <w:szCs w:val="26"/>
        </w:rPr>
        <w:t xml:space="preserve">cul-de-sac </w:t>
      </w:r>
      <w:r w:rsidR="00A31ADA">
        <w:rPr>
          <w:rFonts w:ascii="Times New Roman" w:hAnsi="Times New Roman" w:cs="Times New Roman"/>
          <w:sz w:val="26"/>
          <w:szCs w:val="26"/>
        </w:rPr>
        <w:t>had been advertised to neighbours</w:t>
      </w:r>
      <w:r w:rsidR="00FD76E6">
        <w:rPr>
          <w:rFonts w:ascii="Times New Roman" w:hAnsi="Times New Roman" w:cs="Times New Roman"/>
          <w:sz w:val="26"/>
          <w:szCs w:val="26"/>
        </w:rPr>
        <w:t xml:space="preserve"> in the area and</w:t>
      </w:r>
      <w:r w:rsidR="00A31ADA">
        <w:rPr>
          <w:rFonts w:ascii="Times New Roman" w:hAnsi="Times New Roman" w:cs="Times New Roman"/>
          <w:sz w:val="26"/>
          <w:szCs w:val="26"/>
        </w:rPr>
        <w:t xml:space="preserve"> </w:t>
      </w:r>
      <w:r w:rsidR="00FD76E6">
        <w:rPr>
          <w:rFonts w:ascii="Times New Roman" w:hAnsi="Times New Roman" w:cs="Times New Roman"/>
          <w:sz w:val="26"/>
          <w:szCs w:val="26"/>
        </w:rPr>
        <w:t>no</w:t>
      </w:r>
      <w:r w:rsidR="00A31ADA">
        <w:rPr>
          <w:rFonts w:ascii="Times New Roman" w:hAnsi="Times New Roman" w:cs="Times New Roman"/>
          <w:sz w:val="26"/>
          <w:szCs w:val="26"/>
        </w:rPr>
        <w:t xml:space="preserve"> objection</w:t>
      </w:r>
      <w:r w:rsidR="00FD76E6">
        <w:rPr>
          <w:rFonts w:ascii="Times New Roman" w:hAnsi="Times New Roman" w:cs="Times New Roman"/>
          <w:sz w:val="26"/>
          <w:szCs w:val="26"/>
        </w:rPr>
        <w:t>s were lodge against the intended clo</w:t>
      </w:r>
      <w:r w:rsidR="003658AD">
        <w:rPr>
          <w:rFonts w:ascii="Times New Roman" w:hAnsi="Times New Roman" w:cs="Times New Roman"/>
          <w:sz w:val="26"/>
          <w:szCs w:val="26"/>
        </w:rPr>
        <w:t>sure</w:t>
      </w:r>
      <w:r w:rsidR="00FD76E6">
        <w:rPr>
          <w:rFonts w:ascii="Times New Roman" w:hAnsi="Times New Roman" w:cs="Times New Roman"/>
          <w:sz w:val="26"/>
          <w:szCs w:val="26"/>
        </w:rPr>
        <w:t xml:space="preserve"> of the </w:t>
      </w:r>
      <w:r w:rsidR="00FD76E6">
        <w:rPr>
          <w:rFonts w:ascii="Times New Roman" w:hAnsi="Times New Roman" w:cs="Times New Roman"/>
          <w:i/>
          <w:iCs/>
          <w:sz w:val="26"/>
          <w:szCs w:val="26"/>
        </w:rPr>
        <w:t>cul-de-sac</w:t>
      </w:r>
      <w:r w:rsidR="00A31ADA">
        <w:rPr>
          <w:rFonts w:ascii="Times New Roman" w:hAnsi="Times New Roman" w:cs="Times New Roman"/>
          <w:sz w:val="26"/>
          <w:szCs w:val="26"/>
        </w:rPr>
        <w:t>.</w:t>
      </w:r>
    </w:p>
    <w:p w14:paraId="0735E8EC" w14:textId="3A354A3A" w:rsidR="00FD76E6" w:rsidRDefault="00FD76E6" w:rsidP="00F3123A">
      <w:pPr>
        <w:spacing w:line="360" w:lineRule="auto"/>
        <w:jc w:val="both"/>
        <w:rPr>
          <w:rFonts w:ascii="Times New Roman" w:hAnsi="Times New Roman" w:cs="Times New Roman"/>
          <w:sz w:val="26"/>
          <w:szCs w:val="26"/>
        </w:rPr>
      </w:pPr>
    </w:p>
    <w:p w14:paraId="22CD811B" w14:textId="4599388F" w:rsidR="00FD76E6" w:rsidRDefault="00FD76E6" w:rsidP="00FD76E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15</w:t>
      </w:r>
      <w:r>
        <w:rPr>
          <w:rFonts w:ascii="Times New Roman" w:hAnsi="Times New Roman" w:cs="Times New Roman"/>
          <w:sz w:val="26"/>
          <w:szCs w:val="26"/>
        </w:rPr>
        <w:t xml:space="preserve">] The business of the first and second applicants concerns the repair of broken-down minibus taxis, and therefore the </w:t>
      </w:r>
      <w:r>
        <w:rPr>
          <w:rFonts w:ascii="Times New Roman" w:hAnsi="Times New Roman" w:cs="Times New Roman"/>
          <w:i/>
          <w:iCs/>
          <w:sz w:val="26"/>
          <w:szCs w:val="26"/>
        </w:rPr>
        <w:t xml:space="preserve">cul-de-sac </w:t>
      </w:r>
      <w:r>
        <w:rPr>
          <w:rFonts w:ascii="Times New Roman" w:hAnsi="Times New Roman" w:cs="Times New Roman"/>
          <w:sz w:val="26"/>
          <w:szCs w:val="26"/>
        </w:rPr>
        <w:t>is used to store the broken-down minibus taxis awaiting repair.</w:t>
      </w:r>
    </w:p>
    <w:p w14:paraId="519A3112" w14:textId="77777777" w:rsidR="007F7033" w:rsidRPr="007F7033" w:rsidRDefault="007F7033" w:rsidP="00F3123A">
      <w:pPr>
        <w:spacing w:line="360" w:lineRule="auto"/>
        <w:jc w:val="both"/>
        <w:rPr>
          <w:rFonts w:ascii="Times New Roman" w:hAnsi="Times New Roman" w:cs="Times New Roman"/>
          <w:sz w:val="26"/>
          <w:szCs w:val="26"/>
        </w:rPr>
      </w:pPr>
    </w:p>
    <w:p w14:paraId="770C80CE" w14:textId="163B97AC" w:rsidR="009141CF" w:rsidRDefault="00FC5DB9"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16</w:t>
      </w:r>
      <w:r>
        <w:rPr>
          <w:rFonts w:ascii="Times New Roman" w:hAnsi="Times New Roman" w:cs="Times New Roman"/>
          <w:sz w:val="26"/>
          <w:szCs w:val="26"/>
        </w:rPr>
        <w:t xml:space="preserve">] On 24 October 2019 </w:t>
      </w:r>
      <w:r w:rsidR="00A31ADA">
        <w:rPr>
          <w:rFonts w:ascii="Times New Roman" w:hAnsi="Times New Roman" w:cs="Times New Roman"/>
          <w:sz w:val="26"/>
          <w:szCs w:val="26"/>
        </w:rPr>
        <w:t xml:space="preserve">the first respondent, </w:t>
      </w:r>
      <w:r>
        <w:rPr>
          <w:rFonts w:ascii="Times New Roman" w:hAnsi="Times New Roman" w:cs="Times New Roman"/>
          <w:sz w:val="26"/>
          <w:szCs w:val="26"/>
        </w:rPr>
        <w:t>COG entered into a written lease agreement (</w:t>
      </w:r>
      <w:r>
        <w:rPr>
          <w:rFonts w:ascii="Times New Roman" w:hAnsi="Times New Roman" w:cs="Times New Roman"/>
          <w:b/>
          <w:bCs/>
          <w:sz w:val="26"/>
          <w:szCs w:val="26"/>
        </w:rPr>
        <w:t>the lease”</w:t>
      </w:r>
      <w:r>
        <w:rPr>
          <w:rFonts w:ascii="Times New Roman" w:hAnsi="Times New Roman" w:cs="Times New Roman"/>
          <w:sz w:val="26"/>
          <w:szCs w:val="26"/>
        </w:rPr>
        <w:t xml:space="preserve">) with the </w:t>
      </w:r>
      <w:r w:rsidR="00A31ADA">
        <w:rPr>
          <w:rFonts w:ascii="Times New Roman" w:hAnsi="Times New Roman" w:cs="Times New Roman"/>
          <w:sz w:val="26"/>
          <w:szCs w:val="26"/>
        </w:rPr>
        <w:t>second respondent</w:t>
      </w:r>
      <w:r>
        <w:rPr>
          <w:rFonts w:ascii="Times New Roman" w:hAnsi="Times New Roman" w:cs="Times New Roman"/>
          <w:sz w:val="26"/>
          <w:szCs w:val="26"/>
        </w:rPr>
        <w:t xml:space="preserve"> in respect of the </w:t>
      </w:r>
      <w:r w:rsidRPr="00FC5DB9">
        <w:rPr>
          <w:rFonts w:ascii="Times New Roman" w:hAnsi="Times New Roman" w:cs="Times New Roman"/>
          <w:i/>
          <w:iCs/>
          <w:sz w:val="26"/>
          <w:szCs w:val="26"/>
        </w:rPr>
        <w:t>cul-de-sac</w:t>
      </w:r>
      <w:r>
        <w:rPr>
          <w:rFonts w:ascii="Times New Roman" w:hAnsi="Times New Roman" w:cs="Times New Roman"/>
          <w:sz w:val="26"/>
          <w:szCs w:val="26"/>
        </w:rPr>
        <w:t>.  In terms of the lease the property lease</w:t>
      </w:r>
      <w:r w:rsidR="003658AD">
        <w:rPr>
          <w:rFonts w:ascii="Times New Roman" w:hAnsi="Times New Roman" w:cs="Times New Roman"/>
          <w:sz w:val="26"/>
          <w:szCs w:val="26"/>
        </w:rPr>
        <w:t>d</w:t>
      </w:r>
      <w:r>
        <w:rPr>
          <w:rFonts w:ascii="Times New Roman" w:hAnsi="Times New Roman" w:cs="Times New Roman"/>
          <w:sz w:val="26"/>
          <w:szCs w:val="26"/>
        </w:rPr>
        <w:t xml:space="preserve"> and hired is the </w:t>
      </w:r>
      <w:r w:rsidRPr="00FC5DB9">
        <w:rPr>
          <w:rFonts w:ascii="Times New Roman" w:hAnsi="Times New Roman" w:cs="Times New Roman"/>
          <w:i/>
          <w:iCs/>
          <w:sz w:val="26"/>
          <w:szCs w:val="26"/>
        </w:rPr>
        <w:t>cul-de-sac</w:t>
      </w:r>
      <w:r w:rsidR="00FD76E6">
        <w:rPr>
          <w:rFonts w:ascii="Times New Roman" w:hAnsi="Times New Roman" w:cs="Times New Roman"/>
          <w:i/>
          <w:iCs/>
          <w:sz w:val="26"/>
          <w:szCs w:val="26"/>
        </w:rPr>
        <w:t xml:space="preserve">. </w:t>
      </w:r>
      <w:r w:rsidR="00E83F79">
        <w:rPr>
          <w:rFonts w:ascii="Times New Roman" w:hAnsi="Times New Roman" w:cs="Times New Roman"/>
          <w:i/>
          <w:iCs/>
          <w:sz w:val="26"/>
          <w:szCs w:val="26"/>
        </w:rPr>
        <w:t xml:space="preserve"> </w:t>
      </w:r>
      <w:r w:rsidR="00FD76E6">
        <w:rPr>
          <w:rFonts w:ascii="Times New Roman" w:hAnsi="Times New Roman" w:cs="Times New Roman"/>
          <w:sz w:val="26"/>
          <w:szCs w:val="26"/>
        </w:rPr>
        <w:t>T</w:t>
      </w:r>
      <w:r w:rsidR="00E83F79">
        <w:rPr>
          <w:rFonts w:ascii="Times New Roman" w:hAnsi="Times New Roman" w:cs="Times New Roman"/>
          <w:sz w:val="26"/>
          <w:szCs w:val="26"/>
        </w:rPr>
        <w:t xml:space="preserve">he lease period will be for nine years and eleven months commencing on 1 November 2019. </w:t>
      </w:r>
      <w:r w:rsidR="0053462F">
        <w:rPr>
          <w:rFonts w:ascii="Times New Roman" w:hAnsi="Times New Roman" w:cs="Times New Roman"/>
          <w:sz w:val="26"/>
          <w:szCs w:val="26"/>
        </w:rPr>
        <w:t xml:space="preserve"> </w:t>
      </w:r>
      <w:r w:rsidR="00E83F79">
        <w:rPr>
          <w:rFonts w:ascii="Times New Roman" w:hAnsi="Times New Roman" w:cs="Times New Roman"/>
          <w:sz w:val="26"/>
          <w:szCs w:val="26"/>
        </w:rPr>
        <w:t xml:space="preserve">The termination date of the lease will be 30 September 2030.  In terms of the lease the </w:t>
      </w:r>
      <w:r w:rsidR="00E83F79">
        <w:rPr>
          <w:rFonts w:ascii="Times New Roman" w:hAnsi="Times New Roman" w:cs="Times New Roman"/>
          <w:i/>
          <w:iCs/>
          <w:sz w:val="26"/>
          <w:szCs w:val="26"/>
        </w:rPr>
        <w:t>cul-de-sac</w:t>
      </w:r>
      <w:r w:rsidR="00E83F79">
        <w:rPr>
          <w:rFonts w:ascii="Times New Roman" w:hAnsi="Times New Roman" w:cs="Times New Roman"/>
          <w:sz w:val="26"/>
          <w:szCs w:val="26"/>
        </w:rPr>
        <w:t xml:space="preserve"> is leased for storage purposes.</w:t>
      </w:r>
    </w:p>
    <w:p w14:paraId="307733A9" w14:textId="4DC76C1D" w:rsidR="009141CF" w:rsidRDefault="009141CF" w:rsidP="00F3123A">
      <w:pPr>
        <w:spacing w:line="360" w:lineRule="auto"/>
        <w:jc w:val="both"/>
        <w:rPr>
          <w:rFonts w:ascii="Times New Roman" w:hAnsi="Times New Roman" w:cs="Times New Roman"/>
          <w:i/>
          <w:iCs/>
          <w:sz w:val="26"/>
          <w:szCs w:val="26"/>
        </w:rPr>
      </w:pPr>
      <w:r>
        <w:rPr>
          <w:rFonts w:ascii="Times New Roman" w:hAnsi="Times New Roman" w:cs="Times New Roman"/>
          <w:sz w:val="26"/>
          <w:szCs w:val="26"/>
        </w:rPr>
        <w:lastRenderedPageBreak/>
        <w:t>[</w:t>
      </w:r>
      <w:r w:rsidR="00EE4725">
        <w:rPr>
          <w:rFonts w:ascii="Times New Roman" w:hAnsi="Times New Roman" w:cs="Times New Roman"/>
          <w:sz w:val="26"/>
          <w:szCs w:val="26"/>
        </w:rPr>
        <w:t>17</w:t>
      </w:r>
      <w:r>
        <w:rPr>
          <w:rFonts w:ascii="Times New Roman" w:hAnsi="Times New Roman" w:cs="Times New Roman"/>
          <w:sz w:val="26"/>
          <w:szCs w:val="26"/>
        </w:rPr>
        <w:t xml:space="preserve">] During June 2020 the first and second applicants were informed of the existence of the lease, and as such were aware of the first respondent’s intention to enclosed the </w:t>
      </w:r>
      <w:r>
        <w:rPr>
          <w:rFonts w:ascii="Times New Roman" w:hAnsi="Times New Roman" w:cs="Times New Roman"/>
          <w:i/>
          <w:iCs/>
          <w:sz w:val="26"/>
          <w:szCs w:val="26"/>
        </w:rPr>
        <w:t>cul-de-sac</w:t>
      </w:r>
      <w:r w:rsidR="00761384">
        <w:rPr>
          <w:rFonts w:ascii="Times New Roman" w:hAnsi="Times New Roman" w:cs="Times New Roman"/>
          <w:i/>
          <w:iCs/>
          <w:sz w:val="26"/>
          <w:szCs w:val="26"/>
        </w:rPr>
        <w:t>.</w:t>
      </w:r>
    </w:p>
    <w:p w14:paraId="663AA596" w14:textId="72EF65D9" w:rsidR="00761384" w:rsidRDefault="00761384" w:rsidP="00F3123A">
      <w:pPr>
        <w:spacing w:line="360" w:lineRule="auto"/>
        <w:jc w:val="both"/>
        <w:rPr>
          <w:rFonts w:ascii="Times New Roman" w:hAnsi="Times New Roman" w:cs="Times New Roman"/>
          <w:sz w:val="26"/>
          <w:szCs w:val="26"/>
        </w:rPr>
      </w:pPr>
    </w:p>
    <w:p w14:paraId="6523276C" w14:textId="5C196170" w:rsidR="00761384" w:rsidRDefault="00761384"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18</w:t>
      </w:r>
      <w:r>
        <w:rPr>
          <w:rFonts w:ascii="Times New Roman" w:hAnsi="Times New Roman" w:cs="Times New Roman"/>
          <w:sz w:val="26"/>
          <w:szCs w:val="26"/>
        </w:rPr>
        <w:t xml:space="preserve">] </w:t>
      </w:r>
      <w:r w:rsidR="003658AD">
        <w:rPr>
          <w:rFonts w:ascii="Times New Roman" w:hAnsi="Times New Roman" w:cs="Times New Roman"/>
          <w:sz w:val="26"/>
          <w:szCs w:val="26"/>
        </w:rPr>
        <w:t xml:space="preserve">The first respondent requested </w:t>
      </w:r>
      <w:r>
        <w:rPr>
          <w:rFonts w:ascii="Times New Roman" w:hAnsi="Times New Roman" w:cs="Times New Roman"/>
          <w:sz w:val="26"/>
          <w:szCs w:val="26"/>
        </w:rPr>
        <w:t xml:space="preserve">the first and second applicants </w:t>
      </w:r>
      <w:r w:rsidR="003658AD">
        <w:rPr>
          <w:rFonts w:ascii="Times New Roman" w:hAnsi="Times New Roman" w:cs="Times New Roman"/>
          <w:sz w:val="26"/>
          <w:szCs w:val="26"/>
        </w:rPr>
        <w:t>to</w:t>
      </w:r>
      <w:r>
        <w:rPr>
          <w:rFonts w:ascii="Times New Roman" w:hAnsi="Times New Roman" w:cs="Times New Roman"/>
          <w:sz w:val="26"/>
          <w:szCs w:val="26"/>
        </w:rPr>
        <w:t xml:space="preserve"> remove the broken-down minibus taxis from the </w:t>
      </w:r>
      <w:r>
        <w:rPr>
          <w:rFonts w:ascii="Times New Roman" w:hAnsi="Times New Roman" w:cs="Times New Roman"/>
          <w:i/>
          <w:iCs/>
          <w:sz w:val="26"/>
          <w:szCs w:val="26"/>
        </w:rPr>
        <w:t>cul-de-sac</w:t>
      </w:r>
      <w:r>
        <w:rPr>
          <w:rFonts w:ascii="Times New Roman" w:hAnsi="Times New Roman" w:cs="Times New Roman"/>
          <w:sz w:val="26"/>
          <w:szCs w:val="26"/>
        </w:rPr>
        <w:t xml:space="preserve"> in order for the first respondent to enclose the </w:t>
      </w:r>
      <w:r>
        <w:rPr>
          <w:rFonts w:ascii="Times New Roman" w:hAnsi="Times New Roman" w:cs="Times New Roman"/>
          <w:i/>
          <w:iCs/>
          <w:sz w:val="26"/>
          <w:szCs w:val="26"/>
        </w:rPr>
        <w:t>cul-de-sac</w:t>
      </w:r>
      <w:r>
        <w:rPr>
          <w:rFonts w:ascii="Times New Roman" w:hAnsi="Times New Roman" w:cs="Times New Roman"/>
          <w:sz w:val="26"/>
          <w:szCs w:val="26"/>
        </w:rPr>
        <w:t xml:space="preserve"> in line with the lease</w:t>
      </w:r>
      <w:r w:rsidR="003658AD">
        <w:rPr>
          <w:rFonts w:ascii="Times New Roman" w:hAnsi="Times New Roman" w:cs="Times New Roman"/>
          <w:sz w:val="26"/>
          <w:szCs w:val="26"/>
        </w:rPr>
        <w:t xml:space="preserve">.  Due to concerns raised by the applicants, </w:t>
      </w:r>
      <w:r>
        <w:rPr>
          <w:rFonts w:ascii="Times New Roman" w:hAnsi="Times New Roman" w:cs="Times New Roman"/>
          <w:sz w:val="26"/>
          <w:szCs w:val="26"/>
        </w:rPr>
        <w:t>correspondence and meetings</w:t>
      </w:r>
      <w:r w:rsidR="003C0305">
        <w:rPr>
          <w:rStyle w:val="FootnoteReference"/>
          <w:rFonts w:ascii="Times New Roman" w:hAnsi="Times New Roman" w:cs="Times New Roman"/>
          <w:sz w:val="26"/>
          <w:szCs w:val="26"/>
        </w:rPr>
        <w:footnoteReference w:id="3"/>
      </w:r>
      <w:r>
        <w:rPr>
          <w:rFonts w:ascii="Times New Roman" w:hAnsi="Times New Roman" w:cs="Times New Roman"/>
          <w:sz w:val="26"/>
          <w:szCs w:val="26"/>
        </w:rPr>
        <w:t xml:space="preserve"> followed between the </w:t>
      </w:r>
      <w:r w:rsidR="00F91D3F">
        <w:rPr>
          <w:rFonts w:ascii="Times New Roman" w:hAnsi="Times New Roman" w:cs="Times New Roman"/>
          <w:sz w:val="26"/>
          <w:szCs w:val="26"/>
        </w:rPr>
        <w:t>parties</w:t>
      </w:r>
      <w:r w:rsidR="003658AD">
        <w:rPr>
          <w:rFonts w:ascii="Times New Roman" w:hAnsi="Times New Roman" w:cs="Times New Roman"/>
          <w:sz w:val="26"/>
          <w:szCs w:val="26"/>
        </w:rPr>
        <w:t xml:space="preserve"> involved</w:t>
      </w:r>
      <w:r>
        <w:rPr>
          <w:rFonts w:ascii="Times New Roman" w:hAnsi="Times New Roman" w:cs="Times New Roman"/>
          <w:sz w:val="26"/>
          <w:szCs w:val="26"/>
        </w:rPr>
        <w:t xml:space="preserve"> in order to resolve the issues </w:t>
      </w:r>
      <w:r w:rsidR="001C53AA">
        <w:rPr>
          <w:rFonts w:ascii="Times New Roman" w:hAnsi="Times New Roman" w:cs="Times New Roman"/>
          <w:sz w:val="26"/>
          <w:szCs w:val="26"/>
        </w:rPr>
        <w:t xml:space="preserve">between them in an amicable manner. </w:t>
      </w:r>
    </w:p>
    <w:p w14:paraId="0DB00B4F" w14:textId="35AE9CE2" w:rsidR="001C53AA" w:rsidRDefault="001C53AA" w:rsidP="00F3123A">
      <w:pPr>
        <w:spacing w:line="360" w:lineRule="auto"/>
        <w:jc w:val="both"/>
        <w:rPr>
          <w:rFonts w:ascii="Times New Roman" w:hAnsi="Times New Roman" w:cs="Times New Roman"/>
          <w:sz w:val="26"/>
          <w:szCs w:val="26"/>
        </w:rPr>
      </w:pPr>
    </w:p>
    <w:p w14:paraId="12DBB9F6" w14:textId="4680CF75" w:rsidR="003658AD" w:rsidRDefault="001C53AA"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19</w:t>
      </w:r>
      <w:r>
        <w:rPr>
          <w:rFonts w:ascii="Times New Roman" w:hAnsi="Times New Roman" w:cs="Times New Roman"/>
          <w:sz w:val="26"/>
          <w:szCs w:val="26"/>
        </w:rPr>
        <w:t xml:space="preserve">] On 27 October 2020 the second and third respondent replied to a request in terms of </w:t>
      </w:r>
      <w:r w:rsidR="00ED10C1">
        <w:rPr>
          <w:rFonts w:ascii="Times New Roman" w:hAnsi="Times New Roman" w:cs="Times New Roman"/>
          <w:sz w:val="26"/>
          <w:szCs w:val="26"/>
        </w:rPr>
        <w:t>the Promotion of Administrative Justice Act, Act 3 of 2000 (</w:t>
      </w:r>
      <w:r w:rsidR="00ED10C1">
        <w:rPr>
          <w:rFonts w:ascii="Times New Roman" w:hAnsi="Times New Roman" w:cs="Times New Roman"/>
          <w:b/>
          <w:bCs/>
          <w:sz w:val="26"/>
          <w:szCs w:val="26"/>
        </w:rPr>
        <w:t>“PAJA”</w:t>
      </w:r>
      <w:r w:rsidR="00ED10C1">
        <w:rPr>
          <w:rFonts w:ascii="Times New Roman" w:hAnsi="Times New Roman" w:cs="Times New Roman"/>
          <w:sz w:val="26"/>
          <w:szCs w:val="26"/>
        </w:rPr>
        <w:t xml:space="preserve">) </w:t>
      </w:r>
      <w:r>
        <w:rPr>
          <w:rFonts w:ascii="Times New Roman" w:hAnsi="Times New Roman" w:cs="Times New Roman"/>
          <w:sz w:val="26"/>
          <w:szCs w:val="26"/>
        </w:rPr>
        <w:t xml:space="preserve">and informed the </w:t>
      </w:r>
      <w:r w:rsidR="00ED10C1">
        <w:rPr>
          <w:rFonts w:ascii="Times New Roman" w:hAnsi="Times New Roman" w:cs="Times New Roman"/>
          <w:sz w:val="26"/>
          <w:szCs w:val="26"/>
        </w:rPr>
        <w:t>applicants</w:t>
      </w:r>
      <w:r>
        <w:rPr>
          <w:rFonts w:ascii="Times New Roman" w:hAnsi="Times New Roman" w:cs="Times New Roman"/>
          <w:sz w:val="26"/>
          <w:szCs w:val="26"/>
        </w:rPr>
        <w:t xml:space="preserve"> that the decision to lease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to the first respondent had been taken in terms of </w:t>
      </w:r>
      <w:r w:rsidR="003658AD">
        <w:rPr>
          <w:rFonts w:ascii="Times New Roman" w:hAnsi="Times New Roman" w:cs="Times New Roman"/>
          <w:sz w:val="26"/>
          <w:szCs w:val="26"/>
        </w:rPr>
        <w:t xml:space="preserve"> the following legislation;</w:t>
      </w:r>
    </w:p>
    <w:p w14:paraId="1AC4A900" w14:textId="4A203829" w:rsidR="00E37AE4" w:rsidRDefault="001C53AA" w:rsidP="003658AD">
      <w:pPr>
        <w:pStyle w:val="ListParagraph"/>
        <w:numPr>
          <w:ilvl w:val="0"/>
          <w:numId w:val="10"/>
        </w:numPr>
        <w:spacing w:line="360" w:lineRule="auto"/>
        <w:jc w:val="both"/>
        <w:rPr>
          <w:rFonts w:ascii="Times New Roman" w:hAnsi="Times New Roman" w:cs="Times New Roman"/>
          <w:sz w:val="26"/>
          <w:szCs w:val="26"/>
        </w:rPr>
      </w:pPr>
      <w:r w:rsidRPr="003658AD">
        <w:rPr>
          <w:rFonts w:ascii="Times New Roman" w:hAnsi="Times New Roman" w:cs="Times New Roman"/>
          <w:sz w:val="26"/>
          <w:szCs w:val="26"/>
        </w:rPr>
        <w:t>section 14(2) of the Municipal Finance Management Act</w:t>
      </w:r>
      <w:r w:rsidR="00073E08" w:rsidRPr="003658AD">
        <w:rPr>
          <w:rFonts w:ascii="Times New Roman" w:hAnsi="Times New Roman" w:cs="Times New Roman"/>
          <w:sz w:val="26"/>
          <w:szCs w:val="26"/>
        </w:rPr>
        <w:t>, Act 56 of 2003</w:t>
      </w:r>
      <w:r>
        <w:rPr>
          <w:rStyle w:val="FootnoteReference"/>
          <w:rFonts w:ascii="Times New Roman" w:hAnsi="Times New Roman" w:cs="Times New Roman"/>
          <w:sz w:val="26"/>
          <w:szCs w:val="26"/>
        </w:rPr>
        <w:footnoteReference w:id="4"/>
      </w:r>
      <w:r w:rsidRPr="003658AD">
        <w:rPr>
          <w:rFonts w:ascii="Times New Roman" w:hAnsi="Times New Roman" w:cs="Times New Roman"/>
          <w:sz w:val="26"/>
          <w:szCs w:val="26"/>
        </w:rPr>
        <w:t xml:space="preserve"> read with</w:t>
      </w:r>
      <w:r w:rsidR="00E37AE4">
        <w:rPr>
          <w:rFonts w:ascii="Times New Roman" w:hAnsi="Times New Roman" w:cs="Times New Roman"/>
          <w:sz w:val="26"/>
          <w:szCs w:val="26"/>
        </w:rPr>
        <w:t xml:space="preserve">, </w:t>
      </w:r>
    </w:p>
    <w:p w14:paraId="066A9EA7" w14:textId="77777777" w:rsidR="00E37AE4" w:rsidRDefault="001C53AA" w:rsidP="003658AD">
      <w:pPr>
        <w:pStyle w:val="ListParagraph"/>
        <w:numPr>
          <w:ilvl w:val="0"/>
          <w:numId w:val="10"/>
        </w:numPr>
        <w:spacing w:line="360" w:lineRule="auto"/>
        <w:jc w:val="both"/>
        <w:rPr>
          <w:rFonts w:ascii="Times New Roman" w:hAnsi="Times New Roman" w:cs="Times New Roman"/>
          <w:sz w:val="26"/>
          <w:szCs w:val="26"/>
        </w:rPr>
      </w:pPr>
      <w:r w:rsidRPr="003658AD">
        <w:rPr>
          <w:rFonts w:ascii="Times New Roman" w:hAnsi="Times New Roman" w:cs="Times New Roman"/>
          <w:sz w:val="26"/>
          <w:szCs w:val="26"/>
        </w:rPr>
        <w:t>Regulation 34(1)(b) of the Municipal Asset Transfer Regulations</w:t>
      </w:r>
      <w:r>
        <w:rPr>
          <w:rStyle w:val="FootnoteReference"/>
          <w:rFonts w:ascii="Times New Roman" w:hAnsi="Times New Roman" w:cs="Times New Roman"/>
          <w:sz w:val="26"/>
          <w:szCs w:val="26"/>
        </w:rPr>
        <w:footnoteReference w:id="5"/>
      </w:r>
      <w:r w:rsidR="00E37AE4">
        <w:rPr>
          <w:rFonts w:ascii="Times New Roman" w:hAnsi="Times New Roman" w:cs="Times New Roman"/>
          <w:sz w:val="26"/>
          <w:szCs w:val="26"/>
        </w:rPr>
        <w:t>,</w:t>
      </w:r>
      <w:r w:rsidRPr="003658AD">
        <w:rPr>
          <w:rFonts w:ascii="Times New Roman" w:hAnsi="Times New Roman" w:cs="Times New Roman"/>
          <w:sz w:val="26"/>
          <w:szCs w:val="26"/>
        </w:rPr>
        <w:t xml:space="preserve"> and</w:t>
      </w:r>
    </w:p>
    <w:p w14:paraId="299240D5" w14:textId="1EDF0366" w:rsidR="00F91D3F" w:rsidRPr="003658AD" w:rsidRDefault="001C53AA" w:rsidP="003658AD">
      <w:pPr>
        <w:pStyle w:val="ListParagraph"/>
        <w:numPr>
          <w:ilvl w:val="0"/>
          <w:numId w:val="10"/>
        </w:numPr>
        <w:spacing w:line="360" w:lineRule="auto"/>
        <w:jc w:val="both"/>
        <w:rPr>
          <w:rFonts w:ascii="Times New Roman" w:hAnsi="Times New Roman" w:cs="Times New Roman"/>
          <w:sz w:val="26"/>
          <w:szCs w:val="26"/>
        </w:rPr>
      </w:pPr>
      <w:r w:rsidRPr="003658AD">
        <w:rPr>
          <w:rFonts w:ascii="Times New Roman" w:hAnsi="Times New Roman" w:cs="Times New Roman"/>
          <w:sz w:val="26"/>
          <w:szCs w:val="26"/>
        </w:rPr>
        <w:lastRenderedPageBreak/>
        <w:t xml:space="preserve"> the provisions of sections 66 and 79(18) of the Local Government Ordinance 1939</w:t>
      </w:r>
      <w:r w:rsidR="003C0305">
        <w:rPr>
          <w:rStyle w:val="FootnoteReference"/>
          <w:rFonts w:ascii="Times New Roman" w:hAnsi="Times New Roman" w:cs="Times New Roman"/>
          <w:sz w:val="26"/>
          <w:szCs w:val="26"/>
        </w:rPr>
        <w:footnoteReference w:id="6"/>
      </w:r>
      <w:r w:rsidRPr="003658AD">
        <w:rPr>
          <w:rFonts w:ascii="Times New Roman" w:hAnsi="Times New Roman" w:cs="Times New Roman"/>
          <w:sz w:val="26"/>
          <w:szCs w:val="26"/>
        </w:rPr>
        <w:t xml:space="preserve">. </w:t>
      </w:r>
      <w:r w:rsidR="00E37AE4">
        <w:rPr>
          <w:rFonts w:ascii="Times New Roman" w:hAnsi="Times New Roman" w:cs="Times New Roman"/>
          <w:sz w:val="26"/>
          <w:szCs w:val="26"/>
        </w:rPr>
        <w:t>(referred to as the Applicable Law.)</w:t>
      </w:r>
    </w:p>
    <w:p w14:paraId="788EF659" w14:textId="77777777" w:rsidR="00F91D3F" w:rsidRDefault="00F91D3F" w:rsidP="00F3123A">
      <w:pPr>
        <w:spacing w:line="360" w:lineRule="auto"/>
        <w:jc w:val="both"/>
        <w:rPr>
          <w:rFonts w:ascii="Times New Roman" w:hAnsi="Times New Roman" w:cs="Times New Roman"/>
          <w:sz w:val="26"/>
          <w:szCs w:val="26"/>
        </w:rPr>
      </w:pPr>
    </w:p>
    <w:p w14:paraId="06C55303" w14:textId="5B57B1A4" w:rsidR="001C53AA" w:rsidRDefault="00F91D3F"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20</w:t>
      </w:r>
      <w:r>
        <w:rPr>
          <w:rFonts w:ascii="Times New Roman" w:hAnsi="Times New Roman" w:cs="Times New Roman"/>
          <w:sz w:val="26"/>
          <w:szCs w:val="26"/>
        </w:rPr>
        <w:t>] The applicants were informed that t</w:t>
      </w:r>
      <w:r w:rsidR="003C0305">
        <w:rPr>
          <w:rFonts w:ascii="Times New Roman" w:hAnsi="Times New Roman" w:cs="Times New Roman"/>
          <w:sz w:val="26"/>
          <w:szCs w:val="26"/>
        </w:rPr>
        <w:t xml:space="preserve">he second and third respondents authorised the conclusion of the lease and the </w:t>
      </w:r>
      <w:r w:rsidR="003C0305">
        <w:rPr>
          <w:rFonts w:ascii="Times New Roman" w:hAnsi="Times New Roman" w:cs="Times New Roman"/>
          <w:i/>
          <w:iCs/>
          <w:sz w:val="26"/>
          <w:szCs w:val="26"/>
        </w:rPr>
        <w:t>“temporary closure”</w:t>
      </w:r>
      <w:r w:rsidR="003C0305">
        <w:rPr>
          <w:rFonts w:ascii="Times New Roman" w:hAnsi="Times New Roman" w:cs="Times New Roman"/>
          <w:sz w:val="26"/>
          <w:szCs w:val="26"/>
        </w:rPr>
        <w:t xml:space="preserve"> of the </w:t>
      </w:r>
      <w:r w:rsidR="003C0305">
        <w:rPr>
          <w:rFonts w:ascii="Times New Roman" w:hAnsi="Times New Roman" w:cs="Times New Roman"/>
          <w:i/>
          <w:iCs/>
          <w:sz w:val="26"/>
          <w:szCs w:val="26"/>
        </w:rPr>
        <w:t>cul-de-sac.</w:t>
      </w:r>
      <w:r w:rsidR="003C0305">
        <w:rPr>
          <w:rFonts w:ascii="Times New Roman" w:hAnsi="Times New Roman" w:cs="Times New Roman"/>
          <w:sz w:val="26"/>
          <w:szCs w:val="26"/>
        </w:rPr>
        <w:t xml:space="preserve"> </w:t>
      </w:r>
    </w:p>
    <w:p w14:paraId="7A9B958C" w14:textId="3DC514CB" w:rsidR="003C0305" w:rsidRDefault="003C0305" w:rsidP="00F3123A">
      <w:pPr>
        <w:spacing w:line="360" w:lineRule="auto"/>
        <w:jc w:val="both"/>
        <w:rPr>
          <w:rFonts w:ascii="Times New Roman" w:hAnsi="Times New Roman" w:cs="Times New Roman"/>
          <w:sz w:val="26"/>
          <w:szCs w:val="26"/>
        </w:rPr>
      </w:pPr>
    </w:p>
    <w:p w14:paraId="4CBB902E" w14:textId="0CFF8ECD" w:rsidR="003C0305" w:rsidRDefault="003C0305"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21</w:t>
      </w:r>
      <w:r>
        <w:rPr>
          <w:rFonts w:ascii="Times New Roman" w:hAnsi="Times New Roman" w:cs="Times New Roman"/>
          <w:sz w:val="26"/>
          <w:szCs w:val="26"/>
        </w:rPr>
        <w:t xml:space="preserve">] </w:t>
      </w:r>
      <w:r w:rsidR="00880F4F">
        <w:rPr>
          <w:rFonts w:ascii="Times New Roman" w:hAnsi="Times New Roman" w:cs="Times New Roman"/>
          <w:sz w:val="26"/>
          <w:szCs w:val="26"/>
        </w:rPr>
        <w:t>Due to the</w:t>
      </w:r>
      <w:r w:rsidR="00F91D3F">
        <w:rPr>
          <w:rFonts w:ascii="Times New Roman" w:hAnsi="Times New Roman" w:cs="Times New Roman"/>
          <w:sz w:val="26"/>
          <w:szCs w:val="26"/>
        </w:rPr>
        <w:t xml:space="preserve"> irreconcilable</w:t>
      </w:r>
      <w:r w:rsidR="00880F4F">
        <w:rPr>
          <w:rFonts w:ascii="Times New Roman" w:hAnsi="Times New Roman" w:cs="Times New Roman"/>
          <w:sz w:val="26"/>
          <w:szCs w:val="26"/>
        </w:rPr>
        <w:t xml:space="preserve"> differences between the parties the situation could not be resolved and </w:t>
      </w:r>
      <w:r w:rsidR="00991E3A">
        <w:rPr>
          <w:rFonts w:ascii="Times New Roman" w:hAnsi="Times New Roman" w:cs="Times New Roman"/>
          <w:sz w:val="26"/>
          <w:szCs w:val="26"/>
        </w:rPr>
        <w:t>on 2</w:t>
      </w:r>
      <w:r w:rsidR="00E37AE4">
        <w:rPr>
          <w:rFonts w:ascii="Times New Roman" w:hAnsi="Times New Roman" w:cs="Times New Roman"/>
          <w:sz w:val="26"/>
          <w:szCs w:val="26"/>
        </w:rPr>
        <w:t xml:space="preserve">0 October </w:t>
      </w:r>
      <w:r w:rsidR="00991E3A">
        <w:rPr>
          <w:rFonts w:ascii="Times New Roman" w:hAnsi="Times New Roman" w:cs="Times New Roman"/>
          <w:sz w:val="26"/>
          <w:szCs w:val="26"/>
        </w:rPr>
        <w:t xml:space="preserve">2021 </w:t>
      </w:r>
      <w:r w:rsidR="00880F4F">
        <w:rPr>
          <w:rFonts w:ascii="Times New Roman" w:hAnsi="Times New Roman" w:cs="Times New Roman"/>
          <w:sz w:val="26"/>
          <w:szCs w:val="26"/>
        </w:rPr>
        <w:t>the</w:t>
      </w:r>
      <w:r w:rsidR="00991E3A">
        <w:rPr>
          <w:rFonts w:ascii="Times New Roman" w:hAnsi="Times New Roman" w:cs="Times New Roman"/>
          <w:sz w:val="26"/>
          <w:szCs w:val="26"/>
        </w:rPr>
        <w:t xml:space="preserve"> </w:t>
      </w:r>
      <w:r w:rsidR="00880F4F">
        <w:rPr>
          <w:rFonts w:ascii="Times New Roman" w:hAnsi="Times New Roman" w:cs="Times New Roman"/>
          <w:sz w:val="26"/>
          <w:szCs w:val="26"/>
        </w:rPr>
        <w:t xml:space="preserve">applicants launched an urgent application for an interim interdict </w:t>
      </w:r>
      <w:r w:rsidR="00991E3A">
        <w:rPr>
          <w:rFonts w:ascii="Times New Roman" w:hAnsi="Times New Roman" w:cs="Times New Roman"/>
          <w:sz w:val="26"/>
          <w:szCs w:val="26"/>
        </w:rPr>
        <w:t xml:space="preserve">ordering </w:t>
      </w:r>
      <w:r w:rsidR="00880F4F">
        <w:rPr>
          <w:rFonts w:ascii="Times New Roman" w:hAnsi="Times New Roman" w:cs="Times New Roman"/>
          <w:sz w:val="26"/>
          <w:szCs w:val="26"/>
        </w:rPr>
        <w:t xml:space="preserve">the first respondent </w:t>
      </w:r>
      <w:r w:rsidR="00991E3A">
        <w:rPr>
          <w:rFonts w:ascii="Times New Roman" w:hAnsi="Times New Roman" w:cs="Times New Roman"/>
          <w:sz w:val="26"/>
          <w:szCs w:val="26"/>
        </w:rPr>
        <w:t xml:space="preserve">to refrain from enclosing the </w:t>
      </w:r>
      <w:r w:rsidR="00991E3A">
        <w:rPr>
          <w:rFonts w:ascii="Times New Roman" w:hAnsi="Times New Roman" w:cs="Times New Roman"/>
          <w:i/>
          <w:iCs/>
          <w:sz w:val="26"/>
          <w:szCs w:val="26"/>
        </w:rPr>
        <w:t>cul-de-sac</w:t>
      </w:r>
      <w:r w:rsidR="00991E3A">
        <w:rPr>
          <w:rFonts w:ascii="Times New Roman" w:hAnsi="Times New Roman" w:cs="Times New Roman"/>
          <w:sz w:val="26"/>
          <w:szCs w:val="26"/>
        </w:rPr>
        <w:t xml:space="preserve">. Opperman J dismissed the application on the basis of lack of urgency. </w:t>
      </w:r>
    </w:p>
    <w:p w14:paraId="58706EE3" w14:textId="6C5AF0B3" w:rsidR="003E3761" w:rsidRDefault="003E3761" w:rsidP="00F3123A">
      <w:pPr>
        <w:spacing w:line="360" w:lineRule="auto"/>
        <w:jc w:val="both"/>
        <w:rPr>
          <w:rFonts w:ascii="Times New Roman" w:hAnsi="Times New Roman" w:cs="Times New Roman"/>
          <w:sz w:val="26"/>
          <w:szCs w:val="26"/>
        </w:rPr>
      </w:pPr>
    </w:p>
    <w:p w14:paraId="77D0F4FD" w14:textId="3FF38654" w:rsidR="003E3761" w:rsidRPr="003E3761" w:rsidRDefault="003E3761"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22</w:t>
      </w:r>
      <w:r>
        <w:rPr>
          <w:rFonts w:ascii="Times New Roman" w:hAnsi="Times New Roman" w:cs="Times New Roman"/>
          <w:sz w:val="26"/>
          <w:szCs w:val="26"/>
        </w:rPr>
        <w:t xml:space="preserve">] Consequently the applicants delivered an amended notice of motion in terms wherein the scope of this application has been limited to a final interdict against the use of the </w:t>
      </w:r>
      <w:r>
        <w:rPr>
          <w:rFonts w:ascii="Times New Roman" w:hAnsi="Times New Roman" w:cs="Times New Roman"/>
          <w:i/>
          <w:iCs/>
          <w:sz w:val="26"/>
          <w:szCs w:val="26"/>
        </w:rPr>
        <w:t xml:space="preserve">cul-de-sac </w:t>
      </w:r>
      <w:r>
        <w:rPr>
          <w:rFonts w:ascii="Times New Roman" w:hAnsi="Times New Roman" w:cs="Times New Roman"/>
          <w:sz w:val="26"/>
          <w:szCs w:val="26"/>
        </w:rPr>
        <w:t>for purposes not permitted in law.</w:t>
      </w:r>
    </w:p>
    <w:p w14:paraId="7119C9FF" w14:textId="05672178" w:rsidR="00991E3A" w:rsidRDefault="00991E3A" w:rsidP="00F3123A">
      <w:pPr>
        <w:spacing w:line="360" w:lineRule="auto"/>
        <w:jc w:val="both"/>
        <w:rPr>
          <w:rFonts w:ascii="Times New Roman" w:hAnsi="Times New Roman" w:cs="Times New Roman"/>
          <w:sz w:val="26"/>
          <w:szCs w:val="26"/>
        </w:rPr>
      </w:pPr>
    </w:p>
    <w:p w14:paraId="37B857AF" w14:textId="61D9D97F" w:rsidR="00991E3A" w:rsidRDefault="00991E3A"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23</w:t>
      </w:r>
      <w:r>
        <w:rPr>
          <w:rFonts w:ascii="Times New Roman" w:hAnsi="Times New Roman" w:cs="Times New Roman"/>
          <w:sz w:val="26"/>
          <w:szCs w:val="26"/>
        </w:rPr>
        <w:t xml:space="preserve">] </w:t>
      </w:r>
      <w:r w:rsidR="00F91D3F">
        <w:rPr>
          <w:rFonts w:ascii="Times New Roman" w:hAnsi="Times New Roman" w:cs="Times New Roman"/>
          <w:sz w:val="26"/>
          <w:szCs w:val="26"/>
        </w:rPr>
        <w:t xml:space="preserve">Furthermore, </w:t>
      </w:r>
      <w:r w:rsidR="00CE578B">
        <w:rPr>
          <w:rFonts w:ascii="Times New Roman" w:hAnsi="Times New Roman" w:cs="Times New Roman"/>
          <w:sz w:val="26"/>
          <w:szCs w:val="26"/>
        </w:rPr>
        <w:t>on</w:t>
      </w:r>
      <w:r>
        <w:rPr>
          <w:rFonts w:ascii="Times New Roman" w:hAnsi="Times New Roman" w:cs="Times New Roman"/>
          <w:sz w:val="26"/>
          <w:szCs w:val="26"/>
        </w:rPr>
        <w:t xml:space="preserve"> 20 October 2021</w:t>
      </w:r>
      <w:r w:rsidR="00F91D3F">
        <w:rPr>
          <w:rFonts w:ascii="Times New Roman" w:hAnsi="Times New Roman" w:cs="Times New Roman"/>
          <w:sz w:val="26"/>
          <w:szCs w:val="26"/>
        </w:rPr>
        <w:t xml:space="preserve"> the applicants </w:t>
      </w:r>
      <w:r>
        <w:rPr>
          <w:rFonts w:ascii="Times New Roman" w:hAnsi="Times New Roman" w:cs="Times New Roman"/>
          <w:sz w:val="26"/>
          <w:szCs w:val="26"/>
        </w:rPr>
        <w:t xml:space="preserve">served a </w:t>
      </w:r>
      <w:r w:rsidR="00CE578B">
        <w:rPr>
          <w:rFonts w:ascii="Times New Roman" w:hAnsi="Times New Roman" w:cs="Times New Roman"/>
          <w:sz w:val="26"/>
          <w:szCs w:val="26"/>
        </w:rPr>
        <w:t xml:space="preserve">judicial </w:t>
      </w:r>
      <w:r>
        <w:rPr>
          <w:rFonts w:ascii="Times New Roman" w:hAnsi="Times New Roman" w:cs="Times New Roman"/>
          <w:sz w:val="26"/>
          <w:szCs w:val="26"/>
        </w:rPr>
        <w:t>review application on the first respondent.</w:t>
      </w:r>
    </w:p>
    <w:p w14:paraId="60C481B8" w14:textId="77777777" w:rsidR="00991E3A" w:rsidRPr="00991E3A" w:rsidRDefault="00991E3A" w:rsidP="00F3123A">
      <w:pPr>
        <w:spacing w:line="360" w:lineRule="auto"/>
        <w:jc w:val="both"/>
        <w:rPr>
          <w:rFonts w:ascii="Times New Roman" w:hAnsi="Times New Roman" w:cs="Times New Roman"/>
          <w:sz w:val="26"/>
          <w:szCs w:val="26"/>
        </w:rPr>
      </w:pPr>
    </w:p>
    <w:p w14:paraId="577D86BB" w14:textId="2CBEA74F" w:rsidR="00385311" w:rsidRDefault="00CA6226" w:rsidP="00F3123A">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S</w:t>
      </w:r>
      <w:r w:rsidRPr="00CA6226">
        <w:rPr>
          <w:rFonts w:ascii="Times New Roman" w:hAnsi="Times New Roman" w:cs="Times New Roman"/>
          <w:i/>
          <w:iCs/>
          <w:sz w:val="26"/>
          <w:szCs w:val="26"/>
        </w:rPr>
        <w:t>ubmissions by the applicant</w:t>
      </w:r>
    </w:p>
    <w:p w14:paraId="29253F5E" w14:textId="42AF5802" w:rsidR="006304DC" w:rsidRDefault="00313EB5"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24</w:t>
      </w:r>
      <w:r>
        <w:rPr>
          <w:rFonts w:ascii="Times New Roman" w:hAnsi="Times New Roman" w:cs="Times New Roman"/>
          <w:sz w:val="26"/>
          <w:szCs w:val="26"/>
        </w:rPr>
        <w:t>] Counsil for the applicants argued that the conclusion of the lease agreement between the first, second and third respondents</w:t>
      </w:r>
      <w:r w:rsidR="00F91D3F">
        <w:rPr>
          <w:rFonts w:ascii="Times New Roman" w:hAnsi="Times New Roman" w:cs="Times New Roman"/>
          <w:sz w:val="26"/>
          <w:szCs w:val="26"/>
        </w:rPr>
        <w:t xml:space="preserve"> is</w:t>
      </w:r>
      <w:r>
        <w:rPr>
          <w:rFonts w:ascii="Times New Roman" w:hAnsi="Times New Roman" w:cs="Times New Roman"/>
          <w:sz w:val="26"/>
          <w:szCs w:val="26"/>
        </w:rPr>
        <w:t xml:space="preserve"> </w:t>
      </w:r>
      <w:r w:rsidR="00631D9F">
        <w:rPr>
          <w:rFonts w:ascii="Times New Roman" w:hAnsi="Times New Roman" w:cs="Times New Roman"/>
          <w:sz w:val="26"/>
          <w:szCs w:val="26"/>
        </w:rPr>
        <w:t xml:space="preserve">invalid </w:t>
      </w:r>
      <w:r w:rsidR="00F91D3F">
        <w:rPr>
          <w:rFonts w:ascii="Times New Roman" w:hAnsi="Times New Roman" w:cs="Times New Roman"/>
          <w:sz w:val="26"/>
          <w:szCs w:val="26"/>
        </w:rPr>
        <w:t xml:space="preserve">because </w:t>
      </w:r>
      <w:r w:rsidR="00631D9F">
        <w:rPr>
          <w:rFonts w:ascii="Times New Roman" w:hAnsi="Times New Roman" w:cs="Times New Roman"/>
          <w:sz w:val="26"/>
          <w:szCs w:val="26"/>
        </w:rPr>
        <w:t xml:space="preserve">the lease prevents the applicants and the general public from transversing the </w:t>
      </w:r>
      <w:r w:rsidR="00631D9F">
        <w:rPr>
          <w:rFonts w:ascii="Times New Roman" w:hAnsi="Times New Roman" w:cs="Times New Roman"/>
          <w:i/>
          <w:iCs/>
          <w:sz w:val="26"/>
          <w:szCs w:val="26"/>
        </w:rPr>
        <w:t>cul-de-sac,</w:t>
      </w:r>
      <w:r w:rsidR="00631D9F">
        <w:rPr>
          <w:rFonts w:ascii="Times New Roman" w:hAnsi="Times New Roman" w:cs="Times New Roman"/>
          <w:sz w:val="26"/>
          <w:szCs w:val="26"/>
        </w:rPr>
        <w:t xml:space="preserve"> a </w:t>
      </w:r>
      <w:r w:rsidR="00631D9F" w:rsidRPr="00F91D3F">
        <w:rPr>
          <w:rFonts w:ascii="Times New Roman" w:hAnsi="Times New Roman" w:cs="Times New Roman"/>
          <w:i/>
          <w:iCs/>
          <w:sz w:val="26"/>
          <w:szCs w:val="26"/>
        </w:rPr>
        <w:t>public road</w:t>
      </w:r>
      <w:r w:rsidR="00631D9F">
        <w:rPr>
          <w:rFonts w:ascii="Times New Roman" w:hAnsi="Times New Roman" w:cs="Times New Roman"/>
          <w:sz w:val="26"/>
          <w:szCs w:val="26"/>
        </w:rPr>
        <w:t>.</w:t>
      </w:r>
    </w:p>
    <w:p w14:paraId="23FAFBB1" w14:textId="6E968386" w:rsidR="00631D9F" w:rsidRDefault="00631D9F" w:rsidP="00F3123A">
      <w:pPr>
        <w:spacing w:line="360" w:lineRule="auto"/>
        <w:jc w:val="both"/>
        <w:rPr>
          <w:rFonts w:ascii="Times New Roman" w:hAnsi="Times New Roman" w:cs="Times New Roman"/>
          <w:sz w:val="26"/>
          <w:szCs w:val="26"/>
        </w:rPr>
      </w:pPr>
    </w:p>
    <w:p w14:paraId="1F409DCC" w14:textId="187C53E9" w:rsidR="00631D9F" w:rsidRDefault="00631D9F"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25</w:t>
      </w:r>
      <w:r>
        <w:rPr>
          <w:rFonts w:ascii="Times New Roman" w:hAnsi="Times New Roman" w:cs="Times New Roman"/>
          <w:sz w:val="26"/>
          <w:szCs w:val="26"/>
        </w:rPr>
        <w:t>]</w:t>
      </w:r>
      <w:r w:rsidR="00EE4725">
        <w:rPr>
          <w:rFonts w:ascii="Times New Roman" w:hAnsi="Times New Roman" w:cs="Times New Roman"/>
          <w:sz w:val="26"/>
          <w:szCs w:val="26"/>
        </w:rPr>
        <w:t xml:space="preserve"> </w:t>
      </w:r>
      <w:r>
        <w:rPr>
          <w:rFonts w:ascii="Times New Roman" w:hAnsi="Times New Roman" w:cs="Times New Roman"/>
          <w:sz w:val="26"/>
          <w:szCs w:val="26"/>
        </w:rPr>
        <w:t xml:space="preserve">It was argued that the proposition by the first respondent that the lease agreement changed the identity and zoning of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lacks in any basis of law. </w:t>
      </w:r>
      <w:r w:rsidR="0053462F">
        <w:rPr>
          <w:rFonts w:ascii="Times New Roman" w:hAnsi="Times New Roman" w:cs="Times New Roman"/>
          <w:sz w:val="26"/>
          <w:szCs w:val="26"/>
        </w:rPr>
        <w:t xml:space="preserve"> </w:t>
      </w:r>
      <w:r>
        <w:rPr>
          <w:rFonts w:ascii="Times New Roman" w:hAnsi="Times New Roman" w:cs="Times New Roman"/>
          <w:sz w:val="26"/>
          <w:szCs w:val="26"/>
        </w:rPr>
        <w:t>The reasons for the argument are the following</w:t>
      </w:r>
      <w:r w:rsidR="006D6B95">
        <w:rPr>
          <w:rFonts w:ascii="Times New Roman" w:hAnsi="Times New Roman" w:cs="Times New Roman"/>
          <w:sz w:val="26"/>
          <w:szCs w:val="26"/>
        </w:rPr>
        <w:t>;</w:t>
      </w:r>
    </w:p>
    <w:p w14:paraId="3EF2091C" w14:textId="28EF390A" w:rsidR="006D6B95" w:rsidRDefault="006D6B95" w:rsidP="006D6B95">
      <w:pPr>
        <w:pStyle w:val="ListParagraph"/>
        <w:numPr>
          <w:ilvl w:val="0"/>
          <w:numId w:val="5"/>
        </w:numPr>
        <w:spacing w:line="360" w:lineRule="auto"/>
        <w:jc w:val="both"/>
        <w:rPr>
          <w:rFonts w:ascii="Times New Roman" w:hAnsi="Times New Roman" w:cs="Times New Roman"/>
          <w:sz w:val="26"/>
          <w:szCs w:val="26"/>
        </w:rPr>
      </w:pPr>
      <w:r>
        <w:rPr>
          <w:rFonts w:ascii="Times New Roman" w:hAnsi="Times New Roman" w:cs="Times New Roman"/>
          <w:sz w:val="26"/>
          <w:szCs w:val="26"/>
        </w:rPr>
        <w:t>Every piece of land within the area of jurisdiction of a local authority, such as the City, is zoned for a particular use;</w:t>
      </w:r>
    </w:p>
    <w:p w14:paraId="7C6BEAE1" w14:textId="2951371E" w:rsidR="006D6B95" w:rsidRDefault="006D6B95" w:rsidP="006D6B95">
      <w:pPr>
        <w:pStyle w:val="ListParagraph"/>
        <w:numPr>
          <w:ilvl w:val="0"/>
          <w:numId w:val="5"/>
        </w:numPr>
        <w:spacing w:line="360" w:lineRule="auto"/>
        <w:jc w:val="both"/>
        <w:rPr>
          <w:rFonts w:ascii="Times New Roman" w:hAnsi="Times New Roman" w:cs="Times New Roman"/>
          <w:sz w:val="26"/>
          <w:szCs w:val="26"/>
        </w:rPr>
      </w:pPr>
      <w:r>
        <w:rPr>
          <w:rFonts w:ascii="Times New Roman" w:hAnsi="Times New Roman" w:cs="Times New Roman"/>
          <w:sz w:val="26"/>
          <w:szCs w:val="26"/>
        </w:rPr>
        <w:t>The zoning, or the use rights, is prescribed by the Land Use Scheme in terms of which the uses to which the land may be put is prescribed;</w:t>
      </w:r>
    </w:p>
    <w:p w14:paraId="2BBC51F1" w14:textId="31B2D550" w:rsidR="006D6B95" w:rsidRDefault="006D6B95" w:rsidP="006D6B95">
      <w:pPr>
        <w:pStyle w:val="ListParagraph"/>
        <w:numPr>
          <w:ilvl w:val="0"/>
          <w:numId w:val="5"/>
        </w:numPr>
        <w:spacing w:line="360" w:lineRule="auto"/>
        <w:jc w:val="both"/>
        <w:rPr>
          <w:rFonts w:ascii="Times New Roman" w:hAnsi="Times New Roman" w:cs="Times New Roman"/>
          <w:sz w:val="26"/>
          <w:szCs w:val="26"/>
        </w:rPr>
      </w:pPr>
      <w:r>
        <w:rPr>
          <w:rFonts w:ascii="Times New Roman" w:hAnsi="Times New Roman" w:cs="Times New Roman"/>
          <w:sz w:val="26"/>
          <w:szCs w:val="26"/>
        </w:rPr>
        <w:t>The Land Use Scheme also prescribes the uses to which the land may be put with the consent of the City and the uses for which the land may never be used; and</w:t>
      </w:r>
    </w:p>
    <w:p w14:paraId="47920474" w14:textId="2F83D843" w:rsidR="006D6B95" w:rsidRDefault="006D6B95" w:rsidP="006D6B95">
      <w:pPr>
        <w:pStyle w:val="ListParagraph"/>
        <w:numPr>
          <w:ilvl w:val="0"/>
          <w:numId w:val="5"/>
        </w:numPr>
        <w:spacing w:line="360" w:lineRule="auto"/>
        <w:jc w:val="both"/>
        <w:rPr>
          <w:rFonts w:ascii="Times New Roman" w:hAnsi="Times New Roman" w:cs="Times New Roman"/>
          <w:sz w:val="26"/>
          <w:szCs w:val="26"/>
        </w:rPr>
      </w:pPr>
      <w:r>
        <w:rPr>
          <w:rFonts w:ascii="Times New Roman" w:hAnsi="Times New Roman" w:cs="Times New Roman"/>
          <w:sz w:val="26"/>
          <w:szCs w:val="26"/>
        </w:rPr>
        <w:t>There is a statutorily prescribed process in terms of which use rights may be changed.</w:t>
      </w:r>
    </w:p>
    <w:p w14:paraId="700C4F70" w14:textId="77777777" w:rsidR="002E6C47" w:rsidRPr="00BA3F53" w:rsidRDefault="002E6C47" w:rsidP="002E6C47">
      <w:pPr>
        <w:pStyle w:val="ListParagraph"/>
        <w:spacing w:line="360" w:lineRule="auto"/>
        <w:jc w:val="both"/>
        <w:rPr>
          <w:rFonts w:ascii="Times New Roman" w:hAnsi="Times New Roman" w:cs="Times New Roman"/>
          <w:sz w:val="26"/>
          <w:szCs w:val="26"/>
        </w:rPr>
      </w:pPr>
    </w:p>
    <w:p w14:paraId="5988E531" w14:textId="7F98C6B1" w:rsidR="006D6B95" w:rsidRDefault="006D6B95" w:rsidP="006D6B9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26</w:t>
      </w:r>
      <w:r>
        <w:rPr>
          <w:rFonts w:ascii="Times New Roman" w:hAnsi="Times New Roman" w:cs="Times New Roman"/>
          <w:sz w:val="26"/>
          <w:szCs w:val="26"/>
        </w:rPr>
        <w:t xml:space="preserve">] </w:t>
      </w:r>
      <w:r w:rsidR="0004364F">
        <w:rPr>
          <w:rFonts w:ascii="Times New Roman" w:hAnsi="Times New Roman" w:cs="Times New Roman"/>
          <w:sz w:val="26"/>
          <w:szCs w:val="26"/>
        </w:rPr>
        <w:t>Therefore</w:t>
      </w:r>
      <w:r w:rsidR="00BA3F53">
        <w:rPr>
          <w:rFonts w:ascii="Times New Roman" w:hAnsi="Times New Roman" w:cs="Times New Roman"/>
          <w:sz w:val="26"/>
          <w:szCs w:val="26"/>
        </w:rPr>
        <w:t>,</w:t>
      </w:r>
      <w:r w:rsidR="0004364F">
        <w:rPr>
          <w:rFonts w:ascii="Times New Roman" w:hAnsi="Times New Roman" w:cs="Times New Roman"/>
          <w:sz w:val="26"/>
          <w:szCs w:val="26"/>
        </w:rPr>
        <w:t xml:space="preserve"> the applicants argued that the zoning and primary use rights of the </w:t>
      </w:r>
      <w:r w:rsidR="0004364F">
        <w:rPr>
          <w:rFonts w:ascii="Times New Roman" w:hAnsi="Times New Roman" w:cs="Times New Roman"/>
          <w:i/>
          <w:iCs/>
          <w:sz w:val="26"/>
          <w:szCs w:val="26"/>
        </w:rPr>
        <w:t xml:space="preserve">cul-de-sac </w:t>
      </w:r>
      <w:r w:rsidR="0004364F" w:rsidRPr="0004364F">
        <w:rPr>
          <w:rFonts w:ascii="Times New Roman" w:hAnsi="Times New Roman" w:cs="Times New Roman"/>
          <w:sz w:val="26"/>
          <w:szCs w:val="26"/>
        </w:rPr>
        <w:t xml:space="preserve">are not </w:t>
      </w:r>
      <w:r w:rsidR="0004364F">
        <w:rPr>
          <w:rFonts w:ascii="Times New Roman" w:hAnsi="Times New Roman" w:cs="Times New Roman"/>
          <w:sz w:val="26"/>
          <w:szCs w:val="26"/>
        </w:rPr>
        <w:t>ca</w:t>
      </w:r>
      <w:r w:rsidR="0004364F" w:rsidRPr="0004364F">
        <w:rPr>
          <w:rFonts w:ascii="Times New Roman" w:hAnsi="Times New Roman" w:cs="Times New Roman"/>
          <w:sz w:val="26"/>
          <w:szCs w:val="26"/>
        </w:rPr>
        <w:t>pable of being change</w:t>
      </w:r>
      <w:r w:rsidR="0004364F">
        <w:rPr>
          <w:rFonts w:ascii="Times New Roman" w:hAnsi="Times New Roman" w:cs="Times New Roman"/>
          <w:sz w:val="26"/>
          <w:szCs w:val="26"/>
        </w:rPr>
        <w:t>d</w:t>
      </w:r>
      <w:r w:rsidR="0004364F" w:rsidRPr="0004364F">
        <w:rPr>
          <w:rFonts w:ascii="Times New Roman" w:hAnsi="Times New Roman" w:cs="Times New Roman"/>
          <w:sz w:val="26"/>
          <w:szCs w:val="26"/>
        </w:rPr>
        <w:t xml:space="preserve"> simply by </w:t>
      </w:r>
      <w:r w:rsidR="0004364F">
        <w:rPr>
          <w:rFonts w:ascii="Times New Roman" w:hAnsi="Times New Roman" w:cs="Times New Roman"/>
          <w:sz w:val="26"/>
          <w:szCs w:val="26"/>
        </w:rPr>
        <w:t xml:space="preserve">the conclusion of a contract between the </w:t>
      </w:r>
      <w:r w:rsidR="002E6C47">
        <w:rPr>
          <w:rFonts w:ascii="Times New Roman" w:hAnsi="Times New Roman" w:cs="Times New Roman"/>
          <w:sz w:val="26"/>
          <w:szCs w:val="26"/>
        </w:rPr>
        <w:t xml:space="preserve">City or </w:t>
      </w:r>
      <w:r w:rsidR="0004364F">
        <w:rPr>
          <w:rFonts w:ascii="Times New Roman" w:hAnsi="Times New Roman" w:cs="Times New Roman"/>
          <w:sz w:val="26"/>
          <w:szCs w:val="26"/>
        </w:rPr>
        <w:t xml:space="preserve">owner and a third party, because there is a process prescribed by the City’s Municipal Planning By-Law of 2016 </w:t>
      </w:r>
      <w:r w:rsidR="0004364F">
        <w:rPr>
          <w:rStyle w:val="FootnoteReference"/>
          <w:rFonts w:ascii="Times New Roman" w:hAnsi="Times New Roman" w:cs="Times New Roman"/>
          <w:sz w:val="26"/>
          <w:szCs w:val="26"/>
        </w:rPr>
        <w:footnoteReference w:id="7"/>
      </w:r>
      <w:r w:rsidR="00BA3F53">
        <w:rPr>
          <w:rFonts w:ascii="Times New Roman" w:hAnsi="Times New Roman" w:cs="Times New Roman"/>
          <w:sz w:val="26"/>
          <w:szCs w:val="26"/>
        </w:rPr>
        <w:t xml:space="preserve"> </w:t>
      </w:r>
      <w:r w:rsidR="0004364F">
        <w:rPr>
          <w:rFonts w:ascii="Times New Roman" w:hAnsi="Times New Roman" w:cs="Times New Roman"/>
          <w:sz w:val="26"/>
          <w:szCs w:val="26"/>
        </w:rPr>
        <w:t xml:space="preserve">which regulates the change of use rights. </w:t>
      </w:r>
    </w:p>
    <w:p w14:paraId="5ACBB526" w14:textId="10D83F0E" w:rsidR="00E223E1" w:rsidRDefault="00E223E1" w:rsidP="006D6B95">
      <w:pPr>
        <w:spacing w:line="360" w:lineRule="auto"/>
        <w:jc w:val="both"/>
        <w:rPr>
          <w:rFonts w:ascii="Times New Roman" w:hAnsi="Times New Roman" w:cs="Times New Roman"/>
          <w:sz w:val="26"/>
          <w:szCs w:val="26"/>
        </w:rPr>
      </w:pPr>
    </w:p>
    <w:p w14:paraId="52F7A85E" w14:textId="0BB4B144" w:rsidR="00E223E1" w:rsidRDefault="00E223E1" w:rsidP="006D6B9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27</w:t>
      </w:r>
      <w:r>
        <w:rPr>
          <w:rFonts w:ascii="Times New Roman" w:hAnsi="Times New Roman" w:cs="Times New Roman"/>
          <w:sz w:val="26"/>
          <w:szCs w:val="26"/>
        </w:rPr>
        <w:t>] The applicants further avers that the By-Laws</w:t>
      </w:r>
      <w:r>
        <w:rPr>
          <w:rStyle w:val="FootnoteReference"/>
          <w:rFonts w:ascii="Times New Roman" w:hAnsi="Times New Roman" w:cs="Times New Roman"/>
          <w:sz w:val="26"/>
          <w:szCs w:val="26"/>
        </w:rPr>
        <w:footnoteReference w:id="8"/>
      </w:r>
      <w:r>
        <w:rPr>
          <w:rFonts w:ascii="Times New Roman" w:hAnsi="Times New Roman" w:cs="Times New Roman"/>
          <w:sz w:val="26"/>
          <w:szCs w:val="26"/>
        </w:rPr>
        <w:t xml:space="preserve">, the Scheme </w:t>
      </w:r>
      <w:r>
        <w:rPr>
          <w:rStyle w:val="FootnoteReference"/>
          <w:rFonts w:ascii="Times New Roman" w:hAnsi="Times New Roman" w:cs="Times New Roman"/>
          <w:sz w:val="26"/>
          <w:szCs w:val="26"/>
        </w:rPr>
        <w:footnoteReference w:id="9"/>
      </w:r>
      <w:r w:rsidR="00BA3F53">
        <w:rPr>
          <w:rFonts w:ascii="Times New Roman" w:hAnsi="Times New Roman" w:cs="Times New Roman"/>
          <w:sz w:val="26"/>
          <w:szCs w:val="26"/>
        </w:rPr>
        <w:t xml:space="preserve"> </w:t>
      </w:r>
      <w:r>
        <w:rPr>
          <w:rFonts w:ascii="Times New Roman" w:hAnsi="Times New Roman" w:cs="Times New Roman"/>
          <w:sz w:val="26"/>
          <w:szCs w:val="26"/>
        </w:rPr>
        <w:t>and the Spatial Planning and Land Use Management Act, 2013</w:t>
      </w:r>
      <w:r>
        <w:rPr>
          <w:rStyle w:val="FootnoteReference"/>
          <w:rFonts w:ascii="Times New Roman" w:hAnsi="Times New Roman" w:cs="Times New Roman"/>
          <w:sz w:val="26"/>
          <w:szCs w:val="26"/>
        </w:rPr>
        <w:footnoteReference w:id="10"/>
      </w:r>
      <w:r>
        <w:rPr>
          <w:rFonts w:ascii="Times New Roman" w:hAnsi="Times New Roman" w:cs="Times New Roman"/>
          <w:sz w:val="26"/>
          <w:szCs w:val="26"/>
        </w:rPr>
        <w:t xml:space="preserve"> (</w:t>
      </w:r>
      <w:r>
        <w:rPr>
          <w:rFonts w:ascii="Times New Roman" w:hAnsi="Times New Roman" w:cs="Times New Roman"/>
          <w:b/>
          <w:bCs/>
          <w:sz w:val="26"/>
          <w:szCs w:val="26"/>
        </w:rPr>
        <w:t>“SPLUMA”</w:t>
      </w:r>
      <w:r>
        <w:rPr>
          <w:rFonts w:ascii="Times New Roman" w:hAnsi="Times New Roman" w:cs="Times New Roman"/>
          <w:sz w:val="26"/>
          <w:szCs w:val="26"/>
        </w:rPr>
        <w:t>) impose a criminal sanction for the contravention of the Scheme and as such imposing a binding obligation on land owners and users to use land for the purposes permitted.</w:t>
      </w:r>
    </w:p>
    <w:p w14:paraId="6121EFC6" w14:textId="6DF865CE" w:rsidR="00EA28C4" w:rsidRDefault="00EA28C4" w:rsidP="006D6B95">
      <w:pPr>
        <w:spacing w:line="360" w:lineRule="auto"/>
        <w:jc w:val="both"/>
        <w:rPr>
          <w:rFonts w:ascii="Times New Roman" w:hAnsi="Times New Roman" w:cs="Times New Roman"/>
          <w:sz w:val="26"/>
          <w:szCs w:val="26"/>
        </w:rPr>
      </w:pPr>
    </w:p>
    <w:p w14:paraId="0BC43471" w14:textId="38616F62" w:rsidR="00143524" w:rsidRDefault="00EA28C4" w:rsidP="006D6B9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28</w:t>
      </w:r>
      <w:r>
        <w:rPr>
          <w:rFonts w:ascii="Times New Roman" w:hAnsi="Times New Roman" w:cs="Times New Roman"/>
          <w:sz w:val="26"/>
          <w:szCs w:val="26"/>
        </w:rPr>
        <w:t>]</w:t>
      </w:r>
      <w:r w:rsidR="00EE4725">
        <w:rPr>
          <w:rFonts w:ascii="Times New Roman" w:hAnsi="Times New Roman" w:cs="Times New Roman"/>
          <w:sz w:val="26"/>
          <w:szCs w:val="26"/>
        </w:rPr>
        <w:t xml:space="preserve"> </w:t>
      </w:r>
      <w:r>
        <w:rPr>
          <w:rFonts w:ascii="Times New Roman" w:hAnsi="Times New Roman" w:cs="Times New Roman"/>
          <w:sz w:val="26"/>
          <w:szCs w:val="26"/>
        </w:rPr>
        <w:t>In circumstances where a</w:t>
      </w:r>
      <w:r w:rsidR="00593552">
        <w:rPr>
          <w:rFonts w:ascii="Times New Roman" w:hAnsi="Times New Roman" w:cs="Times New Roman"/>
          <w:sz w:val="26"/>
          <w:szCs w:val="26"/>
        </w:rPr>
        <w:t>n</w:t>
      </w:r>
      <w:r>
        <w:rPr>
          <w:rFonts w:ascii="Times New Roman" w:hAnsi="Times New Roman" w:cs="Times New Roman"/>
          <w:sz w:val="26"/>
          <w:szCs w:val="26"/>
        </w:rPr>
        <w:t xml:space="preserve"> owner or land users fail to comply with legislation, an interdict against the unlawful use </w:t>
      </w:r>
      <w:r w:rsidRPr="002E6C47">
        <w:rPr>
          <w:rFonts w:ascii="Times New Roman" w:hAnsi="Times New Roman" w:cs="Times New Roman"/>
          <w:b/>
          <w:bCs/>
          <w:sz w:val="26"/>
          <w:szCs w:val="26"/>
        </w:rPr>
        <w:t xml:space="preserve">must </w:t>
      </w:r>
      <w:r>
        <w:rPr>
          <w:rFonts w:ascii="Times New Roman" w:hAnsi="Times New Roman" w:cs="Times New Roman"/>
          <w:sz w:val="26"/>
          <w:szCs w:val="26"/>
        </w:rPr>
        <w:t>follow, and therefore</w:t>
      </w:r>
      <w:r w:rsidR="00BA3F53">
        <w:rPr>
          <w:rFonts w:ascii="Times New Roman" w:hAnsi="Times New Roman" w:cs="Times New Roman"/>
          <w:sz w:val="26"/>
          <w:szCs w:val="26"/>
        </w:rPr>
        <w:t>,</w:t>
      </w:r>
      <w:r>
        <w:rPr>
          <w:rFonts w:ascii="Times New Roman" w:hAnsi="Times New Roman" w:cs="Times New Roman"/>
          <w:sz w:val="26"/>
          <w:szCs w:val="26"/>
        </w:rPr>
        <w:t xml:space="preserve"> the Court has no power nor a discretion to refuse an interdict once it is established that the conduct of which an applicant complains is</w:t>
      </w:r>
      <w:r w:rsidR="002E6C47">
        <w:rPr>
          <w:rFonts w:ascii="Times New Roman" w:hAnsi="Times New Roman" w:cs="Times New Roman"/>
          <w:sz w:val="26"/>
          <w:szCs w:val="26"/>
        </w:rPr>
        <w:t>,</w:t>
      </w:r>
      <w:r>
        <w:rPr>
          <w:rFonts w:ascii="Times New Roman" w:hAnsi="Times New Roman" w:cs="Times New Roman"/>
          <w:sz w:val="26"/>
          <w:szCs w:val="26"/>
        </w:rPr>
        <w:t xml:space="preserve"> an offence. </w:t>
      </w:r>
      <w:r w:rsidR="0053462F">
        <w:rPr>
          <w:rFonts w:ascii="Times New Roman" w:hAnsi="Times New Roman" w:cs="Times New Roman"/>
          <w:sz w:val="26"/>
          <w:szCs w:val="26"/>
        </w:rPr>
        <w:t xml:space="preserve"> </w:t>
      </w:r>
      <w:r>
        <w:rPr>
          <w:rFonts w:ascii="Times New Roman" w:hAnsi="Times New Roman" w:cs="Times New Roman"/>
          <w:sz w:val="26"/>
          <w:szCs w:val="26"/>
        </w:rPr>
        <w:t xml:space="preserve">The principle was affirmed by the Supreme Court of Appeal in the matter of </w:t>
      </w:r>
      <w:r>
        <w:rPr>
          <w:rFonts w:ascii="Times New Roman" w:hAnsi="Times New Roman" w:cs="Times New Roman"/>
          <w:i/>
          <w:iCs/>
          <w:sz w:val="26"/>
          <w:szCs w:val="26"/>
        </w:rPr>
        <w:t>Lester</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11"/>
      </w:r>
    </w:p>
    <w:p w14:paraId="3EE5F4C4" w14:textId="1F69B013" w:rsidR="00143524" w:rsidRDefault="00143524" w:rsidP="006D6B9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EE4725">
        <w:rPr>
          <w:rFonts w:ascii="Times New Roman" w:hAnsi="Times New Roman" w:cs="Times New Roman"/>
          <w:sz w:val="26"/>
          <w:szCs w:val="26"/>
        </w:rPr>
        <w:t>29</w:t>
      </w:r>
      <w:r>
        <w:rPr>
          <w:rFonts w:ascii="Times New Roman" w:hAnsi="Times New Roman" w:cs="Times New Roman"/>
          <w:sz w:val="26"/>
          <w:szCs w:val="26"/>
        </w:rPr>
        <w:t>]</w:t>
      </w:r>
      <w:r w:rsidR="00EE4725">
        <w:rPr>
          <w:rFonts w:ascii="Times New Roman" w:hAnsi="Times New Roman" w:cs="Times New Roman"/>
          <w:sz w:val="26"/>
          <w:szCs w:val="26"/>
        </w:rPr>
        <w:t xml:space="preserve"> </w:t>
      </w:r>
      <w:r w:rsidR="00BC7328">
        <w:rPr>
          <w:rFonts w:ascii="Times New Roman" w:hAnsi="Times New Roman" w:cs="Times New Roman"/>
          <w:sz w:val="26"/>
          <w:szCs w:val="26"/>
        </w:rPr>
        <w:t>T</w:t>
      </w:r>
      <w:r>
        <w:rPr>
          <w:rFonts w:ascii="Times New Roman" w:hAnsi="Times New Roman" w:cs="Times New Roman"/>
          <w:sz w:val="26"/>
          <w:szCs w:val="26"/>
        </w:rPr>
        <w:t xml:space="preserve">he applicants contended that the principles in the </w:t>
      </w:r>
      <w:r>
        <w:rPr>
          <w:rFonts w:ascii="Times New Roman" w:hAnsi="Times New Roman" w:cs="Times New Roman"/>
          <w:i/>
          <w:iCs/>
          <w:sz w:val="26"/>
          <w:szCs w:val="26"/>
        </w:rPr>
        <w:t xml:space="preserve">Lester case </w:t>
      </w:r>
      <w:r>
        <w:rPr>
          <w:rFonts w:ascii="Times New Roman" w:hAnsi="Times New Roman" w:cs="Times New Roman"/>
          <w:sz w:val="26"/>
          <w:szCs w:val="26"/>
        </w:rPr>
        <w:t>apply with equal effect to this matter, and</w:t>
      </w:r>
      <w:r w:rsidR="00BC7328">
        <w:rPr>
          <w:rFonts w:ascii="Times New Roman" w:hAnsi="Times New Roman" w:cs="Times New Roman"/>
          <w:sz w:val="26"/>
          <w:szCs w:val="26"/>
        </w:rPr>
        <w:t xml:space="preserve"> therefore the legal principles applicable to the use of land contained in the Land Use Scheme have to be adhered to. Counsil for the applicants argued that the first respondents intended unlawful conduct of the </w:t>
      </w:r>
      <w:r w:rsidR="00BC7328">
        <w:rPr>
          <w:rFonts w:ascii="Times New Roman" w:hAnsi="Times New Roman" w:cs="Times New Roman"/>
          <w:i/>
          <w:iCs/>
          <w:sz w:val="26"/>
          <w:szCs w:val="26"/>
        </w:rPr>
        <w:t>cul-de-sac,</w:t>
      </w:r>
      <w:r w:rsidR="00BC7328">
        <w:rPr>
          <w:rFonts w:ascii="Times New Roman" w:hAnsi="Times New Roman" w:cs="Times New Roman"/>
          <w:sz w:val="26"/>
          <w:szCs w:val="26"/>
        </w:rPr>
        <w:t xml:space="preserve"> </w:t>
      </w:r>
      <w:r w:rsidR="00BC7328" w:rsidRPr="00BA3F53">
        <w:rPr>
          <w:rFonts w:ascii="Times New Roman" w:hAnsi="Times New Roman" w:cs="Times New Roman"/>
          <w:sz w:val="26"/>
          <w:szCs w:val="26"/>
        </w:rPr>
        <w:t>a</w:t>
      </w:r>
      <w:r w:rsidR="00BC7328" w:rsidRPr="00BA3F53">
        <w:rPr>
          <w:rFonts w:ascii="Times New Roman" w:hAnsi="Times New Roman" w:cs="Times New Roman"/>
          <w:i/>
          <w:iCs/>
          <w:sz w:val="26"/>
          <w:szCs w:val="26"/>
        </w:rPr>
        <w:t xml:space="preserve"> public road</w:t>
      </w:r>
      <w:r w:rsidR="00157EB1">
        <w:rPr>
          <w:rFonts w:ascii="Times New Roman" w:hAnsi="Times New Roman" w:cs="Times New Roman"/>
          <w:sz w:val="26"/>
          <w:szCs w:val="26"/>
        </w:rPr>
        <w:t>, must be interdicted</w:t>
      </w:r>
      <w:r w:rsidR="004842B8">
        <w:rPr>
          <w:rFonts w:ascii="Times New Roman" w:hAnsi="Times New Roman" w:cs="Times New Roman"/>
          <w:sz w:val="26"/>
          <w:szCs w:val="26"/>
        </w:rPr>
        <w:t>.</w:t>
      </w:r>
    </w:p>
    <w:p w14:paraId="0B6F17D2" w14:textId="3FF17D07" w:rsidR="004842B8" w:rsidRDefault="004842B8" w:rsidP="006D6B95">
      <w:pPr>
        <w:spacing w:line="360" w:lineRule="auto"/>
        <w:jc w:val="both"/>
        <w:rPr>
          <w:rFonts w:ascii="Times New Roman" w:hAnsi="Times New Roman" w:cs="Times New Roman"/>
          <w:sz w:val="26"/>
          <w:szCs w:val="26"/>
        </w:rPr>
      </w:pPr>
    </w:p>
    <w:p w14:paraId="2E5646AF" w14:textId="3FD342A5" w:rsidR="004842B8" w:rsidRDefault="004842B8" w:rsidP="006D6B9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30</w:t>
      </w:r>
      <w:r>
        <w:rPr>
          <w:rFonts w:ascii="Times New Roman" w:hAnsi="Times New Roman" w:cs="Times New Roman"/>
          <w:sz w:val="26"/>
          <w:szCs w:val="26"/>
        </w:rPr>
        <w:t xml:space="preserve">] The applicants argued that they have the right to a final interdict as they have demonstrated that the intended use of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for storage purposes is in contravention of the Scheme and is an offence. Counsil for the applicants contended that in such circumstances a final interdict must be granted which was clearly stated in the </w:t>
      </w:r>
      <w:r>
        <w:rPr>
          <w:rFonts w:ascii="Times New Roman" w:hAnsi="Times New Roman" w:cs="Times New Roman"/>
          <w:i/>
          <w:iCs/>
          <w:sz w:val="26"/>
          <w:szCs w:val="26"/>
        </w:rPr>
        <w:t>Chapman’s Peak Hotel case</w:t>
      </w:r>
      <w:r>
        <w:rPr>
          <w:rStyle w:val="FootnoteReference"/>
          <w:rFonts w:ascii="Times New Roman" w:hAnsi="Times New Roman" w:cs="Times New Roman"/>
          <w:i/>
          <w:iCs/>
          <w:sz w:val="26"/>
          <w:szCs w:val="26"/>
        </w:rPr>
        <w:footnoteReference w:id="12"/>
      </w:r>
      <w:r w:rsidR="009400EB">
        <w:rPr>
          <w:rFonts w:ascii="Times New Roman" w:hAnsi="Times New Roman" w:cs="Times New Roman"/>
          <w:i/>
          <w:iCs/>
          <w:sz w:val="26"/>
          <w:szCs w:val="26"/>
        </w:rPr>
        <w:t xml:space="preserve"> </w:t>
      </w:r>
      <w:r w:rsidR="009400EB">
        <w:rPr>
          <w:rFonts w:ascii="Times New Roman" w:hAnsi="Times New Roman" w:cs="Times New Roman"/>
          <w:sz w:val="26"/>
          <w:szCs w:val="26"/>
        </w:rPr>
        <w:t>where the following was stated;</w:t>
      </w:r>
    </w:p>
    <w:p w14:paraId="7169D904" w14:textId="27441C70" w:rsidR="009400EB" w:rsidRPr="009400EB" w:rsidRDefault="00F44DFE" w:rsidP="006D6B95">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“Once it is accepted that the nature of the right in question is a public right, then it must follow, in my view, that for continuing infringements of the right the only effective remedy is an interdict.”</w:t>
      </w:r>
    </w:p>
    <w:p w14:paraId="4240BCCF" w14:textId="48981E73" w:rsidR="00385311" w:rsidRPr="00CA6226" w:rsidRDefault="00385311" w:rsidP="00F3123A">
      <w:pPr>
        <w:spacing w:line="360" w:lineRule="auto"/>
        <w:jc w:val="both"/>
        <w:rPr>
          <w:rFonts w:ascii="Times New Roman" w:hAnsi="Times New Roman" w:cs="Times New Roman"/>
          <w:i/>
          <w:iCs/>
          <w:sz w:val="26"/>
          <w:szCs w:val="26"/>
        </w:rPr>
      </w:pPr>
    </w:p>
    <w:p w14:paraId="0ED50609" w14:textId="6E15A857" w:rsidR="00385311" w:rsidRDefault="00CA6226" w:rsidP="00F3123A">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S</w:t>
      </w:r>
      <w:r w:rsidRPr="00CA6226">
        <w:rPr>
          <w:rFonts w:ascii="Times New Roman" w:hAnsi="Times New Roman" w:cs="Times New Roman"/>
          <w:i/>
          <w:iCs/>
          <w:sz w:val="26"/>
          <w:szCs w:val="26"/>
        </w:rPr>
        <w:t>ubmissions by the respondent</w:t>
      </w:r>
    </w:p>
    <w:p w14:paraId="67CB1D22" w14:textId="5B08C82F" w:rsidR="00C01EBD" w:rsidRDefault="00C01EBD"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31</w:t>
      </w:r>
      <w:r>
        <w:rPr>
          <w:rFonts w:ascii="Times New Roman" w:hAnsi="Times New Roman" w:cs="Times New Roman"/>
          <w:sz w:val="26"/>
          <w:szCs w:val="26"/>
        </w:rPr>
        <w:t>] The first respondent argued that whether</w:t>
      </w:r>
      <w:r w:rsidR="001E4800">
        <w:rPr>
          <w:rFonts w:ascii="Times New Roman" w:hAnsi="Times New Roman" w:cs="Times New Roman"/>
          <w:sz w:val="26"/>
          <w:szCs w:val="26"/>
        </w:rPr>
        <w:t xml:space="preserve"> </w:t>
      </w:r>
      <w:r>
        <w:rPr>
          <w:rFonts w:ascii="Times New Roman" w:hAnsi="Times New Roman" w:cs="Times New Roman"/>
          <w:sz w:val="26"/>
          <w:szCs w:val="26"/>
        </w:rPr>
        <w:t xml:space="preserve">or not the second respondent’s decision to close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was lawful is not the subject matter of the applicants’ case. </w:t>
      </w:r>
      <w:r w:rsidR="00684F9F">
        <w:rPr>
          <w:rFonts w:ascii="Times New Roman" w:hAnsi="Times New Roman" w:cs="Times New Roman"/>
          <w:sz w:val="26"/>
          <w:szCs w:val="26"/>
        </w:rPr>
        <w:t xml:space="preserve"> </w:t>
      </w:r>
      <w:r>
        <w:rPr>
          <w:rFonts w:ascii="Times New Roman" w:hAnsi="Times New Roman" w:cs="Times New Roman"/>
          <w:sz w:val="26"/>
          <w:szCs w:val="26"/>
        </w:rPr>
        <w:t xml:space="preserve">The reason for the averment is because the decision to close the </w:t>
      </w:r>
      <w:r w:rsidRPr="00C01EBD">
        <w:rPr>
          <w:rFonts w:ascii="Times New Roman" w:hAnsi="Times New Roman" w:cs="Times New Roman"/>
          <w:i/>
          <w:iCs/>
          <w:sz w:val="26"/>
          <w:szCs w:val="26"/>
        </w:rPr>
        <w:t>cul-de-sac</w:t>
      </w:r>
      <w:r>
        <w:rPr>
          <w:rFonts w:ascii="Times New Roman" w:hAnsi="Times New Roman" w:cs="Times New Roman"/>
          <w:sz w:val="26"/>
          <w:szCs w:val="26"/>
        </w:rPr>
        <w:t xml:space="preserve"> and to lease the space to the first respondent to use for purposes of storage, constituted an administrative action within the meaning of PAJA. </w:t>
      </w:r>
    </w:p>
    <w:p w14:paraId="2FEDE225" w14:textId="77777777" w:rsidR="00DF49DD" w:rsidRDefault="00DF49DD" w:rsidP="00F3123A">
      <w:pPr>
        <w:spacing w:line="360" w:lineRule="auto"/>
        <w:jc w:val="both"/>
        <w:rPr>
          <w:rFonts w:ascii="Times New Roman" w:hAnsi="Times New Roman" w:cs="Times New Roman"/>
          <w:sz w:val="26"/>
          <w:szCs w:val="26"/>
        </w:rPr>
      </w:pPr>
    </w:p>
    <w:p w14:paraId="511FFBF5" w14:textId="1646F6B9" w:rsidR="00843016" w:rsidRDefault="00C01EBD"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32</w:t>
      </w:r>
      <w:r>
        <w:rPr>
          <w:rFonts w:ascii="Times New Roman" w:hAnsi="Times New Roman" w:cs="Times New Roman"/>
          <w:sz w:val="26"/>
          <w:szCs w:val="26"/>
        </w:rPr>
        <w:t xml:space="preserve">] It was furthermore contended by the first respondent the applicants’ </w:t>
      </w:r>
      <w:r w:rsidR="00843016">
        <w:rPr>
          <w:rFonts w:ascii="Times New Roman" w:hAnsi="Times New Roman" w:cs="Times New Roman"/>
          <w:sz w:val="26"/>
          <w:szCs w:val="26"/>
        </w:rPr>
        <w:t xml:space="preserve">instituted a review application </w:t>
      </w:r>
      <w:r w:rsidR="007278CD">
        <w:rPr>
          <w:rFonts w:ascii="Times New Roman" w:hAnsi="Times New Roman" w:cs="Times New Roman"/>
          <w:sz w:val="26"/>
          <w:szCs w:val="26"/>
        </w:rPr>
        <w:t xml:space="preserve">on </w:t>
      </w:r>
      <w:r w:rsidR="00DF49DD">
        <w:rPr>
          <w:rFonts w:ascii="Times New Roman" w:hAnsi="Times New Roman" w:cs="Times New Roman"/>
          <w:sz w:val="26"/>
          <w:szCs w:val="26"/>
        </w:rPr>
        <w:t>20 October</w:t>
      </w:r>
      <w:r w:rsidR="007278CD">
        <w:rPr>
          <w:rFonts w:ascii="Times New Roman" w:hAnsi="Times New Roman" w:cs="Times New Roman"/>
          <w:sz w:val="26"/>
          <w:szCs w:val="26"/>
        </w:rPr>
        <w:t xml:space="preserve"> 2021, weeks </w:t>
      </w:r>
      <w:r w:rsidR="00843016">
        <w:rPr>
          <w:rFonts w:ascii="Times New Roman" w:hAnsi="Times New Roman" w:cs="Times New Roman"/>
          <w:sz w:val="26"/>
          <w:szCs w:val="26"/>
        </w:rPr>
        <w:t>before the hearing</w:t>
      </w:r>
      <w:r w:rsidR="007278CD">
        <w:rPr>
          <w:rFonts w:ascii="Times New Roman" w:hAnsi="Times New Roman" w:cs="Times New Roman"/>
          <w:sz w:val="26"/>
          <w:szCs w:val="26"/>
        </w:rPr>
        <w:t xml:space="preserve">. </w:t>
      </w:r>
      <w:r w:rsidR="00843016">
        <w:rPr>
          <w:rFonts w:ascii="Times New Roman" w:hAnsi="Times New Roman" w:cs="Times New Roman"/>
          <w:sz w:val="26"/>
          <w:szCs w:val="26"/>
        </w:rPr>
        <w:t xml:space="preserve"> </w:t>
      </w:r>
      <w:r w:rsidR="007278CD">
        <w:rPr>
          <w:rFonts w:ascii="Times New Roman" w:hAnsi="Times New Roman" w:cs="Times New Roman"/>
          <w:sz w:val="26"/>
          <w:szCs w:val="26"/>
        </w:rPr>
        <w:t>The reason in</w:t>
      </w:r>
      <w:r w:rsidR="00DA7068">
        <w:rPr>
          <w:rFonts w:ascii="Times New Roman" w:hAnsi="Times New Roman" w:cs="Times New Roman"/>
          <w:sz w:val="26"/>
          <w:szCs w:val="26"/>
        </w:rPr>
        <w:t xml:space="preserve"> </w:t>
      </w:r>
      <w:r w:rsidR="007278CD">
        <w:rPr>
          <w:rFonts w:ascii="Times New Roman" w:hAnsi="Times New Roman" w:cs="Times New Roman"/>
          <w:sz w:val="26"/>
          <w:szCs w:val="26"/>
        </w:rPr>
        <w:t xml:space="preserve">stating the review was </w:t>
      </w:r>
      <w:r w:rsidR="00843016">
        <w:rPr>
          <w:rFonts w:ascii="Times New Roman" w:hAnsi="Times New Roman" w:cs="Times New Roman"/>
          <w:sz w:val="26"/>
          <w:szCs w:val="26"/>
        </w:rPr>
        <w:t xml:space="preserve">to set aside the decision by the second and third respondent, which is an objective fact. Council for the first respondent argued that this application for a final </w:t>
      </w:r>
      <w:r w:rsidR="00843016">
        <w:rPr>
          <w:rFonts w:ascii="Times New Roman" w:hAnsi="Times New Roman" w:cs="Times New Roman"/>
          <w:sz w:val="26"/>
          <w:szCs w:val="26"/>
        </w:rPr>
        <w:lastRenderedPageBreak/>
        <w:t>interdict is an attempt to circumvent the time-barring of the review application and to achieve indirectly what the applicants’ cannot achieve directly.</w:t>
      </w:r>
    </w:p>
    <w:p w14:paraId="6B3030AE" w14:textId="77777777" w:rsidR="00843016" w:rsidRDefault="00843016" w:rsidP="00F3123A">
      <w:pPr>
        <w:spacing w:line="360" w:lineRule="auto"/>
        <w:jc w:val="both"/>
        <w:rPr>
          <w:rFonts w:ascii="Times New Roman" w:hAnsi="Times New Roman" w:cs="Times New Roman"/>
          <w:sz w:val="26"/>
          <w:szCs w:val="26"/>
        </w:rPr>
      </w:pPr>
    </w:p>
    <w:p w14:paraId="3347B75E" w14:textId="63087AB2" w:rsidR="00C01EBD" w:rsidRDefault="00843016"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33</w:t>
      </w:r>
      <w:r>
        <w:rPr>
          <w:rFonts w:ascii="Times New Roman" w:hAnsi="Times New Roman" w:cs="Times New Roman"/>
          <w:sz w:val="26"/>
          <w:szCs w:val="26"/>
        </w:rPr>
        <w:t xml:space="preserve">] The first respondent </w:t>
      </w:r>
      <w:r w:rsidR="00EB3E87">
        <w:rPr>
          <w:rFonts w:ascii="Times New Roman" w:hAnsi="Times New Roman" w:cs="Times New Roman"/>
          <w:sz w:val="26"/>
          <w:szCs w:val="26"/>
        </w:rPr>
        <w:t>avers that the law is squarely against the applicants’ attempt to negate the administrative decisions of the second and third respondent without taking any steps to review and set aside the decisions in terms of PAJA.</w:t>
      </w:r>
      <w:r>
        <w:rPr>
          <w:rFonts w:ascii="Times New Roman" w:hAnsi="Times New Roman" w:cs="Times New Roman"/>
          <w:sz w:val="26"/>
          <w:szCs w:val="26"/>
        </w:rPr>
        <w:t xml:space="preserve"> </w:t>
      </w:r>
    </w:p>
    <w:p w14:paraId="20B2CA6B" w14:textId="060C2E16" w:rsidR="00EB3E87" w:rsidRDefault="00EB3E87" w:rsidP="00F3123A">
      <w:pPr>
        <w:spacing w:line="360" w:lineRule="auto"/>
        <w:jc w:val="both"/>
        <w:rPr>
          <w:rFonts w:ascii="Times New Roman" w:hAnsi="Times New Roman" w:cs="Times New Roman"/>
          <w:sz w:val="26"/>
          <w:szCs w:val="26"/>
        </w:rPr>
      </w:pPr>
    </w:p>
    <w:p w14:paraId="0E532CD0" w14:textId="610553EE" w:rsidR="007278CD" w:rsidRDefault="00EB3E87"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34</w:t>
      </w:r>
      <w:r>
        <w:rPr>
          <w:rFonts w:ascii="Times New Roman" w:hAnsi="Times New Roman" w:cs="Times New Roman"/>
          <w:sz w:val="26"/>
          <w:szCs w:val="26"/>
        </w:rPr>
        <w:t xml:space="preserve">] Counsil for the first respondent  further argued that the applicants’ are in breach of the </w:t>
      </w:r>
      <w:r>
        <w:rPr>
          <w:rFonts w:ascii="Times New Roman" w:hAnsi="Times New Roman" w:cs="Times New Roman"/>
          <w:i/>
          <w:iCs/>
          <w:sz w:val="26"/>
          <w:szCs w:val="26"/>
        </w:rPr>
        <w:t>“clean hands-doctrine”</w:t>
      </w:r>
      <w:r>
        <w:rPr>
          <w:rFonts w:ascii="Times New Roman" w:hAnsi="Times New Roman" w:cs="Times New Roman"/>
          <w:sz w:val="26"/>
          <w:szCs w:val="26"/>
        </w:rPr>
        <w:t xml:space="preserve">. </w:t>
      </w:r>
      <w:r w:rsidR="00684F9F">
        <w:rPr>
          <w:rFonts w:ascii="Times New Roman" w:hAnsi="Times New Roman" w:cs="Times New Roman"/>
          <w:sz w:val="26"/>
          <w:szCs w:val="26"/>
        </w:rPr>
        <w:t xml:space="preserve"> </w:t>
      </w:r>
      <w:r>
        <w:rPr>
          <w:rFonts w:ascii="Times New Roman" w:hAnsi="Times New Roman" w:cs="Times New Roman"/>
          <w:sz w:val="26"/>
          <w:szCs w:val="26"/>
        </w:rPr>
        <w:t xml:space="preserve">The applicants oppose the first respondent’s right to use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for storage purposes as it is expressly recorded in the lease, and </w:t>
      </w:r>
      <w:r w:rsidR="009A7411">
        <w:rPr>
          <w:rFonts w:ascii="Times New Roman" w:hAnsi="Times New Roman" w:cs="Times New Roman"/>
          <w:sz w:val="26"/>
          <w:szCs w:val="26"/>
        </w:rPr>
        <w:t>they do so on the basis that the public has a right to a</w:t>
      </w:r>
      <w:r w:rsidR="007D62AE">
        <w:rPr>
          <w:rFonts w:ascii="Times New Roman" w:hAnsi="Times New Roman" w:cs="Times New Roman"/>
          <w:sz w:val="26"/>
          <w:szCs w:val="26"/>
        </w:rPr>
        <w:t xml:space="preserve">ccess the </w:t>
      </w:r>
      <w:r w:rsidR="007D62AE">
        <w:rPr>
          <w:rFonts w:ascii="Times New Roman" w:hAnsi="Times New Roman" w:cs="Times New Roman"/>
          <w:i/>
          <w:iCs/>
          <w:sz w:val="26"/>
          <w:szCs w:val="26"/>
        </w:rPr>
        <w:t>cul-de-sac</w:t>
      </w:r>
      <w:r w:rsidR="007278CD">
        <w:rPr>
          <w:rFonts w:ascii="Times New Roman" w:hAnsi="Times New Roman" w:cs="Times New Roman"/>
          <w:i/>
          <w:iCs/>
          <w:sz w:val="26"/>
          <w:szCs w:val="26"/>
        </w:rPr>
        <w:t xml:space="preserve">, </w:t>
      </w:r>
      <w:r w:rsidR="007278CD">
        <w:rPr>
          <w:rFonts w:ascii="Times New Roman" w:hAnsi="Times New Roman" w:cs="Times New Roman"/>
          <w:sz w:val="26"/>
          <w:szCs w:val="26"/>
        </w:rPr>
        <w:t>being</w:t>
      </w:r>
      <w:r w:rsidR="007D62AE">
        <w:rPr>
          <w:rFonts w:ascii="Times New Roman" w:hAnsi="Times New Roman" w:cs="Times New Roman"/>
          <w:sz w:val="26"/>
          <w:szCs w:val="26"/>
        </w:rPr>
        <w:t xml:space="preserve"> a </w:t>
      </w:r>
      <w:r w:rsidR="007D62AE" w:rsidRPr="007278CD">
        <w:rPr>
          <w:rFonts w:ascii="Times New Roman" w:hAnsi="Times New Roman" w:cs="Times New Roman"/>
          <w:i/>
          <w:iCs/>
          <w:sz w:val="26"/>
          <w:szCs w:val="26"/>
        </w:rPr>
        <w:t>public road</w:t>
      </w:r>
      <w:r w:rsidR="007D62AE">
        <w:rPr>
          <w:rFonts w:ascii="Times New Roman" w:hAnsi="Times New Roman" w:cs="Times New Roman"/>
          <w:sz w:val="26"/>
          <w:szCs w:val="26"/>
        </w:rPr>
        <w:t xml:space="preserve">. </w:t>
      </w:r>
    </w:p>
    <w:p w14:paraId="7B76D70C" w14:textId="77777777" w:rsidR="007278CD" w:rsidRDefault="007278CD" w:rsidP="00F3123A">
      <w:pPr>
        <w:spacing w:line="360" w:lineRule="auto"/>
        <w:jc w:val="both"/>
        <w:rPr>
          <w:rFonts w:ascii="Times New Roman" w:hAnsi="Times New Roman" w:cs="Times New Roman"/>
          <w:sz w:val="26"/>
          <w:szCs w:val="26"/>
        </w:rPr>
      </w:pPr>
    </w:p>
    <w:p w14:paraId="1C50B2D9" w14:textId="38CDEEBF" w:rsidR="00EB3E87" w:rsidRDefault="007278CD"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35</w:t>
      </w:r>
      <w:r>
        <w:rPr>
          <w:rFonts w:ascii="Times New Roman" w:hAnsi="Times New Roman" w:cs="Times New Roman"/>
          <w:sz w:val="26"/>
          <w:szCs w:val="26"/>
        </w:rPr>
        <w:t xml:space="preserve">] </w:t>
      </w:r>
      <w:r w:rsidR="007D62AE">
        <w:rPr>
          <w:rFonts w:ascii="Times New Roman" w:hAnsi="Times New Roman" w:cs="Times New Roman"/>
          <w:sz w:val="26"/>
          <w:szCs w:val="26"/>
        </w:rPr>
        <w:t xml:space="preserve">However, the applicants motive is not altruistic, and they do not seek to benefit the public at large, </w:t>
      </w:r>
      <w:r>
        <w:rPr>
          <w:rFonts w:ascii="Times New Roman" w:hAnsi="Times New Roman" w:cs="Times New Roman"/>
          <w:sz w:val="26"/>
          <w:szCs w:val="26"/>
        </w:rPr>
        <w:t>i</w:t>
      </w:r>
      <w:r w:rsidR="007D62AE">
        <w:rPr>
          <w:rFonts w:ascii="Times New Roman" w:hAnsi="Times New Roman" w:cs="Times New Roman"/>
          <w:sz w:val="26"/>
          <w:szCs w:val="26"/>
        </w:rPr>
        <w:t xml:space="preserve">nstead, they seek to protect their own use of the </w:t>
      </w:r>
      <w:r w:rsidR="007D62AE">
        <w:rPr>
          <w:rFonts w:ascii="Times New Roman" w:hAnsi="Times New Roman" w:cs="Times New Roman"/>
          <w:i/>
          <w:iCs/>
          <w:sz w:val="26"/>
          <w:szCs w:val="26"/>
        </w:rPr>
        <w:t xml:space="preserve">cul-de-sac </w:t>
      </w:r>
      <w:r w:rsidR="007D62AE">
        <w:rPr>
          <w:rFonts w:ascii="Times New Roman" w:hAnsi="Times New Roman" w:cs="Times New Roman"/>
          <w:sz w:val="26"/>
          <w:szCs w:val="26"/>
        </w:rPr>
        <w:t>as a place to store broken down minibus taxis awaiting repair at the workshop.</w:t>
      </w:r>
    </w:p>
    <w:p w14:paraId="07BC4882" w14:textId="5D366982" w:rsidR="007D62AE" w:rsidRDefault="007D62AE" w:rsidP="00F3123A">
      <w:pPr>
        <w:spacing w:line="360" w:lineRule="auto"/>
        <w:jc w:val="both"/>
        <w:rPr>
          <w:rFonts w:ascii="Times New Roman" w:hAnsi="Times New Roman" w:cs="Times New Roman"/>
          <w:sz w:val="26"/>
          <w:szCs w:val="26"/>
        </w:rPr>
      </w:pPr>
    </w:p>
    <w:p w14:paraId="0B7A889B" w14:textId="561D8EC2" w:rsidR="007D62AE" w:rsidRDefault="007D62AE"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36</w:t>
      </w:r>
      <w:r>
        <w:rPr>
          <w:rFonts w:ascii="Times New Roman" w:hAnsi="Times New Roman" w:cs="Times New Roman"/>
          <w:sz w:val="26"/>
          <w:szCs w:val="26"/>
        </w:rPr>
        <w:t>] Therefore</w:t>
      </w:r>
      <w:r w:rsidR="00DF49DD">
        <w:rPr>
          <w:rFonts w:ascii="Times New Roman" w:hAnsi="Times New Roman" w:cs="Times New Roman"/>
          <w:sz w:val="26"/>
          <w:szCs w:val="26"/>
        </w:rPr>
        <w:t>,</w:t>
      </w:r>
      <w:r>
        <w:rPr>
          <w:rFonts w:ascii="Times New Roman" w:hAnsi="Times New Roman" w:cs="Times New Roman"/>
          <w:sz w:val="26"/>
          <w:szCs w:val="26"/>
        </w:rPr>
        <w:t xml:space="preserve"> it is contended </w:t>
      </w:r>
      <w:r w:rsidR="007278CD">
        <w:rPr>
          <w:rFonts w:ascii="Times New Roman" w:hAnsi="Times New Roman" w:cs="Times New Roman"/>
          <w:sz w:val="26"/>
          <w:szCs w:val="26"/>
        </w:rPr>
        <w:t>on the same arguments by the applicants,</w:t>
      </w:r>
      <w:r w:rsidR="00DF49DD">
        <w:rPr>
          <w:rFonts w:ascii="Times New Roman" w:hAnsi="Times New Roman" w:cs="Times New Roman"/>
          <w:sz w:val="26"/>
          <w:szCs w:val="26"/>
        </w:rPr>
        <w:t xml:space="preserve"> should apply to</w:t>
      </w:r>
      <w:r>
        <w:rPr>
          <w:rFonts w:ascii="Times New Roman" w:hAnsi="Times New Roman" w:cs="Times New Roman"/>
          <w:sz w:val="26"/>
          <w:szCs w:val="26"/>
        </w:rPr>
        <w:t xml:space="preserve"> th</w:t>
      </w:r>
      <w:r w:rsidR="007278CD">
        <w:rPr>
          <w:rFonts w:ascii="Times New Roman" w:hAnsi="Times New Roman" w:cs="Times New Roman"/>
          <w:sz w:val="26"/>
          <w:szCs w:val="26"/>
        </w:rPr>
        <w:t xml:space="preserve">eir </w:t>
      </w:r>
      <w:r>
        <w:rPr>
          <w:rFonts w:ascii="Times New Roman" w:hAnsi="Times New Roman" w:cs="Times New Roman"/>
          <w:sz w:val="26"/>
          <w:szCs w:val="26"/>
        </w:rPr>
        <w:t xml:space="preserve">unlawful use of the </w:t>
      </w:r>
      <w:r>
        <w:rPr>
          <w:rFonts w:ascii="Times New Roman" w:hAnsi="Times New Roman" w:cs="Times New Roman"/>
          <w:i/>
          <w:iCs/>
          <w:sz w:val="26"/>
          <w:szCs w:val="26"/>
        </w:rPr>
        <w:t>cul-de-sac</w:t>
      </w:r>
      <w:r w:rsidR="00DF49DD">
        <w:rPr>
          <w:rFonts w:ascii="Times New Roman" w:hAnsi="Times New Roman" w:cs="Times New Roman"/>
          <w:i/>
          <w:iCs/>
          <w:sz w:val="26"/>
          <w:szCs w:val="26"/>
        </w:rPr>
        <w:t xml:space="preserve"> </w:t>
      </w:r>
      <w:r w:rsidR="00DF49DD" w:rsidRPr="00DF49DD">
        <w:rPr>
          <w:rFonts w:ascii="Times New Roman" w:hAnsi="Times New Roman" w:cs="Times New Roman"/>
          <w:sz w:val="26"/>
          <w:szCs w:val="26"/>
        </w:rPr>
        <w:t>and thus</w:t>
      </w:r>
      <w:r>
        <w:rPr>
          <w:rFonts w:ascii="Times New Roman" w:hAnsi="Times New Roman" w:cs="Times New Roman"/>
          <w:i/>
          <w:iCs/>
          <w:sz w:val="26"/>
          <w:szCs w:val="26"/>
        </w:rPr>
        <w:t xml:space="preserve"> </w:t>
      </w:r>
      <w:r>
        <w:rPr>
          <w:rFonts w:ascii="Times New Roman" w:hAnsi="Times New Roman" w:cs="Times New Roman"/>
          <w:sz w:val="26"/>
          <w:szCs w:val="26"/>
        </w:rPr>
        <w:t>should also be precluded by SPLUMA. Therefore</w:t>
      </w:r>
      <w:r w:rsidR="005214AB">
        <w:rPr>
          <w:rFonts w:ascii="Times New Roman" w:hAnsi="Times New Roman" w:cs="Times New Roman"/>
          <w:sz w:val="26"/>
          <w:szCs w:val="26"/>
        </w:rPr>
        <w:t>,</w:t>
      </w:r>
      <w:r>
        <w:rPr>
          <w:rFonts w:ascii="Times New Roman" w:hAnsi="Times New Roman" w:cs="Times New Roman"/>
          <w:sz w:val="26"/>
          <w:szCs w:val="26"/>
        </w:rPr>
        <w:t xml:space="preserve"> it was </w:t>
      </w:r>
      <w:r w:rsidR="00F305CE">
        <w:rPr>
          <w:rFonts w:ascii="Times New Roman" w:hAnsi="Times New Roman" w:cs="Times New Roman"/>
          <w:sz w:val="26"/>
          <w:szCs w:val="26"/>
        </w:rPr>
        <w:t>argued</w:t>
      </w:r>
      <w:r>
        <w:rPr>
          <w:rFonts w:ascii="Times New Roman" w:hAnsi="Times New Roman" w:cs="Times New Roman"/>
          <w:sz w:val="26"/>
          <w:szCs w:val="26"/>
        </w:rPr>
        <w:t xml:space="preserve"> that the applicants’ own</w:t>
      </w:r>
      <w:r w:rsidR="00F305CE">
        <w:rPr>
          <w:rFonts w:ascii="Times New Roman" w:hAnsi="Times New Roman" w:cs="Times New Roman"/>
          <w:sz w:val="26"/>
          <w:szCs w:val="26"/>
        </w:rPr>
        <w:t xml:space="preserve"> argument, if accepted, defeats the relief sought by the applicants.</w:t>
      </w:r>
    </w:p>
    <w:p w14:paraId="08ACCD24" w14:textId="68469BBE" w:rsidR="00F32C3B" w:rsidRDefault="00F32C3B" w:rsidP="00F3123A">
      <w:pPr>
        <w:spacing w:line="360" w:lineRule="auto"/>
        <w:jc w:val="both"/>
        <w:rPr>
          <w:rFonts w:ascii="Times New Roman" w:hAnsi="Times New Roman" w:cs="Times New Roman"/>
          <w:sz w:val="26"/>
          <w:szCs w:val="26"/>
        </w:rPr>
      </w:pPr>
    </w:p>
    <w:p w14:paraId="77D1B4AB" w14:textId="147A22AF" w:rsidR="00F32C3B" w:rsidRPr="007D62AE" w:rsidRDefault="00F32C3B"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37</w:t>
      </w:r>
      <w:r>
        <w:rPr>
          <w:rFonts w:ascii="Times New Roman" w:hAnsi="Times New Roman" w:cs="Times New Roman"/>
          <w:sz w:val="26"/>
          <w:szCs w:val="26"/>
        </w:rPr>
        <w:t xml:space="preserve">] The </w:t>
      </w:r>
      <w:r w:rsidR="00E43D5D">
        <w:rPr>
          <w:rFonts w:ascii="Times New Roman" w:hAnsi="Times New Roman" w:cs="Times New Roman"/>
          <w:sz w:val="26"/>
          <w:szCs w:val="26"/>
        </w:rPr>
        <w:t xml:space="preserve">first respondent argued that the applicants </w:t>
      </w:r>
      <w:r w:rsidR="00E9580B">
        <w:rPr>
          <w:rFonts w:ascii="Times New Roman" w:hAnsi="Times New Roman" w:cs="Times New Roman"/>
          <w:sz w:val="26"/>
          <w:szCs w:val="26"/>
        </w:rPr>
        <w:t>have failed to demonstrate irreparable harm or the absence of an alternative remedy in order for a final interdict to be granted, and therefore the application must be dismissed.</w:t>
      </w:r>
    </w:p>
    <w:p w14:paraId="1933A5B0" w14:textId="3C9B0340" w:rsidR="00385311" w:rsidRDefault="00B152C1"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21D894E7" w14:textId="604222A5" w:rsidR="00E9580B" w:rsidRDefault="00E9580B"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38</w:t>
      </w:r>
      <w:r>
        <w:rPr>
          <w:rFonts w:ascii="Times New Roman" w:hAnsi="Times New Roman" w:cs="Times New Roman"/>
          <w:sz w:val="26"/>
          <w:szCs w:val="26"/>
        </w:rPr>
        <w:t>] Counsil for the first respondent avers that the applicants seek to demonstrate their “</w:t>
      </w:r>
      <w:r w:rsidRPr="00E9580B">
        <w:rPr>
          <w:rFonts w:ascii="Times New Roman" w:hAnsi="Times New Roman" w:cs="Times New Roman"/>
          <w:i/>
          <w:iCs/>
          <w:sz w:val="26"/>
          <w:szCs w:val="26"/>
        </w:rPr>
        <w:t>clear right</w:t>
      </w:r>
      <w:r>
        <w:rPr>
          <w:rFonts w:ascii="Times New Roman" w:hAnsi="Times New Roman" w:cs="Times New Roman"/>
          <w:sz w:val="26"/>
          <w:szCs w:val="26"/>
        </w:rPr>
        <w:t>” to the final interdictory relief on the basis of SPLUMA</w:t>
      </w:r>
      <w:r w:rsidR="00992A5B">
        <w:rPr>
          <w:rFonts w:ascii="Times New Roman" w:hAnsi="Times New Roman" w:cs="Times New Roman"/>
          <w:sz w:val="26"/>
          <w:szCs w:val="26"/>
        </w:rPr>
        <w:t xml:space="preserve"> and its application on the matter.  According to the first respondent the argument based on SPLUMA is fundamentally flawed, because the </w:t>
      </w:r>
      <w:r w:rsidR="00992A5B">
        <w:rPr>
          <w:rFonts w:ascii="Times New Roman" w:hAnsi="Times New Roman" w:cs="Times New Roman"/>
          <w:i/>
          <w:iCs/>
          <w:sz w:val="26"/>
          <w:szCs w:val="26"/>
        </w:rPr>
        <w:t xml:space="preserve">cul-de-sac </w:t>
      </w:r>
      <w:r w:rsidR="00992A5B">
        <w:rPr>
          <w:rFonts w:ascii="Times New Roman" w:hAnsi="Times New Roman" w:cs="Times New Roman"/>
          <w:sz w:val="26"/>
          <w:szCs w:val="26"/>
        </w:rPr>
        <w:t xml:space="preserve">was closed and the lease was concluded with the first respondent in terms of the Municipal Finance Management Act, Act 56 of </w:t>
      </w:r>
      <w:r w:rsidR="00992A5B">
        <w:rPr>
          <w:rFonts w:ascii="Times New Roman" w:hAnsi="Times New Roman" w:cs="Times New Roman"/>
          <w:sz w:val="26"/>
          <w:szCs w:val="26"/>
        </w:rPr>
        <w:lastRenderedPageBreak/>
        <w:t>2003</w:t>
      </w:r>
      <w:r w:rsidR="0036699D">
        <w:rPr>
          <w:rFonts w:ascii="Times New Roman" w:hAnsi="Times New Roman" w:cs="Times New Roman"/>
          <w:sz w:val="26"/>
          <w:szCs w:val="26"/>
        </w:rPr>
        <w:t xml:space="preserve"> (</w:t>
      </w:r>
      <w:r w:rsidR="0036699D">
        <w:rPr>
          <w:rFonts w:ascii="Times New Roman" w:hAnsi="Times New Roman" w:cs="Times New Roman"/>
          <w:b/>
          <w:bCs/>
          <w:sz w:val="26"/>
          <w:szCs w:val="26"/>
        </w:rPr>
        <w:t>“MFMA”</w:t>
      </w:r>
      <w:r w:rsidR="0036699D">
        <w:rPr>
          <w:rFonts w:ascii="Times New Roman" w:hAnsi="Times New Roman" w:cs="Times New Roman"/>
          <w:sz w:val="26"/>
          <w:szCs w:val="26"/>
        </w:rPr>
        <w:t>)</w:t>
      </w:r>
      <w:r w:rsidR="00992A5B">
        <w:rPr>
          <w:rFonts w:ascii="Times New Roman" w:hAnsi="Times New Roman" w:cs="Times New Roman"/>
          <w:sz w:val="26"/>
          <w:szCs w:val="26"/>
        </w:rPr>
        <w:t>, the Local Government Ordinance 17 of 1939  (</w:t>
      </w:r>
      <w:r w:rsidR="00992A5B" w:rsidRPr="00992A5B">
        <w:rPr>
          <w:rFonts w:ascii="Times New Roman" w:hAnsi="Times New Roman" w:cs="Times New Roman"/>
          <w:b/>
          <w:bCs/>
          <w:i/>
          <w:iCs/>
          <w:sz w:val="26"/>
          <w:szCs w:val="26"/>
        </w:rPr>
        <w:t>“the Ordinance”</w:t>
      </w:r>
      <w:r w:rsidR="00992A5B">
        <w:rPr>
          <w:rFonts w:ascii="Times New Roman" w:hAnsi="Times New Roman" w:cs="Times New Roman"/>
          <w:i/>
          <w:iCs/>
          <w:sz w:val="26"/>
          <w:szCs w:val="26"/>
        </w:rPr>
        <w:t xml:space="preserve">) </w:t>
      </w:r>
      <w:r w:rsidR="00992A5B">
        <w:rPr>
          <w:rFonts w:ascii="Times New Roman" w:hAnsi="Times New Roman" w:cs="Times New Roman"/>
          <w:sz w:val="26"/>
          <w:szCs w:val="26"/>
        </w:rPr>
        <w:t xml:space="preserve">and the Municipal Asset Transfer Regulations of 2008. </w:t>
      </w:r>
      <w:r w:rsidR="00DF49DD">
        <w:rPr>
          <w:rFonts w:ascii="Times New Roman" w:hAnsi="Times New Roman" w:cs="Times New Roman"/>
          <w:sz w:val="26"/>
          <w:szCs w:val="26"/>
        </w:rPr>
        <w:t>(Applicable Law)</w:t>
      </w:r>
    </w:p>
    <w:p w14:paraId="5CAEF4CD" w14:textId="3EF246F2" w:rsidR="00992A5B" w:rsidRDefault="00992A5B" w:rsidP="00F3123A">
      <w:pPr>
        <w:spacing w:line="360" w:lineRule="auto"/>
        <w:jc w:val="both"/>
        <w:rPr>
          <w:rFonts w:ascii="Times New Roman" w:hAnsi="Times New Roman" w:cs="Times New Roman"/>
          <w:sz w:val="26"/>
          <w:szCs w:val="26"/>
        </w:rPr>
      </w:pPr>
    </w:p>
    <w:p w14:paraId="6F989005" w14:textId="55612D03" w:rsidR="00992A5B" w:rsidRDefault="00992A5B"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39</w:t>
      </w:r>
      <w:r>
        <w:rPr>
          <w:rFonts w:ascii="Times New Roman" w:hAnsi="Times New Roman" w:cs="Times New Roman"/>
          <w:sz w:val="26"/>
          <w:szCs w:val="26"/>
        </w:rPr>
        <w:t xml:space="preserve">] This argument is based on section 66 of Ordinance </w:t>
      </w:r>
      <w:r w:rsidR="00225362">
        <w:rPr>
          <w:rFonts w:ascii="Times New Roman" w:hAnsi="Times New Roman" w:cs="Times New Roman"/>
          <w:sz w:val="26"/>
          <w:szCs w:val="26"/>
        </w:rPr>
        <w:t xml:space="preserve">which deals with the </w:t>
      </w:r>
      <w:r w:rsidR="00225362">
        <w:rPr>
          <w:rFonts w:ascii="Times New Roman" w:hAnsi="Times New Roman" w:cs="Times New Roman"/>
          <w:i/>
          <w:iCs/>
          <w:sz w:val="26"/>
          <w:szCs w:val="26"/>
        </w:rPr>
        <w:t xml:space="preserve">“closing of certain public places” </w:t>
      </w:r>
      <w:r w:rsidR="00225362">
        <w:rPr>
          <w:rFonts w:ascii="Times New Roman" w:hAnsi="Times New Roman" w:cs="Times New Roman"/>
          <w:sz w:val="26"/>
          <w:szCs w:val="26"/>
        </w:rPr>
        <w:t>and sub-section (1)(b) states;</w:t>
      </w:r>
    </w:p>
    <w:p w14:paraId="21E8700B" w14:textId="67CB0CEA" w:rsidR="00225362" w:rsidRDefault="00225362" w:rsidP="00F3123A">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“Notwithstanding anything to the contrary contained in the Ordinance, a council may, after having given such notice as it may deem necessary, close any street, road or thoroughfare vested in the council-</w:t>
      </w:r>
    </w:p>
    <w:p w14:paraId="73BB4A37" w14:textId="7F0F8319" w:rsidR="00225362" w:rsidRDefault="00225362" w:rsidP="00F3123A">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(i) permanently or temporarily for any particular class of traffic, procession or gathering;</w:t>
      </w:r>
    </w:p>
    <w:p w14:paraId="1125620D" w14:textId="57969086" w:rsidR="00225362" w:rsidRDefault="00225362" w:rsidP="00F3123A">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(ii) temporarily for all traffic…”</w:t>
      </w:r>
    </w:p>
    <w:p w14:paraId="4633512D" w14:textId="39BE05C9" w:rsidR="00225362" w:rsidRDefault="00225362" w:rsidP="00F3123A">
      <w:pPr>
        <w:spacing w:line="360" w:lineRule="auto"/>
        <w:jc w:val="both"/>
        <w:rPr>
          <w:rFonts w:ascii="Times New Roman" w:hAnsi="Times New Roman" w:cs="Times New Roman"/>
          <w:i/>
          <w:iCs/>
          <w:sz w:val="26"/>
          <w:szCs w:val="26"/>
        </w:rPr>
      </w:pPr>
    </w:p>
    <w:p w14:paraId="49F0D313" w14:textId="4214B5AB" w:rsidR="00225362" w:rsidRDefault="00AD3372"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40</w:t>
      </w:r>
      <w:r>
        <w:rPr>
          <w:rFonts w:ascii="Times New Roman" w:hAnsi="Times New Roman" w:cs="Times New Roman"/>
          <w:sz w:val="26"/>
          <w:szCs w:val="26"/>
        </w:rPr>
        <w:t xml:space="preserve">] </w:t>
      </w:r>
      <w:r w:rsidR="00225362" w:rsidRPr="00403CB8">
        <w:rPr>
          <w:rFonts w:ascii="Times New Roman" w:hAnsi="Times New Roman" w:cs="Times New Roman"/>
          <w:sz w:val="26"/>
          <w:szCs w:val="26"/>
        </w:rPr>
        <w:t>Therefore</w:t>
      </w:r>
      <w:r w:rsidR="005214AB">
        <w:rPr>
          <w:rFonts w:ascii="Times New Roman" w:hAnsi="Times New Roman" w:cs="Times New Roman"/>
          <w:sz w:val="26"/>
          <w:szCs w:val="26"/>
        </w:rPr>
        <w:t>,</w:t>
      </w:r>
      <w:r w:rsidR="00225362" w:rsidRPr="00403CB8">
        <w:rPr>
          <w:rFonts w:ascii="Times New Roman" w:hAnsi="Times New Roman" w:cs="Times New Roman"/>
          <w:sz w:val="26"/>
          <w:szCs w:val="26"/>
        </w:rPr>
        <w:t xml:space="preserve"> the first respondent co</w:t>
      </w:r>
      <w:r w:rsidR="00403CB8">
        <w:rPr>
          <w:rFonts w:ascii="Times New Roman" w:hAnsi="Times New Roman" w:cs="Times New Roman"/>
          <w:sz w:val="26"/>
          <w:szCs w:val="26"/>
        </w:rPr>
        <w:t xml:space="preserve">ntended that the power of the second respondent to close the </w:t>
      </w:r>
      <w:r w:rsidR="00403CB8">
        <w:rPr>
          <w:rFonts w:ascii="Times New Roman" w:hAnsi="Times New Roman" w:cs="Times New Roman"/>
          <w:i/>
          <w:iCs/>
          <w:sz w:val="26"/>
          <w:szCs w:val="26"/>
        </w:rPr>
        <w:t xml:space="preserve">cul-de-sac </w:t>
      </w:r>
      <w:r w:rsidR="00713735">
        <w:rPr>
          <w:rFonts w:ascii="Times New Roman" w:hAnsi="Times New Roman" w:cs="Times New Roman"/>
          <w:sz w:val="26"/>
          <w:szCs w:val="26"/>
        </w:rPr>
        <w:t xml:space="preserve">for the duration of the lease is clearly provided for in the Ordinance. The second respondent exercised its power to close the </w:t>
      </w:r>
      <w:r w:rsidR="00713735">
        <w:rPr>
          <w:rFonts w:ascii="Times New Roman" w:hAnsi="Times New Roman" w:cs="Times New Roman"/>
          <w:i/>
          <w:iCs/>
          <w:sz w:val="26"/>
          <w:szCs w:val="26"/>
        </w:rPr>
        <w:t>cul-de-sac</w:t>
      </w:r>
      <w:r w:rsidR="00713735">
        <w:rPr>
          <w:rFonts w:ascii="Times New Roman" w:hAnsi="Times New Roman" w:cs="Times New Roman"/>
          <w:sz w:val="26"/>
          <w:szCs w:val="26"/>
        </w:rPr>
        <w:t xml:space="preserve"> and thus the public no longer had right of way to the </w:t>
      </w:r>
      <w:r w:rsidR="00713735">
        <w:rPr>
          <w:rFonts w:ascii="Times New Roman" w:hAnsi="Times New Roman" w:cs="Times New Roman"/>
          <w:i/>
          <w:iCs/>
          <w:sz w:val="26"/>
          <w:szCs w:val="26"/>
        </w:rPr>
        <w:t xml:space="preserve">cul-de-sac. </w:t>
      </w:r>
      <w:r w:rsidR="00684F9F">
        <w:rPr>
          <w:rFonts w:ascii="Times New Roman" w:hAnsi="Times New Roman" w:cs="Times New Roman"/>
          <w:i/>
          <w:iCs/>
          <w:sz w:val="26"/>
          <w:szCs w:val="26"/>
        </w:rPr>
        <w:t xml:space="preserve"> </w:t>
      </w:r>
      <w:r w:rsidR="00713735">
        <w:rPr>
          <w:rFonts w:ascii="Times New Roman" w:hAnsi="Times New Roman" w:cs="Times New Roman"/>
          <w:sz w:val="26"/>
          <w:szCs w:val="26"/>
        </w:rPr>
        <w:t xml:space="preserve">The public’s right of way is the fundamental premise on which the applicants base their case for a </w:t>
      </w:r>
      <w:r w:rsidR="00713735">
        <w:rPr>
          <w:rFonts w:ascii="Times New Roman" w:hAnsi="Times New Roman" w:cs="Times New Roman"/>
          <w:i/>
          <w:iCs/>
          <w:sz w:val="26"/>
          <w:szCs w:val="26"/>
        </w:rPr>
        <w:t xml:space="preserve">“clear right” </w:t>
      </w:r>
      <w:r w:rsidR="00713735">
        <w:rPr>
          <w:rFonts w:ascii="Times New Roman" w:hAnsi="Times New Roman" w:cs="Times New Roman"/>
          <w:sz w:val="26"/>
          <w:szCs w:val="26"/>
        </w:rPr>
        <w:t xml:space="preserve"> and therefore in the absence of the public’s right of way the case must fail.</w:t>
      </w:r>
    </w:p>
    <w:p w14:paraId="3AC66AEA" w14:textId="69006B1F" w:rsidR="00AD3372" w:rsidRDefault="00AD3372" w:rsidP="00F3123A">
      <w:pPr>
        <w:spacing w:line="360" w:lineRule="auto"/>
        <w:jc w:val="both"/>
        <w:rPr>
          <w:rFonts w:ascii="Times New Roman" w:hAnsi="Times New Roman" w:cs="Times New Roman"/>
          <w:sz w:val="26"/>
          <w:szCs w:val="26"/>
        </w:rPr>
      </w:pPr>
    </w:p>
    <w:p w14:paraId="501A757A" w14:textId="6577BBDD" w:rsidR="00AD3372" w:rsidRDefault="00AD3372"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EE4725">
        <w:rPr>
          <w:rFonts w:ascii="Times New Roman" w:hAnsi="Times New Roman" w:cs="Times New Roman"/>
          <w:sz w:val="26"/>
          <w:szCs w:val="26"/>
        </w:rPr>
        <w:t>41</w:t>
      </w:r>
      <w:r>
        <w:rPr>
          <w:rFonts w:ascii="Times New Roman" w:hAnsi="Times New Roman" w:cs="Times New Roman"/>
          <w:sz w:val="26"/>
          <w:szCs w:val="26"/>
        </w:rPr>
        <w:t xml:space="preserve">] The </w:t>
      </w:r>
      <w:r w:rsidR="0036699D">
        <w:rPr>
          <w:rFonts w:ascii="Times New Roman" w:hAnsi="Times New Roman" w:cs="Times New Roman"/>
          <w:sz w:val="26"/>
          <w:szCs w:val="26"/>
        </w:rPr>
        <w:t>first respondent contended that the second respondent complied with section 79(18) of the Ordinance which states that a municipal council may le</w:t>
      </w:r>
      <w:r w:rsidR="00DF49DD">
        <w:rPr>
          <w:rFonts w:ascii="Times New Roman" w:hAnsi="Times New Roman" w:cs="Times New Roman"/>
          <w:sz w:val="26"/>
          <w:szCs w:val="26"/>
        </w:rPr>
        <w:t>ase</w:t>
      </w:r>
      <w:r w:rsidR="0036699D">
        <w:rPr>
          <w:rFonts w:ascii="Times New Roman" w:hAnsi="Times New Roman" w:cs="Times New Roman"/>
          <w:sz w:val="26"/>
          <w:szCs w:val="26"/>
        </w:rPr>
        <w:t xml:space="preserve"> any immovable property of the council, provided that the council causes a resolution to that effect to be affixed to the public notice board of the council and published in one newspaper</w:t>
      </w:r>
      <w:r w:rsidR="005214AB">
        <w:rPr>
          <w:rFonts w:ascii="Times New Roman" w:hAnsi="Times New Roman" w:cs="Times New Roman"/>
          <w:sz w:val="26"/>
          <w:szCs w:val="26"/>
        </w:rPr>
        <w:t>, which was done.</w:t>
      </w:r>
    </w:p>
    <w:p w14:paraId="3EE68D74" w14:textId="2DCD6279" w:rsidR="0036699D" w:rsidRDefault="0036699D" w:rsidP="00F3123A">
      <w:pPr>
        <w:spacing w:line="360" w:lineRule="auto"/>
        <w:jc w:val="both"/>
        <w:rPr>
          <w:rFonts w:ascii="Times New Roman" w:hAnsi="Times New Roman" w:cs="Times New Roman"/>
          <w:sz w:val="26"/>
          <w:szCs w:val="26"/>
        </w:rPr>
      </w:pPr>
    </w:p>
    <w:p w14:paraId="3B4792CD" w14:textId="011E6B16" w:rsidR="0036699D" w:rsidRDefault="0036699D"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42</w:t>
      </w:r>
      <w:r>
        <w:rPr>
          <w:rFonts w:ascii="Times New Roman" w:hAnsi="Times New Roman" w:cs="Times New Roman"/>
          <w:sz w:val="26"/>
          <w:szCs w:val="26"/>
        </w:rPr>
        <w:t>] It also complied with section 14(2) of the MFMA which states that a municipality may dispose of a capital asset provide</w:t>
      </w:r>
      <w:r w:rsidR="005214AB">
        <w:rPr>
          <w:rFonts w:ascii="Times New Roman" w:hAnsi="Times New Roman" w:cs="Times New Roman"/>
          <w:sz w:val="26"/>
          <w:szCs w:val="26"/>
        </w:rPr>
        <w:t>d that</w:t>
      </w:r>
      <w:r>
        <w:rPr>
          <w:rFonts w:ascii="Times New Roman" w:hAnsi="Times New Roman" w:cs="Times New Roman"/>
          <w:sz w:val="26"/>
          <w:szCs w:val="26"/>
        </w:rPr>
        <w:t xml:space="preserve"> the council, in a meeting open to the public, </w:t>
      </w:r>
      <w:r w:rsidR="00684F9F">
        <w:rPr>
          <w:rFonts w:ascii="Times New Roman" w:hAnsi="Times New Roman" w:cs="Times New Roman"/>
          <w:sz w:val="26"/>
          <w:szCs w:val="26"/>
        </w:rPr>
        <w:t>decides</w:t>
      </w:r>
      <w:r>
        <w:rPr>
          <w:rFonts w:ascii="Times New Roman" w:hAnsi="Times New Roman" w:cs="Times New Roman"/>
          <w:sz w:val="26"/>
          <w:szCs w:val="26"/>
        </w:rPr>
        <w:t xml:space="preserve"> that the asset</w:t>
      </w:r>
      <w:r w:rsidR="00DF49DD">
        <w:rPr>
          <w:rFonts w:ascii="Times New Roman" w:hAnsi="Times New Roman" w:cs="Times New Roman"/>
          <w:sz w:val="26"/>
          <w:szCs w:val="26"/>
        </w:rPr>
        <w:t>,</w:t>
      </w:r>
      <w:r>
        <w:rPr>
          <w:rFonts w:ascii="Times New Roman" w:hAnsi="Times New Roman" w:cs="Times New Roman"/>
          <w:sz w:val="26"/>
          <w:szCs w:val="26"/>
        </w:rPr>
        <w:t xml:space="preserve"> is not needed to provide the minimum level of basis municipal service</w:t>
      </w:r>
      <w:r w:rsidR="005214AB">
        <w:rPr>
          <w:rFonts w:ascii="Times New Roman" w:hAnsi="Times New Roman" w:cs="Times New Roman"/>
          <w:sz w:val="26"/>
          <w:szCs w:val="26"/>
        </w:rPr>
        <w:t xml:space="preserve">. </w:t>
      </w:r>
      <w:r w:rsidR="00684F9F">
        <w:rPr>
          <w:rFonts w:ascii="Times New Roman" w:hAnsi="Times New Roman" w:cs="Times New Roman"/>
          <w:sz w:val="26"/>
          <w:szCs w:val="26"/>
        </w:rPr>
        <w:t xml:space="preserve"> </w:t>
      </w:r>
      <w:r w:rsidR="005214AB">
        <w:rPr>
          <w:rFonts w:ascii="Times New Roman" w:hAnsi="Times New Roman" w:cs="Times New Roman"/>
          <w:sz w:val="26"/>
          <w:szCs w:val="26"/>
        </w:rPr>
        <w:t>Furthermore, it also has to</w:t>
      </w:r>
      <w:r>
        <w:rPr>
          <w:rFonts w:ascii="Times New Roman" w:hAnsi="Times New Roman" w:cs="Times New Roman"/>
          <w:sz w:val="26"/>
          <w:szCs w:val="26"/>
        </w:rPr>
        <w:t xml:space="preserve"> consider the fair market value of the asset and the economic and community value to be received in exchange for the asset.</w:t>
      </w:r>
    </w:p>
    <w:p w14:paraId="3C801099" w14:textId="18098FB5" w:rsidR="00364881" w:rsidRDefault="00364881" w:rsidP="00F3123A">
      <w:pPr>
        <w:spacing w:line="360" w:lineRule="auto"/>
        <w:jc w:val="both"/>
        <w:rPr>
          <w:rFonts w:ascii="Times New Roman" w:hAnsi="Times New Roman" w:cs="Times New Roman"/>
          <w:sz w:val="26"/>
          <w:szCs w:val="26"/>
        </w:rPr>
      </w:pPr>
    </w:p>
    <w:p w14:paraId="41DAC93A" w14:textId="78F1A70D" w:rsidR="00364881" w:rsidRDefault="00364881"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4603EB">
        <w:rPr>
          <w:rFonts w:ascii="Times New Roman" w:hAnsi="Times New Roman" w:cs="Times New Roman"/>
          <w:sz w:val="26"/>
          <w:szCs w:val="26"/>
        </w:rPr>
        <w:t>43</w:t>
      </w:r>
      <w:r>
        <w:rPr>
          <w:rFonts w:ascii="Times New Roman" w:hAnsi="Times New Roman" w:cs="Times New Roman"/>
          <w:sz w:val="26"/>
          <w:szCs w:val="26"/>
        </w:rPr>
        <w:t xml:space="preserve">] </w:t>
      </w:r>
      <w:r w:rsidR="005214AB">
        <w:rPr>
          <w:rFonts w:ascii="Times New Roman" w:hAnsi="Times New Roman" w:cs="Times New Roman"/>
          <w:sz w:val="26"/>
          <w:szCs w:val="26"/>
        </w:rPr>
        <w:t xml:space="preserve">The argument raised by the first respondent </w:t>
      </w:r>
      <w:r w:rsidR="005D48D0">
        <w:rPr>
          <w:rFonts w:ascii="Times New Roman" w:hAnsi="Times New Roman" w:cs="Times New Roman"/>
          <w:sz w:val="26"/>
          <w:szCs w:val="26"/>
        </w:rPr>
        <w:t>is that t</w:t>
      </w:r>
      <w:r>
        <w:rPr>
          <w:rFonts w:ascii="Times New Roman" w:hAnsi="Times New Roman" w:cs="Times New Roman"/>
          <w:sz w:val="26"/>
          <w:szCs w:val="26"/>
        </w:rPr>
        <w:t>he Asset Transfer Regulations in regulation 34(1)(b) provides that a municipality may grant the use, control or manage a capital asset if the council has approved, in principle, that right may be granted, which right in the matter was granted by a written lease agreement.</w:t>
      </w:r>
    </w:p>
    <w:p w14:paraId="0FF8F74B" w14:textId="77777777" w:rsidR="005D48D0" w:rsidRDefault="005D48D0" w:rsidP="00F3123A">
      <w:pPr>
        <w:spacing w:line="360" w:lineRule="auto"/>
        <w:jc w:val="both"/>
        <w:rPr>
          <w:rFonts w:ascii="Times New Roman" w:hAnsi="Times New Roman" w:cs="Times New Roman"/>
          <w:sz w:val="26"/>
          <w:szCs w:val="26"/>
        </w:rPr>
      </w:pPr>
    </w:p>
    <w:p w14:paraId="40F64556" w14:textId="1CFAA11C" w:rsidR="00364881" w:rsidRDefault="00364881"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44</w:t>
      </w:r>
      <w:r>
        <w:rPr>
          <w:rFonts w:ascii="Times New Roman" w:hAnsi="Times New Roman" w:cs="Times New Roman"/>
          <w:sz w:val="26"/>
          <w:szCs w:val="26"/>
        </w:rPr>
        <w:t>] As stated in the above arguments the first respondent argued that the applicants failed to take into account the provisions of the Applicable Legislation</w:t>
      </w:r>
      <w:r w:rsidR="00F66BCC">
        <w:rPr>
          <w:rFonts w:ascii="Times New Roman" w:hAnsi="Times New Roman" w:cs="Times New Roman"/>
          <w:sz w:val="26"/>
          <w:szCs w:val="26"/>
        </w:rPr>
        <w:t xml:space="preserve"> and they failed to demonstrate that the provisions of SPLUMA override and negate the provisions of the Applicable Law.</w:t>
      </w:r>
    </w:p>
    <w:p w14:paraId="6F86B14E" w14:textId="1D4CFFA4" w:rsidR="00F66BCC" w:rsidRDefault="00F66BCC" w:rsidP="00F3123A">
      <w:pPr>
        <w:spacing w:line="360" w:lineRule="auto"/>
        <w:jc w:val="both"/>
        <w:rPr>
          <w:rFonts w:ascii="Times New Roman" w:hAnsi="Times New Roman" w:cs="Times New Roman"/>
          <w:sz w:val="26"/>
          <w:szCs w:val="26"/>
        </w:rPr>
      </w:pPr>
    </w:p>
    <w:p w14:paraId="4A4D19C2" w14:textId="5C87597B" w:rsidR="005D48D0" w:rsidRDefault="00F66BCC"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45</w:t>
      </w:r>
      <w:r>
        <w:rPr>
          <w:rFonts w:ascii="Times New Roman" w:hAnsi="Times New Roman" w:cs="Times New Roman"/>
          <w:sz w:val="26"/>
          <w:szCs w:val="26"/>
        </w:rPr>
        <w:t xml:space="preserve">] The argument </w:t>
      </w:r>
      <w:r w:rsidR="00DF49DD">
        <w:rPr>
          <w:rFonts w:ascii="Times New Roman" w:hAnsi="Times New Roman" w:cs="Times New Roman"/>
          <w:sz w:val="26"/>
          <w:szCs w:val="26"/>
        </w:rPr>
        <w:t xml:space="preserve"> by the applicants </w:t>
      </w:r>
      <w:r>
        <w:rPr>
          <w:rFonts w:ascii="Times New Roman" w:hAnsi="Times New Roman" w:cs="Times New Roman"/>
          <w:sz w:val="26"/>
          <w:szCs w:val="26"/>
        </w:rPr>
        <w:t>that the closure of a public road can only be effected by a re-zoning</w:t>
      </w:r>
      <w:r w:rsidR="00DF49DD">
        <w:rPr>
          <w:rFonts w:ascii="Times New Roman" w:hAnsi="Times New Roman" w:cs="Times New Roman"/>
          <w:sz w:val="26"/>
          <w:szCs w:val="26"/>
        </w:rPr>
        <w:t xml:space="preserve"> is flawed. </w:t>
      </w:r>
      <w:r w:rsidR="005D48D0">
        <w:rPr>
          <w:rFonts w:ascii="Times New Roman" w:hAnsi="Times New Roman" w:cs="Times New Roman"/>
          <w:sz w:val="26"/>
          <w:szCs w:val="26"/>
        </w:rPr>
        <w:t xml:space="preserve"> It was argued that</w:t>
      </w:r>
      <w:r>
        <w:rPr>
          <w:rFonts w:ascii="Times New Roman" w:hAnsi="Times New Roman" w:cs="Times New Roman"/>
          <w:sz w:val="26"/>
          <w:szCs w:val="26"/>
        </w:rPr>
        <w:t xml:space="preserve"> a formal statutory re-zoning process is unsustainable because the decision to close the </w:t>
      </w:r>
      <w:r>
        <w:rPr>
          <w:rFonts w:ascii="Times New Roman" w:hAnsi="Times New Roman" w:cs="Times New Roman"/>
          <w:i/>
          <w:iCs/>
          <w:sz w:val="26"/>
          <w:szCs w:val="26"/>
        </w:rPr>
        <w:t xml:space="preserve">cul-de-sac </w:t>
      </w:r>
      <w:r>
        <w:rPr>
          <w:rFonts w:ascii="Times New Roman" w:hAnsi="Times New Roman" w:cs="Times New Roman"/>
          <w:sz w:val="26"/>
          <w:szCs w:val="26"/>
        </w:rPr>
        <w:t>were</w:t>
      </w:r>
      <w:r w:rsidR="005D48D0">
        <w:rPr>
          <w:rFonts w:ascii="Times New Roman" w:hAnsi="Times New Roman" w:cs="Times New Roman"/>
          <w:sz w:val="26"/>
          <w:szCs w:val="26"/>
        </w:rPr>
        <w:t xml:space="preserve"> </w:t>
      </w:r>
      <w:r>
        <w:rPr>
          <w:rFonts w:ascii="Times New Roman" w:hAnsi="Times New Roman" w:cs="Times New Roman"/>
          <w:sz w:val="26"/>
          <w:szCs w:val="26"/>
        </w:rPr>
        <w:t xml:space="preserve">done in accordance with Applicable Law. </w:t>
      </w:r>
    </w:p>
    <w:p w14:paraId="1CBDC210" w14:textId="77777777" w:rsidR="005D48D0" w:rsidRDefault="005D48D0" w:rsidP="00F3123A">
      <w:pPr>
        <w:spacing w:line="360" w:lineRule="auto"/>
        <w:jc w:val="both"/>
        <w:rPr>
          <w:rFonts w:ascii="Times New Roman" w:hAnsi="Times New Roman" w:cs="Times New Roman"/>
          <w:sz w:val="26"/>
          <w:szCs w:val="26"/>
        </w:rPr>
      </w:pPr>
    </w:p>
    <w:p w14:paraId="2DF7E543" w14:textId="2160EFFD" w:rsidR="00F66BCC" w:rsidRDefault="005D48D0"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46</w:t>
      </w:r>
      <w:r>
        <w:rPr>
          <w:rFonts w:ascii="Times New Roman" w:hAnsi="Times New Roman" w:cs="Times New Roman"/>
          <w:sz w:val="26"/>
          <w:szCs w:val="26"/>
        </w:rPr>
        <w:t>]</w:t>
      </w:r>
      <w:r w:rsidR="004603EB">
        <w:rPr>
          <w:rFonts w:ascii="Times New Roman" w:hAnsi="Times New Roman" w:cs="Times New Roman"/>
          <w:sz w:val="26"/>
          <w:szCs w:val="26"/>
        </w:rPr>
        <w:t xml:space="preserve"> </w:t>
      </w:r>
      <w:r w:rsidR="00972A6F">
        <w:rPr>
          <w:rFonts w:ascii="Times New Roman" w:hAnsi="Times New Roman" w:cs="Times New Roman"/>
          <w:sz w:val="26"/>
          <w:szCs w:val="26"/>
        </w:rPr>
        <w:t>Therefore</w:t>
      </w:r>
      <w:r>
        <w:rPr>
          <w:rFonts w:ascii="Times New Roman" w:hAnsi="Times New Roman" w:cs="Times New Roman"/>
          <w:sz w:val="26"/>
          <w:szCs w:val="26"/>
        </w:rPr>
        <w:t>,</w:t>
      </w:r>
      <w:r w:rsidR="00972A6F">
        <w:rPr>
          <w:rFonts w:ascii="Times New Roman" w:hAnsi="Times New Roman" w:cs="Times New Roman"/>
          <w:sz w:val="26"/>
          <w:szCs w:val="26"/>
        </w:rPr>
        <w:t xml:space="preserve"> the argument </w:t>
      </w:r>
      <w:r w:rsidR="00FE1635">
        <w:rPr>
          <w:rFonts w:ascii="Times New Roman" w:hAnsi="Times New Roman" w:cs="Times New Roman"/>
          <w:sz w:val="26"/>
          <w:szCs w:val="26"/>
        </w:rPr>
        <w:t>should fail and the application for a final interdict should be dismissed with costs.</w:t>
      </w:r>
    </w:p>
    <w:p w14:paraId="7C52FF17" w14:textId="1711012E" w:rsidR="00FE1635" w:rsidRDefault="00FE1635" w:rsidP="00F3123A">
      <w:pPr>
        <w:spacing w:line="360" w:lineRule="auto"/>
        <w:jc w:val="both"/>
        <w:rPr>
          <w:rFonts w:ascii="Times New Roman" w:hAnsi="Times New Roman" w:cs="Times New Roman"/>
          <w:sz w:val="26"/>
          <w:szCs w:val="26"/>
        </w:rPr>
      </w:pPr>
    </w:p>
    <w:p w14:paraId="5D94F838" w14:textId="1B23E08C" w:rsidR="00FE1635" w:rsidRDefault="00FE1635"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47</w:t>
      </w:r>
      <w:r>
        <w:rPr>
          <w:rFonts w:ascii="Times New Roman" w:hAnsi="Times New Roman" w:cs="Times New Roman"/>
          <w:sz w:val="26"/>
          <w:szCs w:val="26"/>
        </w:rPr>
        <w:t>] The first respondent in the alternative argued that if it is found that SPLUMA does apply to the facts of the case, the application should still fail because the applicants have elected to pursue a final interdict instead of an application in terms of the Uniform Rule 53 to review and set aside the administrative decision of the second and third respondent</w:t>
      </w:r>
      <w:r w:rsidR="00DF49DD">
        <w:rPr>
          <w:rFonts w:ascii="Times New Roman" w:hAnsi="Times New Roman" w:cs="Times New Roman"/>
          <w:sz w:val="26"/>
          <w:szCs w:val="26"/>
        </w:rPr>
        <w:t xml:space="preserve"> in terms of PAJA.</w:t>
      </w:r>
    </w:p>
    <w:p w14:paraId="17A42F2E" w14:textId="10B2B78E" w:rsidR="006B5804" w:rsidRDefault="006B5804" w:rsidP="00F3123A">
      <w:pPr>
        <w:spacing w:line="360" w:lineRule="auto"/>
        <w:jc w:val="both"/>
        <w:rPr>
          <w:rFonts w:ascii="Times New Roman" w:hAnsi="Times New Roman" w:cs="Times New Roman"/>
          <w:sz w:val="26"/>
          <w:szCs w:val="26"/>
        </w:rPr>
      </w:pPr>
    </w:p>
    <w:p w14:paraId="7548D96D" w14:textId="77777777" w:rsidR="006B5804" w:rsidRDefault="006B5804" w:rsidP="006B5804">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Common cause facts</w:t>
      </w:r>
    </w:p>
    <w:p w14:paraId="06CA1AEB" w14:textId="63023BE9" w:rsidR="006B5804" w:rsidRDefault="006B5804" w:rsidP="006B5804">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48</w:t>
      </w:r>
      <w:r>
        <w:rPr>
          <w:rFonts w:ascii="Times New Roman" w:hAnsi="Times New Roman" w:cs="Times New Roman"/>
          <w:sz w:val="26"/>
          <w:szCs w:val="26"/>
        </w:rPr>
        <w:t>] The following facts are common cause:</w:t>
      </w:r>
    </w:p>
    <w:p w14:paraId="127767A4" w14:textId="77777777" w:rsidR="006B5804" w:rsidRDefault="006B5804" w:rsidP="006B5804">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w:t>
      </w:r>
      <w:r>
        <w:rPr>
          <w:rFonts w:ascii="Times New Roman" w:hAnsi="Times New Roman" w:cs="Times New Roman"/>
          <w:i/>
          <w:iCs/>
          <w:sz w:val="26"/>
          <w:szCs w:val="26"/>
        </w:rPr>
        <w:t xml:space="preserve">cul-de-sac </w:t>
      </w:r>
      <w:r>
        <w:rPr>
          <w:rFonts w:ascii="Times New Roman" w:hAnsi="Times New Roman" w:cs="Times New Roman"/>
          <w:sz w:val="26"/>
          <w:szCs w:val="26"/>
        </w:rPr>
        <w:t>at the end of Tungsten Street, Strijdompark is a public road,</w:t>
      </w:r>
    </w:p>
    <w:p w14:paraId="09CFAFE2" w14:textId="77777777" w:rsidR="006B5804" w:rsidRDefault="006B5804" w:rsidP="006B5804">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On 25 October 2019 the first respondent entered into a written lease agreement with the second respondent,</w:t>
      </w:r>
    </w:p>
    <w:p w14:paraId="7F9B3881" w14:textId="77777777" w:rsidR="006B5804" w:rsidRDefault="006B5804" w:rsidP="006B5804">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The terms of the lease agreement are common cause;</w:t>
      </w:r>
    </w:p>
    <w:p w14:paraId="00D3B10A" w14:textId="77777777" w:rsidR="006B5804" w:rsidRPr="00385CE2" w:rsidRDefault="006B5804" w:rsidP="006B5804">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The lease agreement permits the use of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for the use of storage, subject to the terms of the lease agreement and prohibits any contravention of </w:t>
      </w:r>
      <w:r>
        <w:rPr>
          <w:rFonts w:ascii="Times New Roman" w:hAnsi="Times New Roman" w:cs="Times New Roman"/>
          <w:i/>
          <w:iCs/>
          <w:sz w:val="26"/>
          <w:szCs w:val="26"/>
        </w:rPr>
        <w:t>“..any town planning scheme applicable to the property…”;</w:t>
      </w:r>
    </w:p>
    <w:p w14:paraId="543B8FFE" w14:textId="77777777" w:rsidR="006B5804" w:rsidRDefault="006B5804" w:rsidP="006B5804">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has not been re-zoned from that of a </w:t>
      </w:r>
      <w:r>
        <w:rPr>
          <w:rFonts w:ascii="Times New Roman" w:hAnsi="Times New Roman" w:cs="Times New Roman"/>
          <w:i/>
          <w:iCs/>
          <w:sz w:val="26"/>
          <w:szCs w:val="26"/>
        </w:rPr>
        <w:t>“public road”</w:t>
      </w:r>
      <w:r>
        <w:rPr>
          <w:rFonts w:ascii="Times New Roman" w:hAnsi="Times New Roman" w:cs="Times New Roman"/>
          <w:sz w:val="26"/>
          <w:szCs w:val="26"/>
        </w:rPr>
        <w:t>;</w:t>
      </w:r>
    </w:p>
    <w:p w14:paraId="0C0FE86E" w14:textId="77777777" w:rsidR="006B5804" w:rsidRDefault="006B5804" w:rsidP="006B5804">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On 24 May 2021 the applicants were informed by the first respondent of its intention to fence off the </w:t>
      </w:r>
      <w:r>
        <w:rPr>
          <w:rFonts w:ascii="Times New Roman" w:hAnsi="Times New Roman" w:cs="Times New Roman"/>
          <w:i/>
          <w:iCs/>
          <w:sz w:val="26"/>
          <w:szCs w:val="26"/>
        </w:rPr>
        <w:t>cul-de-sac</w:t>
      </w:r>
      <w:r>
        <w:rPr>
          <w:rFonts w:ascii="Times New Roman" w:hAnsi="Times New Roman" w:cs="Times New Roman"/>
          <w:sz w:val="26"/>
          <w:szCs w:val="26"/>
        </w:rPr>
        <w:t>, which was to be done on 1 July 2021.</w:t>
      </w:r>
    </w:p>
    <w:p w14:paraId="33386CC6" w14:textId="7F952341" w:rsidR="006B5804" w:rsidRDefault="006B5804" w:rsidP="00F3123A">
      <w:pPr>
        <w:spacing w:line="360" w:lineRule="auto"/>
        <w:jc w:val="both"/>
        <w:rPr>
          <w:rFonts w:ascii="Times New Roman" w:hAnsi="Times New Roman" w:cs="Times New Roman"/>
          <w:sz w:val="26"/>
          <w:szCs w:val="26"/>
        </w:rPr>
      </w:pPr>
    </w:p>
    <w:p w14:paraId="33E584D9" w14:textId="77777777" w:rsidR="006B5804" w:rsidRDefault="006B5804" w:rsidP="006B5804">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Disputed Facts</w:t>
      </w:r>
    </w:p>
    <w:p w14:paraId="07264051" w14:textId="7CE90ACC" w:rsidR="006B5804" w:rsidRPr="00385CE2" w:rsidRDefault="006B5804" w:rsidP="006B5804">
      <w:pPr>
        <w:spacing w:line="360" w:lineRule="auto"/>
        <w:jc w:val="both"/>
        <w:rPr>
          <w:rFonts w:ascii="Times New Roman" w:hAnsi="Times New Roman" w:cs="Times New Roman"/>
          <w:sz w:val="26"/>
          <w:szCs w:val="26"/>
        </w:rPr>
      </w:pPr>
      <w:r w:rsidRPr="00385CE2">
        <w:rPr>
          <w:rFonts w:ascii="Times New Roman" w:hAnsi="Times New Roman" w:cs="Times New Roman"/>
          <w:sz w:val="26"/>
          <w:szCs w:val="26"/>
        </w:rPr>
        <w:t>[</w:t>
      </w:r>
      <w:r w:rsidR="004603EB">
        <w:rPr>
          <w:rFonts w:ascii="Times New Roman" w:hAnsi="Times New Roman" w:cs="Times New Roman"/>
          <w:sz w:val="26"/>
          <w:szCs w:val="26"/>
        </w:rPr>
        <w:t>49</w:t>
      </w:r>
      <w:r w:rsidRPr="00385CE2">
        <w:rPr>
          <w:rFonts w:ascii="Times New Roman" w:hAnsi="Times New Roman" w:cs="Times New Roman"/>
          <w:sz w:val="26"/>
          <w:szCs w:val="26"/>
        </w:rPr>
        <w:t xml:space="preserve">] Whether the applicants </w:t>
      </w:r>
      <w:r>
        <w:rPr>
          <w:rFonts w:ascii="Times New Roman" w:hAnsi="Times New Roman" w:cs="Times New Roman"/>
          <w:sz w:val="26"/>
          <w:szCs w:val="26"/>
        </w:rPr>
        <w:t xml:space="preserve">proofed the requirements for the relief sought, namely a final interdict. </w:t>
      </w:r>
    </w:p>
    <w:p w14:paraId="37667CA9" w14:textId="71C92F7D" w:rsidR="00385311" w:rsidRPr="00CA6226" w:rsidRDefault="00385311" w:rsidP="00F3123A">
      <w:pPr>
        <w:spacing w:line="360" w:lineRule="auto"/>
        <w:jc w:val="both"/>
        <w:rPr>
          <w:rFonts w:ascii="Times New Roman" w:hAnsi="Times New Roman" w:cs="Times New Roman"/>
          <w:i/>
          <w:iCs/>
          <w:sz w:val="26"/>
          <w:szCs w:val="26"/>
        </w:rPr>
      </w:pPr>
    </w:p>
    <w:p w14:paraId="4E2FD548" w14:textId="239FE1AC" w:rsidR="00385311" w:rsidRDefault="00CA6226" w:rsidP="00F3123A">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C</w:t>
      </w:r>
      <w:r w:rsidRPr="00CA6226">
        <w:rPr>
          <w:rFonts w:ascii="Times New Roman" w:hAnsi="Times New Roman" w:cs="Times New Roman"/>
          <w:i/>
          <w:iCs/>
          <w:sz w:val="26"/>
          <w:szCs w:val="26"/>
        </w:rPr>
        <w:t>ase law and evaluation</w:t>
      </w:r>
    </w:p>
    <w:p w14:paraId="47A14858" w14:textId="06DCB3D9" w:rsidR="0088747E" w:rsidRDefault="009D5582"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50</w:t>
      </w:r>
      <w:r>
        <w:rPr>
          <w:rFonts w:ascii="Times New Roman" w:hAnsi="Times New Roman" w:cs="Times New Roman"/>
          <w:sz w:val="26"/>
          <w:szCs w:val="26"/>
        </w:rPr>
        <w:t xml:space="preserve">] </w:t>
      </w:r>
      <w:r w:rsidR="0088747E">
        <w:rPr>
          <w:rFonts w:ascii="Times New Roman" w:hAnsi="Times New Roman" w:cs="Times New Roman"/>
          <w:sz w:val="26"/>
          <w:szCs w:val="26"/>
        </w:rPr>
        <w:t xml:space="preserve">The decision to close the </w:t>
      </w:r>
      <w:r w:rsidR="0088747E">
        <w:rPr>
          <w:rFonts w:ascii="Times New Roman" w:hAnsi="Times New Roman" w:cs="Times New Roman"/>
          <w:i/>
          <w:iCs/>
          <w:sz w:val="26"/>
          <w:szCs w:val="26"/>
        </w:rPr>
        <w:t xml:space="preserve">cul-de-sac </w:t>
      </w:r>
      <w:r w:rsidR="0088747E">
        <w:rPr>
          <w:rFonts w:ascii="Times New Roman" w:hAnsi="Times New Roman" w:cs="Times New Roman"/>
          <w:sz w:val="26"/>
          <w:szCs w:val="26"/>
        </w:rPr>
        <w:t xml:space="preserve">to the public </w:t>
      </w:r>
      <w:r>
        <w:rPr>
          <w:rFonts w:ascii="Times New Roman" w:hAnsi="Times New Roman" w:cs="Times New Roman"/>
          <w:sz w:val="26"/>
          <w:szCs w:val="26"/>
        </w:rPr>
        <w:t>and t</w:t>
      </w:r>
      <w:r w:rsidR="005D48D0">
        <w:rPr>
          <w:rFonts w:ascii="Times New Roman" w:hAnsi="Times New Roman" w:cs="Times New Roman"/>
          <w:sz w:val="26"/>
          <w:szCs w:val="26"/>
        </w:rPr>
        <w:t>he</w:t>
      </w:r>
      <w:r>
        <w:rPr>
          <w:rFonts w:ascii="Times New Roman" w:hAnsi="Times New Roman" w:cs="Times New Roman"/>
          <w:sz w:val="26"/>
          <w:szCs w:val="26"/>
        </w:rPr>
        <w:t xml:space="preserve"> lease</w:t>
      </w:r>
      <w:r w:rsidR="005D48D0">
        <w:rPr>
          <w:rFonts w:ascii="Times New Roman" w:hAnsi="Times New Roman" w:cs="Times New Roman"/>
          <w:sz w:val="26"/>
          <w:szCs w:val="26"/>
        </w:rPr>
        <w:t xml:space="preserve"> of</w:t>
      </w:r>
      <w:r>
        <w:rPr>
          <w:rFonts w:ascii="Times New Roman" w:hAnsi="Times New Roman" w:cs="Times New Roman"/>
          <w:sz w:val="26"/>
          <w:szCs w:val="26"/>
        </w:rPr>
        <w:t xml:space="preserve">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to the first respondent for purposes of storage, lies </w:t>
      </w:r>
      <w:r w:rsidR="0088747E">
        <w:rPr>
          <w:rFonts w:ascii="Times New Roman" w:hAnsi="Times New Roman" w:cs="Times New Roman"/>
          <w:sz w:val="26"/>
          <w:szCs w:val="26"/>
        </w:rPr>
        <w:t xml:space="preserve">at the heart of the applicants’ </w:t>
      </w:r>
      <w:r>
        <w:rPr>
          <w:rFonts w:ascii="Times New Roman" w:hAnsi="Times New Roman" w:cs="Times New Roman"/>
          <w:sz w:val="26"/>
          <w:szCs w:val="26"/>
        </w:rPr>
        <w:t>prayer for a final interdict</w:t>
      </w:r>
      <w:r w:rsidR="0088747E">
        <w:rPr>
          <w:rFonts w:ascii="Times New Roman" w:hAnsi="Times New Roman" w:cs="Times New Roman"/>
          <w:sz w:val="26"/>
          <w:szCs w:val="26"/>
        </w:rPr>
        <w:t xml:space="preserve">, which is premised on the fact that the </w:t>
      </w:r>
      <w:r w:rsidR="0088747E">
        <w:rPr>
          <w:rFonts w:ascii="Times New Roman" w:hAnsi="Times New Roman" w:cs="Times New Roman"/>
          <w:i/>
          <w:iCs/>
          <w:sz w:val="26"/>
          <w:szCs w:val="26"/>
        </w:rPr>
        <w:t xml:space="preserve">cul-de-sac </w:t>
      </w:r>
      <w:r w:rsidR="0088747E">
        <w:rPr>
          <w:rFonts w:ascii="Times New Roman" w:hAnsi="Times New Roman" w:cs="Times New Roman"/>
          <w:sz w:val="26"/>
          <w:szCs w:val="26"/>
        </w:rPr>
        <w:t xml:space="preserve">is a </w:t>
      </w:r>
      <w:r w:rsidR="0088747E" w:rsidRPr="005D48D0">
        <w:rPr>
          <w:rFonts w:ascii="Times New Roman" w:hAnsi="Times New Roman" w:cs="Times New Roman"/>
          <w:i/>
          <w:iCs/>
          <w:sz w:val="26"/>
          <w:szCs w:val="26"/>
        </w:rPr>
        <w:t>public road</w:t>
      </w:r>
      <w:r w:rsidR="0088747E">
        <w:rPr>
          <w:rFonts w:ascii="Times New Roman" w:hAnsi="Times New Roman" w:cs="Times New Roman"/>
          <w:sz w:val="26"/>
          <w:szCs w:val="26"/>
        </w:rPr>
        <w:t xml:space="preserve">. </w:t>
      </w:r>
    </w:p>
    <w:p w14:paraId="5DD40C99" w14:textId="77777777" w:rsidR="005D48D0" w:rsidRDefault="005D48D0" w:rsidP="00F3123A">
      <w:pPr>
        <w:spacing w:line="360" w:lineRule="auto"/>
        <w:jc w:val="both"/>
        <w:rPr>
          <w:rFonts w:ascii="Times New Roman" w:hAnsi="Times New Roman" w:cs="Times New Roman"/>
          <w:sz w:val="26"/>
          <w:szCs w:val="26"/>
        </w:rPr>
      </w:pPr>
    </w:p>
    <w:p w14:paraId="31F6DA75" w14:textId="1170A96F" w:rsidR="009D5582" w:rsidRDefault="009D5582" w:rsidP="00F3123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51</w:t>
      </w:r>
      <w:r>
        <w:rPr>
          <w:rFonts w:ascii="Times New Roman" w:hAnsi="Times New Roman" w:cs="Times New Roman"/>
          <w:sz w:val="26"/>
          <w:szCs w:val="26"/>
        </w:rPr>
        <w:t>] The requirements for a final interdict are</w:t>
      </w:r>
      <w:r w:rsidR="00811C62">
        <w:rPr>
          <w:rFonts w:ascii="Times New Roman" w:hAnsi="Times New Roman" w:cs="Times New Roman"/>
          <w:sz w:val="26"/>
          <w:szCs w:val="26"/>
        </w:rPr>
        <w:t>:</w:t>
      </w:r>
      <w:r w:rsidR="00811C62">
        <w:rPr>
          <w:rStyle w:val="FootnoteReference"/>
          <w:rFonts w:ascii="Times New Roman" w:hAnsi="Times New Roman" w:cs="Times New Roman"/>
          <w:sz w:val="26"/>
          <w:szCs w:val="26"/>
        </w:rPr>
        <w:footnoteReference w:id="13"/>
      </w:r>
    </w:p>
    <w:p w14:paraId="02B8632F" w14:textId="5DDB1A17" w:rsidR="00811C62" w:rsidRDefault="00811C62" w:rsidP="00811C62">
      <w:pPr>
        <w:pStyle w:val="ListParagraph"/>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i/>
          <w:iCs/>
          <w:sz w:val="26"/>
          <w:szCs w:val="26"/>
        </w:rPr>
        <w:t xml:space="preserve"> clear right </w:t>
      </w:r>
      <w:r>
        <w:rPr>
          <w:rFonts w:ascii="Times New Roman" w:hAnsi="Times New Roman" w:cs="Times New Roman"/>
          <w:sz w:val="26"/>
          <w:szCs w:val="26"/>
        </w:rPr>
        <w:t>on part of the applicant;</w:t>
      </w:r>
    </w:p>
    <w:p w14:paraId="5BFB9EF1" w14:textId="77777777" w:rsidR="00811C62" w:rsidRDefault="00811C62" w:rsidP="00811C62">
      <w:pPr>
        <w:pStyle w:val="ListParagraph"/>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and </w:t>
      </w:r>
      <w:r>
        <w:rPr>
          <w:rFonts w:ascii="Times New Roman" w:hAnsi="Times New Roman" w:cs="Times New Roman"/>
          <w:i/>
          <w:iCs/>
          <w:sz w:val="26"/>
          <w:szCs w:val="26"/>
        </w:rPr>
        <w:t xml:space="preserve">injury </w:t>
      </w:r>
      <w:r>
        <w:rPr>
          <w:rFonts w:ascii="Times New Roman" w:hAnsi="Times New Roman" w:cs="Times New Roman"/>
          <w:sz w:val="26"/>
          <w:szCs w:val="26"/>
        </w:rPr>
        <w:t>actually committed or reasonably apprehended; and</w:t>
      </w:r>
    </w:p>
    <w:p w14:paraId="3CB197D6" w14:textId="77777777" w:rsidR="007B702C" w:rsidRDefault="00811C62" w:rsidP="00811C62">
      <w:pPr>
        <w:pStyle w:val="ListParagraph"/>
        <w:numPr>
          <w:ilvl w:val="0"/>
          <w:numId w:val="6"/>
        </w:numPr>
        <w:spacing w:line="360" w:lineRule="auto"/>
        <w:jc w:val="both"/>
        <w:rPr>
          <w:rFonts w:ascii="Times New Roman" w:hAnsi="Times New Roman" w:cs="Times New Roman"/>
          <w:sz w:val="26"/>
          <w:szCs w:val="26"/>
        </w:rPr>
      </w:pPr>
      <w:r>
        <w:rPr>
          <w:rFonts w:ascii="Times New Roman" w:hAnsi="Times New Roman" w:cs="Times New Roman"/>
          <w:i/>
          <w:iCs/>
          <w:sz w:val="26"/>
          <w:szCs w:val="26"/>
        </w:rPr>
        <w:t>no other satisfactory remedy</w:t>
      </w:r>
      <w:r>
        <w:rPr>
          <w:rFonts w:ascii="Times New Roman" w:hAnsi="Times New Roman" w:cs="Times New Roman"/>
          <w:sz w:val="26"/>
          <w:szCs w:val="26"/>
        </w:rPr>
        <w:t xml:space="preserve"> available to the applicant.</w:t>
      </w:r>
    </w:p>
    <w:p w14:paraId="4A99546E" w14:textId="77777777" w:rsidR="007B702C" w:rsidRDefault="007B702C" w:rsidP="007B702C">
      <w:pPr>
        <w:spacing w:line="360" w:lineRule="auto"/>
        <w:jc w:val="both"/>
        <w:rPr>
          <w:rFonts w:ascii="Times New Roman" w:hAnsi="Times New Roman" w:cs="Times New Roman"/>
          <w:sz w:val="26"/>
          <w:szCs w:val="26"/>
        </w:rPr>
      </w:pPr>
    </w:p>
    <w:p w14:paraId="56A50D3D" w14:textId="46D5E32F" w:rsidR="007B702C" w:rsidRDefault="007B702C" w:rsidP="007B702C">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52</w:t>
      </w:r>
      <w:r>
        <w:rPr>
          <w:rFonts w:ascii="Times New Roman" w:hAnsi="Times New Roman" w:cs="Times New Roman"/>
          <w:sz w:val="26"/>
          <w:szCs w:val="26"/>
        </w:rPr>
        <w:t xml:space="preserve">] In order to establish that the right in question is a </w:t>
      </w:r>
      <w:r>
        <w:rPr>
          <w:rFonts w:ascii="Times New Roman" w:hAnsi="Times New Roman" w:cs="Times New Roman"/>
          <w:i/>
          <w:iCs/>
          <w:sz w:val="26"/>
          <w:szCs w:val="26"/>
        </w:rPr>
        <w:t xml:space="preserve">clear right </w:t>
      </w:r>
      <w:r>
        <w:rPr>
          <w:rFonts w:ascii="Times New Roman" w:hAnsi="Times New Roman" w:cs="Times New Roman"/>
          <w:sz w:val="26"/>
          <w:szCs w:val="26"/>
        </w:rPr>
        <w:t>the Court has to find that the following exits:</w:t>
      </w:r>
    </w:p>
    <w:p w14:paraId="6BE62608" w14:textId="1538E56D" w:rsidR="00811C62" w:rsidRPr="007B702C" w:rsidRDefault="007B702C" w:rsidP="007B702C">
      <w:pPr>
        <w:pStyle w:val="ListParagraph"/>
        <w:numPr>
          <w:ilvl w:val="0"/>
          <w:numId w:val="7"/>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confirming that the right </w:t>
      </w:r>
      <w:r w:rsidRPr="007B702C">
        <w:rPr>
          <w:rFonts w:ascii="Times New Roman" w:hAnsi="Times New Roman" w:cs="Times New Roman"/>
          <w:i/>
          <w:iCs/>
          <w:sz w:val="26"/>
          <w:szCs w:val="26"/>
        </w:rPr>
        <w:t>exits in law</w:t>
      </w:r>
      <w:r>
        <w:rPr>
          <w:rFonts w:ascii="Times New Roman" w:hAnsi="Times New Roman" w:cs="Times New Roman"/>
          <w:i/>
          <w:iCs/>
          <w:sz w:val="26"/>
          <w:szCs w:val="26"/>
        </w:rPr>
        <w:t xml:space="preserve">, </w:t>
      </w:r>
      <w:r w:rsidRPr="007B702C">
        <w:rPr>
          <w:rFonts w:ascii="Times New Roman" w:hAnsi="Times New Roman" w:cs="Times New Roman"/>
          <w:sz w:val="26"/>
          <w:szCs w:val="26"/>
        </w:rPr>
        <w:t>and</w:t>
      </w:r>
    </w:p>
    <w:p w14:paraId="42C632E1" w14:textId="0359F9BA" w:rsidR="007B702C" w:rsidRPr="007B702C" w:rsidRDefault="007B702C" w:rsidP="007B702C">
      <w:pPr>
        <w:pStyle w:val="ListParagraph"/>
        <w:numPr>
          <w:ilvl w:val="0"/>
          <w:numId w:val="7"/>
        </w:numPr>
        <w:spacing w:line="360" w:lineRule="auto"/>
        <w:jc w:val="both"/>
        <w:rPr>
          <w:rFonts w:ascii="Times New Roman" w:hAnsi="Times New Roman" w:cs="Times New Roman"/>
          <w:sz w:val="26"/>
          <w:szCs w:val="26"/>
        </w:rPr>
      </w:pPr>
      <w:r>
        <w:rPr>
          <w:rFonts w:ascii="Times New Roman" w:hAnsi="Times New Roman" w:cs="Times New Roman"/>
          <w:i/>
          <w:iCs/>
          <w:sz w:val="26"/>
          <w:szCs w:val="26"/>
        </w:rPr>
        <w:t xml:space="preserve">proving </w:t>
      </w:r>
      <w:r>
        <w:rPr>
          <w:rFonts w:ascii="Times New Roman" w:hAnsi="Times New Roman" w:cs="Times New Roman"/>
          <w:sz w:val="26"/>
          <w:szCs w:val="26"/>
        </w:rPr>
        <w:t xml:space="preserve">that the right exists in </w:t>
      </w:r>
      <w:r>
        <w:rPr>
          <w:rFonts w:ascii="Times New Roman" w:hAnsi="Times New Roman" w:cs="Times New Roman"/>
          <w:i/>
          <w:iCs/>
          <w:sz w:val="26"/>
          <w:szCs w:val="26"/>
        </w:rPr>
        <w:t xml:space="preserve">fact. </w:t>
      </w:r>
    </w:p>
    <w:p w14:paraId="2DCDFBC2" w14:textId="7CC6AAFE" w:rsidR="007B702C" w:rsidRDefault="007B702C" w:rsidP="007B702C">
      <w:pPr>
        <w:spacing w:line="360" w:lineRule="auto"/>
        <w:jc w:val="both"/>
        <w:rPr>
          <w:rFonts w:ascii="Times New Roman" w:hAnsi="Times New Roman" w:cs="Times New Roman"/>
          <w:sz w:val="26"/>
          <w:szCs w:val="26"/>
        </w:rPr>
      </w:pPr>
    </w:p>
    <w:p w14:paraId="6C9ADEB0" w14:textId="4A4080BD" w:rsidR="00D9191C" w:rsidRDefault="00D9191C" w:rsidP="007B702C">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53</w:t>
      </w:r>
      <w:r>
        <w:rPr>
          <w:rFonts w:ascii="Times New Roman" w:hAnsi="Times New Roman" w:cs="Times New Roman"/>
          <w:sz w:val="26"/>
          <w:szCs w:val="26"/>
        </w:rPr>
        <w:t xml:space="preserve">] Whether an applicant has a right is a matter of </w:t>
      </w:r>
      <w:r>
        <w:rPr>
          <w:rFonts w:ascii="Times New Roman" w:hAnsi="Times New Roman" w:cs="Times New Roman"/>
          <w:i/>
          <w:iCs/>
          <w:sz w:val="26"/>
          <w:szCs w:val="26"/>
        </w:rPr>
        <w:t xml:space="preserve">substantive law, </w:t>
      </w:r>
      <w:r>
        <w:rPr>
          <w:rFonts w:ascii="Times New Roman" w:hAnsi="Times New Roman" w:cs="Times New Roman"/>
          <w:sz w:val="26"/>
          <w:szCs w:val="26"/>
        </w:rPr>
        <w:t xml:space="preserve">and therefore the right must be recognized by law. </w:t>
      </w:r>
      <w:r w:rsidR="00684F9F">
        <w:rPr>
          <w:rFonts w:ascii="Times New Roman" w:hAnsi="Times New Roman" w:cs="Times New Roman"/>
          <w:sz w:val="26"/>
          <w:szCs w:val="26"/>
        </w:rPr>
        <w:t xml:space="preserve"> </w:t>
      </w:r>
      <w:r>
        <w:rPr>
          <w:rFonts w:ascii="Times New Roman" w:hAnsi="Times New Roman" w:cs="Times New Roman"/>
          <w:sz w:val="26"/>
          <w:szCs w:val="26"/>
        </w:rPr>
        <w:t xml:space="preserve">The applicants argued that their right </w:t>
      </w:r>
      <w:r w:rsidR="00D9158D">
        <w:rPr>
          <w:rFonts w:ascii="Times New Roman" w:hAnsi="Times New Roman" w:cs="Times New Roman"/>
          <w:sz w:val="26"/>
          <w:szCs w:val="26"/>
        </w:rPr>
        <w:t xml:space="preserve"> for a final interdict to be granted </w:t>
      </w:r>
      <w:r>
        <w:rPr>
          <w:rFonts w:ascii="Times New Roman" w:hAnsi="Times New Roman" w:cs="Times New Roman"/>
          <w:sz w:val="26"/>
          <w:szCs w:val="26"/>
        </w:rPr>
        <w:t xml:space="preserve">is founded on the fact that the </w:t>
      </w:r>
      <w:r>
        <w:rPr>
          <w:rFonts w:ascii="Times New Roman" w:hAnsi="Times New Roman" w:cs="Times New Roman"/>
          <w:i/>
          <w:iCs/>
          <w:sz w:val="26"/>
          <w:szCs w:val="26"/>
        </w:rPr>
        <w:t xml:space="preserve">cul-de-sac </w:t>
      </w:r>
      <w:r>
        <w:rPr>
          <w:rFonts w:ascii="Times New Roman" w:hAnsi="Times New Roman" w:cs="Times New Roman"/>
          <w:sz w:val="26"/>
          <w:szCs w:val="26"/>
        </w:rPr>
        <w:t xml:space="preserve">is a </w:t>
      </w:r>
      <w:r w:rsidRPr="006B5804">
        <w:rPr>
          <w:rFonts w:ascii="Times New Roman" w:hAnsi="Times New Roman" w:cs="Times New Roman"/>
          <w:i/>
          <w:iCs/>
          <w:sz w:val="26"/>
          <w:szCs w:val="26"/>
        </w:rPr>
        <w:t>public road</w:t>
      </w:r>
      <w:r>
        <w:rPr>
          <w:rFonts w:ascii="Times New Roman" w:hAnsi="Times New Roman" w:cs="Times New Roman"/>
          <w:sz w:val="26"/>
          <w:szCs w:val="26"/>
        </w:rPr>
        <w:t xml:space="preserve">, which </w:t>
      </w:r>
      <w:r>
        <w:rPr>
          <w:rFonts w:ascii="Times New Roman" w:hAnsi="Times New Roman" w:cs="Times New Roman"/>
          <w:sz w:val="26"/>
          <w:szCs w:val="26"/>
        </w:rPr>
        <w:lastRenderedPageBreak/>
        <w:t>is zoned in terms of SPLUMA.</w:t>
      </w:r>
      <w:r w:rsidR="00684F9F">
        <w:rPr>
          <w:rFonts w:ascii="Times New Roman" w:hAnsi="Times New Roman" w:cs="Times New Roman"/>
          <w:sz w:val="26"/>
          <w:szCs w:val="26"/>
        </w:rPr>
        <w:t xml:space="preserve"> </w:t>
      </w:r>
      <w:r>
        <w:rPr>
          <w:rFonts w:ascii="Times New Roman" w:hAnsi="Times New Roman" w:cs="Times New Roman"/>
          <w:sz w:val="26"/>
          <w:szCs w:val="26"/>
        </w:rPr>
        <w:t xml:space="preserve"> This contention is indeed </w:t>
      </w:r>
      <w:r w:rsidR="00D9158D">
        <w:rPr>
          <w:rFonts w:ascii="Times New Roman" w:hAnsi="Times New Roman" w:cs="Times New Roman"/>
          <w:sz w:val="26"/>
          <w:szCs w:val="26"/>
        </w:rPr>
        <w:t>not in dispute</w:t>
      </w:r>
      <w:r>
        <w:rPr>
          <w:rFonts w:ascii="Times New Roman" w:hAnsi="Times New Roman" w:cs="Times New Roman"/>
          <w:sz w:val="26"/>
          <w:szCs w:val="26"/>
        </w:rPr>
        <w:t xml:space="preserve">. </w:t>
      </w:r>
      <w:r w:rsidR="00684F9F">
        <w:rPr>
          <w:rFonts w:ascii="Times New Roman" w:hAnsi="Times New Roman" w:cs="Times New Roman"/>
          <w:sz w:val="26"/>
          <w:szCs w:val="26"/>
        </w:rPr>
        <w:t xml:space="preserve"> </w:t>
      </w:r>
      <w:r>
        <w:rPr>
          <w:rFonts w:ascii="Times New Roman" w:hAnsi="Times New Roman" w:cs="Times New Roman"/>
          <w:sz w:val="26"/>
          <w:szCs w:val="26"/>
        </w:rPr>
        <w:t xml:space="preserve">However, </w:t>
      </w:r>
      <w:r w:rsidR="00D9158D">
        <w:rPr>
          <w:rFonts w:ascii="Times New Roman" w:hAnsi="Times New Roman" w:cs="Times New Roman"/>
          <w:sz w:val="26"/>
          <w:szCs w:val="26"/>
        </w:rPr>
        <w:t>a written lease agreement was concluded between the first</w:t>
      </w:r>
      <w:r w:rsidR="00DF49DD">
        <w:rPr>
          <w:rFonts w:ascii="Times New Roman" w:hAnsi="Times New Roman" w:cs="Times New Roman"/>
          <w:sz w:val="26"/>
          <w:szCs w:val="26"/>
        </w:rPr>
        <w:t xml:space="preserve"> and </w:t>
      </w:r>
      <w:r w:rsidR="00D9158D">
        <w:rPr>
          <w:rFonts w:ascii="Times New Roman" w:hAnsi="Times New Roman" w:cs="Times New Roman"/>
          <w:sz w:val="26"/>
          <w:szCs w:val="26"/>
        </w:rPr>
        <w:t xml:space="preserve">second respondents, which stipulates that the </w:t>
      </w:r>
      <w:r w:rsidR="00D9158D">
        <w:rPr>
          <w:rFonts w:ascii="Times New Roman" w:hAnsi="Times New Roman" w:cs="Times New Roman"/>
          <w:i/>
          <w:iCs/>
          <w:sz w:val="26"/>
          <w:szCs w:val="26"/>
        </w:rPr>
        <w:t xml:space="preserve">cul-de-sac </w:t>
      </w:r>
      <w:r w:rsidR="00D9158D">
        <w:rPr>
          <w:rFonts w:ascii="Times New Roman" w:hAnsi="Times New Roman" w:cs="Times New Roman"/>
          <w:sz w:val="26"/>
          <w:szCs w:val="26"/>
        </w:rPr>
        <w:t>was to be closed for public access and be used for purposed of storage by the first respondent.</w:t>
      </w:r>
    </w:p>
    <w:p w14:paraId="0D7E3E05" w14:textId="3F1DEC7B" w:rsidR="00D9158D" w:rsidRDefault="00D9158D" w:rsidP="007B702C">
      <w:pPr>
        <w:spacing w:line="360" w:lineRule="auto"/>
        <w:jc w:val="both"/>
        <w:rPr>
          <w:rFonts w:ascii="Times New Roman" w:hAnsi="Times New Roman" w:cs="Times New Roman"/>
          <w:sz w:val="26"/>
          <w:szCs w:val="26"/>
        </w:rPr>
      </w:pPr>
    </w:p>
    <w:p w14:paraId="7A05FA08" w14:textId="0045E1BD" w:rsidR="00D9158D" w:rsidRPr="00D9158D" w:rsidRDefault="00D9158D" w:rsidP="007B702C">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54</w:t>
      </w:r>
      <w:r>
        <w:rPr>
          <w:rFonts w:ascii="Times New Roman" w:hAnsi="Times New Roman" w:cs="Times New Roman"/>
          <w:sz w:val="26"/>
          <w:szCs w:val="26"/>
        </w:rPr>
        <w:t xml:space="preserve">] Rights are also created by contract, and in this instance the first respondents’ right of occupation of the </w:t>
      </w:r>
      <w:r w:rsidRPr="00D9158D">
        <w:rPr>
          <w:rFonts w:ascii="Times New Roman" w:hAnsi="Times New Roman" w:cs="Times New Roman"/>
          <w:i/>
          <w:iCs/>
          <w:sz w:val="26"/>
          <w:szCs w:val="26"/>
        </w:rPr>
        <w:t>cul-de-sac</w:t>
      </w:r>
      <w:r>
        <w:rPr>
          <w:rFonts w:ascii="Times New Roman" w:hAnsi="Times New Roman" w:cs="Times New Roman"/>
          <w:sz w:val="26"/>
          <w:szCs w:val="26"/>
        </w:rPr>
        <w:t xml:space="preserve"> </w:t>
      </w:r>
      <w:r w:rsidR="000B6E82">
        <w:rPr>
          <w:rFonts w:ascii="Times New Roman" w:hAnsi="Times New Roman" w:cs="Times New Roman"/>
          <w:sz w:val="26"/>
          <w:szCs w:val="26"/>
        </w:rPr>
        <w:t xml:space="preserve">is created under the written lease agreement.  The </w:t>
      </w:r>
      <w:r w:rsidR="00921B44">
        <w:rPr>
          <w:rFonts w:ascii="Times New Roman" w:hAnsi="Times New Roman" w:cs="Times New Roman"/>
          <w:sz w:val="26"/>
          <w:szCs w:val="26"/>
        </w:rPr>
        <w:t xml:space="preserve">existence of the lease is an objective fact. </w:t>
      </w:r>
      <w:r w:rsidR="00684F9F">
        <w:rPr>
          <w:rFonts w:ascii="Times New Roman" w:hAnsi="Times New Roman" w:cs="Times New Roman"/>
          <w:sz w:val="26"/>
          <w:szCs w:val="26"/>
        </w:rPr>
        <w:t xml:space="preserve"> </w:t>
      </w:r>
      <w:r w:rsidR="00921B44">
        <w:rPr>
          <w:rFonts w:ascii="Times New Roman" w:hAnsi="Times New Roman" w:cs="Times New Roman"/>
          <w:sz w:val="26"/>
          <w:szCs w:val="26"/>
        </w:rPr>
        <w:t>Whether the lease</w:t>
      </w:r>
      <w:r w:rsidR="006B5804">
        <w:rPr>
          <w:rFonts w:ascii="Times New Roman" w:hAnsi="Times New Roman" w:cs="Times New Roman"/>
          <w:sz w:val="26"/>
          <w:szCs w:val="26"/>
        </w:rPr>
        <w:t xml:space="preserve"> </w:t>
      </w:r>
      <w:r w:rsidR="00921B44">
        <w:rPr>
          <w:rFonts w:ascii="Times New Roman" w:hAnsi="Times New Roman" w:cs="Times New Roman"/>
          <w:sz w:val="26"/>
          <w:szCs w:val="26"/>
        </w:rPr>
        <w:t xml:space="preserve">is valid or invalid is not the question to be decided by this Court. </w:t>
      </w:r>
      <w:r w:rsidR="00684F9F">
        <w:rPr>
          <w:rFonts w:ascii="Times New Roman" w:hAnsi="Times New Roman" w:cs="Times New Roman"/>
          <w:sz w:val="26"/>
          <w:szCs w:val="26"/>
        </w:rPr>
        <w:t xml:space="preserve"> </w:t>
      </w:r>
      <w:r w:rsidR="00921B44">
        <w:rPr>
          <w:rFonts w:ascii="Times New Roman" w:hAnsi="Times New Roman" w:cs="Times New Roman"/>
          <w:sz w:val="26"/>
          <w:szCs w:val="26"/>
        </w:rPr>
        <w:t xml:space="preserve">It is important not to muddy the water when deciding on granting or dismissing the relief sought by the applicants. </w:t>
      </w:r>
      <w:r w:rsidR="00684F9F">
        <w:rPr>
          <w:rFonts w:ascii="Times New Roman" w:hAnsi="Times New Roman" w:cs="Times New Roman"/>
          <w:sz w:val="26"/>
          <w:szCs w:val="26"/>
        </w:rPr>
        <w:t xml:space="preserve"> </w:t>
      </w:r>
      <w:r w:rsidR="00921B44">
        <w:rPr>
          <w:rFonts w:ascii="Times New Roman" w:hAnsi="Times New Roman" w:cs="Times New Roman"/>
          <w:sz w:val="26"/>
          <w:szCs w:val="26"/>
        </w:rPr>
        <w:t>The lease stands until set aside in a review process as contemplated in Uniform Rule 53</w:t>
      </w:r>
    </w:p>
    <w:p w14:paraId="393A1CE5" w14:textId="77777777" w:rsidR="009D5582" w:rsidRDefault="009D5582" w:rsidP="00F3123A">
      <w:pPr>
        <w:spacing w:line="360" w:lineRule="auto"/>
        <w:jc w:val="both"/>
        <w:rPr>
          <w:rFonts w:ascii="Times New Roman" w:hAnsi="Times New Roman" w:cs="Times New Roman"/>
          <w:sz w:val="26"/>
          <w:szCs w:val="26"/>
        </w:rPr>
      </w:pPr>
    </w:p>
    <w:p w14:paraId="04E37577" w14:textId="3A962162" w:rsidR="006B5804" w:rsidRDefault="006B5804" w:rsidP="00DF7F44">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55</w:t>
      </w:r>
      <w:r>
        <w:rPr>
          <w:rFonts w:ascii="Times New Roman" w:hAnsi="Times New Roman" w:cs="Times New Roman"/>
          <w:sz w:val="26"/>
          <w:szCs w:val="26"/>
        </w:rPr>
        <w:t xml:space="preserve">] Furthermore, whether the correct procedures were followed by the second and third respondents in procuring the lease is a matter to be decided in a judicial review application. It is evident to note that such proceedings was instituted by the applicant </w:t>
      </w:r>
      <w:r w:rsidR="00DF7F44">
        <w:rPr>
          <w:rFonts w:ascii="Times New Roman" w:hAnsi="Times New Roman" w:cs="Times New Roman"/>
          <w:sz w:val="26"/>
          <w:szCs w:val="26"/>
        </w:rPr>
        <w:t>on 20 October 2021, two weeks prior to this hearing</w:t>
      </w:r>
      <w:r>
        <w:rPr>
          <w:rFonts w:ascii="Times New Roman" w:hAnsi="Times New Roman" w:cs="Times New Roman"/>
          <w:sz w:val="26"/>
          <w:szCs w:val="26"/>
        </w:rPr>
        <w:t xml:space="preserve">. </w:t>
      </w:r>
    </w:p>
    <w:p w14:paraId="251DF7E0" w14:textId="77777777" w:rsidR="006B5804" w:rsidRDefault="006B5804" w:rsidP="006B5804">
      <w:pPr>
        <w:spacing w:line="360" w:lineRule="auto"/>
        <w:jc w:val="both"/>
        <w:rPr>
          <w:rFonts w:ascii="Times New Roman" w:hAnsi="Times New Roman" w:cs="Times New Roman"/>
          <w:sz w:val="26"/>
          <w:szCs w:val="26"/>
        </w:rPr>
      </w:pPr>
    </w:p>
    <w:p w14:paraId="09BB1535" w14:textId="7F6E99BF" w:rsidR="006B5804" w:rsidRDefault="006B5804" w:rsidP="006B5804">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56</w:t>
      </w:r>
      <w:r>
        <w:rPr>
          <w:rFonts w:ascii="Times New Roman" w:hAnsi="Times New Roman" w:cs="Times New Roman"/>
          <w:sz w:val="26"/>
          <w:szCs w:val="26"/>
        </w:rPr>
        <w:t xml:space="preserve">] The </w:t>
      </w:r>
      <w:r>
        <w:rPr>
          <w:rFonts w:ascii="Times New Roman" w:hAnsi="Times New Roman" w:cs="Times New Roman"/>
          <w:i/>
          <w:iCs/>
          <w:sz w:val="26"/>
          <w:szCs w:val="26"/>
        </w:rPr>
        <w:t xml:space="preserve">Oudekraal principle </w:t>
      </w:r>
      <w:r>
        <w:rPr>
          <w:rFonts w:ascii="Times New Roman" w:hAnsi="Times New Roman" w:cs="Times New Roman"/>
          <w:sz w:val="26"/>
          <w:szCs w:val="26"/>
        </w:rPr>
        <w:t xml:space="preserve">is of importance in the matter. In the </w:t>
      </w:r>
      <w:r w:rsidRPr="008D6C1E">
        <w:rPr>
          <w:rFonts w:ascii="Times New Roman" w:hAnsi="Times New Roman" w:cs="Times New Roman"/>
          <w:i/>
          <w:iCs/>
          <w:sz w:val="26"/>
          <w:szCs w:val="26"/>
        </w:rPr>
        <w:t>Oudekraal Estates (Pty) Ltd v City of Cape Town and Others</w:t>
      </w:r>
      <w:r>
        <w:rPr>
          <w:rStyle w:val="FootnoteReference"/>
          <w:rFonts w:ascii="Times New Roman" w:hAnsi="Times New Roman" w:cs="Times New Roman"/>
          <w:i/>
          <w:iCs/>
          <w:sz w:val="26"/>
          <w:szCs w:val="26"/>
        </w:rPr>
        <w:footnoteReference w:id="14"/>
      </w:r>
      <w:r>
        <w:rPr>
          <w:rFonts w:ascii="Times New Roman" w:hAnsi="Times New Roman" w:cs="Times New Roman"/>
          <w:i/>
          <w:iCs/>
          <w:sz w:val="26"/>
          <w:szCs w:val="26"/>
        </w:rPr>
        <w:t xml:space="preserve"> </w:t>
      </w:r>
      <w:r w:rsidRPr="000A6284">
        <w:rPr>
          <w:rFonts w:ascii="Times New Roman" w:hAnsi="Times New Roman" w:cs="Times New Roman"/>
          <w:sz w:val="26"/>
          <w:szCs w:val="26"/>
        </w:rPr>
        <w:t>the Supreme Court of Appeal</w:t>
      </w:r>
      <w:r>
        <w:rPr>
          <w:rFonts w:ascii="Times New Roman" w:hAnsi="Times New Roman" w:cs="Times New Roman"/>
          <w:i/>
          <w:iCs/>
          <w:sz w:val="26"/>
          <w:szCs w:val="26"/>
        </w:rPr>
        <w:t xml:space="preserve"> </w:t>
      </w:r>
      <w:r>
        <w:rPr>
          <w:rFonts w:ascii="Times New Roman" w:hAnsi="Times New Roman" w:cs="Times New Roman"/>
          <w:sz w:val="26"/>
          <w:szCs w:val="26"/>
        </w:rPr>
        <w:t xml:space="preserve">developed the principle that an unlawful act may produce legally recognisable consequences. </w:t>
      </w:r>
    </w:p>
    <w:p w14:paraId="69295B02" w14:textId="77777777" w:rsidR="006B5804" w:rsidRDefault="006B5804" w:rsidP="006B5804">
      <w:pPr>
        <w:spacing w:line="360" w:lineRule="auto"/>
        <w:jc w:val="both"/>
        <w:rPr>
          <w:rFonts w:ascii="Times New Roman" w:hAnsi="Times New Roman" w:cs="Times New Roman"/>
          <w:sz w:val="26"/>
          <w:szCs w:val="26"/>
        </w:rPr>
      </w:pPr>
    </w:p>
    <w:p w14:paraId="729543E0" w14:textId="7FF575A3" w:rsidR="006B5804" w:rsidRDefault="006B5804" w:rsidP="006B5804">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57</w:t>
      </w:r>
      <w:r>
        <w:rPr>
          <w:rFonts w:ascii="Times New Roman" w:hAnsi="Times New Roman" w:cs="Times New Roman"/>
          <w:sz w:val="26"/>
          <w:szCs w:val="26"/>
        </w:rPr>
        <w:t xml:space="preserve">] The following was said in the </w:t>
      </w:r>
      <w:r>
        <w:rPr>
          <w:rFonts w:ascii="Times New Roman" w:hAnsi="Times New Roman" w:cs="Times New Roman"/>
          <w:i/>
          <w:iCs/>
          <w:sz w:val="26"/>
          <w:szCs w:val="26"/>
        </w:rPr>
        <w:t>Oudekraal case</w:t>
      </w:r>
      <w:r>
        <w:rPr>
          <w:rFonts w:ascii="Times New Roman" w:hAnsi="Times New Roman" w:cs="Times New Roman"/>
          <w:sz w:val="26"/>
          <w:szCs w:val="26"/>
        </w:rPr>
        <w:t>;</w:t>
      </w:r>
    </w:p>
    <w:p w14:paraId="6359D4A5" w14:textId="77777777" w:rsidR="006B5804" w:rsidRDefault="006B5804" w:rsidP="006B5804">
      <w:pPr>
        <w:spacing w:line="360" w:lineRule="auto"/>
        <w:jc w:val="both"/>
        <w:rPr>
          <w:rFonts w:ascii="Times New Roman" w:eastAsia="Times New Roman" w:hAnsi="Times New Roman" w:cs="Times New Roman"/>
          <w:i/>
          <w:iCs/>
          <w:color w:val="242121"/>
          <w:sz w:val="26"/>
          <w:szCs w:val="26"/>
          <w:u w:val="single"/>
          <w:shd w:val="clear" w:color="auto" w:fill="FFFFFF"/>
          <w:lang w:eastAsia="en-GB"/>
        </w:rPr>
      </w:pPr>
      <w:r>
        <w:rPr>
          <w:rFonts w:ascii="Times New Roman" w:hAnsi="Times New Roman" w:cs="Times New Roman"/>
          <w:i/>
          <w:iCs/>
          <w:sz w:val="26"/>
          <w:szCs w:val="26"/>
        </w:rPr>
        <w:t>“</w:t>
      </w:r>
      <w:r w:rsidRPr="005D0E94">
        <w:rPr>
          <w:rFonts w:ascii="Arial" w:eastAsia="Times New Roman" w:hAnsi="Arial" w:cs="Arial"/>
          <w:color w:val="242121"/>
          <w:shd w:val="clear" w:color="auto" w:fill="FFFFFF"/>
          <w:lang w:eastAsia="en-GB"/>
        </w:rPr>
        <w:t>[</w:t>
      </w:r>
      <w:r w:rsidRPr="005D0E94">
        <w:rPr>
          <w:rFonts w:ascii="Times New Roman" w:eastAsia="Times New Roman" w:hAnsi="Times New Roman" w:cs="Times New Roman"/>
          <w:i/>
          <w:iCs/>
          <w:color w:val="242121"/>
          <w:sz w:val="26"/>
          <w:szCs w:val="26"/>
          <w:shd w:val="clear" w:color="auto" w:fill="FFFFFF"/>
          <w:lang w:eastAsia="en-GB"/>
        </w:rPr>
        <w:t xml:space="preserve">26] For those reasons it is clear, in our view, that the Administrator’s permission was unlawful and invalid at the outset…But the question that arises is what consequences follow from the conclusion that the Administrator acted unlawfully. Is the permission that was granted by the Administrator simply to be disregarded as if it had never existed? In other words, was the Cape Metropolitan Council entitled to disregard the Administrator’s approval and all its consequences merely because it believed that they were invalid provided that its belief was correct? In our view, it was not. </w:t>
      </w:r>
      <w:r w:rsidRPr="005D0E94">
        <w:rPr>
          <w:rFonts w:ascii="Times New Roman" w:eastAsia="Times New Roman" w:hAnsi="Times New Roman" w:cs="Times New Roman"/>
          <w:i/>
          <w:iCs/>
          <w:color w:val="242121"/>
          <w:sz w:val="26"/>
          <w:szCs w:val="26"/>
          <w:u w:val="single"/>
          <w:shd w:val="clear" w:color="auto" w:fill="FFFFFF"/>
          <w:lang w:eastAsia="en-GB"/>
        </w:rPr>
        <w:t xml:space="preserve">Until the </w:t>
      </w:r>
      <w:r w:rsidRPr="005D0E94">
        <w:rPr>
          <w:rFonts w:ascii="Times New Roman" w:eastAsia="Times New Roman" w:hAnsi="Times New Roman" w:cs="Times New Roman"/>
          <w:i/>
          <w:iCs/>
          <w:color w:val="242121"/>
          <w:sz w:val="26"/>
          <w:szCs w:val="26"/>
          <w:u w:val="single"/>
          <w:shd w:val="clear" w:color="auto" w:fill="FFFFFF"/>
          <w:lang w:eastAsia="en-GB"/>
        </w:rPr>
        <w:lastRenderedPageBreak/>
        <w:t>Administrator’s approval (and thus also the consequences of the approval) is set aside by a court in proceedings for judicial review it exists in fact and it has legal consequences that cannot simply be overlooked.</w:t>
      </w:r>
      <w:r w:rsidRPr="005D0E94">
        <w:rPr>
          <w:rFonts w:ascii="Times New Roman" w:eastAsia="Times New Roman" w:hAnsi="Times New Roman" w:cs="Times New Roman"/>
          <w:i/>
          <w:iCs/>
          <w:color w:val="242121"/>
          <w:sz w:val="26"/>
          <w:szCs w:val="26"/>
          <w:shd w:val="clear" w:color="auto" w:fill="FFFFFF"/>
          <w:lang w:eastAsia="en-GB"/>
        </w:rPr>
        <w:t xml:space="preserve"> The proper functioning of a modern State would be considerably compromised if all administrative acts could be given effect to or ignored depending upon the view the subject takes of the validity of the act in question. </w:t>
      </w:r>
      <w:r w:rsidRPr="005D0E94">
        <w:rPr>
          <w:rFonts w:ascii="Times New Roman" w:eastAsia="Times New Roman" w:hAnsi="Times New Roman" w:cs="Times New Roman"/>
          <w:i/>
          <w:iCs/>
          <w:color w:val="242121"/>
          <w:sz w:val="26"/>
          <w:szCs w:val="26"/>
          <w:u w:val="single"/>
          <w:shd w:val="clear" w:color="auto" w:fill="FFFFFF"/>
          <w:lang w:eastAsia="en-GB"/>
        </w:rPr>
        <w:t>No doubt it is for this reason that our law has always recognised that even an unlawful administrative act is capable of producing legally valid consequences for so long as the unlawful act is not set aside.</w:t>
      </w:r>
      <w:r>
        <w:rPr>
          <w:rFonts w:ascii="Times New Roman" w:eastAsia="Times New Roman" w:hAnsi="Times New Roman" w:cs="Times New Roman"/>
          <w:i/>
          <w:iCs/>
          <w:color w:val="242121"/>
          <w:sz w:val="26"/>
          <w:szCs w:val="26"/>
          <w:u w:val="single"/>
          <w:shd w:val="clear" w:color="auto" w:fill="FFFFFF"/>
          <w:lang w:eastAsia="en-GB"/>
        </w:rPr>
        <w:t>”</w:t>
      </w:r>
    </w:p>
    <w:p w14:paraId="083FA9EB" w14:textId="77777777" w:rsidR="006B5804" w:rsidRDefault="006B5804" w:rsidP="006B5804">
      <w:pPr>
        <w:spacing w:line="360" w:lineRule="auto"/>
        <w:jc w:val="both"/>
        <w:rPr>
          <w:rFonts w:ascii="Times New Roman" w:eastAsia="Times New Roman" w:hAnsi="Times New Roman" w:cs="Times New Roman"/>
          <w:i/>
          <w:iCs/>
          <w:color w:val="242121"/>
          <w:sz w:val="26"/>
          <w:szCs w:val="26"/>
          <w:u w:val="single"/>
          <w:shd w:val="clear" w:color="auto" w:fill="FFFFFF"/>
          <w:lang w:eastAsia="en-GB"/>
        </w:rPr>
      </w:pPr>
    </w:p>
    <w:p w14:paraId="0D664609" w14:textId="7FB573EC"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58</w:t>
      </w:r>
      <w:r>
        <w:rPr>
          <w:rFonts w:ascii="Times New Roman" w:eastAsia="Times New Roman" w:hAnsi="Times New Roman" w:cs="Times New Roman"/>
          <w:color w:val="242121"/>
          <w:sz w:val="26"/>
          <w:szCs w:val="26"/>
          <w:shd w:val="clear" w:color="auto" w:fill="FFFFFF"/>
          <w:lang w:eastAsia="en-GB"/>
        </w:rPr>
        <w:t>] I am therefore of the view</w:t>
      </w:r>
      <w:r w:rsidR="002471C0">
        <w:rPr>
          <w:rFonts w:ascii="Times New Roman" w:eastAsia="Times New Roman" w:hAnsi="Times New Roman" w:cs="Times New Roman"/>
          <w:color w:val="242121"/>
          <w:sz w:val="26"/>
          <w:szCs w:val="26"/>
          <w:shd w:val="clear" w:color="auto" w:fill="FFFFFF"/>
          <w:lang w:eastAsia="en-GB"/>
        </w:rPr>
        <w:t xml:space="preserve"> that the decision of the second and third respondents to close the </w:t>
      </w:r>
      <w:r w:rsidR="002471C0">
        <w:rPr>
          <w:rFonts w:ascii="Times New Roman" w:eastAsia="Times New Roman" w:hAnsi="Times New Roman" w:cs="Times New Roman"/>
          <w:i/>
          <w:iCs/>
          <w:color w:val="242121"/>
          <w:sz w:val="26"/>
          <w:szCs w:val="26"/>
          <w:shd w:val="clear" w:color="auto" w:fill="FFFFFF"/>
          <w:lang w:eastAsia="en-GB"/>
        </w:rPr>
        <w:t xml:space="preserve">cul-de-sac </w:t>
      </w:r>
      <w:r w:rsidR="002471C0" w:rsidRPr="002471C0">
        <w:rPr>
          <w:rFonts w:ascii="Times New Roman" w:eastAsia="Times New Roman" w:hAnsi="Times New Roman" w:cs="Times New Roman"/>
          <w:color w:val="242121"/>
          <w:sz w:val="26"/>
          <w:szCs w:val="26"/>
          <w:shd w:val="clear" w:color="auto" w:fill="FFFFFF"/>
          <w:lang w:eastAsia="en-GB"/>
        </w:rPr>
        <w:t>and to conclude the lease with the first respondent</w:t>
      </w:r>
      <w:r w:rsidR="002471C0">
        <w:rPr>
          <w:rFonts w:ascii="Times New Roman" w:eastAsia="Times New Roman" w:hAnsi="Times New Roman" w:cs="Times New Roman"/>
          <w:color w:val="242121"/>
          <w:sz w:val="26"/>
          <w:szCs w:val="26"/>
          <w:shd w:val="clear" w:color="auto" w:fill="FFFFFF"/>
          <w:lang w:eastAsia="en-GB"/>
        </w:rPr>
        <w:t xml:space="preserve">, even if unlawful, has legal consequences, until set aside. </w:t>
      </w:r>
      <w:r w:rsidR="00684F9F">
        <w:rPr>
          <w:rFonts w:ascii="Times New Roman" w:eastAsia="Times New Roman" w:hAnsi="Times New Roman" w:cs="Times New Roman"/>
          <w:color w:val="242121"/>
          <w:sz w:val="26"/>
          <w:szCs w:val="26"/>
          <w:shd w:val="clear" w:color="auto" w:fill="FFFFFF"/>
          <w:lang w:eastAsia="en-GB"/>
        </w:rPr>
        <w:t xml:space="preserve"> </w:t>
      </w:r>
      <w:r w:rsidR="002471C0">
        <w:rPr>
          <w:rFonts w:ascii="Times New Roman" w:eastAsia="Times New Roman" w:hAnsi="Times New Roman" w:cs="Times New Roman"/>
          <w:color w:val="242121"/>
          <w:sz w:val="26"/>
          <w:szCs w:val="26"/>
          <w:shd w:val="clear" w:color="auto" w:fill="FFFFFF"/>
          <w:lang w:eastAsia="en-GB"/>
        </w:rPr>
        <w:t xml:space="preserve">Therefore, </w:t>
      </w:r>
      <w:r>
        <w:rPr>
          <w:rFonts w:ascii="Times New Roman" w:eastAsia="Times New Roman" w:hAnsi="Times New Roman" w:cs="Times New Roman"/>
          <w:color w:val="242121"/>
          <w:sz w:val="26"/>
          <w:szCs w:val="26"/>
          <w:shd w:val="clear" w:color="auto" w:fill="FFFFFF"/>
          <w:lang w:eastAsia="en-GB"/>
        </w:rPr>
        <w:t xml:space="preserve">the applicants did  not succeed in proving a </w:t>
      </w:r>
      <w:r>
        <w:rPr>
          <w:rFonts w:ascii="Times New Roman" w:eastAsia="Times New Roman" w:hAnsi="Times New Roman" w:cs="Times New Roman"/>
          <w:i/>
          <w:iCs/>
          <w:color w:val="242121"/>
          <w:sz w:val="26"/>
          <w:szCs w:val="26"/>
          <w:shd w:val="clear" w:color="auto" w:fill="FFFFFF"/>
          <w:lang w:eastAsia="en-GB"/>
        </w:rPr>
        <w:t xml:space="preserve">clear right </w:t>
      </w:r>
      <w:r>
        <w:rPr>
          <w:rFonts w:ascii="Times New Roman" w:eastAsia="Times New Roman" w:hAnsi="Times New Roman" w:cs="Times New Roman"/>
          <w:color w:val="242121"/>
          <w:sz w:val="26"/>
          <w:szCs w:val="26"/>
          <w:shd w:val="clear" w:color="auto" w:fill="FFFFFF"/>
          <w:lang w:eastAsia="en-GB"/>
        </w:rPr>
        <w:t>as required for the relief sought.</w:t>
      </w:r>
    </w:p>
    <w:p w14:paraId="27997A73"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45FB4393" w14:textId="32257A8E"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59</w:t>
      </w:r>
      <w:r>
        <w:rPr>
          <w:rFonts w:ascii="Times New Roman" w:eastAsia="Times New Roman" w:hAnsi="Times New Roman" w:cs="Times New Roman"/>
          <w:color w:val="242121"/>
          <w:sz w:val="26"/>
          <w:szCs w:val="26"/>
          <w:shd w:val="clear" w:color="auto" w:fill="FFFFFF"/>
          <w:lang w:eastAsia="en-GB"/>
        </w:rPr>
        <w:t xml:space="preserve">] When deciding on the second requirement for the granting of the relief sought by the applicant, namely, </w:t>
      </w:r>
      <w:r>
        <w:rPr>
          <w:rFonts w:ascii="Times New Roman" w:eastAsia="Times New Roman" w:hAnsi="Times New Roman" w:cs="Times New Roman"/>
          <w:i/>
          <w:iCs/>
          <w:color w:val="242121"/>
          <w:sz w:val="26"/>
          <w:szCs w:val="26"/>
          <w:shd w:val="clear" w:color="auto" w:fill="FFFFFF"/>
          <w:lang w:eastAsia="en-GB"/>
        </w:rPr>
        <w:t>an injury actually committed or reasonable apprehended</w:t>
      </w:r>
      <w:r>
        <w:rPr>
          <w:rFonts w:ascii="Times New Roman" w:eastAsia="Times New Roman" w:hAnsi="Times New Roman" w:cs="Times New Roman"/>
          <w:color w:val="242121"/>
          <w:sz w:val="26"/>
          <w:szCs w:val="26"/>
          <w:shd w:val="clear" w:color="auto" w:fill="FFFFFF"/>
          <w:lang w:eastAsia="en-GB"/>
        </w:rPr>
        <w:t xml:space="preserve">, the applicant must proof some act by the respondents interfered with the applicants’ rights, or that it have a well-grounded apprehension that acts of the kind will be committed by the respondents. </w:t>
      </w:r>
    </w:p>
    <w:p w14:paraId="4E8120A8" w14:textId="77777777" w:rsidR="002471C0" w:rsidRDefault="002471C0"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535C4846" w14:textId="13F41BCC"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60</w:t>
      </w:r>
      <w:r>
        <w:rPr>
          <w:rFonts w:ascii="Times New Roman" w:eastAsia="Times New Roman" w:hAnsi="Times New Roman" w:cs="Times New Roman"/>
          <w:color w:val="242121"/>
          <w:sz w:val="26"/>
          <w:szCs w:val="26"/>
          <w:shd w:val="clear" w:color="auto" w:fill="FFFFFF"/>
          <w:lang w:eastAsia="en-GB"/>
        </w:rPr>
        <w:t xml:space="preserve">] It is common cause that the first respondent approached the applicants on several occasions in order to discuss an amicable solution regarding the fencing of the </w:t>
      </w:r>
      <w:r>
        <w:rPr>
          <w:rFonts w:ascii="Times New Roman" w:eastAsia="Times New Roman" w:hAnsi="Times New Roman" w:cs="Times New Roman"/>
          <w:i/>
          <w:iCs/>
          <w:color w:val="242121"/>
          <w:sz w:val="26"/>
          <w:szCs w:val="26"/>
          <w:shd w:val="clear" w:color="auto" w:fill="FFFFFF"/>
          <w:lang w:eastAsia="en-GB"/>
        </w:rPr>
        <w:t xml:space="preserve">cul-de-sac.  </w:t>
      </w:r>
      <w:r>
        <w:rPr>
          <w:rFonts w:ascii="Times New Roman" w:eastAsia="Times New Roman" w:hAnsi="Times New Roman" w:cs="Times New Roman"/>
          <w:color w:val="242121"/>
          <w:sz w:val="26"/>
          <w:szCs w:val="26"/>
          <w:shd w:val="clear" w:color="auto" w:fill="FFFFFF"/>
          <w:lang w:eastAsia="en-GB"/>
        </w:rPr>
        <w:t>It is not disputed that t</w:t>
      </w:r>
      <w:r w:rsidRPr="00E40EA6">
        <w:rPr>
          <w:rFonts w:ascii="Times New Roman" w:eastAsia="Times New Roman" w:hAnsi="Times New Roman" w:cs="Times New Roman"/>
          <w:color w:val="242121"/>
          <w:sz w:val="26"/>
          <w:szCs w:val="26"/>
          <w:shd w:val="clear" w:color="auto" w:fill="FFFFFF"/>
          <w:lang w:eastAsia="en-GB"/>
        </w:rPr>
        <w:t>he applicants utilize the</w:t>
      </w:r>
      <w:r>
        <w:rPr>
          <w:rFonts w:ascii="Times New Roman" w:eastAsia="Times New Roman" w:hAnsi="Times New Roman" w:cs="Times New Roman"/>
          <w:i/>
          <w:iCs/>
          <w:color w:val="242121"/>
          <w:sz w:val="26"/>
          <w:szCs w:val="26"/>
          <w:shd w:val="clear" w:color="auto" w:fill="FFFFFF"/>
          <w:lang w:eastAsia="en-GB"/>
        </w:rPr>
        <w:t xml:space="preserve"> cul-de-sac </w:t>
      </w:r>
      <w:r>
        <w:rPr>
          <w:rFonts w:ascii="Times New Roman" w:eastAsia="Times New Roman" w:hAnsi="Times New Roman" w:cs="Times New Roman"/>
          <w:color w:val="242121"/>
          <w:sz w:val="26"/>
          <w:szCs w:val="26"/>
          <w:shd w:val="clear" w:color="auto" w:fill="FFFFFF"/>
          <w:lang w:eastAsia="en-GB"/>
        </w:rPr>
        <w:t>for delivery</w:t>
      </w:r>
      <w:r w:rsidR="00907A54">
        <w:rPr>
          <w:rFonts w:ascii="Times New Roman" w:eastAsia="Times New Roman" w:hAnsi="Times New Roman" w:cs="Times New Roman"/>
          <w:color w:val="242121"/>
          <w:sz w:val="26"/>
          <w:szCs w:val="26"/>
          <w:shd w:val="clear" w:color="auto" w:fill="FFFFFF"/>
          <w:lang w:eastAsia="en-GB"/>
        </w:rPr>
        <w:t xml:space="preserve"> and at times for storage </w:t>
      </w:r>
      <w:r>
        <w:rPr>
          <w:rFonts w:ascii="Times New Roman" w:eastAsia="Times New Roman" w:hAnsi="Times New Roman" w:cs="Times New Roman"/>
          <w:color w:val="242121"/>
          <w:sz w:val="26"/>
          <w:szCs w:val="26"/>
          <w:shd w:val="clear" w:color="auto" w:fill="FFFFFF"/>
          <w:lang w:eastAsia="en-GB"/>
        </w:rPr>
        <w:t xml:space="preserve">of broken down minibus taxis, whereafter the minibus taxis are being stored in the yard until  moved to the workshop. </w:t>
      </w:r>
    </w:p>
    <w:p w14:paraId="164D9886"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39E10028" w14:textId="6C8C5D5A"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61</w:t>
      </w:r>
      <w:r>
        <w:rPr>
          <w:rFonts w:ascii="Times New Roman" w:eastAsia="Times New Roman" w:hAnsi="Times New Roman" w:cs="Times New Roman"/>
          <w:color w:val="242121"/>
          <w:sz w:val="26"/>
          <w:szCs w:val="26"/>
          <w:shd w:val="clear" w:color="auto" w:fill="FFFFFF"/>
          <w:lang w:eastAsia="en-GB"/>
        </w:rPr>
        <w:t xml:space="preserve">] The contention made by the applicants regarding </w:t>
      </w:r>
      <w:r>
        <w:rPr>
          <w:rFonts w:ascii="Times New Roman" w:eastAsia="Times New Roman" w:hAnsi="Times New Roman" w:cs="Times New Roman"/>
          <w:i/>
          <w:iCs/>
          <w:color w:val="242121"/>
          <w:sz w:val="26"/>
          <w:szCs w:val="26"/>
          <w:shd w:val="clear" w:color="auto" w:fill="FFFFFF"/>
          <w:lang w:eastAsia="en-GB"/>
        </w:rPr>
        <w:t>injury</w:t>
      </w:r>
      <w:r>
        <w:rPr>
          <w:rFonts w:ascii="Times New Roman" w:eastAsia="Times New Roman" w:hAnsi="Times New Roman" w:cs="Times New Roman"/>
          <w:color w:val="242121"/>
          <w:sz w:val="26"/>
          <w:szCs w:val="26"/>
          <w:shd w:val="clear" w:color="auto" w:fill="FFFFFF"/>
          <w:lang w:eastAsia="en-GB"/>
        </w:rPr>
        <w:t xml:space="preserve"> is that due to the closure of the </w:t>
      </w:r>
      <w:r>
        <w:rPr>
          <w:rFonts w:ascii="Times New Roman" w:eastAsia="Times New Roman" w:hAnsi="Times New Roman" w:cs="Times New Roman"/>
          <w:i/>
          <w:iCs/>
          <w:color w:val="242121"/>
          <w:sz w:val="26"/>
          <w:szCs w:val="26"/>
          <w:shd w:val="clear" w:color="auto" w:fill="FFFFFF"/>
          <w:lang w:eastAsia="en-GB"/>
        </w:rPr>
        <w:t>cul-de-sac</w:t>
      </w:r>
      <w:r>
        <w:rPr>
          <w:rFonts w:ascii="Times New Roman" w:eastAsia="Times New Roman" w:hAnsi="Times New Roman" w:cs="Times New Roman"/>
          <w:color w:val="242121"/>
          <w:sz w:val="26"/>
          <w:szCs w:val="26"/>
          <w:shd w:val="clear" w:color="auto" w:fill="FFFFFF"/>
          <w:lang w:eastAsia="en-GB"/>
        </w:rPr>
        <w:t xml:space="preserve"> it will be unable to off load the broken down minibus taxis and that will </w:t>
      </w:r>
      <w:r w:rsidR="00907A54">
        <w:rPr>
          <w:rFonts w:ascii="Times New Roman" w:eastAsia="Times New Roman" w:hAnsi="Times New Roman" w:cs="Times New Roman"/>
          <w:color w:val="242121"/>
          <w:sz w:val="26"/>
          <w:szCs w:val="26"/>
          <w:shd w:val="clear" w:color="auto" w:fill="FFFFFF"/>
          <w:lang w:eastAsia="en-GB"/>
        </w:rPr>
        <w:t>prejudice</w:t>
      </w:r>
      <w:r>
        <w:rPr>
          <w:rFonts w:ascii="Times New Roman" w:eastAsia="Times New Roman" w:hAnsi="Times New Roman" w:cs="Times New Roman"/>
          <w:color w:val="242121"/>
          <w:sz w:val="26"/>
          <w:szCs w:val="26"/>
          <w:shd w:val="clear" w:color="auto" w:fill="FFFFFF"/>
          <w:lang w:eastAsia="en-GB"/>
        </w:rPr>
        <w:t xml:space="preserve"> their business.  </w:t>
      </w:r>
      <w:r w:rsidR="00DF7F44">
        <w:rPr>
          <w:rFonts w:ascii="Times New Roman" w:eastAsia="Times New Roman" w:hAnsi="Times New Roman" w:cs="Times New Roman"/>
          <w:color w:val="242121"/>
          <w:sz w:val="26"/>
          <w:szCs w:val="26"/>
          <w:shd w:val="clear" w:color="auto" w:fill="FFFFFF"/>
          <w:lang w:eastAsia="en-GB"/>
        </w:rPr>
        <w:t xml:space="preserve">It is common cause that </w:t>
      </w:r>
      <w:r>
        <w:rPr>
          <w:rFonts w:ascii="Times New Roman" w:eastAsia="Times New Roman" w:hAnsi="Times New Roman" w:cs="Times New Roman"/>
          <w:color w:val="242121"/>
          <w:sz w:val="26"/>
          <w:szCs w:val="26"/>
          <w:shd w:val="clear" w:color="auto" w:fill="FFFFFF"/>
          <w:lang w:eastAsia="en-GB"/>
        </w:rPr>
        <w:t xml:space="preserve">he first respondent, on the other hand, is prepared to create a pathway in the fenced area in order for the applicants to proceed with their business. </w:t>
      </w:r>
    </w:p>
    <w:p w14:paraId="07CFD035"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4A733448" w14:textId="1FC3DDED" w:rsidR="006B5804" w:rsidRPr="00DF7F4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62</w:t>
      </w:r>
      <w:r>
        <w:rPr>
          <w:rFonts w:ascii="Times New Roman" w:eastAsia="Times New Roman" w:hAnsi="Times New Roman" w:cs="Times New Roman"/>
          <w:color w:val="242121"/>
          <w:sz w:val="26"/>
          <w:szCs w:val="26"/>
          <w:shd w:val="clear" w:color="auto" w:fill="FFFFFF"/>
          <w:lang w:eastAsia="en-GB"/>
        </w:rPr>
        <w:t>] If the intention of the applicants are to sa</w:t>
      </w:r>
      <w:r w:rsidR="00DA7068">
        <w:rPr>
          <w:rFonts w:ascii="Times New Roman" w:eastAsia="Times New Roman" w:hAnsi="Times New Roman" w:cs="Times New Roman"/>
          <w:color w:val="242121"/>
          <w:sz w:val="26"/>
          <w:szCs w:val="26"/>
          <w:shd w:val="clear" w:color="auto" w:fill="FFFFFF"/>
          <w:lang w:eastAsia="en-GB"/>
        </w:rPr>
        <w:t>f</w:t>
      </w:r>
      <w:r>
        <w:rPr>
          <w:rFonts w:ascii="Times New Roman" w:eastAsia="Times New Roman" w:hAnsi="Times New Roman" w:cs="Times New Roman"/>
          <w:color w:val="242121"/>
          <w:sz w:val="26"/>
          <w:szCs w:val="26"/>
          <w:shd w:val="clear" w:color="auto" w:fill="FFFFFF"/>
          <w:lang w:eastAsia="en-GB"/>
        </w:rPr>
        <w:t xml:space="preserve">e guard the longevity of their business, I am unable to </w:t>
      </w:r>
      <w:r w:rsidR="00907A54">
        <w:rPr>
          <w:rFonts w:ascii="Times New Roman" w:eastAsia="Times New Roman" w:hAnsi="Times New Roman" w:cs="Times New Roman"/>
          <w:color w:val="242121"/>
          <w:sz w:val="26"/>
          <w:szCs w:val="26"/>
          <w:shd w:val="clear" w:color="auto" w:fill="FFFFFF"/>
          <w:lang w:eastAsia="en-GB"/>
        </w:rPr>
        <w:t>comprehend such a averment of injury. I</w:t>
      </w:r>
      <w:r w:rsidR="00DA7068">
        <w:rPr>
          <w:rFonts w:ascii="Times New Roman" w:eastAsia="Times New Roman" w:hAnsi="Times New Roman" w:cs="Times New Roman"/>
          <w:color w:val="242121"/>
          <w:sz w:val="26"/>
          <w:szCs w:val="26"/>
          <w:shd w:val="clear" w:color="auto" w:fill="FFFFFF"/>
          <w:lang w:eastAsia="en-GB"/>
        </w:rPr>
        <w:t>f</w:t>
      </w:r>
      <w:r>
        <w:rPr>
          <w:rFonts w:ascii="Times New Roman" w:eastAsia="Times New Roman" w:hAnsi="Times New Roman" w:cs="Times New Roman"/>
          <w:color w:val="242121"/>
          <w:sz w:val="26"/>
          <w:szCs w:val="26"/>
          <w:shd w:val="clear" w:color="auto" w:fill="FFFFFF"/>
          <w:lang w:eastAsia="en-GB"/>
        </w:rPr>
        <w:t xml:space="preserve"> the first respondent grant the applicants a pathway in the </w:t>
      </w:r>
      <w:r>
        <w:rPr>
          <w:rFonts w:ascii="Times New Roman" w:eastAsia="Times New Roman" w:hAnsi="Times New Roman" w:cs="Times New Roman"/>
          <w:i/>
          <w:iCs/>
          <w:color w:val="242121"/>
          <w:sz w:val="26"/>
          <w:szCs w:val="26"/>
          <w:shd w:val="clear" w:color="auto" w:fill="FFFFFF"/>
          <w:lang w:eastAsia="en-GB"/>
        </w:rPr>
        <w:t>cul-de-sac</w:t>
      </w:r>
      <w:r>
        <w:rPr>
          <w:rFonts w:ascii="Times New Roman" w:eastAsia="Times New Roman" w:hAnsi="Times New Roman" w:cs="Times New Roman"/>
          <w:color w:val="242121"/>
          <w:sz w:val="26"/>
          <w:szCs w:val="26"/>
          <w:shd w:val="clear" w:color="auto" w:fill="FFFFFF"/>
          <w:lang w:eastAsia="en-GB"/>
        </w:rPr>
        <w:t xml:space="preserve"> to proceed with their business, </w:t>
      </w:r>
      <w:r w:rsidR="00907A54">
        <w:rPr>
          <w:rFonts w:ascii="Times New Roman" w:eastAsia="Times New Roman" w:hAnsi="Times New Roman" w:cs="Times New Roman"/>
          <w:color w:val="242121"/>
          <w:sz w:val="26"/>
          <w:szCs w:val="26"/>
          <w:shd w:val="clear" w:color="auto" w:fill="FFFFFF"/>
          <w:lang w:eastAsia="en-GB"/>
        </w:rPr>
        <w:t xml:space="preserve">in which case </w:t>
      </w:r>
      <w:r>
        <w:rPr>
          <w:rFonts w:ascii="Times New Roman" w:eastAsia="Times New Roman" w:hAnsi="Times New Roman" w:cs="Times New Roman"/>
          <w:color w:val="242121"/>
          <w:sz w:val="26"/>
          <w:szCs w:val="26"/>
          <w:shd w:val="clear" w:color="auto" w:fill="FFFFFF"/>
          <w:lang w:eastAsia="en-GB"/>
        </w:rPr>
        <w:t xml:space="preserve">the applicants will suffer </w:t>
      </w:r>
      <w:r w:rsidR="00907A54">
        <w:rPr>
          <w:rFonts w:ascii="Times New Roman" w:eastAsia="Times New Roman" w:hAnsi="Times New Roman" w:cs="Times New Roman"/>
          <w:color w:val="242121"/>
          <w:sz w:val="26"/>
          <w:szCs w:val="26"/>
          <w:shd w:val="clear" w:color="auto" w:fill="FFFFFF"/>
          <w:lang w:eastAsia="en-GB"/>
        </w:rPr>
        <w:t>no</w:t>
      </w:r>
      <w:r>
        <w:rPr>
          <w:rFonts w:ascii="Times New Roman" w:eastAsia="Times New Roman" w:hAnsi="Times New Roman" w:cs="Times New Roman"/>
          <w:color w:val="242121"/>
          <w:sz w:val="26"/>
          <w:szCs w:val="26"/>
          <w:shd w:val="clear" w:color="auto" w:fill="FFFFFF"/>
          <w:lang w:eastAsia="en-GB"/>
        </w:rPr>
        <w:t xml:space="preserve"> injury.</w:t>
      </w:r>
      <w:r w:rsidR="008B17EF">
        <w:rPr>
          <w:rFonts w:ascii="Times New Roman" w:eastAsia="Times New Roman" w:hAnsi="Times New Roman" w:cs="Times New Roman"/>
          <w:color w:val="242121"/>
          <w:sz w:val="26"/>
          <w:szCs w:val="26"/>
          <w:shd w:val="clear" w:color="auto" w:fill="FFFFFF"/>
          <w:lang w:eastAsia="en-GB"/>
        </w:rPr>
        <w:t xml:space="preserve"> </w:t>
      </w:r>
      <w:r w:rsidR="00684F9F">
        <w:rPr>
          <w:rFonts w:ascii="Times New Roman" w:eastAsia="Times New Roman" w:hAnsi="Times New Roman" w:cs="Times New Roman"/>
          <w:color w:val="242121"/>
          <w:sz w:val="26"/>
          <w:szCs w:val="26"/>
          <w:shd w:val="clear" w:color="auto" w:fill="FFFFFF"/>
          <w:lang w:eastAsia="en-GB"/>
        </w:rPr>
        <w:t xml:space="preserve"> </w:t>
      </w:r>
      <w:r w:rsidR="00DF7F44">
        <w:rPr>
          <w:rFonts w:ascii="Times New Roman" w:eastAsia="Times New Roman" w:hAnsi="Times New Roman" w:cs="Times New Roman"/>
          <w:color w:val="242121"/>
          <w:sz w:val="26"/>
          <w:szCs w:val="26"/>
          <w:shd w:val="clear" w:color="auto" w:fill="FFFFFF"/>
          <w:lang w:eastAsia="en-GB"/>
        </w:rPr>
        <w:t xml:space="preserve">The applicants in such circumstances will be required to clear the </w:t>
      </w:r>
      <w:r w:rsidR="00DF7F44">
        <w:rPr>
          <w:rFonts w:ascii="Times New Roman" w:eastAsia="Times New Roman" w:hAnsi="Times New Roman" w:cs="Times New Roman"/>
          <w:i/>
          <w:iCs/>
          <w:color w:val="242121"/>
          <w:sz w:val="26"/>
          <w:szCs w:val="26"/>
          <w:shd w:val="clear" w:color="auto" w:fill="FFFFFF"/>
          <w:lang w:eastAsia="en-GB"/>
        </w:rPr>
        <w:t>cul-de-sac</w:t>
      </w:r>
      <w:r w:rsidR="00DF7F44">
        <w:rPr>
          <w:rFonts w:ascii="Times New Roman" w:eastAsia="Times New Roman" w:hAnsi="Times New Roman" w:cs="Times New Roman"/>
          <w:color w:val="242121"/>
          <w:sz w:val="26"/>
          <w:szCs w:val="26"/>
          <w:shd w:val="clear" w:color="auto" w:fill="FFFFFF"/>
          <w:lang w:eastAsia="en-GB"/>
        </w:rPr>
        <w:t xml:space="preserve"> of the broken down minibus taxis after being off loaded to its storage yard. </w:t>
      </w:r>
      <w:r w:rsidR="00684F9F">
        <w:rPr>
          <w:rFonts w:ascii="Times New Roman" w:eastAsia="Times New Roman" w:hAnsi="Times New Roman" w:cs="Times New Roman"/>
          <w:color w:val="242121"/>
          <w:sz w:val="26"/>
          <w:szCs w:val="26"/>
          <w:shd w:val="clear" w:color="auto" w:fill="FFFFFF"/>
          <w:lang w:eastAsia="en-GB"/>
        </w:rPr>
        <w:t xml:space="preserve"> </w:t>
      </w:r>
      <w:r w:rsidR="00DF7F44">
        <w:rPr>
          <w:rFonts w:ascii="Times New Roman" w:eastAsia="Times New Roman" w:hAnsi="Times New Roman" w:cs="Times New Roman"/>
          <w:color w:val="242121"/>
          <w:sz w:val="26"/>
          <w:szCs w:val="26"/>
          <w:shd w:val="clear" w:color="auto" w:fill="FFFFFF"/>
          <w:lang w:eastAsia="en-GB"/>
        </w:rPr>
        <w:t xml:space="preserve">Which seems to be problematic seeing that the minibus taxis are being stored in the </w:t>
      </w:r>
      <w:r w:rsidR="00DF7F44">
        <w:rPr>
          <w:rFonts w:ascii="Times New Roman" w:eastAsia="Times New Roman" w:hAnsi="Times New Roman" w:cs="Times New Roman"/>
          <w:i/>
          <w:iCs/>
          <w:color w:val="242121"/>
          <w:sz w:val="26"/>
          <w:szCs w:val="26"/>
          <w:shd w:val="clear" w:color="auto" w:fill="FFFFFF"/>
          <w:lang w:eastAsia="en-GB"/>
        </w:rPr>
        <w:t>cul-de-sac.</w:t>
      </w:r>
    </w:p>
    <w:p w14:paraId="40A97C62"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4115875B" w14:textId="12C7ED4F"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63</w:t>
      </w:r>
      <w:r>
        <w:rPr>
          <w:rFonts w:ascii="Times New Roman" w:eastAsia="Times New Roman" w:hAnsi="Times New Roman" w:cs="Times New Roman"/>
          <w:color w:val="242121"/>
          <w:sz w:val="26"/>
          <w:szCs w:val="26"/>
          <w:shd w:val="clear" w:color="auto" w:fill="FFFFFF"/>
          <w:lang w:eastAsia="en-GB"/>
        </w:rPr>
        <w:t xml:space="preserve">] </w:t>
      </w:r>
      <w:r w:rsidR="00DF7F44">
        <w:rPr>
          <w:rFonts w:ascii="Times New Roman" w:eastAsia="Times New Roman" w:hAnsi="Times New Roman" w:cs="Times New Roman"/>
          <w:color w:val="242121"/>
          <w:sz w:val="26"/>
          <w:szCs w:val="26"/>
          <w:shd w:val="clear" w:color="auto" w:fill="FFFFFF"/>
          <w:lang w:eastAsia="en-GB"/>
        </w:rPr>
        <w:t>Furthermore, a</w:t>
      </w:r>
      <w:r>
        <w:rPr>
          <w:rFonts w:ascii="Times New Roman" w:eastAsia="Times New Roman" w:hAnsi="Times New Roman" w:cs="Times New Roman"/>
          <w:color w:val="242121"/>
          <w:sz w:val="26"/>
          <w:szCs w:val="26"/>
          <w:shd w:val="clear" w:color="auto" w:fill="FFFFFF"/>
          <w:lang w:eastAsia="en-GB"/>
        </w:rPr>
        <w:t>n interdict can only be granted to protect a legitimate right.</w:t>
      </w:r>
      <w:r w:rsidR="00684F9F">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 xml:space="preserve"> The </w:t>
      </w:r>
      <w:r>
        <w:rPr>
          <w:rFonts w:ascii="Times New Roman" w:eastAsia="Times New Roman" w:hAnsi="Times New Roman" w:cs="Times New Roman"/>
          <w:i/>
          <w:iCs/>
          <w:color w:val="242121"/>
          <w:sz w:val="26"/>
          <w:szCs w:val="26"/>
          <w:shd w:val="clear" w:color="auto" w:fill="FFFFFF"/>
          <w:lang w:eastAsia="en-GB"/>
        </w:rPr>
        <w:t xml:space="preserve">“clean hands” </w:t>
      </w:r>
      <w:r>
        <w:rPr>
          <w:rFonts w:ascii="Times New Roman" w:eastAsia="Times New Roman" w:hAnsi="Times New Roman" w:cs="Times New Roman"/>
          <w:color w:val="242121"/>
          <w:sz w:val="26"/>
          <w:szCs w:val="26"/>
          <w:shd w:val="clear" w:color="auto" w:fill="FFFFFF"/>
          <w:lang w:eastAsia="en-GB"/>
        </w:rPr>
        <w:t>principle discourages illegality,</w:t>
      </w:r>
      <w:r w:rsidR="008B17EF">
        <w:rPr>
          <w:rFonts w:ascii="Times New Roman" w:eastAsia="Times New Roman" w:hAnsi="Times New Roman" w:cs="Times New Roman"/>
          <w:color w:val="242121"/>
          <w:sz w:val="26"/>
          <w:szCs w:val="26"/>
          <w:shd w:val="clear" w:color="auto" w:fill="FFFFFF"/>
          <w:lang w:eastAsia="en-GB"/>
        </w:rPr>
        <w:t xml:space="preserve"> because</w:t>
      </w:r>
      <w:r>
        <w:rPr>
          <w:rFonts w:ascii="Times New Roman" w:eastAsia="Times New Roman" w:hAnsi="Times New Roman" w:cs="Times New Roman"/>
          <w:color w:val="242121"/>
          <w:sz w:val="26"/>
          <w:szCs w:val="26"/>
          <w:shd w:val="clear" w:color="auto" w:fill="FFFFFF"/>
          <w:lang w:eastAsia="en-GB"/>
        </w:rPr>
        <w:t xml:space="preserve"> it will be contrary to public policy to render assistance to those defying the law.</w:t>
      </w:r>
      <w:r>
        <w:rPr>
          <w:rStyle w:val="FootnoteReference"/>
          <w:rFonts w:ascii="Times New Roman" w:eastAsia="Times New Roman" w:hAnsi="Times New Roman" w:cs="Times New Roman"/>
          <w:color w:val="242121"/>
          <w:sz w:val="26"/>
          <w:szCs w:val="26"/>
          <w:shd w:val="clear" w:color="auto" w:fill="FFFFFF"/>
          <w:lang w:eastAsia="en-GB"/>
        </w:rPr>
        <w:footnoteReference w:id="15"/>
      </w:r>
      <w:r>
        <w:rPr>
          <w:rFonts w:ascii="Times New Roman" w:eastAsia="Times New Roman" w:hAnsi="Times New Roman" w:cs="Times New Roman"/>
          <w:color w:val="242121"/>
          <w:sz w:val="26"/>
          <w:szCs w:val="26"/>
          <w:shd w:val="clear" w:color="auto" w:fill="FFFFFF"/>
          <w:lang w:eastAsia="en-GB"/>
        </w:rPr>
        <w:t xml:space="preserve">  The first respondents’ right in fencing off the </w:t>
      </w:r>
      <w:r>
        <w:rPr>
          <w:rFonts w:ascii="Times New Roman" w:eastAsia="Times New Roman" w:hAnsi="Times New Roman" w:cs="Times New Roman"/>
          <w:i/>
          <w:iCs/>
          <w:color w:val="242121"/>
          <w:sz w:val="26"/>
          <w:szCs w:val="26"/>
          <w:shd w:val="clear" w:color="auto" w:fill="FFFFFF"/>
          <w:lang w:eastAsia="en-GB"/>
        </w:rPr>
        <w:t xml:space="preserve">cul-de-sac </w:t>
      </w:r>
      <w:r>
        <w:rPr>
          <w:rFonts w:ascii="Times New Roman" w:eastAsia="Times New Roman" w:hAnsi="Times New Roman" w:cs="Times New Roman"/>
          <w:color w:val="242121"/>
          <w:sz w:val="26"/>
          <w:szCs w:val="26"/>
          <w:shd w:val="clear" w:color="auto" w:fill="FFFFFF"/>
          <w:lang w:eastAsia="en-GB"/>
        </w:rPr>
        <w:t>is founded in a lease</w:t>
      </w:r>
      <w:r w:rsidR="008B17EF">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 xml:space="preserve"> whether valid or not</w:t>
      </w:r>
      <w:r w:rsidR="008B17EF">
        <w:rPr>
          <w:rFonts w:ascii="Times New Roman" w:eastAsia="Times New Roman" w:hAnsi="Times New Roman" w:cs="Times New Roman"/>
          <w:color w:val="242121"/>
          <w:sz w:val="26"/>
          <w:szCs w:val="26"/>
          <w:shd w:val="clear" w:color="auto" w:fill="FFFFFF"/>
          <w:lang w:eastAsia="en-GB"/>
        </w:rPr>
        <w:t xml:space="preserve">. </w:t>
      </w:r>
      <w:r w:rsidR="00684F9F">
        <w:rPr>
          <w:rFonts w:ascii="Times New Roman" w:eastAsia="Times New Roman" w:hAnsi="Times New Roman" w:cs="Times New Roman"/>
          <w:color w:val="242121"/>
          <w:sz w:val="26"/>
          <w:szCs w:val="26"/>
          <w:shd w:val="clear" w:color="auto" w:fill="FFFFFF"/>
          <w:lang w:eastAsia="en-GB"/>
        </w:rPr>
        <w:t xml:space="preserve"> </w:t>
      </w:r>
      <w:r w:rsidR="008B17EF">
        <w:rPr>
          <w:rFonts w:ascii="Times New Roman" w:eastAsia="Times New Roman" w:hAnsi="Times New Roman" w:cs="Times New Roman"/>
          <w:color w:val="242121"/>
          <w:sz w:val="26"/>
          <w:szCs w:val="26"/>
          <w:shd w:val="clear" w:color="auto" w:fill="FFFFFF"/>
          <w:lang w:eastAsia="en-GB"/>
        </w:rPr>
        <w:t xml:space="preserve">The first respondent is prepared </w:t>
      </w:r>
      <w:r>
        <w:rPr>
          <w:rFonts w:ascii="Times New Roman" w:eastAsia="Times New Roman" w:hAnsi="Times New Roman" w:cs="Times New Roman"/>
          <w:color w:val="242121"/>
          <w:sz w:val="26"/>
          <w:szCs w:val="26"/>
          <w:shd w:val="clear" w:color="auto" w:fill="FFFFFF"/>
          <w:lang w:eastAsia="en-GB"/>
        </w:rPr>
        <w:t>even though a lease exists, to assist the applicants to continue with their business</w:t>
      </w:r>
      <w:r w:rsidR="008B17EF">
        <w:rPr>
          <w:rFonts w:ascii="Times New Roman" w:eastAsia="Times New Roman" w:hAnsi="Times New Roman" w:cs="Times New Roman"/>
          <w:color w:val="242121"/>
          <w:sz w:val="26"/>
          <w:szCs w:val="26"/>
          <w:shd w:val="clear" w:color="auto" w:fill="FFFFFF"/>
          <w:lang w:eastAsia="en-GB"/>
        </w:rPr>
        <w:t xml:space="preserve"> as before</w:t>
      </w:r>
      <w:r>
        <w:rPr>
          <w:rFonts w:ascii="Times New Roman" w:eastAsia="Times New Roman" w:hAnsi="Times New Roman" w:cs="Times New Roman"/>
          <w:color w:val="242121"/>
          <w:sz w:val="26"/>
          <w:szCs w:val="26"/>
          <w:shd w:val="clear" w:color="auto" w:fill="FFFFFF"/>
          <w:lang w:eastAsia="en-GB"/>
        </w:rPr>
        <w:t xml:space="preserve">. </w:t>
      </w:r>
    </w:p>
    <w:p w14:paraId="71F67A08"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17B48C28" w14:textId="44A518EC"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64</w:t>
      </w:r>
      <w:r>
        <w:rPr>
          <w:rFonts w:ascii="Times New Roman" w:eastAsia="Times New Roman" w:hAnsi="Times New Roman" w:cs="Times New Roman"/>
          <w:color w:val="242121"/>
          <w:sz w:val="26"/>
          <w:szCs w:val="26"/>
          <w:shd w:val="clear" w:color="auto" w:fill="FFFFFF"/>
          <w:lang w:eastAsia="en-GB"/>
        </w:rPr>
        <w:t xml:space="preserve">] I am of the view that the applicants intention to sought the relief requested is purely to use the </w:t>
      </w:r>
      <w:r>
        <w:rPr>
          <w:rFonts w:ascii="Times New Roman" w:eastAsia="Times New Roman" w:hAnsi="Times New Roman" w:cs="Times New Roman"/>
          <w:i/>
          <w:iCs/>
          <w:color w:val="242121"/>
          <w:sz w:val="26"/>
          <w:szCs w:val="26"/>
          <w:shd w:val="clear" w:color="auto" w:fill="FFFFFF"/>
          <w:lang w:eastAsia="en-GB"/>
        </w:rPr>
        <w:t xml:space="preserve">cul-de-sac </w:t>
      </w:r>
      <w:r w:rsidRPr="0086635A">
        <w:rPr>
          <w:rFonts w:ascii="Times New Roman" w:eastAsia="Times New Roman" w:hAnsi="Times New Roman" w:cs="Times New Roman"/>
          <w:color w:val="242121"/>
          <w:sz w:val="26"/>
          <w:szCs w:val="26"/>
          <w:shd w:val="clear" w:color="auto" w:fill="FFFFFF"/>
          <w:lang w:eastAsia="en-GB"/>
        </w:rPr>
        <w:t>for st</w:t>
      </w:r>
      <w:r>
        <w:rPr>
          <w:rFonts w:ascii="Times New Roman" w:eastAsia="Times New Roman" w:hAnsi="Times New Roman" w:cs="Times New Roman"/>
          <w:color w:val="242121"/>
          <w:sz w:val="26"/>
          <w:szCs w:val="26"/>
          <w:shd w:val="clear" w:color="auto" w:fill="FFFFFF"/>
          <w:lang w:eastAsia="en-GB"/>
        </w:rPr>
        <w:t>orage</w:t>
      </w:r>
      <w:r w:rsidRPr="0086635A">
        <w:rPr>
          <w:rFonts w:ascii="Times New Roman" w:eastAsia="Times New Roman" w:hAnsi="Times New Roman" w:cs="Times New Roman"/>
          <w:color w:val="242121"/>
          <w:sz w:val="26"/>
          <w:szCs w:val="26"/>
          <w:shd w:val="clear" w:color="auto" w:fill="FFFFFF"/>
          <w:lang w:eastAsia="en-GB"/>
        </w:rPr>
        <w:t xml:space="preserve"> purposes and </w:t>
      </w:r>
      <w:r w:rsidR="006B488C">
        <w:rPr>
          <w:rFonts w:ascii="Times New Roman" w:eastAsia="Times New Roman" w:hAnsi="Times New Roman" w:cs="Times New Roman"/>
          <w:color w:val="242121"/>
          <w:sz w:val="26"/>
          <w:szCs w:val="26"/>
          <w:shd w:val="clear" w:color="auto" w:fill="FFFFFF"/>
          <w:lang w:eastAsia="en-GB"/>
        </w:rPr>
        <w:t xml:space="preserve"> as alleged </w:t>
      </w:r>
      <w:r w:rsidRPr="0086635A">
        <w:rPr>
          <w:rFonts w:ascii="Times New Roman" w:eastAsia="Times New Roman" w:hAnsi="Times New Roman" w:cs="Times New Roman"/>
          <w:color w:val="242121"/>
          <w:sz w:val="26"/>
          <w:szCs w:val="26"/>
          <w:shd w:val="clear" w:color="auto" w:fill="FFFFFF"/>
          <w:lang w:eastAsia="en-GB"/>
        </w:rPr>
        <w:t>not</w:t>
      </w:r>
      <w:r>
        <w:rPr>
          <w:rFonts w:ascii="Times New Roman" w:eastAsia="Times New Roman" w:hAnsi="Times New Roman" w:cs="Times New Roman"/>
          <w:color w:val="242121"/>
          <w:sz w:val="26"/>
          <w:szCs w:val="26"/>
          <w:shd w:val="clear" w:color="auto" w:fill="FFFFFF"/>
          <w:lang w:eastAsia="en-GB"/>
        </w:rPr>
        <w:t xml:space="preserve"> to grant the general public access via the </w:t>
      </w:r>
      <w:r>
        <w:rPr>
          <w:rFonts w:ascii="Times New Roman" w:eastAsia="Times New Roman" w:hAnsi="Times New Roman" w:cs="Times New Roman"/>
          <w:i/>
          <w:iCs/>
          <w:color w:val="242121"/>
          <w:sz w:val="26"/>
          <w:szCs w:val="26"/>
          <w:shd w:val="clear" w:color="auto" w:fill="FFFFFF"/>
          <w:lang w:eastAsia="en-GB"/>
        </w:rPr>
        <w:t xml:space="preserve">cul-de-sac. </w:t>
      </w:r>
      <w:r w:rsidR="00684F9F">
        <w:rPr>
          <w:rFonts w:ascii="Times New Roman" w:eastAsia="Times New Roman" w:hAnsi="Times New Roman" w:cs="Times New Roman"/>
          <w:i/>
          <w:iCs/>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This fact is confirmed by the photographs of the applicants</w:t>
      </w:r>
      <w:r w:rsidR="008B17EF">
        <w:rPr>
          <w:rFonts w:ascii="Times New Roman" w:eastAsia="Times New Roman" w:hAnsi="Times New Roman" w:cs="Times New Roman"/>
          <w:color w:val="242121"/>
          <w:sz w:val="26"/>
          <w:szCs w:val="26"/>
          <w:shd w:val="clear" w:color="auto" w:fill="FFFFFF"/>
          <w:lang w:eastAsia="en-GB"/>
        </w:rPr>
        <w:t>’</w:t>
      </w:r>
      <w:r>
        <w:rPr>
          <w:rFonts w:ascii="Times New Roman" w:eastAsia="Times New Roman" w:hAnsi="Times New Roman" w:cs="Times New Roman"/>
          <w:color w:val="242121"/>
          <w:sz w:val="26"/>
          <w:szCs w:val="26"/>
          <w:shd w:val="clear" w:color="auto" w:fill="FFFFFF"/>
          <w:lang w:eastAsia="en-GB"/>
        </w:rPr>
        <w:t xml:space="preserve"> usage of the </w:t>
      </w:r>
      <w:r>
        <w:rPr>
          <w:rFonts w:ascii="Times New Roman" w:eastAsia="Times New Roman" w:hAnsi="Times New Roman" w:cs="Times New Roman"/>
          <w:i/>
          <w:iCs/>
          <w:color w:val="242121"/>
          <w:sz w:val="26"/>
          <w:szCs w:val="26"/>
          <w:shd w:val="clear" w:color="auto" w:fill="FFFFFF"/>
          <w:lang w:eastAsia="en-GB"/>
        </w:rPr>
        <w:t>cul-de-sac</w:t>
      </w:r>
      <w:r>
        <w:rPr>
          <w:rFonts w:ascii="Times New Roman" w:eastAsia="Times New Roman" w:hAnsi="Times New Roman" w:cs="Times New Roman"/>
          <w:color w:val="242121"/>
          <w:sz w:val="26"/>
          <w:szCs w:val="26"/>
          <w:shd w:val="clear" w:color="auto" w:fill="FFFFFF"/>
          <w:lang w:eastAsia="en-GB"/>
        </w:rPr>
        <w:t xml:space="preserve"> disclosed during the application by the first respondent.  Thus, </w:t>
      </w:r>
      <w:r>
        <w:rPr>
          <w:rFonts w:ascii="Times New Roman" w:eastAsia="Times New Roman" w:hAnsi="Times New Roman" w:cs="Times New Roman"/>
          <w:color w:val="242121"/>
          <w:sz w:val="26"/>
          <w:szCs w:val="26"/>
          <w:shd w:val="clear" w:color="auto" w:fill="FFFFFF"/>
          <w:lang w:eastAsia="en-GB"/>
        </w:rPr>
        <w:lastRenderedPageBreak/>
        <w:t xml:space="preserve">the applicants approached the Court with an ulterior motive </w:t>
      </w:r>
      <w:r w:rsidR="008B17EF">
        <w:rPr>
          <w:rFonts w:ascii="Times New Roman" w:eastAsia="Times New Roman" w:hAnsi="Times New Roman" w:cs="Times New Roman"/>
          <w:color w:val="242121"/>
          <w:sz w:val="26"/>
          <w:szCs w:val="26"/>
          <w:shd w:val="clear" w:color="auto" w:fill="FFFFFF"/>
          <w:lang w:eastAsia="en-GB"/>
        </w:rPr>
        <w:t xml:space="preserve">which is </w:t>
      </w:r>
      <w:r>
        <w:rPr>
          <w:rFonts w:ascii="Times New Roman" w:eastAsia="Times New Roman" w:hAnsi="Times New Roman" w:cs="Times New Roman"/>
          <w:color w:val="242121"/>
          <w:sz w:val="26"/>
          <w:szCs w:val="26"/>
          <w:shd w:val="clear" w:color="auto" w:fill="FFFFFF"/>
          <w:lang w:eastAsia="en-GB"/>
        </w:rPr>
        <w:t>to obtain an interdict in restraining the first respondent to utilize its rights in terms of the lease.</w:t>
      </w:r>
    </w:p>
    <w:p w14:paraId="31AFA0BF" w14:textId="77777777" w:rsidR="008B17EF" w:rsidRDefault="008B17EF"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047188C4" w14:textId="55C3B994"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65</w:t>
      </w:r>
      <w:r>
        <w:rPr>
          <w:rFonts w:ascii="Times New Roman" w:eastAsia="Times New Roman" w:hAnsi="Times New Roman" w:cs="Times New Roman"/>
          <w:color w:val="242121"/>
          <w:sz w:val="26"/>
          <w:szCs w:val="26"/>
          <w:shd w:val="clear" w:color="auto" w:fill="FFFFFF"/>
          <w:lang w:eastAsia="en-GB"/>
        </w:rPr>
        <w:t xml:space="preserve">] The last requirement for a final interdict is that the applicant must have </w:t>
      </w:r>
      <w:r>
        <w:rPr>
          <w:rFonts w:ascii="Times New Roman" w:eastAsia="Times New Roman" w:hAnsi="Times New Roman" w:cs="Times New Roman"/>
          <w:i/>
          <w:iCs/>
          <w:color w:val="242121"/>
          <w:sz w:val="26"/>
          <w:szCs w:val="26"/>
          <w:shd w:val="clear" w:color="auto" w:fill="FFFFFF"/>
          <w:lang w:eastAsia="en-GB"/>
        </w:rPr>
        <w:t>no ordinary or satisfactory remedy</w:t>
      </w:r>
      <w:r>
        <w:rPr>
          <w:rFonts w:ascii="Times New Roman" w:eastAsia="Times New Roman" w:hAnsi="Times New Roman" w:cs="Times New Roman"/>
          <w:color w:val="242121"/>
          <w:sz w:val="26"/>
          <w:szCs w:val="26"/>
          <w:shd w:val="clear" w:color="auto" w:fill="FFFFFF"/>
          <w:lang w:eastAsia="en-GB"/>
        </w:rPr>
        <w:t xml:space="preserve">, other than an interdict to protect its rights. </w:t>
      </w:r>
      <w:r w:rsidR="00684F9F">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An interdict is a drastic remedy, and the Court will not grant an interdict when some other satisfactory form of redress would be adequate or would provide protection.</w:t>
      </w:r>
      <w:r>
        <w:rPr>
          <w:rStyle w:val="FootnoteReference"/>
          <w:rFonts w:ascii="Times New Roman" w:eastAsia="Times New Roman" w:hAnsi="Times New Roman" w:cs="Times New Roman"/>
          <w:color w:val="242121"/>
          <w:sz w:val="26"/>
          <w:szCs w:val="26"/>
          <w:shd w:val="clear" w:color="auto" w:fill="FFFFFF"/>
          <w:lang w:eastAsia="en-GB"/>
        </w:rPr>
        <w:footnoteReference w:id="16"/>
      </w:r>
    </w:p>
    <w:p w14:paraId="12987D74"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7F119218" w14:textId="0AC38E78" w:rsidR="006B5804" w:rsidRPr="006B488C"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66</w:t>
      </w:r>
      <w:r>
        <w:rPr>
          <w:rFonts w:ascii="Times New Roman" w:eastAsia="Times New Roman" w:hAnsi="Times New Roman" w:cs="Times New Roman"/>
          <w:color w:val="242121"/>
          <w:sz w:val="26"/>
          <w:szCs w:val="26"/>
          <w:shd w:val="clear" w:color="auto" w:fill="FFFFFF"/>
          <w:lang w:eastAsia="en-GB"/>
        </w:rPr>
        <w:t xml:space="preserve">] The applicants must allege and establish, on a balance of probabilities, that it has no alternative legal remedy available. It is important to note that an </w:t>
      </w:r>
      <w:r>
        <w:rPr>
          <w:rFonts w:ascii="Times New Roman" w:eastAsia="Times New Roman" w:hAnsi="Times New Roman" w:cs="Times New Roman"/>
          <w:i/>
          <w:iCs/>
          <w:color w:val="242121"/>
          <w:sz w:val="26"/>
          <w:szCs w:val="26"/>
          <w:shd w:val="clear" w:color="auto" w:fill="FFFFFF"/>
          <w:lang w:eastAsia="en-GB"/>
        </w:rPr>
        <w:t xml:space="preserve">alternative remedy </w:t>
      </w:r>
      <w:r w:rsidRPr="006B488C">
        <w:rPr>
          <w:rFonts w:ascii="Times New Roman" w:eastAsia="Times New Roman" w:hAnsi="Times New Roman" w:cs="Times New Roman"/>
          <w:color w:val="242121"/>
          <w:sz w:val="26"/>
          <w:szCs w:val="26"/>
          <w:shd w:val="clear" w:color="auto" w:fill="FFFFFF"/>
          <w:lang w:eastAsia="en-GB"/>
        </w:rPr>
        <w:t xml:space="preserve">can be almost any legal remedy available. </w:t>
      </w:r>
    </w:p>
    <w:p w14:paraId="601EA372" w14:textId="77777777"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p>
    <w:p w14:paraId="127128A7" w14:textId="4B7813B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67</w:t>
      </w:r>
      <w:r>
        <w:rPr>
          <w:rFonts w:ascii="Times New Roman" w:eastAsia="Times New Roman" w:hAnsi="Times New Roman" w:cs="Times New Roman"/>
          <w:color w:val="242121"/>
          <w:sz w:val="26"/>
          <w:szCs w:val="26"/>
          <w:shd w:val="clear" w:color="auto" w:fill="FFFFFF"/>
          <w:lang w:eastAsia="en-GB"/>
        </w:rPr>
        <w:t>] Section 32 of the Constitution</w:t>
      </w:r>
      <w:r>
        <w:rPr>
          <w:rStyle w:val="FootnoteReference"/>
          <w:rFonts w:ascii="Times New Roman" w:eastAsia="Times New Roman" w:hAnsi="Times New Roman" w:cs="Times New Roman"/>
          <w:color w:val="242121"/>
          <w:sz w:val="26"/>
          <w:szCs w:val="26"/>
          <w:shd w:val="clear" w:color="auto" w:fill="FFFFFF"/>
          <w:lang w:eastAsia="en-GB"/>
        </w:rPr>
        <w:footnoteReference w:id="17"/>
      </w:r>
      <w:r>
        <w:rPr>
          <w:rFonts w:ascii="Times New Roman" w:eastAsia="Times New Roman" w:hAnsi="Times New Roman" w:cs="Times New Roman"/>
          <w:color w:val="242121"/>
          <w:sz w:val="26"/>
          <w:szCs w:val="26"/>
          <w:shd w:val="clear" w:color="auto" w:fill="FFFFFF"/>
          <w:lang w:eastAsia="en-GB"/>
        </w:rPr>
        <w:t xml:space="preserve"> deals with the right of access to information and it provides everyone has the right of access to any information that is held by the State</w:t>
      </w:r>
      <w:r w:rsidR="006B488C">
        <w:rPr>
          <w:rFonts w:ascii="Times New Roman" w:eastAsia="Times New Roman" w:hAnsi="Times New Roman" w:cs="Times New Roman"/>
          <w:color w:val="242121"/>
          <w:sz w:val="26"/>
          <w:szCs w:val="26"/>
          <w:shd w:val="clear" w:color="auto" w:fill="FFFFFF"/>
          <w:lang w:eastAsia="en-GB"/>
        </w:rPr>
        <w:t xml:space="preserve"> or </w:t>
      </w:r>
      <w:r>
        <w:rPr>
          <w:rFonts w:ascii="Times New Roman" w:eastAsia="Times New Roman" w:hAnsi="Times New Roman" w:cs="Times New Roman"/>
          <w:color w:val="242121"/>
          <w:sz w:val="26"/>
          <w:szCs w:val="26"/>
          <w:shd w:val="clear" w:color="auto" w:fill="FFFFFF"/>
          <w:lang w:eastAsia="en-GB"/>
        </w:rPr>
        <w:t xml:space="preserve">by another person that is required for the protection of any rights. </w:t>
      </w:r>
    </w:p>
    <w:p w14:paraId="1A315926"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7235CF68" w14:textId="0860C979"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68</w:t>
      </w:r>
      <w:r>
        <w:rPr>
          <w:rFonts w:ascii="Times New Roman" w:eastAsia="Times New Roman" w:hAnsi="Times New Roman" w:cs="Times New Roman"/>
          <w:color w:val="242121"/>
          <w:sz w:val="26"/>
          <w:szCs w:val="26"/>
          <w:shd w:val="clear" w:color="auto" w:fill="FFFFFF"/>
          <w:lang w:eastAsia="en-GB"/>
        </w:rPr>
        <w:t xml:space="preserve">] In terms of PAJA public and private bodies are held accountable to society for its actions and decisions. </w:t>
      </w:r>
    </w:p>
    <w:p w14:paraId="1562C95C"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09D39C93" w14:textId="077FCF71" w:rsidR="006B5804" w:rsidRPr="00975ADE"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69</w:t>
      </w:r>
      <w:r>
        <w:rPr>
          <w:rFonts w:ascii="Times New Roman" w:eastAsia="Times New Roman" w:hAnsi="Times New Roman" w:cs="Times New Roman"/>
          <w:color w:val="242121"/>
          <w:sz w:val="26"/>
          <w:szCs w:val="26"/>
          <w:shd w:val="clear" w:color="auto" w:fill="FFFFFF"/>
          <w:lang w:eastAsia="en-GB"/>
        </w:rPr>
        <w:t xml:space="preserve">] Section 32 of the Constitution together with PAJA forms a new approach, aimed at ensuring more effective and efficient administrative processes.  </w:t>
      </w:r>
    </w:p>
    <w:p w14:paraId="162A7830" w14:textId="77777777" w:rsidR="006B5804" w:rsidRPr="00585FDC"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76519988" w14:textId="0A2358F8"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70</w:t>
      </w:r>
      <w:r>
        <w:rPr>
          <w:rFonts w:ascii="Times New Roman" w:eastAsia="Times New Roman" w:hAnsi="Times New Roman" w:cs="Times New Roman"/>
          <w:color w:val="242121"/>
          <w:sz w:val="26"/>
          <w:szCs w:val="26"/>
          <w:shd w:val="clear" w:color="auto" w:fill="FFFFFF"/>
          <w:lang w:eastAsia="en-GB"/>
        </w:rPr>
        <w:t xml:space="preserve">] In terms of PAJA section 1 provides that,  </w:t>
      </w:r>
      <w:r w:rsidRPr="003E6705">
        <w:rPr>
          <w:rFonts w:ascii="Times New Roman" w:eastAsia="Times New Roman" w:hAnsi="Times New Roman" w:cs="Times New Roman"/>
          <w:i/>
          <w:iCs/>
          <w:color w:val="242121"/>
          <w:sz w:val="26"/>
          <w:szCs w:val="26"/>
          <w:shd w:val="clear" w:color="auto" w:fill="FFFFFF"/>
          <w:lang w:eastAsia="en-GB"/>
        </w:rPr>
        <w:t>“</w:t>
      </w:r>
      <w:r w:rsidRPr="003E6705">
        <w:rPr>
          <w:rFonts w:ascii="Times New Roman" w:eastAsia="Times New Roman" w:hAnsi="Times New Roman" w:cs="Times New Roman"/>
          <w:b/>
          <w:bCs/>
          <w:i/>
          <w:iCs/>
          <w:color w:val="242121"/>
          <w:sz w:val="26"/>
          <w:szCs w:val="26"/>
          <w:shd w:val="clear" w:color="auto" w:fill="FFFFFF"/>
          <w:lang w:eastAsia="en-GB"/>
        </w:rPr>
        <w:t>administrative action</w:t>
      </w:r>
      <w:r>
        <w:rPr>
          <w:rFonts w:ascii="Times New Roman" w:eastAsia="Times New Roman" w:hAnsi="Times New Roman" w:cs="Times New Roman"/>
          <w:i/>
          <w:iCs/>
          <w:color w:val="242121"/>
          <w:sz w:val="26"/>
          <w:szCs w:val="26"/>
          <w:shd w:val="clear" w:color="auto" w:fill="FFFFFF"/>
          <w:lang w:eastAsia="en-GB"/>
        </w:rPr>
        <w:t>, means any decision taken, or failure to take a decision, by-</w:t>
      </w:r>
    </w:p>
    <w:p w14:paraId="337BFD47" w14:textId="77777777"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t xml:space="preserve">  (a) an organ of state, when-</w:t>
      </w:r>
    </w:p>
    <w:p w14:paraId="36B064D6" w14:textId="77777777"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t xml:space="preserve">     (i) exercising a power in terms of the Constitution or a provincial constitution;</w:t>
      </w:r>
    </w:p>
    <w:p w14:paraId="281929A1" w14:textId="77777777"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t xml:space="preserve">     (ii) exercising a public power or performing a public function in terms of any</w:t>
      </w:r>
    </w:p>
    <w:p w14:paraId="685ECEB1" w14:textId="77777777"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t xml:space="preserve">          legislation; or</w:t>
      </w:r>
    </w:p>
    <w:p w14:paraId="182C47E7" w14:textId="77777777"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t xml:space="preserve">   (b) a natural or juristic person, other than an organ of state, when exercising a public</w:t>
      </w:r>
    </w:p>
    <w:p w14:paraId="75CF1619" w14:textId="77777777"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lastRenderedPageBreak/>
        <w:t xml:space="preserve">        power or performing a public function in terms of an empowering provision,</w:t>
      </w:r>
    </w:p>
    <w:p w14:paraId="248FAB3B" w14:textId="77777777"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t>which adversely affects the rights of any person and which has a direct, external legal effect, but does not include...”</w:t>
      </w:r>
    </w:p>
    <w:p w14:paraId="36A8AA82" w14:textId="77777777" w:rsidR="006B5804" w:rsidRDefault="006B5804" w:rsidP="006B5804">
      <w:pPr>
        <w:spacing w:line="360" w:lineRule="auto"/>
        <w:jc w:val="both"/>
        <w:rPr>
          <w:rFonts w:ascii="Times New Roman" w:eastAsia="Times New Roman" w:hAnsi="Times New Roman" w:cs="Times New Roman"/>
          <w:i/>
          <w:iCs/>
          <w:color w:val="242121"/>
          <w:sz w:val="26"/>
          <w:szCs w:val="26"/>
          <w:shd w:val="clear" w:color="auto" w:fill="FFFFFF"/>
          <w:lang w:eastAsia="en-GB"/>
        </w:rPr>
      </w:pPr>
    </w:p>
    <w:p w14:paraId="7FA22047" w14:textId="1AB19D99"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71</w:t>
      </w:r>
      <w:r>
        <w:rPr>
          <w:rFonts w:ascii="Times New Roman" w:eastAsia="Times New Roman" w:hAnsi="Times New Roman" w:cs="Times New Roman"/>
          <w:color w:val="242121"/>
          <w:sz w:val="26"/>
          <w:szCs w:val="26"/>
          <w:shd w:val="clear" w:color="auto" w:fill="FFFFFF"/>
          <w:lang w:eastAsia="en-GB"/>
        </w:rPr>
        <w:t xml:space="preserve">] The decision of the second and third respondents to close the </w:t>
      </w:r>
      <w:r>
        <w:rPr>
          <w:rFonts w:ascii="Times New Roman" w:eastAsia="Times New Roman" w:hAnsi="Times New Roman" w:cs="Times New Roman"/>
          <w:i/>
          <w:iCs/>
          <w:color w:val="242121"/>
          <w:sz w:val="26"/>
          <w:szCs w:val="26"/>
          <w:shd w:val="clear" w:color="auto" w:fill="FFFFFF"/>
          <w:lang w:eastAsia="en-GB"/>
        </w:rPr>
        <w:t xml:space="preserve">cul-de-sac </w:t>
      </w:r>
      <w:r>
        <w:rPr>
          <w:rFonts w:ascii="Times New Roman" w:eastAsia="Times New Roman" w:hAnsi="Times New Roman" w:cs="Times New Roman"/>
          <w:color w:val="242121"/>
          <w:sz w:val="26"/>
          <w:szCs w:val="26"/>
          <w:shd w:val="clear" w:color="auto" w:fill="FFFFFF"/>
          <w:lang w:eastAsia="en-GB"/>
        </w:rPr>
        <w:t xml:space="preserve"> and to lease it to the first respondent meets the requirements of administrative action within the meaning of PAJA. This administrative decision can be reviewed in terms of Uniform Rule 53.</w:t>
      </w:r>
    </w:p>
    <w:p w14:paraId="09BD48F2"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3DA416D9" w14:textId="7DD30A1F"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72</w:t>
      </w:r>
      <w:r>
        <w:rPr>
          <w:rFonts w:ascii="Times New Roman" w:eastAsia="Times New Roman" w:hAnsi="Times New Roman" w:cs="Times New Roman"/>
          <w:color w:val="242121"/>
          <w:sz w:val="26"/>
          <w:szCs w:val="26"/>
          <w:shd w:val="clear" w:color="auto" w:fill="FFFFFF"/>
          <w:lang w:eastAsia="en-GB"/>
        </w:rPr>
        <w:t xml:space="preserve">] If a final interdict is granted, such relief will render the administrative decision taken by the second and third respondent invalid and unenforceable. </w:t>
      </w:r>
      <w:r w:rsidR="00684F9F">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The effect thereof will be that the lease</w:t>
      </w:r>
      <w:r w:rsidR="008B17EF">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 xml:space="preserve">concluded, will be unenforceable, even though it exists as a  matter of fact. </w:t>
      </w:r>
      <w:r w:rsidR="00684F9F">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 xml:space="preserve">This will result </w:t>
      </w:r>
      <w:r w:rsidR="008B17EF">
        <w:rPr>
          <w:rFonts w:ascii="Times New Roman" w:eastAsia="Times New Roman" w:hAnsi="Times New Roman" w:cs="Times New Roman"/>
          <w:color w:val="242121"/>
          <w:sz w:val="26"/>
          <w:szCs w:val="26"/>
          <w:shd w:val="clear" w:color="auto" w:fill="FFFFFF"/>
          <w:lang w:eastAsia="en-GB"/>
        </w:rPr>
        <w:t>that</w:t>
      </w:r>
      <w:r>
        <w:rPr>
          <w:rFonts w:ascii="Times New Roman" w:eastAsia="Times New Roman" w:hAnsi="Times New Roman" w:cs="Times New Roman"/>
          <w:color w:val="242121"/>
          <w:sz w:val="26"/>
          <w:szCs w:val="26"/>
          <w:shd w:val="clear" w:color="auto" w:fill="FFFFFF"/>
          <w:lang w:eastAsia="en-GB"/>
        </w:rPr>
        <w:t xml:space="preserve"> the applicants</w:t>
      </w:r>
      <w:r w:rsidR="008B17EF">
        <w:rPr>
          <w:rFonts w:ascii="Times New Roman" w:eastAsia="Times New Roman" w:hAnsi="Times New Roman" w:cs="Times New Roman"/>
          <w:color w:val="242121"/>
          <w:sz w:val="26"/>
          <w:szCs w:val="26"/>
          <w:shd w:val="clear" w:color="auto" w:fill="FFFFFF"/>
          <w:lang w:eastAsia="en-GB"/>
        </w:rPr>
        <w:t xml:space="preserve"> will, </w:t>
      </w:r>
      <w:r>
        <w:rPr>
          <w:rFonts w:ascii="Times New Roman" w:eastAsia="Times New Roman" w:hAnsi="Times New Roman" w:cs="Times New Roman"/>
          <w:color w:val="242121"/>
          <w:sz w:val="26"/>
          <w:szCs w:val="26"/>
          <w:shd w:val="clear" w:color="auto" w:fill="FFFFFF"/>
          <w:lang w:eastAsia="en-GB"/>
        </w:rPr>
        <w:t>in an indirect way, deprive the administrative decision take</w:t>
      </w:r>
      <w:r w:rsidR="008B17EF">
        <w:rPr>
          <w:rFonts w:ascii="Times New Roman" w:eastAsia="Times New Roman" w:hAnsi="Times New Roman" w:cs="Times New Roman"/>
          <w:color w:val="242121"/>
          <w:sz w:val="26"/>
          <w:szCs w:val="26"/>
          <w:shd w:val="clear" w:color="auto" w:fill="FFFFFF"/>
          <w:lang w:eastAsia="en-GB"/>
        </w:rPr>
        <w:t>n</w:t>
      </w:r>
      <w:r>
        <w:rPr>
          <w:rFonts w:ascii="Times New Roman" w:eastAsia="Times New Roman" w:hAnsi="Times New Roman" w:cs="Times New Roman"/>
          <w:color w:val="242121"/>
          <w:sz w:val="26"/>
          <w:szCs w:val="26"/>
          <w:shd w:val="clear" w:color="auto" w:fill="FFFFFF"/>
          <w:lang w:eastAsia="en-GB"/>
        </w:rPr>
        <w:t xml:space="preserve"> by the second and third respondents of their force and effect. </w:t>
      </w:r>
      <w:r w:rsidR="00684F9F">
        <w:rPr>
          <w:rFonts w:ascii="Times New Roman" w:eastAsia="Times New Roman" w:hAnsi="Times New Roman" w:cs="Times New Roman"/>
          <w:color w:val="242121"/>
          <w:sz w:val="26"/>
          <w:szCs w:val="26"/>
          <w:shd w:val="clear" w:color="auto" w:fill="FFFFFF"/>
          <w:lang w:eastAsia="en-GB"/>
        </w:rPr>
        <w:t xml:space="preserve"> </w:t>
      </w:r>
      <w:r w:rsidR="00510A12">
        <w:rPr>
          <w:rFonts w:ascii="Times New Roman" w:eastAsia="Times New Roman" w:hAnsi="Times New Roman" w:cs="Times New Roman"/>
          <w:color w:val="242121"/>
          <w:sz w:val="26"/>
          <w:szCs w:val="26"/>
          <w:shd w:val="clear" w:color="auto" w:fill="FFFFFF"/>
          <w:lang w:eastAsia="en-GB"/>
        </w:rPr>
        <w:t xml:space="preserve">This </w:t>
      </w:r>
      <w:r>
        <w:rPr>
          <w:rFonts w:ascii="Times New Roman" w:eastAsia="Times New Roman" w:hAnsi="Times New Roman" w:cs="Times New Roman"/>
          <w:color w:val="242121"/>
          <w:sz w:val="26"/>
          <w:szCs w:val="26"/>
          <w:shd w:val="clear" w:color="auto" w:fill="FFFFFF"/>
          <w:lang w:eastAsia="en-GB"/>
        </w:rPr>
        <w:t>will be done without attacking</w:t>
      </w:r>
      <w:r w:rsidR="00510A12">
        <w:rPr>
          <w:rFonts w:ascii="Times New Roman" w:eastAsia="Times New Roman" w:hAnsi="Times New Roman" w:cs="Times New Roman"/>
          <w:color w:val="242121"/>
          <w:sz w:val="26"/>
          <w:szCs w:val="26"/>
          <w:shd w:val="clear" w:color="auto" w:fill="FFFFFF"/>
          <w:lang w:eastAsia="en-GB"/>
        </w:rPr>
        <w:t xml:space="preserve"> (reviewing)</w:t>
      </w:r>
      <w:r>
        <w:rPr>
          <w:rFonts w:ascii="Times New Roman" w:eastAsia="Times New Roman" w:hAnsi="Times New Roman" w:cs="Times New Roman"/>
          <w:color w:val="242121"/>
          <w:sz w:val="26"/>
          <w:szCs w:val="26"/>
          <w:shd w:val="clear" w:color="auto" w:fill="FFFFFF"/>
          <w:lang w:eastAsia="en-GB"/>
        </w:rPr>
        <w:t xml:space="preserve"> the validity of the administrative action which resulted in the conclusion of the lease agreement.</w:t>
      </w:r>
    </w:p>
    <w:p w14:paraId="5B0D5FBE"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2B1EDEDB" w14:textId="1DBB9653"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73</w:t>
      </w:r>
      <w:r>
        <w:rPr>
          <w:rFonts w:ascii="Times New Roman" w:eastAsia="Times New Roman" w:hAnsi="Times New Roman" w:cs="Times New Roman"/>
          <w:color w:val="242121"/>
          <w:sz w:val="26"/>
          <w:szCs w:val="26"/>
          <w:shd w:val="clear" w:color="auto" w:fill="FFFFFF"/>
          <w:lang w:eastAsia="en-GB"/>
        </w:rPr>
        <w:t>] One ha</w:t>
      </w:r>
      <w:r w:rsidR="00DA7068">
        <w:rPr>
          <w:rFonts w:ascii="Times New Roman" w:eastAsia="Times New Roman" w:hAnsi="Times New Roman" w:cs="Times New Roman"/>
          <w:color w:val="242121"/>
          <w:sz w:val="26"/>
          <w:szCs w:val="26"/>
          <w:shd w:val="clear" w:color="auto" w:fill="FFFFFF"/>
          <w:lang w:eastAsia="en-GB"/>
        </w:rPr>
        <w:t>s</w:t>
      </w:r>
      <w:r>
        <w:rPr>
          <w:rFonts w:ascii="Times New Roman" w:eastAsia="Times New Roman" w:hAnsi="Times New Roman" w:cs="Times New Roman"/>
          <w:color w:val="242121"/>
          <w:sz w:val="26"/>
          <w:szCs w:val="26"/>
          <w:shd w:val="clear" w:color="auto" w:fill="FFFFFF"/>
          <w:lang w:eastAsia="en-GB"/>
        </w:rPr>
        <w:t xml:space="preserve"> to keep in mind that the second and third respondents have no</w:t>
      </w:r>
      <w:r w:rsidR="00510A12">
        <w:rPr>
          <w:rFonts w:ascii="Times New Roman" w:eastAsia="Times New Roman" w:hAnsi="Times New Roman" w:cs="Times New Roman"/>
          <w:color w:val="242121"/>
          <w:sz w:val="26"/>
          <w:szCs w:val="26"/>
          <w:shd w:val="clear" w:color="auto" w:fill="FFFFFF"/>
          <w:lang w:eastAsia="en-GB"/>
        </w:rPr>
        <w:t>t</w:t>
      </w:r>
      <w:r>
        <w:rPr>
          <w:rFonts w:ascii="Times New Roman" w:eastAsia="Times New Roman" w:hAnsi="Times New Roman" w:cs="Times New Roman"/>
          <w:color w:val="242121"/>
          <w:sz w:val="26"/>
          <w:szCs w:val="26"/>
          <w:shd w:val="clear" w:color="auto" w:fill="FFFFFF"/>
          <w:lang w:eastAsia="en-GB"/>
        </w:rPr>
        <w:t xml:space="preserve"> participated in the application before me, and I agree with the contention of the first respondent in that their non-participation can be due to the indirect manner in which the applicants seek to attack their administrative decision relating to the closure of the </w:t>
      </w:r>
      <w:r>
        <w:rPr>
          <w:rFonts w:ascii="Times New Roman" w:eastAsia="Times New Roman" w:hAnsi="Times New Roman" w:cs="Times New Roman"/>
          <w:i/>
          <w:iCs/>
          <w:color w:val="242121"/>
          <w:sz w:val="26"/>
          <w:szCs w:val="26"/>
          <w:shd w:val="clear" w:color="auto" w:fill="FFFFFF"/>
          <w:lang w:eastAsia="en-GB"/>
        </w:rPr>
        <w:t xml:space="preserve">cul-de-sac </w:t>
      </w:r>
      <w:r>
        <w:rPr>
          <w:rFonts w:ascii="Times New Roman" w:eastAsia="Times New Roman" w:hAnsi="Times New Roman" w:cs="Times New Roman"/>
          <w:color w:val="242121"/>
          <w:sz w:val="26"/>
          <w:szCs w:val="26"/>
          <w:shd w:val="clear" w:color="auto" w:fill="FFFFFF"/>
          <w:lang w:eastAsia="en-GB"/>
        </w:rPr>
        <w:t>and the lease of the property.  Furthermore, it is evident that no relief is sought against the second and third respondents which may</w:t>
      </w:r>
      <w:r w:rsidR="00510A12">
        <w:rPr>
          <w:rFonts w:ascii="Times New Roman" w:eastAsia="Times New Roman" w:hAnsi="Times New Roman" w:cs="Times New Roman"/>
          <w:color w:val="242121"/>
          <w:sz w:val="26"/>
          <w:szCs w:val="26"/>
          <w:shd w:val="clear" w:color="auto" w:fill="FFFFFF"/>
          <w:lang w:eastAsia="en-GB"/>
        </w:rPr>
        <w:t xml:space="preserve"> also</w:t>
      </w:r>
      <w:r>
        <w:rPr>
          <w:rFonts w:ascii="Times New Roman" w:eastAsia="Times New Roman" w:hAnsi="Times New Roman" w:cs="Times New Roman"/>
          <w:color w:val="242121"/>
          <w:sz w:val="26"/>
          <w:szCs w:val="26"/>
          <w:shd w:val="clear" w:color="auto" w:fill="FFFFFF"/>
          <w:lang w:eastAsia="en-GB"/>
        </w:rPr>
        <w:t xml:space="preserve"> be the reason why they did not participate in the application. </w:t>
      </w:r>
    </w:p>
    <w:p w14:paraId="5A584170"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06D34347" w14:textId="6DE71603"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74</w:t>
      </w:r>
      <w:r>
        <w:rPr>
          <w:rFonts w:ascii="Times New Roman" w:eastAsia="Times New Roman" w:hAnsi="Times New Roman" w:cs="Times New Roman"/>
          <w:color w:val="242121"/>
          <w:sz w:val="26"/>
          <w:szCs w:val="26"/>
          <w:shd w:val="clear" w:color="auto" w:fill="FFFFFF"/>
          <w:lang w:eastAsia="en-GB"/>
        </w:rPr>
        <w:t xml:space="preserve">] </w:t>
      </w:r>
      <w:r w:rsidR="006B488C">
        <w:rPr>
          <w:rFonts w:ascii="Times New Roman" w:eastAsia="Times New Roman" w:hAnsi="Times New Roman" w:cs="Times New Roman"/>
          <w:color w:val="242121"/>
          <w:sz w:val="26"/>
          <w:szCs w:val="26"/>
          <w:shd w:val="clear" w:color="auto" w:fill="FFFFFF"/>
          <w:lang w:eastAsia="en-GB"/>
        </w:rPr>
        <w:t>I am of the view that t</w:t>
      </w:r>
      <w:r>
        <w:rPr>
          <w:rFonts w:ascii="Times New Roman" w:eastAsia="Times New Roman" w:hAnsi="Times New Roman" w:cs="Times New Roman"/>
          <w:color w:val="242121"/>
          <w:sz w:val="26"/>
          <w:szCs w:val="26"/>
          <w:shd w:val="clear" w:color="auto" w:fill="FFFFFF"/>
          <w:lang w:eastAsia="en-GB"/>
        </w:rPr>
        <w:t>he applicants can obtain the relief they sought by way of judicial review proceedings, where the administrative decision by the second and third respondents can be set aside</w:t>
      </w:r>
      <w:r w:rsidR="00510A12">
        <w:rPr>
          <w:rFonts w:ascii="Times New Roman" w:eastAsia="Times New Roman" w:hAnsi="Times New Roman" w:cs="Times New Roman"/>
          <w:color w:val="242121"/>
          <w:sz w:val="26"/>
          <w:szCs w:val="26"/>
          <w:shd w:val="clear" w:color="auto" w:fill="FFFFFF"/>
          <w:lang w:eastAsia="en-GB"/>
        </w:rPr>
        <w:t>,</w:t>
      </w:r>
      <w:r>
        <w:rPr>
          <w:rFonts w:ascii="Times New Roman" w:eastAsia="Times New Roman" w:hAnsi="Times New Roman" w:cs="Times New Roman"/>
          <w:color w:val="242121"/>
          <w:sz w:val="26"/>
          <w:szCs w:val="26"/>
          <w:shd w:val="clear" w:color="auto" w:fill="FFFFFF"/>
          <w:lang w:eastAsia="en-GB"/>
        </w:rPr>
        <w:t xml:space="preserve"> if a court find that </w:t>
      </w:r>
      <w:r w:rsidR="00510A12">
        <w:rPr>
          <w:rFonts w:ascii="Times New Roman" w:eastAsia="Times New Roman" w:hAnsi="Times New Roman" w:cs="Times New Roman"/>
          <w:color w:val="242121"/>
          <w:sz w:val="26"/>
          <w:szCs w:val="26"/>
          <w:shd w:val="clear" w:color="auto" w:fill="FFFFFF"/>
          <w:lang w:eastAsia="en-GB"/>
        </w:rPr>
        <w:t xml:space="preserve">the </w:t>
      </w:r>
      <w:r>
        <w:rPr>
          <w:rFonts w:ascii="Times New Roman" w:eastAsia="Times New Roman" w:hAnsi="Times New Roman" w:cs="Times New Roman"/>
          <w:color w:val="242121"/>
          <w:sz w:val="26"/>
          <w:szCs w:val="26"/>
          <w:shd w:val="clear" w:color="auto" w:fill="FFFFFF"/>
          <w:lang w:eastAsia="en-GB"/>
        </w:rPr>
        <w:t xml:space="preserve">administrative process was not followed in the closing of the </w:t>
      </w:r>
      <w:r>
        <w:rPr>
          <w:rFonts w:ascii="Times New Roman" w:eastAsia="Times New Roman" w:hAnsi="Times New Roman" w:cs="Times New Roman"/>
          <w:i/>
          <w:iCs/>
          <w:color w:val="242121"/>
          <w:sz w:val="26"/>
          <w:szCs w:val="26"/>
          <w:shd w:val="clear" w:color="auto" w:fill="FFFFFF"/>
          <w:lang w:eastAsia="en-GB"/>
        </w:rPr>
        <w:t xml:space="preserve">cul-de-sac </w:t>
      </w:r>
      <w:r>
        <w:rPr>
          <w:rFonts w:ascii="Times New Roman" w:eastAsia="Times New Roman" w:hAnsi="Times New Roman" w:cs="Times New Roman"/>
          <w:color w:val="242121"/>
          <w:sz w:val="26"/>
          <w:szCs w:val="26"/>
          <w:shd w:val="clear" w:color="auto" w:fill="FFFFFF"/>
          <w:lang w:eastAsia="en-GB"/>
        </w:rPr>
        <w:t xml:space="preserve">and the conclusion of the lease. </w:t>
      </w:r>
      <w:r w:rsidR="00684F9F">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It is evident that the applicants have seemingly sought to circumvent the provisions of PAJA</w:t>
      </w:r>
      <w:r w:rsidR="006B488C">
        <w:rPr>
          <w:rFonts w:ascii="Times New Roman" w:eastAsia="Times New Roman" w:hAnsi="Times New Roman" w:cs="Times New Roman"/>
          <w:color w:val="242121"/>
          <w:sz w:val="26"/>
          <w:szCs w:val="26"/>
          <w:shd w:val="clear" w:color="auto" w:fill="FFFFFF"/>
          <w:lang w:eastAsia="en-GB"/>
        </w:rPr>
        <w:t xml:space="preserve"> and judicial review processes.</w:t>
      </w:r>
    </w:p>
    <w:p w14:paraId="71C8A93F" w14:textId="77777777"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571B9B73" w14:textId="3BE69100" w:rsidR="006B5804" w:rsidRDefault="006B5804" w:rsidP="006B5804">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4603EB">
        <w:rPr>
          <w:rFonts w:ascii="Times New Roman" w:eastAsia="Times New Roman" w:hAnsi="Times New Roman" w:cs="Times New Roman"/>
          <w:color w:val="242121"/>
          <w:sz w:val="26"/>
          <w:szCs w:val="26"/>
          <w:shd w:val="clear" w:color="auto" w:fill="FFFFFF"/>
          <w:lang w:eastAsia="en-GB"/>
        </w:rPr>
        <w:t>75</w:t>
      </w:r>
      <w:r>
        <w:rPr>
          <w:rFonts w:ascii="Times New Roman" w:eastAsia="Times New Roman" w:hAnsi="Times New Roman" w:cs="Times New Roman"/>
          <w:color w:val="242121"/>
          <w:sz w:val="26"/>
          <w:szCs w:val="26"/>
          <w:shd w:val="clear" w:color="auto" w:fill="FFFFFF"/>
          <w:lang w:eastAsia="en-GB"/>
        </w:rPr>
        <w:t>] In the circumstances</w:t>
      </w:r>
      <w:r w:rsidR="00510A12">
        <w:rPr>
          <w:rFonts w:ascii="Times New Roman" w:eastAsia="Times New Roman" w:hAnsi="Times New Roman" w:cs="Times New Roman"/>
          <w:color w:val="242121"/>
          <w:sz w:val="26"/>
          <w:szCs w:val="26"/>
          <w:shd w:val="clear" w:color="auto" w:fill="FFFFFF"/>
          <w:lang w:eastAsia="en-GB"/>
        </w:rPr>
        <w:t>,</w:t>
      </w:r>
      <w:r>
        <w:rPr>
          <w:rFonts w:ascii="Times New Roman" w:eastAsia="Times New Roman" w:hAnsi="Times New Roman" w:cs="Times New Roman"/>
          <w:color w:val="242121"/>
          <w:sz w:val="26"/>
          <w:szCs w:val="26"/>
          <w:shd w:val="clear" w:color="auto" w:fill="FFFFFF"/>
          <w:lang w:eastAsia="en-GB"/>
        </w:rPr>
        <w:t xml:space="preserve"> the applicants have not pro</w:t>
      </w:r>
      <w:r w:rsidR="00510A12">
        <w:rPr>
          <w:rFonts w:ascii="Times New Roman" w:eastAsia="Times New Roman" w:hAnsi="Times New Roman" w:cs="Times New Roman"/>
          <w:color w:val="242121"/>
          <w:sz w:val="26"/>
          <w:szCs w:val="26"/>
          <w:shd w:val="clear" w:color="auto" w:fill="FFFFFF"/>
          <w:lang w:eastAsia="en-GB"/>
        </w:rPr>
        <w:t>ved</w:t>
      </w:r>
      <w:r>
        <w:rPr>
          <w:rFonts w:ascii="Times New Roman" w:eastAsia="Times New Roman" w:hAnsi="Times New Roman" w:cs="Times New Roman"/>
          <w:color w:val="242121"/>
          <w:sz w:val="26"/>
          <w:szCs w:val="26"/>
          <w:shd w:val="clear" w:color="auto" w:fill="FFFFFF"/>
          <w:lang w:eastAsia="en-GB"/>
        </w:rPr>
        <w:t xml:space="preserve"> the requirements set out </w:t>
      </w:r>
      <w:r w:rsidR="00510A12">
        <w:rPr>
          <w:rFonts w:ascii="Times New Roman" w:eastAsia="Times New Roman" w:hAnsi="Times New Roman" w:cs="Times New Roman"/>
          <w:color w:val="242121"/>
          <w:sz w:val="26"/>
          <w:szCs w:val="26"/>
          <w:shd w:val="clear" w:color="auto" w:fill="FFFFFF"/>
          <w:lang w:eastAsia="en-GB"/>
        </w:rPr>
        <w:t xml:space="preserve"> in order </w:t>
      </w:r>
      <w:r>
        <w:rPr>
          <w:rFonts w:ascii="Times New Roman" w:eastAsia="Times New Roman" w:hAnsi="Times New Roman" w:cs="Times New Roman"/>
          <w:color w:val="242121"/>
          <w:sz w:val="26"/>
          <w:szCs w:val="26"/>
          <w:shd w:val="clear" w:color="auto" w:fill="FFFFFF"/>
          <w:lang w:eastAsia="en-GB"/>
        </w:rPr>
        <w:t>to obtain a final interdict</w:t>
      </w:r>
      <w:r w:rsidR="00510A12">
        <w:rPr>
          <w:rFonts w:ascii="Times New Roman" w:eastAsia="Times New Roman" w:hAnsi="Times New Roman" w:cs="Times New Roman"/>
          <w:color w:val="242121"/>
          <w:sz w:val="26"/>
          <w:szCs w:val="26"/>
          <w:shd w:val="clear" w:color="auto" w:fill="FFFFFF"/>
          <w:lang w:eastAsia="en-GB"/>
        </w:rPr>
        <w:t xml:space="preserve">. </w:t>
      </w:r>
      <w:r w:rsidR="00684F9F">
        <w:rPr>
          <w:rFonts w:ascii="Times New Roman" w:eastAsia="Times New Roman" w:hAnsi="Times New Roman" w:cs="Times New Roman"/>
          <w:color w:val="242121"/>
          <w:sz w:val="26"/>
          <w:szCs w:val="26"/>
          <w:shd w:val="clear" w:color="auto" w:fill="FFFFFF"/>
          <w:lang w:eastAsia="en-GB"/>
        </w:rPr>
        <w:t xml:space="preserve"> </w:t>
      </w:r>
      <w:r w:rsidR="00510A12">
        <w:rPr>
          <w:rFonts w:ascii="Times New Roman" w:eastAsia="Times New Roman" w:hAnsi="Times New Roman" w:cs="Times New Roman"/>
          <w:color w:val="242121"/>
          <w:sz w:val="26"/>
          <w:szCs w:val="26"/>
          <w:shd w:val="clear" w:color="auto" w:fill="FFFFFF"/>
          <w:lang w:eastAsia="en-GB"/>
        </w:rPr>
        <w:t xml:space="preserve">The applicant did not prove </w:t>
      </w:r>
      <w:r>
        <w:rPr>
          <w:rFonts w:ascii="Times New Roman" w:eastAsia="Times New Roman" w:hAnsi="Times New Roman" w:cs="Times New Roman"/>
          <w:color w:val="242121"/>
          <w:sz w:val="26"/>
          <w:szCs w:val="26"/>
          <w:shd w:val="clear" w:color="auto" w:fill="FFFFFF"/>
          <w:lang w:eastAsia="en-GB"/>
        </w:rPr>
        <w:t xml:space="preserve">that they have a </w:t>
      </w:r>
      <w:r>
        <w:rPr>
          <w:rFonts w:ascii="Times New Roman" w:eastAsia="Times New Roman" w:hAnsi="Times New Roman" w:cs="Times New Roman"/>
          <w:i/>
          <w:iCs/>
          <w:color w:val="242121"/>
          <w:sz w:val="26"/>
          <w:szCs w:val="26"/>
          <w:shd w:val="clear" w:color="auto" w:fill="FFFFFF"/>
          <w:lang w:eastAsia="en-GB"/>
        </w:rPr>
        <w:t>clear right</w:t>
      </w:r>
      <w:r>
        <w:rPr>
          <w:rFonts w:ascii="Times New Roman" w:eastAsia="Times New Roman" w:hAnsi="Times New Roman" w:cs="Times New Roman"/>
          <w:color w:val="242121"/>
          <w:sz w:val="26"/>
          <w:szCs w:val="26"/>
          <w:shd w:val="clear" w:color="auto" w:fill="FFFFFF"/>
          <w:lang w:eastAsia="en-GB"/>
        </w:rPr>
        <w:t xml:space="preserve">, that they will suffer </w:t>
      </w:r>
      <w:r w:rsidRPr="007B4764">
        <w:rPr>
          <w:rFonts w:ascii="Times New Roman" w:eastAsia="Times New Roman" w:hAnsi="Times New Roman" w:cs="Times New Roman"/>
          <w:i/>
          <w:iCs/>
          <w:color w:val="242121"/>
          <w:sz w:val="26"/>
          <w:szCs w:val="26"/>
          <w:shd w:val="clear" w:color="auto" w:fill="FFFFFF"/>
          <w:lang w:eastAsia="en-GB"/>
        </w:rPr>
        <w:t>injury or that injury is reasonable apprehended</w:t>
      </w:r>
      <w:r>
        <w:rPr>
          <w:rFonts w:ascii="Times New Roman" w:eastAsia="Times New Roman" w:hAnsi="Times New Roman" w:cs="Times New Roman"/>
          <w:color w:val="242121"/>
          <w:sz w:val="26"/>
          <w:szCs w:val="26"/>
          <w:shd w:val="clear" w:color="auto" w:fill="FFFFFF"/>
          <w:lang w:eastAsia="en-GB"/>
        </w:rPr>
        <w:t xml:space="preserve"> if an interdict is not granted</w:t>
      </w:r>
      <w:r w:rsidR="00510A12">
        <w:rPr>
          <w:rFonts w:ascii="Times New Roman" w:eastAsia="Times New Roman" w:hAnsi="Times New Roman" w:cs="Times New Roman"/>
          <w:color w:val="242121"/>
          <w:sz w:val="26"/>
          <w:szCs w:val="26"/>
          <w:shd w:val="clear" w:color="auto" w:fill="FFFFFF"/>
          <w:lang w:eastAsia="en-GB"/>
        </w:rPr>
        <w:t xml:space="preserve">. </w:t>
      </w:r>
      <w:r w:rsidR="00684F9F">
        <w:rPr>
          <w:rFonts w:ascii="Times New Roman" w:eastAsia="Times New Roman" w:hAnsi="Times New Roman" w:cs="Times New Roman"/>
          <w:color w:val="242121"/>
          <w:sz w:val="26"/>
          <w:szCs w:val="26"/>
          <w:shd w:val="clear" w:color="auto" w:fill="FFFFFF"/>
          <w:lang w:eastAsia="en-GB"/>
        </w:rPr>
        <w:t xml:space="preserve"> </w:t>
      </w:r>
      <w:r w:rsidR="00510A12">
        <w:rPr>
          <w:rFonts w:ascii="Times New Roman" w:eastAsia="Times New Roman" w:hAnsi="Times New Roman" w:cs="Times New Roman"/>
          <w:color w:val="242121"/>
          <w:sz w:val="26"/>
          <w:szCs w:val="26"/>
          <w:shd w:val="clear" w:color="auto" w:fill="FFFFFF"/>
          <w:lang w:eastAsia="en-GB"/>
        </w:rPr>
        <w:t>L</w:t>
      </w:r>
      <w:r>
        <w:rPr>
          <w:rFonts w:ascii="Times New Roman" w:eastAsia="Times New Roman" w:hAnsi="Times New Roman" w:cs="Times New Roman"/>
          <w:color w:val="242121"/>
          <w:sz w:val="26"/>
          <w:szCs w:val="26"/>
          <w:shd w:val="clear" w:color="auto" w:fill="FFFFFF"/>
          <w:lang w:eastAsia="en-GB"/>
        </w:rPr>
        <w:t xml:space="preserve">astly I find that an </w:t>
      </w:r>
      <w:r w:rsidRPr="007B4764">
        <w:rPr>
          <w:rFonts w:ascii="Times New Roman" w:eastAsia="Times New Roman" w:hAnsi="Times New Roman" w:cs="Times New Roman"/>
          <w:i/>
          <w:iCs/>
          <w:color w:val="242121"/>
          <w:sz w:val="26"/>
          <w:szCs w:val="26"/>
          <w:shd w:val="clear" w:color="auto" w:fill="FFFFFF"/>
          <w:lang w:eastAsia="en-GB"/>
        </w:rPr>
        <w:t>alternative remedy</w:t>
      </w:r>
      <w:r>
        <w:rPr>
          <w:rFonts w:ascii="Times New Roman" w:eastAsia="Times New Roman" w:hAnsi="Times New Roman" w:cs="Times New Roman"/>
          <w:color w:val="242121"/>
          <w:sz w:val="26"/>
          <w:szCs w:val="26"/>
          <w:shd w:val="clear" w:color="auto" w:fill="FFFFFF"/>
          <w:lang w:eastAsia="en-GB"/>
        </w:rPr>
        <w:t xml:space="preserve"> do</w:t>
      </w:r>
      <w:r w:rsidR="00510A12">
        <w:rPr>
          <w:rFonts w:ascii="Times New Roman" w:eastAsia="Times New Roman" w:hAnsi="Times New Roman" w:cs="Times New Roman"/>
          <w:color w:val="242121"/>
          <w:sz w:val="26"/>
          <w:szCs w:val="26"/>
          <w:shd w:val="clear" w:color="auto" w:fill="FFFFFF"/>
          <w:lang w:eastAsia="en-GB"/>
        </w:rPr>
        <w:t>es</w:t>
      </w:r>
      <w:r>
        <w:rPr>
          <w:rFonts w:ascii="Times New Roman" w:eastAsia="Times New Roman" w:hAnsi="Times New Roman" w:cs="Times New Roman"/>
          <w:color w:val="242121"/>
          <w:sz w:val="26"/>
          <w:szCs w:val="26"/>
          <w:shd w:val="clear" w:color="auto" w:fill="FFFFFF"/>
          <w:lang w:eastAsia="en-GB"/>
        </w:rPr>
        <w:t xml:space="preserve"> ex</w:t>
      </w:r>
      <w:r w:rsidR="00510A12">
        <w:rPr>
          <w:rFonts w:ascii="Times New Roman" w:eastAsia="Times New Roman" w:hAnsi="Times New Roman" w:cs="Times New Roman"/>
          <w:color w:val="242121"/>
          <w:sz w:val="26"/>
          <w:szCs w:val="26"/>
          <w:shd w:val="clear" w:color="auto" w:fill="FFFFFF"/>
          <w:lang w:eastAsia="en-GB"/>
        </w:rPr>
        <w:t>s</w:t>
      </w:r>
      <w:r>
        <w:rPr>
          <w:rFonts w:ascii="Times New Roman" w:eastAsia="Times New Roman" w:hAnsi="Times New Roman" w:cs="Times New Roman"/>
          <w:color w:val="242121"/>
          <w:sz w:val="26"/>
          <w:szCs w:val="26"/>
          <w:shd w:val="clear" w:color="auto" w:fill="FFFFFF"/>
          <w:lang w:eastAsia="en-GB"/>
        </w:rPr>
        <w:t>ist, namely judicial review in terms</w:t>
      </w:r>
      <w:r w:rsidR="00510A12">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Uniform Rule 53.</w:t>
      </w:r>
    </w:p>
    <w:p w14:paraId="691DB1DD" w14:textId="77777777" w:rsidR="006445CC" w:rsidRPr="006445CC" w:rsidRDefault="006445CC" w:rsidP="006B5804">
      <w:pPr>
        <w:spacing w:line="360" w:lineRule="auto"/>
        <w:jc w:val="both"/>
        <w:rPr>
          <w:rFonts w:ascii="Times New Roman" w:eastAsia="Times New Roman" w:hAnsi="Times New Roman" w:cs="Times New Roman"/>
          <w:color w:val="242121"/>
          <w:sz w:val="26"/>
          <w:szCs w:val="26"/>
          <w:shd w:val="clear" w:color="auto" w:fill="FFFFFF"/>
          <w:lang w:eastAsia="en-GB"/>
        </w:rPr>
      </w:pPr>
    </w:p>
    <w:p w14:paraId="59276D3B" w14:textId="77777777" w:rsidR="006B5804" w:rsidRDefault="006B5804" w:rsidP="006B5804">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C</w:t>
      </w:r>
      <w:r w:rsidRPr="00CA6226">
        <w:rPr>
          <w:rFonts w:ascii="Times New Roman" w:hAnsi="Times New Roman" w:cs="Times New Roman"/>
          <w:i/>
          <w:iCs/>
          <w:sz w:val="26"/>
          <w:szCs w:val="26"/>
        </w:rPr>
        <w:t>osts</w:t>
      </w:r>
    </w:p>
    <w:p w14:paraId="58966432" w14:textId="443FF904" w:rsidR="006B5804" w:rsidRDefault="006B5804" w:rsidP="006B5804">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76</w:t>
      </w:r>
      <w:r>
        <w:rPr>
          <w:rFonts w:ascii="Times New Roman" w:hAnsi="Times New Roman" w:cs="Times New Roman"/>
          <w:sz w:val="26"/>
          <w:szCs w:val="26"/>
        </w:rPr>
        <w:t xml:space="preserve">] The general rule pertaining to costs is that the unsuccessful party will be ordered to reimburse the successful party for the costs that has been incurred as a result of litigation.  </w:t>
      </w:r>
    </w:p>
    <w:p w14:paraId="1C8EC45B" w14:textId="03C951B1" w:rsidR="006B5804" w:rsidRDefault="006B5804" w:rsidP="006B5804">
      <w:pPr>
        <w:pStyle w:val="parafullout"/>
        <w:spacing w:line="360" w:lineRule="auto"/>
        <w:rPr>
          <w:rFonts w:ascii="Times New Roman" w:hAnsi="Times New Roman"/>
          <w:sz w:val="26"/>
          <w:szCs w:val="26"/>
        </w:rPr>
      </w:pPr>
      <w:r>
        <w:rPr>
          <w:rFonts w:ascii="Times New Roman" w:hAnsi="Times New Roman"/>
          <w:sz w:val="26"/>
          <w:szCs w:val="26"/>
        </w:rPr>
        <w:t>[</w:t>
      </w:r>
      <w:r w:rsidR="004603EB">
        <w:rPr>
          <w:rFonts w:ascii="Times New Roman" w:hAnsi="Times New Roman"/>
          <w:sz w:val="26"/>
          <w:szCs w:val="26"/>
        </w:rPr>
        <w:t>77</w:t>
      </w:r>
      <w:r>
        <w:rPr>
          <w:rFonts w:ascii="Times New Roman" w:hAnsi="Times New Roman"/>
          <w:sz w:val="26"/>
          <w:szCs w:val="26"/>
        </w:rPr>
        <w:t xml:space="preserve">] </w:t>
      </w:r>
      <w:r w:rsidRPr="009B7EC6">
        <w:rPr>
          <w:rFonts w:ascii="Times New Roman" w:hAnsi="Times New Roman"/>
          <w:sz w:val="26"/>
          <w:szCs w:val="26"/>
        </w:rPr>
        <w:t>An award of attorney and client costs is not lightly granted by the court:</w:t>
      </w:r>
      <w:r>
        <w:rPr>
          <w:rStyle w:val="FootnoteReference"/>
          <w:rFonts w:ascii="Times New Roman" w:hAnsi="Times New Roman"/>
          <w:sz w:val="26"/>
          <w:szCs w:val="26"/>
        </w:rPr>
        <w:footnoteReference w:id="18"/>
      </w:r>
      <w:r w:rsidRPr="009B7EC6">
        <w:rPr>
          <w:rFonts w:ascii="Times New Roman" w:hAnsi="Times New Roman"/>
          <w:sz w:val="26"/>
          <w:szCs w:val="26"/>
        </w:rPr>
        <w:t xml:space="preserve"> </w:t>
      </w:r>
      <w:r w:rsidR="00684F9F">
        <w:rPr>
          <w:rFonts w:ascii="Times New Roman" w:hAnsi="Times New Roman"/>
          <w:sz w:val="26"/>
          <w:szCs w:val="26"/>
        </w:rPr>
        <w:t xml:space="preserve"> </w:t>
      </w:r>
      <w:r>
        <w:rPr>
          <w:rFonts w:ascii="Times New Roman" w:hAnsi="Times New Roman"/>
          <w:sz w:val="26"/>
          <w:szCs w:val="26"/>
        </w:rPr>
        <w:t>T</w:t>
      </w:r>
      <w:r w:rsidRPr="009B7EC6">
        <w:rPr>
          <w:rFonts w:ascii="Times New Roman" w:hAnsi="Times New Roman"/>
          <w:sz w:val="26"/>
          <w:szCs w:val="26"/>
        </w:rPr>
        <w:t>he court leans against awarding attorney and client costs,</w:t>
      </w:r>
      <w:r>
        <w:rPr>
          <w:rStyle w:val="FootnoteReference"/>
          <w:rFonts w:ascii="Times New Roman" w:hAnsi="Times New Roman"/>
          <w:sz w:val="26"/>
          <w:szCs w:val="26"/>
        </w:rPr>
        <w:footnoteReference w:id="19"/>
      </w:r>
      <w:r w:rsidRPr="009B7EC6">
        <w:rPr>
          <w:rFonts w:ascii="Times New Roman" w:hAnsi="Times New Roman"/>
          <w:sz w:val="26"/>
          <w:szCs w:val="26"/>
        </w:rPr>
        <w:t xml:space="preserve"> and will grant such costs only on “rare” occasions.</w:t>
      </w:r>
      <w:r>
        <w:rPr>
          <w:rStyle w:val="FootnoteReference"/>
          <w:rFonts w:ascii="Times New Roman" w:hAnsi="Times New Roman"/>
          <w:sz w:val="26"/>
          <w:szCs w:val="26"/>
        </w:rPr>
        <w:footnoteReference w:id="20"/>
      </w:r>
    </w:p>
    <w:p w14:paraId="2C0FAA01" w14:textId="55088317" w:rsidR="006B5804" w:rsidRPr="009B7EC6" w:rsidRDefault="006B5804" w:rsidP="006B5804">
      <w:pPr>
        <w:pStyle w:val="parafullout"/>
        <w:spacing w:line="360" w:lineRule="auto"/>
        <w:rPr>
          <w:rFonts w:ascii="Times New Roman" w:hAnsi="Times New Roman"/>
          <w:sz w:val="26"/>
          <w:szCs w:val="26"/>
        </w:rPr>
      </w:pPr>
      <w:r>
        <w:rPr>
          <w:rFonts w:ascii="Times New Roman" w:hAnsi="Times New Roman"/>
          <w:sz w:val="26"/>
          <w:szCs w:val="26"/>
        </w:rPr>
        <w:t>[</w:t>
      </w:r>
      <w:r w:rsidR="004603EB">
        <w:rPr>
          <w:rFonts w:ascii="Times New Roman" w:hAnsi="Times New Roman"/>
          <w:sz w:val="26"/>
          <w:szCs w:val="26"/>
        </w:rPr>
        <w:t>78</w:t>
      </w:r>
      <w:r>
        <w:rPr>
          <w:rFonts w:ascii="Times New Roman" w:hAnsi="Times New Roman"/>
          <w:sz w:val="26"/>
          <w:szCs w:val="26"/>
        </w:rPr>
        <w:t xml:space="preserve">] </w:t>
      </w:r>
      <w:r w:rsidRPr="009B7EC6">
        <w:rPr>
          <w:rFonts w:ascii="Times New Roman" w:hAnsi="Times New Roman"/>
          <w:sz w:val="26"/>
          <w:szCs w:val="26"/>
        </w:rPr>
        <w:t>It is clear that normally the court does not order a litigant to pay the costs of another litigant on the basis of attorney and client unless some special grounds are present.</w:t>
      </w:r>
      <w:r>
        <w:rPr>
          <w:rStyle w:val="FootnoteReference"/>
          <w:rFonts w:ascii="Times New Roman" w:hAnsi="Times New Roman"/>
          <w:sz w:val="26"/>
          <w:szCs w:val="26"/>
        </w:rPr>
        <w:footnoteReference w:id="21"/>
      </w:r>
      <w:r w:rsidRPr="009B7EC6">
        <w:rPr>
          <w:rFonts w:ascii="Times New Roman" w:hAnsi="Times New Roman"/>
          <w:sz w:val="26"/>
          <w:szCs w:val="26"/>
        </w:rPr>
        <w:t xml:space="preserve"> </w:t>
      </w:r>
      <w:r>
        <w:rPr>
          <w:rFonts w:ascii="Times New Roman" w:hAnsi="Times New Roman"/>
          <w:sz w:val="26"/>
          <w:szCs w:val="26"/>
        </w:rPr>
        <w:t xml:space="preserve"> </w:t>
      </w:r>
      <w:r w:rsidRPr="009B7EC6">
        <w:rPr>
          <w:rFonts w:ascii="Times New Roman" w:hAnsi="Times New Roman"/>
          <w:sz w:val="26"/>
          <w:szCs w:val="26"/>
        </w:rPr>
        <w:t xml:space="preserve">An award of attorney and client costs is granted by reason of some special considerations arising either from the circumstances which gave rise to the action, or from the conduct of the losing party. </w:t>
      </w:r>
      <w:r>
        <w:rPr>
          <w:rFonts w:ascii="Times New Roman" w:hAnsi="Times New Roman"/>
          <w:sz w:val="26"/>
          <w:szCs w:val="26"/>
        </w:rPr>
        <w:t xml:space="preserve"> </w:t>
      </w:r>
      <w:r w:rsidRPr="009B7EC6">
        <w:rPr>
          <w:rFonts w:ascii="Times New Roman" w:hAnsi="Times New Roman"/>
          <w:sz w:val="26"/>
          <w:szCs w:val="26"/>
        </w:rPr>
        <w:t xml:space="preserve">The list is not exhaustive. </w:t>
      </w:r>
    </w:p>
    <w:p w14:paraId="6FF9C51F" w14:textId="2853FCCF" w:rsidR="006B5804" w:rsidRDefault="006B5804" w:rsidP="006B5804">
      <w:pPr>
        <w:pStyle w:val="para1quad"/>
        <w:spacing w:line="360" w:lineRule="auto"/>
        <w:ind w:firstLine="0"/>
        <w:rPr>
          <w:rFonts w:ascii="Times New Roman" w:hAnsi="Times New Roman"/>
          <w:sz w:val="26"/>
          <w:szCs w:val="26"/>
        </w:rPr>
      </w:pPr>
      <w:r>
        <w:rPr>
          <w:rFonts w:ascii="Times New Roman" w:hAnsi="Times New Roman"/>
          <w:sz w:val="26"/>
          <w:szCs w:val="26"/>
        </w:rPr>
        <w:t>[</w:t>
      </w:r>
      <w:r w:rsidR="004603EB">
        <w:rPr>
          <w:rFonts w:ascii="Times New Roman" w:hAnsi="Times New Roman"/>
          <w:sz w:val="26"/>
          <w:szCs w:val="26"/>
        </w:rPr>
        <w:t>79</w:t>
      </w:r>
      <w:r>
        <w:rPr>
          <w:rFonts w:ascii="Times New Roman" w:hAnsi="Times New Roman"/>
          <w:sz w:val="26"/>
          <w:szCs w:val="26"/>
        </w:rPr>
        <w:t xml:space="preserve">] </w:t>
      </w:r>
      <w:r w:rsidRPr="00FB4F91">
        <w:rPr>
          <w:rFonts w:ascii="Times New Roman" w:hAnsi="Times New Roman"/>
          <w:sz w:val="26"/>
          <w:szCs w:val="26"/>
        </w:rPr>
        <w:t xml:space="preserve">In </w:t>
      </w:r>
      <w:r w:rsidRPr="00FB4F91">
        <w:rPr>
          <w:rFonts w:ascii="Times New Roman" w:hAnsi="Times New Roman"/>
          <w:i/>
          <w:iCs/>
          <w:sz w:val="26"/>
          <w:szCs w:val="26"/>
        </w:rPr>
        <w:t>Van Wyk v Millington</w:t>
      </w:r>
      <w:r>
        <w:rPr>
          <w:rStyle w:val="FootnoteReference"/>
          <w:rFonts w:ascii="Times New Roman" w:hAnsi="Times New Roman"/>
          <w:i/>
          <w:iCs/>
          <w:sz w:val="26"/>
          <w:szCs w:val="26"/>
        </w:rPr>
        <w:footnoteReference w:id="22"/>
      </w:r>
      <w:r>
        <w:rPr>
          <w:rFonts w:ascii="Times New Roman" w:hAnsi="Times New Roman"/>
          <w:i/>
          <w:iCs/>
          <w:sz w:val="26"/>
          <w:szCs w:val="26"/>
        </w:rPr>
        <w:t xml:space="preserve"> </w:t>
      </w:r>
      <w:r w:rsidRPr="00FB4F91">
        <w:rPr>
          <w:rFonts w:ascii="Times New Roman" w:hAnsi="Times New Roman"/>
          <w:sz w:val="26"/>
          <w:szCs w:val="26"/>
        </w:rPr>
        <w:t xml:space="preserve">it was pointed out that the court’s reluctance to award attorney and client costs against a party is based on the right of every person to bring his complaints or his alleged wrongs before the court to get a decision, and he should not be penalised if he is misguided in bringing a hopeless case before the court. </w:t>
      </w:r>
      <w:r>
        <w:rPr>
          <w:rFonts w:ascii="Times New Roman" w:hAnsi="Times New Roman"/>
          <w:sz w:val="26"/>
          <w:szCs w:val="26"/>
        </w:rPr>
        <w:t xml:space="preserve"> </w:t>
      </w:r>
      <w:r w:rsidRPr="00FB4F91">
        <w:rPr>
          <w:rFonts w:ascii="Times New Roman" w:hAnsi="Times New Roman"/>
          <w:sz w:val="26"/>
          <w:szCs w:val="26"/>
        </w:rPr>
        <w:t xml:space="preserve">If, </w:t>
      </w:r>
      <w:r w:rsidRPr="00FB4F91">
        <w:rPr>
          <w:rFonts w:ascii="Times New Roman" w:hAnsi="Times New Roman"/>
          <w:sz w:val="26"/>
          <w:szCs w:val="26"/>
        </w:rPr>
        <w:lastRenderedPageBreak/>
        <w:t xml:space="preserve">however, the court is satisfied that there is an absence of </w:t>
      </w:r>
      <w:r w:rsidRPr="00FB4F91">
        <w:rPr>
          <w:rFonts w:ascii="Times New Roman" w:hAnsi="Times New Roman"/>
          <w:i/>
          <w:iCs/>
          <w:sz w:val="26"/>
          <w:szCs w:val="26"/>
        </w:rPr>
        <w:t xml:space="preserve">bona fides </w:t>
      </w:r>
      <w:r w:rsidRPr="00FB4F91">
        <w:rPr>
          <w:rFonts w:ascii="Times New Roman" w:hAnsi="Times New Roman"/>
          <w:sz w:val="26"/>
          <w:szCs w:val="26"/>
        </w:rPr>
        <w:t xml:space="preserve">in bringing or defending an action it will not hesitate to award attorney and client costs. </w:t>
      </w:r>
    </w:p>
    <w:p w14:paraId="5C0C3184" w14:textId="26C58D7A" w:rsidR="006B5804" w:rsidRDefault="006B5804" w:rsidP="006B5804">
      <w:pPr>
        <w:pStyle w:val="para1quad"/>
        <w:spacing w:line="360" w:lineRule="auto"/>
        <w:ind w:firstLine="0"/>
        <w:rPr>
          <w:rFonts w:ascii="Times New Roman" w:hAnsi="Times New Roman"/>
          <w:iCs/>
          <w:sz w:val="26"/>
          <w:szCs w:val="26"/>
        </w:rPr>
      </w:pPr>
      <w:r>
        <w:rPr>
          <w:rFonts w:ascii="Times New Roman" w:hAnsi="Times New Roman"/>
          <w:iCs/>
          <w:sz w:val="26"/>
          <w:szCs w:val="26"/>
        </w:rPr>
        <w:t>[</w:t>
      </w:r>
      <w:r w:rsidR="004603EB">
        <w:rPr>
          <w:rFonts w:ascii="Times New Roman" w:hAnsi="Times New Roman"/>
          <w:iCs/>
          <w:sz w:val="26"/>
          <w:szCs w:val="26"/>
        </w:rPr>
        <w:t>80</w:t>
      </w:r>
      <w:r>
        <w:rPr>
          <w:rFonts w:ascii="Times New Roman" w:hAnsi="Times New Roman"/>
          <w:iCs/>
          <w:sz w:val="26"/>
          <w:szCs w:val="26"/>
        </w:rPr>
        <w:t>] The first respondent has been successful in the outcome of the application and therefore is entitled to a cost order.  However in awarding cost on attorney and client scale, the court has to find that there is “</w:t>
      </w:r>
      <w:r>
        <w:rPr>
          <w:rFonts w:ascii="Times New Roman" w:hAnsi="Times New Roman"/>
          <w:i/>
          <w:sz w:val="26"/>
          <w:szCs w:val="26"/>
        </w:rPr>
        <w:t xml:space="preserve">some special ground” </w:t>
      </w:r>
      <w:r>
        <w:rPr>
          <w:rFonts w:ascii="Times New Roman" w:hAnsi="Times New Roman"/>
          <w:iCs/>
          <w:sz w:val="26"/>
          <w:szCs w:val="26"/>
        </w:rPr>
        <w:t xml:space="preserve">present, which justifies a punitive cost order.  In the circumstance before me I cannot find any </w:t>
      </w:r>
      <w:r>
        <w:rPr>
          <w:rFonts w:ascii="Times New Roman" w:hAnsi="Times New Roman"/>
          <w:i/>
          <w:sz w:val="26"/>
          <w:szCs w:val="26"/>
        </w:rPr>
        <w:t xml:space="preserve">“special ground” </w:t>
      </w:r>
      <w:r>
        <w:rPr>
          <w:rFonts w:ascii="Times New Roman" w:hAnsi="Times New Roman"/>
          <w:iCs/>
          <w:sz w:val="26"/>
          <w:szCs w:val="26"/>
        </w:rPr>
        <w:t>present which justifies a punitive cost order.</w:t>
      </w:r>
    </w:p>
    <w:p w14:paraId="5AD48D83" w14:textId="77777777" w:rsidR="006B5804" w:rsidRPr="00CA6226" w:rsidRDefault="006B5804" w:rsidP="006B5804">
      <w:pPr>
        <w:spacing w:line="360" w:lineRule="auto"/>
        <w:jc w:val="both"/>
        <w:rPr>
          <w:rFonts w:ascii="Times New Roman" w:hAnsi="Times New Roman" w:cs="Times New Roman"/>
          <w:i/>
          <w:iCs/>
          <w:sz w:val="26"/>
          <w:szCs w:val="26"/>
        </w:rPr>
      </w:pPr>
    </w:p>
    <w:p w14:paraId="2745BE65" w14:textId="77777777" w:rsidR="006B5804" w:rsidRDefault="006B5804" w:rsidP="006B5804">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O</w:t>
      </w:r>
      <w:r w:rsidRPr="00CA6226">
        <w:rPr>
          <w:rFonts w:ascii="Times New Roman" w:hAnsi="Times New Roman" w:cs="Times New Roman"/>
          <w:i/>
          <w:iCs/>
          <w:sz w:val="26"/>
          <w:szCs w:val="26"/>
        </w:rPr>
        <w:t>rder</w:t>
      </w:r>
    </w:p>
    <w:p w14:paraId="39A6006F" w14:textId="107AF2E4" w:rsidR="006B5804" w:rsidRDefault="006B5804" w:rsidP="006B5804">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603EB">
        <w:rPr>
          <w:rFonts w:ascii="Times New Roman" w:hAnsi="Times New Roman" w:cs="Times New Roman"/>
          <w:sz w:val="26"/>
          <w:szCs w:val="26"/>
        </w:rPr>
        <w:t>81</w:t>
      </w:r>
      <w:r>
        <w:rPr>
          <w:rFonts w:ascii="Times New Roman" w:hAnsi="Times New Roman" w:cs="Times New Roman"/>
          <w:sz w:val="26"/>
          <w:szCs w:val="26"/>
        </w:rPr>
        <w:t>] In the premises I make the following order:</w:t>
      </w:r>
    </w:p>
    <w:p w14:paraId="306B70B3" w14:textId="77777777" w:rsidR="006B5804" w:rsidRDefault="006B5804" w:rsidP="006B5804">
      <w:pPr>
        <w:pStyle w:val="ListParagraph"/>
        <w:numPr>
          <w:ilvl w:val="0"/>
          <w:numId w:val="9"/>
        </w:numPr>
        <w:spacing w:line="360" w:lineRule="auto"/>
        <w:jc w:val="both"/>
        <w:rPr>
          <w:rFonts w:ascii="Times New Roman" w:hAnsi="Times New Roman" w:cs="Times New Roman"/>
          <w:sz w:val="26"/>
          <w:szCs w:val="26"/>
        </w:rPr>
      </w:pPr>
      <w:r>
        <w:rPr>
          <w:rFonts w:ascii="Times New Roman" w:hAnsi="Times New Roman" w:cs="Times New Roman"/>
          <w:sz w:val="26"/>
          <w:szCs w:val="26"/>
        </w:rPr>
        <w:t>The application is dismissed.</w:t>
      </w:r>
    </w:p>
    <w:p w14:paraId="24CF5CB8" w14:textId="77777777" w:rsidR="006B5804" w:rsidRPr="00935C57" w:rsidRDefault="006B5804" w:rsidP="006B5804">
      <w:pPr>
        <w:pStyle w:val="ListParagraph"/>
        <w:numPr>
          <w:ilvl w:val="0"/>
          <w:numId w:val="9"/>
        </w:numPr>
        <w:spacing w:line="360" w:lineRule="auto"/>
        <w:jc w:val="both"/>
        <w:rPr>
          <w:rFonts w:ascii="Times New Roman" w:hAnsi="Times New Roman" w:cs="Times New Roman"/>
          <w:sz w:val="26"/>
          <w:szCs w:val="26"/>
        </w:rPr>
      </w:pPr>
      <w:r>
        <w:rPr>
          <w:rFonts w:ascii="Times New Roman" w:hAnsi="Times New Roman" w:cs="Times New Roman"/>
          <w:sz w:val="26"/>
          <w:szCs w:val="26"/>
        </w:rPr>
        <w:t>The applicants to pay the costs which include the cost of two counsel on party and party scale, jointly and severally the one paying the other to be absolved</w:t>
      </w:r>
    </w:p>
    <w:p w14:paraId="4224C294" w14:textId="77777777" w:rsidR="006B5804" w:rsidRDefault="006B5804" w:rsidP="006B5804">
      <w:pPr>
        <w:spacing w:line="360" w:lineRule="auto"/>
        <w:jc w:val="both"/>
        <w:rPr>
          <w:rFonts w:ascii="Arial" w:hAnsi="Arial" w:cs="Arial"/>
          <w:b/>
          <w:bCs/>
          <w:sz w:val="28"/>
          <w:szCs w:val="28"/>
        </w:rPr>
      </w:pPr>
    </w:p>
    <w:p w14:paraId="1DD7D529" w14:textId="3196062A" w:rsidR="00385311" w:rsidRDefault="00DE0CD1" w:rsidP="00F3123A">
      <w:pPr>
        <w:spacing w:line="360" w:lineRule="auto"/>
        <w:jc w:val="both"/>
        <w:rPr>
          <w:rFonts w:ascii="Arial" w:hAnsi="Arial" w:cs="Arial"/>
          <w:b/>
          <w:bCs/>
          <w:sz w:val="28"/>
          <w:szCs w:val="28"/>
        </w:rPr>
      </w:pPr>
      <w:r>
        <w:rPr>
          <w:rFonts w:ascii="Arial" w:hAnsi="Arial" w:cs="Arial"/>
          <w:b/>
          <w:bCs/>
          <w:sz w:val="28"/>
          <w:szCs w:val="28"/>
        </w:rPr>
        <w:t xml:space="preserve">                </w:t>
      </w:r>
    </w:p>
    <w:p w14:paraId="63774B27" w14:textId="3B4F1D25" w:rsidR="00DE0CD1" w:rsidRDefault="00DE0CD1" w:rsidP="00F3123A">
      <w:pPr>
        <w:spacing w:line="360" w:lineRule="auto"/>
        <w:jc w:val="both"/>
        <w:rPr>
          <w:rFonts w:ascii="Arial" w:hAnsi="Arial" w:cs="Arial"/>
          <w:b/>
          <w:bCs/>
          <w:noProof/>
          <w:sz w:val="28"/>
          <w:szCs w:val="28"/>
          <w:lang w:eastAsia="en-ZA"/>
        </w:rPr>
      </w:pPr>
      <w:r>
        <w:rPr>
          <w:rFonts w:ascii="Arial" w:hAnsi="Arial" w:cs="Arial"/>
          <w:b/>
          <w:bCs/>
          <w:sz w:val="28"/>
          <w:szCs w:val="28"/>
        </w:rPr>
        <w:t xml:space="preserve">                                                                         </w:t>
      </w:r>
    </w:p>
    <w:p w14:paraId="651DD720" w14:textId="77777777" w:rsidR="00133CFA" w:rsidRDefault="00133CFA" w:rsidP="00F3123A">
      <w:pPr>
        <w:spacing w:line="360" w:lineRule="auto"/>
        <w:jc w:val="both"/>
        <w:rPr>
          <w:rFonts w:ascii="Arial" w:hAnsi="Arial" w:cs="Arial"/>
          <w:b/>
          <w:bCs/>
          <w:sz w:val="28"/>
          <w:szCs w:val="28"/>
        </w:rPr>
      </w:pPr>
      <w:bookmarkStart w:id="1" w:name="_GoBack"/>
      <w:bookmarkEnd w:id="1"/>
    </w:p>
    <w:p w14:paraId="6E75C649" w14:textId="3744CE3D" w:rsidR="00385311" w:rsidRDefault="00385311" w:rsidP="00385311">
      <w:pPr>
        <w:jc w:val="right"/>
        <w:rPr>
          <w:rFonts w:ascii="Arial" w:hAnsi="Arial" w:cs="Arial"/>
          <w:b/>
          <w:bCs/>
          <w:sz w:val="28"/>
          <w:szCs w:val="28"/>
        </w:rPr>
      </w:pPr>
    </w:p>
    <w:p w14:paraId="65A8CD67" w14:textId="69E8D461" w:rsidR="00385311" w:rsidRDefault="00385311" w:rsidP="00385311">
      <w:pPr>
        <w:jc w:val="right"/>
        <w:rPr>
          <w:rFonts w:ascii="Arial" w:hAnsi="Arial" w:cs="Arial"/>
          <w:b/>
          <w:bCs/>
          <w:sz w:val="28"/>
          <w:szCs w:val="28"/>
        </w:rPr>
      </w:pPr>
      <w:r>
        <w:rPr>
          <w:rFonts w:ascii="Arial" w:hAnsi="Arial" w:cs="Arial"/>
          <w:b/>
          <w:bCs/>
          <w:sz w:val="28"/>
          <w:szCs w:val="28"/>
        </w:rPr>
        <w:t>______________________</w:t>
      </w:r>
    </w:p>
    <w:p w14:paraId="24288BCB" w14:textId="510C6258" w:rsidR="00385311" w:rsidRDefault="00385311" w:rsidP="00385311">
      <w:pPr>
        <w:jc w:val="right"/>
        <w:rPr>
          <w:rFonts w:ascii="Arial" w:hAnsi="Arial" w:cs="Arial"/>
          <w:b/>
          <w:bCs/>
          <w:sz w:val="28"/>
          <w:szCs w:val="28"/>
        </w:rPr>
      </w:pPr>
    </w:p>
    <w:p w14:paraId="6325BCFB" w14:textId="05737C01" w:rsidR="00385311" w:rsidRDefault="00385311" w:rsidP="00385311">
      <w:pPr>
        <w:jc w:val="right"/>
        <w:rPr>
          <w:rFonts w:ascii="Arial" w:hAnsi="Arial" w:cs="Arial"/>
          <w:b/>
          <w:bCs/>
          <w:sz w:val="28"/>
          <w:szCs w:val="28"/>
        </w:rPr>
      </w:pPr>
      <w:r>
        <w:rPr>
          <w:rFonts w:ascii="Arial" w:hAnsi="Arial" w:cs="Arial"/>
          <w:b/>
          <w:bCs/>
          <w:sz w:val="28"/>
          <w:szCs w:val="28"/>
        </w:rPr>
        <w:t>CSP OOSTHUIZEN-SENEKAL</w:t>
      </w:r>
    </w:p>
    <w:p w14:paraId="3A68F43A" w14:textId="79463E67" w:rsidR="00385311" w:rsidRDefault="00385311" w:rsidP="00385311">
      <w:pPr>
        <w:jc w:val="right"/>
        <w:rPr>
          <w:rFonts w:ascii="Arial" w:hAnsi="Arial" w:cs="Arial"/>
          <w:b/>
          <w:bCs/>
          <w:sz w:val="28"/>
          <w:szCs w:val="28"/>
        </w:rPr>
      </w:pPr>
      <w:r>
        <w:rPr>
          <w:rFonts w:ascii="Arial" w:hAnsi="Arial" w:cs="Arial"/>
          <w:b/>
          <w:bCs/>
          <w:sz w:val="28"/>
          <w:szCs w:val="28"/>
        </w:rPr>
        <w:t>ACTING JUDGE OF THE HIGH COURT</w:t>
      </w:r>
      <w:r w:rsidR="00201AAC">
        <w:rPr>
          <w:rFonts w:ascii="Arial" w:hAnsi="Arial" w:cs="Arial"/>
          <w:b/>
          <w:bCs/>
          <w:sz w:val="28"/>
          <w:szCs w:val="28"/>
        </w:rPr>
        <w:t xml:space="preserve">   </w:t>
      </w:r>
    </w:p>
    <w:p w14:paraId="16D4F27A" w14:textId="1D8DBD3E" w:rsidR="00201AAC" w:rsidRDefault="00201AAC" w:rsidP="00385311">
      <w:pPr>
        <w:jc w:val="right"/>
        <w:rPr>
          <w:rFonts w:ascii="Arial" w:hAnsi="Arial" w:cs="Arial"/>
          <w:b/>
          <w:bCs/>
          <w:sz w:val="28"/>
          <w:szCs w:val="28"/>
        </w:rPr>
      </w:pPr>
    </w:p>
    <w:p w14:paraId="69DB7C74" w14:textId="04A26EF5" w:rsidR="00201AAC" w:rsidRDefault="00201AAC" w:rsidP="00DE0CD1">
      <w:pPr>
        <w:rPr>
          <w:rFonts w:ascii="Arial" w:hAnsi="Arial" w:cs="Arial"/>
          <w:b/>
          <w:bCs/>
          <w:sz w:val="28"/>
          <w:szCs w:val="28"/>
        </w:rPr>
      </w:pPr>
    </w:p>
    <w:p w14:paraId="6687517E" w14:textId="4FF48D86" w:rsidR="00201AAC" w:rsidRDefault="00201AAC" w:rsidP="00385311">
      <w:pPr>
        <w:jc w:val="right"/>
        <w:rPr>
          <w:rFonts w:ascii="Arial" w:hAnsi="Arial" w:cs="Arial"/>
          <w:b/>
          <w:bCs/>
          <w:sz w:val="28"/>
          <w:szCs w:val="28"/>
        </w:rPr>
      </w:pPr>
    </w:p>
    <w:p w14:paraId="512AFA5A" w14:textId="304F2610" w:rsidR="00201AAC" w:rsidRPr="00201AAC" w:rsidRDefault="00F4398C" w:rsidP="00201AAC">
      <w:pPr>
        <w:rPr>
          <w:rFonts w:ascii="Arial" w:hAnsi="Arial" w:cs="Arial"/>
          <w:bCs/>
          <w:sz w:val="28"/>
          <w:szCs w:val="28"/>
        </w:rPr>
      </w:pPr>
      <w:r>
        <w:rPr>
          <w:rFonts w:ascii="Arial" w:hAnsi="Arial" w:cs="Arial"/>
          <w:bCs/>
          <w:sz w:val="28"/>
          <w:szCs w:val="28"/>
        </w:rPr>
        <w:t>Date of hearing:</w:t>
      </w:r>
      <w:r>
        <w:rPr>
          <w:rFonts w:ascii="Arial" w:hAnsi="Arial" w:cs="Arial"/>
          <w:bCs/>
          <w:sz w:val="28"/>
          <w:szCs w:val="28"/>
        </w:rPr>
        <w:tab/>
      </w:r>
      <w:r>
        <w:rPr>
          <w:rFonts w:ascii="Arial" w:hAnsi="Arial" w:cs="Arial"/>
          <w:bCs/>
          <w:sz w:val="28"/>
          <w:szCs w:val="28"/>
        </w:rPr>
        <w:tab/>
      </w:r>
      <w:r>
        <w:rPr>
          <w:rFonts w:ascii="Arial" w:hAnsi="Arial" w:cs="Arial"/>
          <w:bCs/>
          <w:sz w:val="28"/>
          <w:szCs w:val="28"/>
        </w:rPr>
        <w:tab/>
        <w:t>02 Novem</w:t>
      </w:r>
      <w:r w:rsidR="00201AAC" w:rsidRPr="00201AAC">
        <w:rPr>
          <w:rFonts w:ascii="Arial" w:hAnsi="Arial" w:cs="Arial"/>
          <w:bCs/>
          <w:sz w:val="28"/>
          <w:szCs w:val="28"/>
        </w:rPr>
        <w:t>ber 2021</w:t>
      </w:r>
    </w:p>
    <w:p w14:paraId="78D33DF6" w14:textId="334E9E22" w:rsidR="00201AAC" w:rsidRPr="00201AAC" w:rsidRDefault="00201AAC" w:rsidP="00201AAC">
      <w:pPr>
        <w:rPr>
          <w:rFonts w:ascii="Arial" w:hAnsi="Arial" w:cs="Arial"/>
          <w:bCs/>
          <w:sz w:val="28"/>
          <w:szCs w:val="28"/>
        </w:rPr>
      </w:pPr>
      <w:r>
        <w:rPr>
          <w:rFonts w:ascii="Arial" w:hAnsi="Arial" w:cs="Arial"/>
          <w:bCs/>
          <w:sz w:val="28"/>
          <w:szCs w:val="28"/>
        </w:rPr>
        <w:t>Date of judgment:</w:t>
      </w:r>
      <w:r>
        <w:rPr>
          <w:rFonts w:ascii="Arial" w:hAnsi="Arial" w:cs="Arial"/>
          <w:bCs/>
          <w:sz w:val="28"/>
          <w:szCs w:val="28"/>
        </w:rPr>
        <w:tab/>
      </w:r>
      <w:r>
        <w:rPr>
          <w:rFonts w:ascii="Arial" w:hAnsi="Arial" w:cs="Arial"/>
          <w:bCs/>
          <w:sz w:val="28"/>
          <w:szCs w:val="28"/>
        </w:rPr>
        <w:tab/>
        <w:t>25</w:t>
      </w:r>
      <w:r w:rsidRPr="00201AAC">
        <w:rPr>
          <w:rFonts w:ascii="Arial" w:hAnsi="Arial" w:cs="Arial"/>
          <w:bCs/>
          <w:sz w:val="28"/>
          <w:szCs w:val="28"/>
        </w:rPr>
        <w:t xml:space="preserve"> Novem</w:t>
      </w:r>
      <w:r>
        <w:rPr>
          <w:rFonts w:ascii="Arial" w:hAnsi="Arial" w:cs="Arial"/>
          <w:bCs/>
          <w:sz w:val="28"/>
          <w:szCs w:val="28"/>
        </w:rPr>
        <w:t>ber 2022</w:t>
      </w:r>
    </w:p>
    <w:p w14:paraId="5AFCFC74" w14:textId="77777777" w:rsidR="00201AAC" w:rsidRPr="00201AAC" w:rsidRDefault="00201AAC" w:rsidP="00201AAC">
      <w:pPr>
        <w:rPr>
          <w:rFonts w:ascii="Arial" w:hAnsi="Arial" w:cs="Arial"/>
          <w:bCs/>
          <w:sz w:val="28"/>
          <w:szCs w:val="28"/>
        </w:rPr>
      </w:pPr>
    </w:p>
    <w:p w14:paraId="366DD22C" w14:textId="77777777" w:rsidR="00201AAC" w:rsidRPr="00201AAC" w:rsidRDefault="00201AAC" w:rsidP="00201AAC">
      <w:pPr>
        <w:rPr>
          <w:rFonts w:ascii="Arial" w:hAnsi="Arial" w:cs="Arial"/>
          <w:bCs/>
          <w:sz w:val="28"/>
          <w:szCs w:val="28"/>
        </w:rPr>
      </w:pPr>
      <w:r w:rsidRPr="00201AAC">
        <w:rPr>
          <w:rFonts w:ascii="Arial" w:hAnsi="Arial" w:cs="Arial"/>
          <w:bCs/>
          <w:sz w:val="28"/>
          <w:szCs w:val="28"/>
          <w:u w:val="single"/>
        </w:rPr>
        <w:t>Appearances</w:t>
      </w:r>
      <w:r w:rsidRPr="00201AAC">
        <w:rPr>
          <w:rFonts w:ascii="Arial" w:hAnsi="Arial" w:cs="Arial"/>
          <w:bCs/>
          <w:sz w:val="28"/>
          <w:szCs w:val="28"/>
        </w:rPr>
        <w:t xml:space="preserve">: </w:t>
      </w:r>
    </w:p>
    <w:p w14:paraId="2E24A845" w14:textId="77777777" w:rsidR="00201AAC" w:rsidRPr="00201AAC" w:rsidRDefault="00201AAC" w:rsidP="00201AAC">
      <w:pPr>
        <w:rPr>
          <w:rFonts w:ascii="Arial" w:hAnsi="Arial" w:cs="Arial"/>
          <w:bCs/>
          <w:sz w:val="28"/>
          <w:szCs w:val="28"/>
        </w:rPr>
      </w:pPr>
    </w:p>
    <w:p w14:paraId="4F582114" w14:textId="05F279E4" w:rsidR="00201AAC" w:rsidRDefault="00201AAC" w:rsidP="00201AAC">
      <w:pPr>
        <w:rPr>
          <w:rFonts w:ascii="Arial" w:hAnsi="Arial" w:cs="Arial"/>
          <w:bCs/>
          <w:sz w:val="28"/>
          <w:szCs w:val="28"/>
        </w:rPr>
      </w:pPr>
      <w:r>
        <w:rPr>
          <w:rFonts w:ascii="Arial" w:hAnsi="Arial" w:cs="Arial"/>
          <w:bCs/>
          <w:sz w:val="28"/>
          <w:szCs w:val="28"/>
        </w:rPr>
        <w:t>Counsel for Applicant</w:t>
      </w:r>
      <w:r w:rsidRPr="00201AAC">
        <w:rPr>
          <w:rFonts w:ascii="Arial" w:hAnsi="Arial" w:cs="Arial"/>
          <w:bCs/>
          <w:sz w:val="28"/>
          <w:szCs w:val="28"/>
        </w:rPr>
        <w:t>:</w:t>
      </w:r>
      <w:r w:rsidRPr="00201AAC">
        <w:rPr>
          <w:rFonts w:ascii="Arial" w:hAnsi="Arial" w:cs="Arial"/>
          <w:bCs/>
          <w:sz w:val="28"/>
          <w:szCs w:val="28"/>
        </w:rPr>
        <w:tab/>
      </w:r>
      <w:r>
        <w:rPr>
          <w:rFonts w:ascii="Arial" w:hAnsi="Arial" w:cs="Arial"/>
          <w:bCs/>
          <w:sz w:val="28"/>
          <w:szCs w:val="28"/>
        </w:rPr>
        <w:tab/>
        <w:t>Adv A W Pullinger   and</w:t>
      </w:r>
    </w:p>
    <w:p w14:paraId="36C6C05F" w14:textId="58542F4D" w:rsidR="00201AAC" w:rsidRPr="00201AAC" w:rsidRDefault="00201AAC" w:rsidP="00201AAC">
      <w:pPr>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Adv A Darby</w:t>
      </w:r>
    </w:p>
    <w:p w14:paraId="02F9D715" w14:textId="77777777" w:rsidR="00201AAC" w:rsidRPr="00201AAC" w:rsidRDefault="00201AAC" w:rsidP="00201AAC">
      <w:pPr>
        <w:rPr>
          <w:rFonts w:ascii="Arial" w:hAnsi="Arial" w:cs="Arial"/>
          <w:bCs/>
          <w:sz w:val="28"/>
          <w:szCs w:val="28"/>
        </w:rPr>
      </w:pPr>
    </w:p>
    <w:p w14:paraId="45BCF9CD" w14:textId="6A5E3DCE" w:rsidR="00201AAC" w:rsidRDefault="00201AAC" w:rsidP="00201AAC">
      <w:pPr>
        <w:rPr>
          <w:rFonts w:ascii="Arial" w:hAnsi="Arial" w:cs="Arial"/>
          <w:bCs/>
          <w:sz w:val="28"/>
          <w:szCs w:val="28"/>
        </w:rPr>
      </w:pPr>
      <w:r w:rsidRPr="00201AAC">
        <w:rPr>
          <w:rFonts w:ascii="Arial" w:hAnsi="Arial" w:cs="Arial"/>
          <w:bCs/>
          <w:sz w:val="28"/>
          <w:szCs w:val="28"/>
        </w:rPr>
        <w:t xml:space="preserve">Instructed by: </w:t>
      </w:r>
      <w:r w:rsidRPr="00201AAC">
        <w:rPr>
          <w:rFonts w:ascii="Arial" w:hAnsi="Arial" w:cs="Arial"/>
          <w:bCs/>
          <w:sz w:val="28"/>
          <w:szCs w:val="28"/>
        </w:rPr>
        <w:tab/>
      </w:r>
      <w:r w:rsidRPr="00201AAC">
        <w:rPr>
          <w:rFonts w:ascii="Arial" w:hAnsi="Arial" w:cs="Arial"/>
          <w:bCs/>
          <w:sz w:val="28"/>
          <w:szCs w:val="28"/>
        </w:rPr>
        <w:tab/>
      </w:r>
      <w:r w:rsidRPr="00201AAC">
        <w:rPr>
          <w:rFonts w:ascii="Arial" w:hAnsi="Arial" w:cs="Arial"/>
          <w:bCs/>
          <w:sz w:val="28"/>
          <w:szCs w:val="28"/>
        </w:rPr>
        <w:tab/>
      </w:r>
      <w:r>
        <w:rPr>
          <w:rFonts w:ascii="Arial" w:hAnsi="Arial" w:cs="Arial"/>
          <w:bCs/>
          <w:sz w:val="28"/>
          <w:szCs w:val="28"/>
        </w:rPr>
        <w:t>Oosthuizen du Toit Berg and Boon</w:t>
      </w:r>
    </w:p>
    <w:p w14:paraId="3C75E532" w14:textId="13A90A01" w:rsidR="00201AAC" w:rsidRPr="00201AAC" w:rsidRDefault="00201AAC" w:rsidP="00201AAC">
      <w:pPr>
        <w:rPr>
          <w:rFonts w:ascii="Arial" w:hAnsi="Arial" w:cs="Arial"/>
          <w:bCs/>
          <w:sz w:val="28"/>
          <w:szCs w:val="28"/>
        </w:rPr>
      </w:pPr>
      <w:r>
        <w:rPr>
          <w:rFonts w:ascii="Arial" w:hAnsi="Arial" w:cs="Arial"/>
          <w:bCs/>
          <w:sz w:val="28"/>
          <w:szCs w:val="28"/>
        </w:rPr>
        <w:t>Office No:</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(011) 883-9041</w:t>
      </w:r>
    </w:p>
    <w:p w14:paraId="12D4A192" w14:textId="77777777" w:rsidR="00F4398C" w:rsidRDefault="00F4398C" w:rsidP="00201AAC">
      <w:pPr>
        <w:rPr>
          <w:rFonts w:ascii="Arial" w:hAnsi="Arial" w:cs="Arial"/>
          <w:bCs/>
          <w:sz w:val="28"/>
          <w:szCs w:val="28"/>
        </w:rPr>
      </w:pPr>
      <w:r>
        <w:rPr>
          <w:rFonts w:ascii="Arial" w:hAnsi="Arial" w:cs="Arial"/>
          <w:bCs/>
          <w:sz w:val="28"/>
          <w:szCs w:val="28"/>
        </w:rPr>
        <w:lastRenderedPageBreak/>
        <w:t>Email:</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hyperlink r:id="rId9" w:history="1">
        <w:r w:rsidRPr="004954FC">
          <w:rPr>
            <w:rStyle w:val="Hyperlink"/>
            <w:rFonts w:ascii="Arial" w:hAnsi="Arial" w:cs="Arial"/>
            <w:bCs/>
            <w:sz w:val="28"/>
            <w:szCs w:val="28"/>
          </w:rPr>
          <w:t>charl@odbb.co.za</w:t>
        </w:r>
      </w:hyperlink>
      <w:r>
        <w:rPr>
          <w:rFonts w:ascii="Arial" w:hAnsi="Arial" w:cs="Arial"/>
          <w:bCs/>
          <w:sz w:val="28"/>
          <w:szCs w:val="28"/>
        </w:rPr>
        <w:t xml:space="preserve"> </w:t>
      </w:r>
    </w:p>
    <w:p w14:paraId="68CAB102" w14:textId="47834AAD" w:rsidR="00201AAC" w:rsidRDefault="00201AAC" w:rsidP="00201AAC">
      <w:pPr>
        <w:rPr>
          <w:rFonts w:ascii="Arial" w:hAnsi="Arial" w:cs="Arial"/>
          <w:bCs/>
          <w:sz w:val="28"/>
          <w:szCs w:val="28"/>
        </w:rPr>
      </w:pPr>
      <w:r w:rsidRPr="00201AAC">
        <w:rPr>
          <w:rFonts w:ascii="Arial" w:hAnsi="Arial" w:cs="Arial"/>
          <w:bCs/>
          <w:sz w:val="28"/>
          <w:szCs w:val="28"/>
        </w:rPr>
        <w:t xml:space="preserve">Counsel for </w:t>
      </w:r>
      <w:r w:rsidR="007450D9">
        <w:rPr>
          <w:rFonts w:ascii="Arial" w:hAnsi="Arial" w:cs="Arial"/>
          <w:bCs/>
          <w:sz w:val="28"/>
          <w:szCs w:val="28"/>
        </w:rPr>
        <w:t>1</w:t>
      </w:r>
      <w:r w:rsidR="007450D9" w:rsidRPr="007450D9">
        <w:rPr>
          <w:rFonts w:ascii="Arial" w:hAnsi="Arial" w:cs="Arial"/>
          <w:bCs/>
          <w:sz w:val="28"/>
          <w:szCs w:val="28"/>
          <w:vertAlign w:val="superscript"/>
        </w:rPr>
        <w:t>st</w:t>
      </w:r>
      <w:r w:rsidR="007450D9">
        <w:rPr>
          <w:rFonts w:ascii="Arial" w:hAnsi="Arial" w:cs="Arial"/>
          <w:bCs/>
          <w:sz w:val="28"/>
          <w:szCs w:val="28"/>
        </w:rPr>
        <w:t xml:space="preserve"> </w:t>
      </w:r>
      <w:r w:rsidRPr="00201AAC">
        <w:rPr>
          <w:rFonts w:ascii="Arial" w:hAnsi="Arial" w:cs="Arial"/>
          <w:bCs/>
          <w:sz w:val="28"/>
          <w:szCs w:val="28"/>
        </w:rPr>
        <w:t>Respondent:</w:t>
      </w:r>
      <w:r w:rsidRPr="00201AAC">
        <w:rPr>
          <w:rFonts w:ascii="Arial" w:hAnsi="Arial" w:cs="Arial"/>
          <w:bCs/>
          <w:sz w:val="28"/>
          <w:szCs w:val="28"/>
        </w:rPr>
        <w:tab/>
      </w:r>
      <w:r>
        <w:rPr>
          <w:rFonts w:ascii="Arial" w:hAnsi="Arial" w:cs="Arial"/>
          <w:bCs/>
          <w:sz w:val="28"/>
          <w:szCs w:val="28"/>
        </w:rPr>
        <w:t>Adv C J Mc Aslin SC</w:t>
      </w:r>
      <w:r w:rsidR="007450D9">
        <w:rPr>
          <w:rFonts w:ascii="Arial" w:hAnsi="Arial" w:cs="Arial"/>
          <w:bCs/>
          <w:sz w:val="28"/>
          <w:szCs w:val="28"/>
        </w:rPr>
        <w:t xml:space="preserve">            and</w:t>
      </w:r>
    </w:p>
    <w:p w14:paraId="34A68FB4" w14:textId="0ECE34ED" w:rsidR="007450D9" w:rsidRPr="00201AAC" w:rsidRDefault="007450D9" w:rsidP="00201AAC">
      <w:pPr>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Adv T Govender</w:t>
      </w:r>
    </w:p>
    <w:p w14:paraId="42F58ACB" w14:textId="77777777" w:rsidR="00201AAC" w:rsidRPr="00201AAC" w:rsidRDefault="00201AAC" w:rsidP="00201AAC">
      <w:pPr>
        <w:rPr>
          <w:rFonts w:ascii="Arial" w:hAnsi="Arial" w:cs="Arial"/>
          <w:bCs/>
          <w:sz w:val="28"/>
          <w:szCs w:val="28"/>
        </w:rPr>
      </w:pPr>
    </w:p>
    <w:p w14:paraId="60DA6B41" w14:textId="4A4D882B" w:rsidR="00201AAC" w:rsidRPr="00201AAC" w:rsidRDefault="00201AAC" w:rsidP="00201AAC">
      <w:pPr>
        <w:rPr>
          <w:rFonts w:ascii="Arial" w:hAnsi="Arial" w:cs="Arial"/>
          <w:bCs/>
          <w:sz w:val="28"/>
          <w:szCs w:val="28"/>
        </w:rPr>
      </w:pPr>
      <w:r w:rsidRPr="00201AAC">
        <w:rPr>
          <w:rFonts w:ascii="Arial" w:hAnsi="Arial" w:cs="Arial"/>
          <w:bCs/>
          <w:sz w:val="28"/>
          <w:szCs w:val="28"/>
        </w:rPr>
        <w:t>In</w:t>
      </w:r>
      <w:r w:rsidR="007450D9">
        <w:rPr>
          <w:rFonts w:ascii="Arial" w:hAnsi="Arial" w:cs="Arial"/>
          <w:bCs/>
          <w:sz w:val="28"/>
          <w:szCs w:val="28"/>
        </w:rPr>
        <w:t>structed by:</w:t>
      </w:r>
      <w:r w:rsidR="007450D9">
        <w:rPr>
          <w:rFonts w:ascii="Arial" w:hAnsi="Arial" w:cs="Arial"/>
          <w:bCs/>
          <w:sz w:val="28"/>
          <w:szCs w:val="28"/>
        </w:rPr>
        <w:tab/>
      </w:r>
      <w:r w:rsidR="007450D9">
        <w:rPr>
          <w:rFonts w:ascii="Arial" w:hAnsi="Arial" w:cs="Arial"/>
          <w:bCs/>
          <w:sz w:val="28"/>
          <w:szCs w:val="28"/>
        </w:rPr>
        <w:tab/>
      </w:r>
      <w:r w:rsidR="007450D9">
        <w:rPr>
          <w:rFonts w:ascii="Arial" w:hAnsi="Arial" w:cs="Arial"/>
          <w:bCs/>
          <w:sz w:val="28"/>
          <w:szCs w:val="28"/>
        </w:rPr>
        <w:tab/>
        <w:t>John Issabelle Attorneys</w:t>
      </w:r>
    </w:p>
    <w:p w14:paraId="365190D4" w14:textId="5CA73E9C" w:rsidR="00201AAC" w:rsidRPr="00201AAC" w:rsidRDefault="00201AAC" w:rsidP="00201AAC">
      <w:pPr>
        <w:rPr>
          <w:rFonts w:ascii="Arial" w:hAnsi="Arial" w:cs="Arial"/>
          <w:bCs/>
          <w:sz w:val="28"/>
          <w:szCs w:val="28"/>
        </w:rPr>
      </w:pPr>
      <w:r w:rsidRPr="00201AAC">
        <w:rPr>
          <w:rFonts w:ascii="Arial" w:hAnsi="Arial" w:cs="Arial"/>
          <w:bCs/>
          <w:sz w:val="28"/>
          <w:szCs w:val="28"/>
        </w:rPr>
        <w:t>Office No:</w:t>
      </w:r>
      <w:r w:rsidRPr="00201AAC">
        <w:rPr>
          <w:rFonts w:ascii="Arial" w:hAnsi="Arial" w:cs="Arial"/>
          <w:bCs/>
          <w:sz w:val="28"/>
          <w:szCs w:val="28"/>
        </w:rPr>
        <w:tab/>
      </w:r>
      <w:r w:rsidRPr="00201AAC">
        <w:rPr>
          <w:rFonts w:ascii="Arial" w:hAnsi="Arial" w:cs="Arial"/>
          <w:bCs/>
          <w:sz w:val="28"/>
          <w:szCs w:val="28"/>
        </w:rPr>
        <w:tab/>
      </w:r>
      <w:r w:rsidRPr="00201AAC">
        <w:rPr>
          <w:rFonts w:ascii="Arial" w:hAnsi="Arial" w:cs="Arial"/>
          <w:bCs/>
          <w:sz w:val="28"/>
          <w:szCs w:val="28"/>
        </w:rPr>
        <w:tab/>
      </w:r>
      <w:r w:rsidRPr="00201AAC">
        <w:rPr>
          <w:rFonts w:ascii="Arial" w:hAnsi="Arial" w:cs="Arial"/>
          <w:bCs/>
          <w:sz w:val="28"/>
          <w:szCs w:val="28"/>
        </w:rPr>
        <w:tab/>
        <w:t>(011</w:t>
      </w:r>
      <w:r w:rsidR="007450D9">
        <w:rPr>
          <w:rFonts w:ascii="Arial" w:hAnsi="Arial" w:cs="Arial"/>
          <w:bCs/>
          <w:sz w:val="28"/>
          <w:szCs w:val="28"/>
        </w:rPr>
        <w:t>) 326-41263</w:t>
      </w:r>
    </w:p>
    <w:p w14:paraId="6F78AB86" w14:textId="77777777" w:rsidR="007450D9" w:rsidRDefault="007450D9" w:rsidP="00201AAC">
      <w:pPr>
        <w:rPr>
          <w:rFonts w:ascii="Arial" w:hAnsi="Arial" w:cs="Arial"/>
          <w:bCs/>
          <w:sz w:val="28"/>
          <w:szCs w:val="28"/>
        </w:rPr>
      </w:pPr>
      <w:r>
        <w:rPr>
          <w:rFonts w:ascii="Arial" w:hAnsi="Arial" w:cs="Arial"/>
          <w:bCs/>
          <w:sz w:val="28"/>
          <w:szCs w:val="28"/>
        </w:rPr>
        <w:t>Email:</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hyperlink r:id="rId10" w:history="1">
        <w:r w:rsidRPr="004954FC">
          <w:rPr>
            <w:rStyle w:val="Hyperlink"/>
            <w:rFonts w:ascii="Arial" w:hAnsi="Arial" w:cs="Arial"/>
            <w:bCs/>
            <w:sz w:val="28"/>
            <w:szCs w:val="28"/>
          </w:rPr>
          <w:t>john@isabelle.co.za</w:t>
        </w:r>
      </w:hyperlink>
      <w:r>
        <w:rPr>
          <w:rFonts w:ascii="Arial" w:hAnsi="Arial" w:cs="Arial"/>
          <w:bCs/>
          <w:sz w:val="28"/>
          <w:szCs w:val="28"/>
        </w:rPr>
        <w:t xml:space="preserve">; </w:t>
      </w:r>
    </w:p>
    <w:p w14:paraId="722DE449" w14:textId="4E2C3AAF" w:rsidR="00201AAC" w:rsidRPr="00201AAC" w:rsidRDefault="007450D9" w:rsidP="00201AAC">
      <w:pPr>
        <w:rPr>
          <w:rFonts w:ascii="Arial" w:hAnsi="Arial" w:cs="Arial"/>
          <w:b/>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hyperlink r:id="rId11" w:history="1">
        <w:r w:rsidRPr="004954FC">
          <w:rPr>
            <w:rStyle w:val="Hyperlink"/>
            <w:rFonts w:ascii="Arial" w:hAnsi="Arial" w:cs="Arial"/>
            <w:bCs/>
            <w:sz w:val="28"/>
            <w:szCs w:val="28"/>
          </w:rPr>
          <w:t>mitchell@isabelle.co.za</w:t>
        </w:r>
      </w:hyperlink>
      <w:r>
        <w:rPr>
          <w:rFonts w:ascii="Arial" w:hAnsi="Arial" w:cs="Arial"/>
          <w:bCs/>
          <w:sz w:val="28"/>
          <w:szCs w:val="28"/>
        </w:rPr>
        <w:t xml:space="preserve"> </w:t>
      </w:r>
      <w:r w:rsidR="00201AAC" w:rsidRPr="00201AAC">
        <w:rPr>
          <w:rFonts w:ascii="Arial" w:hAnsi="Arial" w:cs="Arial"/>
          <w:b/>
          <w:bCs/>
          <w:sz w:val="28"/>
          <w:szCs w:val="28"/>
        </w:rPr>
        <w:t xml:space="preserve"> </w:t>
      </w:r>
    </w:p>
    <w:p w14:paraId="659BCB77" w14:textId="77777777" w:rsidR="00201AAC" w:rsidRPr="00201AAC" w:rsidRDefault="00201AAC" w:rsidP="00201AAC">
      <w:pPr>
        <w:rPr>
          <w:rFonts w:ascii="Arial" w:hAnsi="Arial" w:cs="Arial"/>
          <w:b/>
          <w:bCs/>
          <w:sz w:val="28"/>
          <w:szCs w:val="28"/>
        </w:rPr>
      </w:pPr>
    </w:p>
    <w:p w14:paraId="73E62E2F" w14:textId="77777777" w:rsidR="00201AAC" w:rsidRPr="00C5475F" w:rsidRDefault="00201AAC" w:rsidP="00201AAC">
      <w:pPr>
        <w:rPr>
          <w:rFonts w:ascii="Arial" w:hAnsi="Arial" w:cs="Arial"/>
          <w:b/>
          <w:bCs/>
          <w:sz w:val="28"/>
          <w:szCs w:val="28"/>
        </w:rPr>
      </w:pPr>
    </w:p>
    <w:sectPr w:rsidR="00201AAC" w:rsidRPr="00C5475F" w:rsidSect="003A1E6A">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D33B0" w14:textId="77777777" w:rsidR="00F97C20" w:rsidRDefault="00F97C20" w:rsidP="007F7033">
      <w:r>
        <w:separator/>
      </w:r>
    </w:p>
  </w:endnote>
  <w:endnote w:type="continuationSeparator" w:id="0">
    <w:p w14:paraId="72933FB2" w14:textId="77777777" w:rsidR="00F97C20" w:rsidRDefault="00F97C20" w:rsidP="007F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1506869"/>
      <w:docPartObj>
        <w:docPartGallery w:val="Page Numbers (Bottom of Page)"/>
        <w:docPartUnique/>
      </w:docPartObj>
    </w:sdtPr>
    <w:sdtEndPr>
      <w:rPr>
        <w:rStyle w:val="PageNumber"/>
      </w:rPr>
    </w:sdtEndPr>
    <w:sdtContent>
      <w:p w14:paraId="0121804C" w14:textId="2558750C" w:rsidR="00A26785" w:rsidRDefault="00A26785" w:rsidP="007A02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77F09" w14:textId="77777777" w:rsidR="00A26785" w:rsidRDefault="00A26785" w:rsidP="00A26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7169267"/>
      <w:docPartObj>
        <w:docPartGallery w:val="Page Numbers (Bottom of Page)"/>
        <w:docPartUnique/>
      </w:docPartObj>
    </w:sdtPr>
    <w:sdtEndPr>
      <w:rPr>
        <w:rStyle w:val="PageNumber"/>
      </w:rPr>
    </w:sdtEndPr>
    <w:sdtContent>
      <w:p w14:paraId="7A00C7F9" w14:textId="063C1E97" w:rsidR="00A26785" w:rsidRDefault="00A26785" w:rsidP="007A02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3CFA">
          <w:rPr>
            <w:rStyle w:val="PageNumber"/>
            <w:noProof/>
          </w:rPr>
          <w:t>22</w:t>
        </w:r>
        <w:r>
          <w:rPr>
            <w:rStyle w:val="PageNumber"/>
          </w:rPr>
          <w:fldChar w:fldCharType="end"/>
        </w:r>
      </w:p>
    </w:sdtContent>
  </w:sdt>
  <w:p w14:paraId="799C3DEE" w14:textId="77777777" w:rsidR="00A26785" w:rsidRDefault="00A26785" w:rsidP="00A267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2A1D" w14:textId="77777777" w:rsidR="00F97C20" w:rsidRDefault="00F97C20" w:rsidP="007F7033">
      <w:r>
        <w:separator/>
      </w:r>
    </w:p>
  </w:footnote>
  <w:footnote w:type="continuationSeparator" w:id="0">
    <w:p w14:paraId="75F08A34" w14:textId="77777777" w:rsidR="00F97C20" w:rsidRDefault="00F97C20" w:rsidP="007F7033">
      <w:r>
        <w:continuationSeparator/>
      </w:r>
    </w:p>
  </w:footnote>
  <w:footnote w:id="1">
    <w:p w14:paraId="506476DD" w14:textId="78DAA97A" w:rsidR="007F7033" w:rsidRPr="007F7033" w:rsidRDefault="007F703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The Clive Teubes Group of Companies manufactures essential oils and related products for domestic and export use, and it requires the </w:t>
      </w:r>
      <w:r>
        <w:rPr>
          <w:rFonts w:ascii="Times New Roman" w:hAnsi="Times New Roman" w:cs="Times New Roman"/>
          <w:i/>
          <w:iCs/>
          <w:lang w:val="en-US"/>
        </w:rPr>
        <w:t xml:space="preserve">cul-de-sac </w:t>
      </w:r>
      <w:r>
        <w:rPr>
          <w:rFonts w:ascii="Times New Roman" w:hAnsi="Times New Roman" w:cs="Times New Roman"/>
          <w:lang w:val="en-US"/>
        </w:rPr>
        <w:t>to store drums of oil used in the manufacturing process.</w:t>
      </w:r>
    </w:p>
  </w:footnote>
  <w:footnote w:id="2">
    <w:p w14:paraId="02AFF108" w14:textId="493EB6C9" w:rsidR="00ED2AD9" w:rsidRPr="00ED2AD9" w:rsidRDefault="00ED2AD9">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See clause 32(2) of the lease agreement and the record of JPC’s decision furnished to the first applicant on 27 October 2020.</w:t>
      </w:r>
    </w:p>
  </w:footnote>
  <w:footnote w:id="3">
    <w:p w14:paraId="3D9B39BB" w14:textId="25BD1996" w:rsidR="003C0305" w:rsidRPr="003C0305" w:rsidRDefault="003C0305">
      <w:pPr>
        <w:pStyle w:val="FootnoteText"/>
        <w:rPr>
          <w:rFonts w:ascii="Times New Roman" w:hAnsi="Times New Roman" w:cs="Times New Roman"/>
          <w:lang w:val="en-US"/>
        </w:rPr>
      </w:pPr>
      <w:r>
        <w:rPr>
          <w:rStyle w:val="FootnoteReference"/>
        </w:rPr>
        <w:footnoteRef/>
      </w:r>
      <w:r>
        <w:t xml:space="preserve"> </w:t>
      </w:r>
      <w:r w:rsidRPr="003C0305">
        <w:rPr>
          <w:rFonts w:ascii="Times New Roman" w:hAnsi="Times New Roman" w:cs="Times New Roman"/>
          <w:lang w:val="en-US"/>
        </w:rPr>
        <w:t xml:space="preserve">Meetings: </w:t>
      </w:r>
      <w:r w:rsidR="00880F4F">
        <w:rPr>
          <w:rFonts w:ascii="Times New Roman" w:hAnsi="Times New Roman" w:cs="Times New Roman"/>
          <w:lang w:val="en-US"/>
        </w:rPr>
        <w:t xml:space="preserve">14 </w:t>
      </w:r>
      <w:r w:rsidRPr="003C0305">
        <w:rPr>
          <w:rFonts w:ascii="Times New Roman" w:hAnsi="Times New Roman" w:cs="Times New Roman"/>
          <w:lang w:val="en-US"/>
        </w:rPr>
        <w:t>January 2021</w:t>
      </w:r>
      <w:r w:rsidR="00880F4F">
        <w:rPr>
          <w:rFonts w:ascii="Times New Roman" w:hAnsi="Times New Roman" w:cs="Times New Roman"/>
          <w:lang w:val="en-US"/>
        </w:rPr>
        <w:t xml:space="preserve">, </w:t>
      </w:r>
      <w:r w:rsidRPr="003C0305">
        <w:rPr>
          <w:rFonts w:ascii="Times New Roman" w:hAnsi="Times New Roman" w:cs="Times New Roman"/>
          <w:lang w:val="en-US"/>
        </w:rPr>
        <w:t>3 February 2021</w:t>
      </w:r>
      <w:r w:rsidR="00880F4F">
        <w:rPr>
          <w:rFonts w:ascii="Times New Roman" w:hAnsi="Times New Roman" w:cs="Times New Roman"/>
          <w:lang w:val="en-US"/>
        </w:rPr>
        <w:t>, 5 March 2021 and 21 May 2021.</w:t>
      </w:r>
    </w:p>
  </w:footnote>
  <w:footnote w:id="4">
    <w:p w14:paraId="269C8775" w14:textId="46290BC8" w:rsidR="001C53AA" w:rsidRDefault="001C53AA">
      <w:pPr>
        <w:pStyle w:val="FootnoteText"/>
        <w:rPr>
          <w:rFonts w:ascii="Times New Roman" w:hAnsi="Times New Roman" w:cs="Times New Roman"/>
          <w:b/>
          <w:bCs/>
        </w:rPr>
      </w:pPr>
      <w:r>
        <w:rPr>
          <w:rStyle w:val="FootnoteReference"/>
        </w:rPr>
        <w:footnoteRef/>
      </w:r>
      <w:r>
        <w:t xml:space="preserve"> </w:t>
      </w:r>
      <w:r w:rsidR="00073E08">
        <w:rPr>
          <w:rFonts w:ascii="Times New Roman" w:hAnsi="Times New Roman" w:cs="Times New Roman"/>
          <w:b/>
          <w:bCs/>
        </w:rPr>
        <w:t>Disposal of Capital assets</w:t>
      </w:r>
    </w:p>
    <w:p w14:paraId="088D95DA" w14:textId="47FEB177" w:rsidR="007037AF" w:rsidRDefault="007037AF">
      <w:pPr>
        <w:pStyle w:val="FootnoteText"/>
        <w:rPr>
          <w:rFonts w:ascii="Times New Roman" w:hAnsi="Times New Roman" w:cs="Times New Roman"/>
          <w:b/>
          <w:bCs/>
          <w:lang w:val="en-US"/>
        </w:rPr>
      </w:pPr>
      <w:r>
        <w:rPr>
          <w:rFonts w:ascii="Times New Roman" w:hAnsi="Times New Roman" w:cs="Times New Roman"/>
          <w:b/>
          <w:bCs/>
          <w:lang w:val="en-US"/>
        </w:rPr>
        <w:t>14</w:t>
      </w:r>
    </w:p>
    <w:p w14:paraId="10EAF328" w14:textId="1349A856" w:rsidR="00FB4E94" w:rsidRPr="00FB4E94" w:rsidRDefault="00FB4E94">
      <w:pPr>
        <w:pStyle w:val="FootnoteText"/>
        <w:rPr>
          <w:rFonts w:ascii="Times New Roman" w:hAnsi="Times New Roman" w:cs="Times New Roman"/>
          <w:lang w:val="en-US"/>
        </w:rPr>
      </w:pPr>
      <w:r>
        <w:rPr>
          <w:rFonts w:ascii="Times New Roman" w:hAnsi="Times New Roman" w:cs="Times New Roman"/>
          <w:lang w:val="en-US"/>
        </w:rPr>
        <w:t>(1) A municipality may not transfer ownership as a result of a sale or other transaction or otherwise permanently dispose of a capital asset to provide the minimum level of basic municipal services.</w:t>
      </w:r>
    </w:p>
    <w:p w14:paraId="33109D7A" w14:textId="0B9259D9" w:rsidR="007037AF" w:rsidRDefault="007037AF">
      <w:pPr>
        <w:pStyle w:val="FootnoteText"/>
        <w:rPr>
          <w:rFonts w:ascii="Times New Roman" w:hAnsi="Times New Roman" w:cs="Times New Roman"/>
          <w:lang w:val="en-US"/>
        </w:rPr>
      </w:pPr>
      <w:r>
        <w:rPr>
          <w:rFonts w:ascii="Times New Roman" w:hAnsi="Times New Roman" w:cs="Times New Roman"/>
          <w:lang w:val="en-US"/>
        </w:rPr>
        <w:t>(2) A municipality may transfer ownership or otherwise dispose of a capital asset other than one contemplated in subsection (1), but only after the municipal counsil, in a meeting open to the public-</w:t>
      </w:r>
    </w:p>
    <w:p w14:paraId="03984D09" w14:textId="090EF013" w:rsidR="007037AF" w:rsidRDefault="007037AF" w:rsidP="007037AF">
      <w:pPr>
        <w:pStyle w:val="FootnoteText"/>
        <w:numPr>
          <w:ilvl w:val="0"/>
          <w:numId w:val="2"/>
        </w:numPr>
        <w:rPr>
          <w:rFonts w:ascii="Times New Roman" w:hAnsi="Times New Roman" w:cs="Times New Roman"/>
          <w:lang w:val="en-US"/>
        </w:rPr>
      </w:pPr>
      <w:r>
        <w:rPr>
          <w:rFonts w:ascii="Times New Roman" w:hAnsi="Times New Roman" w:cs="Times New Roman"/>
          <w:lang w:val="en-US"/>
        </w:rPr>
        <w:t>has decided on reasonable grounds that the asset is not needed to provide the minimum level of basis municipal services; and</w:t>
      </w:r>
    </w:p>
    <w:p w14:paraId="566FD5B6" w14:textId="28ED46FF" w:rsidR="00073E08" w:rsidRPr="007037AF" w:rsidRDefault="007037AF" w:rsidP="007037AF">
      <w:pPr>
        <w:pStyle w:val="FootnoteText"/>
        <w:numPr>
          <w:ilvl w:val="0"/>
          <w:numId w:val="2"/>
        </w:numPr>
        <w:rPr>
          <w:rFonts w:ascii="Times New Roman" w:hAnsi="Times New Roman" w:cs="Times New Roman"/>
          <w:lang w:val="en-US"/>
        </w:rPr>
      </w:pPr>
      <w:r>
        <w:rPr>
          <w:rFonts w:ascii="Times New Roman" w:hAnsi="Times New Roman" w:cs="Times New Roman"/>
          <w:lang w:val="en-US"/>
        </w:rPr>
        <w:t xml:space="preserve"> has considered the fair market value of the asset and the economic and community value to be received in exchange for the asset.</w:t>
      </w:r>
    </w:p>
  </w:footnote>
  <w:footnote w:id="5">
    <w:p w14:paraId="04C8D71C" w14:textId="39E3A8FB" w:rsidR="001C53AA" w:rsidRDefault="001C53AA">
      <w:pPr>
        <w:pStyle w:val="FootnoteText"/>
        <w:rPr>
          <w:rFonts w:ascii="Times New Roman" w:hAnsi="Times New Roman" w:cs="Times New Roman"/>
          <w:b/>
          <w:bCs/>
        </w:rPr>
      </w:pPr>
      <w:r>
        <w:rPr>
          <w:rStyle w:val="FootnoteReference"/>
        </w:rPr>
        <w:footnoteRef/>
      </w:r>
      <w:r>
        <w:t xml:space="preserve"> </w:t>
      </w:r>
      <w:r w:rsidR="00562D19">
        <w:rPr>
          <w:rFonts w:ascii="Times New Roman" w:hAnsi="Times New Roman" w:cs="Times New Roman"/>
          <w:b/>
          <w:bCs/>
        </w:rPr>
        <w:t>Granting of rights to use, control or manage municipal capital assets</w:t>
      </w:r>
    </w:p>
    <w:p w14:paraId="6DD66A91" w14:textId="632B5BD1" w:rsidR="00562D19" w:rsidRDefault="00562D19">
      <w:pPr>
        <w:pStyle w:val="FootnoteText"/>
        <w:rPr>
          <w:rFonts w:ascii="Times New Roman" w:hAnsi="Times New Roman" w:cs="Times New Roman"/>
        </w:rPr>
      </w:pPr>
      <w:r>
        <w:rPr>
          <w:rFonts w:ascii="Times New Roman" w:hAnsi="Times New Roman" w:cs="Times New Roman"/>
          <w:b/>
          <w:bCs/>
        </w:rPr>
        <w:t xml:space="preserve">34 </w:t>
      </w:r>
      <w:r>
        <w:rPr>
          <w:rFonts w:ascii="Times New Roman" w:hAnsi="Times New Roman" w:cs="Times New Roman"/>
        </w:rPr>
        <w:t>(1) A municipality may grant a right to use, control or manage a capital asset only after-</w:t>
      </w:r>
    </w:p>
    <w:p w14:paraId="116E5478" w14:textId="552B6022" w:rsidR="00562D19" w:rsidRPr="00BD09FC" w:rsidRDefault="00BD09FC" w:rsidP="00BD09FC">
      <w:pPr>
        <w:pStyle w:val="FootnoteText"/>
        <w:numPr>
          <w:ilvl w:val="0"/>
          <w:numId w:val="3"/>
        </w:numPr>
        <w:rPr>
          <w:rFonts w:ascii="Times New Roman" w:hAnsi="Times New Roman" w:cs="Times New Roman"/>
          <w:lang w:val="en-US"/>
        </w:rPr>
      </w:pPr>
      <w:r>
        <w:rPr>
          <w:rFonts w:ascii="Times New Roman" w:hAnsi="Times New Roman" w:cs="Times New Roman"/>
        </w:rPr>
        <w:t>the accounting officer has in terms of regulation 35 conducted a public participation process regarding the proposed granting of the right;</w:t>
      </w:r>
    </w:p>
    <w:p w14:paraId="0C9A0C2A" w14:textId="69DC49BC" w:rsidR="00BD09FC" w:rsidRDefault="00BD09FC" w:rsidP="00BD09FC">
      <w:pPr>
        <w:pStyle w:val="FootnoteText"/>
        <w:numPr>
          <w:ilvl w:val="0"/>
          <w:numId w:val="3"/>
        </w:numPr>
        <w:rPr>
          <w:rFonts w:ascii="Times New Roman" w:hAnsi="Times New Roman" w:cs="Times New Roman"/>
          <w:lang w:val="en-US"/>
        </w:rPr>
      </w:pPr>
      <w:r>
        <w:rPr>
          <w:rFonts w:ascii="Times New Roman" w:hAnsi="Times New Roman" w:cs="Times New Roman"/>
          <w:lang w:val="en-US"/>
        </w:rPr>
        <w:t>the municipal council has approved in principle that right may be granted.</w:t>
      </w:r>
    </w:p>
    <w:p w14:paraId="43059AB9" w14:textId="77777777" w:rsidR="00426B3E" w:rsidRDefault="00426B3E" w:rsidP="00426B3E">
      <w:pPr>
        <w:pStyle w:val="FootnoteText"/>
        <w:ind w:left="720"/>
        <w:rPr>
          <w:rFonts w:ascii="Times New Roman" w:hAnsi="Times New Roman" w:cs="Times New Roman"/>
          <w:lang w:val="en-US"/>
        </w:rPr>
      </w:pPr>
    </w:p>
    <w:p w14:paraId="70507ECB" w14:textId="61B8A4E8" w:rsidR="00BD09FC" w:rsidRDefault="00BD09FC" w:rsidP="00BD09FC">
      <w:pPr>
        <w:pStyle w:val="FootnoteText"/>
        <w:rPr>
          <w:rFonts w:ascii="Times New Roman" w:hAnsi="Times New Roman" w:cs="Times New Roman"/>
          <w:lang w:val="en-US"/>
        </w:rPr>
      </w:pPr>
      <w:r>
        <w:rPr>
          <w:rFonts w:ascii="Times New Roman" w:hAnsi="Times New Roman" w:cs="Times New Roman"/>
          <w:lang w:val="en-US"/>
        </w:rPr>
        <w:t xml:space="preserve">     (2)  </w:t>
      </w:r>
      <w:r w:rsidR="00DE0CD1">
        <w:rPr>
          <w:rFonts w:ascii="Times New Roman" w:hAnsi="Times New Roman" w:cs="Times New Roman"/>
          <w:lang w:val="en-US"/>
        </w:rPr>
        <w:t>Sub regulation</w:t>
      </w:r>
      <w:r>
        <w:rPr>
          <w:rFonts w:ascii="Times New Roman" w:hAnsi="Times New Roman" w:cs="Times New Roman"/>
          <w:lang w:val="en-US"/>
        </w:rPr>
        <w:t xml:space="preserve"> (1)(a) must be complied with only if-</w:t>
      </w:r>
    </w:p>
    <w:p w14:paraId="66EE7050" w14:textId="77248F49" w:rsidR="00BD09FC" w:rsidRDefault="00BD09FC" w:rsidP="00BD09FC">
      <w:pPr>
        <w:pStyle w:val="FootnoteText"/>
        <w:rPr>
          <w:rFonts w:ascii="Times New Roman" w:hAnsi="Times New Roman" w:cs="Times New Roman"/>
          <w:lang w:val="en-US"/>
        </w:rPr>
      </w:pPr>
      <w:r>
        <w:rPr>
          <w:rFonts w:ascii="Times New Roman" w:hAnsi="Times New Roman" w:cs="Times New Roman"/>
          <w:lang w:val="en-US"/>
        </w:rPr>
        <w:t xml:space="preserve">        (a) the capital asset in respect of which the proposed right is to be granted has value in excess of R10 </w:t>
      </w:r>
    </w:p>
    <w:p w14:paraId="5099D70F" w14:textId="6FF6726B" w:rsidR="00BD09FC" w:rsidRDefault="00BD09FC" w:rsidP="00BD09FC">
      <w:pPr>
        <w:pStyle w:val="FootnoteText"/>
        <w:rPr>
          <w:rFonts w:ascii="Times New Roman" w:hAnsi="Times New Roman" w:cs="Times New Roman"/>
          <w:lang w:val="en-US"/>
        </w:rPr>
      </w:pPr>
      <w:r>
        <w:rPr>
          <w:rFonts w:ascii="Times New Roman" w:hAnsi="Times New Roman" w:cs="Times New Roman"/>
          <w:lang w:val="en-US"/>
        </w:rPr>
        <w:t xml:space="preserve">              million; and</w:t>
      </w:r>
    </w:p>
    <w:p w14:paraId="5C906C07" w14:textId="77093C76" w:rsidR="00BD09FC" w:rsidRDefault="00426B3E" w:rsidP="00426B3E">
      <w:pPr>
        <w:pStyle w:val="FootnoteText"/>
        <w:ind w:left="360"/>
        <w:rPr>
          <w:rFonts w:ascii="Times New Roman" w:hAnsi="Times New Roman" w:cs="Times New Roman"/>
          <w:lang w:val="en-US"/>
        </w:rPr>
      </w:pPr>
      <w:r>
        <w:rPr>
          <w:rFonts w:ascii="Times New Roman" w:hAnsi="Times New Roman" w:cs="Times New Roman"/>
          <w:lang w:val="en-US"/>
        </w:rPr>
        <w:t xml:space="preserve"> </w:t>
      </w:r>
      <w:r w:rsidRPr="00426B3E">
        <w:rPr>
          <w:rFonts w:ascii="Times New Roman" w:hAnsi="Times New Roman" w:cs="Times New Roman"/>
          <w:lang w:val="en-US"/>
        </w:rPr>
        <w:t>(b</w:t>
      </w:r>
      <w:r>
        <w:rPr>
          <w:rFonts w:ascii="Times New Roman" w:hAnsi="Times New Roman" w:cs="Times New Roman"/>
          <w:lang w:val="en-US"/>
        </w:rPr>
        <w:t xml:space="preserve">) a </w:t>
      </w:r>
      <w:r w:rsidR="00DE0CD1">
        <w:rPr>
          <w:rFonts w:ascii="Times New Roman" w:hAnsi="Times New Roman" w:cs="Times New Roman"/>
          <w:lang w:val="en-US"/>
        </w:rPr>
        <w:t>long-term</w:t>
      </w:r>
      <w:r>
        <w:rPr>
          <w:rFonts w:ascii="Times New Roman" w:hAnsi="Times New Roman" w:cs="Times New Roman"/>
          <w:lang w:val="en-US"/>
        </w:rPr>
        <w:t xml:space="preserve"> right is proposed to be granted in respect of the capital asset.</w:t>
      </w:r>
    </w:p>
    <w:p w14:paraId="2BFA00B1" w14:textId="30F945EB" w:rsidR="000564DC" w:rsidRDefault="000564DC" w:rsidP="00426B3E">
      <w:pPr>
        <w:pStyle w:val="FootnoteText"/>
        <w:ind w:left="360"/>
        <w:rPr>
          <w:rFonts w:ascii="Times New Roman" w:hAnsi="Times New Roman" w:cs="Times New Roman"/>
          <w:lang w:val="en-US"/>
        </w:rPr>
      </w:pPr>
    </w:p>
    <w:p w14:paraId="65FC0403" w14:textId="4D0250BE" w:rsidR="000564DC" w:rsidRDefault="000564DC" w:rsidP="00426B3E">
      <w:pPr>
        <w:pStyle w:val="FootnoteText"/>
        <w:ind w:left="360"/>
        <w:rPr>
          <w:rFonts w:ascii="Times New Roman" w:hAnsi="Times New Roman" w:cs="Times New Roman"/>
          <w:b/>
          <w:bCs/>
          <w:lang w:val="en-US"/>
        </w:rPr>
      </w:pPr>
      <w:r>
        <w:rPr>
          <w:rFonts w:ascii="Times New Roman" w:hAnsi="Times New Roman" w:cs="Times New Roman"/>
          <w:b/>
          <w:bCs/>
          <w:lang w:val="en-US"/>
        </w:rPr>
        <w:t>Definitions</w:t>
      </w:r>
    </w:p>
    <w:p w14:paraId="6CE06602" w14:textId="5FC58233" w:rsidR="000564DC" w:rsidRPr="00900326" w:rsidRDefault="000564DC" w:rsidP="00426B3E">
      <w:pPr>
        <w:pStyle w:val="FootnoteText"/>
        <w:ind w:left="360"/>
        <w:rPr>
          <w:rFonts w:ascii="Times New Roman" w:hAnsi="Times New Roman" w:cs="Times New Roman"/>
          <w:lang w:val="en-US"/>
        </w:rPr>
      </w:pPr>
      <w:r>
        <w:rPr>
          <w:rFonts w:ascii="Times New Roman" w:hAnsi="Times New Roman" w:cs="Times New Roman"/>
          <w:b/>
          <w:bCs/>
          <w:lang w:val="en-US"/>
        </w:rPr>
        <w:t>1.</w:t>
      </w:r>
      <w:r>
        <w:rPr>
          <w:rFonts w:ascii="Times New Roman" w:hAnsi="Times New Roman" w:cs="Times New Roman"/>
          <w:lang w:val="en-US"/>
        </w:rPr>
        <w:t xml:space="preserve"> (1) </w:t>
      </w:r>
      <w:r>
        <w:rPr>
          <w:rFonts w:ascii="Times New Roman" w:hAnsi="Times New Roman" w:cs="Times New Roman"/>
          <w:b/>
          <w:bCs/>
          <w:lang w:val="en-US"/>
        </w:rPr>
        <w:t>“long term”</w:t>
      </w:r>
      <w:r w:rsidR="00900326">
        <w:rPr>
          <w:rFonts w:ascii="Times New Roman" w:hAnsi="Times New Roman" w:cs="Times New Roman"/>
          <w:lang w:val="en-US"/>
        </w:rPr>
        <w:t xml:space="preserve"> means a period of longer than three years</w:t>
      </w:r>
    </w:p>
    <w:p w14:paraId="3AC2A1D7" w14:textId="54DBC14B" w:rsidR="00BD09FC" w:rsidRPr="00562D19" w:rsidRDefault="00BD09FC" w:rsidP="00BD09FC">
      <w:pPr>
        <w:pStyle w:val="FootnoteText"/>
        <w:rPr>
          <w:rFonts w:ascii="Times New Roman" w:hAnsi="Times New Roman" w:cs="Times New Roman"/>
          <w:lang w:val="en-US"/>
        </w:rPr>
      </w:pPr>
      <w:r>
        <w:rPr>
          <w:rFonts w:ascii="Times New Roman" w:hAnsi="Times New Roman" w:cs="Times New Roman"/>
          <w:lang w:val="en-US"/>
        </w:rPr>
        <w:t xml:space="preserve">    </w:t>
      </w:r>
    </w:p>
  </w:footnote>
  <w:footnote w:id="6">
    <w:p w14:paraId="634740C7" w14:textId="6462699F" w:rsidR="003C0305" w:rsidRDefault="003C0305">
      <w:pPr>
        <w:pStyle w:val="FootnoteText"/>
        <w:rPr>
          <w:rFonts w:ascii="Times New Roman" w:hAnsi="Times New Roman" w:cs="Times New Roman"/>
        </w:rPr>
      </w:pPr>
      <w:r>
        <w:rPr>
          <w:rStyle w:val="FootnoteReference"/>
        </w:rPr>
        <w:footnoteRef/>
      </w:r>
      <w:r>
        <w:t xml:space="preserve"> </w:t>
      </w:r>
      <w:r w:rsidR="009869FC">
        <w:rPr>
          <w:rFonts w:ascii="Times New Roman" w:hAnsi="Times New Roman" w:cs="Times New Roman"/>
        </w:rPr>
        <w:t>Section 79(18) provides:</w:t>
      </w:r>
    </w:p>
    <w:p w14:paraId="2E7AED04" w14:textId="1D7CA029" w:rsidR="009869FC" w:rsidRDefault="009869FC">
      <w:pPr>
        <w:pStyle w:val="FootnoteText"/>
        <w:rPr>
          <w:rFonts w:ascii="Times New Roman" w:hAnsi="Times New Roman" w:cs="Times New Roman"/>
          <w:i/>
          <w:iCs/>
        </w:rPr>
      </w:pPr>
      <w:r>
        <w:rPr>
          <w:rFonts w:ascii="Times New Roman" w:hAnsi="Times New Roman" w:cs="Times New Roman"/>
          <w:i/>
          <w:iCs/>
        </w:rPr>
        <w:t>“The Council may do all or any of the following things, namely-</w:t>
      </w:r>
    </w:p>
    <w:p w14:paraId="7E6BEF73" w14:textId="77777777" w:rsidR="009869FC" w:rsidRPr="009869FC" w:rsidRDefault="009869FC" w:rsidP="009869FC">
      <w:pPr>
        <w:spacing w:before="100" w:beforeAutospacing="1" w:after="100" w:afterAutospacing="1"/>
        <w:jc w:val="both"/>
        <w:rPr>
          <w:rFonts w:ascii="Times New Roman" w:eastAsia="Times New Roman" w:hAnsi="Times New Roman" w:cs="Times New Roman"/>
          <w:i/>
          <w:iCs/>
          <w:sz w:val="20"/>
          <w:szCs w:val="20"/>
          <w:lang w:eastAsia="en-GB"/>
        </w:rPr>
      </w:pPr>
      <w:r w:rsidRPr="009869FC">
        <w:rPr>
          <w:rFonts w:ascii="TimesNewRomanPSMT" w:eastAsia="Times New Roman" w:hAnsi="TimesNewRomanPSMT" w:cs="Times New Roman"/>
          <w:i/>
          <w:iCs/>
          <w:sz w:val="20"/>
          <w:szCs w:val="20"/>
          <w:lang w:eastAsia="en-GB"/>
        </w:rPr>
        <w:t xml:space="preserve">(18)(a) Notwithstanding the provisions of the Townships Act, 1907 (Act 33 of 1907, Transvaal), but subject to the succeeding paragraphs and the provisions of any other law – </w:t>
      </w:r>
    </w:p>
    <w:p w14:paraId="554F2BF6" w14:textId="77777777" w:rsidR="009869FC" w:rsidRDefault="009869FC" w:rsidP="009869FC">
      <w:pPr>
        <w:spacing w:before="100" w:beforeAutospacing="1" w:after="100" w:afterAutospacing="1"/>
        <w:jc w:val="both"/>
        <w:rPr>
          <w:rFonts w:ascii="Times New Roman" w:eastAsia="Times New Roman" w:hAnsi="Times New Roman" w:cs="Times New Roman"/>
          <w:i/>
          <w:iCs/>
          <w:sz w:val="20"/>
          <w:szCs w:val="20"/>
          <w:lang w:eastAsia="en-GB"/>
        </w:rPr>
      </w:pPr>
      <w:r w:rsidRPr="009869FC">
        <w:rPr>
          <w:rFonts w:ascii="TimesNewRomanPSMT" w:eastAsia="Times New Roman" w:hAnsi="TimesNewRomanPSMT" w:cs="Times New Roman"/>
          <w:i/>
          <w:iCs/>
          <w:sz w:val="20"/>
          <w:szCs w:val="20"/>
          <w:lang w:eastAsia="en-GB"/>
        </w:rPr>
        <w:t xml:space="preserve">(i) let, sell exchange or in any other manner alienate or dispose of any movable or immovable property of the council: Provided that where a council exchanges immovable property for other property, the other property shall be wholly or predominantly immovable; </w:t>
      </w:r>
    </w:p>
    <w:p w14:paraId="3657F6F7" w14:textId="261A2D78" w:rsidR="009869FC" w:rsidRPr="009869FC" w:rsidRDefault="009869FC" w:rsidP="009869FC">
      <w:pPr>
        <w:spacing w:before="100" w:beforeAutospacing="1" w:after="100" w:afterAutospacing="1"/>
        <w:jc w:val="both"/>
        <w:rPr>
          <w:rFonts w:ascii="Times New Roman" w:eastAsia="Times New Roman" w:hAnsi="Times New Roman" w:cs="Times New Roman"/>
          <w:i/>
          <w:iCs/>
          <w:sz w:val="20"/>
          <w:szCs w:val="20"/>
          <w:lang w:eastAsia="en-GB"/>
        </w:rPr>
      </w:pPr>
      <w:r w:rsidRPr="009869FC">
        <w:rPr>
          <w:rFonts w:ascii="TimesNewRomanPSMT" w:eastAsia="Times New Roman" w:hAnsi="TimesNewRomanPSMT" w:cs="Times New Roman"/>
          <w:i/>
          <w:iCs/>
          <w:sz w:val="20"/>
          <w:szCs w:val="20"/>
          <w:lang w:eastAsia="en-GB"/>
        </w:rPr>
        <w:t xml:space="preserve">.. . </w:t>
      </w:r>
    </w:p>
    <w:p w14:paraId="67AA2B02" w14:textId="59564E43" w:rsidR="009869FC" w:rsidRPr="009869FC" w:rsidRDefault="009869FC" w:rsidP="009869FC">
      <w:pPr>
        <w:spacing w:before="100" w:beforeAutospacing="1" w:after="100" w:afterAutospacing="1"/>
        <w:jc w:val="both"/>
        <w:rPr>
          <w:rFonts w:ascii="Times New Roman" w:eastAsia="Times New Roman" w:hAnsi="Times New Roman" w:cs="Times New Roman"/>
          <w:i/>
          <w:iCs/>
          <w:sz w:val="20"/>
          <w:szCs w:val="20"/>
          <w:lang w:eastAsia="en-GB"/>
        </w:rPr>
      </w:pPr>
      <w:r w:rsidRPr="009869FC">
        <w:rPr>
          <w:rFonts w:ascii="TimesNewRomanPSMT" w:eastAsia="Times New Roman" w:hAnsi="TimesNewRomanPSMT" w:cs="Times New Roman"/>
          <w:i/>
          <w:iCs/>
          <w:sz w:val="20"/>
          <w:szCs w:val="20"/>
          <w:lang w:eastAsia="en-GB"/>
        </w:rPr>
        <w:t xml:space="preserve">'(b) Whenever </w:t>
      </w:r>
      <w:r w:rsidRPr="009869FC">
        <w:rPr>
          <w:rFonts w:ascii="TimesNewRomanPSMT" w:eastAsia="Times New Roman" w:hAnsi="TimesNewRomanPSMT" w:cs="Times New Roman"/>
          <w:b/>
          <w:bCs/>
          <w:i/>
          <w:iCs/>
          <w:sz w:val="20"/>
          <w:szCs w:val="20"/>
          <w:lang w:eastAsia="en-GB"/>
        </w:rPr>
        <w:t xml:space="preserve">a council </w:t>
      </w:r>
      <w:r w:rsidRPr="009869FC">
        <w:rPr>
          <w:rFonts w:ascii="TimesNewRomanPS" w:eastAsia="Times New Roman" w:hAnsi="TimesNewRomanPS" w:cs="Times New Roman"/>
          <w:b/>
          <w:bCs/>
          <w:i/>
          <w:iCs/>
          <w:sz w:val="20"/>
          <w:szCs w:val="20"/>
          <w:lang w:eastAsia="en-GB"/>
        </w:rPr>
        <w:t>wishes</w:t>
      </w:r>
      <w:r w:rsidRPr="009869FC">
        <w:rPr>
          <w:rFonts w:ascii="TimesNewRomanPSMT" w:eastAsia="Times New Roman" w:hAnsi="TimesNewRomanPSMT" w:cs="Times New Roman"/>
          <w:i/>
          <w:iCs/>
          <w:position w:val="10"/>
          <w:sz w:val="20"/>
          <w:szCs w:val="20"/>
          <w:lang w:eastAsia="en-GB"/>
        </w:rPr>
        <w:t xml:space="preserve"> </w:t>
      </w:r>
      <w:r w:rsidRPr="009869FC">
        <w:rPr>
          <w:rFonts w:ascii="TimesNewRomanPSMT" w:eastAsia="Times New Roman" w:hAnsi="TimesNewRomanPSMT" w:cs="Times New Roman"/>
          <w:i/>
          <w:iCs/>
          <w:sz w:val="20"/>
          <w:szCs w:val="20"/>
          <w:lang w:eastAsia="en-GB"/>
        </w:rPr>
        <w:t xml:space="preserve">to exercise any of the powers conferred by paragraph (a) in respect of immovable property, excluding the letting of any other property than land in respect of which the lease is subject to section 1 (2) of the Formalities in respect of Leases of Land Act, 1969 (Act 19 of 1969), the council shall cause a notice of the resolution to that effect to be – </w:t>
      </w:r>
    </w:p>
    <w:p w14:paraId="0640DE4C" w14:textId="77777777" w:rsidR="009869FC" w:rsidRPr="009869FC" w:rsidRDefault="009869FC" w:rsidP="009869FC">
      <w:pPr>
        <w:spacing w:before="100" w:beforeAutospacing="1" w:after="100" w:afterAutospacing="1"/>
        <w:jc w:val="both"/>
        <w:rPr>
          <w:rFonts w:ascii="Times New Roman" w:eastAsia="Times New Roman" w:hAnsi="Times New Roman" w:cs="Times New Roman"/>
          <w:i/>
          <w:iCs/>
          <w:sz w:val="20"/>
          <w:szCs w:val="20"/>
          <w:lang w:eastAsia="en-GB"/>
        </w:rPr>
      </w:pPr>
      <w:r w:rsidRPr="009869FC">
        <w:rPr>
          <w:rFonts w:ascii="TimesNewRomanPSMT" w:eastAsia="Times New Roman" w:hAnsi="TimesNewRomanPSMT" w:cs="Times New Roman"/>
          <w:i/>
          <w:iCs/>
          <w:sz w:val="20"/>
          <w:szCs w:val="20"/>
          <w:lang w:eastAsia="en-GB"/>
        </w:rPr>
        <w:t xml:space="preserve">(i) affixed to the public notice board of the council; and </w:t>
      </w:r>
    </w:p>
    <w:p w14:paraId="019CB2AD" w14:textId="77777777" w:rsidR="009869FC" w:rsidRPr="009869FC" w:rsidRDefault="009869FC" w:rsidP="009869FC">
      <w:pPr>
        <w:spacing w:before="100" w:beforeAutospacing="1" w:after="100" w:afterAutospacing="1"/>
        <w:jc w:val="both"/>
        <w:rPr>
          <w:rFonts w:ascii="Times New Roman" w:eastAsia="Times New Roman" w:hAnsi="Times New Roman" w:cs="Times New Roman"/>
          <w:i/>
          <w:iCs/>
          <w:sz w:val="20"/>
          <w:szCs w:val="20"/>
          <w:lang w:eastAsia="en-GB"/>
        </w:rPr>
      </w:pPr>
      <w:r w:rsidRPr="009869FC">
        <w:rPr>
          <w:rFonts w:ascii="TimesNewRomanPSMT" w:eastAsia="Times New Roman" w:hAnsi="TimesNewRomanPSMT" w:cs="Times New Roman"/>
          <w:i/>
          <w:iCs/>
          <w:sz w:val="20"/>
          <w:szCs w:val="20"/>
          <w:lang w:eastAsia="en-GB"/>
        </w:rPr>
        <w:t xml:space="preserve">(ii) published in a newspaper in accordance with section 91 of the Republic of South Africa Constitution Act, 1983, </w:t>
      </w:r>
    </w:p>
    <w:p w14:paraId="737F38A3" w14:textId="71829052" w:rsidR="009869FC" w:rsidRPr="009869FC" w:rsidRDefault="009869FC" w:rsidP="009869FC">
      <w:pPr>
        <w:spacing w:before="100" w:beforeAutospacing="1" w:after="100" w:afterAutospacing="1"/>
        <w:jc w:val="both"/>
        <w:rPr>
          <w:rFonts w:ascii="Times New Roman" w:eastAsia="Times New Roman" w:hAnsi="Times New Roman" w:cs="Times New Roman"/>
          <w:i/>
          <w:iCs/>
          <w:sz w:val="20"/>
          <w:szCs w:val="20"/>
          <w:lang w:eastAsia="en-GB"/>
        </w:rPr>
      </w:pPr>
      <w:r w:rsidRPr="009869FC">
        <w:rPr>
          <w:rFonts w:ascii="TimesNewRomanPSMT" w:eastAsia="Times New Roman" w:hAnsi="TimesNewRomanPSMT" w:cs="Times New Roman"/>
          <w:i/>
          <w:iCs/>
          <w:sz w:val="20"/>
          <w:szCs w:val="20"/>
          <w:lang w:eastAsia="en-GB"/>
        </w:rPr>
        <w:t>in which any person who wishes to object to the exercise of any such power, is called upon to lodge his objection in writing with the town clerk within a stated period of not less than fourteen days from the date of the publication of the notice in the newspaper: Provided that where a council wishes to alienate or dispose of immovable property to the State or a statutory body, the Administrator may exempt the council from all or any of the provisions of this paragraph.</w:t>
      </w:r>
      <w:r>
        <w:rPr>
          <w:rFonts w:ascii="TimesNewRomanPSMT" w:eastAsia="Times New Roman" w:hAnsi="TimesNewRomanPSMT" w:cs="Times New Roman"/>
          <w:i/>
          <w:iCs/>
          <w:sz w:val="20"/>
          <w:szCs w:val="20"/>
          <w:lang w:eastAsia="en-GB"/>
        </w:rPr>
        <w:t>”</w:t>
      </w:r>
    </w:p>
    <w:p w14:paraId="5119173D" w14:textId="77777777" w:rsidR="009869FC" w:rsidRPr="009869FC" w:rsidRDefault="009869FC">
      <w:pPr>
        <w:pStyle w:val="FootnoteText"/>
        <w:rPr>
          <w:rFonts w:ascii="Times New Roman" w:hAnsi="Times New Roman" w:cs="Times New Roman"/>
          <w:i/>
          <w:iCs/>
          <w:lang w:val="en-US"/>
        </w:rPr>
      </w:pPr>
    </w:p>
  </w:footnote>
  <w:footnote w:id="7">
    <w:p w14:paraId="2DCC6AF1" w14:textId="77777777" w:rsidR="0000396D" w:rsidRDefault="0004364F" w:rsidP="0000396D">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Section 21 of the City of Johannesburg Municipal Plan</w:t>
      </w:r>
      <w:r w:rsidR="00E223E1">
        <w:rPr>
          <w:rFonts w:ascii="Times New Roman" w:hAnsi="Times New Roman" w:cs="Times New Roman"/>
          <w:lang w:val="en-US"/>
        </w:rPr>
        <w:t>ning By-Law 2016.</w:t>
      </w:r>
    </w:p>
    <w:p w14:paraId="25087D06" w14:textId="517C6F73" w:rsidR="0000396D" w:rsidRPr="0000396D" w:rsidRDefault="0000396D" w:rsidP="0000396D">
      <w:pPr>
        <w:pStyle w:val="FootnoteText"/>
        <w:rPr>
          <w:rFonts w:ascii="Times New Roman" w:hAnsi="Times New Roman" w:cs="Times New Roman"/>
          <w:b/>
          <w:bCs/>
          <w:lang w:val="en-US"/>
        </w:rPr>
      </w:pPr>
      <w:r w:rsidRPr="0000396D">
        <w:rPr>
          <w:rFonts w:ascii="Times New Roman" w:hAnsi="Times New Roman" w:cs="Times New Roman"/>
          <w:b/>
          <w:bCs/>
        </w:rPr>
        <w:t xml:space="preserve">21.Amendment of land use scheme </w:t>
      </w:r>
    </w:p>
    <w:p w14:paraId="51B10580" w14:textId="32F8298A" w:rsidR="0000396D" w:rsidRPr="001E4800" w:rsidRDefault="0000396D" w:rsidP="0000396D">
      <w:pPr>
        <w:pStyle w:val="NormalWeb"/>
        <w:numPr>
          <w:ilvl w:val="0"/>
          <w:numId w:val="11"/>
        </w:numPr>
        <w:jc w:val="both"/>
        <w:rPr>
          <w:sz w:val="20"/>
          <w:szCs w:val="20"/>
        </w:rPr>
      </w:pPr>
      <w:r w:rsidRPr="001E4800">
        <w:rPr>
          <w:sz w:val="20"/>
          <w:szCs w:val="20"/>
        </w:rPr>
        <w:t xml:space="preserve">(1)  An owner of land who wishes to have a provision of the City’s land use scheme or any provision of any other scheme which may still be applicable to the land under consideration amended, may submit an application in terms of this By-law to the City for consideration. </w:t>
      </w:r>
    </w:p>
    <w:p w14:paraId="0F2CF3CB" w14:textId="42875E21" w:rsidR="0000396D" w:rsidRPr="001E4800" w:rsidRDefault="0000396D" w:rsidP="0000396D">
      <w:pPr>
        <w:pStyle w:val="NormalWeb"/>
        <w:numPr>
          <w:ilvl w:val="0"/>
          <w:numId w:val="11"/>
        </w:numPr>
        <w:jc w:val="both"/>
        <w:rPr>
          <w:sz w:val="20"/>
          <w:szCs w:val="20"/>
        </w:rPr>
      </w:pPr>
      <w:r w:rsidRPr="001E4800">
        <w:rPr>
          <w:sz w:val="20"/>
          <w:szCs w:val="20"/>
        </w:rPr>
        <w:t xml:space="preserve">(2)  An application for the amendment of a provision of the City’s land use scheme or any other scheme that may still be applicable to the land under consideration as envisaged in subsection (1) above shall comply with the following procedures: </w:t>
      </w:r>
    </w:p>
    <w:p w14:paraId="4A9162A0" w14:textId="77777777" w:rsidR="0000396D" w:rsidRPr="001E4800" w:rsidRDefault="0000396D" w:rsidP="0000396D">
      <w:pPr>
        <w:pStyle w:val="NormalWeb"/>
        <w:numPr>
          <w:ilvl w:val="1"/>
          <w:numId w:val="11"/>
        </w:numPr>
        <w:jc w:val="both"/>
        <w:rPr>
          <w:sz w:val="20"/>
          <w:szCs w:val="20"/>
        </w:rPr>
      </w:pPr>
      <w:r w:rsidRPr="001E4800">
        <w:rPr>
          <w:sz w:val="20"/>
          <w:szCs w:val="20"/>
        </w:rPr>
        <w:t xml:space="preserve">(a)  Notice of the application shall be given once by simultaneously publishing a notice in the Provincial Gazette and a newspaper that circulates within the area of jurisdiction of the application site in English; </w:t>
      </w:r>
    </w:p>
    <w:p w14:paraId="46817096" w14:textId="77777777" w:rsidR="0000396D" w:rsidRPr="001E4800" w:rsidRDefault="0000396D" w:rsidP="0000396D">
      <w:pPr>
        <w:pStyle w:val="NormalWeb"/>
        <w:numPr>
          <w:ilvl w:val="1"/>
          <w:numId w:val="11"/>
        </w:numPr>
        <w:jc w:val="both"/>
        <w:rPr>
          <w:sz w:val="20"/>
          <w:szCs w:val="20"/>
        </w:rPr>
      </w:pPr>
      <w:r w:rsidRPr="001E4800">
        <w:rPr>
          <w:sz w:val="20"/>
          <w:szCs w:val="20"/>
        </w:rPr>
        <w:t xml:space="preserve">(b)  Such notice shall clearly reflect in terms of which section of this By-law the application is made and which land use scheme or any other scheme is applicable; </w:t>
      </w:r>
    </w:p>
    <w:p w14:paraId="6EC909E0" w14:textId="77777777" w:rsidR="0000396D" w:rsidRPr="001E4800" w:rsidRDefault="0000396D" w:rsidP="0000396D">
      <w:pPr>
        <w:pStyle w:val="NormalWeb"/>
        <w:numPr>
          <w:ilvl w:val="1"/>
          <w:numId w:val="11"/>
        </w:numPr>
        <w:jc w:val="both"/>
        <w:rPr>
          <w:sz w:val="20"/>
          <w:szCs w:val="20"/>
        </w:rPr>
      </w:pPr>
      <w:r w:rsidRPr="001E4800">
        <w:rPr>
          <w:sz w:val="20"/>
          <w:szCs w:val="20"/>
        </w:rPr>
        <w:t xml:space="preserve">(c)  Such notice shall reflect full details of the application including, but not limited to, the street address, the name of the township, a clear erf description of the erf concerned and the nature and general purpose of the application; </w:t>
      </w:r>
    </w:p>
    <w:p w14:paraId="318CB8FB" w14:textId="77777777" w:rsidR="0000396D" w:rsidRPr="001E4800" w:rsidRDefault="0000396D" w:rsidP="0000396D">
      <w:pPr>
        <w:pStyle w:val="NormalWeb"/>
        <w:numPr>
          <w:ilvl w:val="1"/>
          <w:numId w:val="11"/>
        </w:numPr>
        <w:jc w:val="both"/>
        <w:rPr>
          <w:sz w:val="20"/>
          <w:szCs w:val="20"/>
        </w:rPr>
      </w:pPr>
      <w:r w:rsidRPr="001E4800">
        <w:rPr>
          <w:sz w:val="20"/>
          <w:szCs w:val="20"/>
        </w:rPr>
        <w:t xml:space="preserve">(d)  Such notice shall further reflect the name, postal address, telephone number, fax number and e-mail address of the person submitting the application; </w:t>
      </w:r>
    </w:p>
    <w:p w14:paraId="7EA15085" w14:textId="77777777" w:rsidR="0000396D" w:rsidRPr="001E4800" w:rsidRDefault="0000396D" w:rsidP="0000396D">
      <w:pPr>
        <w:pStyle w:val="NormalWeb"/>
        <w:numPr>
          <w:ilvl w:val="1"/>
          <w:numId w:val="11"/>
        </w:numPr>
        <w:jc w:val="both"/>
        <w:rPr>
          <w:sz w:val="20"/>
          <w:szCs w:val="20"/>
        </w:rPr>
      </w:pPr>
      <w:r w:rsidRPr="001E4800">
        <w:rPr>
          <w:sz w:val="20"/>
          <w:szCs w:val="20"/>
        </w:rPr>
        <w:t xml:space="preserve">(e)  Such notice shall further reflect that the application and its accompanied documents will lie open for inspection at specified times and at specified places at the City‟s offices and that any objection, comment or representation in regard thereto must be submitted timeously to the City in writing by registered post, by hand, by facsimile or by e-mail within a period of 28 days from the date of publication of the notice as envisaged in subsection (2)(a) above. </w:t>
      </w:r>
    </w:p>
    <w:p w14:paraId="0D9AE845" w14:textId="77777777" w:rsidR="0000396D" w:rsidRPr="001E4800" w:rsidRDefault="0000396D" w:rsidP="0000396D">
      <w:pPr>
        <w:pStyle w:val="NormalWeb"/>
        <w:numPr>
          <w:ilvl w:val="1"/>
          <w:numId w:val="11"/>
        </w:numPr>
        <w:jc w:val="both"/>
        <w:rPr>
          <w:sz w:val="20"/>
          <w:szCs w:val="20"/>
        </w:rPr>
      </w:pPr>
      <w:r w:rsidRPr="001E4800">
        <w:rPr>
          <w:sz w:val="20"/>
          <w:szCs w:val="20"/>
        </w:rPr>
        <w:t xml:space="preserve">(f)  A site notice that contains the same detail as envisaged in subsections (b) to (e) above shall be displayed on the land under consideration in English; </w:t>
      </w:r>
    </w:p>
    <w:p w14:paraId="0ACD4C8D" w14:textId="77777777" w:rsidR="0000396D" w:rsidRPr="001E4800" w:rsidRDefault="0000396D" w:rsidP="0000396D">
      <w:pPr>
        <w:pStyle w:val="NormalWeb"/>
        <w:numPr>
          <w:ilvl w:val="1"/>
          <w:numId w:val="11"/>
        </w:numPr>
        <w:jc w:val="both"/>
        <w:rPr>
          <w:sz w:val="20"/>
          <w:szCs w:val="20"/>
        </w:rPr>
      </w:pPr>
      <w:r w:rsidRPr="001E4800">
        <w:rPr>
          <w:sz w:val="20"/>
          <w:szCs w:val="20"/>
        </w:rPr>
        <w:t xml:space="preserve">(g)  Such notice shall be displayed on the land from the same date as the date of the publication of the notice mentioned in subsection (a) above; </w:t>
      </w:r>
    </w:p>
    <w:p w14:paraId="00FE7A85" w14:textId="77777777" w:rsidR="0000396D" w:rsidRPr="001E4800" w:rsidRDefault="0000396D" w:rsidP="0000396D">
      <w:pPr>
        <w:pStyle w:val="NormalWeb"/>
        <w:numPr>
          <w:ilvl w:val="1"/>
          <w:numId w:val="11"/>
        </w:numPr>
        <w:jc w:val="both"/>
        <w:rPr>
          <w:sz w:val="20"/>
          <w:szCs w:val="20"/>
        </w:rPr>
      </w:pPr>
      <w:r w:rsidRPr="001E4800">
        <w:rPr>
          <w:sz w:val="20"/>
          <w:szCs w:val="20"/>
        </w:rPr>
        <w:t xml:space="preserve">(h)  Such notice shall be in the format as determined by the City; </w:t>
      </w:r>
    </w:p>
    <w:p w14:paraId="79646017" w14:textId="0C9C7AA6" w:rsidR="0000396D" w:rsidRPr="001E4800" w:rsidRDefault="0000396D" w:rsidP="0000396D">
      <w:pPr>
        <w:pStyle w:val="NormalWeb"/>
        <w:numPr>
          <w:ilvl w:val="1"/>
          <w:numId w:val="11"/>
        </w:numPr>
        <w:jc w:val="both"/>
        <w:rPr>
          <w:sz w:val="20"/>
          <w:szCs w:val="20"/>
        </w:rPr>
      </w:pPr>
      <w:r w:rsidRPr="001E4800">
        <w:rPr>
          <w:sz w:val="20"/>
          <w:szCs w:val="20"/>
        </w:rPr>
        <w:t xml:space="preserve">(i)  Such notice shall be displayed in a conspicuous place on the land in question where it would be best and easily visible and can be easily read from each and every adjacent public street or other adjacent public place; </w:t>
      </w:r>
    </w:p>
    <w:p w14:paraId="6D4C5762" w14:textId="5EB1ED6D" w:rsidR="0000396D" w:rsidRPr="001E4800" w:rsidRDefault="0000396D" w:rsidP="0000396D">
      <w:pPr>
        <w:pStyle w:val="NormalWeb"/>
        <w:numPr>
          <w:ilvl w:val="1"/>
          <w:numId w:val="11"/>
        </w:numPr>
        <w:jc w:val="both"/>
        <w:rPr>
          <w:sz w:val="20"/>
          <w:szCs w:val="20"/>
        </w:rPr>
      </w:pPr>
      <w:r w:rsidRPr="001E4800">
        <w:rPr>
          <w:sz w:val="20"/>
          <w:szCs w:val="20"/>
        </w:rPr>
        <w:t xml:space="preserve">(j)  Such notice shall be maintained in a clearly legible condition for a period of not less than 21 days from the date of publication of the notice mentioned in subsection (a) above; and </w:t>
      </w:r>
    </w:p>
    <w:p w14:paraId="65AFBE64" w14:textId="33E2726B" w:rsidR="0000396D" w:rsidRPr="001E4800" w:rsidRDefault="0000396D" w:rsidP="0000396D">
      <w:pPr>
        <w:pStyle w:val="NormalWeb"/>
        <w:numPr>
          <w:ilvl w:val="1"/>
          <w:numId w:val="11"/>
        </w:numPr>
        <w:jc w:val="both"/>
        <w:rPr>
          <w:sz w:val="20"/>
          <w:szCs w:val="20"/>
        </w:rPr>
      </w:pPr>
      <w:r w:rsidRPr="001E4800">
        <w:rPr>
          <w:sz w:val="20"/>
          <w:szCs w:val="20"/>
        </w:rPr>
        <w:t xml:space="preserve">(k)  In addition to the requirements in subsections (a) and (f) above, a letter shall also be dispatched within 7 days of date of the publication of the notice envisaged in subsection (a) above to the owners/occupiers of all contiguous erven, including those on the opposite side of a street or lane by registered post, by hand or by any other means available informing such owners/occupiers of all the detail as prescribed in subsection (2)(b) to (e) above. </w:t>
      </w:r>
    </w:p>
    <w:p w14:paraId="1F14ABD8" w14:textId="4E6C7996" w:rsidR="0000396D" w:rsidRPr="001E4800" w:rsidRDefault="0000396D" w:rsidP="0000396D">
      <w:pPr>
        <w:pStyle w:val="NormalWeb"/>
        <w:numPr>
          <w:ilvl w:val="0"/>
          <w:numId w:val="12"/>
        </w:numPr>
        <w:jc w:val="both"/>
        <w:rPr>
          <w:sz w:val="20"/>
          <w:szCs w:val="20"/>
        </w:rPr>
      </w:pPr>
      <w:r w:rsidRPr="001E4800">
        <w:rPr>
          <w:sz w:val="20"/>
          <w:szCs w:val="20"/>
        </w:rPr>
        <w:t xml:space="preserve">(3)  Proof of compliance with subsection (2) above must be submitted to the City in the form of a written affidavit within 14 days of expiry of the date contemplated in subsection (2)(e) above. </w:t>
      </w:r>
    </w:p>
    <w:p w14:paraId="64FB5CAC" w14:textId="29313C96" w:rsidR="0000396D" w:rsidRPr="001E4800" w:rsidRDefault="0000396D" w:rsidP="0000396D">
      <w:pPr>
        <w:pStyle w:val="NormalWeb"/>
        <w:numPr>
          <w:ilvl w:val="0"/>
          <w:numId w:val="12"/>
        </w:numPr>
        <w:jc w:val="both"/>
        <w:rPr>
          <w:sz w:val="20"/>
          <w:szCs w:val="20"/>
        </w:rPr>
      </w:pPr>
      <w:r w:rsidRPr="001E4800">
        <w:rPr>
          <w:sz w:val="20"/>
          <w:szCs w:val="20"/>
        </w:rPr>
        <w:t>(4)  On receipt of an application in terms of subsection (1) above, the City shall submit a copy of such application :</w:t>
      </w:r>
      <w:r w:rsidRPr="001E4800">
        <w:rPr>
          <w:sz w:val="20"/>
          <w:szCs w:val="20"/>
        </w:rPr>
        <w:br/>
        <w:t xml:space="preserve">(a)any Roads authority whether local (as a municipal owned Entity), Provincial or National which may have an interest in the application; </w:t>
      </w:r>
    </w:p>
    <w:p w14:paraId="356A8F57" w14:textId="6A038A4A" w:rsidR="0000396D" w:rsidRPr="001E4800" w:rsidRDefault="0000396D" w:rsidP="0000396D">
      <w:pPr>
        <w:pStyle w:val="NormalWeb"/>
        <w:numPr>
          <w:ilvl w:val="1"/>
          <w:numId w:val="12"/>
        </w:numPr>
        <w:jc w:val="both"/>
        <w:rPr>
          <w:sz w:val="20"/>
          <w:szCs w:val="20"/>
        </w:rPr>
      </w:pPr>
      <w:r w:rsidRPr="001E4800">
        <w:rPr>
          <w:sz w:val="20"/>
          <w:szCs w:val="20"/>
        </w:rPr>
        <w:t xml:space="preserve">(b)  any neighbouring municipality who may have an interest in the application; and </w:t>
      </w:r>
    </w:p>
    <w:p w14:paraId="53E0FCC9" w14:textId="6E66AAF1" w:rsidR="0000396D" w:rsidRPr="001E4800" w:rsidRDefault="0000396D" w:rsidP="0000396D">
      <w:pPr>
        <w:pStyle w:val="NormalWeb"/>
        <w:numPr>
          <w:ilvl w:val="1"/>
          <w:numId w:val="12"/>
        </w:numPr>
        <w:jc w:val="both"/>
        <w:rPr>
          <w:sz w:val="20"/>
          <w:szCs w:val="20"/>
        </w:rPr>
      </w:pPr>
      <w:r w:rsidRPr="001E4800">
        <w:rPr>
          <w:sz w:val="20"/>
          <w:szCs w:val="20"/>
        </w:rPr>
        <w:t xml:space="preserve">(c)  any other stakeholder, Municipal Department, Provincial Department, National Department, Municipal Entity or any other interested party who may, in the discretion of the City, have an interest in the application. </w:t>
      </w:r>
    </w:p>
    <w:p w14:paraId="5711BDA6" w14:textId="6A864A70" w:rsidR="0000396D" w:rsidRPr="001E4800" w:rsidRDefault="0000396D" w:rsidP="0000396D">
      <w:pPr>
        <w:pStyle w:val="NormalWeb"/>
        <w:numPr>
          <w:ilvl w:val="0"/>
          <w:numId w:val="12"/>
        </w:numPr>
        <w:jc w:val="both"/>
        <w:rPr>
          <w:sz w:val="20"/>
          <w:szCs w:val="20"/>
        </w:rPr>
      </w:pPr>
      <w:r w:rsidRPr="001E4800">
        <w:rPr>
          <w:sz w:val="20"/>
          <w:szCs w:val="20"/>
        </w:rPr>
        <w:t xml:space="preserve">(5)  The interested parties mentioned in subsection (4)(a)-(c) above to which a copy of the application has been forwarded shall submit its objection, comment and/or representation to the City in writing within 60 days of date of receipt of the application, failing which, it shall be deemed that such interested party has no objection, comment or representation to make. </w:t>
      </w:r>
    </w:p>
    <w:p w14:paraId="0C79F5DB" w14:textId="13249B0D" w:rsidR="0000396D" w:rsidRPr="001E4800" w:rsidRDefault="0000396D" w:rsidP="0000396D">
      <w:pPr>
        <w:pStyle w:val="NormalWeb"/>
        <w:numPr>
          <w:ilvl w:val="0"/>
          <w:numId w:val="12"/>
        </w:numPr>
        <w:jc w:val="both"/>
        <w:rPr>
          <w:sz w:val="20"/>
          <w:szCs w:val="20"/>
        </w:rPr>
      </w:pPr>
      <w:r w:rsidRPr="001E4800">
        <w:rPr>
          <w:sz w:val="20"/>
          <w:szCs w:val="20"/>
        </w:rPr>
        <w:t xml:space="preserve">(6)  The City shall forward a copy of each objection, comment and representation received in terms of the notices envisaged in subsection (2) and from the interested parties in terms of subsection (4) above in respect of the application to the applicant and the applicant may respond in writing thereto to the City within 14 days of date of receipt of such objection, comment and/or representation where after the City shall refer the application to the Municipal Planning Tribunal for a decision subject to the provisions of section 58 below. </w:t>
      </w:r>
    </w:p>
    <w:p w14:paraId="5C1D62C5" w14:textId="1D094B93" w:rsidR="0000396D" w:rsidRPr="001E4800" w:rsidRDefault="0000396D" w:rsidP="0000396D">
      <w:pPr>
        <w:pStyle w:val="NormalWeb"/>
        <w:numPr>
          <w:ilvl w:val="0"/>
          <w:numId w:val="12"/>
        </w:numPr>
        <w:jc w:val="both"/>
        <w:rPr>
          <w:sz w:val="20"/>
          <w:szCs w:val="20"/>
        </w:rPr>
      </w:pPr>
      <w:r w:rsidRPr="001E4800">
        <w:rPr>
          <w:sz w:val="20"/>
          <w:szCs w:val="20"/>
        </w:rPr>
        <w:t xml:space="preserve">(7)  No decision shall be taken on the application unless due regard has been given to each objection, comment and/or representation lodged timeously. </w:t>
      </w:r>
    </w:p>
    <w:p w14:paraId="4794F8C8" w14:textId="47D7126A" w:rsidR="0000396D" w:rsidRPr="001E4800" w:rsidRDefault="0000396D" w:rsidP="0000396D">
      <w:pPr>
        <w:pStyle w:val="NormalWeb"/>
        <w:jc w:val="both"/>
        <w:rPr>
          <w:sz w:val="20"/>
          <w:szCs w:val="20"/>
        </w:rPr>
      </w:pPr>
      <w:r w:rsidRPr="001E4800">
        <w:rPr>
          <w:sz w:val="20"/>
          <w:szCs w:val="20"/>
        </w:rPr>
        <w:t>(8)Subject to section 18(3), in the instance of an unopposed complete application, a decision on the application shall be taken by the authorised official or his/her duly authorised sub-delegate within 90 days of date of expiry of the administrative phase as contemplated in section 57(3) below.</w:t>
      </w:r>
      <w:r w:rsidRPr="001E4800">
        <w:rPr>
          <w:sz w:val="20"/>
          <w:szCs w:val="20"/>
        </w:rPr>
        <w:br/>
        <w:t>(9) An owner of land may at any stage prior to a decision been taken on the application, amend or withdraw his application provided that with an amendment, the amendment is not regarded in the opinion of the City as being material which would warrant re-compliance with subsections (2) and (4) above.</w:t>
      </w:r>
    </w:p>
  </w:footnote>
  <w:footnote w:id="8">
    <w:p w14:paraId="260CDFF6" w14:textId="187A993F" w:rsidR="00E223E1" w:rsidRPr="00E223E1" w:rsidRDefault="00E223E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Section 62(1)</w:t>
      </w:r>
    </w:p>
  </w:footnote>
  <w:footnote w:id="9">
    <w:p w14:paraId="1BD919C9" w14:textId="00BD9F93" w:rsidR="00E223E1" w:rsidRDefault="00E223E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Clause 43</w:t>
      </w:r>
      <w:r w:rsidR="00B152C1">
        <w:rPr>
          <w:rFonts w:ascii="Times New Roman" w:hAnsi="Times New Roman" w:cs="Times New Roman"/>
          <w:lang w:val="en-US"/>
        </w:rPr>
        <w:t xml:space="preserve"> provides:</w:t>
      </w:r>
    </w:p>
    <w:p w14:paraId="17D11BDA" w14:textId="777A2A17" w:rsidR="00B152C1" w:rsidRPr="001E4800" w:rsidRDefault="00F64C28" w:rsidP="00910747">
      <w:pPr>
        <w:jc w:val="both"/>
        <w:rPr>
          <w:rFonts w:ascii="Times New Roman" w:eastAsia="Times New Roman" w:hAnsi="Times New Roman" w:cs="Times New Roman"/>
          <w:sz w:val="20"/>
          <w:szCs w:val="20"/>
          <w:shd w:val="clear" w:color="auto" w:fill="E9EDEF"/>
          <w:lang w:eastAsia="en-GB"/>
        </w:rPr>
      </w:pPr>
      <w:r w:rsidRPr="001E4800">
        <w:rPr>
          <w:rFonts w:ascii="Times New Roman" w:eastAsia="Times New Roman" w:hAnsi="Times New Roman" w:cs="Times New Roman"/>
          <w:sz w:val="20"/>
          <w:szCs w:val="20"/>
          <w:shd w:val="clear" w:color="auto" w:fill="E9EDEF"/>
          <w:lang w:eastAsia="en-GB"/>
        </w:rPr>
        <w:t>“Any person who:</w:t>
      </w:r>
    </w:p>
    <w:p w14:paraId="24ADBC6D" w14:textId="1546FED7" w:rsidR="00F64C28" w:rsidRPr="001E4800" w:rsidRDefault="00F64C28" w:rsidP="00910747">
      <w:pPr>
        <w:jc w:val="both"/>
        <w:rPr>
          <w:rFonts w:ascii="Times New Roman" w:eastAsia="Times New Roman" w:hAnsi="Times New Roman" w:cs="Times New Roman"/>
          <w:sz w:val="20"/>
          <w:szCs w:val="20"/>
          <w:shd w:val="clear" w:color="auto" w:fill="E9EDEF"/>
          <w:lang w:eastAsia="en-GB"/>
        </w:rPr>
      </w:pPr>
      <w:r w:rsidRPr="001E4800">
        <w:rPr>
          <w:rFonts w:ascii="Times New Roman" w:eastAsia="Times New Roman" w:hAnsi="Times New Roman" w:cs="Times New Roman"/>
          <w:sz w:val="20"/>
          <w:szCs w:val="20"/>
          <w:shd w:val="clear" w:color="auto" w:fill="E9EDEF"/>
          <w:lang w:eastAsia="en-GB"/>
        </w:rPr>
        <w:t>(1) Contravenes or fails to comply with any provision of this Land Use Scheme; or</w:t>
      </w:r>
    </w:p>
    <w:p w14:paraId="5FAB41D7" w14:textId="5EEDEA58" w:rsidR="00F64C28" w:rsidRPr="001E4800" w:rsidRDefault="00F64C28" w:rsidP="00910747">
      <w:pPr>
        <w:jc w:val="both"/>
        <w:rPr>
          <w:rFonts w:ascii="Times New Roman" w:eastAsia="Times New Roman" w:hAnsi="Times New Roman" w:cs="Times New Roman"/>
          <w:sz w:val="20"/>
          <w:szCs w:val="20"/>
          <w:shd w:val="clear" w:color="auto" w:fill="E9EDEF"/>
          <w:lang w:eastAsia="en-GB"/>
        </w:rPr>
      </w:pPr>
      <w:r w:rsidRPr="001E4800">
        <w:rPr>
          <w:rFonts w:ascii="Times New Roman" w:eastAsia="Times New Roman" w:hAnsi="Times New Roman" w:cs="Times New Roman"/>
          <w:sz w:val="20"/>
          <w:szCs w:val="20"/>
          <w:shd w:val="clear" w:color="auto" w:fill="E9EDEF"/>
          <w:lang w:eastAsia="en-GB"/>
        </w:rPr>
        <w:t>(2) Contravenes or fails to comply with any requirements set out in a notice issued and served in terms of this Land Use Scheme; or</w:t>
      </w:r>
    </w:p>
    <w:p w14:paraId="6844164C" w14:textId="066FE567" w:rsidR="00F64C28" w:rsidRPr="001E4800" w:rsidRDefault="00F64C28" w:rsidP="00910747">
      <w:pPr>
        <w:jc w:val="both"/>
        <w:rPr>
          <w:rFonts w:ascii="Times New Roman" w:eastAsia="Times New Roman" w:hAnsi="Times New Roman" w:cs="Times New Roman"/>
          <w:sz w:val="20"/>
          <w:szCs w:val="20"/>
          <w:shd w:val="clear" w:color="auto" w:fill="E9EDEF"/>
          <w:lang w:eastAsia="en-GB"/>
        </w:rPr>
      </w:pPr>
      <w:r w:rsidRPr="001E4800">
        <w:rPr>
          <w:rFonts w:ascii="Times New Roman" w:eastAsia="Times New Roman" w:hAnsi="Times New Roman" w:cs="Times New Roman"/>
          <w:sz w:val="20"/>
          <w:szCs w:val="20"/>
          <w:shd w:val="clear" w:color="auto" w:fill="E9EDEF"/>
          <w:lang w:eastAsia="en-GB"/>
        </w:rPr>
        <w:t>(3) Contravenes or fails to comply with any condition set out in terms of any provision of this Land Use Scheme;</w:t>
      </w:r>
    </w:p>
    <w:p w14:paraId="059F82AD" w14:textId="36C735FB" w:rsidR="00B152C1" w:rsidRPr="001E4800" w:rsidRDefault="00F64C28" w:rsidP="00910747">
      <w:pPr>
        <w:jc w:val="both"/>
        <w:rPr>
          <w:rFonts w:ascii="Times New Roman" w:eastAsia="Times New Roman" w:hAnsi="Times New Roman" w:cs="Times New Roman"/>
          <w:lang w:eastAsia="en-GB"/>
        </w:rPr>
      </w:pPr>
      <w:r w:rsidRPr="001E4800">
        <w:rPr>
          <w:rFonts w:ascii="Times New Roman" w:eastAsia="Times New Roman" w:hAnsi="Times New Roman" w:cs="Times New Roman"/>
          <w:sz w:val="20"/>
          <w:szCs w:val="20"/>
          <w:shd w:val="clear" w:color="auto" w:fill="E9EDEF"/>
          <w:lang w:eastAsia="en-GB"/>
        </w:rPr>
        <w:t>Shall be guilty of an offence  and shall be prosecuted accordingly and may be liable on conviction to a fine or imprisonment as outlined in Section 62 and 63 of the City of Johannesburg Municipal Planning By-Law 2016</w:t>
      </w:r>
      <w:r w:rsidR="00910747" w:rsidRPr="001E4800">
        <w:rPr>
          <w:rFonts w:ascii="Times New Roman" w:eastAsia="Times New Roman" w:hAnsi="Times New Roman" w:cs="Times New Roman"/>
          <w:sz w:val="20"/>
          <w:szCs w:val="20"/>
          <w:shd w:val="clear" w:color="auto" w:fill="E9EDEF"/>
          <w:lang w:eastAsia="en-GB"/>
        </w:rPr>
        <w:t>.”</w:t>
      </w:r>
    </w:p>
  </w:footnote>
  <w:footnote w:id="10">
    <w:p w14:paraId="200F2B5E" w14:textId="5C0C93A9" w:rsidR="00E223E1" w:rsidRPr="00E223E1" w:rsidRDefault="00E223E1">
      <w:pPr>
        <w:pStyle w:val="FootnoteText"/>
        <w:rPr>
          <w:rFonts w:ascii="Times New Roman" w:hAnsi="Times New Roman" w:cs="Times New Roman"/>
          <w:lang w:val="en-US"/>
        </w:rPr>
      </w:pPr>
      <w:r>
        <w:rPr>
          <w:rStyle w:val="FootnoteReference"/>
        </w:rPr>
        <w:footnoteRef/>
      </w:r>
      <w:r>
        <w:t xml:space="preserve"> </w:t>
      </w:r>
      <w:r w:rsidR="00EA28C4">
        <w:rPr>
          <w:rFonts w:ascii="Times New Roman" w:hAnsi="Times New Roman" w:cs="Times New Roman"/>
          <w:lang w:val="en-US"/>
        </w:rPr>
        <w:t>Section 58</w:t>
      </w:r>
    </w:p>
  </w:footnote>
  <w:footnote w:id="11">
    <w:p w14:paraId="60D8E471" w14:textId="07512BBC" w:rsidR="00EA28C4" w:rsidRDefault="00EA28C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Lester v Ndlambe Municipality and Another 2015 (6) SA 283 (SCA) at paragraph [26]</w:t>
      </w:r>
      <w:r w:rsidR="00E6389C">
        <w:rPr>
          <w:rFonts w:ascii="Times New Roman" w:hAnsi="Times New Roman" w:cs="Times New Roman"/>
          <w:lang w:val="en-US"/>
        </w:rPr>
        <w:t xml:space="preserve"> the following was stated:</w:t>
      </w:r>
    </w:p>
    <w:p w14:paraId="1EA571A2" w14:textId="7429019B" w:rsidR="00E6389C" w:rsidRPr="00E6389C" w:rsidRDefault="00E6389C" w:rsidP="00E6389C">
      <w:pPr>
        <w:pStyle w:val="NormalWeb"/>
        <w:spacing w:before="144" w:beforeAutospacing="0" w:after="288" w:afterAutospacing="0"/>
        <w:jc w:val="both"/>
        <w:rPr>
          <w:color w:val="242121"/>
          <w:sz w:val="20"/>
          <w:szCs w:val="20"/>
        </w:rPr>
      </w:pPr>
      <w:r>
        <w:rPr>
          <w:i/>
          <w:iCs/>
          <w:lang w:val="en-US"/>
        </w:rPr>
        <w:t>“</w:t>
      </w:r>
      <w:r w:rsidRPr="00143524">
        <w:rPr>
          <w:i/>
          <w:iCs/>
          <w:color w:val="242121"/>
          <w:sz w:val="20"/>
          <w:szCs w:val="20"/>
          <w:lang w:val="en-GB"/>
        </w:rPr>
        <w:t>Local government, like all other organs of state, has to exercise its powers within the bounds determined by the law and such powers are subject to constitutional scrutiny, including a review for legality. In</w:t>
      </w:r>
      <w:r w:rsidRPr="00E6389C">
        <w:rPr>
          <w:color w:val="242121"/>
          <w:sz w:val="20"/>
          <w:szCs w:val="20"/>
          <w:lang w:val="en-GB"/>
        </w:rPr>
        <w:t> </w:t>
      </w:r>
      <w:r w:rsidRPr="00E6389C">
        <w:rPr>
          <w:i/>
          <w:iCs/>
          <w:color w:val="242121"/>
          <w:sz w:val="20"/>
          <w:szCs w:val="20"/>
          <w:lang w:val="en-GB"/>
        </w:rPr>
        <w:t>Fedsure Life Assurance Ltd v Greater Johannesburg Transitional Metropolitan Council</w:t>
      </w:r>
      <w:r w:rsidRPr="00E6389C">
        <w:rPr>
          <w:color w:val="242121"/>
          <w:sz w:val="20"/>
          <w:szCs w:val="20"/>
          <w:lang w:val="en-GB"/>
        </w:rPr>
        <w:t> 1999 (1) SA 374 (CC) </w:t>
      </w:r>
      <w:bookmarkStart w:id="0" w:name="_ftnref20"/>
      <w:r w:rsidRPr="00E6389C">
        <w:rPr>
          <w:color w:val="242121"/>
          <w:sz w:val="20"/>
          <w:szCs w:val="20"/>
        </w:rPr>
        <w:fldChar w:fldCharType="begin"/>
      </w:r>
      <w:r w:rsidRPr="00E6389C">
        <w:rPr>
          <w:color w:val="242121"/>
          <w:sz w:val="20"/>
          <w:szCs w:val="20"/>
        </w:rPr>
        <w:instrText xml:space="preserve"> HYPERLINK "http://www.saflii.org/za/cases/ZASCA/2013/95.html" \l "_ftn20" </w:instrText>
      </w:r>
      <w:r w:rsidRPr="00E6389C">
        <w:rPr>
          <w:color w:val="242121"/>
          <w:sz w:val="20"/>
          <w:szCs w:val="20"/>
        </w:rPr>
        <w:fldChar w:fldCharType="separate"/>
      </w:r>
      <w:r w:rsidRPr="00E6389C">
        <w:rPr>
          <w:b/>
          <w:bCs/>
          <w:color w:val="0B4B0B"/>
          <w:sz w:val="20"/>
          <w:szCs w:val="20"/>
          <w:u w:val="single"/>
          <w:lang w:val="en-GB"/>
        </w:rPr>
        <w:t>[20]</w:t>
      </w:r>
      <w:r w:rsidRPr="00E6389C">
        <w:rPr>
          <w:color w:val="242121"/>
          <w:sz w:val="20"/>
          <w:szCs w:val="20"/>
        </w:rPr>
        <w:fldChar w:fldCharType="end"/>
      </w:r>
      <w:bookmarkEnd w:id="0"/>
      <w:r w:rsidRPr="00E6389C">
        <w:rPr>
          <w:color w:val="242121"/>
          <w:sz w:val="20"/>
          <w:szCs w:val="20"/>
          <w:lang w:val="en-GB"/>
        </w:rPr>
        <w:t> the court expounded on the doctrine of legality as an essential component of the rule of law as follows:</w:t>
      </w:r>
    </w:p>
    <w:p w14:paraId="4C051B8F" w14:textId="1C6F20D2" w:rsidR="00E6389C" w:rsidRPr="00E6389C" w:rsidRDefault="00E6389C" w:rsidP="00E6389C">
      <w:pPr>
        <w:spacing w:before="144" w:after="288"/>
        <w:jc w:val="both"/>
        <w:rPr>
          <w:rFonts w:ascii="Times New Roman" w:eastAsia="Times New Roman" w:hAnsi="Times New Roman" w:cs="Times New Roman"/>
          <w:i/>
          <w:iCs/>
          <w:color w:val="242121"/>
          <w:sz w:val="20"/>
          <w:szCs w:val="20"/>
          <w:lang w:eastAsia="en-GB"/>
        </w:rPr>
      </w:pPr>
      <w:r w:rsidRPr="00E6389C">
        <w:rPr>
          <w:rFonts w:ascii="Times New Roman" w:eastAsia="Times New Roman" w:hAnsi="Times New Roman" w:cs="Times New Roman"/>
          <w:i/>
          <w:iCs/>
          <w:color w:val="242121"/>
          <w:sz w:val="20"/>
          <w:szCs w:val="20"/>
          <w:lang w:eastAsia="en-GB"/>
        </w:rPr>
        <w:t>“</w:t>
      </w:r>
      <w:r w:rsidRPr="00E6389C">
        <w:rPr>
          <w:rFonts w:ascii="Times New Roman" w:eastAsia="Times New Roman" w:hAnsi="Times New Roman" w:cs="Times New Roman"/>
          <w:i/>
          <w:iCs/>
          <w:color w:val="242121"/>
          <w:sz w:val="20"/>
          <w:szCs w:val="20"/>
          <w:lang w:val="en-GB" w:eastAsia="en-GB"/>
        </w:rPr>
        <w:t>These provisions [</w:t>
      </w:r>
      <w:r w:rsidR="00593552">
        <w:rPr>
          <w:rFonts w:ascii="Times New Roman" w:eastAsia="Times New Roman" w:hAnsi="Times New Roman" w:cs="Times New Roman"/>
          <w:i/>
          <w:iCs/>
          <w:color w:val="242121"/>
          <w:sz w:val="20"/>
          <w:szCs w:val="20"/>
          <w:lang w:val="en-GB" w:eastAsia="en-GB"/>
        </w:rPr>
        <w:t>i</w:t>
      </w:r>
      <w:r w:rsidRPr="00E6389C">
        <w:rPr>
          <w:rFonts w:ascii="Times New Roman" w:eastAsia="Times New Roman" w:hAnsi="Times New Roman" w:cs="Times New Roman"/>
          <w:i/>
          <w:iCs/>
          <w:color w:val="242121"/>
          <w:sz w:val="20"/>
          <w:szCs w:val="20"/>
          <w:lang w:val="en-GB" w:eastAsia="en-GB"/>
        </w:rPr>
        <w:t>e ss 174(3) and 175(4) of the Constitution] imply that a local government may only act within the powers lawfully conferred upon it. There is nothing startling in this proposition – it is a fundamental principle of the rule of law, recognized widely, that the exercise of public power is only legitimate where lawful. The rule of law – to the extent at least that it expresses this principle of legality – is generally understood to be a fundamental principle of constitutional law.”</w:t>
      </w:r>
      <w:r w:rsidRPr="00E6389C">
        <w:rPr>
          <w:rFonts w:ascii="Times New Roman" w:eastAsia="Times New Roman" w:hAnsi="Times New Roman" w:cs="Times New Roman"/>
          <w:i/>
          <w:iCs/>
          <w:color w:val="242121"/>
          <w:sz w:val="20"/>
          <w:szCs w:val="20"/>
          <w:lang w:eastAsia="en-GB"/>
        </w:rPr>
        <w:t xml:space="preserve"> </w:t>
      </w:r>
    </w:p>
    <w:p w14:paraId="7AFF1044" w14:textId="77777777" w:rsidR="00E6389C" w:rsidRPr="00E6389C" w:rsidRDefault="00E6389C" w:rsidP="00E6389C">
      <w:pPr>
        <w:spacing w:before="144" w:after="288"/>
        <w:jc w:val="both"/>
        <w:rPr>
          <w:rFonts w:ascii="Times New Roman" w:eastAsia="Times New Roman" w:hAnsi="Times New Roman" w:cs="Times New Roman"/>
          <w:i/>
          <w:iCs/>
          <w:color w:val="242121"/>
          <w:sz w:val="20"/>
          <w:szCs w:val="20"/>
          <w:lang w:eastAsia="en-GB"/>
        </w:rPr>
      </w:pPr>
      <w:r w:rsidRPr="00E6389C">
        <w:rPr>
          <w:rFonts w:ascii="Times New Roman" w:eastAsia="Times New Roman" w:hAnsi="Times New Roman" w:cs="Times New Roman"/>
          <w:i/>
          <w:iCs/>
          <w:color w:val="242121"/>
          <w:sz w:val="20"/>
          <w:szCs w:val="20"/>
          <w:lang w:eastAsia="en-GB"/>
        </w:rPr>
        <w:t>The power to approach a court for a demolition order in s 21 is unquestionably a public power bestowed upon local authorities. As such, its exercise must conform to the doctrine of legality. Put differently, a failure to exercise that power where the exigencies of a particular case require it, would amount to undermining the legality principle which, as</w:t>
      </w:r>
      <w:r w:rsidRPr="00E6389C">
        <w:rPr>
          <w:rFonts w:ascii="Times New Roman" w:eastAsia="Times New Roman" w:hAnsi="Times New Roman" w:cs="Times New Roman"/>
          <w:color w:val="242121"/>
          <w:sz w:val="20"/>
          <w:szCs w:val="20"/>
          <w:lang w:eastAsia="en-GB"/>
        </w:rPr>
        <w:t xml:space="preserve"> </w:t>
      </w:r>
      <w:r w:rsidRPr="00E6389C">
        <w:rPr>
          <w:rFonts w:ascii="Times New Roman" w:eastAsia="Times New Roman" w:hAnsi="Times New Roman" w:cs="Times New Roman"/>
          <w:i/>
          <w:iCs/>
          <w:color w:val="242121"/>
          <w:sz w:val="20"/>
          <w:szCs w:val="20"/>
          <w:lang w:eastAsia="en-GB"/>
        </w:rPr>
        <w:t>stated, is inextricably linked to the rule of law.</w:t>
      </w:r>
      <w:r w:rsidRPr="00E6389C">
        <w:rPr>
          <w:rFonts w:ascii="Times New Roman" w:eastAsia="Times New Roman" w:hAnsi="Times New Roman" w:cs="Times New Roman"/>
          <w:color w:val="242121"/>
          <w:sz w:val="20"/>
          <w:szCs w:val="20"/>
          <w:lang w:eastAsia="en-GB"/>
        </w:rPr>
        <w:t xml:space="preserve"> See </w:t>
      </w:r>
      <w:r w:rsidRPr="00E6389C">
        <w:rPr>
          <w:rFonts w:ascii="Times New Roman" w:eastAsia="Times New Roman" w:hAnsi="Times New Roman" w:cs="Times New Roman"/>
          <w:i/>
          <w:iCs/>
          <w:color w:val="242121"/>
          <w:sz w:val="20"/>
          <w:szCs w:val="20"/>
          <w:lang w:eastAsia="en-GB"/>
        </w:rPr>
        <w:t>AAA Investments (Pty) Ltd v Micro Finance Regulatory Council and another</w:t>
      </w:r>
      <w:r w:rsidRPr="00E6389C">
        <w:rPr>
          <w:rFonts w:ascii="Times New Roman" w:eastAsia="Times New Roman" w:hAnsi="Times New Roman" w:cs="Times New Roman"/>
          <w:color w:val="242121"/>
          <w:sz w:val="20"/>
          <w:szCs w:val="20"/>
          <w:lang w:eastAsia="en-GB"/>
        </w:rPr>
        <w:t> </w:t>
      </w:r>
      <w:r w:rsidRPr="00E6389C">
        <w:rPr>
          <w:rFonts w:ascii="Times New Roman" w:eastAsia="Times New Roman" w:hAnsi="Times New Roman" w:cs="Times New Roman"/>
          <w:i/>
          <w:iCs/>
          <w:color w:val="242121"/>
          <w:sz w:val="20"/>
          <w:szCs w:val="20"/>
          <w:lang w:eastAsia="en-GB"/>
        </w:rPr>
        <w:t>where the court held as follows:</w:t>
      </w:r>
    </w:p>
    <w:p w14:paraId="2620004F" w14:textId="35565BFD" w:rsidR="00E6389C" w:rsidRPr="00E6389C" w:rsidRDefault="00E6389C" w:rsidP="00E6389C">
      <w:pPr>
        <w:spacing w:before="144" w:after="288"/>
        <w:jc w:val="both"/>
        <w:rPr>
          <w:rFonts w:ascii="Times New Roman" w:eastAsia="Times New Roman" w:hAnsi="Times New Roman" w:cs="Times New Roman"/>
          <w:i/>
          <w:iCs/>
          <w:color w:val="242121"/>
          <w:sz w:val="20"/>
          <w:szCs w:val="20"/>
          <w:lang w:eastAsia="en-GB"/>
        </w:rPr>
      </w:pPr>
      <w:r w:rsidRPr="00E6389C">
        <w:rPr>
          <w:rFonts w:ascii="Times New Roman" w:eastAsia="Times New Roman" w:hAnsi="Times New Roman" w:cs="Times New Roman"/>
          <w:i/>
          <w:iCs/>
          <w:color w:val="242121"/>
          <w:sz w:val="20"/>
          <w:szCs w:val="20"/>
          <w:lang w:eastAsia="en-GB"/>
        </w:rPr>
        <w:t>“</w:t>
      </w:r>
      <w:r w:rsidRPr="00E6389C">
        <w:rPr>
          <w:rFonts w:ascii="Times New Roman" w:eastAsia="Times New Roman" w:hAnsi="Times New Roman" w:cs="Times New Roman"/>
          <w:i/>
          <w:iCs/>
          <w:color w:val="242121"/>
          <w:sz w:val="20"/>
          <w:szCs w:val="20"/>
          <w:lang w:val="en-GB" w:eastAsia="en-GB"/>
        </w:rPr>
        <w:t>(t)he doctrine of legality which requires that power should have a source in law, is applicable whenever public power is exercised . . . . Public power . . . can be validly exercised only if it is clearly sourced in law”</w:t>
      </w:r>
      <w:r w:rsidR="00143524">
        <w:rPr>
          <w:rFonts w:ascii="Times New Roman" w:eastAsia="Times New Roman" w:hAnsi="Times New Roman" w:cs="Times New Roman"/>
          <w:i/>
          <w:iCs/>
          <w:color w:val="242121"/>
          <w:sz w:val="20"/>
          <w:szCs w:val="20"/>
          <w:lang w:eastAsia="en-GB"/>
        </w:rPr>
        <w:t>.</w:t>
      </w:r>
      <w:r w:rsidR="00143524" w:rsidRPr="00E6389C">
        <w:rPr>
          <w:rFonts w:ascii="Times New Roman" w:eastAsia="Times New Roman" w:hAnsi="Times New Roman" w:cs="Times New Roman"/>
          <w:i/>
          <w:iCs/>
          <w:color w:val="242121"/>
          <w:sz w:val="20"/>
          <w:szCs w:val="20"/>
          <w:lang w:eastAsia="en-GB"/>
        </w:rPr>
        <w:t xml:space="preserve"> </w:t>
      </w:r>
    </w:p>
    <w:p w14:paraId="500791F4" w14:textId="5A348740" w:rsidR="00E6389C" w:rsidRPr="004842B8" w:rsidRDefault="00E6389C" w:rsidP="004842B8">
      <w:pPr>
        <w:spacing w:before="144" w:after="288"/>
        <w:jc w:val="both"/>
        <w:rPr>
          <w:rFonts w:ascii="Times New Roman" w:eastAsia="Times New Roman" w:hAnsi="Times New Roman" w:cs="Times New Roman"/>
          <w:i/>
          <w:iCs/>
          <w:color w:val="242121"/>
          <w:sz w:val="20"/>
          <w:szCs w:val="20"/>
          <w:lang w:eastAsia="en-GB"/>
        </w:rPr>
      </w:pPr>
      <w:r w:rsidRPr="00E6389C">
        <w:rPr>
          <w:rFonts w:ascii="Times New Roman" w:eastAsia="Times New Roman" w:hAnsi="Times New Roman" w:cs="Times New Roman"/>
          <w:i/>
          <w:iCs/>
          <w:color w:val="242121"/>
          <w:sz w:val="20"/>
          <w:szCs w:val="20"/>
          <w:lang w:val="en-GB" w:eastAsia="en-GB"/>
        </w:rPr>
        <w:t>In National Director of Public Prosecutions v Zuma</w:t>
      </w:r>
      <w:r w:rsidR="00143524">
        <w:rPr>
          <w:rFonts w:ascii="Times New Roman" w:eastAsia="Times New Roman" w:hAnsi="Times New Roman" w:cs="Times New Roman"/>
          <w:i/>
          <w:iCs/>
          <w:color w:val="242121"/>
          <w:sz w:val="20"/>
          <w:szCs w:val="20"/>
          <w:lang w:eastAsia="en-GB"/>
        </w:rPr>
        <w:t xml:space="preserve"> </w:t>
      </w:r>
      <w:r w:rsidRPr="00E6389C">
        <w:rPr>
          <w:rFonts w:ascii="Times New Roman" w:eastAsia="Times New Roman" w:hAnsi="Times New Roman" w:cs="Times New Roman"/>
          <w:i/>
          <w:iCs/>
          <w:color w:val="242121"/>
          <w:sz w:val="20"/>
          <w:szCs w:val="20"/>
          <w:lang w:val="en-GB" w:eastAsia="en-GB"/>
        </w:rPr>
        <w:t>Harms DP emphasized that the courts are similarly constrained by the doctrine of legality, ie to exercise only those powers bestowed upon them by the law.</w:t>
      </w:r>
      <w:r w:rsidR="00143524" w:rsidRPr="00E6389C">
        <w:rPr>
          <w:rFonts w:ascii="Times New Roman" w:eastAsia="Times New Roman" w:hAnsi="Times New Roman" w:cs="Times New Roman"/>
          <w:i/>
          <w:iCs/>
          <w:color w:val="242121"/>
          <w:sz w:val="20"/>
          <w:szCs w:val="20"/>
          <w:lang w:val="en-GB" w:eastAsia="en-GB"/>
        </w:rPr>
        <w:t xml:space="preserve"> </w:t>
      </w:r>
      <w:r w:rsidRPr="00E6389C">
        <w:rPr>
          <w:rFonts w:ascii="Times New Roman" w:eastAsia="Times New Roman" w:hAnsi="Times New Roman" w:cs="Times New Roman"/>
          <w:i/>
          <w:iCs/>
          <w:color w:val="242121"/>
          <w:sz w:val="20"/>
          <w:szCs w:val="20"/>
          <w:lang w:val="en-GB" w:eastAsia="en-GB"/>
        </w:rPr>
        <w:t>The concomitant obligation to uphold the rule of law and, with it,</w:t>
      </w:r>
      <w:r w:rsidRPr="00E6389C">
        <w:rPr>
          <w:rFonts w:ascii="Verdana" w:eastAsia="Times New Roman" w:hAnsi="Verdana" w:cs="Times New Roman"/>
          <w:i/>
          <w:iCs/>
          <w:color w:val="242121"/>
          <w:lang w:val="en-GB" w:eastAsia="en-GB"/>
        </w:rPr>
        <w:t xml:space="preserve"> </w:t>
      </w:r>
      <w:r w:rsidRPr="00E6389C">
        <w:rPr>
          <w:rFonts w:ascii="Times New Roman" w:eastAsia="Times New Roman" w:hAnsi="Times New Roman" w:cs="Times New Roman"/>
          <w:i/>
          <w:iCs/>
          <w:color w:val="242121"/>
          <w:sz w:val="20"/>
          <w:szCs w:val="20"/>
          <w:lang w:val="en-GB" w:eastAsia="en-GB"/>
        </w:rPr>
        <w:t>the doctrine of legality, is self-evident. In this regard, the court below was constrained by that doctrine to enforce the law by issuing a demolition order once the jurisdictional facts for such an order were found to exist.</w:t>
      </w:r>
      <w:r w:rsidR="00143524">
        <w:rPr>
          <w:rFonts w:ascii="Times New Roman" w:eastAsia="Times New Roman" w:hAnsi="Times New Roman" w:cs="Times New Roman"/>
          <w:i/>
          <w:iCs/>
          <w:color w:val="242121"/>
          <w:sz w:val="20"/>
          <w:szCs w:val="20"/>
          <w:lang w:val="en-GB" w:eastAsia="en-GB"/>
        </w:rPr>
        <w:t>”</w:t>
      </w:r>
    </w:p>
  </w:footnote>
  <w:footnote w:id="12">
    <w:p w14:paraId="395549C3" w14:textId="663C3726" w:rsidR="004842B8" w:rsidRPr="004842B8" w:rsidRDefault="004842B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Chapman Peak Hotel (Pty) Ltd and Another v Jab and Annalene Restaurants CC t/a O’Hagans [2011] </w:t>
      </w:r>
      <w:r w:rsidR="009400EB">
        <w:rPr>
          <w:rFonts w:ascii="Times New Roman" w:hAnsi="Times New Roman" w:cs="Times New Roman"/>
        </w:rPr>
        <w:t>4 All SA 415 (C) at paragraph [18].</w:t>
      </w:r>
    </w:p>
  </w:footnote>
  <w:footnote w:id="13">
    <w:p w14:paraId="7DFACF34" w14:textId="17AB27FB" w:rsidR="00811C62" w:rsidRPr="00811C62" w:rsidRDefault="00811C62">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Setlogelo v Setlogelo 1914 AD 221; ABSA Bank Ltd v Dlamini 2008 (2) SA 262 (T).</w:t>
      </w:r>
    </w:p>
  </w:footnote>
  <w:footnote w:id="14">
    <w:p w14:paraId="08ED16AE" w14:textId="1E44C822" w:rsidR="006B5804" w:rsidRPr="008D6C1E" w:rsidRDefault="006B5804" w:rsidP="006B580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2004 (6) SA 222 (SCA)</w:t>
      </w:r>
      <w:r w:rsidR="00DF7F44">
        <w:rPr>
          <w:rFonts w:ascii="Times New Roman" w:hAnsi="Times New Roman" w:cs="Times New Roman"/>
        </w:rPr>
        <w:t>.</w:t>
      </w:r>
    </w:p>
  </w:footnote>
  <w:footnote w:id="15">
    <w:p w14:paraId="119AEA06" w14:textId="47DEC069" w:rsidR="00F31DB3" w:rsidRDefault="006B5804" w:rsidP="006B580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Afrisure CC and Another v Watson NO and Another 2009 (2) SA 127 (SCA) at paragraph [39].</w:t>
      </w:r>
    </w:p>
    <w:p w14:paraId="2320510A" w14:textId="37C7B5EB" w:rsidR="00F31DB3" w:rsidRPr="006445CC" w:rsidRDefault="00F31DB3" w:rsidP="006445CC">
      <w:pPr>
        <w:jc w:val="both"/>
        <w:rPr>
          <w:rFonts w:ascii="Times New Roman" w:hAnsi="Times New Roman" w:cs="Times New Roman"/>
          <w:i/>
          <w:iCs/>
          <w:color w:val="0D0D0D" w:themeColor="text1" w:themeTint="F2"/>
          <w:sz w:val="20"/>
          <w:szCs w:val="20"/>
        </w:rPr>
      </w:pPr>
      <w:r w:rsidRPr="006445CC">
        <w:rPr>
          <w:rFonts w:ascii="Times New Roman" w:hAnsi="Times New Roman" w:cs="Times New Roman"/>
          <w:i/>
          <w:iCs/>
          <w:color w:val="0D0D0D" w:themeColor="text1" w:themeTint="F2"/>
          <w:sz w:val="20"/>
          <w:szCs w:val="20"/>
          <w:lang w:val="en-US"/>
        </w:rPr>
        <w:t>“</w:t>
      </w:r>
      <w:r w:rsidRPr="006445CC">
        <w:rPr>
          <w:rFonts w:ascii="Times New Roman" w:hAnsi="Times New Roman" w:cs="Times New Roman"/>
          <w:i/>
          <w:iCs/>
          <w:color w:val="0D0D0D" w:themeColor="text1" w:themeTint="F2"/>
          <w:sz w:val="20"/>
          <w:szCs w:val="20"/>
        </w:rPr>
        <w:t>This leads me to consider the appellants’ reliance on the rule of our law, that the</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condictio ob turpem vel iniustam causam</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can in principle only be successfully instituted by a plaintiff whose own conduct was free from turpitude, ie who did not act dishonourably</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(see eg Daniël Visser</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op cit</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443; J C Sonnekus</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Ongegronde Verryking in die Suid-Afrikaanse Reg</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(2007) 139). This rule is expressed in the maxim taken from Roman and Roman Dutch Law:</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in pari delicto potior est conditio defendentis</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and thus became known as the</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par delictum</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rule. The principle underlying the</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par delictum</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rule is that, because the law should discourage illegality, it would be contrary to public policy to render assistance to those who defy the law. Prior to the judgment in</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Jajbhay v Cassim</w:t>
      </w:r>
      <w:r w:rsidRPr="006445CC">
        <w:rPr>
          <w:rStyle w:val="apple-converted-space"/>
          <w:rFonts w:ascii="Times New Roman" w:hAnsi="Times New Roman" w:cs="Times New Roman"/>
          <w:i/>
          <w:iCs/>
          <w:color w:val="0D0D0D" w:themeColor="text1" w:themeTint="F2"/>
          <w:sz w:val="20"/>
          <w:szCs w:val="20"/>
        </w:rPr>
        <w:t> </w:t>
      </w:r>
      <w:hyperlink r:id="rId1" w:tooltip="View LawCiteRecord" w:history="1">
        <w:r w:rsidRPr="006445CC">
          <w:rPr>
            <w:rStyle w:val="Hyperlink"/>
            <w:rFonts w:ascii="Times New Roman" w:hAnsi="Times New Roman" w:cs="Times New Roman"/>
            <w:i/>
            <w:iCs/>
            <w:color w:val="0D0D0D" w:themeColor="text1" w:themeTint="F2"/>
            <w:sz w:val="20"/>
            <w:szCs w:val="20"/>
            <w:u w:val="none"/>
          </w:rPr>
          <w:t>1939 AD 537</w:t>
        </w:r>
      </w:hyperlink>
      <w:r w:rsidRPr="006445CC">
        <w:rPr>
          <w:rFonts w:ascii="Times New Roman" w:hAnsi="Times New Roman" w:cs="Times New Roman"/>
          <w:i/>
          <w:iCs/>
          <w:color w:val="0D0D0D" w:themeColor="text1" w:themeTint="F2"/>
          <w:sz w:val="20"/>
          <w:szCs w:val="20"/>
        </w:rPr>
        <w:t>, the</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par delictum</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rule found strict and consistent application in our courts (see eg</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Brandt v Bergstedt</w:t>
      </w:r>
      <w:r w:rsidRPr="006445CC">
        <w:rPr>
          <w:rStyle w:val="apple-converted-space"/>
          <w:rFonts w:ascii="Times New Roman" w:hAnsi="Times New Roman" w:cs="Times New Roman"/>
          <w:i/>
          <w:iCs/>
          <w:color w:val="0D0D0D" w:themeColor="text1" w:themeTint="F2"/>
          <w:sz w:val="20"/>
          <w:szCs w:val="20"/>
        </w:rPr>
        <w:t> </w:t>
      </w:r>
      <w:hyperlink r:id="rId2" w:tooltip="View LawCiteRecord" w:history="1">
        <w:r w:rsidRPr="006445CC">
          <w:rPr>
            <w:rStyle w:val="Hyperlink"/>
            <w:rFonts w:ascii="Times New Roman" w:hAnsi="Times New Roman" w:cs="Times New Roman"/>
            <w:i/>
            <w:iCs/>
            <w:color w:val="0D0D0D" w:themeColor="text1" w:themeTint="F2"/>
            <w:sz w:val="20"/>
            <w:szCs w:val="20"/>
            <w:u w:val="none"/>
          </w:rPr>
          <w:t>1917 CPD 344).</w:t>
        </w:r>
      </w:hyperlink>
      <w:r w:rsidRPr="006445CC">
        <w:rPr>
          <w:rFonts w:ascii="Times New Roman" w:hAnsi="Times New Roman" w:cs="Times New Roman"/>
          <w:i/>
          <w:iCs/>
          <w:color w:val="0D0D0D" w:themeColor="text1" w:themeTint="F2"/>
          <w:sz w:val="20"/>
          <w:szCs w:val="20"/>
        </w:rPr>
        <w:t>But in</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Jajbhay</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this court – while affirming the considerations of public policy underlying the rule – decided that it should be relaxed, as Stratford CJ put it (at 544), in those instances where 'public policy should properly take into account the doing of simple justice between man and man'. Since then the principles enunciated in</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Jajbhay</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have been considered and applied in many cases (see eg the decisions of this court in</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Visser v Rousseau &amp; andere NNO</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1990 (1) 139 (A) and</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Klokow v Sullivan</w:t>
      </w:r>
      <w:r w:rsidRPr="006445CC">
        <w:rPr>
          <w:rStyle w:val="apple-converted-space"/>
          <w:rFonts w:ascii="Times New Roman" w:hAnsi="Times New Roman" w:cs="Times New Roman"/>
          <w:i/>
          <w:iCs/>
          <w:color w:val="0D0D0D" w:themeColor="text1" w:themeTint="F2"/>
          <w:sz w:val="20"/>
          <w:szCs w:val="20"/>
        </w:rPr>
        <w:t> </w:t>
      </w:r>
      <w:hyperlink r:id="rId3" w:tooltip="View LawCiteRecord" w:history="1">
        <w:r w:rsidRPr="006445CC">
          <w:rPr>
            <w:rStyle w:val="Hyperlink"/>
            <w:rFonts w:ascii="Times New Roman" w:hAnsi="Times New Roman" w:cs="Times New Roman"/>
            <w:i/>
            <w:iCs/>
            <w:color w:val="0D0D0D" w:themeColor="text1" w:themeTint="F2"/>
            <w:sz w:val="20"/>
            <w:szCs w:val="20"/>
            <w:u w:val="none"/>
          </w:rPr>
          <w:t>2006 (1) SA 259</w:t>
        </w:r>
      </w:hyperlink>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(SCA)). No definite criteria have, however, been laid down to decide whether the rule should be relaxed or not. The reason, I think, is plain. The issue of relaxation may arise in such an infinite variety of circumstances that it would be unwise for the courts to shackle their own discretion by predetermined rules or even guidelines as to when relaxation of the</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par delictum</w:t>
      </w:r>
      <w:r w:rsidRPr="006445CC">
        <w:rPr>
          <w:rStyle w:val="apple-converted-space"/>
          <w:rFonts w:ascii="Times New Roman" w:hAnsi="Times New Roman" w:cs="Times New Roman"/>
          <w:i/>
          <w:iCs/>
          <w:color w:val="0D0D0D" w:themeColor="text1" w:themeTint="F2"/>
          <w:sz w:val="20"/>
          <w:szCs w:val="20"/>
        </w:rPr>
        <w:t> </w:t>
      </w:r>
      <w:r w:rsidRPr="006445CC">
        <w:rPr>
          <w:rFonts w:ascii="Times New Roman" w:hAnsi="Times New Roman" w:cs="Times New Roman"/>
          <w:i/>
          <w:iCs/>
          <w:color w:val="0D0D0D" w:themeColor="text1" w:themeTint="F2"/>
          <w:sz w:val="20"/>
          <w:szCs w:val="20"/>
        </w:rPr>
        <w:t>rule will be allowed.”</w:t>
      </w:r>
    </w:p>
    <w:p w14:paraId="47885888" w14:textId="29D1A821" w:rsidR="00F31DB3" w:rsidRPr="00F31DB3" w:rsidRDefault="00F31DB3" w:rsidP="00F31DB3">
      <w:pPr>
        <w:pStyle w:val="FootnoteText"/>
        <w:spacing w:line="276" w:lineRule="auto"/>
        <w:jc w:val="both"/>
        <w:rPr>
          <w:rFonts w:ascii="Times New Roman" w:hAnsi="Times New Roman" w:cs="Times New Roman"/>
          <w:i/>
          <w:iCs/>
          <w:lang w:val="en-US"/>
        </w:rPr>
      </w:pPr>
    </w:p>
  </w:footnote>
  <w:footnote w:id="16">
    <w:p w14:paraId="2F644158" w14:textId="77777777" w:rsidR="006B5804" w:rsidRPr="00360BE1" w:rsidRDefault="006B5804" w:rsidP="006B580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Erasmus et al (1994) Superior Court Practice, D6-15.</w:t>
      </w:r>
    </w:p>
  </w:footnote>
  <w:footnote w:id="17">
    <w:p w14:paraId="342B9174" w14:textId="77777777" w:rsidR="006B5804" w:rsidRPr="00975ADE" w:rsidRDefault="006B5804" w:rsidP="006B580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Act 108 of 1996</w:t>
      </w:r>
    </w:p>
  </w:footnote>
  <w:footnote w:id="18">
    <w:p w14:paraId="0677E9BC" w14:textId="77777777" w:rsidR="006B5804" w:rsidRPr="00FB4F91" w:rsidRDefault="006B5804" w:rsidP="006B5804">
      <w:pPr>
        <w:pStyle w:val="footnotes"/>
        <w:ind w:left="0" w:firstLine="0"/>
        <w:rPr>
          <w:rFonts w:ascii="Times New Roman" w:hAnsi="Times New Roman"/>
          <w:sz w:val="20"/>
          <w:szCs w:val="20"/>
        </w:rPr>
      </w:pPr>
      <w:r w:rsidRPr="00FB4F91">
        <w:rPr>
          <w:rStyle w:val="FootnoteReference"/>
          <w:rFonts w:ascii="Times New Roman" w:hAnsi="Times New Roman"/>
          <w:sz w:val="20"/>
          <w:szCs w:val="20"/>
        </w:rPr>
        <w:footnoteRef/>
      </w:r>
      <w:r w:rsidRPr="00FB4F91">
        <w:rPr>
          <w:rFonts w:ascii="Times New Roman" w:hAnsi="Times New Roman"/>
          <w:sz w:val="20"/>
          <w:szCs w:val="20"/>
        </w:rPr>
        <w:t xml:space="preserve"> </w:t>
      </w:r>
      <w:r w:rsidRPr="00FB4F91">
        <w:rPr>
          <w:rFonts w:ascii="Times New Roman" w:hAnsi="Times New Roman"/>
          <w:i/>
          <w:iCs/>
          <w:sz w:val="20"/>
          <w:szCs w:val="20"/>
        </w:rPr>
        <w:t xml:space="preserve">De Villiers v Murraysburg School Board </w:t>
      </w:r>
      <w:r w:rsidRPr="00FB4F91">
        <w:rPr>
          <w:rFonts w:ascii="Times New Roman" w:hAnsi="Times New Roman"/>
          <w:sz w:val="20"/>
          <w:szCs w:val="20"/>
        </w:rPr>
        <w:t xml:space="preserve">1910 CPD 535 538; </w:t>
      </w:r>
      <w:r w:rsidRPr="00FB4F91">
        <w:rPr>
          <w:rFonts w:ascii="Times New Roman" w:hAnsi="Times New Roman"/>
          <w:i/>
          <w:iCs/>
          <w:sz w:val="20"/>
          <w:szCs w:val="20"/>
        </w:rPr>
        <w:t xml:space="preserve">Rautenbach v Symington </w:t>
      </w:r>
      <w:r w:rsidRPr="00FB4F91">
        <w:rPr>
          <w:rFonts w:ascii="Times New Roman" w:hAnsi="Times New Roman"/>
          <w:sz w:val="20"/>
          <w:szCs w:val="20"/>
        </w:rPr>
        <w:t xml:space="preserve">1995 (4) SA 583 (O) (no exhaustive list of examples); </w:t>
      </w:r>
      <w:r w:rsidRPr="00FB4F91">
        <w:rPr>
          <w:rFonts w:ascii="Times New Roman" w:hAnsi="Times New Roman"/>
          <w:i/>
          <w:iCs/>
          <w:sz w:val="20"/>
          <w:szCs w:val="20"/>
        </w:rPr>
        <w:t xml:space="preserve">SA Droëvrugtekooperasie Bpk v SA Raisins </w:t>
      </w:r>
      <w:r w:rsidRPr="00FB4F91">
        <w:rPr>
          <w:rFonts w:ascii="Times New Roman" w:hAnsi="Times New Roman"/>
          <w:sz w:val="20"/>
          <w:szCs w:val="20"/>
        </w:rPr>
        <w:t>(</w:t>
      </w:r>
      <w:r w:rsidRPr="00FB4F91">
        <w:rPr>
          <w:rFonts w:ascii="Times New Roman" w:hAnsi="Times New Roman"/>
          <w:i/>
          <w:iCs/>
          <w:sz w:val="20"/>
          <w:szCs w:val="20"/>
        </w:rPr>
        <w:t>Edms</w:t>
      </w:r>
      <w:r w:rsidRPr="00FB4F91">
        <w:rPr>
          <w:rFonts w:ascii="Times New Roman" w:hAnsi="Times New Roman"/>
          <w:sz w:val="20"/>
          <w:szCs w:val="20"/>
        </w:rPr>
        <w:t xml:space="preserve">) </w:t>
      </w:r>
      <w:r w:rsidRPr="00FB4F91">
        <w:rPr>
          <w:rFonts w:ascii="Times New Roman" w:hAnsi="Times New Roman"/>
          <w:i/>
          <w:iCs/>
          <w:color w:val="000000" w:themeColor="text1"/>
          <w:sz w:val="20"/>
          <w:szCs w:val="20"/>
        </w:rPr>
        <w:t xml:space="preserve">Bpk </w:t>
      </w:r>
      <w:hyperlink r:id="rId4" w:anchor="g0" w:history="1">
        <w:r w:rsidRPr="00FB4F91">
          <w:rPr>
            <w:rStyle w:val="Hyperlink"/>
            <w:rFonts w:ascii="Times New Roman" w:hAnsi="Times New Roman"/>
            <w:color w:val="000000" w:themeColor="text1"/>
            <w:sz w:val="20"/>
            <w:szCs w:val="20"/>
          </w:rPr>
          <w:t>[1999] 3 All SA 245</w:t>
        </w:r>
      </w:hyperlink>
      <w:r w:rsidRPr="00FB4F91">
        <w:rPr>
          <w:rFonts w:ascii="Times New Roman" w:hAnsi="Times New Roman"/>
          <w:color w:val="000000" w:themeColor="text1"/>
          <w:sz w:val="20"/>
          <w:szCs w:val="20"/>
        </w:rPr>
        <w:t xml:space="preserve"> (NC</w:t>
      </w:r>
      <w:r w:rsidRPr="00FB4F91">
        <w:rPr>
          <w:rFonts w:ascii="Times New Roman" w:hAnsi="Times New Roman"/>
          <w:sz w:val="20"/>
          <w:szCs w:val="20"/>
        </w:rPr>
        <w:t xml:space="preserve">) 255H–I 256I–J (attorney and client costs where respondent, in opposing an application, was extremely obstinate). </w:t>
      </w:r>
      <w:r w:rsidRPr="00FB4F91">
        <w:rPr>
          <w:rFonts w:ascii="Times New Roman" w:hAnsi="Times New Roman"/>
          <w:i/>
          <w:iCs/>
          <w:sz w:val="20"/>
          <w:szCs w:val="20"/>
        </w:rPr>
        <w:t xml:space="preserve">Bovungana v Road Accident Fund </w:t>
      </w:r>
      <w:r w:rsidRPr="00FB4F91">
        <w:rPr>
          <w:rFonts w:ascii="Times New Roman" w:hAnsi="Times New Roman"/>
          <w:sz w:val="20"/>
          <w:szCs w:val="20"/>
        </w:rPr>
        <w:t xml:space="preserve">2009 (4) SA 123 (E) (reckless and prejudicial conduct of a litigant in seeking a postponement in a certain manner), </w:t>
      </w:r>
      <w:r w:rsidRPr="00FB4F91">
        <w:rPr>
          <w:rFonts w:ascii="Times New Roman" w:hAnsi="Times New Roman"/>
          <w:i/>
          <w:iCs/>
          <w:sz w:val="20"/>
          <w:szCs w:val="20"/>
        </w:rPr>
        <w:t xml:space="preserve">Nkume v Transunion Credit Bureau </w:t>
      </w:r>
      <w:r w:rsidRPr="00FB4F91">
        <w:rPr>
          <w:rFonts w:ascii="Times New Roman" w:hAnsi="Times New Roman"/>
          <w:sz w:val="20"/>
          <w:szCs w:val="20"/>
        </w:rPr>
        <w:t>(</w:t>
      </w:r>
      <w:r w:rsidRPr="00FB4F91">
        <w:rPr>
          <w:rFonts w:ascii="Times New Roman" w:hAnsi="Times New Roman"/>
          <w:i/>
          <w:iCs/>
          <w:sz w:val="20"/>
          <w:szCs w:val="20"/>
        </w:rPr>
        <w:t>Pty</w:t>
      </w:r>
      <w:r w:rsidRPr="00FB4F91">
        <w:rPr>
          <w:rFonts w:ascii="Times New Roman" w:hAnsi="Times New Roman"/>
          <w:sz w:val="20"/>
          <w:szCs w:val="20"/>
        </w:rPr>
        <w:t xml:space="preserve">) </w:t>
      </w:r>
      <w:r w:rsidRPr="00FB4F91">
        <w:rPr>
          <w:rFonts w:ascii="Times New Roman" w:hAnsi="Times New Roman"/>
          <w:i/>
          <w:iCs/>
          <w:sz w:val="20"/>
          <w:szCs w:val="20"/>
        </w:rPr>
        <w:t xml:space="preserve">Ltd and Another </w:t>
      </w:r>
      <w:r w:rsidRPr="00FB4F91">
        <w:rPr>
          <w:rFonts w:ascii="Times New Roman" w:hAnsi="Times New Roman"/>
          <w:sz w:val="20"/>
          <w:szCs w:val="20"/>
        </w:rPr>
        <w:t>2014 (1) SA 134 (ECM).</w:t>
      </w:r>
    </w:p>
  </w:footnote>
  <w:footnote w:id="19">
    <w:p w14:paraId="414E7590" w14:textId="77777777" w:rsidR="006B5804" w:rsidRPr="00FB4F91" w:rsidRDefault="006B5804" w:rsidP="006B5804">
      <w:pPr>
        <w:pStyle w:val="footnotes"/>
        <w:rPr>
          <w:rFonts w:ascii="Times New Roman" w:hAnsi="Times New Roman"/>
          <w:sz w:val="20"/>
          <w:szCs w:val="20"/>
        </w:rPr>
      </w:pPr>
      <w:r>
        <w:rPr>
          <w:rStyle w:val="FootnoteReference"/>
        </w:rPr>
        <w:footnoteRef/>
      </w:r>
      <w:r>
        <w:t xml:space="preserve"> </w:t>
      </w:r>
      <w:r w:rsidRPr="00FB4F91">
        <w:rPr>
          <w:rFonts w:ascii="Times New Roman" w:hAnsi="Times New Roman"/>
          <w:i/>
          <w:iCs/>
          <w:sz w:val="20"/>
          <w:szCs w:val="20"/>
        </w:rPr>
        <w:t xml:space="preserve">Moosa v Lalloo </w:t>
      </w:r>
      <w:r w:rsidRPr="00FB4F91">
        <w:rPr>
          <w:rFonts w:ascii="Times New Roman" w:hAnsi="Times New Roman"/>
          <w:sz w:val="20"/>
          <w:szCs w:val="20"/>
        </w:rPr>
        <w:t>1957 (4) SA 207 (D)</w:t>
      </w:r>
      <w:r>
        <w:rPr>
          <w:rFonts w:ascii="Times New Roman" w:hAnsi="Times New Roman"/>
          <w:sz w:val="20"/>
          <w:szCs w:val="20"/>
        </w:rPr>
        <w:t xml:space="preserve"> on page</w:t>
      </w:r>
      <w:r w:rsidRPr="00FB4F91">
        <w:rPr>
          <w:rFonts w:ascii="Times New Roman" w:hAnsi="Times New Roman"/>
          <w:sz w:val="20"/>
          <w:szCs w:val="20"/>
        </w:rPr>
        <w:t xml:space="preserve"> 225.</w:t>
      </w:r>
    </w:p>
  </w:footnote>
  <w:footnote w:id="20">
    <w:p w14:paraId="7A00EBDA" w14:textId="77777777" w:rsidR="006B5804" w:rsidRPr="00FB4F91" w:rsidRDefault="006B5804" w:rsidP="006B5804">
      <w:pPr>
        <w:pStyle w:val="footnotes"/>
        <w:rPr>
          <w:rFonts w:ascii="Times New Roman" w:hAnsi="Times New Roman"/>
          <w:i/>
          <w:iCs/>
          <w:sz w:val="20"/>
          <w:szCs w:val="20"/>
        </w:rPr>
      </w:pPr>
      <w:r>
        <w:rPr>
          <w:rStyle w:val="FootnoteReference"/>
        </w:rPr>
        <w:footnoteRef/>
      </w:r>
      <w:r>
        <w:t xml:space="preserve"> </w:t>
      </w:r>
      <w:r w:rsidRPr="00FB4F91">
        <w:rPr>
          <w:rFonts w:ascii="Times New Roman" w:hAnsi="Times New Roman"/>
          <w:i/>
          <w:iCs/>
          <w:sz w:val="20"/>
          <w:szCs w:val="20"/>
        </w:rPr>
        <w:t xml:space="preserve">Ebrahim v Excelsior Shopfitters and Furnishers </w:t>
      </w:r>
      <w:r w:rsidRPr="00FB4F91">
        <w:rPr>
          <w:rFonts w:ascii="Times New Roman" w:hAnsi="Times New Roman"/>
          <w:sz w:val="20"/>
          <w:szCs w:val="20"/>
        </w:rPr>
        <w:t>(</w:t>
      </w:r>
      <w:r w:rsidRPr="00FB4F91">
        <w:rPr>
          <w:rFonts w:ascii="Times New Roman" w:hAnsi="Times New Roman"/>
          <w:i/>
          <w:iCs/>
          <w:sz w:val="20"/>
          <w:szCs w:val="20"/>
        </w:rPr>
        <w:t>Pty</w:t>
      </w:r>
      <w:r w:rsidRPr="00FB4F91">
        <w:rPr>
          <w:rFonts w:ascii="Times New Roman" w:hAnsi="Times New Roman"/>
          <w:sz w:val="20"/>
          <w:szCs w:val="20"/>
        </w:rPr>
        <w:t xml:space="preserve">) </w:t>
      </w:r>
      <w:r w:rsidRPr="00FB4F91">
        <w:rPr>
          <w:rFonts w:ascii="Times New Roman" w:hAnsi="Times New Roman"/>
          <w:i/>
          <w:iCs/>
          <w:sz w:val="20"/>
          <w:szCs w:val="20"/>
        </w:rPr>
        <w:t xml:space="preserve">Ltd </w:t>
      </w:r>
      <w:r w:rsidRPr="00FB4F91">
        <w:rPr>
          <w:rFonts w:ascii="Times New Roman" w:hAnsi="Times New Roman"/>
          <w:sz w:val="20"/>
          <w:szCs w:val="20"/>
        </w:rPr>
        <w:t>(</w:t>
      </w:r>
      <w:r w:rsidRPr="00FB4F91">
        <w:rPr>
          <w:rFonts w:ascii="Times New Roman" w:hAnsi="Times New Roman"/>
          <w:i/>
          <w:iCs/>
          <w:sz w:val="20"/>
          <w:szCs w:val="20"/>
        </w:rPr>
        <w:t>2</w:t>
      </w:r>
      <w:r w:rsidRPr="00FB4F91">
        <w:rPr>
          <w:rFonts w:ascii="Times New Roman" w:hAnsi="Times New Roman"/>
          <w:sz w:val="20"/>
          <w:szCs w:val="20"/>
        </w:rPr>
        <w:t xml:space="preserve">) </w:t>
      </w:r>
      <w:r w:rsidRPr="00FB4F91">
        <w:rPr>
          <w:rFonts w:ascii="Times New Roman" w:hAnsi="Times New Roman"/>
          <w:i/>
          <w:iCs/>
          <w:sz w:val="20"/>
          <w:szCs w:val="20"/>
        </w:rPr>
        <w:t>1946 TPD</w:t>
      </w:r>
      <w:r w:rsidRPr="00FB4F91">
        <w:rPr>
          <w:rFonts w:ascii="Times New Roman" w:hAnsi="Times New Roman"/>
          <w:sz w:val="20"/>
          <w:szCs w:val="20"/>
        </w:rPr>
        <w:t xml:space="preserve">  on page 226; </w:t>
      </w:r>
      <w:r w:rsidRPr="00FB4F91">
        <w:rPr>
          <w:rFonts w:ascii="Times New Roman" w:hAnsi="Times New Roman"/>
          <w:i/>
          <w:iCs/>
          <w:sz w:val="20"/>
          <w:szCs w:val="20"/>
        </w:rPr>
        <w:t>Mallinson v Tanner</w:t>
      </w:r>
    </w:p>
    <w:p w14:paraId="10650289" w14:textId="77777777" w:rsidR="006B5804" w:rsidRPr="00FB4F91" w:rsidRDefault="006B5804" w:rsidP="006B5804">
      <w:pPr>
        <w:pStyle w:val="footnotes"/>
        <w:rPr>
          <w:rFonts w:ascii="Times New Roman" w:hAnsi="Times New Roman"/>
          <w:sz w:val="20"/>
          <w:szCs w:val="20"/>
        </w:rPr>
      </w:pPr>
      <w:r w:rsidRPr="00FB4F91">
        <w:rPr>
          <w:rFonts w:ascii="Times New Roman" w:hAnsi="Times New Roman"/>
          <w:i/>
          <w:iCs/>
          <w:sz w:val="20"/>
          <w:szCs w:val="20"/>
        </w:rPr>
        <w:t xml:space="preserve"> 1947 (4) SA 681 (T)</w:t>
      </w:r>
      <w:r w:rsidRPr="00FB4F91">
        <w:rPr>
          <w:rFonts w:ascii="Times New Roman" w:hAnsi="Times New Roman"/>
          <w:sz w:val="20"/>
          <w:szCs w:val="20"/>
        </w:rPr>
        <w:t xml:space="preserve">  on page 686.</w:t>
      </w:r>
    </w:p>
  </w:footnote>
  <w:footnote w:id="21">
    <w:p w14:paraId="0E1EEA75" w14:textId="77777777" w:rsidR="006B5804" w:rsidRPr="00FB4F91" w:rsidRDefault="006B5804" w:rsidP="006B5804">
      <w:pPr>
        <w:pStyle w:val="FootnoteText"/>
        <w:rPr>
          <w:rFonts w:ascii="Times New Roman" w:hAnsi="Times New Roman" w:cs="Times New Roman"/>
          <w:lang w:val="en-US"/>
        </w:rPr>
      </w:pPr>
      <w:r>
        <w:rPr>
          <w:rStyle w:val="FootnoteReference"/>
        </w:rPr>
        <w:footnoteRef/>
      </w:r>
      <w:r>
        <w:t xml:space="preserve"> </w:t>
      </w:r>
      <w:r w:rsidRPr="00FB4F91">
        <w:rPr>
          <w:rFonts w:ascii="Times New Roman" w:hAnsi="Times New Roman" w:cs="Times New Roman"/>
          <w:i/>
          <w:iCs/>
        </w:rPr>
        <w:t xml:space="preserve">Pieter Bezuidenhout-Larochelle Boerdery </w:t>
      </w:r>
      <w:r w:rsidRPr="00FB4F91">
        <w:rPr>
          <w:rFonts w:ascii="Times New Roman" w:hAnsi="Times New Roman" w:cs="Times New Roman"/>
        </w:rPr>
        <w:t>(</w:t>
      </w:r>
      <w:r w:rsidRPr="00FB4F91">
        <w:rPr>
          <w:rFonts w:ascii="Times New Roman" w:hAnsi="Times New Roman" w:cs="Times New Roman"/>
          <w:i/>
          <w:iCs/>
        </w:rPr>
        <w:t>Edms</w:t>
      </w:r>
      <w:r w:rsidRPr="00FB4F91">
        <w:rPr>
          <w:rFonts w:ascii="Times New Roman" w:hAnsi="Times New Roman" w:cs="Times New Roman"/>
        </w:rPr>
        <w:t xml:space="preserve">) </w:t>
      </w:r>
      <w:r w:rsidRPr="00FB4F91">
        <w:rPr>
          <w:rFonts w:ascii="Times New Roman" w:hAnsi="Times New Roman" w:cs="Times New Roman"/>
          <w:i/>
          <w:iCs/>
        </w:rPr>
        <w:t xml:space="preserve">Bpk v Wetorius Boerdery </w:t>
      </w:r>
      <w:r w:rsidRPr="00FB4F91">
        <w:rPr>
          <w:rFonts w:ascii="Times New Roman" w:hAnsi="Times New Roman" w:cs="Times New Roman"/>
        </w:rPr>
        <w:t>(</w:t>
      </w:r>
      <w:r w:rsidRPr="00FB4F91">
        <w:rPr>
          <w:rFonts w:ascii="Times New Roman" w:hAnsi="Times New Roman" w:cs="Times New Roman"/>
          <w:i/>
          <w:iCs/>
        </w:rPr>
        <w:t>Edms</w:t>
      </w:r>
      <w:r w:rsidRPr="00FB4F91">
        <w:rPr>
          <w:rFonts w:ascii="Times New Roman" w:hAnsi="Times New Roman" w:cs="Times New Roman"/>
        </w:rPr>
        <w:t xml:space="preserve">) </w:t>
      </w:r>
      <w:r w:rsidRPr="00FB4F91">
        <w:rPr>
          <w:rFonts w:ascii="Times New Roman" w:hAnsi="Times New Roman" w:cs="Times New Roman"/>
          <w:i/>
          <w:iCs/>
        </w:rPr>
        <w:t>Bpk 1983 (3) SA 233 (O)</w:t>
      </w:r>
      <w:r w:rsidRPr="00FB4F91">
        <w:rPr>
          <w:rFonts w:ascii="Times New Roman" w:hAnsi="Times New Roman" w:cs="Times New Roman"/>
        </w:rPr>
        <w:t xml:space="preserve"> </w:t>
      </w:r>
      <w:r>
        <w:rPr>
          <w:rFonts w:ascii="Times New Roman" w:hAnsi="Times New Roman" w:cs="Times New Roman"/>
        </w:rPr>
        <w:t xml:space="preserve">on page </w:t>
      </w:r>
      <w:r w:rsidRPr="00FB4F91">
        <w:rPr>
          <w:rFonts w:ascii="Times New Roman" w:hAnsi="Times New Roman" w:cs="Times New Roman"/>
        </w:rPr>
        <w:t>237</w:t>
      </w:r>
      <w:r>
        <w:rPr>
          <w:rFonts w:ascii="Times New Roman" w:hAnsi="Times New Roman" w:cs="Times New Roman"/>
        </w:rPr>
        <w:t>.</w:t>
      </w:r>
    </w:p>
  </w:footnote>
  <w:footnote w:id="22">
    <w:p w14:paraId="5315562E" w14:textId="77777777" w:rsidR="006B5804" w:rsidRPr="00FB4F91" w:rsidRDefault="006B5804" w:rsidP="006B5804">
      <w:pPr>
        <w:pStyle w:val="FootnoteText"/>
        <w:rPr>
          <w:rFonts w:ascii="Times New Roman" w:hAnsi="Times New Roman" w:cs="Times New Roman"/>
          <w:lang w:val="en-US"/>
        </w:rPr>
      </w:pPr>
      <w:r>
        <w:rPr>
          <w:rStyle w:val="FootnoteReference"/>
        </w:rPr>
        <w:footnoteRef/>
      </w:r>
      <w:r>
        <w:t xml:space="preserve"> </w:t>
      </w:r>
      <w:r w:rsidRPr="00FB4F91">
        <w:rPr>
          <w:rFonts w:ascii="Times New Roman" w:hAnsi="Times New Roman" w:cs="Times New Roman"/>
        </w:rPr>
        <w:t>1948 (1) SA 1205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6ACB"/>
    <w:multiLevelType w:val="multilevel"/>
    <w:tmpl w:val="8D2A2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94EE4"/>
    <w:multiLevelType w:val="hybridMultilevel"/>
    <w:tmpl w:val="842E6E7E"/>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2" w15:restartNumberingAfterBreak="0">
    <w:nsid w:val="2B447DAF"/>
    <w:multiLevelType w:val="hybridMultilevel"/>
    <w:tmpl w:val="BD5C06F8"/>
    <w:lvl w:ilvl="0" w:tplc="09DC8F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E7B67"/>
    <w:multiLevelType w:val="hybridMultilevel"/>
    <w:tmpl w:val="BD5C06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735BEE"/>
    <w:multiLevelType w:val="hybridMultilevel"/>
    <w:tmpl w:val="02968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651679"/>
    <w:multiLevelType w:val="hybridMultilevel"/>
    <w:tmpl w:val="84BEF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60423C"/>
    <w:multiLevelType w:val="hybridMultilevel"/>
    <w:tmpl w:val="9014D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84FAD"/>
    <w:multiLevelType w:val="hybridMultilevel"/>
    <w:tmpl w:val="DC08A332"/>
    <w:lvl w:ilvl="0" w:tplc="1C0C6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E349D"/>
    <w:multiLevelType w:val="hybridMultilevel"/>
    <w:tmpl w:val="64103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00292"/>
    <w:multiLevelType w:val="hybridMultilevel"/>
    <w:tmpl w:val="74208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05CB5"/>
    <w:multiLevelType w:val="multilevel"/>
    <w:tmpl w:val="CE60E48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
  </w:num>
  <w:num w:numId="4">
    <w:abstractNumId w:val="3"/>
  </w:num>
  <w:num w:numId="5">
    <w:abstractNumId w:val="7"/>
  </w:num>
  <w:num w:numId="6">
    <w:abstractNumId w:val="10"/>
  </w:num>
  <w:num w:numId="7">
    <w:abstractNumId w:val="1"/>
  </w:num>
  <w:num w:numId="8">
    <w:abstractNumId w:val="4"/>
  </w:num>
  <w:num w:numId="9">
    <w:abstractNumId w:val="9"/>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396D"/>
    <w:rsid w:val="0004364F"/>
    <w:rsid w:val="0004406C"/>
    <w:rsid w:val="000564DC"/>
    <w:rsid w:val="00073E08"/>
    <w:rsid w:val="00096643"/>
    <w:rsid w:val="000B6E82"/>
    <w:rsid w:val="00133CFA"/>
    <w:rsid w:val="00143524"/>
    <w:rsid w:val="00157EB1"/>
    <w:rsid w:val="001C53AA"/>
    <w:rsid w:val="001E4800"/>
    <w:rsid w:val="00201AAC"/>
    <w:rsid w:val="00225362"/>
    <w:rsid w:val="002471C0"/>
    <w:rsid w:val="00261B4F"/>
    <w:rsid w:val="002C479B"/>
    <w:rsid w:val="002E6C47"/>
    <w:rsid w:val="00313EB5"/>
    <w:rsid w:val="0033402D"/>
    <w:rsid w:val="00364881"/>
    <w:rsid w:val="003658AD"/>
    <w:rsid w:val="0036699D"/>
    <w:rsid w:val="0037302D"/>
    <w:rsid w:val="00384EDE"/>
    <w:rsid w:val="00385311"/>
    <w:rsid w:val="003A1E6A"/>
    <w:rsid w:val="003A7A0A"/>
    <w:rsid w:val="003C0305"/>
    <w:rsid w:val="003E3761"/>
    <w:rsid w:val="00403CB8"/>
    <w:rsid w:val="00426B3E"/>
    <w:rsid w:val="0043096C"/>
    <w:rsid w:val="004603EB"/>
    <w:rsid w:val="004842B8"/>
    <w:rsid w:val="0049376F"/>
    <w:rsid w:val="004D1FDC"/>
    <w:rsid w:val="004D48F4"/>
    <w:rsid w:val="00501587"/>
    <w:rsid w:val="0050318C"/>
    <w:rsid w:val="00510A12"/>
    <w:rsid w:val="005214AB"/>
    <w:rsid w:val="0053462F"/>
    <w:rsid w:val="00562D19"/>
    <w:rsid w:val="00567145"/>
    <w:rsid w:val="00576888"/>
    <w:rsid w:val="00593552"/>
    <w:rsid w:val="00596BB8"/>
    <w:rsid w:val="005D48D0"/>
    <w:rsid w:val="005D66EE"/>
    <w:rsid w:val="006304DC"/>
    <w:rsid w:val="00631D9F"/>
    <w:rsid w:val="006445CC"/>
    <w:rsid w:val="00664179"/>
    <w:rsid w:val="00684F9F"/>
    <w:rsid w:val="006B488C"/>
    <w:rsid w:val="006B5804"/>
    <w:rsid w:val="006D6B95"/>
    <w:rsid w:val="007037AF"/>
    <w:rsid w:val="00713735"/>
    <w:rsid w:val="007278CD"/>
    <w:rsid w:val="007450D9"/>
    <w:rsid w:val="00761384"/>
    <w:rsid w:val="007A42EA"/>
    <w:rsid w:val="007B702C"/>
    <w:rsid w:val="007D62AE"/>
    <w:rsid w:val="007F7033"/>
    <w:rsid w:val="00811C62"/>
    <w:rsid w:val="00843016"/>
    <w:rsid w:val="00880F4F"/>
    <w:rsid w:val="0088747E"/>
    <w:rsid w:val="008A73F5"/>
    <w:rsid w:val="008B17EF"/>
    <w:rsid w:val="008B7C21"/>
    <w:rsid w:val="00900326"/>
    <w:rsid w:val="00907A54"/>
    <w:rsid w:val="00910747"/>
    <w:rsid w:val="009141CF"/>
    <w:rsid w:val="00921B44"/>
    <w:rsid w:val="009400EB"/>
    <w:rsid w:val="00972A6F"/>
    <w:rsid w:val="00985E5F"/>
    <w:rsid w:val="009869FC"/>
    <w:rsid w:val="00991E3A"/>
    <w:rsid w:val="00992A5B"/>
    <w:rsid w:val="009A7411"/>
    <w:rsid w:val="009D5582"/>
    <w:rsid w:val="00A2306E"/>
    <w:rsid w:val="00A26785"/>
    <w:rsid w:val="00A31ADA"/>
    <w:rsid w:val="00A535CF"/>
    <w:rsid w:val="00AD3372"/>
    <w:rsid w:val="00B152C1"/>
    <w:rsid w:val="00B92FAE"/>
    <w:rsid w:val="00BA3F53"/>
    <w:rsid w:val="00BA4300"/>
    <w:rsid w:val="00BC7328"/>
    <w:rsid w:val="00BD09FC"/>
    <w:rsid w:val="00C01EBD"/>
    <w:rsid w:val="00C5475F"/>
    <w:rsid w:val="00CA6226"/>
    <w:rsid w:val="00CE578B"/>
    <w:rsid w:val="00D9158D"/>
    <w:rsid w:val="00D917AE"/>
    <w:rsid w:val="00D9191C"/>
    <w:rsid w:val="00DA7068"/>
    <w:rsid w:val="00DC22D2"/>
    <w:rsid w:val="00DE0CD1"/>
    <w:rsid w:val="00DE4FBF"/>
    <w:rsid w:val="00DF49DD"/>
    <w:rsid w:val="00DF7F44"/>
    <w:rsid w:val="00E223E1"/>
    <w:rsid w:val="00E37AE4"/>
    <w:rsid w:val="00E43D5D"/>
    <w:rsid w:val="00E6389C"/>
    <w:rsid w:val="00E83F79"/>
    <w:rsid w:val="00E9580B"/>
    <w:rsid w:val="00EA28C4"/>
    <w:rsid w:val="00EB3E87"/>
    <w:rsid w:val="00ED10C1"/>
    <w:rsid w:val="00ED2AD9"/>
    <w:rsid w:val="00EE4725"/>
    <w:rsid w:val="00F305CE"/>
    <w:rsid w:val="00F3123A"/>
    <w:rsid w:val="00F31DB3"/>
    <w:rsid w:val="00F32C3B"/>
    <w:rsid w:val="00F4398C"/>
    <w:rsid w:val="00F44DFE"/>
    <w:rsid w:val="00F501EA"/>
    <w:rsid w:val="00F64C28"/>
    <w:rsid w:val="00F66BCC"/>
    <w:rsid w:val="00F91C2F"/>
    <w:rsid w:val="00F91D3F"/>
    <w:rsid w:val="00F97C20"/>
    <w:rsid w:val="00FB4E94"/>
    <w:rsid w:val="00FC5DB9"/>
    <w:rsid w:val="00FD76E6"/>
    <w:rsid w:val="00FE16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noteText">
    <w:name w:val="footnote text"/>
    <w:basedOn w:val="Normal"/>
    <w:link w:val="FootnoteTextChar"/>
    <w:uiPriority w:val="99"/>
    <w:unhideWhenUsed/>
    <w:rsid w:val="007F7033"/>
    <w:rPr>
      <w:sz w:val="20"/>
      <w:szCs w:val="20"/>
    </w:rPr>
  </w:style>
  <w:style w:type="character" w:customStyle="1" w:styleId="FootnoteTextChar">
    <w:name w:val="Footnote Text Char"/>
    <w:basedOn w:val="DefaultParagraphFont"/>
    <w:link w:val="FootnoteText"/>
    <w:uiPriority w:val="99"/>
    <w:rsid w:val="007F7033"/>
    <w:rPr>
      <w:sz w:val="20"/>
      <w:szCs w:val="20"/>
    </w:rPr>
  </w:style>
  <w:style w:type="character" w:styleId="FootnoteReference">
    <w:name w:val="footnote reference"/>
    <w:basedOn w:val="DefaultParagraphFont"/>
    <w:uiPriority w:val="99"/>
    <w:semiHidden/>
    <w:unhideWhenUsed/>
    <w:rsid w:val="007F7033"/>
    <w:rPr>
      <w:vertAlign w:val="superscript"/>
    </w:rPr>
  </w:style>
  <w:style w:type="paragraph" w:styleId="NormalWeb">
    <w:name w:val="Normal (Web)"/>
    <w:basedOn w:val="Normal"/>
    <w:uiPriority w:val="99"/>
    <w:unhideWhenUsed/>
    <w:rsid w:val="00E6389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6389C"/>
  </w:style>
  <w:style w:type="character" w:styleId="Hyperlink">
    <w:name w:val="Hyperlink"/>
    <w:basedOn w:val="DefaultParagraphFont"/>
    <w:uiPriority w:val="99"/>
    <w:unhideWhenUsed/>
    <w:rsid w:val="00E6389C"/>
    <w:rPr>
      <w:color w:val="0000FF"/>
      <w:u w:val="single"/>
    </w:rPr>
  </w:style>
  <w:style w:type="paragraph" w:styleId="Footer">
    <w:name w:val="footer"/>
    <w:basedOn w:val="Normal"/>
    <w:link w:val="FooterChar"/>
    <w:uiPriority w:val="99"/>
    <w:unhideWhenUsed/>
    <w:rsid w:val="00A26785"/>
    <w:pPr>
      <w:tabs>
        <w:tab w:val="center" w:pos="4513"/>
        <w:tab w:val="right" w:pos="9026"/>
      </w:tabs>
    </w:pPr>
  </w:style>
  <w:style w:type="character" w:customStyle="1" w:styleId="FooterChar">
    <w:name w:val="Footer Char"/>
    <w:basedOn w:val="DefaultParagraphFont"/>
    <w:link w:val="Footer"/>
    <w:uiPriority w:val="99"/>
    <w:rsid w:val="00A26785"/>
  </w:style>
  <w:style w:type="character" w:styleId="PageNumber">
    <w:name w:val="page number"/>
    <w:basedOn w:val="DefaultParagraphFont"/>
    <w:uiPriority w:val="99"/>
    <w:semiHidden/>
    <w:unhideWhenUsed/>
    <w:rsid w:val="00A26785"/>
  </w:style>
  <w:style w:type="paragraph" w:customStyle="1" w:styleId="parafullout">
    <w:name w:val="parafullout"/>
    <w:basedOn w:val="Normal"/>
    <w:rsid w:val="006B5804"/>
    <w:pPr>
      <w:spacing w:before="180"/>
      <w:jc w:val="both"/>
    </w:pPr>
    <w:rPr>
      <w:rFonts w:ascii="Verdana" w:eastAsia="Times New Roman" w:hAnsi="Verdana" w:cs="Times New Roman"/>
      <w:color w:val="000000"/>
      <w:sz w:val="18"/>
      <w:szCs w:val="18"/>
      <w:lang w:eastAsia="en-ZA"/>
    </w:rPr>
  </w:style>
  <w:style w:type="paragraph" w:customStyle="1" w:styleId="footnotes">
    <w:name w:val="footnotes"/>
    <w:basedOn w:val="Normal"/>
    <w:rsid w:val="006B5804"/>
    <w:pPr>
      <w:ind w:left="567" w:hanging="567"/>
      <w:jc w:val="both"/>
    </w:pPr>
    <w:rPr>
      <w:rFonts w:ascii="Verdana" w:eastAsia="Times New Roman" w:hAnsi="Verdana" w:cs="Times New Roman"/>
      <w:color w:val="000000"/>
      <w:sz w:val="16"/>
      <w:szCs w:val="16"/>
      <w:lang w:eastAsia="en-ZA"/>
    </w:rPr>
  </w:style>
  <w:style w:type="paragraph" w:customStyle="1" w:styleId="para1quad">
    <w:name w:val="para1quad"/>
    <w:basedOn w:val="Normal"/>
    <w:rsid w:val="006B5804"/>
    <w:pPr>
      <w:spacing w:before="180"/>
      <w:ind w:firstLine="284"/>
      <w:jc w:val="both"/>
    </w:pPr>
    <w:rPr>
      <w:rFonts w:ascii="Verdana" w:eastAsia="Times New Roman" w:hAnsi="Verdana" w:cs="Times New Roman"/>
      <w:color w:val="000000"/>
      <w:sz w:val="18"/>
      <w:szCs w:val="18"/>
      <w:lang w:eastAsia="en-ZA"/>
    </w:rPr>
  </w:style>
  <w:style w:type="character" w:styleId="FollowedHyperlink">
    <w:name w:val="FollowedHyperlink"/>
    <w:basedOn w:val="DefaultParagraphFont"/>
    <w:uiPriority w:val="99"/>
    <w:semiHidden/>
    <w:unhideWhenUsed/>
    <w:rsid w:val="00F31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959">
      <w:bodyDiv w:val="1"/>
      <w:marLeft w:val="0"/>
      <w:marRight w:val="0"/>
      <w:marTop w:val="0"/>
      <w:marBottom w:val="0"/>
      <w:divBdr>
        <w:top w:val="none" w:sz="0" w:space="0" w:color="auto"/>
        <w:left w:val="none" w:sz="0" w:space="0" w:color="auto"/>
        <w:bottom w:val="none" w:sz="0" w:space="0" w:color="auto"/>
        <w:right w:val="none" w:sz="0" w:space="0" w:color="auto"/>
      </w:divBdr>
      <w:divsChild>
        <w:div w:id="1792625582">
          <w:marLeft w:val="0"/>
          <w:marRight w:val="0"/>
          <w:marTop w:val="0"/>
          <w:marBottom w:val="0"/>
          <w:divBdr>
            <w:top w:val="none" w:sz="0" w:space="0" w:color="auto"/>
            <w:left w:val="none" w:sz="0" w:space="0" w:color="auto"/>
            <w:bottom w:val="none" w:sz="0" w:space="0" w:color="auto"/>
            <w:right w:val="none" w:sz="0" w:space="0" w:color="auto"/>
          </w:divBdr>
          <w:divsChild>
            <w:div w:id="1767575512">
              <w:marLeft w:val="0"/>
              <w:marRight w:val="0"/>
              <w:marTop w:val="0"/>
              <w:marBottom w:val="0"/>
              <w:divBdr>
                <w:top w:val="none" w:sz="0" w:space="0" w:color="auto"/>
                <w:left w:val="none" w:sz="0" w:space="0" w:color="auto"/>
                <w:bottom w:val="none" w:sz="0" w:space="0" w:color="auto"/>
                <w:right w:val="none" w:sz="0" w:space="0" w:color="auto"/>
              </w:divBdr>
              <w:divsChild>
                <w:div w:id="10069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509222894">
      <w:bodyDiv w:val="1"/>
      <w:marLeft w:val="0"/>
      <w:marRight w:val="0"/>
      <w:marTop w:val="0"/>
      <w:marBottom w:val="0"/>
      <w:divBdr>
        <w:top w:val="none" w:sz="0" w:space="0" w:color="auto"/>
        <w:left w:val="none" w:sz="0" w:space="0" w:color="auto"/>
        <w:bottom w:val="none" w:sz="0" w:space="0" w:color="auto"/>
        <w:right w:val="none" w:sz="0" w:space="0" w:color="auto"/>
      </w:divBdr>
      <w:divsChild>
        <w:div w:id="1156798847">
          <w:marLeft w:val="0"/>
          <w:marRight w:val="0"/>
          <w:marTop w:val="0"/>
          <w:marBottom w:val="0"/>
          <w:divBdr>
            <w:top w:val="none" w:sz="0" w:space="0" w:color="auto"/>
            <w:left w:val="none" w:sz="0" w:space="0" w:color="auto"/>
            <w:bottom w:val="none" w:sz="0" w:space="0" w:color="auto"/>
            <w:right w:val="none" w:sz="0" w:space="0" w:color="auto"/>
          </w:divBdr>
          <w:divsChild>
            <w:div w:id="1129710913">
              <w:marLeft w:val="0"/>
              <w:marRight w:val="0"/>
              <w:marTop w:val="0"/>
              <w:marBottom w:val="0"/>
              <w:divBdr>
                <w:top w:val="none" w:sz="0" w:space="0" w:color="auto"/>
                <w:left w:val="none" w:sz="0" w:space="0" w:color="auto"/>
                <w:bottom w:val="none" w:sz="0" w:space="0" w:color="auto"/>
                <w:right w:val="none" w:sz="0" w:space="0" w:color="auto"/>
              </w:divBdr>
              <w:divsChild>
                <w:div w:id="511146017">
                  <w:marLeft w:val="0"/>
                  <w:marRight w:val="0"/>
                  <w:marTop w:val="0"/>
                  <w:marBottom w:val="0"/>
                  <w:divBdr>
                    <w:top w:val="none" w:sz="0" w:space="0" w:color="auto"/>
                    <w:left w:val="none" w:sz="0" w:space="0" w:color="auto"/>
                    <w:bottom w:val="none" w:sz="0" w:space="0" w:color="auto"/>
                    <w:right w:val="none" w:sz="0" w:space="0" w:color="auto"/>
                  </w:divBdr>
                </w:div>
              </w:divsChild>
            </w:div>
            <w:div w:id="697894287">
              <w:marLeft w:val="0"/>
              <w:marRight w:val="0"/>
              <w:marTop w:val="0"/>
              <w:marBottom w:val="0"/>
              <w:divBdr>
                <w:top w:val="none" w:sz="0" w:space="0" w:color="auto"/>
                <w:left w:val="none" w:sz="0" w:space="0" w:color="auto"/>
                <w:bottom w:val="none" w:sz="0" w:space="0" w:color="auto"/>
                <w:right w:val="none" w:sz="0" w:space="0" w:color="auto"/>
              </w:divBdr>
              <w:divsChild>
                <w:div w:id="7056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208">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sChild>
                <w:div w:id="7580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69812570">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95430056">
      <w:bodyDiv w:val="1"/>
      <w:marLeft w:val="0"/>
      <w:marRight w:val="0"/>
      <w:marTop w:val="0"/>
      <w:marBottom w:val="0"/>
      <w:divBdr>
        <w:top w:val="none" w:sz="0" w:space="0" w:color="auto"/>
        <w:left w:val="none" w:sz="0" w:space="0" w:color="auto"/>
        <w:bottom w:val="none" w:sz="0" w:space="0" w:color="auto"/>
        <w:right w:val="none" w:sz="0" w:space="0" w:color="auto"/>
      </w:divBdr>
    </w:div>
    <w:div w:id="1118641341">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21382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chell@isabell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isabelle.co.za" TargetMode="External"/><Relationship Id="rId4" Type="http://schemas.openxmlformats.org/officeDocument/2006/relationships/settings" Target="settings.xml"/><Relationship Id="rId9" Type="http://schemas.openxmlformats.org/officeDocument/2006/relationships/hyperlink" Target="mailto:charl@odbb.co.z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6%20%281%29%20SA%20259" TargetMode="External"/><Relationship Id="rId2" Type="http://schemas.openxmlformats.org/officeDocument/2006/relationships/hyperlink" Target="http://www.saflii.org/cgi-bin/LawCite?cit=1917%20CPD%20344" TargetMode="External"/><Relationship Id="rId1" Type="http://schemas.openxmlformats.org/officeDocument/2006/relationships/hyperlink" Target="http://www.saflii.org/cgi-bin/LawCite?cit=1939%20AD%20537" TargetMode="External"/><Relationship Id="rId4" Type="http://schemas.openxmlformats.org/officeDocument/2006/relationships/hyperlink" Target="http://dojcdnoc-ln1/nxt/gateway.dll/cc/c1ic/e1ic/i1ic/c9g/d9g/e9g/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57AE-DAAD-4C34-B230-6BBCEA22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Tshwarelo Mabina</cp:lastModifiedBy>
  <cp:revision>2</cp:revision>
  <cp:lastPrinted>2022-01-22T12:07:00Z</cp:lastPrinted>
  <dcterms:created xsi:type="dcterms:W3CDTF">2023-11-15T10:32:00Z</dcterms:created>
  <dcterms:modified xsi:type="dcterms:W3CDTF">2023-11-15T10:32:00Z</dcterms:modified>
</cp:coreProperties>
</file>