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035D9" w14:textId="2CE83A8C" w:rsidR="001C478D" w:rsidRPr="001C478D" w:rsidRDefault="001C478D" w:rsidP="001C478D">
      <w:pPr>
        <w:rPr>
          <w:rFonts w:ascii="Courier New" w:hAnsi="Courier New"/>
          <w:lang w:val="en-ZA"/>
        </w:rPr>
      </w:pPr>
      <w:r>
        <w:rPr>
          <w:rFonts w:cs="Arial"/>
          <w:color w:val="FF0000"/>
        </w:rPr>
        <w:t>Editorial note: Certain information has been redacted from this judgment in compliance with the law</w:t>
      </w:r>
    </w:p>
    <w:p w14:paraId="004ADD5F" w14:textId="712EB91B"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531B2A73"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54386CA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3ECAFDCB" wp14:editId="0C773435">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3ADE41E"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11152061"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7287D5AB"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601CF64F" w14:textId="77777777" w:rsidR="007B7F59" w:rsidRPr="007B7F59" w:rsidRDefault="007B7F59" w:rsidP="007B7F59">
      <w:pPr>
        <w:spacing w:after="0" w:line="240" w:lineRule="auto"/>
        <w:ind w:left="0"/>
        <w:rPr>
          <w:rFonts w:eastAsia="Times New Roman" w:cs="Arial"/>
          <w:szCs w:val="24"/>
          <w:lang w:val="en-ZA"/>
        </w:rPr>
      </w:pPr>
    </w:p>
    <w:p w14:paraId="522211D6" w14:textId="77777777" w:rsidR="007B7F59" w:rsidRPr="007B7F59" w:rsidRDefault="007B7F59" w:rsidP="007B7F59">
      <w:pPr>
        <w:spacing w:after="0" w:line="240" w:lineRule="auto"/>
        <w:ind w:left="0"/>
        <w:rPr>
          <w:rFonts w:eastAsia="Times New Roman" w:cs="Arial"/>
          <w:szCs w:val="24"/>
          <w:lang w:val="en-ZA"/>
        </w:rPr>
      </w:pPr>
    </w:p>
    <w:p w14:paraId="0013101E" w14:textId="303B155A"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9405F1">
        <w:rPr>
          <w:b/>
          <w:lang w:val="en-ZA"/>
        </w:rPr>
        <w:t>2023-102629</w:t>
      </w:r>
    </w:p>
    <w:p w14:paraId="765E0C69"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541A9877" wp14:editId="1B57E473">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958BF49" w14:textId="4CCB7DDE" w:rsidR="007B7F59" w:rsidRPr="003B746C" w:rsidRDefault="00871E3B" w:rsidP="00871E3B">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550DCF">
                              <w:rPr>
                                <w:rFonts w:cs="Arial"/>
                                <w:sz w:val="18"/>
                                <w:szCs w:val="20"/>
                              </w:rPr>
                              <w:t>YES / NO</w:t>
                            </w:r>
                          </w:p>
                          <w:p w14:paraId="6CAF2CC2" w14:textId="0D3531FD" w:rsidR="007B7F59" w:rsidRPr="003B746C" w:rsidRDefault="00871E3B" w:rsidP="00871E3B">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550DCF">
                              <w:rPr>
                                <w:rFonts w:cs="Arial"/>
                                <w:sz w:val="18"/>
                                <w:szCs w:val="20"/>
                              </w:rPr>
                              <w:t>YES/NO</w:t>
                            </w:r>
                          </w:p>
                          <w:p w14:paraId="1754F522" w14:textId="7559B301" w:rsidR="007B7F59" w:rsidRDefault="00871E3B" w:rsidP="00871E3B">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550DCF">
                              <w:rPr>
                                <w:rFonts w:cs="Arial"/>
                                <w:sz w:val="18"/>
                                <w:szCs w:val="20"/>
                              </w:rPr>
                              <w:t>YES/NO</w:t>
                            </w:r>
                          </w:p>
                          <w:p w14:paraId="314CC722"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9803C84"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A9877"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4958BF49" w14:textId="4CCB7DDE" w:rsidR="007B7F59" w:rsidRPr="003B746C" w:rsidRDefault="00871E3B" w:rsidP="00871E3B">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550DCF">
                        <w:rPr>
                          <w:rFonts w:cs="Arial"/>
                          <w:sz w:val="18"/>
                          <w:szCs w:val="20"/>
                        </w:rPr>
                        <w:t>YES / NO</w:t>
                      </w:r>
                    </w:p>
                    <w:p w14:paraId="6CAF2CC2" w14:textId="0D3531FD" w:rsidR="007B7F59" w:rsidRPr="003B746C" w:rsidRDefault="00871E3B" w:rsidP="00871E3B">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550DCF">
                        <w:rPr>
                          <w:rFonts w:cs="Arial"/>
                          <w:sz w:val="18"/>
                          <w:szCs w:val="20"/>
                        </w:rPr>
                        <w:t>YES/NO</w:t>
                      </w:r>
                    </w:p>
                    <w:p w14:paraId="1754F522" w14:textId="7559B301" w:rsidR="007B7F59" w:rsidRDefault="00871E3B" w:rsidP="00871E3B">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550DCF">
                        <w:rPr>
                          <w:rFonts w:cs="Arial"/>
                          <w:sz w:val="18"/>
                          <w:szCs w:val="20"/>
                        </w:rPr>
                        <w:t>YES/NO</w:t>
                      </w:r>
                    </w:p>
                    <w:p w14:paraId="314CC722"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9803C84"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110F1D39"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BE0C563"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9012ADA"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4CD5B666"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3DC352A7"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0946A43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61699C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C15A821"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45DFCF2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61C05B5" w14:textId="195A286C" w:rsidR="007B7F59" w:rsidRPr="007B7F59" w:rsidRDefault="009405F1" w:rsidP="007B7F59">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AFFINITY CONSUMER DATA (PTY) LTD</w:t>
      </w:r>
      <w:r w:rsidR="007B7F59" w:rsidRPr="007B7F59">
        <w:rPr>
          <w:rFonts w:eastAsia="Times New Roman" w:cs="Arial"/>
          <w:b/>
          <w:szCs w:val="24"/>
          <w:lang w:val="en-ZA"/>
        </w:rPr>
        <w:tab/>
      </w:r>
      <w:r>
        <w:rPr>
          <w:rFonts w:eastAsia="Times New Roman" w:cs="Arial"/>
          <w:szCs w:val="24"/>
          <w:lang w:val="en-ZA"/>
        </w:rPr>
        <w:t>Applicant</w:t>
      </w:r>
    </w:p>
    <w:p w14:paraId="6C13BD1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4C4A922B"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3D6620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27C4BD0" w14:textId="0E9FE992" w:rsidR="007B7F59" w:rsidRDefault="009405F1" w:rsidP="007B7F59">
      <w:pPr>
        <w:tabs>
          <w:tab w:val="right" w:pos="9029"/>
        </w:tabs>
        <w:spacing w:after="0" w:line="240" w:lineRule="auto"/>
        <w:ind w:left="0"/>
        <w:contextualSpacing/>
        <w:rPr>
          <w:rFonts w:eastAsia="Times New Roman" w:cs="Arial"/>
          <w:szCs w:val="24"/>
          <w:lang w:val="en-ZA"/>
        </w:rPr>
      </w:pPr>
      <w:bookmarkStart w:id="0" w:name="_GoBack"/>
      <w:bookmarkEnd w:id="0"/>
      <w:proofErr w:type="gramStart"/>
      <w:r>
        <w:rPr>
          <w:rFonts w:cs="Arial"/>
          <w:b/>
          <w:szCs w:val="24"/>
          <w:lang w:val="en-ZA"/>
        </w:rPr>
        <w:t>S</w:t>
      </w:r>
      <w:r w:rsidR="0093057C">
        <w:rPr>
          <w:rFonts w:cs="Arial"/>
          <w:b/>
          <w:szCs w:val="24"/>
          <w:lang w:val="en-ZA"/>
        </w:rPr>
        <w:t>[</w:t>
      </w:r>
      <w:proofErr w:type="gramEnd"/>
      <w:r w:rsidR="0093057C">
        <w:rPr>
          <w:rFonts w:cs="Arial"/>
          <w:b/>
          <w:szCs w:val="24"/>
          <w:lang w:val="en-ZA"/>
        </w:rPr>
        <w:t>…]</w:t>
      </w:r>
      <w:r w:rsidR="007B7F59" w:rsidRPr="007B7F59">
        <w:rPr>
          <w:rFonts w:cs="Arial"/>
          <w:b/>
          <w:szCs w:val="24"/>
          <w:lang w:val="en-ZA"/>
        </w:rPr>
        <w:tab/>
      </w:r>
      <w:r>
        <w:rPr>
          <w:rFonts w:eastAsia="Times New Roman" w:cs="Arial"/>
          <w:szCs w:val="24"/>
          <w:lang w:val="en-ZA"/>
        </w:rPr>
        <w:t>Respondent</w:t>
      </w:r>
    </w:p>
    <w:p w14:paraId="6575422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4E9E9AE"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0CB677E7" w14:textId="77777777" w:rsidR="007B7F59" w:rsidRPr="007B7F59" w:rsidRDefault="007B7F59" w:rsidP="007B7F59">
      <w:pPr>
        <w:spacing w:after="0" w:line="240" w:lineRule="auto"/>
        <w:ind w:left="1440" w:hanging="1440"/>
        <w:jc w:val="left"/>
        <w:rPr>
          <w:rFonts w:cs="Arial"/>
          <w:b/>
          <w:szCs w:val="24"/>
        </w:rPr>
      </w:pPr>
    </w:p>
    <w:p w14:paraId="4F229B87"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DB5763C" w14:textId="34E2EA05" w:rsidR="007B7F59" w:rsidRPr="004E5AF0" w:rsidRDefault="004E5AF0" w:rsidP="007B7F59">
      <w:pPr>
        <w:spacing w:after="0" w:line="240" w:lineRule="auto"/>
        <w:ind w:left="0"/>
        <w:jc w:val="left"/>
        <w:rPr>
          <w:rFonts w:cs="Arial"/>
          <w:b/>
          <w:szCs w:val="24"/>
        </w:rPr>
      </w:pPr>
      <w:r w:rsidRPr="004E5AF0">
        <w:rPr>
          <w:rFonts w:cs="Arial"/>
          <w:b/>
          <w:szCs w:val="24"/>
        </w:rPr>
        <w:t>HA VAN DER MERWE, AJ:</w:t>
      </w:r>
    </w:p>
    <w:p w14:paraId="3585E717" w14:textId="77777777" w:rsidR="007B7F59" w:rsidRPr="007B7F59" w:rsidRDefault="007B7F59" w:rsidP="007B7F59">
      <w:pPr>
        <w:spacing w:after="0" w:line="240" w:lineRule="auto"/>
        <w:ind w:left="0"/>
        <w:jc w:val="left"/>
        <w:rPr>
          <w:rFonts w:cs="Arial"/>
          <w:szCs w:val="24"/>
        </w:rPr>
      </w:pPr>
    </w:p>
    <w:p w14:paraId="022C25D1" w14:textId="265711FC" w:rsidR="00FA7E5C" w:rsidRDefault="00871E3B" w:rsidP="00871E3B">
      <w:pPr>
        <w:pStyle w:val="JudgmentNumbered"/>
        <w:numPr>
          <w:ilvl w:val="0"/>
          <w:numId w:val="0"/>
        </w:numPr>
        <w:ind w:left="567" w:hanging="567"/>
      </w:pPr>
      <w:r>
        <w:t>[1]</w:t>
      </w:r>
      <w:r>
        <w:tab/>
      </w:r>
      <w:r w:rsidR="009405F1">
        <w:t>This is an urgent application in which the applicant seeks an order that the respondent deliver to it an X7 BMW motor vehicle (the vehicle).</w:t>
      </w:r>
    </w:p>
    <w:p w14:paraId="67203E21" w14:textId="55C29EE8" w:rsidR="00FA7E5C" w:rsidRDefault="00871E3B" w:rsidP="00871E3B">
      <w:pPr>
        <w:pStyle w:val="JudgmentNumbered"/>
        <w:numPr>
          <w:ilvl w:val="0"/>
          <w:numId w:val="0"/>
        </w:numPr>
        <w:ind w:left="567" w:hanging="567"/>
      </w:pPr>
      <w:r>
        <w:t>[2]</w:t>
      </w:r>
      <w:r>
        <w:tab/>
      </w:r>
      <w:r w:rsidR="009405F1">
        <w:t xml:space="preserve">The applicant’s cause of action is the </w:t>
      </w:r>
      <w:r w:rsidR="009405F1" w:rsidRPr="009405F1">
        <w:rPr>
          <w:i/>
          <w:iCs/>
        </w:rPr>
        <w:t xml:space="preserve">rei </w:t>
      </w:r>
      <w:proofErr w:type="spellStart"/>
      <w:r w:rsidR="009405F1" w:rsidRPr="009405F1">
        <w:rPr>
          <w:i/>
          <w:iCs/>
        </w:rPr>
        <w:t>vindicatio</w:t>
      </w:r>
      <w:proofErr w:type="spellEnd"/>
      <w:r w:rsidR="009405F1">
        <w:t xml:space="preserve">. That means that if the applicant can show that it is the owner of the vehicle and that the respondent is </w:t>
      </w:r>
      <w:r w:rsidR="009405F1">
        <w:lastRenderedPageBreak/>
        <w:t>in possession of the vehicle, then the applicant is entitled to the order it seeks, unless the respondent can put up a right to possess the vehicle.</w:t>
      </w:r>
      <w:r w:rsidR="009405F1">
        <w:rPr>
          <w:rStyle w:val="FootnoteReference"/>
        </w:rPr>
        <w:footnoteReference w:id="1"/>
      </w:r>
      <w:r w:rsidR="009405F1">
        <w:t xml:space="preserve"> It is common cause that the respondent is in possession of the vehicle. </w:t>
      </w:r>
    </w:p>
    <w:p w14:paraId="36EEF73B" w14:textId="3430F8B9" w:rsidR="009405F1" w:rsidRDefault="00871E3B" w:rsidP="00871E3B">
      <w:pPr>
        <w:pStyle w:val="JudgmentNumbered"/>
        <w:numPr>
          <w:ilvl w:val="0"/>
          <w:numId w:val="0"/>
        </w:numPr>
        <w:ind w:left="567" w:hanging="567"/>
      </w:pPr>
      <w:r>
        <w:t>[3]</w:t>
      </w:r>
      <w:r>
        <w:tab/>
      </w:r>
      <w:r w:rsidR="009405F1">
        <w:t xml:space="preserve">The applicant seeks final relief. The rules in </w:t>
      </w:r>
      <w:proofErr w:type="spellStart"/>
      <w:r w:rsidR="009405F1" w:rsidRPr="009405F1">
        <w:rPr>
          <w:i/>
          <w:iCs/>
        </w:rPr>
        <w:t>Plascon</w:t>
      </w:r>
      <w:proofErr w:type="spellEnd"/>
      <w:r w:rsidR="009405F1" w:rsidRPr="009405F1">
        <w:rPr>
          <w:i/>
          <w:iCs/>
        </w:rPr>
        <w:t xml:space="preserve">-Evans Paints Ltd v Van </w:t>
      </w:r>
      <w:proofErr w:type="spellStart"/>
      <w:r w:rsidR="009405F1" w:rsidRPr="009405F1">
        <w:rPr>
          <w:i/>
          <w:iCs/>
        </w:rPr>
        <w:t>Riebeeck</w:t>
      </w:r>
      <w:proofErr w:type="spellEnd"/>
      <w:r w:rsidR="009405F1" w:rsidRPr="009405F1">
        <w:rPr>
          <w:i/>
          <w:iCs/>
        </w:rPr>
        <w:t xml:space="preserve"> Paints (Pty) Ltd</w:t>
      </w:r>
      <w:r w:rsidR="009405F1" w:rsidRPr="009405F1">
        <w:t xml:space="preserve"> 1984 3 SA 623 (A)</w:t>
      </w:r>
      <w:r w:rsidR="009405F1">
        <w:t xml:space="preserve"> at</w:t>
      </w:r>
      <w:r w:rsidR="009405F1" w:rsidRPr="009405F1">
        <w:t xml:space="preserve"> 634H - 635C</w:t>
      </w:r>
      <w:r w:rsidR="009405F1">
        <w:t xml:space="preserve"> are therefore applicable. </w:t>
      </w:r>
    </w:p>
    <w:p w14:paraId="1576B370" w14:textId="39B29ADA" w:rsidR="009405F1" w:rsidRDefault="00871E3B" w:rsidP="00871E3B">
      <w:pPr>
        <w:pStyle w:val="JudgmentNumbered"/>
        <w:numPr>
          <w:ilvl w:val="0"/>
          <w:numId w:val="0"/>
        </w:numPr>
        <w:ind w:left="567" w:hanging="567"/>
      </w:pPr>
      <w:r>
        <w:t>[4]</w:t>
      </w:r>
      <w:r>
        <w:tab/>
      </w:r>
      <w:r w:rsidR="009405F1">
        <w:t xml:space="preserve">The respondent resists the applicant’s case on the basis that her husband, Mr </w:t>
      </w:r>
      <w:proofErr w:type="gramStart"/>
      <w:r w:rsidR="009405F1">
        <w:t>H</w:t>
      </w:r>
      <w:r w:rsidR="00740404">
        <w:t>[</w:t>
      </w:r>
      <w:proofErr w:type="gramEnd"/>
      <w:r w:rsidR="00740404">
        <w:t>…]</w:t>
      </w:r>
      <w:r w:rsidR="009405F1">
        <w:t xml:space="preserve">, gave the vehicle to her as a gift </w:t>
      </w:r>
      <w:r w:rsidR="007E7D77">
        <w:t>during or about 2019.</w:t>
      </w:r>
      <w:r w:rsidR="009405F1">
        <w:t xml:space="preserve"> The respondent and Mr </w:t>
      </w:r>
      <w:proofErr w:type="gramStart"/>
      <w:r w:rsidR="009405F1">
        <w:t>H</w:t>
      </w:r>
      <w:r w:rsidR="00740404">
        <w:t>[</w:t>
      </w:r>
      <w:proofErr w:type="gramEnd"/>
      <w:r w:rsidR="00740404">
        <w:t>…]</w:t>
      </w:r>
      <w:r w:rsidR="009405F1">
        <w:t xml:space="preserve"> have separated since and are in the throes of a divorce, but </w:t>
      </w:r>
      <w:r w:rsidR="007E7D77">
        <w:t>at the time</w:t>
      </w:r>
      <w:r w:rsidR="005E3F94">
        <w:t xml:space="preserve"> when</w:t>
      </w:r>
      <w:r w:rsidR="007E7D77">
        <w:t xml:space="preserve"> the vehicle was given to her, </w:t>
      </w:r>
      <w:r w:rsidR="009405F1">
        <w:t xml:space="preserve">they were still living together. </w:t>
      </w:r>
    </w:p>
    <w:p w14:paraId="6048A1FD" w14:textId="338960B9" w:rsidR="009405F1" w:rsidRDefault="00871E3B" w:rsidP="00871E3B">
      <w:pPr>
        <w:pStyle w:val="JudgmentNumbered"/>
        <w:numPr>
          <w:ilvl w:val="0"/>
          <w:numId w:val="0"/>
        </w:numPr>
        <w:ind w:left="567" w:hanging="567"/>
      </w:pPr>
      <w:r>
        <w:t>[5]</w:t>
      </w:r>
      <w:r>
        <w:tab/>
      </w:r>
      <w:r w:rsidR="009405F1">
        <w:t xml:space="preserve">Ms Goodenough for the applicant argued that the applicant has shown that it acquired ownership of the vehicle, having purchased it for cash from a dealer in motor vehicles during </w:t>
      </w:r>
      <w:r w:rsidR="007E7D77">
        <w:t>2019</w:t>
      </w:r>
      <w:r w:rsidR="009405F1">
        <w:t xml:space="preserve">. She further argued that the respondent does not deny the applicant’s (initial) ownership. Once it is accepted that the applicant was the owner of the vehicle, then it takes matter nowhere for the respondent to rely on Mr </w:t>
      </w:r>
      <w:proofErr w:type="gramStart"/>
      <w:r w:rsidR="009405F1">
        <w:t>H</w:t>
      </w:r>
      <w:r w:rsidR="00DA2927">
        <w:t>[</w:t>
      </w:r>
      <w:proofErr w:type="gramEnd"/>
      <w:r w:rsidR="00DA2927">
        <w:t>…]</w:t>
      </w:r>
      <w:r w:rsidR="009405F1">
        <w:t xml:space="preserve"> having </w:t>
      </w:r>
      <w:r w:rsidR="007E7D77">
        <w:t>given</w:t>
      </w:r>
      <w:r w:rsidR="009405F1">
        <w:t xml:space="preserve"> the vehicle to her</w:t>
      </w:r>
      <w:r w:rsidR="007E7D77">
        <w:t xml:space="preserve"> as a gift</w:t>
      </w:r>
      <w:r w:rsidR="009405F1">
        <w:t xml:space="preserve">, as he was not the owner. For Mr </w:t>
      </w:r>
      <w:proofErr w:type="gramStart"/>
      <w:r w:rsidR="009405F1">
        <w:t>H</w:t>
      </w:r>
      <w:r w:rsidR="00DA2927">
        <w:t>[</w:t>
      </w:r>
      <w:proofErr w:type="gramEnd"/>
      <w:r w:rsidR="00DA2927">
        <w:t>…]</w:t>
      </w:r>
      <w:r w:rsidR="009405F1">
        <w:t xml:space="preserve"> to pass ownership in the vehicle to the respondent, the respondent had to show that Mr H</w:t>
      </w:r>
      <w:r w:rsidR="00DA2927">
        <w:t>[…]</w:t>
      </w:r>
      <w:r w:rsidR="009405F1">
        <w:t xml:space="preserve">, </w:t>
      </w:r>
      <w:r w:rsidR="009405F1" w:rsidRPr="007E7D77">
        <w:rPr>
          <w:i/>
          <w:iCs/>
        </w:rPr>
        <w:t>acting on behalf of the applicant</w:t>
      </w:r>
      <w:r w:rsidR="009405F1">
        <w:t>, intended to pass ownership of the vehicle to the respondent. As the respondent did not make those allegations, the applicant is entitled to the order it seeks, so</w:t>
      </w:r>
      <w:r w:rsidR="00F23321">
        <w:t xml:space="preserve"> Ms Goodenough’s argument went.</w:t>
      </w:r>
    </w:p>
    <w:p w14:paraId="1EFE2B1E" w14:textId="1BD4EF63" w:rsidR="00FA7E5C" w:rsidRDefault="00871E3B" w:rsidP="00871E3B">
      <w:pPr>
        <w:pStyle w:val="JudgmentNumbered"/>
        <w:numPr>
          <w:ilvl w:val="0"/>
          <w:numId w:val="0"/>
        </w:numPr>
        <w:ind w:left="567" w:hanging="567"/>
      </w:pPr>
      <w:r>
        <w:t>[6]</w:t>
      </w:r>
      <w:r>
        <w:tab/>
      </w:r>
      <w:r w:rsidR="009405F1">
        <w:t xml:space="preserve">Mr </w:t>
      </w:r>
      <w:proofErr w:type="spellStart"/>
      <w:r w:rsidR="009405F1">
        <w:t>Vally</w:t>
      </w:r>
      <w:proofErr w:type="spellEnd"/>
      <w:r w:rsidR="009405F1">
        <w:t xml:space="preserve"> for the respondent argued that the issue is not whether Mr </w:t>
      </w:r>
      <w:proofErr w:type="gramStart"/>
      <w:r w:rsidR="009405F1">
        <w:t>H</w:t>
      </w:r>
      <w:r w:rsidR="00F23321">
        <w:t>[</w:t>
      </w:r>
      <w:proofErr w:type="gramEnd"/>
      <w:r w:rsidR="00F23321">
        <w:t>…]</w:t>
      </w:r>
      <w:r w:rsidR="009405F1">
        <w:t xml:space="preserve"> acted as an agent for the applicant when he </w:t>
      </w:r>
      <w:r w:rsidR="007E7D77">
        <w:t>gave</w:t>
      </w:r>
      <w:r w:rsidR="009405F1">
        <w:t xml:space="preserve"> the vehicle to the respondent</w:t>
      </w:r>
      <w:r w:rsidR="007E7D77">
        <w:t xml:space="preserve"> as a gift</w:t>
      </w:r>
      <w:r w:rsidR="009405F1">
        <w:t xml:space="preserve">. The issue was whether the applicant is the owner of the vehicle in the first place. It does not matter that Mr </w:t>
      </w:r>
      <w:proofErr w:type="gramStart"/>
      <w:r w:rsidR="009405F1">
        <w:t>H</w:t>
      </w:r>
      <w:r w:rsidR="00F23321">
        <w:t>[</w:t>
      </w:r>
      <w:proofErr w:type="gramEnd"/>
      <w:r w:rsidR="00F23321">
        <w:t>…]</w:t>
      </w:r>
      <w:r w:rsidR="009405F1">
        <w:t xml:space="preserve"> may or may not have been authorised to pass ownership in the vehicle,</w:t>
      </w:r>
      <w:r w:rsidR="009405F1" w:rsidRPr="009405F1">
        <w:t xml:space="preserve"> </w:t>
      </w:r>
      <w:r w:rsidR="009405F1">
        <w:t>on behalf of the applicant, to the respondent. All the respondent ha</w:t>
      </w:r>
      <w:r w:rsidR="00AA56CB">
        <w:t>s</w:t>
      </w:r>
      <w:r w:rsidR="009405F1">
        <w:t xml:space="preserve"> to do to defeat the applicant’s claim, so Mr </w:t>
      </w:r>
      <w:proofErr w:type="spellStart"/>
      <w:r w:rsidR="009405F1">
        <w:t>Vally</w:t>
      </w:r>
      <w:proofErr w:type="spellEnd"/>
      <w:r w:rsidR="009405F1">
        <w:t xml:space="preserve"> argued, was to deny the applicant’s ownership in a manner that raises a bona fide dispute of fact, according to the rules in </w:t>
      </w:r>
      <w:proofErr w:type="spellStart"/>
      <w:r w:rsidR="009405F1" w:rsidRPr="009405F1">
        <w:rPr>
          <w:i/>
          <w:iCs/>
        </w:rPr>
        <w:t>Plascon</w:t>
      </w:r>
      <w:proofErr w:type="spellEnd"/>
      <w:r w:rsidR="009405F1" w:rsidRPr="009405F1">
        <w:rPr>
          <w:i/>
          <w:iCs/>
        </w:rPr>
        <w:t>-Evans</w:t>
      </w:r>
      <w:r w:rsidR="009405F1">
        <w:t>.</w:t>
      </w:r>
    </w:p>
    <w:p w14:paraId="23EA1570" w14:textId="4A4289D5" w:rsidR="009405F1" w:rsidRDefault="00871E3B" w:rsidP="00871E3B">
      <w:pPr>
        <w:pStyle w:val="JudgmentNumbered"/>
        <w:numPr>
          <w:ilvl w:val="0"/>
          <w:numId w:val="0"/>
        </w:numPr>
        <w:ind w:left="567" w:hanging="567"/>
      </w:pPr>
      <w:r>
        <w:lastRenderedPageBreak/>
        <w:t>[7]</w:t>
      </w:r>
      <w:r>
        <w:tab/>
      </w:r>
      <w:r w:rsidR="009405F1">
        <w:t xml:space="preserve">The issue I am to decide is therefore this: does the answering affidavit raise a bona fide dispute of fact on the applicant’s claim to be the owner of the vehicle? </w:t>
      </w:r>
    </w:p>
    <w:p w14:paraId="7B809344" w14:textId="0147B54A" w:rsidR="009405F1" w:rsidRDefault="00871E3B" w:rsidP="00871E3B">
      <w:pPr>
        <w:pStyle w:val="JudgmentNumbered"/>
        <w:numPr>
          <w:ilvl w:val="0"/>
          <w:numId w:val="0"/>
        </w:numPr>
        <w:ind w:left="567" w:hanging="567"/>
      </w:pPr>
      <w:r>
        <w:t>[8]</w:t>
      </w:r>
      <w:r>
        <w:tab/>
      </w:r>
      <w:r w:rsidR="009405F1">
        <w:t xml:space="preserve">Ms Goodenough fairly conceded that, applying the rules in </w:t>
      </w:r>
      <w:proofErr w:type="spellStart"/>
      <w:r w:rsidR="009405F1" w:rsidRPr="007E7D77">
        <w:rPr>
          <w:i/>
          <w:iCs/>
        </w:rPr>
        <w:t>Plascon</w:t>
      </w:r>
      <w:proofErr w:type="spellEnd"/>
      <w:r w:rsidR="009405F1" w:rsidRPr="007E7D77">
        <w:rPr>
          <w:i/>
          <w:iCs/>
        </w:rPr>
        <w:t>-Evans</w:t>
      </w:r>
      <w:r w:rsidR="009405F1">
        <w:t xml:space="preserve">, I am to take it for granted that in </w:t>
      </w:r>
      <w:r w:rsidR="007E7D77">
        <w:t>2019</w:t>
      </w:r>
      <w:r w:rsidR="009405F1">
        <w:t xml:space="preserve"> Mr </w:t>
      </w:r>
      <w:proofErr w:type="gramStart"/>
      <w:r w:rsidR="009405F1">
        <w:t>H</w:t>
      </w:r>
      <w:r w:rsidR="002E7430">
        <w:t>[</w:t>
      </w:r>
      <w:proofErr w:type="gramEnd"/>
      <w:r w:rsidR="002E7430">
        <w:t>…]</w:t>
      </w:r>
      <w:r w:rsidR="009405F1">
        <w:t xml:space="preserve"> gave the vehicle to the respondent as a gift. Accepting that as fact does not however bring an end to the matter, for, if, as stated above, I also accept that the applicant was the owner of </w:t>
      </w:r>
      <w:r w:rsidR="005E3F94">
        <w:t xml:space="preserve">the </w:t>
      </w:r>
      <w:r w:rsidR="009405F1">
        <w:t xml:space="preserve">vehicle at the time when Mr </w:t>
      </w:r>
      <w:proofErr w:type="gramStart"/>
      <w:r w:rsidR="009405F1">
        <w:t>H</w:t>
      </w:r>
      <w:r w:rsidR="002E7430">
        <w:t>[</w:t>
      </w:r>
      <w:proofErr w:type="gramEnd"/>
      <w:r w:rsidR="002E7430">
        <w:t>…]</w:t>
      </w:r>
      <w:r w:rsidR="009405F1">
        <w:t xml:space="preserve"> gave it to the respondent as a gift, it does not amount to a transfer of ownership from the applicant to the respondent. For ownership to pass from the applicant to the respondent, Mr H</w:t>
      </w:r>
      <w:r w:rsidR="002E7430">
        <w:t>[…]</w:t>
      </w:r>
      <w:r w:rsidR="009405F1">
        <w:t xml:space="preserve"> must have acted on behalf of the applicant at the time.</w:t>
      </w:r>
      <w:r w:rsidR="005708EB">
        <w:rPr>
          <w:rStyle w:val="FootnoteReference"/>
        </w:rPr>
        <w:footnoteReference w:id="2"/>
      </w:r>
      <w:r w:rsidR="009405F1">
        <w:t xml:space="preserve"> </w:t>
      </w:r>
    </w:p>
    <w:p w14:paraId="2EE1D43C" w14:textId="1F815AF8" w:rsidR="009405F1" w:rsidRDefault="00871E3B" w:rsidP="00871E3B">
      <w:pPr>
        <w:pStyle w:val="JudgmentNumbered"/>
        <w:numPr>
          <w:ilvl w:val="0"/>
          <w:numId w:val="0"/>
        </w:numPr>
        <w:ind w:left="567" w:hanging="567"/>
      </w:pPr>
      <w:r>
        <w:t>[9]</w:t>
      </w:r>
      <w:r>
        <w:tab/>
      </w:r>
      <w:r w:rsidR="009405F1">
        <w:t>The applicant alleges to be the owner of the vehicle in its founding affidavit. This allegation is denied in the answering affidavit</w:t>
      </w:r>
      <w:r w:rsidR="005E3F94">
        <w:t xml:space="preserve"> in clear terms</w:t>
      </w:r>
      <w:r w:rsidR="009405F1">
        <w:t xml:space="preserve">, but to raise a bona fide dispute of fact, it is required of the respondent to do </w:t>
      </w:r>
      <w:r w:rsidR="00D14B76">
        <w:t>better</w:t>
      </w:r>
      <w:r w:rsidR="009405F1">
        <w:t xml:space="preserve"> than just a bare denial. </w:t>
      </w:r>
    </w:p>
    <w:p w14:paraId="0A26498A" w14:textId="78B5413B" w:rsidR="009405F1" w:rsidRDefault="00871E3B" w:rsidP="00871E3B">
      <w:pPr>
        <w:pStyle w:val="JudgmentNumbered"/>
        <w:numPr>
          <w:ilvl w:val="0"/>
          <w:numId w:val="0"/>
        </w:numPr>
        <w:ind w:left="567" w:hanging="567"/>
      </w:pPr>
      <w:r>
        <w:t>[10]</w:t>
      </w:r>
      <w:r>
        <w:tab/>
      </w:r>
      <w:r w:rsidR="009405F1">
        <w:t xml:space="preserve">The respondent concedes in the answering affidavit that the vehicle is registered in the applicant’s name, but this she says, was according to Mr </w:t>
      </w:r>
      <w:proofErr w:type="gramStart"/>
      <w:r w:rsidR="009405F1">
        <w:t>H</w:t>
      </w:r>
      <w:r w:rsidR="00E93909">
        <w:t>[</w:t>
      </w:r>
      <w:proofErr w:type="gramEnd"/>
      <w:r w:rsidR="00E93909">
        <w:t>…]</w:t>
      </w:r>
      <w:r w:rsidR="009405F1">
        <w:t>, “</w:t>
      </w:r>
      <w:r w:rsidR="009405F1" w:rsidRPr="009405F1">
        <w:rPr>
          <w:i/>
          <w:iCs/>
        </w:rPr>
        <w:t>for tax purposes</w:t>
      </w:r>
      <w:r w:rsidR="009405F1">
        <w:t xml:space="preserve">”. </w:t>
      </w:r>
      <w:r w:rsidR="005708EB">
        <w:t xml:space="preserve">Registration of </w:t>
      </w:r>
      <w:r w:rsidR="005E3F94">
        <w:t xml:space="preserve">a </w:t>
      </w:r>
      <w:r w:rsidR="005708EB">
        <w:t>motor vehicle is not conclusive evidence of ownership,</w:t>
      </w:r>
      <w:r w:rsidR="005708EB">
        <w:rPr>
          <w:rStyle w:val="FootnoteReference"/>
        </w:rPr>
        <w:footnoteReference w:id="3"/>
      </w:r>
      <w:r w:rsidR="005708EB">
        <w:t xml:space="preserve"> so it remains to consider the facts on the true intention of </w:t>
      </w:r>
      <w:r w:rsidR="00155F8B">
        <w:t>Mr H</w:t>
      </w:r>
      <w:r w:rsidR="00E93909">
        <w:t>[…]</w:t>
      </w:r>
      <w:r w:rsidR="00155F8B">
        <w:t xml:space="preserve"> at the time, i.e. did he intend for the applicant to become the owner, or did he intend to make the respondent the owner</w:t>
      </w:r>
      <w:r w:rsidR="00644BBF">
        <w:t>,</w:t>
      </w:r>
      <w:r w:rsidR="00155F8B">
        <w:t xml:space="preserve"> when the vehicle was bought from the dealer</w:t>
      </w:r>
      <w:r w:rsidR="005708EB">
        <w:t xml:space="preserve">. </w:t>
      </w:r>
      <w:r w:rsidR="009405F1">
        <w:t xml:space="preserve">According to her evidence, all her and Mr </w:t>
      </w:r>
      <w:proofErr w:type="gramStart"/>
      <w:r w:rsidR="009405F1">
        <w:t>H</w:t>
      </w:r>
      <w:r w:rsidR="00E93909">
        <w:t>[</w:t>
      </w:r>
      <w:proofErr w:type="gramEnd"/>
      <w:r w:rsidR="00E93909">
        <w:t>…]</w:t>
      </w:r>
      <w:r w:rsidR="009405F1">
        <w:t xml:space="preserve">’s personal assets (save for their marital home) were also transferred to the applicant, for the same reason. Elsewhere in her affidavit she alleges that the applicant is Mr </w:t>
      </w:r>
      <w:proofErr w:type="gramStart"/>
      <w:r w:rsidR="009405F1">
        <w:t>H</w:t>
      </w:r>
      <w:r w:rsidR="00E93909">
        <w:t>[</w:t>
      </w:r>
      <w:proofErr w:type="gramEnd"/>
      <w:r w:rsidR="00E93909">
        <w:t>…]</w:t>
      </w:r>
      <w:r w:rsidR="009405F1">
        <w:t xml:space="preserve">’s alter ego and </w:t>
      </w:r>
      <w:r w:rsidR="009405F1">
        <w:rPr>
          <w:i/>
          <w:iCs/>
        </w:rPr>
        <w:t>agent provocateur</w:t>
      </w:r>
      <w:r w:rsidR="009405F1">
        <w:t xml:space="preserve">. Her evidence is also that Mr </w:t>
      </w:r>
      <w:proofErr w:type="gramStart"/>
      <w:r w:rsidR="009405F1">
        <w:t>H</w:t>
      </w:r>
      <w:r w:rsidR="00E93909">
        <w:t>[</w:t>
      </w:r>
      <w:proofErr w:type="gramEnd"/>
      <w:r w:rsidR="00E93909">
        <w:t>…]</w:t>
      </w:r>
      <w:r w:rsidR="009405F1">
        <w:t xml:space="preserve"> was at the time the sole director and shareholder of the applicant. </w:t>
      </w:r>
      <w:r w:rsidR="00FC4F70">
        <w:t xml:space="preserve">(These allegations are denied by the applicant, but as stated above, the rules in </w:t>
      </w:r>
      <w:proofErr w:type="spellStart"/>
      <w:r w:rsidR="00FC4F70">
        <w:rPr>
          <w:i/>
          <w:iCs/>
        </w:rPr>
        <w:t>Plascon</w:t>
      </w:r>
      <w:proofErr w:type="spellEnd"/>
      <w:r w:rsidR="00FC4F70">
        <w:rPr>
          <w:i/>
          <w:iCs/>
        </w:rPr>
        <w:t xml:space="preserve">-Evans </w:t>
      </w:r>
      <w:r w:rsidR="00FC4F70">
        <w:t xml:space="preserve">compel me decide this application on those facts). </w:t>
      </w:r>
      <w:r w:rsidR="009405F1">
        <w:t xml:space="preserve">She further points out that in other litigation between her and Mr </w:t>
      </w:r>
      <w:proofErr w:type="gramStart"/>
      <w:r w:rsidR="009405F1">
        <w:t>H</w:t>
      </w:r>
      <w:r w:rsidR="00E93909">
        <w:t>[</w:t>
      </w:r>
      <w:proofErr w:type="gramEnd"/>
      <w:r w:rsidR="00E93909">
        <w:t>…]</w:t>
      </w:r>
      <w:r w:rsidR="009405F1">
        <w:t>, the vehicle featured, but Mr H</w:t>
      </w:r>
      <w:r w:rsidR="00E93909">
        <w:t>[…]</w:t>
      </w:r>
      <w:r w:rsidR="009405F1">
        <w:t xml:space="preserve"> did not </w:t>
      </w:r>
      <w:r w:rsidR="009405F1">
        <w:lastRenderedPageBreak/>
        <w:t>then state that the applicant was the owner of the vehicle, even when the respondent r</w:t>
      </w:r>
      <w:r w:rsidR="00E93909">
        <w:t>eferred to the vehicle as hers.</w:t>
      </w:r>
    </w:p>
    <w:p w14:paraId="60D8472B" w14:textId="398D5F35" w:rsidR="009405F1" w:rsidRDefault="00871E3B" w:rsidP="00871E3B">
      <w:pPr>
        <w:pStyle w:val="JudgmentNumbered"/>
        <w:numPr>
          <w:ilvl w:val="0"/>
          <w:numId w:val="0"/>
        </w:numPr>
        <w:ind w:left="567" w:hanging="567"/>
      </w:pPr>
      <w:r>
        <w:t>[11]</w:t>
      </w:r>
      <w:r>
        <w:tab/>
      </w:r>
      <w:r w:rsidR="009405F1">
        <w:t xml:space="preserve">Ms Goodenough argued that the allegations to the effect that the applicant is Mr </w:t>
      </w:r>
      <w:proofErr w:type="gramStart"/>
      <w:r w:rsidR="009405F1">
        <w:t>H</w:t>
      </w:r>
      <w:r w:rsidR="007C2A86">
        <w:t>[</w:t>
      </w:r>
      <w:proofErr w:type="gramEnd"/>
      <w:r w:rsidR="007C2A86">
        <w:t>…]</w:t>
      </w:r>
      <w:r w:rsidR="009405F1">
        <w:t xml:space="preserve">’s alter ego, or </w:t>
      </w:r>
      <w:r w:rsidR="009405F1">
        <w:rPr>
          <w:i/>
          <w:iCs/>
        </w:rPr>
        <w:t>agent provocateur</w:t>
      </w:r>
      <w:r w:rsidR="009405F1">
        <w:t>, do not go far enough to make out a case for the corporate veil to be lifted or for a case in terms of section 20(9) of the Companies Ac</w:t>
      </w:r>
      <w:r w:rsidR="00FC4F70">
        <w:t>t</w:t>
      </w:r>
      <w:r w:rsidR="009405F1">
        <w:t xml:space="preserve"> 71 of 2008. In this Ms Goodenough is probably on solid ground, but that is not the pertinent question I am to decide. </w:t>
      </w:r>
    </w:p>
    <w:p w14:paraId="0D4E07E6" w14:textId="72C915D4" w:rsidR="009405F1" w:rsidRDefault="00871E3B" w:rsidP="00871E3B">
      <w:pPr>
        <w:pStyle w:val="JudgmentNumbered"/>
        <w:numPr>
          <w:ilvl w:val="0"/>
          <w:numId w:val="0"/>
        </w:numPr>
        <w:ind w:left="567" w:hanging="567"/>
      </w:pPr>
      <w:r>
        <w:t>[12]</w:t>
      </w:r>
      <w:r>
        <w:tab/>
      </w:r>
      <w:r w:rsidR="009405F1">
        <w:t>When the answering affidavit is read as a whole and in a fair manner, it seems to me that the respondent does deny the applicant’s claim to be the owner of the vehicle in a manner that raises a bona fide dispute of fact. When she states that the registration of the vehicle in the name of the applicant was for “tax purposes”</w:t>
      </w:r>
      <w:r w:rsidR="004A731C">
        <w:t xml:space="preserve">, when read in context, </w:t>
      </w:r>
      <w:r w:rsidR="009405F1">
        <w:t xml:space="preserve">is reasonably capable of being understood to mean that </w:t>
      </w:r>
      <w:r w:rsidR="00644BBF">
        <w:t xml:space="preserve">Mr </w:t>
      </w:r>
      <w:proofErr w:type="gramStart"/>
      <w:r w:rsidR="00644BBF">
        <w:t>H</w:t>
      </w:r>
      <w:r w:rsidR="00CA5193">
        <w:t>[</w:t>
      </w:r>
      <w:proofErr w:type="gramEnd"/>
      <w:r w:rsidR="00CA5193">
        <w:t>…]</w:t>
      </w:r>
      <w:r w:rsidR="00644BBF">
        <w:t>’s</w:t>
      </w:r>
      <w:r w:rsidR="009405F1">
        <w:t xml:space="preserve"> true intention was not for the applicant to be the owner of the vehicle. To say it was done for tax purposes, can be taken to mean that what was intended was to create the </w:t>
      </w:r>
      <w:r w:rsidR="009405F1" w:rsidRPr="00644BBF">
        <w:rPr>
          <w:i/>
          <w:iCs/>
        </w:rPr>
        <w:t>appearance</w:t>
      </w:r>
      <w:r w:rsidR="009405F1">
        <w:t xml:space="preserve"> that the applicant was the owner of the vehicle, while in reality that was not the case. </w:t>
      </w:r>
      <w:r w:rsidR="00FC4F70">
        <w:t>The respondent</w:t>
      </w:r>
      <w:r w:rsidR="004A731C">
        <w:t xml:space="preserve"> could have stated her case in clearer terms, but it would be unduly robust, in my view, to read her affidavit in such a way as to exclude an interpretation that is favourable to her case. </w:t>
      </w:r>
      <w:r w:rsidR="00AA6F3E">
        <w:t>Typically,</w:t>
      </w:r>
      <w:r w:rsidR="004A731C">
        <w:t xml:space="preserve"> when an affidavit is drawn in deliberately ambiguous language, </w:t>
      </w:r>
      <w:r w:rsidR="00AA6F3E">
        <w:t xml:space="preserve">it is done to provide the deponent with wiggle room when their evidence is in due course tested under cross-examination. It does not seem to me that the respondent was employing this tactic in the way in which the answering affidavit was drawn. </w:t>
      </w:r>
      <w:r w:rsidR="00FC4F70">
        <w:t>There is a difference between (a) facts that are in and of itself ambiguous; and (b) what should be clear facts, but which are presented in an ambiguous manner. Here, it seems to me, on the material I have in front of me, that (a) is the case rather than (b).</w:t>
      </w:r>
      <w:r w:rsidR="00644BBF">
        <w:t xml:space="preserve"> After all, the issue is Mr </w:t>
      </w:r>
      <w:proofErr w:type="gramStart"/>
      <w:r w:rsidR="00644BBF">
        <w:t>H</w:t>
      </w:r>
      <w:r w:rsidR="00CA5193">
        <w:t>[</w:t>
      </w:r>
      <w:proofErr w:type="gramEnd"/>
      <w:r w:rsidR="00CA5193">
        <w:t>…]</w:t>
      </w:r>
      <w:r w:rsidR="00644BBF">
        <w:t>’s true intention in 2019 when the vehicle was bought, which, from the respondent’s perspective, can only be addressed with circumstantial evidence as she could not know from her personal knowledge, what went on in Mr H</w:t>
      </w:r>
      <w:r w:rsidR="00CA5193">
        <w:t>[…]’s mind.</w:t>
      </w:r>
    </w:p>
    <w:p w14:paraId="4CBBDA78" w14:textId="37E01260" w:rsidR="00644BBF" w:rsidRDefault="00871E3B" w:rsidP="00871E3B">
      <w:pPr>
        <w:pStyle w:val="JudgmentNumbered"/>
        <w:numPr>
          <w:ilvl w:val="0"/>
          <w:numId w:val="0"/>
        </w:numPr>
        <w:ind w:left="567" w:hanging="567"/>
      </w:pPr>
      <w:r>
        <w:t>[13]</w:t>
      </w:r>
      <w:r>
        <w:tab/>
      </w:r>
      <w:r w:rsidR="00644BBF">
        <w:t xml:space="preserve">Ms Goodenough argued that when one spouse gives the other a motor vehicle as a gift, it does not follow that the giving spouse intends to make the receiving spouse the owner, as it may as well signify only the intention </w:t>
      </w:r>
      <w:r w:rsidR="00AA3E03">
        <w:t xml:space="preserve">to give the receiving </w:t>
      </w:r>
      <w:r w:rsidR="00AA3E03">
        <w:lastRenderedPageBreak/>
        <w:t>spouse the use of the vehicle</w:t>
      </w:r>
      <w:r w:rsidR="002407C8">
        <w:t>, or it may be a means of compliance with a maintenance duty</w:t>
      </w:r>
      <w:r w:rsidR="00AA3E03">
        <w:t xml:space="preserve">. This submission seems to me to be consistent with the natural order of things, but as with Mr </w:t>
      </w:r>
      <w:proofErr w:type="gramStart"/>
      <w:r w:rsidR="00AA3E03">
        <w:t>H</w:t>
      </w:r>
      <w:r w:rsidR="00251BEC">
        <w:t>[</w:t>
      </w:r>
      <w:proofErr w:type="gramEnd"/>
      <w:r w:rsidR="00251BEC">
        <w:t>…]</w:t>
      </w:r>
      <w:r w:rsidR="00AA3E03">
        <w:t xml:space="preserve">’s intention dealt with above, the ambiguous nature of the evidence does not warrant a rejection of the respondent’s version, because as before, it is the facts that are inherently ambiguous, not </w:t>
      </w:r>
      <w:r w:rsidR="00AA56CB">
        <w:t xml:space="preserve">necessarily </w:t>
      </w:r>
      <w:r w:rsidR="00AA3E03">
        <w:t xml:space="preserve">the manner in which the facts are presented in the answering affidavit. </w:t>
      </w:r>
    </w:p>
    <w:p w14:paraId="66F6A30F" w14:textId="0DB1464F" w:rsidR="009405F1" w:rsidRDefault="00871E3B" w:rsidP="00871E3B">
      <w:pPr>
        <w:pStyle w:val="JudgmentNumbered"/>
        <w:numPr>
          <w:ilvl w:val="0"/>
          <w:numId w:val="0"/>
        </w:numPr>
        <w:ind w:left="567" w:hanging="567"/>
      </w:pPr>
      <w:r>
        <w:t>[14]</w:t>
      </w:r>
      <w:r>
        <w:tab/>
      </w:r>
      <w:r w:rsidR="009405F1">
        <w:t>In my view, a more robust approach to the respondent’s affidavit</w:t>
      </w:r>
      <w:r w:rsidR="00AA6F3E">
        <w:t xml:space="preserve"> </w:t>
      </w:r>
      <w:r w:rsidR="009405F1">
        <w:t xml:space="preserve">should be resisted. In </w:t>
      </w:r>
      <w:r w:rsidR="009405F1" w:rsidRPr="009405F1">
        <w:rPr>
          <w:i/>
          <w:iCs/>
        </w:rPr>
        <w:t>National Scrap Metal (Cape Town) (Pty) Ltd v Murray &amp; Roberts Ltd</w:t>
      </w:r>
      <w:r w:rsidR="009405F1" w:rsidRPr="009405F1">
        <w:t xml:space="preserve"> 2012 5 SA 300 (SCA)</w:t>
      </w:r>
      <w:r w:rsidR="009405F1">
        <w:t xml:space="preserve"> Leach JA found:</w:t>
      </w:r>
    </w:p>
    <w:p w14:paraId="4E0A9E77" w14:textId="0C2C7979" w:rsidR="009405F1" w:rsidRPr="009405F1" w:rsidRDefault="009405F1" w:rsidP="009405F1">
      <w:pPr>
        <w:pStyle w:val="JudgmentNumbered"/>
        <w:numPr>
          <w:ilvl w:val="0"/>
          <w:numId w:val="0"/>
        </w:numPr>
        <w:ind w:left="1276" w:hanging="709"/>
        <w:rPr>
          <w:sz w:val="22"/>
          <w:lang w:val="en-ZA"/>
        </w:rPr>
      </w:pPr>
      <w:r>
        <w:rPr>
          <w:sz w:val="22"/>
        </w:rPr>
        <w:t>“</w:t>
      </w:r>
      <w:r w:rsidRPr="009405F1">
        <w:rPr>
          <w:sz w:val="22"/>
        </w:rPr>
        <w:t>[21]</w:t>
      </w:r>
      <w:r w:rsidRPr="009405F1">
        <w:rPr>
          <w:sz w:val="22"/>
        </w:rPr>
        <w:tab/>
        <w:t>These factors — particularly collectively — do cast a measure of doubt on the appellants' version, which is</w:t>
      </w:r>
      <w:r w:rsidRPr="009405F1">
        <w:rPr>
          <w:sz w:val="22"/>
          <w:lang w:val="en-ZA"/>
        </w:rPr>
        <w:t xml:space="preserve"> certainly improbable in a number of respects. However, as the high court was called on to decide the matter without the benefit of oral evidence, it had to accept the facts alleged by the appellants (as respondents below), unless they were 'so far-fetched or clearly untenable that the court is justified in rejecting them merely on the papers'. An attempt to evaluate the competing versions of either side is thus both inadvisable and unnecessary as the issue is not which version is the more probable but whether that of the appellants is so far-fetched and improbable that it can be rejected without evidence.</w:t>
      </w:r>
    </w:p>
    <w:p w14:paraId="086E0F87" w14:textId="3E16C103" w:rsidR="009405F1" w:rsidRPr="009405F1" w:rsidRDefault="009405F1" w:rsidP="009405F1">
      <w:pPr>
        <w:pStyle w:val="JudgmentNumbered"/>
        <w:numPr>
          <w:ilvl w:val="0"/>
          <w:numId w:val="0"/>
        </w:numPr>
        <w:ind w:left="1276" w:hanging="709"/>
        <w:rPr>
          <w:lang w:val="en-ZA"/>
        </w:rPr>
      </w:pPr>
      <w:r w:rsidRPr="009405F1">
        <w:rPr>
          <w:sz w:val="22"/>
          <w:lang w:val="en-ZA"/>
        </w:rPr>
        <w:t>[22]</w:t>
      </w:r>
      <w:r w:rsidRPr="009405F1">
        <w:rPr>
          <w:sz w:val="22"/>
          <w:lang w:val="en-ZA"/>
        </w:rPr>
        <w:tab/>
        <w:t xml:space="preserve">As was recently remarked in this court, the test in that regard is 'a stringent one not easily satisfied'. In considering whether it has been satisfied in this case, it is necessary to bear in mind that, all too often, after evidence has been led and tested by cross-examination, things turn out differently from the way they might have appeared at first blush. As </w:t>
      </w:r>
      <w:proofErr w:type="spellStart"/>
      <w:r w:rsidRPr="009405F1">
        <w:rPr>
          <w:sz w:val="22"/>
          <w:lang w:val="en-ZA"/>
        </w:rPr>
        <w:t>Megarry</w:t>
      </w:r>
      <w:proofErr w:type="spellEnd"/>
      <w:r w:rsidRPr="009405F1">
        <w:rPr>
          <w:sz w:val="22"/>
          <w:lang w:val="en-ZA"/>
        </w:rPr>
        <w:t xml:space="preserve"> J observed in a well-known dictum in </w:t>
      </w:r>
      <w:r w:rsidRPr="009405F1">
        <w:rPr>
          <w:i/>
          <w:iCs/>
          <w:sz w:val="22"/>
          <w:lang w:val="en-ZA"/>
        </w:rPr>
        <w:t>John v Rees and Others; Martin and Another v Davis and Others;</w:t>
      </w:r>
      <w:r w:rsidRPr="009405F1">
        <w:rPr>
          <w:sz w:val="22"/>
          <w:lang w:val="en-ZA"/>
        </w:rPr>
        <w:t xml:space="preserve"> </w:t>
      </w:r>
      <w:r w:rsidRPr="009405F1">
        <w:rPr>
          <w:i/>
          <w:iCs/>
          <w:sz w:val="22"/>
          <w:lang w:val="en-ZA"/>
        </w:rPr>
        <w:t>Rees and Another v John</w:t>
      </w:r>
      <w:r w:rsidRPr="009405F1">
        <w:rPr>
          <w:sz w:val="22"/>
          <w:lang w:val="en-ZA"/>
        </w:rPr>
        <w:t xml:space="preserve"> [1970] 1 </w:t>
      </w:r>
      <w:proofErr w:type="spellStart"/>
      <w:r w:rsidRPr="009405F1">
        <w:rPr>
          <w:sz w:val="22"/>
          <w:lang w:val="en-ZA"/>
        </w:rPr>
        <w:t>Ch</w:t>
      </w:r>
      <w:proofErr w:type="spellEnd"/>
      <w:r w:rsidRPr="009405F1">
        <w:rPr>
          <w:sz w:val="22"/>
          <w:lang w:val="en-ZA"/>
        </w:rPr>
        <w:t xml:space="preserve"> 345 ([1969] 2 All ER 274 (</w:t>
      </w:r>
      <w:proofErr w:type="spellStart"/>
      <w:r w:rsidRPr="009405F1">
        <w:rPr>
          <w:sz w:val="22"/>
          <w:lang w:val="en-ZA"/>
        </w:rPr>
        <w:t>Ch</w:t>
      </w:r>
      <w:proofErr w:type="spellEnd"/>
      <w:r w:rsidRPr="009405F1">
        <w:rPr>
          <w:sz w:val="22"/>
          <w:lang w:val="en-ZA"/>
        </w:rPr>
        <w:t>)) at 402 (</w:t>
      </w:r>
      <w:proofErr w:type="spellStart"/>
      <w:r w:rsidRPr="009405F1">
        <w:rPr>
          <w:sz w:val="22"/>
          <w:lang w:val="en-ZA"/>
        </w:rPr>
        <w:t>Ch</w:t>
      </w:r>
      <w:proofErr w:type="spellEnd"/>
      <w:r w:rsidRPr="009405F1">
        <w:rPr>
          <w:sz w:val="22"/>
          <w:lang w:val="en-ZA"/>
        </w:rPr>
        <w:t>) and 309F (All ER):</w:t>
      </w:r>
    </w:p>
    <w:p w14:paraId="01566EC9" w14:textId="70896636" w:rsidR="009405F1" w:rsidRPr="009405F1" w:rsidRDefault="009405F1" w:rsidP="009405F1">
      <w:pPr>
        <w:pStyle w:val="JudgmentNumbered"/>
        <w:numPr>
          <w:ilvl w:val="0"/>
          <w:numId w:val="0"/>
        </w:numPr>
        <w:ind w:left="1746"/>
        <w:rPr>
          <w:lang w:val="en-ZA"/>
        </w:rPr>
      </w:pPr>
      <w:r w:rsidRPr="009405F1">
        <w:rPr>
          <w:lang w:val="en-ZA"/>
        </w:rPr>
        <w:t>'</w:t>
      </w:r>
      <w:r w:rsidRPr="009405F1">
        <w:rPr>
          <w:sz w:val="20"/>
          <w:szCs w:val="20"/>
          <w:lang w:val="en-ZA"/>
        </w:rPr>
        <w:t>As everybody who has anything to do with the law well knows, the path of the law is strewn with examples of open and shut cases which, somehow, were not; of unanswerable charges which, in the event, were completely answered; of inexplicable conduct which was fully explained; of fixed and unalterable determinations that, by discussion, suffered a change</w:t>
      </w:r>
      <w:r w:rsidRPr="009405F1">
        <w:rPr>
          <w:lang w:val="en-ZA"/>
        </w:rPr>
        <w:t>.'</w:t>
      </w:r>
      <w:r>
        <w:rPr>
          <w:lang w:val="en-ZA"/>
        </w:rPr>
        <w:t>” (footnotes omitted)</w:t>
      </w:r>
    </w:p>
    <w:p w14:paraId="49C5D443" w14:textId="259A7A8F" w:rsidR="009405F1" w:rsidRDefault="00871E3B" w:rsidP="00871E3B">
      <w:pPr>
        <w:pStyle w:val="JudgmentNumbered"/>
        <w:numPr>
          <w:ilvl w:val="0"/>
          <w:numId w:val="0"/>
        </w:numPr>
        <w:ind w:left="567" w:hanging="567"/>
      </w:pPr>
      <w:r>
        <w:lastRenderedPageBreak/>
        <w:t>[15]</w:t>
      </w:r>
      <w:r>
        <w:tab/>
      </w:r>
      <w:r w:rsidR="009405F1">
        <w:t xml:space="preserve">The parties are agreed that if I am to find that there is a bona fide factual dispute then the matter should be referred to either oral evidence or to trial, as opposed to being dismissed. On the question of whether the applicant is the owner of the vehicle, although </w:t>
      </w:r>
      <w:r w:rsidR="002407C8">
        <w:t>the issue</w:t>
      </w:r>
      <w:r w:rsidR="009405F1">
        <w:t xml:space="preserve"> can</w:t>
      </w:r>
      <w:r w:rsidR="00FC4F70">
        <w:t xml:space="preserve"> be</w:t>
      </w:r>
      <w:r w:rsidR="009405F1">
        <w:t xml:space="preserve"> formulated crisply, it involves all manner of other questions, such as Mr H</w:t>
      </w:r>
      <w:r w:rsidR="0086721F">
        <w:t>[…]</w:t>
      </w:r>
      <w:r w:rsidR="009405F1">
        <w:t xml:space="preserve">’s role in relation to the applicant and the measure of control he exercised over it. A referral to trial therefore seems to me to be the appropriate order. </w:t>
      </w:r>
    </w:p>
    <w:p w14:paraId="6F85169E" w14:textId="0370BAE0" w:rsidR="009405F1" w:rsidRDefault="00871E3B" w:rsidP="00871E3B">
      <w:pPr>
        <w:pStyle w:val="JudgmentNumbered"/>
        <w:numPr>
          <w:ilvl w:val="0"/>
          <w:numId w:val="0"/>
        </w:numPr>
        <w:ind w:left="567" w:hanging="567"/>
      </w:pPr>
      <w:r>
        <w:t>[16]</w:t>
      </w:r>
      <w:r>
        <w:tab/>
      </w:r>
      <w:r w:rsidR="009405F1">
        <w:t>Ms Goodenough pointed</w:t>
      </w:r>
      <w:r w:rsidR="00FC4F70">
        <w:t xml:space="preserve"> out</w:t>
      </w:r>
      <w:r w:rsidR="009405F1">
        <w:t xml:space="preserve"> that as I found that the </w:t>
      </w:r>
      <w:r w:rsidR="006A0955">
        <w:t xml:space="preserve">application </w:t>
      </w:r>
      <w:r w:rsidR="009405F1">
        <w:t xml:space="preserve">is urgent, it would be incongruous to refer </w:t>
      </w:r>
      <w:r w:rsidR="006A0955">
        <w:t>it</w:t>
      </w:r>
      <w:r w:rsidR="009405F1">
        <w:t xml:space="preserve"> to trial, as that would mean that </w:t>
      </w:r>
      <w:r w:rsidR="006A0955">
        <w:t>it</w:t>
      </w:r>
      <w:r w:rsidR="009405F1">
        <w:t xml:space="preserve"> would not </w:t>
      </w:r>
      <w:r w:rsidR="00FC4F70">
        <w:t xml:space="preserve">be </w:t>
      </w:r>
      <w:r w:rsidR="009405F1">
        <w:t xml:space="preserve">resolved for quite some time. The </w:t>
      </w:r>
      <w:r w:rsidR="009405F1" w:rsidRPr="009405F1">
        <w:t>incongruousness</w:t>
      </w:r>
      <w:r w:rsidR="009405F1">
        <w:t xml:space="preserve"> is undeniable, but urgency and the resolution of factual disputes on motion are two very different enquiries. The presence of urgency cannot turn </w:t>
      </w:r>
      <w:r w:rsidR="00FC4F70">
        <w:t xml:space="preserve">what </w:t>
      </w:r>
      <w:r w:rsidR="009405F1">
        <w:t xml:space="preserve">would otherwise be a bona fide factual dispute into something different. </w:t>
      </w:r>
    </w:p>
    <w:p w14:paraId="3146C99D" w14:textId="50CA7ED6" w:rsidR="009405F1" w:rsidRDefault="00871E3B" w:rsidP="00871E3B">
      <w:pPr>
        <w:pStyle w:val="JudgmentNumbered"/>
        <w:numPr>
          <w:ilvl w:val="0"/>
          <w:numId w:val="0"/>
        </w:numPr>
        <w:ind w:left="567" w:hanging="567"/>
      </w:pPr>
      <w:r>
        <w:t>[17]</w:t>
      </w:r>
      <w:r>
        <w:tab/>
      </w:r>
      <w:r w:rsidR="009405F1">
        <w:t>The parties did not pertinently address me on costs, should the matter be referred to trial. It seems to me therefore that costs ought to be reserved for decision by the trial court.</w:t>
      </w:r>
    </w:p>
    <w:p w14:paraId="3C84B595" w14:textId="583A548D" w:rsidR="00982BC5" w:rsidRDefault="00871E3B" w:rsidP="00871E3B">
      <w:pPr>
        <w:pStyle w:val="JudgmentNumbered"/>
        <w:numPr>
          <w:ilvl w:val="0"/>
          <w:numId w:val="0"/>
        </w:numPr>
        <w:ind w:left="567" w:hanging="567"/>
      </w:pPr>
      <w:r>
        <w:t>[18]</w:t>
      </w:r>
      <w:r>
        <w:tab/>
      </w:r>
      <w:r w:rsidR="00982BC5">
        <w:t>I make the following order:</w:t>
      </w:r>
    </w:p>
    <w:p w14:paraId="4A36F63C" w14:textId="3AC95122" w:rsidR="00982BC5" w:rsidRDefault="00871E3B" w:rsidP="00871E3B">
      <w:pPr>
        <w:pStyle w:val="JudgmentNumbered"/>
        <w:numPr>
          <w:ilvl w:val="0"/>
          <w:numId w:val="0"/>
        </w:numPr>
        <w:ind w:left="1134" w:hanging="567"/>
      </w:pPr>
      <w:r>
        <w:t>a.</w:t>
      </w:r>
      <w:r>
        <w:tab/>
      </w:r>
      <w:r w:rsidR="009405F1">
        <w:t>The application is referred to trial;</w:t>
      </w:r>
    </w:p>
    <w:p w14:paraId="326EEA96" w14:textId="33DCDAF9" w:rsidR="009405F1" w:rsidRDefault="00871E3B" w:rsidP="00871E3B">
      <w:pPr>
        <w:pStyle w:val="JudgmentNumbered"/>
        <w:numPr>
          <w:ilvl w:val="0"/>
          <w:numId w:val="0"/>
        </w:numPr>
        <w:ind w:left="1134" w:hanging="567"/>
      </w:pPr>
      <w:r>
        <w:t>b.</w:t>
      </w:r>
      <w:r>
        <w:tab/>
      </w:r>
      <w:r w:rsidR="009405F1">
        <w:t>The notice of motion shall stand as the applicant’s simple summons;</w:t>
      </w:r>
    </w:p>
    <w:p w14:paraId="2AD1CB3F" w14:textId="565FCA33" w:rsidR="009405F1" w:rsidRDefault="00871E3B" w:rsidP="00871E3B">
      <w:pPr>
        <w:pStyle w:val="JudgmentNumbered"/>
        <w:numPr>
          <w:ilvl w:val="0"/>
          <w:numId w:val="0"/>
        </w:numPr>
        <w:ind w:left="1134" w:hanging="567"/>
      </w:pPr>
      <w:r>
        <w:t>c.</w:t>
      </w:r>
      <w:r>
        <w:tab/>
      </w:r>
      <w:r w:rsidR="009405F1">
        <w:t>The notice of intention to oppose shall stand as the respondent’s notice of intention to defend;</w:t>
      </w:r>
    </w:p>
    <w:p w14:paraId="24824F61" w14:textId="09CB4697" w:rsidR="009D39C9" w:rsidRDefault="00871E3B" w:rsidP="00871E3B">
      <w:pPr>
        <w:pStyle w:val="JudgmentNumbered"/>
        <w:numPr>
          <w:ilvl w:val="0"/>
          <w:numId w:val="0"/>
        </w:numPr>
        <w:ind w:left="1134" w:hanging="567"/>
      </w:pPr>
      <w:r>
        <w:t>d.</w:t>
      </w:r>
      <w:r>
        <w:tab/>
      </w:r>
      <w:r w:rsidR="009405F1">
        <w:t xml:space="preserve">Thereafter the rules applicable to actions </w:t>
      </w:r>
      <w:r w:rsidR="00D870B0">
        <w:t>shall</w:t>
      </w:r>
      <w:r w:rsidR="009405F1">
        <w:t xml:space="preserve"> apply;</w:t>
      </w:r>
    </w:p>
    <w:p w14:paraId="25C03129" w14:textId="77777777" w:rsidR="009D39C9" w:rsidRDefault="009D39C9">
      <w:pPr>
        <w:spacing w:after="160" w:line="259" w:lineRule="auto"/>
        <w:ind w:left="0"/>
        <w:jc w:val="left"/>
        <w:rPr>
          <w:rFonts w:cs="Arial"/>
        </w:rPr>
      </w:pPr>
      <w:r>
        <w:br w:type="page"/>
      </w:r>
    </w:p>
    <w:p w14:paraId="5121BD8E" w14:textId="77777777" w:rsidR="009405F1" w:rsidRDefault="009405F1" w:rsidP="009D39C9">
      <w:pPr>
        <w:pStyle w:val="JudgmentNumbered"/>
        <w:numPr>
          <w:ilvl w:val="0"/>
          <w:numId w:val="0"/>
        </w:numPr>
        <w:ind w:left="1134"/>
      </w:pPr>
    </w:p>
    <w:p w14:paraId="39914539" w14:textId="460D5D90" w:rsidR="00982BC5" w:rsidRDefault="00871E3B" w:rsidP="00871E3B">
      <w:pPr>
        <w:pStyle w:val="JudgmentNumbered"/>
        <w:numPr>
          <w:ilvl w:val="0"/>
          <w:numId w:val="0"/>
        </w:numPr>
        <w:ind w:left="1134" w:hanging="567"/>
      </w:pPr>
      <w:r>
        <w:t>e.</w:t>
      </w:r>
      <w:r>
        <w:tab/>
      </w:r>
      <w:r w:rsidR="009405F1">
        <w:t>The costs of the application are reserved for determination by the trial court.</w:t>
      </w:r>
    </w:p>
    <w:p w14:paraId="0F472FB3" w14:textId="77777777" w:rsidR="009D39C9" w:rsidRDefault="009D39C9" w:rsidP="00EB01DA">
      <w:pPr>
        <w:pStyle w:val="JudgmentNumbered"/>
        <w:numPr>
          <w:ilvl w:val="0"/>
          <w:numId w:val="0"/>
        </w:numPr>
        <w:spacing w:after="0"/>
        <w:ind w:left="567" w:hanging="567"/>
        <w:jc w:val="right"/>
      </w:pPr>
    </w:p>
    <w:p w14:paraId="756C6AB8" w14:textId="77777777" w:rsidR="009D39C9" w:rsidRDefault="009D39C9" w:rsidP="00EB01DA">
      <w:pPr>
        <w:pStyle w:val="JudgmentNumbered"/>
        <w:numPr>
          <w:ilvl w:val="0"/>
          <w:numId w:val="0"/>
        </w:numPr>
        <w:spacing w:after="0"/>
        <w:ind w:left="567" w:hanging="567"/>
        <w:jc w:val="right"/>
      </w:pPr>
    </w:p>
    <w:p w14:paraId="0A440A1E" w14:textId="38FDA33F" w:rsidR="002B448C" w:rsidRDefault="002B448C" w:rsidP="00EB01DA">
      <w:pPr>
        <w:pStyle w:val="JudgmentNumbered"/>
        <w:numPr>
          <w:ilvl w:val="0"/>
          <w:numId w:val="0"/>
        </w:numPr>
        <w:spacing w:after="0"/>
        <w:ind w:left="567" w:hanging="567"/>
        <w:jc w:val="right"/>
      </w:pPr>
      <w:r>
        <w:t>___________</w:t>
      </w:r>
      <w:r w:rsidR="00EB01DA">
        <w:t>__</w:t>
      </w:r>
      <w:r>
        <w:t>______________</w:t>
      </w:r>
    </w:p>
    <w:p w14:paraId="6F44C9F5" w14:textId="77777777" w:rsidR="002B448C" w:rsidRDefault="00982BC5" w:rsidP="00EB01DA">
      <w:pPr>
        <w:pStyle w:val="JudgmentNumbered"/>
        <w:numPr>
          <w:ilvl w:val="0"/>
          <w:numId w:val="0"/>
        </w:numPr>
        <w:spacing w:after="0"/>
        <w:ind w:left="567" w:hanging="567"/>
        <w:jc w:val="right"/>
        <w:rPr>
          <w:b/>
        </w:rPr>
      </w:pPr>
      <w:r w:rsidRPr="00982BC5">
        <w:rPr>
          <w:b/>
        </w:rPr>
        <w:tab/>
      </w:r>
      <w:r w:rsidRPr="00982BC5">
        <w:rPr>
          <w:b/>
        </w:rPr>
        <w:tab/>
      </w:r>
      <w:r w:rsidRPr="00982BC5">
        <w:rPr>
          <w:b/>
        </w:rPr>
        <w:tab/>
      </w:r>
      <w:r w:rsidRPr="00982BC5">
        <w:rPr>
          <w:b/>
        </w:rPr>
        <w:tab/>
      </w:r>
      <w:r w:rsidRPr="00982BC5">
        <w:rPr>
          <w:b/>
        </w:rPr>
        <w:tab/>
      </w:r>
      <w:r w:rsidRPr="00982BC5">
        <w:rPr>
          <w:b/>
        </w:rPr>
        <w:tab/>
        <w:t xml:space="preserve">    H A VAN DER MERWE</w:t>
      </w:r>
    </w:p>
    <w:p w14:paraId="3D04AA86" w14:textId="77777777" w:rsidR="002B448C" w:rsidRDefault="00982BC5"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4F93B849" w14:textId="533F4A0D" w:rsidR="00766238" w:rsidRDefault="00766238">
      <w:pPr>
        <w:spacing w:after="160" w:line="259" w:lineRule="auto"/>
        <w:ind w:left="0"/>
        <w:jc w:val="left"/>
        <w:rPr>
          <w:rFonts w:cs="Arial"/>
          <w:lang w:val="en-ZA"/>
        </w:rPr>
      </w:pPr>
      <w:r>
        <w:rPr>
          <w:lang w:val="en-ZA"/>
        </w:rPr>
        <w:br w:type="page"/>
      </w:r>
    </w:p>
    <w:p w14:paraId="3E08B59B" w14:textId="04B2A8A6" w:rsidR="0062023A" w:rsidRDefault="00766238" w:rsidP="00766238">
      <w:pPr>
        <w:pStyle w:val="JudgmentNumbered"/>
        <w:numPr>
          <w:ilvl w:val="0"/>
          <w:numId w:val="0"/>
        </w:numPr>
        <w:ind w:left="567" w:hanging="567"/>
        <w:rPr>
          <w:lang w:val="en-ZA"/>
        </w:rPr>
      </w:pPr>
      <w:r>
        <w:rPr>
          <w:lang w:val="en-ZA"/>
        </w:rPr>
        <w:lastRenderedPageBreak/>
        <w:t>Heard on</w:t>
      </w:r>
      <w:r w:rsidR="0004380E">
        <w:rPr>
          <w:lang w:val="en-ZA"/>
        </w:rPr>
        <w:t>:</w:t>
      </w:r>
      <w:r w:rsidR="0004380E">
        <w:rPr>
          <w:lang w:val="en-ZA"/>
        </w:rPr>
        <w:tab/>
      </w:r>
      <w:r w:rsidR="00D870B0">
        <w:rPr>
          <w:lang w:val="en-ZA"/>
        </w:rPr>
        <w:t>21 November 2023</w:t>
      </w:r>
    </w:p>
    <w:p w14:paraId="17762C04" w14:textId="79057AEE" w:rsidR="00766238" w:rsidRDefault="00766238" w:rsidP="00766238">
      <w:pPr>
        <w:pStyle w:val="JudgmentNumbered"/>
        <w:numPr>
          <w:ilvl w:val="0"/>
          <w:numId w:val="0"/>
        </w:numPr>
        <w:ind w:left="567" w:hanging="567"/>
        <w:rPr>
          <w:lang w:val="en-ZA"/>
        </w:rPr>
      </w:pPr>
      <w:r>
        <w:rPr>
          <w:lang w:val="en-ZA"/>
        </w:rPr>
        <w:t>Delivered on:</w:t>
      </w:r>
      <w:r w:rsidR="0004380E">
        <w:rPr>
          <w:lang w:val="en-ZA"/>
        </w:rPr>
        <w:tab/>
      </w:r>
      <w:r w:rsidR="00D870B0">
        <w:rPr>
          <w:lang w:val="en-ZA"/>
        </w:rPr>
        <w:t>24 November 2023</w:t>
      </w:r>
    </w:p>
    <w:p w14:paraId="6604CA78" w14:textId="77777777" w:rsidR="00766238" w:rsidRPr="0062023A" w:rsidRDefault="00766238" w:rsidP="00766238">
      <w:pPr>
        <w:pStyle w:val="JudgmentNumbered"/>
        <w:numPr>
          <w:ilvl w:val="0"/>
          <w:numId w:val="0"/>
        </w:numPr>
        <w:ind w:left="567" w:hanging="567"/>
        <w:rPr>
          <w:lang w:val="en-ZA"/>
        </w:rPr>
      </w:pPr>
    </w:p>
    <w:p w14:paraId="5916CDD4" w14:textId="04D8E873" w:rsidR="00281490" w:rsidRDefault="00281490" w:rsidP="00281490">
      <w:pPr>
        <w:tabs>
          <w:tab w:val="right" w:pos="0"/>
        </w:tabs>
        <w:ind w:left="0"/>
        <w:rPr>
          <w:lang w:val="en-ZA"/>
        </w:rPr>
      </w:pPr>
      <w:r>
        <w:rPr>
          <w:lang w:val="en-ZA"/>
        </w:rPr>
        <w:t xml:space="preserve">For the </w:t>
      </w:r>
      <w:r w:rsidR="00D870B0">
        <w:rPr>
          <w:lang w:val="en-ZA"/>
        </w:rPr>
        <w:t>applicant</w:t>
      </w:r>
      <w:r>
        <w:rPr>
          <w:lang w:val="en-ZA"/>
        </w:rPr>
        <w:t xml:space="preserve"> </w:t>
      </w:r>
      <w:r w:rsidR="00FA7E5C">
        <w:rPr>
          <w:lang w:val="en-ZA"/>
        </w:rPr>
        <w:tab/>
      </w:r>
      <w:proofErr w:type="spellStart"/>
      <w:r>
        <w:rPr>
          <w:lang w:val="en-ZA"/>
        </w:rPr>
        <w:t>Adv</w:t>
      </w:r>
      <w:proofErr w:type="spellEnd"/>
      <w:r>
        <w:rPr>
          <w:lang w:val="en-ZA"/>
        </w:rPr>
        <w:t xml:space="preserve"> </w:t>
      </w:r>
      <w:r w:rsidR="00D870B0">
        <w:rPr>
          <w:lang w:val="en-ZA"/>
        </w:rPr>
        <w:t>Goodenough</w:t>
      </w:r>
      <w:r>
        <w:rPr>
          <w:lang w:val="en-ZA"/>
        </w:rPr>
        <w:t xml:space="preserve"> instructed by </w:t>
      </w:r>
      <w:r w:rsidR="00D870B0">
        <w:rPr>
          <w:lang w:val="en-ZA"/>
        </w:rPr>
        <w:t xml:space="preserve">Calvin Carl </w:t>
      </w:r>
      <w:proofErr w:type="spellStart"/>
      <w:r w:rsidR="00D870B0">
        <w:rPr>
          <w:lang w:val="en-ZA"/>
        </w:rPr>
        <w:t>Viljoen</w:t>
      </w:r>
      <w:proofErr w:type="spellEnd"/>
      <w:r w:rsidR="00D870B0">
        <w:rPr>
          <w:lang w:val="en-ZA"/>
        </w:rPr>
        <w:t xml:space="preserve"> Attorneys </w:t>
      </w:r>
      <w:proofErr w:type="spellStart"/>
      <w:r w:rsidR="00D870B0">
        <w:rPr>
          <w:lang w:val="en-ZA"/>
        </w:rPr>
        <w:t>Inc</w:t>
      </w:r>
      <w:proofErr w:type="spellEnd"/>
      <w:r>
        <w:rPr>
          <w:lang w:val="en-ZA"/>
        </w:rPr>
        <w:t xml:space="preserve"> </w:t>
      </w:r>
    </w:p>
    <w:p w14:paraId="15B9C166" w14:textId="071ECF89" w:rsidR="00EB01DA" w:rsidRDefault="00281490" w:rsidP="00281490">
      <w:pPr>
        <w:pStyle w:val="JudgmentNumbered"/>
        <w:numPr>
          <w:ilvl w:val="0"/>
          <w:numId w:val="0"/>
        </w:numPr>
        <w:spacing w:after="0"/>
        <w:rPr>
          <w:lang w:val="en-ZA"/>
        </w:rPr>
      </w:pPr>
      <w:r>
        <w:rPr>
          <w:lang w:val="en-ZA"/>
        </w:rPr>
        <w:t xml:space="preserve">For the </w:t>
      </w:r>
      <w:r w:rsidR="00D870B0">
        <w:rPr>
          <w:lang w:val="en-ZA"/>
        </w:rPr>
        <w:t>respondent</w:t>
      </w:r>
      <w:r>
        <w:rPr>
          <w:lang w:val="en-ZA"/>
        </w:rPr>
        <w:t xml:space="preserve"> </w:t>
      </w:r>
      <w:r w:rsidR="00FA7E5C">
        <w:rPr>
          <w:lang w:val="en-ZA"/>
        </w:rPr>
        <w:tab/>
      </w:r>
      <w:r w:rsidR="00D870B0">
        <w:rPr>
          <w:lang w:val="en-ZA"/>
        </w:rPr>
        <w:t xml:space="preserve">Mr </w:t>
      </w:r>
      <w:proofErr w:type="spellStart"/>
      <w:r w:rsidR="00D870B0">
        <w:rPr>
          <w:lang w:val="en-ZA"/>
        </w:rPr>
        <w:t>Vally</w:t>
      </w:r>
      <w:proofErr w:type="spellEnd"/>
      <w:r w:rsidR="00D870B0">
        <w:rPr>
          <w:lang w:val="en-ZA"/>
        </w:rPr>
        <w:t xml:space="preserve"> </w:t>
      </w:r>
      <w:r>
        <w:rPr>
          <w:lang w:val="en-ZA"/>
        </w:rPr>
        <w:t xml:space="preserve">instructed by </w:t>
      </w:r>
      <w:r w:rsidR="00D870B0">
        <w:rPr>
          <w:lang w:val="en-ZA"/>
        </w:rPr>
        <w:t xml:space="preserve">Shaheed </w:t>
      </w:r>
      <w:proofErr w:type="spellStart"/>
      <w:r w:rsidR="00D870B0">
        <w:rPr>
          <w:lang w:val="en-ZA"/>
        </w:rPr>
        <w:t>Dollie</w:t>
      </w:r>
      <w:proofErr w:type="spellEnd"/>
      <w:r w:rsidR="00D870B0">
        <w:rPr>
          <w:lang w:val="en-ZA"/>
        </w:rPr>
        <w:t xml:space="preserve"> </w:t>
      </w:r>
      <w:proofErr w:type="spellStart"/>
      <w:r w:rsidR="00D870B0">
        <w:rPr>
          <w:lang w:val="en-ZA"/>
        </w:rPr>
        <w:t>Inc</w:t>
      </w:r>
      <w:proofErr w:type="spellEnd"/>
    </w:p>
    <w:p w14:paraId="0183AC8C" w14:textId="77777777" w:rsidR="00FA7E5C" w:rsidRDefault="00FA7E5C" w:rsidP="00281490">
      <w:pPr>
        <w:pStyle w:val="JudgmentNumbered"/>
        <w:numPr>
          <w:ilvl w:val="0"/>
          <w:numId w:val="0"/>
        </w:numPr>
        <w:spacing w:after="0"/>
        <w:rPr>
          <w:lang w:val="en-ZA"/>
        </w:rPr>
      </w:pPr>
    </w:p>
    <w:p w14:paraId="30909687" w14:textId="77777777" w:rsidR="00FA7E5C" w:rsidRDefault="00FA7E5C" w:rsidP="00281490">
      <w:pPr>
        <w:pStyle w:val="JudgmentNumbered"/>
        <w:numPr>
          <w:ilvl w:val="0"/>
          <w:numId w:val="0"/>
        </w:numPr>
        <w:spacing w:after="0"/>
        <w:rPr>
          <w:lang w:val="en-ZA"/>
        </w:rPr>
      </w:pPr>
    </w:p>
    <w:p w14:paraId="293C6C0A" w14:textId="77777777" w:rsidR="00FA7E5C" w:rsidRDefault="00FA7E5C" w:rsidP="00281490">
      <w:pPr>
        <w:pStyle w:val="JudgmentNumbered"/>
        <w:numPr>
          <w:ilvl w:val="0"/>
          <w:numId w:val="0"/>
        </w:numPr>
        <w:spacing w:after="0"/>
        <w:rPr>
          <w:lang w:val="en-ZA"/>
        </w:rPr>
      </w:pPr>
    </w:p>
    <w:p w14:paraId="1D179E67" w14:textId="77777777" w:rsidR="00FA7E5C" w:rsidRDefault="00FA7E5C" w:rsidP="00281490">
      <w:pPr>
        <w:pStyle w:val="JudgmentNumbered"/>
        <w:numPr>
          <w:ilvl w:val="0"/>
          <w:numId w:val="0"/>
        </w:numPr>
        <w:spacing w:after="0"/>
        <w:rPr>
          <w:lang w:val="en-ZA"/>
        </w:rPr>
      </w:pPr>
    </w:p>
    <w:p w14:paraId="4E957D78" w14:textId="77777777" w:rsidR="00FA7E5C" w:rsidRDefault="00FA7E5C" w:rsidP="00281490">
      <w:pPr>
        <w:pStyle w:val="JudgmentNumbered"/>
        <w:numPr>
          <w:ilvl w:val="0"/>
          <w:numId w:val="0"/>
        </w:numPr>
        <w:spacing w:after="0"/>
        <w:rPr>
          <w:lang w:val="en-ZA"/>
        </w:rPr>
      </w:pPr>
    </w:p>
    <w:p w14:paraId="5AE31B4D" w14:textId="4D96A037" w:rsidR="00FA7E5C" w:rsidRDefault="00FA7E5C" w:rsidP="00281490">
      <w:pPr>
        <w:pStyle w:val="JudgmentNumbered"/>
        <w:numPr>
          <w:ilvl w:val="0"/>
          <w:numId w:val="0"/>
        </w:numPr>
        <w:spacing w:after="0"/>
        <w:rPr>
          <w:b/>
        </w:rPr>
        <w:sectPr w:rsidR="00FA7E5C" w:rsidSect="00EB01DA">
          <w:footerReference w:type="default" r:id="rId10"/>
          <w:type w:val="continuous"/>
          <w:pgSz w:w="11906" w:h="16838"/>
          <w:pgMar w:top="1440" w:right="1440" w:bottom="1440" w:left="1440" w:header="708" w:footer="708" w:gutter="0"/>
          <w:cols w:space="708"/>
          <w:docGrid w:linePitch="360"/>
        </w:sectPr>
      </w:pPr>
    </w:p>
    <w:p w14:paraId="559B3848" w14:textId="77777777" w:rsidR="002B448C" w:rsidRPr="00281490" w:rsidRDefault="002B448C" w:rsidP="00281490">
      <w:pPr>
        <w:tabs>
          <w:tab w:val="right" w:pos="0"/>
        </w:tabs>
        <w:spacing w:after="0" w:line="240" w:lineRule="auto"/>
        <w:ind w:left="0"/>
        <w:rPr>
          <w:rFonts w:eastAsia="Times New Roman" w:cs="Times New Roman"/>
          <w:color w:val="000000"/>
          <w:sz w:val="25"/>
          <w:szCs w:val="24"/>
          <w:lang w:val="en-ZA"/>
        </w:rPr>
      </w:pPr>
    </w:p>
    <w:sectPr w:rsidR="002B448C" w:rsidRPr="00281490" w:rsidSect="00E469E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A0A8" w14:textId="77777777" w:rsidR="000F0E2C" w:rsidRDefault="000F0E2C" w:rsidP="00E469E1">
      <w:pPr>
        <w:spacing w:after="0" w:line="240" w:lineRule="auto"/>
      </w:pPr>
      <w:r>
        <w:separator/>
      </w:r>
    </w:p>
  </w:endnote>
  <w:endnote w:type="continuationSeparator" w:id="0">
    <w:p w14:paraId="47A3227B" w14:textId="77777777" w:rsidR="000F0E2C" w:rsidRDefault="000F0E2C"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2CDABA27" w14:textId="28E1768F" w:rsidR="00E469E1" w:rsidRDefault="00E469E1" w:rsidP="00E469E1">
        <w:pPr>
          <w:pStyle w:val="Footer"/>
          <w:jc w:val="right"/>
        </w:pPr>
        <w:r>
          <w:fldChar w:fldCharType="begin"/>
        </w:r>
        <w:r>
          <w:instrText xml:space="preserve"> PAGE   \* MERGEFORMAT </w:instrText>
        </w:r>
        <w:r>
          <w:fldChar w:fldCharType="separate"/>
        </w:r>
        <w:r w:rsidR="000A1DB5">
          <w:rPr>
            <w:noProof/>
          </w:rPr>
          <w:t>8</w:t>
        </w:r>
        <w:r>
          <w:rPr>
            <w:noProof/>
          </w:rPr>
          <w:fldChar w:fldCharType="end"/>
        </w:r>
      </w:p>
    </w:sdtContent>
  </w:sdt>
  <w:p w14:paraId="5E242CDA" w14:textId="77777777" w:rsidR="00E469E1" w:rsidRDefault="00E469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33039C3B" w14:textId="37AD4760" w:rsidR="00E469E1" w:rsidRDefault="00E469E1" w:rsidP="00E469E1">
        <w:pPr>
          <w:pStyle w:val="Footer"/>
          <w:jc w:val="right"/>
        </w:pPr>
        <w:r>
          <w:fldChar w:fldCharType="begin"/>
        </w:r>
        <w:r>
          <w:instrText xml:space="preserve"> PAGE   \* MERGEFORMAT </w:instrText>
        </w:r>
        <w:r>
          <w:fldChar w:fldCharType="separate"/>
        </w:r>
        <w:r w:rsidR="000A1DB5">
          <w:rPr>
            <w:noProof/>
          </w:rPr>
          <w:t>9</w:t>
        </w:r>
        <w:r>
          <w:rPr>
            <w:noProof/>
          </w:rPr>
          <w:fldChar w:fldCharType="end"/>
        </w:r>
      </w:p>
    </w:sdtContent>
  </w:sdt>
  <w:p w14:paraId="2C8D50FC"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2917" w14:textId="77777777" w:rsidR="000F0E2C" w:rsidRDefault="000F0E2C" w:rsidP="00E469E1">
      <w:pPr>
        <w:spacing w:after="0" w:line="240" w:lineRule="auto"/>
      </w:pPr>
      <w:r>
        <w:separator/>
      </w:r>
    </w:p>
  </w:footnote>
  <w:footnote w:type="continuationSeparator" w:id="0">
    <w:p w14:paraId="3C0EB323" w14:textId="77777777" w:rsidR="000F0E2C" w:rsidRDefault="000F0E2C" w:rsidP="00E469E1">
      <w:pPr>
        <w:spacing w:after="0" w:line="240" w:lineRule="auto"/>
      </w:pPr>
      <w:r>
        <w:continuationSeparator/>
      </w:r>
    </w:p>
  </w:footnote>
  <w:footnote w:id="1">
    <w:p w14:paraId="4347B03F" w14:textId="126E34CE" w:rsidR="009405F1" w:rsidRDefault="009405F1">
      <w:pPr>
        <w:pStyle w:val="FootnoteText"/>
      </w:pPr>
      <w:r>
        <w:rPr>
          <w:rStyle w:val="FootnoteReference"/>
        </w:rPr>
        <w:footnoteRef/>
      </w:r>
      <w:r>
        <w:t xml:space="preserve"> </w:t>
      </w:r>
      <w:proofErr w:type="spellStart"/>
      <w:r w:rsidRPr="009405F1">
        <w:rPr>
          <w:i/>
          <w:iCs/>
        </w:rPr>
        <w:t>Chetty</w:t>
      </w:r>
      <w:proofErr w:type="spellEnd"/>
      <w:r w:rsidRPr="009405F1">
        <w:rPr>
          <w:i/>
          <w:iCs/>
        </w:rPr>
        <w:t xml:space="preserve"> v Naidoo</w:t>
      </w:r>
      <w:r>
        <w:t xml:space="preserve"> </w:t>
      </w:r>
      <w:r w:rsidRPr="009405F1">
        <w:t>1974 (3) SA 13 (A)</w:t>
      </w:r>
      <w:r>
        <w:t xml:space="preserve"> 20A-D</w:t>
      </w:r>
    </w:p>
  </w:footnote>
  <w:footnote w:id="2">
    <w:p w14:paraId="5C29EE36" w14:textId="405B7335" w:rsidR="005708EB" w:rsidRDefault="005708EB">
      <w:pPr>
        <w:pStyle w:val="FootnoteText"/>
      </w:pPr>
      <w:r>
        <w:rPr>
          <w:rStyle w:val="FootnoteReference"/>
        </w:rPr>
        <w:footnoteRef/>
      </w:r>
      <w:r>
        <w:t xml:space="preserve"> Ownership can only be transferred by the owner. See: </w:t>
      </w:r>
      <w:r w:rsidRPr="005708EB">
        <w:rPr>
          <w:i/>
          <w:iCs/>
          <w:lang w:val="en-GB"/>
        </w:rPr>
        <w:t>Van der Merwe v Webb</w:t>
      </w:r>
      <w:r>
        <w:rPr>
          <w:i/>
          <w:iCs/>
          <w:lang w:val="en-GB"/>
        </w:rPr>
        <w:t xml:space="preserve"> </w:t>
      </w:r>
      <w:r w:rsidRPr="005708EB">
        <w:rPr>
          <w:lang w:val="en-GB"/>
        </w:rPr>
        <w:t>(1883) 3 EDC 97 102;</w:t>
      </w:r>
      <w:r>
        <w:rPr>
          <w:lang w:val="en-GB"/>
        </w:rPr>
        <w:t xml:space="preserve"> </w:t>
      </w:r>
      <w:proofErr w:type="spellStart"/>
      <w:r w:rsidRPr="005708EB">
        <w:rPr>
          <w:i/>
          <w:iCs/>
          <w:lang w:val="en-GB"/>
        </w:rPr>
        <w:t>Mngadi</w:t>
      </w:r>
      <w:proofErr w:type="spellEnd"/>
      <w:r w:rsidRPr="005708EB">
        <w:rPr>
          <w:i/>
          <w:iCs/>
          <w:lang w:val="en-GB"/>
        </w:rPr>
        <w:t xml:space="preserve"> v </w:t>
      </w:r>
      <w:proofErr w:type="spellStart"/>
      <w:r w:rsidRPr="005708EB">
        <w:rPr>
          <w:i/>
          <w:iCs/>
          <w:lang w:val="en-GB"/>
        </w:rPr>
        <w:t>Ntuli</w:t>
      </w:r>
      <w:proofErr w:type="spellEnd"/>
      <w:r>
        <w:rPr>
          <w:i/>
          <w:iCs/>
          <w:lang w:val="en-GB"/>
        </w:rPr>
        <w:t xml:space="preserve"> </w:t>
      </w:r>
      <w:r w:rsidRPr="005708EB">
        <w:rPr>
          <w:lang w:val="en-GB"/>
        </w:rPr>
        <w:t>1981</w:t>
      </w:r>
      <w:r>
        <w:rPr>
          <w:lang w:val="en-GB"/>
        </w:rPr>
        <w:t xml:space="preserve"> (</w:t>
      </w:r>
      <w:r w:rsidRPr="005708EB">
        <w:rPr>
          <w:lang w:val="en-GB"/>
        </w:rPr>
        <w:t>3</w:t>
      </w:r>
      <w:r>
        <w:rPr>
          <w:lang w:val="en-GB"/>
        </w:rPr>
        <w:t xml:space="preserve">) </w:t>
      </w:r>
      <w:r w:rsidRPr="005708EB">
        <w:rPr>
          <w:lang w:val="en-GB"/>
        </w:rPr>
        <w:t>SA</w:t>
      </w:r>
      <w:r>
        <w:rPr>
          <w:lang w:val="en-GB"/>
        </w:rPr>
        <w:t xml:space="preserve"> </w:t>
      </w:r>
      <w:r w:rsidRPr="005708EB">
        <w:rPr>
          <w:lang w:val="en-GB"/>
        </w:rPr>
        <w:t>478</w:t>
      </w:r>
      <w:r>
        <w:rPr>
          <w:lang w:val="en-GB"/>
        </w:rPr>
        <w:t xml:space="preserve"> </w:t>
      </w:r>
      <w:r w:rsidRPr="005708EB">
        <w:rPr>
          <w:lang w:val="en-GB"/>
        </w:rPr>
        <w:t>(D);</w:t>
      </w:r>
      <w:r>
        <w:rPr>
          <w:lang w:val="en-GB"/>
        </w:rPr>
        <w:t xml:space="preserve"> </w:t>
      </w:r>
      <w:r w:rsidRPr="005708EB">
        <w:rPr>
          <w:i/>
          <w:iCs/>
          <w:lang w:val="en-GB"/>
        </w:rPr>
        <w:t xml:space="preserve">ABSA Bank Ltd t/a </w:t>
      </w:r>
      <w:proofErr w:type="spellStart"/>
      <w:r w:rsidRPr="005708EB">
        <w:rPr>
          <w:i/>
          <w:iCs/>
          <w:lang w:val="en-GB"/>
        </w:rPr>
        <w:t>Bankfin</w:t>
      </w:r>
      <w:proofErr w:type="spellEnd"/>
      <w:r w:rsidRPr="005708EB">
        <w:rPr>
          <w:i/>
          <w:iCs/>
          <w:lang w:val="en-GB"/>
        </w:rPr>
        <w:t xml:space="preserve"> v </w:t>
      </w:r>
      <w:proofErr w:type="spellStart"/>
      <w:r w:rsidRPr="005708EB">
        <w:rPr>
          <w:i/>
          <w:iCs/>
          <w:lang w:val="en-GB"/>
        </w:rPr>
        <w:t>Jordashe</w:t>
      </w:r>
      <w:proofErr w:type="spellEnd"/>
      <w:r w:rsidRPr="005708EB">
        <w:rPr>
          <w:i/>
          <w:iCs/>
          <w:lang w:val="en-GB"/>
        </w:rPr>
        <w:t xml:space="preserve"> Auto CC</w:t>
      </w:r>
      <w:r>
        <w:rPr>
          <w:i/>
          <w:iCs/>
          <w:lang w:val="en-GB"/>
        </w:rPr>
        <w:t xml:space="preserve"> </w:t>
      </w:r>
      <w:r w:rsidRPr="005708EB">
        <w:rPr>
          <w:lang w:val="en-GB"/>
        </w:rPr>
        <w:t>2003</w:t>
      </w:r>
      <w:r>
        <w:rPr>
          <w:lang w:val="en-GB"/>
        </w:rPr>
        <w:t xml:space="preserve"> (</w:t>
      </w:r>
      <w:r w:rsidRPr="005708EB">
        <w:rPr>
          <w:lang w:val="en-GB"/>
        </w:rPr>
        <w:t>1</w:t>
      </w:r>
      <w:r>
        <w:rPr>
          <w:lang w:val="en-GB"/>
        </w:rPr>
        <w:t xml:space="preserve">) </w:t>
      </w:r>
      <w:r w:rsidRPr="005708EB">
        <w:rPr>
          <w:lang w:val="en-GB"/>
        </w:rPr>
        <w:t>SA</w:t>
      </w:r>
      <w:r>
        <w:rPr>
          <w:lang w:val="en-GB"/>
        </w:rPr>
        <w:t xml:space="preserve"> </w:t>
      </w:r>
      <w:r w:rsidRPr="005708EB">
        <w:rPr>
          <w:lang w:val="en-GB"/>
        </w:rPr>
        <w:t>401</w:t>
      </w:r>
      <w:r>
        <w:rPr>
          <w:lang w:val="en-GB"/>
        </w:rPr>
        <w:t xml:space="preserve"> </w:t>
      </w:r>
      <w:r w:rsidRPr="005708EB">
        <w:rPr>
          <w:lang w:val="en-GB"/>
        </w:rPr>
        <w:t xml:space="preserve">(SCA) </w:t>
      </w:r>
      <w:r>
        <w:rPr>
          <w:lang w:val="en-GB"/>
        </w:rPr>
        <w:t>[1</w:t>
      </w:r>
      <w:r w:rsidRPr="005708EB">
        <w:rPr>
          <w:lang w:val="en-GB"/>
        </w:rPr>
        <w:t>7</w:t>
      </w:r>
      <w:r>
        <w:rPr>
          <w:lang w:val="en-GB"/>
        </w:rPr>
        <w:t>]</w:t>
      </w:r>
    </w:p>
  </w:footnote>
  <w:footnote w:id="3">
    <w:p w14:paraId="7DE76F85" w14:textId="77777777" w:rsidR="005708EB" w:rsidRPr="005708EB" w:rsidRDefault="005708EB" w:rsidP="005708EB">
      <w:pPr>
        <w:pStyle w:val="FootnoteText"/>
      </w:pPr>
      <w:r>
        <w:rPr>
          <w:rStyle w:val="FootnoteReference"/>
        </w:rPr>
        <w:footnoteRef/>
      </w:r>
      <w:r>
        <w:t xml:space="preserve"> </w:t>
      </w:r>
      <w:proofErr w:type="spellStart"/>
      <w:r>
        <w:rPr>
          <w:i/>
          <w:iCs/>
        </w:rPr>
        <w:t>Akojee</w:t>
      </w:r>
      <w:proofErr w:type="spellEnd"/>
      <w:r>
        <w:rPr>
          <w:i/>
          <w:iCs/>
        </w:rPr>
        <w:t xml:space="preserve"> v </w:t>
      </w:r>
      <w:proofErr w:type="spellStart"/>
      <w:r>
        <w:rPr>
          <w:i/>
          <w:iCs/>
        </w:rPr>
        <w:t>Sibanyoni</w:t>
      </w:r>
      <w:proofErr w:type="spellEnd"/>
      <w:r>
        <w:rPr>
          <w:i/>
          <w:iCs/>
        </w:rPr>
        <w:t xml:space="preserve"> </w:t>
      </w:r>
      <w:r>
        <w:t>1976 (3) SA 440 (W) 422C-F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5E412BC"/>
    <w:multiLevelType w:val="multilevel"/>
    <w:tmpl w:val="874E42E4"/>
    <w:lvl w:ilvl="0">
      <w:start w:val="1"/>
      <w:numFmt w:val="decimal"/>
      <w:pStyle w:val="AAParagraph"/>
      <w:lvlText w:val="%1."/>
      <w:lvlJc w:val="left"/>
      <w:pPr>
        <w:ind w:left="8180" w:hanging="360"/>
      </w:pPr>
      <w:rPr>
        <w:rFonts w:hint="default"/>
        <w:i w:val="0"/>
      </w:rPr>
    </w:lvl>
    <w:lvl w:ilvl="1">
      <w:start w:val="1"/>
      <w:numFmt w:val="decimal"/>
      <w:pStyle w:val="Subparagraph"/>
      <w:lvlText w:val="%1.%2."/>
      <w:lvlJc w:val="left"/>
      <w:pPr>
        <w:ind w:left="2232" w:hanging="432"/>
      </w:pPr>
      <w:rPr>
        <w:sz w:val="24"/>
      </w:rPr>
    </w:lvl>
    <w:lvl w:ilvl="2">
      <w:start w:val="1"/>
      <w:numFmt w:val="decimal"/>
      <w:pStyle w:val="Sub-subparagraph"/>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36995C58"/>
    <w:multiLevelType w:val="hybridMultilevel"/>
    <w:tmpl w:val="52C25AC0"/>
    <w:lvl w:ilvl="0" w:tplc="85883F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C441F25"/>
    <w:multiLevelType w:val="multilevel"/>
    <w:tmpl w:val="191A5ECE"/>
    <w:styleLink w:val="CurrentList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2"/>
  </w:num>
  <w:num w:numId="2">
    <w:abstractNumId w:val="3"/>
  </w:num>
  <w:num w:numId="3">
    <w:abstractNumId w:val="0"/>
  </w:num>
  <w:num w:numId="4">
    <w:abstractNumId w:val="2"/>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F"/>
    <w:rsid w:val="000007A2"/>
    <w:rsid w:val="00023B00"/>
    <w:rsid w:val="00034B25"/>
    <w:rsid w:val="0004380E"/>
    <w:rsid w:val="000476DA"/>
    <w:rsid w:val="000A1DB5"/>
    <w:rsid w:val="000B75F9"/>
    <w:rsid w:val="000F0E2C"/>
    <w:rsid w:val="00127ED4"/>
    <w:rsid w:val="00142EAF"/>
    <w:rsid w:val="00155F8B"/>
    <w:rsid w:val="0018062D"/>
    <w:rsid w:val="001C0E43"/>
    <w:rsid w:val="001C3576"/>
    <w:rsid w:val="001C478D"/>
    <w:rsid w:val="001C5042"/>
    <w:rsid w:val="001D03CA"/>
    <w:rsid w:val="001D4C95"/>
    <w:rsid w:val="001E668C"/>
    <w:rsid w:val="002262A5"/>
    <w:rsid w:val="002407C8"/>
    <w:rsid w:val="00251BEC"/>
    <w:rsid w:val="00260C1C"/>
    <w:rsid w:val="00281490"/>
    <w:rsid w:val="002B448C"/>
    <w:rsid w:val="002C2009"/>
    <w:rsid w:val="002E7430"/>
    <w:rsid w:val="003203E2"/>
    <w:rsid w:val="00355A8D"/>
    <w:rsid w:val="003673B7"/>
    <w:rsid w:val="00375AEC"/>
    <w:rsid w:val="003B0BEA"/>
    <w:rsid w:val="00405052"/>
    <w:rsid w:val="00447B82"/>
    <w:rsid w:val="0045246D"/>
    <w:rsid w:val="004746B0"/>
    <w:rsid w:val="004A1C6B"/>
    <w:rsid w:val="004A731C"/>
    <w:rsid w:val="004B2541"/>
    <w:rsid w:val="004C108E"/>
    <w:rsid w:val="004E5AF0"/>
    <w:rsid w:val="004F3765"/>
    <w:rsid w:val="00550DCF"/>
    <w:rsid w:val="005708EB"/>
    <w:rsid w:val="00576A8E"/>
    <w:rsid w:val="00577D0D"/>
    <w:rsid w:val="005C5061"/>
    <w:rsid w:val="005D5A16"/>
    <w:rsid w:val="005E3F94"/>
    <w:rsid w:val="005F0BF5"/>
    <w:rsid w:val="00605774"/>
    <w:rsid w:val="0062023A"/>
    <w:rsid w:val="00644BBF"/>
    <w:rsid w:val="00693FF2"/>
    <w:rsid w:val="006A0955"/>
    <w:rsid w:val="006C0976"/>
    <w:rsid w:val="00712C89"/>
    <w:rsid w:val="00740404"/>
    <w:rsid w:val="00766238"/>
    <w:rsid w:val="00794DCB"/>
    <w:rsid w:val="007B7F59"/>
    <w:rsid w:val="007C2A86"/>
    <w:rsid w:val="007E2E71"/>
    <w:rsid w:val="007E7D77"/>
    <w:rsid w:val="008077D0"/>
    <w:rsid w:val="00825875"/>
    <w:rsid w:val="00836354"/>
    <w:rsid w:val="0086721F"/>
    <w:rsid w:val="00871E3B"/>
    <w:rsid w:val="009122C2"/>
    <w:rsid w:val="0093057C"/>
    <w:rsid w:val="009405F1"/>
    <w:rsid w:val="00947B88"/>
    <w:rsid w:val="00960C24"/>
    <w:rsid w:val="009652AD"/>
    <w:rsid w:val="00982BC5"/>
    <w:rsid w:val="009C08C0"/>
    <w:rsid w:val="009D39C9"/>
    <w:rsid w:val="00A41A57"/>
    <w:rsid w:val="00A724BD"/>
    <w:rsid w:val="00A83A79"/>
    <w:rsid w:val="00AA3E03"/>
    <w:rsid w:val="00AA56CB"/>
    <w:rsid w:val="00AA6F3E"/>
    <w:rsid w:val="00C27875"/>
    <w:rsid w:val="00CA5193"/>
    <w:rsid w:val="00CB6DE2"/>
    <w:rsid w:val="00CC02F7"/>
    <w:rsid w:val="00CE2058"/>
    <w:rsid w:val="00D14B76"/>
    <w:rsid w:val="00D37BAB"/>
    <w:rsid w:val="00D5051F"/>
    <w:rsid w:val="00D64DFD"/>
    <w:rsid w:val="00D870B0"/>
    <w:rsid w:val="00D967AE"/>
    <w:rsid w:val="00DA2927"/>
    <w:rsid w:val="00DF5389"/>
    <w:rsid w:val="00DF6ED9"/>
    <w:rsid w:val="00E453A8"/>
    <w:rsid w:val="00E469E1"/>
    <w:rsid w:val="00E561D1"/>
    <w:rsid w:val="00E836D7"/>
    <w:rsid w:val="00E93909"/>
    <w:rsid w:val="00EB01DA"/>
    <w:rsid w:val="00EB5765"/>
    <w:rsid w:val="00EB6B41"/>
    <w:rsid w:val="00ED0F73"/>
    <w:rsid w:val="00EE17F6"/>
    <w:rsid w:val="00EF3244"/>
    <w:rsid w:val="00F00C80"/>
    <w:rsid w:val="00F01348"/>
    <w:rsid w:val="00F022C7"/>
    <w:rsid w:val="00F22716"/>
    <w:rsid w:val="00F23321"/>
    <w:rsid w:val="00F2540C"/>
    <w:rsid w:val="00F61DBD"/>
    <w:rsid w:val="00F966B6"/>
    <w:rsid w:val="00FA7E5C"/>
    <w:rsid w:val="00FC4F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E200"/>
  <w15:chartTrackingRefBased/>
  <w15:docId w15:val="{A65F5B11-145C-4A98-9002-D8E9F0A0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9405F1"/>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NoSpacing">
    <w:name w:val="No Spacing"/>
    <w:uiPriority w:val="1"/>
    <w:qFormat/>
    <w:rsid w:val="004E5AF0"/>
    <w:pPr>
      <w:spacing w:after="0" w:line="240" w:lineRule="auto"/>
      <w:ind w:left="567"/>
      <w:jc w:val="both"/>
    </w:pPr>
    <w:rPr>
      <w:rFonts w:ascii="Arial" w:hAnsi="Arial"/>
      <w:sz w:val="24"/>
      <w:lang w:val="en-GB"/>
    </w:rPr>
  </w:style>
  <w:style w:type="paragraph" w:customStyle="1" w:styleId="Subparagraph">
    <w:name w:val="Sub paragraph"/>
    <w:basedOn w:val="Normal"/>
    <w:qFormat/>
    <w:rsid w:val="004E5AF0"/>
    <w:pPr>
      <w:numPr>
        <w:ilvl w:val="1"/>
        <w:numId w:val="5"/>
      </w:numPr>
      <w:spacing w:before="240" w:line="480" w:lineRule="auto"/>
      <w:ind w:left="851" w:hanging="709"/>
    </w:pPr>
    <w:rPr>
      <w:rFonts w:eastAsia="Times New Roman" w:cs="Arial"/>
      <w:color w:val="000000"/>
      <w:szCs w:val="24"/>
    </w:rPr>
  </w:style>
  <w:style w:type="paragraph" w:customStyle="1" w:styleId="Sub-subparagraph">
    <w:name w:val="Sub-sub paragraph"/>
    <w:basedOn w:val="Subparagraph"/>
    <w:qFormat/>
    <w:rsid w:val="004E5AF0"/>
    <w:pPr>
      <w:numPr>
        <w:ilvl w:val="2"/>
      </w:numPr>
      <w:tabs>
        <w:tab w:val="num" w:pos="360"/>
      </w:tabs>
      <w:ind w:left="1418" w:hanging="992"/>
    </w:pPr>
  </w:style>
  <w:style w:type="paragraph" w:customStyle="1" w:styleId="AAParagraph">
    <w:name w:val="AA Paragraph"/>
    <w:basedOn w:val="Normal"/>
    <w:link w:val="AAParagraphChar"/>
    <w:qFormat/>
    <w:rsid w:val="004E5AF0"/>
    <w:pPr>
      <w:numPr>
        <w:numId w:val="5"/>
      </w:numPr>
      <w:spacing w:after="360" w:line="480" w:lineRule="auto"/>
      <w:ind w:left="426" w:hanging="426"/>
    </w:pPr>
    <w:rPr>
      <w:rFonts w:eastAsia="Times New Roman" w:cs="Arial"/>
      <w:color w:val="000000" w:themeColor="text1"/>
      <w:szCs w:val="24"/>
    </w:rPr>
  </w:style>
  <w:style w:type="character" w:customStyle="1" w:styleId="AAParagraphChar">
    <w:name w:val="AA Paragraph Char"/>
    <w:link w:val="AAParagraph"/>
    <w:rsid w:val="004E5AF0"/>
    <w:rPr>
      <w:rFonts w:ascii="Arial" w:eastAsia="Times New Roman" w:hAnsi="Arial" w:cs="Arial"/>
      <w:color w:val="000000" w:themeColor="text1"/>
      <w:sz w:val="24"/>
      <w:szCs w:val="24"/>
      <w:lang w:val="en-GB"/>
    </w:rPr>
  </w:style>
  <w:style w:type="paragraph" w:styleId="FootnoteText">
    <w:name w:val="footnote text"/>
    <w:basedOn w:val="Normal"/>
    <w:link w:val="FootnoteTextChar"/>
    <w:uiPriority w:val="99"/>
    <w:qFormat/>
    <w:rsid w:val="004E5AF0"/>
    <w:pPr>
      <w:spacing w:after="0" w:line="240" w:lineRule="auto"/>
      <w:ind w:left="142" w:hanging="142"/>
    </w:pPr>
    <w:rPr>
      <w:rFonts w:ascii="Helvetica" w:eastAsia="Times New Roman" w:hAnsi="Helvetica" w:cs="Times New Roman"/>
      <w:color w:val="000000"/>
      <w:sz w:val="20"/>
      <w:szCs w:val="20"/>
      <w:lang w:val="en-US"/>
    </w:rPr>
  </w:style>
  <w:style w:type="character" w:customStyle="1" w:styleId="FootnoteTextChar">
    <w:name w:val="Footnote Text Char"/>
    <w:basedOn w:val="DefaultParagraphFont"/>
    <w:link w:val="FootnoteText"/>
    <w:uiPriority w:val="99"/>
    <w:rsid w:val="004E5AF0"/>
    <w:rPr>
      <w:rFonts w:ascii="Helvetica" w:eastAsia="Times New Roman" w:hAnsi="Helvetica" w:cs="Times New Roman"/>
      <w:color w:val="000000"/>
      <w:sz w:val="20"/>
      <w:szCs w:val="20"/>
      <w:lang w:val="en-US"/>
    </w:rPr>
  </w:style>
  <w:style w:type="character" w:styleId="FootnoteReference">
    <w:name w:val="footnote reference"/>
    <w:uiPriority w:val="99"/>
    <w:rsid w:val="004E5AF0"/>
    <w:rPr>
      <w:vertAlign w:val="superscript"/>
    </w:rPr>
  </w:style>
  <w:style w:type="paragraph" w:customStyle="1" w:styleId="Content">
    <w:name w:val="Content"/>
    <w:basedOn w:val="Normal"/>
    <w:link w:val="ContentChar"/>
    <w:autoRedefine/>
    <w:rsid w:val="00982BC5"/>
    <w:pPr>
      <w:spacing w:before="240" w:after="120" w:line="480" w:lineRule="auto"/>
      <w:ind w:left="0"/>
    </w:pPr>
    <w:rPr>
      <w:rFonts w:eastAsia="Times New Roman" w:cs="Arial"/>
      <w:color w:val="000000"/>
      <w:sz w:val="25"/>
      <w:szCs w:val="26"/>
    </w:rPr>
  </w:style>
  <w:style w:type="character" w:customStyle="1" w:styleId="ContentChar">
    <w:name w:val="Content Char"/>
    <w:link w:val="Content"/>
    <w:rsid w:val="00982BC5"/>
    <w:rPr>
      <w:rFonts w:ascii="Arial" w:eastAsia="Times New Roman" w:hAnsi="Arial" w:cs="Arial"/>
      <w:color w:val="000000"/>
      <w:sz w:val="25"/>
      <w:szCs w:val="26"/>
      <w:lang w:val="en-GB"/>
    </w:rPr>
  </w:style>
  <w:style w:type="character" w:styleId="Hyperlink">
    <w:name w:val="Hyperlink"/>
    <w:basedOn w:val="DefaultParagraphFont"/>
    <w:uiPriority w:val="99"/>
    <w:unhideWhenUsed/>
    <w:rsid w:val="00982BC5"/>
    <w:rPr>
      <w:color w:val="0563C1" w:themeColor="hyperlink"/>
      <w:u w:val="single"/>
    </w:rPr>
  </w:style>
  <w:style w:type="paragraph" w:styleId="BalloonText">
    <w:name w:val="Balloon Text"/>
    <w:basedOn w:val="Normal"/>
    <w:link w:val="BalloonTextChar"/>
    <w:uiPriority w:val="99"/>
    <w:semiHidden/>
    <w:unhideWhenUsed/>
    <w:rsid w:val="0037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EC"/>
    <w:rPr>
      <w:rFonts w:ascii="Segoe UI" w:hAnsi="Segoe UI" w:cs="Segoe UI"/>
      <w:sz w:val="18"/>
      <w:szCs w:val="18"/>
      <w:lang w:val="en-GB"/>
    </w:rPr>
  </w:style>
  <w:style w:type="character" w:styleId="CommentReference">
    <w:name w:val="annotation reference"/>
    <w:basedOn w:val="DefaultParagraphFont"/>
    <w:uiPriority w:val="99"/>
    <w:semiHidden/>
    <w:unhideWhenUsed/>
    <w:rsid w:val="001C0E43"/>
    <w:rPr>
      <w:sz w:val="16"/>
      <w:szCs w:val="16"/>
    </w:rPr>
  </w:style>
  <w:style w:type="paragraph" w:styleId="CommentText">
    <w:name w:val="annotation text"/>
    <w:basedOn w:val="Normal"/>
    <w:link w:val="CommentTextChar"/>
    <w:uiPriority w:val="99"/>
    <w:semiHidden/>
    <w:unhideWhenUsed/>
    <w:rsid w:val="001C0E43"/>
    <w:pPr>
      <w:spacing w:line="240" w:lineRule="auto"/>
    </w:pPr>
    <w:rPr>
      <w:sz w:val="20"/>
      <w:szCs w:val="20"/>
    </w:rPr>
  </w:style>
  <w:style w:type="character" w:customStyle="1" w:styleId="CommentTextChar">
    <w:name w:val="Comment Text Char"/>
    <w:basedOn w:val="DefaultParagraphFont"/>
    <w:link w:val="CommentText"/>
    <w:uiPriority w:val="99"/>
    <w:semiHidden/>
    <w:rsid w:val="001C0E4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C0E43"/>
    <w:rPr>
      <w:b/>
      <w:bCs/>
    </w:rPr>
  </w:style>
  <w:style w:type="character" w:customStyle="1" w:styleId="CommentSubjectChar">
    <w:name w:val="Comment Subject Char"/>
    <w:basedOn w:val="CommentTextChar"/>
    <w:link w:val="CommentSubject"/>
    <w:uiPriority w:val="99"/>
    <w:semiHidden/>
    <w:rsid w:val="001C0E43"/>
    <w:rPr>
      <w:rFonts w:ascii="Arial" w:hAnsi="Arial"/>
      <w:b/>
      <w:bCs/>
      <w:sz w:val="20"/>
      <w:szCs w:val="20"/>
      <w:lang w:val="en-GB"/>
    </w:rPr>
  </w:style>
  <w:style w:type="character" w:customStyle="1" w:styleId="mc">
    <w:name w:val="mc"/>
    <w:basedOn w:val="DefaultParagraphFont"/>
    <w:rsid w:val="001C0E43"/>
  </w:style>
  <w:style w:type="numbering" w:customStyle="1" w:styleId="CurrentList1">
    <w:name w:val="Current List1"/>
    <w:uiPriority w:val="99"/>
    <w:rsid w:val="00766238"/>
    <w:pPr>
      <w:numPr>
        <w:numId w:val="7"/>
      </w:numPr>
    </w:pPr>
  </w:style>
  <w:style w:type="paragraph" w:customStyle="1" w:styleId="lrpara">
    <w:name w:val="lrpara"/>
    <w:basedOn w:val="Normal"/>
    <w:rsid w:val="009405F1"/>
    <w:pPr>
      <w:spacing w:before="100" w:beforeAutospacing="1" w:after="100" w:afterAutospacing="1" w:line="240" w:lineRule="auto"/>
      <w:ind w:left="0"/>
      <w:jc w:val="left"/>
    </w:pPr>
    <w:rPr>
      <w:rFonts w:ascii="Times New Roman" w:eastAsia="Times New Roman" w:hAnsi="Times New Roman" w:cs="Times New Roman"/>
      <w:szCs w:val="24"/>
      <w:lang w:val="en-ZA" w:eastAsia="en-GB"/>
    </w:rPr>
  </w:style>
  <w:style w:type="character" w:customStyle="1" w:styleId="UnresolvedMention">
    <w:name w:val="Unresolved Mention"/>
    <w:basedOn w:val="DefaultParagraphFont"/>
    <w:uiPriority w:val="99"/>
    <w:semiHidden/>
    <w:unhideWhenUsed/>
    <w:rsid w:val="0094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86102">
      <w:bodyDiv w:val="1"/>
      <w:marLeft w:val="0"/>
      <w:marRight w:val="0"/>
      <w:marTop w:val="0"/>
      <w:marBottom w:val="0"/>
      <w:divBdr>
        <w:top w:val="none" w:sz="0" w:space="0" w:color="auto"/>
        <w:left w:val="none" w:sz="0" w:space="0" w:color="auto"/>
        <w:bottom w:val="none" w:sz="0" w:space="0" w:color="auto"/>
        <w:right w:val="none" w:sz="0" w:space="0" w:color="auto"/>
      </w:divBdr>
    </w:div>
    <w:div w:id="917444462">
      <w:bodyDiv w:val="1"/>
      <w:marLeft w:val="0"/>
      <w:marRight w:val="0"/>
      <w:marTop w:val="0"/>
      <w:marBottom w:val="0"/>
      <w:divBdr>
        <w:top w:val="none" w:sz="0" w:space="0" w:color="auto"/>
        <w:left w:val="none" w:sz="0" w:space="0" w:color="auto"/>
        <w:bottom w:val="none" w:sz="0" w:space="0" w:color="auto"/>
        <w:right w:val="none" w:sz="0" w:space="0" w:color="auto"/>
      </w:divBdr>
    </w:div>
    <w:div w:id="1036344490">
      <w:bodyDiv w:val="1"/>
      <w:marLeft w:val="0"/>
      <w:marRight w:val="0"/>
      <w:marTop w:val="0"/>
      <w:marBottom w:val="0"/>
      <w:divBdr>
        <w:top w:val="none" w:sz="0" w:space="0" w:color="auto"/>
        <w:left w:val="none" w:sz="0" w:space="0" w:color="auto"/>
        <w:bottom w:val="none" w:sz="0" w:space="0" w:color="auto"/>
        <w:right w:val="none" w:sz="0" w:space="0" w:color="auto"/>
      </w:divBdr>
      <w:divsChild>
        <w:div w:id="2016569397">
          <w:marLeft w:val="0"/>
          <w:marRight w:val="0"/>
          <w:marTop w:val="120"/>
          <w:marBottom w:val="0"/>
          <w:divBdr>
            <w:top w:val="none" w:sz="0" w:space="0" w:color="auto"/>
            <w:left w:val="none" w:sz="0" w:space="0" w:color="auto"/>
            <w:bottom w:val="none" w:sz="0" w:space="0" w:color="auto"/>
            <w:right w:val="none" w:sz="0" w:space="0" w:color="auto"/>
          </w:divBdr>
        </w:div>
        <w:div w:id="1361780700">
          <w:marLeft w:val="0"/>
          <w:marRight w:val="0"/>
          <w:marTop w:val="120"/>
          <w:marBottom w:val="0"/>
          <w:divBdr>
            <w:top w:val="none" w:sz="0" w:space="0" w:color="auto"/>
            <w:left w:val="none" w:sz="0" w:space="0" w:color="auto"/>
            <w:bottom w:val="none" w:sz="0" w:space="0" w:color="auto"/>
            <w:right w:val="none" w:sz="0" w:space="0" w:color="auto"/>
          </w:divBdr>
        </w:div>
      </w:divsChild>
    </w:div>
    <w:div w:id="1419785072">
      <w:bodyDiv w:val="1"/>
      <w:marLeft w:val="0"/>
      <w:marRight w:val="0"/>
      <w:marTop w:val="0"/>
      <w:marBottom w:val="0"/>
      <w:divBdr>
        <w:top w:val="none" w:sz="0" w:space="0" w:color="auto"/>
        <w:left w:val="none" w:sz="0" w:space="0" w:color="auto"/>
        <w:bottom w:val="none" w:sz="0" w:space="0" w:color="auto"/>
        <w:right w:val="none" w:sz="0" w:space="0" w:color="auto"/>
      </w:divBdr>
    </w:div>
    <w:div w:id="16582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elani\AppData\Local\Microsoft\Windows\INetCache\Content.Outlook\Q6GK97CK\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C4D9-5D91-4D0D-894C-191D6BD2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28</TotalTime>
  <Pages>9</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Luvo L. Nelani</dc:creator>
  <cp:keywords/>
  <dc:description/>
  <cp:lastModifiedBy>Mary Bruce</cp:lastModifiedBy>
  <cp:revision>16</cp:revision>
  <cp:lastPrinted>2023-11-24T09:10:00Z</cp:lastPrinted>
  <dcterms:created xsi:type="dcterms:W3CDTF">2023-11-27T09:31:00Z</dcterms:created>
  <dcterms:modified xsi:type="dcterms:W3CDTF">2023-11-27T17:19:00Z</dcterms:modified>
</cp:coreProperties>
</file>