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24B26" w14:textId="77777777" w:rsidR="008F57DD" w:rsidRDefault="008F57DD" w:rsidP="008F57DD">
      <w:pPr>
        <w:pStyle w:val="LegalTitle"/>
        <w:spacing w:after="0" w:line="360" w:lineRule="auto"/>
        <w:rPr>
          <w:u w:val="single"/>
        </w:rPr>
      </w:pPr>
      <w:r>
        <w:rPr>
          <w:u w:val="single"/>
        </w:rPr>
        <w:t>THE REPUBLIC OF SOUTH AFRICA</w:t>
      </w:r>
    </w:p>
    <w:p w14:paraId="0119C15B" w14:textId="77777777" w:rsidR="008F57DD" w:rsidRDefault="008F57DD" w:rsidP="008F57DD">
      <w:pPr>
        <w:pStyle w:val="LegalTitle"/>
        <w:spacing w:after="0" w:line="360" w:lineRule="auto"/>
        <w:rPr>
          <w:u w:val="single"/>
        </w:rPr>
      </w:pPr>
      <w:r>
        <w:rPr>
          <w:noProof/>
          <w:lang w:val="en-ZA" w:eastAsia="en-ZA"/>
        </w:rPr>
        <w:drawing>
          <wp:inline distT="0" distB="0" distL="0" distR="0" wp14:anchorId="74068CD6" wp14:editId="3A55E88D">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541B7DA6" w14:textId="77777777" w:rsidR="008F57DD" w:rsidRDefault="008F57DD" w:rsidP="008F57DD">
      <w:pPr>
        <w:pStyle w:val="LegalTitle"/>
        <w:spacing w:after="0" w:line="360" w:lineRule="auto"/>
        <w:rPr>
          <w:u w:val="single"/>
        </w:rPr>
      </w:pPr>
      <w:r>
        <w:rPr>
          <w:u w:val="single"/>
        </w:rPr>
        <w:t>IN THE HIGH COURT OF SOUTH AFRICA</w:t>
      </w:r>
    </w:p>
    <w:p w14:paraId="3DB02EFC" w14:textId="77777777" w:rsidR="008F57DD" w:rsidRPr="00520591" w:rsidRDefault="008F57DD" w:rsidP="008F57DD">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58752" behindDoc="0" locked="0" layoutInCell="1" allowOverlap="1" wp14:anchorId="0CC737FA" wp14:editId="13712C4C">
                <wp:simplePos x="0" y="0"/>
                <wp:positionH relativeFrom="column">
                  <wp:posOffset>-53340</wp:posOffset>
                </wp:positionH>
                <wp:positionV relativeFrom="paragraph">
                  <wp:posOffset>369570</wp:posOffset>
                </wp:positionV>
                <wp:extent cx="3079750" cy="131445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314450"/>
                        </a:xfrm>
                        <a:prstGeom prst="rect">
                          <a:avLst/>
                        </a:prstGeom>
                        <a:solidFill>
                          <a:srgbClr val="FFFFFF"/>
                        </a:solidFill>
                        <a:ln w="9525">
                          <a:solidFill>
                            <a:srgbClr val="000000"/>
                          </a:solidFill>
                          <a:miter lim="800000"/>
                          <a:headEnd/>
                          <a:tailEnd/>
                        </a:ln>
                      </wps:spPr>
                      <wps:txbx>
                        <w:txbxContent>
                          <w:p w14:paraId="3797A8A4" w14:textId="77777777" w:rsidR="00016917" w:rsidRPr="0038792A" w:rsidRDefault="00016917" w:rsidP="008F57DD">
                            <w:pPr>
                              <w:numPr>
                                <w:ilvl w:val="0"/>
                                <w:numId w:val="50"/>
                              </w:numPr>
                              <w:spacing w:after="0" w:line="240" w:lineRule="auto"/>
                              <w:jc w:val="left"/>
                              <w:rPr>
                                <w:sz w:val="20"/>
                                <w:szCs w:val="20"/>
                              </w:rPr>
                            </w:pPr>
                            <w:r>
                              <w:rPr>
                                <w:sz w:val="20"/>
                                <w:szCs w:val="20"/>
                              </w:rPr>
                              <w:t xml:space="preserve">REPORTABLE: </w:t>
                            </w:r>
                            <w:r>
                              <w:rPr>
                                <w:b/>
                                <w:i/>
                                <w:sz w:val="20"/>
                                <w:szCs w:val="20"/>
                              </w:rPr>
                              <w:t>NO</w:t>
                            </w:r>
                          </w:p>
                          <w:p w14:paraId="502D7FC2" w14:textId="77777777" w:rsidR="00016917" w:rsidRPr="0038792A" w:rsidRDefault="00016917" w:rsidP="008F57DD">
                            <w:pPr>
                              <w:numPr>
                                <w:ilvl w:val="0"/>
                                <w:numId w:val="50"/>
                              </w:numPr>
                              <w:spacing w:after="0" w:line="240" w:lineRule="auto"/>
                              <w:jc w:val="left"/>
                              <w:rPr>
                                <w:sz w:val="20"/>
                                <w:szCs w:val="20"/>
                              </w:rPr>
                            </w:pPr>
                            <w:r w:rsidRPr="0038792A">
                              <w:rPr>
                                <w:sz w:val="20"/>
                                <w:szCs w:val="20"/>
                              </w:rPr>
                              <w:t xml:space="preserve">OF </w:t>
                            </w:r>
                            <w:r>
                              <w:rPr>
                                <w:sz w:val="20"/>
                                <w:szCs w:val="20"/>
                              </w:rPr>
                              <w:t xml:space="preserve">INTEREST TO OTHER JUDGES: </w:t>
                            </w:r>
                            <w:r>
                              <w:rPr>
                                <w:b/>
                                <w:i/>
                                <w:sz w:val="20"/>
                                <w:szCs w:val="20"/>
                              </w:rPr>
                              <w:t>NO</w:t>
                            </w:r>
                          </w:p>
                          <w:p w14:paraId="7C8B09B1" w14:textId="77777777" w:rsidR="00016917" w:rsidRPr="0038792A" w:rsidRDefault="00016917" w:rsidP="008F57DD">
                            <w:pPr>
                              <w:numPr>
                                <w:ilvl w:val="0"/>
                                <w:numId w:val="50"/>
                              </w:numPr>
                              <w:spacing w:after="120" w:line="240" w:lineRule="auto"/>
                              <w:ind w:left="901"/>
                              <w:jc w:val="left"/>
                              <w:rPr>
                                <w:sz w:val="20"/>
                                <w:szCs w:val="20"/>
                              </w:rPr>
                            </w:pPr>
                            <w:r w:rsidRPr="0038792A">
                              <w:rPr>
                                <w:sz w:val="20"/>
                                <w:szCs w:val="20"/>
                              </w:rPr>
                              <w:t xml:space="preserve">REVISED: </w:t>
                            </w:r>
                          </w:p>
                          <w:p w14:paraId="7CFFD1CB" w14:textId="46A35904" w:rsidR="00016917" w:rsidRPr="000C3AF7" w:rsidRDefault="00016917" w:rsidP="008F57DD">
                            <w:pPr>
                              <w:rPr>
                                <w:sz w:val="22"/>
                                <w:szCs w:val="22"/>
                              </w:rPr>
                            </w:pPr>
                            <w:r>
                              <w:rPr>
                                <w:sz w:val="22"/>
                                <w:szCs w:val="22"/>
                              </w:rPr>
                              <w:t xml:space="preserve">Date: </w:t>
                            </w:r>
                            <w:r>
                              <w:rPr>
                                <w:b/>
                                <w:sz w:val="22"/>
                                <w:szCs w:val="22"/>
                              </w:rPr>
                              <w:t>21</w:t>
                            </w:r>
                            <w:r w:rsidRPr="003969B2">
                              <w:rPr>
                                <w:b/>
                                <w:sz w:val="22"/>
                                <w:szCs w:val="22"/>
                              </w:rPr>
                              <w:t xml:space="preserve"> </w:t>
                            </w:r>
                            <w:r>
                              <w:rPr>
                                <w:b/>
                                <w:sz w:val="22"/>
                                <w:szCs w:val="22"/>
                              </w:rPr>
                              <w:t>April</w:t>
                            </w:r>
                            <w:r w:rsidRPr="00F51ACE">
                              <w:rPr>
                                <w:b/>
                                <w:i/>
                                <w:sz w:val="22"/>
                                <w:szCs w:val="22"/>
                              </w:rPr>
                              <w:t xml:space="preserve"> 2022</w:t>
                            </w:r>
                            <w:r w:rsidRPr="0070234A">
                              <w:rPr>
                                <w:b/>
                                <w:i/>
                                <w:sz w:val="22"/>
                                <w:szCs w:val="22"/>
                              </w:rPr>
                              <w:t xml:space="preserve"> </w:t>
                            </w:r>
                            <w:r>
                              <w:rPr>
                                <w:sz w:val="22"/>
                                <w:szCs w:val="22"/>
                              </w:rPr>
                              <w:t xml:space="preserve">Signature:  </w:t>
                            </w:r>
                          </w:p>
                          <w:p w14:paraId="7D205ABE" w14:textId="77777777" w:rsidR="00016917" w:rsidRDefault="00016917" w:rsidP="008F57DD">
                            <w:pPr>
                              <w:rPr>
                                <w:sz w:val="28"/>
                                <w:szCs w:val="28"/>
                              </w:rPr>
                            </w:pPr>
                          </w:p>
                          <w:p w14:paraId="5D4630EB" w14:textId="77777777" w:rsidR="00016917" w:rsidRDefault="00016917" w:rsidP="008F57DD">
                            <w:pPr>
                              <w:rPr>
                                <w:sz w:val="28"/>
                                <w:szCs w:val="28"/>
                              </w:rPr>
                            </w:pPr>
                            <w:r>
                              <w:rPr>
                                <w:sz w:val="28"/>
                                <w:szCs w:val="28"/>
                              </w:rPr>
                              <w:t>____________________        ____________________</w:t>
                            </w:r>
                          </w:p>
                          <w:p w14:paraId="68CF97FC" w14:textId="77777777" w:rsidR="00016917" w:rsidRDefault="00016917" w:rsidP="008F57DD">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7F069EF8" w14:textId="77777777" w:rsidR="00016917" w:rsidRDefault="00016917" w:rsidP="008F57DD">
                            <w:pPr>
                              <w:rPr>
                                <w:sz w:val="28"/>
                                <w:szCs w:val="28"/>
                              </w:rPr>
                            </w:pPr>
                          </w:p>
                          <w:p w14:paraId="3C0D9D09" w14:textId="77777777" w:rsidR="00016917" w:rsidRDefault="00016917" w:rsidP="008F57DD">
                            <w:pPr>
                              <w:rPr>
                                <w:sz w:val="28"/>
                                <w:szCs w:val="28"/>
                              </w:rPr>
                            </w:pPr>
                          </w:p>
                          <w:p w14:paraId="714E2F5E" w14:textId="77777777" w:rsidR="00016917" w:rsidRDefault="00016917" w:rsidP="008F57DD">
                            <w:pPr>
                              <w:rPr>
                                <w:sz w:val="28"/>
                                <w:szCs w:val="28"/>
                              </w:rPr>
                            </w:pPr>
                          </w:p>
                          <w:p w14:paraId="5F7C25D4" w14:textId="77777777" w:rsidR="00016917" w:rsidRPr="009533D5" w:rsidRDefault="00016917" w:rsidP="008F57DD">
                            <w:pPr>
                              <w:rPr>
                                <w:sz w:val="28"/>
                                <w:szCs w:val="28"/>
                              </w:rPr>
                            </w:pPr>
                          </w:p>
                          <w:p w14:paraId="38C41972" w14:textId="77777777" w:rsidR="00016917" w:rsidRDefault="00016917" w:rsidP="008F57DD">
                            <w:pPr>
                              <w:rPr>
                                <w:b/>
                              </w:rPr>
                            </w:pPr>
                          </w:p>
                          <w:p w14:paraId="561105AD" w14:textId="77777777" w:rsidR="00016917" w:rsidRDefault="00016917" w:rsidP="008F57DD">
                            <w:pPr>
                              <w:rPr>
                                <w:b/>
                              </w:rPr>
                            </w:pPr>
                          </w:p>
                          <w:p w14:paraId="6613A0D3" w14:textId="77777777" w:rsidR="00016917" w:rsidRDefault="00016917" w:rsidP="008F57DD">
                            <w:pPr>
                              <w:rPr>
                                <w:b/>
                              </w:rPr>
                            </w:pPr>
                          </w:p>
                          <w:p w14:paraId="1A0DBCD6" w14:textId="77777777" w:rsidR="00016917" w:rsidRPr="00B93709" w:rsidRDefault="00016917" w:rsidP="008F57DD">
                            <w:pPr>
                              <w:rPr>
                                <w:b/>
                              </w:rPr>
                            </w:pPr>
                          </w:p>
                          <w:p w14:paraId="1C120CBA" w14:textId="77777777" w:rsidR="00016917" w:rsidRPr="00B93709" w:rsidRDefault="00016917" w:rsidP="008F57DD">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737FA" id="_x0000_t202" coordsize="21600,21600" o:spt="202" path="m,l,21600r21600,l21600,xe">
                <v:stroke joinstyle="miter"/>
                <v:path gradientshapeok="t" o:connecttype="rect"/>
              </v:shapetype>
              <v:shape id="Text Box 1" o:spid="_x0000_s1026" type="#_x0000_t202" style="position:absolute;left:0;text-align:left;margin-left:-4.2pt;margin-top:29.1pt;width:242.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0AKgIAAFE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">
                <v:textbox>
                  <w:txbxContent>
                    <w:p w14:paraId="3797A8A4" w14:textId="77777777" w:rsidR="00016917" w:rsidRPr="0038792A" w:rsidRDefault="00016917" w:rsidP="008F57DD">
                      <w:pPr>
                        <w:numPr>
                          <w:ilvl w:val="0"/>
                          <w:numId w:val="50"/>
                        </w:numPr>
                        <w:spacing w:after="0" w:line="240" w:lineRule="auto"/>
                        <w:jc w:val="left"/>
                        <w:rPr>
                          <w:sz w:val="20"/>
                          <w:szCs w:val="20"/>
                        </w:rPr>
                      </w:pPr>
                      <w:r>
                        <w:rPr>
                          <w:sz w:val="20"/>
                          <w:szCs w:val="20"/>
                        </w:rPr>
                        <w:t xml:space="preserve">REPORTABLE: </w:t>
                      </w:r>
                      <w:r>
                        <w:rPr>
                          <w:b/>
                          <w:i/>
                          <w:sz w:val="20"/>
                          <w:szCs w:val="20"/>
                        </w:rPr>
                        <w:t>NO</w:t>
                      </w:r>
                    </w:p>
                    <w:p w14:paraId="502D7FC2" w14:textId="77777777" w:rsidR="00016917" w:rsidRPr="0038792A" w:rsidRDefault="00016917" w:rsidP="008F57DD">
                      <w:pPr>
                        <w:numPr>
                          <w:ilvl w:val="0"/>
                          <w:numId w:val="50"/>
                        </w:numPr>
                        <w:spacing w:after="0" w:line="240" w:lineRule="auto"/>
                        <w:jc w:val="left"/>
                        <w:rPr>
                          <w:sz w:val="20"/>
                          <w:szCs w:val="20"/>
                        </w:rPr>
                      </w:pPr>
                      <w:r w:rsidRPr="0038792A">
                        <w:rPr>
                          <w:sz w:val="20"/>
                          <w:szCs w:val="20"/>
                        </w:rPr>
                        <w:t xml:space="preserve">OF </w:t>
                      </w:r>
                      <w:r>
                        <w:rPr>
                          <w:sz w:val="20"/>
                          <w:szCs w:val="20"/>
                        </w:rPr>
                        <w:t xml:space="preserve">INTEREST TO OTHER JUDGES: </w:t>
                      </w:r>
                      <w:r>
                        <w:rPr>
                          <w:b/>
                          <w:i/>
                          <w:sz w:val="20"/>
                          <w:szCs w:val="20"/>
                        </w:rPr>
                        <w:t>NO</w:t>
                      </w:r>
                    </w:p>
                    <w:p w14:paraId="7C8B09B1" w14:textId="77777777" w:rsidR="00016917" w:rsidRPr="0038792A" w:rsidRDefault="00016917" w:rsidP="008F57DD">
                      <w:pPr>
                        <w:numPr>
                          <w:ilvl w:val="0"/>
                          <w:numId w:val="50"/>
                        </w:numPr>
                        <w:spacing w:after="120" w:line="240" w:lineRule="auto"/>
                        <w:ind w:left="901"/>
                        <w:jc w:val="left"/>
                        <w:rPr>
                          <w:sz w:val="20"/>
                          <w:szCs w:val="20"/>
                        </w:rPr>
                      </w:pPr>
                      <w:r w:rsidRPr="0038792A">
                        <w:rPr>
                          <w:sz w:val="20"/>
                          <w:szCs w:val="20"/>
                        </w:rPr>
                        <w:t xml:space="preserve">REVISED: </w:t>
                      </w:r>
                    </w:p>
                    <w:p w14:paraId="7CFFD1CB" w14:textId="46A35904" w:rsidR="00016917" w:rsidRPr="000C3AF7" w:rsidRDefault="00016917" w:rsidP="008F57DD">
                      <w:pPr>
                        <w:rPr>
                          <w:sz w:val="22"/>
                          <w:szCs w:val="22"/>
                        </w:rPr>
                      </w:pPr>
                      <w:r>
                        <w:rPr>
                          <w:sz w:val="22"/>
                          <w:szCs w:val="22"/>
                        </w:rPr>
                        <w:t xml:space="preserve">Date: </w:t>
                      </w:r>
                      <w:r>
                        <w:rPr>
                          <w:b/>
                          <w:sz w:val="22"/>
                          <w:szCs w:val="22"/>
                        </w:rPr>
                        <w:t>21</w:t>
                      </w:r>
                      <w:r w:rsidRPr="003969B2">
                        <w:rPr>
                          <w:b/>
                          <w:sz w:val="22"/>
                          <w:szCs w:val="22"/>
                        </w:rPr>
                        <w:t xml:space="preserve"> </w:t>
                      </w:r>
                      <w:r>
                        <w:rPr>
                          <w:b/>
                          <w:sz w:val="22"/>
                          <w:szCs w:val="22"/>
                        </w:rPr>
                        <w:t>April</w:t>
                      </w:r>
                      <w:r w:rsidRPr="00F51ACE">
                        <w:rPr>
                          <w:b/>
                          <w:i/>
                          <w:sz w:val="22"/>
                          <w:szCs w:val="22"/>
                        </w:rPr>
                        <w:t xml:space="preserve"> 2022</w:t>
                      </w:r>
                      <w:r w:rsidRPr="0070234A">
                        <w:rPr>
                          <w:b/>
                          <w:i/>
                          <w:sz w:val="22"/>
                          <w:szCs w:val="22"/>
                        </w:rPr>
                        <w:t xml:space="preserve"> </w:t>
                      </w:r>
                      <w:r>
                        <w:rPr>
                          <w:sz w:val="22"/>
                          <w:szCs w:val="22"/>
                        </w:rPr>
                        <w:t xml:space="preserve">Signature:  </w:t>
                      </w:r>
                    </w:p>
                    <w:p w14:paraId="7D205ABE" w14:textId="77777777" w:rsidR="00016917" w:rsidRDefault="00016917" w:rsidP="008F57DD">
                      <w:pPr>
                        <w:rPr>
                          <w:sz w:val="28"/>
                          <w:szCs w:val="28"/>
                        </w:rPr>
                      </w:pPr>
                    </w:p>
                    <w:p w14:paraId="5D4630EB" w14:textId="77777777" w:rsidR="00016917" w:rsidRDefault="00016917" w:rsidP="008F57DD">
                      <w:pPr>
                        <w:rPr>
                          <w:sz w:val="28"/>
                          <w:szCs w:val="28"/>
                        </w:rPr>
                      </w:pPr>
                      <w:r>
                        <w:rPr>
                          <w:sz w:val="28"/>
                          <w:szCs w:val="28"/>
                        </w:rPr>
                        <w:t>____________________        ____________________</w:t>
                      </w:r>
                    </w:p>
                    <w:p w14:paraId="68CF97FC" w14:textId="77777777" w:rsidR="00016917" w:rsidRDefault="00016917" w:rsidP="008F57DD">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7F069EF8" w14:textId="77777777" w:rsidR="00016917" w:rsidRDefault="00016917" w:rsidP="008F57DD">
                      <w:pPr>
                        <w:rPr>
                          <w:sz w:val="28"/>
                          <w:szCs w:val="28"/>
                        </w:rPr>
                      </w:pPr>
                    </w:p>
                    <w:p w14:paraId="3C0D9D09" w14:textId="77777777" w:rsidR="00016917" w:rsidRDefault="00016917" w:rsidP="008F57DD">
                      <w:pPr>
                        <w:rPr>
                          <w:sz w:val="28"/>
                          <w:szCs w:val="28"/>
                        </w:rPr>
                      </w:pPr>
                    </w:p>
                    <w:p w14:paraId="714E2F5E" w14:textId="77777777" w:rsidR="00016917" w:rsidRDefault="00016917" w:rsidP="008F57DD">
                      <w:pPr>
                        <w:rPr>
                          <w:sz w:val="28"/>
                          <w:szCs w:val="28"/>
                        </w:rPr>
                      </w:pPr>
                    </w:p>
                    <w:p w14:paraId="5F7C25D4" w14:textId="77777777" w:rsidR="00016917" w:rsidRPr="009533D5" w:rsidRDefault="00016917" w:rsidP="008F57DD">
                      <w:pPr>
                        <w:rPr>
                          <w:sz w:val="28"/>
                          <w:szCs w:val="28"/>
                        </w:rPr>
                      </w:pPr>
                    </w:p>
                    <w:p w14:paraId="38C41972" w14:textId="77777777" w:rsidR="00016917" w:rsidRDefault="00016917" w:rsidP="008F57DD">
                      <w:pPr>
                        <w:rPr>
                          <w:b/>
                        </w:rPr>
                      </w:pPr>
                    </w:p>
                    <w:p w14:paraId="561105AD" w14:textId="77777777" w:rsidR="00016917" w:rsidRDefault="00016917" w:rsidP="008F57DD">
                      <w:pPr>
                        <w:rPr>
                          <w:b/>
                        </w:rPr>
                      </w:pPr>
                    </w:p>
                    <w:p w14:paraId="6613A0D3" w14:textId="77777777" w:rsidR="00016917" w:rsidRDefault="00016917" w:rsidP="008F57DD">
                      <w:pPr>
                        <w:rPr>
                          <w:b/>
                        </w:rPr>
                      </w:pPr>
                    </w:p>
                    <w:p w14:paraId="1A0DBCD6" w14:textId="77777777" w:rsidR="00016917" w:rsidRPr="00B93709" w:rsidRDefault="00016917" w:rsidP="008F57DD">
                      <w:pPr>
                        <w:rPr>
                          <w:b/>
                        </w:rPr>
                      </w:pPr>
                    </w:p>
                    <w:p w14:paraId="1C120CBA" w14:textId="77777777" w:rsidR="00016917" w:rsidRPr="00B93709" w:rsidRDefault="00016917" w:rsidP="008F57DD">
                      <w:r w:rsidRPr="00B93709">
                        <w:t xml:space="preserve">             </w:t>
                      </w:r>
                      <w:r>
                        <w:t xml:space="preserve">  </w:t>
                      </w:r>
                      <w:r>
                        <w:tab/>
                      </w:r>
                      <w:r>
                        <w:tab/>
                        <w:t xml:space="preserve">      </w:t>
                      </w:r>
                    </w:p>
                  </w:txbxContent>
                </v:textbox>
              </v:shape>
            </w:pict>
          </mc:Fallback>
        </mc:AlternateContent>
      </w:r>
      <w:r w:rsidRPr="00520591">
        <w:rPr>
          <w:u w:val="single"/>
        </w:rPr>
        <w:t xml:space="preserve">GAUTENG </w:t>
      </w:r>
      <w:r>
        <w:rPr>
          <w:u w:val="single"/>
        </w:rPr>
        <w:t xml:space="preserve">LOCAL </w:t>
      </w:r>
      <w:r w:rsidRPr="00520591">
        <w:rPr>
          <w:u w:val="single"/>
        </w:rPr>
        <w:t xml:space="preserve">DIVISION, </w:t>
      </w:r>
      <w:r>
        <w:rPr>
          <w:u w:val="single"/>
        </w:rPr>
        <w:t>JOHANNESBURG</w:t>
      </w:r>
    </w:p>
    <w:p w14:paraId="2B074B25" w14:textId="77777777" w:rsidR="008F57DD" w:rsidRDefault="008F57DD" w:rsidP="008F57DD">
      <w:pPr>
        <w:pStyle w:val="LegalAnnexure"/>
        <w:spacing w:after="240" w:line="360" w:lineRule="auto"/>
        <w:rPr>
          <w:u w:val="single"/>
        </w:rPr>
      </w:pPr>
    </w:p>
    <w:p w14:paraId="51DA9CDD" w14:textId="77777777" w:rsidR="008F57DD" w:rsidRDefault="008F57DD" w:rsidP="008F57DD">
      <w:pPr>
        <w:pStyle w:val="LegalAnnexure"/>
        <w:spacing w:after="120" w:line="360" w:lineRule="auto"/>
        <w:rPr>
          <w:u w:val="single"/>
        </w:rPr>
      </w:pPr>
    </w:p>
    <w:p w14:paraId="4AC09CA2" w14:textId="3A721719" w:rsidR="008F57DD" w:rsidRDefault="008F57DD" w:rsidP="008F57DD">
      <w:pPr>
        <w:pStyle w:val="LegalAnnexure"/>
        <w:spacing w:before="120" w:after="120" w:line="360" w:lineRule="auto"/>
      </w:pPr>
      <w:r w:rsidRPr="00A84826">
        <w:rPr>
          <w:u w:val="single"/>
        </w:rPr>
        <w:t>CASE NO</w:t>
      </w:r>
      <w:r w:rsidRPr="0080126D">
        <w:t>:</w:t>
      </w:r>
      <w:r>
        <w:t xml:space="preserve"> </w:t>
      </w:r>
      <w:r w:rsidR="00AD3C00">
        <w:t>34636</w:t>
      </w:r>
      <w:r w:rsidRPr="00AD3C00">
        <w:t>/20</w:t>
      </w:r>
      <w:r w:rsidR="00AD3C00" w:rsidRPr="00AD3C00">
        <w:t>20</w:t>
      </w:r>
    </w:p>
    <w:p w14:paraId="5A45BE3A" w14:textId="77777777" w:rsidR="008F57DD" w:rsidRDefault="008F57DD" w:rsidP="008F57DD">
      <w:pPr>
        <w:pStyle w:val="LegalNormal"/>
        <w:spacing w:after="120" w:line="360" w:lineRule="auto"/>
      </w:pPr>
    </w:p>
    <w:p w14:paraId="409FACEF" w14:textId="77777777" w:rsidR="008F57DD" w:rsidRPr="00A84826" w:rsidRDefault="008F57DD" w:rsidP="00255B57">
      <w:pPr>
        <w:pStyle w:val="LegalNormal"/>
        <w:spacing w:after="240" w:line="360" w:lineRule="auto"/>
      </w:pPr>
      <w:r w:rsidRPr="00A84826">
        <w:t>In the matter between:</w:t>
      </w:r>
    </w:p>
    <w:p w14:paraId="48BA1BF3" w14:textId="26D2B8F7" w:rsidR="008F57DD" w:rsidRDefault="00AD3C00" w:rsidP="00255B57">
      <w:pPr>
        <w:pStyle w:val="LegalPlainDef"/>
        <w:spacing w:after="240" w:line="360" w:lineRule="auto"/>
      </w:pPr>
      <w:r>
        <w:rPr>
          <w:b/>
        </w:rPr>
        <w:t>CZOYE CROSSMAN</w:t>
      </w:r>
      <w:r w:rsidR="008F57DD">
        <w:rPr>
          <w:b/>
        </w:rPr>
        <w:tab/>
      </w:r>
      <w:r w:rsidR="008F57DD">
        <w:t xml:space="preserve">Applicant </w:t>
      </w:r>
    </w:p>
    <w:p w14:paraId="26CF0BED" w14:textId="77777777" w:rsidR="008F57DD" w:rsidRPr="00A84826" w:rsidRDefault="008F57DD" w:rsidP="00255B57">
      <w:pPr>
        <w:pStyle w:val="LegalNormal"/>
        <w:spacing w:after="240" w:line="360" w:lineRule="auto"/>
      </w:pPr>
      <w:r w:rsidRPr="00A84826">
        <w:t>And</w:t>
      </w:r>
    </w:p>
    <w:p w14:paraId="700943FC" w14:textId="6F8174A0" w:rsidR="008F57DD" w:rsidRDefault="00AD3C00" w:rsidP="00255B57">
      <w:pPr>
        <w:pStyle w:val="LegalPlainDef"/>
        <w:spacing w:after="120" w:line="240" w:lineRule="auto"/>
      </w:pPr>
      <w:r>
        <w:rPr>
          <w:b/>
        </w:rPr>
        <w:t>CAPITAL ALLIANCE GROUP RISK</w:t>
      </w:r>
      <w:r w:rsidR="008F57DD">
        <w:rPr>
          <w:b/>
        </w:rPr>
        <w:t xml:space="preserve"> </w:t>
      </w:r>
      <w:r w:rsidR="008F57DD">
        <w:tab/>
        <w:t>First Respondent</w:t>
      </w:r>
    </w:p>
    <w:p w14:paraId="14AB9667" w14:textId="2C6367FC" w:rsidR="00AD3C00" w:rsidRDefault="00AD3C00" w:rsidP="00255B57">
      <w:pPr>
        <w:pStyle w:val="LegalNormal"/>
        <w:spacing w:after="240" w:line="360" w:lineRule="auto"/>
        <w:rPr>
          <w:b/>
        </w:rPr>
      </w:pPr>
      <w:r>
        <w:rPr>
          <w:b/>
        </w:rPr>
        <w:t>A DIVISION OF LIBERTY GROUP</w:t>
      </w:r>
      <w:r w:rsidR="00255B57">
        <w:rPr>
          <w:b/>
        </w:rPr>
        <w:t xml:space="preserve"> LIMITED</w:t>
      </w:r>
    </w:p>
    <w:p w14:paraId="2E81FFED" w14:textId="2F219F71" w:rsidR="008F57DD" w:rsidRDefault="00AD3C00" w:rsidP="00255B57">
      <w:pPr>
        <w:pStyle w:val="LegalNormal"/>
        <w:spacing w:after="240" w:line="360" w:lineRule="auto"/>
      </w:pPr>
      <w:r>
        <w:rPr>
          <w:b/>
        </w:rPr>
        <w:t>IEMAS FINANCIAL SERVICES L</w:t>
      </w:r>
      <w:r w:rsidR="00255B57">
        <w:rPr>
          <w:b/>
        </w:rPr>
        <w:t>IMITED</w:t>
      </w:r>
      <w:r>
        <w:rPr>
          <w:b/>
        </w:rPr>
        <w:t xml:space="preserve">  </w:t>
      </w:r>
      <w:r w:rsidR="008F57DD">
        <w:rPr>
          <w:b/>
        </w:rPr>
        <w:tab/>
      </w:r>
      <w:r w:rsidR="008F57DD">
        <w:rPr>
          <w:b/>
        </w:rPr>
        <w:tab/>
      </w:r>
      <w:r w:rsidR="008F57DD">
        <w:rPr>
          <w:b/>
        </w:rPr>
        <w:tab/>
        <w:t xml:space="preserve">  </w:t>
      </w:r>
      <w:r w:rsidR="008F57DD">
        <w:t>Second Respondent</w:t>
      </w:r>
    </w:p>
    <w:p w14:paraId="4C43F7CC" w14:textId="152E36C6" w:rsidR="008F57DD" w:rsidRDefault="00AD3C00" w:rsidP="00255B57">
      <w:pPr>
        <w:pStyle w:val="LegalPlainDef"/>
        <w:spacing w:after="240" w:line="360" w:lineRule="auto"/>
      </w:pPr>
      <w:r>
        <w:rPr>
          <w:b/>
        </w:rPr>
        <w:t>TSA ADMINISTRATION (PTY) LTD</w:t>
      </w:r>
      <w:r w:rsidR="008F57DD">
        <w:rPr>
          <w:b/>
        </w:rPr>
        <w:t xml:space="preserve"> </w:t>
      </w:r>
      <w:r w:rsidR="008F57DD">
        <w:tab/>
        <w:t>Third Respondent</w:t>
      </w:r>
    </w:p>
    <w:p w14:paraId="668618A3" w14:textId="1914F4BA" w:rsidR="008F57DD" w:rsidRDefault="00AD3C00" w:rsidP="00255B57">
      <w:pPr>
        <w:pStyle w:val="LegalPlainDef"/>
        <w:spacing w:after="240" w:line="360" w:lineRule="auto"/>
      </w:pPr>
      <w:r>
        <w:rPr>
          <w:b/>
        </w:rPr>
        <w:t>GARETH BEZUIDENHOUT</w:t>
      </w:r>
      <w:r w:rsidR="008F57DD">
        <w:rPr>
          <w:b/>
        </w:rPr>
        <w:t xml:space="preserve">  </w:t>
      </w:r>
      <w:r>
        <w:rPr>
          <w:b/>
        </w:rPr>
        <w:t xml:space="preserve"> </w:t>
      </w:r>
      <w:r w:rsidR="008F57DD">
        <w:tab/>
      </w:r>
      <w:r>
        <w:t xml:space="preserve">    </w:t>
      </w:r>
      <w:r w:rsidR="008F57DD">
        <w:t>Fourth Respondent</w:t>
      </w:r>
    </w:p>
    <w:p w14:paraId="416C02A7" w14:textId="77777777" w:rsidR="008F57DD" w:rsidRPr="000517A0" w:rsidRDefault="008F57DD" w:rsidP="008F57DD">
      <w:pPr>
        <w:ind w:left="1440" w:hanging="1440"/>
        <w:rPr>
          <w:rFonts w:ascii="Arial" w:hAnsi="Arial" w:cs="Arial"/>
          <w:sz w:val="24"/>
          <w:szCs w:val="24"/>
        </w:rPr>
      </w:pPr>
      <w:r w:rsidRPr="000517A0">
        <w:rPr>
          <w:rFonts w:ascii="Arial" w:hAnsi="Arial" w:cs="Arial"/>
          <w:b/>
          <w:bCs/>
          <w:sz w:val="24"/>
          <w:szCs w:val="24"/>
        </w:rPr>
        <w:t>Coram:</w:t>
      </w:r>
      <w:r w:rsidRPr="000517A0">
        <w:rPr>
          <w:rFonts w:ascii="Arial" w:hAnsi="Arial" w:cs="Arial"/>
          <w:sz w:val="24"/>
          <w:szCs w:val="24"/>
        </w:rPr>
        <w:tab/>
        <w:t>NICHOLS AJ</w:t>
      </w:r>
    </w:p>
    <w:p w14:paraId="67AE878C" w14:textId="63D33BFD" w:rsidR="008F57DD" w:rsidRPr="000517A0" w:rsidRDefault="008F57DD" w:rsidP="008F57DD">
      <w:pPr>
        <w:spacing w:after="120"/>
        <w:ind w:left="1440" w:hanging="1440"/>
        <w:rPr>
          <w:rFonts w:ascii="Arial" w:hAnsi="Arial" w:cs="Arial"/>
          <w:sz w:val="24"/>
          <w:szCs w:val="24"/>
        </w:rPr>
      </w:pPr>
      <w:r w:rsidRPr="000517A0">
        <w:rPr>
          <w:rFonts w:ascii="Arial" w:hAnsi="Arial" w:cs="Arial"/>
          <w:b/>
          <w:sz w:val="24"/>
          <w:szCs w:val="24"/>
        </w:rPr>
        <w:t>Delivered:</w:t>
      </w:r>
      <w:r w:rsidRPr="000517A0">
        <w:rPr>
          <w:rFonts w:ascii="Arial" w:hAnsi="Arial" w:cs="Arial"/>
          <w:b/>
          <w:sz w:val="24"/>
          <w:szCs w:val="24"/>
        </w:rPr>
        <w:tab/>
      </w:r>
      <w:r>
        <w:rPr>
          <w:rFonts w:ascii="Arial" w:hAnsi="Arial" w:cs="Arial"/>
          <w:sz w:val="24"/>
          <w:szCs w:val="24"/>
        </w:rPr>
        <w:t>21 April 2022</w:t>
      </w:r>
      <w:r w:rsidRPr="000517A0">
        <w:rPr>
          <w:rFonts w:ascii="Arial" w:hAnsi="Arial" w:cs="Arial"/>
          <w:sz w:val="24"/>
          <w:szCs w:val="24"/>
        </w:rPr>
        <w:t xml:space="preserve"> – This judgment was handed down electronically by circulation to the parties' representatives </w:t>
      </w:r>
      <w:r w:rsidRPr="000517A0">
        <w:rPr>
          <w:rFonts w:ascii="Arial" w:hAnsi="Arial" w:cs="Arial"/>
          <w:i/>
          <w:sz w:val="24"/>
          <w:szCs w:val="24"/>
        </w:rPr>
        <w:t>via</w:t>
      </w:r>
      <w:r w:rsidRPr="000517A0">
        <w:rPr>
          <w:rFonts w:ascii="Arial" w:hAnsi="Arial" w:cs="Arial"/>
          <w:sz w:val="24"/>
          <w:szCs w:val="24"/>
        </w:rPr>
        <w:t xml:space="preserve"> email, by being uploaded to the </w:t>
      </w:r>
      <w:proofErr w:type="spellStart"/>
      <w:r w:rsidRPr="000517A0">
        <w:rPr>
          <w:rFonts w:ascii="Arial" w:hAnsi="Arial" w:cs="Arial"/>
          <w:i/>
          <w:sz w:val="24"/>
          <w:szCs w:val="24"/>
        </w:rPr>
        <w:t>CaseLines</w:t>
      </w:r>
      <w:proofErr w:type="spellEnd"/>
      <w:r w:rsidRPr="000517A0">
        <w:rPr>
          <w:rFonts w:ascii="Arial" w:hAnsi="Arial" w:cs="Arial"/>
          <w:sz w:val="24"/>
          <w:szCs w:val="24"/>
        </w:rPr>
        <w:t xml:space="preserve"> system of the GLD and by release to SAFLII. The date and time for hand-down is deemed to be 11H00 on </w:t>
      </w:r>
      <w:r>
        <w:rPr>
          <w:rFonts w:ascii="Arial" w:hAnsi="Arial" w:cs="Arial"/>
          <w:sz w:val="24"/>
          <w:szCs w:val="24"/>
        </w:rPr>
        <w:t xml:space="preserve">21 April </w:t>
      </w:r>
      <w:r w:rsidRPr="000517A0">
        <w:rPr>
          <w:rFonts w:ascii="Arial" w:hAnsi="Arial" w:cs="Arial"/>
          <w:sz w:val="24"/>
          <w:szCs w:val="24"/>
        </w:rPr>
        <w:t>202</w:t>
      </w:r>
      <w:r>
        <w:rPr>
          <w:rFonts w:ascii="Arial" w:hAnsi="Arial" w:cs="Arial"/>
          <w:sz w:val="24"/>
          <w:szCs w:val="24"/>
        </w:rPr>
        <w:t>2</w:t>
      </w:r>
      <w:r w:rsidRPr="000517A0">
        <w:rPr>
          <w:rFonts w:ascii="Arial" w:hAnsi="Arial" w:cs="Arial"/>
          <w:sz w:val="24"/>
          <w:szCs w:val="24"/>
        </w:rPr>
        <w:t>.</w:t>
      </w:r>
    </w:p>
    <w:p w14:paraId="2D92FF9F" w14:textId="77777777" w:rsidR="008F57DD" w:rsidRDefault="008F57DD" w:rsidP="008F57DD">
      <w:pPr>
        <w:pStyle w:val="LegalTramLines"/>
        <w:spacing w:after="360"/>
      </w:pPr>
      <w:r>
        <w:lastRenderedPageBreak/>
        <w:t>JUDGMENT AND ORDER</w:t>
      </w:r>
    </w:p>
    <w:p w14:paraId="7B65309A" w14:textId="77777777" w:rsidR="008F57DD" w:rsidRDefault="008F57DD" w:rsidP="00AD3C00">
      <w:pPr>
        <w:rPr>
          <w:rFonts w:ascii="Arial" w:hAnsi="Arial" w:cs="Arial"/>
          <w:b/>
          <w:sz w:val="24"/>
          <w:szCs w:val="24"/>
          <w:lang w:val="en-US"/>
        </w:rPr>
      </w:pPr>
      <w:r>
        <w:rPr>
          <w:rFonts w:ascii="Arial" w:hAnsi="Arial" w:cs="Arial"/>
          <w:b/>
          <w:sz w:val="24"/>
          <w:szCs w:val="24"/>
          <w:lang w:val="en-US"/>
        </w:rPr>
        <w:t>NICHOLS AJ,</w:t>
      </w:r>
    </w:p>
    <w:p w14:paraId="2E19C9EF" w14:textId="661B477B" w:rsidR="00C43CF9" w:rsidRPr="00C43CF9" w:rsidRDefault="00C43CF9" w:rsidP="00AD3C00">
      <w:pPr>
        <w:rPr>
          <w:rFonts w:ascii="Arial" w:hAnsi="Arial" w:cs="Arial"/>
          <w:b/>
          <w:sz w:val="24"/>
          <w:szCs w:val="24"/>
        </w:rPr>
      </w:pPr>
      <w:r>
        <w:rPr>
          <w:rFonts w:ascii="Arial" w:hAnsi="Arial" w:cs="Arial"/>
          <w:b/>
          <w:sz w:val="24"/>
          <w:szCs w:val="24"/>
        </w:rPr>
        <w:t xml:space="preserve">Introduction </w:t>
      </w:r>
    </w:p>
    <w:p w14:paraId="2E649032" w14:textId="68DEDAF1" w:rsidR="007B6BE4" w:rsidRDefault="00255B57" w:rsidP="00AD3C00">
      <w:pPr>
        <w:rPr>
          <w:rFonts w:ascii="Arial" w:hAnsi="Arial" w:cs="Arial"/>
          <w:sz w:val="24"/>
          <w:szCs w:val="24"/>
        </w:rPr>
      </w:pPr>
      <w:r>
        <w:rPr>
          <w:rFonts w:ascii="Arial" w:hAnsi="Arial" w:cs="Arial"/>
          <w:sz w:val="24"/>
          <w:szCs w:val="24"/>
        </w:rPr>
        <w:t>[1]</w:t>
      </w:r>
      <w:r>
        <w:rPr>
          <w:rFonts w:ascii="Arial" w:hAnsi="Arial" w:cs="Arial"/>
          <w:sz w:val="24"/>
          <w:szCs w:val="24"/>
        </w:rPr>
        <w:tab/>
      </w:r>
      <w:r w:rsidR="0094113F" w:rsidRPr="0094113F">
        <w:rPr>
          <w:rFonts w:ascii="Arial" w:hAnsi="Arial" w:cs="Arial"/>
          <w:sz w:val="24"/>
          <w:szCs w:val="24"/>
        </w:rPr>
        <w:t xml:space="preserve">This application concerns an Umbrella Group Death, Accidental Death, Educator and Permanent Disability Benefits Policy issued by </w:t>
      </w:r>
      <w:r w:rsidR="0094113F">
        <w:rPr>
          <w:rFonts w:ascii="Arial" w:hAnsi="Arial" w:cs="Arial"/>
          <w:sz w:val="24"/>
          <w:szCs w:val="24"/>
        </w:rPr>
        <w:t xml:space="preserve">the first respondent, </w:t>
      </w:r>
      <w:r w:rsidR="0094113F" w:rsidRPr="0094113F">
        <w:rPr>
          <w:rFonts w:ascii="Arial" w:hAnsi="Arial" w:cs="Arial"/>
          <w:sz w:val="24"/>
          <w:szCs w:val="24"/>
        </w:rPr>
        <w:t>Capital Alliance</w:t>
      </w:r>
      <w:r w:rsidR="0094113F">
        <w:rPr>
          <w:rFonts w:ascii="Arial" w:hAnsi="Arial" w:cs="Arial"/>
          <w:sz w:val="24"/>
          <w:szCs w:val="24"/>
        </w:rPr>
        <w:t xml:space="preserve"> Group Risk</w:t>
      </w:r>
      <w:r w:rsidR="00E05C3B">
        <w:rPr>
          <w:rFonts w:ascii="Arial" w:hAnsi="Arial" w:cs="Arial"/>
          <w:sz w:val="24"/>
          <w:szCs w:val="24"/>
        </w:rPr>
        <w:t>, a division of Liberty Group Ltd</w:t>
      </w:r>
      <w:r w:rsidR="0094113F">
        <w:rPr>
          <w:rFonts w:ascii="Arial" w:hAnsi="Arial" w:cs="Arial"/>
          <w:sz w:val="24"/>
          <w:szCs w:val="24"/>
        </w:rPr>
        <w:t xml:space="preserve"> (Capital Alliance)</w:t>
      </w:r>
      <w:r w:rsidR="0094113F" w:rsidRPr="0094113F">
        <w:rPr>
          <w:rFonts w:ascii="Arial" w:hAnsi="Arial" w:cs="Arial"/>
          <w:sz w:val="24"/>
          <w:szCs w:val="24"/>
        </w:rPr>
        <w:t xml:space="preserve"> to </w:t>
      </w:r>
      <w:r w:rsidR="0094113F">
        <w:rPr>
          <w:rFonts w:ascii="Arial" w:hAnsi="Arial" w:cs="Arial"/>
          <w:sz w:val="24"/>
          <w:szCs w:val="24"/>
        </w:rPr>
        <w:t xml:space="preserve">the third respondent, </w:t>
      </w:r>
      <w:r w:rsidR="0094113F" w:rsidRPr="0094113F">
        <w:rPr>
          <w:rFonts w:ascii="Arial" w:hAnsi="Arial" w:cs="Arial"/>
          <w:sz w:val="24"/>
          <w:szCs w:val="24"/>
        </w:rPr>
        <w:t>TSA</w:t>
      </w:r>
      <w:r w:rsidR="0094113F">
        <w:rPr>
          <w:rFonts w:ascii="Arial" w:hAnsi="Arial" w:cs="Arial"/>
          <w:sz w:val="24"/>
          <w:szCs w:val="24"/>
        </w:rPr>
        <w:t xml:space="preserve"> Administration (Pty) Ltd (TSA) </w:t>
      </w:r>
      <w:r w:rsidR="0094113F" w:rsidRPr="0094113F">
        <w:rPr>
          <w:rFonts w:ascii="Arial" w:hAnsi="Arial" w:cs="Arial"/>
          <w:sz w:val="24"/>
          <w:szCs w:val="24"/>
        </w:rPr>
        <w:t xml:space="preserve">as the </w:t>
      </w:r>
      <w:r w:rsidR="0094113F">
        <w:rPr>
          <w:rFonts w:ascii="Arial" w:hAnsi="Arial" w:cs="Arial"/>
          <w:sz w:val="24"/>
          <w:szCs w:val="24"/>
        </w:rPr>
        <w:t>s</w:t>
      </w:r>
      <w:r w:rsidR="0094113F" w:rsidRPr="0094113F">
        <w:rPr>
          <w:rFonts w:ascii="Arial" w:hAnsi="Arial" w:cs="Arial"/>
          <w:sz w:val="24"/>
          <w:szCs w:val="24"/>
        </w:rPr>
        <w:t xml:space="preserve">ponsor (the Policy). </w:t>
      </w:r>
      <w:r w:rsidR="0094113F">
        <w:rPr>
          <w:rFonts w:ascii="Arial" w:hAnsi="Arial" w:cs="Arial"/>
          <w:sz w:val="24"/>
          <w:szCs w:val="24"/>
        </w:rPr>
        <w:t xml:space="preserve">The second respondent, </w:t>
      </w:r>
      <w:proofErr w:type="spellStart"/>
      <w:r w:rsidR="00AD3C00">
        <w:rPr>
          <w:rFonts w:ascii="Arial" w:hAnsi="Arial" w:cs="Arial"/>
          <w:sz w:val="24"/>
          <w:szCs w:val="24"/>
        </w:rPr>
        <w:t>I</w:t>
      </w:r>
      <w:r>
        <w:rPr>
          <w:rFonts w:ascii="Arial" w:hAnsi="Arial" w:cs="Arial"/>
          <w:sz w:val="24"/>
          <w:szCs w:val="24"/>
        </w:rPr>
        <w:t>emas</w:t>
      </w:r>
      <w:proofErr w:type="spellEnd"/>
      <w:r w:rsidR="00A05D92">
        <w:rPr>
          <w:rFonts w:ascii="Arial" w:hAnsi="Arial" w:cs="Arial"/>
          <w:sz w:val="24"/>
          <w:szCs w:val="24"/>
        </w:rPr>
        <w:t xml:space="preserve"> Financial S</w:t>
      </w:r>
      <w:r w:rsidR="0094113F">
        <w:rPr>
          <w:rFonts w:ascii="Arial" w:hAnsi="Arial" w:cs="Arial"/>
          <w:sz w:val="24"/>
          <w:szCs w:val="24"/>
        </w:rPr>
        <w:t xml:space="preserve">ervices </w:t>
      </w:r>
      <w:r w:rsidR="00E05C3B">
        <w:rPr>
          <w:rFonts w:ascii="Arial" w:hAnsi="Arial" w:cs="Arial"/>
          <w:sz w:val="24"/>
          <w:szCs w:val="24"/>
        </w:rPr>
        <w:t>Ltd (</w:t>
      </w:r>
      <w:r w:rsidR="00AD3C00">
        <w:rPr>
          <w:rFonts w:ascii="Arial" w:hAnsi="Arial" w:cs="Arial"/>
          <w:sz w:val="24"/>
          <w:szCs w:val="24"/>
        </w:rPr>
        <w:t>IEMAS</w:t>
      </w:r>
      <w:r w:rsidR="00E05C3B">
        <w:rPr>
          <w:rFonts w:ascii="Arial" w:hAnsi="Arial" w:cs="Arial"/>
          <w:sz w:val="24"/>
          <w:szCs w:val="24"/>
        </w:rPr>
        <w:t>)</w:t>
      </w:r>
      <w:r w:rsidR="0094113F" w:rsidRPr="0094113F">
        <w:rPr>
          <w:rFonts w:ascii="Arial" w:hAnsi="Arial" w:cs="Arial"/>
          <w:sz w:val="24"/>
          <w:szCs w:val="24"/>
        </w:rPr>
        <w:t xml:space="preserve"> is a participating employer as contemplated in the Policy.</w:t>
      </w:r>
      <w:r w:rsidR="00E05C3B">
        <w:rPr>
          <w:rFonts w:ascii="Arial" w:hAnsi="Arial" w:cs="Arial"/>
          <w:sz w:val="24"/>
          <w:szCs w:val="24"/>
        </w:rPr>
        <w:t xml:space="preserve">    </w:t>
      </w:r>
      <w:r w:rsidR="0094113F" w:rsidRPr="0094113F">
        <w:rPr>
          <w:rFonts w:ascii="Arial" w:hAnsi="Arial" w:cs="Arial"/>
          <w:sz w:val="24"/>
          <w:szCs w:val="24"/>
        </w:rPr>
        <w:t xml:space="preserve"> </w:t>
      </w:r>
      <w:r w:rsidR="00E05C3B">
        <w:rPr>
          <w:rFonts w:ascii="Arial" w:hAnsi="Arial" w:cs="Arial"/>
          <w:sz w:val="24"/>
          <w:szCs w:val="24"/>
        </w:rPr>
        <w:t xml:space="preserve">The applicant, </w:t>
      </w:r>
      <w:r w:rsidR="007B6BE4">
        <w:rPr>
          <w:rFonts w:ascii="Arial" w:hAnsi="Arial" w:cs="Arial"/>
          <w:sz w:val="24"/>
          <w:szCs w:val="24"/>
        </w:rPr>
        <w:t xml:space="preserve">Ms </w:t>
      </w:r>
      <w:proofErr w:type="spellStart"/>
      <w:r w:rsidR="00E05C3B">
        <w:rPr>
          <w:rFonts w:ascii="Arial" w:hAnsi="Arial" w:cs="Arial"/>
          <w:sz w:val="24"/>
          <w:szCs w:val="24"/>
        </w:rPr>
        <w:t>Czoye</w:t>
      </w:r>
      <w:proofErr w:type="spellEnd"/>
      <w:r w:rsidR="00E05C3B">
        <w:rPr>
          <w:rFonts w:ascii="Arial" w:hAnsi="Arial" w:cs="Arial"/>
          <w:sz w:val="24"/>
          <w:szCs w:val="24"/>
        </w:rPr>
        <w:t xml:space="preserve"> Crossman (Crossman) </w:t>
      </w:r>
      <w:r w:rsidR="007B6BE4">
        <w:rPr>
          <w:rFonts w:ascii="Arial" w:hAnsi="Arial" w:cs="Arial"/>
          <w:sz w:val="24"/>
          <w:szCs w:val="24"/>
        </w:rPr>
        <w:t xml:space="preserve">contends </w:t>
      </w:r>
      <w:r w:rsidR="00E05C3B">
        <w:rPr>
          <w:rFonts w:ascii="Arial" w:hAnsi="Arial" w:cs="Arial"/>
          <w:sz w:val="24"/>
          <w:szCs w:val="24"/>
        </w:rPr>
        <w:t xml:space="preserve">that she is the correct beneficiary nominated by </w:t>
      </w:r>
      <w:r w:rsidR="00E05C3B" w:rsidRPr="0094113F">
        <w:rPr>
          <w:rFonts w:ascii="Arial" w:hAnsi="Arial" w:cs="Arial"/>
          <w:sz w:val="24"/>
          <w:szCs w:val="24"/>
        </w:rPr>
        <w:t xml:space="preserve">Mr Gregory </w:t>
      </w:r>
      <w:proofErr w:type="spellStart"/>
      <w:r w:rsidR="00E05C3B" w:rsidRPr="0094113F">
        <w:rPr>
          <w:rFonts w:ascii="Arial" w:hAnsi="Arial" w:cs="Arial"/>
          <w:sz w:val="24"/>
          <w:szCs w:val="24"/>
        </w:rPr>
        <w:t>Bezuidenhout</w:t>
      </w:r>
      <w:proofErr w:type="spellEnd"/>
      <w:r w:rsidR="00E05C3B">
        <w:rPr>
          <w:rFonts w:ascii="Arial" w:hAnsi="Arial" w:cs="Arial"/>
          <w:sz w:val="24"/>
          <w:szCs w:val="24"/>
        </w:rPr>
        <w:t xml:space="preserve"> (the deceased)</w:t>
      </w:r>
      <w:r w:rsidR="007B6BE4">
        <w:rPr>
          <w:rFonts w:ascii="Arial" w:hAnsi="Arial" w:cs="Arial"/>
          <w:sz w:val="24"/>
          <w:szCs w:val="24"/>
        </w:rPr>
        <w:t xml:space="preserve"> to receive his death benefits payable in terms of the Policy as opposed to the fourth respondent, </w:t>
      </w:r>
      <w:r w:rsidR="00A05D92">
        <w:rPr>
          <w:rFonts w:ascii="Arial" w:hAnsi="Arial" w:cs="Arial"/>
          <w:sz w:val="24"/>
          <w:szCs w:val="24"/>
        </w:rPr>
        <w:t xml:space="preserve">Mr </w:t>
      </w:r>
      <w:r w:rsidR="007B6BE4">
        <w:rPr>
          <w:rFonts w:ascii="Arial" w:hAnsi="Arial" w:cs="Arial"/>
          <w:sz w:val="24"/>
          <w:szCs w:val="24"/>
        </w:rPr>
        <w:t xml:space="preserve">Gareth </w:t>
      </w:r>
      <w:proofErr w:type="spellStart"/>
      <w:r w:rsidR="007B6BE4">
        <w:rPr>
          <w:rFonts w:ascii="Arial" w:hAnsi="Arial" w:cs="Arial"/>
          <w:sz w:val="24"/>
          <w:szCs w:val="24"/>
        </w:rPr>
        <w:t>Bezuidenhout</w:t>
      </w:r>
      <w:proofErr w:type="spellEnd"/>
      <w:r w:rsidR="007B6BE4">
        <w:rPr>
          <w:rFonts w:ascii="Arial" w:hAnsi="Arial" w:cs="Arial"/>
          <w:sz w:val="24"/>
          <w:szCs w:val="24"/>
        </w:rPr>
        <w:t xml:space="preserve"> (Gareth) to whom these benefits were instead paid.</w:t>
      </w:r>
    </w:p>
    <w:p w14:paraId="0EE34146" w14:textId="436862BE" w:rsidR="001F5CB0" w:rsidRDefault="00255B57" w:rsidP="00AD3C00">
      <w:pPr>
        <w:rPr>
          <w:rFonts w:ascii="Arial" w:hAnsi="Arial" w:cs="Arial"/>
          <w:sz w:val="24"/>
          <w:szCs w:val="24"/>
        </w:rPr>
      </w:pPr>
      <w:r>
        <w:rPr>
          <w:rFonts w:ascii="Arial" w:hAnsi="Arial" w:cs="Arial"/>
          <w:sz w:val="24"/>
          <w:szCs w:val="24"/>
        </w:rPr>
        <w:t>[2]</w:t>
      </w:r>
      <w:r>
        <w:rPr>
          <w:rFonts w:ascii="Arial" w:hAnsi="Arial" w:cs="Arial"/>
          <w:sz w:val="24"/>
          <w:szCs w:val="24"/>
        </w:rPr>
        <w:tab/>
      </w:r>
      <w:r w:rsidR="007B6BE4">
        <w:rPr>
          <w:rFonts w:ascii="Arial" w:hAnsi="Arial" w:cs="Arial"/>
          <w:sz w:val="24"/>
          <w:szCs w:val="24"/>
        </w:rPr>
        <w:t xml:space="preserve">Crossman accordingly seeks </w:t>
      </w:r>
      <w:r w:rsidR="001F5CB0">
        <w:rPr>
          <w:rFonts w:ascii="Arial" w:hAnsi="Arial" w:cs="Arial"/>
          <w:sz w:val="24"/>
          <w:szCs w:val="24"/>
        </w:rPr>
        <w:t xml:space="preserve">a declaratory order </w:t>
      </w:r>
      <w:r w:rsidR="00805A14">
        <w:rPr>
          <w:rFonts w:ascii="Arial" w:hAnsi="Arial" w:cs="Arial"/>
          <w:sz w:val="24"/>
          <w:szCs w:val="24"/>
        </w:rPr>
        <w:t>and money judgment as follows</w:t>
      </w:r>
      <w:r w:rsidR="0094113F" w:rsidRPr="0094113F">
        <w:rPr>
          <w:rFonts w:ascii="Arial" w:hAnsi="Arial" w:cs="Arial"/>
          <w:sz w:val="24"/>
          <w:szCs w:val="24"/>
        </w:rPr>
        <w:t xml:space="preserve">: </w:t>
      </w:r>
      <w:r>
        <w:rPr>
          <w:rFonts w:ascii="Arial" w:hAnsi="Arial" w:cs="Arial"/>
          <w:sz w:val="24"/>
          <w:szCs w:val="24"/>
        </w:rPr>
        <w:t xml:space="preserve">                   (a)</w:t>
      </w:r>
      <w:r>
        <w:rPr>
          <w:rFonts w:ascii="Arial" w:hAnsi="Arial" w:cs="Arial"/>
          <w:sz w:val="24"/>
          <w:szCs w:val="24"/>
        </w:rPr>
        <w:tab/>
      </w:r>
      <w:r w:rsidR="00F57E2A">
        <w:rPr>
          <w:rFonts w:ascii="Arial" w:hAnsi="Arial" w:cs="Arial"/>
          <w:sz w:val="24"/>
          <w:szCs w:val="24"/>
        </w:rPr>
        <w:t>That</w:t>
      </w:r>
      <w:r w:rsidR="00805A14">
        <w:rPr>
          <w:rFonts w:ascii="Arial" w:hAnsi="Arial" w:cs="Arial"/>
          <w:sz w:val="24"/>
          <w:szCs w:val="24"/>
        </w:rPr>
        <w:t xml:space="preserve"> </w:t>
      </w:r>
      <w:r w:rsidR="001F5CB0">
        <w:rPr>
          <w:rFonts w:ascii="Arial" w:hAnsi="Arial" w:cs="Arial"/>
          <w:sz w:val="24"/>
          <w:szCs w:val="24"/>
        </w:rPr>
        <w:t xml:space="preserve">the </w:t>
      </w:r>
      <w:r w:rsidR="00AD3C00">
        <w:rPr>
          <w:rFonts w:ascii="Arial" w:hAnsi="Arial" w:cs="Arial"/>
          <w:sz w:val="24"/>
          <w:szCs w:val="24"/>
        </w:rPr>
        <w:t xml:space="preserve">2019 </w:t>
      </w:r>
      <w:r>
        <w:rPr>
          <w:rFonts w:ascii="Arial" w:hAnsi="Arial" w:cs="Arial"/>
          <w:sz w:val="24"/>
          <w:szCs w:val="24"/>
        </w:rPr>
        <w:t>N</w:t>
      </w:r>
      <w:r w:rsidR="00AD3C00">
        <w:rPr>
          <w:rFonts w:ascii="Arial" w:hAnsi="Arial" w:cs="Arial"/>
          <w:sz w:val="24"/>
          <w:szCs w:val="24"/>
        </w:rPr>
        <w:t>omination</w:t>
      </w:r>
      <w:r w:rsidR="001F5CB0">
        <w:rPr>
          <w:rFonts w:ascii="Arial" w:hAnsi="Arial" w:cs="Arial"/>
          <w:sz w:val="24"/>
          <w:szCs w:val="24"/>
        </w:rPr>
        <w:t xml:space="preserve"> by the deceased in favour of Gareth</w:t>
      </w:r>
      <w:r>
        <w:rPr>
          <w:rFonts w:ascii="Arial" w:hAnsi="Arial" w:cs="Arial"/>
          <w:sz w:val="24"/>
          <w:szCs w:val="24"/>
        </w:rPr>
        <w:t xml:space="preserve"> be declared </w:t>
      </w:r>
      <w:r w:rsidR="00F57E2A">
        <w:rPr>
          <w:rFonts w:ascii="Arial" w:hAnsi="Arial" w:cs="Arial"/>
          <w:sz w:val="24"/>
          <w:szCs w:val="24"/>
        </w:rPr>
        <w:t>to be invalid, null and void;</w:t>
      </w:r>
    </w:p>
    <w:p w14:paraId="3F4BE4C2" w14:textId="73A7C54F" w:rsidR="001F5CB0" w:rsidRDefault="00255B57" w:rsidP="00AD3C00">
      <w:pPr>
        <w:rPr>
          <w:rFonts w:ascii="Arial" w:hAnsi="Arial" w:cs="Arial"/>
          <w:sz w:val="24"/>
          <w:szCs w:val="24"/>
        </w:rPr>
      </w:pPr>
      <w:r>
        <w:rPr>
          <w:rFonts w:ascii="Arial" w:hAnsi="Arial" w:cs="Arial"/>
          <w:sz w:val="24"/>
          <w:szCs w:val="24"/>
        </w:rPr>
        <w:t>(b)</w:t>
      </w:r>
      <w:r>
        <w:rPr>
          <w:rFonts w:ascii="Arial" w:hAnsi="Arial" w:cs="Arial"/>
          <w:sz w:val="24"/>
          <w:szCs w:val="24"/>
        </w:rPr>
        <w:tab/>
      </w:r>
      <w:r w:rsidR="00F57E2A">
        <w:rPr>
          <w:rFonts w:ascii="Arial" w:hAnsi="Arial" w:cs="Arial"/>
          <w:sz w:val="24"/>
          <w:szCs w:val="24"/>
        </w:rPr>
        <w:t>That</w:t>
      </w:r>
      <w:r w:rsidR="00805A14">
        <w:rPr>
          <w:rFonts w:ascii="Arial" w:hAnsi="Arial" w:cs="Arial"/>
          <w:sz w:val="24"/>
          <w:szCs w:val="24"/>
        </w:rPr>
        <w:t xml:space="preserve"> </w:t>
      </w:r>
      <w:r w:rsidR="0094113F" w:rsidRPr="0094113F">
        <w:rPr>
          <w:rFonts w:ascii="Arial" w:hAnsi="Arial" w:cs="Arial"/>
          <w:sz w:val="24"/>
          <w:szCs w:val="24"/>
        </w:rPr>
        <w:t xml:space="preserve">the </w:t>
      </w:r>
      <w:r w:rsidR="00AD3C00">
        <w:rPr>
          <w:rFonts w:ascii="Arial" w:hAnsi="Arial" w:cs="Arial"/>
          <w:sz w:val="24"/>
          <w:szCs w:val="24"/>
        </w:rPr>
        <w:t>2014 Nomination</w:t>
      </w:r>
      <w:r w:rsidR="0094113F" w:rsidRPr="0094113F">
        <w:rPr>
          <w:rFonts w:ascii="Arial" w:hAnsi="Arial" w:cs="Arial"/>
          <w:sz w:val="24"/>
          <w:szCs w:val="24"/>
        </w:rPr>
        <w:t xml:space="preserve"> submitted by the deceased to</w:t>
      </w:r>
      <w:r w:rsidR="001F5CB0">
        <w:rPr>
          <w:rFonts w:ascii="Arial" w:hAnsi="Arial" w:cs="Arial"/>
          <w:sz w:val="24"/>
          <w:szCs w:val="24"/>
        </w:rPr>
        <w:t xml:space="preserve"> </w:t>
      </w:r>
      <w:r w:rsidR="00AD3C00">
        <w:rPr>
          <w:rFonts w:ascii="Arial" w:hAnsi="Arial" w:cs="Arial"/>
          <w:sz w:val="24"/>
          <w:szCs w:val="24"/>
        </w:rPr>
        <w:t>IEMAS</w:t>
      </w:r>
      <w:r w:rsidR="001F5CB0">
        <w:rPr>
          <w:rFonts w:ascii="Arial" w:hAnsi="Arial" w:cs="Arial"/>
          <w:sz w:val="24"/>
          <w:szCs w:val="24"/>
        </w:rPr>
        <w:t xml:space="preserve"> </w:t>
      </w:r>
      <w:r w:rsidR="00382070">
        <w:rPr>
          <w:rFonts w:ascii="Arial" w:hAnsi="Arial" w:cs="Arial"/>
          <w:sz w:val="24"/>
          <w:szCs w:val="24"/>
        </w:rPr>
        <w:t xml:space="preserve">be declared </w:t>
      </w:r>
      <w:r w:rsidR="001F5CB0">
        <w:rPr>
          <w:rFonts w:ascii="Arial" w:hAnsi="Arial" w:cs="Arial"/>
          <w:sz w:val="24"/>
          <w:szCs w:val="24"/>
        </w:rPr>
        <w:t xml:space="preserve">to be the only valid nomination </w:t>
      </w:r>
      <w:r w:rsidR="00382070">
        <w:rPr>
          <w:rFonts w:ascii="Arial" w:hAnsi="Arial" w:cs="Arial"/>
          <w:sz w:val="24"/>
          <w:szCs w:val="24"/>
        </w:rPr>
        <w:t xml:space="preserve">of a beneficiary </w:t>
      </w:r>
      <w:r w:rsidR="00F57E2A">
        <w:rPr>
          <w:rFonts w:ascii="Arial" w:hAnsi="Arial" w:cs="Arial"/>
          <w:sz w:val="24"/>
          <w:szCs w:val="24"/>
        </w:rPr>
        <w:t>by the deceased;</w:t>
      </w:r>
    </w:p>
    <w:p w14:paraId="5D93C782" w14:textId="03949491" w:rsidR="001F5CB0" w:rsidRDefault="00382070" w:rsidP="00AD3C00">
      <w:pPr>
        <w:rPr>
          <w:rFonts w:ascii="Arial" w:hAnsi="Arial" w:cs="Arial"/>
          <w:sz w:val="24"/>
          <w:szCs w:val="24"/>
        </w:rPr>
      </w:pPr>
      <w:r>
        <w:rPr>
          <w:rFonts w:ascii="Arial" w:hAnsi="Arial" w:cs="Arial"/>
          <w:sz w:val="24"/>
          <w:szCs w:val="24"/>
        </w:rPr>
        <w:t>(c)</w:t>
      </w:r>
      <w:r>
        <w:rPr>
          <w:rFonts w:ascii="Arial" w:hAnsi="Arial" w:cs="Arial"/>
          <w:sz w:val="24"/>
          <w:szCs w:val="24"/>
        </w:rPr>
        <w:tab/>
      </w:r>
      <w:r w:rsidR="00F57E2A">
        <w:rPr>
          <w:rFonts w:ascii="Arial" w:hAnsi="Arial" w:cs="Arial"/>
          <w:sz w:val="24"/>
          <w:szCs w:val="24"/>
        </w:rPr>
        <w:t>T</w:t>
      </w:r>
      <w:r w:rsidR="00805A14">
        <w:rPr>
          <w:rFonts w:ascii="Arial" w:hAnsi="Arial" w:cs="Arial"/>
          <w:sz w:val="24"/>
          <w:szCs w:val="24"/>
        </w:rPr>
        <w:t xml:space="preserve">hat </w:t>
      </w:r>
      <w:r w:rsidR="0094113F" w:rsidRPr="0094113F">
        <w:rPr>
          <w:rFonts w:ascii="Arial" w:hAnsi="Arial" w:cs="Arial"/>
          <w:sz w:val="24"/>
          <w:szCs w:val="24"/>
        </w:rPr>
        <w:t xml:space="preserve">the benefits paid to </w:t>
      </w:r>
      <w:r w:rsidR="001F5CB0">
        <w:rPr>
          <w:rFonts w:ascii="Arial" w:hAnsi="Arial" w:cs="Arial"/>
          <w:sz w:val="24"/>
          <w:szCs w:val="24"/>
        </w:rPr>
        <w:t xml:space="preserve">Gareth </w:t>
      </w:r>
      <w:r>
        <w:rPr>
          <w:rFonts w:ascii="Arial" w:hAnsi="Arial" w:cs="Arial"/>
          <w:sz w:val="24"/>
          <w:szCs w:val="24"/>
        </w:rPr>
        <w:t xml:space="preserve">are declared to have been </w:t>
      </w:r>
      <w:r w:rsidR="0094113F" w:rsidRPr="0094113F">
        <w:rPr>
          <w:rFonts w:ascii="Arial" w:hAnsi="Arial" w:cs="Arial"/>
          <w:sz w:val="24"/>
          <w:szCs w:val="24"/>
        </w:rPr>
        <w:t xml:space="preserve">incorrectly paid to him. </w:t>
      </w:r>
    </w:p>
    <w:p w14:paraId="0959A8B0" w14:textId="30880865" w:rsidR="0094113F" w:rsidRDefault="00382070" w:rsidP="00AD3C00">
      <w:pPr>
        <w:rPr>
          <w:rFonts w:ascii="Arial" w:hAnsi="Arial" w:cs="Arial"/>
          <w:sz w:val="24"/>
          <w:szCs w:val="24"/>
        </w:rPr>
      </w:pPr>
      <w:r>
        <w:rPr>
          <w:rFonts w:ascii="Arial" w:hAnsi="Arial" w:cs="Arial"/>
          <w:sz w:val="24"/>
          <w:szCs w:val="24"/>
        </w:rPr>
        <w:t>(d)</w:t>
      </w:r>
      <w:r>
        <w:rPr>
          <w:rFonts w:ascii="Arial" w:hAnsi="Arial" w:cs="Arial"/>
          <w:sz w:val="24"/>
          <w:szCs w:val="24"/>
        </w:rPr>
        <w:tab/>
        <w:t xml:space="preserve">An order that </w:t>
      </w:r>
      <w:r w:rsidR="001F5CB0">
        <w:rPr>
          <w:rFonts w:ascii="Arial" w:hAnsi="Arial" w:cs="Arial"/>
          <w:sz w:val="24"/>
          <w:szCs w:val="24"/>
        </w:rPr>
        <w:t xml:space="preserve">Capital Alliance, </w:t>
      </w:r>
      <w:r w:rsidR="00AD3C00">
        <w:rPr>
          <w:rFonts w:ascii="Arial" w:hAnsi="Arial" w:cs="Arial"/>
          <w:sz w:val="24"/>
          <w:szCs w:val="24"/>
        </w:rPr>
        <w:t>IEMAS</w:t>
      </w:r>
      <w:r w:rsidR="001F5CB0">
        <w:rPr>
          <w:rFonts w:ascii="Arial" w:hAnsi="Arial" w:cs="Arial"/>
          <w:sz w:val="24"/>
          <w:szCs w:val="24"/>
        </w:rPr>
        <w:t xml:space="preserve"> and Gareth </w:t>
      </w:r>
      <w:r w:rsidR="0094113F" w:rsidRPr="0094113F">
        <w:rPr>
          <w:rFonts w:ascii="Arial" w:hAnsi="Arial" w:cs="Arial"/>
          <w:sz w:val="24"/>
          <w:szCs w:val="24"/>
        </w:rPr>
        <w:t>a</w:t>
      </w:r>
      <w:r w:rsidR="00C43CF9">
        <w:rPr>
          <w:rFonts w:ascii="Arial" w:hAnsi="Arial" w:cs="Arial"/>
          <w:sz w:val="24"/>
          <w:szCs w:val="24"/>
        </w:rPr>
        <w:t xml:space="preserve">re jointly and severally liable to </w:t>
      </w:r>
      <w:r>
        <w:rPr>
          <w:rFonts w:ascii="Arial" w:hAnsi="Arial" w:cs="Arial"/>
          <w:sz w:val="24"/>
          <w:szCs w:val="24"/>
        </w:rPr>
        <w:t>Crossman</w:t>
      </w:r>
      <w:r w:rsidR="00C43CF9">
        <w:rPr>
          <w:rFonts w:ascii="Arial" w:hAnsi="Arial" w:cs="Arial"/>
          <w:sz w:val="24"/>
          <w:szCs w:val="24"/>
        </w:rPr>
        <w:t xml:space="preserve"> </w:t>
      </w:r>
      <w:r w:rsidR="0094113F" w:rsidRPr="0094113F">
        <w:rPr>
          <w:rFonts w:ascii="Arial" w:hAnsi="Arial" w:cs="Arial"/>
          <w:sz w:val="24"/>
          <w:szCs w:val="24"/>
        </w:rPr>
        <w:t xml:space="preserve">for </w:t>
      </w:r>
      <w:r w:rsidR="00F57E2A" w:rsidRPr="0094113F">
        <w:rPr>
          <w:rFonts w:ascii="Arial" w:hAnsi="Arial" w:cs="Arial"/>
          <w:sz w:val="24"/>
          <w:szCs w:val="24"/>
        </w:rPr>
        <w:t>payment</w:t>
      </w:r>
      <w:r w:rsidR="00F57E2A">
        <w:rPr>
          <w:rFonts w:ascii="Arial" w:hAnsi="Arial" w:cs="Arial"/>
          <w:sz w:val="24"/>
          <w:szCs w:val="24"/>
        </w:rPr>
        <w:t xml:space="preserve"> </w:t>
      </w:r>
      <w:r w:rsidR="00F57E2A" w:rsidRPr="0094113F">
        <w:rPr>
          <w:rFonts w:ascii="Arial" w:hAnsi="Arial" w:cs="Arial"/>
          <w:sz w:val="24"/>
          <w:szCs w:val="24"/>
        </w:rPr>
        <w:t>of</w:t>
      </w:r>
      <w:r w:rsidR="00C43CF9">
        <w:rPr>
          <w:rFonts w:ascii="Arial" w:hAnsi="Arial" w:cs="Arial"/>
          <w:sz w:val="24"/>
          <w:szCs w:val="24"/>
        </w:rPr>
        <w:t xml:space="preserve"> the sum </w:t>
      </w:r>
      <w:r w:rsidR="0094113F" w:rsidRPr="0094113F">
        <w:rPr>
          <w:rFonts w:ascii="Arial" w:hAnsi="Arial" w:cs="Arial"/>
          <w:sz w:val="24"/>
          <w:szCs w:val="24"/>
        </w:rPr>
        <w:t xml:space="preserve">of R 1 901 267.28, </w:t>
      </w:r>
      <w:r w:rsidR="00C43CF9">
        <w:rPr>
          <w:rFonts w:ascii="Arial" w:hAnsi="Arial" w:cs="Arial"/>
          <w:sz w:val="24"/>
          <w:szCs w:val="24"/>
        </w:rPr>
        <w:t xml:space="preserve">plus interest and costs </w:t>
      </w:r>
      <w:r w:rsidR="0094113F" w:rsidRPr="0094113F">
        <w:rPr>
          <w:rFonts w:ascii="Arial" w:hAnsi="Arial" w:cs="Arial"/>
          <w:sz w:val="24"/>
          <w:szCs w:val="24"/>
        </w:rPr>
        <w:t>on an attorney and client scale.</w:t>
      </w:r>
    </w:p>
    <w:p w14:paraId="4FA90EF9" w14:textId="567CF1CC" w:rsidR="00424B00" w:rsidRDefault="00382070" w:rsidP="00AD3C00">
      <w:pPr>
        <w:rPr>
          <w:rFonts w:ascii="Arial" w:hAnsi="Arial" w:cs="Arial"/>
          <w:sz w:val="24"/>
          <w:szCs w:val="24"/>
        </w:rPr>
      </w:pPr>
      <w:r>
        <w:rPr>
          <w:rFonts w:ascii="Arial" w:hAnsi="Arial" w:cs="Arial"/>
          <w:sz w:val="24"/>
          <w:szCs w:val="24"/>
        </w:rPr>
        <w:t>[3]</w:t>
      </w:r>
      <w:r>
        <w:rPr>
          <w:rFonts w:ascii="Arial" w:hAnsi="Arial" w:cs="Arial"/>
          <w:sz w:val="24"/>
          <w:szCs w:val="24"/>
        </w:rPr>
        <w:tab/>
        <w:t xml:space="preserve">In the alternative, </w:t>
      </w:r>
      <w:r w:rsidR="00805A14">
        <w:rPr>
          <w:rFonts w:ascii="Arial" w:hAnsi="Arial" w:cs="Arial"/>
          <w:sz w:val="24"/>
          <w:szCs w:val="24"/>
        </w:rPr>
        <w:t xml:space="preserve">Crossman seeks </w:t>
      </w:r>
      <w:r w:rsidR="00424B00">
        <w:rPr>
          <w:rFonts w:ascii="Arial" w:hAnsi="Arial" w:cs="Arial"/>
          <w:sz w:val="24"/>
          <w:szCs w:val="24"/>
        </w:rPr>
        <w:t>an</w:t>
      </w:r>
      <w:r w:rsidR="00424B00" w:rsidRPr="00424B00">
        <w:rPr>
          <w:rFonts w:ascii="Arial" w:hAnsi="Arial" w:cs="Arial"/>
          <w:sz w:val="24"/>
          <w:szCs w:val="24"/>
        </w:rPr>
        <w:t xml:space="preserve"> order that the matter be referred back to </w:t>
      </w:r>
      <w:r w:rsidR="00424B00">
        <w:rPr>
          <w:rFonts w:ascii="Arial" w:hAnsi="Arial" w:cs="Arial"/>
          <w:sz w:val="24"/>
          <w:szCs w:val="24"/>
        </w:rPr>
        <w:t xml:space="preserve">Capital Alliance </w:t>
      </w:r>
      <w:r w:rsidR="00424B00" w:rsidRPr="00424B00">
        <w:rPr>
          <w:rFonts w:ascii="Arial" w:hAnsi="Arial" w:cs="Arial"/>
          <w:sz w:val="24"/>
          <w:szCs w:val="24"/>
        </w:rPr>
        <w:t>to deliberate an equitable distribution of the death benefits</w:t>
      </w:r>
      <w:r w:rsidR="00805A14">
        <w:rPr>
          <w:rFonts w:ascii="Arial" w:hAnsi="Arial" w:cs="Arial"/>
          <w:sz w:val="24"/>
          <w:szCs w:val="24"/>
        </w:rPr>
        <w:t xml:space="preserve"> payable in terms of the Policy</w:t>
      </w:r>
      <w:r w:rsidR="00424B00" w:rsidRPr="00424B00">
        <w:rPr>
          <w:rFonts w:ascii="Arial" w:hAnsi="Arial" w:cs="Arial"/>
          <w:sz w:val="24"/>
          <w:szCs w:val="24"/>
        </w:rPr>
        <w:t>.</w:t>
      </w:r>
    </w:p>
    <w:p w14:paraId="23B058A6" w14:textId="620C97B3" w:rsidR="00C43CF9" w:rsidRDefault="00382070" w:rsidP="00AD3C00">
      <w:pPr>
        <w:rPr>
          <w:rFonts w:ascii="Arial" w:hAnsi="Arial" w:cs="Arial"/>
          <w:sz w:val="24"/>
          <w:szCs w:val="24"/>
        </w:rPr>
      </w:pPr>
      <w:r>
        <w:rPr>
          <w:rFonts w:ascii="Arial" w:hAnsi="Arial" w:cs="Arial"/>
          <w:sz w:val="24"/>
          <w:szCs w:val="24"/>
        </w:rPr>
        <w:t>[4]</w:t>
      </w:r>
      <w:r>
        <w:rPr>
          <w:rFonts w:ascii="Arial" w:hAnsi="Arial" w:cs="Arial"/>
          <w:sz w:val="24"/>
          <w:szCs w:val="24"/>
        </w:rPr>
        <w:tab/>
      </w:r>
      <w:r w:rsidR="00C43CF9">
        <w:rPr>
          <w:rFonts w:ascii="Arial" w:hAnsi="Arial" w:cs="Arial"/>
          <w:sz w:val="24"/>
          <w:szCs w:val="24"/>
        </w:rPr>
        <w:t xml:space="preserve">No relief is sought against TSA which is cited as an interested party </w:t>
      </w:r>
      <w:r w:rsidR="00805A14">
        <w:rPr>
          <w:rFonts w:ascii="Arial" w:hAnsi="Arial" w:cs="Arial"/>
          <w:sz w:val="24"/>
          <w:szCs w:val="24"/>
        </w:rPr>
        <w:t xml:space="preserve">only </w:t>
      </w:r>
      <w:r w:rsidR="00C43CF9">
        <w:rPr>
          <w:rFonts w:ascii="Arial" w:hAnsi="Arial" w:cs="Arial"/>
          <w:sz w:val="24"/>
          <w:szCs w:val="24"/>
        </w:rPr>
        <w:t xml:space="preserve">and </w:t>
      </w:r>
      <w:r w:rsidR="00805A14">
        <w:rPr>
          <w:rFonts w:ascii="Arial" w:hAnsi="Arial" w:cs="Arial"/>
          <w:sz w:val="24"/>
          <w:szCs w:val="24"/>
        </w:rPr>
        <w:t xml:space="preserve">a </w:t>
      </w:r>
      <w:r w:rsidR="00C43CF9">
        <w:rPr>
          <w:rFonts w:ascii="Arial" w:hAnsi="Arial" w:cs="Arial"/>
          <w:sz w:val="24"/>
          <w:szCs w:val="24"/>
        </w:rPr>
        <w:t>party to the contract relied upon by Crossman.</w:t>
      </w:r>
    </w:p>
    <w:p w14:paraId="1824A8B0" w14:textId="77777777" w:rsidR="00382070" w:rsidRDefault="00382070" w:rsidP="00AD3C00">
      <w:pPr>
        <w:rPr>
          <w:rFonts w:ascii="Arial" w:hAnsi="Arial" w:cs="Arial"/>
          <w:sz w:val="24"/>
          <w:szCs w:val="24"/>
        </w:rPr>
      </w:pPr>
    </w:p>
    <w:p w14:paraId="3F45AB40" w14:textId="77777777" w:rsidR="00C43CF9" w:rsidRDefault="00C43CF9" w:rsidP="00AD3C00">
      <w:pPr>
        <w:rPr>
          <w:rFonts w:ascii="Arial" w:hAnsi="Arial" w:cs="Arial"/>
          <w:b/>
          <w:sz w:val="24"/>
          <w:szCs w:val="24"/>
        </w:rPr>
      </w:pPr>
      <w:r>
        <w:rPr>
          <w:rFonts w:ascii="Arial" w:hAnsi="Arial" w:cs="Arial"/>
          <w:b/>
          <w:sz w:val="24"/>
          <w:szCs w:val="24"/>
        </w:rPr>
        <w:lastRenderedPageBreak/>
        <w:t>The relevant common cause facts</w:t>
      </w:r>
    </w:p>
    <w:p w14:paraId="6EC79302" w14:textId="140CD677" w:rsidR="001D3394" w:rsidRDefault="00382070" w:rsidP="00AD3C00">
      <w:pPr>
        <w:rPr>
          <w:rFonts w:ascii="Arial" w:hAnsi="Arial" w:cs="Arial"/>
          <w:sz w:val="24"/>
          <w:szCs w:val="24"/>
        </w:rPr>
      </w:pPr>
      <w:r>
        <w:rPr>
          <w:rFonts w:ascii="Arial" w:hAnsi="Arial" w:cs="Arial"/>
          <w:sz w:val="24"/>
          <w:szCs w:val="24"/>
        </w:rPr>
        <w:t>[5]</w:t>
      </w:r>
      <w:r>
        <w:rPr>
          <w:rFonts w:ascii="Arial" w:hAnsi="Arial" w:cs="Arial"/>
          <w:sz w:val="24"/>
          <w:szCs w:val="24"/>
        </w:rPr>
        <w:tab/>
      </w:r>
      <w:r w:rsidR="00C43CF9">
        <w:rPr>
          <w:rFonts w:ascii="Arial" w:hAnsi="Arial" w:cs="Arial"/>
          <w:sz w:val="24"/>
          <w:szCs w:val="24"/>
        </w:rPr>
        <w:t xml:space="preserve">The deceased was employed by </w:t>
      </w:r>
      <w:r w:rsidR="00AD3C00">
        <w:rPr>
          <w:rFonts w:ascii="Arial" w:hAnsi="Arial" w:cs="Arial"/>
          <w:sz w:val="24"/>
          <w:szCs w:val="24"/>
        </w:rPr>
        <w:t>IEMAS</w:t>
      </w:r>
      <w:r w:rsidR="00C43CF9">
        <w:rPr>
          <w:rFonts w:ascii="Arial" w:hAnsi="Arial" w:cs="Arial"/>
          <w:sz w:val="24"/>
          <w:szCs w:val="24"/>
        </w:rPr>
        <w:t xml:space="preserve"> from</w:t>
      </w:r>
      <w:r w:rsidR="008A1D3D">
        <w:rPr>
          <w:rFonts w:ascii="Arial" w:hAnsi="Arial" w:cs="Arial"/>
          <w:sz w:val="24"/>
          <w:szCs w:val="24"/>
        </w:rPr>
        <w:t xml:space="preserve"> December 2002 u</w:t>
      </w:r>
      <w:r w:rsidR="00C43CF9">
        <w:rPr>
          <w:rFonts w:ascii="Arial" w:hAnsi="Arial" w:cs="Arial"/>
          <w:sz w:val="24"/>
          <w:szCs w:val="24"/>
        </w:rPr>
        <w:t>ntil his death on</w:t>
      </w:r>
      <w:r>
        <w:rPr>
          <w:rFonts w:ascii="Arial" w:hAnsi="Arial" w:cs="Arial"/>
          <w:sz w:val="24"/>
          <w:szCs w:val="24"/>
        </w:rPr>
        <w:t xml:space="preserve">                </w:t>
      </w:r>
      <w:r w:rsidR="00C43CF9">
        <w:rPr>
          <w:rFonts w:ascii="Arial" w:hAnsi="Arial" w:cs="Arial"/>
          <w:sz w:val="24"/>
          <w:szCs w:val="24"/>
        </w:rPr>
        <w:t xml:space="preserve"> 6 July 2019. At the time of his death, Crossman had been the deceased’s life</w:t>
      </w:r>
      <w:r w:rsidR="00CE65C1">
        <w:rPr>
          <w:rFonts w:ascii="Arial" w:hAnsi="Arial" w:cs="Arial"/>
          <w:sz w:val="24"/>
          <w:szCs w:val="24"/>
        </w:rPr>
        <w:t xml:space="preserve"> partner for over ten years.</w:t>
      </w:r>
      <w:r w:rsidR="008A1D3D">
        <w:rPr>
          <w:rFonts w:ascii="Arial" w:hAnsi="Arial" w:cs="Arial"/>
          <w:sz w:val="24"/>
          <w:szCs w:val="24"/>
        </w:rPr>
        <w:t xml:space="preserve"> </w:t>
      </w:r>
    </w:p>
    <w:p w14:paraId="795FAEFB" w14:textId="72321510" w:rsidR="001D3394" w:rsidRDefault="00382070" w:rsidP="00AD3C00">
      <w:pPr>
        <w:rPr>
          <w:rFonts w:ascii="Arial" w:hAnsi="Arial" w:cs="Arial"/>
          <w:sz w:val="24"/>
          <w:szCs w:val="24"/>
        </w:rPr>
      </w:pPr>
      <w:r>
        <w:rPr>
          <w:rFonts w:ascii="Arial" w:hAnsi="Arial" w:cs="Arial"/>
          <w:sz w:val="24"/>
          <w:szCs w:val="24"/>
        </w:rPr>
        <w:t>[6]</w:t>
      </w:r>
      <w:r>
        <w:rPr>
          <w:rFonts w:ascii="Arial" w:hAnsi="Arial" w:cs="Arial"/>
          <w:sz w:val="24"/>
          <w:szCs w:val="24"/>
        </w:rPr>
        <w:tab/>
      </w:r>
      <w:r w:rsidR="001D3394">
        <w:rPr>
          <w:rFonts w:ascii="Arial" w:hAnsi="Arial" w:cs="Arial"/>
          <w:sz w:val="24"/>
          <w:szCs w:val="24"/>
        </w:rPr>
        <w:t xml:space="preserve">By virtue of his employment with </w:t>
      </w:r>
      <w:r w:rsidR="00AD3C00">
        <w:rPr>
          <w:rFonts w:ascii="Arial" w:hAnsi="Arial" w:cs="Arial"/>
          <w:sz w:val="24"/>
          <w:szCs w:val="24"/>
        </w:rPr>
        <w:t>IEMAS</w:t>
      </w:r>
      <w:r w:rsidR="001D3394">
        <w:rPr>
          <w:rFonts w:ascii="Arial" w:hAnsi="Arial" w:cs="Arial"/>
          <w:sz w:val="24"/>
          <w:szCs w:val="24"/>
        </w:rPr>
        <w:t>, the deceased</w:t>
      </w:r>
      <w:r>
        <w:rPr>
          <w:rFonts w:ascii="Arial" w:hAnsi="Arial" w:cs="Arial"/>
          <w:sz w:val="24"/>
          <w:szCs w:val="24"/>
        </w:rPr>
        <w:t xml:space="preserve"> became and remained a member as contemplated in the Policy until his death.</w:t>
      </w:r>
    </w:p>
    <w:p w14:paraId="66C8CBBE" w14:textId="7439DFCB" w:rsidR="005843F5" w:rsidRDefault="00382070" w:rsidP="00AD3C00">
      <w:pPr>
        <w:rPr>
          <w:rFonts w:ascii="Arial" w:hAnsi="Arial" w:cs="Arial"/>
          <w:sz w:val="24"/>
          <w:szCs w:val="24"/>
        </w:rPr>
      </w:pPr>
      <w:r>
        <w:rPr>
          <w:rFonts w:ascii="Arial" w:hAnsi="Arial" w:cs="Arial"/>
          <w:sz w:val="24"/>
          <w:szCs w:val="24"/>
        </w:rPr>
        <w:t>[7]</w:t>
      </w:r>
      <w:r>
        <w:rPr>
          <w:rFonts w:ascii="Arial" w:hAnsi="Arial" w:cs="Arial"/>
          <w:sz w:val="24"/>
          <w:szCs w:val="24"/>
        </w:rPr>
        <w:tab/>
      </w:r>
      <w:r w:rsidR="001D3394">
        <w:rPr>
          <w:rFonts w:ascii="Arial" w:hAnsi="Arial" w:cs="Arial"/>
          <w:sz w:val="24"/>
          <w:szCs w:val="24"/>
        </w:rPr>
        <w:t>On 16 January 2014, the deceased completed and signed a nomination form in the presence of two witnesses</w:t>
      </w:r>
      <w:r w:rsidR="005843F5">
        <w:rPr>
          <w:rFonts w:ascii="Arial" w:hAnsi="Arial" w:cs="Arial"/>
          <w:sz w:val="24"/>
          <w:szCs w:val="24"/>
        </w:rPr>
        <w:t xml:space="preserve"> (the </w:t>
      </w:r>
      <w:r w:rsidR="00AD3C00">
        <w:rPr>
          <w:rFonts w:ascii="Arial" w:hAnsi="Arial" w:cs="Arial"/>
          <w:sz w:val="24"/>
          <w:szCs w:val="24"/>
        </w:rPr>
        <w:t>2014 Nomination</w:t>
      </w:r>
      <w:r w:rsidR="005843F5">
        <w:rPr>
          <w:rFonts w:ascii="Arial" w:hAnsi="Arial" w:cs="Arial"/>
          <w:sz w:val="24"/>
          <w:szCs w:val="24"/>
        </w:rPr>
        <w:t>)</w:t>
      </w:r>
      <w:r w:rsidR="001D3394">
        <w:rPr>
          <w:rFonts w:ascii="Arial" w:hAnsi="Arial" w:cs="Arial"/>
          <w:sz w:val="24"/>
          <w:szCs w:val="24"/>
        </w:rPr>
        <w:t>. He nominated Crossman to receive 100</w:t>
      </w:r>
      <w:r w:rsidR="005843F5">
        <w:rPr>
          <w:rFonts w:ascii="Arial" w:hAnsi="Arial" w:cs="Arial"/>
          <w:sz w:val="24"/>
          <w:szCs w:val="24"/>
        </w:rPr>
        <w:t>% of</w:t>
      </w:r>
      <w:r w:rsidR="001D3394">
        <w:rPr>
          <w:rFonts w:ascii="Arial" w:hAnsi="Arial" w:cs="Arial"/>
          <w:sz w:val="24"/>
          <w:szCs w:val="24"/>
        </w:rPr>
        <w:t xml:space="preserve"> the proceeds of </w:t>
      </w:r>
      <w:r w:rsidR="005843F5">
        <w:rPr>
          <w:rFonts w:ascii="Arial" w:hAnsi="Arial" w:cs="Arial"/>
          <w:sz w:val="24"/>
          <w:szCs w:val="24"/>
        </w:rPr>
        <w:t xml:space="preserve">the death benefit that would be payable in terms of the Policy upon his death. The deceased provided this </w:t>
      </w:r>
      <w:r w:rsidR="00AD3C00">
        <w:rPr>
          <w:rFonts w:ascii="Arial" w:hAnsi="Arial" w:cs="Arial"/>
          <w:sz w:val="24"/>
          <w:szCs w:val="24"/>
        </w:rPr>
        <w:t>2014 Nomination</w:t>
      </w:r>
      <w:r w:rsidR="005843F5">
        <w:rPr>
          <w:rFonts w:ascii="Arial" w:hAnsi="Arial" w:cs="Arial"/>
          <w:sz w:val="24"/>
          <w:szCs w:val="24"/>
        </w:rPr>
        <w:t xml:space="preserve"> to </w:t>
      </w:r>
      <w:r w:rsidR="00AD3C00">
        <w:rPr>
          <w:rFonts w:ascii="Arial" w:hAnsi="Arial" w:cs="Arial"/>
          <w:sz w:val="24"/>
          <w:szCs w:val="24"/>
        </w:rPr>
        <w:t>IEMAS</w:t>
      </w:r>
      <w:r w:rsidR="005843F5">
        <w:rPr>
          <w:rFonts w:ascii="Arial" w:hAnsi="Arial" w:cs="Arial"/>
          <w:sz w:val="24"/>
          <w:szCs w:val="24"/>
        </w:rPr>
        <w:t xml:space="preserve"> and it was retained in his employee file.</w:t>
      </w:r>
    </w:p>
    <w:p w14:paraId="403D1BE7" w14:textId="4549A77B" w:rsidR="00D90B04" w:rsidRDefault="00382070" w:rsidP="00AD3C00">
      <w:pPr>
        <w:rPr>
          <w:rFonts w:ascii="Arial" w:hAnsi="Arial" w:cs="Arial"/>
          <w:sz w:val="24"/>
          <w:szCs w:val="24"/>
        </w:rPr>
      </w:pPr>
      <w:r>
        <w:rPr>
          <w:rFonts w:ascii="Arial" w:hAnsi="Arial" w:cs="Arial"/>
          <w:sz w:val="24"/>
          <w:szCs w:val="24"/>
        </w:rPr>
        <w:t>[8]</w:t>
      </w:r>
      <w:r>
        <w:rPr>
          <w:rFonts w:ascii="Arial" w:hAnsi="Arial" w:cs="Arial"/>
          <w:sz w:val="24"/>
          <w:szCs w:val="24"/>
        </w:rPr>
        <w:tab/>
      </w:r>
      <w:r w:rsidR="00D90B04">
        <w:rPr>
          <w:rFonts w:ascii="Arial" w:hAnsi="Arial" w:cs="Arial"/>
          <w:sz w:val="24"/>
          <w:szCs w:val="24"/>
        </w:rPr>
        <w:t xml:space="preserve">During January 2019 the deceased </w:t>
      </w:r>
      <w:r w:rsidR="00243D62">
        <w:rPr>
          <w:rFonts w:ascii="Arial" w:hAnsi="Arial" w:cs="Arial"/>
          <w:sz w:val="24"/>
          <w:szCs w:val="24"/>
        </w:rPr>
        <w:t xml:space="preserve">informed </w:t>
      </w:r>
      <w:r w:rsidR="00AD3C00">
        <w:rPr>
          <w:rFonts w:ascii="Arial" w:hAnsi="Arial" w:cs="Arial"/>
          <w:sz w:val="24"/>
          <w:szCs w:val="24"/>
        </w:rPr>
        <w:t>IEMAS</w:t>
      </w:r>
      <w:r w:rsidR="00D90B04">
        <w:rPr>
          <w:rFonts w:ascii="Arial" w:hAnsi="Arial" w:cs="Arial"/>
          <w:sz w:val="24"/>
          <w:szCs w:val="24"/>
        </w:rPr>
        <w:t xml:space="preserve"> that he intended to change beneficiaries for his pension, provident and death benefits and he was provided with the requisite do</w:t>
      </w:r>
      <w:r w:rsidR="00243D62">
        <w:rPr>
          <w:rFonts w:ascii="Arial" w:hAnsi="Arial" w:cs="Arial"/>
          <w:sz w:val="24"/>
          <w:szCs w:val="24"/>
        </w:rPr>
        <w:t>cuments to effect these changes on 7 January 2019.</w:t>
      </w:r>
      <w:r w:rsidR="00D90B04">
        <w:rPr>
          <w:rFonts w:ascii="Arial" w:hAnsi="Arial" w:cs="Arial"/>
          <w:sz w:val="24"/>
          <w:szCs w:val="24"/>
        </w:rPr>
        <w:t xml:space="preserve"> </w:t>
      </w:r>
    </w:p>
    <w:p w14:paraId="03644BA2" w14:textId="3246C173" w:rsidR="00C91631" w:rsidRDefault="00382070" w:rsidP="00AD3C00">
      <w:pPr>
        <w:rPr>
          <w:rFonts w:ascii="Arial" w:hAnsi="Arial" w:cs="Arial"/>
          <w:sz w:val="24"/>
          <w:szCs w:val="24"/>
        </w:rPr>
      </w:pPr>
      <w:r>
        <w:rPr>
          <w:rFonts w:ascii="Arial" w:hAnsi="Arial" w:cs="Arial"/>
          <w:sz w:val="24"/>
          <w:szCs w:val="24"/>
        </w:rPr>
        <w:t>[9]</w:t>
      </w:r>
      <w:r>
        <w:rPr>
          <w:rFonts w:ascii="Arial" w:hAnsi="Arial" w:cs="Arial"/>
          <w:sz w:val="24"/>
          <w:szCs w:val="24"/>
        </w:rPr>
        <w:tab/>
      </w:r>
      <w:r w:rsidR="005843F5">
        <w:rPr>
          <w:rFonts w:ascii="Arial" w:hAnsi="Arial" w:cs="Arial"/>
          <w:sz w:val="24"/>
          <w:szCs w:val="24"/>
        </w:rPr>
        <w:t>Subsequent to the deceased</w:t>
      </w:r>
      <w:r w:rsidR="00243D62">
        <w:rPr>
          <w:rFonts w:ascii="Arial" w:hAnsi="Arial" w:cs="Arial"/>
          <w:sz w:val="24"/>
          <w:szCs w:val="24"/>
        </w:rPr>
        <w:t xml:space="preserve">’s </w:t>
      </w:r>
      <w:r w:rsidR="005843F5">
        <w:rPr>
          <w:rFonts w:ascii="Arial" w:hAnsi="Arial" w:cs="Arial"/>
          <w:sz w:val="24"/>
          <w:szCs w:val="24"/>
        </w:rPr>
        <w:t>death</w:t>
      </w:r>
      <w:r>
        <w:rPr>
          <w:rFonts w:ascii="Arial" w:hAnsi="Arial" w:cs="Arial"/>
          <w:sz w:val="24"/>
          <w:szCs w:val="24"/>
        </w:rPr>
        <w:t>,</w:t>
      </w:r>
      <w:r w:rsidR="005843F5">
        <w:rPr>
          <w:rFonts w:ascii="Arial" w:hAnsi="Arial" w:cs="Arial"/>
          <w:sz w:val="24"/>
          <w:szCs w:val="24"/>
        </w:rPr>
        <w:t xml:space="preserve"> Crossman completed a death benefit claim</w:t>
      </w:r>
      <w:r>
        <w:rPr>
          <w:rFonts w:ascii="Arial" w:hAnsi="Arial" w:cs="Arial"/>
          <w:sz w:val="24"/>
          <w:szCs w:val="24"/>
        </w:rPr>
        <w:t xml:space="preserve"> on 11 July 2019</w:t>
      </w:r>
      <w:r w:rsidR="005843F5">
        <w:rPr>
          <w:rFonts w:ascii="Arial" w:hAnsi="Arial" w:cs="Arial"/>
          <w:sz w:val="24"/>
          <w:szCs w:val="24"/>
        </w:rPr>
        <w:t xml:space="preserve"> pursuant to the </w:t>
      </w:r>
      <w:r w:rsidR="00AD3C00">
        <w:rPr>
          <w:rFonts w:ascii="Arial" w:hAnsi="Arial" w:cs="Arial"/>
          <w:sz w:val="24"/>
          <w:szCs w:val="24"/>
        </w:rPr>
        <w:t>2014 Nomination</w:t>
      </w:r>
      <w:r>
        <w:rPr>
          <w:rFonts w:ascii="Arial" w:hAnsi="Arial" w:cs="Arial"/>
          <w:sz w:val="24"/>
          <w:szCs w:val="24"/>
        </w:rPr>
        <w:t>.</w:t>
      </w:r>
      <w:r w:rsidR="00243D62">
        <w:rPr>
          <w:rFonts w:ascii="Arial" w:hAnsi="Arial" w:cs="Arial"/>
          <w:sz w:val="24"/>
          <w:szCs w:val="24"/>
        </w:rPr>
        <w:t xml:space="preserve"> This </w:t>
      </w:r>
      <w:r w:rsidR="005843F5">
        <w:rPr>
          <w:rFonts w:ascii="Arial" w:hAnsi="Arial" w:cs="Arial"/>
          <w:sz w:val="24"/>
          <w:szCs w:val="24"/>
        </w:rPr>
        <w:t>claim form</w:t>
      </w:r>
      <w:r w:rsidR="00243D62">
        <w:rPr>
          <w:rFonts w:ascii="Arial" w:hAnsi="Arial" w:cs="Arial"/>
          <w:sz w:val="24"/>
          <w:szCs w:val="24"/>
        </w:rPr>
        <w:t xml:space="preserve"> was submitted </w:t>
      </w:r>
      <w:r w:rsidR="005843F5">
        <w:rPr>
          <w:rFonts w:ascii="Arial" w:hAnsi="Arial" w:cs="Arial"/>
          <w:sz w:val="24"/>
          <w:szCs w:val="24"/>
        </w:rPr>
        <w:t xml:space="preserve">to </w:t>
      </w:r>
      <w:r w:rsidR="00AD3C00">
        <w:rPr>
          <w:rFonts w:ascii="Arial" w:hAnsi="Arial" w:cs="Arial"/>
          <w:sz w:val="24"/>
          <w:szCs w:val="24"/>
        </w:rPr>
        <w:t>IEMAS</w:t>
      </w:r>
      <w:r w:rsidR="005843F5">
        <w:rPr>
          <w:rFonts w:ascii="Arial" w:hAnsi="Arial" w:cs="Arial"/>
          <w:sz w:val="24"/>
          <w:szCs w:val="24"/>
        </w:rPr>
        <w:t xml:space="preserve"> for payment by Capital Alliance in terms of the Policy.</w:t>
      </w:r>
      <w:r w:rsidR="001D3394">
        <w:rPr>
          <w:rFonts w:ascii="Arial" w:hAnsi="Arial" w:cs="Arial"/>
          <w:sz w:val="24"/>
          <w:szCs w:val="24"/>
        </w:rPr>
        <w:t xml:space="preserve"> </w:t>
      </w:r>
      <w:r w:rsidR="00AD3C00">
        <w:rPr>
          <w:rFonts w:ascii="Arial" w:hAnsi="Arial" w:cs="Arial"/>
          <w:sz w:val="24"/>
          <w:szCs w:val="24"/>
        </w:rPr>
        <w:t>IEMAS</w:t>
      </w:r>
      <w:r w:rsidR="00C91631">
        <w:rPr>
          <w:rFonts w:ascii="Arial" w:hAnsi="Arial" w:cs="Arial"/>
          <w:sz w:val="24"/>
          <w:szCs w:val="24"/>
        </w:rPr>
        <w:t xml:space="preserve"> in turn submitted the claim form to Capital Alliance on 16 July 2019.</w:t>
      </w:r>
    </w:p>
    <w:p w14:paraId="39B629BE" w14:textId="509831E0" w:rsidR="00C91631" w:rsidRDefault="005F1CAC" w:rsidP="00AD3C00">
      <w:pPr>
        <w:rPr>
          <w:rFonts w:ascii="Arial" w:hAnsi="Arial" w:cs="Arial"/>
          <w:sz w:val="24"/>
          <w:szCs w:val="24"/>
        </w:rPr>
      </w:pPr>
      <w:r>
        <w:rPr>
          <w:rFonts w:ascii="Arial" w:hAnsi="Arial" w:cs="Arial"/>
          <w:sz w:val="24"/>
          <w:szCs w:val="24"/>
        </w:rPr>
        <w:t>[10]</w:t>
      </w:r>
      <w:r>
        <w:rPr>
          <w:rFonts w:ascii="Arial" w:hAnsi="Arial" w:cs="Arial"/>
          <w:sz w:val="24"/>
          <w:szCs w:val="24"/>
        </w:rPr>
        <w:tab/>
      </w:r>
      <w:r w:rsidR="00C91631">
        <w:rPr>
          <w:rFonts w:ascii="Arial" w:hAnsi="Arial" w:cs="Arial"/>
          <w:sz w:val="24"/>
          <w:szCs w:val="24"/>
        </w:rPr>
        <w:t xml:space="preserve">On 23 July 2019 another nomination of beneficiary form was discovered by employees of </w:t>
      </w:r>
      <w:r w:rsidR="00AD3C00">
        <w:rPr>
          <w:rFonts w:ascii="Arial" w:hAnsi="Arial" w:cs="Arial"/>
          <w:sz w:val="24"/>
          <w:szCs w:val="24"/>
        </w:rPr>
        <w:t>IEMAS</w:t>
      </w:r>
      <w:r w:rsidR="00C91631">
        <w:rPr>
          <w:rFonts w:ascii="Arial" w:hAnsi="Arial" w:cs="Arial"/>
          <w:sz w:val="24"/>
          <w:szCs w:val="24"/>
        </w:rPr>
        <w:t xml:space="preserve"> in the deceased’s desk. This form was signed by the deceased on </w:t>
      </w:r>
      <w:r>
        <w:rPr>
          <w:rFonts w:ascii="Arial" w:hAnsi="Arial" w:cs="Arial"/>
          <w:sz w:val="24"/>
          <w:szCs w:val="24"/>
        </w:rPr>
        <w:t xml:space="preserve">     </w:t>
      </w:r>
      <w:r w:rsidR="00C91631">
        <w:rPr>
          <w:rFonts w:ascii="Arial" w:hAnsi="Arial" w:cs="Arial"/>
          <w:sz w:val="24"/>
          <w:szCs w:val="24"/>
        </w:rPr>
        <w:t xml:space="preserve">20 May 2019 and nominated Gareth as the beneficiary of 100% of the death benefit payable in terms of the Policy (the </w:t>
      </w:r>
      <w:r w:rsidR="00AD3C00">
        <w:rPr>
          <w:rFonts w:ascii="Arial" w:hAnsi="Arial" w:cs="Arial"/>
          <w:sz w:val="24"/>
          <w:szCs w:val="24"/>
        </w:rPr>
        <w:t>2019 Nomination</w:t>
      </w:r>
      <w:r w:rsidR="00C91631">
        <w:rPr>
          <w:rFonts w:ascii="Arial" w:hAnsi="Arial" w:cs="Arial"/>
          <w:sz w:val="24"/>
          <w:szCs w:val="24"/>
        </w:rPr>
        <w:t>). It was not witnessed and had been left in the deceased</w:t>
      </w:r>
      <w:r w:rsidR="00382E42">
        <w:rPr>
          <w:rFonts w:ascii="Arial" w:hAnsi="Arial" w:cs="Arial"/>
          <w:sz w:val="24"/>
          <w:szCs w:val="24"/>
        </w:rPr>
        <w:t>’s</w:t>
      </w:r>
      <w:r w:rsidR="00C91631">
        <w:rPr>
          <w:rFonts w:ascii="Arial" w:hAnsi="Arial" w:cs="Arial"/>
          <w:sz w:val="24"/>
          <w:szCs w:val="24"/>
        </w:rPr>
        <w:t xml:space="preserve"> </w:t>
      </w:r>
      <w:r>
        <w:rPr>
          <w:rFonts w:ascii="Arial" w:hAnsi="Arial" w:cs="Arial"/>
          <w:sz w:val="24"/>
          <w:szCs w:val="24"/>
        </w:rPr>
        <w:t xml:space="preserve">desk </w:t>
      </w:r>
      <w:r w:rsidR="00C91631">
        <w:rPr>
          <w:rFonts w:ascii="Arial" w:hAnsi="Arial" w:cs="Arial"/>
          <w:sz w:val="24"/>
          <w:szCs w:val="24"/>
        </w:rPr>
        <w:t>drawer.</w:t>
      </w:r>
    </w:p>
    <w:p w14:paraId="1C6C3817" w14:textId="0447861C" w:rsidR="00C91631" w:rsidRDefault="005F1CAC" w:rsidP="00AD3C00">
      <w:pPr>
        <w:rPr>
          <w:rFonts w:ascii="Arial" w:hAnsi="Arial" w:cs="Arial"/>
          <w:sz w:val="24"/>
          <w:szCs w:val="24"/>
        </w:rPr>
      </w:pPr>
      <w:r>
        <w:rPr>
          <w:rFonts w:ascii="Arial" w:hAnsi="Arial" w:cs="Arial"/>
          <w:sz w:val="24"/>
          <w:szCs w:val="24"/>
        </w:rPr>
        <w:t>[11]</w:t>
      </w:r>
      <w:r>
        <w:rPr>
          <w:rFonts w:ascii="Arial" w:hAnsi="Arial" w:cs="Arial"/>
          <w:sz w:val="24"/>
          <w:szCs w:val="24"/>
        </w:rPr>
        <w:tab/>
      </w:r>
      <w:r w:rsidR="00AD3C00">
        <w:rPr>
          <w:rFonts w:ascii="Arial" w:hAnsi="Arial" w:cs="Arial"/>
          <w:sz w:val="24"/>
          <w:szCs w:val="24"/>
        </w:rPr>
        <w:t>IEMAS</w:t>
      </w:r>
      <w:r w:rsidR="00C91631">
        <w:rPr>
          <w:rFonts w:ascii="Arial" w:hAnsi="Arial" w:cs="Arial"/>
          <w:sz w:val="24"/>
          <w:szCs w:val="24"/>
        </w:rPr>
        <w:t xml:space="preserve"> submitted the </w:t>
      </w:r>
      <w:r w:rsidR="00AD3C00">
        <w:rPr>
          <w:rFonts w:ascii="Arial" w:hAnsi="Arial" w:cs="Arial"/>
          <w:sz w:val="24"/>
          <w:szCs w:val="24"/>
        </w:rPr>
        <w:t>2019 Nomination</w:t>
      </w:r>
      <w:r w:rsidR="00C91631">
        <w:rPr>
          <w:rFonts w:ascii="Arial" w:hAnsi="Arial" w:cs="Arial"/>
          <w:sz w:val="24"/>
          <w:szCs w:val="24"/>
        </w:rPr>
        <w:t xml:space="preserve"> to Capital Alliance </w:t>
      </w:r>
      <w:r w:rsidR="00801F86">
        <w:rPr>
          <w:rFonts w:ascii="Arial" w:hAnsi="Arial" w:cs="Arial"/>
          <w:sz w:val="24"/>
          <w:szCs w:val="24"/>
        </w:rPr>
        <w:t xml:space="preserve">on 23 July 2019. Capital Alliance effected payment of the death benefit to Gareth on 18 December 2019 in terms of the </w:t>
      </w:r>
      <w:r w:rsidR="00AD3C00">
        <w:rPr>
          <w:rFonts w:ascii="Arial" w:hAnsi="Arial" w:cs="Arial"/>
          <w:sz w:val="24"/>
          <w:szCs w:val="24"/>
        </w:rPr>
        <w:t>2019 Nomination</w:t>
      </w:r>
      <w:r w:rsidR="00801F86">
        <w:rPr>
          <w:rFonts w:ascii="Arial" w:hAnsi="Arial" w:cs="Arial"/>
          <w:sz w:val="24"/>
          <w:szCs w:val="24"/>
        </w:rPr>
        <w:t xml:space="preserve"> on the basis that he had been nominated as the most </w:t>
      </w:r>
      <w:r w:rsidR="00C100D5">
        <w:rPr>
          <w:rFonts w:ascii="Arial" w:hAnsi="Arial" w:cs="Arial"/>
          <w:sz w:val="24"/>
          <w:szCs w:val="24"/>
        </w:rPr>
        <w:t>recent beneficiary</w:t>
      </w:r>
      <w:r w:rsidR="00801F86">
        <w:rPr>
          <w:rFonts w:ascii="Arial" w:hAnsi="Arial" w:cs="Arial"/>
          <w:sz w:val="24"/>
          <w:szCs w:val="24"/>
        </w:rPr>
        <w:t xml:space="preserve"> by the deceased</w:t>
      </w:r>
      <w:r w:rsidR="004D614E">
        <w:rPr>
          <w:rFonts w:ascii="Arial" w:hAnsi="Arial" w:cs="Arial"/>
          <w:sz w:val="24"/>
          <w:szCs w:val="24"/>
        </w:rPr>
        <w:t xml:space="preserve"> in terms of the </w:t>
      </w:r>
      <w:r w:rsidR="00AD3C00">
        <w:rPr>
          <w:rFonts w:ascii="Arial" w:hAnsi="Arial" w:cs="Arial"/>
          <w:sz w:val="24"/>
          <w:szCs w:val="24"/>
        </w:rPr>
        <w:t>2019 Nomination</w:t>
      </w:r>
      <w:r w:rsidR="004D614E">
        <w:rPr>
          <w:rFonts w:ascii="Arial" w:hAnsi="Arial" w:cs="Arial"/>
          <w:sz w:val="24"/>
          <w:szCs w:val="24"/>
        </w:rPr>
        <w:t xml:space="preserve"> </w:t>
      </w:r>
      <w:r w:rsidR="00C100D5">
        <w:rPr>
          <w:rFonts w:ascii="Arial" w:hAnsi="Arial" w:cs="Arial"/>
          <w:sz w:val="24"/>
          <w:szCs w:val="24"/>
        </w:rPr>
        <w:t xml:space="preserve">submitted </w:t>
      </w:r>
      <w:r w:rsidR="00FB2DFE">
        <w:rPr>
          <w:rFonts w:ascii="Arial" w:hAnsi="Arial" w:cs="Arial"/>
          <w:sz w:val="24"/>
          <w:szCs w:val="24"/>
        </w:rPr>
        <w:t xml:space="preserve">by </w:t>
      </w:r>
      <w:r w:rsidR="00AD3C00">
        <w:rPr>
          <w:rFonts w:ascii="Arial" w:hAnsi="Arial" w:cs="Arial"/>
          <w:sz w:val="24"/>
          <w:szCs w:val="24"/>
        </w:rPr>
        <w:t>IEMAS</w:t>
      </w:r>
      <w:r w:rsidR="00FB2DFE">
        <w:rPr>
          <w:rFonts w:ascii="Arial" w:hAnsi="Arial" w:cs="Arial"/>
          <w:sz w:val="24"/>
          <w:szCs w:val="24"/>
        </w:rPr>
        <w:t>.</w:t>
      </w:r>
    </w:p>
    <w:p w14:paraId="7EB08A91" w14:textId="3F535EE3" w:rsidR="00F5006B" w:rsidRDefault="005F1CAC" w:rsidP="00AD3C00">
      <w:pPr>
        <w:rPr>
          <w:rFonts w:ascii="Arial" w:hAnsi="Arial" w:cs="Arial"/>
          <w:sz w:val="24"/>
          <w:szCs w:val="24"/>
        </w:rPr>
      </w:pPr>
      <w:r>
        <w:rPr>
          <w:rFonts w:ascii="Arial" w:hAnsi="Arial" w:cs="Arial"/>
          <w:sz w:val="24"/>
          <w:szCs w:val="24"/>
        </w:rPr>
        <w:t>[12]</w:t>
      </w:r>
      <w:r>
        <w:rPr>
          <w:rFonts w:ascii="Arial" w:hAnsi="Arial" w:cs="Arial"/>
          <w:sz w:val="24"/>
          <w:szCs w:val="24"/>
        </w:rPr>
        <w:tab/>
      </w:r>
      <w:r w:rsidR="00F5006B">
        <w:rPr>
          <w:rFonts w:ascii="Arial" w:hAnsi="Arial" w:cs="Arial"/>
          <w:sz w:val="24"/>
          <w:szCs w:val="24"/>
        </w:rPr>
        <w:t>Aggrieved by this decision, Crossman referred a complaint to the Ombudsman for Long-Term Insurance (the Ombudsman) in</w:t>
      </w:r>
      <w:r w:rsidR="00FB2DFE">
        <w:rPr>
          <w:rFonts w:ascii="Arial" w:hAnsi="Arial" w:cs="Arial"/>
          <w:sz w:val="24"/>
          <w:szCs w:val="24"/>
        </w:rPr>
        <w:t xml:space="preserve"> March 2020. S</w:t>
      </w:r>
      <w:r w:rsidR="00F5006B">
        <w:rPr>
          <w:rFonts w:ascii="Arial" w:hAnsi="Arial" w:cs="Arial"/>
          <w:sz w:val="24"/>
          <w:szCs w:val="24"/>
        </w:rPr>
        <w:t>he complained</w:t>
      </w:r>
      <w:r w:rsidR="00FB2DFE">
        <w:rPr>
          <w:rFonts w:ascii="Arial" w:hAnsi="Arial" w:cs="Arial"/>
          <w:sz w:val="24"/>
          <w:szCs w:val="24"/>
        </w:rPr>
        <w:t xml:space="preserve"> that Capital Alliance failed to honour the terms of both the </w:t>
      </w:r>
      <w:r w:rsidR="00AD3C00">
        <w:rPr>
          <w:rFonts w:ascii="Arial" w:hAnsi="Arial" w:cs="Arial"/>
          <w:sz w:val="24"/>
          <w:szCs w:val="24"/>
        </w:rPr>
        <w:t xml:space="preserve">2014 </w:t>
      </w:r>
      <w:r>
        <w:rPr>
          <w:rFonts w:ascii="Arial" w:hAnsi="Arial" w:cs="Arial"/>
          <w:sz w:val="24"/>
          <w:szCs w:val="24"/>
        </w:rPr>
        <w:t>n</w:t>
      </w:r>
      <w:r w:rsidR="00AD3C00">
        <w:rPr>
          <w:rFonts w:ascii="Arial" w:hAnsi="Arial" w:cs="Arial"/>
          <w:sz w:val="24"/>
          <w:szCs w:val="24"/>
        </w:rPr>
        <w:t>omination</w:t>
      </w:r>
      <w:r w:rsidR="00FB2DFE">
        <w:rPr>
          <w:rFonts w:ascii="Arial" w:hAnsi="Arial" w:cs="Arial"/>
          <w:sz w:val="24"/>
          <w:szCs w:val="24"/>
        </w:rPr>
        <w:t xml:space="preserve"> </w:t>
      </w:r>
      <w:r>
        <w:rPr>
          <w:rFonts w:ascii="Arial" w:hAnsi="Arial" w:cs="Arial"/>
          <w:sz w:val="24"/>
          <w:szCs w:val="24"/>
        </w:rPr>
        <w:t>form</w:t>
      </w:r>
      <w:r w:rsidR="00FB2DFE">
        <w:rPr>
          <w:rFonts w:ascii="Arial" w:hAnsi="Arial" w:cs="Arial"/>
          <w:sz w:val="24"/>
          <w:szCs w:val="24"/>
        </w:rPr>
        <w:t xml:space="preserve"> and the </w:t>
      </w:r>
      <w:r w:rsidR="00AD3C00">
        <w:rPr>
          <w:rFonts w:ascii="Arial" w:hAnsi="Arial" w:cs="Arial"/>
          <w:sz w:val="24"/>
          <w:szCs w:val="24"/>
        </w:rPr>
        <w:t xml:space="preserve">2019 </w:t>
      </w:r>
      <w:r>
        <w:rPr>
          <w:rFonts w:ascii="Arial" w:hAnsi="Arial" w:cs="Arial"/>
          <w:sz w:val="24"/>
          <w:szCs w:val="24"/>
        </w:rPr>
        <w:lastRenderedPageBreak/>
        <w:t>n</w:t>
      </w:r>
      <w:r w:rsidR="00AD3C00">
        <w:rPr>
          <w:rFonts w:ascii="Arial" w:hAnsi="Arial" w:cs="Arial"/>
          <w:sz w:val="24"/>
          <w:szCs w:val="24"/>
        </w:rPr>
        <w:t>omination</w:t>
      </w:r>
      <w:r>
        <w:rPr>
          <w:rFonts w:ascii="Arial" w:hAnsi="Arial" w:cs="Arial"/>
          <w:sz w:val="24"/>
          <w:szCs w:val="24"/>
        </w:rPr>
        <w:t xml:space="preserve"> form</w:t>
      </w:r>
      <w:r w:rsidR="00FB2DFE">
        <w:rPr>
          <w:rFonts w:ascii="Arial" w:hAnsi="Arial" w:cs="Arial"/>
          <w:sz w:val="24"/>
          <w:szCs w:val="24"/>
        </w:rPr>
        <w:t xml:space="preserve"> by effecting payment of the deceased’s death benefit in terms of the Policy to Gareth.</w:t>
      </w:r>
    </w:p>
    <w:p w14:paraId="55C0D010" w14:textId="437203F9" w:rsidR="00F5006B" w:rsidRDefault="005F1CAC" w:rsidP="00AD3C00">
      <w:pPr>
        <w:rPr>
          <w:rFonts w:ascii="Arial" w:hAnsi="Arial" w:cs="Arial"/>
          <w:sz w:val="24"/>
          <w:szCs w:val="24"/>
        </w:rPr>
      </w:pPr>
      <w:r>
        <w:rPr>
          <w:rFonts w:ascii="Arial" w:hAnsi="Arial" w:cs="Arial"/>
          <w:sz w:val="24"/>
          <w:szCs w:val="24"/>
        </w:rPr>
        <w:t>[13]</w:t>
      </w:r>
      <w:r>
        <w:rPr>
          <w:rFonts w:ascii="Arial" w:hAnsi="Arial" w:cs="Arial"/>
          <w:sz w:val="24"/>
          <w:szCs w:val="24"/>
        </w:rPr>
        <w:tab/>
      </w:r>
      <w:r w:rsidR="00F5006B">
        <w:rPr>
          <w:rFonts w:ascii="Arial" w:hAnsi="Arial" w:cs="Arial"/>
          <w:sz w:val="24"/>
          <w:szCs w:val="24"/>
        </w:rPr>
        <w:t xml:space="preserve">On 1 July 2020, the Ombudsman </w:t>
      </w:r>
      <w:r w:rsidR="00EA5279">
        <w:rPr>
          <w:rFonts w:ascii="Arial" w:hAnsi="Arial" w:cs="Arial"/>
          <w:sz w:val="24"/>
          <w:szCs w:val="24"/>
        </w:rPr>
        <w:t xml:space="preserve">informed Crossman that </w:t>
      </w:r>
      <w:r>
        <w:rPr>
          <w:rFonts w:ascii="Arial" w:hAnsi="Arial" w:cs="Arial"/>
          <w:sz w:val="24"/>
          <w:szCs w:val="24"/>
        </w:rPr>
        <w:t xml:space="preserve">his </w:t>
      </w:r>
      <w:r w:rsidR="00EA5279">
        <w:rPr>
          <w:rFonts w:ascii="Arial" w:hAnsi="Arial" w:cs="Arial"/>
          <w:sz w:val="24"/>
          <w:szCs w:val="24"/>
        </w:rPr>
        <w:t xml:space="preserve">office could not make </w:t>
      </w:r>
      <w:r w:rsidR="00B40318">
        <w:rPr>
          <w:rFonts w:ascii="Arial" w:hAnsi="Arial" w:cs="Arial"/>
          <w:sz w:val="24"/>
          <w:szCs w:val="24"/>
        </w:rPr>
        <w:t xml:space="preserve">a </w:t>
      </w:r>
      <w:r w:rsidR="00C100D5">
        <w:rPr>
          <w:rFonts w:ascii="Arial" w:hAnsi="Arial" w:cs="Arial"/>
          <w:sz w:val="24"/>
          <w:szCs w:val="24"/>
        </w:rPr>
        <w:t>determination</w:t>
      </w:r>
      <w:r w:rsidR="00EA5279">
        <w:rPr>
          <w:rFonts w:ascii="Arial" w:hAnsi="Arial" w:cs="Arial"/>
          <w:sz w:val="24"/>
          <w:szCs w:val="24"/>
        </w:rPr>
        <w:t xml:space="preserve"> that affected third parties o</w:t>
      </w:r>
      <w:r w:rsidR="00B40318">
        <w:rPr>
          <w:rFonts w:ascii="Arial" w:hAnsi="Arial" w:cs="Arial"/>
          <w:sz w:val="24"/>
          <w:szCs w:val="24"/>
        </w:rPr>
        <w:t xml:space="preserve">ver whom it had no jurisdiction, like Gareth, </w:t>
      </w:r>
      <w:r w:rsidR="00EA5279">
        <w:rPr>
          <w:rFonts w:ascii="Arial" w:hAnsi="Arial" w:cs="Arial"/>
          <w:sz w:val="24"/>
          <w:szCs w:val="24"/>
        </w:rPr>
        <w:t>or who were not a party to the</w:t>
      </w:r>
      <w:r w:rsidR="00B40318">
        <w:rPr>
          <w:rFonts w:ascii="Arial" w:hAnsi="Arial" w:cs="Arial"/>
          <w:sz w:val="24"/>
          <w:szCs w:val="24"/>
        </w:rPr>
        <w:t xml:space="preserve"> complaint </w:t>
      </w:r>
      <w:r w:rsidR="00EA5279">
        <w:rPr>
          <w:rFonts w:ascii="Arial" w:hAnsi="Arial" w:cs="Arial"/>
          <w:sz w:val="24"/>
          <w:szCs w:val="24"/>
        </w:rPr>
        <w:t>pr</w:t>
      </w:r>
      <w:r w:rsidR="00B40318">
        <w:rPr>
          <w:rFonts w:ascii="Arial" w:hAnsi="Arial" w:cs="Arial"/>
          <w:sz w:val="24"/>
          <w:szCs w:val="24"/>
        </w:rPr>
        <w:t xml:space="preserve">oceedings, like </w:t>
      </w:r>
      <w:r w:rsidR="00AD3C00">
        <w:rPr>
          <w:rFonts w:ascii="Arial" w:hAnsi="Arial" w:cs="Arial"/>
          <w:sz w:val="24"/>
          <w:szCs w:val="24"/>
        </w:rPr>
        <w:t>IEMAS</w:t>
      </w:r>
      <w:r w:rsidR="00B40318">
        <w:rPr>
          <w:rFonts w:ascii="Arial" w:hAnsi="Arial" w:cs="Arial"/>
          <w:sz w:val="24"/>
          <w:szCs w:val="24"/>
        </w:rPr>
        <w:t xml:space="preserve">. </w:t>
      </w:r>
      <w:r w:rsidR="00F5006B">
        <w:rPr>
          <w:rFonts w:ascii="Arial" w:hAnsi="Arial" w:cs="Arial"/>
          <w:sz w:val="24"/>
          <w:szCs w:val="24"/>
        </w:rPr>
        <w:t xml:space="preserve">The Ombudsman </w:t>
      </w:r>
      <w:r w:rsidR="00B40318">
        <w:rPr>
          <w:rFonts w:ascii="Arial" w:hAnsi="Arial" w:cs="Arial"/>
          <w:sz w:val="24"/>
          <w:szCs w:val="24"/>
        </w:rPr>
        <w:t xml:space="preserve">therefore declined to consider the merits of the complaint and </w:t>
      </w:r>
      <w:r w:rsidR="00F5006B">
        <w:rPr>
          <w:rFonts w:ascii="Arial" w:hAnsi="Arial" w:cs="Arial"/>
          <w:sz w:val="24"/>
          <w:szCs w:val="24"/>
        </w:rPr>
        <w:t>expressed the view that the matter would</w:t>
      </w:r>
      <w:r w:rsidR="00B40318">
        <w:rPr>
          <w:rFonts w:ascii="Arial" w:hAnsi="Arial" w:cs="Arial"/>
          <w:sz w:val="24"/>
          <w:szCs w:val="24"/>
        </w:rPr>
        <w:t xml:space="preserve"> be</w:t>
      </w:r>
      <w:r w:rsidR="00F5006B">
        <w:rPr>
          <w:rFonts w:ascii="Arial" w:hAnsi="Arial" w:cs="Arial"/>
          <w:sz w:val="24"/>
          <w:szCs w:val="24"/>
        </w:rPr>
        <w:t xml:space="preserve"> </w:t>
      </w:r>
      <w:r w:rsidR="00B40318">
        <w:rPr>
          <w:rFonts w:ascii="Arial" w:hAnsi="Arial" w:cs="Arial"/>
          <w:sz w:val="24"/>
          <w:szCs w:val="24"/>
        </w:rPr>
        <w:t xml:space="preserve">more appropriately </w:t>
      </w:r>
      <w:r w:rsidR="00F5006B">
        <w:rPr>
          <w:rFonts w:ascii="Arial" w:hAnsi="Arial" w:cs="Arial"/>
          <w:sz w:val="24"/>
          <w:szCs w:val="24"/>
        </w:rPr>
        <w:t xml:space="preserve">resolved by </w:t>
      </w:r>
      <w:r w:rsidR="00B40318">
        <w:rPr>
          <w:rFonts w:ascii="Arial" w:hAnsi="Arial" w:cs="Arial"/>
          <w:sz w:val="24"/>
          <w:szCs w:val="24"/>
        </w:rPr>
        <w:t xml:space="preserve">a </w:t>
      </w:r>
      <w:r w:rsidR="00F5006B">
        <w:rPr>
          <w:rFonts w:ascii="Arial" w:hAnsi="Arial" w:cs="Arial"/>
          <w:sz w:val="24"/>
          <w:szCs w:val="24"/>
        </w:rPr>
        <w:t>court</w:t>
      </w:r>
      <w:r w:rsidR="00B40318">
        <w:rPr>
          <w:rFonts w:ascii="Arial" w:hAnsi="Arial" w:cs="Arial"/>
          <w:sz w:val="24"/>
          <w:szCs w:val="24"/>
        </w:rPr>
        <w:t xml:space="preserve"> of law, with</w:t>
      </w:r>
      <w:r w:rsidR="00C100D5">
        <w:rPr>
          <w:rFonts w:ascii="Arial" w:hAnsi="Arial" w:cs="Arial"/>
          <w:sz w:val="24"/>
          <w:szCs w:val="24"/>
        </w:rPr>
        <w:t xml:space="preserve"> the </w:t>
      </w:r>
      <w:r w:rsidR="00B40318">
        <w:rPr>
          <w:rFonts w:ascii="Arial" w:hAnsi="Arial" w:cs="Arial"/>
          <w:sz w:val="24"/>
          <w:szCs w:val="24"/>
        </w:rPr>
        <w:t>joinder of all the parties involved.</w:t>
      </w:r>
      <w:r w:rsidR="00F5006B">
        <w:rPr>
          <w:rFonts w:ascii="Arial" w:hAnsi="Arial" w:cs="Arial"/>
          <w:sz w:val="24"/>
          <w:szCs w:val="24"/>
        </w:rPr>
        <w:t xml:space="preserve"> That ruling resulted in the launch of the</w:t>
      </w:r>
      <w:r w:rsidR="00B40318">
        <w:rPr>
          <w:rFonts w:ascii="Arial" w:hAnsi="Arial" w:cs="Arial"/>
          <w:sz w:val="24"/>
          <w:szCs w:val="24"/>
        </w:rPr>
        <w:t>se proceedings</w:t>
      </w:r>
      <w:r w:rsidR="00F5006B">
        <w:rPr>
          <w:rFonts w:ascii="Arial" w:hAnsi="Arial" w:cs="Arial"/>
          <w:sz w:val="24"/>
          <w:szCs w:val="24"/>
        </w:rPr>
        <w:t xml:space="preserve"> before me</w:t>
      </w:r>
      <w:r>
        <w:rPr>
          <w:rFonts w:ascii="Arial" w:hAnsi="Arial" w:cs="Arial"/>
          <w:sz w:val="24"/>
          <w:szCs w:val="24"/>
        </w:rPr>
        <w:t>.</w:t>
      </w:r>
    </w:p>
    <w:p w14:paraId="60FAEB86" w14:textId="2E1CF458" w:rsidR="00CE65C1" w:rsidRDefault="005F1CAC" w:rsidP="00AD3C00">
      <w:pPr>
        <w:rPr>
          <w:rFonts w:ascii="Arial" w:hAnsi="Arial" w:cs="Arial"/>
          <w:sz w:val="24"/>
          <w:szCs w:val="24"/>
        </w:rPr>
      </w:pPr>
      <w:r>
        <w:rPr>
          <w:rFonts w:ascii="Arial" w:hAnsi="Arial" w:cs="Arial"/>
          <w:sz w:val="24"/>
          <w:szCs w:val="24"/>
        </w:rPr>
        <w:t>[14]</w:t>
      </w:r>
      <w:r>
        <w:rPr>
          <w:rFonts w:ascii="Arial" w:hAnsi="Arial" w:cs="Arial"/>
          <w:sz w:val="24"/>
          <w:szCs w:val="24"/>
        </w:rPr>
        <w:tab/>
      </w:r>
      <w:r w:rsidR="00D11306">
        <w:rPr>
          <w:rFonts w:ascii="Arial" w:hAnsi="Arial" w:cs="Arial"/>
          <w:sz w:val="24"/>
          <w:szCs w:val="24"/>
        </w:rPr>
        <w:t xml:space="preserve">The </w:t>
      </w:r>
      <w:r w:rsidR="00C100D5">
        <w:rPr>
          <w:rFonts w:ascii="Arial" w:hAnsi="Arial" w:cs="Arial"/>
          <w:sz w:val="24"/>
          <w:szCs w:val="24"/>
        </w:rPr>
        <w:t xml:space="preserve">relevant </w:t>
      </w:r>
      <w:r w:rsidR="00D11306">
        <w:rPr>
          <w:rFonts w:ascii="Arial" w:hAnsi="Arial" w:cs="Arial"/>
          <w:sz w:val="24"/>
          <w:szCs w:val="24"/>
        </w:rPr>
        <w:t>material</w:t>
      </w:r>
      <w:r w:rsidR="00C100D5">
        <w:rPr>
          <w:rFonts w:ascii="Arial" w:hAnsi="Arial" w:cs="Arial"/>
          <w:sz w:val="24"/>
          <w:szCs w:val="24"/>
        </w:rPr>
        <w:t xml:space="preserve"> and express</w:t>
      </w:r>
      <w:r w:rsidR="00D11306">
        <w:rPr>
          <w:rFonts w:ascii="Arial" w:hAnsi="Arial" w:cs="Arial"/>
          <w:sz w:val="24"/>
          <w:szCs w:val="24"/>
        </w:rPr>
        <w:t xml:space="preserve"> terms and provisions of the Policy are the following:</w:t>
      </w:r>
      <w:r w:rsidR="001D3394">
        <w:rPr>
          <w:rFonts w:ascii="Arial" w:hAnsi="Arial" w:cs="Arial"/>
          <w:sz w:val="24"/>
          <w:szCs w:val="24"/>
        </w:rPr>
        <w:t xml:space="preserve"> </w:t>
      </w:r>
      <w:r w:rsidR="008A1D3D">
        <w:rPr>
          <w:rFonts w:ascii="Arial" w:hAnsi="Arial" w:cs="Arial"/>
          <w:sz w:val="24"/>
          <w:szCs w:val="24"/>
        </w:rPr>
        <w:t xml:space="preserve">  </w:t>
      </w:r>
      <w:r w:rsidR="00CE65C1">
        <w:rPr>
          <w:rFonts w:ascii="Arial" w:hAnsi="Arial" w:cs="Arial"/>
          <w:sz w:val="24"/>
          <w:szCs w:val="24"/>
        </w:rPr>
        <w:t xml:space="preserve"> </w:t>
      </w:r>
    </w:p>
    <w:p w14:paraId="17C962E8" w14:textId="59F9681A" w:rsidR="00C100D5" w:rsidRDefault="005F1CAC" w:rsidP="00AD3C00">
      <w:pPr>
        <w:rPr>
          <w:rFonts w:ascii="Arial" w:hAnsi="Arial" w:cs="Arial"/>
          <w:sz w:val="24"/>
          <w:szCs w:val="24"/>
        </w:rPr>
      </w:pPr>
      <w:r>
        <w:rPr>
          <w:rFonts w:ascii="Arial" w:hAnsi="Arial" w:cs="Arial"/>
          <w:sz w:val="24"/>
          <w:szCs w:val="24"/>
        </w:rPr>
        <w:t>(a)</w:t>
      </w:r>
      <w:r>
        <w:rPr>
          <w:rFonts w:ascii="Arial" w:hAnsi="Arial" w:cs="Arial"/>
          <w:sz w:val="24"/>
          <w:szCs w:val="24"/>
        </w:rPr>
        <w:tab/>
        <w:t>A ‘</w:t>
      </w:r>
      <w:r w:rsidR="00C100D5" w:rsidRPr="00801F86">
        <w:rPr>
          <w:rFonts w:ascii="Arial" w:hAnsi="Arial" w:cs="Arial"/>
          <w:sz w:val="24"/>
          <w:szCs w:val="24"/>
        </w:rPr>
        <w:t>beneficiary</w:t>
      </w:r>
      <w:r>
        <w:rPr>
          <w:rFonts w:ascii="Arial" w:hAnsi="Arial" w:cs="Arial"/>
          <w:sz w:val="24"/>
          <w:szCs w:val="24"/>
        </w:rPr>
        <w:t>’</w:t>
      </w:r>
      <w:r w:rsidR="00C100D5" w:rsidRPr="00801F86">
        <w:rPr>
          <w:rFonts w:ascii="Arial" w:hAnsi="Arial" w:cs="Arial"/>
          <w:sz w:val="24"/>
          <w:szCs w:val="24"/>
        </w:rPr>
        <w:t xml:space="preserve"> </w:t>
      </w:r>
      <w:r w:rsidR="00C100D5">
        <w:rPr>
          <w:rFonts w:ascii="Arial" w:hAnsi="Arial" w:cs="Arial"/>
          <w:sz w:val="24"/>
          <w:szCs w:val="24"/>
        </w:rPr>
        <w:t>is defined as ‘</w:t>
      </w:r>
      <w:r w:rsidR="00C100D5" w:rsidRPr="00C17F1B">
        <w:rPr>
          <w:rFonts w:ascii="Arial" w:hAnsi="Arial" w:cs="Arial"/>
          <w:i/>
          <w:sz w:val="24"/>
          <w:szCs w:val="24"/>
        </w:rPr>
        <w:t>the person nominated in writing by the member to the participating employer to receive part or all of the member's death or accidental death benefits</w:t>
      </w:r>
      <w:r w:rsidR="00C100D5">
        <w:rPr>
          <w:rFonts w:ascii="Arial" w:hAnsi="Arial" w:cs="Arial"/>
          <w:sz w:val="24"/>
          <w:szCs w:val="24"/>
        </w:rPr>
        <w:t>.’ In this case Crossman and Gareth fall within the definition of beneficiary.</w:t>
      </w:r>
    </w:p>
    <w:p w14:paraId="23E415E1" w14:textId="128957CA" w:rsidR="00C100D5" w:rsidRDefault="005F1CAC" w:rsidP="00AD3C00">
      <w:pPr>
        <w:rPr>
          <w:rFonts w:ascii="Arial" w:hAnsi="Arial" w:cs="Arial"/>
          <w:sz w:val="24"/>
          <w:szCs w:val="24"/>
        </w:rPr>
      </w:pPr>
      <w:r>
        <w:rPr>
          <w:rFonts w:ascii="Arial" w:hAnsi="Arial" w:cs="Arial"/>
          <w:sz w:val="24"/>
          <w:szCs w:val="24"/>
        </w:rPr>
        <w:t>(b)</w:t>
      </w:r>
      <w:r>
        <w:rPr>
          <w:rFonts w:ascii="Arial" w:hAnsi="Arial" w:cs="Arial"/>
          <w:sz w:val="24"/>
          <w:szCs w:val="24"/>
        </w:rPr>
        <w:tab/>
        <w:t>A ‘member’</w:t>
      </w:r>
      <w:r w:rsidR="00C100D5" w:rsidRPr="00801F86">
        <w:rPr>
          <w:rFonts w:ascii="Arial" w:hAnsi="Arial" w:cs="Arial"/>
          <w:sz w:val="24"/>
          <w:szCs w:val="24"/>
        </w:rPr>
        <w:t xml:space="preserve"> </w:t>
      </w:r>
      <w:r w:rsidR="00C100D5">
        <w:rPr>
          <w:rFonts w:ascii="Arial" w:hAnsi="Arial" w:cs="Arial"/>
          <w:sz w:val="24"/>
          <w:szCs w:val="24"/>
        </w:rPr>
        <w:t>is defined as ‘</w:t>
      </w:r>
      <w:r w:rsidR="00C100D5" w:rsidRPr="00C17F1B">
        <w:rPr>
          <w:rFonts w:ascii="Arial" w:hAnsi="Arial" w:cs="Arial"/>
          <w:i/>
          <w:sz w:val="24"/>
          <w:szCs w:val="24"/>
        </w:rPr>
        <w:t>an eligible em</w:t>
      </w:r>
      <w:r w:rsidR="00C100D5">
        <w:rPr>
          <w:rFonts w:ascii="Arial" w:hAnsi="Arial" w:cs="Arial"/>
          <w:i/>
          <w:sz w:val="24"/>
          <w:szCs w:val="24"/>
        </w:rPr>
        <w:t>ployee who is insured under the</w:t>
      </w:r>
      <w:r w:rsidR="00C100D5" w:rsidRPr="00C17F1B">
        <w:rPr>
          <w:rFonts w:ascii="Arial" w:hAnsi="Arial" w:cs="Arial"/>
          <w:i/>
          <w:sz w:val="24"/>
          <w:szCs w:val="24"/>
        </w:rPr>
        <w:t xml:space="preserve"> Policy f</w:t>
      </w:r>
      <w:r w:rsidR="00C100D5">
        <w:rPr>
          <w:rFonts w:ascii="Arial" w:hAnsi="Arial" w:cs="Arial"/>
          <w:i/>
          <w:sz w:val="24"/>
          <w:szCs w:val="24"/>
        </w:rPr>
        <w:t>or</w:t>
      </w:r>
      <w:r w:rsidR="00C100D5" w:rsidRPr="00C17F1B">
        <w:rPr>
          <w:rFonts w:ascii="Arial" w:hAnsi="Arial" w:cs="Arial"/>
          <w:i/>
          <w:sz w:val="24"/>
          <w:szCs w:val="24"/>
        </w:rPr>
        <w:t xml:space="preserve"> the death</w:t>
      </w:r>
      <w:r w:rsidR="00C100D5">
        <w:rPr>
          <w:rFonts w:ascii="Arial" w:hAnsi="Arial" w:cs="Arial"/>
          <w:i/>
          <w:sz w:val="24"/>
          <w:szCs w:val="24"/>
        </w:rPr>
        <w:t xml:space="preserve">, educator and permanent disability </w:t>
      </w:r>
      <w:r w:rsidR="00C100D5" w:rsidRPr="00C17F1B">
        <w:rPr>
          <w:rFonts w:ascii="Arial" w:hAnsi="Arial" w:cs="Arial"/>
          <w:i/>
          <w:sz w:val="24"/>
          <w:szCs w:val="24"/>
        </w:rPr>
        <w:t>benefits.</w:t>
      </w:r>
      <w:r w:rsidR="00C100D5">
        <w:rPr>
          <w:rFonts w:ascii="Arial" w:hAnsi="Arial" w:cs="Arial"/>
          <w:i/>
          <w:sz w:val="24"/>
          <w:szCs w:val="24"/>
        </w:rPr>
        <w:t>’</w:t>
      </w:r>
      <w:r w:rsidR="00C100D5" w:rsidRPr="00801F86">
        <w:rPr>
          <w:rFonts w:ascii="Arial" w:hAnsi="Arial" w:cs="Arial"/>
          <w:sz w:val="24"/>
          <w:szCs w:val="24"/>
        </w:rPr>
        <w:t xml:space="preserve"> </w:t>
      </w:r>
      <w:r w:rsidR="00C100D5">
        <w:rPr>
          <w:rFonts w:ascii="Arial" w:hAnsi="Arial" w:cs="Arial"/>
          <w:sz w:val="24"/>
          <w:szCs w:val="24"/>
        </w:rPr>
        <w:t>In this case member means the deceased.</w:t>
      </w:r>
    </w:p>
    <w:p w14:paraId="00282A0A" w14:textId="3CBA1E82" w:rsidR="00C100D5" w:rsidRDefault="005F1CAC" w:rsidP="00AD3C00">
      <w:pPr>
        <w:rPr>
          <w:rFonts w:ascii="Arial" w:hAnsi="Arial" w:cs="Arial"/>
          <w:sz w:val="24"/>
          <w:szCs w:val="24"/>
        </w:rPr>
      </w:pPr>
      <w:r>
        <w:rPr>
          <w:rFonts w:ascii="Arial" w:hAnsi="Arial" w:cs="Arial"/>
          <w:sz w:val="24"/>
          <w:szCs w:val="24"/>
        </w:rPr>
        <w:t>(c)</w:t>
      </w:r>
      <w:r>
        <w:rPr>
          <w:rFonts w:ascii="Arial" w:hAnsi="Arial" w:cs="Arial"/>
          <w:sz w:val="24"/>
          <w:szCs w:val="24"/>
        </w:rPr>
        <w:tab/>
        <w:t>‘</w:t>
      </w:r>
      <w:r w:rsidR="00C100D5" w:rsidRPr="007F6AA0">
        <w:rPr>
          <w:rFonts w:ascii="Arial" w:hAnsi="Arial" w:cs="Arial"/>
          <w:sz w:val="24"/>
          <w:szCs w:val="24"/>
        </w:rPr>
        <w:t>Benefits</w:t>
      </w:r>
      <w:r>
        <w:rPr>
          <w:rFonts w:ascii="Arial" w:hAnsi="Arial" w:cs="Arial"/>
          <w:sz w:val="24"/>
          <w:szCs w:val="24"/>
        </w:rPr>
        <w:t>’</w:t>
      </w:r>
      <w:r w:rsidR="00C100D5" w:rsidRPr="007F6AA0">
        <w:rPr>
          <w:rFonts w:ascii="Arial" w:hAnsi="Arial" w:cs="Arial"/>
          <w:sz w:val="24"/>
          <w:szCs w:val="24"/>
        </w:rPr>
        <w:t xml:space="preserve"> </w:t>
      </w:r>
      <w:r w:rsidR="00C100D5">
        <w:rPr>
          <w:rFonts w:ascii="Arial" w:hAnsi="Arial" w:cs="Arial"/>
          <w:sz w:val="24"/>
          <w:szCs w:val="24"/>
        </w:rPr>
        <w:t>is defined as ‘</w:t>
      </w:r>
      <w:r w:rsidR="00C100D5" w:rsidRPr="00C17F1B">
        <w:rPr>
          <w:rFonts w:ascii="Arial" w:hAnsi="Arial" w:cs="Arial"/>
          <w:i/>
          <w:sz w:val="24"/>
          <w:szCs w:val="24"/>
        </w:rPr>
        <w:t>the Death, Accidental Death, Educator or Permanent Disability Benefits selected and applied for by the Participating Employer in respect of the Member, which shall be paid by Liberty upon the occurrence of the Member</w:t>
      </w:r>
      <w:r>
        <w:rPr>
          <w:rFonts w:ascii="Arial" w:hAnsi="Arial" w:cs="Arial"/>
          <w:i/>
          <w:sz w:val="24"/>
          <w:szCs w:val="24"/>
        </w:rPr>
        <w:t>’</w:t>
      </w:r>
      <w:r w:rsidR="00C100D5" w:rsidRPr="00C17F1B">
        <w:rPr>
          <w:rFonts w:ascii="Arial" w:hAnsi="Arial" w:cs="Arial"/>
          <w:i/>
          <w:sz w:val="24"/>
          <w:szCs w:val="24"/>
        </w:rPr>
        <w:t>s death or disablement whilst in the employ of the Employer, subject at all times to the applicable Insurance Limits</w:t>
      </w:r>
      <w:r w:rsidR="00C100D5" w:rsidRPr="007F6AA0">
        <w:rPr>
          <w:rFonts w:ascii="Arial" w:hAnsi="Arial" w:cs="Arial"/>
          <w:sz w:val="24"/>
          <w:szCs w:val="24"/>
        </w:rPr>
        <w:t>.</w:t>
      </w:r>
      <w:r w:rsidR="00C100D5">
        <w:rPr>
          <w:rFonts w:ascii="Arial" w:hAnsi="Arial" w:cs="Arial"/>
          <w:sz w:val="24"/>
          <w:szCs w:val="24"/>
        </w:rPr>
        <w:t>’</w:t>
      </w:r>
    </w:p>
    <w:p w14:paraId="3620B9BE" w14:textId="24B24B42" w:rsidR="00C100D5" w:rsidRDefault="005F1CAC" w:rsidP="00AD3C00">
      <w:pPr>
        <w:rPr>
          <w:rFonts w:ascii="Arial" w:hAnsi="Arial" w:cs="Arial"/>
          <w:sz w:val="24"/>
          <w:szCs w:val="24"/>
        </w:rPr>
      </w:pPr>
      <w:r>
        <w:rPr>
          <w:rFonts w:ascii="Arial" w:hAnsi="Arial" w:cs="Arial"/>
          <w:sz w:val="24"/>
          <w:szCs w:val="24"/>
        </w:rPr>
        <w:t>(d)</w:t>
      </w:r>
      <w:r>
        <w:rPr>
          <w:rFonts w:ascii="Arial" w:hAnsi="Arial" w:cs="Arial"/>
          <w:sz w:val="24"/>
          <w:szCs w:val="24"/>
        </w:rPr>
        <w:tab/>
      </w:r>
      <w:r w:rsidR="00C100D5">
        <w:rPr>
          <w:rFonts w:ascii="Arial" w:hAnsi="Arial" w:cs="Arial"/>
          <w:sz w:val="24"/>
          <w:szCs w:val="24"/>
        </w:rPr>
        <w:t xml:space="preserve">Reference to sponsor and participating employer in the Policy means TSA and </w:t>
      </w:r>
      <w:r w:rsidR="00AD3C00">
        <w:rPr>
          <w:rFonts w:ascii="Arial" w:hAnsi="Arial" w:cs="Arial"/>
          <w:sz w:val="24"/>
          <w:szCs w:val="24"/>
        </w:rPr>
        <w:t>IEMAS</w:t>
      </w:r>
      <w:r w:rsidR="00C100D5">
        <w:rPr>
          <w:rFonts w:ascii="Arial" w:hAnsi="Arial" w:cs="Arial"/>
          <w:sz w:val="24"/>
          <w:szCs w:val="24"/>
        </w:rPr>
        <w:t xml:space="preserve"> respectively. </w:t>
      </w:r>
    </w:p>
    <w:p w14:paraId="152A5B3C" w14:textId="574752C4" w:rsidR="00A30E04" w:rsidRDefault="005F1CAC" w:rsidP="00AD3C00">
      <w:pPr>
        <w:rPr>
          <w:rFonts w:ascii="Arial" w:hAnsi="Arial" w:cs="Arial"/>
          <w:sz w:val="24"/>
          <w:szCs w:val="24"/>
        </w:rPr>
      </w:pPr>
      <w:r>
        <w:rPr>
          <w:rFonts w:ascii="Arial" w:hAnsi="Arial" w:cs="Arial"/>
          <w:sz w:val="24"/>
          <w:szCs w:val="24"/>
        </w:rPr>
        <w:t>(e)</w:t>
      </w:r>
      <w:r>
        <w:rPr>
          <w:rFonts w:ascii="Arial" w:hAnsi="Arial" w:cs="Arial"/>
          <w:sz w:val="24"/>
          <w:szCs w:val="24"/>
        </w:rPr>
        <w:tab/>
        <w:t>In terms of clause 10.2</w:t>
      </w:r>
      <w:r w:rsidR="00757FA8">
        <w:rPr>
          <w:rFonts w:ascii="Arial" w:hAnsi="Arial" w:cs="Arial"/>
          <w:sz w:val="24"/>
          <w:szCs w:val="24"/>
        </w:rPr>
        <w:t xml:space="preserve">, </w:t>
      </w:r>
      <w:r w:rsidR="00AD3C00">
        <w:rPr>
          <w:rFonts w:ascii="Arial" w:hAnsi="Arial" w:cs="Arial"/>
          <w:sz w:val="24"/>
          <w:szCs w:val="24"/>
        </w:rPr>
        <w:t>IEMAS</w:t>
      </w:r>
      <w:r w:rsidR="00A30E04">
        <w:rPr>
          <w:rFonts w:ascii="Arial" w:hAnsi="Arial" w:cs="Arial"/>
          <w:sz w:val="24"/>
          <w:szCs w:val="24"/>
        </w:rPr>
        <w:t xml:space="preserve">’ </w:t>
      </w:r>
      <w:r w:rsidR="00C17F1B">
        <w:rPr>
          <w:rFonts w:ascii="Arial" w:hAnsi="Arial" w:cs="Arial"/>
          <w:sz w:val="24"/>
          <w:szCs w:val="24"/>
        </w:rPr>
        <w:t>application for Insurance, the</w:t>
      </w:r>
      <w:r w:rsidR="00A30E04" w:rsidRPr="00CE65C1">
        <w:rPr>
          <w:rFonts w:ascii="Arial" w:hAnsi="Arial" w:cs="Arial"/>
          <w:sz w:val="24"/>
          <w:szCs w:val="24"/>
        </w:rPr>
        <w:t xml:space="preserve"> Policy</w:t>
      </w:r>
      <w:r w:rsidR="00C100D5">
        <w:rPr>
          <w:rFonts w:ascii="Arial" w:hAnsi="Arial" w:cs="Arial"/>
          <w:sz w:val="24"/>
          <w:szCs w:val="24"/>
        </w:rPr>
        <w:t xml:space="preserve"> document</w:t>
      </w:r>
      <w:r w:rsidR="00A30E04" w:rsidRPr="00CE65C1">
        <w:rPr>
          <w:rFonts w:ascii="Arial" w:hAnsi="Arial" w:cs="Arial"/>
          <w:sz w:val="24"/>
          <w:szCs w:val="24"/>
        </w:rPr>
        <w:t xml:space="preserve">, the </w:t>
      </w:r>
      <w:r w:rsidR="00C17F1B">
        <w:rPr>
          <w:rFonts w:ascii="Arial" w:hAnsi="Arial" w:cs="Arial"/>
          <w:sz w:val="24"/>
          <w:szCs w:val="24"/>
        </w:rPr>
        <w:t>s</w:t>
      </w:r>
      <w:r w:rsidR="00A30E04" w:rsidRPr="00CE65C1">
        <w:rPr>
          <w:rFonts w:ascii="Arial" w:hAnsi="Arial" w:cs="Arial"/>
          <w:sz w:val="24"/>
          <w:szCs w:val="24"/>
        </w:rPr>
        <w:t>chedules and any endorsements to th</w:t>
      </w:r>
      <w:r w:rsidR="00C17F1B">
        <w:rPr>
          <w:rFonts w:ascii="Arial" w:hAnsi="Arial" w:cs="Arial"/>
          <w:sz w:val="24"/>
          <w:szCs w:val="24"/>
        </w:rPr>
        <w:t>e</w:t>
      </w:r>
      <w:r w:rsidR="00A30E04" w:rsidRPr="00CE65C1">
        <w:rPr>
          <w:rFonts w:ascii="Arial" w:hAnsi="Arial" w:cs="Arial"/>
          <w:sz w:val="24"/>
          <w:szCs w:val="24"/>
        </w:rPr>
        <w:t xml:space="preserve"> Policy</w:t>
      </w:r>
      <w:r w:rsidR="00C100D5">
        <w:rPr>
          <w:rFonts w:ascii="Arial" w:hAnsi="Arial" w:cs="Arial"/>
          <w:sz w:val="24"/>
          <w:szCs w:val="24"/>
        </w:rPr>
        <w:t xml:space="preserve"> document</w:t>
      </w:r>
      <w:r w:rsidR="00A30E04" w:rsidRPr="00CE65C1">
        <w:rPr>
          <w:rFonts w:ascii="Arial" w:hAnsi="Arial" w:cs="Arial"/>
          <w:sz w:val="24"/>
          <w:szCs w:val="24"/>
        </w:rPr>
        <w:t xml:space="preserve"> constitute the entire contract between Capital Alliance</w:t>
      </w:r>
      <w:r w:rsidR="00C100D5" w:rsidRPr="00CE65C1">
        <w:rPr>
          <w:rFonts w:ascii="Arial" w:hAnsi="Arial" w:cs="Arial"/>
          <w:sz w:val="24"/>
          <w:szCs w:val="24"/>
        </w:rPr>
        <w:t xml:space="preserve">, </w:t>
      </w:r>
      <w:r w:rsidR="006F100E">
        <w:rPr>
          <w:rFonts w:ascii="Arial" w:hAnsi="Arial" w:cs="Arial"/>
          <w:sz w:val="24"/>
          <w:szCs w:val="24"/>
        </w:rPr>
        <w:t xml:space="preserve">TSA </w:t>
      </w:r>
      <w:r w:rsidR="006F100E" w:rsidRPr="00CE65C1">
        <w:rPr>
          <w:rFonts w:ascii="Arial" w:hAnsi="Arial" w:cs="Arial"/>
          <w:sz w:val="24"/>
          <w:szCs w:val="24"/>
        </w:rPr>
        <w:t>and</w:t>
      </w:r>
      <w:r w:rsidR="00A30E04" w:rsidRPr="00CE65C1">
        <w:rPr>
          <w:rFonts w:ascii="Arial" w:hAnsi="Arial" w:cs="Arial"/>
          <w:sz w:val="24"/>
          <w:szCs w:val="24"/>
        </w:rPr>
        <w:t xml:space="preserve"> </w:t>
      </w:r>
      <w:r w:rsidR="00AD3C00">
        <w:rPr>
          <w:rFonts w:ascii="Arial" w:hAnsi="Arial" w:cs="Arial"/>
          <w:sz w:val="24"/>
          <w:szCs w:val="24"/>
        </w:rPr>
        <w:t>IEMAS</w:t>
      </w:r>
      <w:r w:rsidR="00A30E04">
        <w:rPr>
          <w:rFonts w:ascii="Arial" w:hAnsi="Arial" w:cs="Arial"/>
          <w:sz w:val="24"/>
          <w:szCs w:val="24"/>
        </w:rPr>
        <w:t xml:space="preserve">. </w:t>
      </w:r>
      <w:r w:rsidR="00C100D5">
        <w:rPr>
          <w:rFonts w:ascii="Arial" w:hAnsi="Arial" w:cs="Arial"/>
          <w:sz w:val="24"/>
          <w:szCs w:val="24"/>
        </w:rPr>
        <w:t>‘</w:t>
      </w:r>
      <w:r w:rsidR="00A30E04" w:rsidRPr="00C17F1B">
        <w:rPr>
          <w:rFonts w:ascii="Arial" w:hAnsi="Arial" w:cs="Arial"/>
          <w:i/>
          <w:sz w:val="24"/>
          <w:szCs w:val="24"/>
        </w:rPr>
        <w:t>Capital Alliance is not bound by any alteration or amendment unless such alteration or amendment has been reduced to writing and signed by the managing director of Capital Alliance or his duly authorised representative and is made an endorsement of this Policy. No contract between Capital Alliance and any other person other than the Sponsor and Participating Employer is hereby constituted or implied</w:t>
      </w:r>
      <w:r w:rsidR="00C17F1B">
        <w:rPr>
          <w:rFonts w:ascii="Arial" w:hAnsi="Arial" w:cs="Arial"/>
          <w:i/>
          <w:sz w:val="24"/>
          <w:szCs w:val="24"/>
        </w:rPr>
        <w:t>.</w:t>
      </w:r>
      <w:r w:rsidR="00C100D5">
        <w:rPr>
          <w:rFonts w:ascii="Arial" w:hAnsi="Arial" w:cs="Arial"/>
          <w:i/>
          <w:sz w:val="24"/>
          <w:szCs w:val="24"/>
        </w:rPr>
        <w:t>’</w:t>
      </w:r>
    </w:p>
    <w:p w14:paraId="3CF618E2" w14:textId="61B2BCFC" w:rsidR="00D11306" w:rsidRDefault="00757FA8" w:rsidP="00AD3C00">
      <w:pPr>
        <w:rPr>
          <w:rFonts w:ascii="Arial" w:hAnsi="Arial" w:cs="Arial"/>
          <w:sz w:val="24"/>
          <w:szCs w:val="24"/>
        </w:rPr>
      </w:pPr>
      <w:r>
        <w:rPr>
          <w:rFonts w:ascii="Arial" w:hAnsi="Arial" w:cs="Arial"/>
          <w:sz w:val="24"/>
          <w:szCs w:val="24"/>
        </w:rPr>
        <w:lastRenderedPageBreak/>
        <w:t>(f)</w:t>
      </w:r>
      <w:r>
        <w:rPr>
          <w:rFonts w:ascii="Arial" w:hAnsi="Arial" w:cs="Arial"/>
          <w:sz w:val="24"/>
          <w:szCs w:val="24"/>
        </w:rPr>
        <w:tab/>
      </w:r>
      <w:r w:rsidR="00AD3C00">
        <w:rPr>
          <w:rFonts w:ascii="Arial" w:hAnsi="Arial" w:cs="Arial"/>
          <w:sz w:val="24"/>
          <w:szCs w:val="24"/>
        </w:rPr>
        <w:t>IEMAS</w:t>
      </w:r>
      <w:r w:rsidR="00D11306">
        <w:rPr>
          <w:rFonts w:ascii="Arial" w:hAnsi="Arial" w:cs="Arial"/>
          <w:sz w:val="24"/>
          <w:szCs w:val="24"/>
        </w:rPr>
        <w:t xml:space="preserve">, as the </w:t>
      </w:r>
      <w:r w:rsidR="006F100E">
        <w:rPr>
          <w:rFonts w:ascii="Arial" w:hAnsi="Arial" w:cs="Arial"/>
          <w:sz w:val="24"/>
          <w:szCs w:val="24"/>
        </w:rPr>
        <w:t xml:space="preserve">participating </w:t>
      </w:r>
      <w:r w:rsidR="00D11306">
        <w:rPr>
          <w:rFonts w:ascii="Arial" w:hAnsi="Arial" w:cs="Arial"/>
          <w:sz w:val="24"/>
          <w:szCs w:val="24"/>
        </w:rPr>
        <w:t>employer, is required to</w:t>
      </w:r>
      <w:r w:rsidR="00CE65C1" w:rsidRPr="00CE65C1">
        <w:rPr>
          <w:rFonts w:ascii="Arial" w:hAnsi="Arial" w:cs="Arial"/>
          <w:sz w:val="24"/>
          <w:szCs w:val="24"/>
        </w:rPr>
        <w:t xml:space="preserve"> pay the premiums</w:t>
      </w:r>
      <w:r w:rsidR="006F100E">
        <w:rPr>
          <w:rFonts w:ascii="Arial" w:hAnsi="Arial" w:cs="Arial"/>
          <w:sz w:val="24"/>
          <w:szCs w:val="24"/>
        </w:rPr>
        <w:t xml:space="preserve"> due </w:t>
      </w:r>
      <w:r w:rsidR="00CE65C1" w:rsidRPr="00CE65C1">
        <w:rPr>
          <w:rFonts w:ascii="Arial" w:hAnsi="Arial" w:cs="Arial"/>
          <w:sz w:val="24"/>
          <w:szCs w:val="24"/>
        </w:rPr>
        <w:t>to Capital Alliance</w:t>
      </w:r>
      <w:r w:rsidR="00D11306">
        <w:rPr>
          <w:rFonts w:ascii="Arial" w:hAnsi="Arial" w:cs="Arial"/>
          <w:sz w:val="24"/>
          <w:szCs w:val="24"/>
        </w:rPr>
        <w:t xml:space="preserve"> (clause 3.2)</w:t>
      </w:r>
      <w:r w:rsidR="00CE65C1" w:rsidRPr="00CE65C1">
        <w:rPr>
          <w:rFonts w:ascii="Arial" w:hAnsi="Arial" w:cs="Arial"/>
          <w:sz w:val="24"/>
          <w:szCs w:val="24"/>
        </w:rPr>
        <w:t>.</w:t>
      </w:r>
      <w:r w:rsidR="00CE65C1">
        <w:rPr>
          <w:rFonts w:ascii="Arial" w:hAnsi="Arial" w:cs="Arial"/>
          <w:sz w:val="24"/>
          <w:szCs w:val="24"/>
        </w:rPr>
        <w:t xml:space="preserve"> </w:t>
      </w:r>
    </w:p>
    <w:p w14:paraId="48257064" w14:textId="38498466" w:rsidR="00D11306" w:rsidRDefault="00757FA8" w:rsidP="00AD3C00">
      <w:pPr>
        <w:rPr>
          <w:rFonts w:ascii="Arial" w:hAnsi="Arial" w:cs="Arial"/>
          <w:sz w:val="24"/>
          <w:szCs w:val="24"/>
        </w:rPr>
      </w:pPr>
      <w:r>
        <w:rPr>
          <w:rFonts w:ascii="Arial" w:hAnsi="Arial" w:cs="Arial"/>
          <w:sz w:val="24"/>
          <w:szCs w:val="24"/>
        </w:rPr>
        <w:t>(g)</w:t>
      </w:r>
      <w:r>
        <w:rPr>
          <w:rFonts w:ascii="Arial" w:hAnsi="Arial" w:cs="Arial"/>
          <w:sz w:val="24"/>
          <w:szCs w:val="24"/>
        </w:rPr>
        <w:tab/>
      </w:r>
      <w:r w:rsidR="00D11306">
        <w:rPr>
          <w:rFonts w:ascii="Arial" w:hAnsi="Arial" w:cs="Arial"/>
          <w:sz w:val="24"/>
          <w:szCs w:val="24"/>
        </w:rPr>
        <w:t xml:space="preserve">The claims procedure for death claims requires </w:t>
      </w:r>
      <w:r>
        <w:rPr>
          <w:rFonts w:ascii="Arial" w:hAnsi="Arial" w:cs="Arial"/>
          <w:sz w:val="24"/>
          <w:szCs w:val="24"/>
        </w:rPr>
        <w:t xml:space="preserve">that </w:t>
      </w:r>
      <w:r w:rsidR="00D11306">
        <w:rPr>
          <w:rFonts w:ascii="Arial" w:hAnsi="Arial" w:cs="Arial"/>
          <w:sz w:val="24"/>
          <w:szCs w:val="24"/>
        </w:rPr>
        <w:t xml:space="preserve">TSA </w:t>
      </w:r>
      <w:r w:rsidR="00C17F1B">
        <w:rPr>
          <w:rFonts w:ascii="Arial" w:hAnsi="Arial" w:cs="Arial"/>
          <w:sz w:val="24"/>
          <w:szCs w:val="24"/>
        </w:rPr>
        <w:t xml:space="preserve">provide </w:t>
      </w:r>
      <w:r w:rsidR="00D11306">
        <w:rPr>
          <w:rFonts w:ascii="Arial" w:hAnsi="Arial" w:cs="Arial"/>
          <w:sz w:val="24"/>
          <w:szCs w:val="24"/>
        </w:rPr>
        <w:t>written notice to Capital Alliance of any d</w:t>
      </w:r>
      <w:r w:rsidR="00D11306" w:rsidRPr="00CE65C1">
        <w:rPr>
          <w:rFonts w:ascii="Arial" w:hAnsi="Arial" w:cs="Arial"/>
          <w:sz w:val="24"/>
          <w:szCs w:val="24"/>
        </w:rPr>
        <w:t xml:space="preserve">eath </w:t>
      </w:r>
      <w:r w:rsidR="00D11306">
        <w:rPr>
          <w:rFonts w:ascii="Arial" w:hAnsi="Arial" w:cs="Arial"/>
          <w:sz w:val="24"/>
          <w:szCs w:val="24"/>
        </w:rPr>
        <w:t>b</w:t>
      </w:r>
      <w:r w:rsidR="00D11306" w:rsidRPr="00CE65C1">
        <w:rPr>
          <w:rFonts w:ascii="Arial" w:hAnsi="Arial" w:cs="Arial"/>
          <w:sz w:val="24"/>
          <w:szCs w:val="24"/>
        </w:rPr>
        <w:t xml:space="preserve">enefit or </w:t>
      </w:r>
      <w:r w:rsidR="00D11306">
        <w:rPr>
          <w:rFonts w:ascii="Arial" w:hAnsi="Arial" w:cs="Arial"/>
          <w:sz w:val="24"/>
          <w:szCs w:val="24"/>
        </w:rPr>
        <w:t>a</w:t>
      </w:r>
      <w:r w:rsidR="00D11306" w:rsidRPr="00CE65C1">
        <w:rPr>
          <w:rFonts w:ascii="Arial" w:hAnsi="Arial" w:cs="Arial"/>
          <w:sz w:val="24"/>
          <w:szCs w:val="24"/>
        </w:rPr>
        <w:t xml:space="preserve">ccidental </w:t>
      </w:r>
      <w:r w:rsidR="00D11306">
        <w:rPr>
          <w:rFonts w:ascii="Arial" w:hAnsi="Arial" w:cs="Arial"/>
          <w:sz w:val="24"/>
          <w:szCs w:val="24"/>
        </w:rPr>
        <w:t>d</w:t>
      </w:r>
      <w:r w:rsidR="00D11306" w:rsidRPr="00CE65C1">
        <w:rPr>
          <w:rFonts w:ascii="Arial" w:hAnsi="Arial" w:cs="Arial"/>
          <w:sz w:val="24"/>
          <w:szCs w:val="24"/>
        </w:rPr>
        <w:t>eath claim within the</w:t>
      </w:r>
      <w:r w:rsidR="00D11306">
        <w:rPr>
          <w:rFonts w:ascii="Arial" w:hAnsi="Arial" w:cs="Arial"/>
          <w:sz w:val="24"/>
          <w:szCs w:val="24"/>
        </w:rPr>
        <w:t xml:space="preserve"> required n</w:t>
      </w:r>
      <w:r w:rsidR="00D11306" w:rsidRPr="00CE65C1">
        <w:rPr>
          <w:rFonts w:ascii="Arial" w:hAnsi="Arial" w:cs="Arial"/>
          <w:sz w:val="24"/>
          <w:szCs w:val="24"/>
        </w:rPr>
        <w:t>otification</w:t>
      </w:r>
      <w:r w:rsidR="00D11306">
        <w:rPr>
          <w:rFonts w:ascii="Arial" w:hAnsi="Arial" w:cs="Arial"/>
          <w:sz w:val="24"/>
          <w:szCs w:val="24"/>
        </w:rPr>
        <w:t xml:space="preserve"> period (</w:t>
      </w:r>
      <w:r>
        <w:rPr>
          <w:rFonts w:ascii="Arial" w:hAnsi="Arial" w:cs="Arial"/>
          <w:sz w:val="24"/>
          <w:szCs w:val="24"/>
        </w:rPr>
        <w:t>c</w:t>
      </w:r>
      <w:r w:rsidR="00CE65C1" w:rsidRPr="00CE65C1">
        <w:rPr>
          <w:rFonts w:ascii="Arial" w:hAnsi="Arial" w:cs="Arial"/>
          <w:sz w:val="24"/>
          <w:szCs w:val="24"/>
        </w:rPr>
        <w:t>lause 7.1.1</w:t>
      </w:r>
      <w:r w:rsidR="00D11306">
        <w:rPr>
          <w:rFonts w:ascii="Arial" w:hAnsi="Arial" w:cs="Arial"/>
          <w:sz w:val="24"/>
          <w:szCs w:val="24"/>
        </w:rPr>
        <w:t>)</w:t>
      </w:r>
      <w:r w:rsidR="00A30E04">
        <w:rPr>
          <w:rFonts w:ascii="Arial" w:hAnsi="Arial" w:cs="Arial"/>
          <w:sz w:val="24"/>
          <w:szCs w:val="24"/>
        </w:rPr>
        <w:t>.</w:t>
      </w:r>
    </w:p>
    <w:p w14:paraId="5F558172" w14:textId="5F055D55" w:rsidR="00A30E04" w:rsidRDefault="00757FA8" w:rsidP="00AD3C00">
      <w:pPr>
        <w:rPr>
          <w:rFonts w:ascii="Arial" w:hAnsi="Arial" w:cs="Arial"/>
          <w:sz w:val="24"/>
          <w:szCs w:val="24"/>
        </w:rPr>
      </w:pPr>
      <w:r>
        <w:rPr>
          <w:rFonts w:ascii="Arial" w:hAnsi="Arial" w:cs="Arial"/>
          <w:sz w:val="24"/>
          <w:szCs w:val="24"/>
        </w:rPr>
        <w:t>(h)</w:t>
      </w:r>
      <w:r>
        <w:rPr>
          <w:rFonts w:ascii="Arial" w:hAnsi="Arial" w:cs="Arial"/>
          <w:sz w:val="24"/>
          <w:szCs w:val="24"/>
        </w:rPr>
        <w:tab/>
      </w:r>
      <w:r w:rsidR="00D11306">
        <w:rPr>
          <w:rFonts w:ascii="Arial" w:hAnsi="Arial" w:cs="Arial"/>
          <w:sz w:val="24"/>
          <w:szCs w:val="24"/>
        </w:rPr>
        <w:t>The claims procedure for d</w:t>
      </w:r>
      <w:r w:rsidR="00CE65C1" w:rsidRPr="00CE65C1">
        <w:rPr>
          <w:rFonts w:ascii="Arial" w:hAnsi="Arial" w:cs="Arial"/>
          <w:sz w:val="24"/>
          <w:szCs w:val="24"/>
        </w:rPr>
        <w:t xml:space="preserve">isability </w:t>
      </w:r>
      <w:r w:rsidR="00D11306">
        <w:rPr>
          <w:rFonts w:ascii="Arial" w:hAnsi="Arial" w:cs="Arial"/>
          <w:sz w:val="24"/>
          <w:szCs w:val="24"/>
        </w:rPr>
        <w:t>c</w:t>
      </w:r>
      <w:r w:rsidR="00CE65C1" w:rsidRPr="00CE65C1">
        <w:rPr>
          <w:rFonts w:ascii="Arial" w:hAnsi="Arial" w:cs="Arial"/>
          <w:sz w:val="24"/>
          <w:szCs w:val="24"/>
        </w:rPr>
        <w:t>laims requires</w:t>
      </w:r>
      <w:r>
        <w:rPr>
          <w:rFonts w:ascii="Arial" w:hAnsi="Arial" w:cs="Arial"/>
          <w:sz w:val="24"/>
          <w:szCs w:val="24"/>
        </w:rPr>
        <w:t xml:space="preserve"> that</w:t>
      </w:r>
      <w:r w:rsidR="00CE65C1" w:rsidRPr="00CE65C1">
        <w:rPr>
          <w:rFonts w:ascii="Arial" w:hAnsi="Arial" w:cs="Arial"/>
          <w:sz w:val="24"/>
          <w:szCs w:val="24"/>
        </w:rPr>
        <w:t xml:space="preserve"> TSA </w:t>
      </w:r>
      <w:r w:rsidR="00C17F1B">
        <w:rPr>
          <w:rFonts w:ascii="Arial" w:hAnsi="Arial" w:cs="Arial"/>
          <w:sz w:val="24"/>
          <w:szCs w:val="24"/>
        </w:rPr>
        <w:t xml:space="preserve">provide </w:t>
      </w:r>
      <w:r w:rsidR="00CE65C1" w:rsidRPr="00CE65C1">
        <w:rPr>
          <w:rFonts w:ascii="Arial" w:hAnsi="Arial" w:cs="Arial"/>
          <w:sz w:val="24"/>
          <w:szCs w:val="24"/>
        </w:rPr>
        <w:t xml:space="preserve">written notice to Capital Alliance of any impending </w:t>
      </w:r>
      <w:r w:rsidR="00D11306">
        <w:rPr>
          <w:rFonts w:ascii="Arial" w:hAnsi="Arial" w:cs="Arial"/>
          <w:sz w:val="24"/>
          <w:szCs w:val="24"/>
        </w:rPr>
        <w:t>p</w:t>
      </w:r>
      <w:r w:rsidR="00CE65C1" w:rsidRPr="00CE65C1">
        <w:rPr>
          <w:rFonts w:ascii="Arial" w:hAnsi="Arial" w:cs="Arial"/>
          <w:sz w:val="24"/>
          <w:szCs w:val="24"/>
        </w:rPr>
        <w:t xml:space="preserve">ermanent </w:t>
      </w:r>
      <w:r w:rsidR="00D11306">
        <w:rPr>
          <w:rFonts w:ascii="Arial" w:hAnsi="Arial" w:cs="Arial"/>
          <w:sz w:val="24"/>
          <w:szCs w:val="24"/>
        </w:rPr>
        <w:t>d</w:t>
      </w:r>
      <w:r w:rsidR="00CE65C1" w:rsidRPr="00CE65C1">
        <w:rPr>
          <w:rFonts w:ascii="Arial" w:hAnsi="Arial" w:cs="Arial"/>
          <w:sz w:val="24"/>
          <w:szCs w:val="24"/>
        </w:rPr>
        <w:t xml:space="preserve">isability </w:t>
      </w:r>
      <w:r w:rsidR="00D11306">
        <w:rPr>
          <w:rFonts w:ascii="Arial" w:hAnsi="Arial" w:cs="Arial"/>
          <w:sz w:val="24"/>
          <w:szCs w:val="24"/>
        </w:rPr>
        <w:t>b</w:t>
      </w:r>
      <w:r w:rsidR="00CE65C1" w:rsidRPr="00CE65C1">
        <w:rPr>
          <w:rFonts w:ascii="Arial" w:hAnsi="Arial" w:cs="Arial"/>
          <w:sz w:val="24"/>
          <w:szCs w:val="24"/>
        </w:rPr>
        <w:t>enefit claim wit</w:t>
      </w:r>
      <w:r w:rsidR="00CE65C1">
        <w:rPr>
          <w:rFonts w:ascii="Arial" w:hAnsi="Arial" w:cs="Arial"/>
          <w:sz w:val="24"/>
          <w:szCs w:val="24"/>
        </w:rPr>
        <w:t>hin the</w:t>
      </w:r>
      <w:r w:rsidR="00D11306">
        <w:rPr>
          <w:rFonts w:ascii="Arial" w:hAnsi="Arial" w:cs="Arial"/>
          <w:sz w:val="24"/>
          <w:szCs w:val="24"/>
        </w:rPr>
        <w:t xml:space="preserve"> required n</w:t>
      </w:r>
      <w:r w:rsidR="00CE65C1">
        <w:rPr>
          <w:rFonts w:ascii="Arial" w:hAnsi="Arial" w:cs="Arial"/>
          <w:sz w:val="24"/>
          <w:szCs w:val="24"/>
        </w:rPr>
        <w:t xml:space="preserve">otification </w:t>
      </w:r>
      <w:r w:rsidR="00D11306">
        <w:rPr>
          <w:rFonts w:ascii="Arial" w:hAnsi="Arial" w:cs="Arial"/>
          <w:sz w:val="24"/>
          <w:szCs w:val="24"/>
        </w:rPr>
        <w:t>p</w:t>
      </w:r>
      <w:r w:rsidR="00CE65C1">
        <w:rPr>
          <w:rFonts w:ascii="Arial" w:hAnsi="Arial" w:cs="Arial"/>
          <w:sz w:val="24"/>
          <w:szCs w:val="24"/>
        </w:rPr>
        <w:t>eriod</w:t>
      </w:r>
      <w:r w:rsidR="00D11306">
        <w:rPr>
          <w:rFonts w:ascii="Arial" w:hAnsi="Arial" w:cs="Arial"/>
          <w:sz w:val="24"/>
          <w:szCs w:val="24"/>
        </w:rPr>
        <w:t xml:space="preserve"> (</w:t>
      </w:r>
      <w:r>
        <w:rPr>
          <w:rFonts w:ascii="Arial" w:hAnsi="Arial" w:cs="Arial"/>
          <w:sz w:val="24"/>
          <w:szCs w:val="24"/>
        </w:rPr>
        <w:t>c</w:t>
      </w:r>
      <w:r w:rsidR="00D11306" w:rsidRPr="00CE65C1">
        <w:rPr>
          <w:rFonts w:ascii="Arial" w:hAnsi="Arial" w:cs="Arial"/>
          <w:sz w:val="24"/>
          <w:szCs w:val="24"/>
        </w:rPr>
        <w:t>lause 7.2.1</w:t>
      </w:r>
      <w:r w:rsidR="00A30E04">
        <w:rPr>
          <w:rFonts w:ascii="Arial" w:hAnsi="Arial" w:cs="Arial"/>
          <w:sz w:val="24"/>
          <w:szCs w:val="24"/>
        </w:rPr>
        <w:t>)</w:t>
      </w:r>
      <w:r w:rsidR="00CE65C1">
        <w:rPr>
          <w:rFonts w:ascii="Arial" w:hAnsi="Arial" w:cs="Arial"/>
          <w:sz w:val="24"/>
          <w:szCs w:val="24"/>
        </w:rPr>
        <w:t>.</w:t>
      </w:r>
    </w:p>
    <w:p w14:paraId="6E53D970" w14:textId="62C94ED3" w:rsidR="00A30E04" w:rsidRDefault="00757FA8" w:rsidP="00AD3C00">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CE65C1" w:rsidRPr="00CE65C1">
        <w:rPr>
          <w:rFonts w:ascii="Arial" w:hAnsi="Arial" w:cs="Arial"/>
          <w:sz w:val="24"/>
          <w:szCs w:val="24"/>
        </w:rPr>
        <w:t xml:space="preserve">TSA </w:t>
      </w:r>
      <w:r>
        <w:rPr>
          <w:rFonts w:ascii="Arial" w:hAnsi="Arial" w:cs="Arial"/>
          <w:sz w:val="24"/>
          <w:szCs w:val="24"/>
        </w:rPr>
        <w:t xml:space="preserve">must </w:t>
      </w:r>
      <w:r w:rsidR="00CE65C1" w:rsidRPr="00CE65C1">
        <w:rPr>
          <w:rFonts w:ascii="Arial" w:hAnsi="Arial" w:cs="Arial"/>
          <w:sz w:val="24"/>
          <w:szCs w:val="24"/>
        </w:rPr>
        <w:t>ensure that</w:t>
      </w:r>
      <w:r w:rsidR="006F100E">
        <w:rPr>
          <w:rFonts w:ascii="Arial" w:hAnsi="Arial" w:cs="Arial"/>
          <w:sz w:val="24"/>
          <w:szCs w:val="24"/>
        </w:rPr>
        <w:t xml:space="preserve"> all claim </w:t>
      </w:r>
      <w:r w:rsidR="00CE65C1" w:rsidRPr="00CE65C1">
        <w:rPr>
          <w:rFonts w:ascii="Arial" w:hAnsi="Arial" w:cs="Arial"/>
          <w:sz w:val="24"/>
          <w:szCs w:val="24"/>
        </w:rPr>
        <w:t>documentation is</w:t>
      </w:r>
      <w:r w:rsidR="00CE65C1">
        <w:rPr>
          <w:rFonts w:ascii="Arial" w:hAnsi="Arial" w:cs="Arial"/>
          <w:sz w:val="24"/>
          <w:szCs w:val="24"/>
        </w:rPr>
        <w:t xml:space="preserve"> received by Capital Alliance</w:t>
      </w:r>
      <w:r w:rsidR="00A30E04">
        <w:rPr>
          <w:rFonts w:ascii="Arial" w:hAnsi="Arial" w:cs="Arial"/>
          <w:sz w:val="24"/>
          <w:szCs w:val="24"/>
        </w:rPr>
        <w:t xml:space="preserve"> </w:t>
      </w:r>
      <w:r>
        <w:rPr>
          <w:rFonts w:ascii="Arial" w:hAnsi="Arial" w:cs="Arial"/>
          <w:sz w:val="24"/>
          <w:szCs w:val="24"/>
        </w:rPr>
        <w:t xml:space="preserve">        </w:t>
      </w:r>
      <w:r w:rsidR="00A30E04">
        <w:rPr>
          <w:rFonts w:ascii="Arial" w:hAnsi="Arial" w:cs="Arial"/>
          <w:sz w:val="24"/>
          <w:szCs w:val="24"/>
        </w:rPr>
        <w:t>(clause 7.7)</w:t>
      </w:r>
      <w:r w:rsidR="00CE65C1">
        <w:rPr>
          <w:rFonts w:ascii="Arial" w:hAnsi="Arial" w:cs="Arial"/>
          <w:sz w:val="24"/>
          <w:szCs w:val="24"/>
        </w:rPr>
        <w:t>.</w:t>
      </w:r>
    </w:p>
    <w:p w14:paraId="21C99487" w14:textId="3E24C8BB" w:rsidR="00A30E04" w:rsidRDefault="00757FA8" w:rsidP="00AD3C00">
      <w:pPr>
        <w:rPr>
          <w:rFonts w:ascii="Arial" w:hAnsi="Arial" w:cs="Arial"/>
          <w:sz w:val="24"/>
          <w:szCs w:val="24"/>
        </w:rPr>
      </w:pPr>
      <w:r>
        <w:rPr>
          <w:rFonts w:ascii="Arial" w:hAnsi="Arial" w:cs="Arial"/>
          <w:sz w:val="24"/>
          <w:szCs w:val="24"/>
        </w:rPr>
        <w:t>(j)</w:t>
      </w:r>
      <w:r>
        <w:rPr>
          <w:rFonts w:ascii="Arial" w:hAnsi="Arial" w:cs="Arial"/>
          <w:sz w:val="24"/>
          <w:szCs w:val="24"/>
        </w:rPr>
        <w:tab/>
      </w:r>
      <w:r w:rsidR="00A30E04">
        <w:rPr>
          <w:rFonts w:ascii="Arial" w:hAnsi="Arial" w:cs="Arial"/>
          <w:sz w:val="24"/>
          <w:szCs w:val="24"/>
        </w:rPr>
        <w:t>In terms of c</w:t>
      </w:r>
      <w:r w:rsidR="00CE65C1" w:rsidRPr="00CE65C1">
        <w:rPr>
          <w:rFonts w:ascii="Arial" w:hAnsi="Arial" w:cs="Arial"/>
          <w:sz w:val="24"/>
          <w:szCs w:val="24"/>
        </w:rPr>
        <w:t xml:space="preserve">lauses 9.1 and 9.3 the scheme may be discontinued or a </w:t>
      </w:r>
      <w:r w:rsidR="00A30E04">
        <w:rPr>
          <w:rFonts w:ascii="Arial" w:hAnsi="Arial" w:cs="Arial"/>
          <w:sz w:val="24"/>
          <w:szCs w:val="24"/>
        </w:rPr>
        <w:t>p</w:t>
      </w:r>
      <w:r w:rsidR="00CE65C1" w:rsidRPr="00CE65C1">
        <w:rPr>
          <w:rFonts w:ascii="Arial" w:hAnsi="Arial" w:cs="Arial"/>
          <w:sz w:val="24"/>
          <w:szCs w:val="24"/>
        </w:rPr>
        <w:t xml:space="preserve">articipating </w:t>
      </w:r>
      <w:r w:rsidR="00A30E04">
        <w:rPr>
          <w:rFonts w:ascii="Arial" w:hAnsi="Arial" w:cs="Arial"/>
          <w:sz w:val="24"/>
          <w:szCs w:val="24"/>
        </w:rPr>
        <w:t>e</w:t>
      </w:r>
      <w:r w:rsidR="00CE65C1" w:rsidRPr="00CE65C1">
        <w:rPr>
          <w:rFonts w:ascii="Arial" w:hAnsi="Arial" w:cs="Arial"/>
          <w:sz w:val="24"/>
          <w:szCs w:val="24"/>
        </w:rPr>
        <w:t>mployer's participation may be discontinued without reference to the members of the scheme</w:t>
      </w:r>
      <w:r w:rsidR="006F100E">
        <w:rPr>
          <w:rFonts w:ascii="Arial" w:hAnsi="Arial" w:cs="Arial"/>
          <w:sz w:val="24"/>
          <w:szCs w:val="24"/>
        </w:rPr>
        <w:t>.</w:t>
      </w:r>
    </w:p>
    <w:p w14:paraId="4D53B5D1" w14:textId="25944242" w:rsidR="00A30E04" w:rsidRDefault="00757FA8" w:rsidP="00AD3C00">
      <w:pPr>
        <w:rPr>
          <w:rFonts w:ascii="Arial" w:hAnsi="Arial" w:cs="Arial"/>
          <w:sz w:val="24"/>
          <w:szCs w:val="24"/>
        </w:rPr>
      </w:pPr>
      <w:r>
        <w:rPr>
          <w:rFonts w:ascii="Arial" w:hAnsi="Arial" w:cs="Arial"/>
          <w:sz w:val="24"/>
          <w:szCs w:val="24"/>
        </w:rPr>
        <w:t>(k)</w:t>
      </w:r>
      <w:r>
        <w:rPr>
          <w:rFonts w:ascii="Arial" w:hAnsi="Arial" w:cs="Arial"/>
          <w:sz w:val="24"/>
          <w:szCs w:val="24"/>
        </w:rPr>
        <w:tab/>
      </w:r>
      <w:r w:rsidR="00CE65C1" w:rsidRPr="00CE65C1">
        <w:rPr>
          <w:rFonts w:ascii="Arial" w:hAnsi="Arial" w:cs="Arial"/>
          <w:sz w:val="24"/>
          <w:szCs w:val="24"/>
        </w:rPr>
        <w:t xml:space="preserve">Clause 9.2 entitles TSA to cancel the Policy within 30 days from the </w:t>
      </w:r>
      <w:r w:rsidR="00A30E04">
        <w:rPr>
          <w:rFonts w:ascii="Arial" w:hAnsi="Arial" w:cs="Arial"/>
          <w:sz w:val="24"/>
          <w:szCs w:val="24"/>
        </w:rPr>
        <w:t>c</w:t>
      </w:r>
      <w:r w:rsidR="00CE65C1" w:rsidRPr="00CE65C1">
        <w:rPr>
          <w:rFonts w:ascii="Arial" w:hAnsi="Arial" w:cs="Arial"/>
          <w:sz w:val="24"/>
          <w:szCs w:val="24"/>
        </w:rPr>
        <w:t xml:space="preserve">ommencement </w:t>
      </w:r>
      <w:r w:rsidR="00A30E04">
        <w:rPr>
          <w:rFonts w:ascii="Arial" w:hAnsi="Arial" w:cs="Arial"/>
          <w:sz w:val="24"/>
          <w:szCs w:val="24"/>
        </w:rPr>
        <w:t>date and p</w:t>
      </w:r>
      <w:r w:rsidR="00CE65C1" w:rsidRPr="00CE65C1">
        <w:rPr>
          <w:rFonts w:ascii="Arial" w:hAnsi="Arial" w:cs="Arial"/>
          <w:sz w:val="24"/>
          <w:szCs w:val="24"/>
        </w:rPr>
        <w:t xml:space="preserve">articipating </w:t>
      </w:r>
      <w:r w:rsidR="00A30E04">
        <w:rPr>
          <w:rFonts w:ascii="Arial" w:hAnsi="Arial" w:cs="Arial"/>
          <w:sz w:val="24"/>
          <w:szCs w:val="24"/>
        </w:rPr>
        <w:t>e</w:t>
      </w:r>
      <w:r w:rsidR="00CE65C1" w:rsidRPr="00CE65C1">
        <w:rPr>
          <w:rFonts w:ascii="Arial" w:hAnsi="Arial" w:cs="Arial"/>
          <w:sz w:val="24"/>
          <w:szCs w:val="24"/>
        </w:rPr>
        <w:t xml:space="preserve">mployers </w:t>
      </w:r>
      <w:r w:rsidR="006F100E">
        <w:rPr>
          <w:rFonts w:ascii="Arial" w:hAnsi="Arial" w:cs="Arial"/>
          <w:sz w:val="24"/>
          <w:szCs w:val="24"/>
        </w:rPr>
        <w:t xml:space="preserve">are entitled </w:t>
      </w:r>
      <w:r w:rsidR="00CE65C1" w:rsidRPr="00CE65C1">
        <w:rPr>
          <w:rFonts w:ascii="Arial" w:hAnsi="Arial" w:cs="Arial"/>
          <w:sz w:val="24"/>
          <w:szCs w:val="24"/>
        </w:rPr>
        <w:t xml:space="preserve">to cancel their participation within 30 days of the </w:t>
      </w:r>
      <w:r w:rsidR="00A30E04">
        <w:rPr>
          <w:rFonts w:ascii="Arial" w:hAnsi="Arial" w:cs="Arial"/>
          <w:sz w:val="24"/>
          <w:szCs w:val="24"/>
        </w:rPr>
        <w:t>e</w:t>
      </w:r>
      <w:r w:rsidR="00CE65C1" w:rsidRPr="00CE65C1">
        <w:rPr>
          <w:rFonts w:ascii="Arial" w:hAnsi="Arial" w:cs="Arial"/>
          <w:sz w:val="24"/>
          <w:szCs w:val="24"/>
        </w:rPr>
        <w:t xml:space="preserve">mployer's </w:t>
      </w:r>
      <w:r w:rsidR="00A30E04">
        <w:rPr>
          <w:rFonts w:ascii="Arial" w:hAnsi="Arial" w:cs="Arial"/>
          <w:sz w:val="24"/>
          <w:szCs w:val="24"/>
        </w:rPr>
        <w:t>e</w:t>
      </w:r>
      <w:r w:rsidR="00CE65C1" w:rsidRPr="00CE65C1">
        <w:rPr>
          <w:rFonts w:ascii="Arial" w:hAnsi="Arial" w:cs="Arial"/>
          <w:sz w:val="24"/>
          <w:szCs w:val="24"/>
        </w:rPr>
        <w:t xml:space="preserve">ntry </w:t>
      </w:r>
      <w:r w:rsidR="00A30E04">
        <w:rPr>
          <w:rFonts w:ascii="Arial" w:hAnsi="Arial" w:cs="Arial"/>
          <w:sz w:val="24"/>
          <w:szCs w:val="24"/>
        </w:rPr>
        <w:t>d</w:t>
      </w:r>
      <w:r w:rsidR="00CE65C1" w:rsidRPr="00CE65C1">
        <w:rPr>
          <w:rFonts w:ascii="Arial" w:hAnsi="Arial" w:cs="Arial"/>
          <w:sz w:val="24"/>
          <w:szCs w:val="24"/>
        </w:rPr>
        <w:t>ate.</w:t>
      </w:r>
      <w:r w:rsidR="00A30E04">
        <w:rPr>
          <w:rFonts w:ascii="Arial" w:hAnsi="Arial" w:cs="Arial"/>
          <w:sz w:val="24"/>
          <w:szCs w:val="24"/>
        </w:rPr>
        <w:t xml:space="preserve"> </w:t>
      </w:r>
    </w:p>
    <w:p w14:paraId="1F72E44D" w14:textId="2126813E" w:rsidR="00801F86" w:rsidRDefault="00757FA8" w:rsidP="00AD3C00">
      <w:pPr>
        <w:rPr>
          <w:rFonts w:ascii="Arial" w:hAnsi="Arial" w:cs="Arial"/>
          <w:sz w:val="24"/>
          <w:szCs w:val="24"/>
        </w:rPr>
      </w:pPr>
      <w:r>
        <w:rPr>
          <w:rFonts w:ascii="Arial" w:hAnsi="Arial" w:cs="Arial"/>
          <w:sz w:val="24"/>
          <w:szCs w:val="24"/>
        </w:rPr>
        <w:t>(l)</w:t>
      </w:r>
      <w:r>
        <w:rPr>
          <w:rFonts w:ascii="Arial" w:hAnsi="Arial" w:cs="Arial"/>
          <w:sz w:val="24"/>
          <w:szCs w:val="24"/>
        </w:rPr>
        <w:tab/>
      </w:r>
      <w:r w:rsidR="00E0167F">
        <w:rPr>
          <w:rFonts w:ascii="Arial" w:hAnsi="Arial" w:cs="Arial"/>
          <w:sz w:val="24"/>
          <w:szCs w:val="24"/>
        </w:rPr>
        <w:t>The nomination of a beneficiary is provided for in c</w:t>
      </w:r>
      <w:r w:rsidR="00801F86" w:rsidRPr="00801F86">
        <w:rPr>
          <w:rFonts w:ascii="Arial" w:hAnsi="Arial" w:cs="Arial"/>
          <w:sz w:val="24"/>
          <w:szCs w:val="24"/>
        </w:rPr>
        <w:t>lause 8.2.</w:t>
      </w:r>
      <w:r w:rsidR="00E0167F">
        <w:rPr>
          <w:rFonts w:ascii="Arial" w:hAnsi="Arial" w:cs="Arial"/>
          <w:sz w:val="24"/>
          <w:szCs w:val="24"/>
        </w:rPr>
        <w:t xml:space="preserve"> </w:t>
      </w:r>
      <w:r w:rsidR="006F100E">
        <w:rPr>
          <w:rFonts w:ascii="Arial" w:hAnsi="Arial" w:cs="Arial"/>
          <w:sz w:val="24"/>
          <w:szCs w:val="24"/>
        </w:rPr>
        <w:t xml:space="preserve">This sub-clause </w:t>
      </w:r>
      <w:r w:rsidR="00E0167F">
        <w:rPr>
          <w:rFonts w:ascii="Arial" w:hAnsi="Arial" w:cs="Arial"/>
          <w:sz w:val="24"/>
          <w:szCs w:val="24"/>
        </w:rPr>
        <w:t xml:space="preserve">provides </w:t>
      </w:r>
      <w:r>
        <w:rPr>
          <w:rFonts w:ascii="Arial" w:hAnsi="Arial" w:cs="Arial"/>
          <w:sz w:val="24"/>
          <w:szCs w:val="24"/>
        </w:rPr>
        <w:t xml:space="preserve">for </w:t>
      </w:r>
      <w:r w:rsidR="00E0167F">
        <w:rPr>
          <w:rFonts w:ascii="Arial" w:hAnsi="Arial" w:cs="Arial"/>
          <w:sz w:val="24"/>
          <w:szCs w:val="24"/>
        </w:rPr>
        <w:t>an employee</w:t>
      </w:r>
      <w:r w:rsidR="006F100E">
        <w:rPr>
          <w:rFonts w:ascii="Arial" w:hAnsi="Arial" w:cs="Arial"/>
          <w:sz w:val="24"/>
          <w:szCs w:val="24"/>
        </w:rPr>
        <w:t xml:space="preserve"> / member </w:t>
      </w:r>
      <w:r>
        <w:rPr>
          <w:rFonts w:ascii="Arial" w:hAnsi="Arial" w:cs="Arial"/>
          <w:sz w:val="24"/>
          <w:szCs w:val="24"/>
        </w:rPr>
        <w:t>to</w:t>
      </w:r>
      <w:r w:rsidR="00801F86" w:rsidRPr="00801F86">
        <w:rPr>
          <w:rFonts w:ascii="Arial" w:hAnsi="Arial" w:cs="Arial"/>
          <w:sz w:val="24"/>
          <w:szCs w:val="24"/>
        </w:rPr>
        <w:t xml:space="preserve"> nominate a beneficiary to receive the </w:t>
      </w:r>
      <w:r w:rsidR="00E0167F">
        <w:rPr>
          <w:rFonts w:ascii="Arial" w:hAnsi="Arial" w:cs="Arial"/>
          <w:sz w:val="24"/>
          <w:szCs w:val="24"/>
        </w:rPr>
        <w:t>d</w:t>
      </w:r>
      <w:r w:rsidR="00801F86" w:rsidRPr="00801F86">
        <w:rPr>
          <w:rFonts w:ascii="Arial" w:hAnsi="Arial" w:cs="Arial"/>
          <w:sz w:val="24"/>
          <w:szCs w:val="24"/>
        </w:rPr>
        <w:t xml:space="preserve">eath and </w:t>
      </w:r>
      <w:r w:rsidR="00E0167F">
        <w:rPr>
          <w:rFonts w:ascii="Arial" w:hAnsi="Arial" w:cs="Arial"/>
          <w:sz w:val="24"/>
          <w:szCs w:val="24"/>
        </w:rPr>
        <w:t>a</w:t>
      </w:r>
      <w:r w:rsidR="00801F86" w:rsidRPr="00801F86">
        <w:rPr>
          <w:rFonts w:ascii="Arial" w:hAnsi="Arial" w:cs="Arial"/>
          <w:sz w:val="24"/>
          <w:szCs w:val="24"/>
        </w:rPr>
        <w:t xml:space="preserve">ccidental </w:t>
      </w:r>
      <w:r w:rsidR="00E0167F">
        <w:rPr>
          <w:rFonts w:ascii="Arial" w:hAnsi="Arial" w:cs="Arial"/>
          <w:sz w:val="24"/>
          <w:szCs w:val="24"/>
        </w:rPr>
        <w:t>d</w:t>
      </w:r>
      <w:r w:rsidR="00801F86" w:rsidRPr="00801F86">
        <w:rPr>
          <w:rFonts w:ascii="Arial" w:hAnsi="Arial" w:cs="Arial"/>
          <w:sz w:val="24"/>
          <w:szCs w:val="24"/>
        </w:rPr>
        <w:t xml:space="preserve">eath </w:t>
      </w:r>
      <w:r w:rsidR="00E0167F">
        <w:rPr>
          <w:rFonts w:ascii="Arial" w:hAnsi="Arial" w:cs="Arial"/>
          <w:sz w:val="24"/>
          <w:szCs w:val="24"/>
        </w:rPr>
        <w:t>b</w:t>
      </w:r>
      <w:r w:rsidR="00801F86" w:rsidRPr="00801F86">
        <w:rPr>
          <w:rFonts w:ascii="Arial" w:hAnsi="Arial" w:cs="Arial"/>
          <w:sz w:val="24"/>
          <w:szCs w:val="24"/>
        </w:rPr>
        <w:t>enefit subject to</w:t>
      </w:r>
      <w:r w:rsidR="00E0167F">
        <w:rPr>
          <w:rFonts w:ascii="Arial" w:hAnsi="Arial" w:cs="Arial"/>
          <w:sz w:val="24"/>
          <w:szCs w:val="24"/>
        </w:rPr>
        <w:t xml:space="preserve">, </w:t>
      </w:r>
      <w:r w:rsidR="00E0167F">
        <w:rPr>
          <w:rFonts w:ascii="Arial" w:hAnsi="Arial" w:cs="Arial"/>
          <w:i/>
          <w:sz w:val="24"/>
          <w:szCs w:val="24"/>
        </w:rPr>
        <w:t xml:space="preserve">inter alia, </w:t>
      </w:r>
      <w:r w:rsidR="00801F86" w:rsidRPr="00801F86">
        <w:rPr>
          <w:rFonts w:ascii="Arial" w:hAnsi="Arial" w:cs="Arial"/>
          <w:sz w:val="24"/>
          <w:szCs w:val="24"/>
        </w:rPr>
        <w:t>the f</w:t>
      </w:r>
      <w:r w:rsidR="00E0167F">
        <w:rPr>
          <w:rFonts w:ascii="Arial" w:hAnsi="Arial" w:cs="Arial"/>
          <w:sz w:val="24"/>
          <w:szCs w:val="24"/>
        </w:rPr>
        <w:t>ollowing terms and conditions:</w:t>
      </w:r>
    </w:p>
    <w:p w14:paraId="15AD1B7E" w14:textId="611298AE" w:rsidR="00E0167F" w:rsidRDefault="00757FA8" w:rsidP="00AD3C00">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E0167F">
        <w:rPr>
          <w:rFonts w:ascii="Arial" w:hAnsi="Arial" w:cs="Arial"/>
          <w:i/>
          <w:sz w:val="24"/>
          <w:szCs w:val="24"/>
        </w:rPr>
        <w:t>‘</w:t>
      </w:r>
      <w:proofErr w:type="gramStart"/>
      <w:r w:rsidR="00E0167F" w:rsidRPr="00E0167F">
        <w:rPr>
          <w:rFonts w:ascii="Arial" w:hAnsi="Arial" w:cs="Arial"/>
          <w:i/>
          <w:sz w:val="24"/>
          <w:szCs w:val="24"/>
        </w:rPr>
        <w:t>the</w:t>
      </w:r>
      <w:proofErr w:type="gramEnd"/>
      <w:r w:rsidR="00E0167F" w:rsidRPr="00E0167F">
        <w:rPr>
          <w:rFonts w:ascii="Arial" w:hAnsi="Arial" w:cs="Arial"/>
          <w:i/>
          <w:sz w:val="24"/>
          <w:szCs w:val="24"/>
        </w:rPr>
        <w:t xml:space="preserve"> </w:t>
      </w:r>
      <w:r w:rsidR="00801F86" w:rsidRPr="00E0167F">
        <w:rPr>
          <w:rFonts w:ascii="Arial" w:hAnsi="Arial" w:cs="Arial"/>
          <w:i/>
          <w:sz w:val="24"/>
          <w:szCs w:val="24"/>
        </w:rPr>
        <w:t xml:space="preserve">nomination is made in writing and is recorded by the </w:t>
      </w:r>
      <w:r w:rsidR="00E0167F" w:rsidRPr="00E0167F">
        <w:rPr>
          <w:rFonts w:ascii="Arial" w:hAnsi="Arial" w:cs="Arial"/>
          <w:i/>
          <w:sz w:val="24"/>
          <w:szCs w:val="24"/>
        </w:rPr>
        <w:t>participating employer</w:t>
      </w:r>
      <w:r w:rsidR="00E0167F">
        <w:rPr>
          <w:rFonts w:ascii="Arial" w:hAnsi="Arial" w:cs="Arial"/>
          <w:sz w:val="24"/>
          <w:szCs w:val="24"/>
        </w:rPr>
        <w:t>’ (clause 8.2.1)</w:t>
      </w:r>
      <w:r w:rsidR="00801F86" w:rsidRPr="00801F86">
        <w:rPr>
          <w:rFonts w:ascii="Arial" w:hAnsi="Arial" w:cs="Arial"/>
          <w:sz w:val="24"/>
          <w:szCs w:val="24"/>
        </w:rPr>
        <w:t>;</w:t>
      </w:r>
      <w:r w:rsidR="00801F86">
        <w:rPr>
          <w:rFonts w:ascii="Arial" w:hAnsi="Arial" w:cs="Arial"/>
          <w:sz w:val="24"/>
          <w:szCs w:val="24"/>
        </w:rPr>
        <w:t xml:space="preserve"> </w:t>
      </w:r>
    </w:p>
    <w:p w14:paraId="2D04691F" w14:textId="532E369D" w:rsidR="00C87066" w:rsidRDefault="00757FA8" w:rsidP="00AD3C00">
      <w:pPr>
        <w:rPr>
          <w:rFonts w:ascii="Arial" w:hAnsi="Arial" w:cs="Arial"/>
          <w:sz w:val="24"/>
          <w:szCs w:val="24"/>
        </w:rPr>
      </w:pPr>
      <w:r>
        <w:rPr>
          <w:rFonts w:ascii="Arial" w:hAnsi="Arial" w:cs="Arial"/>
          <w:i/>
          <w:sz w:val="24"/>
          <w:szCs w:val="24"/>
        </w:rPr>
        <w:t>(ii)</w:t>
      </w:r>
      <w:r>
        <w:rPr>
          <w:rFonts w:ascii="Arial" w:hAnsi="Arial" w:cs="Arial"/>
          <w:i/>
          <w:sz w:val="24"/>
          <w:szCs w:val="24"/>
        </w:rPr>
        <w:tab/>
      </w:r>
      <w:r w:rsidR="00E0167F">
        <w:rPr>
          <w:rFonts w:ascii="Arial" w:hAnsi="Arial" w:cs="Arial"/>
          <w:i/>
          <w:sz w:val="24"/>
          <w:szCs w:val="24"/>
        </w:rPr>
        <w:t>‘</w:t>
      </w:r>
      <w:proofErr w:type="gramStart"/>
      <w:r w:rsidR="00801F86" w:rsidRPr="00E0167F">
        <w:rPr>
          <w:rFonts w:ascii="Arial" w:hAnsi="Arial" w:cs="Arial"/>
          <w:i/>
          <w:sz w:val="24"/>
          <w:szCs w:val="24"/>
        </w:rPr>
        <w:t>the</w:t>
      </w:r>
      <w:proofErr w:type="gramEnd"/>
      <w:r w:rsidR="00801F86" w:rsidRPr="00E0167F">
        <w:rPr>
          <w:rFonts w:ascii="Arial" w:hAnsi="Arial" w:cs="Arial"/>
          <w:i/>
          <w:sz w:val="24"/>
          <w:szCs w:val="24"/>
        </w:rPr>
        <w:t xml:space="preserve"> </w:t>
      </w:r>
      <w:r w:rsidR="00E0167F" w:rsidRPr="00E0167F">
        <w:rPr>
          <w:rFonts w:ascii="Arial" w:hAnsi="Arial" w:cs="Arial"/>
          <w:i/>
          <w:sz w:val="24"/>
          <w:szCs w:val="24"/>
        </w:rPr>
        <w:t xml:space="preserve">member </w:t>
      </w:r>
      <w:r w:rsidR="00801F86" w:rsidRPr="00E0167F">
        <w:rPr>
          <w:rFonts w:ascii="Arial" w:hAnsi="Arial" w:cs="Arial"/>
          <w:i/>
          <w:sz w:val="24"/>
          <w:szCs w:val="24"/>
        </w:rPr>
        <w:t xml:space="preserve">may change or withdraw the nomination at </w:t>
      </w:r>
      <w:r w:rsidR="00DC3EF2" w:rsidRPr="00E0167F">
        <w:rPr>
          <w:rFonts w:ascii="Arial" w:hAnsi="Arial" w:cs="Arial"/>
          <w:i/>
          <w:sz w:val="24"/>
          <w:szCs w:val="24"/>
        </w:rPr>
        <w:t>an</w:t>
      </w:r>
      <w:r w:rsidR="0011363B" w:rsidRPr="00E0167F">
        <w:rPr>
          <w:rFonts w:ascii="Arial" w:hAnsi="Arial" w:cs="Arial"/>
          <w:i/>
          <w:sz w:val="24"/>
          <w:szCs w:val="24"/>
        </w:rPr>
        <w:t>y</w:t>
      </w:r>
      <w:r w:rsidR="00DC3EF2" w:rsidRPr="00E0167F">
        <w:rPr>
          <w:rFonts w:ascii="Arial" w:hAnsi="Arial" w:cs="Arial"/>
          <w:i/>
          <w:sz w:val="24"/>
          <w:szCs w:val="24"/>
        </w:rPr>
        <w:t xml:space="preserve"> time provided that such</w:t>
      </w:r>
      <w:r w:rsidR="00801F86" w:rsidRPr="00E0167F">
        <w:rPr>
          <w:rFonts w:ascii="Arial" w:hAnsi="Arial" w:cs="Arial"/>
          <w:i/>
          <w:sz w:val="24"/>
          <w:szCs w:val="24"/>
        </w:rPr>
        <w:t xml:space="preserve"> </w:t>
      </w:r>
      <w:r w:rsidR="0011363B" w:rsidRPr="00E0167F">
        <w:rPr>
          <w:rFonts w:ascii="Arial" w:hAnsi="Arial" w:cs="Arial"/>
          <w:i/>
          <w:sz w:val="24"/>
          <w:szCs w:val="24"/>
        </w:rPr>
        <w:t>change or withdrawal is made in writing</w:t>
      </w:r>
      <w:r w:rsidR="00E0167F">
        <w:rPr>
          <w:rFonts w:ascii="Arial" w:hAnsi="Arial" w:cs="Arial"/>
          <w:i/>
          <w:sz w:val="24"/>
          <w:szCs w:val="24"/>
        </w:rPr>
        <w:t>’</w:t>
      </w:r>
      <w:r w:rsidR="00E0167F" w:rsidRPr="00E0167F">
        <w:rPr>
          <w:rFonts w:ascii="Arial" w:hAnsi="Arial" w:cs="Arial"/>
          <w:i/>
          <w:sz w:val="24"/>
          <w:szCs w:val="24"/>
        </w:rPr>
        <w:t xml:space="preserve"> </w:t>
      </w:r>
      <w:r w:rsidR="00E0167F">
        <w:rPr>
          <w:rFonts w:ascii="Arial" w:hAnsi="Arial" w:cs="Arial"/>
          <w:sz w:val="24"/>
          <w:szCs w:val="24"/>
        </w:rPr>
        <w:t>(clause 8.2.2)</w:t>
      </w:r>
      <w:r w:rsidR="0011363B">
        <w:rPr>
          <w:rFonts w:ascii="Arial" w:hAnsi="Arial" w:cs="Arial"/>
          <w:sz w:val="24"/>
          <w:szCs w:val="24"/>
        </w:rPr>
        <w:t>;</w:t>
      </w:r>
      <w:r w:rsidR="004F3D18">
        <w:rPr>
          <w:rFonts w:ascii="Arial" w:hAnsi="Arial" w:cs="Arial"/>
          <w:sz w:val="24"/>
          <w:szCs w:val="24"/>
        </w:rPr>
        <w:t xml:space="preserve"> </w:t>
      </w:r>
    </w:p>
    <w:p w14:paraId="1D419485" w14:textId="3D58BA67" w:rsidR="00CE65C1" w:rsidRDefault="00757FA8" w:rsidP="00AD3C00">
      <w:pPr>
        <w:rPr>
          <w:rFonts w:ascii="Arial" w:hAnsi="Arial" w:cs="Arial"/>
          <w:sz w:val="24"/>
          <w:szCs w:val="24"/>
        </w:rPr>
      </w:pPr>
      <w:r>
        <w:rPr>
          <w:rFonts w:ascii="Arial" w:hAnsi="Arial" w:cs="Arial"/>
          <w:sz w:val="24"/>
          <w:szCs w:val="24"/>
        </w:rPr>
        <w:t>(m)</w:t>
      </w:r>
      <w:r>
        <w:rPr>
          <w:rFonts w:ascii="Arial" w:hAnsi="Arial" w:cs="Arial"/>
          <w:sz w:val="24"/>
          <w:szCs w:val="24"/>
        </w:rPr>
        <w:tab/>
        <w:t xml:space="preserve">Clause 11 records the </w:t>
      </w:r>
      <w:r w:rsidR="00E0167F" w:rsidRPr="00CE65C1">
        <w:rPr>
          <w:rFonts w:ascii="Arial" w:hAnsi="Arial" w:cs="Arial"/>
          <w:sz w:val="24"/>
          <w:szCs w:val="24"/>
        </w:rPr>
        <w:t xml:space="preserve">mandatory dispute resolution </w:t>
      </w:r>
      <w:r>
        <w:rPr>
          <w:rFonts w:ascii="Arial" w:hAnsi="Arial" w:cs="Arial"/>
          <w:sz w:val="24"/>
          <w:szCs w:val="24"/>
        </w:rPr>
        <w:t xml:space="preserve">processes that the contracting parties are obliged to follow. It does </w:t>
      </w:r>
      <w:r w:rsidR="00E0167F" w:rsidRPr="00CE65C1">
        <w:rPr>
          <w:rFonts w:ascii="Arial" w:hAnsi="Arial" w:cs="Arial"/>
          <w:sz w:val="24"/>
          <w:szCs w:val="24"/>
        </w:rPr>
        <w:t>not make provision for members or beneficiari</w:t>
      </w:r>
      <w:r w:rsidR="00E0167F">
        <w:rPr>
          <w:rFonts w:ascii="Arial" w:hAnsi="Arial" w:cs="Arial"/>
          <w:sz w:val="24"/>
          <w:szCs w:val="24"/>
        </w:rPr>
        <w:t>es of members to refer disputes. It provides that TSA</w:t>
      </w:r>
      <w:r w:rsidR="00CE65C1" w:rsidRPr="00CE65C1">
        <w:rPr>
          <w:rFonts w:ascii="Arial" w:hAnsi="Arial" w:cs="Arial"/>
          <w:sz w:val="24"/>
          <w:szCs w:val="24"/>
        </w:rPr>
        <w:t xml:space="preserve"> and Capital Alliance </w:t>
      </w:r>
      <w:r w:rsidR="006F100E" w:rsidRPr="00CE65C1">
        <w:rPr>
          <w:rFonts w:ascii="Arial" w:hAnsi="Arial" w:cs="Arial"/>
          <w:sz w:val="24"/>
          <w:szCs w:val="24"/>
        </w:rPr>
        <w:t xml:space="preserve">or </w:t>
      </w:r>
      <w:r w:rsidR="00AD3C00">
        <w:rPr>
          <w:rFonts w:ascii="Arial" w:hAnsi="Arial" w:cs="Arial"/>
          <w:sz w:val="24"/>
          <w:szCs w:val="24"/>
        </w:rPr>
        <w:t>IEMAS</w:t>
      </w:r>
      <w:r w:rsidR="00E0167F">
        <w:rPr>
          <w:rFonts w:ascii="Arial" w:hAnsi="Arial" w:cs="Arial"/>
          <w:sz w:val="24"/>
          <w:szCs w:val="24"/>
        </w:rPr>
        <w:t xml:space="preserve"> </w:t>
      </w:r>
      <w:r w:rsidR="00CE65C1" w:rsidRPr="00CE65C1">
        <w:rPr>
          <w:rFonts w:ascii="Arial" w:hAnsi="Arial" w:cs="Arial"/>
          <w:sz w:val="24"/>
          <w:szCs w:val="24"/>
        </w:rPr>
        <w:t>and Capital Alliance will attempt to resolve any dispute between them that arises from the interpretation or implementation of th</w:t>
      </w:r>
      <w:r w:rsidR="00E0167F">
        <w:rPr>
          <w:rFonts w:ascii="Arial" w:hAnsi="Arial" w:cs="Arial"/>
          <w:sz w:val="24"/>
          <w:szCs w:val="24"/>
        </w:rPr>
        <w:t>e</w:t>
      </w:r>
      <w:r w:rsidR="00CE65C1" w:rsidRPr="00CE65C1">
        <w:rPr>
          <w:rFonts w:ascii="Arial" w:hAnsi="Arial" w:cs="Arial"/>
          <w:sz w:val="24"/>
          <w:szCs w:val="24"/>
        </w:rPr>
        <w:t xml:space="preserve"> Policy. If the parties are unable to resolve the dispute, the matter will be referred to the Ombudsman</w:t>
      </w:r>
      <w:r w:rsidR="00D22F0C">
        <w:rPr>
          <w:rFonts w:ascii="Arial" w:hAnsi="Arial" w:cs="Arial"/>
          <w:sz w:val="24"/>
          <w:szCs w:val="24"/>
        </w:rPr>
        <w:t xml:space="preserve">. </w:t>
      </w:r>
      <w:r w:rsidR="00CE65C1" w:rsidRPr="00CE65C1">
        <w:rPr>
          <w:rFonts w:ascii="Arial" w:hAnsi="Arial" w:cs="Arial"/>
          <w:sz w:val="24"/>
          <w:szCs w:val="24"/>
        </w:rPr>
        <w:t>If the dispute is not resolved by the Ombudsman or</w:t>
      </w:r>
      <w:r w:rsidR="00D22F0C">
        <w:rPr>
          <w:rFonts w:ascii="Arial" w:hAnsi="Arial" w:cs="Arial"/>
          <w:sz w:val="24"/>
          <w:szCs w:val="24"/>
        </w:rPr>
        <w:t xml:space="preserve"> </w:t>
      </w:r>
      <w:r w:rsidR="00CE65C1" w:rsidRPr="00CE65C1">
        <w:rPr>
          <w:rFonts w:ascii="Arial" w:hAnsi="Arial" w:cs="Arial"/>
          <w:sz w:val="24"/>
          <w:szCs w:val="24"/>
        </w:rPr>
        <w:t xml:space="preserve">if the parties </w:t>
      </w:r>
      <w:r w:rsidR="00D22F0C">
        <w:rPr>
          <w:rFonts w:ascii="Arial" w:hAnsi="Arial" w:cs="Arial"/>
          <w:sz w:val="24"/>
          <w:szCs w:val="24"/>
        </w:rPr>
        <w:t xml:space="preserve">are unhappy with </w:t>
      </w:r>
      <w:r w:rsidR="00CE65C1" w:rsidRPr="00CE65C1">
        <w:rPr>
          <w:rFonts w:ascii="Arial" w:hAnsi="Arial" w:cs="Arial"/>
          <w:sz w:val="24"/>
          <w:szCs w:val="24"/>
        </w:rPr>
        <w:t>Ombudsman's</w:t>
      </w:r>
      <w:r w:rsidR="00CE65C1">
        <w:rPr>
          <w:rFonts w:ascii="Arial" w:hAnsi="Arial" w:cs="Arial"/>
          <w:sz w:val="24"/>
          <w:szCs w:val="24"/>
        </w:rPr>
        <w:t xml:space="preserve"> </w:t>
      </w:r>
      <w:r w:rsidR="00CE65C1" w:rsidRPr="00CE65C1">
        <w:rPr>
          <w:rFonts w:ascii="Arial" w:hAnsi="Arial" w:cs="Arial"/>
          <w:sz w:val="24"/>
          <w:szCs w:val="24"/>
        </w:rPr>
        <w:t xml:space="preserve">determination, the dispute </w:t>
      </w:r>
      <w:r w:rsidR="00D22F0C">
        <w:rPr>
          <w:rFonts w:ascii="Arial" w:hAnsi="Arial" w:cs="Arial"/>
          <w:sz w:val="24"/>
          <w:szCs w:val="24"/>
        </w:rPr>
        <w:t>must be r</w:t>
      </w:r>
      <w:r w:rsidR="00CE65C1" w:rsidRPr="00CE65C1">
        <w:rPr>
          <w:rFonts w:ascii="Arial" w:hAnsi="Arial" w:cs="Arial"/>
          <w:sz w:val="24"/>
          <w:szCs w:val="24"/>
        </w:rPr>
        <w:t>e</w:t>
      </w:r>
      <w:r w:rsidR="00D22F0C">
        <w:rPr>
          <w:rFonts w:ascii="Arial" w:hAnsi="Arial" w:cs="Arial"/>
          <w:sz w:val="24"/>
          <w:szCs w:val="24"/>
        </w:rPr>
        <w:t>fe</w:t>
      </w:r>
      <w:r w:rsidR="00CE65C1" w:rsidRPr="00CE65C1">
        <w:rPr>
          <w:rFonts w:ascii="Arial" w:hAnsi="Arial" w:cs="Arial"/>
          <w:sz w:val="24"/>
          <w:szCs w:val="24"/>
        </w:rPr>
        <w:t xml:space="preserve">rred to </w:t>
      </w:r>
      <w:r w:rsidR="00CE65C1" w:rsidRPr="00CE65C1">
        <w:rPr>
          <w:rFonts w:ascii="Arial" w:hAnsi="Arial" w:cs="Arial"/>
          <w:sz w:val="24"/>
          <w:szCs w:val="24"/>
        </w:rPr>
        <w:lastRenderedPageBreak/>
        <w:t>arbitration</w:t>
      </w:r>
      <w:r w:rsidR="00D22F0C">
        <w:rPr>
          <w:rFonts w:ascii="Arial" w:hAnsi="Arial" w:cs="Arial"/>
          <w:sz w:val="24"/>
          <w:szCs w:val="24"/>
        </w:rPr>
        <w:t xml:space="preserve"> within the requisite period </w:t>
      </w:r>
      <w:r w:rsidR="00CE65C1" w:rsidRPr="00CE65C1">
        <w:rPr>
          <w:rFonts w:ascii="Arial" w:hAnsi="Arial" w:cs="Arial"/>
          <w:sz w:val="24"/>
          <w:szCs w:val="24"/>
        </w:rPr>
        <w:t>failing which any claim agai</w:t>
      </w:r>
      <w:r>
        <w:rPr>
          <w:rFonts w:ascii="Arial" w:hAnsi="Arial" w:cs="Arial"/>
          <w:sz w:val="24"/>
          <w:szCs w:val="24"/>
        </w:rPr>
        <w:t>nst Capital Alliance shall fall away</w:t>
      </w:r>
      <w:r w:rsidR="00CE65C1" w:rsidRPr="00CE65C1">
        <w:rPr>
          <w:rFonts w:ascii="Arial" w:hAnsi="Arial" w:cs="Arial"/>
          <w:sz w:val="24"/>
          <w:szCs w:val="24"/>
        </w:rPr>
        <w:t>.</w:t>
      </w:r>
    </w:p>
    <w:p w14:paraId="4A663AE9" w14:textId="252AA099" w:rsidR="00CA5DD2" w:rsidRPr="00CA5DD2" w:rsidRDefault="00CA5DD2" w:rsidP="00AD3C00">
      <w:pPr>
        <w:rPr>
          <w:rFonts w:ascii="Arial" w:hAnsi="Arial" w:cs="Arial"/>
          <w:b/>
          <w:sz w:val="24"/>
          <w:szCs w:val="24"/>
        </w:rPr>
      </w:pPr>
      <w:r>
        <w:rPr>
          <w:rFonts w:ascii="Arial" w:hAnsi="Arial" w:cs="Arial"/>
          <w:b/>
          <w:sz w:val="24"/>
          <w:szCs w:val="24"/>
        </w:rPr>
        <w:t xml:space="preserve">The </w:t>
      </w:r>
      <w:r w:rsidR="00AD0638">
        <w:rPr>
          <w:rFonts w:ascii="Arial" w:hAnsi="Arial" w:cs="Arial"/>
          <w:b/>
          <w:sz w:val="24"/>
          <w:szCs w:val="24"/>
        </w:rPr>
        <w:t>parties’</w:t>
      </w:r>
      <w:r>
        <w:rPr>
          <w:rFonts w:ascii="Arial" w:hAnsi="Arial" w:cs="Arial"/>
          <w:b/>
          <w:sz w:val="24"/>
          <w:szCs w:val="24"/>
        </w:rPr>
        <w:t xml:space="preserve"> contentions</w:t>
      </w:r>
    </w:p>
    <w:p w14:paraId="77EB6604" w14:textId="339ACDB0" w:rsidR="0011363B" w:rsidRDefault="00757FA8" w:rsidP="00AD3C00">
      <w:pPr>
        <w:rPr>
          <w:rFonts w:ascii="Arial" w:hAnsi="Arial" w:cs="Arial"/>
          <w:sz w:val="24"/>
          <w:szCs w:val="24"/>
        </w:rPr>
      </w:pPr>
      <w:r>
        <w:rPr>
          <w:rFonts w:ascii="Arial" w:hAnsi="Arial" w:cs="Arial"/>
          <w:sz w:val="24"/>
          <w:szCs w:val="24"/>
        </w:rPr>
        <w:t>[15]</w:t>
      </w:r>
      <w:r>
        <w:rPr>
          <w:rFonts w:ascii="Arial" w:hAnsi="Arial" w:cs="Arial"/>
          <w:sz w:val="24"/>
          <w:szCs w:val="24"/>
        </w:rPr>
        <w:tab/>
      </w:r>
      <w:r w:rsidR="0011363B">
        <w:rPr>
          <w:rFonts w:ascii="Arial" w:hAnsi="Arial" w:cs="Arial"/>
          <w:sz w:val="24"/>
          <w:szCs w:val="24"/>
        </w:rPr>
        <w:t xml:space="preserve">Crossman contends that </w:t>
      </w:r>
      <w:r w:rsidR="006F100E">
        <w:rPr>
          <w:rFonts w:ascii="Arial" w:hAnsi="Arial" w:cs="Arial"/>
          <w:sz w:val="24"/>
          <w:szCs w:val="24"/>
        </w:rPr>
        <w:t>‘</w:t>
      </w:r>
      <w:r w:rsidR="0011363B">
        <w:rPr>
          <w:rFonts w:ascii="Arial" w:hAnsi="Arial" w:cs="Arial"/>
          <w:sz w:val="24"/>
          <w:szCs w:val="24"/>
        </w:rPr>
        <w:t>the</w:t>
      </w:r>
      <w:r w:rsidR="006F100E">
        <w:rPr>
          <w:rFonts w:ascii="Arial" w:hAnsi="Arial" w:cs="Arial"/>
          <w:sz w:val="24"/>
          <w:szCs w:val="24"/>
        </w:rPr>
        <w:t xml:space="preserve"> wording of the nomination form’ prescribed the manner </w:t>
      </w:r>
      <w:r>
        <w:rPr>
          <w:rFonts w:ascii="Arial" w:hAnsi="Arial" w:cs="Arial"/>
          <w:sz w:val="24"/>
          <w:szCs w:val="24"/>
        </w:rPr>
        <w:t xml:space="preserve">for </w:t>
      </w:r>
      <w:r w:rsidR="006F100E">
        <w:rPr>
          <w:rFonts w:ascii="Arial" w:hAnsi="Arial" w:cs="Arial"/>
          <w:sz w:val="24"/>
          <w:szCs w:val="24"/>
        </w:rPr>
        <w:t xml:space="preserve">an effective and </w:t>
      </w:r>
      <w:r w:rsidR="00C06B3B">
        <w:rPr>
          <w:rFonts w:ascii="Arial" w:hAnsi="Arial" w:cs="Arial"/>
          <w:sz w:val="24"/>
          <w:szCs w:val="24"/>
        </w:rPr>
        <w:t>valid revocation</w:t>
      </w:r>
      <w:r>
        <w:rPr>
          <w:rFonts w:ascii="Arial" w:hAnsi="Arial" w:cs="Arial"/>
          <w:sz w:val="24"/>
          <w:szCs w:val="24"/>
        </w:rPr>
        <w:t xml:space="preserve"> and </w:t>
      </w:r>
      <w:r w:rsidR="006F100E">
        <w:rPr>
          <w:rFonts w:ascii="Arial" w:hAnsi="Arial" w:cs="Arial"/>
          <w:sz w:val="24"/>
          <w:szCs w:val="24"/>
        </w:rPr>
        <w:t xml:space="preserve">change of beneficiary </w:t>
      </w:r>
      <w:r>
        <w:rPr>
          <w:rFonts w:ascii="Arial" w:hAnsi="Arial" w:cs="Arial"/>
          <w:sz w:val="24"/>
          <w:szCs w:val="24"/>
        </w:rPr>
        <w:t xml:space="preserve">to </w:t>
      </w:r>
      <w:r w:rsidR="00DF05B5">
        <w:rPr>
          <w:rFonts w:ascii="Arial" w:hAnsi="Arial" w:cs="Arial"/>
          <w:sz w:val="24"/>
          <w:szCs w:val="24"/>
        </w:rPr>
        <w:t xml:space="preserve">occur. That </w:t>
      </w:r>
      <w:r w:rsidR="0011363B">
        <w:rPr>
          <w:rFonts w:ascii="Arial" w:hAnsi="Arial" w:cs="Arial"/>
          <w:sz w:val="24"/>
          <w:szCs w:val="24"/>
        </w:rPr>
        <w:t xml:space="preserve">in order for a </w:t>
      </w:r>
      <w:r>
        <w:rPr>
          <w:rFonts w:ascii="Arial" w:hAnsi="Arial" w:cs="Arial"/>
          <w:sz w:val="24"/>
          <w:szCs w:val="24"/>
        </w:rPr>
        <w:t xml:space="preserve">revocation and </w:t>
      </w:r>
      <w:r w:rsidR="0011363B">
        <w:rPr>
          <w:rFonts w:ascii="Arial" w:hAnsi="Arial" w:cs="Arial"/>
          <w:sz w:val="24"/>
          <w:szCs w:val="24"/>
        </w:rPr>
        <w:t xml:space="preserve">change of beneficiary to be effective and valid, such must be effected by the completion of a new nomination form that must be submitted to </w:t>
      </w:r>
      <w:r w:rsidR="00AD3C00">
        <w:rPr>
          <w:rFonts w:ascii="Arial" w:hAnsi="Arial" w:cs="Arial"/>
          <w:sz w:val="24"/>
          <w:szCs w:val="24"/>
        </w:rPr>
        <w:t>IEMAS</w:t>
      </w:r>
      <w:r w:rsidR="0011363B">
        <w:rPr>
          <w:rFonts w:ascii="Arial" w:hAnsi="Arial" w:cs="Arial"/>
          <w:sz w:val="24"/>
          <w:szCs w:val="24"/>
        </w:rPr>
        <w:t xml:space="preserve"> for it to record the new beneficiary. </w:t>
      </w:r>
    </w:p>
    <w:p w14:paraId="1CB58E08" w14:textId="58828836" w:rsidR="0011363B" w:rsidRDefault="00C06B3B" w:rsidP="00AD3C00">
      <w:pPr>
        <w:rPr>
          <w:rFonts w:ascii="Arial" w:hAnsi="Arial" w:cs="Arial"/>
          <w:sz w:val="24"/>
          <w:szCs w:val="24"/>
        </w:rPr>
      </w:pPr>
      <w:r>
        <w:rPr>
          <w:rFonts w:ascii="Arial" w:hAnsi="Arial" w:cs="Arial"/>
          <w:sz w:val="24"/>
          <w:szCs w:val="24"/>
        </w:rPr>
        <w:t>[16]</w:t>
      </w:r>
      <w:r>
        <w:rPr>
          <w:rFonts w:ascii="Arial" w:hAnsi="Arial" w:cs="Arial"/>
          <w:sz w:val="24"/>
          <w:szCs w:val="24"/>
        </w:rPr>
        <w:tab/>
      </w:r>
      <w:r w:rsidR="0011363B">
        <w:rPr>
          <w:rFonts w:ascii="Arial" w:hAnsi="Arial" w:cs="Arial"/>
          <w:sz w:val="24"/>
          <w:szCs w:val="24"/>
        </w:rPr>
        <w:t>Therefore, since the deceased</w:t>
      </w:r>
      <w:r>
        <w:rPr>
          <w:rFonts w:ascii="Arial" w:hAnsi="Arial" w:cs="Arial"/>
          <w:sz w:val="24"/>
          <w:szCs w:val="24"/>
        </w:rPr>
        <w:t xml:space="preserve"> did not submit the 2019 Nomination to IEMAS, he did not </w:t>
      </w:r>
      <w:r w:rsidR="0011363B">
        <w:rPr>
          <w:rFonts w:ascii="Arial" w:hAnsi="Arial" w:cs="Arial"/>
          <w:sz w:val="24"/>
          <w:szCs w:val="24"/>
        </w:rPr>
        <w:t xml:space="preserve">comply with the terms and condition of the nomination form </w:t>
      </w:r>
      <w:r w:rsidR="00F5006B">
        <w:rPr>
          <w:rFonts w:ascii="Arial" w:hAnsi="Arial" w:cs="Arial"/>
          <w:sz w:val="24"/>
          <w:szCs w:val="24"/>
        </w:rPr>
        <w:t>and the</w:t>
      </w:r>
      <w:r w:rsidR="0011363B">
        <w:rPr>
          <w:rFonts w:ascii="Arial" w:hAnsi="Arial" w:cs="Arial"/>
          <w:sz w:val="24"/>
          <w:szCs w:val="24"/>
        </w:rPr>
        <w:t xml:space="preserve"> Policy and accordingly the </w:t>
      </w:r>
      <w:r w:rsidR="00AD3C00">
        <w:rPr>
          <w:rFonts w:ascii="Arial" w:hAnsi="Arial" w:cs="Arial"/>
          <w:sz w:val="24"/>
          <w:szCs w:val="24"/>
        </w:rPr>
        <w:t>2019 Nomination</w:t>
      </w:r>
      <w:r w:rsidR="0011363B">
        <w:rPr>
          <w:rFonts w:ascii="Arial" w:hAnsi="Arial" w:cs="Arial"/>
          <w:sz w:val="24"/>
          <w:szCs w:val="24"/>
        </w:rPr>
        <w:t xml:space="preserve"> was null and void.</w:t>
      </w:r>
    </w:p>
    <w:p w14:paraId="7C169601" w14:textId="680B7394" w:rsidR="006F0143" w:rsidRDefault="00C06B3B" w:rsidP="00AD3C00">
      <w:pPr>
        <w:rPr>
          <w:rFonts w:ascii="Arial" w:hAnsi="Arial" w:cs="Arial"/>
          <w:sz w:val="24"/>
          <w:szCs w:val="24"/>
        </w:rPr>
      </w:pPr>
      <w:r>
        <w:rPr>
          <w:rFonts w:ascii="Arial" w:hAnsi="Arial" w:cs="Arial"/>
          <w:sz w:val="24"/>
          <w:szCs w:val="24"/>
        </w:rPr>
        <w:t>[17]</w:t>
      </w:r>
      <w:r>
        <w:rPr>
          <w:rFonts w:ascii="Arial" w:hAnsi="Arial" w:cs="Arial"/>
          <w:sz w:val="24"/>
          <w:szCs w:val="24"/>
        </w:rPr>
        <w:tab/>
      </w:r>
      <w:r w:rsidR="00424B00">
        <w:rPr>
          <w:rFonts w:ascii="Arial" w:hAnsi="Arial" w:cs="Arial"/>
          <w:sz w:val="24"/>
          <w:szCs w:val="24"/>
        </w:rPr>
        <w:t xml:space="preserve">She further contends that the </w:t>
      </w:r>
      <w:r w:rsidR="00AD3C00">
        <w:rPr>
          <w:rFonts w:ascii="Arial" w:hAnsi="Arial" w:cs="Arial"/>
          <w:sz w:val="24"/>
          <w:szCs w:val="24"/>
        </w:rPr>
        <w:t>2019 Nomination</w:t>
      </w:r>
      <w:r w:rsidR="00424B00">
        <w:rPr>
          <w:rFonts w:ascii="Arial" w:hAnsi="Arial" w:cs="Arial"/>
          <w:sz w:val="24"/>
          <w:szCs w:val="24"/>
        </w:rPr>
        <w:t xml:space="preserve"> was discovered and submitted at a point in time after she had already accepted the benefit in terms of the Policy on the basis of the </w:t>
      </w:r>
      <w:r w:rsidR="00AD3C00">
        <w:rPr>
          <w:rFonts w:ascii="Arial" w:hAnsi="Arial" w:cs="Arial"/>
          <w:sz w:val="24"/>
          <w:szCs w:val="24"/>
        </w:rPr>
        <w:t>2014 Nomination</w:t>
      </w:r>
      <w:r w:rsidR="00424B00">
        <w:rPr>
          <w:rFonts w:ascii="Arial" w:hAnsi="Arial" w:cs="Arial"/>
          <w:sz w:val="24"/>
          <w:szCs w:val="24"/>
        </w:rPr>
        <w:t xml:space="preserve">. This </w:t>
      </w:r>
      <w:r w:rsidR="00DF05B5">
        <w:rPr>
          <w:rFonts w:ascii="Arial" w:hAnsi="Arial" w:cs="Arial"/>
          <w:sz w:val="24"/>
          <w:szCs w:val="24"/>
        </w:rPr>
        <w:t xml:space="preserve">acceptance </w:t>
      </w:r>
      <w:r w:rsidR="00424B00">
        <w:rPr>
          <w:rFonts w:ascii="Arial" w:hAnsi="Arial" w:cs="Arial"/>
          <w:sz w:val="24"/>
          <w:szCs w:val="24"/>
        </w:rPr>
        <w:t xml:space="preserve">was </w:t>
      </w:r>
      <w:r w:rsidR="00DF05B5">
        <w:rPr>
          <w:rFonts w:ascii="Arial" w:hAnsi="Arial" w:cs="Arial"/>
          <w:sz w:val="24"/>
          <w:szCs w:val="24"/>
        </w:rPr>
        <w:t xml:space="preserve">effected by the </w:t>
      </w:r>
      <w:r w:rsidR="006F0143">
        <w:rPr>
          <w:rFonts w:ascii="Arial" w:hAnsi="Arial" w:cs="Arial"/>
          <w:sz w:val="24"/>
          <w:szCs w:val="24"/>
        </w:rPr>
        <w:t xml:space="preserve">completion and submission of </w:t>
      </w:r>
      <w:r w:rsidR="00424B00">
        <w:rPr>
          <w:rFonts w:ascii="Arial" w:hAnsi="Arial" w:cs="Arial"/>
          <w:sz w:val="24"/>
          <w:szCs w:val="24"/>
        </w:rPr>
        <w:t>the required claim form</w:t>
      </w:r>
      <w:r w:rsidR="00DF05B5">
        <w:rPr>
          <w:rFonts w:ascii="Arial" w:hAnsi="Arial" w:cs="Arial"/>
          <w:sz w:val="24"/>
          <w:szCs w:val="24"/>
        </w:rPr>
        <w:t xml:space="preserve"> to </w:t>
      </w:r>
      <w:r w:rsidR="00AD3C00">
        <w:rPr>
          <w:rFonts w:ascii="Arial" w:hAnsi="Arial" w:cs="Arial"/>
          <w:sz w:val="24"/>
          <w:szCs w:val="24"/>
        </w:rPr>
        <w:t>IEMAS</w:t>
      </w:r>
      <w:r w:rsidR="00DF05B5">
        <w:rPr>
          <w:rFonts w:ascii="Arial" w:hAnsi="Arial" w:cs="Arial"/>
          <w:sz w:val="24"/>
          <w:szCs w:val="24"/>
        </w:rPr>
        <w:t xml:space="preserve">, </w:t>
      </w:r>
      <w:r w:rsidR="006F0143">
        <w:rPr>
          <w:rFonts w:ascii="Arial" w:hAnsi="Arial" w:cs="Arial"/>
          <w:sz w:val="24"/>
          <w:szCs w:val="24"/>
        </w:rPr>
        <w:t>which created a contract between her and Capital Alliance.</w:t>
      </w:r>
    </w:p>
    <w:p w14:paraId="6DCE9616" w14:textId="60888386" w:rsidR="00B01791" w:rsidRDefault="00C06B3B" w:rsidP="00AD3C00">
      <w:pPr>
        <w:rPr>
          <w:rFonts w:ascii="Arial" w:hAnsi="Arial" w:cs="Arial"/>
          <w:sz w:val="24"/>
          <w:szCs w:val="24"/>
        </w:rPr>
      </w:pPr>
      <w:r>
        <w:rPr>
          <w:rFonts w:ascii="Arial" w:hAnsi="Arial" w:cs="Arial"/>
          <w:sz w:val="24"/>
          <w:szCs w:val="24"/>
        </w:rPr>
        <w:t>[18]</w:t>
      </w:r>
      <w:r>
        <w:rPr>
          <w:rFonts w:ascii="Arial" w:hAnsi="Arial" w:cs="Arial"/>
          <w:sz w:val="24"/>
          <w:szCs w:val="24"/>
        </w:rPr>
        <w:tab/>
      </w:r>
      <w:r w:rsidR="00FC5D41">
        <w:rPr>
          <w:rFonts w:ascii="Arial" w:hAnsi="Arial" w:cs="Arial"/>
          <w:sz w:val="24"/>
          <w:szCs w:val="24"/>
        </w:rPr>
        <w:t xml:space="preserve">Although not expressly stated in the founding papers, it was also contended on behalf of </w:t>
      </w:r>
      <w:r w:rsidR="00B01791">
        <w:rPr>
          <w:rFonts w:ascii="Arial" w:hAnsi="Arial" w:cs="Arial"/>
          <w:sz w:val="24"/>
          <w:szCs w:val="24"/>
        </w:rPr>
        <w:t xml:space="preserve">Crossman that the Policy created a </w:t>
      </w:r>
      <w:proofErr w:type="spellStart"/>
      <w:r w:rsidR="00B01791" w:rsidRPr="00B01791">
        <w:rPr>
          <w:rFonts w:ascii="Arial" w:hAnsi="Arial" w:cs="Arial"/>
          <w:i/>
          <w:sz w:val="24"/>
          <w:szCs w:val="24"/>
        </w:rPr>
        <w:t>stipulatio</w:t>
      </w:r>
      <w:proofErr w:type="spellEnd"/>
      <w:r w:rsidR="00B01791" w:rsidRPr="00B01791">
        <w:rPr>
          <w:rFonts w:ascii="Arial" w:hAnsi="Arial" w:cs="Arial"/>
          <w:i/>
          <w:sz w:val="24"/>
          <w:szCs w:val="24"/>
        </w:rPr>
        <w:t xml:space="preserve"> </w:t>
      </w:r>
      <w:proofErr w:type="spellStart"/>
      <w:r w:rsidR="00B01791" w:rsidRPr="00B01791">
        <w:rPr>
          <w:rFonts w:ascii="Arial" w:hAnsi="Arial" w:cs="Arial"/>
          <w:i/>
          <w:sz w:val="24"/>
          <w:szCs w:val="24"/>
        </w:rPr>
        <w:t>alteri</w:t>
      </w:r>
      <w:proofErr w:type="spellEnd"/>
      <w:r w:rsidR="00B01791">
        <w:rPr>
          <w:rFonts w:ascii="Arial" w:hAnsi="Arial" w:cs="Arial"/>
          <w:sz w:val="24"/>
          <w:szCs w:val="24"/>
        </w:rPr>
        <w:t xml:space="preserve"> for the benefit of the deceased, who upon acceptance of the </w:t>
      </w:r>
      <w:r w:rsidR="00FC5D41">
        <w:rPr>
          <w:rFonts w:ascii="Arial" w:hAnsi="Arial" w:cs="Arial"/>
          <w:sz w:val="24"/>
          <w:szCs w:val="24"/>
        </w:rPr>
        <w:t>benefits became</w:t>
      </w:r>
      <w:r w:rsidR="00B01791">
        <w:rPr>
          <w:rFonts w:ascii="Arial" w:hAnsi="Arial" w:cs="Arial"/>
          <w:sz w:val="24"/>
          <w:szCs w:val="24"/>
        </w:rPr>
        <w:t xml:space="preserve"> a contractual party to Po</w:t>
      </w:r>
      <w:r w:rsidR="00FC5D41">
        <w:rPr>
          <w:rFonts w:ascii="Arial" w:hAnsi="Arial" w:cs="Arial"/>
          <w:sz w:val="24"/>
          <w:szCs w:val="24"/>
        </w:rPr>
        <w:t xml:space="preserve">licy, with Capital Alliance and </w:t>
      </w:r>
      <w:r w:rsidR="00AD3C00">
        <w:rPr>
          <w:rFonts w:ascii="Arial" w:hAnsi="Arial" w:cs="Arial"/>
          <w:sz w:val="24"/>
          <w:szCs w:val="24"/>
        </w:rPr>
        <w:t>IEMAS</w:t>
      </w:r>
      <w:r w:rsidR="00FC5D41">
        <w:rPr>
          <w:rFonts w:ascii="Arial" w:hAnsi="Arial" w:cs="Arial"/>
          <w:sz w:val="24"/>
          <w:szCs w:val="24"/>
        </w:rPr>
        <w:t xml:space="preserve">. As a party to the Policy, the deceased acquired rights and incurred obligations such as the obligation to pay premiums. Upon the death of the deceased the nominated beneficiary is entitled to accept the benefit and Capital </w:t>
      </w:r>
      <w:r>
        <w:rPr>
          <w:rFonts w:ascii="Arial" w:hAnsi="Arial" w:cs="Arial"/>
          <w:sz w:val="24"/>
          <w:szCs w:val="24"/>
        </w:rPr>
        <w:t>Alliance</w:t>
      </w:r>
      <w:r w:rsidR="00FC5D41">
        <w:rPr>
          <w:rFonts w:ascii="Arial" w:hAnsi="Arial" w:cs="Arial"/>
          <w:sz w:val="24"/>
          <w:szCs w:val="24"/>
        </w:rPr>
        <w:t xml:space="preserve"> is obliged to pay the proceeds to her. </w:t>
      </w:r>
      <w:r>
        <w:rPr>
          <w:rFonts w:ascii="Arial" w:hAnsi="Arial" w:cs="Arial"/>
          <w:sz w:val="24"/>
          <w:szCs w:val="24"/>
        </w:rPr>
        <w:t xml:space="preserve">Accordingly, </w:t>
      </w:r>
      <w:r w:rsidR="00FC5D41">
        <w:rPr>
          <w:rFonts w:ascii="Arial" w:hAnsi="Arial" w:cs="Arial"/>
          <w:sz w:val="24"/>
          <w:szCs w:val="24"/>
        </w:rPr>
        <w:t>Crossman’s acceptance of the benefits created a contractual relationship between her and Capital Alliance</w:t>
      </w:r>
      <w:r w:rsidR="00B01791">
        <w:rPr>
          <w:rFonts w:ascii="Arial" w:hAnsi="Arial" w:cs="Arial"/>
          <w:sz w:val="24"/>
          <w:szCs w:val="24"/>
        </w:rPr>
        <w:t xml:space="preserve">. </w:t>
      </w:r>
    </w:p>
    <w:p w14:paraId="0985A10C" w14:textId="0E5E1C28" w:rsidR="00424B00" w:rsidRDefault="00C06B3B" w:rsidP="00AD3C00">
      <w:pPr>
        <w:rPr>
          <w:rFonts w:ascii="Arial" w:hAnsi="Arial" w:cs="Arial"/>
          <w:sz w:val="24"/>
          <w:szCs w:val="24"/>
        </w:rPr>
      </w:pPr>
      <w:r>
        <w:rPr>
          <w:rFonts w:ascii="Arial" w:hAnsi="Arial" w:cs="Arial"/>
          <w:sz w:val="24"/>
          <w:szCs w:val="24"/>
        </w:rPr>
        <w:t>[19]</w:t>
      </w:r>
      <w:r>
        <w:rPr>
          <w:rFonts w:ascii="Arial" w:hAnsi="Arial" w:cs="Arial"/>
          <w:sz w:val="24"/>
          <w:szCs w:val="24"/>
        </w:rPr>
        <w:tab/>
      </w:r>
      <w:r w:rsidR="006F0143">
        <w:rPr>
          <w:rFonts w:ascii="Arial" w:hAnsi="Arial" w:cs="Arial"/>
          <w:sz w:val="24"/>
          <w:szCs w:val="24"/>
        </w:rPr>
        <w:t>Crossman also</w:t>
      </w:r>
      <w:r>
        <w:rPr>
          <w:rFonts w:ascii="Arial" w:hAnsi="Arial" w:cs="Arial"/>
          <w:sz w:val="24"/>
          <w:szCs w:val="24"/>
        </w:rPr>
        <w:t xml:space="preserve"> averred </w:t>
      </w:r>
      <w:r w:rsidR="006F0143">
        <w:rPr>
          <w:rFonts w:ascii="Arial" w:hAnsi="Arial" w:cs="Arial"/>
          <w:sz w:val="24"/>
          <w:szCs w:val="24"/>
        </w:rPr>
        <w:t xml:space="preserve">that </w:t>
      </w:r>
      <w:r w:rsidR="00AD3C00">
        <w:rPr>
          <w:rFonts w:ascii="Arial" w:hAnsi="Arial" w:cs="Arial"/>
          <w:sz w:val="24"/>
          <w:szCs w:val="24"/>
        </w:rPr>
        <w:t>IEMAS</w:t>
      </w:r>
      <w:r w:rsidR="006F0143">
        <w:rPr>
          <w:rFonts w:ascii="Arial" w:hAnsi="Arial" w:cs="Arial"/>
          <w:sz w:val="24"/>
          <w:szCs w:val="24"/>
        </w:rPr>
        <w:t xml:space="preserve">’ recording of the </w:t>
      </w:r>
      <w:r w:rsidR="00AD3C00">
        <w:rPr>
          <w:rFonts w:ascii="Arial" w:hAnsi="Arial" w:cs="Arial"/>
          <w:sz w:val="24"/>
          <w:szCs w:val="24"/>
        </w:rPr>
        <w:t>2019 Nomination</w:t>
      </w:r>
      <w:r w:rsidR="006F0143">
        <w:rPr>
          <w:rFonts w:ascii="Arial" w:hAnsi="Arial" w:cs="Arial"/>
          <w:sz w:val="24"/>
          <w:szCs w:val="24"/>
        </w:rPr>
        <w:t xml:space="preserve"> </w:t>
      </w:r>
      <w:r>
        <w:rPr>
          <w:rFonts w:ascii="Arial" w:hAnsi="Arial" w:cs="Arial"/>
          <w:sz w:val="24"/>
          <w:szCs w:val="24"/>
        </w:rPr>
        <w:t>was</w:t>
      </w:r>
      <w:r w:rsidR="006F0143">
        <w:rPr>
          <w:rFonts w:ascii="Arial" w:hAnsi="Arial" w:cs="Arial"/>
          <w:sz w:val="24"/>
          <w:szCs w:val="24"/>
        </w:rPr>
        <w:t xml:space="preserve"> an attempt by it to vest Gareth with rights in terms of the Policy when the benefits in terms of that Policy had already been accepted by her. </w:t>
      </w:r>
    </w:p>
    <w:p w14:paraId="7A311BEB" w14:textId="495B4CD6" w:rsidR="00D645E8" w:rsidRDefault="00C06B3B" w:rsidP="00AD3C00">
      <w:pPr>
        <w:rPr>
          <w:rFonts w:ascii="Arial" w:hAnsi="Arial" w:cs="Arial"/>
          <w:sz w:val="24"/>
          <w:szCs w:val="24"/>
        </w:rPr>
      </w:pPr>
      <w:r>
        <w:rPr>
          <w:rFonts w:ascii="Arial" w:hAnsi="Arial" w:cs="Arial"/>
          <w:sz w:val="24"/>
          <w:szCs w:val="24"/>
        </w:rPr>
        <w:t>[20]</w:t>
      </w:r>
      <w:r>
        <w:rPr>
          <w:rFonts w:ascii="Arial" w:hAnsi="Arial" w:cs="Arial"/>
          <w:sz w:val="24"/>
          <w:szCs w:val="24"/>
        </w:rPr>
        <w:tab/>
      </w:r>
      <w:r w:rsidR="00EA605D">
        <w:rPr>
          <w:rFonts w:ascii="Arial" w:hAnsi="Arial" w:cs="Arial"/>
          <w:sz w:val="24"/>
          <w:szCs w:val="24"/>
        </w:rPr>
        <w:t xml:space="preserve">Notwithstanding the fact that it disputed most of Crossman’s averments, Capital Alliance’s opposition to this application is succinctly encapsulated in four arguments. </w:t>
      </w:r>
      <w:r w:rsidR="00D645E8">
        <w:rPr>
          <w:rFonts w:ascii="Arial" w:hAnsi="Arial" w:cs="Arial"/>
          <w:sz w:val="24"/>
          <w:szCs w:val="24"/>
        </w:rPr>
        <w:t xml:space="preserve">The </w:t>
      </w:r>
      <w:r w:rsidR="00EA605D">
        <w:rPr>
          <w:rFonts w:ascii="Arial" w:hAnsi="Arial" w:cs="Arial"/>
          <w:sz w:val="24"/>
          <w:szCs w:val="24"/>
        </w:rPr>
        <w:t>first argument</w:t>
      </w:r>
      <w:r w:rsidR="00D645E8">
        <w:rPr>
          <w:rFonts w:ascii="Arial" w:hAnsi="Arial" w:cs="Arial"/>
          <w:sz w:val="24"/>
          <w:szCs w:val="24"/>
        </w:rPr>
        <w:t xml:space="preserve"> is </w:t>
      </w:r>
      <w:r w:rsidR="0036227B">
        <w:rPr>
          <w:rFonts w:ascii="Arial" w:hAnsi="Arial" w:cs="Arial"/>
          <w:sz w:val="24"/>
          <w:szCs w:val="24"/>
        </w:rPr>
        <w:t xml:space="preserve">that Crossman’s claim is fundamentally flawed because it is premised upon the assertion that the Policy was simply an agreement for the benefit of a third party. That it </w:t>
      </w:r>
      <w:r w:rsidR="0036227B">
        <w:rPr>
          <w:rFonts w:ascii="Arial" w:hAnsi="Arial" w:cs="Arial"/>
          <w:sz w:val="24"/>
          <w:szCs w:val="24"/>
        </w:rPr>
        <w:lastRenderedPageBreak/>
        <w:t xml:space="preserve">created a </w:t>
      </w:r>
      <w:proofErr w:type="spellStart"/>
      <w:r w:rsidR="0036227B">
        <w:rPr>
          <w:rFonts w:ascii="Arial" w:hAnsi="Arial" w:cs="Arial"/>
          <w:i/>
          <w:sz w:val="24"/>
          <w:szCs w:val="24"/>
        </w:rPr>
        <w:t>stipulatio</w:t>
      </w:r>
      <w:proofErr w:type="spellEnd"/>
      <w:r w:rsidR="0036227B">
        <w:rPr>
          <w:rFonts w:ascii="Arial" w:hAnsi="Arial" w:cs="Arial"/>
          <w:i/>
          <w:sz w:val="24"/>
          <w:szCs w:val="24"/>
        </w:rPr>
        <w:t xml:space="preserve"> </w:t>
      </w:r>
      <w:proofErr w:type="spellStart"/>
      <w:r w:rsidR="0036227B">
        <w:rPr>
          <w:rFonts w:ascii="Arial" w:hAnsi="Arial" w:cs="Arial"/>
          <w:i/>
          <w:sz w:val="24"/>
          <w:szCs w:val="24"/>
        </w:rPr>
        <w:t>alteri</w:t>
      </w:r>
      <w:proofErr w:type="spellEnd"/>
      <w:r w:rsidR="0036227B">
        <w:rPr>
          <w:rFonts w:ascii="Arial" w:hAnsi="Arial" w:cs="Arial"/>
          <w:i/>
          <w:sz w:val="24"/>
          <w:szCs w:val="24"/>
        </w:rPr>
        <w:t xml:space="preserve"> </w:t>
      </w:r>
      <w:r w:rsidR="0036227B">
        <w:rPr>
          <w:rFonts w:ascii="Arial" w:hAnsi="Arial" w:cs="Arial"/>
          <w:sz w:val="24"/>
          <w:szCs w:val="24"/>
        </w:rPr>
        <w:t xml:space="preserve">in </w:t>
      </w:r>
      <w:r>
        <w:rPr>
          <w:rFonts w:ascii="Arial" w:hAnsi="Arial" w:cs="Arial"/>
          <w:sz w:val="24"/>
          <w:szCs w:val="24"/>
        </w:rPr>
        <w:t xml:space="preserve">her </w:t>
      </w:r>
      <w:r w:rsidR="0036227B">
        <w:rPr>
          <w:rFonts w:ascii="Arial" w:hAnsi="Arial" w:cs="Arial"/>
          <w:sz w:val="24"/>
          <w:szCs w:val="24"/>
        </w:rPr>
        <w:t>favour as the nominated beneficiary thereby</w:t>
      </w:r>
      <w:r>
        <w:rPr>
          <w:rFonts w:ascii="Arial" w:hAnsi="Arial" w:cs="Arial"/>
          <w:sz w:val="24"/>
          <w:szCs w:val="24"/>
        </w:rPr>
        <w:t xml:space="preserve"> creating and imposing</w:t>
      </w:r>
      <w:r w:rsidR="0036227B">
        <w:rPr>
          <w:rFonts w:ascii="Arial" w:hAnsi="Arial" w:cs="Arial"/>
          <w:sz w:val="24"/>
          <w:szCs w:val="24"/>
        </w:rPr>
        <w:t xml:space="preserve"> contractual rights and obligations between her and Capital Alliance.</w:t>
      </w:r>
      <w:r w:rsidR="00D645E8">
        <w:rPr>
          <w:rFonts w:ascii="Arial" w:hAnsi="Arial" w:cs="Arial"/>
          <w:sz w:val="24"/>
          <w:szCs w:val="24"/>
        </w:rPr>
        <w:t xml:space="preserve"> </w:t>
      </w:r>
      <w:r w:rsidR="007354F1">
        <w:rPr>
          <w:rFonts w:ascii="Arial" w:hAnsi="Arial" w:cs="Arial"/>
          <w:sz w:val="24"/>
          <w:szCs w:val="24"/>
        </w:rPr>
        <w:t>The Policy</w:t>
      </w:r>
      <w:r w:rsidR="00D645E8">
        <w:rPr>
          <w:rFonts w:ascii="Arial" w:hAnsi="Arial" w:cs="Arial"/>
          <w:sz w:val="24"/>
          <w:szCs w:val="24"/>
        </w:rPr>
        <w:t xml:space="preserve">, it asserted, </w:t>
      </w:r>
      <w:r w:rsidR="00D22F0C">
        <w:rPr>
          <w:rFonts w:ascii="Arial" w:hAnsi="Arial" w:cs="Arial"/>
          <w:sz w:val="24"/>
          <w:szCs w:val="24"/>
        </w:rPr>
        <w:t>is</w:t>
      </w:r>
      <w:r w:rsidR="00B53D6D">
        <w:rPr>
          <w:rFonts w:ascii="Arial" w:hAnsi="Arial" w:cs="Arial"/>
          <w:sz w:val="24"/>
          <w:szCs w:val="24"/>
        </w:rPr>
        <w:t xml:space="preserve"> one which has </w:t>
      </w:r>
      <w:r>
        <w:rPr>
          <w:rFonts w:ascii="Arial" w:hAnsi="Arial" w:cs="Arial"/>
          <w:sz w:val="24"/>
          <w:szCs w:val="24"/>
        </w:rPr>
        <w:t xml:space="preserve">only </w:t>
      </w:r>
      <w:r w:rsidR="00B53D6D">
        <w:rPr>
          <w:rFonts w:ascii="Arial" w:hAnsi="Arial" w:cs="Arial"/>
          <w:sz w:val="24"/>
          <w:szCs w:val="24"/>
        </w:rPr>
        <w:t xml:space="preserve">been </w:t>
      </w:r>
      <w:r w:rsidR="00D22F0C">
        <w:rPr>
          <w:rFonts w:ascii="Arial" w:hAnsi="Arial" w:cs="Arial"/>
          <w:sz w:val="24"/>
          <w:szCs w:val="24"/>
        </w:rPr>
        <w:t xml:space="preserve">concluded between Capital Alliance, TSA and </w:t>
      </w:r>
      <w:r w:rsidR="00AD3C00">
        <w:rPr>
          <w:rFonts w:ascii="Arial" w:hAnsi="Arial" w:cs="Arial"/>
          <w:sz w:val="24"/>
          <w:szCs w:val="24"/>
        </w:rPr>
        <w:t>IEMAS</w:t>
      </w:r>
      <w:r>
        <w:rPr>
          <w:rFonts w:ascii="Arial" w:hAnsi="Arial" w:cs="Arial"/>
          <w:sz w:val="24"/>
          <w:szCs w:val="24"/>
        </w:rPr>
        <w:t xml:space="preserve"> </w:t>
      </w:r>
      <w:r w:rsidR="007354F1">
        <w:rPr>
          <w:rFonts w:ascii="Arial" w:hAnsi="Arial" w:cs="Arial"/>
          <w:sz w:val="24"/>
          <w:szCs w:val="24"/>
        </w:rPr>
        <w:t>(the</w:t>
      </w:r>
      <w:r w:rsidR="00B53D6D">
        <w:rPr>
          <w:rFonts w:ascii="Arial" w:hAnsi="Arial" w:cs="Arial"/>
          <w:sz w:val="24"/>
          <w:szCs w:val="24"/>
        </w:rPr>
        <w:t xml:space="preserve"> contracting parties)</w:t>
      </w:r>
      <w:r w:rsidR="00D22F0C">
        <w:rPr>
          <w:rFonts w:ascii="Arial" w:hAnsi="Arial" w:cs="Arial"/>
          <w:sz w:val="24"/>
          <w:szCs w:val="24"/>
        </w:rPr>
        <w:t xml:space="preserve">. </w:t>
      </w:r>
    </w:p>
    <w:p w14:paraId="58835EDC" w14:textId="44E791E1" w:rsidR="00D22F0C" w:rsidRDefault="00C06B3B" w:rsidP="00AD3C00">
      <w:pPr>
        <w:rPr>
          <w:rFonts w:ascii="Arial" w:hAnsi="Arial" w:cs="Arial"/>
          <w:sz w:val="24"/>
          <w:szCs w:val="24"/>
        </w:rPr>
      </w:pPr>
      <w:r>
        <w:rPr>
          <w:rFonts w:ascii="Arial" w:hAnsi="Arial" w:cs="Arial"/>
          <w:sz w:val="24"/>
          <w:szCs w:val="24"/>
        </w:rPr>
        <w:t>[21]</w:t>
      </w:r>
      <w:r>
        <w:rPr>
          <w:rFonts w:ascii="Arial" w:hAnsi="Arial" w:cs="Arial"/>
          <w:sz w:val="24"/>
          <w:szCs w:val="24"/>
        </w:rPr>
        <w:tab/>
      </w:r>
      <w:r w:rsidR="00D22F0C">
        <w:rPr>
          <w:rFonts w:ascii="Arial" w:hAnsi="Arial" w:cs="Arial"/>
          <w:sz w:val="24"/>
          <w:szCs w:val="24"/>
        </w:rPr>
        <w:t xml:space="preserve">Whilst it may </w:t>
      </w:r>
      <w:r w:rsidR="00B53D6D">
        <w:rPr>
          <w:rFonts w:ascii="Arial" w:hAnsi="Arial" w:cs="Arial"/>
          <w:sz w:val="24"/>
          <w:szCs w:val="24"/>
        </w:rPr>
        <w:t xml:space="preserve">confer benefits on members and/or beneficiaries, it does not </w:t>
      </w:r>
      <w:r w:rsidR="00D22F0C">
        <w:rPr>
          <w:rFonts w:ascii="Arial" w:hAnsi="Arial" w:cs="Arial"/>
          <w:sz w:val="24"/>
          <w:szCs w:val="24"/>
        </w:rPr>
        <w:t>create</w:t>
      </w:r>
      <w:r w:rsidR="00B53D6D">
        <w:rPr>
          <w:rFonts w:ascii="Arial" w:hAnsi="Arial" w:cs="Arial"/>
          <w:sz w:val="24"/>
          <w:szCs w:val="24"/>
        </w:rPr>
        <w:t xml:space="preserve"> any contractual nexus between Capital Alliance and a beneficiary, upon the death of a member. The policy does not create a </w:t>
      </w:r>
      <w:proofErr w:type="spellStart"/>
      <w:r w:rsidR="00B53D6D" w:rsidRPr="00B53D6D">
        <w:rPr>
          <w:rFonts w:ascii="Arial" w:hAnsi="Arial" w:cs="Arial"/>
          <w:i/>
          <w:sz w:val="24"/>
          <w:szCs w:val="24"/>
        </w:rPr>
        <w:t>stipulatio</w:t>
      </w:r>
      <w:proofErr w:type="spellEnd"/>
      <w:r w:rsidR="00B53D6D" w:rsidRPr="00B53D6D">
        <w:rPr>
          <w:rFonts w:ascii="Arial" w:hAnsi="Arial" w:cs="Arial"/>
          <w:i/>
          <w:sz w:val="24"/>
          <w:szCs w:val="24"/>
        </w:rPr>
        <w:t xml:space="preserve"> </w:t>
      </w:r>
      <w:proofErr w:type="spellStart"/>
      <w:r w:rsidR="00B53D6D" w:rsidRPr="00B53D6D">
        <w:rPr>
          <w:rFonts w:ascii="Arial" w:hAnsi="Arial" w:cs="Arial"/>
          <w:i/>
          <w:sz w:val="24"/>
          <w:szCs w:val="24"/>
        </w:rPr>
        <w:t>alteri</w:t>
      </w:r>
      <w:proofErr w:type="spellEnd"/>
      <w:r w:rsidR="00B53D6D">
        <w:rPr>
          <w:rFonts w:ascii="Arial" w:hAnsi="Arial" w:cs="Arial"/>
          <w:sz w:val="24"/>
          <w:szCs w:val="24"/>
        </w:rPr>
        <w:t xml:space="preserve"> in favour of a nominated beneficiary in circumstances where the member himself is not a contracting party, nor was</w:t>
      </w:r>
      <w:r w:rsidR="00AD0638">
        <w:rPr>
          <w:rFonts w:ascii="Arial" w:hAnsi="Arial" w:cs="Arial"/>
          <w:sz w:val="24"/>
          <w:szCs w:val="24"/>
        </w:rPr>
        <w:t xml:space="preserve"> it </w:t>
      </w:r>
      <w:r w:rsidR="00B53D6D">
        <w:rPr>
          <w:rFonts w:ascii="Arial" w:hAnsi="Arial" w:cs="Arial"/>
          <w:sz w:val="24"/>
          <w:szCs w:val="24"/>
        </w:rPr>
        <w:t xml:space="preserve">intended by the contracting parties </w:t>
      </w:r>
      <w:r w:rsidR="00AD0638">
        <w:rPr>
          <w:rFonts w:ascii="Arial" w:hAnsi="Arial" w:cs="Arial"/>
          <w:sz w:val="24"/>
          <w:szCs w:val="24"/>
        </w:rPr>
        <w:t xml:space="preserve">that such a </w:t>
      </w:r>
      <w:proofErr w:type="spellStart"/>
      <w:r w:rsidR="00AD0638" w:rsidRPr="00B53D6D">
        <w:rPr>
          <w:rFonts w:ascii="Arial" w:hAnsi="Arial" w:cs="Arial"/>
          <w:i/>
          <w:sz w:val="24"/>
          <w:szCs w:val="24"/>
        </w:rPr>
        <w:t>stipulatio</w:t>
      </w:r>
      <w:proofErr w:type="spellEnd"/>
      <w:r w:rsidR="00AD0638" w:rsidRPr="00B53D6D">
        <w:rPr>
          <w:rFonts w:ascii="Arial" w:hAnsi="Arial" w:cs="Arial"/>
          <w:i/>
          <w:sz w:val="24"/>
          <w:szCs w:val="24"/>
        </w:rPr>
        <w:t xml:space="preserve"> </w:t>
      </w:r>
      <w:proofErr w:type="spellStart"/>
      <w:r w:rsidR="00AD0638" w:rsidRPr="00B53D6D">
        <w:rPr>
          <w:rFonts w:ascii="Arial" w:hAnsi="Arial" w:cs="Arial"/>
          <w:i/>
          <w:sz w:val="24"/>
          <w:szCs w:val="24"/>
        </w:rPr>
        <w:t>alteri</w:t>
      </w:r>
      <w:proofErr w:type="spellEnd"/>
      <w:r w:rsidR="00AD0638">
        <w:rPr>
          <w:rFonts w:ascii="Arial" w:hAnsi="Arial" w:cs="Arial"/>
          <w:i/>
          <w:sz w:val="24"/>
          <w:szCs w:val="24"/>
        </w:rPr>
        <w:t xml:space="preserve"> </w:t>
      </w:r>
      <w:r w:rsidR="00AD0638">
        <w:rPr>
          <w:rFonts w:ascii="Arial" w:hAnsi="Arial" w:cs="Arial"/>
          <w:sz w:val="24"/>
          <w:szCs w:val="24"/>
        </w:rPr>
        <w:t>would be created.</w:t>
      </w:r>
      <w:r w:rsidR="00B53D6D">
        <w:rPr>
          <w:rFonts w:ascii="Arial" w:hAnsi="Arial" w:cs="Arial"/>
          <w:sz w:val="24"/>
          <w:szCs w:val="24"/>
        </w:rPr>
        <w:t xml:space="preserve">  </w:t>
      </w:r>
    </w:p>
    <w:p w14:paraId="30B6251D" w14:textId="5C1BD3E2" w:rsidR="00EA605D" w:rsidRDefault="009D52F3" w:rsidP="00AD3C00">
      <w:pPr>
        <w:rPr>
          <w:rFonts w:ascii="Arial" w:hAnsi="Arial" w:cs="Arial"/>
          <w:sz w:val="24"/>
          <w:szCs w:val="24"/>
        </w:rPr>
      </w:pPr>
      <w:r>
        <w:rPr>
          <w:rFonts w:ascii="Arial" w:hAnsi="Arial" w:cs="Arial"/>
          <w:sz w:val="24"/>
          <w:szCs w:val="24"/>
        </w:rPr>
        <w:t>[22]</w:t>
      </w:r>
      <w:r>
        <w:rPr>
          <w:rFonts w:ascii="Arial" w:hAnsi="Arial" w:cs="Arial"/>
          <w:sz w:val="24"/>
          <w:szCs w:val="24"/>
        </w:rPr>
        <w:tab/>
      </w:r>
      <w:r w:rsidR="00EA605D">
        <w:rPr>
          <w:rFonts w:ascii="Arial" w:hAnsi="Arial" w:cs="Arial"/>
          <w:sz w:val="24"/>
          <w:szCs w:val="24"/>
        </w:rPr>
        <w:t xml:space="preserve">The second argument is that clause 8.2.2 of the Policy entitled the deceased to </w:t>
      </w:r>
      <w:r>
        <w:rPr>
          <w:rFonts w:ascii="Arial" w:hAnsi="Arial" w:cs="Arial"/>
          <w:sz w:val="24"/>
          <w:szCs w:val="24"/>
        </w:rPr>
        <w:t xml:space="preserve">revoke and change </w:t>
      </w:r>
      <w:r w:rsidR="00EA605D">
        <w:rPr>
          <w:rFonts w:ascii="Arial" w:hAnsi="Arial" w:cs="Arial"/>
          <w:sz w:val="24"/>
          <w:szCs w:val="24"/>
        </w:rPr>
        <w:t>his nominat</w:t>
      </w:r>
      <w:r>
        <w:rPr>
          <w:rFonts w:ascii="Arial" w:hAnsi="Arial" w:cs="Arial"/>
          <w:sz w:val="24"/>
          <w:szCs w:val="24"/>
        </w:rPr>
        <w:t xml:space="preserve">ed </w:t>
      </w:r>
      <w:r w:rsidR="00EA605D">
        <w:rPr>
          <w:rFonts w:ascii="Arial" w:hAnsi="Arial" w:cs="Arial"/>
          <w:sz w:val="24"/>
          <w:szCs w:val="24"/>
        </w:rPr>
        <w:t xml:space="preserve">beneficiary at any time. The Policy only requires </w:t>
      </w:r>
      <w:r>
        <w:rPr>
          <w:rFonts w:ascii="Arial" w:hAnsi="Arial" w:cs="Arial"/>
          <w:sz w:val="24"/>
          <w:szCs w:val="24"/>
        </w:rPr>
        <w:t xml:space="preserve">this change to </w:t>
      </w:r>
      <w:r w:rsidR="00EA605D">
        <w:rPr>
          <w:rFonts w:ascii="Arial" w:hAnsi="Arial" w:cs="Arial"/>
          <w:sz w:val="24"/>
          <w:szCs w:val="24"/>
        </w:rPr>
        <w:t xml:space="preserve">be in writing to be effective. There </w:t>
      </w:r>
      <w:r>
        <w:rPr>
          <w:rFonts w:ascii="Arial" w:hAnsi="Arial" w:cs="Arial"/>
          <w:sz w:val="24"/>
          <w:szCs w:val="24"/>
        </w:rPr>
        <w:t xml:space="preserve">are </w:t>
      </w:r>
      <w:r w:rsidR="00EA605D">
        <w:rPr>
          <w:rFonts w:ascii="Arial" w:hAnsi="Arial" w:cs="Arial"/>
          <w:sz w:val="24"/>
          <w:szCs w:val="24"/>
        </w:rPr>
        <w:t>no additional requirement</w:t>
      </w:r>
      <w:r>
        <w:rPr>
          <w:rFonts w:ascii="Arial" w:hAnsi="Arial" w:cs="Arial"/>
          <w:sz w:val="24"/>
          <w:szCs w:val="24"/>
        </w:rPr>
        <w:t>s</w:t>
      </w:r>
      <w:r w:rsidR="00EA605D">
        <w:rPr>
          <w:rFonts w:ascii="Arial" w:hAnsi="Arial" w:cs="Arial"/>
          <w:sz w:val="24"/>
          <w:szCs w:val="24"/>
        </w:rPr>
        <w:t xml:space="preserve"> prescribed by the Policy for the </w:t>
      </w:r>
      <w:r>
        <w:rPr>
          <w:rFonts w:ascii="Arial" w:hAnsi="Arial" w:cs="Arial"/>
          <w:sz w:val="24"/>
          <w:szCs w:val="24"/>
        </w:rPr>
        <w:t xml:space="preserve">revocation and change of </w:t>
      </w:r>
      <w:r w:rsidR="00382E42">
        <w:rPr>
          <w:rFonts w:ascii="Arial" w:hAnsi="Arial" w:cs="Arial"/>
          <w:sz w:val="24"/>
          <w:szCs w:val="24"/>
        </w:rPr>
        <w:t xml:space="preserve">a </w:t>
      </w:r>
      <w:r>
        <w:rPr>
          <w:rFonts w:ascii="Arial" w:hAnsi="Arial" w:cs="Arial"/>
          <w:sz w:val="24"/>
          <w:szCs w:val="24"/>
        </w:rPr>
        <w:t xml:space="preserve">nominated beneficiary </w:t>
      </w:r>
      <w:r w:rsidR="00EA605D">
        <w:rPr>
          <w:rFonts w:ascii="Arial" w:hAnsi="Arial" w:cs="Arial"/>
          <w:sz w:val="24"/>
          <w:szCs w:val="24"/>
        </w:rPr>
        <w:t>to be valid.</w:t>
      </w:r>
    </w:p>
    <w:p w14:paraId="42DB00E7" w14:textId="4DB387C1" w:rsidR="00F379CB" w:rsidRDefault="009D52F3" w:rsidP="00AD3C00">
      <w:pPr>
        <w:rPr>
          <w:rFonts w:ascii="Arial" w:hAnsi="Arial" w:cs="Arial"/>
          <w:sz w:val="24"/>
          <w:szCs w:val="24"/>
        </w:rPr>
      </w:pPr>
      <w:r>
        <w:rPr>
          <w:rFonts w:ascii="Arial" w:hAnsi="Arial" w:cs="Arial"/>
          <w:sz w:val="24"/>
          <w:szCs w:val="24"/>
        </w:rPr>
        <w:t>[23]</w:t>
      </w:r>
      <w:r>
        <w:rPr>
          <w:rFonts w:ascii="Arial" w:hAnsi="Arial" w:cs="Arial"/>
          <w:sz w:val="24"/>
          <w:szCs w:val="24"/>
        </w:rPr>
        <w:tab/>
      </w:r>
      <w:r w:rsidR="00F379CB">
        <w:rPr>
          <w:rFonts w:ascii="Arial" w:hAnsi="Arial" w:cs="Arial"/>
          <w:sz w:val="24"/>
          <w:szCs w:val="24"/>
        </w:rPr>
        <w:t>In the event that Crossman is found to be a party to the</w:t>
      </w:r>
      <w:r w:rsidR="00D645E8">
        <w:rPr>
          <w:rFonts w:ascii="Arial" w:hAnsi="Arial" w:cs="Arial"/>
          <w:sz w:val="24"/>
          <w:szCs w:val="24"/>
        </w:rPr>
        <w:t xml:space="preserve"> </w:t>
      </w:r>
      <w:r w:rsidR="00F379CB">
        <w:rPr>
          <w:rFonts w:ascii="Arial" w:hAnsi="Arial" w:cs="Arial"/>
          <w:sz w:val="24"/>
          <w:szCs w:val="24"/>
        </w:rPr>
        <w:t>Policy</w:t>
      </w:r>
      <w:r w:rsidR="00D645E8">
        <w:rPr>
          <w:rFonts w:ascii="Arial" w:hAnsi="Arial" w:cs="Arial"/>
          <w:sz w:val="24"/>
          <w:szCs w:val="24"/>
        </w:rPr>
        <w:t xml:space="preserve">, then the third argument advanced is that Crossman </w:t>
      </w:r>
      <w:r w:rsidR="00F379CB">
        <w:rPr>
          <w:rFonts w:ascii="Arial" w:hAnsi="Arial" w:cs="Arial"/>
          <w:sz w:val="24"/>
          <w:szCs w:val="24"/>
        </w:rPr>
        <w:t>was required to refer this dispute to arbitration in accordance with the dispute resolution procedure provided for in the Policy.</w:t>
      </w:r>
    </w:p>
    <w:p w14:paraId="66BE75BB" w14:textId="3469DCB3" w:rsidR="00376F5F" w:rsidRDefault="009D52F3" w:rsidP="00AD3C00">
      <w:pPr>
        <w:rPr>
          <w:rFonts w:ascii="Arial" w:hAnsi="Arial" w:cs="Arial"/>
          <w:sz w:val="24"/>
          <w:szCs w:val="24"/>
        </w:rPr>
      </w:pPr>
      <w:r>
        <w:rPr>
          <w:rFonts w:ascii="Arial" w:hAnsi="Arial" w:cs="Arial"/>
          <w:sz w:val="24"/>
          <w:szCs w:val="24"/>
        </w:rPr>
        <w:t>[24]</w:t>
      </w:r>
      <w:r>
        <w:rPr>
          <w:rFonts w:ascii="Arial" w:hAnsi="Arial" w:cs="Arial"/>
          <w:sz w:val="24"/>
          <w:szCs w:val="24"/>
        </w:rPr>
        <w:tab/>
      </w:r>
      <w:r w:rsidR="00D645E8">
        <w:rPr>
          <w:rFonts w:ascii="Arial" w:hAnsi="Arial" w:cs="Arial"/>
          <w:sz w:val="24"/>
          <w:szCs w:val="24"/>
        </w:rPr>
        <w:t xml:space="preserve">Capital Alliance’s </w:t>
      </w:r>
      <w:r w:rsidR="00376F5F">
        <w:rPr>
          <w:rFonts w:ascii="Arial" w:hAnsi="Arial" w:cs="Arial"/>
          <w:sz w:val="24"/>
          <w:szCs w:val="24"/>
        </w:rPr>
        <w:t xml:space="preserve">final contention is that Crossman’s application is replete with factual disputes vis-à-vis </w:t>
      </w:r>
      <w:r w:rsidR="00AD3C00">
        <w:rPr>
          <w:rFonts w:ascii="Arial" w:hAnsi="Arial" w:cs="Arial"/>
          <w:sz w:val="24"/>
          <w:szCs w:val="24"/>
        </w:rPr>
        <w:t>IEMAS</w:t>
      </w:r>
      <w:r w:rsidR="00376F5F">
        <w:rPr>
          <w:rFonts w:ascii="Arial" w:hAnsi="Arial" w:cs="Arial"/>
          <w:sz w:val="24"/>
          <w:szCs w:val="24"/>
        </w:rPr>
        <w:t xml:space="preserve"> and herself regarding </w:t>
      </w:r>
      <w:r>
        <w:rPr>
          <w:rFonts w:ascii="Arial" w:hAnsi="Arial" w:cs="Arial"/>
          <w:sz w:val="24"/>
          <w:szCs w:val="24"/>
        </w:rPr>
        <w:t xml:space="preserve">the </w:t>
      </w:r>
      <w:r w:rsidR="00376F5F">
        <w:rPr>
          <w:rFonts w:ascii="Arial" w:hAnsi="Arial" w:cs="Arial"/>
          <w:sz w:val="24"/>
          <w:szCs w:val="24"/>
        </w:rPr>
        <w:t>nomination form</w:t>
      </w:r>
      <w:r>
        <w:rPr>
          <w:rFonts w:ascii="Arial" w:hAnsi="Arial" w:cs="Arial"/>
          <w:sz w:val="24"/>
          <w:szCs w:val="24"/>
        </w:rPr>
        <w:t xml:space="preserve"> that wa</w:t>
      </w:r>
      <w:r w:rsidR="00376F5F">
        <w:rPr>
          <w:rFonts w:ascii="Arial" w:hAnsi="Arial" w:cs="Arial"/>
          <w:sz w:val="24"/>
          <w:szCs w:val="24"/>
        </w:rPr>
        <w:t xml:space="preserve">s the last form completed and signed by the deceased and recorded by </w:t>
      </w:r>
      <w:r w:rsidR="00AD3C00">
        <w:rPr>
          <w:rFonts w:ascii="Arial" w:hAnsi="Arial" w:cs="Arial"/>
          <w:sz w:val="24"/>
          <w:szCs w:val="24"/>
        </w:rPr>
        <w:t>IEMAS</w:t>
      </w:r>
      <w:r w:rsidR="00376F5F">
        <w:rPr>
          <w:rFonts w:ascii="Arial" w:hAnsi="Arial" w:cs="Arial"/>
          <w:sz w:val="24"/>
          <w:szCs w:val="24"/>
        </w:rPr>
        <w:t xml:space="preserve">. Self-evidently Capital Alliance cannot have personal knowledge of occurrences within </w:t>
      </w:r>
      <w:r w:rsidR="00AD3C00">
        <w:rPr>
          <w:rFonts w:ascii="Arial" w:hAnsi="Arial" w:cs="Arial"/>
          <w:sz w:val="24"/>
          <w:szCs w:val="24"/>
        </w:rPr>
        <w:t>IEMAS</w:t>
      </w:r>
      <w:r w:rsidR="00376F5F">
        <w:rPr>
          <w:rFonts w:ascii="Arial" w:hAnsi="Arial" w:cs="Arial"/>
          <w:sz w:val="24"/>
          <w:szCs w:val="24"/>
        </w:rPr>
        <w:t xml:space="preserve"> and since Crossman has been aware of these material disputes of fact from inception of this application, she ought rather to have instituted action proceedings. In that way witnesses could have been subpoenaed if necessary and disputes of fact could have been appropriately ventilated.</w:t>
      </w:r>
    </w:p>
    <w:p w14:paraId="33B782A4" w14:textId="2BAA1A6E" w:rsidR="0001351E" w:rsidRDefault="009D52F3" w:rsidP="00AD3C00">
      <w:pPr>
        <w:rPr>
          <w:rFonts w:ascii="Arial" w:hAnsi="Arial" w:cs="Arial"/>
          <w:sz w:val="24"/>
          <w:szCs w:val="24"/>
        </w:rPr>
      </w:pPr>
      <w:r>
        <w:rPr>
          <w:rFonts w:ascii="Arial" w:hAnsi="Arial" w:cs="Arial"/>
          <w:sz w:val="24"/>
          <w:szCs w:val="24"/>
        </w:rPr>
        <w:t>[25]</w:t>
      </w:r>
      <w:r>
        <w:rPr>
          <w:rFonts w:ascii="Arial" w:hAnsi="Arial" w:cs="Arial"/>
          <w:sz w:val="24"/>
          <w:szCs w:val="24"/>
        </w:rPr>
        <w:tab/>
      </w:r>
      <w:r w:rsidR="0001351E" w:rsidRPr="0001351E">
        <w:rPr>
          <w:rFonts w:ascii="Arial" w:hAnsi="Arial" w:cs="Arial"/>
          <w:sz w:val="24"/>
          <w:szCs w:val="24"/>
        </w:rPr>
        <w:t xml:space="preserve">Capital Alliance </w:t>
      </w:r>
      <w:r w:rsidR="0001351E">
        <w:rPr>
          <w:rFonts w:ascii="Arial" w:hAnsi="Arial" w:cs="Arial"/>
          <w:sz w:val="24"/>
          <w:szCs w:val="24"/>
        </w:rPr>
        <w:t xml:space="preserve">avers that it </w:t>
      </w:r>
      <w:r w:rsidR="0001351E" w:rsidRPr="0001351E">
        <w:rPr>
          <w:rFonts w:ascii="Arial" w:hAnsi="Arial" w:cs="Arial"/>
          <w:sz w:val="24"/>
          <w:szCs w:val="24"/>
        </w:rPr>
        <w:t xml:space="preserve">made payment of the death benefit due upon the death of the deceased in accordance with the terms of the Policy as directed by the </w:t>
      </w:r>
      <w:r w:rsidR="0001351E">
        <w:rPr>
          <w:rFonts w:ascii="Arial" w:hAnsi="Arial" w:cs="Arial"/>
          <w:sz w:val="24"/>
          <w:szCs w:val="24"/>
        </w:rPr>
        <w:t>p</w:t>
      </w:r>
      <w:r w:rsidR="0001351E" w:rsidRPr="0001351E">
        <w:rPr>
          <w:rFonts w:ascii="Arial" w:hAnsi="Arial" w:cs="Arial"/>
          <w:sz w:val="24"/>
          <w:szCs w:val="24"/>
        </w:rPr>
        <w:t xml:space="preserve">articipating </w:t>
      </w:r>
      <w:r w:rsidR="0001351E">
        <w:rPr>
          <w:rFonts w:ascii="Arial" w:hAnsi="Arial" w:cs="Arial"/>
          <w:sz w:val="24"/>
          <w:szCs w:val="24"/>
        </w:rPr>
        <w:t xml:space="preserve">employer, </w:t>
      </w:r>
      <w:r>
        <w:rPr>
          <w:rFonts w:ascii="Arial" w:hAnsi="Arial" w:cs="Arial"/>
          <w:sz w:val="24"/>
          <w:szCs w:val="24"/>
        </w:rPr>
        <w:t>IEMAS</w:t>
      </w:r>
      <w:r w:rsidR="0001351E">
        <w:rPr>
          <w:rFonts w:ascii="Arial" w:hAnsi="Arial" w:cs="Arial"/>
          <w:sz w:val="24"/>
          <w:szCs w:val="24"/>
        </w:rPr>
        <w:t xml:space="preserve">. It disputes that it received a claim from Crossman or that </w:t>
      </w:r>
      <w:r>
        <w:rPr>
          <w:rFonts w:ascii="Arial" w:hAnsi="Arial" w:cs="Arial"/>
          <w:sz w:val="24"/>
          <w:szCs w:val="24"/>
        </w:rPr>
        <w:t xml:space="preserve">receipt of a claim resulted in the conclusion of </w:t>
      </w:r>
      <w:r w:rsidR="0001351E">
        <w:rPr>
          <w:rFonts w:ascii="Arial" w:hAnsi="Arial" w:cs="Arial"/>
          <w:sz w:val="24"/>
          <w:szCs w:val="24"/>
        </w:rPr>
        <w:t>a contract b</w:t>
      </w:r>
      <w:r w:rsidR="00C137DA">
        <w:rPr>
          <w:rFonts w:ascii="Arial" w:hAnsi="Arial" w:cs="Arial"/>
          <w:sz w:val="24"/>
          <w:szCs w:val="24"/>
        </w:rPr>
        <w:t>etween her and Capital Alliance.</w:t>
      </w:r>
    </w:p>
    <w:p w14:paraId="1B0F6F27" w14:textId="39E9D648" w:rsidR="00C137DA" w:rsidRDefault="009D52F3" w:rsidP="00AD3C00">
      <w:pPr>
        <w:rPr>
          <w:rFonts w:ascii="Arial" w:hAnsi="Arial" w:cs="Arial"/>
          <w:sz w:val="24"/>
          <w:szCs w:val="24"/>
        </w:rPr>
      </w:pPr>
      <w:r>
        <w:rPr>
          <w:rFonts w:ascii="Arial" w:hAnsi="Arial" w:cs="Arial"/>
          <w:sz w:val="24"/>
          <w:szCs w:val="24"/>
        </w:rPr>
        <w:t>[26]</w:t>
      </w:r>
      <w:r>
        <w:rPr>
          <w:rFonts w:ascii="Arial" w:hAnsi="Arial" w:cs="Arial"/>
          <w:sz w:val="24"/>
          <w:szCs w:val="24"/>
        </w:rPr>
        <w:tab/>
      </w:r>
      <w:r w:rsidR="00C137DA">
        <w:rPr>
          <w:rFonts w:ascii="Arial" w:hAnsi="Arial" w:cs="Arial"/>
          <w:sz w:val="24"/>
          <w:szCs w:val="24"/>
        </w:rPr>
        <w:t xml:space="preserve">The nub of Crossman’s relief is directed at Capital Alliance. It is therefore hardly surprising that </w:t>
      </w:r>
      <w:r w:rsidR="00AD3C00">
        <w:rPr>
          <w:rFonts w:ascii="Arial" w:hAnsi="Arial" w:cs="Arial"/>
          <w:sz w:val="24"/>
          <w:szCs w:val="24"/>
        </w:rPr>
        <w:t>IEMAS</w:t>
      </w:r>
      <w:r w:rsidR="00C137DA">
        <w:rPr>
          <w:rFonts w:ascii="Arial" w:hAnsi="Arial" w:cs="Arial"/>
          <w:sz w:val="24"/>
          <w:szCs w:val="24"/>
        </w:rPr>
        <w:t xml:space="preserve"> and Gareth</w:t>
      </w:r>
      <w:r w:rsidR="00C5631C">
        <w:rPr>
          <w:rFonts w:ascii="Arial" w:hAnsi="Arial" w:cs="Arial"/>
          <w:sz w:val="24"/>
          <w:szCs w:val="24"/>
        </w:rPr>
        <w:t xml:space="preserve"> challenge Crossman’s </w:t>
      </w:r>
      <w:r w:rsidR="00C5631C">
        <w:rPr>
          <w:rFonts w:ascii="Arial" w:hAnsi="Arial" w:cs="Arial"/>
          <w:i/>
          <w:sz w:val="24"/>
          <w:szCs w:val="24"/>
        </w:rPr>
        <w:t xml:space="preserve">locus </w:t>
      </w:r>
      <w:proofErr w:type="spellStart"/>
      <w:r w:rsidR="00AD0638">
        <w:rPr>
          <w:rFonts w:ascii="Arial" w:hAnsi="Arial" w:cs="Arial"/>
          <w:i/>
          <w:sz w:val="24"/>
          <w:szCs w:val="24"/>
        </w:rPr>
        <w:t>standi</w:t>
      </w:r>
      <w:proofErr w:type="spellEnd"/>
      <w:r w:rsidR="00AD0638">
        <w:rPr>
          <w:rFonts w:ascii="Arial" w:hAnsi="Arial" w:cs="Arial"/>
          <w:i/>
          <w:sz w:val="24"/>
          <w:szCs w:val="24"/>
        </w:rPr>
        <w:t xml:space="preserve"> </w:t>
      </w:r>
      <w:r w:rsidR="00AD0638">
        <w:rPr>
          <w:rFonts w:ascii="Arial" w:hAnsi="Arial" w:cs="Arial"/>
          <w:sz w:val="24"/>
          <w:szCs w:val="24"/>
        </w:rPr>
        <w:t>to</w:t>
      </w:r>
      <w:r w:rsidR="00C5631C">
        <w:rPr>
          <w:rFonts w:ascii="Arial" w:hAnsi="Arial" w:cs="Arial"/>
          <w:sz w:val="24"/>
          <w:szCs w:val="24"/>
        </w:rPr>
        <w:t xml:space="preserve"> institute these proceedings and </w:t>
      </w:r>
      <w:r>
        <w:rPr>
          <w:rFonts w:ascii="Arial" w:hAnsi="Arial" w:cs="Arial"/>
          <w:sz w:val="24"/>
          <w:szCs w:val="24"/>
        </w:rPr>
        <w:t xml:space="preserve">that they </w:t>
      </w:r>
      <w:r w:rsidR="00C137DA">
        <w:rPr>
          <w:rFonts w:ascii="Arial" w:hAnsi="Arial" w:cs="Arial"/>
          <w:sz w:val="24"/>
          <w:szCs w:val="24"/>
        </w:rPr>
        <w:t xml:space="preserve">contend that </w:t>
      </w:r>
      <w:r w:rsidR="00AD0638">
        <w:rPr>
          <w:rFonts w:ascii="Arial" w:hAnsi="Arial" w:cs="Arial"/>
          <w:sz w:val="24"/>
          <w:szCs w:val="24"/>
        </w:rPr>
        <w:t>the application</w:t>
      </w:r>
      <w:r w:rsidR="00C137DA">
        <w:rPr>
          <w:rFonts w:ascii="Arial" w:hAnsi="Arial" w:cs="Arial"/>
          <w:sz w:val="24"/>
          <w:szCs w:val="24"/>
        </w:rPr>
        <w:t xml:space="preserve"> discloses no discernible cause of action against either of them.  </w:t>
      </w:r>
    </w:p>
    <w:p w14:paraId="221BA326" w14:textId="1C3B66C1" w:rsidR="00C43CF9" w:rsidRDefault="009D52F3" w:rsidP="00AD3C00">
      <w:pPr>
        <w:rPr>
          <w:rFonts w:ascii="Arial" w:hAnsi="Arial" w:cs="Arial"/>
          <w:b/>
          <w:sz w:val="24"/>
          <w:szCs w:val="24"/>
        </w:rPr>
      </w:pPr>
      <w:r>
        <w:rPr>
          <w:rFonts w:ascii="Arial" w:hAnsi="Arial" w:cs="Arial"/>
          <w:b/>
          <w:sz w:val="24"/>
          <w:szCs w:val="24"/>
        </w:rPr>
        <w:lastRenderedPageBreak/>
        <w:t xml:space="preserve">The issues </w:t>
      </w:r>
    </w:p>
    <w:p w14:paraId="1A9A2D67" w14:textId="18673235" w:rsidR="00CA5DD2" w:rsidRDefault="009D52F3" w:rsidP="00AD3C00">
      <w:pPr>
        <w:rPr>
          <w:rFonts w:ascii="Arial" w:hAnsi="Arial" w:cs="Arial"/>
          <w:sz w:val="24"/>
          <w:szCs w:val="24"/>
        </w:rPr>
      </w:pPr>
      <w:r>
        <w:rPr>
          <w:rFonts w:ascii="Arial" w:hAnsi="Arial" w:cs="Arial"/>
          <w:sz w:val="24"/>
          <w:szCs w:val="24"/>
        </w:rPr>
        <w:t>[27]</w:t>
      </w:r>
      <w:r>
        <w:rPr>
          <w:rFonts w:ascii="Arial" w:hAnsi="Arial" w:cs="Arial"/>
          <w:sz w:val="24"/>
          <w:szCs w:val="24"/>
        </w:rPr>
        <w:tab/>
      </w:r>
      <w:r w:rsidR="007354F1">
        <w:rPr>
          <w:rFonts w:ascii="Arial" w:hAnsi="Arial" w:cs="Arial"/>
          <w:sz w:val="24"/>
          <w:szCs w:val="24"/>
        </w:rPr>
        <w:t>The issues that require determination in this matter are w</w:t>
      </w:r>
      <w:r w:rsidR="00CC291A">
        <w:rPr>
          <w:rFonts w:ascii="Arial" w:hAnsi="Arial" w:cs="Arial"/>
          <w:sz w:val="24"/>
          <w:szCs w:val="24"/>
        </w:rPr>
        <w:t>hether</w:t>
      </w:r>
      <w:r w:rsidR="00CA5DD2">
        <w:rPr>
          <w:rFonts w:ascii="Arial" w:hAnsi="Arial" w:cs="Arial"/>
          <w:sz w:val="24"/>
          <w:szCs w:val="24"/>
        </w:rPr>
        <w:t>:</w:t>
      </w:r>
    </w:p>
    <w:p w14:paraId="28B61C25" w14:textId="179CBA07" w:rsidR="00CA5DD2" w:rsidRDefault="009D52F3" w:rsidP="00AD3C00">
      <w:pPr>
        <w:rPr>
          <w:rFonts w:ascii="Arial" w:hAnsi="Arial" w:cs="Arial"/>
          <w:sz w:val="24"/>
          <w:szCs w:val="24"/>
        </w:rPr>
      </w:pPr>
      <w:r>
        <w:rPr>
          <w:rFonts w:ascii="Arial" w:hAnsi="Arial" w:cs="Arial"/>
          <w:sz w:val="24"/>
          <w:szCs w:val="24"/>
        </w:rPr>
        <w:t>(a)</w:t>
      </w:r>
      <w:r>
        <w:rPr>
          <w:rFonts w:ascii="Arial" w:hAnsi="Arial" w:cs="Arial"/>
          <w:sz w:val="24"/>
          <w:szCs w:val="24"/>
        </w:rPr>
        <w:tab/>
        <w:t>T</w:t>
      </w:r>
      <w:r w:rsidR="00CC291A">
        <w:rPr>
          <w:rFonts w:ascii="Arial" w:hAnsi="Arial" w:cs="Arial"/>
          <w:sz w:val="24"/>
          <w:szCs w:val="24"/>
        </w:rPr>
        <w:t xml:space="preserve">he Policy constitutes a </w:t>
      </w:r>
      <w:proofErr w:type="spellStart"/>
      <w:r w:rsidR="00CC291A">
        <w:rPr>
          <w:rFonts w:ascii="Arial" w:hAnsi="Arial" w:cs="Arial"/>
          <w:i/>
          <w:sz w:val="24"/>
          <w:szCs w:val="24"/>
        </w:rPr>
        <w:t>stipulatio</w:t>
      </w:r>
      <w:proofErr w:type="spellEnd"/>
      <w:r w:rsidR="00CC291A">
        <w:rPr>
          <w:rFonts w:ascii="Arial" w:hAnsi="Arial" w:cs="Arial"/>
          <w:i/>
          <w:sz w:val="24"/>
          <w:szCs w:val="24"/>
        </w:rPr>
        <w:t xml:space="preserve"> </w:t>
      </w:r>
      <w:proofErr w:type="spellStart"/>
      <w:r w:rsidR="00CC291A">
        <w:rPr>
          <w:rFonts w:ascii="Arial" w:hAnsi="Arial" w:cs="Arial"/>
          <w:i/>
          <w:sz w:val="24"/>
          <w:szCs w:val="24"/>
        </w:rPr>
        <w:t>alteri</w:t>
      </w:r>
      <w:proofErr w:type="spellEnd"/>
      <w:r w:rsidR="00CC291A">
        <w:rPr>
          <w:rFonts w:ascii="Arial" w:hAnsi="Arial" w:cs="Arial"/>
          <w:i/>
          <w:sz w:val="24"/>
          <w:szCs w:val="24"/>
        </w:rPr>
        <w:t xml:space="preserve"> </w:t>
      </w:r>
      <w:r w:rsidR="00CC291A">
        <w:rPr>
          <w:rFonts w:ascii="Arial" w:hAnsi="Arial" w:cs="Arial"/>
          <w:sz w:val="24"/>
          <w:szCs w:val="24"/>
        </w:rPr>
        <w:t xml:space="preserve">that created </w:t>
      </w:r>
      <w:r w:rsidR="00CC291A" w:rsidRPr="00CC291A">
        <w:rPr>
          <w:rFonts w:ascii="Arial" w:hAnsi="Arial" w:cs="Arial"/>
          <w:sz w:val="24"/>
          <w:szCs w:val="24"/>
        </w:rPr>
        <w:t xml:space="preserve">a contractual nexus between </w:t>
      </w:r>
      <w:r w:rsidR="007354F1">
        <w:rPr>
          <w:rFonts w:ascii="Arial" w:hAnsi="Arial" w:cs="Arial"/>
          <w:sz w:val="24"/>
          <w:szCs w:val="24"/>
        </w:rPr>
        <w:t>Crossman and Capital Alliance</w:t>
      </w:r>
      <w:r w:rsidR="00CA5DD2">
        <w:rPr>
          <w:rFonts w:ascii="Arial" w:hAnsi="Arial" w:cs="Arial"/>
          <w:sz w:val="24"/>
          <w:szCs w:val="24"/>
        </w:rPr>
        <w:t>.</w:t>
      </w:r>
    </w:p>
    <w:p w14:paraId="194EACEB" w14:textId="6926273D" w:rsidR="0001351E" w:rsidRDefault="009D52F3" w:rsidP="00AD3C00">
      <w:pPr>
        <w:rPr>
          <w:rFonts w:ascii="Arial" w:hAnsi="Arial" w:cs="Arial"/>
          <w:sz w:val="24"/>
          <w:szCs w:val="24"/>
        </w:rPr>
      </w:pPr>
      <w:r>
        <w:rPr>
          <w:rFonts w:ascii="Arial" w:hAnsi="Arial" w:cs="Arial"/>
          <w:sz w:val="24"/>
          <w:szCs w:val="24"/>
        </w:rPr>
        <w:t>(b)</w:t>
      </w:r>
      <w:r>
        <w:rPr>
          <w:rFonts w:ascii="Arial" w:hAnsi="Arial" w:cs="Arial"/>
          <w:sz w:val="24"/>
          <w:szCs w:val="24"/>
        </w:rPr>
        <w:tab/>
      </w:r>
      <w:r w:rsidR="007354F1">
        <w:rPr>
          <w:rFonts w:ascii="Arial" w:hAnsi="Arial" w:cs="Arial"/>
          <w:sz w:val="24"/>
          <w:szCs w:val="24"/>
        </w:rPr>
        <w:t>Crossman is entitled to the declaratory</w:t>
      </w:r>
      <w:r w:rsidR="00EA605D">
        <w:rPr>
          <w:rFonts w:ascii="Arial" w:hAnsi="Arial" w:cs="Arial"/>
          <w:sz w:val="24"/>
          <w:szCs w:val="24"/>
        </w:rPr>
        <w:t xml:space="preserve"> </w:t>
      </w:r>
      <w:r w:rsidR="007354F1">
        <w:rPr>
          <w:rFonts w:ascii="Arial" w:hAnsi="Arial" w:cs="Arial"/>
          <w:sz w:val="24"/>
          <w:szCs w:val="24"/>
        </w:rPr>
        <w:t>orders sought.</w:t>
      </w:r>
    </w:p>
    <w:p w14:paraId="4A21E3D3" w14:textId="1E9DE07C" w:rsidR="007354F1" w:rsidRDefault="009D52F3" w:rsidP="00AD3C00">
      <w:pPr>
        <w:rPr>
          <w:rFonts w:ascii="Arial" w:hAnsi="Arial" w:cs="Arial"/>
          <w:sz w:val="24"/>
          <w:szCs w:val="24"/>
        </w:rPr>
      </w:pPr>
      <w:r>
        <w:rPr>
          <w:rFonts w:ascii="Arial" w:hAnsi="Arial" w:cs="Arial"/>
          <w:sz w:val="24"/>
          <w:szCs w:val="24"/>
        </w:rPr>
        <w:t>(c)</w:t>
      </w:r>
      <w:r>
        <w:rPr>
          <w:rFonts w:ascii="Arial" w:hAnsi="Arial" w:cs="Arial"/>
          <w:sz w:val="24"/>
          <w:szCs w:val="24"/>
        </w:rPr>
        <w:tab/>
      </w:r>
      <w:r w:rsidR="00912281">
        <w:rPr>
          <w:rFonts w:ascii="Arial" w:hAnsi="Arial" w:cs="Arial"/>
          <w:sz w:val="24"/>
          <w:szCs w:val="24"/>
        </w:rPr>
        <w:t>A</w:t>
      </w:r>
      <w:r w:rsidR="007354F1">
        <w:rPr>
          <w:rFonts w:ascii="Arial" w:hAnsi="Arial" w:cs="Arial"/>
          <w:sz w:val="24"/>
          <w:szCs w:val="24"/>
        </w:rPr>
        <w:t xml:space="preserve">ny cause of action has been disclosed against </w:t>
      </w:r>
      <w:r w:rsidR="00AD3C00">
        <w:rPr>
          <w:rFonts w:ascii="Arial" w:hAnsi="Arial" w:cs="Arial"/>
          <w:sz w:val="24"/>
          <w:szCs w:val="24"/>
        </w:rPr>
        <w:t>IEMAS</w:t>
      </w:r>
      <w:r w:rsidR="007354F1">
        <w:rPr>
          <w:rFonts w:ascii="Arial" w:hAnsi="Arial" w:cs="Arial"/>
          <w:sz w:val="24"/>
          <w:szCs w:val="24"/>
        </w:rPr>
        <w:t xml:space="preserve"> </w:t>
      </w:r>
      <w:r w:rsidR="00EA605D">
        <w:rPr>
          <w:rFonts w:ascii="Arial" w:hAnsi="Arial" w:cs="Arial"/>
          <w:sz w:val="24"/>
          <w:szCs w:val="24"/>
        </w:rPr>
        <w:t>and</w:t>
      </w:r>
      <w:r w:rsidR="00912281">
        <w:rPr>
          <w:rFonts w:ascii="Arial" w:hAnsi="Arial" w:cs="Arial"/>
          <w:sz w:val="24"/>
          <w:szCs w:val="24"/>
        </w:rPr>
        <w:t>/or</w:t>
      </w:r>
      <w:r w:rsidR="00EA605D">
        <w:rPr>
          <w:rFonts w:ascii="Arial" w:hAnsi="Arial" w:cs="Arial"/>
          <w:sz w:val="24"/>
          <w:szCs w:val="24"/>
        </w:rPr>
        <w:t xml:space="preserve"> Gareth </w:t>
      </w:r>
      <w:r w:rsidR="00CA5DD2">
        <w:rPr>
          <w:rFonts w:ascii="Arial" w:hAnsi="Arial" w:cs="Arial"/>
          <w:sz w:val="24"/>
          <w:szCs w:val="24"/>
        </w:rPr>
        <w:t>in the founding affidavit</w:t>
      </w:r>
      <w:r w:rsidR="00912281">
        <w:rPr>
          <w:rFonts w:ascii="Arial" w:hAnsi="Arial" w:cs="Arial"/>
          <w:sz w:val="24"/>
          <w:szCs w:val="24"/>
        </w:rPr>
        <w:t>.</w:t>
      </w:r>
    </w:p>
    <w:p w14:paraId="34EC8AA4" w14:textId="31409691" w:rsidR="00CA5DD2" w:rsidRDefault="00912281" w:rsidP="00AD3C00">
      <w:pPr>
        <w:rPr>
          <w:rFonts w:ascii="Arial" w:hAnsi="Arial" w:cs="Arial"/>
          <w:sz w:val="24"/>
          <w:szCs w:val="24"/>
        </w:rPr>
      </w:pPr>
      <w:r>
        <w:rPr>
          <w:rFonts w:ascii="Arial" w:hAnsi="Arial" w:cs="Arial"/>
          <w:sz w:val="24"/>
          <w:szCs w:val="24"/>
        </w:rPr>
        <w:t>(d)</w:t>
      </w:r>
      <w:r>
        <w:rPr>
          <w:rFonts w:ascii="Arial" w:hAnsi="Arial" w:cs="Arial"/>
          <w:sz w:val="24"/>
          <w:szCs w:val="24"/>
        </w:rPr>
        <w:tab/>
        <w:t>T</w:t>
      </w:r>
      <w:r w:rsidR="00CA5DD2">
        <w:rPr>
          <w:rFonts w:ascii="Arial" w:hAnsi="Arial" w:cs="Arial"/>
          <w:sz w:val="24"/>
          <w:szCs w:val="24"/>
        </w:rPr>
        <w:t>he alternative relief sought is competent</w:t>
      </w:r>
      <w:r>
        <w:rPr>
          <w:rFonts w:ascii="Arial" w:hAnsi="Arial" w:cs="Arial"/>
          <w:sz w:val="24"/>
          <w:szCs w:val="24"/>
        </w:rPr>
        <w:t xml:space="preserve"> and appropriate.</w:t>
      </w:r>
    </w:p>
    <w:p w14:paraId="60B63D21" w14:textId="5E2A7F9E" w:rsidR="00C43CF9" w:rsidRPr="00C43CF9" w:rsidRDefault="00C43CF9" w:rsidP="00AD3C00">
      <w:pPr>
        <w:rPr>
          <w:rFonts w:ascii="Arial" w:hAnsi="Arial" w:cs="Arial"/>
          <w:b/>
          <w:sz w:val="24"/>
          <w:szCs w:val="24"/>
        </w:rPr>
      </w:pPr>
      <w:r>
        <w:rPr>
          <w:rFonts w:ascii="Arial" w:hAnsi="Arial" w:cs="Arial"/>
          <w:b/>
          <w:sz w:val="24"/>
          <w:szCs w:val="24"/>
        </w:rPr>
        <w:t xml:space="preserve">The </w:t>
      </w:r>
      <w:r w:rsidR="00E24C24">
        <w:rPr>
          <w:rFonts w:ascii="Arial" w:hAnsi="Arial" w:cs="Arial"/>
          <w:b/>
          <w:sz w:val="24"/>
          <w:szCs w:val="24"/>
        </w:rPr>
        <w:t>applicable legal principles</w:t>
      </w:r>
    </w:p>
    <w:p w14:paraId="4370C3E9" w14:textId="204BAC57" w:rsidR="00614BFD" w:rsidRDefault="00912281" w:rsidP="00AD3C00">
      <w:pPr>
        <w:rPr>
          <w:rFonts w:ascii="Arial" w:hAnsi="Arial" w:cs="Arial"/>
          <w:sz w:val="24"/>
          <w:szCs w:val="24"/>
        </w:rPr>
      </w:pPr>
      <w:r>
        <w:rPr>
          <w:rFonts w:ascii="Arial" w:hAnsi="Arial" w:cs="Arial"/>
          <w:sz w:val="24"/>
          <w:szCs w:val="24"/>
        </w:rPr>
        <w:t>[28]</w:t>
      </w:r>
      <w:r>
        <w:rPr>
          <w:rFonts w:ascii="Arial" w:hAnsi="Arial" w:cs="Arial"/>
          <w:sz w:val="24"/>
          <w:szCs w:val="24"/>
        </w:rPr>
        <w:tab/>
      </w:r>
      <w:r w:rsidR="00614BFD">
        <w:rPr>
          <w:rFonts w:ascii="Arial" w:hAnsi="Arial" w:cs="Arial"/>
          <w:sz w:val="24"/>
          <w:szCs w:val="24"/>
        </w:rPr>
        <w:t xml:space="preserve">It </w:t>
      </w:r>
      <w:r w:rsidR="008F57DD">
        <w:rPr>
          <w:rFonts w:ascii="Arial" w:hAnsi="Arial" w:cs="Arial"/>
          <w:sz w:val="24"/>
          <w:szCs w:val="24"/>
        </w:rPr>
        <w:t xml:space="preserve">is trite </w:t>
      </w:r>
      <w:r w:rsidR="00C63F71">
        <w:rPr>
          <w:rFonts w:ascii="Arial" w:hAnsi="Arial" w:cs="Arial"/>
          <w:sz w:val="24"/>
          <w:szCs w:val="24"/>
        </w:rPr>
        <w:t xml:space="preserve">that a </w:t>
      </w:r>
      <w:proofErr w:type="spellStart"/>
      <w:r w:rsidR="00C63F71">
        <w:rPr>
          <w:rFonts w:ascii="Arial" w:hAnsi="Arial" w:cs="Arial"/>
          <w:i/>
          <w:sz w:val="24"/>
          <w:szCs w:val="24"/>
        </w:rPr>
        <w:t>stipulatio</w:t>
      </w:r>
      <w:proofErr w:type="spellEnd"/>
      <w:r w:rsidR="00C63F71">
        <w:rPr>
          <w:rFonts w:ascii="Arial" w:hAnsi="Arial" w:cs="Arial"/>
          <w:i/>
          <w:sz w:val="24"/>
          <w:szCs w:val="24"/>
        </w:rPr>
        <w:t xml:space="preserve"> </w:t>
      </w:r>
      <w:proofErr w:type="spellStart"/>
      <w:r w:rsidR="00EB6479">
        <w:rPr>
          <w:rFonts w:ascii="Arial" w:hAnsi="Arial" w:cs="Arial"/>
          <w:i/>
          <w:sz w:val="24"/>
          <w:szCs w:val="24"/>
        </w:rPr>
        <w:t>alteri</w:t>
      </w:r>
      <w:proofErr w:type="spellEnd"/>
      <w:r w:rsidR="00EB6479">
        <w:rPr>
          <w:rFonts w:ascii="Arial" w:hAnsi="Arial" w:cs="Arial"/>
          <w:i/>
          <w:sz w:val="24"/>
          <w:szCs w:val="24"/>
        </w:rPr>
        <w:t xml:space="preserve"> </w:t>
      </w:r>
      <w:r w:rsidR="00EB6479">
        <w:rPr>
          <w:rFonts w:ascii="Arial" w:hAnsi="Arial" w:cs="Arial"/>
          <w:sz w:val="24"/>
          <w:szCs w:val="24"/>
        </w:rPr>
        <w:t>is</w:t>
      </w:r>
      <w:r w:rsidR="00C63F71">
        <w:rPr>
          <w:rFonts w:ascii="Arial" w:hAnsi="Arial" w:cs="Arial"/>
          <w:sz w:val="24"/>
          <w:szCs w:val="24"/>
        </w:rPr>
        <w:t xml:space="preserve"> a contract between two parties that is designed to enable a third party to come in as a party to a contract with one of the other two. As stated by </w:t>
      </w:r>
      <w:proofErr w:type="spellStart"/>
      <w:r w:rsidR="00C63F71">
        <w:rPr>
          <w:rFonts w:ascii="Arial" w:hAnsi="Arial" w:cs="Arial"/>
          <w:sz w:val="24"/>
          <w:szCs w:val="24"/>
        </w:rPr>
        <w:t>Smalberger</w:t>
      </w:r>
      <w:proofErr w:type="spellEnd"/>
      <w:r w:rsidR="00C63F71">
        <w:rPr>
          <w:rFonts w:ascii="Arial" w:hAnsi="Arial" w:cs="Arial"/>
          <w:sz w:val="24"/>
          <w:szCs w:val="24"/>
        </w:rPr>
        <w:t xml:space="preserve"> JA in </w:t>
      </w:r>
      <w:r w:rsidR="00C63F71">
        <w:rPr>
          <w:rFonts w:ascii="Arial" w:hAnsi="Arial" w:cs="Arial"/>
          <w:i/>
          <w:sz w:val="24"/>
          <w:szCs w:val="24"/>
        </w:rPr>
        <w:t xml:space="preserve">Total South Africa (Pty) Ltd v </w:t>
      </w:r>
      <w:proofErr w:type="spellStart"/>
      <w:r w:rsidR="00C63F71">
        <w:rPr>
          <w:rFonts w:ascii="Arial" w:hAnsi="Arial" w:cs="Arial"/>
          <w:i/>
          <w:sz w:val="24"/>
          <w:szCs w:val="24"/>
        </w:rPr>
        <w:t>Bekker</w:t>
      </w:r>
      <w:proofErr w:type="spellEnd"/>
      <w:r w:rsidR="00C63F71">
        <w:rPr>
          <w:rFonts w:ascii="Arial" w:hAnsi="Arial" w:cs="Arial"/>
          <w:i/>
          <w:sz w:val="24"/>
          <w:szCs w:val="24"/>
        </w:rPr>
        <w:t xml:space="preserve"> NO</w:t>
      </w:r>
      <w:r w:rsidR="00C63F71" w:rsidRPr="00596E92">
        <w:rPr>
          <w:rStyle w:val="FootnoteReference"/>
          <w:rFonts w:ascii="Arial" w:hAnsi="Arial" w:cs="Arial"/>
          <w:i/>
          <w:sz w:val="20"/>
        </w:rPr>
        <w:footnoteReference w:id="1"/>
      </w:r>
      <w:r>
        <w:rPr>
          <w:rFonts w:ascii="Arial" w:hAnsi="Arial" w:cs="Arial"/>
          <w:sz w:val="24"/>
          <w:szCs w:val="24"/>
        </w:rPr>
        <w:t>:</w:t>
      </w:r>
      <w:r w:rsidR="00C63F71">
        <w:rPr>
          <w:rFonts w:ascii="Arial" w:hAnsi="Arial" w:cs="Arial"/>
          <w:sz w:val="24"/>
          <w:szCs w:val="24"/>
        </w:rPr>
        <w:t xml:space="preserve"> </w:t>
      </w:r>
      <w:r w:rsidR="00596E92" w:rsidRPr="00912281">
        <w:rPr>
          <w:rFonts w:ascii="Arial" w:hAnsi="Arial" w:cs="Arial"/>
          <w:sz w:val="22"/>
          <w:szCs w:val="22"/>
        </w:rPr>
        <w:t>‘</w:t>
      </w:r>
      <w:r w:rsidR="00C63F71" w:rsidRPr="00912281">
        <w:rPr>
          <w:rFonts w:ascii="Arial" w:hAnsi="Arial" w:cs="Arial"/>
          <w:i/>
          <w:sz w:val="22"/>
          <w:szCs w:val="22"/>
        </w:rPr>
        <w:t xml:space="preserve">The </w:t>
      </w:r>
      <w:r w:rsidR="00596E92" w:rsidRPr="00912281">
        <w:rPr>
          <w:rFonts w:ascii="Arial" w:hAnsi="Arial" w:cs="Arial"/>
          <w:i/>
          <w:sz w:val="22"/>
          <w:szCs w:val="22"/>
        </w:rPr>
        <w:t xml:space="preserve">mere conferring of </w:t>
      </w:r>
      <w:r w:rsidR="008F57DD" w:rsidRPr="00912281">
        <w:rPr>
          <w:rFonts w:ascii="Arial" w:hAnsi="Arial" w:cs="Arial"/>
          <w:i/>
          <w:sz w:val="22"/>
          <w:szCs w:val="22"/>
        </w:rPr>
        <w:t xml:space="preserve">a </w:t>
      </w:r>
      <w:r w:rsidR="00596E92" w:rsidRPr="00912281">
        <w:rPr>
          <w:rFonts w:ascii="Arial" w:hAnsi="Arial" w:cs="Arial"/>
          <w:i/>
          <w:sz w:val="22"/>
          <w:szCs w:val="22"/>
        </w:rPr>
        <w:t xml:space="preserve">benefit is therefore not enough; what is required is an intention on the part of the </w:t>
      </w:r>
      <w:r w:rsidR="00C63F71" w:rsidRPr="00912281">
        <w:rPr>
          <w:rFonts w:ascii="Arial" w:hAnsi="Arial" w:cs="Arial"/>
          <w:i/>
          <w:sz w:val="22"/>
          <w:szCs w:val="22"/>
        </w:rPr>
        <w:t>parties</w:t>
      </w:r>
      <w:r w:rsidR="00596E92" w:rsidRPr="00912281">
        <w:rPr>
          <w:rFonts w:ascii="Arial" w:hAnsi="Arial" w:cs="Arial"/>
          <w:i/>
          <w:sz w:val="22"/>
          <w:szCs w:val="22"/>
        </w:rPr>
        <w:t xml:space="preserve"> to a contract that a third person can, by adopting the benefit, become a party to the contract.’</w:t>
      </w:r>
      <w:r w:rsidR="00596E92" w:rsidRPr="00912281">
        <w:rPr>
          <w:rStyle w:val="FootnoteReference"/>
          <w:rFonts w:ascii="Arial" w:hAnsi="Arial" w:cs="Arial"/>
          <w:i/>
          <w:sz w:val="22"/>
          <w:szCs w:val="22"/>
        </w:rPr>
        <w:footnoteReference w:id="2"/>
      </w:r>
      <w:r w:rsidR="00C63F71" w:rsidRPr="00912281">
        <w:rPr>
          <w:rFonts w:ascii="Arial" w:hAnsi="Arial" w:cs="Arial"/>
          <w:sz w:val="22"/>
          <w:szCs w:val="22"/>
        </w:rPr>
        <w:t xml:space="preserve"> </w:t>
      </w:r>
      <w:r w:rsidR="00220727" w:rsidRPr="00F97AD7">
        <w:rPr>
          <w:rFonts w:ascii="Arial" w:hAnsi="Arial" w:cs="Arial"/>
          <w:sz w:val="24"/>
          <w:szCs w:val="24"/>
        </w:rPr>
        <w:t>The original contracting parties must also intend to confer enforceable rights upon the third party, upon acceptance of the benefit conferred by the contract.</w:t>
      </w:r>
      <w:r w:rsidR="00220727" w:rsidRPr="0008592F">
        <w:rPr>
          <w:rStyle w:val="FootnoteReference"/>
          <w:rFonts w:ascii="Arial" w:hAnsi="Arial" w:cs="Arial"/>
          <w:sz w:val="20"/>
        </w:rPr>
        <w:footnoteReference w:id="3"/>
      </w:r>
      <w:r w:rsidR="00220727">
        <w:rPr>
          <w:rFonts w:ascii="Arial" w:hAnsi="Arial" w:cs="Arial"/>
          <w:sz w:val="24"/>
          <w:szCs w:val="24"/>
        </w:rPr>
        <w:t xml:space="preserve"> </w:t>
      </w:r>
    </w:p>
    <w:p w14:paraId="0FBD181D" w14:textId="01572B51" w:rsidR="00420FF8" w:rsidRPr="00420FF8" w:rsidRDefault="00912281" w:rsidP="00AD3C00">
      <w:pPr>
        <w:rPr>
          <w:rFonts w:ascii="Arial" w:hAnsi="Arial" w:cs="Arial"/>
          <w:sz w:val="24"/>
          <w:szCs w:val="24"/>
        </w:rPr>
      </w:pPr>
      <w:r>
        <w:rPr>
          <w:rFonts w:ascii="Arial" w:hAnsi="Arial" w:cs="Arial"/>
          <w:sz w:val="24"/>
          <w:szCs w:val="24"/>
        </w:rPr>
        <w:t>[29]</w:t>
      </w:r>
      <w:r>
        <w:rPr>
          <w:rFonts w:ascii="Arial" w:hAnsi="Arial" w:cs="Arial"/>
          <w:sz w:val="24"/>
          <w:szCs w:val="24"/>
        </w:rPr>
        <w:tab/>
      </w:r>
      <w:r w:rsidR="00420FF8">
        <w:rPr>
          <w:rFonts w:ascii="Arial" w:hAnsi="Arial" w:cs="Arial"/>
          <w:sz w:val="24"/>
          <w:szCs w:val="24"/>
        </w:rPr>
        <w:t xml:space="preserve">In </w:t>
      </w:r>
      <w:r w:rsidR="00420FF8">
        <w:rPr>
          <w:rFonts w:ascii="Arial" w:hAnsi="Arial" w:cs="Arial"/>
          <w:i/>
          <w:sz w:val="24"/>
          <w:szCs w:val="24"/>
        </w:rPr>
        <w:t>Sage Life Ltd v Van der Merwe,</w:t>
      </w:r>
      <w:r w:rsidR="00420FF8" w:rsidRPr="00420FF8">
        <w:rPr>
          <w:rStyle w:val="FootnoteReference"/>
          <w:rFonts w:ascii="Arial" w:hAnsi="Arial" w:cs="Arial"/>
          <w:i/>
          <w:sz w:val="20"/>
        </w:rPr>
        <w:footnoteReference w:id="4"/>
      </w:r>
      <w:r w:rsidR="00420FF8">
        <w:rPr>
          <w:rFonts w:ascii="Arial" w:hAnsi="Arial" w:cs="Arial"/>
          <w:i/>
          <w:sz w:val="24"/>
          <w:szCs w:val="24"/>
        </w:rPr>
        <w:t xml:space="preserve"> </w:t>
      </w:r>
      <w:r w:rsidR="00420FF8">
        <w:rPr>
          <w:rFonts w:ascii="Arial" w:hAnsi="Arial" w:cs="Arial"/>
          <w:sz w:val="24"/>
          <w:szCs w:val="24"/>
        </w:rPr>
        <w:t xml:space="preserve">a decision emanating from this division, the court was required to determine whether a member of </w:t>
      </w:r>
      <w:r w:rsidR="00433804">
        <w:rPr>
          <w:rFonts w:ascii="Arial" w:hAnsi="Arial" w:cs="Arial"/>
          <w:sz w:val="24"/>
          <w:szCs w:val="24"/>
        </w:rPr>
        <w:t xml:space="preserve">a </w:t>
      </w:r>
      <w:r w:rsidR="00420FF8">
        <w:rPr>
          <w:rFonts w:ascii="Arial" w:hAnsi="Arial" w:cs="Arial"/>
          <w:sz w:val="24"/>
          <w:szCs w:val="24"/>
        </w:rPr>
        <w:t xml:space="preserve">group life insurance scheme was a party to the contract between the insurer and the scheme. In determining whether the contract between the insurer and the group life insurance scheme </w:t>
      </w:r>
      <w:r w:rsidR="008D6D46">
        <w:rPr>
          <w:rFonts w:ascii="Arial" w:hAnsi="Arial" w:cs="Arial"/>
          <w:sz w:val="24"/>
          <w:szCs w:val="24"/>
        </w:rPr>
        <w:t xml:space="preserve">constituted a contract for the benefit of a third party, namely the member, the court restated and applied the general principles underlying a </w:t>
      </w:r>
      <w:proofErr w:type="spellStart"/>
      <w:r w:rsidR="008D6D46">
        <w:rPr>
          <w:rFonts w:ascii="Arial" w:hAnsi="Arial" w:cs="Arial"/>
          <w:i/>
          <w:sz w:val="24"/>
          <w:szCs w:val="24"/>
        </w:rPr>
        <w:t>stipulatio</w:t>
      </w:r>
      <w:proofErr w:type="spellEnd"/>
      <w:r w:rsidR="008D6D46">
        <w:rPr>
          <w:rFonts w:ascii="Arial" w:hAnsi="Arial" w:cs="Arial"/>
          <w:i/>
          <w:sz w:val="24"/>
          <w:szCs w:val="24"/>
        </w:rPr>
        <w:t xml:space="preserve"> </w:t>
      </w:r>
      <w:proofErr w:type="spellStart"/>
      <w:r w:rsidR="008D6D46">
        <w:rPr>
          <w:rFonts w:ascii="Arial" w:hAnsi="Arial" w:cs="Arial"/>
          <w:i/>
          <w:sz w:val="24"/>
          <w:szCs w:val="24"/>
        </w:rPr>
        <w:t>alteri</w:t>
      </w:r>
      <w:proofErr w:type="spellEnd"/>
      <w:r w:rsidR="008D6D46">
        <w:rPr>
          <w:rFonts w:ascii="Arial" w:hAnsi="Arial" w:cs="Arial"/>
          <w:i/>
          <w:sz w:val="24"/>
          <w:szCs w:val="24"/>
        </w:rPr>
        <w:t xml:space="preserve">. </w:t>
      </w:r>
      <w:r w:rsidR="008D6D46">
        <w:rPr>
          <w:rFonts w:ascii="Arial" w:hAnsi="Arial" w:cs="Arial"/>
          <w:sz w:val="24"/>
          <w:szCs w:val="24"/>
        </w:rPr>
        <w:t>The court</w:t>
      </w:r>
      <w:r w:rsidR="00831EB7">
        <w:rPr>
          <w:rFonts w:ascii="Arial" w:hAnsi="Arial" w:cs="Arial"/>
          <w:sz w:val="24"/>
          <w:szCs w:val="24"/>
        </w:rPr>
        <w:t xml:space="preserve"> confirmed that the third party must indicate that he has become a party to the contract by accepting the benefit before </w:t>
      </w:r>
      <w:r w:rsidR="002F2D87">
        <w:rPr>
          <w:rFonts w:ascii="Arial" w:hAnsi="Arial" w:cs="Arial"/>
          <w:sz w:val="24"/>
          <w:szCs w:val="24"/>
        </w:rPr>
        <w:t>he becomes entitled to enforce any obligations under the contract.</w:t>
      </w:r>
      <w:r w:rsidR="002F2D87" w:rsidRPr="002F2D87">
        <w:rPr>
          <w:rStyle w:val="FootnoteReference"/>
          <w:rFonts w:ascii="Arial" w:hAnsi="Arial" w:cs="Arial"/>
          <w:sz w:val="20"/>
        </w:rPr>
        <w:footnoteReference w:id="5"/>
      </w:r>
      <w:r w:rsidR="002F2D87">
        <w:rPr>
          <w:rFonts w:ascii="Arial" w:hAnsi="Arial" w:cs="Arial"/>
          <w:sz w:val="24"/>
          <w:szCs w:val="24"/>
        </w:rPr>
        <w:t xml:space="preserve"> </w:t>
      </w:r>
      <w:r w:rsidR="00433804">
        <w:rPr>
          <w:rFonts w:ascii="Arial" w:hAnsi="Arial" w:cs="Arial"/>
          <w:sz w:val="24"/>
          <w:szCs w:val="24"/>
        </w:rPr>
        <w:t>I</w:t>
      </w:r>
      <w:r w:rsidR="002F2D87">
        <w:rPr>
          <w:rFonts w:ascii="Arial" w:hAnsi="Arial" w:cs="Arial"/>
          <w:sz w:val="24"/>
          <w:szCs w:val="24"/>
        </w:rPr>
        <w:t>t must</w:t>
      </w:r>
      <w:r w:rsidR="00433804">
        <w:rPr>
          <w:rFonts w:ascii="Arial" w:hAnsi="Arial" w:cs="Arial"/>
          <w:sz w:val="24"/>
          <w:szCs w:val="24"/>
        </w:rPr>
        <w:t xml:space="preserve"> also</w:t>
      </w:r>
      <w:r w:rsidR="002F2D87">
        <w:rPr>
          <w:rFonts w:ascii="Arial" w:hAnsi="Arial" w:cs="Arial"/>
          <w:sz w:val="24"/>
          <w:szCs w:val="24"/>
        </w:rPr>
        <w:t xml:space="preserve"> be clear from the terms of the contract between the original parties that it is ‘</w:t>
      </w:r>
      <w:r w:rsidR="002F2D87" w:rsidRPr="002F2D87">
        <w:rPr>
          <w:rFonts w:ascii="Arial" w:hAnsi="Arial" w:cs="Arial"/>
          <w:i/>
          <w:sz w:val="24"/>
          <w:szCs w:val="24"/>
        </w:rPr>
        <w:t xml:space="preserve">meant for the benefit of </w:t>
      </w:r>
      <w:r w:rsidR="002F2D87">
        <w:rPr>
          <w:rFonts w:ascii="Arial" w:hAnsi="Arial" w:cs="Arial"/>
          <w:i/>
          <w:sz w:val="24"/>
          <w:szCs w:val="24"/>
        </w:rPr>
        <w:t>a</w:t>
      </w:r>
      <w:r w:rsidR="002F2D87" w:rsidRPr="002F2D87">
        <w:rPr>
          <w:rFonts w:ascii="Arial" w:hAnsi="Arial" w:cs="Arial"/>
          <w:i/>
          <w:sz w:val="24"/>
          <w:szCs w:val="24"/>
        </w:rPr>
        <w:t xml:space="preserve"> third in the </w:t>
      </w:r>
      <w:r w:rsidR="002F2D87" w:rsidRPr="002F2D87">
        <w:rPr>
          <w:rFonts w:ascii="Arial" w:hAnsi="Arial" w:cs="Arial"/>
          <w:i/>
          <w:sz w:val="24"/>
          <w:szCs w:val="24"/>
        </w:rPr>
        <w:lastRenderedPageBreak/>
        <w:t>sense that a third party is meant to step in, whether as an additional party or in lieu of one of the other</w:t>
      </w:r>
      <w:r w:rsidR="002F2D87">
        <w:rPr>
          <w:rFonts w:ascii="Arial" w:hAnsi="Arial" w:cs="Arial"/>
          <w:i/>
          <w:sz w:val="24"/>
          <w:szCs w:val="24"/>
        </w:rPr>
        <w:t>s</w:t>
      </w:r>
      <w:r w:rsidR="002F2D87" w:rsidRPr="002F2D87">
        <w:rPr>
          <w:rFonts w:ascii="Arial" w:hAnsi="Arial" w:cs="Arial"/>
          <w:i/>
          <w:sz w:val="24"/>
          <w:szCs w:val="24"/>
        </w:rPr>
        <w:t>.’</w:t>
      </w:r>
      <w:r w:rsidR="002F2D87" w:rsidRPr="00231CC5">
        <w:rPr>
          <w:rStyle w:val="FootnoteReference"/>
          <w:rFonts w:ascii="Arial" w:hAnsi="Arial" w:cs="Arial"/>
          <w:i/>
          <w:sz w:val="20"/>
        </w:rPr>
        <w:footnoteReference w:id="6"/>
      </w:r>
      <w:r w:rsidR="00831EB7">
        <w:rPr>
          <w:rFonts w:ascii="Arial" w:hAnsi="Arial" w:cs="Arial"/>
          <w:sz w:val="24"/>
          <w:szCs w:val="24"/>
        </w:rPr>
        <w:t xml:space="preserve"> </w:t>
      </w:r>
      <w:r w:rsidR="008D6D46">
        <w:rPr>
          <w:rFonts w:ascii="Arial" w:hAnsi="Arial" w:cs="Arial"/>
          <w:sz w:val="24"/>
          <w:szCs w:val="24"/>
        </w:rPr>
        <w:t xml:space="preserve"> </w:t>
      </w:r>
      <w:r w:rsidR="00420FF8">
        <w:rPr>
          <w:rFonts w:ascii="Arial" w:hAnsi="Arial" w:cs="Arial"/>
          <w:sz w:val="24"/>
          <w:szCs w:val="24"/>
        </w:rPr>
        <w:t xml:space="preserve"> </w:t>
      </w:r>
    </w:p>
    <w:p w14:paraId="3B245DD2" w14:textId="070B4BC9" w:rsidR="00E24C24" w:rsidRDefault="00912281" w:rsidP="00AD3C00">
      <w:pPr>
        <w:rPr>
          <w:rFonts w:ascii="Arial" w:hAnsi="Arial" w:cs="Arial"/>
          <w:sz w:val="24"/>
          <w:szCs w:val="24"/>
        </w:rPr>
      </w:pPr>
      <w:r>
        <w:rPr>
          <w:rFonts w:ascii="Arial" w:hAnsi="Arial" w:cs="Arial"/>
          <w:sz w:val="24"/>
          <w:szCs w:val="24"/>
        </w:rPr>
        <w:t>[30]</w:t>
      </w:r>
      <w:r>
        <w:rPr>
          <w:rFonts w:ascii="Arial" w:hAnsi="Arial" w:cs="Arial"/>
          <w:sz w:val="24"/>
          <w:szCs w:val="24"/>
        </w:rPr>
        <w:tab/>
      </w:r>
      <w:r w:rsidR="00614BFD">
        <w:rPr>
          <w:rFonts w:ascii="Arial" w:hAnsi="Arial" w:cs="Arial"/>
          <w:sz w:val="24"/>
          <w:szCs w:val="24"/>
        </w:rPr>
        <w:t xml:space="preserve">In order to </w:t>
      </w:r>
      <w:r>
        <w:rPr>
          <w:rFonts w:ascii="Arial" w:hAnsi="Arial" w:cs="Arial"/>
          <w:sz w:val="24"/>
          <w:szCs w:val="24"/>
        </w:rPr>
        <w:t xml:space="preserve">ascertain </w:t>
      </w:r>
      <w:r w:rsidR="00220727">
        <w:rPr>
          <w:rFonts w:ascii="Arial" w:hAnsi="Arial" w:cs="Arial"/>
          <w:sz w:val="24"/>
          <w:szCs w:val="24"/>
        </w:rPr>
        <w:t xml:space="preserve">the intention of the contracting </w:t>
      </w:r>
      <w:r w:rsidR="0008592F">
        <w:rPr>
          <w:rFonts w:ascii="Arial" w:hAnsi="Arial" w:cs="Arial"/>
          <w:sz w:val="24"/>
          <w:szCs w:val="24"/>
        </w:rPr>
        <w:t xml:space="preserve">parties and whether the Policy constitutes a </w:t>
      </w:r>
      <w:proofErr w:type="spellStart"/>
      <w:r w:rsidR="0008592F">
        <w:rPr>
          <w:rFonts w:ascii="Arial" w:hAnsi="Arial" w:cs="Arial"/>
          <w:i/>
          <w:sz w:val="24"/>
          <w:szCs w:val="24"/>
        </w:rPr>
        <w:t>stipulatio</w:t>
      </w:r>
      <w:proofErr w:type="spellEnd"/>
      <w:r w:rsidR="0008592F">
        <w:rPr>
          <w:rFonts w:ascii="Arial" w:hAnsi="Arial" w:cs="Arial"/>
          <w:i/>
          <w:sz w:val="24"/>
          <w:szCs w:val="24"/>
        </w:rPr>
        <w:t xml:space="preserve"> </w:t>
      </w:r>
      <w:proofErr w:type="spellStart"/>
      <w:r w:rsidR="0008592F">
        <w:rPr>
          <w:rFonts w:ascii="Arial" w:hAnsi="Arial" w:cs="Arial"/>
          <w:i/>
          <w:sz w:val="24"/>
          <w:szCs w:val="24"/>
        </w:rPr>
        <w:t>alteri</w:t>
      </w:r>
      <w:proofErr w:type="spellEnd"/>
      <w:r w:rsidR="00220727">
        <w:rPr>
          <w:rFonts w:ascii="Arial" w:hAnsi="Arial" w:cs="Arial"/>
          <w:sz w:val="24"/>
          <w:szCs w:val="24"/>
        </w:rPr>
        <w:t xml:space="preserve"> </w:t>
      </w:r>
      <w:r w:rsidR="00614BFD">
        <w:rPr>
          <w:rFonts w:ascii="Arial" w:hAnsi="Arial" w:cs="Arial"/>
          <w:sz w:val="24"/>
          <w:szCs w:val="24"/>
        </w:rPr>
        <w:t xml:space="preserve">that created a contractual nexus as contended for by Crossman, it is necessary to have regard to the Policy wording itself.  </w:t>
      </w:r>
    </w:p>
    <w:p w14:paraId="6EF96E02" w14:textId="77777777" w:rsidR="00912281" w:rsidRDefault="00912281" w:rsidP="00912281">
      <w:pPr>
        <w:pStyle w:val="western"/>
        <w:shd w:val="clear" w:color="auto" w:fill="FFFFFF"/>
        <w:spacing w:before="0" w:beforeAutospacing="0" w:after="200" w:afterAutospacing="0" w:line="360" w:lineRule="auto"/>
        <w:jc w:val="both"/>
        <w:rPr>
          <w:rFonts w:ascii="Arial" w:hAnsi="Arial" w:cs="Arial"/>
          <w:i/>
          <w:iCs/>
          <w:sz w:val="22"/>
          <w:szCs w:val="22"/>
          <w:lang w:val="en-GB"/>
        </w:rPr>
      </w:pPr>
      <w:r>
        <w:rPr>
          <w:rFonts w:ascii="Arial" w:hAnsi="Arial" w:cs="Arial"/>
        </w:rPr>
        <w:t>[31]</w:t>
      </w:r>
      <w:r>
        <w:rPr>
          <w:rFonts w:ascii="Arial" w:hAnsi="Arial" w:cs="Arial"/>
        </w:rPr>
        <w:tab/>
      </w:r>
      <w:r w:rsidR="00E24C24">
        <w:rPr>
          <w:rFonts w:ascii="Arial" w:hAnsi="Arial" w:cs="Arial"/>
        </w:rPr>
        <w:t xml:space="preserve">The court in </w:t>
      </w:r>
      <w:r w:rsidR="00E24C24" w:rsidRPr="00E24C24">
        <w:rPr>
          <w:rFonts w:ascii="Arial" w:hAnsi="Arial" w:cs="Arial"/>
          <w:i/>
          <w:iCs/>
          <w:lang w:val="en-GB"/>
        </w:rPr>
        <w:t xml:space="preserve">Natal Joint Municipal Pension Fund v </w:t>
      </w:r>
      <w:proofErr w:type="spellStart"/>
      <w:r w:rsidR="00E24C24" w:rsidRPr="00E24C24">
        <w:rPr>
          <w:rFonts w:ascii="Arial" w:hAnsi="Arial" w:cs="Arial"/>
          <w:i/>
          <w:iCs/>
          <w:lang w:val="en-GB"/>
        </w:rPr>
        <w:t>E</w:t>
      </w:r>
      <w:r w:rsidR="00E24C24">
        <w:rPr>
          <w:rFonts w:ascii="Arial" w:hAnsi="Arial" w:cs="Arial"/>
          <w:i/>
          <w:iCs/>
          <w:lang w:val="en-GB"/>
        </w:rPr>
        <w:t>ndumeni</w:t>
      </w:r>
      <w:proofErr w:type="spellEnd"/>
      <w:r w:rsidR="00E24C24">
        <w:rPr>
          <w:rFonts w:ascii="Arial" w:hAnsi="Arial" w:cs="Arial"/>
          <w:i/>
          <w:iCs/>
          <w:lang w:val="en-GB"/>
        </w:rPr>
        <w:t xml:space="preserve"> Municipality</w:t>
      </w:r>
      <w:r w:rsidR="00135B24" w:rsidRPr="00135B24">
        <w:rPr>
          <w:rStyle w:val="FootnoteReference"/>
          <w:rFonts w:ascii="Arial" w:hAnsi="Arial" w:cs="Arial"/>
          <w:i/>
          <w:iCs/>
          <w:sz w:val="20"/>
          <w:lang w:val="en-GB"/>
        </w:rPr>
        <w:footnoteReference w:id="7"/>
      </w:r>
      <w:r w:rsidR="00E24C24">
        <w:rPr>
          <w:rFonts w:ascii="Arial" w:hAnsi="Arial" w:cs="Arial"/>
          <w:i/>
          <w:iCs/>
          <w:lang w:val="en-GB"/>
        </w:rPr>
        <w:t xml:space="preserve"> </w:t>
      </w:r>
      <w:r w:rsidR="00E24C24">
        <w:rPr>
          <w:rFonts w:ascii="Arial" w:hAnsi="Arial" w:cs="Arial"/>
          <w:iCs/>
          <w:lang w:val="en-GB"/>
        </w:rPr>
        <w:t xml:space="preserve">has </w:t>
      </w:r>
      <w:r w:rsidR="00225EDD">
        <w:rPr>
          <w:rFonts w:ascii="Arial" w:hAnsi="Arial" w:cs="Arial"/>
          <w:iCs/>
          <w:lang w:val="en-GB"/>
        </w:rPr>
        <w:t>authoritatively determined the approach that must</w:t>
      </w:r>
      <w:r w:rsidR="00A3132F">
        <w:rPr>
          <w:rFonts w:ascii="Arial" w:hAnsi="Arial" w:cs="Arial"/>
          <w:iCs/>
          <w:lang w:val="en-GB"/>
        </w:rPr>
        <w:t xml:space="preserve"> be</w:t>
      </w:r>
      <w:r w:rsidR="00225EDD">
        <w:rPr>
          <w:rFonts w:ascii="Arial" w:hAnsi="Arial" w:cs="Arial"/>
          <w:iCs/>
          <w:lang w:val="en-GB"/>
        </w:rPr>
        <w:t xml:space="preserve"> adopted in the interpretation of contracts and statutes.</w:t>
      </w:r>
      <w:r w:rsidR="00E24C24">
        <w:rPr>
          <w:rFonts w:ascii="Arial" w:hAnsi="Arial" w:cs="Arial"/>
          <w:iCs/>
          <w:lang w:val="en-GB"/>
        </w:rPr>
        <w:t xml:space="preserve"> </w:t>
      </w:r>
      <w:r w:rsidR="00E24C24" w:rsidRPr="00E24C24">
        <w:rPr>
          <w:rFonts w:ascii="Arial" w:hAnsi="Arial" w:cs="Arial"/>
          <w:lang w:val="en-GB"/>
        </w:rPr>
        <w:t>Th</w:t>
      </w:r>
      <w:r w:rsidR="00225EDD">
        <w:rPr>
          <w:rFonts w:ascii="Arial" w:hAnsi="Arial" w:cs="Arial"/>
          <w:lang w:val="en-GB"/>
        </w:rPr>
        <w:t>is</w:t>
      </w:r>
      <w:r w:rsidR="00E24C24" w:rsidRPr="00E24C24">
        <w:rPr>
          <w:rFonts w:ascii="Arial" w:hAnsi="Arial" w:cs="Arial"/>
          <w:lang w:val="en-GB"/>
        </w:rPr>
        <w:t xml:space="preserve"> exercise must take account</w:t>
      </w:r>
      <w:r w:rsidR="00A3132F">
        <w:rPr>
          <w:rFonts w:ascii="Arial" w:hAnsi="Arial" w:cs="Arial"/>
          <w:lang w:val="en-GB"/>
        </w:rPr>
        <w:t xml:space="preserve"> of</w:t>
      </w:r>
      <w:r w:rsidR="00E24C24" w:rsidRPr="00E24C24">
        <w:rPr>
          <w:rFonts w:ascii="Arial" w:hAnsi="Arial" w:cs="Arial"/>
          <w:lang w:val="en-GB"/>
        </w:rPr>
        <w:t xml:space="preserve"> the language used, understood in the context in which it is used, and having regard to the purpose of the provision. In </w:t>
      </w:r>
      <w:proofErr w:type="spellStart"/>
      <w:r w:rsidR="00E24C24" w:rsidRPr="00E24C24">
        <w:rPr>
          <w:rFonts w:ascii="Arial" w:hAnsi="Arial" w:cs="Arial"/>
          <w:i/>
          <w:iCs/>
        </w:rPr>
        <w:t>Capitec</w:t>
      </w:r>
      <w:proofErr w:type="spellEnd"/>
      <w:r w:rsidR="00E24C24" w:rsidRPr="00E24C24">
        <w:rPr>
          <w:rFonts w:ascii="Arial" w:hAnsi="Arial" w:cs="Arial"/>
          <w:i/>
          <w:iCs/>
        </w:rPr>
        <w:t xml:space="preserve"> Bank Holdings Limited v Coral Lagoon Investments 194 (Pty) Ltd</w:t>
      </w:r>
      <w:r w:rsidR="00E24C24" w:rsidRPr="00135B24">
        <w:rPr>
          <w:rStyle w:val="FootnoteReference"/>
          <w:rFonts w:ascii="Arial" w:hAnsi="Arial" w:cs="Arial"/>
          <w:i/>
          <w:iCs/>
          <w:sz w:val="20"/>
        </w:rPr>
        <w:footnoteReference w:id="8"/>
      </w:r>
      <w:r w:rsidR="00E24C24" w:rsidRPr="00E24C24">
        <w:rPr>
          <w:rFonts w:ascii="Arial" w:hAnsi="Arial" w:cs="Arial"/>
        </w:rPr>
        <w:t> the SCA restated these principles</w:t>
      </w:r>
      <w:r w:rsidR="00225EDD">
        <w:rPr>
          <w:rFonts w:ascii="Arial" w:hAnsi="Arial" w:cs="Arial"/>
          <w:i/>
          <w:iCs/>
          <w:lang w:val="en-GB"/>
        </w:rPr>
        <w:t xml:space="preserve"> </w:t>
      </w:r>
      <w:r w:rsidR="00225EDD">
        <w:rPr>
          <w:rFonts w:ascii="Arial" w:hAnsi="Arial" w:cs="Arial"/>
          <w:iCs/>
          <w:lang w:val="en-GB"/>
        </w:rPr>
        <w:t xml:space="preserve">and held </w:t>
      </w:r>
      <w:r w:rsidR="00E24C24" w:rsidRPr="00E24C24">
        <w:rPr>
          <w:rFonts w:ascii="Arial" w:hAnsi="Arial" w:cs="Arial"/>
          <w:lang w:val="en-GB"/>
        </w:rPr>
        <w:t>as follows:</w:t>
      </w:r>
      <w:r>
        <w:rPr>
          <w:rFonts w:ascii="Arial" w:hAnsi="Arial" w:cs="Arial"/>
          <w:lang w:val="en-GB"/>
        </w:rPr>
        <w:t xml:space="preserve">                                                                                            </w:t>
      </w:r>
      <w:r w:rsidR="00225EDD">
        <w:rPr>
          <w:rFonts w:ascii="Arial" w:hAnsi="Arial" w:cs="Arial"/>
          <w:sz w:val="22"/>
          <w:szCs w:val="22"/>
        </w:rPr>
        <w:t>‘</w:t>
      </w:r>
      <w:r w:rsidR="00E24C24" w:rsidRPr="00E24C24">
        <w:rPr>
          <w:rFonts w:ascii="Arial" w:hAnsi="Arial" w:cs="Arial"/>
          <w:sz w:val="22"/>
          <w:szCs w:val="22"/>
        </w:rPr>
        <w:t>…</w:t>
      </w:r>
      <w:r w:rsidR="00E24C24" w:rsidRPr="00E24C24">
        <w:rPr>
          <w:rFonts w:ascii="Arial" w:hAnsi="Arial" w:cs="Arial"/>
          <w:i/>
          <w:iCs/>
          <w:sz w:val="22"/>
          <w:szCs w:val="22"/>
          <w:lang w:val="en-GB"/>
        </w:rPr>
        <w:t>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w:t>
      </w:r>
      <w:r>
        <w:rPr>
          <w:rFonts w:ascii="Arial" w:hAnsi="Arial" w:cs="Arial"/>
          <w:i/>
          <w:iCs/>
          <w:sz w:val="22"/>
          <w:szCs w:val="22"/>
          <w:lang w:val="en-GB"/>
        </w:rPr>
        <w:t xml:space="preserve"> </w:t>
      </w:r>
    </w:p>
    <w:p w14:paraId="7A889F93" w14:textId="18D643F3" w:rsidR="00E24C24" w:rsidRPr="00E24C24" w:rsidRDefault="00E24C24" w:rsidP="00912281">
      <w:pPr>
        <w:pStyle w:val="western"/>
        <w:shd w:val="clear" w:color="auto" w:fill="FFFFFF"/>
        <w:spacing w:before="0" w:beforeAutospacing="0" w:after="200" w:afterAutospacing="0" w:line="360" w:lineRule="auto"/>
        <w:jc w:val="both"/>
        <w:rPr>
          <w:rFonts w:ascii="Arial" w:hAnsi="Arial" w:cs="Arial"/>
          <w:sz w:val="22"/>
          <w:szCs w:val="22"/>
        </w:rPr>
      </w:pPr>
      <w:proofErr w:type="spellStart"/>
      <w:r w:rsidRPr="00E24C24">
        <w:rPr>
          <w:rFonts w:ascii="Arial" w:hAnsi="Arial" w:cs="Arial"/>
          <w:i/>
          <w:iCs/>
          <w:sz w:val="22"/>
          <w:szCs w:val="22"/>
          <w:lang w:val="en-GB"/>
        </w:rPr>
        <w:t>Endumeni</w:t>
      </w:r>
      <w:proofErr w:type="spellEnd"/>
      <w:r w:rsidRPr="00E24C24">
        <w:rPr>
          <w:rFonts w:ascii="Arial" w:hAnsi="Arial" w:cs="Arial"/>
          <w:sz w:val="22"/>
          <w:szCs w:val="22"/>
        </w:rPr>
        <w:t> </w:t>
      </w:r>
      <w:r w:rsidRPr="00E24C24">
        <w:rPr>
          <w:rFonts w:ascii="Arial" w:hAnsi="Arial" w:cs="Arial"/>
          <w:i/>
          <w:iCs/>
          <w:sz w:val="22"/>
          <w:szCs w:val="22"/>
          <w:lang w:val="en-GB"/>
        </w:rPr>
        <w:t xml:space="preserve">is not a charter for judicial constructs premised upon what a contract should be taken to mean from a vantage point that is not located in the text of what the parties in fact agreed. Nor does </w:t>
      </w:r>
      <w:proofErr w:type="spellStart"/>
      <w:r w:rsidRPr="00E24C24">
        <w:rPr>
          <w:rFonts w:ascii="Arial" w:hAnsi="Arial" w:cs="Arial"/>
          <w:i/>
          <w:iCs/>
          <w:sz w:val="22"/>
          <w:szCs w:val="22"/>
          <w:lang w:val="en-GB"/>
        </w:rPr>
        <w:t>Endumeni</w:t>
      </w:r>
      <w:proofErr w:type="spellEnd"/>
      <w:r w:rsidRPr="00E24C24">
        <w:rPr>
          <w:rFonts w:ascii="Arial" w:hAnsi="Arial" w:cs="Arial"/>
          <w:i/>
          <w:iCs/>
          <w:sz w:val="22"/>
          <w:szCs w:val="22"/>
          <w:lang w:val="en-GB"/>
        </w:rPr>
        <w:t xml:space="preserve"> licence judicial interpretation that imports meanings into a contract so as to make it a better contract, or on</w:t>
      </w:r>
      <w:r w:rsidR="00225EDD">
        <w:rPr>
          <w:rFonts w:ascii="Arial" w:hAnsi="Arial" w:cs="Arial"/>
          <w:i/>
          <w:iCs/>
          <w:sz w:val="22"/>
          <w:szCs w:val="22"/>
          <w:lang w:val="en-GB"/>
        </w:rPr>
        <w:t>e that is ethically preferable.’</w:t>
      </w:r>
      <w:r w:rsidRPr="00E24C24">
        <w:rPr>
          <w:rFonts w:ascii="Arial" w:hAnsi="Arial" w:cs="Arial"/>
          <w:i/>
          <w:iCs/>
          <w:sz w:val="22"/>
          <w:szCs w:val="22"/>
          <w:lang w:val="en-GB"/>
        </w:rPr>
        <w:t> </w:t>
      </w:r>
    </w:p>
    <w:p w14:paraId="64F7D23D" w14:textId="3835C018" w:rsidR="00921B5C" w:rsidRDefault="00912281" w:rsidP="00AD3C00">
      <w:pPr>
        <w:rPr>
          <w:rFonts w:ascii="Arial" w:hAnsi="Arial" w:cs="Arial"/>
          <w:sz w:val="24"/>
          <w:szCs w:val="24"/>
        </w:rPr>
      </w:pPr>
      <w:r>
        <w:rPr>
          <w:rFonts w:ascii="Arial" w:hAnsi="Arial" w:cs="Arial"/>
          <w:sz w:val="24"/>
          <w:szCs w:val="24"/>
        </w:rPr>
        <w:t>[32]</w:t>
      </w:r>
      <w:r>
        <w:rPr>
          <w:rFonts w:ascii="Arial" w:hAnsi="Arial" w:cs="Arial"/>
          <w:sz w:val="24"/>
          <w:szCs w:val="24"/>
        </w:rPr>
        <w:tab/>
      </w:r>
      <w:r w:rsidR="00166FFA">
        <w:rPr>
          <w:rFonts w:ascii="Arial" w:hAnsi="Arial" w:cs="Arial"/>
          <w:sz w:val="24"/>
          <w:szCs w:val="24"/>
        </w:rPr>
        <w:t>I have already made reference, earlier in this judgment, to those provisions of the Policy that</w:t>
      </w:r>
      <w:r w:rsidR="00921B5C">
        <w:rPr>
          <w:rFonts w:ascii="Arial" w:hAnsi="Arial" w:cs="Arial"/>
          <w:sz w:val="24"/>
          <w:szCs w:val="24"/>
        </w:rPr>
        <w:t xml:space="preserve"> are relevant to the determination of the issues. </w:t>
      </w:r>
      <w:r w:rsidR="00166FFA">
        <w:rPr>
          <w:rFonts w:ascii="Arial" w:hAnsi="Arial" w:cs="Arial"/>
          <w:sz w:val="24"/>
          <w:szCs w:val="24"/>
        </w:rPr>
        <w:t xml:space="preserve">Having regard to these express provisions of the Policy, it is apparent </w:t>
      </w:r>
      <w:r w:rsidR="00E632BA">
        <w:rPr>
          <w:rFonts w:ascii="Arial" w:hAnsi="Arial" w:cs="Arial"/>
          <w:sz w:val="24"/>
          <w:szCs w:val="24"/>
        </w:rPr>
        <w:t xml:space="preserve">and clear </w:t>
      </w:r>
      <w:r w:rsidR="00166FFA">
        <w:rPr>
          <w:rFonts w:ascii="Arial" w:hAnsi="Arial" w:cs="Arial"/>
          <w:sz w:val="24"/>
          <w:szCs w:val="24"/>
        </w:rPr>
        <w:t xml:space="preserve">that the nomination form does not form part of the Policy documents. The contracting parties are Capital Alliance, TSA and </w:t>
      </w:r>
      <w:r w:rsidR="00AD3C00">
        <w:rPr>
          <w:rFonts w:ascii="Arial" w:hAnsi="Arial" w:cs="Arial"/>
          <w:sz w:val="24"/>
          <w:szCs w:val="24"/>
        </w:rPr>
        <w:t>IEMAS</w:t>
      </w:r>
      <w:r w:rsidR="00921B5C">
        <w:rPr>
          <w:rFonts w:ascii="Arial" w:hAnsi="Arial" w:cs="Arial"/>
          <w:sz w:val="24"/>
          <w:szCs w:val="24"/>
        </w:rPr>
        <w:t xml:space="preserve">. Clause 10.2 specifically records that no contract is constituted or implied between Capital Alliance and any other person, other than TSA and </w:t>
      </w:r>
      <w:r w:rsidR="00AD3C00">
        <w:rPr>
          <w:rFonts w:ascii="Arial" w:hAnsi="Arial" w:cs="Arial"/>
          <w:sz w:val="24"/>
          <w:szCs w:val="24"/>
        </w:rPr>
        <w:t>IEMAS</w:t>
      </w:r>
      <w:r w:rsidR="00921B5C">
        <w:rPr>
          <w:rFonts w:ascii="Arial" w:hAnsi="Arial" w:cs="Arial"/>
          <w:sz w:val="24"/>
          <w:szCs w:val="24"/>
        </w:rPr>
        <w:t>.</w:t>
      </w:r>
    </w:p>
    <w:p w14:paraId="20E43822" w14:textId="5319DAD2" w:rsidR="00872D74" w:rsidRDefault="00912281" w:rsidP="00AD3C00">
      <w:pPr>
        <w:rPr>
          <w:rFonts w:ascii="Arial" w:hAnsi="Arial" w:cs="Arial"/>
          <w:sz w:val="24"/>
          <w:szCs w:val="24"/>
        </w:rPr>
      </w:pPr>
      <w:r>
        <w:rPr>
          <w:rFonts w:ascii="Arial" w:hAnsi="Arial" w:cs="Arial"/>
          <w:sz w:val="24"/>
          <w:szCs w:val="24"/>
        </w:rPr>
        <w:t>[33]</w:t>
      </w:r>
      <w:r>
        <w:rPr>
          <w:rFonts w:ascii="Arial" w:hAnsi="Arial" w:cs="Arial"/>
          <w:sz w:val="24"/>
          <w:szCs w:val="24"/>
        </w:rPr>
        <w:tab/>
      </w:r>
      <w:r w:rsidR="00921B5C">
        <w:rPr>
          <w:rFonts w:ascii="Arial" w:hAnsi="Arial" w:cs="Arial"/>
          <w:sz w:val="24"/>
          <w:szCs w:val="24"/>
        </w:rPr>
        <w:t xml:space="preserve">In terms of the Policy, </w:t>
      </w:r>
      <w:r w:rsidR="00AD3C00">
        <w:rPr>
          <w:rFonts w:ascii="Arial" w:hAnsi="Arial" w:cs="Arial"/>
          <w:sz w:val="24"/>
          <w:szCs w:val="24"/>
        </w:rPr>
        <w:t>IEMAS</w:t>
      </w:r>
      <w:r w:rsidR="00921B5C">
        <w:rPr>
          <w:rFonts w:ascii="Arial" w:hAnsi="Arial" w:cs="Arial"/>
          <w:sz w:val="24"/>
          <w:szCs w:val="24"/>
        </w:rPr>
        <w:t xml:space="preserve"> is responsible for payment of the premiums</w:t>
      </w:r>
      <w:r w:rsidR="0085660A">
        <w:rPr>
          <w:rFonts w:ascii="Arial" w:hAnsi="Arial" w:cs="Arial"/>
          <w:sz w:val="24"/>
          <w:szCs w:val="24"/>
        </w:rPr>
        <w:t xml:space="preserve"> to Capital Alliance</w:t>
      </w:r>
      <w:r w:rsidR="00921B5C">
        <w:rPr>
          <w:rFonts w:ascii="Arial" w:hAnsi="Arial" w:cs="Arial"/>
          <w:sz w:val="24"/>
          <w:szCs w:val="24"/>
        </w:rPr>
        <w:t>. TSA is responsible for the submission and notification of claims to Capital Alliance</w:t>
      </w:r>
      <w:r w:rsidR="0085660A">
        <w:rPr>
          <w:rFonts w:ascii="Arial" w:hAnsi="Arial" w:cs="Arial"/>
          <w:sz w:val="24"/>
          <w:szCs w:val="24"/>
        </w:rPr>
        <w:t xml:space="preserve">. The contracting parties are afforded rights to terminate the Policy that require no notification </w:t>
      </w:r>
      <w:r w:rsidR="0085660A">
        <w:rPr>
          <w:rFonts w:ascii="Arial" w:hAnsi="Arial" w:cs="Arial"/>
          <w:sz w:val="24"/>
          <w:szCs w:val="24"/>
        </w:rPr>
        <w:lastRenderedPageBreak/>
        <w:t>to the members and/or beneficiaries.</w:t>
      </w:r>
      <w:r w:rsidR="00872D74">
        <w:rPr>
          <w:rFonts w:ascii="Arial" w:hAnsi="Arial" w:cs="Arial"/>
          <w:sz w:val="24"/>
          <w:szCs w:val="24"/>
        </w:rPr>
        <w:t xml:space="preserve"> </w:t>
      </w:r>
      <w:r w:rsidR="002F6B41">
        <w:rPr>
          <w:rFonts w:ascii="Arial" w:hAnsi="Arial" w:cs="Arial"/>
          <w:sz w:val="24"/>
          <w:szCs w:val="24"/>
        </w:rPr>
        <w:t>The Policy also m</w:t>
      </w:r>
      <w:r w:rsidR="00872D74">
        <w:rPr>
          <w:rFonts w:ascii="Arial" w:hAnsi="Arial" w:cs="Arial"/>
          <w:sz w:val="24"/>
          <w:szCs w:val="24"/>
        </w:rPr>
        <w:t xml:space="preserve">akes provision for members to effect an individual policy for themselves upon their retirement or the termination of their services with the participating employer. </w:t>
      </w:r>
      <w:r w:rsidR="002F6B41">
        <w:rPr>
          <w:rFonts w:ascii="Arial" w:hAnsi="Arial" w:cs="Arial"/>
          <w:sz w:val="24"/>
          <w:szCs w:val="24"/>
        </w:rPr>
        <w:t xml:space="preserve">Such provision would be meaningless and serve no purpose if a contract already existed between the members and Capital Alliance. </w:t>
      </w:r>
    </w:p>
    <w:p w14:paraId="64619BD1" w14:textId="019F9185" w:rsidR="00231CC5" w:rsidRDefault="002F6B41" w:rsidP="00AD3C00">
      <w:pPr>
        <w:rPr>
          <w:rFonts w:ascii="Arial" w:hAnsi="Arial" w:cs="Arial"/>
          <w:sz w:val="24"/>
          <w:szCs w:val="24"/>
        </w:rPr>
      </w:pPr>
      <w:r>
        <w:rPr>
          <w:rFonts w:ascii="Arial" w:hAnsi="Arial" w:cs="Arial"/>
          <w:sz w:val="24"/>
          <w:szCs w:val="24"/>
        </w:rPr>
        <w:t>[34]</w:t>
      </w:r>
      <w:r>
        <w:rPr>
          <w:rFonts w:ascii="Arial" w:hAnsi="Arial" w:cs="Arial"/>
          <w:sz w:val="24"/>
          <w:szCs w:val="24"/>
        </w:rPr>
        <w:tab/>
        <w:t>In the circumstances, there is simply no basis for the conclusion that the deceased, as a member, was a contractual party to the Policy. Further, the Policy provisions</w:t>
      </w:r>
      <w:r w:rsidR="0085660A">
        <w:rPr>
          <w:rFonts w:ascii="Arial" w:hAnsi="Arial" w:cs="Arial"/>
          <w:sz w:val="24"/>
          <w:szCs w:val="24"/>
        </w:rPr>
        <w:t xml:space="preserve"> are not indicative of an intention by the contracting parties that the members and/or beneficiaries should become parties to the contract.</w:t>
      </w:r>
      <w:r w:rsidR="00921B5C">
        <w:rPr>
          <w:rFonts w:ascii="Arial" w:hAnsi="Arial" w:cs="Arial"/>
          <w:sz w:val="24"/>
          <w:szCs w:val="24"/>
        </w:rPr>
        <w:t xml:space="preserve"> </w:t>
      </w:r>
      <w:r w:rsidR="00872D74">
        <w:rPr>
          <w:rFonts w:ascii="Arial" w:hAnsi="Arial" w:cs="Arial"/>
          <w:sz w:val="24"/>
          <w:szCs w:val="24"/>
        </w:rPr>
        <w:t xml:space="preserve">To the contrary, they indicate </w:t>
      </w:r>
      <w:r w:rsidR="00E632BA">
        <w:rPr>
          <w:rFonts w:ascii="Arial" w:hAnsi="Arial" w:cs="Arial"/>
          <w:sz w:val="24"/>
          <w:szCs w:val="24"/>
        </w:rPr>
        <w:t xml:space="preserve">quite clearly </w:t>
      </w:r>
      <w:r w:rsidR="00872D74">
        <w:rPr>
          <w:rFonts w:ascii="Arial" w:hAnsi="Arial" w:cs="Arial"/>
          <w:sz w:val="24"/>
          <w:szCs w:val="24"/>
        </w:rPr>
        <w:t>that the members and/or beneficiaries are not intended to become parties to the Policy.</w:t>
      </w:r>
    </w:p>
    <w:p w14:paraId="7EBA8D9B" w14:textId="7EBE5D5B" w:rsidR="00367BD4" w:rsidRDefault="002F6B41" w:rsidP="00AD3C00">
      <w:pPr>
        <w:rPr>
          <w:rFonts w:ascii="Arial" w:hAnsi="Arial" w:cs="Arial"/>
          <w:sz w:val="24"/>
          <w:szCs w:val="24"/>
        </w:rPr>
      </w:pPr>
      <w:r>
        <w:rPr>
          <w:rFonts w:ascii="Arial" w:hAnsi="Arial" w:cs="Arial"/>
          <w:sz w:val="24"/>
          <w:szCs w:val="24"/>
        </w:rPr>
        <w:t>[35]</w:t>
      </w:r>
      <w:r>
        <w:rPr>
          <w:rFonts w:ascii="Arial" w:hAnsi="Arial" w:cs="Arial"/>
          <w:sz w:val="24"/>
          <w:szCs w:val="24"/>
        </w:rPr>
        <w:tab/>
      </w:r>
      <w:r w:rsidR="00872D74">
        <w:rPr>
          <w:rFonts w:ascii="Arial" w:hAnsi="Arial" w:cs="Arial"/>
          <w:sz w:val="24"/>
          <w:szCs w:val="24"/>
        </w:rPr>
        <w:t xml:space="preserve">In the circumstances, having regard to the express provisions of the Policy, I am of the view that the Policy does not constitute a </w:t>
      </w:r>
      <w:proofErr w:type="spellStart"/>
      <w:r w:rsidR="00872D74">
        <w:rPr>
          <w:rFonts w:ascii="Arial" w:hAnsi="Arial" w:cs="Arial"/>
          <w:i/>
          <w:sz w:val="24"/>
          <w:szCs w:val="24"/>
        </w:rPr>
        <w:t>stipulatio</w:t>
      </w:r>
      <w:proofErr w:type="spellEnd"/>
      <w:r w:rsidR="00872D74">
        <w:rPr>
          <w:rFonts w:ascii="Arial" w:hAnsi="Arial" w:cs="Arial"/>
          <w:i/>
          <w:sz w:val="24"/>
          <w:szCs w:val="24"/>
        </w:rPr>
        <w:t xml:space="preserve"> </w:t>
      </w:r>
      <w:proofErr w:type="spellStart"/>
      <w:r w:rsidR="009C75B9">
        <w:rPr>
          <w:rFonts w:ascii="Arial" w:hAnsi="Arial" w:cs="Arial"/>
          <w:i/>
          <w:sz w:val="24"/>
          <w:szCs w:val="24"/>
        </w:rPr>
        <w:t>alteri</w:t>
      </w:r>
      <w:proofErr w:type="spellEnd"/>
      <w:r w:rsidR="009C75B9">
        <w:rPr>
          <w:rFonts w:ascii="Arial" w:hAnsi="Arial" w:cs="Arial"/>
          <w:i/>
          <w:sz w:val="24"/>
          <w:szCs w:val="24"/>
        </w:rPr>
        <w:t xml:space="preserve"> </w:t>
      </w:r>
      <w:r w:rsidR="009C75B9">
        <w:rPr>
          <w:rFonts w:ascii="Arial" w:hAnsi="Arial" w:cs="Arial"/>
          <w:sz w:val="24"/>
          <w:szCs w:val="24"/>
        </w:rPr>
        <w:t>in</w:t>
      </w:r>
      <w:r w:rsidR="00367BD4">
        <w:rPr>
          <w:rFonts w:ascii="Arial" w:hAnsi="Arial" w:cs="Arial"/>
          <w:sz w:val="24"/>
          <w:szCs w:val="24"/>
        </w:rPr>
        <w:t xml:space="preserve"> any form and no contractual </w:t>
      </w:r>
      <w:proofErr w:type="spellStart"/>
      <w:r w:rsidR="00367BD4">
        <w:rPr>
          <w:rFonts w:ascii="Arial" w:hAnsi="Arial" w:cs="Arial"/>
          <w:sz w:val="24"/>
          <w:szCs w:val="24"/>
        </w:rPr>
        <w:t>privity</w:t>
      </w:r>
      <w:proofErr w:type="spellEnd"/>
      <w:r w:rsidR="00367BD4">
        <w:rPr>
          <w:rFonts w:ascii="Arial" w:hAnsi="Arial" w:cs="Arial"/>
          <w:sz w:val="24"/>
          <w:szCs w:val="24"/>
        </w:rPr>
        <w:t xml:space="preserve"> was created </w:t>
      </w:r>
      <w:r w:rsidR="00E632BA">
        <w:rPr>
          <w:rFonts w:ascii="Arial" w:hAnsi="Arial" w:cs="Arial"/>
          <w:sz w:val="24"/>
          <w:szCs w:val="24"/>
        </w:rPr>
        <w:t xml:space="preserve">at any time </w:t>
      </w:r>
      <w:r w:rsidR="00367BD4">
        <w:rPr>
          <w:rFonts w:ascii="Arial" w:hAnsi="Arial" w:cs="Arial"/>
          <w:sz w:val="24"/>
          <w:szCs w:val="24"/>
        </w:rPr>
        <w:t>between Capital Alliance and Crossman.</w:t>
      </w:r>
      <w:r w:rsidR="00790A3F">
        <w:rPr>
          <w:rFonts w:ascii="Arial" w:hAnsi="Arial" w:cs="Arial"/>
          <w:sz w:val="24"/>
          <w:szCs w:val="24"/>
        </w:rPr>
        <w:t xml:space="preserve"> It follows, in my view that Crossman has</w:t>
      </w:r>
      <w:r w:rsidR="00D273C3">
        <w:rPr>
          <w:rFonts w:ascii="Arial" w:hAnsi="Arial" w:cs="Arial"/>
          <w:sz w:val="24"/>
          <w:szCs w:val="24"/>
        </w:rPr>
        <w:t>,</w:t>
      </w:r>
      <w:r w:rsidR="00790A3F">
        <w:rPr>
          <w:rFonts w:ascii="Arial" w:hAnsi="Arial" w:cs="Arial"/>
          <w:sz w:val="24"/>
          <w:szCs w:val="24"/>
        </w:rPr>
        <w:t xml:space="preserve"> a</w:t>
      </w:r>
      <w:r w:rsidR="00D273C3">
        <w:rPr>
          <w:rFonts w:ascii="Arial" w:hAnsi="Arial" w:cs="Arial"/>
          <w:sz w:val="24"/>
          <w:szCs w:val="24"/>
        </w:rPr>
        <w:t>s a</w:t>
      </w:r>
      <w:r w:rsidR="00790A3F">
        <w:rPr>
          <w:rFonts w:ascii="Arial" w:hAnsi="Arial" w:cs="Arial"/>
          <w:sz w:val="24"/>
          <w:szCs w:val="24"/>
        </w:rPr>
        <w:t xml:space="preserve"> result failed to establish her </w:t>
      </w:r>
      <w:r w:rsidR="00790A3F">
        <w:rPr>
          <w:rFonts w:ascii="Arial" w:hAnsi="Arial" w:cs="Arial"/>
          <w:i/>
          <w:sz w:val="24"/>
          <w:szCs w:val="24"/>
        </w:rPr>
        <w:t xml:space="preserve">locus </w:t>
      </w:r>
      <w:proofErr w:type="spellStart"/>
      <w:r w:rsidR="00790A3F">
        <w:rPr>
          <w:rFonts w:ascii="Arial" w:hAnsi="Arial" w:cs="Arial"/>
          <w:i/>
          <w:sz w:val="24"/>
          <w:szCs w:val="24"/>
        </w:rPr>
        <w:t>standi</w:t>
      </w:r>
      <w:proofErr w:type="spellEnd"/>
      <w:r w:rsidR="00790A3F">
        <w:rPr>
          <w:rFonts w:ascii="Arial" w:hAnsi="Arial" w:cs="Arial"/>
          <w:i/>
          <w:sz w:val="24"/>
          <w:szCs w:val="24"/>
        </w:rPr>
        <w:t xml:space="preserve"> </w:t>
      </w:r>
      <w:r w:rsidR="00790A3F">
        <w:rPr>
          <w:rFonts w:ascii="Arial" w:hAnsi="Arial" w:cs="Arial"/>
          <w:sz w:val="24"/>
          <w:szCs w:val="24"/>
        </w:rPr>
        <w:t>to institute these proceedings.</w:t>
      </w:r>
      <w:r w:rsidR="00790A3F">
        <w:rPr>
          <w:rFonts w:ascii="Arial" w:hAnsi="Arial" w:cs="Arial"/>
          <w:i/>
          <w:sz w:val="24"/>
          <w:szCs w:val="24"/>
        </w:rPr>
        <w:t xml:space="preserve"> </w:t>
      </w:r>
    </w:p>
    <w:p w14:paraId="7D747A3C" w14:textId="52A195FB" w:rsidR="00790A3F" w:rsidRDefault="00D273C3" w:rsidP="00AD3C00">
      <w:pPr>
        <w:rPr>
          <w:rFonts w:ascii="Arial" w:hAnsi="Arial" w:cs="Arial"/>
          <w:sz w:val="24"/>
          <w:szCs w:val="24"/>
        </w:rPr>
      </w:pPr>
      <w:r>
        <w:rPr>
          <w:rFonts w:ascii="Arial" w:hAnsi="Arial" w:cs="Arial"/>
          <w:sz w:val="24"/>
          <w:szCs w:val="24"/>
        </w:rPr>
        <w:t>[36]</w:t>
      </w:r>
      <w:r>
        <w:rPr>
          <w:rFonts w:ascii="Arial" w:hAnsi="Arial" w:cs="Arial"/>
          <w:sz w:val="24"/>
          <w:szCs w:val="24"/>
        </w:rPr>
        <w:tab/>
      </w:r>
      <w:r w:rsidR="00790A3F">
        <w:rPr>
          <w:rFonts w:ascii="Arial" w:hAnsi="Arial" w:cs="Arial"/>
          <w:sz w:val="24"/>
          <w:szCs w:val="24"/>
        </w:rPr>
        <w:t xml:space="preserve">Although my finding regarding the lack of contractual </w:t>
      </w:r>
      <w:proofErr w:type="spellStart"/>
      <w:r w:rsidR="00790A3F">
        <w:rPr>
          <w:rFonts w:ascii="Arial" w:hAnsi="Arial" w:cs="Arial"/>
          <w:sz w:val="24"/>
          <w:szCs w:val="24"/>
        </w:rPr>
        <w:t>privity</w:t>
      </w:r>
      <w:proofErr w:type="spellEnd"/>
      <w:r w:rsidR="00790A3F">
        <w:rPr>
          <w:rFonts w:ascii="Arial" w:hAnsi="Arial" w:cs="Arial"/>
          <w:sz w:val="24"/>
          <w:szCs w:val="24"/>
        </w:rPr>
        <w:t xml:space="preserve"> and </w:t>
      </w:r>
      <w:r w:rsidR="00790A3F">
        <w:rPr>
          <w:rFonts w:ascii="Arial" w:hAnsi="Arial" w:cs="Arial"/>
          <w:i/>
          <w:sz w:val="24"/>
          <w:szCs w:val="24"/>
        </w:rPr>
        <w:t xml:space="preserve">locus </w:t>
      </w:r>
      <w:proofErr w:type="spellStart"/>
      <w:r w:rsidR="00790A3F">
        <w:rPr>
          <w:rFonts w:ascii="Arial" w:hAnsi="Arial" w:cs="Arial"/>
          <w:i/>
          <w:sz w:val="24"/>
          <w:szCs w:val="24"/>
        </w:rPr>
        <w:t>standi</w:t>
      </w:r>
      <w:proofErr w:type="spellEnd"/>
      <w:r w:rsidR="00790A3F">
        <w:rPr>
          <w:rFonts w:ascii="Arial" w:hAnsi="Arial" w:cs="Arial"/>
          <w:i/>
          <w:sz w:val="24"/>
          <w:szCs w:val="24"/>
        </w:rPr>
        <w:t xml:space="preserve"> </w:t>
      </w:r>
      <w:r w:rsidR="00790A3F">
        <w:rPr>
          <w:rFonts w:ascii="Arial" w:hAnsi="Arial" w:cs="Arial"/>
          <w:sz w:val="24"/>
          <w:szCs w:val="24"/>
        </w:rPr>
        <w:t xml:space="preserve">are </w:t>
      </w:r>
      <w:r>
        <w:rPr>
          <w:rFonts w:ascii="Arial" w:hAnsi="Arial" w:cs="Arial"/>
          <w:sz w:val="24"/>
          <w:szCs w:val="24"/>
        </w:rPr>
        <w:t>dispositive</w:t>
      </w:r>
      <w:r w:rsidR="00790A3F">
        <w:rPr>
          <w:rFonts w:ascii="Arial" w:hAnsi="Arial" w:cs="Arial"/>
          <w:sz w:val="24"/>
          <w:szCs w:val="24"/>
        </w:rPr>
        <w:t xml:space="preserve"> of this matter, in the event that I am wrong on these points, </w:t>
      </w:r>
      <w:r w:rsidR="009C75B9">
        <w:rPr>
          <w:rFonts w:ascii="Arial" w:hAnsi="Arial" w:cs="Arial"/>
          <w:sz w:val="24"/>
          <w:szCs w:val="24"/>
        </w:rPr>
        <w:t xml:space="preserve">I turn now to consider Crossman’s contentions regarding the completion of the </w:t>
      </w:r>
      <w:r w:rsidR="00AD3C00">
        <w:rPr>
          <w:rFonts w:ascii="Arial" w:hAnsi="Arial" w:cs="Arial"/>
          <w:sz w:val="24"/>
          <w:szCs w:val="24"/>
        </w:rPr>
        <w:t xml:space="preserve">2019 </w:t>
      </w:r>
      <w:r>
        <w:rPr>
          <w:rFonts w:ascii="Arial" w:hAnsi="Arial" w:cs="Arial"/>
          <w:sz w:val="24"/>
          <w:szCs w:val="24"/>
        </w:rPr>
        <w:t>N</w:t>
      </w:r>
      <w:r w:rsidR="00AD3C00">
        <w:rPr>
          <w:rFonts w:ascii="Arial" w:hAnsi="Arial" w:cs="Arial"/>
          <w:sz w:val="24"/>
          <w:szCs w:val="24"/>
        </w:rPr>
        <w:t>omination</w:t>
      </w:r>
      <w:r>
        <w:rPr>
          <w:rFonts w:ascii="Arial" w:hAnsi="Arial" w:cs="Arial"/>
          <w:sz w:val="24"/>
          <w:szCs w:val="24"/>
        </w:rPr>
        <w:t>.</w:t>
      </w:r>
      <w:r w:rsidR="009C75B9">
        <w:rPr>
          <w:rFonts w:ascii="Arial" w:hAnsi="Arial" w:cs="Arial"/>
          <w:sz w:val="24"/>
          <w:szCs w:val="24"/>
        </w:rPr>
        <w:t xml:space="preserve"> </w:t>
      </w:r>
    </w:p>
    <w:p w14:paraId="2075F247" w14:textId="208AA8B5" w:rsidR="001A513C" w:rsidRDefault="00D273C3" w:rsidP="00AD3C00">
      <w:pPr>
        <w:rPr>
          <w:rFonts w:ascii="Arial" w:hAnsi="Arial" w:cs="Arial"/>
          <w:sz w:val="24"/>
          <w:szCs w:val="24"/>
        </w:rPr>
      </w:pPr>
      <w:r>
        <w:rPr>
          <w:rFonts w:ascii="Arial" w:hAnsi="Arial" w:cs="Arial"/>
          <w:sz w:val="24"/>
          <w:szCs w:val="24"/>
        </w:rPr>
        <w:t>[37]</w:t>
      </w:r>
      <w:r>
        <w:rPr>
          <w:rFonts w:ascii="Arial" w:hAnsi="Arial" w:cs="Arial"/>
          <w:sz w:val="24"/>
          <w:szCs w:val="24"/>
        </w:rPr>
        <w:tab/>
      </w:r>
      <w:r w:rsidR="00790A3F">
        <w:rPr>
          <w:rFonts w:ascii="Arial" w:hAnsi="Arial" w:cs="Arial"/>
          <w:sz w:val="24"/>
          <w:szCs w:val="24"/>
        </w:rPr>
        <w:t>T</w:t>
      </w:r>
      <w:r w:rsidR="009C75B9">
        <w:rPr>
          <w:rFonts w:ascii="Arial" w:hAnsi="Arial" w:cs="Arial"/>
          <w:sz w:val="24"/>
          <w:szCs w:val="24"/>
        </w:rPr>
        <w:t>h</w:t>
      </w:r>
      <w:r w:rsidR="00073FDF">
        <w:rPr>
          <w:rFonts w:ascii="Arial" w:hAnsi="Arial" w:cs="Arial"/>
          <w:sz w:val="24"/>
          <w:szCs w:val="24"/>
        </w:rPr>
        <w:t xml:space="preserve">e </w:t>
      </w:r>
      <w:r w:rsidR="00E632BA">
        <w:rPr>
          <w:rFonts w:ascii="Arial" w:hAnsi="Arial" w:cs="Arial"/>
          <w:sz w:val="24"/>
          <w:szCs w:val="24"/>
        </w:rPr>
        <w:t xml:space="preserve">contention </w:t>
      </w:r>
      <w:r w:rsidR="009C75B9">
        <w:rPr>
          <w:rFonts w:ascii="Arial" w:hAnsi="Arial" w:cs="Arial"/>
          <w:sz w:val="24"/>
          <w:szCs w:val="24"/>
        </w:rPr>
        <w:t>that the revocation and</w:t>
      </w:r>
      <w:r>
        <w:rPr>
          <w:rFonts w:ascii="Arial" w:hAnsi="Arial" w:cs="Arial"/>
          <w:sz w:val="24"/>
          <w:szCs w:val="24"/>
        </w:rPr>
        <w:t xml:space="preserve"> change </w:t>
      </w:r>
      <w:r w:rsidR="009C75B9">
        <w:rPr>
          <w:rFonts w:ascii="Arial" w:hAnsi="Arial" w:cs="Arial"/>
          <w:sz w:val="24"/>
          <w:szCs w:val="24"/>
        </w:rPr>
        <w:t xml:space="preserve">of beneficiary must be effected in accordance with the ‘terms of the nomination form’ </w:t>
      </w:r>
      <w:r w:rsidR="00073FDF">
        <w:rPr>
          <w:rFonts w:ascii="Arial" w:hAnsi="Arial" w:cs="Arial"/>
          <w:sz w:val="24"/>
          <w:szCs w:val="24"/>
        </w:rPr>
        <w:t>is</w:t>
      </w:r>
      <w:r w:rsidR="009C75B9">
        <w:rPr>
          <w:rFonts w:ascii="Arial" w:hAnsi="Arial" w:cs="Arial"/>
          <w:sz w:val="24"/>
          <w:szCs w:val="24"/>
        </w:rPr>
        <w:t xml:space="preserve"> misconceived.</w:t>
      </w:r>
      <w:r w:rsidR="00073FDF">
        <w:rPr>
          <w:rFonts w:ascii="Arial" w:hAnsi="Arial" w:cs="Arial"/>
          <w:sz w:val="24"/>
          <w:szCs w:val="24"/>
        </w:rPr>
        <w:t xml:space="preserve"> The nomination form is </w:t>
      </w:r>
      <w:r>
        <w:rPr>
          <w:rFonts w:ascii="Arial" w:hAnsi="Arial" w:cs="Arial"/>
          <w:sz w:val="24"/>
          <w:szCs w:val="24"/>
        </w:rPr>
        <w:t xml:space="preserve">patently </w:t>
      </w:r>
      <w:r w:rsidR="00073FDF">
        <w:rPr>
          <w:rFonts w:ascii="Arial" w:hAnsi="Arial" w:cs="Arial"/>
          <w:sz w:val="24"/>
          <w:szCs w:val="24"/>
        </w:rPr>
        <w:t xml:space="preserve">not one </w:t>
      </w:r>
      <w:r>
        <w:rPr>
          <w:rFonts w:ascii="Arial" w:hAnsi="Arial" w:cs="Arial"/>
          <w:sz w:val="24"/>
          <w:szCs w:val="24"/>
        </w:rPr>
        <w:t xml:space="preserve">of </w:t>
      </w:r>
      <w:r w:rsidR="00073FDF">
        <w:rPr>
          <w:rFonts w:ascii="Arial" w:hAnsi="Arial" w:cs="Arial"/>
          <w:sz w:val="24"/>
          <w:szCs w:val="24"/>
        </w:rPr>
        <w:t xml:space="preserve">the documents constituting the Policy contract as defined in clause 10.2 of the Policy. </w:t>
      </w:r>
    </w:p>
    <w:p w14:paraId="307B8A82" w14:textId="77777777" w:rsidR="00D273C3" w:rsidRDefault="00D273C3" w:rsidP="00AD3C00">
      <w:pPr>
        <w:rPr>
          <w:rFonts w:ascii="Arial" w:hAnsi="Arial" w:cs="Arial"/>
          <w:sz w:val="24"/>
          <w:szCs w:val="24"/>
        </w:rPr>
      </w:pPr>
      <w:r>
        <w:rPr>
          <w:rFonts w:ascii="Arial" w:hAnsi="Arial" w:cs="Arial"/>
          <w:sz w:val="24"/>
          <w:szCs w:val="24"/>
        </w:rPr>
        <w:t>[38]</w:t>
      </w:r>
      <w:r>
        <w:rPr>
          <w:rFonts w:ascii="Arial" w:hAnsi="Arial" w:cs="Arial"/>
          <w:sz w:val="24"/>
          <w:szCs w:val="24"/>
        </w:rPr>
        <w:tab/>
        <w:t>T</w:t>
      </w:r>
      <w:r w:rsidR="001A513C">
        <w:rPr>
          <w:rFonts w:ascii="Arial" w:hAnsi="Arial" w:cs="Arial"/>
          <w:sz w:val="24"/>
          <w:szCs w:val="24"/>
        </w:rPr>
        <w:t>he provision</w:t>
      </w:r>
      <w:r>
        <w:rPr>
          <w:rFonts w:ascii="Arial" w:hAnsi="Arial" w:cs="Arial"/>
          <w:sz w:val="24"/>
          <w:szCs w:val="24"/>
        </w:rPr>
        <w:t>s</w:t>
      </w:r>
      <w:r w:rsidR="001A513C">
        <w:rPr>
          <w:rFonts w:ascii="Arial" w:hAnsi="Arial" w:cs="Arial"/>
          <w:sz w:val="24"/>
          <w:szCs w:val="24"/>
        </w:rPr>
        <w:t xml:space="preserve"> of clause 8.2.2 of the Policy entitled to the deceased to revoke and </w:t>
      </w:r>
      <w:r>
        <w:rPr>
          <w:rFonts w:ascii="Arial" w:hAnsi="Arial" w:cs="Arial"/>
          <w:sz w:val="24"/>
          <w:szCs w:val="24"/>
        </w:rPr>
        <w:t xml:space="preserve">change </w:t>
      </w:r>
      <w:r w:rsidR="001A513C">
        <w:rPr>
          <w:rFonts w:ascii="Arial" w:hAnsi="Arial" w:cs="Arial"/>
          <w:sz w:val="24"/>
          <w:szCs w:val="24"/>
        </w:rPr>
        <w:t>his nominat</w:t>
      </w:r>
      <w:r>
        <w:rPr>
          <w:rFonts w:ascii="Arial" w:hAnsi="Arial" w:cs="Arial"/>
          <w:sz w:val="24"/>
          <w:szCs w:val="24"/>
        </w:rPr>
        <w:t>ed</w:t>
      </w:r>
      <w:r w:rsidR="001A513C">
        <w:rPr>
          <w:rFonts w:ascii="Arial" w:hAnsi="Arial" w:cs="Arial"/>
          <w:sz w:val="24"/>
          <w:szCs w:val="24"/>
        </w:rPr>
        <w:t xml:space="preserve"> beneficiary at any time. The Policy only requires the amendment </w:t>
      </w:r>
      <w:r w:rsidR="0067021E">
        <w:rPr>
          <w:rFonts w:ascii="Arial" w:hAnsi="Arial" w:cs="Arial"/>
          <w:sz w:val="24"/>
          <w:szCs w:val="24"/>
        </w:rPr>
        <w:t xml:space="preserve">to </w:t>
      </w:r>
      <w:r w:rsidR="001A513C">
        <w:rPr>
          <w:rFonts w:ascii="Arial" w:hAnsi="Arial" w:cs="Arial"/>
          <w:sz w:val="24"/>
          <w:szCs w:val="24"/>
        </w:rPr>
        <w:t xml:space="preserve">be in writing </w:t>
      </w:r>
      <w:r w:rsidR="0067021E">
        <w:rPr>
          <w:rFonts w:ascii="Arial" w:hAnsi="Arial" w:cs="Arial"/>
          <w:sz w:val="24"/>
          <w:szCs w:val="24"/>
        </w:rPr>
        <w:t xml:space="preserve">to be effective. There are </w:t>
      </w:r>
      <w:r w:rsidR="001A513C">
        <w:rPr>
          <w:rFonts w:ascii="Arial" w:hAnsi="Arial" w:cs="Arial"/>
          <w:sz w:val="24"/>
          <w:szCs w:val="24"/>
        </w:rPr>
        <w:t>no additional express requirement</w:t>
      </w:r>
      <w:r w:rsidR="0067021E">
        <w:rPr>
          <w:rFonts w:ascii="Arial" w:hAnsi="Arial" w:cs="Arial"/>
          <w:sz w:val="24"/>
          <w:szCs w:val="24"/>
        </w:rPr>
        <w:t>s</w:t>
      </w:r>
      <w:r w:rsidR="001A513C">
        <w:rPr>
          <w:rFonts w:ascii="Arial" w:hAnsi="Arial" w:cs="Arial"/>
          <w:sz w:val="24"/>
          <w:szCs w:val="24"/>
        </w:rPr>
        <w:t xml:space="preserve"> prescribed by the Policy </w:t>
      </w:r>
      <w:r w:rsidR="0067021E">
        <w:rPr>
          <w:rFonts w:ascii="Arial" w:hAnsi="Arial" w:cs="Arial"/>
          <w:sz w:val="24"/>
          <w:szCs w:val="24"/>
        </w:rPr>
        <w:t xml:space="preserve">such as </w:t>
      </w:r>
      <w:r w:rsidR="001A513C">
        <w:rPr>
          <w:rFonts w:ascii="Arial" w:hAnsi="Arial" w:cs="Arial"/>
          <w:sz w:val="24"/>
          <w:szCs w:val="24"/>
        </w:rPr>
        <w:t xml:space="preserve">the </w:t>
      </w:r>
      <w:r w:rsidR="0067021E">
        <w:rPr>
          <w:rFonts w:ascii="Arial" w:hAnsi="Arial" w:cs="Arial"/>
          <w:sz w:val="24"/>
          <w:szCs w:val="24"/>
        </w:rPr>
        <w:t xml:space="preserve">need for the </w:t>
      </w:r>
      <w:r w:rsidR="001A513C">
        <w:rPr>
          <w:rFonts w:ascii="Arial" w:hAnsi="Arial" w:cs="Arial"/>
          <w:sz w:val="24"/>
          <w:szCs w:val="24"/>
        </w:rPr>
        <w:t>amended nomination to be witnessed or ‘submitted’ to the employer.</w:t>
      </w:r>
      <w:r w:rsidR="0067021E">
        <w:rPr>
          <w:rFonts w:ascii="Arial" w:hAnsi="Arial" w:cs="Arial"/>
          <w:sz w:val="24"/>
          <w:szCs w:val="24"/>
        </w:rPr>
        <w:t xml:space="preserve"> </w:t>
      </w:r>
    </w:p>
    <w:p w14:paraId="129CBD34" w14:textId="7A52D639" w:rsidR="008B2298" w:rsidRDefault="00D273C3" w:rsidP="00AD3C00">
      <w:pPr>
        <w:rPr>
          <w:rFonts w:ascii="Arial" w:hAnsi="Arial" w:cs="Arial"/>
          <w:sz w:val="24"/>
          <w:szCs w:val="24"/>
        </w:rPr>
      </w:pPr>
      <w:r>
        <w:rPr>
          <w:rFonts w:ascii="Arial" w:hAnsi="Arial" w:cs="Arial"/>
          <w:sz w:val="24"/>
          <w:szCs w:val="24"/>
        </w:rPr>
        <w:t>[39]</w:t>
      </w:r>
      <w:r>
        <w:rPr>
          <w:rFonts w:ascii="Arial" w:hAnsi="Arial" w:cs="Arial"/>
          <w:sz w:val="24"/>
          <w:szCs w:val="24"/>
        </w:rPr>
        <w:tab/>
      </w:r>
      <w:r w:rsidR="0067021E">
        <w:rPr>
          <w:rFonts w:ascii="Arial" w:hAnsi="Arial" w:cs="Arial"/>
          <w:sz w:val="24"/>
          <w:szCs w:val="24"/>
        </w:rPr>
        <w:t xml:space="preserve">Crossman has accepted that </w:t>
      </w:r>
      <w:r w:rsidR="00A3132F">
        <w:rPr>
          <w:rFonts w:ascii="Arial" w:hAnsi="Arial" w:cs="Arial"/>
          <w:sz w:val="24"/>
          <w:szCs w:val="24"/>
        </w:rPr>
        <w:t xml:space="preserve">the </w:t>
      </w:r>
      <w:r w:rsidR="0067021E">
        <w:rPr>
          <w:rFonts w:ascii="Arial" w:hAnsi="Arial" w:cs="Arial"/>
          <w:sz w:val="24"/>
          <w:szCs w:val="24"/>
        </w:rPr>
        <w:t xml:space="preserve">deceased signed the </w:t>
      </w:r>
      <w:r w:rsidR="00AD3C00">
        <w:rPr>
          <w:rFonts w:ascii="Arial" w:hAnsi="Arial" w:cs="Arial"/>
          <w:sz w:val="24"/>
          <w:szCs w:val="24"/>
        </w:rPr>
        <w:t>2019 Nomination</w:t>
      </w:r>
      <w:r w:rsidR="0067021E">
        <w:rPr>
          <w:rFonts w:ascii="Arial" w:hAnsi="Arial" w:cs="Arial"/>
          <w:sz w:val="24"/>
          <w:szCs w:val="24"/>
        </w:rPr>
        <w:t>. She does not provide any</w:t>
      </w:r>
      <w:r w:rsidR="00A3132F">
        <w:rPr>
          <w:rFonts w:ascii="Arial" w:hAnsi="Arial" w:cs="Arial"/>
          <w:sz w:val="24"/>
          <w:szCs w:val="24"/>
        </w:rPr>
        <w:t xml:space="preserve"> authority </w:t>
      </w:r>
      <w:r>
        <w:rPr>
          <w:rFonts w:ascii="Arial" w:hAnsi="Arial" w:cs="Arial"/>
          <w:sz w:val="24"/>
          <w:szCs w:val="24"/>
        </w:rPr>
        <w:t xml:space="preserve">or persuasive argument </w:t>
      </w:r>
      <w:r w:rsidR="00A3132F">
        <w:rPr>
          <w:rFonts w:ascii="Arial" w:hAnsi="Arial" w:cs="Arial"/>
          <w:sz w:val="24"/>
          <w:szCs w:val="24"/>
        </w:rPr>
        <w:t xml:space="preserve">to </w:t>
      </w:r>
      <w:r w:rsidR="0067021E">
        <w:rPr>
          <w:rFonts w:ascii="Arial" w:hAnsi="Arial" w:cs="Arial"/>
          <w:sz w:val="24"/>
          <w:szCs w:val="24"/>
        </w:rPr>
        <w:t xml:space="preserve">support the </w:t>
      </w:r>
      <w:r>
        <w:rPr>
          <w:rFonts w:ascii="Arial" w:hAnsi="Arial" w:cs="Arial"/>
          <w:sz w:val="24"/>
          <w:szCs w:val="24"/>
        </w:rPr>
        <w:t xml:space="preserve">submission </w:t>
      </w:r>
      <w:r w:rsidR="0067021E">
        <w:rPr>
          <w:rFonts w:ascii="Arial" w:hAnsi="Arial" w:cs="Arial"/>
          <w:sz w:val="24"/>
          <w:szCs w:val="24"/>
        </w:rPr>
        <w:t>that</w:t>
      </w:r>
      <w:r w:rsidR="00A3132F">
        <w:rPr>
          <w:rFonts w:ascii="Arial" w:hAnsi="Arial" w:cs="Arial"/>
          <w:sz w:val="24"/>
          <w:szCs w:val="24"/>
        </w:rPr>
        <w:t xml:space="preserve"> the </w:t>
      </w:r>
      <w:r w:rsidR="00AD3C00">
        <w:rPr>
          <w:rFonts w:ascii="Arial" w:hAnsi="Arial" w:cs="Arial"/>
          <w:sz w:val="24"/>
          <w:szCs w:val="24"/>
        </w:rPr>
        <w:t>2019 Nomination</w:t>
      </w:r>
      <w:r w:rsidR="00A3132F">
        <w:rPr>
          <w:rFonts w:ascii="Arial" w:hAnsi="Arial" w:cs="Arial"/>
          <w:sz w:val="24"/>
          <w:szCs w:val="24"/>
        </w:rPr>
        <w:t xml:space="preserve"> </w:t>
      </w:r>
      <w:r w:rsidR="00C1025D">
        <w:rPr>
          <w:rFonts w:ascii="Arial" w:hAnsi="Arial" w:cs="Arial"/>
          <w:sz w:val="24"/>
          <w:szCs w:val="24"/>
        </w:rPr>
        <w:t xml:space="preserve">had to be </w:t>
      </w:r>
      <w:r w:rsidR="00A3132F">
        <w:rPr>
          <w:rFonts w:ascii="Arial" w:hAnsi="Arial" w:cs="Arial"/>
          <w:sz w:val="24"/>
          <w:szCs w:val="24"/>
        </w:rPr>
        <w:t xml:space="preserve">submitted by the deceased to </w:t>
      </w:r>
      <w:r w:rsidR="00AD3C00">
        <w:rPr>
          <w:rFonts w:ascii="Arial" w:hAnsi="Arial" w:cs="Arial"/>
          <w:sz w:val="24"/>
          <w:szCs w:val="24"/>
        </w:rPr>
        <w:t>IEMAS</w:t>
      </w:r>
      <w:r w:rsidR="00A3132F">
        <w:rPr>
          <w:rFonts w:ascii="Arial" w:hAnsi="Arial" w:cs="Arial"/>
          <w:sz w:val="24"/>
          <w:szCs w:val="24"/>
        </w:rPr>
        <w:t xml:space="preserve"> for it to be </w:t>
      </w:r>
      <w:r w:rsidR="00C1025D">
        <w:rPr>
          <w:rFonts w:ascii="Arial" w:hAnsi="Arial" w:cs="Arial"/>
          <w:sz w:val="24"/>
          <w:szCs w:val="24"/>
        </w:rPr>
        <w:t xml:space="preserve">‘recorded by the employer’ </w:t>
      </w:r>
      <w:r w:rsidR="00F97AD7">
        <w:rPr>
          <w:rFonts w:ascii="Arial" w:hAnsi="Arial" w:cs="Arial"/>
          <w:sz w:val="24"/>
          <w:szCs w:val="24"/>
        </w:rPr>
        <w:t xml:space="preserve">to be </w:t>
      </w:r>
      <w:r w:rsidR="00C1025D">
        <w:rPr>
          <w:rFonts w:ascii="Arial" w:hAnsi="Arial" w:cs="Arial"/>
          <w:sz w:val="24"/>
          <w:szCs w:val="24"/>
        </w:rPr>
        <w:t xml:space="preserve">valid. The Policy does not provide a definition of record and accordingly </w:t>
      </w:r>
      <w:r w:rsidR="00AD3C00">
        <w:rPr>
          <w:rFonts w:ascii="Arial" w:hAnsi="Arial" w:cs="Arial"/>
          <w:sz w:val="24"/>
          <w:szCs w:val="24"/>
        </w:rPr>
        <w:t>IEMAS</w:t>
      </w:r>
      <w:r w:rsidR="007C6AB7">
        <w:rPr>
          <w:rFonts w:ascii="Arial" w:hAnsi="Arial" w:cs="Arial"/>
          <w:sz w:val="24"/>
          <w:szCs w:val="24"/>
        </w:rPr>
        <w:t xml:space="preserve"> and </w:t>
      </w:r>
      <w:r w:rsidR="00C1025D">
        <w:rPr>
          <w:rFonts w:ascii="Arial" w:hAnsi="Arial" w:cs="Arial"/>
          <w:sz w:val="24"/>
          <w:szCs w:val="24"/>
        </w:rPr>
        <w:t>Capital A</w:t>
      </w:r>
      <w:r w:rsidR="007C6AB7">
        <w:rPr>
          <w:rFonts w:ascii="Arial" w:hAnsi="Arial" w:cs="Arial"/>
          <w:sz w:val="24"/>
          <w:szCs w:val="24"/>
        </w:rPr>
        <w:t xml:space="preserve">lliance were entitled to deal with this aspect as they did.  </w:t>
      </w:r>
      <w:r w:rsidR="00C1025D">
        <w:rPr>
          <w:rFonts w:ascii="Arial" w:hAnsi="Arial" w:cs="Arial"/>
          <w:sz w:val="24"/>
          <w:szCs w:val="24"/>
        </w:rPr>
        <w:t xml:space="preserve"> </w:t>
      </w:r>
    </w:p>
    <w:p w14:paraId="71BFB6B3" w14:textId="07EB3DE6" w:rsidR="00891655" w:rsidRDefault="00016917" w:rsidP="00AD3C00">
      <w:pPr>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770CF9">
        <w:rPr>
          <w:rFonts w:ascii="Arial" w:hAnsi="Arial" w:cs="Arial"/>
          <w:sz w:val="24"/>
          <w:szCs w:val="24"/>
        </w:rPr>
        <w:t xml:space="preserve">Crossman accepts that Capital Alliance received the </w:t>
      </w:r>
      <w:r w:rsidR="00AD3C00">
        <w:rPr>
          <w:rFonts w:ascii="Arial" w:hAnsi="Arial" w:cs="Arial"/>
          <w:sz w:val="24"/>
          <w:szCs w:val="24"/>
        </w:rPr>
        <w:t>2019 Nomination</w:t>
      </w:r>
      <w:r w:rsidR="00770CF9">
        <w:rPr>
          <w:rFonts w:ascii="Arial" w:hAnsi="Arial" w:cs="Arial"/>
          <w:sz w:val="24"/>
          <w:szCs w:val="24"/>
        </w:rPr>
        <w:t xml:space="preserve"> after </w:t>
      </w:r>
      <w:r>
        <w:rPr>
          <w:rFonts w:ascii="Arial" w:hAnsi="Arial" w:cs="Arial"/>
          <w:sz w:val="24"/>
          <w:szCs w:val="24"/>
        </w:rPr>
        <w:t xml:space="preserve">the submission of </w:t>
      </w:r>
      <w:r w:rsidR="00770CF9">
        <w:rPr>
          <w:rFonts w:ascii="Arial" w:hAnsi="Arial" w:cs="Arial"/>
          <w:sz w:val="24"/>
          <w:szCs w:val="24"/>
        </w:rPr>
        <w:t xml:space="preserve">her </w:t>
      </w:r>
      <w:r w:rsidR="00AD3C00">
        <w:rPr>
          <w:rFonts w:ascii="Arial" w:hAnsi="Arial" w:cs="Arial"/>
          <w:sz w:val="24"/>
          <w:szCs w:val="24"/>
        </w:rPr>
        <w:t>2014 Nomination</w:t>
      </w:r>
      <w:r>
        <w:rPr>
          <w:rFonts w:ascii="Arial" w:hAnsi="Arial" w:cs="Arial"/>
          <w:sz w:val="24"/>
          <w:szCs w:val="24"/>
        </w:rPr>
        <w:t>.</w:t>
      </w:r>
      <w:r w:rsidR="00770CF9">
        <w:rPr>
          <w:rFonts w:ascii="Arial" w:hAnsi="Arial" w:cs="Arial"/>
          <w:sz w:val="24"/>
          <w:szCs w:val="24"/>
        </w:rPr>
        <w:t xml:space="preserve"> She also accepts that </w:t>
      </w:r>
      <w:r w:rsidR="00891655">
        <w:rPr>
          <w:rFonts w:ascii="Arial" w:hAnsi="Arial" w:cs="Arial"/>
          <w:sz w:val="24"/>
          <w:szCs w:val="24"/>
        </w:rPr>
        <w:t xml:space="preserve">Capital Alliance </w:t>
      </w:r>
      <w:r w:rsidR="00770CF9">
        <w:rPr>
          <w:rFonts w:ascii="Arial" w:hAnsi="Arial" w:cs="Arial"/>
          <w:sz w:val="24"/>
          <w:szCs w:val="24"/>
        </w:rPr>
        <w:t xml:space="preserve">was advised by </w:t>
      </w:r>
      <w:r w:rsidR="00AD3C00">
        <w:rPr>
          <w:rFonts w:ascii="Arial" w:hAnsi="Arial" w:cs="Arial"/>
          <w:sz w:val="24"/>
          <w:szCs w:val="24"/>
        </w:rPr>
        <w:t>IEMAS</w:t>
      </w:r>
      <w:r w:rsidR="00770CF9">
        <w:rPr>
          <w:rFonts w:ascii="Arial" w:hAnsi="Arial" w:cs="Arial"/>
          <w:sz w:val="24"/>
          <w:szCs w:val="24"/>
        </w:rPr>
        <w:t xml:space="preserve"> of the circumstances surrounding the discovery of the </w:t>
      </w:r>
      <w:r w:rsidR="00AD3C00">
        <w:rPr>
          <w:rFonts w:ascii="Arial" w:hAnsi="Arial" w:cs="Arial"/>
          <w:sz w:val="24"/>
          <w:szCs w:val="24"/>
        </w:rPr>
        <w:t>2019 Nomination</w:t>
      </w:r>
      <w:r>
        <w:rPr>
          <w:rFonts w:ascii="Arial" w:hAnsi="Arial" w:cs="Arial"/>
          <w:sz w:val="24"/>
          <w:szCs w:val="24"/>
        </w:rPr>
        <w:t xml:space="preserve"> after the death of the deceased. </w:t>
      </w:r>
      <w:r w:rsidR="00891655">
        <w:rPr>
          <w:rFonts w:ascii="Arial" w:hAnsi="Arial" w:cs="Arial"/>
          <w:sz w:val="24"/>
          <w:szCs w:val="24"/>
        </w:rPr>
        <w:t>T</w:t>
      </w:r>
      <w:r w:rsidR="00770CF9">
        <w:rPr>
          <w:rFonts w:ascii="Arial" w:hAnsi="Arial" w:cs="Arial"/>
          <w:sz w:val="24"/>
          <w:szCs w:val="24"/>
        </w:rPr>
        <w:t xml:space="preserve">hat it was informed that the </w:t>
      </w:r>
      <w:r w:rsidR="00AD3C00">
        <w:rPr>
          <w:rFonts w:ascii="Arial" w:hAnsi="Arial" w:cs="Arial"/>
          <w:sz w:val="24"/>
          <w:szCs w:val="24"/>
        </w:rPr>
        <w:t>2019 Nomination</w:t>
      </w:r>
      <w:r w:rsidR="00770CF9">
        <w:rPr>
          <w:rFonts w:ascii="Arial" w:hAnsi="Arial" w:cs="Arial"/>
          <w:sz w:val="24"/>
          <w:szCs w:val="24"/>
        </w:rPr>
        <w:t xml:space="preserve"> was the </w:t>
      </w:r>
      <w:r w:rsidR="00891655">
        <w:rPr>
          <w:rFonts w:ascii="Arial" w:hAnsi="Arial" w:cs="Arial"/>
          <w:sz w:val="24"/>
          <w:szCs w:val="24"/>
        </w:rPr>
        <w:t xml:space="preserve">latest nomination obtained and on record with </w:t>
      </w:r>
      <w:r w:rsidR="00AD3C00">
        <w:rPr>
          <w:rFonts w:ascii="Arial" w:hAnsi="Arial" w:cs="Arial"/>
          <w:sz w:val="24"/>
          <w:szCs w:val="24"/>
        </w:rPr>
        <w:t>IEMAS</w:t>
      </w:r>
      <w:r w:rsidR="00891655">
        <w:rPr>
          <w:rFonts w:ascii="Arial" w:hAnsi="Arial" w:cs="Arial"/>
          <w:sz w:val="24"/>
          <w:szCs w:val="24"/>
        </w:rPr>
        <w:t xml:space="preserve"> who </w:t>
      </w:r>
      <w:r>
        <w:rPr>
          <w:rFonts w:ascii="Arial" w:hAnsi="Arial" w:cs="Arial"/>
          <w:sz w:val="24"/>
          <w:szCs w:val="24"/>
        </w:rPr>
        <w:t xml:space="preserve">advised that </w:t>
      </w:r>
      <w:r w:rsidR="00891655">
        <w:rPr>
          <w:rFonts w:ascii="Arial" w:hAnsi="Arial" w:cs="Arial"/>
          <w:sz w:val="24"/>
          <w:szCs w:val="24"/>
        </w:rPr>
        <w:t xml:space="preserve">payment of the death benefit </w:t>
      </w:r>
      <w:r>
        <w:rPr>
          <w:rFonts w:ascii="Arial" w:hAnsi="Arial" w:cs="Arial"/>
          <w:sz w:val="24"/>
          <w:szCs w:val="24"/>
        </w:rPr>
        <w:t xml:space="preserve">should be paid </w:t>
      </w:r>
      <w:r w:rsidR="00891655">
        <w:rPr>
          <w:rFonts w:ascii="Arial" w:hAnsi="Arial" w:cs="Arial"/>
          <w:sz w:val="24"/>
          <w:szCs w:val="24"/>
        </w:rPr>
        <w:t xml:space="preserve">to Gareth. Therefore, insofar as there are any </w:t>
      </w:r>
      <w:r w:rsidR="00E632BA">
        <w:rPr>
          <w:rFonts w:ascii="Arial" w:hAnsi="Arial" w:cs="Arial"/>
          <w:sz w:val="24"/>
          <w:szCs w:val="24"/>
        </w:rPr>
        <w:t>disputes of fact</w:t>
      </w:r>
      <w:r w:rsidR="00891655">
        <w:rPr>
          <w:rFonts w:ascii="Arial" w:hAnsi="Arial" w:cs="Arial"/>
          <w:sz w:val="24"/>
          <w:szCs w:val="24"/>
        </w:rPr>
        <w:t xml:space="preserve">, vis-à-vis Crossman and Capital Alliance, </w:t>
      </w:r>
      <w:r w:rsidR="00E632BA">
        <w:rPr>
          <w:rFonts w:ascii="Arial" w:hAnsi="Arial" w:cs="Arial"/>
          <w:sz w:val="24"/>
          <w:szCs w:val="24"/>
        </w:rPr>
        <w:t xml:space="preserve">regarding </w:t>
      </w:r>
      <w:r w:rsidR="00891655">
        <w:rPr>
          <w:rFonts w:ascii="Arial" w:hAnsi="Arial" w:cs="Arial"/>
          <w:sz w:val="24"/>
          <w:szCs w:val="24"/>
        </w:rPr>
        <w:t xml:space="preserve">the latest </w:t>
      </w:r>
      <w:r w:rsidR="00936455">
        <w:rPr>
          <w:rFonts w:ascii="Arial" w:hAnsi="Arial" w:cs="Arial"/>
          <w:sz w:val="24"/>
          <w:szCs w:val="24"/>
        </w:rPr>
        <w:t xml:space="preserve">nomination form completed by the deceased and recorded by </w:t>
      </w:r>
      <w:r w:rsidR="00AD3C00">
        <w:rPr>
          <w:rFonts w:ascii="Arial" w:hAnsi="Arial" w:cs="Arial"/>
          <w:sz w:val="24"/>
          <w:szCs w:val="24"/>
        </w:rPr>
        <w:t>IEMAS</w:t>
      </w:r>
      <w:r w:rsidR="00891655">
        <w:rPr>
          <w:rFonts w:ascii="Arial" w:hAnsi="Arial" w:cs="Arial"/>
          <w:sz w:val="24"/>
          <w:szCs w:val="24"/>
        </w:rPr>
        <w:t xml:space="preserve">, these </w:t>
      </w:r>
      <w:r w:rsidR="00936455">
        <w:rPr>
          <w:rFonts w:ascii="Arial" w:hAnsi="Arial" w:cs="Arial"/>
          <w:sz w:val="24"/>
          <w:szCs w:val="24"/>
        </w:rPr>
        <w:t>must be resolved in favour Capital Alliance on the basis of the</w:t>
      </w:r>
      <w:r>
        <w:rPr>
          <w:rFonts w:ascii="Arial" w:hAnsi="Arial" w:cs="Arial"/>
          <w:sz w:val="24"/>
          <w:szCs w:val="24"/>
        </w:rPr>
        <w:t xml:space="preserve"> test enunciated in</w:t>
      </w:r>
      <w:r w:rsidR="00936455">
        <w:rPr>
          <w:rFonts w:ascii="Arial" w:hAnsi="Arial" w:cs="Arial"/>
          <w:sz w:val="24"/>
          <w:szCs w:val="24"/>
        </w:rPr>
        <w:t xml:space="preserve"> </w:t>
      </w:r>
      <w:proofErr w:type="spellStart"/>
      <w:r w:rsidR="00936455">
        <w:rPr>
          <w:rFonts w:ascii="Arial" w:hAnsi="Arial" w:cs="Arial"/>
          <w:i/>
          <w:sz w:val="24"/>
          <w:szCs w:val="24"/>
        </w:rPr>
        <w:t>Plascon</w:t>
      </w:r>
      <w:proofErr w:type="spellEnd"/>
      <w:r w:rsidR="00936455">
        <w:rPr>
          <w:rFonts w:ascii="Arial" w:hAnsi="Arial" w:cs="Arial"/>
          <w:i/>
          <w:sz w:val="24"/>
          <w:szCs w:val="24"/>
        </w:rPr>
        <w:t>-Evans</w:t>
      </w:r>
      <w:r>
        <w:rPr>
          <w:rFonts w:ascii="Arial" w:hAnsi="Arial" w:cs="Arial"/>
          <w:i/>
          <w:sz w:val="24"/>
          <w:szCs w:val="24"/>
        </w:rPr>
        <w:t>.</w:t>
      </w:r>
      <w:r w:rsidR="006E54C3" w:rsidRPr="006E54C3">
        <w:rPr>
          <w:rStyle w:val="FootnoteReference"/>
          <w:rFonts w:ascii="Arial" w:hAnsi="Arial" w:cs="Arial"/>
          <w:i/>
          <w:sz w:val="20"/>
        </w:rPr>
        <w:footnoteReference w:id="9"/>
      </w:r>
      <w:r w:rsidR="00770CF9">
        <w:rPr>
          <w:rFonts w:ascii="Arial" w:hAnsi="Arial" w:cs="Arial"/>
          <w:sz w:val="24"/>
          <w:szCs w:val="24"/>
        </w:rPr>
        <w:t xml:space="preserve"> </w:t>
      </w:r>
    </w:p>
    <w:p w14:paraId="48176099" w14:textId="5B1A559F" w:rsidR="004703DF" w:rsidRDefault="00016917" w:rsidP="00AD3C00">
      <w:pPr>
        <w:rPr>
          <w:rFonts w:ascii="Arial" w:hAnsi="Arial" w:cs="Arial"/>
          <w:sz w:val="24"/>
          <w:szCs w:val="24"/>
        </w:rPr>
      </w:pPr>
      <w:r>
        <w:rPr>
          <w:rFonts w:ascii="Arial" w:hAnsi="Arial" w:cs="Arial"/>
          <w:sz w:val="24"/>
          <w:szCs w:val="24"/>
        </w:rPr>
        <w:t>[41]</w:t>
      </w:r>
      <w:r>
        <w:rPr>
          <w:rFonts w:ascii="Arial" w:hAnsi="Arial" w:cs="Arial"/>
          <w:sz w:val="24"/>
          <w:szCs w:val="24"/>
        </w:rPr>
        <w:tab/>
      </w:r>
      <w:r w:rsidR="004703DF">
        <w:rPr>
          <w:rFonts w:ascii="Arial" w:hAnsi="Arial" w:cs="Arial"/>
          <w:sz w:val="24"/>
          <w:szCs w:val="24"/>
        </w:rPr>
        <w:t xml:space="preserve">Further, insofar as there are any disputes of fact, vis-à-vis Crossman and </w:t>
      </w:r>
      <w:r w:rsidR="00AD3C00">
        <w:rPr>
          <w:rFonts w:ascii="Arial" w:hAnsi="Arial" w:cs="Arial"/>
          <w:sz w:val="24"/>
          <w:szCs w:val="24"/>
        </w:rPr>
        <w:t>IEMAS</w:t>
      </w:r>
      <w:r w:rsidR="004703DF">
        <w:rPr>
          <w:rFonts w:ascii="Arial" w:hAnsi="Arial" w:cs="Arial"/>
          <w:sz w:val="24"/>
          <w:szCs w:val="24"/>
        </w:rPr>
        <w:t xml:space="preserve">, regarding the </w:t>
      </w:r>
      <w:r w:rsidR="00AD3C00">
        <w:rPr>
          <w:rFonts w:ascii="Arial" w:hAnsi="Arial" w:cs="Arial"/>
          <w:sz w:val="24"/>
          <w:szCs w:val="24"/>
        </w:rPr>
        <w:t>2019 Nomination</w:t>
      </w:r>
      <w:r w:rsidR="004703DF">
        <w:rPr>
          <w:rFonts w:ascii="Arial" w:hAnsi="Arial" w:cs="Arial"/>
          <w:sz w:val="24"/>
          <w:szCs w:val="24"/>
        </w:rPr>
        <w:t>, these must</w:t>
      </w:r>
      <w:r>
        <w:rPr>
          <w:rFonts w:ascii="Arial" w:hAnsi="Arial" w:cs="Arial"/>
          <w:sz w:val="24"/>
          <w:szCs w:val="24"/>
        </w:rPr>
        <w:t xml:space="preserve"> also </w:t>
      </w:r>
      <w:r w:rsidR="004703DF">
        <w:rPr>
          <w:rFonts w:ascii="Arial" w:hAnsi="Arial" w:cs="Arial"/>
          <w:sz w:val="24"/>
          <w:szCs w:val="24"/>
        </w:rPr>
        <w:t xml:space="preserve">be resolved in favour </w:t>
      </w:r>
      <w:r w:rsidR="00AD3C00">
        <w:rPr>
          <w:rFonts w:ascii="Arial" w:hAnsi="Arial" w:cs="Arial"/>
          <w:sz w:val="24"/>
          <w:szCs w:val="24"/>
        </w:rPr>
        <w:t>IEMAS</w:t>
      </w:r>
      <w:r w:rsidR="004703DF">
        <w:rPr>
          <w:rFonts w:ascii="Arial" w:hAnsi="Arial" w:cs="Arial"/>
          <w:sz w:val="24"/>
          <w:szCs w:val="24"/>
        </w:rPr>
        <w:t xml:space="preserve"> on the basis of the</w:t>
      </w:r>
      <w:r>
        <w:rPr>
          <w:rFonts w:ascii="Arial" w:hAnsi="Arial" w:cs="Arial"/>
          <w:sz w:val="24"/>
          <w:szCs w:val="24"/>
        </w:rPr>
        <w:t xml:space="preserve"> test enunciated in </w:t>
      </w:r>
      <w:proofErr w:type="spellStart"/>
      <w:r w:rsidR="004703DF">
        <w:rPr>
          <w:rFonts w:ascii="Arial" w:hAnsi="Arial" w:cs="Arial"/>
          <w:i/>
          <w:sz w:val="24"/>
          <w:szCs w:val="24"/>
        </w:rPr>
        <w:t>Plascon</w:t>
      </w:r>
      <w:proofErr w:type="spellEnd"/>
      <w:r w:rsidR="004703DF">
        <w:rPr>
          <w:rFonts w:ascii="Arial" w:hAnsi="Arial" w:cs="Arial"/>
          <w:i/>
          <w:sz w:val="24"/>
          <w:szCs w:val="24"/>
        </w:rPr>
        <w:t>-Evans</w:t>
      </w:r>
      <w:r>
        <w:rPr>
          <w:rFonts w:ascii="Arial" w:hAnsi="Arial" w:cs="Arial"/>
          <w:i/>
          <w:sz w:val="24"/>
          <w:szCs w:val="24"/>
        </w:rPr>
        <w:t>.</w:t>
      </w:r>
      <w:r w:rsidRPr="00016917">
        <w:rPr>
          <w:rStyle w:val="FootnoteReference"/>
          <w:rFonts w:ascii="Arial" w:hAnsi="Arial" w:cs="Arial"/>
          <w:i/>
          <w:sz w:val="20"/>
        </w:rPr>
        <w:footnoteReference w:id="10"/>
      </w:r>
      <w:r w:rsidR="004703DF">
        <w:rPr>
          <w:rFonts w:ascii="Arial" w:hAnsi="Arial" w:cs="Arial"/>
          <w:sz w:val="24"/>
          <w:szCs w:val="24"/>
        </w:rPr>
        <w:t xml:space="preserve"> </w:t>
      </w:r>
      <w:r w:rsidR="00A36EC9">
        <w:rPr>
          <w:rFonts w:ascii="Arial" w:hAnsi="Arial" w:cs="Arial"/>
          <w:sz w:val="24"/>
          <w:szCs w:val="24"/>
        </w:rPr>
        <w:t xml:space="preserve"> </w:t>
      </w:r>
    </w:p>
    <w:p w14:paraId="5F30B87B" w14:textId="57B17EE9" w:rsidR="00A442D6" w:rsidRDefault="00016917" w:rsidP="00AD3C00">
      <w:pPr>
        <w:pStyle w:val="Heading2"/>
        <w:shd w:val="clear" w:color="auto" w:fill="FFFFFF"/>
        <w:spacing w:before="0" w:after="200"/>
        <w:rPr>
          <w:rFonts w:ascii="Arial" w:hAnsi="Arial" w:cs="Arial"/>
          <w:b w:val="0"/>
          <w:i/>
          <w:color w:val="auto"/>
          <w:sz w:val="22"/>
          <w:szCs w:val="22"/>
          <w:shd w:val="clear" w:color="auto" w:fill="FFFFFF"/>
        </w:rPr>
      </w:pPr>
      <w:r>
        <w:rPr>
          <w:rFonts w:ascii="Arial" w:hAnsi="Arial" w:cs="Arial"/>
          <w:b w:val="0"/>
          <w:color w:val="auto"/>
          <w:sz w:val="24"/>
          <w:szCs w:val="24"/>
        </w:rPr>
        <w:t>[42]</w:t>
      </w:r>
      <w:r>
        <w:rPr>
          <w:rFonts w:ascii="Arial" w:hAnsi="Arial" w:cs="Arial"/>
          <w:b w:val="0"/>
          <w:color w:val="auto"/>
          <w:sz w:val="24"/>
          <w:szCs w:val="24"/>
        </w:rPr>
        <w:tab/>
      </w:r>
      <w:r w:rsidR="00A36EC9" w:rsidRPr="00A442D6">
        <w:rPr>
          <w:rFonts w:ascii="Arial" w:hAnsi="Arial" w:cs="Arial"/>
          <w:b w:val="0"/>
          <w:color w:val="auto"/>
          <w:sz w:val="24"/>
          <w:szCs w:val="24"/>
        </w:rPr>
        <w:t xml:space="preserve">The founding papers do not disclose a </w:t>
      </w:r>
      <w:r w:rsidR="0075395A" w:rsidRPr="00A442D6">
        <w:rPr>
          <w:rFonts w:ascii="Arial" w:hAnsi="Arial" w:cs="Arial"/>
          <w:b w:val="0"/>
          <w:color w:val="auto"/>
          <w:sz w:val="24"/>
          <w:szCs w:val="24"/>
        </w:rPr>
        <w:t xml:space="preserve">discernible cause of action vis-à-vis </w:t>
      </w:r>
      <w:r w:rsidR="00AD3C00">
        <w:rPr>
          <w:rFonts w:ascii="Arial" w:hAnsi="Arial" w:cs="Arial"/>
          <w:b w:val="0"/>
          <w:color w:val="auto"/>
          <w:sz w:val="24"/>
          <w:szCs w:val="24"/>
        </w:rPr>
        <w:t>IEMAS</w:t>
      </w:r>
      <w:r w:rsidR="0075395A" w:rsidRPr="00A442D6">
        <w:rPr>
          <w:rFonts w:ascii="Arial" w:hAnsi="Arial" w:cs="Arial"/>
          <w:b w:val="0"/>
          <w:color w:val="auto"/>
          <w:sz w:val="24"/>
          <w:szCs w:val="24"/>
        </w:rPr>
        <w:t xml:space="preserve">. </w:t>
      </w:r>
      <w:r w:rsidR="00D429BF" w:rsidRPr="00A442D6">
        <w:rPr>
          <w:rFonts w:ascii="Arial" w:hAnsi="Arial" w:cs="Arial"/>
          <w:b w:val="0"/>
          <w:color w:val="auto"/>
          <w:sz w:val="24"/>
          <w:szCs w:val="24"/>
        </w:rPr>
        <w:t xml:space="preserve">It is a </w:t>
      </w:r>
      <w:r w:rsidR="00A442D6" w:rsidRPr="00A442D6">
        <w:rPr>
          <w:rFonts w:ascii="Arial" w:hAnsi="Arial" w:cs="Arial"/>
          <w:b w:val="0"/>
          <w:color w:val="auto"/>
          <w:sz w:val="24"/>
          <w:szCs w:val="24"/>
        </w:rPr>
        <w:t>well-established</w:t>
      </w:r>
      <w:r w:rsidR="00D429BF" w:rsidRPr="00A442D6">
        <w:rPr>
          <w:rFonts w:ascii="Arial" w:hAnsi="Arial" w:cs="Arial"/>
          <w:b w:val="0"/>
          <w:color w:val="auto"/>
          <w:sz w:val="24"/>
          <w:szCs w:val="24"/>
        </w:rPr>
        <w:t xml:space="preserve"> rule that an applicant in motion proceedings must make </w:t>
      </w:r>
      <w:r w:rsidR="00A442D6">
        <w:rPr>
          <w:rFonts w:ascii="Arial" w:hAnsi="Arial" w:cs="Arial"/>
          <w:b w:val="0"/>
          <w:color w:val="auto"/>
          <w:sz w:val="24"/>
          <w:szCs w:val="24"/>
        </w:rPr>
        <w:t xml:space="preserve">out </w:t>
      </w:r>
      <w:r w:rsidR="00D429BF" w:rsidRPr="00A442D6">
        <w:rPr>
          <w:rFonts w:ascii="Arial" w:hAnsi="Arial" w:cs="Arial"/>
          <w:b w:val="0"/>
          <w:color w:val="auto"/>
          <w:sz w:val="24"/>
          <w:szCs w:val="24"/>
        </w:rPr>
        <w:t xml:space="preserve">her case in the founding affidavit and </w:t>
      </w:r>
      <w:r w:rsidR="00A442D6" w:rsidRPr="00A442D6">
        <w:rPr>
          <w:rFonts w:ascii="Arial" w:hAnsi="Arial" w:cs="Arial"/>
          <w:b w:val="0"/>
          <w:color w:val="auto"/>
          <w:sz w:val="24"/>
          <w:szCs w:val="24"/>
        </w:rPr>
        <w:t xml:space="preserve">not in the replying affidavit. In </w:t>
      </w:r>
      <w:r w:rsidR="00A442D6" w:rsidRPr="00016917">
        <w:rPr>
          <w:rFonts w:ascii="Arial" w:eastAsia="Times New Roman" w:hAnsi="Arial" w:cs="Arial"/>
          <w:b w:val="0"/>
          <w:bCs w:val="0"/>
          <w:i/>
          <w:color w:val="auto"/>
          <w:sz w:val="24"/>
          <w:szCs w:val="24"/>
          <w:lang w:eastAsia="en-ZA"/>
        </w:rPr>
        <w:t xml:space="preserve">Faber v </w:t>
      </w:r>
      <w:proofErr w:type="spellStart"/>
      <w:r w:rsidR="00A442D6" w:rsidRPr="00016917">
        <w:rPr>
          <w:rFonts w:ascii="Arial" w:eastAsia="Times New Roman" w:hAnsi="Arial" w:cs="Arial"/>
          <w:b w:val="0"/>
          <w:bCs w:val="0"/>
          <w:i/>
          <w:color w:val="auto"/>
          <w:sz w:val="24"/>
          <w:szCs w:val="24"/>
          <w:lang w:eastAsia="en-ZA"/>
        </w:rPr>
        <w:t>Nazerian</w:t>
      </w:r>
      <w:proofErr w:type="spellEnd"/>
      <w:r w:rsidR="00A442D6" w:rsidRPr="00701229">
        <w:rPr>
          <w:rStyle w:val="FootnoteReference"/>
          <w:rFonts w:ascii="Arial" w:eastAsia="Times New Roman" w:hAnsi="Arial" w:cs="Arial"/>
          <w:b w:val="0"/>
          <w:bCs w:val="0"/>
          <w:color w:val="auto"/>
          <w:sz w:val="20"/>
          <w:lang w:eastAsia="en-ZA"/>
        </w:rPr>
        <w:footnoteReference w:id="11"/>
      </w:r>
      <w:r w:rsidR="00A442D6" w:rsidRPr="00A442D6">
        <w:rPr>
          <w:rFonts w:ascii="Arial" w:eastAsia="Times New Roman" w:hAnsi="Arial" w:cs="Arial"/>
          <w:b w:val="0"/>
          <w:bCs w:val="0"/>
          <w:color w:val="auto"/>
          <w:sz w:val="24"/>
          <w:szCs w:val="24"/>
          <w:lang w:eastAsia="en-ZA"/>
        </w:rPr>
        <w:t xml:space="preserve"> </w:t>
      </w:r>
      <w:r w:rsidR="00701229">
        <w:rPr>
          <w:rFonts w:ascii="Arial" w:eastAsia="Times New Roman" w:hAnsi="Arial" w:cs="Arial"/>
          <w:b w:val="0"/>
          <w:bCs w:val="0"/>
          <w:color w:val="auto"/>
          <w:sz w:val="24"/>
          <w:szCs w:val="24"/>
          <w:lang w:eastAsia="en-ZA"/>
        </w:rPr>
        <w:t xml:space="preserve">Molahlehi J </w:t>
      </w:r>
      <w:r w:rsidR="00A442D6">
        <w:rPr>
          <w:rFonts w:ascii="Arial" w:eastAsia="Times New Roman" w:hAnsi="Arial" w:cs="Arial"/>
          <w:b w:val="0"/>
          <w:bCs w:val="0"/>
          <w:color w:val="auto"/>
          <w:sz w:val="24"/>
          <w:szCs w:val="24"/>
          <w:lang w:eastAsia="en-ZA"/>
        </w:rPr>
        <w:t xml:space="preserve">restated the applicable principles as follows: </w:t>
      </w:r>
      <w:r>
        <w:rPr>
          <w:rFonts w:ascii="Arial" w:eastAsia="Times New Roman" w:hAnsi="Arial" w:cs="Arial"/>
          <w:b w:val="0"/>
          <w:bCs w:val="0"/>
          <w:color w:val="auto"/>
          <w:sz w:val="24"/>
          <w:szCs w:val="24"/>
          <w:lang w:eastAsia="en-ZA"/>
        </w:rPr>
        <w:t xml:space="preserve">                                                                                            </w:t>
      </w:r>
      <w:r w:rsidR="00A442D6">
        <w:rPr>
          <w:rFonts w:ascii="Arial" w:eastAsia="Times New Roman" w:hAnsi="Arial" w:cs="Arial"/>
          <w:b w:val="0"/>
          <w:bCs w:val="0"/>
          <w:color w:val="auto"/>
          <w:sz w:val="24"/>
          <w:szCs w:val="24"/>
          <w:lang w:eastAsia="en-ZA"/>
        </w:rPr>
        <w:t>‘</w:t>
      </w:r>
      <w:r w:rsidR="00A442D6" w:rsidRPr="00A442D6">
        <w:rPr>
          <w:rFonts w:ascii="Arial" w:hAnsi="Arial" w:cs="Arial"/>
          <w:b w:val="0"/>
          <w:i/>
          <w:color w:val="auto"/>
          <w:sz w:val="22"/>
          <w:szCs w:val="22"/>
          <w:shd w:val="clear" w:color="auto" w:fill="FFFFFF"/>
        </w:rPr>
        <w:t>This rule is based on the principle that the applicant stands or falls by his founding affidavit</w:t>
      </w:r>
      <w:r w:rsidR="00A442D6">
        <w:rPr>
          <w:rFonts w:ascii="Arial" w:hAnsi="Arial" w:cs="Arial"/>
          <w:b w:val="0"/>
          <w:i/>
          <w:color w:val="auto"/>
          <w:sz w:val="22"/>
          <w:szCs w:val="22"/>
          <w:shd w:val="clear" w:color="auto" w:fill="FFFFFF"/>
        </w:rPr>
        <w:t>.</w:t>
      </w:r>
      <w:r w:rsidR="00A442D6" w:rsidRPr="00A442D6">
        <w:rPr>
          <w:rFonts w:ascii="Arial" w:hAnsi="Arial" w:cs="Arial"/>
          <w:b w:val="0"/>
          <w:i/>
          <w:color w:val="auto"/>
          <w:sz w:val="22"/>
          <w:szCs w:val="22"/>
          <w:shd w:val="clear" w:color="auto" w:fill="FFFFFF"/>
        </w:rPr>
        <w:t> The rule is also based on the procedural requirement of the motion proceedings which requires that the applicant should set out the cause of action in both the notice of motion and the supporting affidavit. The notice of motion and the founding affidavit form part of both the pleadings and the evidence. The basic requirement is also that the relief sought has to be found in the evidence supported by the facts set out in the founding affidavit</w:t>
      </w:r>
      <w:r w:rsidR="00A442D6">
        <w:rPr>
          <w:rFonts w:ascii="Arial" w:hAnsi="Arial" w:cs="Arial"/>
          <w:b w:val="0"/>
          <w:i/>
          <w:color w:val="auto"/>
          <w:sz w:val="22"/>
          <w:szCs w:val="22"/>
          <w:shd w:val="clear" w:color="auto" w:fill="FFFFFF"/>
        </w:rPr>
        <w:t>’</w:t>
      </w:r>
      <w:r w:rsidR="00701229">
        <w:rPr>
          <w:rFonts w:ascii="Arial" w:hAnsi="Arial" w:cs="Arial"/>
          <w:b w:val="0"/>
          <w:i/>
          <w:color w:val="auto"/>
          <w:sz w:val="22"/>
          <w:szCs w:val="22"/>
          <w:shd w:val="clear" w:color="auto" w:fill="FFFFFF"/>
        </w:rPr>
        <w:t>.</w:t>
      </w:r>
      <w:r w:rsidR="00701229" w:rsidRPr="00701229">
        <w:rPr>
          <w:rStyle w:val="FootnoteReference"/>
          <w:rFonts w:ascii="Arial" w:hAnsi="Arial" w:cs="Arial"/>
          <w:b w:val="0"/>
          <w:i/>
          <w:color w:val="auto"/>
          <w:sz w:val="20"/>
          <w:shd w:val="clear" w:color="auto" w:fill="FFFFFF"/>
        </w:rPr>
        <w:footnoteReference w:id="12"/>
      </w:r>
    </w:p>
    <w:p w14:paraId="4F3A46C3" w14:textId="63173A01" w:rsidR="00A56841" w:rsidRPr="00A56841" w:rsidRDefault="00016917" w:rsidP="00AD3C00">
      <w:pPr>
        <w:pStyle w:val="western"/>
        <w:shd w:val="clear" w:color="auto" w:fill="FFFFFF"/>
        <w:spacing w:before="0" w:beforeAutospacing="0" w:after="200" w:afterAutospacing="0" w:line="360" w:lineRule="auto"/>
        <w:jc w:val="both"/>
        <w:rPr>
          <w:rFonts w:ascii="Arial" w:hAnsi="Arial" w:cs="Arial"/>
          <w:sz w:val="22"/>
          <w:szCs w:val="22"/>
          <w:lang w:val="en-GB"/>
        </w:rPr>
      </w:pPr>
      <w:r>
        <w:rPr>
          <w:rFonts w:ascii="Arial" w:hAnsi="Arial" w:cs="Arial"/>
        </w:rPr>
        <w:t>[43]</w:t>
      </w:r>
      <w:r>
        <w:rPr>
          <w:rFonts w:ascii="Arial" w:hAnsi="Arial" w:cs="Arial"/>
        </w:rPr>
        <w:tab/>
      </w:r>
      <w:r w:rsidR="00A56841">
        <w:rPr>
          <w:rFonts w:ascii="Arial" w:hAnsi="Arial" w:cs="Arial"/>
        </w:rPr>
        <w:t>The applicant will not be permitted to supplement her case in the replying affidavit unless special circumstances exist</w:t>
      </w:r>
      <w:r w:rsidR="002F2DF2">
        <w:rPr>
          <w:rFonts w:ascii="Arial" w:hAnsi="Arial" w:cs="Arial"/>
        </w:rPr>
        <w:t xml:space="preserve"> for her to do so</w:t>
      </w:r>
      <w:r w:rsidR="00A56841">
        <w:rPr>
          <w:rFonts w:ascii="Arial" w:hAnsi="Arial" w:cs="Arial"/>
        </w:rPr>
        <w:t>.</w:t>
      </w:r>
      <w:r w:rsidR="00A56841" w:rsidRPr="00D429BF">
        <w:rPr>
          <w:rStyle w:val="FootnoteReference"/>
          <w:rFonts w:ascii="Arial" w:hAnsi="Arial" w:cs="Arial"/>
          <w:sz w:val="20"/>
        </w:rPr>
        <w:footnoteReference w:id="13"/>
      </w:r>
      <w:r w:rsidR="00A56841">
        <w:rPr>
          <w:rFonts w:ascii="Arial" w:hAnsi="Arial" w:cs="Arial"/>
        </w:rPr>
        <w:t xml:space="preserve"> </w:t>
      </w:r>
      <w:r w:rsidR="00701229" w:rsidRPr="00A56841">
        <w:rPr>
          <w:rFonts w:ascii="Arial" w:hAnsi="Arial" w:cs="Arial"/>
          <w:lang w:val="en-GB"/>
        </w:rPr>
        <w:t xml:space="preserve">Molahlehi J also considered the approach that should be adopted by </w:t>
      </w:r>
      <w:r w:rsidR="002F2DF2">
        <w:rPr>
          <w:rFonts w:ascii="Arial" w:hAnsi="Arial" w:cs="Arial"/>
          <w:lang w:val="en-GB"/>
        </w:rPr>
        <w:t xml:space="preserve">a </w:t>
      </w:r>
      <w:r w:rsidR="00701229" w:rsidRPr="00A56841">
        <w:rPr>
          <w:rFonts w:ascii="Arial" w:hAnsi="Arial" w:cs="Arial"/>
          <w:lang w:val="en-GB"/>
        </w:rPr>
        <w:t xml:space="preserve">court in the exercise of a judicial discretion when considering </w:t>
      </w:r>
      <w:r w:rsidR="002F2DF2">
        <w:rPr>
          <w:rFonts w:ascii="Arial" w:hAnsi="Arial" w:cs="Arial"/>
          <w:lang w:val="en-GB"/>
        </w:rPr>
        <w:t xml:space="preserve">whether </w:t>
      </w:r>
      <w:r w:rsidR="00701229" w:rsidRPr="00A56841">
        <w:rPr>
          <w:rFonts w:ascii="Arial" w:hAnsi="Arial" w:cs="Arial"/>
          <w:lang w:val="en-GB"/>
        </w:rPr>
        <w:t>to allow new facts and averments to be introduced in the replying affidavit. He held:</w:t>
      </w:r>
      <w:r w:rsidR="00701229" w:rsidRPr="00A56841">
        <w:rPr>
          <w:rFonts w:ascii="Arial" w:hAnsi="Arial" w:cs="Arial"/>
          <w:sz w:val="22"/>
          <w:szCs w:val="22"/>
          <w:lang w:val="en-GB"/>
        </w:rPr>
        <w:t xml:space="preserve"> </w:t>
      </w:r>
    </w:p>
    <w:p w14:paraId="424F0980" w14:textId="28C25218" w:rsidR="00701229" w:rsidRPr="00A56841" w:rsidRDefault="00A56841" w:rsidP="00AD3C00">
      <w:pPr>
        <w:pStyle w:val="western"/>
        <w:shd w:val="clear" w:color="auto" w:fill="FFFFFF"/>
        <w:spacing w:before="0" w:beforeAutospacing="0" w:after="200" w:afterAutospacing="0" w:line="360" w:lineRule="auto"/>
        <w:jc w:val="both"/>
        <w:rPr>
          <w:rFonts w:ascii="Arial" w:hAnsi="Arial" w:cs="Arial"/>
          <w:sz w:val="22"/>
          <w:szCs w:val="22"/>
        </w:rPr>
      </w:pPr>
      <w:r w:rsidRPr="00A56841">
        <w:rPr>
          <w:rFonts w:ascii="Arial" w:hAnsi="Arial" w:cs="Arial"/>
          <w:i/>
          <w:sz w:val="22"/>
          <w:szCs w:val="22"/>
          <w:lang w:val="en-GB"/>
        </w:rPr>
        <w:lastRenderedPageBreak/>
        <w:t>‘</w:t>
      </w:r>
      <w:r w:rsidR="00701229" w:rsidRPr="00A56841">
        <w:rPr>
          <w:rFonts w:ascii="Arial" w:hAnsi="Arial" w:cs="Arial"/>
          <w:i/>
          <w:sz w:val="22"/>
          <w:szCs w:val="22"/>
          <w:lang w:val="en-GB"/>
        </w:rPr>
        <w:t xml:space="preserve">The approach to adopt, in considering whether to allow new matter in the replying affidavit, received attention in </w:t>
      </w:r>
      <w:proofErr w:type="spellStart"/>
      <w:r w:rsidR="00701229" w:rsidRPr="00A56841">
        <w:rPr>
          <w:rFonts w:ascii="Arial" w:hAnsi="Arial" w:cs="Arial"/>
          <w:i/>
          <w:sz w:val="22"/>
          <w:szCs w:val="22"/>
          <w:lang w:val="en-GB"/>
        </w:rPr>
        <w:t>Juta</w:t>
      </w:r>
      <w:proofErr w:type="spellEnd"/>
      <w:r w:rsidR="00701229" w:rsidRPr="00A56841">
        <w:rPr>
          <w:rFonts w:ascii="Arial" w:hAnsi="Arial" w:cs="Arial"/>
          <w:i/>
          <w:sz w:val="22"/>
          <w:szCs w:val="22"/>
          <w:lang w:val="en-GB"/>
        </w:rPr>
        <w:t> </w:t>
      </w:r>
      <w:r w:rsidR="00701229" w:rsidRPr="00A56841">
        <w:rPr>
          <w:rFonts w:ascii="Arial" w:hAnsi="Arial" w:cs="Arial"/>
          <w:i/>
          <w:iCs/>
          <w:sz w:val="22"/>
          <w:szCs w:val="22"/>
          <w:lang w:val="en-GB"/>
        </w:rPr>
        <w:t xml:space="preserve">and Co Ltd and Others v De </w:t>
      </w:r>
      <w:proofErr w:type="spellStart"/>
      <w:r w:rsidR="00701229" w:rsidRPr="00A56841">
        <w:rPr>
          <w:rFonts w:ascii="Arial" w:hAnsi="Arial" w:cs="Arial"/>
          <w:i/>
          <w:iCs/>
          <w:sz w:val="22"/>
          <w:szCs w:val="22"/>
          <w:lang w:val="en-GB"/>
        </w:rPr>
        <w:t>Koker</w:t>
      </w:r>
      <w:proofErr w:type="spellEnd"/>
      <w:r w:rsidRPr="00A56841">
        <w:rPr>
          <w:rFonts w:ascii="Arial" w:hAnsi="Arial" w:cs="Arial"/>
          <w:i/>
          <w:iCs/>
          <w:sz w:val="22"/>
          <w:szCs w:val="22"/>
          <w:lang w:val="en-GB"/>
        </w:rPr>
        <w:t xml:space="preserve"> 1994 (3) SA 499 (T) at 510F-H</w:t>
      </w:r>
      <w:r w:rsidR="00701229" w:rsidRPr="00A56841">
        <w:rPr>
          <w:rFonts w:ascii="Arial" w:hAnsi="Arial" w:cs="Arial"/>
          <w:i/>
          <w:sz w:val="22"/>
          <w:szCs w:val="22"/>
          <w:lang w:val="en-GB"/>
        </w:rPr>
        <w:t>, where the Court accepted and quoted with approval what was said in the headnote in </w:t>
      </w:r>
      <w:proofErr w:type="spellStart"/>
      <w:r w:rsidR="00701229" w:rsidRPr="00A56841">
        <w:rPr>
          <w:rFonts w:ascii="Arial" w:hAnsi="Arial" w:cs="Arial"/>
          <w:i/>
          <w:iCs/>
          <w:sz w:val="22"/>
          <w:szCs w:val="22"/>
          <w:lang w:val="en-GB"/>
        </w:rPr>
        <w:t>Shakot</w:t>
      </w:r>
      <w:proofErr w:type="spellEnd"/>
      <w:r w:rsidR="00701229" w:rsidRPr="00A56841">
        <w:rPr>
          <w:rFonts w:ascii="Arial" w:hAnsi="Arial" w:cs="Arial"/>
          <w:i/>
          <w:iCs/>
          <w:sz w:val="22"/>
          <w:szCs w:val="22"/>
          <w:lang w:val="en-GB"/>
        </w:rPr>
        <w:t xml:space="preserve"> Investment (Pty) Ltd v Town Council of Borough of Stanger</w:t>
      </w:r>
      <w:r w:rsidRPr="00A56841">
        <w:rPr>
          <w:rFonts w:ascii="Arial" w:hAnsi="Arial" w:cs="Arial"/>
          <w:i/>
          <w:iCs/>
          <w:sz w:val="22"/>
          <w:szCs w:val="22"/>
          <w:lang w:val="en-GB"/>
        </w:rPr>
        <w:t xml:space="preserve"> 1976 (2) SA 701 (D)</w:t>
      </w:r>
      <w:r w:rsidR="00701229" w:rsidRPr="00A56841">
        <w:rPr>
          <w:rFonts w:ascii="Arial" w:hAnsi="Arial" w:cs="Arial"/>
          <w:i/>
          <w:sz w:val="22"/>
          <w:szCs w:val="22"/>
          <w:lang w:val="en-GB"/>
        </w:rPr>
        <w:t>, where the Court held that:</w:t>
      </w:r>
      <w:r w:rsidRPr="00A56841">
        <w:rPr>
          <w:rFonts w:ascii="Arial" w:hAnsi="Arial" w:cs="Arial"/>
          <w:i/>
          <w:sz w:val="22"/>
          <w:szCs w:val="22"/>
          <w:lang w:val="en-GB"/>
        </w:rPr>
        <w:t xml:space="preserve"> “</w:t>
      </w:r>
      <w:r w:rsidR="00701229" w:rsidRPr="00A56841">
        <w:rPr>
          <w:rFonts w:ascii="Arial" w:hAnsi="Arial" w:cs="Arial"/>
          <w:i/>
          <w:sz w:val="22"/>
          <w:szCs w:val="22"/>
        </w:rPr>
        <w:t>In consideration of the question whether to permit or strike out additional facts or grounds for relief raised in the replying affidavit, a distinction must, necessarily, be between a case in which the new material is first brought to light by the applicant who knew of it at the time the when his founding affidavit was prepared and a case in which facts alleged in the respondent’s answering affidavit reveal the existence of a further ground for relief sought by the applicant. In the latter type of case the Court would obviously more readily allow the applicant in his replying affidavit to utilise and enlarge upon what has been revealed by the respondent and to set up such additional ground for r</w:t>
      </w:r>
      <w:r w:rsidRPr="00A56841">
        <w:rPr>
          <w:rFonts w:ascii="Arial" w:hAnsi="Arial" w:cs="Arial"/>
          <w:i/>
          <w:sz w:val="22"/>
          <w:szCs w:val="22"/>
        </w:rPr>
        <w:t>elief as might arise therefrom.”</w:t>
      </w:r>
      <w:r w:rsidRPr="00A56841">
        <w:rPr>
          <w:rStyle w:val="FootnoteReference"/>
          <w:rFonts w:ascii="Arial" w:hAnsi="Arial" w:cs="Arial"/>
          <w:i/>
          <w:sz w:val="20"/>
        </w:rPr>
        <w:footnoteReference w:id="14"/>
      </w:r>
    </w:p>
    <w:p w14:paraId="302A74BB" w14:textId="1DE7B415" w:rsidR="00701229" w:rsidRPr="00A56841" w:rsidRDefault="002F2DF2" w:rsidP="00AD3C00">
      <w:pPr>
        <w:rPr>
          <w:rFonts w:ascii="Arial" w:hAnsi="Arial" w:cs="Arial"/>
          <w:sz w:val="24"/>
          <w:szCs w:val="24"/>
          <w:lang w:eastAsia="en-ZA"/>
        </w:rPr>
      </w:pPr>
      <w:r>
        <w:rPr>
          <w:rFonts w:ascii="Arial" w:hAnsi="Arial" w:cs="Arial"/>
          <w:sz w:val="24"/>
          <w:szCs w:val="24"/>
          <w:lang w:eastAsia="en-ZA"/>
        </w:rPr>
        <w:t>[44]</w:t>
      </w:r>
      <w:r>
        <w:rPr>
          <w:rFonts w:ascii="Arial" w:hAnsi="Arial" w:cs="Arial"/>
          <w:sz w:val="24"/>
          <w:szCs w:val="24"/>
          <w:lang w:eastAsia="en-ZA"/>
        </w:rPr>
        <w:tab/>
        <w:t xml:space="preserve">The </w:t>
      </w:r>
      <w:r w:rsidR="00A56841">
        <w:rPr>
          <w:rFonts w:ascii="Arial" w:hAnsi="Arial" w:cs="Arial"/>
          <w:sz w:val="24"/>
          <w:szCs w:val="24"/>
          <w:lang w:eastAsia="en-ZA"/>
        </w:rPr>
        <w:t xml:space="preserve">averments in </w:t>
      </w:r>
      <w:r>
        <w:rPr>
          <w:rFonts w:ascii="Arial" w:hAnsi="Arial" w:cs="Arial"/>
          <w:sz w:val="24"/>
          <w:szCs w:val="24"/>
          <w:lang w:eastAsia="en-ZA"/>
        </w:rPr>
        <w:t>the</w:t>
      </w:r>
      <w:r w:rsidR="00A56841">
        <w:rPr>
          <w:rFonts w:ascii="Arial" w:hAnsi="Arial" w:cs="Arial"/>
          <w:sz w:val="24"/>
          <w:szCs w:val="24"/>
          <w:lang w:eastAsia="en-ZA"/>
        </w:rPr>
        <w:t xml:space="preserve"> replying affidavit to </w:t>
      </w:r>
      <w:r w:rsidR="00AD3C00">
        <w:rPr>
          <w:rFonts w:ascii="Arial" w:hAnsi="Arial" w:cs="Arial"/>
          <w:sz w:val="24"/>
          <w:szCs w:val="24"/>
          <w:lang w:eastAsia="en-ZA"/>
        </w:rPr>
        <w:t>IEMAS</w:t>
      </w:r>
      <w:r w:rsidR="006941FD">
        <w:rPr>
          <w:rFonts w:ascii="Arial" w:hAnsi="Arial" w:cs="Arial"/>
          <w:sz w:val="24"/>
          <w:szCs w:val="24"/>
          <w:lang w:eastAsia="en-ZA"/>
        </w:rPr>
        <w:t xml:space="preserve">’ answering affidavit </w:t>
      </w:r>
      <w:r w:rsidR="00A56841">
        <w:rPr>
          <w:rFonts w:ascii="Arial" w:hAnsi="Arial" w:cs="Arial"/>
          <w:sz w:val="24"/>
          <w:szCs w:val="24"/>
          <w:lang w:eastAsia="en-ZA"/>
        </w:rPr>
        <w:t xml:space="preserve">seek to </w:t>
      </w:r>
      <w:r w:rsidR="006941FD">
        <w:rPr>
          <w:rFonts w:ascii="Arial" w:hAnsi="Arial" w:cs="Arial"/>
          <w:sz w:val="24"/>
          <w:szCs w:val="24"/>
          <w:lang w:eastAsia="en-ZA"/>
        </w:rPr>
        <w:t xml:space="preserve">set out and </w:t>
      </w:r>
      <w:r w:rsidR="00A56841">
        <w:rPr>
          <w:rFonts w:ascii="Arial" w:hAnsi="Arial" w:cs="Arial"/>
          <w:sz w:val="24"/>
          <w:szCs w:val="24"/>
          <w:lang w:eastAsia="en-ZA"/>
        </w:rPr>
        <w:t xml:space="preserve">establish </w:t>
      </w:r>
      <w:r>
        <w:rPr>
          <w:rFonts w:ascii="Arial" w:hAnsi="Arial" w:cs="Arial"/>
          <w:sz w:val="24"/>
          <w:szCs w:val="24"/>
          <w:lang w:eastAsia="en-ZA"/>
        </w:rPr>
        <w:t xml:space="preserve">Crossman’s </w:t>
      </w:r>
      <w:r w:rsidR="00A56841">
        <w:rPr>
          <w:rFonts w:ascii="Arial" w:hAnsi="Arial" w:cs="Arial"/>
          <w:sz w:val="24"/>
          <w:szCs w:val="24"/>
          <w:lang w:eastAsia="en-ZA"/>
        </w:rPr>
        <w:t xml:space="preserve">cause of action </w:t>
      </w:r>
      <w:r w:rsidR="006941FD">
        <w:rPr>
          <w:rFonts w:ascii="Arial" w:hAnsi="Arial" w:cs="Arial"/>
          <w:sz w:val="24"/>
          <w:szCs w:val="24"/>
          <w:lang w:eastAsia="en-ZA"/>
        </w:rPr>
        <w:t xml:space="preserve">vis-à-vis </w:t>
      </w:r>
      <w:r w:rsidR="00AD3C00">
        <w:rPr>
          <w:rFonts w:ascii="Arial" w:hAnsi="Arial" w:cs="Arial"/>
          <w:sz w:val="24"/>
          <w:szCs w:val="24"/>
          <w:lang w:eastAsia="en-ZA"/>
        </w:rPr>
        <w:t>IEMAS</w:t>
      </w:r>
      <w:r w:rsidR="006941FD">
        <w:rPr>
          <w:rFonts w:ascii="Arial" w:hAnsi="Arial" w:cs="Arial"/>
          <w:sz w:val="24"/>
          <w:szCs w:val="24"/>
          <w:lang w:eastAsia="en-ZA"/>
        </w:rPr>
        <w:t xml:space="preserve">. These averments evince of no newly discovered facts </w:t>
      </w:r>
      <w:r>
        <w:rPr>
          <w:rFonts w:ascii="Arial" w:hAnsi="Arial" w:cs="Arial"/>
          <w:sz w:val="24"/>
          <w:szCs w:val="24"/>
          <w:lang w:eastAsia="en-ZA"/>
        </w:rPr>
        <w:t xml:space="preserve">or special circumstances </w:t>
      </w:r>
      <w:r w:rsidR="006941FD">
        <w:rPr>
          <w:rFonts w:ascii="Arial" w:hAnsi="Arial" w:cs="Arial"/>
          <w:sz w:val="24"/>
          <w:szCs w:val="24"/>
          <w:lang w:eastAsia="en-ZA"/>
        </w:rPr>
        <w:t xml:space="preserve">and </w:t>
      </w:r>
      <w:r>
        <w:rPr>
          <w:rFonts w:ascii="Arial" w:hAnsi="Arial" w:cs="Arial"/>
          <w:sz w:val="24"/>
          <w:szCs w:val="24"/>
          <w:lang w:eastAsia="en-ZA"/>
        </w:rPr>
        <w:t xml:space="preserve">I am drawn to the ineluctable conclusion that there is no reason why they </w:t>
      </w:r>
      <w:r w:rsidR="006941FD">
        <w:rPr>
          <w:rFonts w:ascii="Arial" w:hAnsi="Arial" w:cs="Arial"/>
          <w:sz w:val="24"/>
          <w:szCs w:val="24"/>
          <w:lang w:eastAsia="en-ZA"/>
        </w:rPr>
        <w:t xml:space="preserve">should </w:t>
      </w:r>
      <w:r>
        <w:rPr>
          <w:rFonts w:ascii="Arial" w:hAnsi="Arial" w:cs="Arial"/>
          <w:sz w:val="24"/>
          <w:szCs w:val="24"/>
          <w:lang w:eastAsia="en-ZA"/>
        </w:rPr>
        <w:t xml:space="preserve">not </w:t>
      </w:r>
      <w:r w:rsidR="006941FD">
        <w:rPr>
          <w:rFonts w:ascii="Arial" w:hAnsi="Arial" w:cs="Arial"/>
          <w:sz w:val="24"/>
          <w:szCs w:val="24"/>
          <w:lang w:eastAsia="en-ZA"/>
        </w:rPr>
        <w:t xml:space="preserve">have been </w:t>
      </w:r>
      <w:r>
        <w:rPr>
          <w:rFonts w:ascii="Arial" w:hAnsi="Arial" w:cs="Arial"/>
          <w:sz w:val="24"/>
          <w:szCs w:val="24"/>
          <w:lang w:eastAsia="en-ZA"/>
        </w:rPr>
        <w:t xml:space="preserve">properly </w:t>
      </w:r>
      <w:r w:rsidR="006941FD">
        <w:rPr>
          <w:rFonts w:ascii="Arial" w:hAnsi="Arial" w:cs="Arial"/>
          <w:sz w:val="24"/>
          <w:szCs w:val="24"/>
          <w:lang w:eastAsia="en-ZA"/>
        </w:rPr>
        <w:t>set out in the founding papers.</w:t>
      </w:r>
      <w:r w:rsidR="001D103E">
        <w:rPr>
          <w:rFonts w:ascii="Arial" w:hAnsi="Arial" w:cs="Arial"/>
          <w:sz w:val="24"/>
          <w:szCs w:val="24"/>
          <w:lang w:eastAsia="en-ZA"/>
        </w:rPr>
        <w:t xml:space="preserve"> Accordingly, I am disinclined to exercise my discretion and </w:t>
      </w:r>
      <w:r w:rsidR="006941FD">
        <w:rPr>
          <w:rFonts w:ascii="Arial" w:hAnsi="Arial" w:cs="Arial"/>
          <w:sz w:val="24"/>
          <w:szCs w:val="24"/>
          <w:lang w:eastAsia="en-ZA"/>
        </w:rPr>
        <w:t xml:space="preserve">allow the introduction of the cause of action in reply. </w:t>
      </w:r>
    </w:p>
    <w:p w14:paraId="2184684E" w14:textId="5004C0DD" w:rsidR="00A36EC9" w:rsidRDefault="002F2DF2" w:rsidP="00AD3C00">
      <w:pPr>
        <w:rPr>
          <w:rFonts w:ascii="Arial" w:hAnsi="Arial" w:cs="Arial"/>
          <w:sz w:val="24"/>
          <w:szCs w:val="24"/>
        </w:rPr>
      </w:pPr>
      <w:r>
        <w:rPr>
          <w:rFonts w:ascii="Arial" w:hAnsi="Arial" w:cs="Arial"/>
          <w:sz w:val="24"/>
          <w:szCs w:val="24"/>
        </w:rPr>
        <w:t>[45]</w:t>
      </w:r>
      <w:r>
        <w:rPr>
          <w:rFonts w:ascii="Arial" w:hAnsi="Arial" w:cs="Arial"/>
          <w:sz w:val="24"/>
          <w:szCs w:val="24"/>
        </w:rPr>
        <w:tab/>
      </w:r>
      <w:r w:rsidR="00A36EC9">
        <w:rPr>
          <w:rFonts w:ascii="Arial" w:hAnsi="Arial" w:cs="Arial"/>
          <w:sz w:val="24"/>
          <w:szCs w:val="24"/>
        </w:rPr>
        <w:t xml:space="preserve">The founding papers </w:t>
      </w:r>
      <w:r>
        <w:rPr>
          <w:rFonts w:ascii="Arial" w:hAnsi="Arial" w:cs="Arial"/>
          <w:sz w:val="24"/>
          <w:szCs w:val="24"/>
        </w:rPr>
        <w:t xml:space="preserve">also </w:t>
      </w:r>
      <w:r w:rsidR="00A36EC9">
        <w:rPr>
          <w:rFonts w:ascii="Arial" w:hAnsi="Arial" w:cs="Arial"/>
          <w:sz w:val="24"/>
          <w:szCs w:val="24"/>
        </w:rPr>
        <w:t xml:space="preserve">do not disclose a discernible cause of action vis-à-vis Gareth, notwithstanding the relief sought against him. The fact that he is the beneficiary and recipient of the proceeds of the death benefit does not, without more, entitle Crossman to cite him as a party and to seek the relief claimed with a concomitant punitive costs order. It does not assist Crossman to state that the Ombudsman directed her to institute these proceedings with the joinder of Gareth. It is clear that the Ombudsman did not make a determination on the merits of her claim, nor did he direct or propose application proceedings as the most appropriate manner in which to present this matter to a court for adjudication. </w:t>
      </w:r>
    </w:p>
    <w:p w14:paraId="3B9CFA8E" w14:textId="0AB8AE0E" w:rsidR="00A36EC9" w:rsidRPr="006059FA" w:rsidRDefault="002F2DF2" w:rsidP="00AD3C00">
      <w:pPr>
        <w:rPr>
          <w:rFonts w:ascii="Arial" w:hAnsi="Arial" w:cs="Arial"/>
          <w:i/>
          <w:sz w:val="22"/>
          <w:szCs w:val="22"/>
        </w:rPr>
      </w:pPr>
      <w:r>
        <w:rPr>
          <w:rFonts w:ascii="Arial" w:hAnsi="Arial" w:cs="Arial"/>
          <w:sz w:val="24"/>
          <w:szCs w:val="24"/>
        </w:rPr>
        <w:t>[46]</w:t>
      </w:r>
      <w:r>
        <w:rPr>
          <w:rFonts w:ascii="Arial" w:hAnsi="Arial" w:cs="Arial"/>
          <w:sz w:val="24"/>
          <w:szCs w:val="24"/>
        </w:rPr>
        <w:tab/>
      </w:r>
      <w:r w:rsidR="00A36EC9">
        <w:rPr>
          <w:rFonts w:ascii="Arial" w:hAnsi="Arial" w:cs="Arial"/>
          <w:sz w:val="24"/>
          <w:szCs w:val="24"/>
        </w:rPr>
        <w:t xml:space="preserve">It is trite that the duty to allege and prove </w:t>
      </w:r>
      <w:r w:rsidR="00A36EC9">
        <w:rPr>
          <w:rFonts w:ascii="Arial" w:hAnsi="Arial" w:cs="Arial"/>
          <w:i/>
          <w:sz w:val="24"/>
          <w:szCs w:val="24"/>
        </w:rPr>
        <w:t xml:space="preserve">locus </w:t>
      </w:r>
      <w:proofErr w:type="spellStart"/>
      <w:r w:rsidR="00A36EC9">
        <w:rPr>
          <w:rFonts w:ascii="Arial" w:hAnsi="Arial" w:cs="Arial"/>
          <w:i/>
          <w:sz w:val="24"/>
          <w:szCs w:val="24"/>
        </w:rPr>
        <w:t>standi</w:t>
      </w:r>
      <w:proofErr w:type="spellEnd"/>
      <w:r w:rsidR="00A36EC9">
        <w:rPr>
          <w:rFonts w:ascii="Arial" w:hAnsi="Arial" w:cs="Arial"/>
          <w:i/>
          <w:sz w:val="24"/>
          <w:szCs w:val="24"/>
        </w:rPr>
        <w:t xml:space="preserve"> rests on the party </w:t>
      </w:r>
      <w:r w:rsidR="00A36EC9">
        <w:rPr>
          <w:rFonts w:ascii="Arial" w:hAnsi="Arial" w:cs="Arial"/>
          <w:sz w:val="24"/>
          <w:szCs w:val="24"/>
        </w:rPr>
        <w:t>instituting the proceedings.</w:t>
      </w:r>
      <w:r w:rsidR="00A36EC9" w:rsidRPr="006059FA">
        <w:rPr>
          <w:rStyle w:val="FootnoteReference"/>
          <w:rFonts w:ascii="Arial" w:hAnsi="Arial" w:cs="Arial"/>
          <w:sz w:val="20"/>
        </w:rPr>
        <w:footnoteReference w:id="15"/>
      </w:r>
      <w:r w:rsidR="00A36EC9">
        <w:rPr>
          <w:rFonts w:ascii="Arial" w:hAnsi="Arial" w:cs="Arial"/>
          <w:sz w:val="24"/>
          <w:szCs w:val="24"/>
        </w:rPr>
        <w:t xml:space="preserve"> As stated by </w:t>
      </w:r>
      <w:proofErr w:type="spellStart"/>
      <w:r w:rsidR="00A36EC9">
        <w:rPr>
          <w:rFonts w:ascii="Arial" w:hAnsi="Arial" w:cs="Arial"/>
          <w:sz w:val="24"/>
          <w:szCs w:val="24"/>
        </w:rPr>
        <w:t>Schippers</w:t>
      </w:r>
      <w:proofErr w:type="spellEnd"/>
      <w:r w:rsidR="00A36EC9">
        <w:rPr>
          <w:rFonts w:ascii="Arial" w:hAnsi="Arial" w:cs="Arial"/>
          <w:sz w:val="24"/>
          <w:szCs w:val="24"/>
        </w:rPr>
        <w:t xml:space="preserve"> JA in </w:t>
      </w:r>
      <w:r w:rsidR="00A36EC9">
        <w:rPr>
          <w:rFonts w:ascii="Arial" w:hAnsi="Arial" w:cs="Arial"/>
          <w:i/>
          <w:sz w:val="24"/>
          <w:szCs w:val="24"/>
        </w:rPr>
        <w:t>Four Wheel Drive CC</w:t>
      </w:r>
      <w:r w:rsidR="00A36EC9" w:rsidRPr="00C5631C">
        <w:rPr>
          <w:rStyle w:val="FootnoteReference"/>
          <w:rFonts w:ascii="Arial" w:hAnsi="Arial" w:cs="Arial"/>
          <w:i/>
          <w:sz w:val="20"/>
        </w:rPr>
        <w:footnoteReference w:id="16"/>
      </w:r>
      <w:r w:rsidR="00A36EC9">
        <w:rPr>
          <w:rFonts w:ascii="Arial" w:hAnsi="Arial" w:cs="Arial"/>
          <w:i/>
          <w:sz w:val="24"/>
          <w:szCs w:val="24"/>
        </w:rPr>
        <w:t xml:space="preserve">: </w:t>
      </w:r>
      <w:r>
        <w:rPr>
          <w:rFonts w:ascii="Arial" w:hAnsi="Arial" w:cs="Arial"/>
          <w:i/>
          <w:sz w:val="24"/>
          <w:szCs w:val="24"/>
        </w:rPr>
        <w:t xml:space="preserve">                              </w:t>
      </w:r>
      <w:r w:rsidR="008D4FCD">
        <w:rPr>
          <w:rFonts w:ascii="Arial" w:hAnsi="Arial" w:cs="Arial"/>
          <w:i/>
          <w:sz w:val="24"/>
          <w:szCs w:val="24"/>
        </w:rPr>
        <w:t xml:space="preserve">           </w:t>
      </w:r>
      <w:r>
        <w:rPr>
          <w:rFonts w:ascii="Arial" w:hAnsi="Arial" w:cs="Arial"/>
          <w:i/>
          <w:sz w:val="24"/>
          <w:szCs w:val="24"/>
        </w:rPr>
        <w:t xml:space="preserve">  </w:t>
      </w:r>
      <w:r w:rsidR="00A36EC9">
        <w:rPr>
          <w:rFonts w:ascii="Arial" w:hAnsi="Arial" w:cs="Arial"/>
          <w:i/>
          <w:sz w:val="22"/>
          <w:szCs w:val="22"/>
        </w:rPr>
        <w:t>‘</w:t>
      </w:r>
      <w:r w:rsidR="00A36EC9" w:rsidRPr="006059FA">
        <w:rPr>
          <w:rFonts w:ascii="Arial" w:hAnsi="Arial" w:cs="Arial"/>
          <w:i/>
          <w:sz w:val="22"/>
          <w:szCs w:val="22"/>
        </w:rPr>
        <w:t>The rule that only a person who has a direct interest in the relief sought can claim a remedy, is no more clearly expressed than in the jud</w:t>
      </w:r>
      <w:r w:rsidR="00A36EC9">
        <w:rPr>
          <w:rFonts w:ascii="Arial" w:hAnsi="Arial" w:cs="Arial"/>
          <w:i/>
          <w:sz w:val="22"/>
          <w:szCs w:val="22"/>
        </w:rPr>
        <w:t>gment of Innes CJ in</w:t>
      </w:r>
      <w:r w:rsidR="00A36EC9" w:rsidRPr="006059FA">
        <w:rPr>
          <w:rFonts w:ascii="Arial" w:hAnsi="Arial" w:cs="Arial"/>
          <w:i/>
          <w:sz w:val="22"/>
          <w:szCs w:val="22"/>
        </w:rPr>
        <w:t xml:space="preserve"> </w:t>
      </w:r>
      <w:r w:rsidR="00A36EC9" w:rsidRPr="008B5120">
        <w:rPr>
          <w:rFonts w:ascii="Arial" w:hAnsi="Arial" w:cs="Arial"/>
          <w:i/>
          <w:sz w:val="22"/>
          <w:szCs w:val="22"/>
        </w:rPr>
        <w:t xml:space="preserve">Dalrymple &amp; others v Colonial Treasurer 1910 TS 372 at 379 </w:t>
      </w:r>
      <w:r w:rsidR="00A36EC9">
        <w:rPr>
          <w:rFonts w:ascii="Arial" w:hAnsi="Arial" w:cs="Arial"/>
          <w:i/>
          <w:sz w:val="22"/>
          <w:szCs w:val="22"/>
        </w:rPr>
        <w:t>“</w:t>
      </w:r>
      <w:r w:rsidR="00A36EC9" w:rsidRPr="006059FA">
        <w:rPr>
          <w:rFonts w:ascii="Arial" w:hAnsi="Arial" w:cs="Arial"/>
          <w:i/>
          <w:sz w:val="22"/>
          <w:szCs w:val="22"/>
        </w:rPr>
        <w:t xml:space="preserve">The general rule of our law is that no man can sue in respect of a wrongful act, </w:t>
      </w:r>
      <w:r w:rsidR="00A36EC9" w:rsidRPr="006059FA">
        <w:rPr>
          <w:rFonts w:ascii="Arial" w:hAnsi="Arial" w:cs="Arial"/>
          <w:i/>
          <w:sz w:val="22"/>
          <w:szCs w:val="22"/>
        </w:rPr>
        <w:lastRenderedPageBreak/>
        <w:t>unless it constitutes a breach of a duty owed to him by the wrongdoer, or unless it causes him some damage in law.</w:t>
      </w:r>
      <w:r w:rsidR="00A36EC9">
        <w:rPr>
          <w:rFonts w:ascii="Arial" w:hAnsi="Arial" w:cs="Arial"/>
          <w:i/>
          <w:sz w:val="22"/>
          <w:szCs w:val="22"/>
        </w:rPr>
        <w:t>”</w:t>
      </w:r>
    </w:p>
    <w:p w14:paraId="1044E3D8" w14:textId="04BF3123" w:rsidR="00A36EC9" w:rsidRDefault="008D4FCD" w:rsidP="00AD3C00">
      <w:pPr>
        <w:rPr>
          <w:rFonts w:ascii="Arial" w:hAnsi="Arial" w:cs="Arial"/>
          <w:sz w:val="24"/>
          <w:szCs w:val="24"/>
        </w:rPr>
      </w:pPr>
      <w:r>
        <w:rPr>
          <w:rFonts w:ascii="Arial" w:hAnsi="Arial" w:cs="Arial"/>
          <w:sz w:val="24"/>
          <w:szCs w:val="24"/>
        </w:rPr>
        <w:t>[47]</w:t>
      </w:r>
      <w:r>
        <w:rPr>
          <w:rFonts w:ascii="Arial" w:hAnsi="Arial" w:cs="Arial"/>
          <w:sz w:val="24"/>
          <w:szCs w:val="24"/>
        </w:rPr>
        <w:tab/>
      </w:r>
      <w:r w:rsidR="00A36EC9">
        <w:rPr>
          <w:rFonts w:ascii="Arial" w:hAnsi="Arial" w:cs="Arial"/>
          <w:sz w:val="24"/>
          <w:szCs w:val="24"/>
        </w:rPr>
        <w:t>It may well be that Crossman does notionally have a cause of action against Gareth however, it is not this Court’s role to discern, establish and assert such on her behalf. I am confined to issues before me.</w:t>
      </w:r>
      <w:r w:rsidR="00A36EC9" w:rsidRPr="008D4FCD">
        <w:rPr>
          <w:rStyle w:val="FootnoteReference"/>
          <w:rFonts w:ascii="Arial" w:hAnsi="Arial" w:cs="Arial"/>
          <w:sz w:val="20"/>
        </w:rPr>
        <w:footnoteReference w:id="17"/>
      </w:r>
      <w:r w:rsidR="00A36EC9" w:rsidRPr="008D4FCD">
        <w:rPr>
          <w:rFonts w:ascii="Arial" w:hAnsi="Arial" w:cs="Arial"/>
          <w:sz w:val="20"/>
          <w:szCs w:val="20"/>
        </w:rPr>
        <w:t xml:space="preserve">  </w:t>
      </w:r>
      <w:r w:rsidR="00A36EC9">
        <w:rPr>
          <w:rFonts w:ascii="Arial" w:hAnsi="Arial" w:cs="Arial"/>
          <w:sz w:val="24"/>
          <w:szCs w:val="24"/>
        </w:rPr>
        <w:t xml:space="preserve"> </w:t>
      </w:r>
    </w:p>
    <w:p w14:paraId="35C0B0C4" w14:textId="09A090D6" w:rsidR="003F69A8" w:rsidRDefault="008D4FCD" w:rsidP="00AD3C00">
      <w:pPr>
        <w:rPr>
          <w:rFonts w:ascii="Arial" w:hAnsi="Arial" w:cs="Arial"/>
          <w:sz w:val="24"/>
          <w:szCs w:val="24"/>
        </w:rPr>
      </w:pPr>
      <w:r>
        <w:rPr>
          <w:rFonts w:ascii="Arial" w:hAnsi="Arial" w:cs="Arial"/>
          <w:sz w:val="24"/>
          <w:szCs w:val="24"/>
        </w:rPr>
        <w:t>[48]</w:t>
      </w:r>
      <w:r>
        <w:rPr>
          <w:rFonts w:ascii="Arial" w:hAnsi="Arial" w:cs="Arial"/>
          <w:sz w:val="24"/>
          <w:szCs w:val="24"/>
        </w:rPr>
        <w:tab/>
      </w:r>
      <w:r w:rsidR="00E449BF">
        <w:rPr>
          <w:rFonts w:ascii="Arial" w:hAnsi="Arial" w:cs="Arial"/>
          <w:sz w:val="24"/>
          <w:szCs w:val="24"/>
        </w:rPr>
        <w:t xml:space="preserve">Given my findings that the Policy does not constitute a </w:t>
      </w:r>
      <w:proofErr w:type="spellStart"/>
      <w:r w:rsidR="00E449BF">
        <w:rPr>
          <w:rFonts w:ascii="Arial" w:hAnsi="Arial" w:cs="Arial"/>
          <w:i/>
          <w:sz w:val="24"/>
          <w:szCs w:val="24"/>
        </w:rPr>
        <w:t>stipulatio</w:t>
      </w:r>
      <w:proofErr w:type="spellEnd"/>
      <w:r w:rsidR="00E449BF">
        <w:rPr>
          <w:rFonts w:ascii="Arial" w:hAnsi="Arial" w:cs="Arial"/>
          <w:i/>
          <w:sz w:val="24"/>
          <w:szCs w:val="24"/>
        </w:rPr>
        <w:t xml:space="preserve"> </w:t>
      </w:r>
      <w:proofErr w:type="spellStart"/>
      <w:r>
        <w:rPr>
          <w:rFonts w:ascii="Arial" w:hAnsi="Arial" w:cs="Arial"/>
          <w:i/>
          <w:sz w:val="24"/>
          <w:szCs w:val="24"/>
        </w:rPr>
        <w:t>alteri</w:t>
      </w:r>
      <w:proofErr w:type="spellEnd"/>
      <w:r>
        <w:rPr>
          <w:rFonts w:ascii="Arial" w:hAnsi="Arial" w:cs="Arial"/>
          <w:sz w:val="24"/>
          <w:szCs w:val="24"/>
        </w:rPr>
        <w:t xml:space="preserve"> and</w:t>
      </w:r>
      <w:r w:rsidR="00E449BF">
        <w:rPr>
          <w:rFonts w:ascii="Arial" w:hAnsi="Arial" w:cs="Arial"/>
          <w:sz w:val="24"/>
          <w:szCs w:val="24"/>
        </w:rPr>
        <w:t xml:space="preserve"> the validity of the </w:t>
      </w:r>
      <w:r w:rsidR="00AD3C00">
        <w:rPr>
          <w:rFonts w:ascii="Arial" w:hAnsi="Arial" w:cs="Arial"/>
          <w:sz w:val="24"/>
          <w:szCs w:val="24"/>
        </w:rPr>
        <w:t>2019 Nomination</w:t>
      </w:r>
      <w:r w:rsidR="00E449BF">
        <w:rPr>
          <w:rFonts w:ascii="Arial" w:hAnsi="Arial" w:cs="Arial"/>
          <w:sz w:val="24"/>
          <w:szCs w:val="24"/>
        </w:rPr>
        <w:t xml:space="preserve">, I do not consider it necessary to make a finding </w:t>
      </w:r>
      <w:r w:rsidR="003F69A8">
        <w:rPr>
          <w:rFonts w:ascii="Arial" w:hAnsi="Arial" w:cs="Arial"/>
          <w:sz w:val="24"/>
          <w:szCs w:val="24"/>
        </w:rPr>
        <w:t>in relation to Capital Alliance’s arguments that the matter should be referred to arbitration or that it should have been instituted by action proceedings due to the anticipated disputes of fact.</w:t>
      </w:r>
    </w:p>
    <w:p w14:paraId="19799A65" w14:textId="2BDDFC48" w:rsidR="005D18BB" w:rsidRDefault="008D4FCD" w:rsidP="00AD3C00">
      <w:pPr>
        <w:rPr>
          <w:rFonts w:ascii="Arial" w:hAnsi="Arial" w:cs="Arial"/>
          <w:sz w:val="24"/>
          <w:szCs w:val="24"/>
        </w:rPr>
      </w:pPr>
      <w:r>
        <w:rPr>
          <w:rFonts w:ascii="Arial" w:hAnsi="Arial" w:cs="Arial"/>
          <w:sz w:val="24"/>
          <w:szCs w:val="24"/>
        </w:rPr>
        <w:t>[50]</w:t>
      </w:r>
      <w:r>
        <w:rPr>
          <w:rFonts w:ascii="Arial" w:hAnsi="Arial" w:cs="Arial"/>
          <w:sz w:val="24"/>
          <w:szCs w:val="24"/>
        </w:rPr>
        <w:tab/>
        <w:t>My final consideration is in regard to the alternative relief. Crossman is not entitled to this</w:t>
      </w:r>
      <w:r w:rsidR="003F69A8">
        <w:rPr>
          <w:rFonts w:ascii="Arial" w:hAnsi="Arial" w:cs="Arial"/>
          <w:sz w:val="24"/>
          <w:szCs w:val="24"/>
        </w:rPr>
        <w:t xml:space="preserve"> relief</w:t>
      </w:r>
      <w:r>
        <w:rPr>
          <w:rFonts w:ascii="Arial" w:hAnsi="Arial" w:cs="Arial"/>
          <w:sz w:val="24"/>
          <w:szCs w:val="24"/>
        </w:rPr>
        <w:t>.</w:t>
      </w:r>
      <w:r w:rsidR="003F69A8">
        <w:rPr>
          <w:rFonts w:ascii="Arial" w:hAnsi="Arial" w:cs="Arial"/>
          <w:sz w:val="24"/>
          <w:szCs w:val="24"/>
        </w:rPr>
        <w:t xml:space="preserve"> The request for such relief is misplaced. It is clear from the Policy</w:t>
      </w:r>
      <w:r w:rsidR="004A3C0F">
        <w:rPr>
          <w:rFonts w:ascii="Arial" w:hAnsi="Arial" w:cs="Arial"/>
          <w:sz w:val="24"/>
          <w:szCs w:val="24"/>
        </w:rPr>
        <w:t xml:space="preserve"> wording </w:t>
      </w:r>
      <w:r w:rsidR="00F57E2A">
        <w:rPr>
          <w:rFonts w:ascii="Arial" w:hAnsi="Arial" w:cs="Arial"/>
          <w:sz w:val="24"/>
          <w:szCs w:val="24"/>
        </w:rPr>
        <w:t>and it</w:t>
      </w:r>
      <w:r>
        <w:rPr>
          <w:rFonts w:ascii="Arial" w:hAnsi="Arial" w:cs="Arial"/>
          <w:sz w:val="24"/>
          <w:szCs w:val="24"/>
        </w:rPr>
        <w:t xml:space="preserve"> is common cause </w:t>
      </w:r>
      <w:r w:rsidR="003F69A8">
        <w:rPr>
          <w:rFonts w:ascii="Arial" w:hAnsi="Arial" w:cs="Arial"/>
          <w:sz w:val="24"/>
          <w:szCs w:val="24"/>
        </w:rPr>
        <w:t>that the death benefit</w:t>
      </w:r>
      <w:r w:rsidR="008C5473">
        <w:rPr>
          <w:rFonts w:ascii="Arial" w:hAnsi="Arial" w:cs="Arial"/>
          <w:sz w:val="24"/>
          <w:szCs w:val="24"/>
        </w:rPr>
        <w:t xml:space="preserve"> is paid from an unapproved group life lump sum directly to </w:t>
      </w:r>
      <w:r w:rsidR="00135B24">
        <w:rPr>
          <w:rFonts w:ascii="Arial" w:hAnsi="Arial" w:cs="Arial"/>
          <w:sz w:val="24"/>
          <w:szCs w:val="24"/>
        </w:rPr>
        <w:t xml:space="preserve">the </w:t>
      </w:r>
      <w:r w:rsidR="008C5473">
        <w:rPr>
          <w:rFonts w:ascii="Arial" w:hAnsi="Arial" w:cs="Arial"/>
          <w:sz w:val="24"/>
          <w:szCs w:val="24"/>
        </w:rPr>
        <w:t>deceased’s last nominated beneficiary</w:t>
      </w:r>
      <w:r w:rsidR="004A3C0F">
        <w:rPr>
          <w:rFonts w:ascii="Arial" w:hAnsi="Arial" w:cs="Arial"/>
          <w:sz w:val="24"/>
          <w:szCs w:val="24"/>
        </w:rPr>
        <w:t>/beneficiaries</w:t>
      </w:r>
      <w:r w:rsidR="008C5473">
        <w:rPr>
          <w:rFonts w:ascii="Arial" w:hAnsi="Arial" w:cs="Arial"/>
          <w:sz w:val="24"/>
          <w:szCs w:val="24"/>
        </w:rPr>
        <w:t>.</w:t>
      </w:r>
      <w:r w:rsidR="00EF1055">
        <w:rPr>
          <w:rFonts w:ascii="Arial" w:hAnsi="Arial" w:cs="Arial"/>
          <w:sz w:val="24"/>
          <w:szCs w:val="24"/>
        </w:rPr>
        <w:t xml:space="preserve"> </w:t>
      </w:r>
      <w:r>
        <w:rPr>
          <w:rFonts w:ascii="Arial" w:hAnsi="Arial" w:cs="Arial"/>
          <w:sz w:val="24"/>
          <w:szCs w:val="24"/>
        </w:rPr>
        <w:t xml:space="preserve">Crossman </w:t>
      </w:r>
      <w:r w:rsidR="00EF1055">
        <w:rPr>
          <w:rFonts w:ascii="Arial" w:hAnsi="Arial" w:cs="Arial"/>
          <w:sz w:val="24"/>
          <w:szCs w:val="24"/>
        </w:rPr>
        <w:t xml:space="preserve">was informed that an employer and insurer had </w:t>
      </w:r>
      <w:r w:rsidR="004A3C0F">
        <w:rPr>
          <w:rFonts w:ascii="Arial" w:hAnsi="Arial" w:cs="Arial"/>
          <w:sz w:val="24"/>
          <w:szCs w:val="24"/>
        </w:rPr>
        <w:t xml:space="preserve">no </w:t>
      </w:r>
      <w:r w:rsidR="00EF1055">
        <w:rPr>
          <w:rFonts w:ascii="Arial" w:hAnsi="Arial" w:cs="Arial"/>
          <w:sz w:val="24"/>
          <w:szCs w:val="24"/>
        </w:rPr>
        <w:t>discretion when processing payments under</w:t>
      </w:r>
      <w:r w:rsidR="004A3C0F">
        <w:rPr>
          <w:rFonts w:ascii="Arial" w:hAnsi="Arial" w:cs="Arial"/>
          <w:sz w:val="24"/>
          <w:szCs w:val="24"/>
        </w:rPr>
        <w:t xml:space="preserve"> this benefit and that</w:t>
      </w:r>
      <w:r w:rsidR="00135B24">
        <w:rPr>
          <w:rFonts w:ascii="Arial" w:hAnsi="Arial" w:cs="Arial"/>
          <w:sz w:val="24"/>
          <w:szCs w:val="24"/>
        </w:rPr>
        <w:t xml:space="preserve"> there is </w:t>
      </w:r>
      <w:r w:rsidR="005D18BB">
        <w:rPr>
          <w:rFonts w:ascii="Arial" w:hAnsi="Arial" w:cs="Arial"/>
          <w:sz w:val="24"/>
          <w:szCs w:val="24"/>
        </w:rPr>
        <w:t xml:space="preserve">no </w:t>
      </w:r>
      <w:r w:rsidR="00EF1055">
        <w:rPr>
          <w:rFonts w:ascii="Arial" w:hAnsi="Arial" w:cs="Arial"/>
          <w:sz w:val="24"/>
          <w:szCs w:val="24"/>
        </w:rPr>
        <w:t xml:space="preserve">statutory or other </w:t>
      </w:r>
      <w:r w:rsidR="005D18BB">
        <w:rPr>
          <w:rFonts w:ascii="Arial" w:hAnsi="Arial" w:cs="Arial"/>
          <w:sz w:val="24"/>
          <w:szCs w:val="24"/>
        </w:rPr>
        <w:t>requirement to confirm the financial dependen</w:t>
      </w:r>
      <w:r w:rsidR="00EF1055">
        <w:rPr>
          <w:rFonts w:ascii="Arial" w:hAnsi="Arial" w:cs="Arial"/>
          <w:sz w:val="24"/>
          <w:szCs w:val="24"/>
        </w:rPr>
        <w:t xml:space="preserve">ts </w:t>
      </w:r>
      <w:r w:rsidR="005D18BB">
        <w:rPr>
          <w:rFonts w:ascii="Arial" w:hAnsi="Arial" w:cs="Arial"/>
          <w:sz w:val="24"/>
          <w:szCs w:val="24"/>
        </w:rPr>
        <w:t>of the deceased prior to payment being effected.</w:t>
      </w:r>
    </w:p>
    <w:p w14:paraId="6DA29675" w14:textId="511FA5B1" w:rsidR="00872D74" w:rsidRDefault="008D4FCD" w:rsidP="00AD3C00">
      <w:pPr>
        <w:rPr>
          <w:rFonts w:ascii="Arial" w:hAnsi="Arial" w:cs="Arial"/>
          <w:sz w:val="24"/>
          <w:szCs w:val="24"/>
        </w:rPr>
      </w:pPr>
      <w:r>
        <w:rPr>
          <w:rFonts w:ascii="Arial" w:hAnsi="Arial" w:cs="Arial"/>
          <w:sz w:val="24"/>
          <w:szCs w:val="24"/>
        </w:rPr>
        <w:t>[51]</w:t>
      </w:r>
      <w:r>
        <w:rPr>
          <w:rFonts w:ascii="Arial" w:hAnsi="Arial" w:cs="Arial"/>
          <w:sz w:val="24"/>
          <w:szCs w:val="24"/>
        </w:rPr>
        <w:tab/>
      </w:r>
      <w:r w:rsidR="005D18BB">
        <w:rPr>
          <w:rFonts w:ascii="Arial" w:hAnsi="Arial" w:cs="Arial"/>
          <w:sz w:val="24"/>
          <w:szCs w:val="24"/>
        </w:rPr>
        <w:t xml:space="preserve">By contrast, benefits payable </w:t>
      </w:r>
      <w:r w:rsidR="004A3C0F">
        <w:rPr>
          <w:rFonts w:ascii="Arial" w:hAnsi="Arial" w:cs="Arial"/>
          <w:sz w:val="24"/>
          <w:szCs w:val="24"/>
        </w:rPr>
        <w:t xml:space="preserve">under </w:t>
      </w:r>
      <w:r w:rsidR="005D18BB">
        <w:rPr>
          <w:rFonts w:ascii="Arial" w:hAnsi="Arial" w:cs="Arial"/>
          <w:sz w:val="24"/>
          <w:szCs w:val="24"/>
        </w:rPr>
        <w:t xml:space="preserve">the </w:t>
      </w:r>
      <w:r w:rsidR="00EF1055">
        <w:rPr>
          <w:rFonts w:ascii="Arial" w:hAnsi="Arial" w:cs="Arial"/>
          <w:sz w:val="24"/>
          <w:szCs w:val="24"/>
        </w:rPr>
        <w:t>p</w:t>
      </w:r>
      <w:r w:rsidR="005D18BB">
        <w:rPr>
          <w:rFonts w:ascii="Arial" w:hAnsi="Arial" w:cs="Arial"/>
          <w:sz w:val="24"/>
          <w:szCs w:val="24"/>
        </w:rPr>
        <w:t xml:space="preserve">ension and </w:t>
      </w:r>
      <w:r w:rsidR="00EF1055">
        <w:rPr>
          <w:rFonts w:ascii="Arial" w:hAnsi="Arial" w:cs="Arial"/>
          <w:sz w:val="24"/>
          <w:szCs w:val="24"/>
        </w:rPr>
        <w:t>p</w:t>
      </w:r>
      <w:r w:rsidR="005D18BB">
        <w:rPr>
          <w:rFonts w:ascii="Arial" w:hAnsi="Arial" w:cs="Arial"/>
          <w:sz w:val="24"/>
          <w:szCs w:val="24"/>
        </w:rPr>
        <w:t>rovident fund (PPF) are governed by s37C of the Pension Fund Act</w:t>
      </w:r>
      <w:r>
        <w:rPr>
          <w:rFonts w:ascii="Arial" w:hAnsi="Arial" w:cs="Arial"/>
          <w:sz w:val="24"/>
          <w:szCs w:val="24"/>
        </w:rPr>
        <w:t xml:space="preserve"> 24 of 1956</w:t>
      </w:r>
      <w:r w:rsidR="00D4331C">
        <w:rPr>
          <w:rFonts w:ascii="Arial" w:hAnsi="Arial" w:cs="Arial"/>
          <w:sz w:val="24"/>
          <w:szCs w:val="24"/>
        </w:rPr>
        <w:t xml:space="preserve"> (the PFA)</w:t>
      </w:r>
      <w:r w:rsidR="005D18BB">
        <w:rPr>
          <w:rFonts w:ascii="Arial" w:hAnsi="Arial" w:cs="Arial"/>
          <w:sz w:val="24"/>
          <w:szCs w:val="24"/>
        </w:rPr>
        <w:t>. Before effecting payment of any benefit, the trustees of the PPF are required to</w:t>
      </w:r>
      <w:r w:rsidR="004A3C0F">
        <w:rPr>
          <w:rFonts w:ascii="Arial" w:hAnsi="Arial" w:cs="Arial"/>
          <w:sz w:val="24"/>
          <w:szCs w:val="24"/>
        </w:rPr>
        <w:t xml:space="preserve"> investigate and </w:t>
      </w:r>
      <w:r w:rsidR="005D18BB">
        <w:rPr>
          <w:rFonts w:ascii="Arial" w:hAnsi="Arial" w:cs="Arial"/>
          <w:sz w:val="24"/>
          <w:szCs w:val="24"/>
        </w:rPr>
        <w:t xml:space="preserve">determine all financial dependents of the deceased, </w:t>
      </w:r>
      <w:r w:rsidR="00135B24">
        <w:rPr>
          <w:rFonts w:ascii="Arial" w:hAnsi="Arial" w:cs="Arial"/>
          <w:sz w:val="24"/>
          <w:szCs w:val="24"/>
        </w:rPr>
        <w:t>where after</w:t>
      </w:r>
      <w:r w:rsidR="005D18BB">
        <w:rPr>
          <w:rFonts w:ascii="Arial" w:hAnsi="Arial" w:cs="Arial"/>
          <w:sz w:val="24"/>
          <w:szCs w:val="24"/>
        </w:rPr>
        <w:t xml:space="preserve"> allocation of</w:t>
      </w:r>
      <w:r w:rsidR="004A3C0F">
        <w:rPr>
          <w:rFonts w:ascii="Arial" w:hAnsi="Arial" w:cs="Arial"/>
          <w:sz w:val="24"/>
          <w:szCs w:val="24"/>
        </w:rPr>
        <w:t xml:space="preserve"> the</w:t>
      </w:r>
      <w:r w:rsidR="005D18BB">
        <w:rPr>
          <w:rFonts w:ascii="Arial" w:hAnsi="Arial" w:cs="Arial"/>
          <w:sz w:val="24"/>
          <w:szCs w:val="24"/>
        </w:rPr>
        <w:t xml:space="preserve"> benefits</w:t>
      </w:r>
      <w:r w:rsidR="004A3C0F">
        <w:rPr>
          <w:rFonts w:ascii="Arial" w:hAnsi="Arial" w:cs="Arial"/>
          <w:sz w:val="24"/>
          <w:szCs w:val="24"/>
        </w:rPr>
        <w:t xml:space="preserve"> are made </w:t>
      </w:r>
      <w:r w:rsidR="005D18BB">
        <w:rPr>
          <w:rFonts w:ascii="Arial" w:hAnsi="Arial" w:cs="Arial"/>
          <w:sz w:val="24"/>
          <w:szCs w:val="24"/>
        </w:rPr>
        <w:t xml:space="preserve">according to dependency. </w:t>
      </w:r>
    </w:p>
    <w:p w14:paraId="55616038" w14:textId="4CDACFC1" w:rsidR="005D18BB" w:rsidRDefault="008D4FCD" w:rsidP="00AD3C00">
      <w:pPr>
        <w:rPr>
          <w:rFonts w:ascii="Arial" w:hAnsi="Arial" w:cs="Arial"/>
          <w:sz w:val="24"/>
          <w:szCs w:val="24"/>
        </w:rPr>
      </w:pPr>
      <w:r>
        <w:rPr>
          <w:rFonts w:ascii="Arial" w:hAnsi="Arial" w:cs="Arial"/>
          <w:sz w:val="24"/>
          <w:szCs w:val="24"/>
        </w:rPr>
        <w:t>[52]</w:t>
      </w:r>
      <w:r>
        <w:rPr>
          <w:rFonts w:ascii="Arial" w:hAnsi="Arial" w:cs="Arial"/>
          <w:sz w:val="24"/>
          <w:szCs w:val="24"/>
        </w:rPr>
        <w:tab/>
      </w:r>
      <w:r w:rsidR="005D18BB">
        <w:rPr>
          <w:rFonts w:ascii="Arial" w:hAnsi="Arial" w:cs="Arial"/>
          <w:sz w:val="24"/>
          <w:szCs w:val="24"/>
        </w:rPr>
        <w:t xml:space="preserve">The alternative relief </w:t>
      </w:r>
      <w:r w:rsidR="00D4331C">
        <w:rPr>
          <w:rFonts w:ascii="Arial" w:hAnsi="Arial" w:cs="Arial"/>
          <w:sz w:val="24"/>
          <w:szCs w:val="24"/>
        </w:rPr>
        <w:t xml:space="preserve">appears to be </w:t>
      </w:r>
      <w:r w:rsidR="005D18BB">
        <w:rPr>
          <w:rFonts w:ascii="Arial" w:hAnsi="Arial" w:cs="Arial"/>
          <w:sz w:val="24"/>
          <w:szCs w:val="24"/>
        </w:rPr>
        <w:t xml:space="preserve">premised upon </w:t>
      </w:r>
      <w:r w:rsidR="00D4331C">
        <w:rPr>
          <w:rFonts w:ascii="Arial" w:hAnsi="Arial" w:cs="Arial"/>
          <w:sz w:val="24"/>
          <w:szCs w:val="24"/>
        </w:rPr>
        <w:t>a misunderstanding that s37C of the PFA</w:t>
      </w:r>
      <w:r w:rsidR="005D18BB">
        <w:rPr>
          <w:rFonts w:ascii="Arial" w:hAnsi="Arial" w:cs="Arial"/>
          <w:sz w:val="24"/>
          <w:szCs w:val="24"/>
        </w:rPr>
        <w:t xml:space="preserve"> </w:t>
      </w:r>
      <w:r w:rsidR="00D4331C">
        <w:rPr>
          <w:rFonts w:ascii="Arial" w:hAnsi="Arial" w:cs="Arial"/>
          <w:sz w:val="24"/>
          <w:szCs w:val="24"/>
        </w:rPr>
        <w:t xml:space="preserve">applies equally to death benefits. Alternatively, that a court may, in the exercise of </w:t>
      </w:r>
      <w:r>
        <w:rPr>
          <w:rFonts w:ascii="Arial" w:hAnsi="Arial" w:cs="Arial"/>
          <w:sz w:val="24"/>
          <w:szCs w:val="24"/>
        </w:rPr>
        <w:t xml:space="preserve">a </w:t>
      </w:r>
      <w:r w:rsidR="00D4331C">
        <w:rPr>
          <w:rFonts w:ascii="Arial" w:hAnsi="Arial" w:cs="Arial"/>
          <w:sz w:val="24"/>
          <w:szCs w:val="24"/>
        </w:rPr>
        <w:t>discretion, order such relief. Regardless and notwithstanding Crossman</w:t>
      </w:r>
      <w:r>
        <w:rPr>
          <w:rFonts w:ascii="Arial" w:hAnsi="Arial" w:cs="Arial"/>
          <w:sz w:val="24"/>
          <w:szCs w:val="24"/>
        </w:rPr>
        <w:t xml:space="preserve">’s failure to </w:t>
      </w:r>
      <w:r w:rsidR="00F57E2A">
        <w:rPr>
          <w:rFonts w:ascii="Arial" w:hAnsi="Arial" w:cs="Arial"/>
          <w:sz w:val="24"/>
          <w:szCs w:val="24"/>
        </w:rPr>
        <w:t>make out</w:t>
      </w:r>
      <w:r w:rsidR="00D4331C">
        <w:rPr>
          <w:rFonts w:ascii="Arial" w:hAnsi="Arial" w:cs="Arial"/>
          <w:sz w:val="24"/>
          <w:szCs w:val="24"/>
        </w:rPr>
        <w:t xml:space="preserve"> any case for this alternative relief, such an order is not competent in the circumstances of this case.   </w:t>
      </w:r>
    </w:p>
    <w:p w14:paraId="45157F14" w14:textId="14BBE666" w:rsidR="00C5631C" w:rsidRDefault="00C5631C" w:rsidP="0094113F">
      <w:pPr>
        <w:rPr>
          <w:rFonts w:ascii="Arial" w:hAnsi="Arial" w:cs="Arial"/>
          <w:b/>
          <w:sz w:val="24"/>
          <w:szCs w:val="24"/>
        </w:rPr>
      </w:pPr>
      <w:r>
        <w:rPr>
          <w:rFonts w:ascii="Arial" w:hAnsi="Arial" w:cs="Arial"/>
          <w:b/>
          <w:sz w:val="24"/>
          <w:szCs w:val="24"/>
        </w:rPr>
        <w:t>Costs</w:t>
      </w:r>
    </w:p>
    <w:p w14:paraId="3992A340" w14:textId="13D2A621" w:rsidR="006C6D95" w:rsidRDefault="006C6D95" w:rsidP="006C6D95">
      <w:pPr>
        <w:pStyle w:val="LegalList1"/>
        <w:keepNext/>
        <w:spacing w:after="120" w:line="360" w:lineRule="auto"/>
        <w:rPr>
          <w:rFonts w:cs="Arial"/>
        </w:rPr>
      </w:pPr>
      <w:r w:rsidRPr="006C6D95">
        <w:rPr>
          <w:rFonts w:cs="Arial"/>
        </w:rPr>
        <w:t>[5</w:t>
      </w:r>
      <w:r w:rsidR="007E0631">
        <w:rPr>
          <w:rFonts w:cs="Arial"/>
        </w:rPr>
        <w:t>3</w:t>
      </w:r>
      <w:r w:rsidRPr="006C6D95">
        <w:rPr>
          <w:rFonts w:cs="Arial"/>
        </w:rPr>
        <w:t>]</w:t>
      </w:r>
      <w:r>
        <w:rPr>
          <w:rFonts w:cs="Arial"/>
        </w:rPr>
        <w:tab/>
      </w:r>
      <w:r w:rsidRPr="005F0586">
        <w:rPr>
          <w:rFonts w:cs="Arial"/>
        </w:rPr>
        <w:t xml:space="preserve">The general rule in matters of costs is that the successful party should be given his costs, and this rule should not be departed from except where there are good grounds for </w:t>
      </w:r>
      <w:r w:rsidRPr="005F0586">
        <w:rPr>
          <w:rFonts w:cs="Arial"/>
        </w:rPr>
        <w:lastRenderedPageBreak/>
        <w:t>doing so.</w:t>
      </w:r>
      <w:r w:rsidRPr="008102AA">
        <w:rPr>
          <w:rStyle w:val="FootnoteReference"/>
          <w:rFonts w:ascii="Arial" w:hAnsi="Arial" w:cs="Arial"/>
          <w:sz w:val="20"/>
        </w:rPr>
        <w:footnoteReference w:id="18"/>
      </w:r>
      <w:r w:rsidR="007E0631">
        <w:rPr>
          <w:rFonts w:cs="Arial"/>
        </w:rPr>
        <w:t xml:space="preserve"> IEMAS and Gareth seek a punitive costs order against Crossman on the same scale of the punitive cost order sought in the relief claimed.</w:t>
      </w:r>
    </w:p>
    <w:p w14:paraId="016BC810" w14:textId="77777777" w:rsidR="006C6D95" w:rsidRDefault="006C6D95" w:rsidP="006C6D95">
      <w:pPr>
        <w:autoSpaceDE w:val="0"/>
        <w:autoSpaceDN w:val="0"/>
        <w:adjustRightInd w:val="0"/>
        <w:spacing w:after="0"/>
        <w:rPr>
          <w:rFonts w:ascii="Arial" w:hAnsi="Arial" w:cs="Arial"/>
          <w:sz w:val="24"/>
          <w:szCs w:val="24"/>
        </w:rPr>
      </w:pPr>
    </w:p>
    <w:p w14:paraId="7E2DDF84" w14:textId="5B561AAB" w:rsidR="006C6D95" w:rsidRPr="00C77C2A" w:rsidRDefault="006C6D95" w:rsidP="006C6D95">
      <w:pPr>
        <w:autoSpaceDE w:val="0"/>
        <w:autoSpaceDN w:val="0"/>
        <w:adjustRightInd w:val="0"/>
        <w:spacing w:after="0"/>
        <w:rPr>
          <w:rFonts w:ascii="Arial" w:hAnsi="Arial" w:cs="Arial"/>
          <w:sz w:val="24"/>
          <w:szCs w:val="24"/>
        </w:rPr>
      </w:pPr>
      <w:r>
        <w:rPr>
          <w:rFonts w:ascii="Arial" w:hAnsi="Arial" w:cs="Arial"/>
          <w:sz w:val="24"/>
          <w:szCs w:val="24"/>
        </w:rPr>
        <w:t>[5</w:t>
      </w:r>
      <w:r w:rsidR="007E0631">
        <w:rPr>
          <w:rFonts w:ascii="Arial" w:hAnsi="Arial" w:cs="Arial"/>
          <w:sz w:val="24"/>
          <w:szCs w:val="24"/>
        </w:rPr>
        <w:t>4</w:t>
      </w:r>
      <w:r>
        <w:rPr>
          <w:rFonts w:ascii="Arial" w:hAnsi="Arial" w:cs="Arial"/>
          <w:sz w:val="24"/>
          <w:szCs w:val="24"/>
        </w:rPr>
        <w:t>]</w:t>
      </w:r>
      <w:r>
        <w:rPr>
          <w:rFonts w:ascii="Arial" w:hAnsi="Arial" w:cs="Arial"/>
          <w:sz w:val="24"/>
          <w:szCs w:val="24"/>
        </w:rPr>
        <w:tab/>
        <w:t>Upo</w:t>
      </w:r>
      <w:r w:rsidRPr="00C77C2A">
        <w:rPr>
          <w:rFonts w:ascii="Arial" w:hAnsi="Arial" w:cs="Arial"/>
          <w:sz w:val="24"/>
          <w:szCs w:val="24"/>
        </w:rPr>
        <w:t>n</w:t>
      </w:r>
      <w:r>
        <w:rPr>
          <w:rFonts w:ascii="Arial" w:hAnsi="Arial" w:cs="Arial"/>
          <w:sz w:val="24"/>
          <w:szCs w:val="24"/>
        </w:rPr>
        <w:t xml:space="preserve"> a</w:t>
      </w:r>
      <w:r w:rsidRPr="00C77C2A">
        <w:rPr>
          <w:rFonts w:ascii="Arial" w:hAnsi="Arial" w:cs="Arial"/>
          <w:sz w:val="24"/>
          <w:szCs w:val="24"/>
        </w:rPr>
        <w:t xml:space="preserve"> consider</w:t>
      </w:r>
      <w:r>
        <w:rPr>
          <w:rFonts w:ascii="Arial" w:hAnsi="Arial" w:cs="Arial"/>
          <w:sz w:val="24"/>
          <w:szCs w:val="24"/>
        </w:rPr>
        <w:t xml:space="preserve">ation of the appropriateness of </w:t>
      </w:r>
      <w:r w:rsidR="00241FD7">
        <w:rPr>
          <w:rFonts w:ascii="Arial" w:hAnsi="Arial" w:cs="Arial"/>
          <w:sz w:val="24"/>
          <w:szCs w:val="24"/>
        </w:rPr>
        <w:t>a punitive costs order</w:t>
      </w:r>
      <w:r w:rsidRPr="00C77C2A">
        <w:rPr>
          <w:rFonts w:ascii="Arial" w:hAnsi="Arial" w:cs="Arial"/>
          <w:sz w:val="24"/>
          <w:szCs w:val="24"/>
        </w:rPr>
        <w:t xml:space="preserve">, </w:t>
      </w:r>
      <w:proofErr w:type="spellStart"/>
      <w:r>
        <w:rPr>
          <w:rFonts w:ascii="Arial" w:hAnsi="Arial" w:cs="Arial"/>
          <w:sz w:val="24"/>
          <w:szCs w:val="24"/>
        </w:rPr>
        <w:t>Madlanga</w:t>
      </w:r>
      <w:proofErr w:type="spellEnd"/>
      <w:r>
        <w:rPr>
          <w:rFonts w:ascii="Arial" w:hAnsi="Arial" w:cs="Arial"/>
          <w:sz w:val="24"/>
          <w:szCs w:val="24"/>
        </w:rPr>
        <w:t xml:space="preserve"> J noted the following </w:t>
      </w:r>
      <w:r w:rsidRPr="00C77C2A">
        <w:rPr>
          <w:rFonts w:ascii="Arial" w:hAnsi="Arial" w:cs="Arial"/>
          <w:sz w:val="24"/>
          <w:szCs w:val="24"/>
        </w:rPr>
        <w:t xml:space="preserve">in </w:t>
      </w:r>
      <w:proofErr w:type="spellStart"/>
      <w:r w:rsidRPr="00C77C2A">
        <w:rPr>
          <w:rFonts w:ascii="Arial" w:hAnsi="Arial" w:cs="Arial"/>
          <w:i/>
          <w:sz w:val="24"/>
          <w:szCs w:val="24"/>
        </w:rPr>
        <w:t>Tjiroze</w:t>
      </w:r>
      <w:proofErr w:type="spellEnd"/>
      <w:r w:rsidRPr="00C77C2A">
        <w:rPr>
          <w:rFonts w:ascii="Arial" w:hAnsi="Arial" w:cs="Arial"/>
          <w:i/>
          <w:sz w:val="24"/>
          <w:szCs w:val="24"/>
        </w:rPr>
        <w:t xml:space="preserve"> v Appeal Board of the Financial Services Board</w:t>
      </w:r>
      <w:r w:rsidRPr="00EA2C0D">
        <w:rPr>
          <w:rStyle w:val="FootnoteReference"/>
          <w:rFonts w:ascii="Arial" w:hAnsi="Arial" w:cs="Arial"/>
          <w:i/>
          <w:sz w:val="20"/>
        </w:rPr>
        <w:footnoteReference w:id="19"/>
      </w:r>
      <w:r w:rsidRPr="00C77C2A">
        <w:rPr>
          <w:rFonts w:ascii="Arial" w:hAnsi="Arial" w:cs="Arial"/>
          <w:sz w:val="24"/>
          <w:szCs w:val="24"/>
        </w:rPr>
        <w:t>:</w:t>
      </w:r>
    </w:p>
    <w:p w14:paraId="40E4C04B" w14:textId="7688FF5E" w:rsidR="006C6D95" w:rsidRPr="00C77C2A" w:rsidRDefault="006C6D95" w:rsidP="006C6D95">
      <w:pPr>
        <w:autoSpaceDE w:val="0"/>
        <w:autoSpaceDN w:val="0"/>
        <w:adjustRightInd w:val="0"/>
        <w:spacing w:after="0"/>
        <w:rPr>
          <w:rFonts w:ascii="Arial" w:hAnsi="Arial" w:cs="Arial"/>
          <w:i/>
          <w:sz w:val="22"/>
          <w:szCs w:val="22"/>
        </w:rPr>
      </w:pPr>
      <w:r w:rsidRPr="00C77C2A">
        <w:rPr>
          <w:rFonts w:ascii="Arial" w:hAnsi="Arial" w:cs="Arial"/>
          <w:i/>
          <w:sz w:val="22"/>
          <w:szCs w:val="22"/>
        </w:rPr>
        <w:t xml:space="preserve">‘In </w:t>
      </w:r>
      <w:r w:rsidRPr="00C77C2A">
        <w:rPr>
          <w:rFonts w:ascii="Arial" w:hAnsi="Arial" w:cs="Arial"/>
          <w:i/>
          <w:iCs/>
          <w:sz w:val="22"/>
          <w:szCs w:val="22"/>
        </w:rPr>
        <w:t>Public Protector v South African Reserve Bank</w:t>
      </w:r>
      <w:r w:rsidR="007E0631">
        <w:rPr>
          <w:rFonts w:ascii="Arial" w:hAnsi="Arial" w:cs="Arial"/>
          <w:i/>
          <w:iCs/>
          <w:sz w:val="22"/>
          <w:szCs w:val="22"/>
        </w:rPr>
        <w:t>,</w:t>
      </w:r>
      <w:r w:rsidRPr="00C77C2A">
        <w:rPr>
          <w:rFonts w:ascii="Arial" w:hAnsi="Arial" w:cs="Arial"/>
          <w:i/>
          <w:iCs/>
          <w:sz w:val="22"/>
          <w:szCs w:val="22"/>
        </w:rPr>
        <w:t xml:space="preserve"> </w:t>
      </w:r>
      <w:proofErr w:type="spellStart"/>
      <w:r w:rsidRPr="00C77C2A">
        <w:rPr>
          <w:rFonts w:ascii="Arial" w:hAnsi="Arial" w:cs="Arial"/>
          <w:i/>
          <w:sz w:val="22"/>
          <w:szCs w:val="22"/>
        </w:rPr>
        <w:t>Mogoeng</w:t>
      </w:r>
      <w:proofErr w:type="spellEnd"/>
      <w:r w:rsidRPr="00C77C2A">
        <w:rPr>
          <w:rFonts w:ascii="Arial" w:hAnsi="Arial" w:cs="Arial"/>
          <w:i/>
          <w:sz w:val="22"/>
          <w:szCs w:val="22"/>
        </w:rPr>
        <w:t xml:space="preserve"> CJ noted that “[c]</w:t>
      </w:r>
      <w:proofErr w:type="spellStart"/>
      <w:r w:rsidRPr="00C77C2A">
        <w:rPr>
          <w:rFonts w:ascii="Arial" w:hAnsi="Arial" w:cs="Arial"/>
          <w:i/>
          <w:sz w:val="22"/>
          <w:szCs w:val="22"/>
        </w:rPr>
        <w:t>osts</w:t>
      </w:r>
      <w:proofErr w:type="spellEnd"/>
      <w:r w:rsidRPr="00C77C2A">
        <w:rPr>
          <w:rFonts w:ascii="Arial" w:hAnsi="Arial" w:cs="Arial"/>
          <w:i/>
          <w:sz w:val="22"/>
          <w:szCs w:val="22"/>
        </w:rPr>
        <w:t xml:space="preserve"> on an attorney and client scale are to be awarded where there is fraudulent, dishonest, vexatious conduct and conduct that amounts to an abuse of court process”. (</w:t>
      </w:r>
      <w:r w:rsidRPr="00C77C2A">
        <w:rPr>
          <w:rFonts w:ascii="Arial" w:hAnsi="Arial" w:cs="Arial"/>
          <w:i/>
          <w:iCs/>
          <w:sz w:val="22"/>
          <w:szCs w:val="22"/>
        </w:rPr>
        <w:t xml:space="preserve">Public Protector </w:t>
      </w:r>
      <w:proofErr w:type="gramStart"/>
      <w:r w:rsidRPr="00C77C2A">
        <w:rPr>
          <w:rFonts w:ascii="Arial" w:hAnsi="Arial" w:cs="Arial"/>
          <w:i/>
          <w:iCs/>
          <w:sz w:val="22"/>
          <w:szCs w:val="22"/>
        </w:rPr>
        <w:t>v</w:t>
      </w:r>
      <w:proofErr w:type="gramEnd"/>
      <w:r w:rsidRPr="00C77C2A">
        <w:rPr>
          <w:rFonts w:ascii="Arial" w:hAnsi="Arial" w:cs="Arial"/>
          <w:i/>
          <w:iCs/>
          <w:sz w:val="22"/>
          <w:szCs w:val="22"/>
        </w:rPr>
        <w:t xml:space="preserve"> South African Reserve Bank </w:t>
      </w:r>
      <w:r w:rsidRPr="00C77C2A">
        <w:rPr>
          <w:rFonts w:ascii="Arial" w:hAnsi="Arial" w:cs="Arial"/>
          <w:i/>
          <w:sz w:val="22"/>
          <w:szCs w:val="22"/>
        </w:rPr>
        <w:t xml:space="preserve">[2019] ZACC 29; 2019 (6) SA 253 (CC); 2019 (9) BCLR 1113 (CC) at para 8). Although that was in the minority judgment, I do not read the majority judgment to differ on this. In the majority judgment </w:t>
      </w:r>
      <w:proofErr w:type="spellStart"/>
      <w:r w:rsidRPr="00C77C2A">
        <w:rPr>
          <w:rFonts w:ascii="Arial" w:hAnsi="Arial" w:cs="Arial"/>
          <w:i/>
          <w:sz w:val="22"/>
          <w:szCs w:val="22"/>
        </w:rPr>
        <w:t>Khampepe</w:t>
      </w:r>
      <w:proofErr w:type="spellEnd"/>
      <w:r w:rsidRPr="00C77C2A">
        <w:rPr>
          <w:rFonts w:ascii="Arial" w:hAnsi="Arial" w:cs="Arial"/>
          <w:i/>
          <w:sz w:val="22"/>
          <w:szCs w:val="22"/>
        </w:rPr>
        <w:t xml:space="preserve"> J and Theron J further noted that “a punitive costs order is justified where the conduct concerned is ‘extraordinary’ and worthy of a court’s rebuke”</w:t>
      </w:r>
      <w:r>
        <w:rPr>
          <w:rFonts w:ascii="Arial" w:hAnsi="Arial" w:cs="Arial"/>
          <w:i/>
          <w:sz w:val="22"/>
          <w:szCs w:val="22"/>
        </w:rPr>
        <w:t xml:space="preserve"> (para 226).</w:t>
      </w:r>
      <w:r w:rsidRPr="00C77C2A">
        <w:rPr>
          <w:rFonts w:ascii="Arial" w:hAnsi="Arial" w:cs="Arial"/>
          <w:i/>
          <w:sz w:val="22"/>
          <w:szCs w:val="22"/>
        </w:rPr>
        <w:t xml:space="preserve"> Both judgments referred to </w:t>
      </w:r>
      <w:r w:rsidRPr="00C77C2A">
        <w:rPr>
          <w:rFonts w:ascii="Arial" w:hAnsi="Arial" w:cs="Arial"/>
          <w:i/>
          <w:iCs/>
          <w:sz w:val="22"/>
          <w:szCs w:val="22"/>
        </w:rPr>
        <w:t>Plastic Converters Association of SA</w:t>
      </w:r>
      <w:r w:rsidRPr="00C77C2A">
        <w:rPr>
          <w:rFonts w:ascii="Arial" w:hAnsi="Arial" w:cs="Arial"/>
          <w:i/>
          <w:sz w:val="22"/>
          <w:szCs w:val="22"/>
        </w:rPr>
        <w:t>, in which the Labour Appeal Court stated:</w:t>
      </w:r>
    </w:p>
    <w:p w14:paraId="22B1C21B" w14:textId="77777777" w:rsidR="006C6D95" w:rsidRPr="00C77C2A" w:rsidRDefault="006C6D95" w:rsidP="007E0631">
      <w:pPr>
        <w:autoSpaceDE w:val="0"/>
        <w:autoSpaceDN w:val="0"/>
        <w:adjustRightInd w:val="0"/>
        <w:spacing w:after="0"/>
        <w:rPr>
          <w:rFonts w:ascii="Arial" w:hAnsi="Arial" w:cs="Arial"/>
          <w:i/>
          <w:sz w:val="20"/>
          <w:szCs w:val="20"/>
        </w:rPr>
      </w:pPr>
      <w:r w:rsidRPr="00C77C2A">
        <w:rPr>
          <w:rFonts w:ascii="Arial" w:hAnsi="Arial" w:cs="Arial"/>
          <w:sz w:val="22"/>
          <w:szCs w:val="22"/>
        </w:rPr>
        <w:tab/>
      </w:r>
      <w:r w:rsidRPr="00C77C2A">
        <w:rPr>
          <w:rFonts w:ascii="Arial" w:hAnsi="Arial" w:cs="Arial"/>
          <w:i/>
          <w:sz w:val="20"/>
          <w:szCs w:val="20"/>
        </w:rPr>
        <w:t>“The scale of attorney and client is an extraordinary one which should be reserved for</w:t>
      </w:r>
      <w:r>
        <w:rPr>
          <w:rFonts w:ascii="Arial" w:hAnsi="Arial" w:cs="Arial"/>
          <w:i/>
          <w:sz w:val="20"/>
          <w:szCs w:val="20"/>
        </w:rPr>
        <w:t xml:space="preserve"> </w:t>
      </w:r>
      <w:r w:rsidRPr="00C77C2A">
        <w:rPr>
          <w:rFonts w:ascii="Arial" w:hAnsi="Arial" w:cs="Arial"/>
          <w:i/>
          <w:sz w:val="20"/>
          <w:szCs w:val="20"/>
        </w:rPr>
        <w:t xml:space="preserve">cases where it </w:t>
      </w:r>
      <w:r>
        <w:rPr>
          <w:rFonts w:ascii="Arial" w:hAnsi="Arial" w:cs="Arial"/>
          <w:i/>
          <w:sz w:val="20"/>
          <w:szCs w:val="20"/>
        </w:rPr>
        <w:tab/>
      </w:r>
      <w:r w:rsidRPr="00C77C2A">
        <w:rPr>
          <w:rFonts w:ascii="Arial" w:hAnsi="Arial" w:cs="Arial"/>
          <w:i/>
          <w:sz w:val="20"/>
          <w:szCs w:val="20"/>
        </w:rPr>
        <w:t xml:space="preserve">can be found that a litigant conducted itself in a clear and indubitably vexatious and reprehensible </w:t>
      </w:r>
      <w:r>
        <w:rPr>
          <w:rFonts w:ascii="Arial" w:hAnsi="Arial" w:cs="Arial"/>
          <w:i/>
          <w:sz w:val="20"/>
          <w:szCs w:val="20"/>
        </w:rPr>
        <w:tab/>
      </w:r>
      <w:r w:rsidRPr="00C77C2A">
        <w:rPr>
          <w:rFonts w:ascii="Arial" w:hAnsi="Arial" w:cs="Arial"/>
          <w:i/>
          <w:sz w:val="20"/>
          <w:szCs w:val="20"/>
        </w:rPr>
        <w:t>manner. Such an award is exceptional and is intended to</w:t>
      </w:r>
      <w:r>
        <w:rPr>
          <w:rFonts w:ascii="Arial" w:hAnsi="Arial" w:cs="Arial"/>
          <w:i/>
          <w:sz w:val="20"/>
          <w:szCs w:val="20"/>
        </w:rPr>
        <w:t xml:space="preserve"> </w:t>
      </w:r>
      <w:r w:rsidRPr="00C77C2A">
        <w:rPr>
          <w:rFonts w:ascii="Arial" w:hAnsi="Arial" w:cs="Arial"/>
          <w:i/>
          <w:sz w:val="20"/>
          <w:szCs w:val="20"/>
        </w:rPr>
        <w:t xml:space="preserve">be very punitive and indicative of extreme </w:t>
      </w:r>
      <w:r>
        <w:rPr>
          <w:rFonts w:ascii="Arial" w:hAnsi="Arial" w:cs="Arial"/>
          <w:i/>
          <w:sz w:val="20"/>
          <w:szCs w:val="20"/>
        </w:rPr>
        <w:tab/>
      </w:r>
      <w:r w:rsidRPr="00C77C2A">
        <w:rPr>
          <w:rFonts w:ascii="Arial" w:hAnsi="Arial" w:cs="Arial"/>
          <w:i/>
          <w:sz w:val="20"/>
          <w:szCs w:val="20"/>
        </w:rPr>
        <w:t>opprobrium.” (</w:t>
      </w:r>
      <w:r w:rsidRPr="00C77C2A">
        <w:rPr>
          <w:rFonts w:ascii="Arial" w:hAnsi="Arial" w:cs="Arial"/>
          <w:i/>
          <w:iCs/>
          <w:sz w:val="20"/>
          <w:szCs w:val="20"/>
        </w:rPr>
        <w:t xml:space="preserve">Plastic Converters Association of SA on behalf of Members v National Union of </w:t>
      </w:r>
      <w:r>
        <w:rPr>
          <w:rFonts w:ascii="Arial" w:hAnsi="Arial" w:cs="Arial"/>
          <w:i/>
          <w:iCs/>
          <w:sz w:val="20"/>
          <w:szCs w:val="20"/>
        </w:rPr>
        <w:tab/>
      </w:r>
      <w:r w:rsidRPr="00C77C2A">
        <w:rPr>
          <w:rFonts w:ascii="Arial" w:hAnsi="Arial" w:cs="Arial"/>
          <w:i/>
          <w:iCs/>
          <w:sz w:val="20"/>
          <w:szCs w:val="20"/>
        </w:rPr>
        <w:t xml:space="preserve">Metalworkers of SA </w:t>
      </w:r>
      <w:r w:rsidRPr="00C77C2A">
        <w:rPr>
          <w:rFonts w:ascii="Arial" w:hAnsi="Arial" w:cs="Arial"/>
          <w:i/>
          <w:sz w:val="20"/>
          <w:szCs w:val="20"/>
        </w:rPr>
        <w:t>[2016]</w:t>
      </w:r>
      <w:r>
        <w:rPr>
          <w:rFonts w:ascii="Arial" w:hAnsi="Arial" w:cs="Arial"/>
          <w:i/>
          <w:sz w:val="20"/>
          <w:szCs w:val="20"/>
        </w:rPr>
        <w:t xml:space="preserve"> </w:t>
      </w:r>
      <w:r w:rsidRPr="00C77C2A">
        <w:rPr>
          <w:rFonts w:ascii="Arial" w:hAnsi="Arial" w:cs="Arial"/>
          <w:i/>
          <w:sz w:val="20"/>
          <w:szCs w:val="20"/>
        </w:rPr>
        <w:t>ZALAC 39; (2016) 37 ILJ 2815 (LAC) at para 46.</w:t>
      </w:r>
      <w:r>
        <w:rPr>
          <w:rFonts w:ascii="Arial" w:hAnsi="Arial" w:cs="Arial"/>
          <w:i/>
          <w:sz w:val="20"/>
          <w:szCs w:val="20"/>
        </w:rPr>
        <w:t>’</w:t>
      </w:r>
      <w:r w:rsidRPr="00F6579D">
        <w:rPr>
          <w:rStyle w:val="FootnoteReference"/>
          <w:rFonts w:ascii="Arial" w:hAnsi="Arial" w:cs="Arial"/>
          <w:i/>
          <w:sz w:val="20"/>
        </w:rPr>
        <w:footnoteReference w:id="20"/>
      </w:r>
    </w:p>
    <w:p w14:paraId="18705CE1" w14:textId="77777777" w:rsidR="006C6D95" w:rsidRDefault="006C6D95" w:rsidP="006C6D95">
      <w:pPr>
        <w:spacing w:after="0"/>
        <w:rPr>
          <w:rFonts w:ascii="Arial" w:hAnsi="Arial" w:cs="Arial"/>
          <w:sz w:val="24"/>
          <w:szCs w:val="24"/>
        </w:rPr>
      </w:pPr>
    </w:p>
    <w:p w14:paraId="29A7D9C3" w14:textId="5E58AB89" w:rsidR="006C6D95" w:rsidRDefault="006C6D95" w:rsidP="006C6D95">
      <w:pPr>
        <w:spacing w:after="0"/>
        <w:rPr>
          <w:rFonts w:ascii="Arial" w:hAnsi="Arial" w:cs="Arial"/>
          <w:sz w:val="24"/>
          <w:szCs w:val="24"/>
        </w:rPr>
      </w:pPr>
      <w:r>
        <w:rPr>
          <w:rFonts w:ascii="Arial" w:hAnsi="Arial" w:cs="Arial"/>
          <w:sz w:val="24"/>
          <w:szCs w:val="24"/>
        </w:rPr>
        <w:t>[</w:t>
      </w:r>
      <w:r w:rsidR="007E0631">
        <w:rPr>
          <w:rFonts w:ascii="Arial" w:hAnsi="Arial" w:cs="Arial"/>
          <w:sz w:val="24"/>
          <w:szCs w:val="24"/>
        </w:rPr>
        <w:t>55</w:t>
      </w:r>
      <w:r>
        <w:rPr>
          <w:rFonts w:ascii="Arial" w:hAnsi="Arial" w:cs="Arial"/>
          <w:sz w:val="24"/>
          <w:szCs w:val="24"/>
        </w:rPr>
        <w:t>]</w:t>
      </w:r>
      <w:r>
        <w:rPr>
          <w:rFonts w:ascii="Arial" w:hAnsi="Arial" w:cs="Arial"/>
          <w:sz w:val="24"/>
          <w:szCs w:val="24"/>
        </w:rPr>
        <w:tab/>
      </w:r>
      <w:r w:rsidR="00241FD7">
        <w:rPr>
          <w:rFonts w:ascii="Arial" w:hAnsi="Arial" w:cs="Arial"/>
          <w:sz w:val="24"/>
          <w:szCs w:val="24"/>
        </w:rPr>
        <w:t>P</w:t>
      </w:r>
      <w:r>
        <w:rPr>
          <w:rFonts w:ascii="Arial" w:hAnsi="Arial" w:cs="Arial"/>
          <w:sz w:val="24"/>
          <w:szCs w:val="24"/>
        </w:rPr>
        <w:t xml:space="preserve">unitive costs </w:t>
      </w:r>
      <w:r w:rsidR="00241FD7">
        <w:rPr>
          <w:rFonts w:ascii="Arial" w:hAnsi="Arial" w:cs="Arial"/>
          <w:sz w:val="24"/>
          <w:szCs w:val="24"/>
        </w:rPr>
        <w:t xml:space="preserve">are frequently awarded </w:t>
      </w:r>
      <w:r>
        <w:rPr>
          <w:rFonts w:ascii="Arial" w:hAnsi="Arial" w:cs="Arial"/>
          <w:sz w:val="24"/>
          <w:szCs w:val="24"/>
        </w:rPr>
        <w:t>against a party whose conduct is considered an abuse of the process of court.</w:t>
      </w:r>
      <w:r w:rsidRPr="00754D93">
        <w:rPr>
          <w:rStyle w:val="FootnoteReference"/>
          <w:rFonts w:ascii="Arial" w:hAnsi="Arial" w:cs="Arial"/>
          <w:sz w:val="20"/>
        </w:rPr>
        <w:footnoteReference w:id="21"/>
      </w:r>
      <w:r>
        <w:rPr>
          <w:rFonts w:ascii="Arial" w:hAnsi="Arial" w:cs="Arial"/>
          <w:sz w:val="24"/>
          <w:szCs w:val="24"/>
        </w:rPr>
        <w:t xml:space="preserve"> Costs have also been awarded </w:t>
      </w:r>
      <w:r>
        <w:rPr>
          <w:rFonts w:ascii="Arial" w:hAnsi="Arial" w:cs="Arial"/>
          <w:i/>
          <w:sz w:val="24"/>
          <w:szCs w:val="24"/>
        </w:rPr>
        <w:t xml:space="preserve">de </w:t>
      </w:r>
      <w:proofErr w:type="spellStart"/>
      <w:r>
        <w:rPr>
          <w:rFonts w:ascii="Arial" w:hAnsi="Arial" w:cs="Arial"/>
          <w:i/>
          <w:sz w:val="24"/>
          <w:szCs w:val="24"/>
        </w:rPr>
        <w:t>bonis</w:t>
      </w:r>
      <w:proofErr w:type="spellEnd"/>
      <w:r>
        <w:rPr>
          <w:rFonts w:ascii="Arial" w:hAnsi="Arial" w:cs="Arial"/>
          <w:i/>
          <w:sz w:val="24"/>
          <w:szCs w:val="24"/>
        </w:rPr>
        <w:t xml:space="preserve"> </w:t>
      </w:r>
      <w:proofErr w:type="spellStart"/>
      <w:r>
        <w:rPr>
          <w:rFonts w:ascii="Arial" w:hAnsi="Arial" w:cs="Arial"/>
          <w:i/>
          <w:sz w:val="24"/>
          <w:szCs w:val="24"/>
        </w:rPr>
        <w:t>propriis</w:t>
      </w:r>
      <w:proofErr w:type="spellEnd"/>
      <w:r>
        <w:rPr>
          <w:rFonts w:ascii="Arial" w:hAnsi="Arial" w:cs="Arial"/>
          <w:i/>
          <w:sz w:val="24"/>
          <w:szCs w:val="24"/>
        </w:rPr>
        <w:t xml:space="preserve"> </w:t>
      </w:r>
      <w:r>
        <w:rPr>
          <w:rFonts w:ascii="Arial" w:hAnsi="Arial" w:cs="Arial"/>
          <w:sz w:val="24"/>
          <w:szCs w:val="24"/>
        </w:rPr>
        <w:t>in circumstances where an attorney’s lack of experience or familiarity with the rules is not considered an acceptable excuse for the unnecessary incursion of costs and waste of time.</w:t>
      </w:r>
      <w:r w:rsidRPr="00EA2C0D">
        <w:rPr>
          <w:rStyle w:val="FootnoteReference"/>
          <w:rFonts w:ascii="Arial" w:hAnsi="Arial" w:cs="Arial"/>
          <w:sz w:val="20"/>
        </w:rPr>
        <w:footnoteReference w:id="22"/>
      </w:r>
      <w:r w:rsidRPr="00EA2C0D">
        <w:rPr>
          <w:rFonts w:ascii="Arial" w:hAnsi="Arial" w:cs="Arial"/>
          <w:sz w:val="20"/>
          <w:szCs w:val="20"/>
        </w:rPr>
        <w:t xml:space="preserve"> </w:t>
      </w:r>
      <w:r>
        <w:rPr>
          <w:rFonts w:ascii="Arial" w:hAnsi="Arial" w:cs="Arial"/>
          <w:sz w:val="24"/>
          <w:szCs w:val="24"/>
        </w:rPr>
        <w:t xml:space="preserve"> </w:t>
      </w:r>
    </w:p>
    <w:p w14:paraId="2759E642" w14:textId="77777777" w:rsidR="006C6D95" w:rsidRDefault="006C6D95" w:rsidP="006C6D95">
      <w:pPr>
        <w:spacing w:after="0"/>
        <w:rPr>
          <w:rFonts w:ascii="Arial" w:hAnsi="Arial" w:cs="Arial"/>
          <w:sz w:val="24"/>
          <w:szCs w:val="24"/>
        </w:rPr>
      </w:pPr>
    </w:p>
    <w:p w14:paraId="3EE33257" w14:textId="79739381" w:rsidR="006C6D95" w:rsidRDefault="006C6D95" w:rsidP="006C6D95">
      <w:pPr>
        <w:spacing w:after="0"/>
        <w:rPr>
          <w:rFonts w:ascii="Arial" w:hAnsi="Arial" w:cs="Arial"/>
          <w:sz w:val="24"/>
          <w:szCs w:val="24"/>
        </w:rPr>
      </w:pPr>
      <w:r>
        <w:rPr>
          <w:rFonts w:ascii="Arial" w:hAnsi="Arial" w:cs="Arial"/>
          <w:sz w:val="24"/>
          <w:szCs w:val="24"/>
        </w:rPr>
        <w:t>[</w:t>
      </w:r>
      <w:r w:rsidR="00241FD7">
        <w:rPr>
          <w:rFonts w:ascii="Arial" w:hAnsi="Arial" w:cs="Arial"/>
          <w:sz w:val="24"/>
          <w:szCs w:val="24"/>
        </w:rPr>
        <w:t>5</w:t>
      </w:r>
      <w:r w:rsidR="007E0631">
        <w:rPr>
          <w:rFonts w:ascii="Arial" w:hAnsi="Arial" w:cs="Arial"/>
          <w:sz w:val="24"/>
          <w:szCs w:val="24"/>
        </w:rPr>
        <w:t>6</w:t>
      </w:r>
      <w:r>
        <w:rPr>
          <w:rFonts w:ascii="Arial" w:hAnsi="Arial" w:cs="Arial"/>
          <w:sz w:val="24"/>
          <w:szCs w:val="24"/>
        </w:rPr>
        <w:t>]</w:t>
      </w:r>
      <w:r>
        <w:rPr>
          <w:rFonts w:ascii="Arial" w:hAnsi="Arial" w:cs="Arial"/>
          <w:sz w:val="24"/>
          <w:szCs w:val="24"/>
        </w:rPr>
        <w:tab/>
      </w:r>
      <w:r w:rsidR="007E0631">
        <w:rPr>
          <w:rFonts w:ascii="Arial" w:hAnsi="Arial" w:cs="Arial"/>
          <w:sz w:val="24"/>
          <w:szCs w:val="24"/>
        </w:rPr>
        <w:t>However, I cannot conclude</w:t>
      </w:r>
      <w:r w:rsidR="00241FD7">
        <w:rPr>
          <w:rFonts w:ascii="Arial" w:hAnsi="Arial" w:cs="Arial"/>
          <w:sz w:val="24"/>
          <w:szCs w:val="24"/>
        </w:rPr>
        <w:t xml:space="preserve">, in the circumstances of this </w:t>
      </w:r>
      <w:r w:rsidR="00F57E2A">
        <w:rPr>
          <w:rFonts w:ascii="Arial" w:hAnsi="Arial" w:cs="Arial"/>
          <w:sz w:val="24"/>
          <w:szCs w:val="24"/>
        </w:rPr>
        <w:t>case that</w:t>
      </w:r>
      <w:r w:rsidR="00241FD7">
        <w:rPr>
          <w:rFonts w:ascii="Arial" w:hAnsi="Arial" w:cs="Arial"/>
          <w:sz w:val="24"/>
          <w:szCs w:val="24"/>
        </w:rPr>
        <w:t xml:space="preserve"> the manner in which Crossman conducted the litigation in this matter is deserving of this Court</w:t>
      </w:r>
      <w:r w:rsidR="007E0631">
        <w:rPr>
          <w:rFonts w:ascii="Arial" w:hAnsi="Arial" w:cs="Arial"/>
          <w:sz w:val="24"/>
          <w:szCs w:val="24"/>
        </w:rPr>
        <w:t>’s</w:t>
      </w:r>
      <w:r w:rsidR="00241FD7">
        <w:rPr>
          <w:rFonts w:ascii="Arial" w:hAnsi="Arial" w:cs="Arial"/>
          <w:sz w:val="24"/>
          <w:szCs w:val="24"/>
        </w:rPr>
        <w:t xml:space="preserve"> opprobrium in the form of a punitive costs order.</w:t>
      </w:r>
      <w:r w:rsidR="007E0631">
        <w:rPr>
          <w:rFonts w:ascii="Arial" w:hAnsi="Arial" w:cs="Arial"/>
          <w:sz w:val="24"/>
          <w:szCs w:val="24"/>
        </w:rPr>
        <w:t xml:space="preserve"> </w:t>
      </w:r>
    </w:p>
    <w:p w14:paraId="2D0F0E92" w14:textId="77777777" w:rsidR="006C6D95" w:rsidRDefault="006C6D95" w:rsidP="006C6D95">
      <w:pPr>
        <w:spacing w:after="0"/>
        <w:rPr>
          <w:rFonts w:ascii="Arial" w:hAnsi="Arial" w:cs="Arial"/>
          <w:sz w:val="24"/>
          <w:szCs w:val="24"/>
        </w:rPr>
      </w:pPr>
    </w:p>
    <w:p w14:paraId="35AEBE26" w14:textId="77777777" w:rsidR="006C6D95" w:rsidRPr="00193332" w:rsidRDefault="006C6D95" w:rsidP="006C6D95">
      <w:pPr>
        <w:spacing w:after="0"/>
        <w:rPr>
          <w:rFonts w:ascii="Arial" w:hAnsi="Arial" w:cs="Arial"/>
          <w:b/>
          <w:sz w:val="24"/>
          <w:szCs w:val="24"/>
        </w:rPr>
      </w:pPr>
      <w:r>
        <w:rPr>
          <w:rFonts w:ascii="Arial" w:hAnsi="Arial" w:cs="Arial"/>
          <w:b/>
          <w:sz w:val="24"/>
          <w:szCs w:val="24"/>
        </w:rPr>
        <w:t>Order</w:t>
      </w:r>
    </w:p>
    <w:p w14:paraId="0BC179BF" w14:textId="32A98D95" w:rsidR="006C6D95" w:rsidRDefault="006C6D95" w:rsidP="006C6D95">
      <w:pPr>
        <w:pStyle w:val="Default"/>
        <w:spacing w:line="360" w:lineRule="auto"/>
        <w:jc w:val="both"/>
        <w:rPr>
          <w:rFonts w:ascii="Arial" w:hAnsi="Arial" w:cs="Arial"/>
        </w:rPr>
      </w:pPr>
      <w:r>
        <w:rPr>
          <w:rFonts w:ascii="Arial" w:hAnsi="Arial" w:cs="Arial"/>
        </w:rPr>
        <w:t>[</w:t>
      </w:r>
      <w:r w:rsidR="007E0631">
        <w:rPr>
          <w:rFonts w:ascii="Arial" w:hAnsi="Arial" w:cs="Arial"/>
        </w:rPr>
        <w:t>57</w:t>
      </w:r>
      <w:r>
        <w:rPr>
          <w:rFonts w:ascii="Arial" w:hAnsi="Arial" w:cs="Arial"/>
        </w:rPr>
        <w:t>]</w:t>
      </w:r>
      <w:r>
        <w:rPr>
          <w:rFonts w:ascii="Arial" w:hAnsi="Arial" w:cs="Arial"/>
        </w:rPr>
        <w:tab/>
      </w:r>
      <w:r w:rsidRPr="00090E69">
        <w:rPr>
          <w:rFonts w:ascii="Arial" w:hAnsi="Arial" w:cs="Arial"/>
        </w:rPr>
        <w:t xml:space="preserve">In the circumstances I make the following order: </w:t>
      </w:r>
    </w:p>
    <w:p w14:paraId="3140E9C8" w14:textId="77777777" w:rsidR="00C35BBF" w:rsidRDefault="007E0631" w:rsidP="006C6D95">
      <w:pPr>
        <w:pStyle w:val="Default"/>
        <w:spacing w:line="360" w:lineRule="auto"/>
        <w:jc w:val="both"/>
        <w:rPr>
          <w:rFonts w:ascii="Arial" w:hAnsi="Arial" w:cs="Arial"/>
        </w:rPr>
      </w:pPr>
      <w:r>
        <w:rPr>
          <w:rFonts w:ascii="Arial" w:hAnsi="Arial" w:cs="Arial"/>
        </w:rPr>
        <w:t>(a)</w:t>
      </w:r>
      <w:r>
        <w:rPr>
          <w:rFonts w:ascii="Arial" w:hAnsi="Arial" w:cs="Arial"/>
        </w:rPr>
        <w:tab/>
        <w:t xml:space="preserve">The </w:t>
      </w:r>
      <w:r w:rsidR="00C35BBF">
        <w:rPr>
          <w:rFonts w:ascii="Arial" w:hAnsi="Arial" w:cs="Arial"/>
        </w:rPr>
        <w:t>applica</w:t>
      </w:r>
      <w:r>
        <w:rPr>
          <w:rFonts w:ascii="Arial" w:hAnsi="Arial" w:cs="Arial"/>
        </w:rPr>
        <w:t>t</w:t>
      </w:r>
      <w:r w:rsidR="00C35BBF">
        <w:rPr>
          <w:rFonts w:ascii="Arial" w:hAnsi="Arial" w:cs="Arial"/>
        </w:rPr>
        <w:t>ion is dismissed.</w:t>
      </w:r>
    </w:p>
    <w:p w14:paraId="2DA95523" w14:textId="552010BA" w:rsidR="007E0631" w:rsidRPr="00090E69" w:rsidRDefault="00C35BBF" w:rsidP="006C6D95">
      <w:pPr>
        <w:pStyle w:val="Default"/>
        <w:spacing w:line="360" w:lineRule="auto"/>
        <w:jc w:val="both"/>
        <w:rPr>
          <w:rFonts w:ascii="Arial" w:hAnsi="Arial" w:cs="Arial"/>
        </w:rPr>
      </w:pPr>
      <w:r>
        <w:rPr>
          <w:rFonts w:ascii="Arial" w:hAnsi="Arial" w:cs="Arial"/>
        </w:rPr>
        <w:lastRenderedPageBreak/>
        <w:t>(b)</w:t>
      </w:r>
      <w:r>
        <w:rPr>
          <w:rFonts w:ascii="Arial" w:hAnsi="Arial" w:cs="Arial"/>
        </w:rPr>
        <w:tab/>
        <w:t>The applicant is ordered to pay the first, second and fourth’s respondents costs on a party and party basis.</w:t>
      </w:r>
      <w:r w:rsidR="007E0631">
        <w:rPr>
          <w:rFonts w:ascii="Arial" w:hAnsi="Arial" w:cs="Arial"/>
        </w:rPr>
        <w:t xml:space="preserve"> </w:t>
      </w:r>
    </w:p>
    <w:p w14:paraId="21D2D6BD" w14:textId="45EC7064" w:rsidR="008F57DD" w:rsidRPr="007D207D" w:rsidRDefault="008F57DD" w:rsidP="008F57DD">
      <w:pPr>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p>
    <w:p w14:paraId="3084C4E3" w14:textId="77777777" w:rsidR="008F57DD" w:rsidRPr="007D207D" w:rsidRDefault="008F57DD" w:rsidP="008F57DD">
      <w:pPr>
        <w:pStyle w:val="ListParagraph"/>
        <w:keepNext/>
        <w:keepLines/>
        <w:tabs>
          <w:tab w:val="left" w:pos="0"/>
        </w:tabs>
        <w:jc w:val="right"/>
        <w:rPr>
          <w:rFonts w:ascii="Arial" w:hAnsi="Arial" w:cs="Arial"/>
          <w:b/>
          <w:sz w:val="24"/>
          <w:szCs w:val="24"/>
          <w:u w:val="single"/>
        </w:rPr>
      </w:pPr>
      <w:r w:rsidRPr="007D207D">
        <w:rPr>
          <w:rFonts w:ascii="Arial" w:hAnsi="Arial" w:cs="Arial"/>
          <w:b/>
          <w:sz w:val="24"/>
          <w:szCs w:val="24"/>
          <w:u w:val="single"/>
        </w:rPr>
        <w:t>________________________________</w:t>
      </w:r>
    </w:p>
    <w:p w14:paraId="70820317" w14:textId="77777777" w:rsidR="008F57DD" w:rsidRPr="007D207D" w:rsidRDefault="008F57DD" w:rsidP="008F57DD">
      <w:pPr>
        <w:pStyle w:val="ListParagraph"/>
        <w:keepNext/>
        <w:jc w:val="right"/>
        <w:rPr>
          <w:rFonts w:ascii="Arial" w:hAnsi="Arial" w:cs="Arial"/>
          <w:b/>
          <w:sz w:val="24"/>
          <w:szCs w:val="24"/>
        </w:rPr>
      </w:pPr>
      <w:r>
        <w:rPr>
          <w:rFonts w:ascii="Arial" w:hAnsi="Arial" w:cs="Arial"/>
          <w:b/>
          <w:sz w:val="24"/>
          <w:szCs w:val="24"/>
        </w:rPr>
        <w:t>T NICHOLS</w:t>
      </w:r>
    </w:p>
    <w:p w14:paraId="46BD8643" w14:textId="77777777" w:rsidR="008F57DD" w:rsidRPr="007D207D" w:rsidRDefault="008F57DD" w:rsidP="008F57DD">
      <w:pPr>
        <w:pStyle w:val="ListParagraph"/>
        <w:keepNext/>
        <w:jc w:val="right"/>
        <w:rPr>
          <w:rFonts w:ascii="Arial" w:hAnsi="Arial" w:cs="Arial"/>
          <w:i/>
          <w:sz w:val="24"/>
          <w:szCs w:val="24"/>
        </w:rPr>
      </w:pPr>
      <w:r>
        <w:rPr>
          <w:rFonts w:ascii="Arial" w:hAnsi="Arial" w:cs="Arial"/>
          <w:i/>
          <w:sz w:val="24"/>
          <w:szCs w:val="24"/>
        </w:rPr>
        <w:t xml:space="preserve">Acting </w:t>
      </w:r>
      <w:r w:rsidRPr="007D207D">
        <w:rPr>
          <w:rFonts w:ascii="Arial" w:hAnsi="Arial" w:cs="Arial"/>
          <w:i/>
          <w:sz w:val="24"/>
          <w:szCs w:val="24"/>
        </w:rPr>
        <w:t>Judge of the High Court</w:t>
      </w:r>
    </w:p>
    <w:p w14:paraId="6FD48A62" w14:textId="77777777" w:rsidR="008F57DD" w:rsidRPr="007D207D" w:rsidRDefault="008F57DD" w:rsidP="008F57DD">
      <w:pPr>
        <w:pStyle w:val="ListParagraph"/>
        <w:spacing w:after="120"/>
        <w:jc w:val="right"/>
        <w:rPr>
          <w:rFonts w:ascii="Arial" w:hAnsi="Arial" w:cs="Arial"/>
          <w:i/>
          <w:sz w:val="24"/>
          <w:szCs w:val="24"/>
        </w:rPr>
      </w:pPr>
      <w:r w:rsidRPr="007D207D">
        <w:rPr>
          <w:rFonts w:ascii="Arial" w:hAnsi="Arial" w:cs="Arial"/>
          <w:i/>
          <w:sz w:val="24"/>
          <w:szCs w:val="24"/>
        </w:rPr>
        <w:t>Gauteng Local Division, Johannesburg</w:t>
      </w:r>
    </w:p>
    <w:p w14:paraId="47CDCDD5" w14:textId="77777777" w:rsidR="008F57DD" w:rsidRDefault="008F57DD" w:rsidP="008F57DD">
      <w:pPr>
        <w:tabs>
          <w:tab w:val="left" w:pos="2160"/>
        </w:tabs>
        <w:spacing w:after="0" w:line="480" w:lineRule="auto"/>
        <w:rPr>
          <w:rFonts w:ascii="Arial" w:eastAsia="SimSun" w:hAnsi="Arial" w:cs="Arial"/>
          <w:iCs/>
          <w:sz w:val="24"/>
          <w:szCs w:val="24"/>
          <w:lang w:val="en-GB" w:eastAsia="zh-CN"/>
        </w:rPr>
      </w:pPr>
    </w:p>
    <w:p w14:paraId="3D5E4483" w14:textId="54BB17A2" w:rsidR="008F57DD" w:rsidRPr="00BE20DA" w:rsidRDefault="008F57DD" w:rsidP="008F57DD">
      <w:pPr>
        <w:tabs>
          <w:tab w:val="left" w:pos="2160"/>
        </w:tabs>
        <w:spacing w:after="0" w:line="48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Date Heard</w:t>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t>:</w:t>
      </w:r>
      <w:r w:rsidRPr="00BE20DA">
        <w:rPr>
          <w:rFonts w:ascii="Arial" w:eastAsia="SimSun" w:hAnsi="Arial" w:cs="Arial"/>
          <w:iCs/>
          <w:sz w:val="24"/>
          <w:szCs w:val="24"/>
          <w:lang w:val="en-GB" w:eastAsia="zh-CN"/>
        </w:rPr>
        <w:tab/>
      </w:r>
      <w:r w:rsidR="00CB3D19">
        <w:rPr>
          <w:rFonts w:ascii="Arial" w:eastAsia="SimSun" w:hAnsi="Arial" w:cs="Arial"/>
          <w:iCs/>
          <w:sz w:val="24"/>
          <w:szCs w:val="24"/>
          <w:lang w:val="en-GB" w:eastAsia="zh-CN"/>
        </w:rPr>
        <w:t>11</w:t>
      </w:r>
      <w:r>
        <w:rPr>
          <w:rFonts w:ascii="Arial" w:eastAsia="SimSun" w:hAnsi="Arial" w:cs="Arial"/>
          <w:iCs/>
          <w:sz w:val="24"/>
          <w:szCs w:val="24"/>
          <w:lang w:val="en-GB" w:eastAsia="zh-CN"/>
        </w:rPr>
        <w:t xml:space="preserve"> August </w:t>
      </w:r>
      <w:r w:rsidRPr="00BE20DA">
        <w:rPr>
          <w:rFonts w:ascii="Arial" w:eastAsia="SimSun" w:hAnsi="Arial" w:cs="Arial"/>
          <w:iCs/>
          <w:sz w:val="24"/>
          <w:szCs w:val="24"/>
          <w:lang w:val="en-GB" w:eastAsia="zh-CN"/>
        </w:rPr>
        <w:t>202</w:t>
      </w:r>
      <w:r>
        <w:rPr>
          <w:rFonts w:ascii="Arial" w:eastAsia="SimSun" w:hAnsi="Arial" w:cs="Arial"/>
          <w:iCs/>
          <w:sz w:val="24"/>
          <w:szCs w:val="24"/>
          <w:lang w:val="en-GB" w:eastAsia="zh-CN"/>
        </w:rPr>
        <w:t>1</w:t>
      </w:r>
    </w:p>
    <w:p w14:paraId="64773126" w14:textId="46F57FB7" w:rsidR="008F57DD" w:rsidRPr="00BE20DA" w:rsidRDefault="008F57DD" w:rsidP="008F57DD">
      <w:pPr>
        <w:tabs>
          <w:tab w:val="left" w:pos="2160"/>
        </w:tabs>
        <w:spacing w:after="0" w:line="48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Date Judgement Delivered</w:t>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t>:</w:t>
      </w:r>
      <w:r>
        <w:rPr>
          <w:rFonts w:ascii="Arial" w:eastAsia="SimSun" w:hAnsi="Arial" w:cs="Arial"/>
          <w:iCs/>
          <w:sz w:val="24"/>
          <w:szCs w:val="24"/>
          <w:lang w:val="en-GB" w:eastAsia="zh-CN"/>
        </w:rPr>
        <w:tab/>
      </w:r>
      <w:r w:rsidR="00C35BBF">
        <w:rPr>
          <w:rFonts w:ascii="Arial" w:eastAsia="SimSun" w:hAnsi="Arial" w:cs="Arial"/>
          <w:iCs/>
          <w:sz w:val="24"/>
          <w:szCs w:val="24"/>
          <w:lang w:val="en-GB" w:eastAsia="zh-CN"/>
        </w:rPr>
        <w:t>2</w:t>
      </w:r>
      <w:r>
        <w:rPr>
          <w:rFonts w:ascii="Arial" w:eastAsia="SimSun" w:hAnsi="Arial" w:cs="Arial"/>
          <w:iCs/>
          <w:sz w:val="24"/>
          <w:szCs w:val="24"/>
          <w:lang w:val="en-GB" w:eastAsia="zh-CN"/>
        </w:rPr>
        <w:t xml:space="preserve">1 </w:t>
      </w:r>
      <w:r w:rsidR="00C35BBF">
        <w:rPr>
          <w:rFonts w:ascii="Arial" w:eastAsia="SimSun" w:hAnsi="Arial" w:cs="Arial"/>
          <w:iCs/>
          <w:sz w:val="24"/>
          <w:szCs w:val="24"/>
          <w:lang w:val="en-GB" w:eastAsia="zh-CN"/>
        </w:rPr>
        <w:t xml:space="preserve">April </w:t>
      </w:r>
      <w:r>
        <w:rPr>
          <w:rFonts w:ascii="Arial" w:eastAsia="SimSun" w:hAnsi="Arial" w:cs="Arial"/>
          <w:iCs/>
          <w:sz w:val="24"/>
          <w:szCs w:val="24"/>
          <w:lang w:val="en-GB" w:eastAsia="zh-CN"/>
        </w:rPr>
        <w:t>2022</w:t>
      </w:r>
    </w:p>
    <w:p w14:paraId="4BA57DA8" w14:textId="24C80BFB" w:rsidR="008F57DD" w:rsidRDefault="008F57DD" w:rsidP="008F57DD">
      <w:pPr>
        <w:tabs>
          <w:tab w:val="left" w:pos="2160"/>
        </w:tabs>
        <w:spacing w:after="0" w:line="24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For the App</w:t>
      </w:r>
      <w:r>
        <w:rPr>
          <w:rFonts w:ascii="Arial" w:eastAsia="SimSun" w:hAnsi="Arial" w:cs="Arial"/>
          <w:iCs/>
          <w:sz w:val="24"/>
          <w:szCs w:val="24"/>
          <w:lang w:val="en-GB" w:eastAsia="zh-CN"/>
        </w:rPr>
        <w:t>licant</w:t>
      </w:r>
      <w:r w:rsidRPr="00BE20DA">
        <w:rPr>
          <w:rFonts w:ascii="Arial" w:eastAsia="SimSun" w:hAnsi="Arial" w:cs="Arial"/>
          <w:iCs/>
          <w:sz w:val="24"/>
          <w:szCs w:val="24"/>
          <w:lang w:val="en-GB" w:eastAsia="zh-CN"/>
        </w:rPr>
        <w:t xml:space="preserve"> </w:t>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t>:</w:t>
      </w:r>
      <w:r w:rsidRPr="00BE20DA">
        <w:rPr>
          <w:rFonts w:ascii="Arial" w:eastAsia="SimSun" w:hAnsi="Arial" w:cs="Arial"/>
          <w:iCs/>
          <w:sz w:val="24"/>
          <w:szCs w:val="24"/>
          <w:lang w:val="en-GB" w:eastAsia="zh-CN"/>
        </w:rPr>
        <w:tab/>
      </w:r>
      <w:proofErr w:type="spellStart"/>
      <w:r>
        <w:rPr>
          <w:rFonts w:ascii="Arial" w:eastAsia="SimSun" w:hAnsi="Arial" w:cs="Arial"/>
          <w:iCs/>
          <w:sz w:val="24"/>
          <w:szCs w:val="24"/>
          <w:lang w:val="en-GB" w:eastAsia="zh-CN"/>
        </w:rPr>
        <w:t>Adv</w:t>
      </w:r>
      <w:proofErr w:type="spellEnd"/>
      <w:r>
        <w:rPr>
          <w:rFonts w:ascii="Arial" w:eastAsia="SimSun" w:hAnsi="Arial" w:cs="Arial"/>
          <w:iCs/>
          <w:sz w:val="24"/>
          <w:szCs w:val="24"/>
          <w:lang w:val="en-GB" w:eastAsia="zh-CN"/>
        </w:rPr>
        <w:t xml:space="preserve"> </w:t>
      </w:r>
      <w:r w:rsidR="00CB3D19">
        <w:rPr>
          <w:rFonts w:ascii="Arial" w:eastAsia="SimSun" w:hAnsi="Arial" w:cs="Arial"/>
          <w:iCs/>
          <w:sz w:val="24"/>
          <w:szCs w:val="24"/>
          <w:lang w:val="en-GB" w:eastAsia="zh-CN"/>
        </w:rPr>
        <w:t>R Andrews</w:t>
      </w:r>
      <w:r>
        <w:rPr>
          <w:rFonts w:ascii="Arial" w:eastAsia="SimSun" w:hAnsi="Arial" w:cs="Arial"/>
          <w:iCs/>
          <w:sz w:val="24"/>
          <w:szCs w:val="24"/>
          <w:lang w:val="en-GB" w:eastAsia="zh-CN"/>
        </w:rPr>
        <w:t xml:space="preserve"> </w:t>
      </w:r>
    </w:p>
    <w:p w14:paraId="26D283BA" w14:textId="77777777" w:rsidR="008F57DD" w:rsidRDefault="008F57DD" w:rsidP="008F57DD">
      <w:pPr>
        <w:tabs>
          <w:tab w:val="left" w:pos="2160"/>
        </w:tabs>
        <w:spacing w:after="0" w:line="240" w:lineRule="auto"/>
        <w:rPr>
          <w:rFonts w:ascii="Arial" w:eastAsia="SimSun" w:hAnsi="Arial" w:cs="Arial"/>
          <w:iCs/>
          <w:sz w:val="24"/>
          <w:szCs w:val="24"/>
          <w:lang w:val="en-GB" w:eastAsia="zh-CN"/>
        </w:rPr>
      </w:pPr>
    </w:p>
    <w:p w14:paraId="75144D69" w14:textId="339E0ABA" w:rsidR="008F57DD" w:rsidRDefault="008F57DD" w:rsidP="008F57DD">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Instructed by</w:t>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w:t>
      </w:r>
      <w:r>
        <w:rPr>
          <w:rFonts w:ascii="Arial" w:eastAsia="SimSun" w:hAnsi="Arial" w:cs="Arial"/>
          <w:iCs/>
          <w:sz w:val="24"/>
          <w:szCs w:val="24"/>
          <w:lang w:val="en-GB" w:eastAsia="zh-CN"/>
        </w:rPr>
        <w:tab/>
      </w:r>
      <w:proofErr w:type="spellStart"/>
      <w:r w:rsidR="00C35BBF">
        <w:rPr>
          <w:rFonts w:ascii="Arial" w:eastAsia="SimSun" w:hAnsi="Arial" w:cs="Arial"/>
          <w:iCs/>
          <w:sz w:val="24"/>
          <w:szCs w:val="24"/>
          <w:lang w:val="en-GB" w:eastAsia="zh-CN"/>
        </w:rPr>
        <w:t>Vermeulen</w:t>
      </w:r>
      <w:proofErr w:type="spellEnd"/>
      <w:r w:rsidR="00C35BBF">
        <w:rPr>
          <w:rFonts w:ascii="Arial" w:eastAsia="SimSun" w:hAnsi="Arial" w:cs="Arial"/>
          <w:iCs/>
          <w:sz w:val="24"/>
          <w:szCs w:val="24"/>
          <w:lang w:val="en-GB" w:eastAsia="zh-CN"/>
        </w:rPr>
        <w:t xml:space="preserve"> </w:t>
      </w:r>
      <w:r>
        <w:rPr>
          <w:rFonts w:ascii="Arial" w:eastAsia="SimSun" w:hAnsi="Arial" w:cs="Arial"/>
          <w:iCs/>
          <w:sz w:val="24"/>
          <w:szCs w:val="24"/>
          <w:lang w:val="en-GB" w:eastAsia="zh-CN"/>
        </w:rPr>
        <w:t>Attorneys</w:t>
      </w:r>
    </w:p>
    <w:p w14:paraId="26EAA2FE" w14:textId="258F97C1" w:rsidR="008F57DD" w:rsidRDefault="008F57DD" w:rsidP="008F57DD">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 xml:space="preserve">Ref: </w:t>
      </w:r>
      <w:r w:rsidR="00C35BBF">
        <w:rPr>
          <w:rFonts w:ascii="Arial" w:eastAsia="SimSun" w:hAnsi="Arial" w:cs="Arial"/>
          <w:iCs/>
          <w:sz w:val="24"/>
          <w:szCs w:val="24"/>
          <w:lang w:val="en-GB" w:eastAsia="zh-CN"/>
        </w:rPr>
        <w:t xml:space="preserve">C </w:t>
      </w:r>
      <w:proofErr w:type="spellStart"/>
      <w:r w:rsidR="00C35BBF">
        <w:rPr>
          <w:rFonts w:ascii="Arial" w:eastAsia="SimSun" w:hAnsi="Arial" w:cs="Arial"/>
          <w:iCs/>
          <w:sz w:val="24"/>
          <w:szCs w:val="24"/>
          <w:lang w:val="en-GB" w:eastAsia="zh-CN"/>
        </w:rPr>
        <w:t>Breedt</w:t>
      </w:r>
      <w:proofErr w:type="spellEnd"/>
      <w:r w:rsidR="00C35BBF">
        <w:rPr>
          <w:rFonts w:ascii="Arial" w:eastAsia="SimSun" w:hAnsi="Arial" w:cs="Arial"/>
          <w:iCs/>
          <w:sz w:val="24"/>
          <w:szCs w:val="24"/>
          <w:lang w:val="en-GB" w:eastAsia="zh-CN"/>
        </w:rPr>
        <w:t>/C0096</w:t>
      </w:r>
    </w:p>
    <w:p w14:paraId="127BA8D7" w14:textId="55E7D642" w:rsidR="008F57DD" w:rsidRDefault="008F57DD" w:rsidP="008F57DD">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 xml:space="preserve">Email: </w:t>
      </w:r>
      <w:hyperlink r:id="rId12" w:history="1">
        <w:r w:rsidR="00CB3D19" w:rsidRPr="002221DB">
          <w:rPr>
            <w:rStyle w:val="Hyperlink"/>
            <w:rFonts w:ascii="Arial" w:eastAsia="SimSun" w:hAnsi="Arial" w:cs="Arial"/>
            <w:iCs/>
            <w:sz w:val="24"/>
            <w:szCs w:val="24"/>
            <w:lang w:val="en-GB" w:eastAsia="zh-CN"/>
          </w:rPr>
          <w:t>cathleen@vermeulenlaw.co.za</w:t>
        </w:r>
      </w:hyperlink>
    </w:p>
    <w:p w14:paraId="2D090D48" w14:textId="77777777" w:rsidR="008F57DD" w:rsidRDefault="008F57DD" w:rsidP="008F57DD">
      <w:pPr>
        <w:tabs>
          <w:tab w:val="left" w:pos="2160"/>
        </w:tabs>
        <w:spacing w:after="0" w:line="240" w:lineRule="auto"/>
        <w:rPr>
          <w:rFonts w:ascii="Arial" w:eastAsia="SimSun" w:hAnsi="Arial" w:cs="Arial"/>
          <w:iCs/>
          <w:sz w:val="24"/>
          <w:szCs w:val="24"/>
          <w:lang w:val="en-GB" w:eastAsia="zh-CN"/>
        </w:rPr>
      </w:pPr>
    </w:p>
    <w:p w14:paraId="4F4F6071" w14:textId="6CCC69DE" w:rsidR="008F57DD" w:rsidRDefault="008F57DD" w:rsidP="008F57DD">
      <w:pPr>
        <w:tabs>
          <w:tab w:val="left" w:pos="2160"/>
        </w:tabs>
        <w:spacing w:after="0" w:line="24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 xml:space="preserve">For the </w:t>
      </w:r>
      <w:r w:rsidR="00C35BBF">
        <w:rPr>
          <w:rFonts w:ascii="Arial" w:eastAsia="SimSun" w:hAnsi="Arial" w:cs="Arial"/>
          <w:iCs/>
          <w:sz w:val="24"/>
          <w:szCs w:val="24"/>
          <w:lang w:val="en-GB" w:eastAsia="zh-CN"/>
        </w:rPr>
        <w:t xml:space="preserve">First </w:t>
      </w:r>
      <w:r w:rsidRPr="00BE20DA">
        <w:rPr>
          <w:rFonts w:ascii="Arial" w:eastAsia="SimSun" w:hAnsi="Arial" w:cs="Arial"/>
          <w:iCs/>
          <w:sz w:val="24"/>
          <w:szCs w:val="24"/>
          <w:lang w:val="en-GB" w:eastAsia="zh-CN"/>
        </w:rPr>
        <w:t>Respondent</w:t>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t>:</w:t>
      </w:r>
      <w:r w:rsidRPr="00BE20DA">
        <w:rPr>
          <w:rFonts w:ascii="Arial" w:eastAsia="SimSun" w:hAnsi="Arial" w:cs="Arial"/>
          <w:iCs/>
          <w:sz w:val="24"/>
          <w:szCs w:val="24"/>
          <w:lang w:val="en-GB" w:eastAsia="zh-CN"/>
        </w:rPr>
        <w:tab/>
      </w:r>
      <w:proofErr w:type="spellStart"/>
      <w:r>
        <w:rPr>
          <w:rFonts w:ascii="Arial" w:eastAsia="SimSun" w:hAnsi="Arial" w:cs="Arial"/>
          <w:iCs/>
          <w:sz w:val="24"/>
          <w:szCs w:val="24"/>
          <w:lang w:val="en-GB" w:eastAsia="zh-CN"/>
        </w:rPr>
        <w:t>Adv</w:t>
      </w:r>
      <w:proofErr w:type="spellEnd"/>
      <w:r>
        <w:rPr>
          <w:rFonts w:ascii="Arial" w:eastAsia="SimSun" w:hAnsi="Arial" w:cs="Arial"/>
          <w:iCs/>
          <w:sz w:val="24"/>
          <w:szCs w:val="24"/>
          <w:lang w:val="en-GB" w:eastAsia="zh-CN"/>
        </w:rPr>
        <w:t xml:space="preserve"> </w:t>
      </w:r>
      <w:r w:rsidR="00C35BBF">
        <w:rPr>
          <w:rFonts w:ascii="Arial" w:eastAsia="SimSun" w:hAnsi="Arial" w:cs="Arial"/>
          <w:iCs/>
          <w:sz w:val="24"/>
          <w:szCs w:val="24"/>
          <w:lang w:val="en-GB" w:eastAsia="zh-CN"/>
        </w:rPr>
        <w:t>R Ismail</w:t>
      </w:r>
    </w:p>
    <w:p w14:paraId="3333AE5C" w14:textId="77777777" w:rsidR="008F57DD" w:rsidRDefault="008F57DD" w:rsidP="008F57DD">
      <w:pPr>
        <w:tabs>
          <w:tab w:val="left" w:pos="2160"/>
        </w:tabs>
        <w:spacing w:after="0" w:line="240" w:lineRule="auto"/>
        <w:rPr>
          <w:rFonts w:ascii="Arial" w:eastAsia="SimSun" w:hAnsi="Arial" w:cs="Arial"/>
          <w:iCs/>
          <w:sz w:val="24"/>
          <w:szCs w:val="24"/>
          <w:lang w:val="en-GB" w:eastAsia="zh-CN"/>
        </w:rPr>
      </w:pPr>
    </w:p>
    <w:p w14:paraId="60B4DB0F" w14:textId="7BDED01F" w:rsidR="008F57DD" w:rsidRDefault="008F57DD" w:rsidP="008F57DD">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Instructed by</w:t>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w:t>
      </w:r>
      <w:r>
        <w:rPr>
          <w:rFonts w:ascii="Arial" w:eastAsia="SimSun" w:hAnsi="Arial" w:cs="Arial"/>
          <w:iCs/>
          <w:sz w:val="24"/>
          <w:szCs w:val="24"/>
          <w:lang w:val="en-GB" w:eastAsia="zh-CN"/>
        </w:rPr>
        <w:tab/>
      </w:r>
      <w:proofErr w:type="spellStart"/>
      <w:r>
        <w:rPr>
          <w:rFonts w:ascii="Arial" w:eastAsia="SimSun" w:hAnsi="Arial" w:cs="Arial"/>
          <w:iCs/>
          <w:sz w:val="24"/>
          <w:szCs w:val="24"/>
          <w:lang w:val="en-GB" w:eastAsia="zh-CN"/>
        </w:rPr>
        <w:t>M</w:t>
      </w:r>
      <w:r w:rsidR="00CB3D19">
        <w:rPr>
          <w:rFonts w:ascii="Arial" w:eastAsia="SimSun" w:hAnsi="Arial" w:cs="Arial"/>
          <w:iCs/>
          <w:sz w:val="24"/>
          <w:szCs w:val="24"/>
          <w:lang w:val="en-GB" w:eastAsia="zh-CN"/>
        </w:rPr>
        <w:t>oodie</w:t>
      </w:r>
      <w:proofErr w:type="spellEnd"/>
      <w:r w:rsidR="00CB3D19">
        <w:rPr>
          <w:rFonts w:ascii="Arial" w:eastAsia="SimSun" w:hAnsi="Arial" w:cs="Arial"/>
          <w:iCs/>
          <w:sz w:val="24"/>
          <w:szCs w:val="24"/>
          <w:lang w:val="en-GB" w:eastAsia="zh-CN"/>
        </w:rPr>
        <w:t xml:space="preserve"> and Robertson </w:t>
      </w:r>
      <w:r>
        <w:rPr>
          <w:rFonts w:ascii="Arial" w:eastAsia="SimSun" w:hAnsi="Arial" w:cs="Arial"/>
          <w:iCs/>
          <w:sz w:val="24"/>
          <w:szCs w:val="24"/>
          <w:lang w:val="en-GB" w:eastAsia="zh-CN"/>
        </w:rPr>
        <w:t>Attorneys</w:t>
      </w:r>
    </w:p>
    <w:p w14:paraId="1544ADE9" w14:textId="6FE5AD24" w:rsidR="008F57DD" w:rsidRDefault="008F57DD" w:rsidP="008F57DD">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 xml:space="preserve">Ref: Mr </w:t>
      </w:r>
      <w:r w:rsidR="00CB3D19">
        <w:rPr>
          <w:rFonts w:ascii="Arial" w:eastAsia="SimSun" w:hAnsi="Arial" w:cs="Arial"/>
          <w:iCs/>
          <w:sz w:val="24"/>
          <w:szCs w:val="24"/>
          <w:lang w:val="en-GB" w:eastAsia="zh-CN"/>
        </w:rPr>
        <w:t>A German/aaL198791</w:t>
      </w:r>
    </w:p>
    <w:p w14:paraId="06D086DC" w14:textId="2521B273" w:rsidR="008F57DD" w:rsidRDefault="008F57DD" w:rsidP="008F57DD">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 xml:space="preserve">Email: </w:t>
      </w:r>
      <w:hyperlink r:id="rId13" w:history="1">
        <w:r w:rsidR="00CB3D19" w:rsidRPr="002221DB">
          <w:rPr>
            <w:rStyle w:val="Hyperlink"/>
            <w:rFonts w:ascii="Arial" w:eastAsia="SimSun" w:hAnsi="Arial" w:cs="Arial"/>
            <w:iCs/>
            <w:sz w:val="24"/>
            <w:szCs w:val="24"/>
            <w:lang w:val="en-GB" w:eastAsia="zh-CN"/>
          </w:rPr>
          <w:t>aryg@moodierobertson.co.za</w:t>
        </w:r>
      </w:hyperlink>
    </w:p>
    <w:p w14:paraId="649C747D" w14:textId="260460E1" w:rsidR="00C35BBF" w:rsidRDefault="00C35BBF" w:rsidP="00C35BBF">
      <w:pPr>
        <w:tabs>
          <w:tab w:val="left" w:pos="2160"/>
        </w:tabs>
        <w:spacing w:after="0" w:line="24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 xml:space="preserve">For the </w:t>
      </w:r>
      <w:r>
        <w:rPr>
          <w:rFonts w:ascii="Arial" w:eastAsia="SimSun" w:hAnsi="Arial" w:cs="Arial"/>
          <w:iCs/>
          <w:sz w:val="24"/>
          <w:szCs w:val="24"/>
          <w:lang w:val="en-GB" w:eastAsia="zh-CN"/>
        </w:rPr>
        <w:t xml:space="preserve">Second </w:t>
      </w:r>
      <w:r w:rsidRPr="00BE20DA">
        <w:rPr>
          <w:rFonts w:ascii="Arial" w:eastAsia="SimSun" w:hAnsi="Arial" w:cs="Arial"/>
          <w:iCs/>
          <w:sz w:val="24"/>
          <w:szCs w:val="24"/>
          <w:lang w:val="en-GB" w:eastAsia="zh-CN"/>
        </w:rPr>
        <w:t>Respondent</w:t>
      </w:r>
      <w:r w:rsidRPr="00BE20DA">
        <w:rPr>
          <w:rFonts w:ascii="Arial" w:eastAsia="SimSun" w:hAnsi="Arial" w:cs="Arial"/>
          <w:iCs/>
          <w:sz w:val="24"/>
          <w:szCs w:val="24"/>
          <w:lang w:val="en-GB" w:eastAsia="zh-CN"/>
        </w:rPr>
        <w:tab/>
        <w:t>:</w:t>
      </w:r>
      <w:r w:rsidRPr="00BE20DA">
        <w:rPr>
          <w:rFonts w:ascii="Arial" w:eastAsia="SimSun" w:hAnsi="Arial" w:cs="Arial"/>
          <w:iCs/>
          <w:sz w:val="24"/>
          <w:szCs w:val="24"/>
          <w:lang w:val="en-GB" w:eastAsia="zh-CN"/>
        </w:rPr>
        <w:tab/>
      </w:r>
      <w:proofErr w:type="spellStart"/>
      <w:r>
        <w:rPr>
          <w:rFonts w:ascii="Arial" w:eastAsia="SimSun" w:hAnsi="Arial" w:cs="Arial"/>
          <w:iCs/>
          <w:sz w:val="24"/>
          <w:szCs w:val="24"/>
          <w:lang w:val="en-GB" w:eastAsia="zh-CN"/>
        </w:rPr>
        <w:t>Adv</w:t>
      </w:r>
      <w:proofErr w:type="spellEnd"/>
      <w:r>
        <w:rPr>
          <w:rFonts w:ascii="Arial" w:eastAsia="SimSun" w:hAnsi="Arial" w:cs="Arial"/>
          <w:iCs/>
          <w:sz w:val="24"/>
          <w:szCs w:val="24"/>
          <w:lang w:val="en-GB" w:eastAsia="zh-CN"/>
        </w:rPr>
        <w:t xml:space="preserve"> L </w:t>
      </w:r>
      <w:proofErr w:type="spellStart"/>
      <w:r>
        <w:rPr>
          <w:rFonts w:ascii="Arial" w:eastAsia="SimSun" w:hAnsi="Arial" w:cs="Arial"/>
          <w:iCs/>
          <w:sz w:val="24"/>
          <w:szCs w:val="24"/>
          <w:lang w:val="en-GB" w:eastAsia="zh-CN"/>
        </w:rPr>
        <w:t>Balanco</w:t>
      </w:r>
      <w:proofErr w:type="spellEnd"/>
    </w:p>
    <w:p w14:paraId="612DD3B2" w14:textId="77777777" w:rsidR="00C35BBF" w:rsidRDefault="00C35BBF" w:rsidP="00C35BBF">
      <w:pPr>
        <w:tabs>
          <w:tab w:val="left" w:pos="2160"/>
        </w:tabs>
        <w:spacing w:after="0" w:line="240" w:lineRule="auto"/>
        <w:rPr>
          <w:rFonts w:ascii="Arial" w:eastAsia="SimSun" w:hAnsi="Arial" w:cs="Arial"/>
          <w:iCs/>
          <w:sz w:val="24"/>
          <w:szCs w:val="24"/>
          <w:lang w:val="en-GB" w:eastAsia="zh-CN"/>
        </w:rPr>
      </w:pPr>
    </w:p>
    <w:p w14:paraId="361F5045" w14:textId="09510F2F" w:rsidR="00C35BBF" w:rsidRDefault="00C35BBF" w:rsidP="00C35BBF">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Instructed by</w:t>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w:t>
      </w:r>
      <w:r>
        <w:rPr>
          <w:rFonts w:ascii="Arial" w:eastAsia="SimSun" w:hAnsi="Arial" w:cs="Arial"/>
          <w:iCs/>
          <w:sz w:val="24"/>
          <w:szCs w:val="24"/>
          <w:lang w:val="en-GB" w:eastAsia="zh-CN"/>
        </w:rPr>
        <w:tab/>
      </w:r>
      <w:proofErr w:type="spellStart"/>
      <w:r w:rsidR="00CB3D19">
        <w:rPr>
          <w:rFonts w:ascii="Arial" w:eastAsia="SimSun" w:hAnsi="Arial" w:cs="Arial"/>
          <w:iCs/>
          <w:sz w:val="24"/>
          <w:szCs w:val="24"/>
          <w:lang w:val="en-GB" w:eastAsia="zh-CN"/>
        </w:rPr>
        <w:t>Krige</w:t>
      </w:r>
      <w:proofErr w:type="spellEnd"/>
      <w:r>
        <w:rPr>
          <w:rFonts w:ascii="Arial" w:eastAsia="SimSun" w:hAnsi="Arial" w:cs="Arial"/>
          <w:iCs/>
          <w:sz w:val="24"/>
          <w:szCs w:val="24"/>
          <w:lang w:val="en-GB" w:eastAsia="zh-CN"/>
        </w:rPr>
        <w:t xml:space="preserve"> Attorneys</w:t>
      </w:r>
      <w:r w:rsidR="00CB3D19">
        <w:rPr>
          <w:rFonts w:ascii="Arial" w:eastAsia="SimSun" w:hAnsi="Arial" w:cs="Arial"/>
          <w:iCs/>
          <w:sz w:val="24"/>
          <w:szCs w:val="24"/>
          <w:lang w:val="en-GB" w:eastAsia="zh-CN"/>
        </w:rPr>
        <w:t xml:space="preserve"> </w:t>
      </w:r>
      <w:proofErr w:type="spellStart"/>
      <w:r w:rsidR="00CB3D19">
        <w:rPr>
          <w:rFonts w:ascii="Arial" w:eastAsia="SimSun" w:hAnsi="Arial" w:cs="Arial"/>
          <w:iCs/>
          <w:sz w:val="24"/>
          <w:szCs w:val="24"/>
          <w:lang w:val="en-GB" w:eastAsia="zh-CN"/>
        </w:rPr>
        <w:t>Inc</w:t>
      </w:r>
      <w:proofErr w:type="spellEnd"/>
    </w:p>
    <w:p w14:paraId="6A574387" w14:textId="01E8D627" w:rsidR="00C35BBF" w:rsidRDefault="00C35BBF" w:rsidP="00C35BBF">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Ref: Mr</w:t>
      </w:r>
      <w:r w:rsidR="00CB3D19">
        <w:rPr>
          <w:rFonts w:ascii="Arial" w:eastAsia="SimSun" w:hAnsi="Arial" w:cs="Arial"/>
          <w:iCs/>
          <w:sz w:val="24"/>
          <w:szCs w:val="24"/>
          <w:lang w:val="en-GB" w:eastAsia="zh-CN"/>
        </w:rPr>
        <w:t xml:space="preserve"> PW </w:t>
      </w:r>
      <w:proofErr w:type="spellStart"/>
      <w:r w:rsidR="00CB3D19">
        <w:rPr>
          <w:rFonts w:ascii="Arial" w:eastAsia="SimSun" w:hAnsi="Arial" w:cs="Arial"/>
          <w:iCs/>
          <w:sz w:val="24"/>
          <w:szCs w:val="24"/>
          <w:lang w:val="en-GB" w:eastAsia="zh-CN"/>
        </w:rPr>
        <w:t>Krige</w:t>
      </w:r>
      <w:proofErr w:type="spellEnd"/>
    </w:p>
    <w:p w14:paraId="30C6716E" w14:textId="248AFB6A" w:rsidR="00C35BBF" w:rsidRDefault="00C35BBF" w:rsidP="00C35BBF">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 xml:space="preserve">Email: </w:t>
      </w:r>
      <w:hyperlink r:id="rId14" w:history="1">
        <w:r w:rsidR="00CB3D19" w:rsidRPr="002221DB">
          <w:rPr>
            <w:rStyle w:val="Hyperlink"/>
            <w:rFonts w:ascii="Arial" w:eastAsia="SimSun" w:hAnsi="Arial" w:cs="Arial"/>
            <w:iCs/>
            <w:sz w:val="24"/>
            <w:szCs w:val="24"/>
            <w:lang w:val="en-GB" w:eastAsia="zh-CN"/>
          </w:rPr>
          <w:t>pw@krigelaw.com</w:t>
        </w:r>
      </w:hyperlink>
    </w:p>
    <w:p w14:paraId="0F71835F" w14:textId="40F93397" w:rsidR="00C35BBF" w:rsidRDefault="00C35BBF" w:rsidP="00C35BBF">
      <w:pPr>
        <w:tabs>
          <w:tab w:val="left" w:pos="2160"/>
        </w:tabs>
        <w:spacing w:after="0" w:line="24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 xml:space="preserve">For the </w:t>
      </w:r>
      <w:r w:rsidR="00F57E2A">
        <w:rPr>
          <w:rFonts w:ascii="Arial" w:eastAsia="SimSun" w:hAnsi="Arial" w:cs="Arial"/>
          <w:iCs/>
          <w:sz w:val="24"/>
          <w:szCs w:val="24"/>
          <w:lang w:val="en-GB" w:eastAsia="zh-CN"/>
        </w:rPr>
        <w:t>Fourth Respondent</w:t>
      </w:r>
      <w:r w:rsidRPr="00BE20DA">
        <w:rPr>
          <w:rFonts w:ascii="Arial" w:eastAsia="SimSun" w:hAnsi="Arial" w:cs="Arial"/>
          <w:iCs/>
          <w:sz w:val="24"/>
          <w:szCs w:val="24"/>
          <w:lang w:val="en-GB" w:eastAsia="zh-CN"/>
        </w:rPr>
        <w:tab/>
        <w:t>:</w:t>
      </w:r>
      <w:r w:rsidRPr="00BE20DA">
        <w:rPr>
          <w:rFonts w:ascii="Arial" w:eastAsia="SimSun" w:hAnsi="Arial" w:cs="Arial"/>
          <w:iCs/>
          <w:sz w:val="24"/>
          <w:szCs w:val="24"/>
          <w:lang w:val="en-GB" w:eastAsia="zh-CN"/>
        </w:rPr>
        <w:tab/>
      </w:r>
      <w:proofErr w:type="spellStart"/>
      <w:r>
        <w:rPr>
          <w:rFonts w:ascii="Arial" w:eastAsia="SimSun" w:hAnsi="Arial" w:cs="Arial"/>
          <w:iCs/>
          <w:sz w:val="24"/>
          <w:szCs w:val="24"/>
          <w:lang w:val="en-GB" w:eastAsia="zh-CN"/>
        </w:rPr>
        <w:t>Adv</w:t>
      </w:r>
      <w:proofErr w:type="spellEnd"/>
      <w:r>
        <w:rPr>
          <w:rFonts w:ascii="Arial" w:eastAsia="SimSun" w:hAnsi="Arial" w:cs="Arial"/>
          <w:iCs/>
          <w:sz w:val="24"/>
          <w:szCs w:val="24"/>
          <w:lang w:val="en-GB" w:eastAsia="zh-CN"/>
        </w:rPr>
        <w:t xml:space="preserve"> JJ </w:t>
      </w:r>
      <w:proofErr w:type="spellStart"/>
      <w:r>
        <w:rPr>
          <w:rFonts w:ascii="Arial" w:eastAsia="SimSun" w:hAnsi="Arial" w:cs="Arial"/>
          <w:iCs/>
          <w:sz w:val="24"/>
          <w:szCs w:val="24"/>
          <w:lang w:val="en-GB" w:eastAsia="zh-CN"/>
        </w:rPr>
        <w:t>Meiring</w:t>
      </w:r>
      <w:proofErr w:type="spellEnd"/>
    </w:p>
    <w:p w14:paraId="10C99B39" w14:textId="77777777" w:rsidR="00C35BBF" w:rsidRDefault="00C35BBF" w:rsidP="00C35BBF">
      <w:pPr>
        <w:tabs>
          <w:tab w:val="left" w:pos="2160"/>
        </w:tabs>
        <w:spacing w:after="0" w:line="240" w:lineRule="auto"/>
        <w:rPr>
          <w:rFonts w:ascii="Arial" w:eastAsia="SimSun" w:hAnsi="Arial" w:cs="Arial"/>
          <w:iCs/>
          <w:sz w:val="24"/>
          <w:szCs w:val="24"/>
          <w:lang w:val="en-GB" w:eastAsia="zh-CN"/>
        </w:rPr>
      </w:pPr>
    </w:p>
    <w:p w14:paraId="215486AB" w14:textId="26DA5A42" w:rsidR="00C35BBF" w:rsidRDefault="00C35BBF" w:rsidP="00C35BBF">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Instructed by</w:t>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w:t>
      </w:r>
      <w:r>
        <w:rPr>
          <w:rFonts w:ascii="Arial" w:eastAsia="SimSun" w:hAnsi="Arial" w:cs="Arial"/>
          <w:iCs/>
          <w:sz w:val="24"/>
          <w:szCs w:val="24"/>
          <w:lang w:val="en-GB" w:eastAsia="zh-CN"/>
        </w:rPr>
        <w:tab/>
        <w:t xml:space="preserve">Bouwer Cardona </w:t>
      </w:r>
      <w:proofErr w:type="spellStart"/>
      <w:r>
        <w:rPr>
          <w:rFonts w:ascii="Arial" w:eastAsia="SimSun" w:hAnsi="Arial" w:cs="Arial"/>
          <w:iCs/>
          <w:sz w:val="24"/>
          <w:szCs w:val="24"/>
          <w:lang w:val="en-GB" w:eastAsia="zh-CN"/>
        </w:rPr>
        <w:t>Inc</w:t>
      </w:r>
      <w:proofErr w:type="spellEnd"/>
    </w:p>
    <w:p w14:paraId="42BF00FF" w14:textId="0F9BCC10" w:rsidR="00C35BBF" w:rsidRDefault="00C35BBF" w:rsidP="00C35BBF">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 xml:space="preserve">Ref: Mr </w:t>
      </w:r>
      <w:proofErr w:type="spellStart"/>
      <w:r>
        <w:rPr>
          <w:rFonts w:ascii="Arial" w:eastAsia="SimSun" w:hAnsi="Arial" w:cs="Arial"/>
          <w:iCs/>
          <w:sz w:val="24"/>
          <w:szCs w:val="24"/>
          <w:lang w:val="en-GB" w:eastAsia="zh-CN"/>
        </w:rPr>
        <w:t>Keatley</w:t>
      </w:r>
      <w:proofErr w:type="spellEnd"/>
      <w:r>
        <w:rPr>
          <w:rFonts w:ascii="Arial" w:eastAsia="SimSun" w:hAnsi="Arial" w:cs="Arial"/>
          <w:iCs/>
          <w:sz w:val="24"/>
          <w:szCs w:val="24"/>
          <w:lang w:val="en-GB" w:eastAsia="zh-CN"/>
        </w:rPr>
        <w:t xml:space="preserve"> B353/4</w:t>
      </w:r>
    </w:p>
    <w:p w14:paraId="34961D4A" w14:textId="202572F1" w:rsidR="00C35BBF" w:rsidRDefault="00C35BBF" w:rsidP="00C35BBF">
      <w:pPr>
        <w:tabs>
          <w:tab w:val="left" w:pos="2160"/>
        </w:tabs>
        <w:spacing w:after="0"/>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 xml:space="preserve">Email: </w:t>
      </w:r>
      <w:hyperlink r:id="rId15" w:history="1">
        <w:r w:rsidR="00CB3D19" w:rsidRPr="002221DB">
          <w:rPr>
            <w:rStyle w:val="Hyperlink"/>
            <w:rFonts w:ascii="Arial" w:eastAsia="SimSun" w:hAnsi="Arial" w:cs="Arial"/>
            <w:iCs/>
            <w:sz w:val="24"/>
            <w:szCs w:val="24"/>
            <w:lang w:val="en-GB" w:eastAsia="zh-CN"/>
          </w:rPr>
          <w:t>info@bouwer.biz</w:t>
        </w:r>
      </w:hyperlink>
    </w:p>
    <w:p w14:paraId="0D2123EE" w14:textId="77777777" w:rsidR="009C75B9" w:rsidRPr="0094113F" w:rsidRDefault="009C75B9" w:rsidP="0094113F">
      <w:pPr>
        <w:rPr>
          <w:rFonts w:ascii="Arial" w:hAnsi="Arial" w:cs="Arial"/>
          <w:sz w:val="24"/>
          <w:szCs w:val="24"/>
        </w:rPr>
      </w:pPr>
    </w:p>
    <w:sectPr w:rsidR="009C75B9" w:rsidRPr="0094113F" w:rsidSect="0067021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FAE86" w14:textId="77777777" w:rsidR="00AA7DB4" w:rsidRDefault="00AA7DB4">
      <w:pPr>
        <w:spacing w:after="0" w:line="240" w:lineRule="auto"/>
      </w:pPr>
      <w:r>
        <w:separator/>
      </w:r>
    </w:p>
  </w:endnote>
  <w:endnote w:type="continuationSeparator" w:id="0">
    <w:p w14:paraId="58D00CE4" w14:textId="77777777" w:rsidR="00AA7DB4" w:rsidRDefault="00AA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6126" w14:textId="77777777" w:rsidR="00016917" w:rsidRDefault="00016917">
    <w:pPr>
      <w:pStyle w:val="Footer"/>
    </w:pPr>
  </w:p>
  <w:p w14:paraId="4722D7B4" w14:textId="77777777" w:rsidR="00016917" w:rsidRDefault="00016917"/>
  <w:p w14:paraId="1EB9F99F" w14:textId="77777777" w:rsidR="00016917" w:rsidRDefault="000169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0795" w14:textId="61B78E34" w:rsidR="00016917" w:rsidRPr="00B8718D" w:rsidRDefault="00016917" w:rsidP="00B8718D">
    <w:pPr>
      <w:pStyle w:val="Footer"/>
      <w:tabs>
        <w:tab w:val="clear" w:pos="4513"/>
        <w:tab w:val="clear"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D0CE" w14:textId="77777777" w:rsidR="00016917" w:rsidRDefault="00016917"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6F373" w14:textId="77777777" w:rsidR="00AA7DB4" w:rsidRDefault="00AA7DB4">
      <w:pPr>
        <w:spacing w:after="0" w:line="240" w:lineRule="auto"/>
      </w:pPr>
      <w:r>
        <w:separator/>
      </w:r>
    </w:p>
  </w:footnote>
  <w:footnote w:type="continuationSeparator" w:id="0">
    <w:p w14:paraId="648F72D4" w14:textId="77777777" w:rsidR="00AA7DB4" w:rsidRDefault="00AA7DB4">
      <w:pPr>
        <w:spacing w:after="0" w:line="240" w:lineRule="auto"/>
      </w:pPr>
      <w:r>
        <w:continuationSeparator/>
      </w:r>
    </w:p>
  </w:footnote>
  <w:footnote w:id="1">
    <w:p w14:paraId="20E00B62" w14:textId="61D744EA" w:rsidR="00016917" w:rsidRPr="00C63F71" w:rsidRDefault="00016917">
      <w:pPr>
        <w:pStyle w:val="FootnoteText"/>
        <w:rPr>
          <w:rFonts w:ascii="Arial" w:hAnsi="Arial" w:cs="Arial"/>
          <w:sz w:val="20"/>
          <w:lang w:val="en-US"/>
        </w:rPr>
      </w:pPr>
      <w:r w:rsidRPr="00C63F71">
        <w:rPr>
          <w:rStyle w:val="FootnoteReference"/>
          <w:rFonts w:ascii="Arial" w:hAnsi="Arial" w:cs="Arial"/>
          <w:sz w:val="20"/>
        </w:rPr>
        <w:footnoteRef/>
      </w:r>
      <w:r w:rsidRPr="00C63F71">
        <w:rPr>
          <w:rFonts w:ascii="Arial" w:hAnsi="Arial" w:cs="Arial"/>
          <w:sz w:val="20"/>
        </w:rPr>
        <w:t xml:space="preserve"> </w:t>
      </w:r>
      <w:r>
        <w:rPr>
          <w:rFonts w:ascii="Arial" w:hAnsi="Arial" w:cs="Arial"/>
          <w:i/>
          <w:sz w:val="20"/>
        </w:rPr>
        <w:t xml:space="preserve">Total South Africa (Pty) Ltd v </w:t>
      </w:r>
      <w:proofErr w:type="spellStart"/>
      <w:r>
        <w:rPr>
          <w:rFonts w:ascii="Arial" w:hAnsi="Arial" w:cs="Arial"/>
          <w:i/>
          <w:sz w:val="20"/>
        </w:rPr>
        <w:t>Bekker</w:t>
      </w:r>
      <w:proofErr w:type="spellEnd"/>
      <w:r>
        <w:rPr>
          <w:rFonts w:ascii="Arial" w:hAnsi="Arial" w:cs="Arial"/>
          <w:i/>
          <w:sz w:val="20"/>
        </w:rPr>
        <w:t xml:space="preserve"> NO </w:t>
      </w:r>
      <w:r>
        <w:rPr>
          <w:rFonts w:ascii="Arial" w:hAnsi="Arial" w:cs="Arial"/>
          <w:sz w:val="20"/>
        </w:rPr>
        <w:t>1992 (1) SA 617 (A).</w:t>
      </w:r>
    </w:p>
  </w:footnote>
  <w:footnote w:id="2">
    <w:p w14:paraId="55AA5C22" w14:textId="7F411D56" w:rsidR="00016917" w:rsidRPr="00596E92" w:rsidRDefault="00016917">
      <w:pPr>
        <w:pStyle w:val="FootnoteText"/>
        <w:rPr>
          <w:rFonts w:ascii="Arial" w:hAnsi="Arial" w:cs="Arial"/>
          <w:sz w:val="20"/>
          <w:lang w:val="en-US"/>
        </w:rPr>
      </w:pPr>
      <w:r w:rsidRPr="00596E92">
        <w:rPr>
          <w:rStyle w:val="FootnoteReference"/>
          <w:rFonts w:ascii="Arial" w:hAnsi="Arial" w:cs="Arial"/>
          <w:sz w:val="20"/>
        </w:rPr>
        <w:footnoteRef/>
      </w:r>
      <w:r w:rsidRPr="00596E92">
        <w:rPr>
          <w:rFonts w:ascii="Arial" w:hAnsi="Arial" w:cs="Arial"/>
          <w:sz w:val="20"/>
        </w:rPr>
        <w:t xml:space="preserve"> </w:t>
      </w:r>
      <w:proofErr w:type="spellStart"/>
      <w:r w:rsidRPr="00596E92">
        <w:rPr>
          <w:rFonts w:ascii="Arial" w:hAnsi="Arial" w:cs="Arial"/>
          <w:i/>
          <w:sz w:val="20"/>
        </w:rPr>
        <w:t>Bekker</w:t>
      </w:r>
      <w:proofErr w:type="spellEnd"/>
      <w:r>
        <w:rPr>
          <w:rFonts w:ascii="Arial" w:hAnsi="Arial" w:cs="Arial"/>
          <w:sz w:val="20"/>
        </w:rPr>
        <w:t xml:space="preserve"> ibid at 625E-G. </w:t>
      </w:r>
    </w:p>
  </w:footnote>
  <w:footnote w:id="3">
    <w:p w14:paraId="2097A0B8" w14:textId="7D4B7618" w:rsidR="00016917" w:rsidRPr="00220727" w:rsidRDefault="00016917">
      <w:pPr>
        <w:pStyle w:val="FootnoteText"/>
        <w:rPr>
          <w:rFonts w:ascii="Arial" w:hAnsi="Arial" w:cs="Arial"/>
          <w:sz w:val="20"/>
          <w:lang w:val="en-US"/>
        </w:rPr>
      </w:pPr>
      <w:r w:rsidRPr="00220727">
        <w:rPr>
          <w:rStyle w:val="FootnoteReference"/>
          <w:rFonts w:ascii="Arial" w:hAnsi="Arial" w:cs="Arial"/>
          <w:sz w:val="20"/>
        </w:rPr>
        <w:footnoteRef/>
      </w:r>
      <w:r w:rsidRPr="00220727">
        <w:rPr>
          <w:rFonts w:ascii="Arial" w:hAnsi="Arial" w:cs="Arial"/>
          <w:sz w:val="20"/>
        </w:rPr>
        <w:t xml:space="preserve"> </w:t>
      </w:r>
      <w:r>
        <w:rPr>
          <w:rFonts w:ascii="Arial" w:hAnsi="Arial" w:cs="Arial"/>
          <w:i/>
          <w:sz w:val="20"/>
        </w:rPr>
        <w:t xml:space="preserve">Unitrans Freight (Pty) Ltd v </w:t>
      </w:r>
      <w:proofErr w:type="spellStart"/>
      <w:r>
        <w:rPr>
          <w:rFonts w:ascii="Arial" w:hAnsi="Arial" w:cs="Arial"/>
          <w:i/>
          <w:sz w:val="20"/>
        </w:rPr>
        <w:t>Santam</w:t>
      </w:r>
      <w:proofErr w:type="spellEnd"/>
      <w:r>
        <w:rPr>
          <w:rFonts w:ascii="Arial" w:hAnsi="Arial" w:cs="Arial"/>
          <w:i/>
          <w:sz w:val="20"/>
        </w:rPr>
        <w:t xml:space="preserve"> Ltd </w:t>
      </w:r>
      <w:r>
        <w:rPr>
          <w:rFonts w:ascii="Arial" w:hAnsi="Arial" w:cs="Arial"/>
          <w:sz w:val="20"/>
        </w:rPr>
        <w:t>2004 (6) SA 21 (SCA) para 14.</w:t>
      </w:r>
    </w:p>
  </w:footnote>
  <w:footnote w:id="4">
    <w:p w14:paraId="2943656F" w14:textId="609AE056" w:rsidR="00016917" w:rsidRPr="00420FF8" w:rsidRDefault="00016917">
      <w:pPr>
        <w:pStyle w:val="FootnoteText"/>
        <w:rPr>
          <w:rFonts w:ascii="Arial" w:hAnsi="Arial" w:cs="Arial"/>
          <w:sz w:val="20"/>
          <w:lang w:val="en-US"/>
        </w:rPr>
      </w:pPr>
      <w:r w:rsidRPr="00420FF8">
        <w:rPr>
          <w:rStyle w:val="FootnoteReference"/>
          <w:rFonts w:ascii="Arial" w:hAnsi="Arial" w:cs="Arial"/>
          <w:sz w:val="20"/>
        </w:rPr>
        <w:footnoteRef/>
      </w:r>
      <w:r w:rsidRPr="00420FF8">
        <w:rPr>
          <w:rFonts w:ascii="Arial" w:hAnsi="Arial" w:cs="Arial"/>
          <w:sz w:val="20"/>
        </w:rPr>
        <w:t xml:space="preserve"> </w:t>
      </w:r>
      <w:r w:rsidR="00A05D92">
        <w:rPr>
          <w:rFonts w:ascii="Arial" w:hAnsi="Arial" w:cs="Arial"/>
          <w:i/>
          <w:sz w:val="20"/>
        </w:rPr>
        <w:t>Sage Life Ltd v V</w:t>
      </w:r>
      <w:r>
        <w:rPr>
          <w:rFonts w:ascii="Arial" w:hAnsi="Arial" w:cs="Arial"/>
          <w:i/>
          <w:sz w:val="20"/>
        </w:rPr>
        <w:t xml:space="preserve">an der Merwe </w:t>
      </w:r>
      <w:r>
        <w:rPr>
          <w:rFonts w:ascii="Arial" w:hAnsi="Arial" w:cs="Arial"/>
          <w:sz w:val="20"/>
        </w:rPr>
        <w:t>2001 (2) SA 166 (W).</w:t>
      </w:r>
    </w:p>
  </w:footnote>
  <w:footnote w:id="5">
    <w:p w14:paraId="57116BB2" w14:textId="3163E530" w:rsidR="00016917" w:rsidRPr="002F2D87" w:rsidRDefault="00016917">
      <w:pPr>
        <w:pStyle w:val="FootnoteText"/>
        <w:rPr>
          <w:rFonts w:ascii="Arial" w:hAnsi="Arial" w:cs="Arial"/>
          <w:sz w:val="20"/>
          <w:lang w:val="en-US"/>
        </w:rPr>
      </w:pPr>
      <w:r w:rsidRPr="002F2D87">
        <w:rPr>
          <w:rStyle w:val="FootnoteReference"/>
          <w:rFonts w:ascii="Arial" w:hAnsi="Arial" w:cs="Arial"/>
          <w:sz w:val="20"/>
        </w:rPr>
        <w:footnoteRef/>
      </w:r>
      <w:r w:rsidRPr="002F2D87">
        <w:rPr>
          <w:rFonts w:ascii="Arial" w:hAnsi="Arial" w:cs="Arial"/>
          <w:sz w:val="20"/>
        </w:rPr>
        <w:t xml:space="preserve"> </w:t>
      </w:r>
      <w:r>
        <w:rPr>
          <w:rFonts w:ascii="Arial" w:hAnsi="Arial" w:cs="Arial"/>
          <w:i/>
          <w:sz w:val="20"/>
        </w:rPr>
        <w:t xml:space="preserve">Sage Life </w:t>
      </w:r>
      <w:r>
        <w:rPr>
          <w:rFonts w:ascii="Arial" w:hAnsi="Arial" w:cs="Arial"/>
          <w:sz w:val="20"/>
        </w:rPr>
        <w:t>ibid at 168H-I.</w:t>
      </w:r>
    </w:p>
  </w:footnote>
  <w:footnote w:id="6">
    <w:p w14:paraId="7537BCD8" w14:textId="70C55F0F" w:rsidR="00016917" w:rsidRPr="002F2D87" w:rsidRDefault="00016917">
      <w:pPr>
        <w:pStyle w:val="FootnoteText"/>
        <w:rPr>
          <w:rFonts w:ascii="Arial" w:hAnsi="Arial" w:cs="Arial"/>
          <w:sz w:val="20"/>
          <w:lang w:val="en-US"/>
        </w:rPr>
      </w:pPr>
      <w:r w:rsidRPr="002F2D87">
        <w:rPr>
          <w:rStyle w:val="FootnoteReference"/>
          <w:rFonts w:ascii="Arial" w:hAnsi="Arial" w:cs="Arial"/>
          <w:sz w:val="20"/>
        </w:rPr>
        <w:footnoteRef/>
      </w:r>
      <w:r w:rsidRPr="002F2D87">
        <w:rPr>
          <w:rFonts w:ascii="Arial" w:hAnsi="Arial" w:cs="Arial"/>
          <w:sz w:val="20"/>
        </w:rPr>
        <w:t xml:space="preserve"> </w:t>
      </w:r>
      <w:r>
        <w:rPr>
          <w:rFonts w:ascii="Arial" w:hAnsi="Arial" w:cs="Arial"/>
          <w:i/>
          <w:sz w:val="20"/>
        </w:rPr>
        <w:t xml:space="preserve">Sage Life </w:t>
      </w:r>
      <w:r>
        <w:rPr>
          <w:rFonts w:ascii="Arial" w:hAnsi="Arial" w:cs="Arial"/>
          <w:sz w:val="20"/>
        </w:rPr>
        <w:t>note 4 above at 169A.</w:t>
      </w:r>
    </w:p>
  </w:footnote>
  <w:footnote w:id="7">
    <w:p w14:paraId="33979224" w14:textId="0336CDD9" w:rsidR="00016917" w:rsidRPr="00135B24" w:rsidRDefault="00016917">
      <w:pPr>
        <w:pStyle w:val="FootnoteText"/>
        <w:rPr>
          <w:rFonts w:ascii="Arial" w:hAnsi="Arial" w:cs="Arial"/>
          <w:b/>
          <w:sz w:val="20"/>
          <w:lang w:val="en-US"/>
        </w:rPr>
      </w:pPr>
      <w:r w:rsidRPr="00135B24">
        <w:rPr>
          <w:rStyle w:val="FootnoteReference"/>
          <w:rFonts w:ascii="Arial" w:hAnsi="Arial" w:cs="Arial"/>
          <w:sz w:val="20"/>
        </w:rPr>
        <w:footnoteRef/>
      </w:r>
      <w:r w:rsidRPr="00135B24">
        <w:rPr>
          <w:rFonts w:ascii="Arial" w:hAnsi="Arial" w:cs="Arial"/>
          <w:sz w:val="20"/>
        </w:rPr>
        <w:t xml:space="preserve"> </w:t>
      </w:r>
      <w:r w:rsidRPr="00135B24">
        <w:rPr>
          <w:rFonts w:ascii="Arial" w:hAnsi="Arial" w:cs="Arial"/>
          <w:i/>
          <w:iCs/>
          <w:sz w:val="20"/>
          <w:lang w:val="en-GB"/>
        </w:rPr>
        <w:t xml:space="preserve">Natal Joint Municipal Pension Fund v </w:t>
      </w:r>
      <w:proofErr w:type="spellStart"/>
      <w:r w:rsidRPr="00135B24">
        <w:rPr>
          <w:rFonts w:ascii="Arial" w:hAnsi="Arial" w:cs="Arial"/>
          <w:i/>
          <w:iCs/>
          <w:sz w:val="20"/>
          <w:lang w:val="en-GB"/>
        </w:rPr>
        <w:t>Endumeni</w:t>
      </w:r>
      <w:proofErr w:type="spellEnd"/>
      <w:r w:rsidRPr="00135B24">
        <w:rPr>
          <w:rFonts w:ascii="Arial" w:hAnsi="Arial" w:cs="Arial"/>
          <w:i/>
          <w:iCs/>
          <w:sz w:val="20"/>
          <w:lang w:val="en-GB"/>
        </w:rPr>
        <w:t xml:space="preserve"> Municipality</w:t>
      </w:r>
      <w:r>
        <w:rPr>
          <w:rFonts w:ascii="Arial" w:hAnsi="Arial" w:cs="Arial"/>
          <w:i/>
          <w:iCs/>
          <w:sz w:val="20"/>
          <w:lang w:val="en-GB"/>
        </w:rPr>
        <w:t xml:space="preserve"> </w:t>
      </w:r>
      <w:r>
        <w:rPr>
          <w:rFonts w:ascii="Arial" w:hAnsi="Arial" w:cs="Arial"/>
          <w:iCs/>
          <w:sz w:val="20"/>
          <w:lang w:val="en-GB"/>
        </w:rPr>
        <w:t>[2012] 2 ALL SA 262 (SCA); 2012 (4) SA 593 (SCA) para 18.</w:t>
      </w:r>
    </w:p>
  </w:footnote>
  <w:footnote w:id="8">
    <w:p w14:paraId="042C57E6" w14:textId="1B7027D8" w:rsidR="00016917" w:rsidRPr="00E24C24" w:rsidRDefault="00016917">
      <w:pPr>
        <w:pStyle w:val="FootnoteText"/>
        <w:rPr>
          <w:rFonts w:ascii="Arial" w:hAnsi="Arial" w:cs="Arial"/>
          <w:sz w:val="20"/>
          <w:lang w:val="en-US"/>
        </w:rPr>
      </w:pPr>
      <w:r w:rsidRPr="00225EDD">
        <w:rPr>
          <w:rStyle w:val="FootnoteReference"/>
          <w:rFonts w:ascii="Arial" w:hAnsi="Arial" w:cs="Arial"/>
          <w:sz w:val="20"/>
        </w:rPr>
        <w:footnoteRef/>
      </w:r>
      <w:r w:rsidRPr="00225EDD">
        <w:rPr>
          <w:rFonts w:ascii="Arial" w:hAnsi="Arial" w:cs="Arial"/>
          <w:sz w:val="20"/>
        </w:rPr>
        <w:t xml:space="preserve"> </w:t>
      </w:r>
      <w:proofErr w:type="spellStart"/>
      <w:r w:rsidRPr="00225EDD">
        <w:rPr>
          <w:rFonts w:ascii="Arial" w:hAnsi="Arial" w:cs="Arial"/>
          <w:i/>
          <w:iCs/>
          <w:sz w:val="20"/>
          <w:shd w:val="clear" w:color="auto" w:fill="FFFFFF"/>
        </w:rPr>
        <w:t>Capitec</w:t>
      </w:r>
      <w:proofErr w:type="spellEnd"/>
      <w:r w:rsidRPr="00225EDD">
        <w:rPr>
          <w:rFonts w:ascii="Arial" w:hAnsi="Arial" w:cs="Arial"/>
          <w:i/>
          <w:iCs/>
          <w:sz w:val="20"/>
          <w:shd w:val="clear" w:color="auto" w:fill="FFFFFF"/>
        </w:rPr>
        <w:t xml:space="preserve"> Bank Holdings Limited and Another v Coral Lagoon Investments 194 (Pty) Ltd and Others </w:t>
      </w:r>
      <w:r w:rsidRPr="00225EDD">
        <w:rPr>
          <w:rFonts w:ascii="Arial" w:hAnsi="Arial" w:cs="Arial"/>
          <w:sz w:val="20"/>
          <w:shd w:val="clear" w:color="auto" w:fill="FFFFFF"/>
        </w:rPr>
        <w:t>2022 (1) SA 100 (SCA)</w:t>
      </w:r>
      <w:r w:rsidR="00CD23B0">
        <w:rPr>
          <w:rFonts w:ascii="Arial" w:hAnsi="Arial" w:cs="Arial"/>
          <w:sz w:val="20"/>
          <w:shd w:val="clear" w:color="auto" w:fill="FFFFFF"/>
        </w:rPr>
        <w:t>.</w:t>
      </w:r>
    </w:p>
  </w:footnote>
  <w:footnote w:id="9">
    <w:p w14:paraId="040E16A8" w14:textId="221F191B" w:rsidR="00016917" w:rsidRPr="006E54C3" w:rsidRDefault="00016917">
      <w:pPr>
        <w:pStyle w:val="FootnoteText"/>
        <w:rPr>
          <w:rFonts w:ascii="Arial" w:hAnsi="Arial" w:cs="Arial"/>
          <w:sz w:val="20"/>
          <w:lang w:val="en-US"/>
        </w:rPr>
      </w:pPr>
      <w:r w:rsidRPr="006E54C3">
        <w:rPr>
          <w:rStyle w:val="FootnoteReference"/>
          <w:rFonts w:ascii="Arial" w:hAnsi="Arial" w:cs="Arial"/>
          <w:sz w:val="20"/>
        </w:rPr>
        <w:footnoteRef/>
      </w:r>
      <w:r w:rsidRPr="006E54C3">
        <w:rPr>
          <w:rFonts w:ascii="Arial" w:hAnsi="Arial" w:cs="Arial"/>
          <w:sz w:val="20"/>
        </w:rPr>
        <w:t xml:space="preserve"> </w:t>
      </w:r>
      <w:proofErr w:type="spellStart"/>
      <w:r w:rsidRPr="006E54C3">
        <w:rPr>
          <w:rFonts w:ascii="Arial" w:hAnsi="Arial" w:cs="Arial"/>
          <w:i/>
          <w:iCs/>
          <w:color w:val="242121"/>
          <w:sz w:val="20"/>
          <w:shd w:val="clear" w:color="auto" w:fill="FFFFFF"/>
        </w:rPr>
        <w:t>Plascon</w:t>
      </w:r>
      <w:proofErr w:type="spellEnd"/>
      <w:r w:rsidR="00A05D92">
        <w:rPr>
          <w:rFonts w:ascii="Arial" w:hAnsi="Arial" w:cs="Arial"/>
          <w:i/>
          <w:iCs/>
          <w:color w:val="242121"/>
          <w:sz w:val="20"/>
          <w:shd w:val="clear" w:color="auto" w:fill="FFFFFF"/>
        </w:rPr>
        <w:t>-</w:t>
      </w:r>
      <w:r w:rsidRPr="006E54C3">
        <w:rPr>
          <w:rFonts w:ascii="Arial" w:hAnsi="Arial" w:cs="Arial"/>
          <w:i/>
          <w:iCs/>
          <w:color w:val="242121"/>
          <w:sz w:val="20"/>
          <w:shd w:val="clear" w:color="auto" w:fill="FFFFFF"/>
        </w:rPr>
        <w:t>Evans</w:t>
      </w:r>
      <w:r w:rsidR="00A05D92">
        <w:rPr>
          <w:rFonts w:ascii="Arial" w:hAnsi="Arial" w:cs="Arial"/>
          <w:i/>
          <w:iCs/>
          <w:color w:val="242121"/>
          <w:sz w:val="20"/>
          <w:shd w:val="clear" w:color="auto" w:fill="FFFFFF"/>
        </w:rPr>
        <w:t xml:space="preserve"> Paints Ltd</w:t>
      </w:r>
      <w:r w:rsidRPr="006E54C3">
        <w:rPr>
          <w:rFonts w:ascii="Arial" w:hAnsi="Arial" w:cs="Arial"/>
          <w:i/>
          <w:iCs/>
          <w:color w:val="242121"/>
          <w:sz w:val="20"/>
          <w:shd w:val="clear" w:color="auto" w:fill="FFFFFF"/>
        </w:rPr>
        <w:t xml:space="preserve"> v Van </w:t>
      </w:r>
      <w:proofErr w:type="spellStart"/>
      <w:r w:rsidRPr="006E54C3">
        <w:rPr>
          <w:rFonts w:ascii="Arial" w:hAnsi="Arial" w:cs="Arial"/>
          <w:i/>
          <w:iCs/>
          <w:color w:val="242121"/>
          <w:sz w:val="20"/>
          <w:shd w:val="clear" w:color="auto" w:fill="FFFFFF"/>
        </w:rPr>
        <w:t>Riebeeck</w:t>
      </w:r>
      <w:proofErr w:type="spellEnd"/>
      <w:r w:rsidRPr="006E54C3">
        <w:rPr>
          <w:rFonts w:ascii="Arial" w:hAnsi="Arial" w:cs="Arial"/>
          <w:i/>
          <w:iCs/>
          <w:color w:val="242121"/>
          <w:sz w:val="20"/>
          <w:shd w:val="clear" w:color="auto" w:fill="FFFFFF"/>
        </w:rPr>
        <w:t xml:space="preserve"> Paints</w:t>
      </w:r>
      <w:r w:rsidR="00A05D92">
        <w:rPr>
          <w:rFonts w:ascii="Arial" w:hAnsi="Arial" w:cs="Arial"/>
          <w:i/>
          <w:iCs/>
          <w:color w:val="242121"/>
          <w:sz w:val="20"/>
          <w:shd w:val="clear" w:color="auto" w:fill="FFFFFF"/>
        </w:rPr>
        <w:t xml:space="preserve"> (Pty) Ltd</w:t>
      </w:r>
      <w:r w:rsidRPr="006E54C3">
        <w:rPr>
          <w:rFonts w:ascii="Arial" w:hAnsi="Arial" w:cs="Arial"/>
          <w:i/>
          <w:sz w:val="20"/>
        </w:rPr>
        <w:t xml:space="preserve"> </w:t>
      </w:r>
      <w:r>
        <w:rPr>
          <w:rFonts w:ascii="Arial" w:hAnsi="Arial" w:cs="Arial"/>
          <w:sz w:val="20"/>
        </w:rPr>
        <w:t xml:space="preserve">[1984] ZASCA 51; </w:t>
      </w:r>
      <w:r w:rsidR="00A05D92">
        <w:rPr>
          <w:rFonts w:ascii="Arial" w:hAnsi="Arial" w:cs="Arial"/>
          <w:sz w:val="20"/>
        </w:rPr>
        <w:t>1984 (3) SA 623 (A) at 634E-635D</w:t>
      </w:r>
      <w:r>
        <w:rPr>
          <w:rFonts w:ascii="Arial" w:hAnsi="Arial" w:cs="Arial"/>
          <w:sz w:val="20"/>
        </w:rPr>
        <w:t>.</w:t>
      </w:r>
    </w:p>
  </w:footnote>
  <w:footnote w:id="10">
    <w:p w14:paraId="7C529CCB" w14:textId="2C79C2BF" w:rsidR="00016917" w:rsidRPr="00016917" w:rsidRDefault="00016917">
      <w:pPr>
        <w:pStyle w:val="FootnoteText"/>
        <w:rPr>
          <w:rFonts w:ascii="Arial" w:hAnsi="Arial" w:cs="Arial"/>
          <w:sz w:val="18"/>
          <w:szCs w:val="18"/>
          <w:lang w:val="en-US"/>
        </w:rPr>
      </w:pPr>
      <w:r w:rsidRPr="00016917">
        <w:rPr>
          <w:rStyle w:val="FootnoteReference"/>
          <w:rFonts w:ascii="Arial" w:hAnsi="Arial" w:cs="Arial"/>
          <w:sz w:val="18"/>
          <w:szCs w:val="18"/>
        </w:rPr>
        <w:footnoteRef/>
      </w:r>
      <w:r w:rsidRPr="00016917">
        <w:rPr>
          <w:rFonts w:ascii="Arial" w:hAnsi="Arial" w:cs="Arial"/>
          <w:sz w:val="18"/>
          <w:szCs w:val="18"/>
        </w:rPr>
        <w:t xml:space="preserve"> </w:t>
      </w:r>
      <w:proofErr w:type="spellStart"/>
      <w:r>
        <w:rPr>
          <w:rFonts w:ascii="Arial" w:hAnsi="Arial" w:cs="Arial"/>
          <w:i/>
          <w:sz w:val="18"/>
          <w:szCs w:val="18"/>
        </w:rPr>
        <w:t>Plascon</w:t>
      </w:r>
      <w:proofErr w:type="spellEnd"/>
      <w:r>
        <w:rPr>
          <w:rFonts w:ascii="Arial" w:hAnsi="Arial" w:cs="Arial"/>
          <w:i/>
          <w:sz w:val="18"/>
          <w:szCs w:val="18"/>
        </w:rPr>
        <w:t xml:space="preserve"> Evans </w:t>
      </w:r>
      <w:r>
        <w:rPr>
          <w:rFonts w:ascii="Arial" w:hAnsi="Arial" w:cs="Arial"/>
          <w:sz w:val="18"/>
          <w:szCs w:val="18"/>
        </w:rPr>
        <w:t>ibid.</w:t>
      </w:r>
    </w:p>
  </w:footnote>
  <w:footnote w:id="11">
    <w:p w14:paraId="640CDA50" w14:textId="53830607" w:rsidR="00016917" w:rsidRPr="00A442D6" w:rsidRDefault="00016917">
      <w:pPr>
        <w:pStyle w:val="FootnoteText"/>
        <w:rPr>
          <w:rFonts w:ascii="Arial" w:hAnsi="Arial" w:cs="Arial"/>
          <w:i/>
          <w:sz w:val="20"/>
          <w:lang w:val="en-US"/>
        </w:rPr>
      </w:pPr>
      <w:r w:rsidRPr="00A442D6">
        <w:rPr>
          <w:rStyle w:val="FootnoteReference"/>
          <w:rFonts w:ascii="Arial" w:hAnsi="Arial" w:cs="Arial"/>
          <w:i/>
          <w:sz w:val="20"/>
        </w:rPr>
        <w:footnoteRef/>
      </w:r>
      <w:r w:rsidRPr="00A442D6">
        <w:rPr>
          <w:rFonts w:ascii="Arial" w:hAnsi="Arial" w:cs="Arial"/>
          <w:i/>
          <w:sz w:val="20"/>
        </w:rPr>
        <w:t xml:space="preserve"> </w:t>
      </w:r>
      <w:r w:rsidRPr="00A442D6">
        <w:rPr>
          <w:rFonts w:ascii="Arial" w:hAnsi="Arial" w:cs="Arial"/>
          <w:i/>
          <w:sz w:val="20"/>
          <w:lang w:eastAsia="en-ZA"/>
        </w:rPr>
        <w:t xml:space="preserve">Faber v </w:t>
      </w:r>
      <w:proofErr w:type="spellStart"/>
      <w:r w:rsidRPr="00A442D6">
        <w:rPr>
          <w:rFonts w:ascii="Arial" w:hAnsi="Arial" w:cs="Arial"/>
          <w:i/>
          <w:sz w:val="20"/>
          <w:lang w:eastAsia="en-ZA"/>
        </w:rPr>
        <w:t>Nazerian</w:t>
      </w:r>
      <w:proofErr w:type="spellEnd"/>
      <w:r w:rsidRPr="00A442D6">
        <w:rPr>
          <w:rFonts w:ascii="Arial" w:hAnsi="Arial" w:cs="Arial"/>
          <w:i/>
          <w:sz w:val="20"/>
          <w:lang w:eastAsia="en-ZA"/>
        </w:rPr>
        <w:t xml:space="preserve"> </w:t>
      </w:r>
      <w:r w:rsidRPr="00A442D6">
        <w:rPr>
          <w:rFonts w:ascii="Arial" w:hAnsi="Arial" w:cs="Arial"/>
          <w:sz w:val="20"/>
          <w:lang w:eastAsia="en-ZA"/>
        </w:rPr>
        <w:t>(2012/42735) [2013] ZAGPJHC 65 (15 April 2013)</w:t>
      </w:r>
      <w:r>
        <w:rPr>
          <w:rFonts w:ascii="Arial" w:hAnsi="Arial" w:cs="Arial"/>
          <w:sz w:val="20"/>
          <w:lang w:eastAsia="en-ZA"/>
        </w:rPr>
        <w:t>.</w:t>
      </w:r>
    </w:p>
  </w:footnote>
  <w:footnote w:id="12">
    <w:p w14:paraId="604EE27A" w14:textId="4F204AB7" w:rsidR="00016917" w:rsidRPr="00701229" w:rsidRDefault="00016917">
      <w:pPr>
        <w:pStyle w:val="FootnoteText"/>
        <w:rPr>
          <w:rFonts w:ascii="Arial" w:hAnsi="Arial" w:cs="Arial"/>
          <w:sz w:val="20"/>
          <w:lang w:val="en-US"/>
        </w:rPr>
      </w:pPr>
      <w:r w:rsidRPr="00701229">
        <w:rPr>
          <w:rStyle w:val="FootnoteReference"/>
          <w:rFonts w:ascii="Arial" w:hAnsi="Arial" w:cs="Arial"/>
          <w:sz w:val="20"/>
        </w:rPr>
        <w:footnoteRef/>
      </w:r>
      <w:r w:rsidRPr="00701229">
        <w:rPr>
          <w:rFonts w:ascii="Arial" w:hAnsi="Arial" w:cs="Arial"/>
          <w:sz w:val="20"/>
        </w:rPr>
        <w:t xml:space="preserve"> </w:t>
      </w:r>
      <w:r>
        <w:rPr>
          <w:rFonts w:ascii="Arial" w:hAnsi="Arial" w:cs="Arial"/>
          <w:i/>
          <w:sz w:val="20"/>
        </w:rPr>
        <w:t xml:space="preserve">Faber </w:t>
      </w:r>
      <w:r>
        <w:rPr>
          <w:rFonts w:ascii="Arial" w:hAnsi="Arial" w:cs="Arial"/>
          <w:sz w:val="20"/>
        </w:rPr>
        <w:t>ibid para 22.</w:t>
      </w:r>
    </w:p>
  </w:footnote>
  <w:footnote w:id="13">
    <w:p w14:paraId="5FC1C94A" w14:textId="10BB301E" w:rsidR="00016917" w:rsidRPr="00D429BF" w:rsidRDefault="00016917" w:rsidP="00A56841">
      <w:pPr>
        <w:pStyle w:val="FootnoteText"/>
        <w:rPr>
          <w:rFonts w:ascii="Arial" w:hAnsi="Arial" w:cs="Arial"/>
          <w:sz w:val="20"/>
          <w:lang w:val="en-US"/>
        </w:rPr>
      </w:pPr>
      <w:r w:rsidRPr="00D429BF">
        <w:rPr>
          <w:rStyle w:val="FootnoteReference"/>
          <w:rFonts w:ascii="Arial" w:hAnsi="Arial" w:cs="Arial"/>
          <w:i/>
          <w:sz w:val="20"/>
        </w:rPr>
        <w:footnoteRef/>
      </w:r>
      <w:r w:rsidRPr="00D429BF">
        <w:rPr>
          <w:rFonts w:ascii="Arial" w:hAnsi="Arial" w:cs="Arial"/>
          <w:i/>
          <w:sz w:val="20"/>
        </w:rPr>
        <w:t xml:space="preserve"> </w:t>
      </w:r>
      <w:r w:rsidRPr="00D429BF">
        <w:rPr>
          <w:rFonts w:ascii="Arial" w:hAnsi="Arial" w:cs="Arial"/>
          <w:i/>
          <w:iCs/>
          <w:color w:val="242121"/>
          <w:sz w:val="20"/>
          <w:shd w:val="clear" w:color="auto" w:fill="FFFFFF"/>
        </w:rPr>
        <w:t>Poseidon Ships Agencies (Pty) Ltd v African Coaling and Exporting Co (Durban) (Pty) Ltd and Another</w:t>
      </w:r>
      <w:r>
        <w:rPr>
          <w:rFonts w:ascii="Arial" w:hAnsi="Arial" w:cs="Arial"/>
          <w:i/>
          <w:iCs/>
          <w:color w:val="242121"/>
          <w:sz w:val="20"/>
          <w:shd w:val="clear" w:color="auto" w:fill="FFFFFF"/>
        </w:rPr>
        <w:t xml:space="preserve"> </w:t>
      </w:r>
      <w:r>
        <w:rPr>
          <w:rFonts w:ascii="Arial" w:hAnsi="Arial" w:cs="Arial"/>
          <w:iCs/>
          <w:color w:val="242121"/>
          <w:sz w:val="20"/>
          <w:shd w:val="clear" w:color="auto" w:fill="FFFFFF"/>
        </w:rPr>
        <w:t xml:space="preserve">1980 (1) SA </w:t>
      </w:r>
      <w:r w:rsidR="00F57E2A">
        <w:rPr>
          <w:rFonts w:ascii="Arial" w:hAnsi="Arial" w:cs="Arial"/>
          <w:iCs/>
          <w:color w:val="242121"/>
          <w:sz w:val="20"/>
          <w:shd w:val="clear" w:color="auto" w:fill="FFFFFF"/>
        </w:rPr>
        <w:t>313 (</w:t>
      </w:r>
      <w:r>
        <w:rPr>
          <w:rFonts w:ascii="Arial" w:hAnsi="Arial" w:cs="Arial"/>
          <w:iCs/>
          <w:color w:val="242121"/>
          <w:sz w:val="20"/>
          <w:shd w:val="clear" w:color="auto" w:fill="FFFFFF"/>
        </w:rPr>
        <w:t>D) at 315H-316A.</w:t>
      </w:r>
    </w:p>
  </w:footnote>
  <w:footnote w:id="14">
    <w:p w14:paraId="41D41AFD" w14:textId="2F5338C1" w:rsidR="00016917" w:rsidRPr="00A56841" w:rsidRDefault="00016917">
      <w:pPr>
        <w:pStyle w:val="FootnoteText"/>
        <w:rPr>
          <w:rFonts w:ascii="Arial" w:hAnsi="Arial" w:cs="Arial"/>
          <w:sz w:val="20"/>
          <w:lang w:val="en-US"/>
        </w:rPr>
      </w:pPr>
      <w:r w:rsidRPr="00A56841">
        <w:rPr>
          <w:rStyle w:val="FootnoteReference"/>
          <w:rFonts w:ascii="Arial" w:hAnsi="Arial" w:cs="Arial"/>
          <w:sz w:val="20"/>
        </w:rPr>
        <w:footnoteRef/>
      </w:r>
      <w:r w:rsidRPr="00A56841">
        <w:rPr>
          <w:rFonts w:ascii="Arial" w:hAnsi="Arial" w:cs="Arial"/>
          <w:sz w:val="20"/>
        </w:rPr>
        <w:t xml:space="preserve"> </w:t>
      </w:r>
      <w:r>
        <w:rPr>
          <w:rFonts w:ascii="Arial" w:hAnsi="Arial" w:cs="Arial"/>
          <w:i/>
          <w:sz w:val="20"/>
        </w:rPr>
        <w:t xml:space="preserve">Faber </w:t>
      </w:r>
      <w:r w:rsidR="00CD23B0">
        <w:rPr>
          <w:rFonts w:ascii="Arial" w:hAnsi="Arial" w:cs="Arial"/>
          <w:sz w:val="20"/>
        </w:rPr>
        <w:t>note 11</w:t>
      </w:r>
      <w:r>
        <w:rPr>
          <w:rFonts w:ascii="Arial" w:hAnsi="Arial" w:cs="Arial"/>
          <w:sz w:val="20"/>
        </w:rPr>
        <w:t xml:space="preserve"> above para 25.</w:t>
      </w:r>
    </w:p>
  </w:footnote>
  <w:footnote w:id="15">
    <w:p w14:paraId="29CC1D33" w14:textId="77777777" w:rsidR="00016917" w:rsidRPr="006059FA" w:rsidRDefault="00016917" w:rsidP="00A36EC9">
      <w:pPr>
        <w:pStyle w:val="FootnoteText"/>
        <w:rPr>
          <w:rFonts w:ascii="Arial" w:hAnsi="Arial" w:cs="Arial"/>
          <w:sz w:val="20"/>
          <w:lang w:val="en-US"/>
        </w:rPr>
      </w:pPr>
      <w:r w:rsidRPr="006059FA">
        <w:rPr>
          <w:rStyle w:val="FootnoteReference"/>
          <w:rFonts w:ascii="Arial" w:hAnsi="Arial" w:cs="Arial"/>
          <w:i/>
          <w:sz w:val="20"/>
        </w:rPr>
        <w:footnoteRef/>
      </w:r>
      <w:r w:rsidRPr="006059FA">
        <w:rPr>
          <w:rFonts w:ascii="Arial" w:hAnsi="Arial" w:cs="Arial"/>
          <w:i/>
          <w:sz w:val="20"/>
        </w:rPr>
        <w:t xml:space="preserve"> Four Wheel Drive CC v </w:t>
      </w:r>
      <w:proofErr w:type="spellStart"/>
      <w:r w:rsidRPr="006059FA">
        <w:rPr>
          <w:rFonts w:ascii="Arial" w:hAnsi="Arial" w:cs="Arial"/>
          <w:i/>
          <w:sz w:val="20"/>
        </w:rPr>
        <w:t>Leshni</w:t>
      </w:r>
      <w:proofErr w:type="spellEnd"/>
      <w:r w:rsidRPr="006059FA">
        <w:rPr>
          <w:rFonts w:ascii="Arial" w:hAnsi="Arial" w:cs="Arial"/>
          <w:i/>
          <w:sz w:val="20"/>
        </w:rPr>
        <w:t xml:space="preserve"> Rattan NO </w:t>
      </w:r>
      <w:r w:rsidRPr="006059FA">
        <w:rPr>
          <w:rFonts w:ascii="Arial" w:hAnsi="Arial" w:cs="Arial"/>
          <w:sz w:val="20"/>
        </w:rPr>
        <w:t>(1048/17) [2018] ZASCA 124 (26 September 2018)</w:t>
      </w:r>
      <w:r>
        <w:rPr>
          <w:rFonts w:ascii="Arial" w:hAnsi="Arial" w:cs="Arial"/>
          <w:sz w:val="20"/>
        </w:rPr>
        <w:t xml:space="preserve"> para 7.</w:t>
      </w:r>
    </w:p>
  </w:footnote>
  <w:footnote w:id="16">
    <w:p w14:paraId="1688FA8E" w14:textId="77777777" w:rsidR="00016917" w:rsidRPr="008B5120" w:rsidRDefault="00016917" w:rsidP="00A36EC9">
      <w:pPr>
        <w:pStyle w:val="FootnoteText"/>
        <w:rPr>
          <w:rFonts w:ascii="Arial" w:hAnsi="Arial" w:cs="Arial"/>
          <w:sz w:val="20"/>
          <w:lang w:val="en-US"/>
        </w:rPr>
      </w:pPr>
      <w:r w:rsidRPr="008B5120">
        <w:rPr>
          <w:rStyle w:val="FootnoteReference"/>
          <w:rFonts w:ascii="Arial" w:hAnsi="Arial" w:cs="Arial"/>
          <w:sz w:val="20"/>
        </w:rPr>
        <w:footnoteRef/>
      </w:r>
      <w:r w:rsidRPr="008B5120">
        <w:rPr>
          <w:rFonts w:ascii="Arial" w:hAnsi="Arial" w:cs="Arial"/>
          <w:sz w:val="20"/>
        </w:rPr>
        <w:t xml:space="preserve"> </w:t>
      </w:r>
      <w:r w:rsidRPr="006059FA">
        <w:rPr>
          <w:rFonts w:ascii="Arial" w:hAnsi="Arial" w:cs="Arial"/>
          <w:i/>
          <w:sz w:val="20"/>
        </w:rPr>
        <w:t>Four Wheel Drive CC</w:t>
      </w:r>
      <w:r>
        <w:rPr>
          <w:rFonts w:ascii="Arial" w:hAnsi="Arial" w:cs="Arial"/>
          <w:i/>
          <w:sz w:val="20"/>
        </w:rPr>
        <w:t xml:space="preserve"> </w:t>
      </w:r>
      <w:r>
        <w:rPr>
          <w:rFonts w:ascii="Arial" w:hAnsi="Arial" w:cs="Arial"/>
          <w:sz w:val="20"/>
        </w:rPr>
        <w:t>ibid at para 8.</w:t>
      </w:r>
    </w:p>
  </w:footnote>
  <w:footnote w:id="17">
    <w:p w14:paraId="2000E8F0" w14:textId="1DA9000D" w:rsidR="00016917" w:rsidRPr="007F7A8F" w:rsidRDefault="00016917" w:rsidP="00A36EC9">
      <w:pPr>
        <w:pStyle w:val="FootnoteText"/>
        <w:rPr>
          <w:rFonts w:ascii="Arial" w:hAnsi="Arial" w:cs="Arial"/>
          <w:sz w:val="20"/>
          <w:lang w:val="en-US"/>
        </w:rPr>
      </w:pPr>
      <w:r w:rsidRPr="007F7A8F">
        <w:rPr>
          <w:rStyle w:val="FootnoteReference"/>
          <w:rFonts w:ascii="Arial" w:hAnsi="Arial" w:cs="Arial"/>
          <w:sz w:val="20"/>
        </w:rPr>
        <w:footnoteRef/>
      </w:r>
      <w:r w:rsidRPr="007F7A8F">
        <w:rPr>
          <w:rFonts w:ascii="Arial" w:hAnsi="Arial" w:cs="Arial"/>
          <w:sz w:val="20"/>
        </w:rPr>
        <w:t xml:space="preserve"> </w:t>
      </w:r>
      <w:r w:rsidRPr="006059FA">
        <w:rPr>
          <w:rFonts w:ascii="Arial" w:hAnsi="Arial" w:cs="Arial"/>
          <w:i/>
          <w:sz w:val="20"/>
        </w:rPr>
        <w:t>Four Wheel Drive CC</w:t>
      </w:r>
      <w:r>
        <w:rPr>
          <w:rFonts w:ascii="Arial" w:hAnsi="Arial" w:cs="Arial"/>
          <w:i/>
          <w:sz w:val="20"/>
        </w:rPr>
        <w:t xml:space="preserve"> </w:t>
      </w:r>
      <w:r>
        <w:rPr>
          <w:rFonts w:ascii="Arial" w:hAnsi="Arial" w:cs="Arial"/>
          <w:sz w:val="20"/>
        </w:rPr>
        <w:t>note 1</w:t>
      </w:r>
      <w:r w:rsidR="00CD23B0">
        <w:rPr>
          <w:rFonts w:ascii="Arial" w:hAnsi="Arial" w:cs="Arial"/>
          <w:sz w:val="20"/>
        </w:rPr>
        <w:t>5</w:t>
      </w:r>
      <w:r>
        <w:rPr>
          <w:rFonts w:ascii="Arial" w:hAnsi="Arial" w:cs="Arial"/>
          <w:sz w:val="20"/>
        </w:rPr>
        <w:t xml:space="preserve"> above at para 21 and 22.</w:t>
      </w:r>
    </w:p>
  </w:footnote>
  <w:footnote w:id="18">
    <w:p w14:paraId="498DB0DB" w14:textId="77777777" w:rsidR="006C6D95" w:rsidRPr="002C3A99" w:rsidRDefault="006C6D95" w:rsidP="006C6D95">
      <w:pPr>
        <w:pStyle w:val="FootnoteText"/>
        <w:rPr>
          <w:rFonts w:ascii="Arial" w:hAnsi="Arial" w:cs="Arial"/>
          <w:sz w:val="20"/>
          <w:lang w:val="en-US"/>
        </w:rPr>
      </w:pPr>
      <w:r w:rsidRPr="002C3A99">
        <w:rPr>
          <w:rStyle w:val="FootnoteReference"/>
          <w:rFonts w:ascii="Arial" w:hAnsi="Arial" w:cs="Arial"/>
          <w:sz w:val="20"/>
        </w:rPr>
        <w:footnoteRef/>
      </w:r>
      <w:r w:rsidRPr="002C3A99">
        <w:rPr>
          <w:rFonts w:ascii="Arial" w:hAnsi="Arial" w:cs="Arial"/>
          <w:sz w:val="20"/>
        </w:rPr>
        <w:t xml:space="preserve"> </w:t>
      </w:r>
      <w:r w:rsidRPr="002C3A99">
        <w:rPr>
          <w:rFonts w:ascii="Arial" w:hAnsi="Arial" w:cs="Arial"/>
          <w:i/>
          <w:sz w:val="20"/>
        </w:rPr>
        <w:t>Myers v Abramson</w:t>
      </w:r>
      <w:r w:rsidRPr="002C3A99">
        <w:rPr>
          <w:rFonts w:ascii="Arial" w:hAnsi="Arial" w:cs="Arial"/>
          <w:sz w:val="20"/>
        </w:rPr>
        <w:t>, 1951(3) SA 438 (C) at 455</w:t>
      </w:r>
      <w:r>
        <w:rPr>
          <w:rFonts w:ascii="Arial" w:hAnsi="Arial" w:cs="Arial"/>
          <w:sz w:val="20"/>
        </w:rPr>
        <w:t>.</w:t>
      </w:r>
    </w:p>
  </w:footnote>
  <w:footnote w:id="19">
    <w:p w14:paraId="186841DF" w14:textId="68EA0816" w:rsidR="006C6D95" w:rsidRPr="00754D93" w:rsidRDefault="006C6D95" w:rsidP="006C6D95">
      <w:pPr>
        <w:pStyle w:val="FootnoteText"/>
        <w:rPr>
          <w:rFonts w:ascii="Arial" w:hAnsi="Arial" w:cs="Arial"/>
          <w:sz w:val="20"/>
          <w:lang w:val="en-US"/>
        </w:rPr>
      </w:pPr>
      <w:r w:rsidRPr="00754D93">
        <w:rPr>
          <w:rStyle w:val="FootnoteReference"/>
          <w:rFonts w:ascii="Arial" w:hAnsi="Arial" w:cs="Arial"/>
          <w:sz w:val="20"/>
        </w:rPr>
        <w:footnoteRef/>
      </w:r>
      <w:r w:rsidR="00F57E2A">
        <w:rPr>
          <w:rFonts w:ascii="Arial" w:hAnsi="Arial" w:cs="Arial"/>
          <w:sz w:val="20"/>
        </w:rPr>
        <w:t xml:space="preserve"> </w:t>
      </w:r>
      <w:proofErr w:type="spellStart"/>
      <w:r w:rsidR="00F57E2A" w:rsidRPr="00F57E2A">
        <w:rPr>
          <w:rFonts w:ascii="Arial" w:hAnsi="Arial" w:cs="Arial"/>
          <w:i/>
          <w:sz w:val="20"/>
        </w:rPr>
        <w:t>Tjiroze</w:t>
      </w:r>
      <w:proofErr w:type="spellEnd"/>
      <w:r w:rsidR="00F57E2A" w:rsidRPr="00F57E2A">
        <w:rPr>
          <w:rFonts w:ascii="Arial" w:hAnsi="Arial" w:cs="Arial"/>
          <w:i/>
          <w:sz w:val="20"/>
        </w:rPr>
        <w:t xml:space="preserve"> v Appeal Board of the Financial Services Board</w:t>
      </w:r>
      <w:r w:rsidRPr="00754D93">
        <w:rPr>
          <w:rFonts w:ascii="Arial" w:hAnsi="Arial" w:cs="Arial"/>
          <w:sz w:val="20"/>
        </w:rPr>
        <w:t xml:space="preserve"> </w:t>
      </w:r>
      <w:r w:rsidRPr="00754D93">
        <w:rPr>
          <w:rFonts w:ascii="Arial" w:hAnsi="Arial" w:cs="Arial"/>
          <w:sz w:val="20"/>
          <w:lang w:val="en-US"/>
        </w:rPr>
        <w:t>[2020] ZACC 18.</w:t>
      </w:r>
    </w:p>
  </w:footnote>
  <w:footnote w:id="20">
    <w:p w14:paraId="72B3C54D" w14:textId="7336FAE3" w:rsidR="006C6D95" w:rsidRPr="0071536C" w:rsidRDefault="006C6D95" w:rsidP="006C6D95">
      <w:pPr>
        <w:pStyle w:val="FootnoteText"/>
        <w:rPr>
          <w:rFonts w:ascii="Arial" w:hAnsi="Arial" w:cs="Arial"/>
          <w:i/>
          <w:sz w:val="20"/>
          <w:lang w:val="en-US"/>
        </w:rPr>
      </w:pPr>
      <w:r w:rsidRPr="0071536C">
        <w:rPr>
          <w:rStyle w:val="FootnoteReference"/>
          <w:rFonts w:ascii="Arial" w:hAnsi="Arial" w:cs="Arial"/>
          <w:sz w:val="20"/>
        </w:rPr>
        <w:footnoteRef/>
      </w:r>
      <w:r w:rsidRPr="0071536C">
        <w:rPr>
          <w:rFonts w:ascii="Arial" w:hAnsi="Arial" w:cs="Arial"/>
          <w:sz w:val="20"/>
        </w:rPr>
        <w:t xml:space="preserve"> </w:t>
      </w:r>
      <w:proofErr w:type="spellStart"/>
      <w:r>
        <w:rPr>
          <w:rFonts w:ascii="Arial" w:hAnsi="Arial" w:cs="Arial"/>
          <w:i/>
          <w:sz w:val="20"/>
        </w:rPr>
        <w:t>Tjiroze</w:t>
      </w:r>
      <w:proofErr w:type="spellEnd"/>
      <w:r>
        <w:rPr>
          <w:rFonts w:ascii="Arial" w:hAnsi="Arial" w:cs="Arial"/>
          <w:i/>
          <w:sz w:val="20"/>
        </w:rPr>
        <w:t xml:space="preserve"> </w:t>
      </w:r>
      <w:r w:rsidR="00CD23B0">
        <w:rPr>
          <w:rFonts w:ascii="Arial" w:hAnsi="Arial" w:cs="Arial"/>
          <w:sz w:val="20"/>
        </w:rPr>
        <w:t xml:space="preserve">ibid </w:t>
      </w:r>
      <w:r>
        <w:rPr>
          <w:rFonts w:ascii="Arial" w:hAnsi="Arial" w:cs="Arial"/>
          <w:sz w:val="20"/>
        </w:rPr>
        <w:t xml:space="preserve">at </w:t>
      </w:r>
      <w:r w:rsidRPr="00F6579D">
        <w:rPr>
          <w:rFonts w:ascii="Arial" w:hAnsi="Arial" w:cs="Arial"/>
          <w:sz w:val="20"/>
        </w:rPr>
        <w:t>para</w:t>
      </w:r>
      <w:r>
        <w:rPr>
          <w:rFonts w:ascii="Arial" w:hAnsi="Arial" w:cs="Arial"/>
          <w:sz w:val="20"/>
        </w:rPr>
        <w:t xml:space="preserve"> 23.</w:t>
      </w:r>
      <w:r>
        <w:rPr>
          <w:rFonts w:ascii="Arial" w:hAnsi="Arial" w:cs="Arial"/>
          <w:i/>
          <w:sz w:val="20"/>
        </w:rPr>
        <w:t xml:space="preserve"> </w:t>
      </w:r>
    </w:p>
  </w:footnote>
  <w:footnote w:id="21">
    <w:p w14:paraId="75A50B23" w14:textId="77777777" w:rsidR="006C6D95" w:rsidRPr="00754D93" w:rsidRDefault="006C6D95" w:rsidP="006C6D95">
      <w:pPr>
        <w:pStyle w:val="FootnoteText"/>
        <w:rPr>
          <w:rFonts w:ascii="Arial" w:hAnsi="Arial" w:cs="Arial"/>
          <w:sz w:val="20"/>
          <w:lang w:val="en-US"/>
        </w:rPr>
      </w:pPr>
      <w:r w:rsidRPr="00754D93">
        <w:rPr>
          <w:rStyle w:val="FootnoteReference"/>
          <w:rFonts w:ascii="Arial" w:hAnsi="Arial" w:cs="Arial"/>
          <w:sz w:val="20"/>
        </w:rPr>
        <w:footnoteRef/>
      </w:r>
      <w:r w:rsidRPr="00754D93">
        <w:rPr>
          <w:rFonts w:ascii="Arial" w:hAnsi="Arial" w:cs="Arial"/>
          <w:sz w:val="20"/>
        </w:rPr>
        <w:t xml:space="preserve"> </w:t>
      </w:r>
      <w:proofErr w:type="spellStart"/>
      <w:r w:rsidRPr="00754D93">
        <w:rPr>
          <w:rFonts w:ascii="Arial" w:hAnsi="Arial" w:cs="Arial"/>
          <w:i/>
          <w:sz w:val="20"/>
          <w:lang w:val="en-US"/>
        </w:rPr>
        <w:t>Santam</w:t>
      </w:r>
      <w:proofErr w:type="spellEnd"/>
      <w:r w:rsidRPr="00754D93">
        <w:rPr>
          <w:rFonts w:ascii="Arial" w:hAnsi="Arial" w:cs="Arial"/>
          <w:i/>
          <w:sz w:val="20"/>
          <w:lang w:val="en-US"/>
        </w:rPr>
        <w:t xml:space="preserve"> Ltd and Others v </w:t>
      </w:r>
      <w:proofErr w:type="spellStart"/>
      <w:r w:rsidRPr="00754D93">
        <w:rPr>
          <w:rFonts w:ascii="Arial" w:hAnsi="Arial" w:cs="Arial"/>
          <w:i/>
          <w:sz w:val="20"/>
          <w:lang w:val="en-US"/>
        </w:rPr>
        <w:t>Bamber</w:t>
      </w:r>
      <w:proofErr w:type="spellEnd"/>
      <w:r w:rsidRPr="00754D93">
        <w:rPr>
          <w:rFonts w:ascii="Arial" w:hAnsi="Arial" w:cs="Arial"/>
          <w:i/>
          <w:sz w:val="20"/>
          <w:lang w:val="en-US"/>
        </w:rPr>
        <w:t xml:space="preserve"> </w:t>
      </w:r>
      <w:r w:rsidRPr="00754D93">
        <w:rPr>
          <w:rFonts w:ascii="Arial" w:hAnsi="Arial" w:cs="Arial"/>
          <w:sz w:val="20"/>
          <w:lang w:val="en-US"/>
        </w:rPr>
        <w:t>2005 (5) SA 209 (W) at 212B-C.</w:t>
      </w:r>
    </w:p>
  </w:footnote>
  <w:footnote w:id="22">
    <w:p w14:paraId="57A93AC5" w14:textId="77777777" w:rsidR="006C6D95" w:rsidRPr="00754D93" w:rsidRDefault="006C6D95" w:rsidP="006C6D95">
      <w:pPr>
        <w:pStyle w:val="FootnoteText"/>
        <w:rPr>
          <w:rFonts w:ascii="Arial" w:hAnsi="Arial" w:cs="Arial"/>
          <w:sz w:val="20"/>
          <w:lang w:val="en-US"/>
        </w:rPr>
      </w:pPr>
      <w:r w:rsidRPr="00754D93">
        <w:rPr>
          <w:rStyle w:val="FootnoteReference"/>
          <w:rFonts w:ascii="Arial" w:hAnsi="Arial" w:cs="Arial"/>
          <w:sz w:val="20"/>
        </w:rPr>
        <w:footnoteRef/>
      </w:r>
      <w:r w:rsidRPr="00754D93">
        <w:rPr>
          <w:rFonts w:ascii="Arial" w:hAnsi="Arial" w:cs="Arial"/>
          <w:sz w:val="20"/>
        </w:rPr>
        <w:t xml:space="preserve"> </w:t>
      </w:r>
      <w:r w:rsidRPr="00754D93">
        <w:rPr>
          <w:rFonts w:ascii="Arial" w:hAnsi="Arial" w:cs="Arial"/>
          <w:i/>
          <w:sz w:val="20"/>
          <w:lang w:val="en-US"/>
        </w:rPr>
        <w:t xml:space="preserve">South African Express Ltd v </w:t>
      </w:r>
      <w:proofErr w:type="spellStart"/>
      <w:r w:rsidRPr="00754D93">
        <w:rPr>
          <w:rFonts w:ascii="Arial" w:hAnsi="Arial" w:cs="Arial"/>
          <w:i/>
          <w:sz w:val="20"/>
          <w:lang w:val="en-US"/>
        </w:rPr>
        <w:t>Bagport</w:t>
      </w:r>
      <w:proofErr w:type="spellEnd"/>
      <w:r w:rsidRPr="00754D93">
        <w:rPr>
          <w:rFonts w:ascii="Arial" w:hAnsi="Arial" w:cs="Arial"/>
          <w:i/>
          <w:sz w:val="20"/>
          <w:lang w:val="en-US"/>
        </w:rPr>
        <w:t xml:space="preserve"> (Pty) Ltd </w:t>
      </w:r>
      <w:r w:rsidRPr="00754D93">
        <w:rPr>
          <w:rFonts w:ascii="Arial" w:hAnsi="Arial" w:cs="Arial"/>
          <w:sz w:val="20"/>
          <w:lang w:val="en-US"/>
        </w:rPr>
        <w:t xml:space="preserve">2020 (5) SA 404 (SCA) para 37; </w:t>
      </w:r>
      <w:proofErr w:type="spellStart"/>
      <w:r w:rsidRPr="00754D93">
        <w:rPr>
          <w:rFonts w:ascii="Arial" w:hAnsi="Arial" w:cs="Arial"/>
          <w:i/>
          <w:sz w:val="20"/>
          <w:lang w:val="en-US"/>
        </w:rPr>
        <w:t>Huysamen</w:t>
      </w:r>
      <w:proofErr w:type="spellEnd"/>
      <w:r w:rsidRPr="00754D93">
        <w:rPr>
          <w:rFonts w:ascii="Arial" w:hAnsi="Arial" w:cs="Arial"/>
          <w:i/>
          <w:sz w:val="20"/>
          <w:lang w:val="en-US"/>
        </w:rPr>
        <w:t xml:space="preserve"> and Another v Absa Bank Ltd and Others </w:t>
      </w:r>
      <w:r w:rsidRPr="00754D93">
        <w:rPr>
          <w:rFonts w:ascii="Arial" w:hAnsi="Arial" w:cs="Arial"/>
          <w:sz w:val="20"/>
          <w:lang w:val="en-US"/>
        </w:rPr>
        <w:t>(660/2019) [2020] ZASCA 127 (12 October 2020) para 12 and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29A8" w14:textId="77777777" w:rsidR="00016917" w:rsidRDefault="00016917"/>
  <w:p w14:paraId="0AF5FB75" w14:textId="77777777" w:rsidR="00016917" w:rsidRDefault="00016917"/>
  <w:p w14:paraId="19BC80C9" w14:textId="77777777" w:rsidR="00016917" w:rsidRDefault="000169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541329"/>
      <w:docPartObj>
        <w:docPartGallery w:val="Page Numbers (Top of Page)"/>
        <w:docPartUnique/>
      </w:docPartObj>
    </w:sdtPr>
    <w:sdtEndPr>
      <w:rPr>
        <w:rFonts w:ascii="Arial" w:hAnsi="Arial" w:cs="Arial"/>
        <w:noProof/>
        <w:sz w:val="20"/>
        <w:szCs w:val="20"/>
      </w:rPr>
    </w:sdtEndPr>
    <w:sdtContent>
      <w:p w14:paraId="7EFBBDDC" w14:textId="3E2F4106" w:rsidR="00016917" w:rsidRPr="0067021E" w:rsidRDefault="00016917">
        <w:pPr>
          <w:pStyle w:val="Header"/>
          <w:jc w:val="right"/>
          <w:rPr>
            <w:rFonts w:ascii="Arial" w:hAnsi="Arial" w:cs="Arial"/>
            <w:sz w:val="20"/>
            <w:szCs w:val="20"/>
          </w:rPr>
        </w:pPr>
        <w:r w:rsidRPr="0067021E">
          <w:rPr>
            <w:rFonts w:ascii="Arial" w:hAnsi="Arial" w:cs="Arial"/>
            <w:sz w:val="20"/>
            <w:szCs w:val="20"/>
          </w:rPr>
          <w:fldChar w:fldCharType="begin"/>
        </w:r>
        <w:r w:rsidRPr="0067021E">
          <w:rPr>
            <w:rFonts w:ascii="Arial" w:hAnsi="Arial" w:cs="Arial"/>
            <w:sz w:val="20"/>
            <w:szCs w:val="20"/>
          </w:rPr>
          <w:instrText xml:space="preserve"> PAGE   \* MERGEFORMAT </w:instrText>
        </w:r>
        <w:r w:rsidRPr="0067021E">
          <w:rPr>
            <w:rFonts w:ascii="Arial" w:hAnsi="Arial" w:cs="Arial"/>
            <w:sz w:val="20"/>
            <w:szCs w:val="20"/>
          </w:rPr>
          <w:fldChar w:fldCharType="separate"/>
        </w:r>
        <w:r w:rsidR="00741AEA">
          <w:rPr>
            <w:rFonts w:ascii="Arial" w:hAnsi="Arial" w:cs="Arial"/>
            <w:noProof/>
            <w:sz w:val="20"/>
            <w:szCs w:val="20"/>
          </w:rPr>
          <w:t>14</w:t>
        </w:r>
        <w:r w:rsidRPr="0067021E">
          <w:rPr>
            <w:rFonts w:ascii="Arial" w:hAnsi="Arial" w:cs="Arial"/>
            <w:noProof/>
            <w:sz w:val="20"/>
            <w:szCs w:val="20"/>
          </w:rPr>
          <w:fldChar w:fldCharType="end"/>
        </w:r>
      </w:p>
    </w:sdtContent>
  </w:sdt>
  <w:p w14:paraId="3B0F9582" w14:textId="77777777" w:rsidR="00016917" w:rsidRDefault="0001691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8F68" w14:textId="77777777" w:rsidR="00016917" w:rsidRDefault="00016917" w:rsidP="00384E22">
    <w:pPr>
      <w:pStyle w:val="Header"/>
      <w:jc w:val="left"/>
    </w:pPr>
  </w:p>
  <w:p w14:paraId="1A84537D" w14:textId="77777777" w:rsidR="00016917" w:rsidRDefault="000169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E477D8"/>
    <w:multiLevelType w:val="multilevel"/>
    <w:tmpl w:val="EB8E456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1"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2"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8"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9"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7"/>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3"/>
  </w:num>
  <w:num w:numId="10">
    <w:abstractNumId w:val="32"/>
  </w:num>
  <w:num w:numId="11">
    <w:abstractNumId w:val="44"/>
  </w:num>
  <w:num w:numId="12">
    <w:abstractNumId w:val="46"/>
  </w:num>
  <w:num w:numId="13">
    <w:abstractNumId w:val="3"/>
  </w:num>
  <w:num w:numId="14">
    <w:abstractNumId w:val="23"/>
  </w:num>
  <w:num w:numId="15">
    <w:abstractNumId w:val="15"/>
  </w:num>
  <w:num w:numId="16">
    <w:abstractNumId w:val="7"/>
  </w:num>
  <w:num w:numId="17">
    <w:abstractNumId w:val="4"/>
  </w:num>
  <w:num w:numId="18">
    <w:abstractNumId w:val="25"/>
  </w:num>
  <w:num w:numId="19">
    <w:abstractNumId w:val="42"/>
  </w:num>
  <w:num w:numId="20">
    <w:abstractNumId w:val="26"/>
  </w:num>
  <w:num w:numId="21">
    <w:abstractNumId w:val="30"/>
  </w:num>
  <w:num w:numId="22">
    <w:abstractNumId w:val="34"/>
  </w:num>
  <w:num w:numId="23">
    <w:abstractNumId w:val="21"/>
  </w:num>
  <w:num w:numId="24">
    <w:abstractNumId w:val="9"/>
  </w:num>
  <w:num w:numId="25">
    <w:abstractNumId w:val="35"/>
  </w:num>
  <w:num w:numId="26">
    <w:abstractNumId w:val="43"/>
  </w:num>
  <w:num w:numId="27">
    <w:abstractNumId w:val="50"/>
  </w:num>
  <w:num w:numId="28">
    <w:abstractNumId w:val="8"/>
  </w:num>
  <w:num w:numId="29">
    <w:abstractNumId w:val="20"/>
  </w:num>
  <w:num w:numId="30">
    <w:abstractNumId w:val="27"/>
  </w:num>
  <w:num w:numId="31">
    <w:abstractNumId w:val="36"/>
  </w:num>
  <w:num w:numId="32">
    <w:abstractNumId w:val="10"/>
  </w:num>
  <w:num w:numId="33">
    <w:abstractNumId w:val="37"/>
  </w:num>
  <w:num w:numId="34">
    <w:abstractNumId w:val="45"/>
  </w:num>
  <w:num w:numId="35">
    <w:abstractNumId w:val="31"/>
  </w:num>
  <w:num w:numId="36">
    <w:abstractNumId w:val="18"/>
  </w:num>
  <w:num w:numId="37">
    <w:abstractNumId w:val="39"/>
  </w:num>
  <w:num w:numId="38">
    <w:abstractNumId w:val="49"/>
  </w:num>
  <w:num w:numId="39">
    <w:abstractNumId w:val="38"/>
  </w:num>
  <w:num w:numId="40">
    <w:abstractNumId w:val="28"/>
  </w:num>
  <w:num w:numId="41">
    <w:abstractNumId w:val="41"/>
  </w:num>
  <w:num w:numId="42">
    <w:abstractNumId w:val="12"/>
  </w:num>
  <w:num w:numId="43">
    <w:abstractNumId w:val="16"/>
  </w:num>
  <w:num w:numId="44">
    <w:abstractNumId w:val="14"/>
  </w:num>
  <w:num w:numId="45">
    <w:abstractNumId w:val="48"/>
  </w:num>
  <w:num w:numId="46">
    <w:abstractNumId w:val="0"/>
  </w:num>
  <w:num w:numId="47">
    <w:abstractNumId w:val="29"/>
  </w:num>
  <w:num w:numId="48">
    <w:abstractNumId w:val="40"/>
  </w:num>
  <w:num w:numId="49">
    <w:abstractNumId w:val="17"/>
  </w:num>
  <w:num w:numId="50">
    <w:abstractNumId w:val="6"/>
  </w:num>
  <w:num w:numId="51">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94113F"/>
    <w:rsid w:val="0001351E"/>
    <w:rsid w:val="00014825"/>
    <w:rsid w:val="000164AB"/>
    <w:rsid w:val="00016917"/>
    <w:rsid w:val="0002034F"/>
    <w:rsid w:val="000260A7"/>
    <w:rsid w:val="00034762"/>
    <w:rsid w:val="00045D47"/>
    <w:rsid w:val="0007023D"/>
    <w:rsid w:val="000732EF"/>
    <w:rsid w:val="000733C8"/>
    <w:rsid w:val="00073FDF"/>
    <w:rsid w:val="00082266"/>
    <w:rsid w:val="0008592F"/>
    <w:rsid w:val="0009296D"/>
    <w:rsid w:val="00093F2D"/>
    <w:rsid w:val="000A2E93"/>
    <w:rsid w:val="000B7F03"/>
    <w:rsid w:val="000C7D51"/>
    <w:rsid w:val="000D4460"/>
    <w:rsid w:val="000E57C3"/>
    <w:rsid w:val="000E6988"/>
    <w:rsid w:val="000F1ED4"/>
    <w:rsid w:val="000F2251"/>
    <w:rsid w:val="000F2FD9"/>
    <w:rsid w:val="000F4535"/>
    <w:rsid w:val="000F4812"/>
    <w:rsid w:val="000F5634"/>
    <w:rsid w:val="00106EF4"/>
    <w:rsid w:val="0011130F"/>
    <w:rsid w:val="0011363B"/>
    <w:rsid w:val="00115024"/>
    <w:rsid w:val="00115C15"/>
    <w:rsid w:val="0011777D"/>
    <w:rsid w:val="001177E5"/>
    <w:rsid w:val="001201E5"/>
    <w:rsid w:val="00126263"/>
    <w:rsid w:val="001350D7"/>
    <w:rsid w:val="00135B24"/>
    <w:rsid w:val="0013627B"/>
    <w:rsid w:val="001432BC"/>
    <w:rsid w:val="00156532"/>
    <w:rsid w:val="00161A8F"/>
    <w:rsid w:val="00166FFA"/>
    <w:rsid w:val="0017403A"/>
    <w:rsid w:val="00176D2E"/>
    <w:rsid w:val="00193B2F"/>
    <w:rsid w:val="00197E89"/>
    <w:rsid w:val="001A23C2"/>
    <w:rsid w:val="001A2D31"/>
    <w:rsid w:val="001A3F4B"/>
    <w:rsid w:val="001A4A0F"/>
    <w:rsid w:val="001A513C"/>
    <w:rsid w:val="001C062C"/>
    <w:rsid w:val="001C19F9"/>
    <w:rsid w:val="001D01DF"/>
    <w:rsid w:val="001D04B2"/>
    <w:rsid w:val="001D103E"/>
    <w:rsid w:val="001D3394"/>
    <w:rsid w:val="001E44FC"/>
    <w:rsid w:val="001F393B"/>
    <w:rsid w:val="001F5CB0"/>
    <w:rsid w:val="00200563"/>
    <w:rsid w:val="0020591D"/>
    <w:rsid w:val="00215121"/>
    <w:rsid w:val="00220727"/>
    <w:rsid w:val="00225EDD"/>
    <w:rsid w:val="00231CC5"/>
    <w:rsid w:val="00241FD7"/>
    <w:rsid w:val="00243D62"/>
    <w:rsid w:val="002444C0"/>
    <w:rsid w:val="002540B5"/>
    <w:rsid w:val="00255B57"/>
    <w:rsid w:val="00265D3B"/>
    <w:rsid w:val="00265D95"/>
    <w:rsid w:val="00277601"/>
    <w:rsid w:val="00280860"/>
    <w:rsid w:val="002908B8"/>
    <w:rsid w:val="00296E5E"/>
    <w:rsid w:val="002A0518"/>
    <w:rsid w:val="002A0711"/>
    <w:rsid w:val="002B1873"/>
    <w:rsid w:val="002B2553"/>
    <w:rsid w:val="002B27CC"/>
    <w:rsid w:val="002C5551"/>
    <w:rsid w:val="002C59D0"/>
    <w:rsid w:val="002C5A38"/>
    <w:rsid w:val="002C6F84"/>
    <w:rsid w:val="002D27BE"/>
    <w:rsid w:val="002D2E74"/>
    <w:rsid w:val="002D4510"/>
    <w:rsid w:val="002D6473"/>
    <w:rsid w:val="002D7BAD"/>
    <w:rsid w:val="002F0B3A"/>
    <w:rsid w:val="002F2D87"/>
    <w:rsid w:val="002F2DF2"/>
    <w:rsid w:val="002F6B41"/>
    <w:rsid w:val="00300A2C"/>
    <w:rsid w:val="00303283"/>
    <w:rsid w:val="00334F4B"/>
    <w:rsid w:val="00336661"/>
    <w:rsid w:val="00360A53"/>
    <w:rsid w:val="00361FF0"/>
    <w:rsid w:val="0036227B"/>
    <w:rsid w:val="003651A0"/>
    <w:rsid w:val="00367BD4"/>
    <w:rsid w:val="00370CF7"/>
    <w:rsid w:val="00374C2F"/>
    <w:rsid w:val="00376F5F"/>
    <w:rsid w:val="00377914"/>
    <w:rsid w:val="00382070"/>
    <w:rsid w:val="00382E42"/>
    <w:rsid w:val="00384557"/>
    <w:rsid w:val="00384E22"/>
    <w:rsid w:val="00391D43"/>
    <w:rsid w:val="003A024F"/>
    <w:rsid w:val="003C3503"/>
    <w:rsid w:val="003D0003"/>
    <w:rsid w:val="003D726C"/>
    <w:rsid w:val="003D7779"/>
    <w:rsid w:val="003F57D5"/>
    <w:rsid w:val="003F69A8"/>
    <w:rsid w:val="00405888"/>
    <w:rsid w:val="00407115"/>
    <w:rsid w:val="00410DD8"/>
    <w:rsid w:val="00411531"/>
    <w:rsid w:val="00420FF8"/>
    <w:rsid w:val="00421AAF"/>
    <w:rsid w:val="00424B00"/>
    <w:rsid w:val="004336D5"/>
    <w:rsid w:val="00433804"/>
    <w:rsid w:val="0044084D"/>
    <w:rsid w:val="00441CAB"/>
    <w:rsid w:val="00460C85"/>
    <w:rsid w:val="00467685"/>
    <w:rsid w:val="00467F4C"/>
    <w:rsid w:val="004703DF"/>
    <w:rsid w:val="004718D5"/>
    <w:rsid w:val="00490EBB"/>
    <w:rsid w:val="00494405"/>
    <w:rsid w:val="004A0D0F"/>
    <w:rsid w:val="004A3C0F"/>
    <w:rsid w:val="004B13CA"/>
    <w:rsid w:val="004D047F"/>
    <w:rsid w:val="004D614E"/>
    <w:rsid w:val="004E3FF1"/>
    <w:rsid w:val="004F2DC4"/>
    <w:rsid w:val="004F3D18"/>
    <w:rsid w:val="005002E7"/>
    <w:rsid w:val="00504FB0"/>
    <w:rsid w:val="00511C72"/>
    <w:rsid w:val="00515275"/>
    <w:rsid w:val="0051668C"/>
    <w:rsid w:val="00520D28"/>
    <w:rsid w:val="00520DB7"/>
    <w:rsid w:val="00520E4B"/>
    <w:rsid w:val="00522A33"/>
    <w:rsid w:val="00522EB2"/>
    <w:rsid w:val="00527A1F"/>
    <w:rsid w:val="005371DC"/>
    <w:rsid w:val="00542C41"/>
    <w:rsid w:val="0054350D"/>
    <w:rsid w:val="00553250"/>
    <w:rsid w:val="00553AAD"/>
    <w:rsid w:val="00565BEB"/>
    <w:rsid w:val="00570967"/>
    <w:rsid w:val="00577216"/>
    <w:rsid w:val="00580F35"/>
    <w:rsid w:val="005843F5"/>
    <w:rsid w:val="00596E92"/>
    <w:rsid w:val="005A10E0"/>
    <w:rsid w:val="005A22A1"/>
    <w:rsid w:val="005A4188"/>
    <w:rsid w:val="005A64DB"/>
    <w:rsid w:val="005B6659"/>
    <w:rsid w:val="005C1BDB"/>
    <w:rsid w:val="005C1D1D"/>
    <w:rsid w:val="005D12C3"/>
    <w:rsid w:val="005D18BB"/>
    <w:rsid w:val="005D65B4"/>
    <w:rsid w:val="005E0B5E"/>
    <w:rsid w:val="005E1DE4"/>
    <w:rsid w:val="005E5476"/>
    <w:rsid w:val="005F1CAC"/>
    <w:rsid w:val="005F392A"/>
    <w:rsid w:val="005F4CDD"/>
    <w:rsid w:val="00600109"/>
    <w:rsid w:val="006059FA"/>
    <w:rsid w:val="006107E2"/>
    <w:rsid w:val="00614BFD"/>
    <w:rsid w:val="006200A3"/>
    <w:rsid w:val="00623505"/>
    <w:rsid w:val="00652544"/>
    <w:rsid w:val="006560CB"/>
    <w:rsid w:val="006561BA"/>
    <w:rsid w:val="00665B0F"/>
    <w:rsid w:val="00666169"/>
    <w:rsid w:val="00667C51"/>
    <w:rsid w:val="0067021E"/>
    <w:rsid w:val="006941FD"/>
    <w:rsid w:val="006A37D8"/>
    <w:rsid w:val="006B12A8"/>
    <w:rsid w:val="006C15AD"/>
    <w:rsid w:val="006C1F17"/>
    <w:rsid w:val="006C373B"/>
    <w:rsid w:val="006C6D95"/>
    <w:rsid w:val="006C7406"/>
    <w:rsid w:val="006E1D0D"/>
    <w:rsid w:val="006E36B9"/>
    <w:rsid w:val="006E54C3"/>
    <w:rsid w:val="006F0143"/>
    <w:rsid w:val="006F100E"/>
    <w:rsid w:val="006F6782"/>
    <w:rsid w:val="00701229"/>
    <w:rsid w:val="00716C67"/>
    <w:rsid w:val="007354F1"/>
    <w:rsid w:val="007373FB"/>
    <w:rsid w:val="00741AEA"/>
    <w:rsid w:val="00744A1B"/>
    <w:rsid w:val="00745F15"/>
    <w:rsid w:val="0075395A"/>
    <w:rsid w:val="00757FA8"/>
    <w:rsid w:val="00763FC5"/>
    <w:rsid w:val="00770CF9"/>
    <w:rsid w:val="007902E3"/>
    <w:rsid w:val="00790A3F"/>
    <w:rsid w:val="00792F34"/>
    <w:rsid w:val="007B0C6A"/>
    <w:rsid w:val="007B1849"/>
    <w:rsid w:val="007B6BE4"/>
    <w:rsid w:val="007B7BC9"/>
    <w:rsid w:val="007C09AB"/>
    <w:rsid w:val="007C4D93"/>
    <w:rsid w:val="007C5CF9"/>
    <w:rsid w:val="007C6AB7"/>
    <w:rsid w:val="007C7BA5"/>
    <w:rsid w:val="007D3484"/>
    <w:rsid w:val="007E0631"/>
    <w:rsid w:val="007E0AFD"/>
    <w:rsid w:val="007E2208"/>
    <w:rsid w:val="007E70F3"/>
    <w:rsid w:val="007F10C7"/>
    <w:rsid w:val="007F5AFE"/>
    <w:rsid w:val="007F6AA0"/>
    <w:rsid w:val="007F7A8F"/>
    <w:rsid w:val="00801F86"/>
    <w:rsid w:val="00805A14"/>
    <w:rsid w:val="00814AF4"/>
    <w:rsid w:val="008245AA"/>
    <w:rsid w:val="00824983"/>
    <w:rsid w:val="00827FFD"/>
    <w:rsid w:val="00831EB7"/>
    <w:rsid w:val="008325C2"/>
    <w:rsid w:val="008329B2"/>
    <w:rsid w:val="00835F34"/>
    <w:rsid w:val="00842948"/>
    <w:rsid w:val="0085308A"/>
    <w:rsid w:val="008558BF"/>
    <w:rsid w:val="0085660A"/>
    <w:rsid w:val="00856D8C"/>
    <w:rsid w:val="008603E3"/>
    <w:rsid w:val="008672AA"/>
    <w:rsid w:val="00872D74"/>
    <w:rsid w:val="00891655"/>
    <w:rsid w:val="00891A3D"/>
    <w:rsid w:val="008A1D3D"/>
    <w:rsid w:val="008A3D4F"/>
    <w:rsid w:val="008B1A86"/>
    <w:rsid w:val="008B2298"/>
    <w:rsid w:val="008B4E78"/>
    <w:rsid w:val="008B5120"/>
    <w:rsid w:val="008C0ADE"/>
    <w:rsid w:val="008C2C9A"/>
    <w:rsid w:val="008C3DBB"/>
    <w:rsid w:val="008C5473"/>
    <w:rsid w:val="008D359F"/>
    <w:rsid w:val="008D4FCD"/>
    <w:rsid w:val="008D519D"/>
    <w:rsid w:val="008D6D46"/>
    <w:rsid w:val="008E0A4F"/>
    <w:rsid w:val="008E0FEF"/>
    <w:rsid w:val="008F57DD"/>
    <w:rsid w:val="0090717C"/>
    <w:rsid w:val="00910069"/>
    <w:rsid w:val="00910BF1"/>
    <w:rsid w:val="00912281"/>
    <w:rsid w:val="00916108"/>
    <w:rsid w:val="0092197D"/>
    <w:rsid w:val="00921B5C"/>
    <w:rsid w:val="009302C8"/>
    <w:rsid w:val="00936455"/>
    <w:rsid w:val="0094113F"/>
    <w:rsid w:val="00943BEF"/>
    <w:rsid w:val="009520FF"/>
    <w:rsid w:val="00972559"/>
    <w:rsid w:val="00984118"/>
    <w:rsid w:val="00987891"/>
    <w:rsid w:val="00987B3A"/>
    <w:rsid w:val="00990533"/>
    <w:rsid w:val="00991B25"/>
    <w:rsid w:val="009B5D6F"/>
    <w:rsid w:val="009C75B9"/>
    <w:rsid w:val="009D52F3"/>
    <w:rsid w:val="009D78AA"/>
    <w:rsid w:val="009E6C5E"/>
    <w:rsid w:val="009F011F"/>
    <w:rsid w:val="009F7BB8"/>
    <w:rsid w:val="00A04BA5"/>
    <w:rsid w:val="00A05D92"/>
    <w:rsid w:val="00A12477"/>
    <w:rsid w:val="00A21931"/>
    <w:rsid w:val="00A24E52"/>
    <w:rsid w:val="00A30E04"/>
    <w:rsid w:val="00A3132F"/>
    <w:rsid w:val="00A36EC9"/>
    <w:rsid w:val="00A41181"/>
    <w:rsid w:val="00A442D6"/>
    <w:rsid w:val="00A52A9E"/>
    <w:rsid w:val="00A56841"/>
    <w:rsid w:val="00A63D25"/>
    <w:rsid w:val="00A776A4"/>
    <w:rsid w:val="00A85D6B"/>
    <w:rsid w:val="00AA7DB4"/>
    <w:rsid w:val="00AC3A5F"/>
    <w:rsid w:val="00AD0638"/>
    <w:rsid w:val="00AD1B2B"/>
    <w:rsid w:val="00AD3C00"/>
    <w:rsid w:val="00AD79F8"/>
    <w:rsid w:val="00AF3A62"/>
    <w:rsid w:val="00B01791"/>
    <w:rsid w:val="00B17906"/>
    <w:rsid w:val="00B20742"/>
    <w:rsid w:val="00B21294"/>
    <w:rsid w:val="00B24C0E"/>
    <w:rsid w:val="00B27924"/>
    <w:rsid w:val="00B40318"/>
    <w:rsid w:val="00B40636"/>
    <w:rsid w:val="00B45C6F"/>
    <w:rsid w:val="00B505D9"/>
    <w:rsid w:val="00B52E30"/>
    <w:rsid w:val="00B53D6D"/>
    <w:rsid w:val="00B57FE6"/>
    <w:rsid w:val="00B71086"/>
    <w:rsid w:val="00B85415"/>
    <w:rsid w:val="00B8718D"/>
    <w:rsid w:val="00B97A9A"/>
    <w:rsid w:val="00BB25E6"/>
    <w:rsid w:val="00BC5FE7"/>
    <w:rsid w:val="00BC6A0E"/>
    <w:rsid w:val="00BE4F6D"/>
    <w:rsid w:val="00BF2031"/>
    <w:rsid w:val="00BF7C21"/>
    <w:rsid w:val="00C06B3B"/>
    <w:rsid w:val="00C100D5"/>
    <w:rsid w:val="00C1025D"/>
    <w:rsid w:val="00C11405"/>
    <w:rsid w:val="00C137DA"/>
    <w:rsid w:val="00C15393"/>
    <w:rsid w:val="00C1768E"/>
    <w:rsid w:val="00C17F1B"/>
    <w:rsid w:val="00C2723C"/>
    <w:rsid w:val="00C35BBF"/>
    <w:rsid w:val="00C371BF"/>
    <w:rsid w:val="00C37A55"/>
    <w:rsid w:val="00C417C7"/>
    <w:rsid w:val="00C426F1"/>
    <w:rsid w:val="00C43CF9"/>
    <w:rsid w:val="00C52D6A"/>
    <w:rsid w:val="00C5631C"/>
    <w:rsid w:val="00C63F71"/>
    <w:rsid w:val="00C81C41"/>
    <w:rsid w:val="00C832AF"/>
    <w:rsid w:val="00C87066"/>
    <w:rsid w:val="00C91631"/>
    <w:rsid w:val="00C953B0"/>
    <w:rsid w:val="00C9605F"/>
    <w:rsid w:val="00CA2941"/>
    <w:rsid w:val="00CA5DD2"/>
    <w:rsid w:val="00CA6CAF"/>
    <w:rsid w:val="00CB3D19"/>
    <w:rsid w:val="00CC291A"/>
    <w:rsid w:val="00CC4B6C"/>
    <w:rsid w:val="00CC7079"/>
    <w:rsid w:val="00CD23B0"/>
    <w:rsid w:val="00CE1C4B"/>
    <w:rsid w:val="00CE65C1"/>
    <w:rsid w:val="00CE693A"/>
    <w:rsid w:val="00CE6CEE"/>
    <w:rsid w:val="00CF0CEF"/>
    <w:rsid w:val="00CF2339"/>
    <w:rsid w:val="00CF3001"/>
    <w:rsid w:val="00CF4C80"/>
    <w:rsid w:val="00D0268D"/>
    <w:rsid w:val="00D07741"/>
    <w:rsid w:val="00D11306"/>
    <w:rsid w:val="00D14D64"/>
    <w:rsid w:val="00D158AD"/>
    <w:rsid w:val="00D168B8"/>
    <w:rsid w:val="00D22F0C"/>
    <w:rsid w:val="00D273C3"/>
    <w:rsid w:val="00D41425"/>
    <w:rsid w:val="00D429BF"/>
    <w:rsid w:val="00D4331C"/>
    <w:rsid w:val="00D47B52"/>
    <w:rsid w:val="00D523AE"/>
    <w:rsid w:val="00D52B9F"/>
    <w:rsid w:val="00D6090B"/>
    <w:rsid w:val="00D61B0A"/>
    <w:rsid w:val="00D645E8"/>
    <w:rsid w:val="00D7569D"/>
    <w:rsid w:val="00D810ED"/>
    <w:rsid w:val="00D828CD"/>
    <w:rsid w:val="00D84A15"/>
    <w:rsid w:val="00D87DF2"/>
    <w:rsid w:val="00D9014F"/>
    <w:rsid w:val="00D90B04"/>
    <w:rsid w:val="00DA7D73"/>
    <w:rsid w:val="00DB4177"/>
    <w:rsid w:val="00DC12F3"/>
    <w:rsid w:val="00DC3BD8"/>
    <w:rsid w:val="00DC3EF2"/>
    <w:rsid w:val="00DC6219"/>
    <w:rsid w:val="00DE2370"/>
    <w:rsid w:val="00DE70F1"/>
    <w:rsid w:val="00DF05B5"/>
    <w:rsid w:val="00DF0EDF"/>
    <w:rsid w:val="00DF2CEC"/>
    <w:rsid w:val="00DF545E"/>
    <w:rsid w:val="00DF5532"/>
    <w:rsid w:val="00E0167F"/>
    <w:rsid w:val="00E05567"/>
    <w:rsid w:val="00E05C3B"/>
    <w:rsid w:val="00E07A4C"/>
    <w:rsid w:val="00E11554"/>
    <w:rsid w:val="00E20A1E"/>
    <w:rsid w:val="00E24C24"/>
    <w:rsid w:val="00E449BF"/>
    <w:rsid w:val="00E513FC"/>
    <w:rsid w:val="00E562D1"/>
    <w:rsid w:val="00E632BA"/>
    <w:rsid w:val="00E63C79"/>
    <w:rsid w:val="00E66F1F"/>
    <w:rsid w:val="00E76D05"/>
    <w:rsid w:val="00E81004"/>
    <w:rsid w:val="00E82F6E"/>
    <w:rsid w:val="00E95F62"/>
    <w:rsid w:val="00EA5279"/>
    <w:rsid w:val="00EA605D"/>
    <w:rsid w:val="00EB6479"/>
    <w:rsid w:val="00ED2C3C"/>
    <w:rsid w:val="00EE692D"/>
    <w:rsid w:val="00EF1055"/>
    <w:rsid w:val="00EF1EDF"/>
    <w:rsid w:val="00F000E0"/>
    <w:rsid w:val="00F00166"/>
    <w:rsid w:val="00F016B7"/>
    <w:rsid w:val="00F15561"/>
    <w:rsid w:val="00F22917"/>
    <w:rsid w:val="00F23EE7"/>
    <w:rsid w:val="00F353E0"/>
    <w:rsid w:val="00F379CB"/>
    <w:rsid w:val="00F40686"/>
    <w:rsid w:val="00F454C4"/>
    <w:rsid w:val="00F46213"/>
    <w:rsid w:val="00F5006B"/>
    <w:rsid w:val="00F51E8C"/>
    <w:rsid w:val="00F57E2A"/>
    <w:rsid w:val="00F63788"/>
    <w:rsid w:val="00F71D98"/>
    <w:rsid w:val="00F911BB"/>
    <w:rsid w:val="00F95457"/>
    <w:rsid w:val="00F971E2"/>
    <w:rsid w:val="00F97AD7"/>
    <w:rsid w:val="00FB2DFE"/>
    <w:rsid w:val="00FC23BF"/>
    <w:rsid w:val="00FC5D41"/>
    <w:rsid w:val="00FD53C3"/>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D3A93"/>
  <w15:chartTrackingRefBased/>
  <w15:docId w15:val="{51AF0850-8CEA-4708-AC04-B3D708A2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uiPriority w:val="9"/>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uiPriority w:val="9"/>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western">
    <w:name w:val="western"/>
    <w:basedOn w:val="Normal"/>
    <w:rsid w:val="00E24C24"/>
    <w:pPr>
      <w:spacing w:before="100" w:beforeAutospacing="1" w:after="100" w:afterAutospacing="1" w:line="240" w:lineRule="auto"/>
      <w:jc w:val="left"/>
    </w:pPr>
    <w:rPr>
      <w:rFonts w:ascii="Times New Roman" w:hAnsi="Times New Roman"/>
      <w:sz w:val="24"/>
      <w:szCs w:val="24"/>
      <w:lang w:eastAsia="en-ZA"/>
    </w:rPr>
  </w:style>
  <w:style w:type="paragraph" w:customStyle="1" w:styleId="LegalAnnexure">
    <w:name w:val="Legal_Annexure"/>
    <w:basedOn w:val="LegalNormal"/>
    <w:next w:val="LegalNormal"/>
    <w:semiHidden/>
    <w:rsid w:val="008F57DD"/>
    <w:pPr>
      <w:keepNext/>
      <w:jc w:val="right"/>
    </w:pPr>
    <w:rPr>
      <w:b/>
      <w:caps/>
    </w:rPr>
  </w:style>
  <w:style w:type="paragraph" w:customStyle="1" w:styleId="LegalTitle">
    <w:name w:val="Legal_Title"/>
    <w:basedOn w:val="LegalNormal"/>
    <w:next w:val="LegalNormal"/>
    <w:semiHidden/>
    <w:rsid w:val="008F57DD"/>
    <w:pPr>
      <w:keepNext/>
      <w:jc w:val="center"/>
    </w:pPr>
    <w:rPr>
      <w:b/>
      <w:caps/>
    </w:rPr>
  </w:style>
  <w:style w:type="paragraph" w:customStyle="1" w:styleId="LegalTramLines">
    <w:name w:val="Legal_TramLines"/>
    <w:basedOn w:val="LegalNormal"/>
    <w:next w:val="LegalNormal"/>
    <w:semiHidden/>
    <w:rsid w:val="008F57D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F57DD"/>
    <w:pPr>
      <w:tabs>
        <w:tab w:val="right" w:pos="8789"/>
      </w:tabs>
    </w:pPr>
  </w:style>
  <w:style w:type="paragraph" w:customStyle="1" w:styleId="LegalNormal">
    <w:name w:val="Legal_Normal"/>
    <w:basedOn w:val="Normal"/>
    <w:rsid w:val="008F57DD"/>
    <w:pPr>
      <w:suppressAutoHyphens/>
      <w:spacing w:after="360" w:line="480" w:lineRule="auto"/>
    </w:pPr>
    <w:rPr>
      <w:rFonts w:ascii="Arial" w:hAnsi="Arial"/>
      <w:sz w:val="24"/>
      <w:szCs w:val="24"/>
      <w:lang w:val="en-GB" w:eastAsia="en-GB"/>
    </w:rPr>
  </w:style>
  <w:style w:type="paragraph" w:customStyle="1" w:styleId="LegalList1">
    <w:name w:val="Legal_List1"/>
    <w:basedOn w:val="Normal"/>
    <w:semiHidden/>
    <w:rsid w:val="006C6D95"/>
    <w:pPr>
      <w:suppressAutoHyphens/>
      <w:spacing w:after="360" w:line="480" w:lineRule="auto"/>
      <w:outlineLvl w:val="0"/>
    </w:pPr>
    <w:rPr>
      <w:rFonts w:ascii="Arial" w:hAnsi="Arial"/>
      <w:sz w:val="24"/>
      <w:szCs w:val="24"/>
      <w:lang w:val="en-GB" w:eastAsia="en-GB"/>
    </w:rPr>
  </w:style>
  <w:style w:type="paragraph" w:customStyle="1" w:styleId="Default">
    <w:name w:val="Default"/>
    <w:rsid w:val="006C6D95"/>
    <w:pPr>
      <w:autoSpaceDE w:val="0"/>
      <w:autoSpaceDN w:val="0"/>
      <w:adjustRightInd w:val="0"/>
      <w:spacing w:after="0" w:line="240" w:lineRule="auto"/>
    </w:pPr>
    <w:rPr>
      <w:rFonts w:ascii="Times New Roman" w:hAnsi="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7657">
      <w:bodyDiv w:val="1"/>
      <w:marLeft w:val="0"/>
      <w:marRight w:val="0"/>
      <w:marTop w:val="0"/>
      <w:marBottom w:val="0"/>
      <w:divBdr>
        <w:top w:val="none" w:sz="0" w:space="0" w:color="auto"/>
        <w:left w:val="none" w:sz="0" w:space="0" w:color="auto"/>
        <w:bottom w:val="none" w:sz="0" w:space="0" w:color="auto"/>
        <w:right w:val="none" w:sz="0" w:space="0" w:color="auto"/>
      </w:divBdr>
    </w:div>
    <w:div w:id="1192188045">
      <w:bodyDiv w:val="1"/>
      <w:marLeft w:val="0"/>
      <w:marRight w:val="0"/>
      <w:marTop w:val="0"/>
      <w:marBottom w:val="0"/>
      <w:divBdr>
        <w:top w:val="none" w:sz="0" w:space="0" w:color="auto"/>
        <w:left w:val="none" w:sz="0" w:space="0" w:color="auto"/>
        <w:bottom w:val="none" w:sz="0" w:space="0" w:color="auto"/>
        <w:right w:val="none" w:sz="0" w:space="0" w:color="auto"/>
      </w:divBdr>
    </w:div>
    <w:div w:id="1405760102">
      <w:bodyDiv w:val="1"/>
      <w:marLeft w:val="0"/>
      <w:marRight w:val="0"/>
      <w:marTop w:val="0"/>
      <w:marBottom w:val="0"/>
      <w:divBdr>
        <w:top w:val="none" w:sz="0" w:space="0" w:color="auto"/>
        <w:left w:val="none" w:sz="0" w:space="0" w:color="auto"/>
        <w:bottom w:val="none" w:sz="0" w:space="0" w:color="auto"/>
        <w:right w:val="none" w:sz="0" w:space="0" w:color="auto"/>
      </w:divBdr>
    </w:div>
    <w:div w:id="20674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yg@moodierobertson.co.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athleen@vermeulenlaw.co.z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bouwer.bi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w@krigelaw.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3042-7B0E-41B4-979D-49D645AF06F3}">
  <ds:schemaRefs>
    <ds:schemaRef ds:uri="http://schemas.microsoft.com/sharepoint/v3/contenttype/forms"/>
  </ds:schemaRefs>
</ds:datastoreItem>
</file>

<file path=customXml/itemProps2.xml><?xml version="1.0" encoding="utf-8"?>
<ds:datastoreItem xmlns:ds="http://schemas.openxmlformats.org/officeDocument/2006/customXml" ds:itemID="{E4883F51-3AC9-46B4-90EC-D0103A91C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895D3-5C8F-4E0C-9E25-5857C887D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EB9BD-9F04-44CD-86BF-B8B9D9A1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Lazarus Rakgwale</cp:lastModifiedBy>
  <cp:revision>2</cp:revision>
  <cp:lastPrinted>2022-04-20T17:53:00Z</cp:lastPrinted>
  <dcterms:created xsi:type="dcterms:W3CDTF">2022-04-26T12:33:00Z</dcterms:created>
  <dcterms:modified xsi:type="dcterms:W3CDTF">2022-04-26T12:33:00Z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