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1E3AD" w14:textId="77777777" w:rsidR="00DD4919" w:rsidRDefault="00DD4919" w:rsidP="00DD4919">
      <w:pPr>
        <w:pStyle w:val="LegalTitle"/>
        <w:spacing w:after="0" w:line="360" w:lineRule="auto"/>
        <w:rPr>
          <w:u w:val="single"/>
        </w:rPr>
      </w:pPr>
      <w:r>
        <w:rPr>
          <w:u w:val="single"/>
        </w:rPr>
        <w:t>THE REPUBLIC OF SOUTH AFRICA</w:t>
      </w:r>
    </w:p>
    <w:p w14:paraId="65E83704" w14:textId="77777777" w:rsidR="00DD4919" w:rsidRDefault="00DD4919" w:rsidP="00DD4919">
      <w:pPr>
        <w:pStyle w:val="LegalTitle"/>
        <w:spacing w:after="0" w:line="360" w:lineRule="auto"/>
        <w:rPr>
          <w:u w:val="single"/>
        </w:rPr>
      </w:pPr>
      <w:r>
        <w:rPr>
          <w:noProof/>
          <w:lang w:val="en-ZA" w:eastAsia="en-ZA"/>
        </w:rPr>
        <w:drawing>
          <wp:inline distT="0" distB="0" distL="0" distR="0" wp14:anchorId="51C81BC5" wp14:editId="04DE482F">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893861F" w14:textId="77777777" w:rsidR="00DD4919" w:rsidRDefault="00DD4919" w:rsidP="00DD4919">
      <w:pPr>
        <w:pStyle w:val="LegalTitle"/>
        <w:spacing w:after="0" w:line="360" w:lineRule="auto"/>
        <w:rPr>
          <w:u w:val="single"/>
        </w:rPr>
      </w:pPr>
      <w:r>
        <w:rPr>
          <w:u w:val="single"/>
        </w:rPr>
        <w:t>IN THE HIGH COURT OF SOUTH AFRICA</w:t>
      </w:r>
    </w:p>
    <w:p w14:paraId="6E8D1BCA" w14:textId="77777777" w:rsidR="00DD4919" w:rsidRPr="00520591" w:rsidRDefault="00DD4919" w:rsidP="00DD4919">
      <w:pPr>
        <w:pStyle w:val="LegalTitle"/>
        <w:spacing w:line="360" w:lineRule="auto"/>
        <w:rPr>
          <w:u w:val="single"/>
        </w:rPr>
      </w:pPr>
      <w:r>
        <w:rPr>
          <w:rFonts w:eastAsiaTheme="minorEastAsia"/>
          <w:noProof/>
          <w:lang w:val="en-ZA" w:eastAsia="en-ZA"/>
        </w:rPr>
        <mc:AlternateContent>
          <mc:Choice Requires="wps">
            <w:drawing>
              <wp:anchor distT="0" distB="0" distL="114300" distR="114300" simplePos="0" relativeHeight="251658752" behindDoc="0" locked="0" layoutInCell="1" allowOverlap="1" wp14:anchorId="5E83F0F7" wp14:editId="43DCFFFC">
                <wp:simplePos x="0" y="0"/>
                <wp:positionH relativeFrom="column">
                  <wp:posOffset>-53340</wp:posOffset>
                </wp:positionH>
                <wp:positionV relativeFrom="paragraph">
                  <wp:posOffset>369570</wp:posOffset>
                </wp:positionV>
                <wp:extent cx="3111500" cy="12128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212850"/>
                        </a:xfrm>
                        <a:prstGeom prst="rect">
                          <a:avLst/>
                        </a:prstGeom>
                        <a:solidFill>
                          <a:srgbClr val="FFFFFF"/>
                        </a:solidFill>
                        <a:ln w="9525">
                          <a:solidFill>
                            <a:srgbClr val="000000"/>
                          </a:solidFill>
                          <a:miter lim="800000"/>
                          <a:headEnd/>
                          <a:tailEnd/>
                        </a:ln>
                      </wps:spPr>
                      <wps:txbx>
                        <w:txbxContent>
                          <w:p w14:paraId="53F84C79" w14:textId="77777777" w:rsidR="00DD4919" w:rsidRPr="0038792A" w:rsidRDefault="00DD4919" w:rsidP="00DD4919">
                            <w:pPr>
                              <w:numPr>
                                <w:ilvl w:val="0"/>
                                <w:numId w:val="50"/>
                              </w:numPr>
                              <w:spacing w:after="0" w:line="240" w:lineRule="auto"/>
                              <w:jc w:val="left"/>
                              <w:rPr>
                                <w:sz w:val="20"/>
                                <w:szCs w:val="20"/>
                              </w:rPr>
                            </w:pPr>
                            <w:r>
                              <w:rPr>
                                <w:sz w:val="20"/>
                                <w:szCs w:val="20"/>
                              </w:rPr>
                              <w:t xml:space="preserve">REPORTABLE: </w:t>
                            </w:r>
                            <w:r>
                              <w:rPr>
                                <w:b/>
                                <w:i/>
                                <w:sz w:val="20"/>
                                <w:szCs w:val="20"/>
                              </w:rPr>
                              <w:t>NO</w:t>
                            </w:r>
                          </w:p>
                          <w:p w14:paraId="779A9B64" w14:textId="77777777" w:rsidR="00DD4919" w:rsidRPr="0038792A" w:rsidRDefault="00DD4919" w:rsidP="00DD4919">
                            <w:pPr>
                              <w:numPr>
                                <w:ilvl w:val="0"/>
                                <w:numId w:val="50"/>
                              </w:numPr>
                              <w:spacing w:after="0" w:line="240" w:lineRule="auto"/>
                              <w:jc w:val="left"/>
                              <w:rPr>
                                <w:sz w:val="20"/>
                                <w:szCs w:val="20"/>
                              </w:rPr>
                            </w:pPr>
                            <w:r w:rsidRPr="0038792A">
                              <w:rPr>
                                <w:sz w:val="20"/>
                                <w:szCs w:val="20"/>
                              </w:rPr>
                              <w:t xml:space="preserve">OF </w:t>
                            </w:r>
                            <w:r>
                              <w:rPr>
                                <w:sz w:val="20"/>
                                <w:szCs w:val="20"/>
                              </w:rPr>
                              <w:t xml:space="preserve">INTEREST TO OTHER JUDGES: </w:t>
                            </w:r>
                            <w:r>
                              <w:rPr>
                                <w:b/>
                                <w:i/>
                                <w:sz w:val="20"/>
                                <w:szCs w:val="20"/>
                              </w:rPr>
                              <w:t>NO</w:t>
                            </w:r>
                          </w:p>
                          <w:p w14:paraId="01483894" w14:textId="77777777" w:rsidR="00DD4919" w:rsidRPr="0038792A" w:rsidRDefault="00DD4919" w:rsidP="00DD4919">
                            <w:pPr>
                              <w:numPr>
                                <w:ilvl w:val="0"/>
                                <w:numId w:val="50"/>
                              </w:numPr>
                              <w:spacing w:after="120" w:line="240" w:lineRule="auto"/>
                              <w:ind w:left="901"/>
                              <w:jc w:val="left"/>
                              <w:rPr>
                                <w:sz w:val="20"/>
                                <w:szCs w:val="20"/>
                              </w:rPr>
                            </w:pPr>
                            <w:r w:rsidRPr="0038792A">
                              <w:rPr>
                                <w:sz w:val="20"/>
                                <w:szCs w:val="20"/>
                              </w:rPr>
                              <w:t xml:space="preserve">REVISED: </w:t>
                            </w:r>
                          </w:p>
                          <w:p w14:paraId="4AAF32F2" w14:textId="7B97490A" w:rsidR="00DD4919" w:rsidRPr="000C3AF7" w:rsidRDefault="00DD4919" w:rsidP="00DD4919">
                            <w:pPr>
                              <w:rPr>
                                <w:sz w:val="22"/>
                                <w:szCs w:val="22"/>
                              </w:rPr>
                            </w:pPr>
                            <w:r>
                              <w:rPr>
                                <w:sz w:val="22"/>
                                <w:szCs w:val="22"/>
                              </w:rPr>
                              <w:t xml:space="preserve">Date: </w:t>
                            </w:r>
                            <w:r>
                              <w:rPr>
                                <w:b/>
                                <w:sz w:val="22"/>
                                <w:szCs w:val="22"/>
                              </w:rPr>
                              <w:t>1</w:t>
                            </w:r>
                            <w:r w:rsidR="00157208">
                              <w:rPr>
                                <w:b/>
                                <w:sz w:val="22"/>
                                <w:szCs w:val="22"/>
                              </w:rPr>
                              <w:t>9 April</w:t>
                            </w:r>
                            <w:r w:rsidRPr="00F51ACE">
                              <w:rPr>
                                <w:b/>
                                <w:i/>
                                <w:sz w:val="22"/>
                                <w:szCs w:val="22"/>
                              </w:rPr>
                              <w:t xml:space="preserve"> 2022</w:t>
                            </w:r>
                            <w:r w:rsidRPr="0070234A">
                              <w:rPr>
                                <w:b/>
                                <w:i/>
                                <w:sz w:val="22"/>
                                <w:szCs w:val="22"/>
                              </w:rPr>
                              <w:t xml:space="preserve"> </w:t>
                            </w:r>
                            <w:r>
                              <w:rPr>
                                <w:sz w:val="22"/>
                                <w:szCs w:val="22"/>
                              </w:rPr>
                              <w:t xml:space="preserve">Signature:  </w:t>
                            </w:r>
                          </w:p>
                          <w:p w14:paraId="3E425C0F" w14:textId="77777777" w:rsidR="00DD4919" w:rsidRDefault="00DD4919" w:rsidP="00DD4919">
                            <w:pPr>
                              <w:rPr>
                                <w:sz w:val="28"/>
                                <w:szCs w:val="28"/>
                              </w:rPr>
                            </w:pPr>
                          </w:p>
                          <w:p w14:paraId="12D29134" w14:textId="77777777" w:rsidR="00DD4919" w:rsidRDefault="00DD4919" w:rsidP="00DD4919">
                            <w:pPr>
                              <w:rPr>
                                <w:sz w:val="28"/>
                                <w:szCs w:val="28"/>
                              </w:rPr>
                            </w:pPr>
                            <w:r>
                              <w:rPr>
                                <w:sz w:val="28"/>
                                <w:szCs w:val="28"/>
                              </w:rPr>
                              <w:t>____________________        ____________________</w:t>
                            </w:r>
                          </w:p>
                          <w:p w14:paraId="331944FE" w14:textId="77777777" w:rsidR="00DD4919" w:rsidRDefault="00DD4919" w:rsidP="00DD4919">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6B789A97" w14:textId="77777777" w:rsidR="00DD4919" w:rsidRDefault="00DD4919" w:rsidP="00DD4919">
                            <w:pPr>
                              <w:rPr>
                                <w:sz w:val="28"/>
                                <w:szCs w:val="28"/>
                              </w:rPr>
                            </w:pPr>
                          </w:p>
                          <w:p w14:paraId="0CCF764A" w14:textId="77777777" w:rsidR="00DD4919" w:rsidRDefault="00DD4919" w:rsidP="00DD4919">
                            <w:pPr>
                              <w:rPr>
                                <w:sz w:val="28"/>
                                <w:szCs w:val="28"/>
                              </w:rPr>
                            </w:pPr>
                          </w:p>
                          <w:p w14:paraId="0DF9A9DC" w14:textId="77777777" w:rsidR="00DD4919" w:rsidRDefault="00DD4919" w:rsidP="00DD4919">
                            <w:pPr>
                              <w:rPr>
                                <w:sz w:val="28"/>
                                <w:szCs w:val="28"/>
                              </w:rPr>
                            </w:pPr>
                          </w:p>
                          <w:p w14:paraId="3DF62082" w14:textId="77777777" w:rsidR="00DD4919" w:rsidRPr="009533D5" w:rsidRDefault="00DD4919" w:rsidP="00DD4919">
                            <w:pPr>
                              <w:rPr>
                                <w:sz w:val="28"/>
                                <w:szCs w:val="28"/>
                              </w:rPr>
                            </w:pPr>
                          </w:p>
                          <w:p w14:paraId="2649EEEC" w14:textId="77777777" w:rsidR="00DD4919" w:rsidRDefault="00DD4919" w:rsidP="00DD4919">
                            <w:pPr>
                              <w:rPr>
                                <w:b/>
                              </w:rPr>
                            </w:pPr>
                          </w:p>
                          <w:p w14:paraId="7D5FA973" w14:textId="77777777" w:rsidR="00DD4919" w:rsidRDefault="00DD4919" w:rsidP="00DD4919">
                            <w:pPr>
                              <w:rPr>
                                <w:b/>
                              </w:rPr>
                            </w:pPr>
                          </w:p>
                          <w:p w14:paraId="59F49930" w14:textId="77777777" w:rsidR="00DD4919" w:rsidRDefault="00DD4919" w:rsidP="00DD4919">
                            <w:pPr>
                              <w:rPr>
                                <w:b/>
                              </w:rPr>
                            </w:pPr>
                          </w:p>
                          <w:p w14:paraId="17A59C62" w14:textId="77777777" w:rsidR="00DD4919" w:rsidRPr="00B93709" w:rsidRDefault="00DD4919" w:rsidP="00DD4919">
                            <w:pPr>
                              <w:rPr>
                                <w:b/>
                              </w:rPr>
                            </w:pPr>
                          </w:p>
                          <w:p w14:paraId="476D1C31" w14:textId="77777777" w:rsidR="00DD4919" w:rsidRPr="00B93709" w:rsidRDefault="00DD4919" w:rsidP="00DD4919">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3F0F7" id="_x0000_t202" coordsize="21600,21600" o:spt="202" path="m,l,21600r21600,l21600,xe">
                <v:stroke joinstyle="miter"/>
                <v:path gradientshapeok="t" o:connecttype="rect"/>
              </v:shapetype>
              <v:shape id="Text Box 1" o:spid="_x0000_s1026" type="#_x0000_t202" style="position:absolute;left:0;text-align:left;margin-left:-4.2pt;margin-top:29.1pt;width:245pt;height: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">
                <v:textbox>
                  <w:txbxContent>
                    <w:p w14:paraId="53F84C79" w14:textId="77777777" w:rsidR="00DD4919" w:rsidRPr="0038792A" w:rsidRDefault="00DD4919" w:rsidP="00DD4919">
                      <w:pPr>
                        <w:numPr>
                          <w:ilvl w:val="0"/>
                          <w:numId w:val="50"/>
                        </w:numPr>
                        <w:spacing w:after="0" w:line="240" w:lineRule="auto"/>
                        <w:jc w:val="left"/>
                        <w:rPr>
                          <w:sz w:val="20"/>
                          <w:szCs w:val="20"/>
                        </w:rPr>
                      </w:pPr>
                      <w:r>
                        <w:rPr>
                          <w:sz w:val="20"/>
                          <w:szCs w:val="20"/>
                        </w:rPr>
                        <w:t xml:space="preserve">REPORTABLE: </w:t>
                      </w:r>
                      <w:r>
                        <w:rPr>
                          <w:b/>
                          <w:i/>
                          <w:sz w:val="20"/>
                          <w:szCs w:val="20"/>
                        </w:rPr>
                        <w:t>NO</w:t>
                      </w:r>
                    </w:p>
                    <w:p w14:paraId="779A9B64" w14:textId="77777777" w:rsidR="00DD4919" w:rsidRPr="0038792A" w:rsidRDefault="00DD4919" w:rsidP="00DD4919">
                      <w:pPr>
                        <w:numPr>
                          <w:ilvl w:val="0"/>
                          <w:numId w:val="50"/>
                        </w:numPr>
                        <w:spacing w:after="0" w:line="240" w:lineRule="auto"/>
                        <w:jc w:val="left"/>
                        <w:rPr>
                          <w:sz w:val="20"/>
                          <w:szCs w:val="20"/>
                        </w:rPr>
                      </w:pPr>
                      <w:r w:rsidRPr="0038792A">
                        <w:rPr>
                          <w:sz w:val="20"/>
                          <w:szCs w:val="20"/>
                        </w:rPr>
                        <w:t xml:space="preserve">OF </w:t>
                      </w:r>
                      <w:r>
                        <w:rPr>
                          <w:sz w:val="20"/>
                          <w:szCs w:val="20"/>
                        </w:rPr>
                        <w:t xml:space="preserve">INTEREST TO OTHER JUDGES: </w:t>
                      </w:r>
                      <w:r>
                        <w:rPr>
                          <w:b/>
                          <w:i/>
                          <w:sz w:val="20"/>
                          <w:szCs w:val="20"/>
                        </w:rPr>
                        <w:t>NO</w:t>
                      </w:r>
                    </w:p>
                    <w:p w14:paraId="01483894" w14:textId="77777777" w:rsidR="00DD4919" w:rsidRPr="0038792A" w:rsidRDefault="00DD4919" w:rsidP="00DD4919">
                      <w:pPr>
                        <w:numPr>
                          <w:ilvl w:val="0"/>
                          <w:numId w:val="50"/>
                        </w:numPr>
                        <w:spacing w:after="120" w:line="240" w:lineRule="auto"/>
                        <w:ind w:left="901"/>
                        <w:jc w:val="left"/>
                        <w:rPr>
                          <w:sz w:val="20"/>
                          <w:szCs w:val="20"/>
                        </w:rPr>
                      </w:pPr>
                      <w:r w:rsidRPr="0038792A">
                        <w:rPr>
                          <w:sz w:val="20"/>
                          <w:szCs w:val="20"/>
                        </w:rPr>
                        <w:t xml:space="preserve">REVISED: </w:t>
                      </w:r>
                    </w:p>
                    <w:p w14:paraId="4AAF32F2" w14:textId="7B97490A" w:rsidR="00DD4919" w:rsidRPr="000C3AF7" w:rsidRDefault="00DD4919" w:rsidP="00DD4919">
                      <w:pPr>
                        <w:rPr>
                          <w:sz w:val="22"/>
                          <w:szCs w:val="22"/>
                        </w:rPr>
                      </w:pPr>
                      <w:r>
                        <w:rPr>
                          <w:sz w:val="22"/>
                          <w:szCs w:val="22"/>
                        </w:rPr>
                        <w:t xml:space="preserve">Date: </w:t>
                      </w:r>
                      <w:r>
                        <w:rPr>
                          <w:b/>
                          <w:sz w:val="22"/>
                          <w:szCs w:val="22"/>
                        </w:rPr>
                        <w:t>1</w:t>
                      </w:r>
                      <w:r w:rsidR="00157208">
                        <w:rPr>
                          <w:b/>
                          <w:sz w:val="22"/>
                          <w:szCs w:val="22"/>
                        </w:rPr>
                        <w:t>9 April</w:t>
                      </w:r>
                      <w:r w:rsidRPr="00F51ACE">
                        <w:rPr>
                          <w:b/>
                          <w:i/>
                          <w:sz w:val="22"/>
                          <w:szCs w:val="22"/>
                        </w:rPr>
                        <w:t xml:space="preserve"> 2022</w:t>
                      </w:r>
                      <w:r w:rsidRPr="0070234A">
                        <w:rPr>
                          <w:b/>
                          <w:i/>
                          <w:sz w:val="22"/>
                          <w:szCs w:val="22"/>
                        </w:rPr>
                        <w:t xml:space="preserve"> </w:t>
                      </w:r>
                      <w:r>
                        <w:rPr>
                          <w:sz w:val="22"/>
                          <w:szCs w:val="22"/>
                        </w:rPr>
                        <w:t xml:space="preserve">Signature:  </w:t>
                      </w:r>
                    </w:p>
                    <w:p w14:paraId="3E425C0F" w14:textId="77777777" w:rsidR="00DD4919" w:rsidRDefault="00DD4919" w:rsidP="00DD4919">
                      <w:pPr>
                        <w:rPr>
                          <w:sz w:val="28"/>
                          <w:szCs w:val="28"/>
                        </w:rPr>
                      </w:pPr>
                    </w:p>
                    <w:p w14:paraId="12D29134" w14:textId="77777777" w:rsidR="00DD4919" w:rsidRDefault="00DD4919" w:rsidP="00DD4919">
                      <w:pPr>
                        <w:rPr>
                          <w:sz w:val="28"/>
                          <w:szCs w:val="28"/>
                        </w:rPr>
                      </w:pPr>
                      <w:r>
                        <w:rPr>
                          <w:sz w:val="28"/>
                          <w:szCs w:val="28"/>
                        </w:rPr>
                        <w:t>____________________        ____________________</w:t>
                      </w:r>
                    </w:p>
                    <w:p w14:paraId="331944FE" w14:textId="77777777" w:rsidR="00DD4919" w:rsidRDefault="00DD4919" w:rsidP="00DD4919">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6B789A97" w14:textId="77777777" w:rsidR="00DD4919" w:rsidRDefault="00DD4919" w:rsidP="00DD4919">
                      <w:pPr>
                        <w:rPr>
                          <w:sz w:val="28"/>
                          <w:szCs w:val="28"/>
                        </w:rPr>
                      </w:pPr>
                    </w:p>
                    <w:p w14:paraId="0CCF764A" w14:textId="77777777" w:rsidR="00DD4919" w:rsidRDefault="00DD4919" w:rsidP="00DD4919">
                      <w:pPr>
                        <w:rPr>
                          <w:sz w:val="28"/>
                          <w:szCs w:val="28"/>
                        </w:rPr>
                      </w:pPr>
                    </w:p>
                    <w:p w14:paraId="0DF9A9DC" w14:textId="77777777" w:rsidR="00DD4919" w:rsidRDefault="00DD4919" w:rsidP="00DD4919">
                      <w:pPr>
                        <w:rPr>
                          <w:sz w:val="28"/>
                          <w:szCs w:val="28"/>
                        </w:rPr>
                      </w:pPr>
                    </w:p>
                    <w:p w14:paraId="3DF62082" w14:textId="77777777" w:rsidR="00DD4919" w:rsidRPr="009533D5" w:rsidRDefault="00DD4919" w:rsidP="00DD4919">
                      <w:pPr>
                        <w:rPr>
                          <w:sz w:val="28"/>
                          <w:szCs w:val="28"/>
                        </w:rPr>
                      </w:pPr>
                    </w:p>
                    <w:p w14:paraId="2649EEEC" w14:textId="77777777" w:rsidR="00DD4919" w:rsidRDefault="00DD4919" w:rsidP="00DD4919">
                      <w:pPr>
                        <w:rPr>
                          <w:b/>
                        </w:rPr>
                      </w:pPr>
                    </w:p>
                    <w:p w14:paraId="7D5FA973" w14:textId="77777777" w:rsidR="00DD4919" w:rsidRDefault="00DD4919" w:rsidP="00DD4919">
                      <w:pPr>
                        <w:rPr>
                          <w:b/>
                        </w:rPr>
                      </w:pPr>
                    </w:p>
                    <w:p w14:paraId="59F49930" w14:textId="77777777" w:rsidR="00DD4919" w:rsidRDefault="00DD4919" w:rsidP="00DD4919">
                      <w:pPr>
                        <w:rPr>
                          <w:b/>
                        </w:rPr>
                      </w:pPr>
                    </w:p>
                    <w:p w14:paraId="17A59C62" w14:textId="77777777" w:rsidR="00DD4919" w:rsidRPr="00B93709" w:rsidRDefault="00DD4919" w:rsidP="00DD4919">
                      <w:pPr>
                        <w:rPr>
                          <w:b/>
                        </w:rPr>
                      </w:pPr>
                    </w:p>
                    <w:p w14:paraId="476D1C31" w14:textId="77777777" w:rsidR="00DD4919" w:rsidRPr="00B93709" w:rsidRDefault="00DD4919" w:rsidP="00DD4919">
                      <w:r w:rsidRPr="00B93709">
                        <w:t xml:space="preserve">             </w:t>
                      </w:r>
                      <w:r>
                        <w:t xml:space="preserve">  </w:t>
                      </w:r>
                      <w:r>
                        <w:tab/>
                      </w:r>
                      <w:r>
                        <w:tab/>
                        <w:t xml:space="preserve">      </w:t>
                      </w:r>
                    </w:p>
                  </w:txbxContent>
                </v:textbox>
              </v:shape>
            </w:pict>
          </mc:Fallback>
        </mc:AlternateContent>
      </w:r>
      <w:r w:rsidRPr="00520591">
        <w:rPr>
          <w:u w:val="single"/>
        </w:rPr>
        <w:t xml:space="preserve">GAUTENG </w:t>
      </w:r>
      <w:r>
        <w:rPr>
          <w:u w:val="single"/>
        </w:rPr>
        <w:t xml:space="preserve">LOCAL </w:t>
      </w:r>
      <w:r w:rsidRPr="00520591">
        <w:rPr>
          <w:u w:val="single"/>
        </w:rPr>
        <w:t xml:space="preserve">DIVISION, </w:t>
      </w:r>
      <w:r>
        <w:rPr>
          <w:u w:val="single"/>
        </w:rPr>
        <w:t>JOHANNESBURG</w:t>
      </w:r>
    </w:p>
    <w:p w14:paraId="36700DFE" w14:textId="77777777" w:rsidR="00DD4919" w:rsidRDefault="00DD4919" w:rsidP="00DD4919">
      <w:pPr>
        <w:pStyle w:val="LegalAnnexure"/>
        <w:spacing w:after="240" w:line="360" w:lineRule="auto"/>
        <w:rPr>
          <w:u w:val="single"/>
        </w:rPr>
      </w:pPr>
    </w:p>
    <w:p w14:paraId="03D59BA0" w14:textId="77777777" w:rsidR="00DD4919" w:rsidRDefault="00DD4919" w:rsidP="00DD4919">
      <w:pPr>
        <w:pStyle w:val="LegalAnnexure"/>
        <w:spacing w:after="120" w:line="360" w:lineRule="auto"/>
        <w:rPr>
          <w:u w:val="single"/>
        </w:rPr>
      </w:pPr>
    </w:p>
    <w:p w14:paraId="34BFEE24" w14:textId="5D9C48E0" w:rsidR="00DD4919" w:rsidRDefault="00DD4919" w:rsidP="00DD4919">
      <w:pPr>
        <w:pStyle w:val="LegalAnnexure"/>
        <w:spacing w:before="120" w:after="120" w:line="360" w:lineRule="auto"/>
      </w:pPr>
      <w:r w:rsidRPr="00A84826">
        <w:rPr>
          <w:u w:val="single"/>
        </w:rPr>
        <w:t>CASE NO</w:t>
      </w:r>
      <w:r w:rsidRPr="0080126D">
        <w:t>:</w:t>
      </w:r>
      <w:r>
        <w:t xml:space="preserve"> </w:t>
      </w:r>
      <w:r w:rsidR="00965923" w:rsidRPr="00965923">
        <w:rPr>
          <w:b w:val="0"/>
        </w:rPr>
        <w:t>22573</w:t>
      </w:r>
      <w:r w:rsidRPr="00201D05">
        <w:rPr>
          <w:b w:val="0"/>
        </w:rPr>
        <w:t>/2017</w:t>
      </w:r>
    </w:p>
    <w:p w14:paraId="421FAA94" w14:textId="77777777" w:rsidR="00DD4919" w:rsidRDefault="00DD4919" w:rsidP="00DD4919">
      <w:pPr>
        <w:pStyle w:val="LegalNormal"/>
        <w:spacing w:after="120" w:line="360" w:lineRule="auto"/>
      </w:pPr>
    </w:p>
    <w:p w14:paraId="53DFBEE4" w14:textId="77777777" w:rsidR="00DD4919" w:rsidRPr="00A84826" w:rsidRDefault="00DD4919" w:rsidP="00DD4919">
      <w:pPr>
        <w:pStyle w:val="LegalNormal"/>
        <w:spacing w:after="120" w:line="360" w:lineRule="auto"/>
      </w:pPr>
      <w:r w:rsidRPr="00A84826">
        <w:t>In the matter between:</w:t>
      </w:r>
    </w:p>
    <w:p w14:paraId="49AB0379" w14:textId="3938F6A3" w:rsidR="00DD4919" w:rsidRDefault="00965923" w:rsidP="00DD4919">
      <w:pPr>
        <w:pStyle w:val="LegalPlainDef"/>
        <w:spacing w:after="120" w:line="360" w:lineRule="auto"/>
      </w:pPr>
      <w:r>
        <w:rPr>
          <w:b/>
        </w:rPr>
        <w:t>DOUGLASDALE DAIRY (PTY) LTD</w:t>
      </w:r>
      <w:r w:rsidR="00DD4919">
        <w:rPr>
          <w:b/>
        </w:rPr>
        <w:tab/>
      </w:r>
      <w:r w:rsidR="00157208">
        <w:rPr>
          <w:b/>
        </w:rPr>
        <w:t xml:space="preserve"> </w:t>
      </w:r>
      <w:r w:rsidR="00DD4919">
        <w:t xml:space="preserve">Applicant </w:t>
      </w:r>
      <w:r>
        <w:t>/ Defendant</w:t>
      </w:r>
    </w:p>
    <w:p w14:paraId="40B12035" w14:textId="77777777" w:rsidR="00DD4919" w:rsidRPr="00A84826" w:rsidRDefault="00DD4919" w:rsidP="00DD4919">
      <w:pPr>
        <w:pStyle w:val="LegalNormal"/>
        <w:spacing w:after="120" w:line="360" w:lineRule="auto"/>
      </w:pPr>
      <w:r w:rsidRPr="00A84826">
        <w:t>And</w:t>
      </w:r>
    </w:p>
    <w:p w14:paraId="662D76A1" w14:textId="0FE86C04" w:rsidR="00DD4919" w:rsidRDefault="00965923" w:rsidP="00DD4919">
      <w:pPr>
        <w:pStyle w:val="LegalPlainDef"/>
        <w:spacing w:after="240" w:line="360" w:lineRule="auto"/>
      </w:pPr>
      <w:r>
        <w:rPr>
          <w:b/>
        </w:rPr>
        <w:t>WILLIAM HERBERT HUNTER THYNE</w:t>
      </w:r>
      <w:r w:rsidR="00DD4919">
        <w:rPr>
          <w:b/>
        </w:rPr>
        <w:t xml:space="preserve"> N.O. </w:t>
      </w:r>
      <w:r w:rsidR="00DD4919">
        <w:tab/>
        <w:t>Respondent</w:t>
      </w:r>
      <w:r>
        <w:t xml:space="preserve"> / Plaintiff</w:t>
      </w:r>
    </w:p>
    <w:p w14:paraId="7D43D3FC" w14:textId="77777777" w:rsidR="00DD4919" w:rsidRPr="000517A0" w:rsidRDefault="00DD4919" w:rsidP="00DD4919">
      <w:pPr>
        <w:ind w:left="1440" w:hanging="1440"/>
        <w:rPr>
          <w:rFonts w:ascii="Arial" w:hAnsi="Arial" w:cs="Arial"/>
          <w:sz w:val="24"/>
          <w:szCs w:val="24"/>
        </w:rPr>
      </w:pPr>
      <w:r w:rsidRPr="000517A0">
        <w:rPr>
          <w:rFonts w:ascii="Arial" w:hAnsi="Arial" w:cs="Arial"/>
          <w:b/>
          <w:bCs/>
          <w:sz w:val="24"/>
          <w:szCs w:val="24"/>
        </w:rPr>
        <w:t>Coram:</w:t>
      </w:r>
      <w:r w:rsidRPr="000517A0">
        <w:rPr>
          <w:rFonts w:ascii="Arial" w:hAnsi="Arial" w:cs="Arial"/>
          <w:sz w:val="24"/>
          <w:szCs w:val="24"/>
        </w:rPr>
        <w:tab/>
        <w:t>NICHOLS AJ</w:t>
      </w:r>
    </w:p>
    <w:p w14:paraId="2E2863B5" w14:textId="55F18FE8" w:rsidR="00DD4919" w:rsidRPr="000517A0" w:rsidRDefault="00DD4919" w:rsidP="00DD4919">
      <w:pPr>
        <w:spacing w:after="120"/>
        <w:ind w:left="1440" w:hanging="1440"/>
        <w:rPr>
          <w:rFonts w:ascii="Arial" w:hAnsi="Arial" w:cs="Arial"/>
          <w:sz w:val="24"/>
          <w:szCs w:val="24"/>
        </w:rPr>
      </w:pPr>
      <w:r w:rsidRPr="000517A0">
        <w:rPr>
          <w:rFonts w:ascii="Arial" w:hAnsi="Arial" w:cs="Arial"/>
          <w:b/>
          <w:sz w:val="24"/>
          <w:szCs w:val="24"/>
        </w:rPr>
        <w:t>Delivered:</w:t>
      </w:r>
      <w:r w:rsidRPr="000517A0">
        <w:rPr>
          <w:rFonts w:ascii="Arial" w:hAnsi="Arial" w:cs="Arial"/>
          <w:b/>
          <w:sz w:val="24"/>
          <w:szCs w:val="24"/>
        </w:rPr>
        <w:tab/>
      </w:r>
      <w:r w:rsidRPr="00E7393D">
        <w:rPr>
          <w:rFonts w:ascii="Arial" w:hAnsi="Arial" w:cs="Arial"/>
          <w:sz w:val="24"/>
          <w:szCs w:val="24"/>
        </w:rPr>
        <w:t>1</w:t>
      </w:r>
      <w:r w:rsidR="00157208">
        <w:rPr>
          <w:rFonts w:ascii="Arial" w:hAnsi="Arial" w:cs="Arial"/>
          <w:sz w:val="24"/>
          <w:szCs w:val="24"/>
        </w:rPr>
        <w:t>9</w:t>
      </w:r>
      <w:r>
        <w:rPr>
          <w:rFonts w:ascii="Arial" w:hAnsi="Arial" w:cs="Arial"/>
          <w:sz w:val="24"/>
          <w:szCs w:val="24"/>
        </w:rPr>
        <w:t xml:space="preserve"> </w:t>
      </w:r>
      <w:r w:rsidR="00157208">
        <w:rPr>
          <w:rFonts w:ascii="Arial" w:hAnsi="Arial" w:cs="Arial"/>
          <w:sz w:val="24"/>
          <w:szCs w:val="24"/>
        </w:rPr>
        <w:t>April</w:t>
      </w:r>
      <w:r>
        <w:rPr>
          <w:rFonts w:ascii="Arial" w:hAnsi="Arial" w:cs="Arial"/>
          <w:sz w:val="24"/>
          <w:szCs w:val="24"/>
        </w:rPr>
        <w:t xml:space="preserve"> </w:t>
      </w:r>
      <w:r w:rsidRPr="000517A0">
        <w:rPr>
          <w:rFonts w:ascii="Arial" w:hAnsi="Arial" w:cs="Arial"/>
          <w:sz w:val="24"/>
          <w:szCs w:val="24"/>
        </w:rPr>
        <w:t>202</w:t>
      </w:r>
      <w:r>
        <w:rPr>
          <w:rFonts w:ascii="Arial" w:hAnsi="Arial" w:cs="Arial"/>
          <w:sz w:val="24"/>
          <w:szCs w:val="24"/>
        </w:rPr>
        <w:t>2</w:t>
      </w:r>
      <w:r w:rsidRPr="000517A0">
        <w:rPr>
          <w:rFonts w:ascii="Arial" w:hAnsi="Arial" w:cs="Arial"/>
          <w:sz w:val="24"/>
          <w:szCs w:val="24"/>
        </w:rPr>
        <w:t xml:space="preserve"> – This judgment was handed down electronically by circulation to the parties' representatives </w:t>
      </w:r>
      <w:r w:rsidRPr="000517A0">
        <w:rPr>
          <w:rFonts w:ascii="Arial" w:hAnsi="Arial" w:cs="Arial"/>
          <w:i/>
          <w:sz w:val="24"/>
          <w:szCs w:val="24"/>
        </w:rPr>
        <w:t>via</w:t>
      </w:r>
      <w:r w:rsidRPr="000517A0">
        <w:rPr>
          <w:rFonts w:ascii="Arial" w:hAnsi="Arial" w:cs="Arial"/>
          <w:sz w:val="24"/>
          <w:szCs w:val="24"/>
        </w:rPr>
        <w:t xml:space="preserve"> email, by being uploaded to the </w:t>
      </w:r>
      <w:proofErr w:type="spellStart"/>
      <w:r w:rsidRPr="000517A0">
        <w:rPr>
          <w:rFonts w:ascii="Arial" w:hAnsi="Arial" w:cs="Arial"/>
          <w:i/>
          <w:sz w:val="24"/>
          <w:szCs w:val="24"/>
        </w:rPr>
        <w:t>CaseLines</w:t>
      </w:r>
      <w:proofErr w:type="spellEnd"/>
      <w:r w:rsidRPr="000517A0">
        <w:rPr>
          <w:rFonts w:ascii="Arial" w:hAnsi="Arial" w:cs="Arial"/>
          <w:sz w:val="24"/>
          <w:szCs w:val="24"/>
        </w:rPr>
        <w:t xml:space="preserve"> system of the GLD and by release to SAFLII. The date and time for hand-down is deemed to be 11H00 on </w:t>
      </w:r>
      <w:r>
        <w:rPr>
          <w:rFonts w:ascii="Arial" w:hAnsi="Arial" w:cs="Arial"/>
          <w:sz w:val="24"/>
          <w:szCs w:val="24"/>
        </w:rPr>
        <w:t>1</w:t>
      </w:r>
      <w:r w:rsidR="00157208">
        <w:rPr>
          <w:rFonts w:ascii="Arial" w:hAnsi="Arial" w:cs="Arial"/>
          <w:sz w:val="24"/>
          <w:szCs w:val="24"/>
        </w:rPr>
        <w:t>9</w:t>
      </w:r>
      <w:r>
        <w:rPr>
          <w:rFonts w:ascii="Arial" w:hAnsi="Arial" w:cs="Arial"/>
          <w:sz w:val="24"/>
          <w:szCs w:val="24"/>
        </w:rPr>
        <w:t xml:space="preserve"> </w:t>
      </w:r>
      <w:r w:rsidR="00157208">
        <w:rPr>
          <w:rFonts w:ascii="Arial" w:hAnsi="Arial" w:cs="Arial"/>
          <w:sz w:val="24"/>
          <w:szCs w:val="24"/>
        </w:rPr>
        <w:t>April</w:t>
      </w:r>
      <w:r>
        <w:rPr>
          <w:rFonts w:ascii="Arial" w:hAnsi="Arial" w:cs="Arial"/>
          <w:sz w:val="24"/>
          <w:szCs w:val="24"/>
        </w:rPr>
        <w:t xml:space="preserve"> </w:t>
      </w:r>
      <w:r w:rsidRPr="000517A0">
        <w:rPr>
          <w:rFonts w:ascii="Arial" w:hAnsi="Arial" w:cs="Arial"/>
          <w:sz w:val="24"/>
          <w:szCs w:val="24"/>
        </w:rPr>
        <w:t>202</w:t>
      </w:r>
      <w:r>
        <w:rPr>
          <w:rFonts w:ascii="Arial" w:hAnsi="Arial" w:cs="Arial"/>
          <w:sz w:val="24"/>
          <w:szCs w:val="24"/>
        </w:rPr>
        <w:t>2</w:t>
      </w:r>
      <w:r w:rsidRPr="000517A0">
        <w:rPr>
          <w:rFonts w:ascii="Arial" w:hAnsi="Arial" w:cs="Arial"/>
          <w:sz w:val="24"/>
          <w:szCs w:val="24"/>
        </w:rPr>
        <w:t>.</w:t>
      </w:r>
    </w:p>
    <w:p w14:paraId="5E85E5A7" w14:textId="77777777" w:rsidR="00DD4919" w:rsidRDefault="00DD4919" w:rsidP="00DD4919">
      <w:pPr>
        <w:pStyle w:val="LegalTramLines"/>
        <w:spacing w:after="360"/>
      </w:pPr>
      <w:r>
        <w:t>JUDGMENT AND ORDER</w:t>
      </w:r>
    </w:p>
    <w:p w14:paraId="5704C9BA" w14:textId="6C03CA25" w:rsidR="007E319C" w:rsidRDefault="00965923" w:rsidP="006561BA">
      <w:pPr>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7E319C">
        <w:rPr>
          <w:rFonts w:ascii="Arial" w:hAnsi="Arial" w:cs="Arial"/>
          <w:sz w:val="24"/>
          <w:szCs w:val="24"/>
          <w:lang w:val="en-US"/>
        </w:rPr>
        <w:t xml:space="preserve">This </w:t>
      </w:r>
      <w:r w:rsidR="001B5E51">
        <w:rPr>
          <w:rFonts w:ascii="Arial" w:hAnsi="Arial" w:cs="Arial"/>
          <w:sz w:val="24"/>
          <w:szCs w:val="24"/>
          <w:lang w:val="en-US"/>
        </w:rPr>
        <w:t xml:space="preserve">interlocutory </w:t>
      </w:r>
      <w:r w:rsidR="007E319C">
        <w:rPr>
          <w:rFonts w:ascii="Arial" w:hAnsi="Arial" w:cs="Arial"/>
          <w:sz w:val="24"/>
          <w:szCs w:val="24"/>
          <w:lang w:val="en-US"/>
        </w:rPr>
        <w:t xml:space="preserve">application represents another chapter in the acrimonious litigation amongst family members, either personally or via </w:t>
      </w:r>
      <w:r w:rsidR="007A5843">
        <w:rPr>
          <w:rFonts w:ascii="Arial" w:hAnsi="Arial" w:cs="Arial"/>
          <w:sz w:val="24"/>
          <w:szCs w:val="24"/>
          <w:lang w:val="en-US"/>
        </w:rPr>
        <w:t xml:space="preserve">the </w:t>
      </w:r>
      <w:r w:rsidR="007E319C">
        <w:rPr>
          <w:rFonts w:ascii="Arial" w:hAnsi="Arial" w:cs="Arial"/>
          <w:sz w:val="24"/>
          <w:szCs w:val="24"/>
          <w:lang w:val="en-US"/>
        </w:rPr>
        <w:t>shield of</w:t>
      </w:r>
      <w:r w:rsidR="007A5843">
        <w:rPr>
          <w:rFonts w:ascii="Arial" w:hAnsi="Arial" w:cs="Arial"/>
          <w:sz w:val="24"/>
          <w:szCs w:val="24"/>
          <w:lang w:val="en-US"/>
        </w:rPr>
        <w:t xml:space="preserve"> the corporate veil of a </w:t>
      </w:r>
      <w:r w:rsidR="0093775D">
        <w:rPr>
          <w:rFonts w:ascii="Arial" w:hAnsi="Arial" w:cs="Arial"/>
          <w:sz w:val="24"/>
          <w:szCs w:val="24"/>
          <w:lang w:val="en-US"/>
        </w:rPr>
        <w:t>corporate</w:t>
      </w:r>
      <w:r w:rsidR="007A5843">
        <w:rPr>
          <w:rFonts w:ascii="Arial" w:hAnsi="Arial" w:cs="Arial"/>
          <w:sz w:val="24"/>
          <w:szCs w:val="24"/>
          <w:lang w:val="en-US"/>
        </w:rPr>
        <w:t xml:space="preserve"> entity, </w:t>
      </w:r>
      <w:r w:rsidR="007E319C">
        <w:rPr>
          <w:rFonts w:ascii="Arial" w:hAnsi="Arial" w:cs="Arial"/>
          <w:sz w:val="24"/>
          <w:szCs w:val="24"/>
          <w:lang w:val="en-US"/>
        </w:rPr>
        <w:t>spanning many years and a plethora of legal proceedings</w:t>
      </w:r>
      <w:r w:rsidR="007A5843">
        <w:rPr>
          <w:rFonts w:ascii="Arial" w:hAnsi="Arial" w:cs="Arial"/>
          <w:sz w:val="24"/>
          <w:szCs w:val="24"/>
          <w:lang w:val="en-US"/>
        </w:rPr>
        <w:t>.</w:t>
      </w:r>
    </w:p>
    <w:p w14:paraId="5A346FB1" w14:textId="1D4AB90A" w:rsidR="0043532F" w:rsidRDefault="00965923" w:rsidP="006561BA">
      <w:pPr>
        <w:rPr>
          <w:rFonts w:ascii="Arial" w:hAnsi="Arial" w:cs="Arial"/>
          <w:sz w:val="24"/>
          <w:szCs w:val="24"/>
        </w:rPr>
      </w:pPr>
      <w:r>
        <w:rPr>
          <w:rFonts w:ascii="Arial" w:hAnsi="Arial" w:cs="Arial"/>
          <w:sz w:val="24"/>
          <w:szCs w:val="24"/>
          <w:lang w:val="en-US"/>
        </w:rPr>
        <w:lastRenderedPageBreak/>
        <w:t>[2]</w:t>
      </w:r>
      <w:r>
        <w:rPr>
          <w:rFonts w:ascii="Arial" w:hAnsi="Arial" w:cs="Arial"/>
          <w:sz w:val="24"/>
          <w:szCs w:val="24"/>
          <w:lang w:val="en-US"/>
        </w:rPr>
        <w:tab/>
      </w:r>
      <w:r w:rsidR="007355EB">
        <w:rPr>
          <w:rFonts w:ascii="Arial" w:hAnsi="Arial" w:cs="Arial"/>
          <w:sz w:val="24"/>
          <w:szCs w:val="24"/>
          <w:lang w:val="en-US"/>
        </w:rPr>
        <w:t xml:space="preserve">The applicant, </w:t>
      </w:r>
      <w:proofErr w:type="spellStart"/>
      <w:r w:rsidR="007355EB">
        <w:rPr>
          <w:rFonts w:ascii="Arial" w:hAnsi="Arial" w:cs="Arial"/>
          <w:sz w:val="24"/>
          <w:szCs w:val="24"/>
          <w:lang w:val="en-US"/>
        </w:rPr>
        <w:t>Douglasdale</w:t>
      </w:r>
      <w:proofErr w:type="spellEnd"/>
      <w:r w:rsidR="007355EB">
        <w:rPr>
          <w:rFonts w:ascii="Arial" w:hAnsi="Arial" w:cs="Arial"/>
          <w:sz w:val="24"/>
          <w:szCs w:val="24"/>
          <w:lang w:val="en-US"/>
        </w:rPr>
        <w:t xml:space="preserve"> Dairy (Pty) Ltd, the defendant in the main action, seeks an order</w:t>
      </w:r>
      <w:r w:rsidR="0018229A">
        <w:rPr>
          <w:rFonts w:ascii="Arial" w:hAnsi="Arial" w:cs="Arial"/>
          <w:sz w:val="24"/>
          <w:szCs w:val="24"/>
          <w:lang w:val="en-US"/>
        </w:rPr>
        <w:t xml:space="preserve">, </w:t>
      </w:r>
      <w:r w:rsidR="0018229A">
        <w:rPr>
          <w:rFonts w:ascii="Arial" w:hAnsi="Arial" w:cs="Arial"/>
          <w:i/>
          <w:sz w:val="24"/>
          <w:szCs w:val="24"/>
          <w:lang w:val="en-US"/>
        </w:rPr>
        <w:t xml:space="preserve">inter alia, </w:t>
      </w:r>
      <w:r w:rsidR="007355EB">
        <w:rPr>
          <w:rFonts w:ascii="Arial" w:hAnsi="Arial" w:cs="Arial"/>
          <w:sz w:val="24"/>
          <w:szCs w:val="24"/>
          <w:lang w:val="en-US"/>
        </w:rPr>
        <w:t>that the respondent, William</w:t>
      </w:r>
      <w:r w:rsidR="0018229A">
        <w:rPr>
          <w:rFonts w:ascii="Arial" w:hAnsi="Arial" w:cs="Arial"/>
          <w:sz w:val="24"/>
          <w:szCs w:val="24"/>
          <w:lang w:val="en-US"/>
        </w:rPr>
        <w:t xml:space="preserve"> Herbert Hunter </w:t>
      </w:r>
      <w:proofErr w:type="spellStart"/>
      <w:r w:rsidR="0018229A">
        <w:rPr>
          <w:rFonts w:ascii="Arial" w:hAnsi="Arial" w:cs="Arial"/>
          <w:sz w:val="24"/>
          <w:szCs w:val="24"/>
          <w:lang w:val="en-US"/>
        </w:rPr>
        <w:t>Thyne</w:t>
      </w:r>
      <w:proofErr w:type="spellEnd"/>
      <w:r w:rsidR="0018229A">
        <w:rPr>
          <w:rFonts w:ascii="Arial" w:hAnsi="Arial" w:cs="Arial"/>
          <w:sz w:val="24"/>
          <w:szCs w:val="24"/>
          <w:lang w:val="en-US"/>
        </w:rPr>
        <w:t xml:space="preserve"> N.O., the plaintiff in the main action</w:t>
      </w:r>
      <w:r w:rsidR="00CF174D">
        <w:rPr>
          <w:rFonts w:ascii="Arial" w:hAnsi="Arial" w:cs="Arial"/>
          <w:sz w:val="24"/>
          <w:szCs w:val="24"/>
          <w:lang w:val="en-US"/>
        </w:rPr>
        <w:t>,</w:t>
      </w:r>
      <w:r w:rsidR="0018229A">
        <w:rPr>
          <w:rFonts w:ascii="Arial" w:hAnsi="Arial" w:cs="Arial"/>
          <w:sz w:val="24"/>
          <w:szCs w:val="24"/>
          <w:lang w:val="en-US"/>
        </w:rPr>
        <w:t xml:space="preserve"> </w:t>
      </w:r>
      <w:r w:rsidR="0018229A" w:rsidRPr="00C163EC">
        <w:rPr>
          <w:rFonts w:ascii="Arial" w:hAnsi="Arial" w:cs="Arial"/>
          <w:sz w:val="24"/>
          <w:szCs w:val="24"/>
        </w:rPr>
        <w:t>furnish sec</w:t>
      </w:r>
      <w:r w:rsidR="0018229A">
        <w:rPr>
          <w:rFonts w:ascii="Arial" w:hAnsi="Arial" w:cs="Arial"/>
          <w:sz w:val="24"/>
          <w:szCs w:val="24"/>
        </w:rPr>
        <w:t xml:space="preserve">urity for the defendant's costs; a stay of </w:t>
      </w:r>
      <w:r w:rsidR="0018229A" w:rsidRPr="00C163EC">
        <w:rPr>
          <w:rFonts w:ascii="Arial" w:hAnsi="Arial" w:cs="Arial"/>
          <w:sz w:val="24"/>
          <w:szCs w:val="24"/>
        </w:rPr>
        <w:t xml:space="preserve">the action proceedings </w:t>
      </w:r>
      <w:r w:rsidR="0018229A">
        <w:rPr>
          <w:rFonts w:ascii="Arial" w:hAnsi="Arial" w:cs="Arial"/>
          <w:sz w:val="24"/>
          <w:szCs w:val="24"/>
        </w:rPr>
        <w:t>pending the provision of such security; and an order entitling</w:t>
      </w:r>
      <w:r w:rsidR="0043532F">
        <w:rPr>
          <w:rFonts w:ascii="Arial" w:hAnsi="Arial" w:cs="Arial"/>
          <w:sz w:val="24"/>
          <w:szCs w:val="24"/>
        </w:rPr>
        <w:t xml:space="preserve"> </w:t>
      </w:r>
      <w:r w:rsidR="0043532F" w:rsidRPr="00C163EC">
        <w:rPr>
          <w:rFonts w:ascii="Arial" w:hAnsi="Arial" w:cs="Arial"/>
          <w:sz w:val="24"/>
          <w:szCs w:val="24"/>
        </w:rPr>
        <w:t>the defendant</w:t>
      </w:r>
      <w:r w:rsidR="0043532F">
        <w:rPr>
          <w:rFonts w:ascii="Arial" w:hAnsi="Arial" w:cs="Arial"/>
          <w:sz w:val="24"/>
          <w:szCs w:val="24"/>
        </w:rPr>
        <w:t xml:space="preserve"> to </w:t>
      </w:r>
      <w:r w:rsidR="0043532F" w:rsidRPr="00C163EC">
        <w:rPr>
          <w:rFonts w:ascii="Arial" w:hAnsi="Arial" w:cs="Arial"/>
          <w:sz w:val="24"/>
          <w:szCs w:val="24"/>
        </w:rPr>
        <w:t>apply for the dismissal of the plaintiff's</w:t>
      </w:r>
      <w:r w:rsidR="0043532F">
        <w:rPr>
          <w:rFonts w:ascii="Arial" w:hAnsi="Arial" w:cs="Arial"/>
          <w:sz w:val="24"/>
          <w:szCs w:val="24"/>
        </w:rPr>
        <w:t xml:space="preserve"> action in the event of </w:t>
      </w:r>
      <w:r w:rsidR="00CF174D">
        <w:rPr>
          <w:rFonts w:ascii="Arial" w:hAnsi="Arial" w:cs="Arial"/>
          <w:sz w:val="24"/>
          <w:szCs w:val="24"/>
        </w:rPr>
        <w:t xml:space="preserve">his </w:t>
      </w:r>
      <w:r w:rsidR="0043532F">
        <w:rPr>
          <w:rFonts w:ascii="Arial" w:hAnsi="Arial" w:cs="Arial"/>
          <w:sz w:val="24"/>
          <w:szCs w:val="24"/>
        </w:rPr>
        <w:t>non-compliance with</w:t>
      </w:r>
      <w:r w:rsidR="0018229A" w:rsidRPr="00C163EC">
        <w:rPr>
          <w:rFonts w:ascii="Arial" w:hAnsi="Arial" w:cs="Arial"/>
          <w:sz w:val="24"/>
          <w:szCs w:val="24"/>
        </w:rPr>
        <w:t xml:space="preserve"> </w:t>
      </w:r>
      <w:r w:rsidR="0043532F">
        <w:rPr>
          <w:rFonts w:ascii="Arial" w:hAnsi="Arial" w:cs="Arial"/>
          <w:sz w:val="24"/>
          <w:szCs w:val="24"/>
        </w:rPr>
        <w:t>such order. For ease of reference, the parties shall be referred to as the plaintiff and the defendant</w:t>
      </w:r>
      <w:r w:rsidR="00CF174D">
        <w:rPr>
          <w:rFonts w:ascii="Arial" w:hAnsi="Arial" w:cs="Arial"/>
          <w:sz w:val="24"/>
          <w:szCs w:val="24"/>
        </w:rPr>
        <w:t xml:space="preserve"> in this judgment</w:t>
      </w:r>
      <w:r w:rsidR="0043532F">
        <w:rPr>
          <w:rFonts w:ascii="Arial" w:hAnsi="Arial" w:cs="Arial"/>
          <w:sz w:val="24"/>
          <w:szCs w:val="24"/>
        </w:rPr>
        <w:t>.</w:t>
      </w:r>
    </w:p>
    <w:p w14:paraId="0E5B99A6" w14:textId="39D8D89D" w:rsidR="00685FBA" w:rsidRDefault="00965923" w:rsidP="006561BA">
      <w:pPr>
        <w:rPr>
          <w:rFonts w:ascii="Arial" w:hAnsi="Arial" w:cs="Arial"/>
          <w:sz w:val="24"/>
          <w:szCs w:val="24"/>
          <w:lang w:val="en-US"/>
        </w:rPr>
      </w:pPr>
      <w:r>
        <w:rPr>
          <w:rFonts w:ascii="Arial" w:hAnsi="Arial" w:cs="Arial"/>
          <w:sz w:val="24"/>
          <w:szCs w:val="24"/>
        </w:rPr>
        <w:t>[3]</w:t>
      </w:r>
      <w:r>
        <w:rPr>
          <w:rFonts w:ascii="Arial" w:hAnsi="Arial" w:cs="Arial"/>
          <w:sz w:val="24"/>
          <w:szCs w:val="24"/>
        </w:rPr>
        <w:tab/>
      </w:r>
      <w:r w:rsidR="0043532F">
        <w:rPr>
          <w:rFonts w:ascii="Arial" w:hAnsi="Arial" w:cs="Arial"/>
          <w:sz w:val="24"/>
          <w:szCs w:val="24"/>
        </w:rPr>
        <w:t xml:space="preserve">The </w:t>
      </w:r>
      <w:r w:rsidR="00765A77">
        <w:rPr>
          <w:rFonts w:ascii="Arial" w:hAnsi="Arial" w:cs="Arial"/>
          <w:sz w:val="24"/>
          <w:szCs w:val="24"/>
        </w:rPr>
        <w:t xml:space="preserve">acrimonious </w:t>
      </w:r>
      <w:r w:rsidR="0043532F">
        <w:rPr>
          <w:rFonts w:ascii="Arial" w:hAnsi="Arial" w:cs="Arial"/>
          <w:sz w:val="24"/>
          <w:szCs w:val="24"/>
        </w:rPr>
        <w:t>litigation</w:t>
      </w:r>
      <w:r w:rsidR="00C2426A">
        <w:rPr>
          <w:rFonts w:ascii="Arial" w:hAnsi="Arial" w:cs="Arial"/>
          <w:sz w:val="24"/>
          <w:szCs w:val="24"/>
        </w:rPr>
        <w:t xml:space="preserve"> and the</w:t>
      </w:r>
      <w:r w:rsidR="00CF174D">
        <w:rPr>
          <w:rFonts w:ascii="Arial" w:hAnsi="Arial" w:cs="Arial"/>
          <w:sz w:val="24"/>
          <w:szCs w:val="24"/>
        </w:rPr>
        <w:t xml:space="preserve"> main</w:t>
      </w:r>
      <w:r w:rsidR="00C2426A">
        <w:rPr>
          <w:rFonts w:ascii="Arial" w:hAnsi="Arial" w:cs="Arial"/>
          <w:sz w:val="24"/>
          <w:szCs w:val="24"/>
        </w:rPr>
        <w:t xml:space="preserve"> action </w:t>
      </w:r>
      <w:r w:rsidR="0043532F">
        <w:rPr>
          <w:rFonts w:ascii="Arial" w:hAnsi="Arial" w:cs="Arial"/>
          <w:sz w:val="24"/>
          <w:szCs w:val="24"/>
        </w:rPr>
        <w:t xml:space="preserve">revolves around </w:t>
      </w:r>
      <w:r w:rsidR="00765A77">
        <w:rPr>
          <w:rFonts w:ascii="Arial" w:hAnsi="Arial" w:cs="Arial"/>
          <w:sz w:val="24"/>
          <w:szCs w:val="24"/>
        </w:rPr>
        <w:t xml:space="preserve">the </w:t>
      </w:r>
      <w:r w:rsidR="0043532F">
        <w:rPr>
          <w:rFonts w:ascii="Arial" w:hAnsi="Arial" w:cs="Arial"/>
          <w:sz w:val="24"/>
          <w:szCs w:val="24"/>
        </w:rPr>
        <w:t>immovable property</w:t>
      </w:r>
      <w:r w:rsidR="0043532F">
        <w:rPr>
          <w:rFonts w:ascii="Arial" w:hAnsi="Arial" w:cs="Arial"/>
          <w:sz w:val="24"/>
          <w:szCs w:val="24"/>
          <w:lang w:val="en-US"/>
        </w:rPr>
        <w:t xml:space="preserve"> </w:t>
      </w:r>
      <w:r w:rsidR="00765A77">
        <w:rPr>
          <w:rFonts w:ascii="Arial" w:hAnsi="Arial" w:cs="Arial"/>
          <w:sz w:val="24"/>
          <w:szCs w:val="24"/>
          <w:lang w:val="en-US"/>
        </w:rPr>
        <w:t xml:space="preserve">occupied by the defendant. </w:t>
      </w:r>
      <w:r w:rsidR="0047337B">
        <w:rPr>
          <w:rFonts w:ascii="Arial" w:hAnsi="Arial" w:cs="Arial"/>
          <w:sz w:val="24"/>
          <w:szCs w:val="24"/>
          <w:lang w:val="en-US"/>
        </w:rPr>
        <w:t xml:space="preserve">Prior to his death in January 2000, the immovable </w:t>
      </w:r>
      <w:r w:rsidR="00765A77">
        <w:rPr>
          <w:rFonts w:ascii="Arial" w:hAnsi="Arial" w:cs="Arial"/>
          <w:sz w:val="24"/>
          <w:szCs w:val="24"/>
          <w:lang w:val="en-US"/>
        </w:rPr>
        <w:t>property was owned by Mr Brian Mat</w:t>
      </w:r>
      <w:r w:rsidR="009F4960">
        <w:rPr>
          <w:rFonts w:ascii="Arial" w:hAnsi="Arial" w:cs="Arial"/>
          <w:sz w:val="24"/>
          <w:szCs w:val="24"/>
          <w:lang w:val="en-US"/>
        </w:rPr>
        <w:t>t</w:t>
      </w:r>
      <w:r w:rsidR="00765A77">
        <w:rPr>
          <w:rFonts w:ascii="Arial" w:hAnsi="Arial" w:cs="Arial"/>
          <w:sz w:val="24"/>
          <w:szCs w:val="24"/>
          <w:lang w:val="en-US"/>
        </w:rPr>
        <w:t>hews</w:t>
      </w:r>
      <w:r w:rsidR="0047337B">
        <w:rPr>
          <w:rFonts w:ascii="Arial" w:hAnsi="Arial" w:cs="Arial"/>
          <w:sz w:val="24"/>
          <w:szCs w:val="24"/>
          <w:lang w:val="en-US"/>
        </w:rPr>
        <w:t xml:space="preserve"> (</w:t>
      </w:r>
      <w:r w:rsidR="009F4960">
        <w:rPr>
          <w:rFonts w:ascii="Arial" w:hAnsi="Arial" w:cs="Arial"/>
          <w:sz w:val="24"/>
          <w:szCs w:val="24"/>
          <w:lang w:val="en-US"/>
        </w:rPr>
        <w:t>Matthews</w:t>
      </w:r>
      <w:r w:rsidR="0047337B">
        <w:rPr>
          <w:rFonts w:ascii="Arial" w:hAnsi="Arial" w:cs="Arial"/>
          <w:sz w:val="24"/>
          <w:szCs w:val="24"/>
          <w:lang w:val="en-US"/>
        </w:rPr>
        <w:t>), who along with his wife and three children were the</w:t>
      </w:r>
      <w:r w:rsidR="001B5E51">
        <w:rPr>
          <w:rFonts w:ascii="Arial" w:hAnsi="Arial" w:cs="Arial"/>
          <w:sz w:val="24"/>
          <w:szCs w:val="24"/>
          <w:lang w:val="en-US"/>
        </w:rPr>
        <w:t xml:space="preserve"> initial</w:t>
      </w:r>
      <w:r w:rsidR="0047337B">
        <w:rPr>
          <w:rFonts w:ascii="Arial" w:hAnsi="Arial" w:cs="Arial"/>
          <w:sz w:val="24"/>
          <w:szCs w:val="24"/>
          <w:lang w:val="en-US"/>
        </w:rPr>
        <w:t xml:space="preserve"> shareholders of the defendant. </w:t>
      </w:r>
      <w:r w:rsidR="00C2426A">
        <w:rPr>
          <w:rFonts w:ascii="Arial" w:hAnsi="Arial" w:cs="Arial"/>
          <w:sz w:val="24"/>
          <w:szCs w:val="24"/>
          <w:lang w:val="en-US"/>
        </w:rPr>
        <w:t>The current shareholding of the defendant</w:t>
      </w:r>
      <w:r w:rsidR="00CF174D">
        <w:rPr>
          <w:rFonts w:ascii="Arial" w:hAnsi="Arial" w:cs="Arial"/>
          <w:sz w:val="24"/>
          <w:szCs w:val="24"/>
          <w:lang w:val="en-US"/>
        </w:rPr>
        <w:t xml:space="preserve"> has changed but is</w:t>
      </w:r>
      <w:r w:rsidR="00C2426A">
        <w:rPr>
          <w:rFonts w:ascii="Arial" w:hAnsi="Arial" w:cs="Arial"/>
          <w:sz w:val="24"/>
          <w:szCs w:val="24"/>
          <w:lang w:val="en-US"/>
        </w:rPr>
        <w:t xml:space="preserve"> irrelevant for the purposes </w:t>
      </w:r>
      <w:r w:rsidR="0047337B">
        <w:rPr>
          <w:rFonts w:ascii="Arial" w:hAnsi="Arial" w:cs="Arial"/>
          <w:sz w:val="24"/>
          <w:szCs w:val="24"/>
          <w:lang w:val="en-US"/>
        </w:rPr>
        <w:t>of this judgment</w:t>
      </w:r>
      <w:r w:rsidR="00C2426A">
        <w:rPr>
          <w:rFonts w:ascii="Arial" w:hAnsi="Arial" w:cs="Arial"/>
          <w:sz w:val="24"/>
          <w:szCs w:val="24"/>
          <w:lang w:val="en-US"/>
        </w:rPr>
        <w:t>.</w:t>
      </w:r>
    </w:p>
    <w:p w14:paraId="0D1355A5" w14:textId="338441DB" w:rsidR="007355EB" w:rsidRDefault="00965923" w:rsidP="006561BA">
      <w:pPr>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685FBA">
        <w:rPr>
          <w:rFonts w:ascii="Arial" w:hAnsi="Arial" w:cs="Arial"/>
          <w:sz w:val="24"/>
          <w:szCs w:val="24"/>
          <w:lang w:val="en-US"/>
        </w:rPr>
        <w:t>In terms of his will</w:t>
      </w:r>
      <w:r w:rsidR="002C1F5F">
        <w:rPr>
          <w:rFonts w:ascii="Arial" w:hAnsi="Arial" w:cs="Arial"/>
          <w:sz w:val="24"/>
          <w:szCs w:val="24"/>
          <w:lang w:val="en-US"/>
        </w:rPr>
        <w:t>,</w:t>
      </w:r>
      <w:r w:rsidR="00C2426A">
        <w:rPr>
          <w:rFonts w:ascii="Arial" w:hAnsi="Arial" w:cs="Arial"/>
          <w:sz w:val="24"/>
          <w:szCs w:val="24"/>
          <w:lang w:val="en-US"/>
        </w:rPr>
        <w:t xml:space="preserve"> </w:t>
      </w:r>
      <w:r w:rsidR="00685FBA">
        <w:rPr>
          <w:rFonts w:ascii="Arial" w:hAnsi="Arial" w:cs="Arial"/>
          <w:sz w:val="24"/>
          <w:szCs w:val="24"/>
          <w:lang w:val="en-US"/>
        </w:rPr>
        <w:t xml:space="preserve">Brian </w:t>
      </w:r>
      <w:r w:rsidR="004127C6">
        <w:rPr>
          <w:rFonts w:ascii="Arial" w:hAnsi="Arial" w:cs="Arial"/>
          <w:sz w:val="24"/>
          <w:szCs w:val="24"/>
          <w:lang w:val="en-US"/>
        </w:rPr>
        <w:t xml:space="preserve">bequeath </w:t>
      </w:r>
      <w:r w:rsidR="00685FBA">
        <w:rPr>
          <w:rFonts w:ascii="Arial" w:hAnsi="Arial" w:cs="Arial"/>
          <w:sz w:val="24"/>
          <w:szCs w:val="24"/>
          <w:lang w:val="en-US"/>
        </w:rPr>
        <w:t>the immovable property</w:t>
      </w:r>
      <w:r w:rsidR="002C1F5F">
        <w:rPr>
          <w:rFonts w:ascii="Arial" w:hAnsi="Arial" w:cs="Arial"/>
          <w:sz w:val="24"/>
          <w:szCs w:val="24"/>
          <w:lang w:val="en-US"/>
        </w:rPr>
        <w:t xml:space="preserve"> to his wife, Elizabeth Anne </w:t>
      </w:r>
      <w:proofErr w:type="spellStart"/>
      <w:r w:rsidR="002C1F5F">
        <w:rPr>
          <w:rFonts w:ascii="Arial" w:hAnsi="Arial" w:cs="Arial"/>
          <w:sz w:val="24"/>
          <w:szCs w:val="24"/>
          <w:lang w:val="en-US"/>
        </w:rPr>
        <w:t>Bragge</w:t>
      </w:r>
      <w:proofErr w:type="spellEnd"/>
      <w:r w:rsidR="002C1F5F">
        <w:rPr>
          <w:rFonts w:ascii="Arial" w:hAnsi="Arial" w:cs="Arial"/>
          <w:sz w:val="24"/>
          <w:szCs w:val="24"/>
          <w:lang w:val="en-US"/>
        </w:rPr>
        <w:t xml:space="preserve"> (</w:t>
      </w:r>
      <w:proofErr w:type="spellStart"/>
      <w:r w:rsidR="002C1F5F">
        <w:rPr>
          <w:rFonts w:ascii="Arial" w:hAnsi="Arial" w:cs="Arial"/>
          <w:sz w:val="24"/>
          <w:szCs w:val="24"/>
          <w:lang w:val="en-US"/>
        </w:rPr>
        <w:t>Bragge</w:t>
      </w:r>
      <w:proofErr w:type="spellEnd"/>
      <w:r w:rsidR="002C1F5F">
        <w:rPr>
          <w:rFonts w:ascii="Arial" w:hAnsi="Arial" w:cs="Arial"/>
          <w:sz w:val="24"/>
          <w:szCs w:val="24"/>
          <w:lang w:val="en-US"/>
        </w:rPr>
        <w:t xml:space="preserve">), subject to the condition that upon her death, the immovable property would devolve upon their sons Rowan </w:t>
      </w:r>
      <w:proofErr w:type="spellStart"/>
      <w:r w:rsidR="002C1F5F">
        <w:rPr>
          <w:rFonts w:ascii="Arial" w:hAnsi="Arial" w:cs="Arial"/>
          <w:sz w:val="24"/>
          <w:szCs w:val="24"/>
          <w:lang w:val="en-US"/>
        </w:rPr>
        <w:t>Wauchope</w:t>
      </w:r>
      <w:proofErr w:type="spellEnd"/>
      <w:r w:rsidR="002C1F5F">
        <w:rPr>
          <w:rFonts w:ascii="Arial" w:hAnsi="Arial" w:cs="Arial"/>
          <w:sz w:val="24"/>
          <w:szCs w:val="24"/>
          <w:lang w:val="en-US"/>
        </w:rPr>
        <w:t xml:space="preserve"> Matthews (Rowan) and Michael Brian Matthews (Michael), as </w:t>
      </w:r>
      <w:proofErr w:type="spellStart"/>
      <w:r w:rsidR="002C1F5F">
        <w:rPr>
          <w:rFonts w:ascii="Arial" w:hAnsi="Arial" w:cs="Arial"/>
          <w:i/>
          <w:sz w:val="24"/>
          <w:szCs w:val="24"/>
          <w:lang w:val="en-US"/>
        </w:rPr>
        <w:t>fideicommissories</w:t>
      </w:r>
      <w:proofErr w:type="spellEnd"/>
      <w:r w:rsidR="002C1F5F">
        <w:rPr>
          <w:rFonts w:ascii="Arial" w:hAnsi="Arial" w:cs="Arial"/>
          <w:i/>
          <w:sz w:val="24"/>
          <w:szCs w:val="24"/>
          <w:lang w:val="en-US"/>
        </w:rPr>
        <w:t xml:space="preserve">. </w:t>
      </w:r>
      <w:r w:rsidR="002C1F5F">
        <w:rPr>
          <w:rFonts w:ascii="Arial" w:hAnsi="Arial" w:cs="Arial"/>
          <w:sz w:val="24"/>
          <w:szCs w:val="24"/>
          <w:lang w:val="en-US"/>
        </w:rPr>
        <w:t>His will further stipulated that</w:t>
      </w:r>
      <w:r w:rsidR="00EA0AB6">
        <w:rPr>
          <w:rFonts w:ascii="Arial" w:hAnsi="Arial" w:cs="Arial"/>
          <w:sz w:val="24"/>
          <w:szCs w:val="24"/>
          <w:lang w:val="en-US"/>
        </w:rPr>
        <w:t xml:space="preserve"> in terms of the </w:t>
      </w:r>
      <w:proofErr w:type="spellStart"/>
      <w:r w:rsidR="00EA0AB6">
        <w:rPr>
          <w:rFonts w:ascii="Arial" w:hAnsi="Arial" w:cs="Arial"/>
          <w:i/>
          <w:sz w:val="24"/>
          <w:szCs w:val="24"/>
          <w:lang w:val="en-US"/>
        </w:rPr>
        <w:t>fideicommissum</w:t>
      </w:r>
      <w:proofErr w:type="spellEnd"/>
      <w:r w:rsidR="002C1F5F">
        <w:rPr>
          <w:rFonts w:ascii="Arial" w:hAnsi="Arial" w:cs="Arial"/>
          <w:sz w:val="24"/>
          <w:szCs w:val="24"/>
          <w:lang w:val="en-US"/>
        </w:rPr>
        <w:t xml:space="preserve"> Rowan would receive 60% ownership of the immovable property and Michael would receive 40% ownership.</w:t>
      </w:r>
    </w:p>
    <w:p w14:paraId="6E4323AF" w14:textId="685C5753" w:rsidR="00EA0AB6" w:rsidRDefault="00965923" w:rsidP="006561BA">
      <w:pPr>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proofErr w:type="spellStart"/>
      <w:r w:rsidR="00C2426A">
        <w:rPr>
          <w:rFonts w:ascii="Arial" w:hAnsi="Arial" w:cs="Arial"/>
          <w:sz w:val="24"/>
          <w:szCs w:val="24"/>
          <w:lang w:val="en-US"/>
        </w:rPr>
        <w:t>Bragge</w:t>
      </w:r>
      <w:proofErr w:type="spellEnd"/>
      <w:r w:rsidR="00C2426A">
        <w:rPr>
          <w:rFonts w:ascii="Arial" w:hAnsi="Arial" w:cs="Arial"/>
          <w:sz w:val="24"/>
          <w:szCs w:val="24"/>
          <w:lang w:val="en-US"/>
        </w:rPr>
        <w:t xml:space="preserve"> passed away on 6 September 2016 and the plaintiff was appointed as the </w:t>
      </w:r>
      <w:r w:rsidR="00054174">
        <w:rPr>
          <w:rFonts w:ascii="Arial" w:hAnsi="Arial" w:cs="Arial"/>
          <w:sz w:val="24"/>
          <w:szCs w:val="24"/>
          <w:lang w:val="en-US"/>
        </w:rPr>
        <w:t xml:space="preserve">executor of her deceased estate. </w:t>
      </w:r>
      <w:r w:rsidR="003562B5">
        <w:rPr>
          <w:rFonts w:ascii="Arial" w:hAnsi="Arial" w:cs="Arial"/>
          <w:sz w:val="24"/>
          <w:szCs w:val="24"/>
          <w:lang w:val="en-US"/>
        </w:rPr>
        <w:t xml:space="preserve">The defendant currently occupies the immovable property without a lease agreement. Prior to her death </w:t>
      </w:r>
      <w:proofErr w:type="spellStart"/>
      <w:r w:rsidR="003562B5">
        <w:rPr>
          <w:rFonts w:ascii="Arial" w:hAnsi="Arial" w:cs="Arial"/>
          <w:sz w:val="24"/>
          <w:szCs w:val="24"/>
          <w:lang w:val="en-US"/>
        </w:rPr>
        <w:t>Bragge</w:t>
      </w:r>
      <w:proofErr w:type="spellEnd"/>
      <w:r w:rsidR="003562B5">
        <w:rPr>
          <w:rFonts w:ascii="Arial" w:hAnsi="Arial" w:cs="Arial"/>
          <w:sz w:val="24"/>
          <w:szCs w:val="24"/>
          <w:lang w:val="en-US"/>
        </w:rPr>
        <w:t xml:space="preserve"> successfully instituted eviction proceedings against the defendant.</w:t>
      </w:r>
      <w:r w:rsidR="00EA0AB6">
        <w:rPr>
          <w:rFonts w:ascii="Arial" w:hAnsi="Arial" w:cs="Arial"/>
          <w:sz w:val="24"/>
          <w:szCs w:val="24"/>
          <w:lang w:val="en-US"/>
        </w:rPr>
        <w:t xml:space="preserve"> </w:t>
      </w:r>
      <w:r w:rsidR="003562B5">
        <w:rPr>
          <w:rFonts w:ascii="Arial" w:hAnsi="Arial" w:cs="Arial"/>
          <w:sz w:val="24"/>
          <w:szCs w:val="24"/>
          <w:lang w:val="en-US"/>
        </w:rPr>
        <w:t>The Supreme Court judgment in respect of</w:t>
      </w:r>
      <w:r w:rsidR="0093775D">
        <w:rPr>
          <w:rFonts w:ascii="Arial" w:hAnsi="Arial" w:cs="Arial"/>
          <w:sz w:val="24"/>
          <w:szCs w:val="24"/>
          <w:lang w:val="en-US"/>
        </w:rPr>
        <w:t xml:space="preserve"> the appeal against</w:t>
      </w:r>
      <w:r w:rsidR="003562B5">
        <w:rPr>
          <w:rFonts w:ascii="Arial" w:hAnsi="Arial" w:cs="Arial"/>
          <w:sz w:val="24"/>
          <w:szCs w:val="24"/>
          <w:lang w:val="en-US"/>
        </w:rPr>
        <w:t xml:space="preserve"> this eviction order was delivered subsequent</w:t>
      </w:r>
      <w:r w:rsidR="00EA0AB6">
        <w:rPr>
          <w:rFonts w:ascii="Arial" w:hAnsi="Arial" w:cs="Arial"/>
          <w:sz w:val="24"/>
          <w:szCs w:val="24"/>
          <w:lang w:val="en-US"/>
        </w:rPr>
        <w:t xml:space="preserve"> to </w:t>
      </w:r>
      <w:proofErr w:type="spellStart"/>
      <w:r w:rsidR="00EA0AB6">
        <w:rPr>
          <w:rFonts w:ascii="Arial" w:hAnsi="Arial" w:cs="Arial"/>
          <w:sz w:val="24"/>
          <w:szCs w:val="24"/>
          <w:lang w:val="en-US"/>
        </w:rPr>
        <w:t>Bragge’s</w:t>
      </w:r>
      <w:proofErr w:type="spellEnd"/>
      <w:r w:rsidR="00EA0AB6">
        <w:rPr>
          <w:rFonts w:ascii="Arial" w:hAnsi="Arial" w:cs="Arial"/>
          <w:sz w:val="24"/>
          <w:szCs w:val="24"/>
          <w:lang w:val="en-US"/>
        </w:rPr>
        <w:t xml:space="preserve"> death and is reported as </w:t>
      </w:r>
      <w:proofErr w:type="spellStart"/>
      <w:r w:rsidR="00EA0AB6">
        <w:rPr>
          <w:rFonts w:ascii="Arial" w:hAnsi="Arial" w:cs="Arial"/>
          <w:i/>
          <w:sz w:val="24"/>
          <w:szCs w:val="24"/>
          <w:lang w:val="en-US"/>
        </w:rPr>
        <w:t>Douglasdale</w:t>
      </w:r>
      <w:proofErr w:type="spellEnd"/>
      <w:r w:rsidR="00EA0AB6">
        <w:rPr>
          <w:rFonts w:ascii="Arial" w:hAnsi="Arial" w:cs="Arial"/>
          <w:i/>
          <w:sz w:val="24"/>
          <w:szCs w:val="24"/>
          <w:lang w:val="en-US"/>
        </w:rPr>
        <w:t xml:space="preserve"> Dairy &amp; others v </w:t>
      </w:r>
      <w:proofErr w:type="spellStart"/>
      <w:r w:rsidR="00EA0AB6">
        <w:rPr>
          <w:rFonts w:ascii="Arial" w:hAnsi="Arial" w:cs="Arial"/>
          <w:i/>
          <w:sz w:val="24"/>
          <w:szCs w:val="24"/>
          <w:lang w:val="en-US"/>
        </w:rPr>
        <w:t>Bragge</w:t>
      </w:r>
      <w:proofErr w:type="spellEnd"/>
      <w:r w:rsidR="00EA0AB6">
        <w:rPr>
          <w:rFonts w:ascii="Arial" w:hAnsi="Arial" w:cs="Arial"/>
          <w:i/>
          <w:sz w:val="24"/>
          <w:szCs w:val="24"/>
          <w:lang w:val="en-US"/>
        </w:rPr>
        <w:t xml:space="preserve"> &amp; another</w:t>
      </w:r>
      <w:r w:rsidR="00EA0AB6" w:rsidRPr="00EA0AB6">
        <w:rPr>
          <w:rStyle w:val="FootnoteReference"/>
          <w:rFonts w:ascii="Arial" w:hAnsi="Arial" w:cs="Arial"/>
          <w:i/>
          <w:sz w:val="20"/>
          <w:lang w:val="en-US"/>
        </w:rPr>
        <w:footnoteReference w:id="1"/>
      </w:r>
      <w:r w:rsidR="00EA0AB6">
        <w:rPr>
          <w:rFonts w:ascii="Arial" w:hAnsi="Arial" w:cs="Arial"/>
          <w:sz w:val="24"/>
          <w:szCs w:val="24"/>
          <w:lang w:val="en-US"/>
        </w:rPr>
        <w:t xml:space="preserve">. </w:t>
      </w:r>
    </w:p>
    <w:p w14:paraId="4B32EB6E" w14:textId="43302E0E" w:rsidR="00C2426A" w:rsidRDefault="00965923" w:rsidP="006561BA">
      <w:pPr>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331F44">
        <w:rPr>
          <w:rFonts w:ascii="Arial" w:hAnsi="Arial" w:cs="Arial"/>
          <w:sz w:val="24"/>
          <w:szCs w:val="24"/>
          <w:lang w:val="en-US"/>
        </w:rPr>
        <w:t>T</w:t>
      </w:r>
      <w:r w:rsidR="00054174">
        <w:rPr>
          <w:rFonts w:ascii="Arial" w:hAnsi="Arial" w:cs="Arial"/>
          <w:sz w:val="24"/>
          <w:szCs w:val="24"/>
          <w:lang w:val="en-US"/>
        </w:rPr>
        <w:t>he plaintiff instituted the main action</w:t>
      </w:r>
      <w:r w:rsidR="00CC6BF0">
        <w:rPr>
          <w:rFonts w:ascii="Arial" w:hAnsi="Arial" w:cs="Arial"/>
          <w:sz w:val="24"/>
          <w:szCs w:val="24"/>
          <w:lang w:val="en-US"/>
        </w:rPr>
        <w:t xml:space="preserve"> </w:t>
      </w:r>
      <w:r w:rsidR="009C3849">
        <w:rPr>
          <w:rFonts w:ascii="Arial" w:hAnsi="Arial" w:cs="Arial"/>
          <w:sz w:val="24"/>
          <w:szCs w:val="24"/>
          <w:lang w:val="en-US"/>
        </w:rPr>
        <w:t>i</w:t>
      </w:r>
      <w:r w:rsidR="00054174">
        <w:rPr>
          <w:rFonts w:ascii="Arial" w:hAnsi="Arial" w:cs="Arial"/>
          <w:sz w:val="24"/>
          <w:szCs w:val="24"/>
          <w:lang w:val="en-US"/>
        </w:rPr>
        <w:t xml:space="preserve">n his capacity as executor of the estate late </w:t>
      </w:r>
      <w:proofErr w:type="spellStart"/>
      <w:r w:rsidR="00054174">
        <w:rPr>
          <w:rFonts w:ascii="Arial" w:hAnsi="Arial" w:cs="Arial"/>
          <w:sz w:val="24"/>
          <w:szCs w:val="24"/>
          <w:lang w:val="en-US"/>
        </w:rPr>
        <w:t>Bragge</w:t>
      </w:r>
      <w:proofErr w:type="spellEnd"/>
      <w:r w:rsidR="00331F44">
        <w:rPr>
          <w:rFonts w:ascii="Arial" w:hAnsi="Arial" w:cs="Arial"/>
          <w:sz w:val="24"/>
          <w:szCs w:val="24"/>
          <w:lang w:val="en-US"/>
        </w:rPr>
        <w:t>,</w:t>
      </w:r>
      <w:r w:rsidR="00054174">
        <w:rPr>
          <w:rFonts w:ascii="Arial" w:hAnsi="Arial" w:cs="Arial"/>
          <w:sz w:val="24"/>
          <w:szCs w:val="24"/>
          <w:lang w:val="en-US"/>
        </w:rPr>
        <w:t xml:space="preserve"> in respect of the following four claims</w:t>
      </w:r>
      <w:r w:rsidR="003562B5">
        <w:rPr>
          <w:rFonts w:ascii="Arial" w:hAnsi="Arial" w:cs="Arial"/>
          <w:sz w:val="24"/>
          <w:szCs w:val="24"/>
          <w:lang w:val="en-US"/>
        </w:rPr>
        <w:t xml:space="preserve"> </w:t>
      </w:r>
      <w:r w:rsidR="00331F44">
        <w:rPr>
          <w:rFonts w:ascii="Arial" w:hAnsi="Arial" w:cs="Arial"/>
          <w:sz w:val="24"/>
          <w:szCs w:val="24"/>
          <w:lang w:val="en-US"/>
        </w:rPr>
        <w:t xml:space="preserve">that </w:t>
      </w:r>
      <w:r w:rsidR="003562B5">
        <w:rPr>
          <w:rFonts w:ascii="Arial" w:hAnsi="Arial" w:cs="Arial"/>
          <w:sz w:val="24"/>
          <w:szCs w:val="24"/>
          <w:lang w:val="en-US"/>
        </w:rPr>
        <w:t>relate to the defendant’s occupatio</w:t>
      </w:r>
      <w:r w:rsidR="00331F44">
        <w:rPr>
          <w:rFonts w:ascii="Arial" w:hAnsi="Arial" w:cs="Arial"/>
          <w:sz w:val="24"/>
          <w:szCs w:val="24"/>
          <w:lang w:val="en-US"/>
        </w:rPr>
        <w:t xml:space="preserve">n of the immovable property and for which the aggregate total amount is approximately R12.2 million: </w:t>
      </w:r>
    </w:p>
    <w:p w14:paraId="2B116164" w14:textId="267DAC28" w:rsidR="00331F44" w:rsidRDefault="00965923" w:rsidP="00331F44">
      <w:pPr>
        <w:rPr>
          <w:rFonts w:ascii="Arial" w:hAnsi="Arial" w:cs="Arial"/>
          <w:sz w:val="24"/>
          <w:szCs w:val="24"/>
        </w:rPr>
      </w:pPr>
      <w:r>
        <w:rPr>
          <w:rFonts w:ascii="Arial" w:hAnsi="Arial" w:cs="Arial"/>
          <w:sz w:val="24"/>
          <w:szCs w:val="24"/>
        </w:rPr>
        <w:t>(a)</w:t>
      </w:r>
      <w:r>
        <w:rPr>
          <w:rFonts w:ascii="Arial" w:hAnsi="Arial" w:cs="Arial"/>
          <w:sz w:val="24"/>
          <w:szCs w:val="24"/>
        </w:rPr>
        <w:tab/>
      </w:r>
      <w:r w:rsidR="00331F44" w:rsidRPr="00C163EC">
        <w:rPr>
          <w:rFonts w:ascii="Arial" w:hAnsi="Arial" w:cs="Arial"/>
          <w:sz w:val="24"/>
          <w:szCs w:val="24"/>
        </w:rPr>
        <w:t>Claim A: damages for holding</w:t>
      </w:r>
      <w:r w:rsidR="001B5E51">
        <w:rPr>
          <w:rFonts w:ascii="Arial" w:hAnsi="Arial" w:cs="Arial"/>
          <w:sz w:val="24"/>
          <w:szCs w:val="24"/>
        </w:rPr>
        <w:t xml:space="preserve"> over, in the form of rental,</w:t>
      </w:r>
      <w:r w:rsidR="00331F44" w:rsidRPr="00C163EC">
        <w:rPr>
          <w:rFonts w:ascii="Arial" w:hAnsi="Arial" w:cs="Arial"/>
          <w:sz w:val="24"/>
          <w:szCs w:val="24"/>
        </w:rPr>
        <w:t xml:space="preserve"> for the period 28 February 201</w:t>
      </w:r>
      <w:r w:rsidR="00302235">
        <w:rPr>
          <w:rFonts w:ascii="Arial" w:hAnsi="Arial" w:cs="Arial"/>
          <w:sz w:val="24"/>
          <w:szCs w:val="24"/>
        </w:rPr>
        <w:t>4</w:t>
      </w:r>
      <w:r w:rsidR="00331F44" w:rsidRPr="00C163EC">
        <w:rPr>
          <w:rFonts w:ascii="Arial" w:hAnsi="Arial" w:cs="Arial"/>
          <w:sz w:val="24"/>
          <w:szCs w:val="24"/>
        </w:rPr>
        <w:t xml:space="preserve"> to the deceased's death on 6 September 2016</w:t>
      </w:r>
      <w:r w:rsidR="00331F44">
        <w:rPr>
          <w:rFonts w:ascii="Arial" w:hAnsi="Arial" w:cs="Arial"/>
          <w:sz w:val="24"/>
          <w:szCs w:val="24"/>
        </w:rPr>
        <w:t>.</w:t>
      </w:r>
    </w:p>
    <w:p w14:paraId="54D214F7" w14:textId="712ED5E4" w:rsidR="00331F44" w:rsidRDefault="00965923" w:rsidP="00331F44">
      <w:pPr>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331F44" w:rsidRPr="00C163EC">
        <w:rPr>
          <w:rFonts w:ascii="Arial" w:hAnsi="Arial" w:cs="Arial"/>
          <w:sz w:val="24"/>
          <w:szCs w:val="24"/>
        </w:rPr>
        <w:t>Claim B: damages for holding</w:t>
      </w:r>
      <w:r>
        <w:rPr>
          <w:rFonts w:ascii="Arial" w:hAnsi="Arial" w:cs="Arial"/>
          <w:sz w:val="24"/>
          <w:szCs w:val="24"/>
        </w:rPr>
        <w:t xml:space="preserve"> over, in the form of rental, </w:t>
      </w:r>
      <w:r w:rsidR="00331F44" w:rsidRPr="00C163EC">
        <w:rPr>
          <w:rFonts w:ascii="Arial" w:hAnsi="Arial" w:cs="Arial"/>
          <w:sz w:val="24"/>
          <w:szCs w:val="24"/>
        </w:rPr>
        <w:t>after the deceased's death</w:t>
      </w:r>
      <w:r w:rsidR="00331F44">
        <w:rPr>
          <w:rFonts w:ascii="Arial" w:hAnsi="Arial" w:cs="Arial"/>
          <w:sz w:val="24"/>
          <w:szCs w:val="24"/>
        </w:rPr>
        <w:t>.</w:t>
      </w:r>
    </w:p>
    <w:p w14:paraId="1A7B2731" w14:textId="5F5C22FE" w:rsidR="00331F44" w:rsidRDefault="00965923" w:rsidP="00331F44">
      <w:pPr>
        <w:rPr>
          <w:rFonts w:ascii="Arial" w:hAnsi="Arial" w:cs="Arial"/>
          <w:sz w:val="24"/>
          <w:szCs w:val="24"/>
        </w:rPr>
      </w:pPr>
      <w:r>
        <w:rPr>
          <w:rFonts w:ascii="Arial" w:hAnsi="Arial" w:cs="Arial"/>
          <w:sz w:val="24"/>
          <w:szCs w:val="24"/>
        </w:rPr>
        <w:t>(c)</w:t>
      </w:r>
      <w:r>
        <w:rPr>
          <w:rFonts w:ascii="Arial" w:hAnsi="Arial" w:cs="Arial"/>
          <w:sz w:val="24"/>
          <w:szCs w:val="24"/>
        </w:rPr>
        <w:tab/>
      </w:r>
      <w:r w:rsidR="00331F44" w:rsidRPr="00C163EC">
        <w:rPr>
          <w:rFonts w:ascii="Arial" w:hAnsi="Arial" w:cs="Arial"/>
          <w:sz w:val="24"/>
          <w:szCs w:val="24"/>
        </w:rPr>
        <w:t>Claim C: a claim for the civil fruits</w:t>
      </w:r>
      <w:r w:rsidR="00186091">
        <w:rPr>
          <w:rFonts w:ascii="Arial" w:hAnsi="Arial" w:cs="Arial"/>
          <w:sz w:val="24"/>
          <w:szCs w:val="24"/>
        </w:rPr>
        <w:t xml:space="preserve">, in the form of profits, </w:t>
      </w:r>
      <w:r w:rsidR="00331F44" w:rsidRPr="00C163EC">
        <w:rPr>
          <w:rFonts w:ascii="Arial" w:hAnsi="Arial" w:cs="Arial"/>
          <w:sz w:val="24"/>
          <w:szCs w:val="24"/>
        </w:rPr>
        <w:t xml:space="preserve">derived by the defendant from the use of the property </w:t>
      </w:r>
      <w:r w:rsidR="00186091">
        <w:rPr>
          <w:rFonts w:ascii="Arial" w:hAnsi="Arial" w:cs="Arial"/>
          <w:sz w:val="24"/>
          <w:szCs w:val="24"/>
        </w:rPr>
        <w:t xml:space="preserve">from the termination of the lease until </w:t>
      </w:r>
      <w:r w:rsidR="00331F44" w:rsidRPr="00C163EC">
        <w:rPr>
          <w:rFonts w:ascii="Arial" w:hAnsi="Arial" w:cs="Arial"/>
          <w:sz w:val="24"/>
          <w:szCs w:val="24"/>
        </w:rPr>
        <w:t xml:space="preserve">the </w:t>
      </w:r>
      <w:r w:rsidR="00186091">
        <w:rPr>
          <w:rFonts w:ascii="Arial" w:hAnsi="Arial" w:cs="Arial"/>
          <w:sz w:val="24"/>
          <w:szCs w:val="24"/>
        </w:rPr>
        <w:t xml:space="preserve">death of the </w:t>
      </w:r>
      <w:r w:rsidR="00331F44" w:rsidRPr="00C163EC">
        <w:rPr>
          <w:rFonts w:ascii="Arial" w:hAnsi="Arial" w:cs="Arial"/>
          <w:sz w:val="24"/>
          <w:szCs w:val="24"/>
        </w:rPr>
        <w:t>deceased and in respect of which the plaintiff seeks an accounting</w:t>
      </w:r>
      <w:r w:rsidR="00331F44">
        <w:rPr>
          <w:rFonts w:ascii="Arial" w:hAnsi="Arial" w:cs="Arial"/>
          <w:sz w:val="24"/>
          <w:szCs w:val="24"/>
        </w:rPr>
        <w:t>.</w:t>
      </w:r>
    </w:p>
    <w:p w14:paraId="019B4604" w14:textId="14D71EF9" w:rsidR="00331F44" w:rsidRDefault="00965923" w:rsidP="00331F44">
      <w:pPr>
        <w:rPr>
          <w:rFonts w:ascii="Arial" w:hAnsi="Arial" w:cs="Arial"/>
          <w:sz w:val="24"/>
          <w:szCs w:val="24"/>
        </w:rPr>
      </w:pPr>
      <w:r>
        <w:rPr>
          <w:rFonts w:ascii="Arial" w:hAnsi="Arial" w:cs="Arial"/>
          <w:sz w:val="24"/>
          <w:szCs w:val="24"/>
        </w:rPr>
        <w:t>(d)</w:t>
      </w:r>
      <w:r>
        <w:rPr>
          <w:rFonts w:ascii="Arial" w:hAnsi="Arial" w:cs="Arial"/>
          <w:sz w:val="24"/>
          <w:szCs w:val="24"/>
        </w:rPr>
        <w:tab/>
      </w:r>
      <w:r w:rsidR="00331F44" w:rsidRPr="00C163EC">
        <w:rPr>
          <w:rFonts w:ascii="Arial" w:hAnsi="Arial" w:cs="Arial"/>
          <w:sz w:val="24"/>
          <w:szCs w:val="24"/>
        </w:rPr>
        <w:t xml:space="preserve">Claim </w:t>
      </w:r>
      <w:r w:rsidR="00331F44">
        <w:rPr>
          <w:rFonts w:ascii="Arial" w:hAnsi="Arial" w:cs="Arial"/>
          <w:sz w:val="24"/>
          <w:szCs w:val="24"/>
        </w:rPr>
        <w:t>D:</w:t>
      </w:r>
      <w:r w:rsidR="00331F44" w:rsidRPr="00C163EC">
        <w:rPr>
          <w:rFonts w:ascii="Arial" w:hAnsi="Arial" w:cs="Arial"/>
          <w:sz w:val="24"/>
          <w:szCs w:val="24"/>
        </w:rPr>
        <w:t xml:space="preserve"> a claim for the civil fruits</w:t>
      </w:r>
      <w:r w:rsidR="00186091">
        <w:rPr>
          <w:rFonts w:ascii="Arial" w:hAnsi="Arial" w:cs="Arial"/>
          <w:sz w:val="24"/>
          <w:szCs w:val="24"/>
        </w:rPr>
        <w:t xml:space="preserve">, in the form of profits, </w:t>
      </w:r>
      <w:r w:rsidR="00331F44" w:rsidRPr="00C163EC">
        <w:rPr>
          <w:rFonts w:ascii="Arial" w:hAnsi="Arial" w:cs="Arial"/>
          <w:sz w:val="24"/>
          <w:szCs w:val="24"/>
        </w:rPr>
        <w:t>derived by the defendant after the deceased's death and in respect of which the plaintiff seeks an accounting.</w:t>
      </w:r>
    </w:p>
    <w:p w14:paraId="1580EEFE" w14:textId="26389051" w:rsidR="00CC6BF0" w:rsidRDefault="00965923" w:rsidP="00331F44">
      <w:pPr>
        <w:rPr>
          <w:rFonts w:ascii="Arial" w:hAnsi="Arial" w:cs="Arial"/>
          <w:sz w:val="24"/>
          <w:szCs w:val="24"/>
        </w:rPr>
      </w:pPr>
      <w:r>
        <w:rPr>
          <w:rFonts w:ascii="Arial" w:hAnsi="Arial" w:cs="Arial"/>
          <w:sz w:val="24"/>
          <w:szCs w:val="24"/>
        </w:rPr>
        <w:t>[7]</w:t>
      </w:r>
      <w:r>
        <w:rPr>
          <w:rFonts w:ascii="Arial" w:hAnsi="Arial" w:cs="Arial"/>
          <w:sz w:val="24"/>
          <w:szCs w:val="24"/>
        </w:rPr>
        <w:tab/>
      </w:r>
      <w:r w:rsidR="00CC6BF0">
        <w:rPr>
          <w:rFonts w:ascii="Arial" w:hAnsi="Arial" w:cs="Arial"/>
          <w:sz w:val="24"/>
          <w:szCs w:val="24"/>
        </w:rPr>
        <w:t>Subsequent to the delivery of its plea and a pre-trial conference convened in May 2019, the defendant delivered a notice in terms of Rule 47</w:t>
      </w:r>
      <w:r w:rsidR="00704A96">
        <w:rPr>
          <w:rFonts w:ascii="Arial" w:hAnsi="Arial" w:cs="Arial"/>
          <w:sz w:val="24"/>
          <w:szCs w:val="24"/>
        </w:rPr>
        <w:t xml:space="preserve">(1) of the Uniform Rules of Court on 4 November 2019. In terms of this notice the defendant demanded </w:t>
      </w:r>
      <w:r w:rsidR="00704A96" w:rsidRPr="003F0375">
        <w:rPr>
          <w:rFonts w:ascii="Arial" w:hAnsi="Arial" w:cs="Arial"/>
          <w:sz w:val="24"/>
          <w:szCs w:val="24"/>
        </w:rPr>
        <w:t>the sum of R300</w:t>
      </w:r>
      <w:r w:rsidR="00AB26DC">
        <w:rPr>
          <w:rFonts w:ascii="Arial" w:hAnsi="Arial" w:cs="Arial"/>
          <w:sz w:val="24"/>
          <w:szCs w:val="24"/>
        </w:rPr>
        <w:t> </w:t>
      </w:r>
      <w:r w:rsidR="00704A96" w:rsidRPr="003F0375">
        <w:rPr>
          <w:rFonts w:ascii="Arial" w:hAnsi="Arial" w:cs="Arial"/>
          <w:sz w:val="24"/>
          <w:szCs w:val="24"/>
        </w:rPr>
        <w:t>000</w:t>
      </w:r>
      <w:r w:rsidR="00AB26DC">
        <w:rPr>
          <w:rFonts w:ascii="Arial" w:hAnsi="Arial" w:cs="Arial"/>
          <w:sz w:val="24"/>
          <w:szCs w:val="24"/>
        </w:rPr>
        <w:t xml:space="preserve"> </w:t>
      </w:r>
      <w:r w:rsidR="00704A96">
        <w:rPr>
          <w:rFonts w:ascii="Arial" w:hAnsi="Arial" w:cs="Arial"/>
          <w:sz w:val="24"/>
          <w:szCs w:val="24"/>
        </w:rPr>
        <w:t>as security for its costs. The</w:t>
      </w:r>
      <w:r w:rsidR="00AB26DC">
        <w:rPr>
          <w:rFonts w:ascii="Arial" w:hAnsi="Arial" w:cs="Arial"/>
          <w:sz w:val="24"/>
          <w:szCs w:val="24"/>
        </w:rPr>
        <w:t xml:space="preserve"> </w:t>
      </w:r>
      <w:r w:rsidR="00704A96">
        <w:rPr>
          <w:rFonts w:ascii="Arial" w:hAnsi="Arial" w:cs="Arial"/>
          <w:sz w:val="24"/>
          <w:szCs w:val="24"/>
        </w:rPr>
        <w:t xml:space="preserve">grounds </w:t>
      </w:r>
      <w:r w:rsidR="00AB26DC">
        <w:rPr>
          <w:rFonts w:ascii="Arial" w:hAnsi="Arial" w:cs="Arial"/>
          <w:sz w:val="24"/>
          <w:szCs w:val="24"/>
        </w:rPr>
        <w:t>upon which both the notice in terms of Rule 47(1) and this opposed application are premised are</w:t>
      </w:r>
      <w:r w:rsidR="00DC3913">
        <w:rPr>
          <w:rFonts w:ascii="Arial" w:hAnsi="Arial" w:cs="Arial"/>
          <w:sz w:val="24"/>
          <w:szCs w:val="24"/>
        </w:rPr>
        <w:t xml:space="preserve"> briefly the following</w:t>
      </w:r>
      <w:r w:rsidR="00AB26DC">
        <w:rPr>
          <w:rFonts w:ascii="Arial" w:hAnsi="Arial" w:cs="Arial"/>
          <w:sz w:val="24"/>
          <w:szCs w:val="24"/>
        </w:rPr>
        <w:t>:</w:t>
      </w:r>
    </w:p>
    <w:p w14:paraId="24D97A21" w14:textId="522F7A11" w:rsidR="00AB26DC" w:rsidRDefault="00965923" w:rsidP="00331F44">
      <w:pPr>
        <w:rPr>
          <w:rFonts w:ascii="Arial" w:hAnsi="Arial" w:cs="Arial"/>
          <w:sz w:val="24"/>
          <w:szCs w:val="24"/>
        </w:rPr>
      </w:pPr>
      <w:r>
        <w:rPr>
          <w:rFonts w:ascii="Arial" w:hAnsi="Arial" w:cs="Arial"/>
          <w:sz w:val="24"/>
          <w:szCs w:val="24"/>
        </w:rPr>
        <w:t>(a)</w:t>
      </w:r>
      <w:r>
        <w:rPr>
          <w:rFonts w:ascii="Arial" w:hAnsi="Arial" w:cs="Arial"/>
          <w:sz w:val="24"/>
          <w:szCs w:val="24"/>
        </w:rPr>
        <w:tab/>
      </w:r>
      <w:r w:rsidR="00DB1A3C">
        <w:rPr>
          <w:rFonts w:ascii="Arial" w:hAnsi="Arial" w:cs="Arial"/>
          <w:sz w:val="24"/>
          <w:szCs w:val="24"/>
        </w:rPr>
        <w:t xml:space="preserve">The defendant is at risk for its costs in defending the action. </w:t>
      </w:r>
      <w:r w:rsidR="00DC3913" w:rsidRPr="00CF030F">
        <w:rPr>
          <w:rFonts w:ascii="Arial" w:hAnsi="Arial" w:cs="Arial"/>
          <w:sz w:val="24"/>
          <w:szCs w:val="24"/>
        </w:rPr>
        <w:t>The plaintiff litigates and acts as the executor of a deceased estate that is unable to pay its debts and/or is insolvent</w:t>
      </w:r>
      <w:r w:rsidR="00DB1A3C">
        <w:rPr>
          <w:rFonts w:ascii="Arial" w:hAnsi="Arial" w:cs="Arial"/>
          <w:sz w:val="24"/>
          <w:szCs w:val="24"/>
        </w:rPr>
        <w:t xml:space="preserve"> and therefore unable to satisfy any costs order that may be granted against it.</w:t>
      </w:r>
    </w:p>
    <w:p w14:paraId="37CFA7C7" w14:textId="5037C130" w:rsidR="00DC3913" w:rsidRDefault="00965923" w:rsidP="00331F44">
      <w:pPr>
        <w:rPr>
          <w:rFonts w:ascii="Arial" w:hAnsi="Arial" w:cs="Arial"/>
          <w:sz w:val="24"/>
          <w:szCs w:val="24"/>
        </w:rPr>
      </w:pPr>
      <w:r>
        <w:rPr>
          <w:rFonts w:ascii="Arial" w:hAnsi="Arial" w:cs="Arial"/>
          <w:sz w:val="24"/>
          <w:szCs w:val="24"/>
        </w:rPr>
        <w:t>(b)</w:t>
      </w:r>
      <w:r>
        <w:rPr>
          <w:rFonts w:ascii="Arial" w:hAnsi="Arial" w:cs="Arial"/>
          <w:sz w:val="24"/>
          <w:szCs w:val="24"/>
        </w:rPr>
        <w:tab/>
      </w:r>
      <w:r w:rsidR="00DC3913">
        <w:rPr>
          <w:rFonts w:ascii="Arial" w:hAnsi="Arial" w:cs="Arial"/>
          <w:sz w:val="24"/>
          <w:szCs w:val="24"/>
        </w:rPr>
        <w:t>The plaintiff has poor prospects of success</w:t>
      </w:r>
      <w:r w:rsidR="004D54F3">
        <w:rPr>
          <w:rFonts w:ascii="Arial" w:hAnsi="Arial" w:cs="Arial"/>
          <w:sz w:val="24"/>
          <w:szCs w:val="24"/>
        </w:rPr>
        <w:t xml:space="preserve"> in the main action.</w:t>
      </w:r>
    </w:p>
    <w:p w14:paraId="43E9C31F" w14:textId="32F47FEE" w:rsidR="00DC3913" w:rsidRDefault="00965923" w:rsidP="00331F44">
      <w:pPr>
        <w:rPr>
          <w:rFonts w:ascii="Arial" w:hAnsi="Arial" w:cs="Arial"/>
          <w:sz w:val="24"/>
          <w:szCs w:val="24"/>
        </w:rPr>
      </w:pPr>
      <w:r>
        <w:rPr>
          <w:rFonts w:ascii="Arial" w:hAnsi="Arial" w:cs="Arial"/>
          <w:sz w:val="24"/>
          <w:szCs w:val="24"/>
        </w:rPr>
        <w:t>(c)</w:t>
      </w:r>
      <w:r>
        <w:rPr>
          <w:rFonts w:ascii="Arial" w:hAnsi="Arial" w:cs="Arial"/>
          <w:sz w:val="24"/>
          <w:szCs w:val="24"/>
        </w:rPr>
        <w:tab/>
      </w:r>
      <w:r w:rsidR="00DC3913">
        <w:rPr>
          <w:rFonts w:ascii="Arial" w:hAnsi="Arial" w:cs="Arial"/>
          <w:sz w:val="24"/>
          <w:szCs w:val="24"/>
        </w:rPr>
        <w:t xml:space="preserve">The plaintiff’s pursuit of the </w:t>
      </w:r>
      <w:r w:rsidR="004D54F3">
        <w:rPr>
          <w:rFonts w:ascii="Arial" w:hAnsi="Arial" w:cs="Arial"/>
          <w:sz w:val="24"/>
          <w:szCs w:val="24"/>
        </w:rPr>
        <w:t xml:space="preserve">main </w:t>
      </w:r>
      <w:r w:rsidR="00DC3913">
        <w:rPr>
          <w:rFonts w:ascii="Arial" w:hAnsi="Arial" w:cs="Arial"/>
          <w:sz w:val="24"/>
          <w:szCs w:val="24"/>
        </w:rPr>
        <w:t xml:space="preserve">action is </w:t>
      </w:r>
      <w:r w:rsidR="00DC3913" w:rsidRPr="00CF030F">
        <w:rPr>
          <w:rFonts w:ascii="Arial" w:hAnsi="Arial" w:cs="Arial"/>
          <w:sz w:val="24"/>
          <w:szCs w:val="24"/>
        </w:rPr>
        <w:t>vexatious, reckless and/or amounts to an abuse of the process of court.</w:t>
      </w:r>
    </w:p>
    <w:p w14:paraId="2E5CE8E8" w14:textId="6149134B" w:rsidR="00DC3913" w:rsidRDefault="00EC00AF" w:rsidP="00331F44">
      <w:pPr>
        <w:rPr>
          <w:rFonts w:ascii="Arial" w:hAnsi="Arial" w:cs="Arial"/>
          <w:sz w:val="24"/>
          <w:szCs w:val="24"/>
        </w:rPr>
      </w:pPr>
      <w:r>
        <w:rPr>
          <w:rFonts w:ascii="Arial" w:hAnsi="Arial" w:cs="Arial"/>
          <w:sz w:val="24"/>
          <w:szCs w:val="24"/>
        </w:rPr>
        <w:t>(d)</w:t>
      </w:r>
      <w:r>
        <w:rPr>
          <w:rFonts w:ascii="Arial" w:hAnsi="Arial" w:cs="Arial"/>
          <w:sz w:val="24"/>
          <w:szCs w:val="24"/>
        </w:rPr>
        <w:tab/>
      </w:r>
      <w:r w:rsidR="003A1703">
        <w:rPr>
          <w:rFonts w:ascii="Arial" w:hAnsi="Arial" w:cs="Arial"/>
          <w:sz w:val="24"/>
          <w:szCs w:val="24"/>
        </w:rPr>
        <w:t xml:space="preserve">In consequence of </w:t>
      </w:r>
      <w:r w:rsidR="00DC3913">
        <w:rPr>
          <w:rFonts w:ascii="Arial" w:hAnsi="Arial" w:cs="Arial"/>
          <w:sz w:val="24"/>
          <w:szCs w:val="24"/>
        </w:rPr>
        <w:t>the sale</w:t>
      </w:r>
      <w:r w:rsidR="003A1703">
        <w:rPr>
          <w:rFonts w:ascii="Arial" w:hAnsi="Arial" w:cs="Arial"/>
          <w:sz w:val="24"/>
          <w:szCs w:val="24"/>
        </w:rPr>
        <w:t xml:space="preserve"> by the plaintiff</w:t>
      </w:r>
      <w:r w:rsidR="00DC3913">
        <w:rPr>
          <w:rFonts w:ascii="Arial" w:hAnsi="Arial" w:cs="Arial"/>
          <w:sz w:val="24"/>
          <w:szCs w:val="24"/>
        </w:rPr>
        <w:t xml:space="preserve"> of the </w:t>
      </w:r>
      <w:r w:rsidR="004D54F3">
        <w:rPr>
          <w:rFonts w:ascii="Arial" w:hAnsi="Arial" w:cs="Arial"/>
          <w:sz w:val="24"/>
          <w:szCs w:val="24"/>
        </w:rPr>
        <w:t xml:space="preserve">claims that form the subject matter of the main action, the plaintiff is in reality a nominal plaintiff. The ultimate beneficiary of the main action is immune from a costs order in favour of the defendant and the deceased estate is insolvent and/or impecunious. </w:t>
      </w:r>
    </w:p>
    <w:p w14:paraId="2EFC7201" w14:textId="66CAF22F" w:rsidR="00B97E80" w:rsidRDefault="00EC00AF" w:rsidP="00331F44">
      <w:pPr>
        <w:rPr>
          <w:rFonts w:ascii="Arial" w:hAnsi="Arial" w:cs="Arial"/>
          <w:sz w:val="24"/>
          <w:szCs w:val="24"/>
        </w:rPr>
      </w:pPr>
      <w:r>
        <w:rPr>
          <w:rFonts w:ascii="Arial" w:hAnsi="Arial" w:cs="Arial"/>
          <w:sz w:val="24"/>
          <w:szCs w:val="24"/>
        </w:rPr>
        <w:t>[8]</w:t>
      </w:r>
      <w:r>
        <w:rPr>
          <w:rFonts w:ascii="Arial" w:hAnsi="Arial" w:cs="Arial"/>
          <w:sz w:val="24"/>
          <w:szCs w:val="24"/>
        </w:rPr>
        <w:tab/>
      </w:r>
      <w:r w:rsidR="003A1703">
        <w:rPr>
          <w:rFonts w:ascii="Arial" w:hAnsi="Arial" w:cs="Arial"/>
          <w:sz w:val="24"/>
          <w:szCs w:val="24"/>
        </w:rPr>
        <w:t xml:space="preserve">It is trite that a </w:t>
      </w:r>
      <w:r w:rsidR="005964F7">
        <w:rPr>
          <w:rFonts w:ascii="Arial" w:hAnsi="Arial" w:cs="Arial"/>
          <w:sz w:val="24"/>
          <w:szCs w:val="24"/>
        </w:rPr>
        <w:t>court</w:t>
      </w:r>
      <w:r w:rsidR="003A4369">
        <w:rPr>
          <w:rFonts w:ascii="Arial" w:hAnsi="Arial" w:cs="Arial"/>
          <w:sz w:val="24"/>
          <w:szCs w:val="24"/>
        </w:rPr>
        <w:t xml:space="preserve"> has a discretion whether or not to order a party to provide security for costs and this includes ordering an </w:t>
      </w:r>
      <w:proofErr w:type="spellStart"/>
      <w:r w:rsidR="003A4369" w:rsidRPr="00E055E0">
        <w:rPr>
          <w:rFonts w:ascii="Arial" w:hAnsi="Arial" w:cs="Arial"/>
          <w:i/>
          <w:sz w:val="24"/>
          <w:szCs w:val="24"/>
        </w:rPr>
        <w:t>incola</w:t>
      </w:r>
      <w:proofErr w:type="spellEnd"/>
      <w:r w:rsidR="003A4369">
        <w:rPr>
          <w:rFonts w:ascii="Arial" w:hAnsi="Arial" w:cs="Arial"/>
          <w:sz w:val="24"/>
          <w:szCs w:val="24"/>
        </w:rPr>
        <w:t xml:space="preserve"> plaintiff</w:t>
      </w:r>
      <w:r w:rsidR="005964F7">
        <w:rPr>
          <w:rFonts w:ascii="Arial" w:hAnsi="Arial" w:cs="Arial"/>
          <w:sz w:val="24"/>
          <w:szCs w:val="24"/>
        </w:rPr>
        <w:t xml:space="preserve"> to </w:t>
      </w:r>
      <w:r w:rsidR="003A4369">
        <w:rPr>
          <w:rFonts w:ascii="Arial" w:hAnsi="Arial" w:cs="Arial"/>
          <w:sz w:val="24"/>
          <w:szCs w:val="24"/>
        </w:rPr>
        <w:t>furnish</w:t>
      </w:r>
      <w:r w:rsidR="005964F7">
        <w:rPr>
          <w:rFonts w:ascii="Arial" w:hAnsi="Arial" w:cs="Arial"/>
          <w:sz w:val="24"/>
          <w:szCs w:val="24"/>
        </w:rPr>
        <w:t xml:space="preserve"> security.</w:t>
      </w:r>
      <w:r w:rsidR="005964F7" w:rsidRPr="005964F7">
        <w:rPr>
          <w:rStyle w:val="FootnoteReference"/>
          <w:rFonts w:ascii="Arial" w:hAnsi="Arial" w:cs="Arial"/>
          <w:sz w:val="20"/>
        </w:rPr>
        <w:footnoteReference w:id="2"/>
      </w:r>
      <w:r w:rsidR="003A4369">
        <w:rPr>
          <w:rFonts w:ascii="Arial" w:hAnsi="Arial" w:cs="Arial"/>
          <w:sz w:val="24"/>
          <w:szCs w:val="24"/>
        </w:rPr>
        <w:t xml:space="preserve"> </w:t>
      </w:r>
      <w:r w:rsidR="005964F7">
        <w:rPr>
          <w:rFonts w:ascii="Arial" w:hAnsi="Arial" w:cs="Arial"/>
          <w:sz w:val="24"/>
          <w:szCs w:val="24"/>
        </w:rPr>
        <w:t xml:space="preserve">The general principles regarding the furnishing of security for costs </w:t>
      </w:r>
      <w:r w:rsidR="00B97E80">
        <w:rPr>
          <w:rFonts w:ascii="Arial" w:hAnsi="Arial" w:cs="Arial"/>
          <w:sz w:val="24"/>
          <w:szCs w:val="24"/>
        </w:rPr>
        <w:t xml:space="preserve">as stated in </w:t>
      </w:r>
      <w:r w:rsidR="00B97E80">
        <w:rPr>
          <w:rFonts w:ascii="Arial" w:hAnsi="Arial" w:cs="Arial"/>
          <w:i/>
          <w:sz w:val="24"/>
          <w:szCs w:val="24"/>
        </w:rPr>
        <w:t>Ecker v Dean</w:t>
      </w:r>
      <w:r w:rsidR="00B97E80" w:rsidRPr="00B97E80">
        <w:rPr>
          <w:rStyle w:val="FootnoteReference"/>
          <w:rFonts w:ascii="Arial" w:hAnsi="Arial" w:cs="Arial"/>
          <w:i/>
          <w:sz w:val="20"/>
        </w:rPr>
        <w:footnoteReference w:id="3"/>
      </w:r>
      <w:r w:rsidR="00B97E80">
        <w:rPr>
          <w:rFonts w:ascii="Arial" w:hAnsi="Arial" w:cs="Arial"/>
          <w:i/>
          <w:sz w:val="24"/>
          <w:szCs w:val="24"/>
        </w:rPr>
        <w:t xml:space="preserve"> </w:t>
      </w:r>
      <w:r w:rsidR="00B97E80">
        <w:rPr>
          <w:rFonts w:ascii="Arial" w:hAnsi="Arial" w:cs="Arial"/>
          <w:sz w:val="24"/>
          <w:szCs w:val="24"/>
        </w:rPr>
        <w:t>are:</w:t>
      </w:r>
    </w:p>
    <w:p w14:paraId="26B764C2" w14:textId="057DF2DB" w:rsidR="003A4369" w:rsidRDefault="00B97E80" w:rsidP="00331F44">
      <w:pPr>
        <w:rPr>
          <w:rFonts w:ascii="Arial" w:hAnsi="Arial" w:cs="Arial"/>
          <w:i/>
          <w:sz w:val="22"/>
          <w:szCs w:val="22"/>
        </w:rPr>
      </w:pPr>
      <w:r w:rsidRPr="00B97E80">
        <w:rPr>
          <w:rFonts w:ascii="Arial" w:hAnsi="Arial" w:cs="Arial"/>
          <w:sz w:val="22"/>
          <w:szCs w:val="22"/>
        </w:rPr>
        <w:t>‘</w:t>
      </w:r>
      <w:r w:rsidRPr="00B97E80">
        <w:rPr>
          <w:rFonts w:ascii="Arial" w:hAnsi="Arial" w:cs="Arial"/>
          <w:i/>
          <w:sz w:val="22"/>
          <w:szCs w:val="22"/>
        </w:rPr>
        <w:t xml:space="preserve">The Court has inherent jurisdiction to prevent abuse of its process by staying proceedings or ordering security in certain circumstance, but as pointed out by Solomon JA in Western Assurance </w:t>
      </w:r>
      <w:r w:rsidRPr="00B97E80">
        <w:rPr>
          <w:rFonts w:ascii="Arial" w:hAnsi="Arial" w:cs="Arial"/>
          <w:i/>
          <w:sz w:val="22"/>
          <w:szCs w:val="22"/>
        </w:rPr>
        <w:lastRenderedPageBreak/>
        <w:t xml:space="preserve">Company v Caldwell’s Trustee 1918 AD at 274 this power ought to be sparingly exercised and only in very exceptional circumstances.’ </w:t>
      </w:r>
    </w:p>
    <w:p w14:paraId="2A4DE318" w14:textId="14964F06" w:rsidR="00AF3A86" w:rsidRDefault="00EC00AF" w:rsidP="00331F44">
      <w:pPr>
        <w:rPr>
          <w:rFonts w:ascii="Arial" w:hAnsi="Arial" w:cs="Arial"/>
          <w:sz w:val="24"/>
          <w:szCs w:val="24"/>
          <w:lang w:eastAsia="en-ZA"/>
        </w:rPr>
      </w:pPr>
      <w:r>
        <w:rPr>
          <w:rFonts w:ascii="Arial" w:hAnsi="Arial" w:cs="Arial"/>
          <w:sz w:val="24"/>
          <w:szCs w:val="24"/>
          <w:lang w:eastAsia="en-ZA"/>
        </w:rPr>
        <w:t>[9]</w:t>
      </w:r>
      <w:r>
        <w:rPr>
          <w:rFonts w:ascii="Arial" w:hAnsi="Arial" w:cs="Arial"/>
          <w:sz w:val="24"/>
          <w:szCs w:val="24"/>
          <w:lang w:eastAsia="en-ZA"/>
        </w:rPr>
        <w:tab/>
      </w:r>
      <w:r w:rsidR="00AF3A86">
        <w:rPr>
          <w:rFonts w:ascii="Arial" w:hAnsi="Arial" w:cs="Arial"/>
          <w:sz w:val="24"/>
          <w:szCs w:val="24"/>
          <w:lang w:eastAsia="en-ZA"/>
        </w:rPr>
        <w:t xml:space="preserve">In the exercise of its </w:t>
      </w:r>
      <w:r w:rsidR="00AF3A86" w:rsidRPr="00AF3A86">
        <w:rPr>
          <w:rFonts w:ascii="Arial" w:hAnsi="Arial" w:cs="Arial"/>
          <w:sz w:val="24"/>
          <w:szCs w:val="24"/>
          <w:lang w:eastAsia="en-ZA"/>
        </w:rPr>
        <w:t>unfettered discretion to order a</w:t>
      </w:r>
      <w:r w:rsidR="0013277C">
        <w:rPr>
          <w:rFonts w:ascii="Arial" w:hAnsi="Arial" w:cs="Arial"/>
          <w:sz w:val="24"/>
          <w:szCs w:val="24"/>
          <w:lang w:eastAsia="en-ZA"/>
        </w:rPr>
        <w:t xml:space="preserve"> party to furnish security for costs, </w:t>
      </w:r>
      <w:r w:rsidR="003A1703">
        <w:rPr>
          <w:rFonts w:ascii="Arial" w:hAnsi="Arial" w:cs="Arial"/>
          <w:sz w:val="24"/>
          <w:szCs w:val="24"/>
          <w:lang w:eastAsia="en-ZA"/>
        </w:rPr>
        <w:t xml:space="preserve">I </w:t>
      </w:r>
      <w:r w:rsidR="0013277C">
        <w:rPr>
          <w:rFonts w:ascii="Arial" w:hAnsi="Arial" w:cs="Arial"/>
          <w:sz w:val="24"/>
          <w:szCs w:val="24"/>
          <w:lang w:eastAsia="en-ZA"/>
        </w:rPr>
        <w:t>a</w:t>
      </w:r>
      <w:r w:rsidR="003A1703">
        <w:rPr>
          <w:rFonts w:ascii="Arial" w:hAnsi="Arial" w:cs="Arial"/>
          <w:sz w:val="24"/>
          <w:szCs w:val="24"/>
          <w:lang w:eastAsia="en-ZA"/>
        </w:rPr>
        <w:t>m mindful that a</w:t>
      </w:r>
      <w:r w:rsidR="0013277C">
        <w:rPr>
          <w:rFonts w:ascii="Arial" w:hAnsi="Arial" w:cs="Arial"/>
          <w:sz w:val="24"/>
          <w:szCs w:val="24"/>
          <w:lang w:eastAsia="en-ZA"/>
        </w:rPr>
        <w:t xml:space="preserve"> court </w:t>
      </w:r>
      <w:r w:rsidR="00AF3A86" w:rsidRPr="00AF3A86">
        <w:rPr>
          <w:rFonts w:ascii="Arial" w:hAnsi="Arial" w:cs="Arial"/>
          <w:sz w:val="24"/>
          <w:szCs w:val="24"/>
          <w:lang w:eastAsia="en-ZA"/>
        </w:rPr>
        <w:t>should not adopt a predisposition either in favour of or against granting security</w:t>
      </w:r>
      <w:r w:rsidR="0013277C">
        <w:rPr>
          <w:rFonts w:ascii="Arial" w:hAnsi="Arial" w:cs="Arial"/>
          <w:sz w:val="24"/>
          <w:szCs w:val="24"/>
          <w:lang w:eastAsia="en-ZA"/>
        </w:rPr>
        <w:t>. The potential injustice to a plaintiff who will be prevented from pursuing her claim by an order for security must be weighed and balanced against the prejudice and loss to the defendant if no security is ordered and he is unable to recover his costs of successfully defending the action.</w:t>
      </w:r>
      <w:r w:rsidR="0013277C" w:rsidRPr="0013277C">
        <w:rPr>
          <w:rStyle w:val="FootnoteReference"/>
          <w:rFonts w:ascii="Arial" w:hAnsi="Arial" w:cs="Arial"/>
          <w:sz w:val="20"/>
          <w:lang w:eastAsia="en-ZA"/>
        </w:rPr>
        <w:footnoteReference w:id="4"/>
      </w:r>
    </w:p>
    <w:p w14:paraId="2534CFB9" w14:textId="34015B5E" w:rsidR="003A1E1E" w:rsidRPr="00AF3A86" w:rsidRDefault="00EC00AF" w:rsidP="00331F44">
      <w:pPr>
        <w:rPr>
          <w:rFonts w:ascii="Arial" w:hAnsi="Arial" w:cs="Arial"/>
          <w:sz w:val="24"/>
          <w:szCs w:val="24"/>
        </w:rPr>
      </w:pPr>
      <w:r>
        <w:rPr>
          <w:rFonts w:ascii="Arial" w:hAnsi="Arial" w:cs="Arial"/>
          <w:sz w:val="24"/>
          <w:szCs w:val="24"/>
          <w:lang w:eastAsia="en-ZA"/>
        </w:rPr>
        <w:t>[10]</w:t>
      </w:r>
      <w:r>
        <w:rPr>
          <w:rFonts w:ascii="Arial" w:hAnsi="Arial" w:cs="Arial"/>
          <w:sz w:val="24"/>
          <w:szCs w:val="24"/>
          <w:lang w:eastAsia="en-ZA"/>
        </w:rPr>
        <w:tab/>
        <w:t>It is trite that a</w:t>
      </w:r>
      <w:r w:rsidR="00C4220D">
        <w:rPr>
          <w:rFonts w:ascii="Arial" w:hAnsi="Arial" w:cs="Arial"/>
          <w:sz w:val="24"/>
          <w:szCs w:val="24"/>
          <w:lang w:eastAsia="en-ZA"/>
        </w:rPr>
        <w:t xml:space="preserve">n </w:t>
      </w:r>
      <w:proofErr w:type="spellStart"/>
      <w:r w:rsidR="00C4220D" w:rsidRPr="00E055E0">
        <w:rPr>
          <w:rFonts w:ascii="Arial" w:hAnsi="Arial" w:cs="Arial"/>
          <w:i/>
          <w:sz w:val="24"/>
          <w:szCs w:val="24"/>
          <w:lang w:eastAsia="en-ZA"/>
        </w:rPr>
        <w:t>incola</w:t>
      </w:r>
      <w:proofErr w:type="spellEnd"/>
      <w:r w:rsidR="00C4220D">
        <w:rPr>
          <w:rFonts w:ascii="Arial" w:hAnsi="Arial" w:cs="Arial"/>
          <w:sz w:val="24"/>
          <w:szCs w:val="24"/>
          <w:lang w:eastAsia="en-ZA"/>
        </w:rPr>
        <w:t xml:space="preserve"> </w:t>
      </w:r>
      <w:r w:rsidR="003A1E1E">
        <w:rPr>
          <w:rFonts w:ascii="Arial" w:hAnsi="Arial" w:cs="Arial"/>
          <w:sz w:val="24"/>
          <w:szCs w:val="24"/>
          <w:lang w:eastAsia="en-ZA"/>
        </w:rPr>
        <w:t xml:space="preserve">plaintiff </w:t>
      </w:r>
      <w:r w:rsidR="00C4220D">
        <w:rPr>
          <w:rFonts w:ascii="Arial" w:hAnsi="Arial" w:cs="Arial"/>
          <w:sz w:val="24"/>
          <w:szCs w:val="24"/>
          <w:lang w:eastAsia="en-ZA"/>
        </w:rPr>
        <w:t xml:space="preserve">will generally only be ordered to furnish </w:t>
      </w:r>
      <w:r w:rsidR="003A1E1E">
        <w:rPr>
          <w:rFonts w:ascii="Arial" w:hAnsi="Arial" w:cs="Arial"/>
          <w:sz w:val="24"/>
          <w:szCs w:val="24"/>
          <w:lang w:eastAsia="en-ZA"/>
        </w:rPr>
        <w:t xml:space="preserve">security </w:t>
      </w:r>
      <w:r w:rsidR="00C4220D">
        <w:rPr>
          <w:rFonts w:ascii="Arial" w:hAnsi="Arial" w:cs="Arial"/>
          <w:sz w:val="24"/>
          <w:szCs w:val="24"/>
          <w:lang w:eastAsia="en-ZA"/>
        </w:rPr>
        <w:t xml:space="preserve">if he is unable to satisfy a potential costs </w:t>
      </w:r>
      <w:r w:rsidR="00BD66DE">
        <w:rPr>
          <w:rFonts w:ascii="Arial" w:hAnsi="Arial" w:cs="Arial"/>
          <w:sz w:val="24"/>
          <w:szCs w:val="24"/>
          <w:lang w:eastAsia="en-ZA"/>
        </w:rPr>
        <w:t xml:space="preserve">order </w:t>
      </w:r>
      <w:r w:rsidR="00C4220D">
        <w:rPr>
          <w:rFonts w:ascii="Arial" w:hAnsi="Arial" w:cs="Arial"/>
          <w:sz w:val="24"/>
          <w:szCs w:val="24"/>
          <w:lang w:eastAsia="en-ZA"/>
        </w:rPr>
        <w:t>and the main action is vexatious or reckless or amounts to an abuse of court process.</w:t>
      </w:r>
      <w:r w:rsidR="00C4220D" w:rsidRPr="00BD66DE">
        <w:rPr>
          <w:rStyle w:val="FootnoteReference"/>
          <w:rFonts w:ascii="Arial" w:hAnsi="Arial" w:cs="Arial"/>
          <w:sz w:val="20"/>
          <w:lang w:eastAsia="en-ZA"/>
        </w:rPr>
        <w:footnoteReference w:id="5"/>
      </w:r>
      <w:r w:rsidR="00C4220D">
        <w:rPr>
          <w:rFonts w:ascii="Arial" w:hAnsi="Arial" w:cs="Arial"/>
          <w:sz w:val="24"/>
          <w:szCs w:val="24"/>
          <w:lang w:eastAsia="en-ZA"/>
        </w:rPr>
        <w:t xml:space="preserve"> </w:t>
      </w:r>
      <w:r w:rsidR="00BD66DE">
        <w:rPr>
          <w:rFonts w:ascii="Arial" w:hAnsi="Arial" w:cs="Arial"/>
          <w:sz w:val="24"/>
          <w:szCs w:val="24"/>
          <w:lang w:eastAsia="en-ZA"/>
        </w:rPr>
        <w:t xml:space="preserve">It is apparent from the </w:t>
      </w:r>
      <w:r w:rsidR="003118B4">
        <w:rPr>
          <w:rFonts w:ascii="Arial" w:hAnsi="Arial" w:cs="Arial"/>
          <w:sz w:val="24"/>
          <w:szCs w:val="24"/>
          <w:lang w:eastAsia="en-ZA"/>
        </w:rPr>
        <w:t xml:space="preserve">notice in terms Rule 47(1) and </w:t>
      </w:r>
      <w:r w:rsidR="003A1703">
        <w:rPr>
          <w:rFonts w:ascii="Arial" w:hAnsi="Arial" w:cs="Arial"/>
          <w:sz w:val="24"/>
          <w:szCs w:val="24"/>
          <w:lang w:eastAsia="en-ZA"/>
        </w:rPr>
        <w:t xml:space="preserve">the </w:t>
      </w:r>
      <w:r w:rsidR="003118B4">
        <w:rPr>
          <w:rFonts w:ascii="Arial" w:hAnsi="Arial" w:cs="Arial"/>
          <w:sz w:val="24"/>
          <w:szCs w:val="24"/>
          <w:lang w:eastAsia="en-ZA"/>
        </w:rPr>
        <w:t>papers</w:t>
      </w:r>
      <w:r w:rsidR="003A1703">
        <w:rPr>
          <w:rFonts w:ascii="Arial" w:hAnsi="Arial" w:cs="Arial"/>
          <w:sz w:val="24"/>
          <w:szCs w:val="24"/>
          <w:lang w:eastAsia="en-ZA"/>
        </w:rPr>
        <w:t xml:space="preserve"> </w:t>
      </w:r>
      <w:r w:rsidR="003118B4">
        <w:rPr>
          <w:rFonts w:ascii="Arial" w:hAnsi="Arial" w:cs="Arial"/>
          <w:sz w:val="24"/>
          <w:szCs w:val="24"/>
          <w:lang w:eastAsia="en-ZA"/>
        </w:rPr>
        <w:t>that t</w:t>
      </w:r>
      <w:r w:rsidR="00BD66DE">
        <w:rPr>
          <w:rFonts w:ascii="Arial" w:hAnsi="Arial" w:cs="Arial"/>
          <w:sz w:val="24"/>
          <w:szCs w:val="24"/>
          <w:lang w:eastAsia="en-ZA"/>
        </w:rPr>
        <w:t xml:space="preserve">he defendant does contend that the plaintiff </w:t>
      </w:r>
      <w:r w:rsidR="003118B4">
        <w:rPr>
          <w:rFonts w:ascii="Arial" w:hAnsi="Arial" w:cs="Arial"/>
          <w:sz w:val="24"/>
          <w:szCs w:val="24"/>
          <w:lang w:eastAsia="en-ZA"/>
        </w:rPr>
        <w:t>is unable to satisfy a potential costs order and that the main action amounts to an abuse or is vexatious or reckless.</w:t>
      </w:r>
    </w:p>
    <w:p w14:paraId="1FCD4750" w14:textId="182272AF" w:rsidR="003118B4" w:rsidRDefault="00EC00AF" w:rsidP="003118B4">
      <w:pPr>
        <w:rPr>
          <w:rFonts w:ascii="Arial" w:hAnsi="Arial" w:cs="Arial"/>
          <w:sz w:val="24"/>
          <w:szCs w:val="24"/>
        </w:rPr>
      </w:pPr>
      <w:r>
        <w:rPr>
          <w:rFonts w:ascii="Arial" w:hAnsi="Arial" w:cs="Arial"/>
          <w:sz w:val="24"/>
          <w:szCs w:val="24"/>
        </w:rPr>
        <w:t>[11]</w:t>
      </w:r>
      <w:r>
        <w:rPr>
          <w:rFonts w:ascii="Arial" w:hAnsi="Arial" w:cs="Arial"/>
          <w:sz w:val="24"/>
          <w:szCs w:val="24"/>
        </w:rPr>
        <w:tab/>
      </w:r>
      <w:r w:rsidR="003118B4">
        <w:rPr>
          <w:rFonts w:ascii="Arial" w:hAnsi="Arial" w:cs="Arial"/>
          <w:sz w:val="24"/>
          <w:szCs w:val="24"/>
        </w:rPr>
        <w:t>In order to contextualise the parties arguments regarding the deceased’s estate’s alleged insolvency, the plaintiff’s prospects of success and whether the deceased estate will be able to satisfy any costs order awarded against it</w:t>
      </w:r>
      <w:r w:rsidR="003B5A38">
        <w:rPr>
          <w:rFonts w:ascii="Arial" w:hAnsi="Arial" w:cs="Arial"/>
          <w:sz w:val="24"/>
          <w:szCs w:val="24"/>
        </w:rPr>
        <w:t xml:space="preserve">, </w:t>
      </w:r>
      <w:r w:rsidR="003118B4">
        <w:rPr>
          <w:rFonts w:ascii="Arial" w:hAnsi="Arial" w:cs="Arial"/>
          <w:sz w:val="24"/>
          <w:szCs w:val="24"/>
        </w:rPr>
        <w:t>it is necessary to have regard to the merits of the main action</w:t>
      </w:r>
      <w:r w:rsidR="003A1703">
        <w:rPr>
          <w:rFonts w:ascii="Arial" w:hAnsi="Arial" w:cs="Arial"/>
          <w:sz w:val="24"/>
          <w:szCs w:val="24"/>
        </w:rPr>
        <w:t>.</w:t>
      </w:r>
      <w:r w:rsidR="003118B4">
        <w:rPr>
          <w:rFonts w:ascii="Arial" w:hAnsi="Arial" w:cs="Arial"/>
          <w:sz w:val="24"/>
          <w:szCs w:val="24"/>
        </w:rPr>
        <w:t xml:space="preserve"> </w:t>
      </w:r>
    </w:p>
    <w:p w14:paraId="56C271E2" w14:textId="27F596EF" w:rsidR="00CF7133" w:rsidRDefault="005869A9" w:rsidP="003118B4">
      <w:pPr>
        <w:rPr>
          <w:rFonts w:ascii="Arial" w:hAnsi="Arial" w:cs="Arial"/>
          <w:i/>
          <w:sz w:val="24"/>
          <w:szCs w:val="24"/>
          <w:lang w:eastAsia="en-ZA"/>
        </w:rPr>
      </w:pPr>
      <w:r>
        <w:rPr>
          <w:rFonts w:ascii="Arial" w:hAnsi="Arial" w:cs="Arial"/>
          <w:sz w:val="24"/>
          <w:szCs w:val="24"/>
        </w:rPr>
        <w:t>[12]</w:t>
      </w:r>
      <w:r>
        <w:rPr>
          <w:rFonts w:ascii="Arial" w:hAnsi="Arial" w:cs="Arial"/>
          <w:sz w:val="24"/>
          <w:szCs w:val="24"/>
        </w:rPr>
        <w:tab/>
        <w:t>An action may be regarded as vexatious if it is obviously unsustainable, frivolous, improper, instituted without sufficient ground, to serve solely as an annoyance to the defendant.</w:t>
      </w:r>
      <w:r w:rsidRPr="005869A9">
        <w:rPr>
          <w:rStyle w:val="FootnoteReference"/>
          <w:rFonts w:ascii="Arial" w:hAnsi="Arial" w:cs="Arial"/>
          <w:sz w:val="20"/>
        </w:rPr>
        <w:footnoteReference w:id="6"/>
      </w:r>
      <w:r>
        <w:rPr>
          <w:rFonts w:ascii="Arial" w:hAnsi="Arial" w:cs="Arial"/>
          <w:sz w:val="24"/>
          <w:szCs w:val="24"/>
        </w:rPr>
        <w:t xml:space="preserve"> As stated by Mudau J in</w:t>
      </w:r>
      <w:r w:rsidR="00CF7133">
        <w:rPr>
          <w:rFonts w:ascii="Arial" w:hAnsi="Arial" w:cs="Arial"/>
          <w:sz w:val="24"/>
          <w:szCs w:val="24"/>
        </w:rPr>
        <w:t xml:space="preserve"> </w:t>
      </w:r>
      <w:r w:rsidR="00CF7133" w:rsidRPr="00CF7133">
        <w:rPr>
          <w:rFonts w:ascii="Arial" w:hAnsi="Arial" w:cs="Arial"/>
          <w:i/>
          <w:sz w:val="24"/>
          <w:szCs w:val="24"/>
          <w:lang w:eastAsia="en-ZA"/>
        </w:rPr>
        <w:t xml:space="preserve">N and Another v D In re: D v N and </w:t>
      </w:r>
      <w:r w:rsidR="00157208" w:rsidRPr="00CF7133">
        <w:rPr>
          <w:rFonts w:ascii="Arial" w:hAnsi="Arial" w:cs="Arial"/>
          <w:i/>
          <w:sz w:val="24"/>
          <w:szCs w:val="24"/>
          <w:lang w:eastAsia="en-ZA"/>
        </w:rPr>
        <w:t>Another</w:t>
      </w:r>
      <w:r w:rsidR="00CF7133" w:rsidRPr="00CF7133">
        <w:rPr>
          <w:rStyle w:val="FootnoteReference"/>
          <w:rFonts w:ascii="Arial" w:hAnsi="Arial" w:cs="Arial"/>
          <w:sz w:val="20"/>
        </w:rPr>
        <w:footnoteReference w:id="7"/>
      </w:r>
      <w:r w:rsidR="00CF7133">
        <w:rPr>
          <w:rFonts w:ascii="Arial" w:hAnsi="Arial" w:cs="Arial"/>
          <w:i/>
          <w:sz w:val="24"/>
          <w:szCs w:val="24"/>
          <w:lang w:eastAsia="en-ZA"/>
        </w:rPr>
        <w:t xml:space="preserve">: </w:t>
      </w:r>
    </w:p>
    <w:p w14:paraId="7C96632F" w14:textId="4F13F713" w:rsidR="005869A9" w:rsidRPr="00CF7133" w:rsidRDefault="00CF7133" w:rsidP="003118B4">
      <w:pPr>
        <w:rPr>
          <w:rFonts w:ascii="Arial" w:hAnsi="Arial" w:cs="Arial"/>
          <w:i/>
          <w:sz w:val="24"/>
          <w:szCs w:val="24"/>
        </w:rPr>
      </w:pPr>
      <w:r>
        <w:rPr>
          <w:rFonts w:ascii="Arial" w:hAnsi="Arial" w:cs="Arial"/>
          <w:i/>
          <w:sz w:val="24"/>
          <w:szCs w:val="24"/>
          <w:lang w:eastAsia="en-ZA"/>
        </w:rPr>
        <w:t>‘</w:t>
      </w:r>
      <w:r w:rsidRPr="00CF7133">
        <w:rPr>
          <w:rFonts w:ascii="Arial" w:hAnsi="Arial" w:cs="Arial"/>
          <w:i/>
          <w:sz w:val="22"/>
          <w:szCs w:val="22"/>
          <w:shd w:val="clear" w:color="auto" w:fill="FFFFFF"/>
        </w:rPr>
        <w:t xml:space="preserve">In an application for security for costs a court does not have to be convinced as a matter of certainty that the matter is incapable of succeeding but rather as a probability. The test whether an action is vexatious on the grounds that it is unsustainable can therefore be summarised as follows: the applicant does not have to establish this as a certainty; a court should not undertake a detailed investigation of the case nor attempt to resolve the dispute between the parties. This would be </w:t>
      </w:r>
      <w:r w:rsidRPr="00CF7133">
        <w:rPr>
          <w:rFonts w:ascii="Arial" w:hAnsi="Arial" w:cs="Arial"/>
          <w:i/>
          <w:sz w:val="22"/>
          <w:szCs w:val="22"/>
          <w:shd w:val="clear" w:color="auto" w:fill="FFFFFF"/>
        </w:rPr>
        <w:lastRenderedPageBreak/>
        <w:t>tantamount to pre-empting the trial court, in this case the court seized with the variation application. Rather, the court in a security for costs application brought upon these grounds, should merely decide on a preponderance of probabilities whether there are any prospects of success.</w:t>
      </w:r>
      <w:r>
        <w:rPr>
          <w:rFonts w:ascii="Arial" w:hAnsi="Arial" w:cs="Arial"/>
          <w:i/>
          <w:sz w:val="22"/>
          <w:szCs w:val="22"/>
          <w:shd w:val="clear" w:color="auto" w:fill="FFFFFF"/>
        </w:rPr>
        <w:t>’</w:t>
      </w:r>
      <w:r w:rsidRPr="00CF7133">
        <w:rPr>
          <w:rStyle w:val="FootnoteReference"/>
          <w:rFonts w:ascii="Arial" w:hAnsi="Arial" w:cs="Arial"/>
          <w:i/>
          <w:sz w:val="20"/>
          <w:shd w:val="clear" w:color="auto" w:fill="FFFFFF"/>
        </w:rPr>
        <w:footnoteReference w:id="8"/>
      </w:r>
    </w:p>
    <w:p w14:paraId="5FA90214" w14:textId="72E1D0BA" w:rsidR="00212717" w:rsidRDefault="00EC00AF" w:rsidP="00331F44">
      <w:pPr>
        <w:rPr>
          <w:rFonts w:ascii="Arial" w:hAnsi="Arial" w:cs="Arial"/>
          <w:sz w:val="24"/>
          <w:szCs w:val="24"/>
        </w:rPr>
      </w:pPr>
      <w:r>
        <w:rPr>
          <w:rFonts w:ascii="Arial" w:hAnsi="Arial" w:cs="Arial"/>
          <w:sz w:val="24"/>
          <w:szCs w:val="24"/>
        </w:rPr>
        <w:t>[1</w:t>
      </w:r>
      <w:r w:rsidR="00772C2D">
        <w:rPr>
          <w:rFonts w:ascii="Arial" w:hAnsi="Arial" w:cs="Arial"/>
          <w:sz w:val="24"/>
          <w:szCs w:val="24"/>
        </w:rPr>
        <w:t>3</w:t>
      </w:r>
      <w:r>
        <w:rPr>
          <w:rFonts w:ascii="Arial" w:hAnsi="Arial" w:cs="Arial"/>
          <w:sz w:val="24"/>
          <w:szCs w:val="24"/>
        </w:rPr>
        <w:t>]</w:t>
      </w:r>
      <w:r>
        <w:rPr>
          <w:rFonts w:ascii="Arial" w:hAnsi="Arial" w:cs="Arial"/>
          <w:sz w:val="24"/>
          <w:szCs w:val="24"/>
        </w:rPr>
        <w:tab/>
      </w:r>
      <w:r w:rsidR="003B5A38">
        <w:rPr>
          <w:rFonts w:ascii="Arial" w:hAnsi="Arial" w:cs="Arial"/>
          <w:sz w:val="24"/>
          <w:szCs w:val="24"/>
        </w:rPr>
        <w:t xml:space="preserve">In </w:t>
      </w:r>
      <w:proofErr w:type="spellStart"/>
      <w:r w:rsidR="003B5A38">
        <w:rPr>
          <w:rFonts w:ascii="Arial" w:hAnsi="Arial" w:cs="Arial"/>
          <w:i/>
          <w:sz w:val="24"/>
          <w:szCs w:val="24"/>
        </w:rPr>
        <w:t>Douglasdale</w:t>
      </w:r>
      <w:proofErr w:type="spellEnd"/>
      <w:r w:rsidR="0066260F" w:rsidRPr="00751163">
        <w:rPr>
          <w:rStyle w:val="FootnoteReference"/>
          <w:rFonts w:ascii="Arial" w:hAnsi="Arial" w:cs="Arial"/>
          <w:i/>
          <w:sz w:val="20"/>
        </w:rPr>
        <w:footnoteReference w:id="9"/>
      </w:r>
      <w:r w:rsidR="003B5A38">
        <w:rPr>
          <w:rFonts w:ascii="Arial" w:hAnsi="Arial" w:cs="Arial"/>
          <w:i/>
          <w:sz w:val="24"/>
          <w:szCs w:val="24"/>
        </w:rPr>
        <w:t xml:space="preserve"> </w:t>
      </w:r>
      <w:r w:rsidR="003B5A38">
        <w:rPr>
          <w:rFonts w:ascii="Arial" w:hAnsi="Arial" w:cs="Arial"/>
          <w:sz w:val="24"/>
          <w:szCs w:val="24"/>
        </w:rPr>
        <w:t xml:space="preserve">the SCA </w:t>
      </w:r>
      <w:r w:rsidR="0066260F">
        <w:rPr>
          <w:rFonts w:ascii="Arial" w:hAnsi="Arial" w:cs="Arial"/>
          <w:sz w:val="24"/>
          <w:szCs w:val="24"/>
        </w:rPr>
        <w:t>reiterated</w:t>
      </w:r>
      <w:r w:rsidR="001B5E51">
        <w:rPr>
          <w:rFonts w:ascii="Arial" w:hAnsi="Arial" w:cs="Arial"/>
          <w:sz w:val="24"/>
          <w:szCs w:val="24"/>
        </w:rPr>
        <w:t xml:space="preserve"> and confirmed </w:t>
      </w:r>
      <w:r w:rsidR="0066260F">
        <w:rPr>
          <w:rFonts w:ascii="Arial" w:hAnsi="Arial" w:cs="Arial"/>
          <w:sz w:val="24"/>
          <w:szCs w:val="24"/>
        </w:rPr>
        <w:t>the principle that the rights of a fiduciary terminate automatically upon fulfilment of the condition. Ownership</w:t>
      </w:r>
      <w:r w:rsidR="001B5E51">
        <w:rPr>
          <w:rFonts w:ascii="Arial" w:hAnsi="Arial" w:cs="Arial"/>
          <w:sz w:val="24"/>
          <w:szCs w:val="24"/>
        </w:rPr>
        <w:t xml:space="preserve"> passes to the </w:t>
      </w:r>
      <w:proofErr w:type="spellStart"/>
      <w:r w:rsidR="001B5E51" w:rsidRPr="00157208">
        <w:rPr>
          <w:rFonts w:ascii="Arial" w:hAnsi="Arial" w:cs="Arial"/>
          <w:i/>
          <w:sz w:val="24"/>
          <w:szCs w:val="24"/>
        </w:rPr>
        <w:t>fideicommissary</w:t>
      </w:r>
      <w:proofErr w:type="spellEnd"/>
      <w:r w:rsidR="001B5E51">
        <w:rPr>
          <w:rFonts w:ascii="Arial" w:hAnsi="Arial" w:cs="Arial"/>
          <w:sz w:val="24"/>
          <w:szCs w:val="24"/>
        </w:rPr>
        <w:t xml:space="preserve"> heirs</w:t>
      </w:r>
      <w:r w:rsidR="0066260F">
        <w:rPr>
          <w:rFonts w:ascii="Arial" w:hAnsi="Arial" w:cs="Arial"/>
          <w:sz w:val="24"/>
          <w:szCs w:val="24"/>
        </w:rPr>
        <w:t xml:space="preserve"> on the death of the fiduciary and not to the fiduciary’s estate.</w:t>
      </w:r>
      <w:r w:rsidR="00751163" w:rsidRPr="00751163">
        <w:rPr>
          <w:rStyle w:val="FootnoteReference"/>
          <w:rFonts w:ascii="Arial" w:hAnsi="Arial" w:cs="Arial"/>
          <w:sz w:val="20"/>
        </w:rPr>
        <w:footnoteReference w:id="10"/>
      </w:r>
      <w:r w:rsidR="0066260F">
        <w:rPr>
          <w:rFonts w:ascii="Arial" w:hAnsi="Arial" w:cs="Arial"/>
          <w:sz w:val="24"/>
          <w:szCs w:val="24"/>
        </w:rPr>
        <w:t xml:space="preserve"> </w:t>
      </w:r>
      <w:r w:rsidR="006802E9">
        <w:rPr>
          <w:rFonts w:ascii="Arial" w:hAnsi="Arial" w:cs="Arial"/>
          <w:sz w:val="24"/>
          <w:szCs w:val="24"/>
        </w:rPr>
        <w:t>The court further held that as an execut</w:t>
      </w:r>
      <w:r w:rsidR="006900D7">
        <w:rPr>
          <w:rFonts w:ascii="Arial" w:hAnsi="Arial" w:cs="Arial"/>
          <w:sz w:val="24"/>
          <w:szCs w:val="24"/>
        </w:rPr>
        <w:t>or, the plaintiff had no entitlement to the immovable property, notwithstanding the fact that there was no lease in existence for him to rely on.</w:t>
      </w:r>
      <w:r w:rsidR="006900D7" w:rsidRPr="006900D7">
        <w:rPr>
          <w:rStyle w:val="FootnoteReference"/>
          <w:rFonts w:ascii="Arial" w:hAnsi="Arial" w:cs="Arial"/>
          <w:sz w:val="20"/>
        </w:rPr>
        <w:footnoteReference w:id="11"/>
      </w:r>
      <w:r w:rsidR="006900D7">
        <w:rPr>
          <w:rFonts w:ascii="Arial" w:hAnsi="Arial" w:cs="Arial"/>
          <w:sz w:val="24"/>
          <w:szCs w:val="24"/>
        </w:rPr>
        <w:t xml:space="preserve"> </w:t>
      </w:r>
      <w:r w:rsidR="00751163">
        <w:rPr>
          <w:rFonts w:ascii="Arial" w:hAnsi="Arial" w:cs="Arial"/>
          <w:sz w:val="24"/>
          <w:szCs w:val="24"/>
        </w:rPr>
        <w:t xml:space="preserve">A fortiori the plaintiff’s claim </w:t>
      </w:r>
      <w:r w:rsidR="00240496">
        <w:rPr>
          <w:rFonts w:ascii="Arial" w:hAnsi="Arial" w:cs="Arial"/>
          <w:sz w:val="24"/>
          <w:szCs w:val="24"/>
        </w:rPr>
        <w:t xml:space="preserve">B and D are unsustainable </w:t>
      </w:r>
      <w:r w:rsidR="009C3849">
        <w:rPr>
          <w:rFonts w:ascii="Arial" w:hAnsi="Arial" w:cs="Arial"/>
          <w:sz w:val="24"/>
          <w:szCs w:val="24"/>
        </w:rPr>
        <w:t xml:space="preserve">with </w:t>
      </w:r>
      <w:r w:rsidR="00240496">
        <w:rPr>
          <w:rFonts w:ascii="Arial" w:hAnsi="Arial" w:cs="Arial"/>
          <w:sz w:val="24"/>
          <w:szCs w:val="24"/>
        </w:rPr>
        <w:t>no pros</w:t>
      </w:r>
      <w:r w:rsidR="00212717">
        <w:rPr>
          <w:rFonts w:ascii="Arial" w:hAnsi="Arial" w:cs="Arial"/>
          <w:sz w:val="24"/>
          <w:szCs w:val="24"/>
        </w:rPr>
        <w:t xml:space="preserve">pects of success since they are premised on claims </w:t>
      </w:r>
      <w:r w:rsidR="009C3849">
        <w:rPr>
          <w:rFonts w:ascii="Arial" w:hAnsi="Arial" w:cs="Arial"/>
          <w:sz w:val="24"/>
          <w:szCs w:val="24"/>
        </w:rPr>
        <w:t xml:space="preserve">that allegedly </w:t>
      </w:r>
      <w:r w:rsidR="00212717">
        <w:rPr>
          <w:rFonts w:ascii="Arial" w:hAnsi="Arial" w:cs="Arial"/>
          <w:sz w:val="24"/>
          <w:szCs w:val="24"/>
        </w:rPr>
        <w:t>arose after the death of the fiduciary.</w:t>
      </w:r>
    </w:p>
    <w:p w14:paraId="45C25DC0" w14:textId="24AB0132" w:rsidR="00FA28C8" w:rsidRDefault="00EC00AF" w:rsidP="00331F44">
      <w:pPr>
        <w:rPr>
          <w:rFonts w:ascii="Arial" w:hAnsi="Arial" w:cs="Arial"/>
          <w:sz w:val="24"/>
          <w:szCs w:val="24"/>
        </w:rPr>
      </w:pPr>
      <w:r>
        <w:rPr>
          <w:rFonts w:ascii="Arial" w:hAnsi="Arial" w:cs="Arial"/>
          <w:sz w:val="24"/>
          <w:szCs w:val="24"/>
        </w:rPr>
        <w:t>[1</w:t>
      </w:r>
      <w:r w:rsidR="00772C2D">
        <w:rPr>
          <w:rFonts w:ascii="Arial" w:hAnsi="Arial" w:cs="Arial"/>
          <w:sz w:val="24"/>
          <w:szCs w:val="24"/>
        </w:rPr>
        <w:t>4</w:t>
      </w:r>
      <w:r>
        <w:rPr>
          <w:rFonts w:ascii="Arial" w:hAnsi="Arial" w:cs="Arial"/>
          <w:sz w:val="24"/>
          <w:szCs w:val="24"/>
        </w:rPr>
        <w:t>]</w:t>
      </w:r>
      <w:r>
        <w:rPr>
          <w:rFonts w:ascii="Arial" w:hAnsi="Arial" w:cs="Arial"/>
          <w:sz w:val="24"/>
          <w:szCs w:val="24"/>
        </w:rPr>
        <w:tab/>
      </w:r>
      <w:r w:rsidR="00212717">
        <w:rPr>
          <w:rFonts w:ascii="Arial" w:hAnsi="Arial" w:cs="Arial"/>
          <w:sz w:val="24"/>
          <w:szCs w:val="24"/>
        </w:rPr>
        <w:t>The plaintiff</w:t>
      </w:r>
      <w:r w:rsidR="00485A2F">
        <w:rPr>
          <w:rFonts w:ascii="Arial" w:hAnsi="Arial" w:cs="Arial"/>
          <w:sz w:val="24"/>
          <w:szCs w:val="24"/>
        </w:rPr>
        <w:t>’s</w:t>
      </w:r>
      <w:r w:rsidR="00212717">
        <w:rPr>
          <w:rFonts w:ascii="Arial" w:hAnsi="Arial" w:cs="Arial"/>
          <w:sz w:val="24"/>
          <w:szCs w:val="24"/>
        </w:rPr>
        <w:t xml:space="preserve"> </w:t>
      </w:r>
      <w:r w:rsidR="00485A2F">
        <w:rPr>
          <w:rFonts w:ascii="Arial" w:hAnsi="Arial" w:cs="Arial"/>
          <w:sz w:val="24"/>
          <w:szCs w:val="24"/>
        </w:rPr>
        <w:t xml:space="preserve">denial </w:t>
      </w:r>
      <w:r w:rsidR="00FA28C8">
        <w:rPr>
          <w:rFonts w:ascii="Arial" w:hAnsi="Arial" w:cs="Arial"/>
          <w:sz w:val="24"/>
          <w:szCs w:val="24"/>
        </w:rPr>
        <w:t>of</w:t>
      </w:r>
      <w:r w:rsidR="00D33B1D">
        <w:rPr>
          <w:rFonts w:ascii="Arial" w:hAnsi="Arial" w:cs="Arial"/>
          <w:sz w:val="24"/>
          <w:szCs w:val="24"/>
        </w:rPr>
        <w:t xml:space="preserve"> the assertions regarding claim</w:t>
      </w:r>
      <w:r w:rsidR="00FA28C8">
        <w:rPr>
          <w:rFonts w:ascii="Arial" w:hAnsi="Arial" w:cs="Arial"/>
          <w:sz w:val="24"/>
          <w:szCs w:val="24"/>
        </w:rPr>
        <w:t>s</w:t>
      </w:r>
      <w:r w:rsidR="00D33B1D">
        <w:rPr>
          <w:rFonts w:ascii="Arial" w:hAnsi="Arial" w:cs="Arial"/>
          <w:sz w:val="24"/>
          <w:szCs w:val="24"/>
        </w:rPr>
        <w:t xml:space="preserve"> B and D</w:t>
      </w:r>
      <w:r w:rsidR="005F774A">
        <w:rPr>
          <w:rFonts w:ascii="Arial" w:hAnsi="Arial" w:cs="Arial"/>
          <w:sz w:val="24"/>
          <w:szCs w:val="24"/>
        </w:rPr>
        <w:t xml:space="preserve"> amount to no more than </w:t>
      </w:r>
      <w:r w:rsidR="00FA28C8">
        <w:rPr>
          <w:rFonts w:ascii="Arial" w:hAnsi="Arial" w:cs="Arial"/>
          <w:sz w:val="24"/>
          <w:szCs w:val="24"/>
        </w:rPr>
        <w:t xml:space="preserve">a bare denial. He </w:t>
      </w:r>
      <w:r w:rsidR="00D33B1D">
        <w:rPr>
          <w:rFonts w:ascii="Arial" w:hAnsi="Arial" w:cs="Arial"/>
          <w:sz w:val="24"/>
          <w:szCs w:val="24"/>
        </w:rPr>
        <w:t xml:space="preserve">appears to contend that the </w:t>
      </w:r>
      <w:r w:rsidR="00D33B1D" w:rsidRPr="00D33B1D">
        <w:rPr>
          <w:rFonts w:ascii="Arial" w:hAnsi="Arial" w:cs="Arial"/>
          <w:i/>
          <w:sz w:val="24"/>
          <w:szCs w:val="24"/>
        </w:rPr>
        <w:t>ratio</w:t>
      </w:r>
      <w:r w:rsidR="00D33B1D">
        <w:rPr>
          <w:rFonts w:ascii="Arial" w:hAnsi="Arial" w:cs="Arial"/>
          <w:sz w:val="24"/>
          <w:szCs w:val="24"/>
        </w:rPr>
        <w:t xml:space="preserve"> in </w:t>
      </w:r>
      <w:proofErr w:type="spellStart"/>
      <w:r w:rsidR="00D33B1D">
        <w:rPr>
          <w:rFonts w:ascii="Arial" w:hAnsi="Arial" w:cs="Arial"/>
          <w:i/>
          <w:sz w:val="24"/>
          <w:szCs w:val="24"/>
        </w:rPr>
        <w:t>Douglasdale</w:t>
      </w:r>
      <w:proofErr w:type="spellEnd"/>
      <w:r w:rsidR="00212717">
        <w:rPr>
          <w:rFonts w:ascii="Arial" w:hAnsi="Arial" w:cs="Arial"/>
          <w:sz w:val="24"/>
          <w:szCs w:val="24"/>
        </w:rPr>
        <w:t xml:space="preserve"> </w:t>
      </w:r>
      <w:r w:rsidR="00D33B1D">
        <w:rPr>
          <w:rFonts w:ascii="Arial" w:hAnsi="Arial" w:cs="Arial"/>
          <w:sz w:val="24"/>
          <w:szCs w:val="24"/>
        </w:rPr>
        <w:t xml:space="preserve">is capable of an interpretation other than that referred to in the preceding paragraph. The plaintiff elected not to share his interpretation of this </w:t>
      </w:r>
      <w:r w:rsidR="00357161">
        <w:rPr>
          <w:rFonts w:ascii="Arial" w:hAnsi="Arial" w:cs="Arial"/>
          <w:sz w:val="24"/>
          <w:szCs w:val="24"/>
        </w:rPr>
        <w:t>decision</w:t>
      </w:r>
      <w:r w:rsidR="00D33B1D">
        <w:rPr>
          <w:rFonts w:ascii="Arial" w:hAnsi="Arial" w:cs="Arial"/>
          <w:sz w:val="24"/>
          <w:szCs w:val="24"/>
        </w:rPr>
        <w:t xml:space="preserve"> with this C</w:t>
      </w:r>
      <w:r w:rsidR="002E68E5">
        <w:rPr>
          <w:rFonts w:ascii="Arial" w:hAnsi="Arial" w:cs="Arial"/>
          <w:sz w:val="24"/>
          <w:szCs w:val="24"/>
        </w:rPr>
        <w:t>ourt, however it is readily apparent from the annexures to</w:t>
      </w:r>
      <w:r w:rsidR="00CB18A6">
        <w:rPr>
          <w:rFonts w:ascii="Arial" w:hAnsi="Arial" w:cs="Arial"/>
          <w:sz w:val="24"/>
          <w:szCs w:val="24"/>
        </w:rPr>
        <w:t xml:space="preserve"> both </w:t>
      </w:r>
      <w:r w:rsidR="002E68E5">
        <w:rPr>
          <w:rFonts w:ascii="Arial" w:hAnsi="Arial" w:cs="Arial"/>
          <w:sz w:val="24"/>
          <w:szCs w:val="24"/>
        </w:rPr>
        <w:t>the plaintiff’s opposing affidavit</w:t>
      </w:r>
      <w:r w:rsidR="00CB18A6">
        <w:rPr>
          <w:rFonts w:ascii="Arial" w:hAnsi="Arial" w:cs="Arial"/>
          <w:sz w:val="24"/>
          <w:szCs w:val="24"/>
        </w:rPr>
        <w:t xml:space="preserve"> and the defendant’s founding </w:t>
      </w:r>
      <w:r w:rsidR="001B5E51">
        <w:rPr>
          <w:rFonts w:ascii="Arial" w:hAnsi="Arial" w:cs="Arial"/>
          <w:sz w:val="24"/>
          <w:szCs w:val="24"/>
        </w:rPr>
        <w:t>affidavit to</w:t>
      </w:r>
      <w:r w:rsidR="005F774A">
        <w:rPr>
          <w:rFonts w:ascii="Arial" w:hAnsi="Arial" w:cs="Arial"/>
          <w:sz w:val="24"/>
          <w:szCs w:val="24"/>
        </w:rPr>
        <w:t xml:space="preserve"> this application </w:t>
      </w:r>
      <w:r w:rsidR="002E68E5">
        <w:rPr>
          <w:rFonts w:ascii="Arial" w:hAnsi="Arial" w:cs="Arial"/>
          <w:sz w:val="24"/>
          <w:szCs w:val="24"/>
        </w:rPr>
        <w:t xml:space="preserve">that </w:t>
      </w:r>
      <w:r w:rsidR="00485A2F">
        <w:rPr>
          <w:rFonts w:ascii="Arial" w:hAnsi="Arial" w:cs="Arial"/>
          <w:sz w:val="24"/>
          <w:szCs w:val="24"/>
        </w:rPr>
        <w:t xml:space="preserve">he accepted the </w:t>
      </w:r>
      <w:proofErr w:type="spellStart"/>
      <w:r w:rsidR="00485A2F">
        <w:rPr>
          <w:rFonts w:ascii="Arial" w:hAnsi="Arial" w:cs="Arial"/>
          <w:i/>
          <w:sz w:val="24"/>
          <w:szCs w:val="24"/>
        </w:rPr>
        <w:t>Douglasdale</w:t>
      </w:r>
      <w:proofErr w:type="spellEnd"/>
      <w:r w:rsidR="00485A2F">
        <w:rPr>
          <w:rFonts w:ascii="Arial" w:hAnsi="Arial" w:cs="Arial"/>
          <w:i/>
          <w:sz w:val="24"/>
          <w:szCs w:val="24"/>
        </w:rPr>
        <w:t xml:space="preserve"> </w:t>
      </w:r>
      <w:r w:rsidR="00FA28C8">
        <w:rPr>
          <w:rFonts w:ascii="Arial" w:hAnsi="Arial" w:cs="Arial"/>
          <w:sz w:val="24"/>
          <w:szCs w:val="24"/>
        </w:rPr>
        <w:t>decision.</w:t>
      </w:r>
      <w:r w:rsidR="00485A2F">
        <w:rPr>
          <w:rFonts w:ascii="Arial" w:hAnsi="Arial" w:cs="Arial"/>
          <w:sz w:val="24"/>
          <w:szCs w:val="24"/>
        </w:rPr>
        <w:t xml:space="preserve"> </w:t>
      </w:r>
    </w:p>
    <w:p w14:paraId="59015330" w14:textId="77777777" w:rsidR="00772C2D" w:rsidRDefault="00EC00AF" w:rsidP="00331F44">
      <w:pPr>
        <w:rPr>
          <w:rFonts w:ascii="Arial" w:hAnsi="Arial" w:cs="Arial"/>
          <w:sz w:val="24"/>
          <w:szCs w:val="24"/>
        </w:rPr>
      </w:pPr>
      <w:r>
        <w:rPr>
          <w:rFonts w:ascii="Arial" w:hAnsi="Arial" w:cs="Arial"/>
          <w:sz w:val="24"/>
          <w:szCs w:val="24"/>
        </w:rPr>
        <w:t>[1</w:t>
      </w:r>
      <w:r w:rsidR="00772C2D">
        <w:rPr>
          <w:rFonts w:ascii="Arial" w:hAnsi="Arial" w:cs="Arial"/>
          <w:sz w:val="24"/>
          <w:szCs w:val="24"/>
        </w:rPr>
        <w:t>5</w:t>
      </w:r>
      <w:r>
        <w:rPr>
          <w:rFonts w:ascii="Arial" w:hAnsi="Arial" w:cs="Arial"/>
          <w:sz w:val="24"/>
          <w:szCs w:val="24"/>
        </w:rPr>
        <w:t>]</w:t>
      </w:r>
      <w:r>
        <w:rPr>
          <w:rFonts w:ascii="Arial" w:hAnsi="Arial" w:cs="Arial"/>
          <w:sz w:val="24"/>
          <w:szCs w:val="24"/>
        </w:rPr>
        <w:tab/>
      </w:r>
      <w:r w:rsidR="00FA28C8">
        <w:rPr>
          <w:rFonts w:ascii="Arial" w:hAnsi="Arial" w:cs="Arial"/>
          <w:sz w:val="24"/>
          <w:szCs w:val="24"/>
        </w:rPr>
        <w:t xml:space="preserve">In </w:t>
      </w:r>
      <w:r w:rsidR="00CB18A6">
        <w:rPr>
          <w:rFonts w:ascii="Arial" w:hAnsi="Arial" w:cs="Arial"/>
          <w:sz w:val="24"/>
          <w:szCs w:val="24"/>
        </w:rPr>
        <w:t xml:space="preserve">the plaintiff’s </w:t>
      </w:r>
      <w:r w:rsidR="00FA28C8">
        <w:rPr>
          <w:rFonts w:ascii="Arial" w:hAnsi="Arial" w:cs="Arial"/>
          <w:sz w:val="24"/>
          <w:szCs w:val="24"/>
        </w:rPr>
        <w:t>email of 7 August 2018</w:t>
      </w:r>
      <w:r w:rsidR="00CE648D">
        <w:rPr>
          <w:rFonts w:ascii="Arial" w:hAnsi="Arial" w:cs="Arial"/>
          <w:sz w:val="24"/>
          <w:szCs w:val="24"/>
        </w:rPr>
        <w:t>,</w:t>
      </w:r>
      <w:r w:rsidR="00FA28C8">
        <w:rPr>
          <w:rFonts w:ascii="Arial" w:hAnsi="Arial" w:cs="Arial"/>
          <w:sz w:val="24"/>
          <w:szCs w:val="24"/>
        </w:rPr>
        <w:t xml:space="preserve"> he stated </w:t>
      </w:r>
      <w:r w:rsidR="00FA28C8" w:rsidRPr="00FA28C8">
        <w:rPr>
          <w:rFonts w:ascii="Arial" w:hAnsi="Arial" w:cs="Arial"/>
          <w:i/>
          <w:sz w:val="24"/>
          <w:szCs w:val="24"/>
        </w:rPr>
        <w:t xml:space="preserve">‘As the SCA has settled the issue regarding when the immovable property vested with the </w:t>
      </w:r>
      <w:proofErr w:type="spellStart"/>
      <w:r w:rsidR="00FA28C8" w:rsidRPr="00FA28C8">
        <w:rPr>
          <w:rFonts w:ascii="Arial" w:hAnsi="Arial" w:cs="Arial"/>
          <w:i/>
          <w:sz w:val="24"/>
          <w:szCs w:val="24"/>
        </w:rPr>
        <w:t>fideicommissaries</w:t>
      </w:r>
      <w:proofErr w:type="spellEnd"/>
      <w:r w:rsidR="00FA28C8" w:rsidRPr="00FA28C8">
        <w:rPr>
          <w:rFonts w:ascii="Arial" w:hAnsi="Arial" w:cs="Arial"/>
          <w:i/>
          <w:sz w:val="24"/>
          <w:szCs w:val="24"/>
        </w:rPr>
        <w:t xml:space="preserve">, the claim for Holding Over and Loss of Fruits post Mrs </w:t>
      </w:r>
      <w:proofErr w:type="spellStart"/>
      <w:r w:rsidR="00FA28C8" w:rsidRPr="00FA28C8">
        <w:rPr>
          <w:rFonts w:ascii="Arial" w:hAnsi="Arial" w:cs="Arial"/>
          <w:i/>
          <w:sz w:val="24"/>
          <w:szCs w:val="24"/>
        </w:rPr>
        <w:t>Bragg</w:t>
      </w:r>
      <w:r w:rsidR="001B5E51">
        <w:rPr>
          <w:rFonts w:ascii="Arial" w:hAnsi="Arial" w:cs="Arial"/>
          <w:i/>
          <w:sz w:val="24"/>
          <w:szCs w:val="24"/>
        </w:rPr>
        <w:t>e</w:t>
      </w:r>
      <w:r w:rsidR="00FA28C8" w:rsidRPr="00FA28C8">
        <w:rPr>
          <w:rFonts w:ascii="Arial" w:hAnsi="Arial" w:cs="Arial"/>
          <w:i/>
          <w:sz w:val="24"/>
          <w:szCs w:val="24"/>
        </w:rPr>
        <w:t>’s</w:t>
      </w:r>
      <w:proofErr w:type="spellEnd"/>
      <w:r w:rsidR="00FA28C8" w:rsidRPr="00FA28C8">
        <w:rPr>
          <w:rFonts w:ascii="Arial" w:hAnsi="Arial" w:cs="Arial"/>
          <w:i/>
          <w:sz w:val="24"/>
          <w:szCs w:val="24"/>
        </w:rPr>
        <w:t xml:space="preserve"> death falls away.</w:t>
      </w:r>
      <w:r w:rsidR="00FA28C8">
        <w:rPr>
          <w:rFonts w:ascii="Arial" w:hAnsi="Arial" w:cs="Arial"/>
          <w:sz w:val="24"/>
          <w:szCs w:val="24"/>
        </w:rPr>
        <w:t>’</w:t>
      </w:r>
      <w:r w:rsidR="00CE648D">
        <w:rPr>
          <w:rFonts w:ascii="Arial" w:hAnsi="Arial" w:cs="Arial"/>
          <w:sz w:val="24"/>
          <w:szCs w:val="24"/>
        </w:rPr>
        <w:t xml:space="preserve"> In his email of 14 November 2018, he stated ‘</w:t>
      </w:r>
      <w:r w:rsidR="00CE648D">
        <w:rPr>
          <w:rFonts w:ascii="Arial" w:hAnsi="Arial" w:cs="Arial"/>
          <w:i/>
          <w:sz w:val="24"/>
          <w:szCs w:val="24"/>
        </w:rPr>
        <w:t xml:space="preserve">Principally I am in agreement re the claim post Mrs </w:t>
      </w:r>
      <w:proofErr w:type="spellStart"/>
      <w:r w:rsidR="00CE648D">
        <w:rPr>
          <w:rFonts w:ascii="Arial" w:hAnsi="Arial" w:cs="Arial"/>
          <w:i/>
          <w:sz w:val="24"/>
          <w:szCs w:val="24"/>
        </w:rPr>
        <w:t>Bragge’s</w:t>
      </w:r>
      <w:proofErr w:type="spellEnd"/>
      <w:r w:rsidR="00CE648D">
        <w:rPr>
          <w:rFonts w:ascii="Arial" w:hAnsi="Arial" w:cs="Arial"/>
          <w:i/>
          <w:sz w:val="24"/>
          <w:szCs w:val="24"/>
        </w:rPr>
        <w:t xml:space="preserve"> death, given the SCA judgment.’ </w:t>
      </w:r>
      <w:r w:rsidR="00CE648D">
        <w:rPr>
          <w:rFonts w:ascii="Arial" w:hAnsi="Arial" w:cs="Arial"/>
          <w:sz w:val="24"/>
          <w:szCs w:val="24"/>
        </w:rPr>
        <w:t>In his letter dated 26 November 2018</w:t>
      </w:r>
      <w:r w:rsidR="00A16E5F">
        <w:rPr>
          <w:rFonts w:ascii="Arial" w:hAnsi="Arial" w:cs="Arial"/>
          <w:sz w:val="24"/>
          <w:szCs w:val="24"/>
        </w:rPr>
        <w:t xml:space="preserve"> and</w:t>
      </w:r>
      <w:r w:rsidR="00CE648D">
        <w:rPr>
          <w:rFonts w:ascii="Arial" w:hAnsi="Arial" w:cs="Arial"/>
          <w:sz w:val="24"/>
          <w:szCs w:val="24"/>
        </w:rPr>
        <w:t xml:space="preserve"> sent </w:t>
      </w:r>
      <w:r w:rsidR="00A16E5F">
        <w:rPr>
          <w:rFonts w:ascii="Arial" w:hAnsi="Arial" w:cs="Arial"/>
          <w:sz w:val="24"/>
          <w:szCs w:val="24"/>
        </w:rPr>
        <w:t xml:space="preserve">on 5 December 2018 </w:t>
      </w:r>
      <w:r w:rsidR="00CE648D">
        <w:rPr>
          <w:rFonts w:ascii="Arial" w:hAnsi="Arial" w:cs="Arial"/>
          <w:sz w:val="24"/>
          <w:szCs w:val="24"/>
        </w:rPr>
        <w:t xml:space="preserve">in response to the request for a date to convene a pre-trial conference, </w:t>
      </w:r>
      <w:r w:rsidR="00A16E5F">
        <w:rPr>
          <w:rFonts w:ascii="Arial" w:hAnsi="Arial" w:cs="Arial"/>
          <w:sz w:val="24"/>
          <w:szCs w:val="24"/>
        </w:rPr>
        <w:t xml:space="preserve">the plaintiff </w:t>
      </w:r>
      <w:r w:rsidR="00CE648D">
        <w:rPr>
          <w:rFonts w:ascii="Arial" w:hAnsi="Arial" w:cs="Arial"/>
          <w:sz w:val="24"/>
          <w:szCs w:val="24"/>
        </w:rPr>
        <w:t xml:space="preserve">stated </w:t>
      </w:r>
    </w:p>
    <w:p w14:paraId="5C2C4F8A" w14:textId="6EA55D83" w:rsidR="003B5A38" w:rsidRPr="00772C2D" w:rsidRDefault="00CE648D" w:rsidP="00331F44">
      <w:pPr>
        <w:rPr>
          <w:rFonts w:ascii="Arial" w:hAnsi="Arial" w:cs="Arial"/>
          <w:sz w:val="22"/>
          <w:szCs w:val="22"/>
        </w:rPr>
      </w:pPr>
      <w:r w:rsidRPr="00772C2D">
        <w:rPr>
          <w:rFonts w:ascii="Arial" w:hAnsi="Arial" w:cs="Arial"/>
          <w:i/>
          <w:sz w:val="22"/>
          <w:szCs w:val="22"/>
        </w:rPr>
        <w:t xml:space="preserve">‘…I am of the opinion that it may be better suited for the Pre-trial to take place after </w:t>
      </w:r>
      <w:r w:rsidR="003024C1" w:rsidRPr="00772C2D">
        <w:rPr>
          <w:rFonts w:ascii="Arial" w:hAnsi="Arial" w:cs="Arial"/>
          <w:i/>
          <w:sz w:val="22"/>
          <w:szCs w:val="22"/>
        </w:rPr>
        <w:t xml:space="preserve">judgement </w:t>
      </w:r>
      <w:r w:rsidRPr="00772C2D">
        <w:rPr>
          <w:rFonts w:ascii="Arial" w:hAnsi="Arial" w:cs="Arial"/>
          <w:i/>
          <w:sz w:val="22"/>
          <w:szCs w:val="22"/>
        </w:rPr>
        <w:t xml:space="preserve">is given </w:t>
      </w:r>
      <w:r w:rsidR="005F774A" w:rsidRPr="00772C2D">
        <w:rPr>
          <w:rFonts w:ascii="Arial" w:hAnsi="Arial" w:cs="Arial"/>
          <w:i/>
          <w:sz w:val="22"/>
          <w:szCs w:val="22"/>
        </w:rPr>
        <w:t>in [</w:t>
      </w:r>
      <w:r w:rsidRPr="00772C2D">
        <w:rPr>
          <w:rFonts w:ascii="Arial" w:hAnsi="Arial" w:cs="Arial"/>
          <w:i/>
          <w:sz w:val="22"/>
          <w:szCs w:val="22"/>
        </w:rPr>
        <w:t>the Pretoria] matter and closer to the trial date and once</w:t>
      </w:r>
      <w:r w:rsidR="003024C1" w:rsidRPr="00772C2D">
        <w:rPr>
          <w:rFonts w:ascii="Arial" w:hAnsi="Arial" w:cs="Arial"/>
          <w:i/>
          <w:sz w:val="22"/>
          <w:szCs w:val="22"/>
        </w:rPr>
        <w:t xml:space="preserve"> the</w:t>
      </w:r>
      <w:r w:rsidRPr="00772C2D">
        <w:rPr>
          <w:rFonts w:ascii="Arial" w:hAnsi="Arial" w:cs="Arial"/>
          <w:i/>
          <w:sz w:val="22"/>
          <w:szCs w:val="22"/>
        </w:rPr>
        <w:t xml:space="preserve"> papers have been amended to remove the claim post Mrs </w:t>
      </w:r>
      <w:proofErr w:type="spellStart"/>
      <w:r w:rsidRPr="00772C2D">
        <w:rPr>
          <w:rFonts w:ascii="Arial" w:hAnsi="Arial" w:cs="Arial"/>
          <w:i/>
          <w:sz w:val="22"/>
          <w:szCs w:val="22"/>
        </w:rPr>
        <w:t>Bragge’s</w:t>
      </w:r>
      <w:proofErr w:type="spellEnd"/>
      <w:r w:rsidRPr="00772C2D">
        <w:rPr>
          <w:rFonts w:ascii="Arial" w:hAnsi="Arial" w:cs="Arial"/>
          <w:i/>
          <w:sz w:val="22"/>
          <w:szCs w:val="22"/>
        </w:rPr>
        <w:t xml:space="preserve"> death. I have been unable to consult with Counsel on this </w:t>
      </w:r>
      <w:r w:rsidRPr="00772C2D">
        <w:rPr>
          <w:rFonts w:ascii="Arial" w:hAnsi="Arial" w:cs="Arial"/>
          <w:i/>
          <w:sz w:val="22"/>
          <w:szCs w:val="22"/>
        </w:rPr>
        <w:lastRenderedPageBreak/>
        <w:t xml:space="preserve">matter, but as previously indicated- given the SCA opinion, I hold the view that the </w:t>
      </w:r>
      <w:r w:rsidR="003024C1" w:rsidRPr="00772C2D">
        <w:rPr>
          <w:rFonts w:ascii="Arial" w:hAnsi="Arial" w:cs="Arial"/>
          <w:i/>
          <w:sz w:val="22"/>
          <w:szCs w:val="22"/>
        </w:rPr>
        <w:t>P</w:t>
      </w:r>
      <w:r w:rsidRPr="00772C2D">
        <w:rPr>
          <w:rFonts w:ascii="Arial" w:hAnsi="Arial" w:cs="Arial"/>
          <w:i/>
          <w:sz w:val="22"/>
          <w:szCs w:val="22"/>
        </w:rPr>
        <w:t>articulars</w:t>
      </w:r>
      <w:r w:rsidR="003024C1" w:rsidRPr="00772C2D">
        <w:rPr>
          <w:rFonts w:ascii="Arial" w:hAnsi="Arial" w:cs="Arial"/>
          <w:i/>
          <w:sz w:val="22"/>
          <w:szCs w:val="22"/>
        </w:rPr>
        <w:t xml:space="preserve"> should be amended.’</w:t>
      </w:r>
      <w:r w:rsidR="00FA28C8" w:rsidRPr="00772C2D">
        <w:rPr>
          <w:rFonts w:ascii="Arial" w:hAnsi="Arial" w:cs="Arial"/>
          <w:sz w:val="22"/>
          <w:szCs w:val="22"/>
        </w:rPr>
        <w:t xml:space="preserve"> </w:t>
      </w:r>
      <w:r w:rsidR="00D33B1D" w:rsidRPr="00772C2D">
        <w:rPr>
          <w:rFonts w:ascii="Arial" w:hAnsi="Arial" w:cs="Arial"/>
          <w:sz w:val="22"/>
          <w:szCs w:val="22"/>
        </w:rPr>
        <w:t xml:space="preserve"> </w:t>
      </w:r>
    </w:p>
    <w:p w14:paraId="37FC0189" w14:textId="4B08F4C2" w:rsidR="003024C1" w:rsidRPr="003B5A38" w:rsidRDefault="00EC00AF" w:rsidP="00331F44">
      <w:pPr>
        <w:rPr>
          <w:rFonts w:ascii="Arial" w:hAnsi="Arial" w:cs="Arial"/>
          <w:sz w:val="24"/>
          <w:szCs w:val="24"/>
        </w:rPr>
      </w:pPr>
      <w:r>
        <w:rPr>
          <w:rFonts w:ascii="Arial" w:hAnsi="Arial" w:cs="Arial"/>
          <w:sz w:val="24"/>
          <w:szCs w:val="24"/>
        </w:rPr>
        <w:t>[1</w:t>
      </w:r>
      <w:r w:rsidR="00772C2D">
        <w:rPr>
          <w:rFonts w:ascii="Arial" w:hAnsi="Arial" w:cs="Arial"/>
          <w:sz w:val="24"/>
          <w:szCs w:val="24"/>
        </w:rPr>
        <w:t>6</w:t>
      </w:r>
      <w:r>
        <w:rPr>
          <w:rFonts w:ascii="Arial" w:hAnsi="Arial" w:cs="Arial"/>
          <w:sz w:val="24"/>
          <w:szCs w:val="24"/>
        </w:rPr>
        <w:t>]</w:t>
      </w:r>
      <w:r>
        <w:rPr>
          <w:rFonts w:ascii="Arial" w:hAnsi="Arial" w:cs="Arial"/>
          <w:sz w:val="24"/>
          <w:szCs w:val="24"/>
        </w:rPr>
        <w:tab/>
      </w:r>
      <w:r w:rsidR="003024C1">
        <w:rPr>
          <w:rFonts w:ascii="Arial" w:hAnsi="Arial" w:cs="Arial"/>
          <w:sz w:val="24"/>
          <w:szCs w:val="24"/>
        </w:rPr>
        <w:t xml:space="preserve">The plaintiff failed to address his contemporaneous correspondence referred to above or his failure to comply with the undertaking provided at the pre-trial conference on 6 May 2019 to </w:t>
      </w:r>
      <w:r w:rsidR="00F1682E">
        <w:rPr>
          <w:rFonts w:ascii="Arial" w:hAnsi="Arial" w:cs="Arial"/>
          <w:sz w:val="24"/>
          <w:szCs w:val="24"/>
        </w:rPr>
        <w:t>advise the defendant whether he intended to persist with claims B, C and D.</w:t>
      </w:r>
      <w:r w:rsidR="003024C1">
        <w:rPr>
          <w:rFonts w:ascii="Arial" w:hAnsi="Arial" w:cs="Arial"/>
          <w:sz w:val="24"/>
          <w:szCs w:val="24"/>
        </w:rPr>
        <w:t xml:space="preserve"> </w:t>
      </w:r>
      <w:r w:rsidR="00E913CB">
        <w:rPr>
          <w:rFonts w:ascii="Arial" w:hAnsi="Arial" w:cs="Arial"/>
          <w:sz w:val="24"/>
          <w:szCs w:val="24"/>
        </w:rPr>
        <w:t xml:space="preserve">I agree with the </w:t>
      </w:r>
      <w:r w:rsidR="009C3849">
        <w:rPr>
          <w:rFonts w:ascii="Arial" w:hAnsi="Arial" w:cs="Arial"/>
          <w:sz w:val="24"/>
          <w:szCs w:val="24"/>
        </w:rPr>
        <w:t>defendant</w:t>
      </w:r>
      <w:r w:rsidR="00E913CB">
        <w:rPr>
          <w:rFonts w:ascii="Arial" w:hAnsi="Arial" w:cs="Arial"/>
          <w:sz w:val="24"/>
          <w:szCs w:val="24"/>
        </w:rPr>
        <w:t xml:space="preserve"> that, in the circumstances, the plaintiff’s continued pursuit of claims</w:t>
      </w:r>
      <w:r w:rsidR="003024C1">
        <w:rPr>
          <w:rFonts w:ascii="Arial" w:hAnsi="Arial" w:cs="Arial"/>
          <w:sz w:val="24"/>
          <w:szCs w:val="24"/>
        </w:rPr>
        <w:t xml:space="preserve"> </w:t>
      </w:r>
      <w:r w:rsidR="00E913CB">
        <w:rPr>
          <w:rFonts w:ascii="Arial" w:hAnsi="Arial" w:cs="Arial"/>
          <w:sz w:val="24"/>
          <w:szCs w:val="24"/>
        </w:rPr>
        <w:t>B and D is at the very least reckless and vexatious and amounts to an abuse of process.</w:t>
      </w:r>
      <w:r w:rsidR="003024C1">
        <w:rPr>
          <w:rFonts w:ascii="Arial" w:hAnsi="Arial" w:cs="Arial"/>
          <w:sz w:val="24"/>
          <w:szCs w:val="24"/>
        </w:rPr>
        <w:t xml:space="preserve"> </w:t>
      </w:r>
    </w:p>
    <w:p w14:paraId="7835916A" w14:textId="46B38238" w:rsidR="001F7A92" w:rsidRDefault="00EC00AF" w:rsidP="006561BA">
      <w:pPr>
        <w:rPr>
          <w:rFonts w:ascii="Arial" w:hAnsi="Arial" w:cs="Arial"/>
          <w:sz w:val="24"/>
          <w:szCs w:val="24"/>
        </w:rPr>
      </w:pPr>
      <w:r>
        <w:rPr>
          <w:rFonts w:ascii="Arial" w:hAnsi="Arial" w:cs="Arial"/>
          <w:sz w:val="24"/>
          <w:szCs w:val="24"/>
        </w:rPr>
        <w:t>[1</w:t>
      </w:r>
      <w:r w:rsidR="00772C2D">
        <w:rPr>
          <w:rFonts w:ascii="Arial" w:hAnsi="Arial" w:cs="Arial"/>
          <w:sz w:val="24"/>
          <w:szCs w:val="24"/>
        </w:rPr>
        <w:t>7</w:t>
      </w:r>
      <w:r>
        <w:rPr>
          <w:rFonts w:ascii="Arial" w:hAnsi="Arial" w:cs="Arial"/>
          <w:sz w:val="24"/>
          <w:szCs w:val="24"/>
        </w:rPr>
        <w:t>]</w:t>
      </w:r>
      <w:r>
        <w:rPr>
          <w:rFonts w:ascii="Arial" w:hAnsi="Arial" w:cs="Arial"/>
          <w:sz w:val="24"/>
          <w:szCs w:val="24"/>
        </w:rPr>
        <w:tab/>
      </w:r>
      <w:r w:rsidR="00F1682E">
        <w:rPr>
          <w:rFonts w:ascii="Arial" w:hAnsi="Arial" w:cs="Arial"/>
          <w:sz w:val="24"/>
          <w:szCs w:val="24"/>
        </w:rPr>
        <w:t xml:space="preserve">The defendant </w:t>
      </w:r>
      <w:r w:rsidR="00AA70C9">
        <w:rPr>
          <w:rFonts w:ascii="Arial" w:hAnsi="Arial" w:cs="Arial"/>
          <w:sz w:val="24"/>
          <w:szCs w:val="24"/>
        </w:rPr>
        <w:t xml:space="preserve">also contends </w:t>
      </w:r>
      <w:r w:rsidR="00E913CB">
        <w:rPr>
          <w:rFonts w:ascii="Arial" w:hAnsi="Arial" w:cs="Arial"/>
          <w:sz w:val="24"/>
          <w:szCs w:val="24"/>
        </w:rPr>
        <w:t xml:space="preserve">that </w:t>
      </w:r>
      <w:r w:rsidR="00AA70C9">
        <w:rPr>
          <w:rFonts w:ascii="Arial" w:hAnsi="Arial" w:cs="Arial"/>
          <w:sz w:val="24"/>
          <w:szCs w:val="24"/>
        </w:rPr>
        <w:t xml:space="preserve">claim </w:t>
      </w:r>
      <w:r w:rsidR="00A16E5F">
        <w:rPr>
          <w:rFonts w:ascii="Arial" w:hAnsi="Arial" w:cs="Arial"/>
          <w:sz w:val="24"/>
          <w:szCs w:val="24"/>
        </w:rPr>
        <w:t>C</w:t>
      </w:r>
      <w:r w:rsidR="00026A93">
        <w:rPr>
          <w:rFonts w:ascii="Arial" w:hAnsi="Arial" w:cs="Arial"/>
          <w:sz w:val="24"/>
          <w:szCs w:val="24"/>
        </w:rPr>
        <w:t xml:space="preserve"> has no prospect of success because it is premised upon a claim by a fiduciary property owner to the civil fruits in the form of profits from its lessee, in circumstances where </w:t>
      </w:r>
      <w:r w:rsidR="002A4554">
        <w:rPr>
          <w:rFonts w:ascii="Arial" w:hAnsi="Arial" w:cs="Arial"/>
          <w:sz w:val="24"/>
          <w:szCs w:val="24"/>
        </w:rPr>
        <w:t xml:space="preserve">neither </w:t>
      </w:r>
      <w:r w:rsidR="006900D7">
        <w:rPr>
          <w:rFonts w:ascii="Arial" w:hAnsi="Arial" w:cs="Arial"/>
          <w:sz w:val="24"/>
          <w:szCs w:val="24"/>
        </w:rPr>
        <w:t xml:space="preserve">the </w:t>
      </w:r>
      <w:r w:rsidR="00026A93">
        <w:rPr>
          <w:rFonts w:ascii="Arial" w:hAnsi="Arial" w:cs="Arial"/>
          <w:sz w:val="24"/>
          <w:szCs w:val="24"/>
        </w:rPr>
        <w:t>will</w:t>
      </w:r>
      <w:r w:rsidR="002A4554">
        <w:rPr>
          <w:rFonts w:ascii="Arial" w:hAnsi="Arial" w:cs="Arial"/>
          <w:sz w:val="24"/>
          <w:szCs w:val="24"/>
        </w:rPr>
        <w:t xml:space="preserve"> nor the common law </w:t>
      </w:r>
      <w:r w:rsidR="00026A93">
        <w:rPr>
          <w:rFonts w:ascii="Arial" w:hAnsi="Arial" w:cs="Arial"/>
          <w:sz w:val="24"/>
          <w:szCs w:val="24"/>
        </w:rPr>
        <w:t>makes provision for such a claim.</w:t>
      </w:r>
      <w:r w:rsidR="00E913CB">
        <w:rPr>
          <w:rFonts w:ascii="Arial" w:hAnsi="Arial" w:cs="Arial"/>
          <w:sz w:val="24"/>
          <w:szCs w:val="24"/>
        </w:rPr>
        <w:t xml:space="preserve"> </w:t>
      </w:r>
      <w:r w:rsidR="00357161">
        <w:rPr>
          <w:rFonts w:ascii="Arial" w:hAnsi="Arial" w:cs="Arial"/>
          <w:sz w:val="24"/>
          <w:szCs w:val="24"/>
        </w:rPr>
        <w:t xml:space="preserve">It is clear from </w:t>
      </w:r>
      <w:r w:rsidR="006900D7">
        <w:rPr>
          <w:rFonts w:ascii="Arial" w:hAnsi="Arial" w:cs="Arial"/>
          <w:sz w:val="24"/>
          <w:szCs w:val="24"/>
        </w:rPr>
        <w:t>Matthews</w:t>
      </w:r>
      <w:r w:rsidR="009F4960">
        <w:rPr>
          <w:rFonts w:ascii="Arial" w:hAnsi="Arial" w:cs="Arial"/>
          <w:sz w:val="24"/>
          <w:szCs w:val="24"/>
        </w:rPr>
        <w:t>’</w:t>
      </w:r>
      <w:r w:rsidR="00357161">
        <w:rPr>
          <w:rFonts w:ascii="Arial" w:hAnsi="Arial" w:cs="Arial"/>
          <w:sz w:val="24"/>
          <w:szCs w:val="24"/>
        </w:rPr>
        <w:t xml:space="preserve"> will that the </w:t>
      </w:r>
      <w:proofErr w:type="spellStart"/>
      <w:r w:rsidR="006802E9" w:rsidRPr="006802E9">
        <w:rPr>
          <w:rFonts w:ascii="Arial" w:hAnsi="Arial" w:cs="Arial"/>
          <w:i/>
          <w:sz w:val="24"/>
          <w:szCs w:val="24"/>
        </w:rPr>
        <w:t>fideicommissum</w:t>
      </w:r>
      <w:proofErr w:type="spellEnd"/>
      <w:r w:rsidR="006802E9">
        <w:rPr>
          <w:rFonts w:ascii="Arial" w:hAnsi="Arial" w:cs="Arial"/>
          <w:sz w:val="24"/>
          <w:szCs w:val="24"/>
        </w:rPr>
        <w:t xml:space="preserve"> operated in respect of the </w:t>
      </w:r>
      <w:r w:rsidR="00357161">
        <w:rPr>
          <w:rFonts w:ascii="Arial" w:hAnsi="Arial" w:cs="Arial"/>
          <w:sz w:val="24"/>
          <w:szCs w:val="24"/>
        </w:rPr>
        <w:t xml:space="preserve">immovable property </w:t>
      </w:r>
      <w:r w:rsidR="00867CEC">
        <w:rPr>
          <w:rFonts w:ascii="Arial" w:hAnsi="Arial" w:cs="Arial"/>
          <w:sz w:val="24"/>
          <w:szCs w:val="24"/>
        </w:rPr>
        <w:t xml:space="preserve">only and not in respect of the defendant. The main action does not set out the legal basis upon which the plaintiff contends that he is entitled to a claim for the defendant’s profits where the defendant is a lessee without a lease agreement. </w:t>
      </w:r>
      <w:r w:rsidR="009F4960">
        <w:rPr>
          <w:rFonts w:ascii="Arial" w:hAnsi="Arial" w:cs="Arial"/>
          <w:sz w:val="24"/>
          <w:szCs w:val="24"/>
        </w:rPr>
        <w:t xml:space="preserve"> </w:t>
      </w:r>
      <w:r w:rsidR="00B5653A">
        <w:rPr>
          <w:rFonts w:ascii="Arial" w:hAnsi="Arial" w:cs="Arial"/>
          <w:sz w:val="24"/>
          <w:szCs w:val="24"/>
        </w:rPr>
        <w:t>It</w:t>
      </w:r>
      <w:r w:rsidR="006900D7">
        <w:rPr>
          <w:rFonts w:ascii="Arial" w:hAnsi="Arial" w:cs="Arial"/>
          <w:sz w:val="24"/>
          <w:szCs w:val="24"/>
        </w:rPr>
        <w:t xml:space="preserve"> is</w:t>
      </w:r>
      <w:r w:rsidR="005F774A">
        <w:rPr>
          <w:rFonts w:ascii="Arial" w:hAnsi="Arial" w:cs="Arial"/>
          <w:sz w:val="24"/>
          <w:szCs w:val="24"/>
        </w:rPr>
        <w:t xml:space="preserve"> also contended that claim A has</w:t>
      </w:r>
      <w:r w:rsidR="00B5653A">
        <w:rPr>
          <w:rFonts w:ascii="Arial" w:hAnsi="Arial" w:cs="Arial"/>
          <w:sz w:val="24"/>
          <w:szCs w:val="24"/>
        </w:rPr>
        <w:t xml:space="preserve"> limited to no prospects of success particularly since the proper basis fo</w:t>
      </w:r>
      <w:r w:rsidR="001F7A92">
        <w:rPr>
          <w:rFonts w:ascii="Arial" w:hAnsi="Arial" w:cs="Arial"/>
          <w:sz w:val="24"/>
          <w:szCs w:val="24"/>
        </w:rPr>
        <w:t xml:space="preserve">r this claim </w:t>
      </w:r>
      <w:r w:rsidR="005F774A">
        <w:rPr>
          <w:rFonts w:ascii="Arial" w:hAnsi="Arial" w:cs="Arial"/>
          <w:sz w:val="24"/>
          <w:szCs w:val="24"/>
        </w:rPr>
        <w:t xml:space="preserve">has </w:t>
      </w:r>
      <w:r w:rsidR="001F7A92">
        <w:rPr>
          <w:rFonts w:ascii="Arial" w:hAnsi="Arial" w:cs="Arial"/>
          <w:sz w:val="24"/>
          <w:szCs w:val="24"/>
        </w:rPr>
        <w:t>not</w:t>
      </w:r>
      <w:r w:rsidR="005F774A">
        <w:rPr>
          <w:rFonts w:ascii="Arial" w:hAnsi="Arial" w:cs="Arial"/>
          <w:sz w:val="24"/>
          <w:szCs w:val="24"/>
        </w:rPr>
        <w:t xml:space="preserve"> been </w:t>
      </w:r>
      <w:r w:rsidR="001F7A92">
        <w:rPr>
          <w:rFonts w:ascii="Arial" w:hAnsi="Arial" w:cs="Arial"/>
          <w:sz w:val="24"/>
          <w:szCs w:val="24"/>
        </w:rPr>
        <w:t xml:space="preserve">set out. </w:t>
      </w:r>
    </w:p>
    <w:p w14:paraId="3899802B" w14:textId="04CEB3BE" w:rsidR="00E055E0" w:rsidRDefault="00EC00AF" w:rsidP="006561BA">
      <w:pPr>
        <w:rPr>
          <w:rFonts w:ascii="Arial" w:hAnsi="Arial" w:cs="Arial"/>
          <w:sz w:val="24"/>
          <w:szCs w:val="24"/>
        </w:rPr>
      </w:pPr>
      <w:r>
        <w:rPr>
          <w:rFonts w:ascii="Arial" w:hAnsi="Arial" w:cs="Arial"/>
          <w:sz w:val="24"/>
          <w:szCs w:val="24"/>
        </w:rPr>
        <w:t>[1</w:t>
      </w:r>
      <w:r w:rsidR="00772C2D">
        <w:rPr>
          <w:rFonts w:ascii="Arial" w:hAnsi="Arial" w:cs="Arial"/>
          <w:sz w:val="24"/>
          <w:szCs w:val="24"/>
        </w:rPr>
        <w:t>8</w:t>
      </w:r>
      <w:r>
        <w:rPr>
          <w:rFonts w:ascii="Arial" w:hAnsi="Arial" w:cs="Arial"/>
          <w:sz w:val="24"/>
          <w:szCs w:val="24"/>
        </w:rPr>
        <w:t>]</w:t>
      </w:r>
      <w:r>
        <w:rPr>
          <w:rFonts w:ascii="Arial" w:hAnsi="Arial" w:cs="Arial"/>
          <w:sz w:val="24"/>
          <w:szCs w:val="24"/>
        </w:rPr>
        <w:tab/>
      </w:r>
      <w:r w:rsidR="002A4554">
        <w:rPr>
          <w:rFonts w:ascii="Arial" w:hAnsi="Arial" w:cs="Arial"/>
          <w:sz w:val="24"/>
          <w:szCs w:val="24"/>
        </w:rPr>
        <w:t>The plaintiff does not address th</w:t>
      </w:r>
      <w:r w:rsidR="001F7A92">
        <w:rPr>
          <w:rFonts w:ascii="Arial" w:hAnsi="Arial" w:cs="Arial"/>
          <w:sz w:val="24"/>
          <w:szCs w:val="24"/>
        </w:rPr>
        <w:t>ese</w:t>
      </w:r>
      <w:r w:rsidR="002A4554">
        <w:rPr>
          <w:rFonts w:ascii="Arial" w:hAnsi="Arial" w:cs="Arial"/>
          <w:sz w:val="24"/>
          <w:szCs w:val="24"/>
        </w:rPr>
        <w:t xml:space="preserve"> contention</w:t>
      </w:r>
      <w:r w:rsidR="001F7A92">
        <w:rPr>
          <w:rFonts w:ascii="Arial" w:hAnsi="Arial" w:cs="Arial"/>
          <w:sz w:val="24"/>
          <w:szCs w:val="24"/>
        </w:rPr>
        <w:t>s at all</w:t>
      </w:r>
      <w:r w:rsidR="002A4554">
        <w:rPr>
          <w:rFonts w:ascii="Arial" w:hAnsi="Arial" w:cs="Arial"/>
          <w:sz w:val="24"/>
          <w:szCs w:val="24"/>
        </w:rPr>
        <w:t xml:space="preserve">, save to argue that it is inappropriate to address the merits of </w:t>
      </w:r>
      <w:r w:rsidR="00CB62D4">
        <w:rPr>
          <w:rFonts w:ascii="Arial" w:hAnsi="Arial" w:cs="Arial"/>
          <w:sz w:val="24"/>
          <w:szCs w:val="24"/>
        </w:rPr>
        <w:t xml:space="preserve">the main action in the context of an application for security for costs. </w:t>
      </w:r>
      <w:r w:rsidR="00B5653A">
        <w:rPr>
          <w:rFonts w:ascii="Arial" w:hAnsi="Arial" w:cs="Arial"/>
          <w:sz w:val="24"/>
          <w:szCs w:val="24"/>
        </w:rPr>
        <w:t xml:space="preserve">The plaintiff asserted that it was irrelevant whether the claims advanced in the main action were meritorious because unsustainable claims would be subject to ordinary punitive costs orders </w:t>
      </w:r>
      <w:r w:rsidR="001F7A92">
        <w:rPr>
          <w:rFonts w:ascii="Arial" w:hAnsi="Arial" w:cs="Arial"/>
          <w:sz w:val="24"/>
          <w:szCs w:val="24"/>
        </w:rPr>
        <w:t xml:space="preserve">by the court hearing the main action. That may be so, however such an order is cold comfort to a defendant if ordered against a plaintiff that is unable to satisfy any costs order made against him. </w:t>
      </w:r>
      <w:r w:rsidR="00566122">
        <w:rPr>
          <w:rFonts w:ascii="Arial" w:hAnsi="Arial" w:cs="Arial"/>
          <w:sz w:val="24"/>
          <w:szCs w:val="24"/>
        </w:rPr>
        <w:t xml:space="preserve">This argument also ignores the fact that the very purpose of Rule 47 is to provide security to a defendant that is concerned that he may not recover his costs, punitive or ordinary, that are awarded in his favour.  </w:t>
      </w:r>
    </w:p>
    <w:p w14:paraId="06F15E12" w14:textId="55955EBE" w:rsidR="00DA0DF0" w:rsidRDefault="00EC00AF" w:rsidP="006561BA">
      <w:pPr>
        <w:rPr>
          <w:rFonts w:ascii="Arial" w:hAnsi="Arial" w:cs="Arial"/>
          <w:sz w:val="24"/>
          <w:szCs w:val="24"/>
        </w:rPr>
      </w:pPr>
      <w:r>
        <w:rPr>
          <w:rFonts w:ascii="Arial" w:hAnsi="Arial" w:cs="Arial"/>
          <w:sz w:val="24"/>
          <w:szCs w:val="24"/>
        </w:rPr>
        <w:t>[1</w:t>
      </w:r>
      <w:r w:rsidR="00772C2D">
        <w:rPr>
          <w:rFonts w:ascii="Arial" w:hAnsi="Arial" w:cs="Arial"/>
          <w:sz w:val="24"/>
          <w:szCs w:val="24"/>
        </w:rPr>
        <w:t>9</w:t>
      </w:r>
      <w:r>
        <w:rPr>
          <w:rFonts w:ascii="Arial" w:hAnsi="Arial" w:cs="Arial"/>
          <w:sz w:val="24"/>
          <w:szCs w:val="24"/>
        </w:rPr>
        <w:t>]</w:t>
      </w:r>
      <w:r>
        <w:rPr>
          <w:rFonts w:ascii="Arial" w:hAnsi="Arial" w:cs="Arial"/>
          <w:sz w:val="24"/>
          <w:szCs w:val="24"/>
        </w:rPr>
        <w:tab/>
      </w:r>
      <w:r w:rsidR="001F7A92">
        <w:rPr>
          <w:rFonts w:ascii="Arial" w:hAnsi="Arial" w:cs="Arial"/>
          <w:sz w:val="24"/>
          <w:szCs w:val="24"/>
        </w:rPr>
        <w:t>Additionally,</w:t>
      </w:r>
      <w:r w:rsidR="00566122">
        <w:rPr>
          <w:rFonts w:ascii="Arial" w:hAnsi="Arial" w:cs="Arial"/>
          <w:sz w:val="24"/>
          <w:szCs w:val="24"/>
        </w:rPr>
        <w:t xml:space="preserve"> when deciding whether an </w:t>
      </w:r>
      <w:proofErr w:type="spellStart"/>
      <w:r w:rsidR="00566122">
        <w:rPr>
          <w:rFonts w:ascii="Arial" w:hAnsi="Arial" w:cs="Arial"/>
          <w:i/>
          <w:sz w:val="24"/>
          <w:szCs w:val="24"/>
        </w:rPr>
        <w:t>incola</w:t>
      </w:r>
      <w:proofErr w:type="spellEnd"/>
      <w:r w:rsidR="00566122">
        <w:rPr>
          <w:rFonts w:ascii="Arial" w:hAnsi="Arial" w:cs="Arial"/>
          <w:i/>
          <w:sz w:val="24"/>
          <w:szCs w:val="24"/>
        </w:rPr>
        <w:t xml:space="preserve"> </w:t>
      </w:r>
      <w:r w:rsidR="00213E4C">
        <w:rPr>
          <w:rFonts w:ascii="Arial" w:hAnsi="Arial" w:cs="Arial"/>
          <w:sz w:val="24"/>
          <w:szCs w:val="24"/>
        </w:rPr>
        <w:t xml:space="preserve">party should be ordered to furnish security for costs, the merits of </w:t>
      </w:r>
      <w:r w:rsidR="005F774A">
        <w:rPr>
          <w:rFonts w:ascii="Arial" w:hAnsi="Arial" w:cs="Arial"/>
          <w:sz w:val="24"/>
          <w:szCs w:val="24"/>
        </w:rPr>
        <w:t xml:space="preserve">the main </w:t>
      </w:r>
      <w:r w:rsidR="00213E4C">
        <w:rPr>
          <w:rFonts w:ascii="Arial" w:hAnsi="Arial" w:cs="Arial"/>
          <w:sz w:val="24"/>
          <w:szCs w:val="24"/>
        </w:rPr>
        <w:t>action are relevant in the determination of whether an action is mala fide, vexatious or unmeritorious.</w:t>
      </w:r>
      <w:r w:rsidR="00213E4C" w:rsidRPr="00D448F6">
        <w:rPr>
          <w:rStyle w:val="FootnoteReference"/>
          <w:rFonts w:ascii="Arial" w:hAnsi="Arial" w:cs="Arial"/>
          <w:sz w:val="20"/>
        </w:rPr>
        <w:footnoteReference w:id="12"/>
      </w:r>
      <w:r w:rsidR="001F7A92">
        <w:rPr>
          <w:rFonts w:ascii="Arial" w:hAnsi="Arial" w:cs="Arial"/>
          <w:sz w:val="24"/>
          <w:szCs w:val="24"/>
        </w:rPr>
        <w:t xml:space="preserve"> </w:t>
      </w:r>
      <w:r w:rsidR="00D448F6">
        <w:rPr>
          <w:rFonts w:ascii="Arial" w:hAnsi="Arial" w:cs="Arial"/>
          <w:sz w:val="24"/>
          <w:szCs w:val="24"/>
        </w:rPr>
        <w:t>Although, the merits of the action alone will not be decisive and must be regarded as one of the factors to be taken into consideration.</w:t>
      </w:r>
      <w:r w:rsidR="00E055E0">
        <w:rPr>
          <w:rFonts w:ascii="Arial" w:hAnsi="Arial" w:cs="Arial"/>
          <w:sz w:val="24"/>
          <w:szCs w:val="24"/>
        </w:rPr>
        <w:t xml:space="preserve"> In </w:t>
      </w:r>
      <w:proofErr w:type="spellStart"/>
      <w:r w:rsidR="00E055E0">
        <w:rPr>
          <w:rFonts w:ascii="Arial" w:hAnsi="Arial" w:cs="Arial"/>
          <w:i/>
          <w:sz w:val="24"/>
          <w:szCs w:val="24"/>
        </w:rPr>
        <w:t>Zietsman</w:t>
      </w:r>
      <w:proofErr w:type="spellEnd"/>
      <w:r w:rsidR="00E055E0">
        <w:rPr>
          <w:rFonts w:ascii="Arial" w:hAnsi="Arial" w:cs="Arial"/>
          <w:i/>
          <w:sz w:val="24"/>
          <w:szCs w:val="24"/>
        </w:rPr>
        <w:t xml:space="preserve"> v Electronic Media Network</w:t>
      </w:r>
      <w:r w:rsidR="00E055E0" w:rsidRPr="00E055E0">
        <w:rPr>
          <w:rStyle w:val="FootnoteReference"/>
          <w:rFonts w:ascii="Arial" w:hAnsi="Arial" w:cs="Arial"/>
          <w:i/>
          <w:sz w:val="20"/>
        </w:rPr>
        <w:footnoteReference w:id="13"/>
      </w:r>
      <w:r w:rsidR="00E055E0">
        <w:rPr>
          <w:rFonts w:ascii="Arial" w:hAnsi="Arial" w:cs="Arial"/>
          <w:sz w:val="24"/>
          <w:szCs w:val="24"/>
        </w:rPr>
        <w:t xml:space="preserve">, </w:t>
      </w:r>
      <w:proofErr w:type="spellStart"/>
      <w:r w:rsidR="00E055E0">
        <w:rPr>
          <w:rFonts w:ascii="Arial" w:hAnsi="Arial" w:cs="Arial"/>
          <w:sz w:val="24"/>
          <w:szCs w:val="24"/>
        </w:rPr>
        <w:t>Streicher</w:t>
      </w:r>
      <w:proofErr w:type="spellEnd"/>
      <w:r w:rsidR="00E055E0">
        <w:rPr>
          <w:rFonts w:ascii="Arial" w:hAnsi="Arial" w:cs="Arial"/>
          <w:sz w:val="24"/>
          <w:szCs w:val="24"/>
        </w:rPr>
        <w:t xml:space="preserve"> JA stated</w:t>
      </w:r>
      <w:r w:rsidR="00DB4AD1">
        <w:rPr>
          <w:rFonts w:ascii="Arial" w:hAnsi="Arial" w:cs="Arial"/>
          <w:sz w:val="24"/>
          <w:szCs w:val="24"/>
        </w:rPr>
        <w:t xml:space="preserve"> at para 21</w:t>
      </w:r>
      <w:r w:rsidR="00E055E0">
        <w:rPr>
          <w:rFonts w:ascii="Arial" w:hAnsi="Arial" w:cs="Arial"/>
          <w:sz w:val="24"/>
          <w:szCs w:val="24"/>
        </w:rPr>
        <w:t>:</w:t>
      </w:r>
    </w:p>
    <w:p w14:paraId="2EE6CE5B" w14:textId="741793B4" w:rsidR="00E055E0" w:rsidRPr="00E055E0" w:rsidRDefault="00E055E0" w:rsidP="006561BA">
      <w:pPr>
        <w:rPr>
          <w:rFonts w:ascii="Arial" w:hAnsi="Arial" w:cs="Arial"/>
          <w:i/>
          <w:sz w:val="22"/>
          <w:szCs w:val="22"/>
        </w:rPr>
      </w:pPr>
      <w:r w:rsidRPr="00E055E0">
        <w:rPr>
          <w:rFonts w:ascii="Arial" w:hAnsi="Arial" w:cs="Arial"/>
          <w:i/>
          <w:sz w:val="22"/>
          <w:szCs w:val="22"/>
        </w:rPr>
        <w:lastRenderedPageBreak/>
        <w:t>‘</w:t>
      </w:r>
      <w:r>
        <w:rPr>
          <w:rFonts w:ascii="Arial" w:hAnsi="Arial" w:cs="Arial"/>
          <w:i/>
          <w:sz w:val="22"/>
          <w:szCs w:val="22"/>
        </w:rPr>
        <w:t xml:space="preserve">I am not suggesting that a court should in an application for security </w:t>
      </w:r>
      <w:r w:rsidR="00DB4AD1">
        <w:rPr>
          <w:rFonts w:ascii="Arial" w:hAnsi="Arial" w:cs="Arial"/>
          <w:i/>
          <w:sz w:val="22"/>
          <w:szCs w:val="22"/>
        </w:rPr>
        <w:t>attempt</w:t>
      </w:r>
      <w:r>
        <w:rPr>
          <w:rFonts w:ascii="Arial" w:hAnsi="Arial" w:cs="Arial"/>
          <w:i/>
          <w:sz w:val="22"/>
          <w:szCs w:val="22"/>
        </w:rPr>
        <w:t xml:space="preserve"> to resolve the dispute between the parties. Such a requirement would frustrate the purpose for which security is sought</w:t>
      </w:r>
      <w:r w:rsidR="00DB4AD1">
        <w:rPr>
          <w:rFonts w:ascii="Arial" w:hAnsi="Arial" w:cs="Arial"/>
          <w:i/>
          <w:sz w:val="22"/>
          <w:szCs w:val="22"/>
        </w:rPr>
        <w:t>. The extent to which it is practicable to make an assessment of a party’s prospects of success would depend on the nature of the dispute in the each case.’</w:t>
      </w:r>
    </w:p>
    <w:p w14:paraId="4C3256D8" w14:textId="1271351B" w:rsidR="00DA0DF0" w:rsidRDefault="00EC00AF" w:rsidP="00DA0DF0">
      <w:pPr>
        <w:rPr>
          <w:rFonts w:ascii="Arial" w:hAnsi="Arial" w:cs="Arial"/>
          <w:sz w:val="24"/>
          <w:szCs w:val="24"/>
        </w:rPr>
      </w:pPr>
      <w:r>
        <w:rPr>
          <w:rFonts w:ascii="Arial" w:hAnsi="Arial" w:cs="Arial"/>
          <w:sz w:val="24"/>
          <w:szCs w:val="24"/>
        </w:rPr>
        <w:t>[</w:t>
      </w:r>
      <w:r w:rsidR="00772C2D">
        <w:rPr>
          <w:rFonts w:ascii="Arial" w:hAnsi="Arial" w:cs="Arial"/>
          <w:sz w:val="24"/>
          <w:szCs w:val="24"/>
        </w:rPr>
        <w:t>20</w:t>
      </w:r>
      <w:r>
        <w:rPr>
          <w:rFonts w:ascii="Arial" w:hAnsi="Arial" w:cs="Arial"/>
          <w:sz w:val="24"/>
          <w:szCs w:val="24"/>
        </w:rPr>
        <w:t>]</w:t>
      </w:r>
      <w:r>
        <w:rPr>
          <w:rFonts w:ascii="Arial" w:hAnsi="Arial" w:cs="Arial"/>
          <w:sz w:val="24"/>
          <w:szCs w:val="24"/>
        </w:rPr>
        <w:tab/>
      </w:r>
      <w:r w:rsidR="00DA0DF0">
        <w:rPr>
          <w:rFonts w:ascii="Arial" w:hAnsi="Arial" w:cs="Arial"/>
          <w:sz w:val="24"/>
          <w:szCs w:val="24"/>
        </w:rPr>
        <w:t xml:space="preserve">I now turn to consider the defendant’s contention that the deceased estate is insolvent and/or impecunious. </w:t>
      </w:r>
      <w:r w:rsidR="0067469D">
        <w:rPr>
          <w:rFonts w:ascii="Arial" w:hAnsi="Arial" w:cs="Arial"/>
          <w:sz w:val="24"/>
          <w:szCs w:val="24"/>
        </w:rPr>
        <w:t>The plaintiff concedes that the deceased estate has financial difficulties and ha</w:t>
      </w:r>
      <w:r w:rsidR="00DA0DF0">
        <w:rPr>
          <w:rFonts w:ascii="Arial" w:hAnsi="Arial" w:cs="Arial"/>
          <w:sz w:val="24"/>
          <w:szCs w:val="24"/>
        </w:rPr>
        <w:t>s faced financial challenges</w:t>
      </w:r>
      <w:r w:rsidR="0067469D">
        <w:rPr>
          <w:rFonts w:ascii="Arial" w:hAnsi="Arial" w:cs="Arial"/>
          <w:sz w:val="24"/>
          <w:szCs w:val="24"/>
        </w:rPr>
        <w:t xml:space="preserve">. He contends, however </w:t>
      </w:r>
      <w:r w:rsidR="00DA0DF0">
        <w:rPr>
          <w:rFonts w:ascii="Arial" w:hAnsi="Arial" w:cs="Arial"/>
          <w:sz w:val="24"/>
          <w:szCs w:val="24"/>
        </w:rPr>
        <w:t xml:space="preserve">that the defendant has caused or exacerbated the financial difficulties of the deceased estate. </w:t>
      </w:r>
      <w:r w:rsidR="009F4960">
        <w:rPr>
          <w:rFonts w:ascii="Arial" w:hAnsi="Arial" w:cs="Arial"/>
          <w:sz w:val="24"/>
          <w:szCs w:val="24"/>
        </w:rPr>
        <w:t xml:space="preserve">However, </w:t>
      </w:r>
      <w:r w:rsidR="00DA0DF0">
        <w:rPr>
          <w:rFonts w:ascii="Arial" w:hAnsi="Arial" w:cs="Arial"/>
          <w:sz w:val="24"/>
          <w:szCs w:val="24"/>
        </w:rPr>
        <w:t xml:space="preserve">allegations of the defendant being the sole cause of the plaintiff’s financial position </w:t>
      </w:r>
      <w:r w:rsidR="008E5048">
        <w:rPr>
          <w:rFonts w:ascii="Arial" w:hAnsi="Arial" w:cs="Arial"/>
          <w:sz w:val="24"/>
          <w:szCs w:val="24"/>
        </w:rPr>
        <w:t xml:space="preserve">are </w:t>
      </w:r>
      <w:r w:rsidR="00DA0DF0">
        <w:rPr>
          <w:rFonts w:ascii="Arial" w:hAnsi="Arial" w:cs="Arial"/>
          <w:sz w:val="24"/>
          <w:szCs w:val="24"/>
        </w:rPr>
        <w:t>not necessarily conclusive for a refusal of security for costs.</w:t>
      </w:r>
      <w:r w:rsidR="009F4960" w:rsidRPr="008E5048">
        <w:rPr>
          <w:rStyle w:val="FootnoteReference"/>
          <w:rFonts w:ascii="Arial" w:hAnsi="Arial" w:cs="Arial"/>
          <w:sz w:val="20"/>
        </w:rPr>
        <w:footnoteReference w:id="14"/>
      </w:r>
      <w:r w:rsidR="00DA0DF0">
        <w:rPr>
          <w:rFonts w:ascii="Arial" w:hAnsi="Arial" w:cs="Arial"/>
          <w:sz w:val="24"/>
          <w:szCs w:val="24"/>
        </w:rPr>
        <w:t xml:space="preserve"> Barring the allegation itself, the plaintiff advances no cogent facts or reasons to support such a conclusion.</w:t>
      </w:r>
    </w:p>
    <w:p w14:paraId="5FBA82C7" w14:textId="1DCCA74F" w:rsidR="00C201AA" w:rsidRDefault="00EC00AF" w:rsidP="00DA0DF0">
      <w:pPr>
        <w:rPr>
          <w:rFonts w:ascii="Arial" w:hAnsi="Arial" w:cs="Arial"/>
          <w:sz w:val="24"/>
          <w:szCs w:val="24"/>
        </w:rPr>
      </w:pPr>
      <w:r>
        <w:rPr>
          <w:rFonts w:ascii="Arial" w:hAnsi="Arial" w:cs="Arial"/>
          <w:sz w:val="24"/>
          <w:szCs w:val="24"/>
        </w:rPr>
        <w:t>[2</w:t>
      </w:r>
      <w:r w:rsidR="00772C2D">
        <w:rPr>
          <w:rFonts w:ascii="Arial" w:hAnsi="Arial" w:cs="Arial"/>
          <w:sz w:val="24"/>
          <w:szCs w:val="24"/>
        </w:rPr>
        <w:t>1</w:t>
      </w:r>
      <w:r>
        <w:rPr>
          <w:rFonts w:ascii="Arial" w:hAnsi="Arial" w:cs="Arial"/>
          <w:sz w:val="24"/>
          <w:szCs w:val="24"/>
        </w:rPr>
        <w:t>]</w:t>
      </w:r>
      <w:r>
        <w:rPr>
          <w:rFonts w:ascii="Arial" w:hAnsi="Arial" w:cs="Arial"/>
          <w:sz w:val="24"/>
          <w:szCs w:val="24"/>
        </w:rPr>
        <w:tab/>
      </w:r>
      <w:r w:rsidR="00DA0DF0">
        <w:rPr>
          <w:rFonts w:ascii="Arial" w:hAnsi="Arial" w:cs="Arial"/>
          <w:sz w:val="24"/>
          <w:szCs w:val="24"/>
        </w:rPr>
        <w:t>The plaintiff</w:t>
      </w:r>
      <w:r w:rsidR="00883EDC">
        <w:rPr>
          <w:rFonts w:ascii="Arial" w:hAnsi="Arial" w:cs="Arial"/>
          <w:sz w:val="24"/>
          <w:szCs w:val="24"/>
        </w:rPr>
        <w:t xml:space="preserve"> does not itemise the deceased estate’s alleged assets or provide a value </w:t>
      </w:r>
      <w:r w:rsidR="00AC1CE2">
        <w:rPr>
          <w:rFonts w:ascii="Arial" w:hAnsi="Arial" w:cs="Arial"/>
          <w:sz w:val="24"/>
          <w:szCs w:val="24"/>
        </w:rPr>
        <w:t>for these</w:t>
      </w:r>
      <w:r w:rsidR="00883EDC">
        <w:rPr>
          <w:rFonts w:ascii="Arial" w:hAnsi="Arial" w:cs="Arial"/>
          <w:sz w:val="24"/>
          <w:szCs w:val="24"/>
        </w:rPr>
        <w:t xml:space="preserve"> assets. </w:t>
      </w:r>
      <w:r w:rsidR="0067469D">
        <w:rPr>
          <w:rFonts w:ascii="Arial" w:hAnsi="Arial" w:cs="Arial"/>
          <w:sz w:val="24"/>
          <w:szCs w:val="24"/>
        </w:rPr>
        <w:t xml:space="preserve">His </w:t>
      </w:r>
      <w:r w:rsidR="00883EDC">
        <w:rPr>
          <w:rFonts w:ascii="Arial" w:hAnsi="Arial" w:cs="Arial"/>
          <w:sz w:val="24"/>
          <w:szCs w:val="24"/>
        </w:rPr>
        <w:t xml:space="preserve">reference to </w:t>
      </w:r>
      <w:r w:rsidR="0042485C">
        <w:rPr>
          <w:rFonts w:ascii="Arial" w:hAnsi="Arial" w:cs="Arial"/>
          <w:sz w:val="24"/>
          <w:szCs w:val="24"/>
        </w:rPr>
        <w:t xml:space="preserve">its </w:t>
      </w:r>
      <w:r w:rsidR="00883EDC">
        <w:rPr>
          <w:rFonts w:ascii="Arial" w:hAnsi="Arial" w:cs="Arial"/>
          <w:sz w:val="24"/>
          <w:szCs w:val="24"/>
        </w:rPr>
        <w:t xml:space="preserve">assets is limited to </w:t>
      </w:r>
      <w:r w:rsidR="00C201AA">
        <w:rPr>
          <w:rFonts w:ascii="Arial" w:hAnsi="Arial" w:cs="Arial"/>
          <w:sz w:val="24"/>
          <w:szCs w:val="24"/>
        </w:rPr>
        <w:t xml:space="preserve">the claims in the main action; </w:t>
      </w:r>
      <w:r w:rsidR="00883EDC">
        <w:rPr>
          <w:rFonts w:ascii="Arial" w:hAnsi="Arial" w:cs="Arial"/>
          <w:sz w:val="24"/>
          <w:szCs w:val="24"/>
        </w:rPr>
        <w:t>the contribution</w:t>
      </w:r>
      <w:r w:rsidR="0067469D">
        <w:rPr>
          <w:rFonts w:ascii="Arial" w:hAnsi="Arial" w:cs="Arial"/>
          <w:sz w:val="24"/>
          <w:szCs w:val="24"/>
        </w:rPr>
        <w:t xml:space="preserve">s owed by the </w:t>
      </w:r>
      <w:proofErr w:type="spellStart"/>
      <w:r w:rsidR="0067469D" w:rsidRPr="008E5048">
        <w:rPr>
          <w:rFonts w:ascii="Arial" w:hAnsi="Arial" w:cs="Arial"/>
          <w:i/>
          <w:sz w:val="24"/>
          <w:szCs w:val="24"/>
        </w:rPr>
        <w:t>fideicommissary</w:t>
      </w:r>
      <w:proofErr w:type="spellEnd"/>
      <w:r w:rsidR="0067469D">
        <w:rPr>
          <w:rFonts w:ascii="Arial" w:hAnsi="Arial" w:cs="Arial"/>
          <w:sz w:val="24"/>
          <w:szCs w:val="24"/>
        </w:rPr>
        <w:t xml:space="preserve"> heirs </w:t>
      </w:r>
      <w:r w:rsidR="00883EDC">
        <w:rPr>
          <w:rFonts w:ascii="Arial" w:hAnsi="Arial" w:cs="Arial"/>
          <w:sz w:val="24"/>
          <w:szCs w:val="24"/>
        </w:rPr>
        <w:t xml:space="preserve">towards the estate duty and the costs </w:t>
      </w:r>
      <w:r w:rsidR="0042485C">
        <w:rPr>
          <w:rFonts w:ascii="Arial" w:hAnsi="Arial" w:cs="Arial"/>
          <w:sz w:val="24"/>
          <w:szCs w:val="24"/>
        </w:rPr>
        <w:t xml:space="preserve">award </w:t>
      </w:r>
      <w:r w:rsidR="00883EDC">
        <w:rPr>
          <w:rFonts w:ascii="Arial" w:hAnsi="Arial" w:cs="Arial"/>
          <w:sz w:val="24"/>
          <w:szCs w:val="24"/>
        </w:rPr>
        <w:t xml:space="preserve">payable in terms of the successful eviction proceedings instituted by </w:t>
      </w:r>
      <w:proofErr w:type="spellStart"/>
      <w:r w:rsidR="00883EDC">
        <w:rPr>
          <w:rFonts w:ascii="Arial" w:hAnsi="Arial" w:cs="Arial"/>
          <w:sz w:val="24"/>
          <w:szCs w:val="24"/>
        </w:rPr>
        <w:t>Bragge</w:t>
      </w:r>
      <w:proofErr w:type="spellEnd"/>
      <w:r w:rsidR="00883EDC">
        <w:rPr>
          <w:rFonts w:ascii="Arial" w:hAnsi="Arial" w:cs="Arial"/>
          <w:sz w:val="24"/>
          <w:szCs w:val="24"/>
        </w:rPr>
        <w:t>.</w:t>
      </w:r>
      <w:r w:rsidR="00B93F0C">
        <w:rPr>
          <w:rFonts w:ascii="Arial" w:hAnsi="Arial" w:cs="Arial"/>
          <w:sz w:val="24"/>
          <w:szCs w:val="24"/>
        </w:rPr>
        <w:t xml:space="preserve"> Estate duty is, however due to the </w:t>
      </w:r>
      <w:proofErr w:type="spellStart"/>
      <w:r w:rsidR="00B93F0C">
        <w:rPr>
          <w:rFonts w:ascii="Arial" w:hAnsi="Arial" w:cs="Arial"/>
          <w:sz w:val="24"/>
          <w:szCs w:val="24"/>
        </w:rPr>
        <w:t>fiscus</w:t>
      </w:r>
      <w:proofErr w:type="spellEnd"/>
      <w:r w:rsidR="00B93F0C">
        <w:rPr>
          <w:rFonts w:ascii="Arial" w:hAnsi="Arial" w:cs="Arial"/>
          <w:sz w:val="24"/>
          <w:szCs w:val="24"/>
        </w:rPr>
        <w:t xml:space="preserve"> </w:t>
      </w:r>
      <w:r w:rsidR="0042485C">
        <w:rPr>
          <w:rFonts w:ascii="Arial" w:hAnsi="Arial" w:cs="Arial"/>
          <w:sz w:val="24"/>
          <w:szCs w:val="24"/>
        </w:rPr>
        <w:t>and does</w:t>
      </w:r>
      <w:r w:rsidR="00B93F0C">
        <w:rPr>
          <w:rFonts w:ascii="Arial" w:hAnsi="Arial" w:cs="Arial"/>
          <w:sz w:val="24"/>
          <w:szCs w:val="24"/>
        </w:rPr>
        <w:t xml:space="preserve"> not accrue to the deceased estate. It is also common cause that the defendant is contesting the costs </w:t>
      </w:r>
      <w:r w:rsidR="0042485C">
        <w:rPr>
          <w:rFonts w:ascii="Arial" w:hAnsi="Arial" w:cs="Arial"/>
          <w:sz w:val="24"/>
          <w:szCs w:val="24"/>
        </w:rPr>
        <w:t xml:space="preserve">award </w:t>
      </w:r>
      <w:r w:rsidR="00B93F0C">
        <w:rPr>
          <w:rFonts w:ascii="Arial" w:hAnsi="Arial" w:cs="Arial"/>
          <w:sz w:val="24"/>
          <w:szCs w:val="24"/>
        </w:rPr>
        <w:t xml:space="preserve">consequent upon the </w:t>
      </w:r>
      <w:proofErr w:type="spellStart"/>
      <w:r w:rsidR="00B93F0C">
        <w:rPr>
          <w:rFonts w:ascii="Arial" w:hAnsi="Arial" w:cs="Arial"/>
          <w:i/>
          <w:sz w:val="24"/>
          <w:szCs w:val="24"/>
        </w:rPr>
        <w:t>Douglasdale</w:t>
      </w:r>
      <w:proofErr w:type="spellEnd"/>
      <w:r w:rsidR="00B93F0C">
        <w:rPr>
          <w:rFonts w:ascii="Arial" w:hAnsi="Arial" w:cs="Arial"/>
          <w:i/>
          <w:sz w:val="24"/>
          <w:szCs w:val="24"/>
        </w:rPr>
        <w:t xml:space="preserve"> </w:t>
      </w:r>
      <w:r w:rsidR="00AC1CE2">
        <w:rPr>
          <w:rFonts w:ascii="Arial" w:hAnsi="Arial" w:cs="Arial"/>
          <w:sz w:val="24"/>
          <w:szCs w:val="24"/>
        </w:rPr>
        <w:t>decision</w:t>
      </w:r>
      <w:r w:rsidR="00B93F0C">
        <w:rPr>
          <w:rFonts w:ascii="Arial" w:hAnsi="Arial" w:cs="Arial"/>
          <w:sz w:val="24"/>
          <w:szCs w:val="24"/>
        </w:rPr>
        <w:t xml:space="preserve"> and other court decisions in the litany of litigation arising from the defendant’s occupation of the immovable property.</w:t>
      </w:r>
      <w:r w:rsidR="0042485C">
        <w:rPr>
          <w:rFonts w:ascii="Arial" w:hAnsi="Arial" w:cs="Arial"/>
          <w:sz w:val="24"/>
          <w:szCs w:val="24"/>
        </w:rPr>
        <w:t xml:space="preserve"> Consequently the deceased </w:t>
      </w:r>
      <w:r w:rsidR="00AC1CE2">
        <w:rPr>
          <w:rFonts w:ascii="Arial" w:hAnsi="Arial" w:cs="Arial"/>
          <w:sz w:val="24"/>
          <w:szCs w:val="24"/>
        </w:rPr>
        <w:t>estate’s ability</w:t>
      </w:r>
      <w:r w:rsidR="0042485C">
        <w:rPr>
          <w:rFonts w:ascii="Arial" w:hAnsi="Arial" w:cs="Arial"/>
          <w:sz w:val="24"/>
          <w:szCs w:val="24"/>
        </w:rPr>
        <w:t xml:space="preserve"> to satisfy a costs award against it do</w:t>
      </w:r>
      <w:r w:rsidR="008E5048">
        <w:rPr>
          <w:rFonts w:ascii="Arial" w:hAnsi="Arial" w:cs="Arial"/>
          <w:sz w:val="24"/>
          <w:szCs w:val="24"/>
        </w:rPr>
        <w:t>es</w:t>
      </w:r>
      <w:r w:rsidR="00AC1CE2">
        <w:rPr>
          <w:rFonts w:ascii="Arial" w:hAnsi="Arial" w:cs="Arial"/>
          <w:sz w:val="24"/>
          <w:szCs w:val="24"/>
        </w:rPr>
        <w:t xml:space="preserve"> not</w:t>
      </w:r>
      <w:r w:rsidR="0042485C">
        <w:rPr>
          <w:rFonts w:ascii="Arial" w:hAnsi="Arial" w:cs="Arial"/>
          <w:sz w:val="24"/>
          <w:szCs w:val="24"/>
        </w:rPr>
        <w:t xml:space="preserve"> appear favourable. </w:t>
      </w:r>
    </w:p>
    <w:p w14:paraId="2DBFCD6E" w14:textId="29AF1A42" w:rsidR="009A6A25" w:rsidRDefault="00EC00AF" w:rsidP="00DA0DF0">
      <w:pPr>
        <w:rPr>
          <w:rFonts w:ascii="Arial" w:hAnsi="Arial" w:cs="Arial"/>
          <w:sz w:val="24"/>
          <w:szCs w:val="24"/>
        </w:rPr>
      </w:pPr>
      <w:r>
        <w:rPr>
          <w:rFonts w:ascii="Arial" w:hAnsi="Arial" w:cs="Arial"/>
          <w:sz w:val="24"/>
          <w:szCs w:val="24"/>
        </w:rPr>
        <w:t>[2</w:t>
      </w:r>
      <w:r w:rsidR="00157208">
        <w:rPr>
          <w:rFonts w:ascii="Arial" w:hAnsi="Arial" w:cs="Arial"/>
          <w:sz w:val="24"/>
          <w:szCs w:val="24"/>
        </w:rPr>
        <w:t>2</w:t>
      </w:r>
      <w:r>
        <w:rPr>
          <w:rFonts w:ascii="Arial" w:hAnsi="Arial" w:cs="Arial"/>
          <w:sz w:val="24"/>
          <w:szCs w:val="24"/>
        </w:rPr>
        <w:t>]</w:t>
      </w:r>
      <w:r>
        <w:rPr>
          <w:rFonts w:ascii="Arial" w:hAnsi="Arial" w:cs="Arial"/>
          <w:sz w:val="24"/>
          <w:szCs w:val="24"/>
        </w:rPr>
        <w:tab/>
      </w:r>
      <w:r w:rsidR="00C201AA">
        <w:rPr>
          <w:rFonts w:ascii="Arial" w:hAnsi="Arial" w:cs="Arial"/>
          <w:sz w:val="24"/>
          <w:szCs w:val="24"/>
        </w:rPr>
        <w:t>Regardless, the plaintiff also contends that</w:t>
      </w:r>
      <w:r w:rsidR="0067469D">
        <w:rPr>
          <w:rFonts w:ascii="Arial" w:hAnsi="Arial" w:cs="Arial"/>
          <w:sz w:val="24"/>
          <w:szCs w:val="24"/>
        </w:rPr>
        <w:t xml:space="preserve"> the</w:t>
      </w:r>
      <w:r w:rsidR="00C201AA">
        <w:rPr>
          <w:rFonts w:ascii="Arial" w:hAnsi="Arial" w:cs="Arial"/>
          <w:sz w:val="24"/>
          <w:szCs w:val="24"/>
        </w:rPr>
        <w:t xml:space="preserve"> solvency of the deceased estate</w:t>
      </w:r>
      <w:r w:rsidR="006C4EE7">
        <w:rPr>
          <w:rFonts w:ascii="Arial" w:hAnsi="Arial" w:cs="Arial"/>
          <w:sz w:val="24"/>
          <w:szCs w:val="24"/>
        </w:rPr>
        <w:t xml:space="preserve"> and its ability to satisfy an adverse costs order </w:t>
      </w:r>
      <w:r w:rsidR="00C201AA">
        <w:rPr>
          <w:rFonts w:ascii="Arial" w:hAnsi="Arial" w:cs="Arial"/>
          <w:sz w:val="24"/>
          <w:szCs w:val="24"/>
        </w:rPr>
        <w:t xml:space="preserve">is rendered moot by the sale </w:t>
      </w:r>
      <w:r w:rsidR="00212758">
        <w:rPr>
          <w:rFonts w:ascii="Arial" w:hAnsi="Arial" w:cs="Arial"/>
          <w:sz w:val="24"/>
          <w:szCs w:val="24"/>
        </w:rPr>
        <w:t>of assets</w:t>
      </w:r>
      <w:r w:rsidR="0067469D">
        <w:rPr>
          <w:rFonts w:ascii="Arial" w:hAnsi="Arial" w:cs="Arial"/>
          <w:sz w:val="24"/>
          <w:szCs w:val="24"/>
        </w:rPr>
        <w:t xml:space="preserve"> and cession agreement concluded between him and </w:t>
      </w:r>
      <w:proofErr w:type="spellStart"/>
      <w:r w:rsidR="0067469D">
        <w:rPr>
          <w:rFonts w:ascii="Arial" w:hAnsi="Arial" w:cs="Arial"/>
          <w:sz w:val="24"/>
          <w:szCs w:val="24"/>
        </w:rPr>
        <w:t>Schind</w:t>
      </w:r>
      <w:r w:rsidR="00212758">
        <w:rPr>
          <w:rFonts w:ascii="Arial" w:hAnsi="Arial" w:cs="Arial"/>
          <w:sz w:val="24"/>
          <w:szCs w:val="24"/>
        </w:rPr>
        <w:t>lers</w:t>
      </w:r>
      <w:proofErr w:type="spellEnd"/>
      <w:r w:rsidR="00212758">
        <w:rPr>
          <w:rFonts w:ascii="Arial" w:hAnsi="Arial" w:cs="Arial"/>
          <w:sz w:val="24"/>
          <w:szCs w:val="24"/>
        </w:rPr>
        <w:t xml:space="preserve"> Attorneys and Notaries (</w:t>
      </w:r>
      <w:proofErr w:type="spellStart"/>
      <w:r w:rsidR="00212758">
        <w:rPr>
          <w:rFonts w:ascii="Arial" w:hAnsi="Arial" w:cs="Arial"/>
          <w:sz w:val="24"/>
          <w:szCs w:val="24"/>
        </w:rPr>
        <w:t>Schindlers</w:t>
      </w:r>
      <w:proofErr w:type="spellEnd"/>
      <w:r w:rsidR="00212758">
        <w:rPr>
          <w:rFonts w:ascii="Arial" w:hAnsi="Arial" w:cs="Arial"/>
          <w:sz w:val="24"/>
          <w:szCs w:val="24"/>
        </w:rPr>
        <w:t xml:space="preserve">) on 7 January 2020 (the Agreement). The plaintiff concluded the Agreement in his capacity as the executor of the deceased estate. Pursuant to the Agreement, the plaintiff, </w:t>
      </w:r>
      <w:r w:rsidR="00212758">
        <w:rPr>
          <w:rFonts w:ascii="Arial" w:hAnsi="Arial" w:cs="Arial"/>
          <w:i/>
          <w:sz w:val="24"/>
          <w:szCs w:val="24"/>
        </w:rPr>
        <w:t>inter alia</w:t>
      </w:r>
      <w:r w:rsidR="009A6A25">
        <w:rPr>
          <w:rFonts w:ascii="Arial" w:hAnsi="Arial" w:cs="Arial"/>
          <w:i/>
          <w:sz w:val="24"/>
          <w:szCs w:val="24"/>
        </w:rPr>
        <w:t xml:space="preserve">, </w:t>
      </w:r>
      <w:r w:rsidR="009A6A25">
        <w:rPr>
          <w:rFonts w:ascii="Arial" w:hAnsi="Arial" w:cs="Arial"/>
          <w:sz w:val="24"/>
          <w:szCs w:val="24"/>
        </w:rPr>
        <w:t>ceded</w:t>
      </w:r>
      <w:r w:rsidR="00212758">
        <w:rPr>
          <w:rFonts w:ascii="Arial" w:hAnsi="Arial" w:cs="Arial"/>
          <w:sz w:val="24"/>
          <w:szCs w:val="24"/>
        </w:rPr>
        <w:t xml:space="preserve">, assigned, transferred and made over to </w:t>
      </w:r>
      <w:proofErr w:type="spellStart"/>
      <w:r w:rsidR="00212758">
        <w:rPr>
          <w:rFonts w:ascii="Arial" w:hAnsi="Arial" w:cs="Arial"/>
          <w:sz w:val="24"/>
          <w:szCs w:val="24"/>
        </w:rPr>
        <w:t>Schindlers</w:t>
      </w:r>
      <w:proofErr w:type="spellEnd"/>
      <w:r w:rsidR="00212758">
        <w:rPr>
          <w:rFonts w:ascii="Arial" w:hAnsi="Arial" w:cs="Arial"/>
          <w:sz w:val="24"/>
          <w:szCs w:val="24"/>
        </w:rPr>
        <w:t>, out and out, the rights</w:t>
      </w:r>
      <w:r w:rsidR="009F4960">
        <w:rPr>
          <w:rFonts w:ascii="Arial" w:hAnsi="Arial" w:cs="Arial"/>
          <w:sz w:val="24"/>
          <w:szCs w:val="24"/>
        </w:rPr>
        <w:t>,</w:t>
      </w:r>
      <w:r w:rsidR="00212758">
        <w:rPr>
          <w:rFonts w:ascii="Arial" w:hAnsi="Arial" w:cs="Arial"/>
          <w:sz w:val="24"/>
          <w:szCs w:val="24"/>
        </w:rPr>
        <w:t xml:space="preserve"> obligations and interests to the result of the proceedings in the main action, whether same includes a judgment debt</w:t>
      </w:r>
      <w:r w:rsidR="000A5B0D">
        <w:rPr>
          <w:rFonts w:ascii="Arial" w:hAnsi="Arial" w:cs="Arial"/>
          <w:sz w:val="24"/>
          <w:szCs w:val="24"/>
        </w:rPr>
        <w:t>,</w:t>
      </w:r>
      <w:r w:rsidR="00212758">
        <w:rPr>
          <w:rFonts w:ascii="Arial" w:hAnsi="Arial" w:cs="Arial"/>
          <w:sz w:val="24"/>
          <w:szCs w:val="24"/>
        </w:rPr>
        <w:t xml:space="preserve"> cost award or any other relief granted during the course of the litigation.</w:t>
      </w:r>
      <w:r w:rsidR="009A6A25">
        <w:rPr>
          <w:rFonts w:ascii="Arial" w:hAnsi="Arial" w:cs="Arial"/>
          <w:sz w:val="24"/>
          <w:szCs w:val="24"/>
        </w:rPr>
        <w:t xml:space="preserve"> The sale assets were sold for the purchase price of R150 000. </w:t>
      </w:r>
      <w:proofErr w:type="spellStart"/>
      <w:r w:rsidR="009A6A25">
        <w:rPr>
          <w:rFonts w:ascii="Arial" w:hAnsi="Arial" w:cs="Arial"/>
          <w:sz w:val="24"/>
          <w:szCs w:val="24"/>
        </w:rPr>
        <w:t>Schindlers</w:t>
      </w:r>
      <w:proofErr w:type="spellEnd"/>
      <w:r w:rsidR="009A6A25">
        <w:rPr>
          <w:rFonts w:ascii="Arial" w:hAnsi="Arial" w:cs="Arial"/>
          <w:sz w:val="24"/>
          <w:szCs w:val="24"/>
        </w:rPr>
        <w:t xml:space="preserve"> waived</w:t>
      </w:r>
      <w:r w:rsidR="00B72098">
        <w:rPr>
          <w:rFonts w:ascii="Arial" w:hAnsi="Arial" w:cs="Arial"/>
          <w:sz w:val="24"/>
          <w:szCs w:val="24"/>
        </w:rPr>
        <w:t xml:space="preserve"> </w:t>
      </w:r>
      <w:r w:rsidR="009A6A25">
        <w:rPr>
          <w:rFonts w:ascii="Arial" w:hAnsi="Arial" w:cs="Arial"/>
          <w:sz w:val="24"/>
          <w:szCs w:val="24"/>
        </w:rPr>
        <w:t xml:space="preserve">the requirement that it be substituted as plaintiff in the main action. Therefore </w:t>
      </w:r>
      <w:r w:rsidR="0042485C">
        <w:rPr>
          <w:rFonts w:ascii="Arial" w:hAnsi="Arial" w:cs="Arial"/>
          <w:sz w:val="24"/>
          <w:szCs w:val="24"/>
        </w:rPr>
        <w:t xml:space="preserve">as it </w:t>
      </w:r>
      <w:r w:rsidR="009A6A25">
        <w:rPr>
          <w:rFonts w:ascii="Arial" w:hAnsi="Arial" w:cs="Arial"/>
          <w:sz w:val="24"/>
          <w:szCs w:val="24"/>
        </w:rPr>
        <w:t>currently</w:t>
      </w:r>
      <w:r w:rsidR="0042485C">
        <w:rPr>
          <w:rFonts w:ascii="Arial" w:hAnsi="Arial" w:cs="Arial"/>
          <w:sz w:val="24"/>
          <w:szCs w:val="24"/>
        </w:rPr>
        <w:t xml:space="preserve"> </w:t>
      </w:r>
      <w:r w:rsidR="0042485C">
        <w:rPr>
          <w:rFonts w:ascii="Arial" w:hAnsi="Arial" w:cs="Arial"/>
          <w:sz w:val="24"/>
          <w:szCs w:val="24"/>
        </w:rPr>
        <w:lastRenderedPageBreak/>
        <w:t>stands</w:t>
      </w:r>
      <w:r w:rsidR="009A6A25">
        <w:rPr>
          <w:rFonts w:ascii="Arial" w:hAnsi="Arial" w:cs="Arial"/>
          <w:sz w:val="24"/>
          <w:szCs w:val="24"/>
        </w:rPr>
        <w:t xml:space="preserve">, the plaintiff pursues the main action on behalf of </w:t>
      </w:r>
      <w:proofErr w:type="spellStart"/>
      <w:r w:rsidR="009A6A25">
        <w:rPr>
          <w:rFonts w:ascii="Arial" w:hAnsi="Arial" w:cs="Arial"/>
          <w:sz w:val="24"/>
          <w:szCs w:val="24"/>
        </w:rPr>
        <w:t>Schindlers</w:t>
      </w:r>
      <w:proofErr w:type="spellEnd"/>
      <w:r w:rsidR="009A6A25">
        <w:rPr>
          <w:rFonts w:ascii="Arial" w:hAnsi="Arial" w:cs="Arial"/>
          <w:sz w:val="24"/>
          <w:szCs w:val="24"/>
        </w:rPr>
        <w:t>, who are also his current attorneys of record.</w:t>
      </w:r>
    </w:p>
    <w:p w14:paraId="63D35C14" w14:textId="6A43A912" w:rsidR="00DA0DF0" w:rsidRDefault="00EC00AF" w:rsidP="00DA0DF0">
      <w:pPr>
        <w:rPr>
          <w:rFonts w:ascii="Arial" w:hAnsi="Arial" w:cs="Arial"/>
          <w:sz w:val="24"/>
          <w:szCs w:val="24"/>
        </w:rPr>
      </w:pPr>
      <w:r>
        <w:rPr>
          <w:rFonts w:ascii="Arial" w:hAnsi="Arial" w:cs="Arial"/>
          <w:sz w:val="24"/>
          <w:szCs w:val="24"/>
        </w:rPr>
        <w:t>[2</w:t>
      </w:r>
      <w:r w:rsidR="00157208">
        <w:rPr>
          <w:rFonts w:ascii="Arial" w:hAnsi="Arial" w:cs="Arial"/>
          <w:sz w:val="24"/>
          <w:szCs w:val="24"/>
        </w:rPr>
        <w:t>3</w:t>
      </w:r>
      <w:r>
        <w:rPr>
          <w:rFonts w:ascii="Arial" w:hAnsi="Arial" w:cs="Arial"/>
          <w:sz w:val="24"/>
          <w:szCs w:val="24"/>
        </w:rPr>
        <w:t>]</w:t>
      </w:r>
      <w:r>
        <w:rPr>
          <w:rFonts w:ascii="Arial" w:hAnsi="Arial" w:cs="Arial"/>
          <w:sz w:val="24"/>
          <w:szCs w:val="24"/>
        </w:rPr>
        <w:tab/>
      </w:r>
      <w:r w:rsidR="009A6A25">
        <w:rPr>
          <w:rFonts w:ascii="Arial" w:hAnsi="Arial" w:cs="Arial"/>
          <w:sz w:val="24"/>
          <w:szCs w:val="24"/>
        </w:rPr>
        <w:t>The conten</w:t>
      </w:r>
      <w:r w:rsidR="0042485C">
        <w:rPr>
          <w:rFonts w:ascii="Arial" w:hAnsi="Arial" w:cs="Arial"/>
          <w:sz w:val="24"/>
          <w:szCs w:val="24"/>
        </w:rPr>
        <w:t xml:space="preserve">tion </w:t>
      </w:r>
      <w:r w:rsidR="009A6A25">
        <w:rPr>
          <w:rFonts w:ascii="Arial" w:hAnsi="Arial" w:cs="Arial"/>
          <w:sz w:val="24"/>
          <w:szCs w:val="24"/>
        </w:rPr>
        <w:t>that the Agreement renders th</w:t>
      </w:r>
      <w:r w:rsidR="000A5B0D">
        <w:rPr>
          <w:rFonts w:ascii="Arial" w:hAnsi="Arial" w:cs="Arial"/>
          <w:sz w:val="24"/>
          <w:szCs w:val="24"/>
        </w:rPr>
        <w:t>is</w:t>
      </w:r>
      <w:r w:rsidR="009A6A25">
        <w:rPr>
          <w:rFonts w:ascii="Arial" w:hAnsi="Arial" w:cs="Arial"/>
          <w:sz w:val="24"/>
          <w:szCs w:val="24"/>
        </w:rPr>
        <w:t xml:space="preserve"> application </w:t>
      </w:r>
      <w:r w:rsidR="000A5B0D">
        <w:rPr>
          <w:rFonts w:ascii="Arial" w:hAnsi="Arial" w:cs="Arial"/>
          <w:sz w:val="24"/>
          <w:szCs w:val="24"/>
        </w:rPr>
        <w:t xml:space="preserve">moot </w:t>
      </w:r>
      <w:r w:rsidR="0042485C">
        <w:rPr>
          <w:rFonts w:ascii="Arial" w:hAnsi="Arial" w:cs="Arial"/>
          <w:sz w:val="24"/>
          <w:szCs w:val="24"/>
        </w:rPr>
        <w:t xml:space="preserve">is premised upon the argument that </w:t>
      </w:r>
      <w:r w:rsidR="000A5B0D">
        <w:rPr>
          <w:rFonts w:ascii="Arial" w:hAnsi="Arial" w:cs="Arial"/>
          <w:sz w:val="24"/>
          <w:szCs w:val="24"/>
        </w:rPr>
        <w:t xml:space="preserve">upon a proper construction </w:t>
      </w:r>
      <w:r w:rsidR="00AC1CE2">
        <w:rPr>
          <w:rFonts w:ascii="Arial" w:hAnsi="Arial" w:cs="Arial"/>
          <w:sz w:val="24"/>
          <w:szCs w:val="24"/>
        </w:rPr>
        <w:t>of the</w:t>
      </w:r>
      <w:r w:rsidR="007E1CBD">
        <w:rPr>
          <w:rFonts w:ascii="Arial" w:hAnsi="Arial" w:cs="Arial"/>
          <w:sz w:val="24"/>
          <w:szCs w:val="24"/>
        </w:rPr>
        <w:t xml:space="preserve"> </w:t>
      </w:r>
      <w:r w:rsidR="000A5B0D">
        <w:rPr>
          <w:rFonts w:ascii="Arial" w:hAnsi="Arial" w:cs="Arial"/>
          <w:sz w:val="24"/>
          <w:szCs w:val="24"/>
        </w:rPr>
        <w:t>terms and conditions</w:t>
      </w:r>
      <w:r w:rsidR="0042485C">
        <w:rPr>
          <w:rFonts w:ascii="Arial" w:hAnsi="Arial" w:cs="Arial"/>
          <w:sz w:val="24"/>
          <w:szCs w:val="24"/>
        </w:rPr>
        <w:t xml:space="preserve"> of the Agreement</w:t>
      </w:r>
      <w:r w:rsidR="000A5B0D">
        <w:rPr>
          <w:rFonts w:ascii="Arial" w:hAnsi="Arial" w:cs="Arial"/>
          <w:sz w:val="24"/>
          <w:szCs w:val="24"/>
        </w:rPr>
        <w:t xml:space="preserve">, </w:t>
      </w:r>
      <w:r w:rsidR="00400678">
        <w:rPr>
          <w:rFonts w:ascii="Arial" w:hAnsi="Arial" w:cs="Arial"/>
          <w:sz w:val="24"/>
          <w:szCs w:val="24"/>
        </w:rPr>
        <w:t xml:space="preserve">it is </w:t>
      </w:r>
      <w:r w:rsidR="000A5B0D">
        <w:rPr>
          <w:rFonts w:ascii="Arial" w:hAnsi="Arial" w:cs="Arial"/>
          <w:sz w:val="24"/>
          <w:szCs w:val="24"/>
        </w:rPr>
        <w:t xml:space="preserve">logical </w:t>
      </w:r>
      <w:r w:rsidR="007E1CBD">
        <w:rPr>
          <w:rFonts w:ascii="Arial" w:hAnsi="Arial" w:cs="Arial"/>
          <w:sz w:val="24"/>
          <w:szCs w:val="24"/>
        </w:rPr>
        <w:t xml:space="preserve">to conclude </w:t>
      </w:r>
      <w:r w:rsidR="000A5B0D">
        <w:rPr>
          <w:rFonts w:ascii="Arial" w:hAnsi="Arial" w:cs="Arial"/>
          <w:sz w:val="24"/>
          <w:szCs w:val="24"/>
        </w:rPr>
        <w:t xml:space="preserve">that </w:t>
      </w:r>
      <w:proofErr w:type="spellStart"/>
      <w:r w:rsidR="000A5B0D">
        <w:rPr>
          <w:rFonts w:ascii="Arial" w:hAnsi="Arial" w:cs="Arial"/>
          <w:sz w:val="24"/>
          <w:szCs w:val="24"/>
        </w:rPr>
        <w:t>Schindlers</w:t>
      </w:r>
      <w:proofErr w:type="spellEnd"/>
      <w:r w:rsidR="009A6A25">
        <w:rPr>
          <w:rFonts w:ascii="Arial" w:hAnsi="Arial" w:cs="Arial"/>
          <w:sz w:val="24"/>
          <w:szCs w:val="24"/>
        </w:rPr>
        <w:t xml:space="preserve"> </w:t>
      </w:r>
      <w:r w:rsidR="000A5B0D">
        <w:rPr>
          <w:rFonts w:ascii="Arial" w:hAnsi="Arial" w:cs="Arial"/>
          <w:sz w:val="24"/>
          <w:szCs w:val="24"/>
        </w:rPr>
        <w:t xml:space="preserve">has assumed the role of the plaintiff in the main action regardless of the fact that it has not been formally substituted as such. </w:t>
      </w:r>
      <w:r w:rsidR="006327ED">
        <w:rPr>
          <w:rFonts w:ascii="Arial" w:hAnsi="Arial" w:cs="Arial"/>
          <w:sz w:val="24"/>
          <w:szCs w:val="24"/>
        </w:rPr>
        <w:t>It is clear</w:t>
      </w:r>
      <w:r w:rsidR="00400678">
        <w:rPr>
          <w:rFonts w:ascii="Arial" w:hAnsi="Arial" w:cs="Arial"/>
          <w:sz w:val="24"/>
          <w:szCs w:val="24"/>
        </w:rPr>
        <w:t xml:space="preserve">, so the argument proceeds, </w:t>
      </w:r>
      <w:r w:rsidR="006327ED">
        <w:rPr>
          <w:rFonts w:ascii="Arial" w:hAnsi="Arial" w:cs="Arial"/>
          <w:sz w:val="24"/>
          <w:szCs w:val="24"/>
        </w:rPr>
        <w:t xml:space="preserve">that the Agreement has </w:t>
      </w:r>
      <w:proofErr w:type="spellStart"/>
      <w:r w:rsidR="006327ED">
        <w:rPr>
          <w:rFonts w:ascii="Arial" w:hAnsi="Arial" w:cs="Arial"/>
          <w:sz w:val="24"/>
          <w:szCs w:val="24"/>
        </w:rPr>
        <w:t>Schindlers</w:t>
      </w:r>
      <w:proofErr w:type="spellEnd"/>
      <w:r w:rsidR="006327ED">
        <w:rPr>
          <w:rFonts w:ascii="Arial" w:hAnsi="Arial" w:cs="Arial"/>
          <w:sz w:val="24"/>
          <w:szCs w:val="24"/>
        </w:rPr>
        <w:t xml:space="preserve"> standing liable for any adverse cost order that may be granted in the main action. T</w:t>
      </w:r>
      <w:r w:rsidR="007E1CBD">
        <w:rPr>
          <w:rFonts w:ascii="Arial" w:hAnsi="Arial" w:cs="Arial"/>
          <w:sz w:val="24"/>
          <w:szCs w:val="24"/>
        </w:rPr>
        <w:t>he</w:t>
      </w:r>
      <w:r w:rsidR="00400678">
        <w:rPr>
          <w:rFonts w:ascii="Arial" w:hAnsi="Arial" w:cs="Arial"/>
          <w:sz w:val="24"/>
          <w:szCs w:val="24"/>
        </w:rPr>
        <w:t>refore the</w:t>
      </w:r>
      <w:r w:rsidR="007E1CBD">
        <w:rPr>
          <w:rFonts w:ascii="Arial" w:hAnsi="Arial" w:cs="Arial"/>
          <w:sz w:val="24"/>
          <w:szCs w:val="24"/>
        </w:rPr>
        <w:t xml:space="preserve"> Agreement </w:t>
      </w:r>
      <w:r w:rsidR="006327ED">
        <w:rPr>
          <w:rFonts w:ascii="Arial" w:hAnsi="Arial" w:cs="Arial"/>
          <w:sz w:val="24"/>
          <w:szCs w:val="24"/>
        </w:rPr>
        <w:t xml:space="preserve">is </w:t>
      </w:r>
      <w:r w:rsidR="007E1CBD">
        <w:rPr>
          <w:rFonts w:ascii="Arial" w:hAnsi="Arial" w:cs="Arial"/>
          <w:sz w:val="24"/>
          <w:szCs w:val="24"/>
        </w:rPr>
        <w:t>valid and binding regardless of whether it constitute</w:t>
      </w:r>
      <w:r w:rsidR="006327ED">
        <w:rPr>
          <w:rFonts w:ascii="Arial" w:hAnsi="Arial" w:cs="Arial"/>
          <w:sz w:val="24"/>
          <w:szCs w:val="24"/>
        </w:rPr>
        <w:t>s</w:t>
      </w:r>
      <w:r w:rsidR="007E1CBD">
        <w:rPr>
          <w:rFonts w:ascii="Arial" w:hAnsi="Arial" w:cs="Arial"/>
          <w:sz w:val="24"/>
          <w:szCs w:val="24"/>
        </w:rPr>
        <w:t xml:space="preserve"> an agreement between a litigant and a third party financing the litigation for reward.</w:t>
      </w:r>
      <w:r w:rsidR="000C7C32">
        <w:rPr>
          <w:rFonts w:ascii="Arial" w:hAnsi="Arial" w:cs="Arial"/>
          <w:sz w:val="24"/>
          <w:szCs w:val="24"/>
        </w:rPr>
        <w:t xml:space="preserve"> The plaintiff also argued that it is</w:t>
      </w:r>
      <w:r w:rsidR="00400678">
        <w:rPr>
          <w:rFonts w:ascii="Arial" w:hAnsi="Arial" w:cs="Arial"/>
          <w:sz w:val="24"/>
          <w:szCs w:val="24"/>
        </w:rPr>
        <w:t xml:space="preserve"> always</w:t>
      </w:r>
      <w:r w:rsidR="000C7C32">
        <w:rPr>
          <w:rFonts w:ascii="Arial" w:hAnsi="Arial" w:cs="Arial"/>
          <w:sz w:val="24"/>
          <w:szCs w:val="24"/>
        </w:rPr>
        <w:t xml:space="preserve"> open to the defendant to seek a costs order against </w:t>
      </w:r>
      <w:proofErr w:type="spellStart"/>
      <w:r w:rsidR="000C7C32">
        <w:rPr>
          <w:rFonts w:ascii="Arial" w:hAnsi="Arial" w:cs="Arial"/>
          <w:sz w:val="24"/>
          <w:szCs w:val="24"/>
        </w:rPr>
        <w:t>Schindlers</w:t>
      </w:r>
      <w:proofErr w:type="spellEnd"/>
      <w:r w:rsidR="000C7C32">
        <w:rPr>
          <w:rFonts w:ascii="Arial" w:hAnsi="Arial" w:cs="Arial"/>
          <w:sz w:val="24"/>
          <w:szCs w:val="24"/>
        </w:rPr>
        <w:t xml:space="preserve"> as a non-party to the proceedings or as the non-party litigation funders. In both scenarios, however such costs order are only granted in exceptional circumstances and not as a general rule or in the ordinary course.</w:t>
      </w:r>
      <w:r w:rsidR="000C7C32" w:rsidRPr="006C4EE7">
        <w:rPr>
          <w:rStyle w:val="FootnoteReference"/>
          <w:rFonts w:ascii="Arial" w:hAnsi="Arial" w:cs="Arial"/>
          <w:sz w:val="20"/>
        </w:rPr>
        <w:footnoteReference w:id="15"/>
      </w:r>
    </w:p>
    <w:p w14:paraId="67ED4C26" w14:textId="670568AA" w:rsidR="004767BD" w:rsidRDefault="00421B60" w:rsidP="00DA0DF0">
      <w:pPr>
        <w:rPr>
          <w:rFonts w:ascii="Arial" w:hAnsi="Arial" w:cs="Arial"/>
          <w:i/>
          <w:sz w:val="24"/>
          <w:szCs w:val="24"/>
        </w:rPr>
      </w:pPr>
      <w:r>
        <w:rPr>
          <w:rFonts w:ascii="Arial" w:hAnsi="Arial" w:cs="Arial"/>
          <w:sz w:val="24"/>
          <w:szCs w:val="24"/>
        </w:rPr>
        <w:t>[2</w:t>
      </w:r>
      <w:r w:rsidR="00157208">
        <w:rPr>
          <w:rFonts w:ascii="Arial" w:hAnsi="Arial" w:cs="Arial"/>
          <w:sz w:val="24"/>
          <w:szCs w:val="24"/>
        </w:rPr>
        <w:t>4</w:t>
      </w:r>
      <w:r>
        <w:rPr>
          <w:rFonts w:ascii="Arial" w:hAnsi="Arial" w:cs="Arial"/>
          <w:sz w:val="24"/>
          <w:szCs w:val="24"/>
        </w:rPr>
        <w:t>]</w:t>
      </w:r>
      <w:r>
        <w:rPr>
          <w:rFonts w:ascii="Arial" w:hAnsi="Arial" w:cs="Arial"/>
          <w:sz w:val="24"/>
          <w:szCs w:val="24"/>
        </w:rPr>
        <w:tab/>
      </w:r>
      <w:r w:rsidR="004767BD">
        <w:rPr>
          <w:rFonts w:ascii="Arial" w:hAnsi="Arial" w:cs="Arial"/>
          <w:sz w:val="24"/>
          <w:szCs w:val="24"/>
        </w:rPr>
        <w:t xml:space="preserve">The defendant contends that proceedings that are pursued by a plaintiff as a nominee on behalf of a non-litigant third party as the ultimate beneficiary, are proceedings that may be found and held to be conducted </w:t>
      </w:r>
      <w:proofErr w:type="spellStart"/>
      <w:r w:rsidR="004767BD">
        <w:rPr>
          <w:rFonts w:ascii="Arial" w:hAnsi="Arial" w:cs="Arial"/>
          <w:sz w:val="24"/>
          <w:szCs w:val="24"/>
        </w:rPr>
        <w:t>vexatiously</w:t>
      </w:r>
      <w:proofErr w:type="spellEnd"/>
      <w:r w:rsidR="004767BD">
        <w:rPr>
          <w:rFonts w:ascii="Arial" w:hAnsi="Arial" w:cs="Arial"/>
          <w:sz w:val="24"/>
          <w:szCs w:val="24"/>
        </w:rPr>
        <w:t xml:space="preserve">, recklessly or otherwise amount to an abuse. In support of this contention, the defendant referred to </w:t>
      </w:r>
      <w:proofErr w:type="spellStart"/>
      <w:r w:rsidR="004767BD">
        <w:rPr>
          <w:rFonts w:ascii="Arial" w:hAnsi="Arial" w:cs="Arial"/>
          <w:i/>
          <w:sz w:val="24"/>
          <w:szCs w:val="24"/>
        </w:rPr>
        <w:t>Sem</w:t>
      </w:r>
      <w:r w:rsidR="008E5048">
        <w:rPr>
          <w:rFonts w:ascii="Arial" w:hAnsi="Arial" w:cs="Arial"/>
          <w:i/>
          <w:sz w:val="24"/>
          <w:szCs w:val="24"/>
        </w:rPr>
        <w:t>m</w:t>
      </w:r>
      <w:r w:rsidR="004767BD">
        <w:rPr>
          <w:rFonts w:ascii="Arial" w:hAnsi="Arial" w:cs="Arial"/>
          <w:i/>
          <w:sz w:val="24"/>
          <w:szCs w:val="24"/>
        </w:rPr>
        <w:t>ler</w:t>
      </w:r>
      <w:proofErr w:type="spellEnd"/>
      <w:r w:rsidR="004767BD">
        <w:rPr>
          <w:rFonts w:ascii="Arial" w:hAnsi="Arial" w:cs="Arial"/>
          <w:i/>
          <w:sz w:val="24"/>
          <w:szCs w:val="24"/>
        </w:rPr>
        <w:t xml:space="preserve"> v Murphy</w:t>
      </w:r>
      <w:r w:rsidR="004767BD" w:rsidRPr="00F76268">
        <w:rPr>
          <w:rStyle w:val="FootnoteReference"/>
          <w:rFonts w:ascii="Arial" w:hAnsi="Arial" w:cs="Arial"/>
          <w:i/>
          <w:sz w:val="20"/>
        </w:rPr>
        <w:footnoteReference w:id="16"/>
      </w:r>
      <w:r w:rsidR="00F76268">
        <w:rPr>
          <w:rFonts w:ascii="Arial" w:hAnsi="Arial" w:cs="Arial"/>
          <w:i/>
          <w:sz w:val="24"/>
          <w:szCs w:val="24"/>
        </w:rPr>
        <w:t xml:space="preserve"> </w:t>
      </w:r>
      <w:r w:rsidR="00F76268">
        <w:rPr>
          <w:rFonts w:ascii="Arial" w:hAnsi="Arial" w:cs="Arial"/>
          <w:sz w:val="24"/>
          <w:szCs w:val="24"/>
        </w:rPr>
        <w:t xml:space="preserve"> where </w:t>
      </w:r>
      <w:r w:rsidR="008E5048">
        <w:rPr>
          <w:rFonts w:ascii="Arial" w:hAnsi="Arial" w:cs="Arial"/>
          <w:sz w:val="24"/>
          <w:szCs w:val="24"/>
        </w:rPr>
        <w:t xml:space="preserve">Lord Denning </w:t>
      </w:r>
      <w:r w:rsidR="00F76268">
        <w:rPr>
          <w:rFonts w:ascii="Arial" w:hAnsi="Arial" w:cs="Arial"/>
          <w:sz w:val="24"/>
          <w:szCs w:val="24"/>
        </w:rPr>
        <w:t>held that ‘…</w:t>
      </w:r>
      <w:r w:rsidR="00F76268">
        <w:rPr>
          <w:rFonts w:ascii="Arial" w:hAnsi="Arial" w:cs="Arial"/>
          <w:i/>
          <w:sz w:val="24"/>
          <w:szCs w:val="24"/>
        </w:rPr>
        <w:t>a nominal plaintiff is a man who is</w:t>
      </w:r>
      <w:r w:rsidR="008E5048">
        <w:rPr>
          <w:rFonts w:ascii="Arial" w:hAnsi="Arial" w:cs="Arial"/>
          <w:i/>
          <w:sz w:val="24"/>
          <w:szCs w:val="24"/>
        </w:rPr>
        <w:t xml:space="preserve"> a</w:t>
      </w:r>
      <w:r w:rsidR="00F76268">
        <w:rPr>
          <w:rFonts w:ascii="Arial" w:hAnsi="Arial" w:cs="Arial"/>
          <w:i/>
          <w:sz w:val="24"/>
          <w:szCs w:val="24"/>
        </w:rPr>
        <w:t xml:space="preserve"> plaintiff in name but who in truth sues for the benefit of another.’ </w:t>
      </w:r>
      <w:r w:rsidR="00F76268">
        <w:rPr>
          <w:rFonts w:ascii="Arial" w:hAnsi="Arial" w:cs="Arial"/>
          <w:sz w:val="24"/>
          <w:szCs w:val="24"/>
        </w:rPr>
        <w:t xml:space="preserve">After considering the facts of that matter the court in </w:t>
      </w:r>
      <w:proofErr w:type="spellStart"/>
      <w:r w:rsidR="00F76268">
        <w:rPr>
          <w:rFonts w:ascii="Arial" w:hAnsi="Arial" w:cs="Arial"/>
          <w:i/>
          <w:sz w:val="24"/>
          <w:szCs w:val="24"/>
        </w:rPr>
        <w:t>Se</w:t>
      </w:r>
      <w:r w:rsidR="008E5048">
        <w:rPr>
          <w:rFonts w:ascii="Arial" w:hAnsi="Arial" w:cs="Arial"/>
          <w:i/>
          <w:sz w:val="24"/>
          <w:szCs w:val="24"/>
        </w:rPr>
        <w:t>m</w:t>
      </w:r>
      <w:r w:rsidR="00F76268">
        <w:rPr>
          <w:rFonts w:ascii="Arial" w:hAnsi="Arial" w:cs="Arial"/>
          <w:i/>
          <w:sz w:val="24"/>
          <w:szCs w:val="24"/>
        </w:rPr>
        <w:t>mler</w:t>
      </w:r>
      <w:proofErr w:type="spellEnd"/>
      <w:r w:rsidR="00F76268">
        <w:rPr>
          <w:rFonts w:ascii="Arial" w:hAnsi="Arial" w:cs="Arial"/>
          <w:i/>
          <w:sz w:val="24"/>
          <w:szCs w:val="24"/>
        </w:rPr>
        <w:t xml:space="preserve"> </w:t>
      </w:r>
      <w:r w:rsidR="00F76268">
        <w:rPr>
          <w:rFonts w:ascii="Arial" w:hAnsi="Arial" w:cs="Arial"/>
          <w:sz w:val="24"/>
          <w:szCs w:val="24"/>
        </w:rPr>
        <w:t>concluded:  ‘</w:t>
      </w:r>
      <w:r w:rsidR="00F76268">
        <w:rPr>
          <w:rFonts w:ascii="Arial" w:hAnsi="Arial" w:cs="Arial"/>
          <w:i/>
          <w:sz w:val="24"/>
          <w:szCs w:val="24"/>
        </w:rPr>
        <w:t>It comes to this. If the action succeeds, the plaintiff’s brother will go off with the whole of the proceeds and let the other creditors ‘whistle’ for the money; whereas if the action fails the plaintiff will not be able to pay the costs of the defendant. It is the very kind of case in which security for costs should be ordered.’</w:t>
      </w:r>
      <w:r w:rsidR="00F76268" w:rsidRPr="007B7FEF">
        <w:rPr>
          <w:rStyle w:val="FootnoteReference"/>
          <w:rFonts w:ascii="Arial" w:hAnsi="Arial" w:cs="Arial"/>
          <w:i/>
          <w:sz w:val="20"/>
        </w:rPr>
        <w:footnoteReference w:id="17"/>
      </w:r>
    </w:p>
    <w:p w14:paraId="6CCB0EA8" w14:textId="5A0D1F7B" w:rsidR="001E1474" w:rsidRPr="00B127E2" w:rsidRDefault="00421B60" w:rsidP="001E1474">
      <w:pPr>
        <w:rPr>
          <w:rFonts w:ascii="Arial" w:hAnsi="Arial" w:cs="Arial"/>
          <w:sz w:val="24"/>
          <w:szCs w:val="24"/>
        </w:rPr>
      </w:pPr>
      <w:r>
        <w:rPr>
          <w:rFonts w:ascii="Arial" w:hAnsi="Arial" w:cs="Arial"/>
          <w:sz w:val="24"/>
          <w:szCs w:val="24"/>
        </w:rPr>
        <w:t>[2</w:t>
      </w:r>
      <w:r w:rsidR="00157208">
        <w:rPr>
          <w:rFonts w:ascii="Arial" w:hAnsi="Arial" w:cs="Arial"/>
          <w:sz w:val="24"/>
          <w:szCs w:val="24"/>
        </w:rPr>
        <w:t>5</w:t>
      </w:r>
      <w:r>
        <w:rPr>
          <w:rFonts w:ascii="Arial" w:hAnsi="Arial" w:cs="Arial"/>
          <w:sz w:val="24"/>
          <w:szCs w:val="24"/>
        </w:rPr>
        <w:t>]</w:t>
      </w:r>
      <w:r>
        <w:rPr>
          <w:rFonts w:ascii="Arial" w:hAnsi="Arial" w:cs="Arial"/>
          <w:sz w:val="24"/>
          <w:szCs w:val="24"/>
        </w:rPr>
        <w:tab/>
      </w:r>
      <w:r w:rsidR="008E5048">
        <w:rPr>
          <w:rFonts w:ascii="Arial" w:hAnsi="Arial" w:cs="Arial"/>
          <w:sz w:val="24"/>
          <w:szCs w:val="24"/>
        </w:rPr>
        <w:t>In</w:t>
      </w:r>
      <w:r w:rsidR="00FD24CF">
        <w:rPr>
          <w:rFonts w:ascii="Arial" w:hAnsi="Arial" w:cs="Arial"/>
          <w:sz w:val="24"/>
          <w:szCs w:val="24"/>
        </w:rPr>
        <w:t xml:space="preserve"> the</w:t>
      </w:r>
      <w:r w:rsidR="008E5048">
        <w:rPr>
          <w:rFonts w:ascii="Arial" w:hAnsi="Arial" w:cs="Arial"/>
          <w:sz w:val="24"/>
          <w:szCs w:val="24"/>
        </w:rPr>
        <w:t xml:space="preserve"> </w:t>
      </w:r>
      <w:r w:rsidR="00FD24CF">
        <w:rPr>
          <w:rFonts w:ascii="Arial" w:hAnsi="Arial" w:cs="Arial"/>
          <w:sz w:val="24"/>
          <w:szCs w:val="24"/>
        </w:rPr>
        <w:t xml:space="preserve">unreported judgment of </w:t>
      </w:r>
      <w:r w:rsidR="00FD24CF">
        <w:rPr>
          <w:rFonts w:ascii="Arial" w:hAnsi="Arial" w:cs="Arial"/>
          <w:i/>
          <w:sz w:val="24"/>
          <w:szCs w:val="24"/>
        </w:rPr>
        <w:t>Absa Bank</w:t>
      </w:r>
      <w:r w:rsidR="00867CEC">
        <w:rPr>
          <w:rFonts w:ascii="Arial" w:hAnsi="Arial" w:cs="Arial"/>
          <w:i/>
          <w:sz w:val="24"/>
          <w:szCs w:val="24"/>
        </w:rPr>
        <w:t xml:space="preserve"> Ltd</w:t>
      </w:r>
      <w:r w:rsidR="00FD24CF">
        <w:rPr>
          <w:rFonts w:ascii="Arial" w:hAnsi="Arial" w:cs="Arial"/>
          <w:i/>
          <w:sz w:val="24"/>
          <w:szCs w:val="24"/>
        </w:rPr>
        <w:t xml:space="preserve"> v Schroeder</w:t>
      </w:r>
      <w:r w:rsidR="002B1415" w:rsidRPr="002B1415">
        <w:rPr>
          <w:rStyle w:val="FootnoteReference"/>
          <w:rFonts w:ascii="Arial" w:hAnsi="Arial" w:cs="Arial"/>
          <w:i/>
          <w:sz w:val="20"/>
        </w:rPr>
        <w:footnoteReference w:id="18"/>
      </w:r>
      <w:r w:rsidR="00FD24CF">
        <w:rPr>
          <w:rFonts w:ascii="Arial" w:hAnsi="Arial" w:cs="Arial"/>
          <w:i/>
          <w:sz w:val="24"/>
          <w:szCs w:val="24"/>
        </w:rPr>
        <w:t xml:space="preserve">, </w:t>
      </w:r>
      <w:r w:rsidR="00FD24CF">
        <w:rPr>
          <w:rFonts w:ascii="Arial" w:hAnsi="Arial" w:cs="Arial"/>
          <w:sz w:val="24"/>
          <w:szCs w:val="24"/>
        </w:rPr>
        <w:t xml:space="preserve">Victor J found that the </w:t>
      </w:r>
      <w:r w:rsidR="008E5048">
        <w:rPr>
          <w:rFonts w:ascii="Arial" w:hAnsi="Arial" w:cs="Arial"/>
          <w:sz w:val="24"/>
          <w:szCs w:val="24"/>
        </w:rPr>
        <w:t>identity of the ultimate beneficiaries</w:t>
      </w:r>
      <w:r w:rsidR="00FD24CF">
        <w:rPr>
          <w:rFonts w:ascii="Arial" w:hAnsi="Arial" w:cs="Arial"/>
          <w:sz w:val="24"/>
          <w:szCs w:val="24"/>
        </w:rPr>
        <w:t xml:space="preserve"> who stood to benefit from</w:t>
      </w:r>
      <w:r w:rsidR="002B1415">
        <w:rPr>
          <w:rFonts w:ascii="Arial" w:hAnsi="Arial" w:cs="Arial"/>
          <w:sz w:val="24"/>
          <w:szCs w:val="24"/>
        </w:rPr>
        <w:t xml:space="preserve"> the</w:t>
      </w:r>
      <w:r w:rsidR="00FD24CF">
        <w:rPr>
          <w:rFonts w:ascii="Arial" w:hAnsi="Arial" w:cs="Arial"/>
          <w:sz w:val="24"/>
          <w:szCs w:val="24"/>
        </w:rPr>
        <w:t xml:space="preserve"> litigation was </w:t>
      </w:r>
      <w:r w:rsidR="008E5048">
        <w:rPr>
          <w:rFonts w:ascii="Arial" w:hAnsi="Arial" w:cs="Arial"/>
          <w:sz w:val="24"/>
          <w:szCs w:val="24"/>
        </w:rPr>
        <w:t xml:space="preserve">also a relevant consideration when determining whether security should be furnished. </w:t>
      </w:r>
      <w:r w:rsidR="001E1474">
        <w:rPr>
          <w:rFonts w:ascii="Arial" w:hAnsi="Arial" w:cs="Arial"/>
          <w:sz w:val="24"/>
          <w:szCs w:val="24"/>
        </w:rPr>
        <w:t xml:space="preserve">An </w:t>
      </w:r>
      <w:proofErr w:type="spellStart"/>
      <w:r w:rsidR="001E1474">
        <w:rPr>
          <w:rFonts w:ascii="Arial" w:hAnsi="Arial" w:cs="Arial"/>
          <w:i/>
          <w:sz w:val="24"/>
          <w:szCs w:val="24"/>
        </w:rPr>
        <w:t>incola</w:t>
      </w:r>
      <w:proofErr w:type="spellEnd"/>
      <w:r w:rsidR="001E1474">
        <w:rPr>
          <w:rFonts w:ascii="Arial" w:hAnsi="Arial" w:cs="Arial"/>
          <w:i/>
          <w:sz w:val="24"/>
          <w:szCs w:val="24"/>
        </w:rPr>
        <w:t xml:space="preserve"> </w:t>
      </w:r>
      <w:r w:rsidR="001E1474">
        <w:rPr>
          <w:rFonts w:ascii="Arial" w:hAnsi="Arial" w:cs="Arial"/>
          <w:sz w:val="24"/>
          <w:szCs w:val="24"/>
        </w:rPr>
        <w:lastRenderedPageBreak/>
        <w:t>plaintiff, who litigates in a nominal capacity and has no means to satisfy a costs order may be ordered to furnish security.</w:t>
      </w:r>
      <w:r w:rsidR="001E1474" w:rsidRPr="001E1474">
        <w:rPr>
          <w:rStyle w:val="FootnoteReference"/>
          <w:rFonts w:ascii="Arial" w:hAnsi="Arial" w:cs="Arial"/>
          <w:sz w:val="20"/>
        </w:rPr>
        <w:footnoteReference w:id="19"/>
      </w:r>
    </w:p>
    <w:p w14:paraId="3173253F" w14:textId="5914F3BE" w:rsidR="00AC1CE2" w:rsidRDefault="001E1474" w:rsidP="001E1474">
      <w:pPr>
        <w:rPr>
          <w:rFonts w:ascii="Arial" w:hAnsi="Arial" w:cs="Arial"/>
          <w:i/>
          <w:sz w:val="24"/>
          <w:szCs w:val="24"/>
        </w:rPr>
      </w:pPr>
      <w:r>
        <w:rPr>
          <w:rFonts w:ascii="Arial" w:hAnsi="Arial" w:cs="Arial"/>
          <w:sz w:val="24"/>
          <w:szCs w:val="24"/>
        </w:rPr>
        <w:t>[2</w:t>
      </w:r>
      <w:r w:rsidR="00157208">
        <w:rPr>
          <w:rFonts w:ascii="Arial" w:hAnsi="Arial" w:cs="Arial"/>
          <w:sz w:val="24"/>
          <w:szCs w:val="24"/>
        </w:rPr>
        <w:t>6</w:t>
      </w:r>
      <w:r>
        <w:rPr>
          <w:rFonts w:ascii="Arial" w:hAnsi="Arial" w:cs="Arial"/>
          <w:sz w:val="24"/>
          <w:szCs w:val="24"/>
        </w:rPr>
        <w:t>]</w:t>
      </w:r>
      <w:r>
        <w:rPr>
          <w:rFonts w:ascii="Arial" w:hAnsi="Arial" w:cs="Arial"/>
          <w:sz w:val="24"/>
          <w:szCs w:val="24"/>
        </w:rPr>
        <w:tab/>
      </w:r>
      <w:r w:rsidR="00595D87" w:rsidRPr="00421B60">
        <w:rPr>
          <w:rFonts w:ascii="Arial" w:hAnsi="Arial" w:cs="Arial"/>
          <w:sz w:val="24"/>
          <w:szCs w:val="24"/>
        </w:rPr>
        <w:t>The</w:t>
      </w:r>
      <w:r w:rsidR="00595D87">
        <w:rPr>
          <w:rFonts w:ascii="Arial" w:hAnsi="Arial" w:cs="Arial"/>
          <w:sz w:val="24"/>
          <w:szCs w:val="24"/>
        </w:rPr>
        <w:t xml:space="preserve"> plaintiff’s contentions are not supported by the terms and conditions of the Agreement. </w:t>
      </w:r>
      <w:proofErr w:type="spellStart"/>
      <w:r w:rsidR="00595D87">
        <w:rPr>
          <w:rFonts w:ascii="Arial" w:hAnsi="Arial" w:cs="Arial"/>
          <w:sz w:val="24"/>
          <w:szCs w:val="24"/>
        </w:rPr>
        <w:t>Schindlers</w:t>
      </w:r>
      <w:proofErr w:type="spellEnd"/>
      <w:r w:rsidR="00595D87">
        <w:rPr>
          <w:rFonts w:ascii="Arial" w:hAnsi="Arial" w:cs="Arial"/>
          <w:sz w:val="24"/>
          <w:szCs w:val="24"/>
        </w:rPr>
        <w:t xml:space="preserve"> elected to waive compliance with the provisions of clause 4.1 of the Agreement that </w:t>
      </w:r>
      <w:r w:rsidR="00945293">
        <w:rPr>
          <w:rFonts w:ascii="Arial" w:hAnsi="Arial" w:cs="Arial"/>
          <w:sz w:val="24"/>
          <w:szCs w:val="24"/>
        </w:rPr>
        <w:t xml:space="preserve">required its substitution as the plaintiff in the main action. </w:t>
      </w:r>
      <w:r w:rsidR="002B1415">
        <w:rPr>
          <w:rFonts w:ascii="Arial" w:hAnsi="Arial" w:cs="Arial"/>
          <w:sz w:val="24"/>
          <w:szCs w:val="24"/>
        </w:rPr>
        <w:t>Additionally, t</w:t>
      </w:r>
      <w:r w:rsidR="00B72098">
        <w:rPr>
          <w:rFonts w:ascii="Arial" w:hAnsi="Arial" w:cs="Arial"/>
          <w:sz w:val="24"/>
          <w:szCs w:val="24"/>
        </w:rPr>
        <w:t xml:space="preserve">he plaintiff does not address the legal effect of a cession and its impact on the plaintiff’s </w:t>
      </w:r>
      <w:r w:rsidR="00B72098" w:rsidRPr="002B1415">
        <w:rPr>
          <w:rFonts w:ascii="Arial" w:hAnsi="Arial" w:cs="Arial"/>
          <w:i/>
          <w:sz w:val="24"/>
          <w:szCs w:val="24"/>
        </w:rPr>
        <w:t>locus</w:t>
      </w:r>
      <w:r w:rsidR="002B1415" w:rsidRPr="002B1415">
        <w:rPr>
          <w:rFonts w:ascii="Arial" w:hAnsi="Arial" w:cs="Arial"/>
          <w:i/>
          <w:sz w:val="24"/>
          <w:szCs w:val="24"/>
        </w:rPr>
        <w:t xml:space="preserve"> </w:t>
      </w:r>
      <w:proofErr w:type="spellStart"/>
      <w:r w:rsidR="002B1415" w:rsidRPr="002B1415">
        <w:rPr>
          <w:rFonts w:ascii="Arial" w:hAnsi="Arial" w:cs="Arial"/>
          <w:i/>
          <w:sz w:val="24"/>
          <w:szCs w:val="24"/>
        </w:rPr>
        <w:t>standi</w:t>
      </w:r>
      <w:proofErr w:type="spellEnd"/>
      <w:r w:rsidR="00B72098">
        <w:rPr>
          <w:rFonts w:ascii="Arial" w:hAnsi="Arial" w:cs="Arial"/>
          <w:sz w:val="24"/>
          <w:szCs w:val="24"/>
        </w:rPr>
        <w:t xml:space="preserve"> to continue with the proceedings.</w:t>
      </w:r>
      <w:r w:rsidR="00B72098" w:rsidRPr="00B127E2">
        <w:rPr>
          <w:rStyle w:val="FootnoteReference"/>
          <w:rFonts w:ascii="Arial" w:hAnsi="Arial" w:cs="Arial"/>
          <w:sz w:val="20"/>
        </w:rPr>
        <w:footnoteReference w:id="20"/>
      </w:r>
      <w:r w:rsidR="00945293">
        <w:rPr>
          <w:rFonts w:ascii="Arial" w:hAnsi="Arial" w:cs="Arial"/>
          <w:sz w:val="24"/>
          <w:szCs w:val="24"/>
        </w:rPr>
        <w:t xml:space="preserve"> </w:t>
      </w:r>
    </w:p>
    <w:p w14:paraId="7D929063" w14:textId="4FF8A945" w:rsidR="00AC1CE2" w:rsidRPr="00B127E2" w:rsidRDefault="00421B60" w:rsidP="00DA0DF0">
      <w:pPr>
        <w:rPr>
          <w:rFonts w:ascii="Arial" w:hAnsi="Arial" w:cs="Arial"/>
          <w:sz w:val="24"/>
          <w:szCs w:val="24"/>
        </w:rPr>
      </w:pPr>
      <w:r>
        <w:rPr>
          <w:rFonts w:ascii="Arial" w:hAnsi="Arial" w:cs="Arial"/>
          <w:sz w:val="24"/>
          <w:szCs w:val="24"/>
        </w:rPr>
        <w:t>[2</w:t>
      </w:r>
      <w:r w:rsidR="00157208">
        <w:rPr>
          <w:rFonts w:ascii="Arial" w:hAnsi="Arial" w:cs="Arial"/>
          <w:sz w:val="24"/>
          <w:szCs w:val="24"/>
        </w:rPr>
        <w:t>7</w:t>
      </w:r>
      <w:r>
        <w:rPr>
          <w:rFonts w:ascii="Arial" w:hAnsi="Arial" w:cs="Arial"/>
          <w:sz w:val="24"/>
          <w:szCs w:val="24"/>
        </w:rPr>
        <w:t>]</w:t>
      </w:r>
      <w:r>
        <w:rPr>
          <w:rFonts w:ascii="Arial" w:hAnsi="Arial" w:cs="Arial"/>
          <w:sz w:val="24"/>
          <w:szCs w:val="24"/>
        </w:rPr>
        <w:tab/>
      </w:r>
      <w:r w:rsidR="002B1415">
        <w:rPr>
          <w:rFonts w:ascii="Arial" w:hAnsi="Arial" w:cs="Arial"/>
          <w:sz w:val="24"/>
          <w:szCs w:val="24"/>
        </w:rPr>
        <w:t>Nevertheless, it is clear that t</w:t>
      </w:r>
      <w:r w:rsidR="00400678">
        <w:rPr>
          <w:rFonts w:ascii="Arial" w:hAnsi="Arial" w:cs="Arial"/>
          <w:sz w:val="24"/>
          <w:szCs w:val="24"/>
        </w:rPr>
        <w:t xml:space="preserve">he plaintiff initiated the main action in a representative capacity as the executor of the deceased estate. Without </w:t>
      </w:r>
      <w:r w:rsidR="0089679E">
        <w:rPr>
          <w:rFonts w:ascii="Arial" w:hAnsi="Arial" w:cs="Arial"/>
          <w:sz w:val="24"/>
          <w:szCs w:val="24"/>
        </w:rPr>
        <w:t xml:space="preserve">deciding </w:t>
      </w:r>
      <w:r w:rsidR="001E1474">
        <w:rPr>
          <w:rFonts w:ascii="Arial" w:hAnsi="Arial" w:cs="Arial"/>
          <w:sz w:val="24"/>
          <w:szCs w:val="24"/>
        </w:rPr>
        <w:t xml:space="preserve">upon </w:t>
      </w:r>
      <w:r w:rsidR="00AC1CE2">
        <w:rPr>
          <w:rFonts w:ascii="Arial" w:hAnsi="Arial" w:cs="Arial"/>
          <w:sz w:val="24"/>
          <w:szCs w:val="24"/>
        </w:rPr>
        <w:t>t</w:t>
      </w:r>
      <w:r w:rsidR="00400678">
        <w:rPr>
          <w:rFonts w:ascii="Arial" w:hAnsi="Arial" w:cs="Arial"/>
          <w:sz w:val="24"/>
          <w:szCs w:val="24"/>
        </w:rPr>
        <w:t xml:space="preserve">he validity of the Agreement, the effect of the Agreement is that the plaintiff continues to litigate in the main action, in a purely nominal representative capacity on behalf of </w:t>
      </w:r>
      <w:proofErr w:type="spellStart"/>
      <w:r w:rsidR="00400678">
        <w:rPr>
          <w:rFonts w:ascii="Arial" w:hAnsi="Arial" w:cs="Arial"/>
          <w:sz w:val="24"/>
          <w:szCs w:val="24"/>
        </w:rPr>
        <w:t>Schindlers</w:t>
      </w:r>
      <w:proofErr w:type="spellEnd"/>
      <w:r w:rsidR="00400678">
        <w:rPr>
          <w:rFonts w:ascii="Arial" w:hAnsi="Arial" w:cs="Arial"/>
          <w:sz w:val="24"/>
          <w:szCs w:val="24"/>
        </w:rPr>
        <w:t xml:space="preserve">. </w:t>
      </w:r>
      <w:r w:rsidR="000D60D5">
        <w:rPr>
          <w:rFonts w:ascii="Arial" w:hAnsi="Arial" w:cs="Arial"/>
          <w:sz w:val="24"/>
          <w:szCs w:val="24"/>
        </w:rPr>
        <w:t xml:space="preserve">In both scenarios any costs order against the plaintiff would have to come out of the deceased estate unless </w:t>
      </w:r>
      <w:r w:rsidR="00AC1CE2">
        <w:rPr>
          <w:rFonts w:ascii="Arial" w:hAnsi="Arial" w:cs="Arial"/>
          <w:sz w:val="24"/>
          <w:szCs w:val="24"/>
        </w:rPr>
        <w:t xml:space="preserve">the defendant is able to argue that exceptional circumstances or grounds exists for  the plaintiff or </w:t>
      </w:r>
      <w:proofErr w:type="spellStart"/>
      <w:r w:rsidR="00AC1CE2">
        <w:rPr>
          <w:rFonts w:ascii="Arial" w:hAnsi="Arial" w:cs="Arial"/>
          <w:sz w:val="24"/>
          <w:szCs w:val="24"/>
        </w:rPr>
        <w:t>Schindlers</w:t>
      </w:r>
      <w:proofErr w:type="spellEnd"/>
      <w:r w:rsidR="00AC1CE2">
        <w:rPr>
          <w:rFonts w:ascii="Arial" w:hAnsi="Arial" w:cs="Arial"/>
          <w:sz w:val="24"/>
          <w:szCs w:val="24"/>
        </w:rPr>
        <w:t xml:space="preserve"> to be </w:t>
      </w:r>
      <w:r w:rsidR="000D60D5">
        <w:rPr>
          <w:rFonts w:ascii="Arial" w:hAnsi="Arial" w:cs="Arial"/>
          <w:sz w:val="24"/>
          <w:szCs w:val="24"/>
        </w:rPr>
        <w:t xml:space="preserve">ordered to effect payment </w:t>
      </w:r>
      <w:r w:rsidR="000D60D5">
        <w:rPr>
          <w:rFonts w:ascii="Arial" w:hAnsi="Arial" w:cs="Arial"/>
          <w:i/>
          <w:sz w:val="24"/>
          <w:szCs w:val="24"/>
        </w:rPr>
        <w:t xml:space="preserve">de </w:t>
      </w:r>
      <w:proofErr w:type="spellStart"/>
      <w:r w:rsidR="000D60D5">
        <w:rPr>
          <w:rFonts w:ascii="Arial" w:hAnsi="Arial" w:cs="Arial"/>
          <w:i/>
          <w:sz w:val="24"/>
          <w:szCs w:val="24"/>
        </w:rPr>
        <w:t>bonis</w:t>
      </w:r>
      <w:proofErr w:type="spellEnd"/>
      <w:r w:rsidR="000D60D5">
        <w:rPr>
          <w:rFonts w:ascii="Arial" w:hAnsi="Arial" w:cs="Arial"/>
          <w:i/>
          <w:sz w:val="24"/>
          <w:szCs w:val="24"/>
        </w:rPr>
        <w:t xml:space="preserve"> </w:t>
      </w:r>
      <w:proofErr w:type="spellStart"/>
      <w:r w:rsidR="000D60D5">
        <w:rPr>
          <w:rFonts w:ascii="Arial" w:hAnsi="Arial" w:cs="Arial"/>
          <w:i/>
          <w:sz w:val="24"/>
          <w:szCs w:val="24"/>
        </w:rPr>
        <w:t>propriis</w:t>
      </w:r>
      <w:proofErr w:type="spellEnd"/>
      <w:r w:rsidR="000D60D5">
        <w:rPr>
          <w:rFonts w:ascii="Arial" w:hAnsi="Arial" w:cs="Arial"/>
          <w:i/>
          <w:sz w:val="24"/>
          <w:szCs w:val="24"/>
        </w:rPr>
        <w:t>.</w:t>
      </w:r>
      <w:r w:rsidR="00B127E2" w:rsidRPr="0089679E">
        <w:rPr>
          <w:rStyle w:val="FootnoteReference"/>
          <w:rFonts w:ascii="Arial" w:hAnsi="Arial" w:cs="Arial"/>
          <w:i/>
          <w:sz w:val="20"/>
        </w:rPr>
        <w:footnoteReference w:id="21"/>
      </w:r>
      <w:r w:rsidR="00AC1CE2">
        <w:rPr>
          <w:rFonts w:ascii="Arial" w:hAnsi="Arial" w:cs="Arial"/>
          <w:i/>
          <w:sz w:val="24"/>
          <w:szCs w:val="24"/>
        </w:rPr>
        <w:t xml:space="preserve"> </w:t>
      </w:r>
      <w:r w:rsidR="001E1474">
        <w:rPr>
          <w:rFonts w:ascii="Arial" w:hAnsi="Arial" w:cs="Arial"/>
          <w:sz w:val="24"/>
          <w:szCs w:val="24"/>
        </w:rPr>
        <w:t>In addition, f</w:t>
      </w:r>
      <w:r w:rsidR="00B127E2">
        <w:rPr>
          <w:rFonts w:ascii="Arial" w:hAnsi="Arial" w:cs="Arial"/>
          <w:sz w:val="24"/>
          <w:szCs w:val="24"/>
        </w:rPr>
        <w:t xml:space="preserve">ailing a clear and unequivocal undertaking by </w:t>
      </w:r>
      <w:proofErr w:type="spellStart"/>
      <w:r w:rsidR="00B127E2">
        <w:rPr>
          <w:rFonts w:ascii="Arial" w:hAnsi="Arial" w:cs="Arial"/>
          <w:sz w:val="24"/>
          <w:szCs w:val="24"/>
        </w:rPr>
        <w:t>Schindlers</w:t>
      </w:r>
      <w:proofErr w:type="spellEnd"/>
      <w:r w:rsidR="00B127E2">
        <w:rPr>
          <w:rFonts w:ascii="Arial" w:hAnsi="Arial" w:cs="Arial"/>
          <w:sz w:val="24"/>
          <w:szCs w:val="24"/>
        </w:rPr>
        <w:t>, all costs incurre</w:t>
      </w:r>
      <w:r w:rsidR="0089679E">
        <w:rPr>
          <w:rFonts w:ascii="Arial" w:hAnsi="Arial" w:cs="Arial"/>
          <w:sz w:val="24"/>
          <w:szCs w:val="24"/>
        </w:rPr>
        <w:t>d by the defendant prior to the Agreement remain due by the deceased estate.</w:t>
      </w:r>
      <w:r w:rsidR="0089679E" w:rsidRPr="0089679E">
        <w:rPr>
          <w:rStyle w:val="FootnoteReference"/>
          <w:rFonts w:ascii="Arial" w:hAnsi="Arial" w:cs="Arial"/>
          <w:sz w:val="20"/>
        </w:rPr>
        <w:footnoteReference w:id="22"/>
      </w:r>
      <w:r w:rsidR="001E1474">
        <w:rPr>
          <w:rFonts w:ascii="Arial" w:hAnsi="Arial" w:cs="Arial"/>
          <w:sz w:val="24"/>
          <w:szCs w:val="24"/>
        </w:rPr>
        <w:t xml:space="preserve"> </w:t>
      </w:r>
    </w:p>
    <w:p w14:paraId="2C048F00" w14:textId="6EC7F58D" w:rsidR="003D48FC" w:rsidRDefault="00421B60" w:rsidP="00DA0DF0">
      <w:pPr>
        <w:rPr>
          <w:rFonts w:ascii="Arial" w:hAnsi="Arial" w:cs="Arial"/>
          <w:sz w:val="24"/>
          <w:szCs w:val="24"/>
        </w:rPr>
      </w:pPr>
      <w:r>
        <w:rPr>
          <w:rFonts w:ascii="Arial" w:hAnsi="Arial" w:cs="Arial"/>
          <w:sz w:val="24"/>
          <w:szCs w:val="24"/>
        </w:rPr>
        <w:t>[2</w:t>
      </w:r>
      <w:r w:rsidR="00157208">
        <w:rPr>
          <w:rFonts w:ascii="Arial" w:hAnsi="Arial" w:cs="Arial"/>
          <w:sz w:val="24"/>
          <w:szCs w:val="24"/>
        </w:rPr>
        <w:t>8</w:t>
      </w:r>
      <w:r>
        <w:rPr>
          <w:rFonts w:ascii="Arial" w:hAnsi="Arial" w:cs="Arial"/>
          <w:sz w:val="24"/>
          <w:szCs w:val="24"/>
        </w:rPr>
        <w:t>]</w:t>
      </w:r>
      <w:r>
        <w:rPr>
          <w:rFonts w:ascii="Arial" w:hAnsi="Arial" w:cs="Arial"/>
          <w:sz w:val="24"/>
          <w:szCs w:val="24"/>
        </w:rPr>
        <w:tab/>
      </w:r>
      <w:r w:rsidR="00AC1CE2">
        <w:rPr>
          <w:rFonts w:ascii="Arial" w:hAnsi="Arial" w:cs="Arial"/>
          <w:sz w:val="24"/>
          <w:szCs w:val="24"/>
        </w:rPr>
        <w:t xml:space="preserve">For the reasons set out above, it is clear that the deceased estate is </w:t>
      </w:r>
      <w:r w:rsidR="003D48FC">
        <w:rPr>
          <w:rFonts w:ascii="Arial" w:hAnsi="Arial" w:cs="Arial"/>
          <w:sz w:val="24"/>
          <w:szCs w:val="24"/>
        </w:rPr>
        <w:t xml:space="preserve">in </w:t>
      </w:r>
      <w:r w:rsidR="00AC1CE2">
        <w:rPr>
          <w:rFonts w:ascii="Arial" w:hAnsi="Arial" w:cs="Arial"/>
          <w:sz w:val="24"/>
          <w:szCs w:val="24"/>
        </w:rPr>
        <w:t xml:space="preserve">a parlous financial </w:t>
      </w:r>
      <w:r w:rsidR="001E1474">
        <w:rPr>
          <w:rFonts w:ascii="Arial" w:hAnsi="Arial" w:cs="Arial"/>
          <w:sz w:val="24"/>
          <w:szCs w:val="24"/>
        </w:rPr>
        <w:t xml:space="preserve">state </w:t>
      </w:r>
      <w:r w:rsidR="00AC1CE2">
        <w:rPr>
          <w:rFonts w:ascii="Arial" w:hAnsi="Arial" w:cs="Arial"/>
          <w:sz w:val="24"/>
          <w:szCs w:val="24"/>
        </w:rPr>
        <w:t>and</w:t>
      </w:r>
      <w:r w:rsidR="00DD4919">
        <w:rPr>
          <w:rFonts w:ascii="Arial" w:hAnsi="Arial" w:cs="Arial"/>
          <w:sz w:val="24"/>
          <w:szCs w:val="24"/>
        </w:rPr>
        <w:t xml:space="preserve"> I am satisfied that it</w:t>
      </w:r>
      <w:r w:rsidR="00AC1CE2">
        <w:rPr>
          <w:rFonts w:ascii="Arial" w:hAnsi="Arial" w:cs="Arial"/>
          <w:sz w:val="24"/>
          <w:szCs w:val="24"/>
        </w:rPr>
        <w:t xml:space="preserve"> will not be in a position to honour any costs award made against it.</w:t>
      </w:r>
      <w:r w:rsidR="0089679E">
        <w:rPr>
          <w:rFonts w:ascii="Arial" w:hAnsi="Arial" w:cs="Arial"/>
          <w:sz w:val="24"/>
          <w:szCs w:val="24"/>
        </w:rPr>
        <w:t xml:space="preserve"> The Agreement, does not alter this position because as it currently stands the plaintiff continues to act in a </w:t>
      </w:r>
      <w:r w:rsidR="003D48FC">
        <w:rPr>
          <w:rFonts w:ascii="Arial" w:hAnsi="Arial" w:cs="Arial"/>
          <w:sz w:val="24"/>
          <w:szCs w:val="24"/>
        </w:rPr>
        <w:t xml:space="preserve">nominal capacity for a third party who will ultimately benefit </w:t>
      </w:r>
      <w:r>
        <w:rPr>
          <w:rFonts w:ascii="Arial" w:hAnsi="Arial" w:cs="Arial"/>
          <w:sz w:val="24"/>
          <w:szCs w:val="24"/>
        </w:rPr>
        <w:t>in</w:t>
      </w:r>
      <w:r w:rsidR="003D48FC">
        <w:rPr>
          <w:rFonts w:ascii="Arial" w:hAnsi="Arial" w:cs="Arial"/>
          <w:sz w:val="24"/>
          <w:szCs w:val="24"/>
        </w:rPr>
        <w:t xml:space="preserve"> the event of success but against whom the defendant will have no ordinary and direct relief in the event of the dismissal of the main action. </w:t>
      </w:r>
    </w:p>
    <w:p w14:paraId="3E9C3C21" w14:textId="1DAF57DB" w:rsidR="00DB4AD1" w:rsidRDefault="00421B60" w:rsidP="00DA0DF0">
      <w:pPr>
        <w:rPr>
          <w:rFonts w:ascii="Arial" w:hAnsi="Arial" w:cs="Arial"/>
          <w:sz w:val="24"/>
          <w:szCs w:val="24"/>
        </w:rPr>
      </w:pPr>
      <w:r>
        <w:rPr>
          <w:rFonts w:ascii="Arial" w:hAnsi="Arial" w:cs="Arial"/>
          <w:sz w:val="24"/>
          <w:szCs w:val="24"/>
        </w:rPr>
        <w:t>[2</w:t>
      </w:r>
      <w:r w:rsidR="00157208">
        <w:rPr>
          <w:rFonts w:ascii="Arial" w:hAnsi="Arial" w:cs="Arial"/>
          <w:sz w:val="24"/>
          <w:szCs w:val="24"/>
        </w:rPr>
        <w:t>9</w:t>
      </w:r>
      <w:r>
        <w:rPr>
          <w:rFonts w:ascii="Arial" w:hAnsi="Arial" w:cs="Arial"/>
          <w:sz w:val="24"/>
          <w:szCs w:val="24"/>
        </w:rPr>
        <w:t>]</w:t>
      </w:r>
      <w:r>
        <w:rPr>
          <w:rFonts w:ascii="Arial" w:hAnsi="Arial" w:cs="Arial"/>
          <w:sz w:val="24"/>
          <w:szCs w:val="24"/>
        </w:rPr>
        <w:tab/>
      </w:r>
      <w:r w:rsidR="00DB4AD1">
        <w:rPr>
          <w:rFonts w:ascii="Arial" w:hAnsi="Arial" w:cs="Arial"/>
          <w:sz w:val="24"/>
          <w:szCs w:val="24"/>
        </w:rPr>
        <w:t xml:space="preserve">In </w:t>
      </w:r>
      <w:r w:rsidR="00DD4919">
        <w:rPr>
          <w:rFonts w:ascii="Arial" w:hAnsi="Arial" w:cs="Arial"/>
          <w:sz w:val="24"/>
          <w:szCs w:val="24"/>
        </w:rPr>
        <w:t>addition</w:t>
      </w:r>
      <w:r w:rsidR="00DB4AD1">
        <w:rPr>
          <w:rFonts w:ascii="Arial" w:hAnsi="Arial" w:cs="Arial"/>
          <w:sz w:val="24"/>
          <w:szCs w:val="24"/>
        </w:rPr>
        <w:t xml:space="preserve">, the plaintiff’s </w:t>
      </w:r>
      <w:r w:rsidR="00DD4919">
        <w:rPr>
          <w:rFonts w:ascii="Arial" w:hAnsi="Arial" w:cs="Arial"/>
          <w:sz w:val="24"/>
          <w:szCs w:val="24"/>
        </w:rPr>
        <w:t>tenuous</w:t>
      </w:r>
      <w:r w:rsidR="00DB4AD1">
        <w:rPr>
          <w:rFonts w:ascii="Arial" w:hAnsi="Arial" w:cs="Arial"/>
          <w:sz w:val="24"/>
          <w:szCs w:val="24"/>
        </w:rPr>
        <w:t xml:space="preserve"> prospects of success on claim A and extremely limited </w:t>
      </w:r>
      <w:r w:rsidR="00EC00AF">
        <w:rPr>
          <w:rFonts w:ascii="Arial" w:hAnsi="Arial" w:cs="Arial"/>
          <w:sz w:val="24"/>
          <w:szCs w:val="24"/>
        </w:rPr>
        <w:t xml:space="preserve">to no </w:t>
      </w:r>
      <w:r w:rsidR="00DB4AD1">
        <w:rPr>
          <w:rFonts w:ascii="Arial" w:hAnsi="Arial" w:cs="Arial"/>
          <w:sz w:val="24"/>
          <w:szCs w:val="24"/>
        </w:rPr>
        <w:t>prospects of success on claims B, C and D are relevant consideration</w:t>
      </w:r>
      <w:r w:rsidR="00DD4919">
        <w:rPr>
          <w:rFonts w:ascii="Arial" w:hAnsi="Arial" w:cs="Arial"/>
          <w:sz w:val="24"/>
          <w:szCs w:val="24"/>
        </w:rPr>
        <w:t>s</w:t>
      </w:r>
      <w:r w:rsidR="00DB4AD1">
        <w:rPr>
          <w:rFonts w:ascii="Arial" w:hAnsi="Arial" w:cs="Arial"/>
          <w:sz w:val="24"/>
          <w:szCs w:val="24"/>
        </w:rPr>
        <w:t xml:space="preserve">. </w:t>
      </w:r>
      <w:r w:rsidR="00DD4919">
        <w:rPr>
          <w:rFonts w:ascii="Arial" w:hAnsi="Arial" w:cs="Arial"/>
          <w:sz w:val="24"/>
          <w:szCs w:val="24"/>
        </w:rPr>
        <w:t xml:space="preserve">I take cognizance of this </w:t>
      </w:r>
      <w:r w:rsidR="00DB4AD1">
        <w:rPr>
          <w:rFonts w:ascii="Arial" w:hAnsi="Arial" w:cs="Arial"/>
          <w:sz w:val="24"/>
          <w:szCs w:val="24"/>
        </w:rPr>
        <w:t xml:space="preserve">along with the fact that the defendant has been forced to </w:t>
      </w:r>
      <w:r w:rsidR="00157208">
        <w:rPr>
          <w:rFonts w:ascii="Arial" w:hAnsi="Arial" w:cs="Arial"/>
          <w:sz w:val="24"/>
          <w:szCs w:val="24"/>
        </w:rPr>
        <w:t>litigate in</w:t>
      </w:r>
      <w:r w:rsidR="00DB4AD1">
        <w:rPr>
          <w:rFonts w:ascii="Arial" w:hAnsi="Arial" w:cs="Arial"/>
          <w:sz w:val="24"/>
          <w:szCs w:val="24"/>
        </w:rPr>
        <w:t xml:space="preserve"> multiple </w:t>
      </w:r>
      <w:r w:rsidR="001A400D">
        <w:rPr>
          <w:rFonts w:ascii="Arial" w:hAnsi="Arial" w:cs="Arial"/>
          <w:sz w:val="24"/>
          <w:szCs w:val="24"/>
        </w:rPr>
        <w:lastRenderedPageBreak/>
        <w:t xml:space="preserve">proceedings </w:t>
      </w:r>
      <w:r w:rsidR="00DB4AD1">
        <w:rPr>
          <w:rFonts w:ascii="Arial" w:hAnsi="Arial" w:cs="Arial"/>
          <w:sz w:val="24"/>
          <w:szCs w:val="24"/>
        </w:rPr>
        <w:t>regarding the immovable property</w:t>
      </w:r>
      <w:r w:rsidR="00DD4919">
        <w:rPr>
          <w:rFonts w:ascii="Arial" w:hAnsi="Arial" w:cs="Arial"/>
          <w:sz w:val="24"/>
          <w:szCs w:val="24"/>
        </w:rPr>
        <w:t xml:space="preserve">. Of the few matters that were referred to in this application, the defendant was largely successful. </w:t>
      </w:r>
    </w:p>
    <w:p w14:paraId="308D4400" w14:textId="78E694F4" w:rsidR="00772C2D" w:rsidRPr="00DD4919" w:rsidRDefault="00772C2D" w:rsidP="00DA0DF0">
      <w:pPr>
        <w:rPr>
          <w:rFonts w:ascii="Arial" w:hAnsi="Arial" w:cs="Arial"/>
          <w:i/>
          <w:sz w:val="24"/>
          <w:szCs w:val="24"/>
        </w:rPr>
      </w:pPr>
      <w:r>
        <w:rPr>
          <w:rFonts w:ascii="Arial" w:hAnsi="Arial" w:cs="Arial"/>
          <w:sz w:val="24"/>
          <w:szCs w:val="24"/>
        </w:rPr>
        <w:t>[</w:t>
      </w:r>
      <w:r w:rsidR="00157208">
        <w:rPr>
          <w:rFonts w:ascii="Arial" w:hAnsi="Arial" w:cs="Arial"/>
          <w:sz w:val="24"/>
          <w:szCs w:val="24"/>
        </w:rPr>
        <w:t>30</w:t>
      </w:r>
      <w:r>
        <w:rPr>
          <w:rFonts w:ascii="Arial" w:hAnsi="Arial" w:cs="Arial"/>
          <w:sz w:val="24"/>
          <w:szCs w:val="24"/>
        </w:rPr>
        <w:t>]</w:t>
      </w:r>
      <w:r>
        <w:rPr>
          <w:rFonts w:ascii="Arial" w:hAnsi="Arial" w:cs="Arial"/>
          <w:sz w:val="24"/>
          <w:szCs w:val="24"/>
        </w:rPr>
        <w:tab/>
        <w:t xml:space="preserve">On a conspectus of the evidence, </w:t>
      </w:r>
      <w:r w:rsidR="001A400D">
        <w:rPr>
          <w:rFonts w:ascii="Arial" w:hAnsi="Arial" w:cs="Arial"/>
          <w:sz w:val="24"/>
          <w:szCs w:val="24"/>
        </w:rPr>
        <w:t xml:space="preserve">I am satisfied that the defendant has discharged the onus to satisfy this Court </w:t>
      </w:r>
      <w:r w:rsidR="00F34932">
        <w:rPr>
          <w:rFonts w:ascii="Arial" w:hAnsi="Arial" w:cs="Arial"/>
          <w:sz w:val="24"/>
          <w:szCs w:val="24"/>
        </w:rPr>
        <w:t xml:space="preserve">to exercise its discretion to order that </w:t>
      </w:r>
      <w:r w:rsidR="001A400D">
        <w:rPr>
          <w:rFonts w:ascii="Arial" w:hAnsi="Arial" w:cs="Arial"/>
          <w:sz w:val="24"/>
          <w:szCs w:val="24"/>
        </w:rPr>
        <w:t>security</w:t>
      </w:r>
      <w:r w:rsidR="00F34932">
        <w:rPr>
          <w:rFonts w:ascii="Arial" w:hAnsi="Arial" w:cs="Arial"/>
          <w:sz w:val="24"/>
          <w:szCs w:val="24"/>
        </w:rPr>
        <w:t xml:space="preserve"> be furnished</w:t>
      </w:r>
      <w:r w:rsidR="001A400D">
        <w:rPr>
          <w:rFonts w:ascii="Arial" w:hAnsi="Arial" w:cs="Arial"/>
          <w:sz w:val="24"/>
          <w:szCs w:val="24"/>
        </w:rPr>
        <w:t>.</w:t>
      </w:r>
    </w:p>
    <w:p w14:paraId="0BABB140" w14:textId="4E16B805" w:rsidR="00292DD5" w:rsidRDefault="00421B60" w:rsidP="00DA0DF0">
      <w:pPr>
        <w:rPr>
          <w:rFonts w:ascii="Arial" w:hAnsi="Arial" w:cs="Arial"/>
          <w:sz w:val="24"/>
          <w:szCs w:val="24"/>
        </w:rPr>
      </w:pPr>
      <w:r>
        <w:rPr>
          <w:rFonts w:ascii="Arial" w:hAnsi="Arial" w:cs="Arial"/>
          <w:sz w:val="24"/>
          <w:szCs w:val="24"/>
        </w:rPr>
        <w:t>[</w:t>
      </w:r>
      <w:r w:rsidR="00157208">
        <w:rPr>
          <w:rFonts w:ascii="Arial" w:hAnsi="Arial" w:cs="Arial"/>
          <w:sz w:val="24"/>
          <w:szCs w:val="24"/>
        </w:rPr>
        <w:t>31</w:t>
      </w:r>
      <w:r>
        <w:rPr>
          <w:rFonts w:ascii="Arial" w:hAnsi="Arial" w:cs="Arial"/>
          <w:sz w:val="24"/>
          <w:szCs w:val="24"/>
        </w:rPr>
        <w:t>]</w:t>
      </w:r>
      <w:r>
        <w:rPr>
          <w:rFonts w:ascii="Arial" w:hAnsi="Arial" w:cs="Arial"/>
          <w:sz w:val="24"/>
          <w:szCs w:val="24"/>
        </w:rPr>
        <w:tab/>
      </w:r>
      <w:r w:rsidR="00292DD5">
        <w:rPr>
          <w:rFonts w:ascii="Arial" w:hAnsi="Arial" w:cs="Arial"/>
          <w:sz w:val="24"/>
          <w:szCs w:val="24"/>
        </w:rPr>
        <w:t>In the result, I make the following order</w:t>
      </w:r>
      <w:r w:rsidR="001A400D">
        <w:rPr>
          <w:rFonts w:ascii="Arial" w:hAnsi="Arial" w:cs="Arial"/>
          <w:sz w:val="24"/>
          <w:szCs w:val="24"/>
        </w:rPr>
        <w:t>:</w:t>
      </w:r>
    </w:p>
    <w:p w14:paraId="0279AB58" w14:textId="377ED464" w:rsidR="00292DD5" w:rsidRDefault="001A400D" w:rsidP="00DA0DF0">
      <w:pPr>
        <w:rPr>
          <w:rFonts w:ascii="Arial" w:hAnsi="Arial" w:cs="Arial"/>
          <w:sz w:val="24"/>
          <w:szCs w:val="24"/>
        </w:rPr>
      </w:pPr>
      <w:r>
        <w:rPr>
          <w:rFonts w:ascii="Arial" w:hAnsi="Arial" w:cs="Arial"/>
          <w:sz w:val="24"/>
          <w:szCs w:val="24"/>
        </w:rPr>
        <w:t>(a)</w:t>
      </w:r>
      <w:r>
        <w:rPr>
          <w:rFonts w:ascii="Arial" w:hAnsi="Arial" w:cs="Arial"/>
          <w:sz w:val="24"/>
          <w:szCs w:val="24"/>
        </w:rPr>
        <w:tab/>
      </w:r>
      <w:r w:rsidR="00292DD5">
        <w:rPr>
          <w:rFonts w:ascii="Arial" w:hAnsi="Arial" w:cs="Arial"/>
          <w:sz w:val="24"/>
          <w:szCs w:val="24"/>
        </w:rPr>
        <w:t xml:space="preserve">The plaintiff is directed to furnish the defendant with security for costs in </w:t>
      </w:r>
      <w:r w:rsidR="00F55010">
        <w:rPr>
          <w:rFonts w:ascii="Arial" w:hAnsi="Arial" w:cs="Arial"/>
          <w:sz w:val="24"/>
          <w:szCs w:val="24"/>
        </w:rPr>
        <w:t xml:space="preserve">the form, </w:t>
      </w:r>
      <w:r w:rsidR="00292DD5">
        <w:rPr>
          <w:rFonts w:ascii="Arial" w:hAnsi="Arial" w:cs="Arial"/>
          <w:sz w:val="24"/>
          <w:szCs w:val="24"/>
        </w:rPr>
        <w:t>amount</w:t>
      </w:r>
      <w:r w:rsidR="00F55010">
        <w:rPr>
          <w:rFonts w:ascii="Arial" w:hAnsi="Arial" w:cs="Arial"/>
          <w:sz w:val="24"/>
          <w:szCs w:val="24"/>
        </w:rPr>
        <w:t xml:space="preserve"> and manner</w:t>
      </w:r>
      <w:r w:rsidR="00292DD5">
        <w:rPr>
          <w:rFonts w:ascii="Arial" w:hAnsi="Arial" w:cs="Arial"/>
          <w:sz w:val="24"/>
          <w:szCs w:val="24"/>
        </w:rPr>
        <w:t xml:space="preserve"> to be determined by the Registrar of this Court.</w:t>
      </w:r>
    </w:p>
    <w:p w14:paraId="49B886CC" w14:textId="74F86453" w:rsidR="00292DD5" w:rsidRDefault="001A400D" w:rsidP="00DA0DF0">
      <w:pPr>
        <w:rPr>
          <w:rFonts w:ascii="Arial" w:hAnsi="Arial" w:cs="Arial"/>
          <w:sz w:val="24"/>
          <w:szCs w:val="24"/>
        </w:rPr>
      </w:pPr>
      <w:r>
        <w:rPr>
          <w:rFonts w:ascii="Arial" w:hAnsi="Arial" w:cs="Arial"/>
          <w:sz w:val="24"/>
          <w:szCs w:val="24"/>
        </w:rPr>
        <w:t>(b)</w:t>
      </w:r>
      <w:r>
        <w:rPr>
          <w:rFonts w:ascii="Arial" w:hAnsi="Arial" w:cs="Arial"/>
          <w:sz w:val="24"/>
          <w:szCs w:val="24"/>
        </w:rPr>
        <w:tab/>
      </w:r>
      <w:r w:rsidR="00772C2D">
        <w:rPr>
          <w:rFonts w:ascii="Arial" w:hAnsi="Arial" w:cs="Arial"/>
          <w:sz w:val="24"/>
          <w:szCs w:val="24"/>
        </w:rPr>
        <w:t>In the event that the plaintiff fails to provide security as determined by the Registrar within 20 days of the Registrar</w:t>
      </w:r>
      <w:r w:rsidR="00F55010">
        <w:rPr>
          <w:rFonts w:ascii="Arial" w:hAnsi="Arial" w:cs="Arial"/>
          <w:sz w:val="24"/>
          <w:szCs w:val="24"/>
        </w:rPr>
        <w:t xml:space="preserve">’s order or determination, the </w:t>
      </w:r>
      <w:r w:rsidR="00292DD5">
        <w:rPr>
          <w:rFonts w:ascii="Arial" w:hAnsi="Arial" w:cs="Arial"/>
          <w:sz w:val="24"/>
          <w:szCs w:val="24"/>
        </w:rPr>
        <w:t>main action and proceedings under case no:</w:t>
      </w:r>
      <w:r>
        <w:rPr>
          <w:rFonts w:ascii="Arial" w:hAnsi="Arial" w:cs="Arial"/>
          <w:sz w:val="24"/>
          <w:szCs w:val="24"/>
        </w:rPr>
        <w:t xml:space="preserve"> 22573/2017</w:t>
      </w:r>
      <w:r w:rsidR="00292DD5">
        <w:rPr>
          <w:rFonts w:ascii="Arial" w:hAnsi="Arial" w:cs="Arial"/>
          <w:sz w:val="24"/>
          <w:szCs w:val="24"/>
        </w:rPr>
        <w:t xml:space="preserve"> shall be stayed </w:t>
      </w:r>
      <w:r w:rsidR="00F55010">
        <w:rPr>
          <w:rFonts w:ascii="Arial" w:hAnsi="Arial" w:cs="Arial"/>
          <w:sz w:val="24"/>
          <w:szCs w:val="24"/>
        </w:rPr>
        <w:t xml:space="preserve">and the </w:t>
      </w:r>
      <w:r>
        <w:rPr>
          <w:rFonts w:ascii="Arial" w:hAnsi="Arial" w:cs="Arial"/>
          <w:sz w:val="24"/>
          <w:szCs w:val="24"/>
        </w:rPr>
        <w:t xml:space="preserve">defendant </w:t>
      </w:r>
      <w:r w:rsidR="00F55010">
        <w:rPr>
          <w:rFonts w:ascii="Arial" w:hAnsi="Arial" w:cs="Arial"/>
          <w:sz w:val="24"/>
          <w:szCs w:val="24"/>
        </w:rPr>
        <w:t>is granted leave to apply on the same papers, supplemented as necessary, for the dismissal of the main action</w:t>
      </w:r>
      <w:r w:rsidR="00292DD5">
        <w:rPr>
          <w:rFonts w:ascii="Arial" w:hAnsi="Arial" w:cs="Arial"/>
          <w:sz w:val="24"/>
          <w:szCs w:val="24"/>
        </w:rPr>
        <w:t>.</w:t>
      </w:r>
    </w:p>
    <w:p w14:paraId="7E745C79" w14:textId="297069A9" w:rsidR="00292DD5" w:rsidRDefault="001A400D" w:rsidP="00DA0DF0">
      <w:pPr>
        <w:rPr>
          <w:rFonts w:ascii="Arial" w:hAnsi="Arial" w:cs="Arial"/>
          <w:sz w:val="24"/>
          <w:szCs w:val="24"/>
        </w:rPr>
      </w:pPr>
      <w:r>
        <w:rPr>
          <w:rFonts w:ascii="Arial" w:hAnsi="Arial" w:cs="Arial"/>
          <w:sz w:val="24"/>
          <w:szCs w:val="24"/>
        </w:rPr>
        <w:t>(c)</w:t>
      </w:r>
      <w:r>
        <w:rPr>
          <w:rFonts w:ascii="Arial" w:hAnsi="Arial" w:cs="Arial"/>
          <w:sz w:val="24"/>
          <w:szCs w:val="24"/>
        </w:rPr>
        <w:tab/>
      </w:r>
      <w:r w:rsidR="00292DD5">
        <w:rPr>
          <w:rFonts w:ascii="Arial" w:hAnsi="Arial" w:cs="Arial"/>
          <w:sz w:val="24"/>
          <w:szCs w:val="24"/>
        </w:rPr>
        <w:t>The costs of this application shall be paid the plaintiff.</w:t>
      </w:r>
    </w:p>
    <w:p w14:paraId="7FBB9B2A" w14:textId="62D8BEE8" w:rsidR="00965923" w:rsidRPr="007D207D" w:rsidRDefault="00965923" w:rsidP="00965923">
      <w:pPr>
        <w:tabs>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p>
    <w:p w14:paraId="5B3C98CF" w14:textId="77777777" w:rsidR="00965923" w:rsidRPr="007D207D" w:rsidRDefault="00965923" w:rsidP="00965923">
      <w:pPr>
        <w:pStyle w:val="ListParagraph"/>
        <w:keepNext/>
        <w:keepLines/>
        <w:tabs>
          <w:tab w:val="left" w:pos="0"/>
        </w:tabs>
        <w:jc w:val="right"/>
        <w:rPr>
          <w:rFonts w:ascii="Arial" w:hAnsi="Arial" w:cs="Arial"/>
          <w:b/>
          <w:sz w:val="24"/>
          <w:szCs w:val="24"/>
          <w:u w:val="single"/>
        </w:rPr>
      </w:pPr>
      <w:r w:rsidRPr="007D207D">
        <w:rPr>
          <w:rFonts w:ascii="Arial" w:hAnsi="Arial" w:cs="Arial"/>
          <w:b/>
          <w:sz w:val="24"/>
          <w:szCs w:val="24"/>
          <w:u w:val="single"/>
        </w:rPr>
        <w:t>________________________________</w:t>
      </w:r>
    </w:p>
    <w:p w14:paraId="3EBF3576" w14:textId="77777777" w:rsidR="00965923" w:rsidRPr="007D207D" w:rsidRDefault="00965923" w:rsidP="00965923">
      <w:pPr>
        <w:pStyle w:val="ListParagraph"/>
        <w:keepNext/>
        <w:jc w:val="right"/>
        <w:rPr>
          <w:rFonts w:ascii="Arial" w:hAnsi="Arial" w:cs="Arial"/>
          <w:b/>
          <w:sz w:val="24"/>
          <w:szCs w:val="24"/>
        </w:rPr>
      </w:pPr>
      <w:r>
        <w:rPr>
          <w:rFonts w:ascii="Arial" w:hAnsi="Arial" w:cs="Arial"/>
          <w:b/>
          <w:sz w:val="24"/>
          <w:szCs w:val="24"/>
        </w:rPr>
        <w:t>T NICHOLS</w:t>
      </w:r>
    </w:p>
    <w:p w14:paraId="4872B7CC" w14:textId="77777777" w:rsidR="00965923" w:rsidRPr="007D207D" w:rsidRDefault="00965923" w:rsidP="00965923">
      <w:pPr>
        <w:pStyle w:val="ListParagraph"/>
        <w:keepNext/>
        <w:jc w:val="right"/>
        <w:rPr>
          <w:rFonts w:ascii="Arial" w:hAnsi="Arial" w:cs="Arial"/>
          <w:i/>
          <w:sz w:val="24"/>
          <w:szCs w:val="24"/>
        </w:rPr>
      </w:pPr>
      <w:r>
        <w:rPr>
          <w:rFonts w:ascii="Arial" w:hAnsi="Arial" w:cs="Arial"/>
          <w:i/>
          <w:sz w:val="24"/>
          <w:szCs w:val="24"/>
        </w:rPr>
        <w:t xml:space="preserve">Acting </w:t>
      </w:r>
      <w:r w:rsidRPr="007D207D">
        <w:rPr>
          <w:rFonts w:ascii="Arial" w:hAnsi="Arial" w:cs="Arial"/>
          <w:i/>
          <w:sz w:val="24"/>
          <w:szCs w:val="24"/>
        </w:rPr>
        <w:t>Judge of the High Court</w:t>
      </w:r>
    </w:p>
    <w:p w14:paraId="7401F555" w14:textId="77777777" w:rsidR="00965923" w:rsidRPr="007D207D" w:rsidRDefault="00965923" w:rsidP="00965923">
      <w:pPr>
        <w:pStyle w:val="ListParagraph"/>
        <w:spacing w:after="120"/>
        <w:jc w:val="right"/>
        <w:rPr>
          <w:rFonts w:ascii="Arial" w:hAnsi="Arial" w:cs="Arial"/>
          <w:i/>
          <w:sz w:val="24"/>
          <w:szCs w:val="24"/>
        </w:rPr>
      </w:pPr>
      <w:r w:rsidRPr="007D207D">
        <w:rPr>
          <w:rFonts w:ascii="Arial" w:hAnsi="Arial" w:cs="Arial"/>
          <w:i/>
          <w:sz w:val="24"/>
          <w:szCs w:val="24"/>
        </w:rPr>
        <w:t>Gauteng Local Division, Johannesburg</w:t>
      </w:r>
    </w:p>
    <w:p w14:paraId="1E578739" w14:textId="77777777" w:rsidR="00602887" w:rsidRDefault="00602887" w:rsidP="00965923">
      <w:pPr>
        <w:tabs>
          <w:tab w:val="left" w:pos="2160"/>
        </w:tabs>
        <w:spacing w:after="0" w:line="480" w:lineRule="auto"/>
        <w:rPr>
          <w:rFonts w:ascii="Arial" w:eastAsia="SimSun" w:hAnsi="Arial" w:cs="Arial"/>
          <w:iCs/>
          <w:sz w:val="23"/>
          <w:szCs w:val="23"/>
          <w:lang w:val="en-GB" w:eastAsia="zh-CN"/>
        </w:rPr>
      </w:pPr>
    </w:p>
    <w:p w14:paraId="15F0B3D4" w14:textId="17D34054" w:rsidR="00965923" w:rsidRPr="00602887" w:rsidRDefault="00965923" w:rsidP="00965923">
      <w:pPr>
        <w:tabs>
          <w:tab w:val="left" w:pos="2160"/>
        </w:tabs>
        <w:spacing w:after="0" w:line="480" w:lineRule="auto"/>
        <w:rPr>
          <w:rFonts w:ascii="Arial" w:eastAsia="SimSun" w:hAnsi="Arial" w:cs="Arial"/>
          <w:iCs/>
          <w:sz w:val="23"/>
          <w:szCs w:val="23"/>
          <w:lang w:val="en-GB" w:eastAsia="zh-CN"/>
        </w:rPr>
      </w:pPr>
      <w:r w:rsidRPr="00602887">
        <w:rPr>
          <w:rFonts w:ascii="Arial" w:eastAsia="SimSun" w:hAnsi="Arial" w:cs="Arial"/>
          <w:iCs/>
          <w:sz w:val="23"/>
          <w:szCs w:val="23"/>
          <w:lang w:val="en-GB" w:eastAsia="zh-CN"/>
        </w:rPr>
        <w:t>Date Heard</w:t>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t>:</w:t>
      </w:r>
      <w:r w:rsidRPr="00602887">
        <w:rPr>
          <w:rFonts w:ascii="Arial" w:eastAsia="SimSun" w:hAnsi="Arial" w:cs="Arial"/>
          <w:iCs/>
          <w:sz w:val="23"/>
          <w:szCs w:val="23"/>
          <w:lang w:val="en-GB" w:eastAsia="zh-CN"/>
        </w:rPr>
        <w:tab/>
      </w:r>
      <w:r w:rsidR="00F34932" w:rsidRPr="00602887">
        <w:rPr>
          <w:rFonts w:ascii="Arial" w:eastAsia="SimSun" w:hAnsi="Arial" w:cs="Arial"/>
          <w:iCs/>
          <w:sz w:val="23"/>
          <w:szCs w:val="23"/>
          <w:lang w:val="en-GB" w:eastAsia="zh-CN"/>
        </w:rPr>
        <w:t>10</w:t>
      </w:r>
      <w:r w:rsidRPr="00602887">
        <w:rPr>
          <w:rFonts w:ascii="Arial" w:eastAsia="SimSun" w:hAnsi="Arial" w:cs="Arial"/>
          <w:iCs/>
          <w:sz w:val="23"/>
          <w:szCs w:val="23"/>
          <w:lang w:val="en-GB" w:eastAsia="zh-CN"/>
        </w:rPr>
        <w:t xml:space="preserve"> August 2021</w:t>
      </w:r>
    </w:p>
    <w:p w14:paraId="4E2F7D05" w14:textId="2B740F31" w:rsidR="00965923" w:rsidRPr="00602887" w:rsidRDefault="00965923" w:rsidP="00965923">
      <w:pPr>
        <w:tabs>
          <w:tab w:val="left" w:pos="2160"/>
        </w:tabs>
        <w:spacing w:after="0" w:line="480" w:lineRule="auto"/>
        <w:rPr>
          <w:rFonts w:ascii="Arial" w:eastAsia="SimSun" w:hAnsi="Arial" w:cs="Arial"/>
          <w:iCs/>
          <w:sz w:val="23"/>
          <w:szCs w:val="23"/>
          <w:lang w:val="en-GB" w:eastAsia="zh-CN"/>
        </w:rPr>
      </w:pPr>
      <w:r w:rsidRPr="00602887">
        <w:rPr>
          <w:rFonts w:ascii="Arial" w:eastAsia="SimSun" w:hAnsi="Arial" w:cs="Arial"/>
          <w:iCs/>
          <w:sz w:val="23"/>
          <w:szCs w:val="23"/>
          <w:lang w:val="en-GB" w:eastAsia="zh-CN"/>
        </w:rPr>
        <w:t>Date Judgement Delivered</w:t>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t>:</w:t>
      </w:r>
      <w:r w:rsidRPr="00602887">
        <w:rPr>
          <w:rFonts w:ascii="Arial" w:eastAsia="SimSun" w:hAnsi="Arial" w:cs="Arial"/>
          <w:iCs/>
          <w:sz w:val="23"/>
          <w:szCs w:val="23"/>
          <w:lang w:val="en-GB" w:eastAsia="zh-CN"/>
        </w:rPr>
        <w:tab/>
        <w:t>1</w:t>
      </w:r>
      <w:r w:rsidR="00F34932" w:rsidRPr="00602887">
        <w:rPr>
          <w:rFonts w:ascii="Arial" w:eastAsia="SimSun" w:hAnsi="Arial" w:cs="Arial"/>
          <w:iCs/>
          <w:sz w:val="23"/>
          <w:szCs w:val="23"/>
          <w:lang w:val="en-GB" w:eastAsia="zh-CN"/>
        </w:rPr>
        <w:t>9</w:t>
      </w:r>
      <w:r w:rsidRPr="00602887">
        <w:rPr>
          <w:rFonts w:ascii="Arial" w:eastAsia="SimSun" w:hAnsi="Arial" w:cs="Arial"/>
          <w:iCs/>
          <w:sz w:val="23"/>
          <w:szCs w:val="23"/>
          <w:lang w:val="en-GB" w:eastAsia="zh-CN"/>
        </w:rPr>
        <w:t xml:space="preserve"> </w:t>
      </w:r>
      <w:r w:rsidR="00F34932" w:rsidRPr="00602887">
        <w:rPr>
          <w:rFonts w:ascii="Arial" w:eastAsia="SimSun" w:hAnsi="Arial" w:cs="Arial"/>
          <w:iCs/>
          <w:sz w:val="23"/>
          <w:szCs w:val="23"/>
          <w:lang w:val="en-GB" w:eastAsia="zh-CN"/>
        </w:rPr>
        <w:t>April</w:t>
      </w:r>
      <w:r w:rsidRPr="00602887">
        <w:rPr>
          <w:rFonts w:ascii="Arial" w:eastAsia="SimSun" w:hAnsi="Arial" w:cs="Arial"/>
          <w:iCs/>
          <w:sz w:val="23"/>
          <w:szCs w:val="23"/>
          <w:lang w:val="en-GB" w:eastAsia="zh-CN"/>
        </w:rPr>
        <w:t xml:space="preserve"> 2022</w:t>
      </w:r>
    </w:p>
    <w:p w14:paraId="0EDBFAB7" w14:textId="3904FC76" w:rsidR="00965923" w:rsidRPr="00602887" w:rsidRDefault="00965923" w:rsidP="00965923">
      <w:pPr>
        <w:tabs>
          <w:tab w:val="left" w:pos="2160"/>
        </w:tabs>
        <w:spacing w:after="0" w:line="240" w:lineRule="auto"/>
        <w:rPr>
          <w:rFonts w:ascii="Arial" w:eastAsia="SimSun" w:hAnsi="Arial" w:cs="Arial"/>
          <w:iCs/>
          <w:sz w:val="23"/>
          <w:szCs w:val="23"/>
          <w:lang w:val="en-GB" w:eastAsia="zh-CN"/>
        </w:rPr>
      </w:pPr>
      <w:r w:rsidRPr="00602887">
        <w:rPr>
          <w:rFonts w:ascii="Arial" w:eastAsia="SimSun" w:hAnsi="Arial" w:cs="Arial"/>
          <w:iCs/>
          <w:sz w:val="23"/>
          <w:szCs w:val="23"/>
          <w:lang w:val="en-GB" w:eastAsia="zh-CN"/>
        </w:rPr>
        <w:t xml:space="preserve">For the Applicant </w:t>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t>:</w:t>
      </w:r>
      <w:r w:rsidRPr="00602887">
        <w:rPr>
          <w:rFonts w:ascii="Arial" w:eastAsia="SimSun" w:hAnsi="Arial" w:cs="Arial"/>
          <w:iCs/>
          <w:sz w:val="23"/>
          <w:szCs w:val="23"/>
          <w:lang w:val="en-GB" w:eastAsia="zh-CN"/>
        </w:rPr>
        <w:tab/>
      </w:r>
      <w:proofErr w:type="spellStart"/>
      <w:r w:rsidR="0013258B" w:rsidRPr="00602887">
        <w:rPr>
          <w:rFonts w:ascii="Arial" w:eastAsia="SimSun" w:hAnsi="Arial" w:cs="Arial"/>
          <w:iCs/>
          <w:sz w:val="23"/>
          <w:szCs w:val="23"/>
          <w:lang w:val="en-GB" w:eastAsia="zh-CN"/>
        </w:rPr>
        <w:t>Adv</w:t>
      </w:r>
      <w:proofErr w:type="spellEnd"/>
      <w:r w:rsidR="0013258B" w:rsidRPr="00602887">
        <w:rPr>
          <w:rFonts w:ascii="Arial" w:eastAsia="SimSun" w:hAnsi="Arial" w:cs="Arial"/>
          <w:iCs/>
          <w:sz w:val="23"/>
          <w:szCs w:val="23"/>
          <w:lang w:val="en-GB" w:eastAsia="zh-CN"/>
        </w:rPr>
        <w:t xml:space="preserve"> </w:t>
      </w:r>
      <w:proofErr w:type="spellStart"/>
      <w:r w:rsidR="0013258B" w:rsidRPr="00602887">
        <w:rPr>
          <w:rFonts w:ascii="Arial" w:eastAsia="SimSun" w:hAnsi="Arial" w:cs="Arial"/>
          <w:iCs/>
          <w:sz w:val="23"/>
          <w:szCs w:val="23"/>
          <w:lang w:val="en-GB" w:eastAsia="zh-CN"/>
        </w:rPr>
        <w:t>Hellens</w:t>
      </w:r>
      <w:proofErr w:type="spellEnd"/>
      <w:r w:rsidR="0013258B" w:rsidRPr="00602887">
        <w:rPr>
          <w:rFonts w:ascii="Arial" w:eastAsia="SimSun" w:hAnsi="Arial" w:cs="Arial"/>
          <w:iCs/>
          <w:sz w:val="23"/>
          <w:szCs w:val="23"/>
          <w:lang w:val="en-GB" w:eastAsia="zh-CN"/>
        </w:rPr>
        <w:t xml:space="preserve"> SC and </w:t>
      </w:r>
      <w:proofErr w:type="spellStart"/>
      <w:r w:rsidR="002D1F87" w:rsidRPr="00602887">
        <w:rPr>
          <w:rFonts w:ascii="Arial" w:eastAsia="SimSun" w:hAnsi="Arial" w:cs="Arial"/>
          <w:iCs/>
          <w:sz w:val="23"/>
          <w:szCs w:val="23"/>
          <w:lang w:val="en-GB" w:eastAsia="zh-CN"/>
        </w:rPr>
        <w:t>Adv</w:t>
      </w:r>
      <w:proofErr w:type="spellEnd"/>
      <w:r w:rsidR="002D1F87" w:rsidRPr="00602887">
        <w:rPr>
          <w:rFonts w:ascii="Arial" w:eastAsia="SimSun" w:hAnsi="Arial" w:cs="Arial"/>
          <w:iCs/>
          <w:sz w:val="23"/>
          <w:szCs w:val="23"/>
          <w:lang w:val="en-GB" w:eastAsia="zh-CN"/>
        </w:rPr>
        <w:t xml:space="preserve"> G </w:t>
      </w:r>
      <w:proofErr w:type="spellStart"/>
      <w:r w:rsidR="002D1F87" w:rsidRPr="00602887">
        <w:rPr>
          <w:rFonts w:ascii="Arial" w:eastAsia="SimSun" w:hAnsi="Arial" w:cs="Arial"/>
          <w:iCs/>
          <w:sz w:val="23"/>
          <w:szCs w:val="23"/>
          <w:lang w:val="en-GB" w:eastAsia="zh-CN"/>
        </w:rPr>
        <w:t>Amm</w:t>
      </w:r>
      <w:proofErr w:type="spellEnd"/>
      <w:r w:rsidRPr="00602887">
        <w:rPr>
          <w:rFonts w:ascii="Arial" w:eastAsia="SimSun" w:hAnsi="Arial" w:cs="Arial"/>
          <w:iCs/>
          <w:sz w:val="23"/>
          <w:szCs w:val="23"/>
          <w:lang w:val="en-GB" w:eastAsia="zh-CN"/>
        </w:rPr>
        <w:t xml:space="preserve"> </w:t>
      </w:r>
    </w:p>
    <w:p w14:paraId="282E066A" w14:textId="77777777" w:rsidR="00965923" w:rsidRPr="00602887" w:rsidRDefault="00965923" w:rsidP="00965923">
      <w:pPr>
        <w:tabs>
          <w:tab w:val="left" w:pos="2160"/>
        </w:tabs>
        <w:spacing w:after="0" w:line="240" w:lineRule="auto"/>
        <w:rPr>
          <w:rFonts w:ascii="Arial" w:eastAsia="SimSun" w:hAnsi="Arial" w:cs="Arial"/>
          <w:iCs/>
          <w:sz w:val="23"/>
          <w:szCs w:val="23"/>
          <w:lang w:val="en-GB" w:eastAsia="zh-CN"/>
        </w:rPr>
      </w:pPr>
    </w:p>
    <w:p w14:paraId="08B8D260" w14:textId="6414B0B7" w:rsidR="00965923" w:rsidRPr="00602887" w:rsidRDefault="00965923" w:rsidP="00965923">
      <w:pPr>
        <w:tabs>
          <w:tab w:val="left" w:pos="2160"/>
        </w:tabs>
        <w:spacing w:after="0"/>
        <w:rPr>
          <w:rFonts w:ascii="Arial" w:eastAsia="SimSun" w:hAnsi="Arial" w:cs="Arial"/>
          <w:iCs/>
          <w:sz w:val="23"/>
          <w:szCs w:val="23"/>
          <w:lang w:val="en-GB" w:eastAsia="zh-CN"/>
        </w:rPr>
      </w:pPr>
      <w:r w:rsidRPr="00602887">
        <w:rPr>
          <w:rFonts w:ascii="Arial" w:eastAsia="SimSun" w:hAnsi="Arial" w:cs="Arial"/>
          <w:iCs/>
          <w:sz w:val="23"/>
          <w:szCs w:val="23"/>
          <w:lang w:val="en-GB" w:eastAsia="zh-CN"/>
        </w:rPr>
        <w:t>Instructed by</w:t>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t>:</w:t>
      </w:r>
      <w:r w:rsidRPr="00602887">
        <w:rPr>
          <w:rFonts w:ascii="Arial" w:eastAsia="SimSun" w:hAnsi="Arial" w:cs="Arial"/>
          <w:iCs/>
          <w:sz w:val="23"/>
          <w:szCs w:val="23"/>
          <w:lang w:val="en-GB" w:eastAsia="zh-CN"/>
        </w:rPr>
        <w:tab/>
      </w:r>
      <w:r w:rsidR="002D1F87" w:rsidRPr="00602887">
        <w:rPr>
          <w:rFonts w:ascii="Arial" w:eastAsia="SimSun" w:hAnsi="Arial" w:cs="Arial"/>
          <w:iCs/>
          <w:sz w:val="23"/>
          <w:szCs w:val="23"/>
          <w:lang w:val="en-GB" w:eastAsia="zh-CN"/>
        </w:rPr>
        <w:t>Livingstone Crichton</w:t>
      </w:r>
      <w:r w:rsidRPr="00602887">
        <w:rPr>
          <w:rFonts w:ascii="Arial" w:eastAsia="SimSun" w:hAnsi="Arial" w:cs="Arial"/>
          <w:iCs/>
          <w:sz w:val="23"/>
          <w:szCs w:val="23"/>
          <w:lang w:val="en-GB" w:eastAsia="zh-CN"/>
        </w:rPr>
        <w:t xml:space="preserve"> Attorneys</w:t>
      </w:r>
    </w:p>
    <w:p w14:paraId="356B5364" w14:textId="2FCEC121" w:rsidR="00965923" w:rsidRPr="00602887" w:rsidRDefault="00965923" w:rsidP="00965923">
      <w:pPr>
        <w:tabs>
          <w:tab w:val="left" w:pos="2160"/>
        </w:tabs>
        <w:spacing w:after="0"/>
        <w:rPr>
          <w:rFonts w:ascii="Arial" w:eastAsia="SimSun" w:hAnsi="Arial" w:cs="Arial"/>
          <w:iCs/>
          <w:sz w:val="23"/>
          <w:szCs w:val="23"/>
          <w:lang w:val="en-GB" w:eastAsia="zh-CN"/>
        </w:rPr>
      </w:pP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t xml:space="preserve">Ref: </w:t>
      </w:r>
      <w:r w:rsidR="002D1F87" w:rsidRPr="00602887">
        <w:rPr>
          <w:rFonts w:ascii="Arial" w:eastAsia="SimSun" w:hAnsi="Arial" w:cs="Arial"/>
          <w:iCs/>
          <w:sz w:val="23"/>
          <w:szCs w:val="23"/>
          <w:lang w:val="en-GB" w:eastAsia="zh-CN"/>
        </w:rPr>
        <w:t>C Joseph</w:t>
      </w:r>
      <w:r w:rsidRPr="00602887">
        <w:rPr>
          <w:rFonts w:ascii="Arial" w:eastAsia="SimSun" w:hAnsi="Arial" w:cs="Arial"/>
          <w:iCs/>
          <w:sz w:val="23"/>
          <w:szCs w:val="23"/>
          <w:lang w:val="en-GB" w:eastAsia="zh-CN"/>
        </w:rPr>
        <w:t xml:space="preserve"> / MAT20</w:t>
      </w:r>
      <w:r w:rsidR="002D1F87" w:rsidRPr="00602887">
        <w:rPr>
          <w:rFonts w:ascii="Arial" w:eastAsia="SimSun" w:hAnsi="Arial" w:cs="Arial"/>
          <w:iCs/>
          <w:sz w:val="23"/>
          <w:szCs w:val="23"/>
          <w:lang w:val="en-GB" w:eastAsia="zh-CN"/>
        </w:rPr>
        <w:t>17</w:t>
      </w:r>
    </w:p>
    <w:p w14:paraId="716AE4BD" w14:textId="6F1B8866" w:rsidR="00965923" w:rsidRPr="00602887" w:rsidRDefault="00965923" w:rsidP="00965923">
      <w:pPr>
        <w:tabs>
          <w:tab w:val="left" w:pos="2160"/>
        </w:tabs>
        <w:spacing w:after="0"/>
        <w:rPr>
          <w:rFonts w:ascii="Arial" w:eastAsia="SimSun" w:hAnsi="Arial" w:cs="Arial"/>
          <w:iCs/>
          <w:sz w:val="23"/>
          <w:szCs w:val="23"/>
          <w:lang w:val="en-GB" w:eastAsia="zh-CN"/>
        </w:rPr>
      </w:pP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t xml:space="preserve">Email: </w:t>
      </w:r>
      <w:hyperlink r:id="rId12" w:history="1">
        <w:r w:rsidR="002D1F87" w:rsidRPr="00602887">
          <w:rPr>
            <w:rStyle w:val="Hyperlink"/>
            <w:rFonts w:ascii="Arial" w:eastAsia="SimSun" w:hAnsi="Arial" w:cs="Arial"/>
            <w:iCs/>
            <w:sz w:val="23"/>
            <w:szCs w:val="23"/>
            <w:lang w:val="en-GB" w:eastAsia="zh-CN"/>
          </w:rPr>
          <w:t>chrisj@lc.legal</w:t>
        </w:r>
      </w:hyperlink>
    </w:p>
    <w:p w14:paraId="2C283A48" w14:textId="0E980394" w:rsidR="00965923" w:rsidRPr="00602887" w:rsidRDefault="00965923" w:rsidP="00965923">
      <w:pPr>
        <w:tabs>
          <w:tab w:val="left" w:pos="2160"/>
        </w:tabs>
        <w:spacing w:after="0" w:line="240" w:lineRule="auto"/>
        <w:rPr>
          <w:rFonts w:ascii="Arial" w:eastAsia="SimSun" w:hAnsi="Arial" w:cs="Arial"/>
          <w:iCs/>
          <w:sz w:val="23"/>
          <w:szCs w:val="23"/>
          <w:lang w:val="en-GB" w:eastAsia="zh-CN"/>
        </w:rPr>
      </w:pPr>
      <w:r w:rsidRPr="00602887">
        <w:rPr>
          <w:rFonts w:ascii="Arial" w:eastAsia="SimSun" w:hAnsi="Arial" w:cs="Arial"/>
          <w:iCs/>
          <w:sz w:val="23"/>
          <w:szCs w:val="23"/>
          <w:lang w:val="en-GB" w:eastAsia="zh-CN"/>
        </w:rPr>
        <w:t>For the Respondent</w:t>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t>:</w:t>
      </w:r>
      <w:r w:rsidRPr="00602887">
        <w:rPr>
          <w:rFonts w:ascii="Arial" w:eastAsia="SimSun" w:hAnsi="Arial" w:cs="Arial"/>
          <w:iCs/>
          <w:sz w:val="23"/>
          <w:szCs w:val="23"/>
          <w:lang w:val="en-GB" w:eastAsia="zh-CN"/>
        </w:rPr>
        <w:tab/>
      </w:r>
      <w:proofErr w:type="spellStart"/>
      <w:r w:rsidRPr="00602887">
        <w:rPr>
          <w:rFonts w:ascii="Arial" w:eastAsia="SimSun" w:hAnsi="Arial" w:cs="Arial"/>
          <w:iCs/>
          <w:sz w:val="23"/>
          <w:szCs w:val="23"/>
          <w:lang w:val="en-GB" w:eastAsia="zh-CN"/>
        </w:rPr>
        <w:t>Adv</w:t>
      </w:r>
      <w:proofErr w:type="spellEnd"/>
      <w:r w:rsidRPr="00602887">
        <w:rPr>
          <w:rFonts w:ascii="Arial" w:eastAsia="SimSun" w:hAnsi="Arial" w:cs="Arial"/>
          <w:iCs/>
          <w:sz w:val="23"/>
          <w:szCs w:val="23"/>
          <w:lang w:val="en-GB" w:eastAsia="zh-CN"/>
        </w:rPr>
        <w:t xml:space="preserve"> M </w:t>
      </w:r>
      <w:proofErr w:type="spellStart"/>
      <w:r w:rsidR="002D1F87" w:rsidRPr="00602887">
        <w:rPr>
          <w:rFonts w:ascii="Arial" w:eastAsia="SimSun" w:hAnsi="Arial" w:cs="Arial"/>
          <w:iCs/>
          <w:sz w:val="23"/>
          <w:szCs w:val="23"/>
          <w:lang w:val="en-GB" w:eastAsia="zh-CN"/>
        </w:rPr>
        <w:t>Crespi</w:t>
      </w:r>
      <w:proofErr w:type="spellEnd"/>
    </w:p>
    <w:p w14:paraId="1E50A357" w14:textId="77777777" w:rsidR="00965923" w:rsidRPr="00602887" w:rsidRDefault="00965923" w:rsidP="00965923">
      <w:pPr>
        <w:tabs>
          <w:tab w:val="left" w:pos="2160"/>
        </w:tabs>
        <w:spacing w:after="0" w:line="240" w:lineRule="auto"/>
        <w:rPr>
          <w:rFonts w:ascii="Arial" w:eastAsia="SimSun" w:hAnsi="Arial" w:cs="Arial"/>
          <w:iCs/>
          <w:sz w:val="23"/>
          <w:szCs w:val="23"/>
          <w:lang w:val="en-GB" w:eastAsia="zh-CN"/>
        </w:rPr>
      </w:pPr>
    </w:p>
    <w:p w14:paraId="16970983" w14:textId="321700B0" w:rsidR="00965923" w:rsidRPr="00602887" w:rsidRDefault="00965923" w:rsidP="00965923">
      <w:pPr>
        <w:tabs>
          <w:tab w:val="left" w:pos="2160"/>
        </w:tabs>
        <w:spacing w:after="0"/>
        <w:rPr>
          <w:rFonts w:ascii="Arial" w:eastAsia="SimSun" w:hAnsi="Arial" w:cs="Arial"/>
          <w:iCs/>
          <w:sz w:val="23"/>
          <w:szCs w:val="23"/>
          <w:lang w:val="en-GB" w:eastAsia="zh-CN"/>
        </w:rPr>
      </w:pPr>
      <w:r w:rsidRPr="00602887">
        <w:rPr>
          <w:rFonts w:ascii="Arial" w:eastAsia="SimSun" w:hAnsi="Arial" w:cs="Arial"/>
          <w:iCs/>
          <w:sz w:val="23"/>
          <w:szCs w:val="23"/>
          <w:lang w:val="en-GB" w:eastAsia="zh-CN"/>
        </w:rPr>
        <w:t>Instructed by</w:t>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t>:</w:t>
      </w:r>
      <w:r w:rsidRPr="00602887">
        <w:rPr>
          <w:rFonts w:ascii="Arial" w:eastAsia="SimSun" w:hAnsi="Arial" w:cs="Arial"/>
          <w:iCs/>
          <w:sz w:val="23"/>
          <w:szCs w:val="23"/>
          <w:lang w:val="en-GB" w:eastAsia="zh-CN"/>
        </w:rPr>
        <w:tab/>
      </w:r>
      <w:proofErr w:type="spellStart"/>
      <w:r w:rsidR="002D1F87" w:rsidRPr="00602887">
        <w:rPr>
          <w:rFonts w:ascii="Arial" w:eastAsia="SimSun" w:hAnsi="Arial" w:cs="Arial"/>
          <w:iCs/>
          <w:sz w:val="23"/>
          <w:szCs w:val="23"/>
          <w:lang w:val="en-GB" w:eastAsia="zh-CN"/>
        </w:rPr>
        <w:t>Schindlers</w:t>
      </w:r>
      <w:proofErr w:type="spellEnd"/>
      <w:r w:rsidR="002D1F87" w:rsidRPr="00602887">
        <w:rPr>
          <w:rFonts w:ascii="Arial" w:eastAsia="SimSun" w:hAnsi="Arial" w:cs="Arial"/>
          <w:iCs/>
          <w:sz w:val="23"/>
          <w:szCs w:val="23"/>
          <w:lang w:val="en-GB" w:eastAsia="zh-CN"/>
        </w:rPr>
        <w:t xml:space="preserve"> </w:t>
      </w:r>
      <w:r w:rsidRPr="00602887">
        <w:rPr>
          <w:rFonts w:ascii="Arial" w:eastAsia="SimSun" w:hAnsi="Arial" w:cs="Arial"/>
          <w:iCs/>
          <w:sz w:val="23"/>
          <w:szCs w:val="23"/>
          <w:lang w:val="en-GB" w:eastAsia="zh-CN"/>
        </w:rPr>
        <w:t>Attorneys</w:t>
      </w:r>
    </w:p>
    <w:p w14:paraId="3B54B650" w14:textId="28CE45B6" w:rsidR="00965923" w:rsidRPr="00602887" w:rsidRDefault="00965923" w:rsidP="00965923">
      <w:pPr>
        <w:tabs>
          <w:tab w:val="left" w:pos="2160"/>
        </w:tabs>
        <w:spacing w:after="0"/>
        <w:rPr>
          <w:rFonts w:ascii="Arial" w:eastAsia="SimSun" w:hAnsi="Arial" w:cs="Arial"/>
          <w:iCs/>
          <w:sz w:val="23"/>
          <w:szCs w:val="23"/>
          <w:lang w:val="en-GB" w:eastAsia="zh-CN"/>
        </w:rPr>
      </w:pP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t xml:space="preserve">Ref: </w:t>
      </w:r>
      <w:r w:rsidR="002D1F87" w:rsidRPr="00602887">
        <w:rPr>
          <w:rFonts w:ascii="Arial" w:eastAsia="SimSun" w:hAnsi="Arial" w:cs="Arial"/>
          <w:iCs/>
          <w:sz w:val="23"/>
          <w:szCs w:val="23"/>
          <w:lang w:val="en-GB" w:eastAsia="zh-CN"/>
        </w:rPr>
        <w:t xml:space="preserve">Mr </w:t>
      </w:r>
      <w:proofErr w:type="spellStart"/>
      <w:r w:rsidR="002D1F87" w:rsidRPr="00602887">
        <w:rPr>
          <w:rFonts w:ascii="Arial" w:eastAsia="SimSun" w:hAnsi="Arial" w:cs="Arial"/>
          <w:iCs/>
          <w:sz w:val="23"/>
          <w:szCs w:val="23"/>
          <w:lang w:val="en-GB" w:eastAsia="zh-CN"/>
        </w:rPr>
        <w:t>Crespi</w:t>
      </w:r>
      <w:proofErr w:type="spellEnd"/>
      <w:r w:rsidR="002D1F87" w:rsidRPr="00602887">
        <w:rPr>
          <w:rFonts w:ascii="Arial" w:eastAsia="SimSun" w:hAnsi="Arial" w:cs="Arial"/>
          <w:iCs/>
          <w:sz w:val="23"/>
          <w:szCs w:val="23"/>
          <w:lang w:val="en-GB" w:eastAsia="zh-CN"/>
        </w:rPr>
        <w:t>/PK/G1185</w:t>
      </w:r>
    </w:p>
    <w:p w14:paraId="4376C5E8" w14:textId="7A7A4F45" w:rsidR="00331F44" w:rsidRPr="00F1682E" w:rsidRDefault="00965923" w:rsidP="00602887">
      <w:pPr>
        <w:tabs>
          <w:tab w:val="left" w:pos="2160"/>
        </w:tabs>
        <w:spacing w:after="0"/>
        <w:rPr>
          <w:rFonts w:ascii="Arial" w:hAnsi="Arial" w:cs="Arial"/>
          <w:sz w:val="24"/>
          <w:szCs w:val="24"/>
        </w:rPr>
      </w:pP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r>
      <w:r w:rsidRPr="00602887">
        <w:rPr>
          <w:rFonts w:ascii="Arial" w:eastAsia="SimSun" w:hAnsi="Arial" w:cs="Arial"/>
          <w:iCs/>
          <w:sz w:val="23"/>
          <w:szCs w:val="23"/>
          <w:lang w:val="en-GB" w:eastAsia="zh-CN"/>
        </w:rPr>
        <w:tab/>
        <w:t xml:space="preserve">Email: </w:t>
      </w:r>
      <w:hyperlink r:id="rId13" w:history="1">
        <w:r w:rsidR="002D1F87" w:rsidRPr="00602887">
          <w:rPr>
            <w:rStyle w:val="Hyperlink"/>
            <w:rFonts w:ascii="Arial" w:eastAsia="SimSun" w:hAnsi="Arial" w:cs="Arial"/>
            <w:iCs/>
            <w:sz w:val="23"/>
            <w:szCs w:val="23"/>
            <w:lang w:val="en-GB" w:eastAsia="zh-CN"/>
          </w:rPr>
          <w:t>Crespi-Team@schindlers.co.za</w:t>
        </w:r>
      </w:hyperlink>
      <w:r w:rsidR="00D448F6">
        <w:rPr>
          <w:rFonts w:ascii="Arial" w:hAnsi="Arial" w:cs="Arial"/>
          <w:sz w:val="24"/>
          <w:szCs w:val="24"/>
        </w:rPr>
        <w:t xml:space="preserve">     </w:t>
      </w:r>
    </w:p>
    <w:sectPr w:rsidR="00331F44" w:rsidRPr="00F1682E" w:rsidSect="0093775D">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134" w:right="1134" w:bottom="1134" w:left="1134" w:header="680" w:footer="68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761DE" w14:textId="77777777" w:rsidR="00003735" w:rsidRDefault="00003735">
      <w:pPr>
        <w:spacing w:after="0" w:line="240" w:lineRule="auto"/>
      </w:pPr>
      <w:r>
        <w:separator/>
      </w:r>
    </w:p>
  </w:endnote>
  <w:endnote w:type="continuationSeparator" w:id="0">
    <w:p w14:paraId="0C7FD2FA" w14:textId="77777777" w:rsidR="00003735" w:rsidRDefault="0000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BAA7" w14:textId="77777777" w:rsidR="00A85D6B" w:rsidRDefault="00A85D6B">
    <w:pPr>
      <w:pStyle w:val="Footer"/>
    </w:pPr>
  </w:p>
  <w:p w14:paraId="42446F96" w14:textId="77777777" w:rsidR="000B7F03" w:rsidRDefault="000B7F03"/>
  <w:p w14:paraId="56799BF1" w14:textId="77777777" w:rsidR="00F40686" w:rsidRDefault="00F406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4972" w14:textId="589CCA13" w:rsidR="000B7F03" w:rsidRDefault="000B7F03" w:rsidP="00FC23BF">
    <w:pPr>
      <w:pStyle w:val="Footer"/>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440C" w14:textId="77777777" w:rsidR="00EF1EDF" w:rsidRDefault="00EF1EDF" w:rsidP="006561BA">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5380" w14:textId="77777777" w:rsidR="00003735" w:rsidRDefault="00003735">
      <w:pPr>
        <w:spacing w:after="0" w:line="240" w:lineRule="auto"/>
      </w:pPr>
      <w:r>
        <w:separator/>
      </w:r>
    </w:p>
  </w:footnote>
  <w:footnote w:type="continuationSeparator" w:id="0">
    <w:p w14:paraId="215EABE5" w14:textId="77777777" w:rsidR="00003735" w:rsidRDefault="00003735">
      <w:pPr>
        <w:spacing w:after="0" w:line="240" w:lineRule="auto"/>
      </w:pPr>
      <w:r>
        <w:continuationSeparator/>
      </w:r>
    </w:p>
  </w:footnote>
  <w:footnote w:id="1">
    <w:p w14:paraId="52E48B3D" w14:textId="1F5FA06D" w:rsidR="00EA0AB6" w:rsidRPr="00EA0AB6" w:rsidRDefault="00EA0AB6">
      <w:pPr>
        <w:pStyle w:val="FootnoteText"/>
        <w:rPr>
          <w:rFonts w:ascii="Arial" w:hAnsi="Arial" w:cs="Arial"/>
          <w:sz w:val="20"/>
          <w:lang w:val="en-US"/>
        </w:rPr>
      </w:pPr>
      <w:r w:rsidRPr="00EA0AB6">
        <w:rPr>
          <w:rStyle w:val="FootnoteReference"/>
          <w:rFonts w:ascii="Arial" w:hAnsi="Arial" w:cs="Arial"/>
          <w:sz w:val="20"/>
        </w:rPr>
        <w:footnoteRef/>
      </w:r>
      <w:r w:rsidRPr="00EA0AB6">
        <w:rPr>
          <w:rFonts w:ascii="Arial" w:hAnsi="Arial" w:cs="Arial"/>
          <w:sz w:val="20"/>
        </w:rPr>
        <w:t xml:space="preserve"> </w:t>
      </w:r>
      <w:proofErr w:type="spellStart"/>
      <w:r w:rsidRPr="00EA0AB6">
        <w:rPr>
          <w:rFonts w:ascii="Arial" w:hAnsi="Arial" w:cs="Arial"/>
          <w:i/>
          <w:sz w:val="20"/>
          <w:lang w:val="en-US"/>
        </w:rPr>
        <w:t>Douglasdale</w:t>
      </w:r>
      <w:proofErr w:type="spellEnd"/>
      <w:r w:rsidRPr="00EA0AB6">
        <w:rPr>
          <w:rFonts w:ascii="Arial" w:hAnsi="Arial" w:cs="Arial"/>
          <w:i/>
          <w:sz w:val="20"/>
          <w:lang w:val="en-US"/>
        </w:rPr>
        <w:t xml:space="preserve"> Dairy &amp; others v </w:t>
      </w:r>
      <w:proofErr w:type="spellStart"/>
      <w:r w:rsidRPr="00EA0AB6">
        <w:rPr>
          <w:rFonts w:ascii="Arial" w:hAnsi="Arial" w:cs="Arial"/>
          <w:i/>
          <w:sz w:val="20"/>
          <w:lang w:val="en-US"/>
        </w:rPr>
        <w:t>Bragge</w:t>
      </w:r>
      <w:proofErr w:type="spellEnd"/>
      <w:r w:rsidRPr="00EA0AB6">
        <w:rPr>
          <w:rFonts w:ascii="Arial" w:hAnsi="Arial" w:cs="Arial"/>
          <w:i/>
          <w:sz w:val="20"/>
          <w:lang w:val="en-US"/>
        </w:rPr>
        <w:t xml:space="preserve"> &amp; another</w:t>
      </w:r>
      <w:r>
        <w:rPr>
          <w:rFonts w:ascii="Arial" w:hAnsi="Arial" w:cs="Arial"/>
          <w:i/>
          <w:sz w:val="20"/>
          <w:lang w:val="en-US"/>
        </w:rPr>
        <w:t xml:space="preserve"> </w:t>
      </w:r>
      <w:r>
        <w:rPr>
          <w:rFonts w:ascii="Arial" w:hAnsi="Arial" w:cs="Arial"/>
          <w:sz w:val="20"/>
          <w:lang w:val="en-US"/>
        </w:rPr>
        <w:t>(731/2017) [2018] ZASCA 68 (25 May 2018).</w:t>
      </w:r>
    </w:p>
  </w:footnote>
  <w:footnote w:id="2">
    <w:p w14:paraId="1A1CBCD1" w14:textId="3A62A86D" w:rsidR="005964F7" w:rsidRPr="00FE252E" w:rsidRDefault="005964F7">
      <w:pPr>
        <w:pStyle w:val="FootnoteText"/>
        <w:rPr>
          <w:rFonts w:ascii="Arial" w:hAnsi="Arial" w:cs="Arial"/>
          <w:sz w:val="20"/>
          <w:lang w:val="en-US"/>
        </w:rPr>
      </w:pPr>
      <w:r w:rsidRPr="005964F7">
        <w:rPr>
          <w:rStyle w:val="FootnoteReference"/>
          <w:rFonts w:ascii="Arial" w:hAnsi="Arial" w:cs="Arial"/>
          <w:sz w:val="20"/>
        </w:rPr>
        <w:footnoteRef/>
      </w:r>
      <w:r w:rsidRPr="005964F7">
        <w:rPr>
          <w:rFonts w:ascii="Arial" w:hAnsi="Arial" w:cs="Arial"/>
          <w:sz w:val="20"/>
        </w:rPr>
        <w:t xml:space="preserve"> </w:t>
      </w:r>
      <w:r>
        <w:rPr>
          <w:rFonts w:ascii="Arial" w:hAnsi="Arial" w:cs="Arial"/>
          <w:i/>
          <w:sz w:val="20"/>
        </w:rPr>
        <w:t xml:space="preserve">Vanda v </w:t>
      </w:r>
      <w:proofErr w:type="spellStart"/>
      <w:r>
        <w:rPr>
          <w:rFonts w:ascii="Arial" w:hAnsi="Arial" w:cs="Arial"/>
          <w:i/>
          <w:sz w:val="20"/>
        </w:rPr>
        <w:t>Mbuqe</w:t>
      </w:r>
      <w:proofErr w:type="spellEnd"/>
      <w:r>
        <w:rPr>
          <w:rFonts w:ascii="Arial" w:hAnsi="Arial" w:cs="Arial"/>
          <w:i/>
          <w:sz w:val="20"/>
        </w:rPr>
        <w:t xml:space="preserve"> and </w:t>
      </w:r>
      <w:proofErr w:type="spellStart"/>
      <w:r>
        <w:rPr>
          <w:rFonts w:ascii="Arial" w:hAnsi="Arial" w:cs="Arial"/>
          <w:i/>
          <w:sz w:val="20"/>
        </w:rPr>
        <w:t>Mbuqe</w:t>
      </w:r>
      <w:proofErr w:type="spellEnd"/>
      <w:r>
        <w:rPr>
          <w:rFonts w:ascii="Arial" w:hAnsi="Arial" w:cs="Arial"/>
          <w:i/>
          <w:sz w:val="20"/>
        </w:rPr>
        <w:t xml:space="preserve"> </w:t>
      </w:r>
      <w:r>
        <w:rPr>
          <w:rFonts w:ascii="Arial" w:hAnsi="Arial" w:cs="Arial"/>
          <w:sz w:val="20"/>
        </w:rPr>
        <w:t>1993 (4) SA 93 (T</w:t>
      </w:r>
      <w:r w:rsidR="00357161">
        <w:rPr>
          <w:rFonts w:ascii="Arial" w:hAnsi="Arial" w:cs="Arial"/>
          <w:sz w:val="20"/>
        </w:rPr>
        <w:t>K</w:t>
      </w:r>
      <w:r>
        <w:rPr>
          <w:rFonts w:ascii="Arial" w:hAnsi="Arial" w:cs="Arial"/>
          <w:sz w:val="20"/>
        </w:rPr>
        <w:t xml:space="preserve">) </w:t>
      </w:r>
      <w:r w:rsidR="00357161">
        <w:rPr>
          <w:rFonts w:ascii="Arial" w:hAnsi="Arial" w:cs="Arial"/>
          <w:sz w:val="20"/>
        </w:rPr>
        <w:t>at 94G-J</w:t>
      </w:r>
      <w:r>
        <w:rPr>
          <w:rFonts w:ascii="Arial" w:hAnsi="Arial" w:cs="Arial"/>
          <w:sz w:val="20"/>
        </w:rPr>
        <w:t xml:space="preserve">; </w:t>
      </w:r>
      <w:proofErr w:type="spellStart"/>
      <w:r w:rsidR="00FE252E">
        <w:rPr>
          <w:rFonts w:ascii="Arial" w:hAnsi="Arial" w:cs="Arial"/>
          <w:i/>
          <w:sz w:val="20"/>
        </w:rPr>
        <w:t>Argentarius</w:t>
      </w:r>
      <w:proofErr w:type="spellEnd"/>
      <w:r w:rsidR="00FE252E">
        <w:rPr>
          <w:rFonts w:ascii="Arial" w:hAnsi="Arial" w:cs="Arial"/>
          <w:i/>
          <w:sz w:val="20"/>
        </w:rPr>
        <w:t xml:space="preserve"> No.1 (Pty) Ltd v South African Financial Exchange and </w:t>
      </w:r>
      <w:r w:rsidR="00302235">
        <w:rPr>
          <w:rFonts w:ascii="Arial" w:hAnsi="Arial" w:cs="Arial"/>
          <w:i/>
          <w:sz w:val="20"/>
        </w:rPr>
        <w:t xml:space="preserve">Others </w:t>
      </w:r>
      <w:r w:rsidR="00302235">
        <w:rPr>
          <w:rFonts w:ascii="Arial" w:hAnsi="Arial" w:cs="Arial"/>
          <w:sz w:val="20"/>
        </w:rPr>
        <w:t>[</w:t>
      </w:r>
      <w:r w:rsidR="00FE252E">
        <w:rPr>
          <w:rFonts w:ascii="Arial" w:hAnsi="Arial" w:cs="Arial"/>
          <w:sz w:val="20"/>
        </w:rPr>
        <w:t>2012] ZAGPJHC 136 (25 July 2012) para 7.</w:t>
      </w:r>
    </w:p>
  </w:footnote>
  <w:footnote w:id="3">
    <w:p w14:paraId="3525F41D" w14:textId="5E54C5DE" w:rsidR="00B97E80" w:rsidRPr="00B97E80" w:rsidRDefault="00B97E80">
      <w:pPr>
        <w:pStyle w:val="FootnoteText"/>
        <w:rPr>
          <w:rFonts w:ascii="Arial" w:hAnsi="Arial" w:cs="Arial"/>
          <w:sz w:val="20"/>
          <w:lang w:val="en-US"/>
        </w:rPr>
      </w:pPr>
      <w:r w:rsidRPr="00B97E80">
        <w:rPr>
          <w:rStyle w:val="FootnoteReference"/>
          <w:rFonts w:ascii="Arial" w:hAnsi="Arial" w:cs="Arial"/>
          <w:sz w:val="20"/>
        </w:rPr>
        <w:footnoteRef/>
      </w:r>
      <w:r w:rsidRPr="00B97E80">
        <w:rPr>
          <w:rFonts w:ascii="Arial" w:hAnsi="Arial" w:cs="Arial"/>
          <w:sz w:val="20"/>
        </w:rPr>
        <w:t xml:space="preserve"> </w:t>
      </w:r>
      <w:r>
        <w:rPr>
          <w:rFonts w:ascii="Arial" w:hAnsi="Arial" w:cs="Arial"/>
          <w:i/>
          <w:sz w:val="20"/>
        </w:rPr>
        <w:t xml:space="preserve">Ecker v Dean </w:t>
      </w:r>
      <w:r>
        <w:rPr>
          <w:rFonts w:ascii="Arial" w:hAnsi="Arial" w:cs="Arial"/>
          <w:sz w:val="20"/>
        </w:rPr>
        <w:t>1938 AD 102 at 111.</w:t>
      </w:r>
    </w:p>
  </w:footnote>
  <w:footnote w:id="4">
    <w:p w14:paraId="42D3B0AA" w14:textId="4C34904A" w:rsidR="0013277C" w:rsidRPr="0013277C" w:rsidRDefault="0013277C">
      <w:pPr>
        <w:pStyle w:val="FootnoteText"/>
        <w:rPr>
          <w:rFonts w:ascii="Arial" w:hAnsi="Arial" w:cs="Arial"/>
          <w:sz w:val="20"/>
          <w:lang w:val="en-US"/>
        </w:rPr>
      </w:pPr>
      <w:r w:rsidRPr="0013277C">
        <w:rPr>
          <w:rStyle w:val="FootnoteReference"/>
          <w:rFonts w:ascii="Arial" w:hAnsi="Arial" w:cs="Arial"/>
          <w:sz w:val="20"/>
        </w:rPr>
        <w:footnoteRef/>
      </w:r>
      <w:r w:rsidRPr="0013277C">
        <w:rPr>
          <w:rFonts w:ascii="Arial" w:hAnsi="Arial" w:cs="Arial"/>
          <w:sz w:val="20"/>
        </w:rPr>
        <w:t xml:space="preserve"> </w:t>
      </w:r>
      <w:r>
        <w:rPr>
          <w:rFonts w:ascii="Arial" w:hAnsi="Arial" w:cs="Arial"/>
          <w:i/>
          <w:sz w:val="20"/>
        </w:rPr>
        <w:t xml:space="preserve">Shepstone &amp; Wylie and Others v Geyser NO </w:t>
      </w:r>
      <w:r>
        <w:rPr>
          <w:rFonts w:ascii="Arial" w:hAnsi="Arial" w:cs="Arial"/>
          <w:sz w:val="20"/>
        </w:rPr>
        <w:t>1998 (3) SA 1036 (SCA) at 1045I-1045A</w:t>
      </w:r>
      <w:r w:rsidR="00357161">
        <w:rPr>
          <w:rFonts w:ascii="Arial" w:hAnsi="Arial" w:cs="Arial"/>
          <w:sz w:val="20"/>
        </w:rPr>
        <w:t>.</w:t>
      </w:r>
    </w:p>
  </w:footnote>
  <w:footnote w:id="5">
    <w:p w14:paraId="7BF89AC1" w14:textId="3D112B14" w:rsidR="00C4220D" w:rsidRPr="00BD66DE" w:rsidRDefault="00C4220D">
      <w:pPr>
        <w:pStyle w:val="FootnoteText"/>
        <w:rPr>
          <w:rFonts w:ascii="Arial" w:hAnsi="Arial" w:cs="Arial"/>
          <w:sz w:val="20"/>
          <w:lang w:val="en-US"/>
        </w:rPr>
      </w:pPr>
      <w:r w:rsidRPr="00C4220D">
        <w:rPr>
          <w:rStyle w:val="FootnoteReference"/>
          <w:rFonts w:ascii="Arial" w:hAnsi="Arial" w:cs="Arial"/>
          <w:sz w:val="20"/>
        </w:rPr>
        <w:footnoteRef/>
      </w:r>
      <w:r w:rsidRPr="00C4220D">
        <w:rPr>
          <w:rFonts w:ascii="Arial" w:hAnsi="Arial" w:cs="Arial"/>
          <w:sz w:val="20"/>
        </w:rPr>
        <w:t xml:space="preserve"> </w:t>
      </w:r>
      <w:proofErr w:type="spellStart"/>
      <w:r>
        <w:rPr>
          <w:rFonts w:ascii="Arial" w:hAnsi="Arial" w:cs="Arial"/>
          <w:i/>
          <w:sz w:val="20"/>
        </w:rPr>
        <w:t>Ramsamy</w:t>
      </w:r>
      <w:proofErr w:type="spellEnd"/>
      <w:r>
        <w:rPr>
          <w:rFonts w:ascii="Arial" w:hAnsi="Arial" w:cs="Arial"/>
          <w:i/>
          <w:sz w:val="20"/>
        </w:rPr>
        <w:t xml:space="preserve"> NO and Others v </w:t>
      </w:r>
      <w:proofErr w:type="spellStart"/>
      <w:r>
        <w:rPr>
          <w:rFonts w:ascii="Arial" w:hAnsi="Arial" w:cs="Arial"/>
          <w:i/>
          <w:sz w:val="20"/>
        </w:rPr>
        <w:t>Maarman</w:t>
      </w:r>
      <w:proofErr w:type="spellEnd"/>
      <w:r>
        <w:rPr>
          <w:rFonts w:ascii="Arial" w:hAnsi="Arial" w:cs="Arial"/>
          <w:i/>
          <w:sz w:val="20"/>
        </w:rPr>
        <w:t xml:space="preserve"> NO and Another </w:t>
      </w:r>
      <w:r>
        <w:rPr>
          <w:rFonts w:ascii="Arial" w:hAnsi="Arial" w:cs="Arial"/>
          <w:sz w:val="20"/>
        </w:rPr>
        <w:t xml:space="preserve">2002 (6) SA 159 (C) at 172I – 173G; </w:t>
      </w:r>
      <w:r w:rsidR="00BD66DE">
        <w:rPr>
          <w:rFonts w:ascii="Arial" w:hAnsi="Arial" w:cs="Arial"/>
          <w:i/>
          <w:sz w:val="20"/>
        </w:rPr>
        <w:t xml:space="preserve">MTN Service Provider (Pty) Ltd v Afro Call </w:t>
      </w:r>
      <w:r w:rsidR="00BD66DE">
        <w:rPr>
          <w:rFonts w:ascii="Arial" w:hAnsi="Arial" w:cs="Arial"/>
          <w:sz w:val="20"/>
        </w:rPr>
        <w:t>2007 (6) 620 SCA para 15.</w:t>
      </w:r>
    </w:p>
  </w:footnote>
  <w:footnote w:id="6">
    <w:p w14:paraId="347157B1" w14:textId="5702890C" w:rsidR="005869A9" w:rsidRPr="005869A9" w:rsidRDefault="005869A9">
      <w:pPr>
        <w:pStyle w:val="FootnoteText"/>
        <w:rPr>
          <w:rFonts w:ascii="Arial" w:hAnsi="Arial" w:cs="Arial"/>
          <w:sz w:val="20"/>
          <w:lang w:val="en-US"/>
        </w:rPr>
      </w:pPr>
      <w:r w:rsidRPr="005869A9">
        <w:rPr>
          <w:rStyle w:val="FootnoteReference"/>
          <w:rFonts w:ascii="Arial" w:hAnsi="Arial" w:cs="Arial"/>
          <w:sz w:val="20"/>
        </w:rPr>
        <w:footnoteRef/>
      </w:r>
      <w:r w:rsidRPr="005869A9">
        <w:rPr>
          <w:rFonts w:ascii="Arial" w:hAnsi="Arial" w:cs="Arial"/>
          <w:sz w:val="20"/>
        </w:rPr>
        <w:t xml:space="preserve"> </w:t>
      </w:r>
      <w:r>
        <w:rPr>
          <w:rFonts w:ascii="Arial" w:hAnsi="Arial" w:cs="Arial"/>
          <w:i/>
          <w:sz w:val="20"/>
        </w:rPr>
        <w:t xml:space="preserve">Golden International Navigation SA v </w:t>
      </w:r>
      <w:proofErr w:type="spellStart"/>
      <w:r>
        <w:rPr>
          <w:rFonts w:ascii="Arial" w:hAnsi="Arial" w:cs="Arial"/>
          <w:i/>
          <w:sz w:val="20"/>
        </w:rPr>
        <w:t>Zeba</w:t>
      </w:r>
      <w:proofErr w:type="spellEnd"/>
      <w:r>
        <w:rPr>
          <w:rFonts w:ascii="Arial" w:hAnsi="Arial" w:cs="Arial"/>
          <w:i/>
          <w:sz w:val="20"/>
        </w:rPr>
        <w:t xml:space="preserve"> Maritime Co Ltd; </w:t>
      </w:r>
      <w:proofErr w:type="spellStart"/>
      <w:r>
        <w:rPr>
          <w:rFonts w:ascii="Arial" w:hAnsi="Arial" w:cs="Arial"/>
          <w:i/>
          <w:sz w:val="20"/>
        </w:rPr>
        <w:t>Zeba</w:t>
      </w:r>
      <w:proofErr w:type="spellEnd"/>
      <w:r>
        <w:rPr>
          <w:rFonts w:ascii="Arial" w:hAnsi="Arial" w:cs="Arial"/>
          <w:i/>
          <w:sz w:val="20"/>
        </w:rPr>
        <w:t xml:space="preserve"> Maritime v MV </w:t>
      </w:r>
      <w:proofErr w:type="spellStart"/>
      <w:r>
        <w:rPr>
          <w:rFonts w:ascii="Arial" w:hAnsi="Arial" w:cs="Arial"/>
          <w:i/>
          <w:sz w:val="20"/>
        </w:rPr>
        <w:t>Visvliet</w:t>
      </w:r>
      <w:proofErr w:type="spellEnd"/>
      <w:r>
        <w:rPr>
          <w:rFonts w:ascii="Arial" w:hAnsi="Arial" w:cs="Arial"/>
          <w:i/>
          <w:sz w:val="20"/>
        </w:rPr>
        <w:t xml:space="preserve"> </w:t>
      </w:r>
      <w:r>
        <w:rPr>
          <w:rFonts w:ascii="Arial" w:hAnsi="Arial" w:cs="Arial"/>
          <w:sz w:val="20"/>
        </w:rPr>
        <w:t>2008 (3) SA 10 (C) para 9.</w:t>
      </w:r>
    </w:p>
  </w:footnote>
  <w:footnote w:id="7">
    <w:p w14:paraId="7E8A36F7" w14:textId="02FF8A35" w:rsidR="00CF7133" w:rsidRPr="00CF7133" w:rsidRDefault="00CF7133" w:rsidP="00CF7133">
      <w:pPr>
        <w:pStyle w:val="Heading2"/>
        <w:shd w:val="clear" w:color="auto" w:fill="FFFFFF"/>
        <w:spacing w:before="240" w:after="180" w:line="288" w:lineRule="atLeast"/>
        <w:rPr>
          <w:rFonts w:ascii="Arial" w:eastAsia="Times New Roman" w:hAnsi="Arial" w:cs="Arial"/>
          <w:b w:val="0"/>
          <w:bCs w:val="0"/>
          <w:i/>
          <w:color w:val="auto"/>
          <w:sz w:val="20"/>
          <w:szCs w:val="20"/>
          <w:lang w:eastAsia="en-ZA"/>
        </w:rPr>
      </w:pPr>
      <w:r w:rsidRPr="00CF7133">
        <w:rPr>
          <w:rStyle w:val="FootnoteReference"/>
          <w:rFonts w:ascii="Arial" w:hAnsi="Arial" w:cs="Arial"/>
          <w:color w:val="auto"/>
          <w:sz w:val="20"/>
        </w:rPr>
        <w:footnoteRef/>
      </w:r>
      <w:r w:rsidRPr="00CF7133">
        <w:rPr>
          <w:rFonts w:ascii="Arial" w:hAnsi="Arial" w:cs="Arial"/>
          <w:i/>
          <w:color w:val="auto"/>
          <w:sz w:val="20"/>
          <w:szCs w:val="20"/>
        </w:rPr>
        <w:t xml:space="preserve"> </w:t>
      </w:r>
      <w:r w:rsidRPr="00CF7133">
        <w:rPr>
          <w:rFonts w:ascii="Arial" w:eastAsia="Times New Roman" w:hAnsi="Arial" w:cs="Arial"/>
          <w:b w:val="0"/>
          <w:bCs w:val="0"/>
          <w:i/>
          <w:color w:val="auto"/>
          <w:sz w:val="20"/>
          <w:szCs w:val="20"/>
          <w:lang w:eastAsia="en-ZA"/>
        </w:rPr>
        <w:t>N and Another v D In re: D v N and Another (2018/16715) [2021] ZAGPJHC 428 (17 September 2021)</w:t>
      </w:r>
      <w:r w:rsidR="00357161">
        <w:rPr>
          <w:rFonts w:ascii="Arial" w:eastAsia="Times New Roman" w:hAnsi="Arial" w:cs="Arial"/>
          <w:b w:val="0"/>
          <w:bCs w:val="0"/>
          <w:i/>
          <w:color w:val="auto"/>
          <w:sz w:val="20"/>
          <w:szCs w:val="20"/>
          <w:lang w:eastAsia="en-ZA"/>
        </w:rPr>
        <w:t>.</w:t>
      </w:r>
    </w:p>
    <w:p w14:paraId="6C2C4E85" w14:textId="2CBC973E" w:rsidR="00CF7133" w:rsidRPr="00CF7133" w:rsidRDefault="00CF7133">
      <w:pPr>
        <w:pStyle w:val="FootnoteText"/>
        <w:rPr>
          <w:lang w:val="en-US"/>
        </w:rPr>
      </w:pPr>
    </w:p>
  </w:footnote>
  <w:footnote w:id="8">
    <w:p w14:paraId="0D701FB4" w14:textId="3F684283" w:rsidR="00CF7133" w:rsidRPr="00CF7133" w:rsidRDefault="00CF7133" w:rsidP="00CF7133">
      <w:pPr>
        <w:pStyle w:val="Heading2"/>
        <w:shd w:val="clear" w:color="auto" w:fill="FFFFFF"/>
        <w:spacing w:before="240" w:after="180" w:line="288" w:lineRule="atLeast"/>
        <w:rPr>
          <w:rFonts w:ascii="Arial" w:eastAsia="Times New Roman" w:hAnsi="Arial" w:cs="Arial"/>
          <w:b w:val="0"/>
          <w:bCs w:val="0"/>
          <w:color w:val="auto"/>
          <w:sz w:val="20"/>
          <w:szCs w:val="20"/>
          <w:lang w:eastAsia="en-ZA"/>
        </w:rPr>
      </w:pPr>
      <w:r w:rsidRPr="00CF7133">
        <w:rPr>
          <w:rStyle w:val="FootnoteReference"/>
          <w:rFonts w:ascii="Arial" w:hAnsi="Arial" w:cs="Arial"/>
          <w:color w:val="auto"/>
          <w:sz w:val="20"/>
        </w:rPr>
        <w:footnoteRef/>
      </w:r>
      <w:r>
        <w:t xml:space="preserve"> </w:t>
      </w:r>
      <w:r w:rsidRPr="00CF7133">
        <w:rPr>
          <w:rFonts w:ascii="Arial" w:eastAsia="Times New Roman" w:hAnsi="Arial" w:cs="Arial"/>
          <w:b w:val="0"/>
          <w:bCs w:val="0"/>
          <w:i/>
          <w:color w:val="auto"/>
          <w:sz w:val="20"/>
          <w:szCs w:val="20"/>
          <w:lang w:eastAsia="en-ZA"/>
        </w:rPr>
        <w:t xml:space="preserve">N and Another v D In re: D v N and Another </w:t>
      </w:r>
      <w:r w:rsidRPr="00CF7133">
        <w:rPr>
          <w:rFonts w:ascii="Arial" w:eastAsia="Times New Roman" w:hAnsi="Arial" w:cs="Arial"/>
          <w:b w:val="0"/>
          <w:bCs w:val="0"/>
          <w:color w:val="auto"/>
          <w:sz w:val="20"/>
          <w:szCs w:val="20"/>
          <w:lang w:eastAsia="en-ZA"/>
        </w:rPr>
        <w:t>(2018/16715) [2021] ZAGPJHC 428 (17 September 2021) para 12.</w:t>
      </w:r>
    </w:p>
    <w:p w14:paraId="4BFA7ADA" w14:textId="595E5FEB" w:rsidR="00CF7133" w:rsidRPr="00CF7133" w:rsidRDefault="00CF7133">
      <w:pPr>
        <w:pStyle w:val="FootnoteText"/>
        <w:rPr>
          <w:lang w:val="en-US"/>
        </w:rPr>
      </w:pPr>
    </w:p>
  </w:footnote>
  <w:footnote w:id="9">
    <w:p w14:paraId="3F22D110" w14:textId="1DA7FFFC" w:rsidR="0066260F" w:rsidRPr="00751163" w:rsidRDefault="0066260F">
      <w:pPr>
        <w:pStyle w:val="FootnoteText"/>
        <w:rPr>
          <w:rFonts w:ascii="Arial" w:hAnsi="Arial" w:cs="Arial"/>
          <w:sz w:val="20"/>
          <w:lang w:val="en-US"/>
        </w:rPr>
      </w:pPr>
      <w:r w:rsidRPr="00751163">
        <w:rPr>
          <w:rStyle w:val="FootnoteReference"/>
          <w:rFonts w:ascii="Arial" w:hAnsi="Arial" w:cs="Arial"/>
          <w:sz w:val="20"/>
        </w:rPr>
        <w:footnoteRef/>
      </w:r>
      <w:r w:rsidRPr="00751163">
        <w:rPr>
          <w:rFonts w:ascii="Arial" w:hAnsi="Arial" w:cs="Arial"/>
          <w:sz w:val="20"/>
        </w:rPr>
        <w:t xml:space="preserve"> </w:t>
      </w:r>
      <w:proofErr w:type="spellStart"/>
      <w:r w:rsidR="00751163" w:rsidRPr="00751163">
        <w:rPr>
          <w:rFonts w:ascii="Arial" w:hAnsi="Arial" w:cs="Arial"/>
          <w:i/>
          <w:sz w:val="20"/>
        </w:rPr>
        <w:t>Douglasdale</w:t>
      </w:r>
      <w:proofErr w:type="spellEnd"/>
      <w:r w:rsidR="00751163" w:rsidRPr="00751163">
        <w:rPr>
          <w:rFonts w:ascii="Arial" w:hAnsi="Arial" w:cs="Arial"/>
          <w:i/>
          <w:sz w:val="20"/>
        </w:rPr>
        <w:t xml:space="preserve"> </w:t>
      </w:r>
      <w:r w:rsidR="00751163" w:rsidRPr="00751163">
        <w:rPr>
          <w:rFonts w:ascii="Arial" w:hAnsi="Arial" w:cs="Arial"/>
          <w:sz w:val="20"/>
        </w:rPr>
        <w:t>note 1 above.</w:t>
      </w:r>
    </w:p>
  </w:footnote>
  <w:footnote w:id="10">
    <w:p w14:paraId="558E5C4D" w14:textId="05A64BC7" w:rsidR="00751163" w:rsidRPr="00751163" w:rsidRDefault="00751163">
      <w:pPr>
        <w:pStyle w:val="FootnoteText"/>
        <w:rPr>
          <w:rFonts w:ascii="Arial" w:hAnsi="Arial" w:cs="Arial"/>
          <w:sz w:val="20"/>
          <w:lang w:val="en-US"/>
        </w:rPr>
      </w:pPr>
      <w:r w:rsidRPr="00751163">
        <w:rPr>
          <w:rStyle w:val="FootnoteReference"/>
          <w:rFonts w:ascii="Arial" w:hAnsi="Arial" w:cs="Arial"/>
          <w:sz w:val="20"/>
        </w:rPr>
        <w:footnoteRef/>
      </w:r>
      <w:r w:rsidRPr="00751163">
        <w:rPr>
          <w:rFonts w:ascii="Arial" w:hAnsi="Arial" w:cs="Arial"/>
          <w:sz w:val="20"/>
        </w:rPr>
        <w:t xml:space="preserve"> </w:t>
      </w:r>
      <w:proofErr w:type="spellStart"/>
      <w:r w:rsidRPr="00751163">
        <w:rPr>
          <w:rFonts w:ascii="Arial" w:hAnsi="Arial" w:cs="Arial"/>
          <w:i/>
          <w:sz w:val="20"/>
        </w:rPr>
        <w:t>Douglasdale</w:t>
      </w:r>
      <w:proofErr w:type="spellEnd"/>
      <w:r w:rsidRPr="00751163">
        <w:rPr>
          <w:rFonts w:ascii="Arial" w:hAnsi="Arial" w:cs="Arial"/>
          <w:i/>
          <w:sz w:val="20"/>
        </w:rPr>
        <w:t xml:space="preserve"> </w:t>
      </w:r>
      <w:r w:rsidRPr="00751163">
        <w:rPr>
          <w:rFonts w:ascii="Arial" w:hAnsi="Arial" w:cs="Arial"/>
          <w:sz w:val="20"/>
        </w:rPr>
        <w:t>note 1 above</w:t>
      </w:r>
      <w:r>
        <w:rPr>
          <w:rFonts w:ascii="Arial" w:hAnsi="Arial" w:cs="Arial"/>
          <w:sz w:val="20"/>
        </w:rPr>
        <w:t xml:space="preserve"> paras 10 – 13.</w:t>
      </w:r>
    </w:p>
  </w:footnote>
  <w:footnote w:id="11">
    <w:p w14:paraId="5C115A6B" w14:textId="4D67826A" w:rsidR="006900D7" w:rsidRPr="006900D7" w:rsidRDefault="006900D7">
      <w:pPr>
        <w:pStyle w:val="FootnoteText"/>
        <w:rPr>
          <w:rFonts w:ascii="Arial" w:hAnsi="Arial" w:cs="Arial"/>
          <w:sz w:val="20"/>
          <w:lang w:val="en-US"/>
        </w:rPr>
      </w:pPr>
      <w:r w:rsidRPr="006900D7">
        <w:rPr>
          <w:rStyle w:val="FootnoteReference"/>
          <w:rFonts w:ascii="Arial" w:hAnsi="Arial" w:cs="Arial"/>
          <w:sz w:val="20"/>
        </w:rPr>
        <w:footnoteRef/>
      </w:r>
      <w:r w:rsidRPr="006900D7">
        <w:rPr>
          <w:rFonts w:ascii="Arial" w:hAnsi="Arial" w:cs="Arial"/>
          <w:sz w:val="20"/>
        </w:rPr>
        <w:t xml:space="preserve"> </w:t>
      </w:r>
      <w:proofErr w:type="spellStart"/>
      <w:r w:rsidRPr="00751163">
        <w:rPr>
          <w:rFonts w:ascii="Arial" w:hAnsi="Arial" w:cs="Arial"/>
          <w:i/>
          <w:sz w:val="20"/>
        </w:rPr>
        <w:t>Douglasdale</w:t>
      </w:r>
      <w:proofErr w:type="spellEnd"/>
      <w:r w:rsidRPr="00751163">
        <w:rPr>
          <w:rFonts w:ascii="Arial" w:hAnsi="Arial" w:cs="Arial"/>
          <w:i/>
          <w:sz w:val="20"/>
        </w:rPr>
        <w:t xml:space="preserve"> </w:t>
      </w:r>
      <w:r w:rsidRPr="00751163">
        <w:rPr>
          <w:rFonts w:ascii="Arial" w:hAnsi="Arial" w:cs="Arial"/>
          <w:sz w:val="20"/>
        </w:rPr>
        <w:t>note 1 above</w:t>
      </w:r>
      <w:r>
        <w:rPr>
          <w:rFonts w:ascii="Arial" w:hAnsi="Arial" w:cs="Arial"/>
          <w:sz w:val="20"/>
        </w:rPr>
        <w:t xml:space="preserve"> paras 22.</w:t>
      </w:r>
    </w:p>
  </w:footnote>
  <w:footnote w:id="12">
    <w:p w14:paraId="04EAD585" w14:textId="503B73D6" w:rsidR="00213E4C" w:rsidRPr="00213E4C" w:rsidRDefault="00213E4C">
      <w:pPr>
        <w:pStyle w:val="FootnoteText"/>
        <w:rPr>
          <w:rFonts w:ascii="Arial" w:hAnsi="Arial" w:cs="Arial"/>
          <w:sz w:val="20"/>
          <w:lang w:val="en-US"/>
        </w:rPr>
      </w:pPr>
      <w:r w:rsidRPr="00213E4C">
        <w:rPr>
          <w:rStyle w:val="FootnoteReference"/>
          <w:rFonts w:ascii="Arial" w:hAnsi="Arial" w:cs="Arial"/>
          <w:sz w:val="20"/>
        </w:rPr>
        <w:footnoteRef/>
      </w:r>
      <w:r w:rsidRPr="00213E4C">
        <w:rPr>
          <w:rFonts w:ascii="Arial" w:hAnsi="Arial" w:cs="Arial"/>
          <w:sz w:val="20"/>
        </w:rPr>
        <w:t xml:space="preserve"> </w:t>
      </w:r>
      <w:proofErr w:type="spellStart"/>
      <w:r w:rsidR="00566122">
        <w:rPr>
          <w:rFonts w:ascii="Arial" w:hAnsi="Arial" w:cs="Arial"/>
          <w:i/>
          <w:sz w:val="20"/>
        </w:rPr>
        <w:t>Ramsamy</w:t>
      </w:r>
      <w:proofErr w:type="spellEnd"/>
      <w:r w:rsidR="00566122">
        <w:rPr>
          <w:rFonts w:ascii="Arial" w:hAnsi="Arial" w:cs="Arial"/>
          <w:i/>
          <w:sz w:val="20"/>
        </w:rPr>
        <w:t xml:space="preserve"> NO </w:t>
      </w:r>
      <w:r w:rsidR="001A400D">
        <w:rPr>
          <w:rFonts w:ascii="Arial" w:hAnsi="Arial" w:cs="Arial"/>
          <w:sz w:val="20"/>
        </w:rPr>
        <w:t xml:space="preserve">note 5 above </w:t>
      </w:r>
      <w:r w:rsidR="00566122">
        <w:rPr>
          <w:rFonts w:ascii="Arial" w:hAnsi="Arial" w:cs="Arial"/>
          <w:sz w:val="20"/>
        </w:rPr>
        <w:t>at 173G</w:t>
      </w:r>
      <w:r w:rsidR="006900D7">
        <w:rPr>
          <w:rFonts w:ascii="Arial" w:hAnsi="Arial" w:cs="Arial"/>
          <w:sz w:val="20"/>
        </w:rPr>
        <w:t>.</w:t>
      </w:r>
    </w:p>
  </w:footnote>
  <w:footnote w:id="13">
    <w:p w14:paraId="1B6D6112" w14:textId="482D48A3" w:rsidR="00E055E0" w:rsidRPr="00E055E0" w:rsidRDefault="00E055E0">
      <w:pPr>
        <w:pStyle w:val="FootnoteText"/>
        <w:rPr>
          <w:rFonts w:ascii="Arial" w:hAnsi="Arial" w:cs="Arial"/>
          <w:b/>
          <w:sz w:val="20"/>
          <w:lang w:val="en-US"/>
        </w:rPr>
      </w:pPr>
      <w:r w:rsidRPr="00E055E0">
        <w:rPr>
          <w:rStyle w:val="FootnoteReference"/>
          <w:rFonts w:ascii="Arial" w:hAnsi="Arial" w:cs="Arial"/>
          <w:sz w:val="20"/>
        </w:rPr>
        <w:footnoteRef/>
      </w:r>
      <w:r w:rsidRPr="00E055E0">
        <w:rPr>
          <w:rFonts w:ascii="Arial" w:hAnsi="Arial" w:cs="Arial"/>
          <w:sz w:val="20"/>
        </w:rPr>
        <w:t xml:space="preserve"> </w:t>
      </w:r>
      <w:proofErr w:type="spellStart"/>
      <w:r w:rsidRPr="00E055E0">
        <w:rPr>
          <w:rFonts w:ascii="Arial" w:hAnsi="Arial" w:cs="Arial"/>
          <w:i/>
          <w:sz w:val="20"/>
        </w:rPr>
        <w:t>Zietsman</w:t>
      </w:r>
      <w:proofErr w:type="spellEnd"/>
      <w:r w:rsidRPr="00E055E0">
        <w:rPr>
          <w:rFonts w:ascii="Arial" w:hAnsi="Arial" w:cs="Arial"/>
          <w:i/>
          <w:sz w:val="20"/>
        </w:rPr>
        <w:t xml:space="preserve"> v Electronic Media Network</w:t>
      </w:r>
      <w:r>
        <w:rPr>
          <w:rFonts w:ascii="Arial" w:hAnsi="Arial" w:cs="Arial"/>
          <w:i/>
          <w:sz w:val="20"/>
        </w:rPr>
        <w:t xml:space="preserve"> </w:t>
      </w:r>
      <w:r>
        <w:rPr>
          <w:rFonts w:ascii="Arial" w:hAnsi="Arial" w:cs="Arial"/>
          <w:sz w:val="20"/>
        </w:rPr>
        <w:t>2008(4) SA 1 (SCA).</w:t>
      </w:r>
    </w:p>
  </w:footnote>
  <w:footnote w:id="14">
    <w:p w14:paraId="4A889523" w14:textId="1CDC9E17" w:rsidR="009F4960" w:rsidRPr="009F4960" w:rsidRDefault="009F4960">
      <w:pPr>
        <w:pStyle w:val="FootnoteText"/>
        <w:rPr>
          <w:rFonts w:ascii="Arial" w:hAnsi="Arial" w:cs="Arial"/>
          <w:sz w:val="20"/>
          <w:lang w:val="en-US"/>
        </w:rPr>
      </w:pPr>
      <w:r w:rsidRPr="009F4960">
        <w:rPr>
          <w:rStyle w:val="FootnoteReference"/>
          <w:rFonts w:ascii="Arial" w:hAnsi="Arial" w:cs="Arial"/>
          <w:sz w:val="20"/>
        </w:rPr>
        <w:footnoteRef/>
      </w:r>
      <w:r w:rsidRPr="009F4960">
        <w:rPr>
          <w:rFonts w:ascii="Arial" w:hAnsi="Arial" w:cs="Arial"/>
          <w:sz w:val="20"/>
        </w:rPr>
        <w:t xml:space="preserve"> </w:t>
      </w:r>
      <w:proofErr w:type="spellStart"/>
      <w:r w:rsidRPr="004C390E">
        <w:rPr>
          <w:rFonts w:ascii="Arial" w:hAnsi="Arial" w:cs="Arial"/>
          <w:i/>
          <w:sz w:val="20"/>
        </w:rPr>
        <w:t>Fedgen</w:t>
      </w:r>
      <w:proofErr w:type="spellEnd"/>
      <w:r w:rsidRPr="004C390E">
        <w:rPr>
          <w:rFonts w:ascii="Arial" w:hAnsi="Arial" w:cs="Arial"/>
          <w:i/>
          <w:sz w:val="20"/>
        </w:rPr>
        <w:t xml:space="preserve"> Insurance Co Ltd v Border Bag Manufacturing (Pty) Ltd</w:t>
      </w:r>
      <w:r>
        <w:rPr>
          <w:rFonts w:ascii="Arial" w:hAnsi="Arial" w:cs="Arial"/>
          <w:i/>
          <w:sz w:val="20"/>
        </w:rPr>
        <w:t xml:space="preserve"> </w:t>
      </w:r>
      <w:r>
        <w:rPr>
          <w:rFonts w:ascii="Arial" w:hAnsi="Arial" w:cs="Arial"/>
          <w:sz w:val="20"/>
        </w:rPr>
        <w:t xml:space="preserve">1995 (4) SA 355 (W) at 358G-I to 359A-D; </w:t>
      </w:r>
      <w:proofErr w:type="spellStart"/>
      <w:r>
        <w:rPr>
          <w:rFonts w:ascii="Arial" w:hAnsi="Arial" w:cs="Arial"/>
          <w:i/>
          <w:sz w:val="20"/>
        </w:rPr>
        <w:t>Bookworks</w:t>
      </w:r>
      <w:proofErr w:type="spellEnd"/>
      <w:r>
        <w:rPr>
          <w:rFonts w:ascii="Arial" w:hAnsi="Arial" w:cs="Arial"/>
          <w:i/>
          <w:sz w:val="20"/>
        </w:rPr>
        <w:t xml:space="preserve"> (Pty) Ltd v Greater </w:t>
      </w:r>
      <w:proofErr w:type="spellStart"/>
      <w:r>
        <w:rPr>
          <w:rFonts w:ascii="Arial" w:hAnsi="Arial" w:cs="Arial"/>
          <w:i/>
          <w:sz w:val="20"/>
        </w:rPr>
        <w:t>Jhb</w:t>
      </w:r>
      <w:proofErr w:type="spellEnd"/>
      <w:r>
        <w:rPr>
          <w:rFonts w:ascii="Arial" w:hAnsi="Arial" w:cs="Arial"/>
          <w:i/>
          <w:sz w:val="20"/>
        </w:rPr>
        <w:t xml:space="preserve"> Metropolitan Council </w:t>
      </w:r>
      <w:r w:rsidRPr="009F4960">
        <w:rPr>
          <w:rFonts w:ascii="Arial" w:hAnsi="Arial" w:cs="Arial"/>
          <w:sz w:val="20"/>
        </w:rPr>
        <w:t>[1999] 4</w:t>
      </w:r>
      <w:r>
        <w:rPr>
          <w:rFonts w:ascii="Arial" w:hAnsi="Arial" w:cs="Arial"/>
          <w:sz w:val="20"/>
        </w:rPr>
        <w:t xml:space="preserve"> ALL SA 505 (W); 1999 (4) SA 799 (W) at 811F-I.</w:t>
      </w:r>
    </w:p>
  </w:footnote>
  <w:footnote w:id="15">
    <w:p w14:paraId="07490E1A" w14:textId="045867EA" w:rsidR="000C7C32" w:rsidRPr="000C7C32" w:rsidRDefault="000C7C32">
      <w:pPr>
        <w:pStyle w:val="FootnoteText"/>
        <w:rPr>
          <w:rFonts w:ascii="Arial" w:hAnsi="Arial" w:cs="Arial"/>
          <w:sz w:val="20"/>
          <w:lang w:val="en-US"/>
        </w:rPr>
      </w:pPr>
      <w:r w:rsidRPr="000C7C32">
        <w:rPr>
          <w:rStyle w:val="FootnoteReference"/>
          <w:rFonts w:ascii="Arial" w:hAnsi="Arial" w:cs="Arial"/>
          <w:sz w:val="20"/>
        </w:rPr>
        <w:footnoteRef/>
      </w:r>
      <w:r>
        <w:rPr>
          <w:rFonts w:ascii="Arial" w:hAnsi="Arial" w:cs="Arial"/>
          <w:sz w:val="20"/>
        </w:rPr>
        <w:t xml:space="preserve"> </w:t>
      </w:r>
      <w:r>
        <w:rPr>
          <w:rFonts w:ascii="Arial" w:hAnsi="Arial" w:cs="Arial"/>
          <w:i/>
          <w:sz w:val="20"/>
        </w:rPr>
        <w:t xml:space="preserve">Gold Fields Limited and Others v Motley Rice LLC, In re: </w:t>
      </w:r>
      <w:proofErr w:type="spellStart"/>
      <w:r>
        <w:rPr>
          <w:rFonts w:ascii="Arial" w:hAnsi="Arial" w:cs="Arial"/>
          <w:i/>
          <w:sz w:val="20"/>
        </w:rPr>
        <w:t>Nkala</w:t>
      </w:r>
      <w:proofErr w:type="spellEnd"/>
      <w:r>
        <w:rPr>
          <w:rFonts w:ascii="Arial" w:hAnsi="Arial" w:cs="Arial"/>
          <w:i/>
          <w:sz w:val="20"/>
        </w:rPr>
        <w:t xml:space="preserve"> v Harmony Gold Mining Company Limited and </w:t>
      </w:r>
      <w:proofErr w:type="gramStart"/>
      <w:r>
        <w:rPr>
          <w:rFonts w:ascii="Arial" w:hAnsi="Arial" w:cs="Arial"/>
          <w:i/>
          <w:sz w:val="20"/>
        </w:rPr>
        <w:t>Others</w:t>
      </w:r>
      <w:proofErr w:type="gramEnd"/>
      <w:r>
        <w:rPr>
          <w:rFonts w:ascii="Arial" w:hAnsi="Arial" w:cs="Arial"/>
          <w:i/>
          <w:sz w:val="20"/>
        </w:rPr>
        <w:t xml:space="preserve"> </w:t>
      </w:r>
      <w:r>
        <w:rPr>
          <w:rFonts w:ascii="Arial" w:hAnsi="Arial" w:cs="Arial"/>
          <w:sz w:val="20"/>
        </w:rPr>
        <w:t>(48226</w:t>
      </w:r>
      <w:r w:rsidR="006327ED">
        <w:rPr>
          <w:rFonts w:ascii="Arial" w:hAnsi="Arial" w:cs="Arial"/>
          <w:sz w:val="20"/>
        </w:rPr>
        <w:t>/12) [2015] ZAGPJHC 62; 2015 (4) SA 299; [2015] 2 ALL SA 686 (GJ) (19 March 2015).</w:t>
      </w:r>
      <w:r w:rsidRPr="000C7C32">
        <w:rPr>
          <w:rFonts w:ascii="Arial" w:hAnsi="Arial" w:cs="Arial"/>
          <w:sz w:val="20"/>
        </w:rPr>
        <w:t xml:space="preserve"> </w:t>
      </w:r>
    </w:p>
  </w:footnote>
  <w:footnote w:id="16">
    <w:p w14:paraId="49B1113F" w14:textId="5494D4CE" w:rsidR="004767BD" w:rsidRPr="004767BD" w:rsidRDefault="004767BD">
      <w:pPr>
        <w:pStyle w:val="FootnoteText"/>
        <w:rPr>
          <w:rFonts w:ascii="Arial" w:hAnsi="Arial" w:cs="Arial"/>
          <w:sz w:val="20"/>
          <w:lang w:val="en-US"/>
        </w:rPr>
      </w:pPr>
      <w:r w:rsidRPr="004767BD">
        <w:rPr>
          <w:rStyle w:val="FootnoteReference"/>
          <w:rFonts w:ascii="Arial" w:hAnsi="Arial" w:cs="Arial"/>
          <w:sz w:val="20"/>
        </w:rPr>
        <w:footnoteRef/>
      </w:r>
      <w:r w:rsidRPr="004767BD">
        <w:rPr>
          <w:rFonts w:ascii="Arial" w:hAnsi="Arial" w:cs="Arial"/>
          <w:sz w:val="20"/>
        </w:rPr>
        <w:t xml:space="preserve"> </w:t>
      </w:r>
      <w:proofErr w:type="spellStart"/>
      <w:r>
        <w:rPr>
          <w:rFonts w:ascii="Arial" w:hAnsi="Arial" w:cs="Arial"/>
          <w:i/>
          <w:sz w:val="20"/>
        </w:rPr>
        <w:t>Sem</w:t>
      </w:r>
      <w:r w:rsidR="00157208">
        <w:rPr>
          <w:rFonts w:ascii="Arial" w:hAnsi="Arial" w:cs="Arial"/>
          <w:i/>
          <w:sz w:val="20"/>
        </w:rPr>
        <w:t>m</w:t>
      </w:r>
      <w:r>
        <w:rPr>
          <w:rFonts w:ascii="Arial" w:hAnsi="Arial" w:cs="Arial"/>
          <w:i/>
          <w:sz w:val="20"/>
        </w:rPr>
        <w:t>ler</w:t>
      </w:r>
      <w:proofErr w:type="spellEnd"/>
      <w:r>
        <w:rPr>
          <w:rFonts w:ascii="Arial" w:hAnsi="Arial" w:cs="Arial"/>
          <w:i/>
          <w:sz w:val="20"/>
        </w:rPr>
        <w:t xml:space="preserve"> v Murphy </w:t>
      </w:r>
      <w:r w:rsidR="001A400D">
        <w:rPr>
          <w:rFonts w:ascii="Arial" w:hAnsi="Arial" w:cs="Arial"/>
          <w:sz w:val="20"/>
        </w:rPr>
        <w:t>[</w:t>
      </w:r>
      <w:r>
        <w:rPr>
          <w:rFonts w:ascii="Arial" w:hAnsi="Arial" w:cs="Arial"/>
          <w:sz w:val="20"/>
        </w:rPr>
        <w:t>1967</w:t>
      </w:r>
      <w:r w:rsidR="001A400D">
        <w:rPr>
          <w:rFonts w:ascii="Arial" w:hAnsi="Arial" w:cs="Arial"/>
          <w:sz w:val="20"/>
        </w:rPr>
        <w:t>] 2</w:t>
      </w:r>
      <w:r>
        <w:rPr>
          <w:rFonts w:ascii="Arial" w:hAnsi="Arial" w:cs="Arial"/>
          <w:sz w:val="20"/>
        </w:rPr>
        <w:t xml:space="preserve"> ALL ER 1967 18</w:t>
      </w:r>
      <w:r w:rsidR="00F76268">
        <w:rPr>
          <w:rFonts w:ascii="Arial" w:hAnsi="Arial" w:cs="Arial"/>
          <w:sz w:val="20"/>
        </w:rPr>
        <w:t>5</w:t>
      </w:r>
      <w:r w:rsidR="00157208">
        <w:rPr>
          <w:rFonts w:ascii="Arial" w:hAnsi="Arial" w:cs="Arial"/>
          <w:sz w:val="20"/>
        </w:rPr>
        <w:t>.</w:t>
      </w:r>
      <w:r w:rsidR="00F76268">
        <w:rPr>
          <w:rFonts w:ascii="Arial" w:hAnsi="Arial" w:cs="Arial"/>
          <w:sz w:val="20"/>
        </w:rPr>
        <w:t xml:space="preserve"> </w:t>
      </w:r>
    </w:p>
  </w:footnote>
  <w:footnote w:id="17">
    <w:p w14:paraId="233FB97E" w14:textId="1CBEE268" w:rsidR="00F76268" w:rsidRPr="00F76268" w:rsidRDefault="00F76268">
      <w:pPr>
        <w:pStyle w:val="FootnoteText"/>
        <w:rPr>
          <w:rFonts w:ascii="Arial" w:hAnsi="Arial" w:cs="Arial"/>
          <w:sz w:val="20"/>
          <w:lang w:val="en-US"/>
        </w:rPr>
      </w:pPr>
      <w:r w:rsidRPr="00F76268">
        <w:rPr>
          <w:rStyle w:val="FootnoteReference"/>
          <w:rFonts w:ascii="Arial" w:hAnsi="Arial" w:cs="Arial"/>
          <w:sz w:val="20"/>
        </w:rPr>
        <w:footnoteRef/>
      </w:r>
      <w:r w:rsidRPr="00F76268">
        <w:rPr>
          <w:rFonts w:ascii="Arial" w:hAnsi="Arial" w:cs="Arial"/>
          <w:sz w:val="20"/>
        </w:rPr>
        <w:t xml:space="preserve"> </w:t>
      </w:r>
      <w:proofErr w:type="spellStart"/>
      <w:r>
        <w:rPr>
          <w:rFonts w:ascii="Arial" w:hAnsi="Arial" w:cs="Arial"/>
          <w:i/>
          <w:sz w:val="20"/>
        </w:rPr>
        <w:t>Se</w:t>
      </w:r>
      <w:r w:rsidR="00157208">
        <w:rPr>
          <w:rFonts w:ascii="Arial" w:hAnsi="Arial" w:cs="Arial"/>
          <w:i/>
          <w:sz w:val="20"/>
        </w:rPr>
        <w:t>m</w:t>
      </w:r>
      <w:r>
        <w:rPr>
          <w:rFonts w:ascii="Arial" w:hAnsi="Arial" w:cs="Arial"/>
          <w:i/>
          <w:sz w:val="20"/>
        </w:rPr>
        <w:t>mler</w:t>
      </w:r>
      <w:proofErr w:type="spellEnd"/>
      <w:r>
        <w:rPr>
          <w:rFonts w:ascii="Arial" w:hAnsi="Arial" w:cs="Arial"/>
          <w:i/>
          <w:sz w:val="20"/>
        </w:rPr>
        <w:t xml:space="preserve"> </w:t>
      </w:r>
      <w:r w:rsidR="00157208">
        <w:rPr>
          <w:rFonts w:ascii="Arial" w:hAnsi="Arial" w:cs="Arial"/>
          <w:sz w:val="20"/>
        </w:rPr>
        <w:t xml:space="preserve">ibid </w:t>
      </w:r>
      <w:r>
        <w:rPr>
          <w:rFonts w:ascii="Arial" w:hAnsi="Arial" w:cs="Arial"/>
          <w:sz w:val="20"/>
        </w:rPr>
        <w:t>at 187.</w:t>
      </w:r>
    </w:p>
  </w:footnote>
  <w:footnote w:id="18">
    <w:p w14:paraId="22791687" w14:textId="75BA3EFC" w:rsidR="002B1415" w:rsidRPr="002B1415" w:rsidRDefault="002B1415">
      <w:pPr>
        <w:pStyle w:val="FootnoteText"/>
        <w:rPr>
          <w:rFonts w:ascii="Arial" w:hAnsi="Arial" w:cs="Arial"/>
          <w:sz w:val="20"/>
          <w:lang w:val="en-US"/>
        </w:rPr>
      </w:pPr>
      <w:r w:rsidRPr="002B1415">
        <w:rPr>
          <w:rStyle w:val="FootnoteReference"/>
          <w:rFonts w:ascii="Arial" w:hAnsi="Arial" w:cs="Arial"/>
          <w:sz w:val="20"/>
        </w:rPr>
        <w:footnoteRef/>
      </w:r>
      <w:r w:rsidRPr="002B1415">
        <w:rPr>
          <w:rFonts w:ascii="Arial" w:hAnsi="Arial" w:cs="Arial"/>
          <w:sz w:val="20"/>
        </w:rPr>
        <w:t xml:space="preserve"> </w:t>
      </w:r>
      <w:r>
        <w:rPr>
          <w:rFonts w:ascii="Arial" w:hAnsi="Arial" w:cs="Arial"/>
          <w:i/>
          <w:sz w:val="20"/>
        </w:rPr>
        <w:t xml:space="preserve">Absa Bank Ltd v Schroeder </w:t>
      </w:r>
      <w:r>
        <w:rPr>
          <w:rFonts w:ascii="Arial" w:hAnsi="Arial" w:cs="Arial"/>
          <w:sz w:val="20"/>
        </w:rPr>
        <w:t>(32688/2009) South Gauteng High Court, Johannesburg (5 September 2013) para 14-15.</w:t>
      </w:r>
    </w:p>
  </w:footnote>
  <w:footnote w:id="19">
    <w:p w14:paraId="44FE3226" w14:textId="77777777" w:rsidR="001E1474" w:rsidRPr="001E1474" w:rsidRDefault="001E1474" w:rsidP="001E1474">
      <w:pPr>
        <w:pStyle w:val="FootnoteText"/>
        <w:rPr>
          <w:rFonts w:ascii="Arial" w:hAnsi="Arial" w:cs="Arial"/>
          <w:sz w:val="20"/>
          <w:lang w:val="en-US"/>
        </w:rPr>
      </w:pPr>
      <w:r w:rsidRPr="001E1474">
        <w:rPr>
          <w:rStyle w:val="FootnoteReference"/>
          <w:rFonts w:ascii="Arial" w:hAnsi="Arial" w:cs="Arial"/>
          <w:sz w:val="20"/>
        </w:rPr>
        <w:footnoteRef/>
      </w:r>
      <w:r w:rsidRPr="001E1474">
        <w:rPr>
          <w:rFonts w:ascii="Arial" w:hAnsi="Arial" w:cs="Arial"/>
          <w:sz w:val="20"/>
        </w:rPr>
        <w:t xml:space="preserve"> </w:t>
      </w:r>
      <w:r>
        <w:rPr>
          <w:rFonts w:ascii="Arial" w:hAnsi="Arial" w:cs="Arial"/>
          <w:i/>
          <w:sz w:val="20"/>
        </w:rPr>
        <w:t xml:space="preserve">Vanda </w:t>
      </w:r>
      <w:r>
        <w:rPr>
          <w:rFonts w:ascii="Arial" w:hAnsi="Arial" w:cs="Arial"/>
          <w:sz w:val="20"/>
        </w:rPr>
        <w:t>note 2 above at 94J.</w:t>
      </w:r>
    </w:p>
  </w:footnote>
  <w:footnote w:id="20">
    <w:p w14:paraId="11B79669" w14:textId="65D08EEE" w:rsidR="00B72098" w:rsidRPr="00B72098" w:rsidRDefault="00B72098">
      <w:pPr>
        <w:pStyle w:val="FootnoteText"/>
        <w:rPr>
          <w:rFonts w:ascii="Arial" w:hAnsi="Arial" w:cs="Arial"/>
          <w:i/>
          <w:sz w:val="20"/>
          <w:lang w:val="en-US"/>
        </w:rPr>
      </w:pPr>
      <w:r w:rsidRPr="00B72098">
        <w:rPr>
          <w:rStyle w:val="FootnoteReference"/>
          <w:rFonts w:ascii="Arial" w:hAnsi="Arial" w:cs="Arial"/>
          <w:sz w:val="20"/>
        </w:rPr>
        <w:footnoteRef/>
      </w:r>
      <w:r w:rsidRPr="00B72098">
        <w:rPr>
          <w:rFonts w:ascii="Arial" w:hAnsi="Arial" w:cs="Arial"/>
          <w:sz w:val="20"/>
        </w:rPr>
        <w:t xml:space="preserve"> </w:t>
      </w:r>
      <w:proofErr w:type="spellStart"/>
      <w:r>
        <w:rPr>
          <w:rFonts w:ascii="Arial" w:hAnsi="Arial" w:cs="Arial"/>
          <w:i/>
          <w:sz w:val="20"/>
        </w:rPr>
        <w:t>Tecmed</w:t>
      </w:r>
      <w:proofErr w:type="spellEnd"/>
      <w:r w:rsidR="00B127E2">
        <w:rPr>
          <w:rFonts w:ascii="Arial" w:hAnsi="Arial" w:cs="Arial"/>
          <w:i/>
          <w:sz w:val="20"/>
        </w:rPr>
        <w:t xml:space="preserve"> (Pty) Limited and Others v Nissho Iwai Corporation and Another </w:t>
      </w:r>
      <w:r w:rsidR="00B127E2">
        <w:rPr>
          <w:rFonts w:ascii="Arial" w:hAnsi="Arial" w:cs="Arial"/>
          <w:sz w:val="20"/>
        </w:rPr>
        <w:t>(705/08) [2009] ZASCA 143; [2010] 3 ALL SA 36 (SCA); 2011 (1) SA 35 (SCA) (25 November 2009) para 20.</w:t>
      </w:r>
      <w:r w:rsidR="00B127E2">
        <w:rPr>
          <w:rFonts w:ascii="Arial" w:hAnsi="Arial" w:cs="Arial"/>
          <w:i/>
          <w:sz w:val="20"/>
        </w:rPr>
        <w:t xml:space="preserve"> </w:t>
      </w:r>
    </w:p>
  </w:footnote>
  <w:footnote w:id="21">
    <w:p w14:paraId="661A8BF5" w14:textId="1216F0DF" w:rsidR="00B127E2" w:rsidRPr="0089679E" w:rsidRDefault="00B127E2">
      <w:pPr>
        <w:pStyle w:val="FootnoteText"/>
        <w:rPr>
          <w:rFonts w:ascii="Arial" w:hAnsi="Arial" w:cs="Arial"/>
          <w:sz w:val="20"/>
          <w:lang w:val="en-US"/>
        </w:rPr>
      </w:pPr>
      <w:r w:rsidRPr="0089679E">
        <w:rPr>
          <w:rStyle w:val="FootnoteReference"/>
          <w:rFonts w:ascii="Arial" w:hAnsi="Arial" w:cs="Arial"/>
          <w:sz w:val="20"/>
        </w:rPr>
        <w:footnoteRef/>
      </w:r>
      <w:r w:rsidRPr="0089679E">
        <w:rPr>
          <w:rFonts w:ascii="Arial" w:hAnsi="Arial" w:cs="Arial"/>
          <w:sz w:val="20"/>
        </w:rPr>
        <w:t xml:space="preserve"> </w:t>
      </w:r>
      <w:proofErr w:type="spellStart"/>
      <w:r w:rsidR="0089679E">
        <w:rPr>
          <w:rFonts w:ascii="Arial" w:hAnsi="Arial" w:cs="Arial"/>
          <w:i/>
          <w:sz w:val="20"/>
        </w:rPr>
        <w:t>Ramsamy</w:t>
      </w:r>
      <w:proofErr w:type="spellEnd"/>
      <w:r w:rsidR="0089679E">
        <w:rPr>
          <w:rFonts w:ascii="Arial" w:hAnsi="Arial" w:cs="Arial"/>
          <w:i/>
          <w:sz w:val="20"/>
        </w:rPr>
        <w:t xml:space="preserve"> NO and Others v </w:t>
      </w:r>
      <w:proofErr w:type="spellStart"/>
      <w:r w:rsidR="0089679E">
        <w:rPr>
          <w:rFonts w:ascii="Arial" w:hAnsi="Arial" w:cs="Arial"/>
          <w:i/>
          <w:sz w:val="20"/>
        </w:rPr>
        <w:t>Maarman</w:t>
      </w:r>
      <w:proofErr w:type="spellEnd"/>
      <w:r w:rsidR="0089679E">
        <w:rPr>
          <w:rFonts w:ascii="Arial" w:hAnsi="Arial" w:cs="Arial"/>
          <w:i/>
          <w:sz w:val="20"/>
        </w:rPr>
        <w:t xml:space="preserve"> NO and Another </w:t>
      </w:r>
      <w:r w:rsidR="0089679E">
        <w:rPr>
          <w:rFonts w:ascii="Arial" w:hAnsi="Arial" w:cs="Arial"/>
          <w:sz w:val="20"/>
        </w:rPr>
        <w:t>2002 (6) SA 159 (C) at 172B.</w:t>
      </w:r>
    </w:p>
  </w:footnote>
  <w:footnote w:id="22">
    <w:p w14:paraId="47CA4BEA" w14:textId="358E3920" w:rsidR="0089679E" w:rsidRPr="00544E8B" w:rsidRDefault="0089679E" w:rsidP="0089679E">
      <w:pPr>
        <w:shd w:val="clear" w:color="auto" w:fill="FFFFFF"/>
        <w:spacing w:before="240" w:after="180" w:line="288" w:lineRule="atLeast"/>
        <w:jc w:val="left"/>
        <w:outlineLvl w:val="1"/>
        <w:rPr>
          <w:rFonts w:ascii="Arial" w:hAnsi="Arial" w:cs="Arial"/>
          <w:sz w:val="20"/>
          <w:szCs w:val="20"/>
          <w:lang w:eastAsia="en-ZA"/>
        </w:rPr>
      </w:pPr>
      <w:r w:rsidRPr="0089679E">
        <w:rPr>
          <w:rStyle w:val="FootnoteReference"/>
          <w:rFonts w:ascii="Arial" w:hAnsi="Arial" w:cs="Arial"/>
          <w:sz w:val="20"/>
        </w:rPr>
        <w:footnoteRef/>
      </w:r>
      <w:r w:rsidRPr="0089679E">
        <w:rPr>
          <w:rFonts w:ascii="Arial" w:hAnsi="Arial" w:cs="Arial"/>
          <w:sz w:val="20"/>
          <w:szCs w:val="20"/>
        </w:rPr>
        <w:t xml:space="preserve"> </w:t>
      </w:r>
      <w:proofErr w:type="spellStart"/>
      <w:r w:rsidRPr="00544E8B">
        <w:rPr>
          <w:rFonts w:ascii="Arial" w:hAnsi="Arial" w:cs="Arial"/>
          <w:i/>
          <w:sz w:val="20"/>
          <w:szCs w:val="20"/>
          <w:lang w:eastAsia="en-ZA"/>
        </w:rPr>
        <w:t>Antonie</w:t>
      </w:r>
      <w:proofErr w:type="spellEnd"/>
      <w:r w:rsidRPr="00544E8B">
        <w:rPr>
          <w:rFonts w:ascii="Arial" w:hAnsi="Arial" w:cs="Arial"/>
          <w:i/>
          <w:sz w:val="20"/>
          <w:szCs w:val="20"/>
          <w:lang w:eastAsia="en-ZA"/>
        </w:rPr>
        <w:t xml:space="preserve"> v Noble Land (Pty) Ltd </w:t>
      </w:r>
      <w:r w:rsidRPr="00544E8B">
        <w:rPr>
          <w:rFonts w:ascii="Arial" w:hAnsi="Arial" w:cs="Arial"/>
          <w:sz w:val="20"/>
          <w:szCs w:val="20"/>
          <w:lang w:eastAsia="en-ZA"/>
        </w:rPr>
        <w:t>(2011/33953) [2012] ZAGPJHC 292; 2014 (5) SA 307 (GJ) (21 September 2012)</w:t>
      </w:r>
      <w:r>
        <w:rPr>
          <w:rFonts w:ascii="Arial" w:hAnsi="Arial" w:cs="Arial"/>
          <w:sz w:val="20"/>
          <w:szCs w:val="20"/>
          <w:lang w:eastAsia="en-ZA"/>
        </w:rPr>
        <w:t xml:space="preserve"> para 13.</w:t>
      </w:r>
    </w:p>
    <w:p w14:paraId="10D4C7AC" w14:textId="77BAA4E7" w:rsidR="0089679E" w:rsidRPr="0089679E" w:rsidRDefault="0089679E">
      <w:pPr>
        <w:pStyle w:val="FootnoteText"/>
        <w:rPr>
          <w:rFonts w:ascii="Arial" w:hAnsi="Arial" w:cs="Arial"/>
          <w:sz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D589" w14:textId="77777777" w:rsidR="00A85D6B" w:rsidRDefault="00A85D6B"/>
  <w:p w14:paraId="257BBB6B" w14:textId="77777777" w:rsidR="000B7F03" w:rsidRDefault="000B7F03"/>
  <w:p w14:paraId="16D1B8C3" w14:textId="77777777" w:rsidR="00F40686" w:rsidRDefault="00F406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78927"/>
      <w:docPartObj>
        <w:docPartGallery w:val="Page Numbers (Top of Page)"/>
        <w:docPartUnique/>
      </w:docPartObj>
    </w:sdtPr>
    <w:sdtEndPr>
      <w:rPr>
        <w:rFonts w:ascii="Arial" w:hAnsi="Arial" w:cs="Arial"/>
        <w:noProof/>
        <w:sz w:val="20"/>
        <w:szCs w:val="20"/>
      </w:rPr>
    </w:sdtEndPr>
    <w:sdtContent>
      <w:p w14:paraId="7DC88E25" w14:textId="226FD8B0" w:rsidR="0093775D" w:rsidRPr="0093775D" w:rsidRDefault="0093775D">
        <w:pPr>
          <w:pStyle w:val="Header"/>
          <w:jc w:val="right"/>
          <w:rPr>
            <w:rFonts w:ascii="Arial" w:hAnsi="Arial" w:cs="Arial"/>
            <w:sz w:val="20"/>
            <w:szCs w:val="20"/>
          </w:rPr>
        </w:pPr>
        <w:r w:rsidRPr="0093775D">
          <w:rPr>
            <w:rFonts w:ascii="Arial" w:hAnsi="Arial" w:cs="Arial"/>
            <w:sz w:val="20"/>
            <w:szCs w:val="20"/>
          </w:rPr>
          <w:fldChar w:fldCharType="begin"/>
        </w:r>
        <w:r w:rsidRPr="0093775D">
          <w:rPr>
            <w:rFonts w:ascii="Arial" w:hAnsi="Arial" w:cs="Arial"/>
            <w:sz w:val="20"/>
            <w:szCs w:val="20"/>
          </w:rPr>
          <w:instrText xml:space="preserve"> PAGE   \* MERGEFORMAT </w:instrText>
        </w:r>
        <w:r w:rsidRPr="0093775D">
          <w:rPr>
            <w:rFonts w:ascii="Arial" w:hAnsi="Arial" w:cs="Arial"/>
            <w:sz w:val="20"/>
            <w:szCs w:val="20"/>
          </w:rPr>
          <w:fldChar w:fldCharType="separate"/>
        </w:r>
        <w:r w:rsidR="000E11BE">
          <w:rPr>
            <w:rFonts w:ascii="Arial" w:hAnsi="Arial" w:cs="Arial"/>
            <w:noProof/>
            <w:sz w:val="20"/>
            <w:szCs w:val="20"/>
          </w:rPr>
          <w:t>9</w:t>
        </w:r>
        <w:r w:rsidRPr="0093775D">
          <w:rPr>
            <w:rFonts w:ascii="Arial" w:hAnsi="Arial" w:cs="Arial"/>
            <w:noProof/>
            <w:sz w:val="20"/>
            <w:szCs w:val="20"/>
          </w:rPr>
          <w:fldChar w:fldCharType="end"/>
        </w:r>
      </w:p>
    </w:sdtContent>
  </w:sdt>
  <w:p w14:paraId="4ADA30A2" w14:textId="77777777" w:rsidR="00F40686" w:rsidRDefault="00F406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6EB6" w14:textId="4452EDC8" w:rsidR="0093775D" w:rsidRDefault="0093775D">
    <w:pPr>
      <w:pStyle w:val="Header"/>
      <w:jc w:val="right"/>
    </w:pPr>
  </w:p>
  <w:p w14:paraId="0C806F13" w14:textId="77777777" w:rsidR="00F40686" w:rsidRDefault="00F406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0"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0"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1"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7"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48"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6"/>
  </w:num>
  <w:num w:numId="2">
    <w:abstractNumId w:val="11"/>
  </w:num>
  <w:num w:numId="3">
    <w:abstractNumId w:val="5"/>
  </w:num>
  <w:num w:numId="4">
    <w:abstractNumId w:val="22"/>
  </w:num>
  <w:num w:numId="5">
    <w:abstractNumId w:val="2"/>
  </w:num>
  <w:num w:numId="6">
    <w:abstractNumId w:val="1"/>
  </w:num>
  <w:num w:numId="7">
    <w:abstractNumId w:val="19"/>
  </w:num>
  <w:num w:numId="8">
    <w:abstractNumId w:val="13"/>
  </w:num>
  <w:num w:numId="9">
    <w:abstractNumId w:val="32"/>
  </w:num>
  <w:num w:numId="10">
    <w:abstractNumId w:val="31"/>
  </w:num>
  <w:num w:numId="11">
    <w:abstractNumId w:val="43"/>
  </w:num>
  <w:num w:numId="12">
    <w:abstractNumId w:val="45"/>
  </w:num>
  <w:num w:numId="13">
    <w:abstractNumId w:val="3"/>
  </w:num>
  <w:num w:numId="14">
    <w:abstractNumId w:val="23"/>
  </w:num>
  <w:num w:numId="15">
    <w:abstractNumId w:val="15"/>
  </w:num>
  <w:num w:numId="16">
    <w:abstractNumId w:val="7"/>
  </w:num>
  <w:num w:numId="17">
    <w:abstractNumId w:val="4"/>
  </w:num>
  <w:num w:numId="18">
    <w:abstractNumId w:val="24"/>
  </w:num>
  <w:num w:numId="19">
    <w:abstractNumId w:val="41"/>
  </w:num>
  <w:num w:numId="20">
    <w:abstractNumId w:val="25"/>
  </w:num>
  <w:num w:numId="21">
    <w:abstractNumId w:val="29"/>
  </w:num>
  <w:num w:numId="22">
    <w:abstractNumId w:val="33"/>
  </w:num>
  <w:num w:numId="23">
    <w:abstractNumId w:val="21"/>
  </w:num>
  <w:num w:numId="24">
    <w:abstractNumId w:val="9"/>
  </w:num>
  <w:num w:numId="25">
    <w:abstractNumId w:val="34"/>
  </w:num>
  <w:num w:numId="26">
    <w:abstractNumId w:val="42"/>
  </w:num>
  <w:num w:numId="27">
    <w:abstractNumId w:val="49"/>
  </w:num>
  <w:num w:numId="28">
    <w:abstractNumId w:val="8"/>
  </w:num>
  <w:num w:numId="29">
    <w:abstractNumId w:val="20"/>
  </w:num>
  <w:num w:numId="30">
    <w:abstractNumId w:val="26"/>
  </w:num>
  <w:num w:numId="31">
    <w:abstractNumId w:val="35"/>
  </w:num>
  <w:num w:numId="32">
    <w:abstractNumId w:val="10"/>
  </w:num>
  <w:num w:numId="33">
    <w:abstractNumId w:val="36"/>
  </w:num>
  <w:num w:numId="34">
    <w:abstractNumId w:val="44"/>
  </w:num>
  <w:num w:numId="35">
    <w:abstractNumId w:val="30"/>
  </w:num>
  <w:num w:numId="36">
    <w:abstractNumId w:val="18"/>
  </w:num>
  <w:num w:numId="37">
    <w:abstractNumId w:val="38"/>
  </w:num>
  <w:num w:numId="38">
    <w:abstractNumId w:val="48"/>
  </w:num>
  <w:num w:numId="39">
    <w:abstractNumId w:val="37"/>
  </w:num>
  <w:num w:numId="40">
    <w:abstractNumId w:val="27"/>
  </w:num>
  <w:num w:numId="41">
    <w:abstractNumId w:val="40"/>
  </w:num>
  <w:num w:numId="42">
    <w:abstractNumId w:val="12"/>
  </w:num>
  <w:num w:numId="43">
    <w:abstractNumId w:val="16"/>
  </w:num>
  <w:num w:numId="44">
    <w:abstractNumId w:val="14"/>
  </w:num>
  <w:num w:numId="45">
    <w:abstractNumId w:val="47"/>
  </w:num>
  <w:num w:numId="46">
    <w:abstractNumId w:val="0"/>
  </w:num>
  <w:num w:numId="47">
    <w:abstractNumId w:val="28"/>
  </w:num>
  <w:num w:numId="48">
    <w:abstractNumId w:val="39"/>
  </w:num>
  <w:num w:numId="49">
    <w:abstractNumId w:val="17"/>
  </w:num>
  <w:num w:numId="50">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7E319C"/>
    <w:rsid w:val="00003735"/>
    <w:rsid w:val="00014825"/>
    <w:rsid w:val="000164AB"/>
    <w:rsid w:val="0002034F"/>
    <w:rsid w:val="000260A7"/>
    <w:rsid w:val="00026A93"/>
    <w:rsid w:val="00034762"/>
    <w:rsid w:val="0003490A"/>
    <w:rsid w:val="00045D47"/>
    <w:rsid w:val="00054174"/>
    <w:rsid w:val="0007023D"/>
    <w:rsid w:val="000732EF"/>
    <w:rsid w:val="000733C8"/>
    <w:rsid w:val="00082266"/>
    <w:rsid w:val="0009296D"/>
    <w:rsid w:val="00093F2D"/>
    <w:rsid w:val="000A2E93"/>
    <w:rsid w:val="000A5B0D"/>
    <w:rsid w:val="000B7F03"/>
    <w:rsid w:val="000C7C32"/>
    <w:rsid w:val="000C7D51"/>
    <w:rsid w:val="000D4460"/>
    <w:rsid w:val="000D60D5"/>
    <w:rsid w:val="000E11BE"/>
    <w:rsid w:val="000E6988"/>
    <w:rsid w:val="000F1ED4"/>
    <w:rsid w:val="000F2251"/>
    <w:rsid w:val="000F2FD9"/>
    <w:rsid w:val="000F4535"/>
    <w:rsid w:val="000F4812"/>
    <w:rsid w:val="000F5634"/>
    <w:rsid w:val="00106EF4"/>
    <w:rsid w:val="0011130F"/>
    <w:rsid w:val="00115024"/>
    <w:rsid w:val="00115C15"/>
    <w:rsid w:val="0011777D"/>
    <w:rsid w:val="001177E5"/>
    <w:rsid w:val="001201E5"/>
    <w:rsid w:val="00126263"/>
    <w:rsid w:val="0013258B"/>
    <w:rsid w:val="0013277C"/>
    <w:rsid w:val="001350D7"/>
    <w:rsid w:val="0013627B"/>
    <w:rsid w:val="001432BC"/>
    <w:rsid w:val="00156532"/>
    <w:rsid w:val="00157208"/>
    <w:rsid w:val="00161A8F"/>
    <w:rsid w:val="0017403A"/>
    <w:rsid w:val="00174937"/>
    <w:rsid w:val="00176D2E"/>
    <w:rsid w:val="0018229A"/>
    <w:rsid w:val="00186091"/>
    <w:rsid w:val="00193B2F"/>
    <w:rsid w:val="00197E89"/>
    <w:rsid w:val="001A23C2"/>
    <w:rsid w:val="001A2D31"/>
    <w:rsid w:val="001A3F4B"/>
    <w:rsid w:val="001A400D"/>
    <w:rsid w:val="001A4A0F"/>
    <w:rsid w:val="001B5E51"/>
    <w:rsid w:val="001C062C"/>
    <w:rsid w:val="001C19F9"/>
    <w:rsid w:val="001D01DF"/>
    <w:rsid w:val="001D04B2"/>
    <w:rsid w:val="001E1474"/>
    <w:rsid w:val="001E44FC"/>
    <w:rsid w:val="001F393B"/>
    <w:rsid w:val="001F7A92"/>
    <w:rsid w:val="00200563"/>
    <w:rsid w:val="0020591D"/>
    <w:rsid w:val="00212717"/>
    <w:rsid w:val="00212758"/>
    <w:rsid w:val="00213E4C"/>
    <w:rsid w:val="00215121"/>
    <w:rsid w:val="00240496"/>
    <w:rsid w:val="002444C0"/>
    <w:rsid w:val="002540B5"/>
    <w:rsid w:val="00265D3B"/>
    <w:rsid w:val="00265D95"/>
    <w:rsid w:val="002668E6"/>
    <w:rsid w:val="00277601"/>
    <w:rsid w:val="00280860"/>
    <w:rsid w:val="002908B8"/>
    <w:rsid w:val="00292DD5"/>
    <w:rsid w:val="00296E5E"/>
    <w:rsid w:val="002A0518"/>
    <w:rsid w:val="002A0711"/>
    <w:rsid w:val="002A4554"/>
    <w:rsid w:val="002B1415"/>
    <w:rsid w:val="002B1873"/>
    <w:rsid w:val="002B2553"/>
    <w:rsid w:val="002B27CC"/>
    <w:rsid w:val="002C1F5F"/>
    <w:rsid w:val="002C5551"/>
    <w:rsid w:val="002C59D0"/>
    <w:rsid w:val="002C5A38"/>
    <w:rsid w:val="002C6F84"/>
    <w:rsid w:val="002D1F87"/>
    <w:rsid w:val="002D27BE"/>
    <w:rsid w:val="002D2E74"/>
    <w:rsid w:val="002D4510"/>
    <w:rsid w:val="002D6473"/>
    <w:rsid w:val="002D7BAD"/>
    <w:rsid w:val="002E68E5"/>
    <w:rsid w:val="002F0B3A"/>
    <w:rsid w:val="00300A2C"/>
    <w:rsid w:val="00302235"/>
    <w:rsid w:val="003024C1"/>
    <w:rsid w:val="00303283"/>
    <w:rsid w:val="003118B4"/>
    <w:rsid w:val="00331F44"/>
    <w:rsid w:val="00336661"/>
    <w:rsid w:val="003562B5"/>
    <w:rsid w:val="00357161"/>
    <w:rsid w:val="00360A53"/>
    <w:rsid w:val="00361FF0"/>
    <w:rsid w:val="003651A0"/>
    <w:rsid w:val="00370CF7"/>
    <w:rsid w:val="00374C2F"/>
    <w:rsid w:val="00377914"/>
    <w:rsid w:val="00384557"/>
    <w:rsid w:val="00384E22"/>
    <w:rsid w:val="00391D43"/>
    <w:rsid w:val="003A024F"/>
    <w:rsid w:val="003A1703"/>
    <w:rsid w:val="003A1E1E"/>
    <w:rsid w:val="003A4369"/>
    <w:rsid w:val="003B5A38"/>
    <w:rsid w:val="003C3503"/>
    <w:rsid w:val="003D0003"/>
    <w:rsid w:val="003D48FC"/>
    <w:rsid w:val="003D726C"/>
    <w:rsid w:val="003D7779"/>
    <w:rsid w:val="003F57D5"/>
    <w:rsid w:val="00400678"/>
    <w:rsid w:val="00405888"/>
    <w:rsid w:val="00407115"/>
    <w:rsid w:val="00411531"/>
    <w:rsid w:val="004127C6"/>
    <w:rsid w:val="00421AAF"/>
    <w:rsid w:val="00421B60"/>
    <w:rsid w:val="0042485C"/>
    <w:rsid w:val="004336D5"/>
    <w:rsid w:val="0043532F"/>
    <w:rsid w:val="0044084D"/>
    <w:rsid w:val="00441CAB"/>
    <w:rsid w:val="00460C85"/>
    <w:rsid w:val="00467685"/>
    <w:rsid w:val="00467F4C"/>
    <w:rsid w:val="004718D5"/>
    <w:rsid w:val="0047337B"/>
    <w:rsid w:val="004767BD"/>
    <w:rsid w:val="00485A2F"/>
    <w:rsid w:val="00490EBB"/>
    <w:rsid w:val="00494405"/>
    <w:rsid w:val="004A0D0F"/>
    <w:rsid w:val="004B13CA"/>
    <w:rsid w:val="004C390E"/>
    <w:rsid w:val="004D047F"/>
    <w:rsid w:val="004D54F3"/>
    <w:rsid w:val="004E3FF1"/>
    <w:rsid w:val="004F2DC4"/>
    <w:rsid w:val="005002E7"/>
    <w:rsid w:val="00504FB0"/>
    <w:rsid w:val="00511C72"/>
    <w:rsid w:val="00515275"/>
    <w:rsid w:val="0051668C"/>
    <w:rsid w:val="00520D28"/>
    <w:rsid w:val="00520DB7"/>
    <w:rsid w:val="00520E4B"/>
    <w:rsid w:val="00522A33"/>
    <w:rsid w:val="00522EB2"/>
    <w:rsid w:val="005371DC"/>
    <w:rsid w:val="00542C41"/>
    <w:rsid w:val="0054350D"/>
    <w:rsid w:val="00553250"/>
    <w:rsid w:val="00553AAD"/>
    <w:rsid w:val="00565BEB"/>
    <w:rsid w:val="00566122"/>
    <w:rsid w:val="00570967"/>
    <w:rsid w:val="00577216"/>
    <w:rsid w:val="00580F35"/>
    <w:rsid w:val="005869A9"/>
    <w:rsid w:val="00595D87"/>
    <w:rsid w:val="005964F7"/>
    <w:rsid w:val="005A10E0"/>
    <w:rsid w:val="005A4188"/>
    <w:rsid w:val="005A64DB"/>
    <w:rsid w:val="005B6659"/>
    <w:rsid w:val="005C1BDB"/>
    <w:rsid w:val="005C1D1D"/>
    <w:rsid w:val="005E0B5E"/>
    <w:rsid w:val="005E1DE4"/>
    <w:rsid w:val="005F392A"/>
    <w:rsid w:val="005F4CDD"/>
    <w:rsid w:val="005F774A"/>
    <w:rsid w:val="00600109"/>
    <w:rsid w:val="00602887"/>
    <w:rsid w:val="006107E2"/>
    <w:rsid w:val="006200A3"/>
    <w:rsid w:val="00623505"/>
    <w:rsid w:val="006327ED"/>
    <w:rsid w:val="00652544"/>
    <w:rsid w:val="006560CB"/>
    <w:rsid w:val="006561BA"/>
    <w:rsid w:val="0066260F"/>
    <w:rsid w:val="00665B0F"/>
    <w:rsid w:val="00666169"/>
    <w:rsid w:val="00667C51"/>
    <w:rsid w:val="0067469D"/>
    <w:rsid w:val="006802E9"/>
    <w:rsid w:val="00685FBA"/>
    <w:rsid w:val="006900D7"/>
    <w:rsid w:val="006A37D8"/>
    <w:rsid w:val="006B12A8"/>
    <w:rsid w:val="006C15AD"/>
    <w:rsid w:val="006C1F17"/>
    <w:rsid w:val="006C373B"/>
    <w:rsid w:val="006C4EE7"/>
    <w:rsid w:val="006C7406"/>
    <w:rsid w:val="006E1D0D"/>
    <w:rsid w:val="006E36B9"/>
    <w:rsid w:val="006F6782"/>
    <w:rsid w:val="00704A96"/>
    <w:rsid w:val="00716C67"/>
    <w:rsid w:val="007355EB"/>
    <w:rsid w:val="007373FB"/>
    <w:rsid w:val="00744A1B"/>
    <w:rsid w:val="00745F15"/>
    <w:rsid w:val="00751163"/>
    <w:rsid w:val="00763FC5"/>
    <w:rsid w:val="00765A77"/>
    <w:rsid w:val="00772C2D"/>
    <w:rsid w:val="007902E3"/>
    <w:rsid w:val="00792F34"/>
    <w:rsid w:val="007A5843"/>
    <w:rsid w:val="007B0C6A"/>
    <w:rsid w:val="007B1849"/>
    <w:rsid w:val="007B7FEF"/>
    <w:rsid w:val="007C09AB"/>
    <w:rsid w:val="007C4D93"/>
    <w:rsid w:val="007C5CF9"/>
    <w:rsid w:val="007C7BA5"/>
    <w:rsid w:val="007D3484"/>
    <w:rsid w:val="007E0AFD"/>
    <w:rsid w:val="007E1CBD"/>
    <w:rsid w:val="007E2208"/>
    <w:rsid w:val="007E319C"/>
    <w:rsid w:val="007E70F3"/>
    <w:rsid w:val="007F10C7"/>
    <w:rsid w:val="007F5AFE"/>
    <w:rsid w:val="00814AF4"/>
    <w:rsid w:val="008245AA"/>
    <w:rsid w:val="00824983"/>
    <w:rsid w:val="00827FFD"/>
    <w:rsid w:val="008325C2"/>
    <w:rsid w:val="008329B2"/>
    <w:rsid w:val="00835F34"/>
    <w:rsid w:val="00842948"/>
    <w:rsid w:val="0085308A"/>
    <w:rsid w:val="008558BF"/>
    <w:rsid w:val="00856D8C"/>
    <w:rsid w:val="008603E3"/>
    <w:rsid w:val="008672AA"/>
    <w:rsid w:val="00867CEC"/>
    <w:rsid w:val="00883EDC"/>
    <w:rsid w:val="00891A3D"/>
    <w:rsid w:val="0089679E"/>
    <w:rsid w:val="008A3D4F"/>
    <w:rsid w:val="008B1A86"/>
    <w:rsid w:val="008B4E78"/>
    <w:rsid w:val="008C0ADE"/>
    <w:rsid w:val="008C2C9A"/>
    <w:rsid w:val="008C3DBB"/>
    <w:rsid w:val="008D359F"/>
    <w:rsid w:val="008D519D"/>
    <w:rsid w:val="008E0A4F"/>
    <w:rsid w:val="008E0FEF"/>
    <w:rsid w:val="008E5048"/>
    <w:rsid w:val="0090717C"/>
    <w:rsid w:val="00910069"/>
    <w:rsid w:val="00910BF1"/>
    <w:rsid w:val="00916108"/>
    <w:rsid w:val="0092197D"/>
    <w:rsid w:val="009302C8"/>
    <w:rsid w:val="0093775D"/>
    <w:rsid w:val="00943BEF"/>
    <w:rsid w:val="00945293"/>
    <w:rsid w:val="009520FF"/>
    <w:rsid w:val="00965923"/>
    <w:rsid w:val="00972559"/>
    <w:rsid w:val="00984118"/>
    <w:rsid w:val="00987891"/>
    <w:rsid w:val="00987B3A"/>
    <w:rsid w:val="00990533"/>
    <w:rsid w:val="00991B25"/>
    <w:rsid w:val="009A6A25"/>
    <w:rsid w:val="009B5D6F"/>
    <w:rsid w:val="009C3849"/>
    <w:rsid w:val="009D78AA"/>
    <w:rsid w:val="009E6C5E"/>
    <w:rsid w:val="009F011F"/>
    <w:rsid w:val="009F4960"/>
    <w:rsid w:val="009F7BB8"/>
    <w:rsid w:val="00A04BA5"/>
    <w:rsid w:val="00A12477"/>
    <w:rsid w:val="00A16E5F"/>
    <w:rsid w:val="00A21931"/>
    <w:rsid w:val="00A24E52"/>
    <w:rsid w:val="00A41181"/>
    <w:rsid w:val="00A52A9E"/>
    <w:rsid w:val="00A63D25"/>
    <w:rsid w:val="00A776A4"/>
    <w:rsid w:val="00A85D6B"/>
    <w:rsid w:val="00AA70C9"/>
    <w:rsid w:val="00AB26DC"/>
    <w:rsid w:val="00AC1CE2"/>
    <w:rsid w:val="00AC3A5F"/>
    <w:rsid w:val="00AD1B2B"/>
    <w:rsid w:val="00AD79F8"/>
    <w:rsid w:val="00AF3A62"/>
    <w:rsid w:val="00AF3A86"/>
    <w:rsid w:val="00B127E2"/>
    <w:rsid w:val="00B17906"/>
    <w:rsid w:val="00B20742"/>
    <w:rsid w:val="00B21294"/>
    <w:rsid w:val="00B24C0E"/>
    <w:rsid w:val="00B27924"/>
    <w:rsid w:val="00B40636"/>
    <w:rsid w:val="00B45C6F"/>
    <w:rsid w:val="00B505D9"/>
    <w:rsid w:val="00B52E30"/>
    <w:rsid w:val="00B5653A"/>
    <w:rsid w:val="00B57FE6"/>
    <w:rsid w:val="00B71086"/>
    <w:rsid w:val="00B72098"/>
    <w:rsid w:val="00B85415"/>
    <w:rsid w:val="00B8718D"/>
    <w:rsid w:val="00B93F0C"/>
    <w:rsid w:val="00B97A9A"/>
    <w:rsid w:val="00B97E80"/>
    <w:rsid w:val="00BB25E6"/>
    <w:rsid w:val="00BC5FE7"/>
    <w:rsid w:val="00BC6A0E"/>
    <w:rsid w:val="00BD66DE"/>
    <w:rsid w:val="00BE4F6D"/>
    <w:rsid w:val="00BF2031"/>
    <w:rsid w:val="00BF7C21"/>
    <w:rsid w:val="00C11405"/>
    <w:rsid w:val="00C15393"/>
    <w:rsid w:val="00C1768E"/>
    <w:rsid w:val="00C201AA"/>
    <w:rsid w:val="00C2426A"/>
    <w:rsid w:val="00C2723C"/>
    <w:rsid w:val="00C371BF"/>
    <w:rsid w:val="00C37A55"/>
    <w:rsid w:val="00C417C7"/>
    <w:rsid w:val="00C4220D"/>
    <w:rsid w:val="00C426F1"/>
    <w:rsid w:val="00C52D6A"/>
    <w:rsid w:val="00C65876"/>
    <w:rsid w:val="00C81C41"/>
    <w:rsid w:val="00C832AF"/>
    <w:rsid w:val="00C953B0"/>
    <w:rsid w:val="00C9605F"/>
    <w:rsid w:val="00CA2941"/>
    <w:rsid w:val="00CA6CAF"/>
    <w:rsid w:val="00CB18A6"/>
    <w:rsid w:val="00CB62D4"/>
    <w:rsid w:val="00CC6BF0"/>
    <w:rsid w:val="00CC7079"/>
    <w:rsid w:val="00CE1C4B"/>
    <w:rsid w:val="00CE648D"/>
    <w:rsid w:val="00CE693A"/>
    <w:rsid w:val="00CE6CEE"/>
    <w:rsid w:val="00CF0CEF"/>
    <w:rsid w:val="00CF174D"/>
    <w:rsid w:val="00CF2339"/>
    <w:rsid w:val="00CF3001"/>
    <w:rsid w:val="00CF4C80"/>
    <w:rsid w:val="00CF7133"/>
    <w:rsid w:val="00D0268D"/>
    <w:rsid w:val="00D04252"/>
    <w:rsid w:val="00D07741"/>
    <w:rsid w:val="00D14D64"/>
    <w:rsid w:val="00D158AD"/>
    <w:rsid w:val="00D168B8"/>
    <w:rsid w:val="00D33B1D"/>
    <w:rsid w:val="00D41425"/>
    <w:rsid w:val="00D448F6"/>
    <w:rsid w:val="00D47B52"/>
    <w:rsid w:val="00D523AE"/>
    <w:rsid w:val="00D52B9F"/>
    <w:rsid w:val="00D6090B"/>
    <w:rsid w:val="00D61B0A"/>
    <w:rsid w:val="00D7569D"/>
    <w:rsid w:val="00D81069"/>
    <w:rsid w:val="00D810ED"/>
    <w:rsid w:val="00D828CD"/>
    <w:rsid w:val="00D84A15"/>
    <w:rsid w:val="00D87DF2"/>
    <w:rsid w:val="00D9014F"/>
    <w:rsid w:val="00DA0DF0"/>
    <w:rsid w:val="00DA7D73"/>
    <w:rsid w:val="00DB1A3C"/>
    <w:rsid w:val="00DB4177"/>
    <w:rsid w:val="00DB4AD1"/>
    <w:rsid w:val="00DC12F3"/>
    <w:rsid w:val="00DC3913"/>
    <w:rsid w:val="00DC3BD8"/>
    <w:rsid w:val="00DC6219"/>
    <w:rsid w:val="00DD4919"/>
    <w:rsid w:val="00DE2370"/>
    <w:rsid w:val="00DE70F1"/>
    <w:rsid w:val="00DF0EDF"/>
    <w:rsid w:val="00DF2CEC"/>
    <w:rsid w:val="00DF545E"/>
    <w:rsid w:val="00DF5532"/>
    <w:rsid w:val="00E05567"/>
    <w:rsid w:val="00E055E0"/>
    <w:rsid w:val="00E07A4C"/>
    <w:rsid w:val="00E11554"/>
    <w:rsid w:val="00E20A1E"/>
    <w:rsid w:val="00E562D1"/>
    <w:rsid w:val="00E63C79"/>
    <w:rsid w:val="00E66F1F"/>
    <w:rsid w:val="00E76D05"/>
    <w:rsid w:val="00E81004"/>
    <w:rsid w:val="00E82F6E"/>
    <w:rsid w:val="00E913CB"/>
    <w:rsid w:val="00E95F62"/>
    <w:rsid w:val="00EA0AB6"/>
    <w:rsid w:val="00EC00AF"/>
    <w:rsid w:val="00ED2C3C"/>
    <w:rsid w:val="00EE692D"/>
    <w:rsid w:val="00EF1EDF"/>
    <w:rsid w:val="00F000E0"/>
    <w:rsid w:val="00F00166"/>
    <w:rsid w:val="00F016B7"/>
    <w:rsid w:val="00F15561"/>
    <w:rsid w:val="00F1682E"/>
    <w:rsid w:val="00F22917"/>
    <w:rsid w:val="00F23EE7"/>
    <w:rsid w:val="00F34932"/>
    <w:rsid w:val="00F353E0"/>
    <w:rsid w:val="00F40686"/>
    <w:rsid w:val="00F454C4"/>
    <w:rsid w:val="00F46213"/>
    <w:rsid w:val="00F51E8C"/>
    <w:rsid w:val="00F55010"/>
    <w:rsid w:val="00F63788"/>
    <w:rsid w:val="00F71D98"/>
    <w:rsid w:val="00F76268"/>
    <w:rsid w:val="00F911BB"/>
    <w:rsid w:val="00F95457"/>
    <w:rsid w:val="00FA28C8"/>
    <w:rsid w:val="00FC23BF"/>
    <w:rsid w:val="00FD24CF"/>
    <w:rsid w:val="00FD53C3"/>
    <w:rsid w:val="00FE252E"/>
    <w:rsid w:val="00FF00DF"/>
    <w:rsid w:val="00FF0B38"/>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54318"/>
  <w15:chartTrackingRefBased/>
  <w15:docId w15:val="{5A4F89FC-D7F9-4EFB-B4E5-8504051C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uiPriority w:val="9"/>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LegalAnnexure">
    <w:name w:val="Legal_Annexure"/>
    <w:basedOn w:val="LegalNormal"/>
    <w:next w:val="LegalNormal"/>
    <w:semiHidden/>
    <w:rsid w:val="00DD4919"/>
    <w:pPr>
      <w:keepNext/>
      <w:jc w:val="right"/>
    </w:pPr>
    <w:rPr>
      <w:b/>
      <w:caps/>
    </w:rPr>
  </w:style>
  <w:style w:type="paragraph" w:customStyle="1" w:styleId="LegalTitle">
    <w:name w:val="Legal_Title"/>
    <w:basedOn w:val="LegalNormal"/>
    <w:next w:val="LegalNormal"/>
    <w:semiHidden/>
    <w:rsid w:val="00DD4919"/>
    <w:pPr>
      <w:keepNext/>
      <w:jc w:val="center"/>
    </w:pPr>
    <w:rPr>
      <w:b/>
      <w:caps/>
    </w:rPr>
  </w:style>
  <w:style w:type="paragraph" w:customStyle="1" w:styleId="LegalTramLines">
    <w:name w:val="Legal_TramLines"/>
    <w:basedOn w:val="LegalNormal"/>
    <w:next w:val="LegalNormal"/>
    <w:semiHidden/>
    <w:rsid w:val="00DD4919"/>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DD4919"/>
    <w:pPr>
      <w:tabs>
        <w:tab w:val="right" w:pos="8789"/>
      </w:tabs>
    </w:pPr>
  </w:style>
  <w:style w:type="paragraph" w:customStyle="1" w:styleId="LegalNormal">
    <w:name w:val="Legal_Normal"/>
    <w:basedOn w:val="Normal"/>
    <w:rsid w:val="00DD4919"/>
    <w:pPr>
      <w:suppressAutoHyphens/>
      <w:spacing w:after="360" w:line="480" w:lineRule="auto"/>
    </w:pPr>
    <w:rPr>
      <w:rFonts w:ascii="Arial" w:hAnsi="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spi-Team@schindlers.co.z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risj@lc.leg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079461837D643A417C2ABDC1C206F" ma:contentTypeVersion="10" ma:contentTypeDescription="Create a new document." ma:contentTypeScope="" ma:versionID="5a637bf6321eb9ad4d7243949bbfb968">
  <xsd:schema xmlns:xsd="http://www.w3.org/2001/XMLSchema" xmlns:xs="http://www.w3.org/2001/XMLSchema" xmlns:p="http://schemas.microsoft.com/office/2006/metadata/properties" xmlns:ns3="a85d9592-f38f-4da4-8777-0cdec97478ee" targetNamespace="http://schemas.microsoft.com/office/2006/metadata/properties" ma:root="true" ma:fieldsID="71259b4240b46da5140d4aa0a4550f39" ns3:_="">
    <xsd:import namespace="a85d9592-f38f-4da4-8777-0cdec97478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9592-f38f-4da4-8777-0cdec9747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248B-D0B2-48FC-97EE-4D3170B702E1}">
  <ds:schemaRefs>
    <ds:schemaRef ds:uri="http://schemas.microsoft.com/sharepoint/v3/contenttype/forms"/>
  </ds:schemaRefs>
</ds:datastoreItem>
</file>

<file path=customXml/itemProps2.xml><?xml version="1.0" encoding="utf-8"?>
<ds:datastoreItem xmlns:ds="http://schemas.openxmlformats.org/officeDocument/2006/customXml" ds:itemID="{69E930A2-F1E5-48FD-9408-0C62CB20F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E0CF0-C7AD-47FF-B2CF-EAEA2CB94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9592-f38f-4da4-8777-0cdec9747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3AA7F-E8AF-4155-8B57-69FA52CB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Nichols</dc:creator>
  <cp:keywords/>
  <dc:description/>
  <cp:lastModifiedBy>Lazarus Rakgwale</cp:lastModifiedBy>
  <cp:revision>2</cp:revision>
  <cp:lastPrinted>2022-04-15T15:08:00Z</cp:lastPrinted>
  <dcterms:created xsi:type="dcterms:W3CDTF">2022-04-26T12:44:00Z</dcterms:created>
  <dcterms:modified xsi:type="dcterms:W3CDTF">2022-04-26T12:44:00Z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0x01010027B079461837D643A417C2ABDC1C206F</vt:lpwstr>
  </property>
</Properties>
</file>