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1EEE8" w14:textId="77777777" w:rsidR="008906F4" w:rsidRPr="00997D6F" w:rsidRDefault="008906F4" w:rsidP="009D710B">
      <w:pPr>
        <w:spacing w:after="0" w:line="240" w:lineRule="auto"/>
        <w:jc w:val="center"/>
        <w:rPr>
          <w:b/>
          <w:sz w:val="24"/>
          <w:szCs w:val="24"/>
        </w:rPr>
      </w:pPr>
      <w:bookmarkStart w:id="0" w:name="_GoBack"/>
      <w:bookmarkEnd w:id="0"/>
      <w:r w:rsidRPr="00997D6F">
        <w:rPr>
          <w:b/>
          <w:sz w:val="24"/>
          <w:szCs w:val="24"/>
        </w:rPr>
        <w:t>REPUBLIC OF SOUTH AFRICA</w:t>
      </w:r>
    </w:p>
    <w:p w14:paraId="452CDF04" w14:textId="77777777" w:rsidR="008906F4" w:rsidRPr="00997D6F" w:rsidRDefault="008906F4" w:rsidP="009D710B">
      <w:pPr>
        <w:spacing w:after="0" w:line="240" w:lineRule="auto"/>
        <w:jc w:val="center"/>
        <w:rPr>
          <w:b/>
          <w:sz w:val="24"/>
          <w:szCs w:val="24"/>
        </w:rPr>
      </w:pPr>
    </w:p>
    <w:p w14:paraId="205715CA" w14:textId="5C070E20" w:rsidR="00BD6237" w:rsidRPr="00997D6F" w:rsidRDefault="00BD6237" w:rsidP="00AF090B">
      <w:pPr>
        <w:spacing w:after="0" w:line="240" w:lineRule="auto"/>
        <w:jc w:val="center"/>
        <w:rPr>
          <w:b/>
          <w:sz w:val="24"/>
          <w:szCs w:val="24"/>
        </w:rPr>
      </w:pPr>
      <w:r w:rsidRPr="00997D6F">
        <w:rPr>
          <w:noProof/>
          <w:sz w:val="24"/>
          <w:szCs w:val="24"/>
          <w:lang w:eastAsia="en-ZA"/>
        </w:rPr>
        <w:drawing>
          <wp:inline distT="0" distB="0" distL="0" distR="0" wp14:anchorId="0E109D9D" wp14:editId="2E7B51D3">
            <wp:extent cx="1352550" cy="1019175"/>
            <wp:effectExtent l="0" t="0" r="0" b="9525"/>
            <wp:docPr id="2" name="Picture 2"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76AF.8E67B5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p>
    <w:p w14:paraId="15B5C548" w14:textId="77777777" w:rsidR="008906F4" w:rsidRPr="00997D6F" w:rsidRDefault="008906F4" w:rsidP="00AF090B">
      <w:pPr>
        <w:spacing w:after="0" w:line="240" w:lineRule="auto"/>
        <w:jc w:val="center"/>
        <w:rPr>
          <w:b/>
          <w:sz w:val="24"/>
          <w:szCs w:val="24"/>
        </w:rPr>
      </w:pPr>
    </w:p>
    <w:p w14:paraId="513BAFD3" w14:textId="4DD5DB9E" w:rsidR="00C813AC" w:rsidRPr="00997D6F" w:rsidRDefault="00AF090B" w:rsidP="00AF090B">
      <w:pPr>
        <w:spacing w:after="0" w:line="240" w:lineRule="auto"/>
        <w:jc w:val="center"/>
        <w:rPr>
          <w:b/>
          <w:sz w:val="24"/>
          <w:szCs w:val="24"/>
        </w:rPr>
      </w:pPr>
      <w:r w:rsidRPr="00997D6F">
        <w:rPr>
          <w:b/>
          <w:sz w:val="24"/>
          <w:szCs w:val="24"/>
        </w:rPr>
        <w:t>IN THE HIGH COURT OF SOUTH AFRICA</w:t>
      </w:r>
    </w:p>
    <w:p w14:paraId="0247D657" w14:textId="7AC20D40" w:rsidR="00AF090B" w:rsidRPr="00997D6F" w:rsidRDefault="00AF090B" w:rsidP="00637DE0">
      <w:pPr>
        <w:spacing w:line="240" w:lineRule="auto"/>
        <w:jc w:val="center"/>
        <w:rPr>
          <w:sz w:val="24"/>
          <w:szCs w:val="24"/>
        </w:rPr>
      </w:pPr>
      <w:r w:rsidRPr="00997D6F">
        <w:rPr>
          <w:b/>
          <w:sz w:val="24"/>
          <w:szCs w:val="24"/>
        </w:rPr>
        <w:t>GAUTENG LOCAL DIVISION, JOHANNESBURG</w:t>
      </w:r>
    </w:p>
    <w:p w14:paraId="25F5F92F" w14:textId="0F347BDD" w:rsidR="006E1088" w:rsidRPr="00997D6F" w:rsidRDefault="000F7E69" w:rsidP="00AB5725">
      <w:pPr>
        <w:spacing w:after="0" w:line="360" w:lineRule="auto"/>
        <w:jc w:val="right"/>
        <w:rPr>
          <w:b/>
          <w:sz w:val="24"/>
          <w:szCs w:val="24"/>
        </w:rPr>
      </w:pPr>
      <w:r w:rsidRPr="00997D6F">
        <w:rPr>
          <w:b/>
          <w:sz w:val="24"/>
          <w:szCs w:val="24"/>
        </w:rPr>
        <w:t>C</w:t>
      </w:r>
      <w:r w:rsidR="006E1088" w:rsidRPr="00997D6F">
        <w:rPr>
          <w:b/>
          <w:sz w:val="24"/>
          <w:szCs w:val="24"/>
        </w:rPr>
        <w:t xml:space="preserve">ASE NO:  </w:t>
      </w:r>
      <w:r w:rsidR="00E80296" w:rsidRPr="00997D6F">
        <w:rPr>
          <w:b/>
          <w:sz w:val="24"/>
          <w:szCs w:val="24"/>
        </w:rPr>
        <w:t>2022/10496</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283"/>
        <w:gridCol w:w="2693"/>
      </w:tblGrid>
      <w:tr w:rsidR="002146DE" w:rsidRPr="00997D6F" w14:paraId="6C17C19F" w14:textId="77777777" w:rsidTr="00AB5725">
        <w:trPr>
          <w:trHeight w:val="826"/>
        </w:trPr>
        <w:tc>
          <w:tcPr>
            <w:tcW w:w="6384" w:type="dxa"/>
            <w:gridSpan w:val="2"/>
          </w:tcPr>
          <w:p w14:paraId="26903488" w14:textId="203886CD" w:rsidR="002146DE" w:rsidRPr="00997D6F" w:rsidRDefault="00917191" w:rsidP="00AF090B">
            <w:pPr>
              <w:rPr>
                <w:sz w:val="24"/>
                <w:szCs w:val="24"/>
              </w:rPr>
            </w:pPr>
            <w:r w:rsidRPr="00997D6F">
              <w:rPr>
                <w:b/>
                <w:noProof/>
                <w:sz w:val="24"/>
                <w:szCs w:val="24"/>
                <w:lang w:eastAsia="en-ZA"/>
              </w:rPr>
              <mc:AlternateContent>
                <mc:Choice Requires="wps">
                  <w:drawing>
                    <wp:anchor distT="0" distB="0" distL="114300" distR="114300" simplePos="0" relativeHeight="251658240" behindDoc="0" locked="0" layoutInCell="1" allowOverlap="1" wp14:anchorId="7B2F1EB2" wp14:editId="59A19EE9">
                      <wp:simplePos x="0" y="0"/>
                      <wp:positionH relativeFrom="column">
                        <wp:posOffset>16656</wp:posOffset>
                      </wp:positionH>
                      <wp:positionV relativeFrom="paragraph">
                        <wp:posOffset>181610</wp:posOffset>
                      </wp:positionV>
                      <wp:extent cx="3223846" cy="1336430"/>
                      <wp:effectExtent l="0" t="0" r="15240" b="16510"/>
                      <wp:wrapNone/>
                      <wp:docPr id="6" name="Rectangle 6"/>
                      <wp:cNvGraphicFramePr/>
                      <a:graphic xmlns:a="http://schemas.openxmlformats.org/drawingml/2006/main">
                        <a:graphicData uri="http://schemas.microsoft.com/office/word/2010/wordprocessingShape">
                          <wps:wsp>
                            <wps:cNvSpPr/>
                            <wps:spPr>
                              <a:xfrm>
                                <a:off x="0" y="0"/>
                                <a:ext cx="3223846" cy="13364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B813E1" w14:textId="54691BFC" w:rsidR="00E343BB" w:rsidRDefault="00A53938" w:rsidP="00A53938">
                                  <w:pPr>
                                    <w:pStyle w:val="ListParagraph"/>
                                    <w:spacing w:after="0" w:line="240" w:lineRule="auto"/>
                                    <w:ind w:left="142"/>
                                    <w:jc w:val="left"/>
                                    <w:rPr>
                                      <w:b/>
                                      <w:color w:val="000000" w:themeColor="text1"/>
                                    </w:rPr>
                                  </w:pPr>
                                  <w:r>
                                    <w:rPr>
                                      <w:b/>
                                      <w:color w:val="000000" w:themeColor="text1"/>
                                    </w:rPr>
                                    <w:t xml:space="preserve">(1) </w:t>
                                  </w:r>
                                  <w:r w:rsidR="00E343BB" w:rsidRPr="00E343BB">
                                    <w:rPr>
                                      <w:b/>
                                      <w:color w:val="000000" w:themeColor="text1"/>
                                    </w:rPr>
                                    <w:t>REPORTABLE: NO</w:t>
                                  </w:r>
                                </w:p>
                                <w:p w14:paraId="69DF69D0" w14:textId="7E56559D" w:rsidR="00E343BB" w:rsidRDefault="0046439E" w:rsidP="0046439E">
                                  <w:pPr>
                                    <w:pStyle w:val="ListParagraph"/>
                                    <w:spacing w:after="0" w:line="240" w:lineRule="auto"/>
                                    <w:ind w:left="142"/>
                                    <w:jc w:val="left"/>
                                    <w:rPr>
                                      <w:b/>
                                      <w:color w:val="000000" w:themeColor="text1"/>
                                    </w:rPr>
                                  </w:pPr>
                                  <w:r>
                                    <w:rPr>
                                      <w:b/>
                                      <w:color w:val="000000" w:themeColor="text1"/>
                                    </w:rPr>
                                    <w:t xml:space="preserve">(2) </w:t>
                                  </w:r>
                                  <w:r w:rsidR="00E343BB" w:rsidRPr="00E343BB">
                                    <w:rPr>
                                      <w:b/>
                                      <w:color w:val="000000" w:themeColor="text1"/>
                                    </w:rPr>
                                    <w:t>OF INTEREST TO OTHER JUDGES: NO</w:t>
                                  </w:r>
                                </w:p>
                                <w:p w14:paraId="3AEB50EA" w14:textId="1CAAC518" w:rsidR="00E343BB" w:rsidRPr="00E343BB" w:rsidRDefault="0046439E" w:rsidP="0046439E">
                                  <w:pPr>
                                    <w:pStyle w:val="ListParagraph"/>
                                    <w:spacing w:after="0" w:line="240" w:lineRule="auto"/>
                                    <w:ind w:left="142"/>
                                    <w:jc w:val="left"/>
                                    <w:rPr>
                                      <w:b/>
                                      <w:color w:val="000000" w:themeColor="text1"/>
                                    </w:rPr>
                                  </w:pPr>
                                  <w:r>
                                    <w:rPr>
                                      <w:b/>
                                      <w:color w:val="000000" w:themeColor="text1"/>
                                    </w:rPr>
                                    <w:t xml:space="preserve">(3) </w:t>
                                  </w:r>
                                  <w:r w:rsidR="00E343BB" w:rsidRPr="00E343BB">
                                    <w:rPr>
                                      <w:b/>
                                      <w:color w:val="000000" w:themeColor="text1"/>
                                    </w:rPr>
                                    <w:t>REVISED: YES</w:t>
                                  </w:r>
                                </w:p>
                                <w:p w14:paraId="708C009D" w14:textId="77777777" w:rsidR="00E343BB" w:rsidRDefault="00E343BB" w:rsidP="00E343BB">
                                  <w:pPr>
                                    <w:spacing w:after="0" w:line="240" w:lineRule="auto"/>
                                    <w:jc w:val="left"/>
                                    <w:rPr>
                                      <w:b/>
                                    </w:rPr>
                                  </w:pPr>
                                </w:p>
                                <w:p w14:paraId="3E441A62" w14:textId="77777777" w:rsidR="00E407D3" w:rsidRPr="00E343BB" w:rsidRDefault="00E407D3" w:rsidP="00E343BB">
                                  <w:pPr>
                                    <w:spacing w:after="0" w:line="240" w:lineRule="auto"/>
                                    <w:jc w:val="left"/>
                                    <w:rPr>
                                      <w:b/>
                                    </w:rPr>
                                  </w:pPr>
                                </w:p>
                                <w:p w14:paraId="1C038FE9" w14:textId="138B09F3" w:rsidR="00E343BB" w:rsidRDefault="00E343BB" w:rsidP="00E343BB">
                                  <w:pPr>
                                    <w:spacing w:after="0" w:line="240" w:lineRule="auto"/>
                                    <w:jc w:val="left"/>
                                    <w:rPr>
                                      <w:b/>
                                    </w:rPr>
                                  </w:pPr>
                                  <w:r w:rsidRPr="00E343BB">
                                    <w:rPr>
                                      <w:b/>
                                    </w:rPr>
                                    <w:t>___________</w:t>
                                  </w:r>
                                  <w:r>
                                    <w:rPr>
                                      <w:b/>
                                    </w:rPr>
                                    <w:t>____</w:t>
                                  </w:r>
                                  <w:r w:rsidRPr="00E343BB">
                                    <w:rPr>
                                      <w:b/>
                                    </w:rPr>
                                    <w:t xml:space="preserve">   </w:t>
                                  </w:r>
                                  <w:r w:rsidR="009E571A">
                                    <w:rPr>
                                      <w:b/>
                                    </w:rPr>
                                    <w:tab/>
                                  </w:r>
                                  <w:r w:rsidRPr="00E343BB">
                                    <w:rPr>
                                      <w:b/>
                                    </w:rPr>
                                    <w:t>_________</w:t>
                                  </w:r>
                                  <w:r>
                                    <w:rPr>
                                      <w:b/>
                                    </w:rPr>
                                    <w:t>__</w:t>
                                  </w:r>
                                  <w:r w:rsidRPr="00E343BB">
                                    <w:rPr>
                                      <w:b/>
                                    </w:rPr>
                                    <w:t>___</w:t>
                                  </w:r>
                                  <w:r w:rsidR="009E571A">
                                    <w:rPr>
                                      <w:b/>
                                    </w:rPr>
                                    <w:t>____</w:t>
                                  </w:r>
                                </w:p>
                                <w:p w14:paraId="7690392C" w14:textId="51C8D610" w:rsidR="009E571A" w:rsidRPr="00E343BB" w:rsidRDefault="009E571A" w:rsidP="00E343BB">
                                  <w:pPr>
                                    <w:spacing w:after="0" w:line="240" w:lineRule="auto"/>
                                    <w:jc w:val="left"/>
                                    <w:rPr>
                                      <w:b/>
                                    </w:rPr>
                                  </w:pPr>
                                  <w:r>
                                    <w:rPr>
                                      <w:b/>
                                    </w:rPr>
                                    <w:t>Date</w:t>
                                  </w:r>
                                  <w:r>
                                    <w:rPr>
                                      <w:b/>
                                    </w:rPr>
                                    <w:tab/>
                                  </w:r>
                                  <w:r>
                                    <w:rPr>
                                      <w:b/>
                                    </w:rPr>
                                    <w:tab/>
                                  </w:r>
                                  <w:r>
                                    <w:rPr>
                                      <w:b/>
                                    </w:rPr>
                                    <w:tab/>
                                    <w:t>Signature</w:t>
                                  </w:r>
                                </w:p>
                                <w:p w14:paraId="27C48613" w14:textId="77777777" w:rsidR="00E343BB" w:rsidRDefault="00E343BB" w:rsidP="00E343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2F1EB2" id="Rectangle 6" o:spid="_x0000_s1026" style="position:absolute;left:0;text-align:left;margin-left:1.3pt;margin-top:14.3pt;width:253.85pt;height:10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" fillcolor="white [3201]" strokecolor="#70ad47 [3209]" strokeweight="1pt">
                      <v:textbox>
                        <w:txbxContent>
                          <w:p w14:paraId="0DB813E1" w14:textId="54691BFC" w:rsidR="00E343BB" w:rsidRDefault="00A53938" w:rsidP="00A53938">
                            <w:pPr>
                              <w:pStyle w:val="ListParagraph"/>
                              <w:spacing w:after="0" w:line="240" w:lineRule="auto"/>
                              <w:ind w:left="142"/>
                              <w:jc w:val="left"/>
                              <w:rPr>
                                <w:b/>
                                <w:color w:val="000000" w:themeColor="text1"/>
                              </w:rPr>
                            </w:pPr>
                            <w:r>
                              <w:rPr>
                                <w:b/>
                                <w:color w:val="000000" w:themeColor="text1"/>
                              </w:rPr>
                              <w:t xml:space="preserve">(1) </w:t>
                            </w:r>
                            <w:r w:rsidR="00E343BB" w:rsidRPr="00E343BB">
                              <w:rPr>
                                <w:b/>
                                <w:color w:val="000000" w:themeColor="text1"/>
                              </w:rPr>
                              <w:t>REPORTABLE: NO</w:t>
                            </w:r>
                          </w:p>
                          <w:p w14:paraId="69DF69D0" w14:textId="7E56559D" w:rsidR="00E343BB" w:rsidRDefault="0046439E" w:rsidP="0046439E">
                            <w:pPr>
                              <w:pStyle w:val="ListParagraph"/>
                              <w:spacing w:after="0" w:line="240" w:lineRule="auto"/>
                              <w:ind w:left="142"/>
                              <w:jc w:val="left"/>
                              <w:rPr>
                                <w:b/>
                                <w:color w:val="000000" w:themeColor="text1"/>
                              </w:rPr>
                            </w:pPr>
                            <w:r>
                              <w:rPr>
                                <w:b/>
                                <w:color w:val="000000" w:themeColor="text1"/>
                              </w:rPr>
                              <w:t xml:space="preserve">(2) </w:t>
                            </w:r>
                            <w:r w:rsidR="00E343BB" w:rsidRPr="00E343BB">
                              <w:rPr>
                                <w:b/>
                                <w:color w:val="000000" w:themeColor="text1"/>
                              </w:rPr>
                              <w:t>OF INTEREST TO OTHER JUDGES: NO</w:t>
                            </w:r>
                          </w:p>
                          <w:p w14:paraId="3AEB50EA" w14:textId="1CAAC518" w:rsidR="00E343BB" w:rsidRPr="00E343BB" w:rsidRDefault="0046439E" w:rsidP="0046439E">
                            <w:pPr>
                              <w:pStyle w:val="ListParagraph"/>
                              <w:spacing w:after="0" w:line="240" w:lineRule="auto"/>
                              <w:ind w:left="142"/>
                              <w:jc w:val="left"/>
                              <w:rPr>
                                <w:b/>
                                <w:color w:val="000000" w:themeColor="text1"/>
                              </w:rPr>
                            </w:pPr>
                            <w:r>
                              <w:rPr>
                                <w:b/>
                                <w:color w:val="000000" w:themeColor="text1"/>
                              </w:rPr>
                              <w:t xml:space="preserve">(3) </w:t>
                            </w:r>
                            <w:r w:rsidR="00E343BB" w:rsidRPr="00E343BB">
                              <w:rPr>
                                <w:b/>
                                <w:color w:val="000000" w:themeColor="text1"/>
                              </w:rPr>
                              <w:t>REVISED: YES</w:t>
                            </w:r>
                          </w:p>
                          <w:p w14:paraId="708C009D" w14:textId="77777777" w:rsidR="00E343BB" w:rsidRDefault="00E343BB" w:rsidP="00E343BB">
                            <w:pPr>
                              <w:spacing w:after="0" w:line="240" w:lineRule="auto"/>
                              <w:jc w:val="left"/>
                              <w:rPr>
                                <w:b/>
                              </w:rPr>
                            </w:pPr>
                          </w:p>
                          <w:p w14:paraId="3E441A62" w14:textId="77777777" w:rsidR="00E407D3" w:rsidRPr="00E343BB" w:rsidRDefault="00E407D3" w:rsidP="00E343BB">
                            <w:pPr>
                              <w:spacing w:after="0" w:line="240" w:lineRule="auto"/>
                              <w:jc w:val="left"/>
                              <w:rPr>
                                <w:b/>
                              </w:rPr>
                            </w:pPr>
                          </w:p>
                          <w:p w14:paraId="1C038FE9" w14:textId="138B09F3" w:rsidR="00E343BB" w:rsidRDefault="00E343BB" w:rsidP="00E343BB">
                            <w:pPr>
                              <w:spacing w:after="0" w:line="240" w:lineRule="auto"/>
                              <w:jc w:val="left"/>
                              <w:rPr>
                                <w:b/>
                              </w:rPr>
                            </w:pPr>
                            <w:r w:rsidRPr="00E343BB">
                              <w:rPr>
                                <w:b/>
                              </w:rPr>
                              <w:t>___________</w:t>
                            </w:r>
                            <w:r>
                              <w:rPr>
                                <w:b/>
                              </w:rPr>
                              <w:t>____</w:t>
                            </w:r>
                            <w:r w:rsidRPr="00E343BB">
                              <w:rPr>
                                <w:b/>
                              </w:rPr>
                              <w:t xml:space="preserve">   </w:t>
                            </w:r>
                            <w:r w:rsidR="009E571A">
                              <w:rPr>
                                <w:b/>
                              </w:rPr>
                              <w:tab/>
                            </w:r>
                            <w:r w:rsidRPr="00E343BB">
                              <w:rPr>
                                <w:b/>
                              </w:rPr>
                              <w:t>_________</w:t>
                            </w:r>
                            <w:r>
                              <w:rPr>
                                <w:b/>
                              </w:rPr>
                              <w:t>__</w:t>
                            </w:r>
                            <w:r w:rsidRPr="00E343BB">
                              <w:rPr>
                                <w:b/>
                              </w:rPr>
                              <w:t>___</w:t>
                            </w:r>
                            <w:r w:rsidR="009E571A">
                              <w:rPr>
                                <w:b/>
                              </w:rPr>
                              <w:t>____</w:t>
                            </w:r>
                          </w:p>
                          <w:p w14:paraId="7690392C" w14:textId="51C8D610" w:rsidR="009E571A" w:rsidRPr="00E343BB" w:rsidRDefault="009E571A" w:rsidP="00E343BB">
                            <w:pPr>
                              <w:spacing w:after="0" w:line="240" w:lineRule="auto"/>
                              <w:jc w:val="left"/>
                              <w:rPr>
                                <w:b/>
                              </w:rPr>
                            </w:pPr>
                            <w:r>
                              <w:rPr>
                                <w:b/>
                              </w:rPr>
                              <w:t>Date</w:t>
                            </w:r>
                            <w:r>
                              <w:rPr>
                                <w:b/>
                              </w:rPr>
                              <w:tab/>
                            </w:r>
                            <w:r>
                              <w:rPr>
                                <w:b/>
                              </w:rPr>
                              <w:tab/>
                            </w:r>
                            <w:r>
                              <w:rPr>
                                <w:b/>
                              </w:rPr>
                              <w:tab/>
                              <w:t>Signature</w:t>
                            </w:r>
                          </w:p>
                          <w:p w14:paraId="27C48613" w14:textId="77777777" w:rsidR="00E343BB" w:rsidRDefault="00E343BB" w:rsidP="00E343BB">
                            <w:pPr>
                              <w:jc w:val="center"/>
                            </w:pPr>
                          </w:p>
                        </w:txbxContent>
                      </v:textbox>
                    </v:rect>
                  </w:pict>
                </mc:Fallback>
              </mc:AlternateContent>
            </w:r>
          </w:p>
        </w:tc>
        <w:tc>
          <w:tcPr>
            <w:tcW w:w="2693" w:type="dxa"/>
          </w:tcPr>
          <w:p w14:paraId="6ED5AD0A" w14:textId="77777777" w:rsidR="002146DE" w:rsidRPr="00997D6F" w:rsidRDefault="002146DE" w:rsidP="003943A1">
            <w:pPr>
              <w:jc w:val="right"/>
              <w:rPr>
                <w:sz w:val="24"/>
                <w:szCs w:val="24"/>
              </w:rPr>
            </w:pPr>
          </w:p>
          <w:p w14:paraId="6B3CAFF0" w14:textId="77777777" w:rsidR="00917191" w:rsidRPr="00997D6F" w:rsidRDefault="00917191" w:rsidP="003943A1">
            <w:pPr>
              <w:jc w:val="right"/>
              <w:rPr>
                <w:sz w:val="24"/>
                <w:szCs w:val="24"/>
              </w:rPr>
            </w:pPr>
          </w:p>
          <w:p w14:paraId="50961997" w14:textId="77777777" w:rsidR="00917191" w:rsidRPr="00997D6F" w:rsidRDefault="00917191" w:rsidP="003943A1">
            <w:pPr>
              <w:jc w:val="right"/>
              <w:rPr>
                <w:sz w:val="24"/>
                <w:szCs w:val="24"/>
              </w:rPr>
            </w:pPr>
          </w:p>
          <w:p w14:paraId="79920488" w14:textId="77777777" w:rsidR="00917191" w:rsidRPr="00997D6F" w:rsidRDefault="00917191" w:rsidP="003943A1">
            <w:pPr>
              <w:jc w:val="right"/>
              <w:rPr>
                <w:sz w:val="24"/>
                <w:szCs w:val="24"/>
              </w:rPr>
            </w:pPr>
          </w:p>
          <w:p w14:paraId="238C1E27" w14:textId="77777777" w:rsidR="00917191" w:rsidRPr="00997D6F" w:rsidRDefault="00917191" w:rsidP="003943A1">
            <w:pPr>
              <w:jc w:val="right"/>
              <w:rPr>
                <w:sz w:val="24"/>
                <w:szCs w:val="24"/>
              </w:rPr>
            </w:pPr>
          </w:p>
          <w:p w14:paraId="71D27466" w14:textId="77777777" w:rsidR="00917191" w:rsidRPr="00997D6F" w:rsidRDefault="00917191" w:rsidP="003943A1">
            <w:pPr>
              <w:jc w:val="right"/>
              <w:rPr>
                <w:sz w:val="24"/>
                <w:szCs w:val="24"/>
              </w:rPr>
            </w:pPr>
          </w:p>
          <w:p w14:paraId="709014AB" w14:textId="77777777" w:rsidR="00917191" w:rsidRPr="00997D6F" w:rsidRDefault="00917191" w:rsidP="003943A1">
            <w:pPr>
              <w:jc w:val="right"/>
              <w:rPr>
                <w:sz w:val="24"/>
                <w:szCs w:val="24"/>
              </w:rPr>
            </w:pPr>
          </w:p>
          <w:p w14:paraId="053C0EFD" w14:textId="31C869D0" w:rsidR="00917191" w:rsidRPr="00997D6F" w:rsidRDefault="00917191" w:rsidP="003943A1">
            <w:pPr>
              <w:jc w:val="right"/>
              <w:rPr>
                <w:sz w:val="24"/>
                <w:szCs w:val="24"/>
              </w:rPr>
            </w:pPr>
          </w:p>
        </w:tc>
      </w:tr>
      <w:tr w:rsidR="003800C4" w:rsidRPr="00997D6F" w14:paraId="173E32E0" w14:textId="77777777" w:rsidTr="00AB5725">
        <w:trPr>
          <w:trHeight w:val="567"/>
        </w:trPr>
        <w:tc>
          <w:tcPr>
            <w:tcW w:w="6384" w:type="dxa"/>
            <w:gridSpan w:val="2"/>
          </w:tcPr>
          <w:p w14:paraId="1922269E" w14:textId="77777777" w:rsidR="00E407D3" w:rsidRPr="00997D6F" w:rsidRDefault="00E407D3" w:rsidP="006E1088">
            <w:pPr>
              <w:spacing w:line="480" w:lineRule="auto"/>
              <w:rPr>
                <w:sz w:val="24"/>
                <w:szCs w:val="24"/>
              </w:rPr>
            </w:pPr>
          </w:p>
          <w:p w14:paraId="13BE833D" w14:textId="55B4EE2D" w:rsidR="003800C4" w:rsidRPr="00997D6F" w:rsidRDefault="00453A82" w:rsidP="006E1088">
            <w:pPr>
              <w:spacing w:line="480" w:lineRule="auto"/>
              <w:rPr>
                <w:sz w:val="24"/>
                <w:szCs w:val="24"/>
              </w:rPr>
            </w:pPr>
            <w:r w:rsidRPr="00997D6F">
              <w:rPr>
                <w:sz w:val="24"/>
                <w:szCs w:val="24"/>
              </w:rPr>
              <w:t>In the matter of:</w:t>
            </w:r>
          </w:p>
        </w:tc>
        <w:tc>
          <w:tcPr>
            <w:tcW w:w="2693" w:type="dxa"/>
          </w:tcPr>
          <w:p w14:paraId="56596970" w14:textId="77777777" w:rsidR="003800C4" w:rsidRPr="00997D6F" w:rsidRDefault="003800C4" w:rsidP="003943A1">
            <w:pPr>
              <w:jc w:val="right"/>
              <w:rPr>
                <w:sz w:val="24"/>
                <w:szCs w:val="24"/>
              </w:rPr>
            </w:pPr>
          </w:p>
          <w:p w14:paraId="04246FA1" w14:textId="77777777" w:rsidR="00122A1A" w:rsidRPr="00997D6F" w:rsidRDefault="00122A1A" w:rsidP="003943A1">
            <w:pPr>
              <w:jc w:val="right"/>
              <w:rPr>
                <w:sz w:val="24"/>
                <w:szCs w:val="24"/>
              </w:rPr>
            </w:pPr>
          </w:p>
          <w:p w14:paraId="0EBD8258" w14:textId="21C5E450" w:rsidR="00122A1A" w:rsidRPr="00997D6F" w:rsidRDefault="00122A1A" w:rsidP="00122A1A">
            <w:pPr>
              <w:rPr>
                <w:sz w:val="24"/>
                <w:szCs w:val="24"/>
              </w:rPr>
            </w:pPr>
          </w:p>
        </w:tc>
      </w:tr>
      <w:tr w:rsidR="00774574" w:rsidRPr="00997D6F" w14:paraId="173A52C6" w14:textId="77777777" w:rsidTr="00AB5725">
        <w:trPr>
          <w:trHeight w:val="439"/>
        </w:trPr>
        <w:tc>
          <w:tcPr>
            <w:tcW w:w="6384" w:type="dxa"/>
            <w:gridSpan w:val="2"/>
          </w:tcPr>
          <w:p w14:paraId="4F58773C" w14:textId="307FA195" w:rsidR="00774574" w:rsidRPr="00997D6F" w:rsidRDefault="00C30142" w:rsidP="00442CDC">
            <w:pPr>
              <w:jc w:val="left"/>
              <w:rPr>
                <w:b/>
                <w:sz w:val="24"/>
                <w:szCs w:val="24"/>
              </w:rPr>
            </w:pPr>
            <w:r w:rsidRPr="00997D6F">
              <w:rPr>
                <w:b/>
                <w:sz w:val="24"/>
                <w:szCs w:val="24"/>
              </w:rPr>
              <w:t>NGWENYA, GABISILE ESLINAH</w:t>
            </w:r>
          </w:p>
        </w:tc>
        <w:tc>
          <w:tcPr>
            <w:tcW w:w="2693" w:type="dxa"/>
          </w:tcPr>
          <w:p w14:paraId="0FE31F74" w14:textId="66B29B37" w:rsidR="00774574" w:rsidRPr="00997D6F" w:rsidRDefault="00774574" w:rsidP="00774574">
            <w:pPr>
              <w:jc w:val="right"/>
              <w:rPr>
                <w:sz w:val="24"/>
                <w:szCs w:val="24"/>
              </w:rPr>
            </w:pPr>
            <w:r w:rsidRPr="00997D6F">
              <w:rPr>
                <w:sz w:val="24"/>
                <w:szCs w:val="24"/>
              </w:rPr>
              <w:t xml:space="preserve">First </w:t>
            </w:r>
            <w:r w:rsidR="007A4FE8" w:rsidRPr="00997D6F">
              <w:rPr>
                <w:sz w:val="24"/>
                <w:szCs w:val="24"/>
              </w:rPr>
              <w:t>Applicant</w:t>
            </w:r>
            <w:r w:rsidR="00D90AE2" w:rsidRPr="00997D6F">
              <w:rPr>
                <w:sz w:val="24"/>
                <w:szCs w:val="24"/>
              </w:rPr>
              <w:t xml:space="preserve"> </w:t>
            </w:r>
            <w:r w:rsidRPr="00997D6F">
              <w:rPr>
                <w:sz w:val="24"/>
                <w:szCs w:val="24"/>
              </w:rPr>
              <w:t xml:space="preserve"> </w:t>
            </w:r>
          </w:p>
        </w:tc>
      </w:tr>
      <w:tr w:rsidR="00E80296" w:rsidRPr="00997D6F" w14:paraId="6706A11E" w14:textId="77777777" w:rsidTr="00AB5725">
        <w:trPr>
          <w:trHeight w:val="439"/>
        </w:trPr>
        <w:tc>
          <w:tcPr>
            <w:tcW w:w="6384" w:type="dxa"/>
            <w:gridSpan w:val="2"/>
          </w:tcPr>
          <w:p w14:paraId="5D58AEDD" w14:textId="3A3F55B2" w:rsidR="00E80296" w:rsidRPr="00997D6F" w:rsidRDefault="00C30142" w:rsidP="00442CDC">
            <w:pPr>
              <w:jc w:val="left"/>
              <w:rPr>
                <w:b/>
                <w:sz w:val="24"/>
                <w:szCs w:val="24"/>
              </w:rPr>
            </w:pPr>
            <w:r w:rsidRPr="00997D6F">
              <w:rPr>
                <w:b/>
                <w:sz w:val="24"/>
                <w:szCs w:val="24"/>
              </w:rPr>
              <w:t>MATHETSA, SETHUTSE</w:t>
            </w:r>
          </w:p>
        </w:tc>
        <w:tc>
          <w:tcPr>
            <w:tcW w:w="2693" w:type="dxa"/>
          </w:tcPr>
          <w:p w14:paraId="2E394B33" w14:textId="5AE89067" w:rsidR="00E80296" w:rsidRPr="00997D6F" w:rsidRDefault="00E80296" w:rsidP="00774574">
            <w:pPr>
              <w:jc w:val="right"/>
              <w:rPr>
                <w:sz w:val="24"/>
                <w:szCs w:val="24"/>
              </w:rPr>
            </w:pPr>
            <w:r w:rsidRPr="00997D6F">
              <w:rPr>
                <w:sz w:val="24"/>
                <w:szCs w:val="24"/>
              </w:rPr>
              <w:t>Second Applicant</w:t>
            </w:r>
          </w:p>
        </w:tc>
      </w:tr>
      <w:tr w:rsidR="00774574" w:rsidRPr="00997D6F" w14:paraId="17FF8883" w14:textId="77777777" w:rsidTr="00AB5725">
        <w:trPr>
          <w:trHeight w:val="709"/>
        </w:trPr>
        <w:tc>
          <w:tcPr>
            <w:tcW w:w="6384" w:type="dxa"/>
            <w:gridSpan w:val="2"/>
          </w:tcPr>
          <w:p w14:paraId="224B8710" w14:textId="2BF72895" w:rsidR="00774574" w:rsidRPr="00997D6F" w:rsidRDefault="00C30142" w:rsidP="00442CDC">
            <w:pPr>
              <w:jc w:val="left"/>
              <w:rPr>
                <w:b/>
                <w:sz w:val="24"/>
                <w:szCs w:val="24"/>
              </w:rPr>
            </w:pPr>
            <w:r w:rsidRPr="00997D6F">
              <w:rPr>
                <w:b/>
                <w:sz w:val="24"/>
                <w:szCs w:val="24"/>
              </w:rPr>
              <w:t>MODIPA, THANDO</w:t>
            </w:r>
          </w:p>
        </w:tc>
        <w:tc>
          <w:tcPr>
            <w:tcW w:w="2693" w:type="dxa"/>
          </w:tcPr>
          <w:p w14:paraId="46892FE7" w14:textId="0E18BF41" w:rsidR="00774574" w:rsidRPr="00997D6F" w:rsidRDefault="00E80296" w:rsidP="00774574">
            <w:pPr>
              <w:jc w:val="right"/>
              <w:rPr>
                <w:sz w:val="24"/>
                <w:szCs w:val="24"/>
              </w:rPr>
            </w:pPr>
            <w:r w:rsidRPr="00997D6F">
              <w:rPr>
                <w:sz w:val="24"/>
                <w:szCs w:val="24"/>
              </w:rPr>
              <w:t>Thir</w:t>
            </w:r>
            <w:r w:rsidR="00774574" w:rsidRPr="00997D6F">
              <w:rPr>
                <w:sz w:val="24"/>
                <w:szCs w:val="24"/>
              </w:rPr>
              <w:t xml:space="preserve">d </w:t>
            </w:r>
            <w:r w:rsidR="007A4FE8" w:rsidRPr="00997D6F">
              <w:rPr>
                <w:sz w:val="24"/>
                <w:szCs w:val="24"/>
              </w:rPr>
              <w:t>Applicant</w:t>
            </w:r>
            <w:r w:rsidR="00021E58" w:rsidRPr="00997D6F">
              <w:rPr>
                <w:sz w:val="24"/>
                <w:szCs w:val="24"/>
              </w:rPr>
              <w:t xml:space="preserve"> </w:t>
            </w:r>
          </w:p>
        </w:tc>
      </w:tr>
      <w:tr w:rsidR="00774574" w:rsidRPr="00997D6F" w14:paraId="159F5576" w14:textId="77777777" w:rsidTr="00AB5725">
        <w:trPr>
          <w:trHeight w:val="712"/>
        </w:trPr>
        <w:tc>
          <w:tcPr>
            <w:tcW w:w="6384" w:type="dxa"/>
            <w:gridSpan w:val="2"/>
          </w:tcPr>
          <w:p w14:paraId="0A9BA4D0" w14:textId="1CA97AD7" w:rsidR="00774574" w:rsidRPr="00997D6F" w:rsidRDefault="00774574" w:rsidP="00442CDC">
            <w:pPr>
              <w:jc w:val="left"/>
              <w:rPr>
                <w:sz w:val="24"/>
                <w:szCs w:val="24"/>
              </w:rPr>
            </w:pPr>
            <w:r w:rsidRPr="00997D6F">
              <w:rPr>
                <w:sz w:val="24"/>
                <w:szCs w:val="24"/>
              </w:rPr>
              <w:t>and</w:t>
            </w:r>
          </w:p>
        </w:tc>
        <w:tc>
          <w:tcPr>
            <w:tcW w:w="2693" w:type="dxa"/>
          </w:tcPr>
          <w:p w14:paraId="100E74B1" w14:textId="77777777" w:rsidR="00774574" w:rsidRPr="00997D6F" w:rsidRDefault="00774574" w:rsidP="00774574">
            <w:pPr>
              <w:jc w:val="right"/>
              <w:rPr>
                <w:sz w:val="24"/>
                <w:szCs w:val="24"/>
              </w:rPr>
            </w:pPr>
          </w:p>
        </w:tc>
      </w:tr>
      <w:tr w:rsidR="00DC51FF" w:rsidRPr="00997D6F" w14:paraId="2DCA910A" w14:textId="77777777" w:rsidTr="00AB5725">
        <w:trPr>
          <w:trHeight w:val="541"/>
        </w:trPr>
        <w:tc>
          <w:tcPr>
            <w:tcW w:w="6101" w:type="dxa"/>
          </w:tcPr>
          <w:p w14:paraId="622681E3" w14:textId="2D9C5FBE" w:rsidR="00DC51FF" w:rsidRPr="00997D6F" w:rsidRDefault="00CF0B18" w:rsidP="00442CDC">
            <w:pPr>
              <w:jc w:val="left"/>
              <w:rPr>
                <w:b/>
                <w:sz w:val="24"/>
                <w:szCs w:val="24"/>
              </w:rPr>
            </w:pPr>
            <w:r w:rsidRPr="00997D6F">
              <w:rPr>
                <w:b/>
                <w:sz w:val="24"/>
                <w:szCs w:val="24"/>
              </w:rPr>
              <w:t>MASANGO N.O., NANTULI LUCKY</w:t>
            </w:r>
          </w:p>
        </w:tc>
        <w:tc>
          <w:tcPr>
            <w:tcW w:w="2976" w:type="dxa"/>
            <w:gridSpan w:val="2"/>
          </w:tcPr>
          <w:p w14:paraId="7A51C39E" w14:textId="11017ED3" w:rsidR="00DC51FF" w:rsidRPr="00997D6F" w:rsidRDefault="00DC51FF" w:rsidP="00DC51FF">
            <w:pPr>
              <w:jc w:val="right"/>
              <w:rPr>
                <w:sz w:val="24"/>
                <w:szCs w:val="24"/>
              </w:rPr>
            </w:pPr>
            <w:r w:rsidRPr="00997D6F">
              <w:rPr>
                <w:sz w:val="24"/>
                <w:szCs w:val="24"/>
              </w:rPr>
              <w:t xml:space="preserve">First </w:t>
            </w:r>
            <w:r w:rsidR="007A4FE8" w:rsidRPr="00997D6F">
              <w:rPr>
                <w:sz w:val="24"/>
                <w:szCs w:val="24"/>
              </w:rPr>
              <w:t>Respondent</w:t>
            </w:r>
          </w:p>
        </w:tc>
      </w:tr>
      <w:tr w:rsidR="00DC51FF" w:rsidRPr="00997D6F" w14:paraId="16B215E7" w14:textId="77777777" w:rsidTr="00AB5725">
        <w:trPr>
          <w:trHeight w:val="600"/>
        </w:trPr>
        <w:tc>
          <w:tcPr>
            <w:tcW w:w="6101" w:type="dxa"/>
          </w:tcPr>
          <w:p w14:paraId="04D2CFC4" w14:textId="3B1CBA26" w:rsidR="00DC51FF" w:rsidRPr="00997D6F" w:rsidRDefault="00CF0B18" w:rsidP="00442CDC">
            <w:pPr>
              <w:jc w:val="left"/>
              <w:rPr>
                <w:b/>
                <w:sz w:val="24"/>
                <w:szCs w:val="24"/>
              </w:rPr>
            </w:pPr>
            <w:r w:rsidRPr="00997D6F">
              <w:rPr>
                <w:b/>
                <w:sz w:val="24"/>
                <w:szCs w:val="24"/>
              </w:rPr>
              <w:t>MASTER OF THE HIGH COURT JOHANNESBURG</w:t>
            </w:r>
            <w:r w:rsidR="00021E58" w:rsidRPr="00997D6F">
              <w:rPr>
                <w:b/>
                <w:sz w:val="24"/>
                <w:szCs w:val="24"/>
              </w:rPr>
              <w:t xml:space="preserve"> </w:t>
            </w:r>
          </w:p>
        </w:tc>
        <w:tc>
          <w:tcPr>
            <w:tcW w:w="2976" w:type="dxa"/>
            <w:gridSpan w:val="2"/>
          </w:tcPr>
          <w:p w14:paraId="26794E00" w14:textId="7D62E625" w:rsidR="00DC51FF" w:rsidRPr="00997D6F" w:rsidRDefault="00DC51FF" w:rsidP="00DC51FF">
            <w:pPr>
              <w:jc w:val="right"/>
              <w:rPr>
                <w:sz w:val="24"/>
                <w:szCs w:val="24"/>
              </w:rPr>
            </w:pPr>
            <w:r w:rsidRPr="00997D6F">
              <w:rPr>
                <w:sz w:val="24"/>
                <w:szCs w:val="24"/>
              </w:rPr>
              <w:t xml:space="preserve">Second </w:t>
            </w:r>
            <w:r w:rsidR="007A4FE8" w:rsidRPr="00997D6F">
              <w:rPr>
                <w:sz w:val="24"/>
                <w:szCs w:val="24"/>
              </w:rPr>
              <w:t>Respondent</w:t>
            </w:r>
          </w:p>
        </w:tc>
      </w:tr>
    </w:tbl>
    <w:p w14:paraId="22822D57" w14:textId="47F09924" w:rsidR="002979D9" w:rsidRPr="00997D6F" w:rsidRDefault="002979D9" w:rsidP="002979D9">
      <w:pPr>
        <w:spacing w:after="0" w:line="240" w:lineRule="auto"/>
        <w:rPr>
          <w:sz w:val="24"/>
          <w:szCs w:val="24"/>
        </w:rPr>
      </w:pPr>
    </w:p>
    <w:p w14:paraId="11334423" w14:textId="77777777" w:rsidR="009E6AC8" w:rsidRPr="00997D6F" w:rsidRDefault="009E6AC8" w:rsidP="009E6AC8">
      <w:pPr>
        <w:spacing w:after="0" w:line="240" w:lineRule="auto"/>
        <w:rPr>
          <w:sz w:val="24"/>
          <w:szCs w:val="24"/>
        </w:rPr>
      </w:pPr>
    </w:p>
    <w:p w14:paraId="229A1A16" w14:textId="77777777" w:rsidR="00877526" w:rsidRPr="00997D6F" w:rsidRDefault="00877526" w:rsidP="00877526">
      <w:pPr>
        <w:pBdr>
          <w:top w:val="single" w:sz="12" w:space="0" w:color="auto"/>
          <w:bottom w:val="single" w:sz="12" w:space="1" w:color="auto"/>
        </w:pBdr>
        <w:spacing w:after="0" w:line="240" w:lineRule="auto"/>
        <w:jc w:val="center"/>
        <w:rPr>
          <w:b/>
          <w:bCs/>
          <w:sz w:val="24"/>
          <w:szCs w:val="24"/>
        </w:rPr>
      </w:pPr>
    </w:p>
    <w:p w14:paraId="0CE76FE6" w14:textId="77777777" w:rsidR="00877526" w:rsidRPr="00997D6F" w:rsidRDefault="00877526" w:rsidP="00877526">
      <w:pPr>
        <w:pBdr>
          <w:top w:val="single" w:sz="12" w:space="0" w:color="auto"/>
          <w:bottom w:val="single" w:sz="12" w:space="1" w:color="auto"/>
        </w:pBdr>
        <w:spacing w:after="0" w:line="240" w:lineRule="auto"/>
        <w:jc w:val="center"/>
        <w:rPr>
          <w:b/>
          <w:bCs/>
          <w:sz w:val="24"/>
          <w:szCs w:val="24"/>
        </w:rPr>
      </w:pPr>
      <w:r w:rsidRPr="00997D6F">
        <w:rPr>
          <w:b/>
          <w:bCs/>
          <w:sz w:val="24"/>
          <w:szCs w:val="24"/>
        </w:rPr>
        <w:t>JUDGMENT</w:t>
      </w:r>
    </w:p>
    <w:p w14:paraId="25BC7CFC" w14:textId="77777777" w:rsidR="00877526" w:rsidRPr="00997D6F" w:rsidRDefault="00877526" w:rsidP="00877526">
      <w:pPr>
        <w:pBdr>
          <w:top w:val="single" w:sz="12" w:space="0" w:color="auto"/>
          <w:bottom w:val="single" w:sz="12" w:space="1" w:color="auto"/>
        </w:pBdr>
        <w:spacing w:after="0" w:line="240" w:lineRule="auto"/>
        <w:jc w:val="center"/>
        <w:rPr>
          <w:sz w:val="24"/>
          <w:szCs w:val="24"/>
        </w:rPr>
      </w:pPr>
    </w:p>
    <w:p w14:paraId="6C14BAB1" w14:textId="1502E1F2" w:rsidR="00BC4B4E" w:rsidRDefault="00BC4B4E" w:rsidP="009E6AC8">
      <w:pPr>
        <w:rPr>
          <w:b/>
          <w:bCs/>
          <w:sz w:val="24"/>
          <w:szCs w:val="24"/>
        </w:rPr>
      </w:pPr>
    </w:p>
    <w:p w14:paraId="2AA2B969" w14:textId="74D3AC8A" w:rsidR="00355723" w:rsidRPr="00355723" w:rsidRDefault="00355723" w:rsidP="009E6AC8">
      <w:pPr>
        <w:rPr>
          <w:b/>
          <w:bCs/>
          <w:sz w:val="24"/>
          <w:szCs w:val="24"/>
        </w:rPr>
      </w:pPr>
      <w:r>
        <w:rPr>
          <w:b/>
          <w:bCs/>
          <w:sz w:val="24"/>
          <w:szCs w:val="24"/>
        </w:rPr>
        <w:lastRenderedPageBreak/>
        <w:t xml:space="preserve">This judgment is handed down electronically by circulation to the parties’ legal representatives via email and </w:t>
      </w:r>
      <w:r w:rsidR="00162888">
        <w:rPr>
          <w:b/>
          <w:bCs/>
          <w:sz w:val="24"/>
          <w:szCs w:val="24"/>
        </w:rPr>
        <w:t>upload</w:t>
      </w:r>
      <w:r>
        <w:rPr>
          <w:b/>
          <w:bCs/>
          <w:sz w:val="24"/>
          <w:szCs w:val="24"/>
        </w:rPr>
        <w:t xml:space="preserve"> to the </w:t>
      </w:r>
      <w:proofErr w:type="spellStart"/>
      <w:r>
        <w:rPr>
          <w:b/>
          <w:bCs/>
          <w:sz w:val="24"/>
          <w:szCs w:val="24"/>
        </w:rPr>
        <w:t>CaseLines</w:t>
      </w:r>
      <w:proofErr w:type="spellEnd"/>
      <w:r>
        <w:rPr>
          <w:b/>
          <w:bCs/>
          <w:sz w:val="24"/>
          <w:szCs w:val="24"/>
        </w:rPr>
        <w:t xml:space="preserve"> file in this matter.  The date and time of hand down is deemed to be 10:00 on 26 April 2022.</w:t>
      </w:r>
    </w:p>
    <w:p w14:paraId="0124D93F" w14:textId="4F93210A" w:rsidR="000458E4" w:rsidRPr="00997D6F" w:rsidRDefault="00877526" w:rsidP="008A5F89">
      <w:pPr>
        <w:rPr>
          <w:b/>
          <w:bCs/>
          <w:sz w:val="24"/>
          <w:szCs w:val="24"/>
          <w:u w:val="single"/>
        </w:rPr>
      </w:pPr>
      <w:r w:rsidRPr="00997D6F">
        <w:rPr>
          <w:b/>
          <w:bCs/>
          <w:sz w:val="24"/>
          <w:szCs w:val="24"/>
          <w:u w:val="single"/>
        </w:rPr>
        <w:t>Bester AJ</w:t>
      </w:r>
    </w:p>
    <w:p w14:paraId="5FA829F2" w14:textId="60DF90E2" w:rsidR="00AF0877" w:rsidRDefault="0056532F" w:rsidP="00606D89">
      <w:pPr>
        <w:pStyle w:val="ListParagraph"/>
        <w:numPr>
          <w:ilvl w:val="0"/>
          <w:numId w:val="3"/>
        </w:numPr>
        <w:contextualSpacing w:val="0"/>
        <w:rPr>
          <w:sz w:val="24"/>
          <w:szCs w:val="24"/>
        </w:rPr>
      </w:pPr>
      <w:r w:rsidRPr="00997D6F">
        <w:rPr>
          <w:sz w:val="24"/>
          <w:szCs w:val="24"/>
        </w:rPr>
        <w:t>On 6 September 2020</w:t>
      </w:r>
      <w:r w:rsidR="008F5CF7">
        <w:rPr>
          <w:sz w:val="24"/>
          <w:szCs w:val="24"/>
        </w:rPr>
        <w:t>,</w:t>
      </w:r>
      <w:r w:rsidRPr="00997D6F">
        <w:rPr>
          <w:sz w:val="24"/>
          <w:szCs w:val="24"/>
        </w:rPr>
        <w:t xml:space="preserve"> Mr W</w:t>
      </w:r>
      <w:r w:rsidR="00FB56A7" w:rsidRPr="00997D6F">
        <w:rPr>
          <w:sz w:val="24"/>
          <w:szCs w:val="24"/>
        </w:rPr>
        <w:t xml:space="preserve">illiam </w:t>
      </w:r>
      <w:proofErr w:type="spellStart"/>
      <w:r w:rsidR="00011DC0" w:rsidRPr="00997D6F">
        <w:rPr>
          <w:sz w:val="24"/>
          <w:szCs w:val="24"/>
        </w:rPr>
        <w:t>Sello</w:t>
      </w:r>
      <w:proofErr w:type="spellEnd"/>
      <w:r w:rsidR="00011DC0" w:rsidRPr="00997D6F">
        <w:rPr>
          <w:sz w:val="24"/>
          <w:szCs w:val="24"/>
        </w:rPr>
        <w:t xml:space="preserve"> </w:t>
      </w:r>
      <w:proofErr w:type="spellStart"/>
      <w:r w:rsidR="00011DC0" w:rsidRPr="00997D6F">
        <w:rPr>
          <w:sz w:val="24"/>
          <w:szCs w:val="24"/>
        </w:rPr>
        <w:t>Tshabalala</w:t>
      </w:r>
      <w:proofErr w:type="spellEnd"/>
      <w:r w:rsidR="00011DC0" w:rsidRPr="00997D6F">
        <w:rPr>
          <w:sz w:val="24"/>
          <w:szCs w:val="24"/>
        </w:rPr>
        <w:t xml:space="preserve"> passed away, triggering a feud between two families</w:t>
      </w:r>
      <w:r w:rsidR="008F5CF7">
        <w:rPr>
          <w:sz w:val="24"/>
          <w:szCs w:val="24"/>
        </w:rPr>
        <w:t xml:space="preserve"> </w:t>
      </w:r>
      <w:r w:rsidR="0053046E">
        <w:rPr>
          <w:sz w:val="24"/>
          <w:szCs w:val="24"/>
        </w:rPr>
        <w:t>le</w:t>
      </w:r>
      <w:r w:rsidR="00011DC0" w:rsidRPr="00997D6F">
        <w:rPr>
          <w:sz w:val="24"/>
          <w:szCs w:val="24"/>
        </w:rPr>
        <w:t>ft behind</w:t>
      </w:r>
      <w:r w:rsidR="00207BE6" w:rsidRPr="00997D6F">
        <w:rPr>
          <w:sz w:val="24"/>
          <w:szCs w:val="24"/>
        </w:rPr>
        <w:t>.</w:t>
      </w:r>
      <w:r w:rsidR="00011DC0" w:rsidRPr="00997D6F">
        <w:rPr>
          <w:sz w:val="24"/>
          <w:szCs w:val="24"/>
        </w:rPr>
        <w:t xml:space="preserve">  Sadly, this is a theme too often requiring the attention of our courts</w:t>
      </w:r>
      <w:r w:rsidR="0053046E">
        <w:rPr>
          <w:sz w:val="24"/>
          <w:szCs w:val="24"/>
        </w:rPr>
        <w:t>. T</w:t>
      </w:r>
      <w:r w:rsidR="00011DC0" w:rsidRPr="00997D6F">
        <w:rPr>
          <w:sz w:val="24"/>
          <w:szCs w:val="24"/>
        </w:rPr>
        <w:t>he first applicant claims to have been the deceased’s first customary wife</w:t>
      </w:r>
      <w:r w:rsidR="00DA68EE" w:rsidRPr="00997D6F">
        <w:rPr>
          <w:sz w:val="24"/>
          <w:szCs w:val="24"/>
        </w:rPr>
        <w:t>.  However, the marriage was not registered in terms of the Recognition of Customary Marriages Act, 120 of 1998</w:t>
      </w:r>
      <w:r w:rsidR="0037474D" w:rsidRPr="00997D6F">
        <w:rPr>
          <w:sz w:val="24"/>
          <w:szCs w:val="24"/>
        </w:rPr>
        <w:t xml:space="preserve">.  </w:t>
      </w:r>
      <w:r w:rsidR="0053046E">
        <w:rPr>
          <w:sz w:val="24"/>
          <w:szCs w:val="24"/>
        </w:rPr>
        <w:t xml:space="preserve">Although </w:t>
      </w:r>
      <w:r w:rsidR="0054196D">
        <w:rPr>
          <w:sz w:val="24"/>
          <w:szCs w:val="24"/>
        </w:rPr>
        <w:t>registration is not a requirement for validity of a customary marriage,</w:t>
      </w:r>
      <w:r w:rsidR="0054196D">
        <w:rPr>
          <w:rStyle w:val="FootnoteReference"/>
          <w:sz w:val="24"/>
          <w:szCs w:val="24"/>
        </w:rPr>
        <w:footnoteReference w:id="2"/>
      </w:r>
      <w:r w:rsidR="009150B9">
        <w:rPr>
          <w:sz w:val="24"/>
          <w:szCs w:val="24"/>
        </w:rPr>
        <w:t xml:space="preserve"> a failure to do so creates the potential for challenges to the existence of the marriage</w:t>
      </w:r>
      <w:r w:rsidR="00336918">
        <w:rPr>
          <w:sz w:val="24"/>
          <w:szCs w:val="24"/>
        </w:rPr>
        <w:t>, as is the case here. T</w:t>
      </w:r>
      <w:r w:rsidR="00DB4296" w:rsidRPr="00997D6F">
        <w:rPr>
          <w:sz w:val="24"/>
          <w:szCs w:val="24"/>
        </w:rPr>
        <w:t>he first respondent contends</w:t>
      </w:r>
      <w:r w:rsidR="00336918">
        <w:rPr>
          <w:sz w:val="24"/>
          <w:szCs w:val="24"/>
        </w:rPr>
        <w:t xml:space="preserve"> t</w:t>
      </w:r>
      <w:r w:rsidR="00DB4296" w:rsidRPr="00997D6F">
        <w:rPr>
          <w:sz w:val="24"/>
          <w:szCs w:val="24"/>
        </w:rPr>
        <w:t>hat the deceased and the first applicant</w:t>
      </w:r>
      <w:r w:rsidR="006C28CC">
        <w:rPr>
          <w:sz w:val="24"/>
          <w:szCs w:val="24"/>
        </w:rPr>
        <w:t xml:space="preserve"> were not in a customary marriage</w:t>
      </w:r>
      <w:r w:rsidR="00DB4296" w:rsidRPr="00997D6F">
        <w:rPr>
          <w:sz w:val="24"/>
          <w:szCs w:val="24"/>
        </w:rPr>
        <w:t>.</w:t>
      </w:r>
      <w:r w:rsidR="00E9437A" w:rsidRPr="00997D6F">
        <w:rPr>
          <w:sz w:val="24"/>
          <w:szCs w:val="24"/>
        </w:rPr>
        <w:t xml:space="preserve">  </w:t>
      </w:r>
    </w:p>
    <w:p w14:paraId="3F39D372" w14:textId="59425AFA" w:rsidR="00606D89" w:rsidRPr="00997D6F" w:rsidRDefault="0097103C" w:rsidP="00606D89">
      <w:pPr>
        <w:pStyle w:val="ListParagraph"/>
        <w:numPr>
          <w:ilvl w:val="0"/>
          <w:numId w:val="3"/>
        </w:numPr>
        <w:contextualSpacing w:val="0"/>
        <w:rPr>
          <w:sz w:val="24"/>
          <w:szCs w:val="24"/>
        </w:rPr>
      </w:pPr>
      <w:r>
        <w:rPr>
          <w:sz w:val="24"/>
          <w:szCs w:val="24"/>
        </w:rPr>
        <w:t xml:space="preserve">Ms </w:t>
      </w:r>
      <w:proofErr w:type="spellStart"/>
      <w:r w:rsidR="00C50846">
        <w:rPr>
          <w:sz w:val="24"/>
          <w:szCs w:val="24"/>
        </w:rPr>
        <w:t>Masango</w:t>
      </w:r>
      <w:proofErr w:type="spellEnd"/>
      <w:r w:rsidR="00C50846">
        <w:rPr>
          <w:sz w:val="24"/>
          <w:szCs w:val="24"/>
        </w:rPr>
        <w:t xml:space="preserve">, who is cited as </w:t>
      </w:r>
      <w:r w:rsidR="00863B08" w:rsidRPr="00997D6F">
        <w:rPr>
          <w:sz w:val="24"/>
          <w:szCs w:val="24"/>
        </w:rPr>
        <w:t xml:space="preserve">the first </w:t>
      </w:r>
      <w:r w:rsidR="006C28CC">
        <w:rPr>
          <w:sz w:val="24"/>
          <w:szCs w:val="24"/>
        </w:rPr>
        <w:t>respondent</w:t>
      </w:r>
      <w:r w:rsidR="001D53F2">
        <w:rPr>
          <w:sz w:val="24"/>
          <w:szCs w:val="24"/>
        </w:rPr>
        <w:t xml:space="preserve"> in her capacity</w:t>
      </w:r>
      <w:r w:rsidR="00C50846">
        <w:rPr>
          <w:sz w:val="24"/>
          <w:szCs w:val="24"/>
        </w:rPr>
        <w:t xml:space="preserve"> as the </w:t>
      </w:r>
      <w:r w:rsidR="00890732">
        <w:rPr>
          <w:sz w:val="24"/>
          <w:szCs w:val="24"/>
        </w:rPr>
        <w:t>executrix</w:t>
      </w:r>
      <w:r w:rsidR="00C50846">
        <w:rPr>
          <w:sz w:val="24"/>
          <w:szCs w:val="24"/>
        </w:rPr>
        <w:t xml:space="preserve"> of the deceased estate</w:t>
      </w:r>
      <w:r w:rsidR="001D53F2">
        <w:rPr>
          <w:sz w:val="24"/>
          <w:szCs w:val="24"/>
        </w:rPr>
        <w:t>,</w:t>
      </w:r>
      <w:r w:rsidR="00863B08" w:rsidRPr="00997D6F">
        <w:rPr>
          <w:sz w:val="24"/>
          <w:szCs w:val="24"/>
        </w:rPr>
        <w:t xml:space="preserve"> </w:t>
      </w:r>
      <w:r w:rsidR="00F67263" w:rsidRPr="00997D6F">
        <w:rPr>
          <w:sz w:val="24"/>
          <w:szCs w:val="24"/>
        </w:rPr>
        <w:t xml:space="preserve">had, by way of a court order, </w:t>
      </w:r>
      <w:r w:rsidR="001D53F2">
        <w:rPr>
          <w:sz w:val="24"/>
          <w:szCs w:val="24"/>
        </w:rPr>
        <w:t>ensured</w:t>
      </w:r>
      <w:r w:rsidR="00F67263" w:rsidRPr="00997D6F">
        <w:rPr>
          <w:sz w:val="24"/>
          <w:szCs w:val="24"/>
        </w:rPr>
        <w:t xml:space="preserve"> the belated registration of her customary marriage to the deceased</w:t>
      </w:r>
      <w:r w:rsidR="00AF0877">
        <w:rPr>
          <w:sz w:val="24"/>
          <w:szCs w:val="24"/>
        </w:rPr>
        <w:t>.</w:t>
      </w:r>
      <w:r w:rsidR="00DE575A">
        <w:rPr>
          <w:rStyle w:val="FootnoteReference"/>
          <w:sz w:val="24"/>
          <w:szCs w:val="24"/>
        </w:rPr>
        <w:footnoteReference w:id="3"/>
      </w:r>
      <w:r w:rsidR="00AF0877">
        <w:rPr>
          <w:sz w:val="24"/>
          <w:szCs w:val="24"/>
        </w:rPr>
        <w:t xml:space="preserve"> However,</w:t>
      </w:r>
      <w:r w:rsidR="00F67263" w:rsidRPr="00997D6F">
        <w:rPr>
          <w:sz w:val="24"/>
          <w:szCs w:val="24"/>
        </w:rPr>
        <w:t xml:space="preserve"> the first applicant contends that </w:t>
      </w:r>
      <w:r w:rsidR="001D53F2">
        <w:rPr>
          <w:sz w:val="24"/>
          <w:szCs w:val="24"/>
        </w:rPr>
        <w:t>the order</w:t>
      </w:r>
      <w:r w:rsidR="00F67263" w:rsidRPr="00997D6F">
        <w:rPr>
          <w:sz w:val="24"/>
          <w:szCs w:val="24"/>
        </w:rPr>
        <w:t xml:space="preserve"> </w:t>
      </w:r>
      <w:r w:rsidR="008E2A91" w:rsidRPr="00997D6F">
        <w:rPr>
          <w:sz w:val="24"/>
          <w:szCs w:val="24"/>
        </w:rPr>
        <w:t xml:space="preserve">was not </w:t>
      </w:r>
      <w:r w:rsidR="00606D89" w:rsidRPr="00997D6F">
        <w:rPr>
          <w:sz w:val="24"/>
          <w:szCs w:val="24"/>
        </w:rPr>
        <w:t>obtained on valid grounds</w:t>
      </w:r>
      <w:r w:rsidR="001D53F2">
        <w:rPr>
          <w:sz w:val="24"/>
          <w:szCs w:val="24"/>
        </w:rPr>
        <w:t xml:space="preserve">, and that in fact there had not been a customary marriage between </w:t>
      </w:r>
      <w:r w:rsidR="00AF0877">
        <w:rPr>
          <w:sz w:val="24"/>
          <w:szCs w:val="24"/>
        </w:rPr>
        <w:t xml:space="preserve">Ms </w:t>
      </w:r>
      <w:proofErr w:type="spellStart"/>
      <w:r w:rsidR="00AF0877">
        <w:rPr>
          <w:sz w:val="24"/>
          <w:szCs w:val="24"/>
        </w:rPr>
        <w:t>Masango</w:t>
      </w:r>
      <w:proofErr w:type="spellEnd"/>
      <w:r>
        <w:rPr>
          <w:sz w:val="24"/>
          <w:szCs w:val="24"/>
        </w:rPr>
        <w:t xml:space="preserve"> and the deceased</w:t>
      </w:r>
      <w:r w:rsidR="00606D89" w:rsidRPr="00997D6F">
        <w:rPr>
          <w:sz w:val="24"/>
          <w:szCs w:val="24"/>
        </w:rPr>
        <w:t xml:space="preserve">. </w:t>
      </w:r>
    </w:p>
    <w:p w14:paraId="4F7AC441" w14:textId="5FF43A78" w:rsidR="008E6FA0" w:rsidRDefault="008E6FA0" w:rsidP="00606D89">
      <w:pPr>
        <w:pStyle w:val="ListParagraph"/>
        <w:numPr>
          <w:ilvl w:val="0"/>
          <w:numId w:val="3"/>
        </w:numPr>
        <w:contextualSpacing w:val="0"/>
        <w:rPr>
          <w:sz w:val="24"/>
          <w:szCs w:val="24"/>
        </w:rPr>
      </w:pPr>
      <w:r w:rsidRPr="00997D6F">
        <w:rPr>
          <w:sz w:val="24"/>
          <w:szCs w:val="24"/>
        </w:rPr>
        <w:lastRenderedPageBreak/>
        <w:t xml:space="preserve">The second and third applicants </w:t>
      </w:r>
      <w:r>
        <w:rPr>
          <w:sz w:val="24"/>
          <w:szCs w:val="24"/>
        </w:rPr>
        <w:t>are</w:t>
      </w:r>
      <w:r w:rsidRPr="00997D6F">
        <w:rPr>
          <w:sz w:val="24"/>
          <w:szCs w:val="24"/>
        </w:rPr>
        <w:t xml:space="preserve"> the deceased’s </w:t>
      </w:r>
      <w:r>
        <w:rPr>
          <w:sz w:val="24"/>
          <w:szCs w:val="24"/>
        </w:rPr>
        <w:t xml:space="preserve">and the first applicant’s </w:t>
      </w:r>
      <w:r w:rsidRPr="00997D6F">
        <w:rPr>
          <w:sz w:val="24"/>
          <w:szCs w:val="24"/>
        </w:rPr>
        <w:t>adult sons</w:t>
      </w:r>
      <w:r>
        <w:rPr>
          <w:sz w:val="24"/>
          <w:szCs w:val="24"/>
        </w:rPr>
        <w:t>.  The second respondent, the Master, does not oppose the application.</w:t>
      </w:r>
    </w:p>
    <w:p w14:paraId="70564D5D" w14:textId="73E91295" w:rsidR="002331FB" w:rsidRPr="00997D6F" w:rsidRDefault="006C2C6E" w:rsidP="00606D89">
      <w:pPr>
        <w:pStyle w:val="ListParagraph"/>
        <w:numPr>
          <w:ilvl w:val="0"/>
          <w:numId w:val="3"/>
        </w:numPr>
        <w:contextualSpacing w:val="0"/>
        <w:rPr>
          <w:sz w:val="24"/>
          <w:szCs w:val="24"/>
        </w:rPr>
      </w:pPr>
      <w:r w:rsidRPr="00997D6F">
        <w:rPr>
          <w:sz w:val="24"/>
          <w:szCs w:val="24"/>
        </w:rPr>
        <w:t xml:space="preserve">The applicants </w:t>
      </w:r>
      <w:r w:rsidR="00AF62AD" w:rsidRPr="00997D6F">
        <w:rPr>
          <w:sz w:val="24"/>
          <w:szCs w:val="24"/>
        </w:rPr>
        <w:t xml:space="preserve">brought an application seeking the urgent removal of the first respondent as </w:t>
      </w:r>
      <w:r w:rsidR="00890732">
        <w:rPr>
          <w:sz w:val="24"/>
          <w:szCs w:val="24"/>
        </w:rPr>
        <w:t>executrix</w:t>
      </w:r>
      <w:r w:rsidR="00AF62AD" w:rsidRPr="00997D6F">
        <w:rPr>
          <w:sz w:val="24"/>
          <w:szCs w:val="24"/>
        </w:rPr>
        <w:t xml:space="preserve"> of the deceased’s estate, alternatively that she be directed to lodge a liquidation and distribution account for the estate.  This relief </w:t>
      </w:r>
      <w:r w:rsidR="00AF4BD7" w:rsidRPr="00997D6F">
        <w:rPr>
          <w:sz w:val="24"/>
          <w:szCs w:val="24"/>
        </w:rPr>
        <w:t xml:space="preserve">is sought ostensibly as interim relief pending </w:t>
      </w:r>
      <w:r w:rsidR="00FB6FC0">
        <w:rPr>
          <w:sz w:val="24"/>
          <w:szCs w:val="24"/>
        </w:rPr>
        <w:t>P</w:t>
      </w:r>
      <w:r w:rsidR="00AF4BD7" w:rsidRPr="00997D6F">
        <w:rPr>
          <w:sz w:val="24"/>
          <w:szCs w:val="24"/>
        </w:rPr>
        <w:t xml:space="preserve">art </w:t>
      </w:r>
      <w:r w:rsidR="00597977" w:rsidRPr="00997D6F">
        <w:rPr>
          <w:sz w:val="24"/>
          <w:szCs w:val="24"/>
        </w:rPr>
        <w:t xml:space="preserve">B of the application, to be considered in the ordinary course, for a </w:t>
      </w:r>
      <w:proofErr w:type="spellStart"/>
      <w:r w:rsidR="00597977" w:rsidRPr="00997D6F">
        <w:rPr>
          <w:sz w:val="24"/>
          <w:szCs w:val="24"/>
        </w:rPr>
        <w:t>declarator</w:t>
      </w:r>
      <w:proofErr w:type="spellEnd"/>
      <w:r w:rsidR="00597977" w:rsidRPr="00997D6F">
        <w:rPr>
          <w:sz w:val="24"/>
          <w:szCs w:val="24"/>
        </w:rPr>
        <w:t xml:space="preserve"> that the customary marriage between the first respondent and the deceased is invalid, alternatively that </w:t>
      </w:r>
      <w:r w:rsidR="00C47998" w:rsidRPr="00997D6F">
        <w:rPr>
          <w:sz w:val="24"/>
          <w:szCs w:val="24"/>
        </w:rPr>
        <w:t xml:space="preserve">it is out of community of property.  </w:t>
      </w:r>
      <w:r w:rsidR="00CC273A">
        <w:rPr>
          <w:sz w:val="24"/>
          <w:szCs w:val="24"/>
        </w:rPr>
        <w:t xml:space="preserve">The </w:t>
      </w:r>
      <w:r w:rsidR="00C47998" w:rsidRPr="00997D6F">
        <w:rPr>
          <w:sz w:val="24"/>
          <w:szCs w:val="24"/>
        </w:rPr>
        <w:t xml:space="preserve">application </w:t>
      </w:r>
      <w:r w:rsidR="00BF713B" w:rsidRPr="00997D6F">
        <w:rPr>
          <w:sz w:val="24"/>
          <w:szCs w:val="24"/>
        </w:rPr>
        <w:t>was formulated and pursued as if the applicants sought an interim interdict.  When que</w:t>
      </w:r>
      <w:r w:rsidR="00A92DB5" w:rsidRPr="00997D6F">
        <w:rPr>
          <w:sz w:val="24"/>
          <w:szCs w:val="24"/>
        </w:rPr>
        <w:t xml:space="preserve">ried, Mr </w:t>
      </w:r>
      <w:proofErr w:type="spellStart"/>
      <w:r w:rsidR="00A92DB5" w:rsidRPr="00997D6F">
        <w:rPr>
          <w:sz w:val="24"/>
          <w:szCs w:val="24"/>
        </w:rPr>
        <w:t>Seloane</w:t>
      </w:r>
      <w:proofErr w:type="spellEnd"/>
      <w:r w:rsidR="00573E5F" w:rsidRPr="00997D6F">
        <w:rPr>
          <w:sz w:val="24"/>
          <w:szCs w:val="24"/>
        </w:rPr>
        <w:t xml:space="preserve">, appearing for the applicants, conceded that </w:t>
      </w:r>
      <w:r w:rsidR="00CC273A" w:rsidRPr="00997D6F">
        <w:rPr>
          <w:sz w:val="24"/>
          <w:szCs w:val="24"/>
        </w:rPr>
        <w:t>the</w:t>
      </w:r>
      <w:r w:rsidR="00573E5F" w:rsidRPr="00997D6F">
        <w:rPr>
          <w:sz w:val="24"/>
          <w:szCs w:val="24"/>
        </w:rPr>
        <w:t xml:space="preserve"> relief sought was final</w:t>
      </w:r>
      <w:r w:rsidR="00FB6FC0">
        <w:rPr>
          <w:sz w:val="24"/>
          <w:szCs w:val="24"/>
        </w:rPr>
        <w:t xml:space="preserve"> in effect</w:t>
      </w:r>
      <w:r w:rsidR="00573E5F" w:rsidRPr="00997D6F">
        <w:rPr>
          <w:sz w:val="24"/>
          <w:szCs w:val="24"/>
        </w:rPr>
        <w:t>, and not interdictory in nature.</w:t>
      </w:r>
      <w:r w:rsidR="00861592">
        <w:rPr>
          <w:sz w:val="24"/>
          <w:szCs w:val="24"/>
        </w:rPr>
        <w:t xml:space="preserve"> </w:t>
      </w:r>
    </w:p>
    <w:p w14:paraId="49E6DB32" w14:textId="270E8E92" w:rsidR="00132396" w:rsidRDefault="000A4E20" w:rsidP="00F45A2C">
      <w:pPr>
        <w:pStyle w:val="ListParagraph"/>
        <w:numPr>
          <w:ilvl w:val="0"/>
          <w:numId w:val="3"/>
        </w:numPr>
        <w:contextualSpacing w:val="0"/>
        <w:rPr>
          <w:sz w:val="24"/>
          <w:szCs w:val="24"/>
        </w:rPr>
      </w:pPr>
      <w:r>
        <w:rPr>
          <w:sz w:val="24"/>
          <w:szCs w:val="24"/>
        </w:rPr>
        <w:t xml:space="preserve">The first respondent baldly </w:t>
      </w:r>
      <w:r w:rsidR="00FB29A6">
        <w:rPr>
          <w:sz w:val="24"/>
          <w:szCs w:val="24"/>
        </w:rPr>
        <w:t>denies</w:t>
      </w:r>
      <w:r>
        <w:rPr>
          <w:sz w:val="24"/>
          <w:szCs w:val="24"/>
        </w:rPr>
        <w:t xml:space="preserve"> that the first applicant </w:t>
      </w:r>
      <w:r w:rsidR="00FB29A6">
        <w:rPr>
          <w:sz w:val="24"/>
          <w:szCs w:val="24"/>
        </w:rPr>
        <w:t>i</w:t>
      </w:r>
      <w:r>
        <w:rPr>
          <w:sz w:val="24"/>
          <w:szCs w:val="24"/>
        </w:rPr>
        <w:t>s the deceased’s (first) customary wife,</w:t>
      </w:r>
      <w:r w:rsidR="00FB29A6">
        <w:rPr>
          <w:sz w:val="24"/>
          <w:szCs w:val="24"/>
        </w:rPr>
        <w:t xml:space="preserve"> and </w:t>
      </w:r>
      <w:r w:rsidR="00550906" w:rsidRPr="00997D6F">
        <w:rPr>
          <w:sz w:val="24"/>
          <w:szCs w:val="24"/>
        </w:rPr>
        <w:t>that the second and third applicants are the sons of the deceased.</w:t>
      </w:r>
      <w:r w:rsidR="00FB29A6" w:rsidRPr="00FB29A6">
        <w:rPr>
          <w:sz w:val="24"/>
          <w:szCs w:val="24"/>
        </w:rPr>
        <w:t xml:space="preserve"> </w:t>
      </w:r>
      <w:r w:rsidR="00D454B3">
        <w:rPr>
          <w:sz w:val="24"/>
          <w:szCs w:val="24"/>
        </w:rPr>
        <w:t>Although motion proceedings are not designed to resolve factual disputes,</w:t>
      </w:r>
      <w:r w:rsidR="00FB29A6" w:rsidRPr="00997D6F">
        <w:rPr>
          <w:rStyle w:val="FootnoteReference"/>
          <w:sz w:val="24"/>
          <w:szCs w:val="24"/>
        </w:rPr>
        <w:footnoteReference w:id="4"/>
      </w:r>
      <w:r w:rsidR="00FB29A6" w:rsidRPr="00997D6F">
        <w:rPr>
          <w:sz w:val="24"/>
          <w:szCs w:val="24"/>
        </w:rPr>
        <w:t xml:space="preserve"> </w:t>
      </w:r>
      <w:r w:rsidR="00E62FAF">
        <w:rPr>
          <w:sz w:val="24"/>
          <w:szCs w:val="24"/>
        </w:rPr>
        <w:t xml:space="preserve">the dispute must be </w:t>
      </w:r>
      <w:r w:rsidR="008C5F2A" w:rsidRPr="00997D6F">
        <w:rPr>
          <w:sz w:val="24"/>
          <w:szCs w:val="24"/>
        </w:rPr>
        <w:t>real</w:t>
      </w:r>
      <w:r w:rsidR="005D408F">
        <w:rPr>
          <w:sz w:val="24"/>
          <w:szCs w:val="24"/>
        </w:rPr>
        <w:t>, genuine, and</w:t>
      </w:r>
      <w:r w:rsidR="008C5F2A" w:rsidRPr="00997D6F">
        <w:rPr>
          <w:sz w:val="24"/>
          <w:szCs w:val="24"/>
        </w:rPr>
        <w:t xml:space="preserve"> </w:t>
      </w:r>
      <w:r w:rsidR="008C5F2A" w:rsidRPr="00997D6F">
        <w:rPr>
          <w:i/>
          <w:iCs/>
          <w:sz w:val="24"/>
          <w:szCs w:val="24"/>
        </w:rPr>
        <w:t>bona fide</w:t>
      </w:r>
      <w:r w:rsidR="00016E84" w:rsidRPr="00997D6F">
        <w:rPr>
          <w:sz w:val="24"/>
          <w:szCs w:val="24"/>
        </w:rPr>
        <w:t>.</w:t>
      </w:r>
      <w:r w:rsidR="005D408F" w:rsidRPr="00997D6F">
        <w:rPr>
          <w:rStyle w:val="FootnoteReference"/>
          <w:sz w:val="24"/>
          <w:szCs w:val="24"/>
        </w:rPr>
        <w:footnoteReference w:id="5"/>
      </w:r>
      <w:r w:rsidR="00016E84" w:rsidRPr="00997D6F">
        <w:rPr>
          <w:sz w:val="24"/>
          <w:szCs w:val="24"/>
        </w:rPr>
        <w:t xml:space="preserve">  </w:t>
      </w:r>
      <w:r w:rsidR="005F518E" w:rsidRPr="00997D6F">
        <w:rPr>
          <w:sz w:val="24"/>
          <w:szCs w:val="24"/>
        </w:rPr>
        <w:t xml:space="preserve">The first respondent has not seriously and unambiguously addressed </w:t>
      </w:r>
      <w:r w:rsidR="000367D2" w:rsidRPr="00997D6F">
        <w:rPr>
          <w:sz w:val="24"/>
          <w:szCs w:val="24"/>
        </w:rPr>
        <w:t>her denial of these facts.</w:t>
      </w:r>
      <w:r w:rsidR="00132396">
        <w:rPr>
          <w:sz w:val="24"/>
          <w:szCs w:val="24"/>
        </w:rPr>
        <w:t xml:space="preserve"> </w:t>
      </w:r>
      <w:r w:rsidR="009909DF">
        <w:rPr>
          <w:sz w:val="24"/>
          <w:szCs w:val="24"/>
        </w:rPr>
        <w:t>S</w:t>
      </w:r>
      <w:r w:rsidR="00132396">
        <w:rPr>
          <w:sz w:val="24"/>
          <w:szCs w:val="24"/>
        </w:rPr>
        <w:t xml:space="preserve">he </w:t>
      </w:r>
      <w:r w:rsidR="003216A6">
        <w:rPr>
          <w:sz w:val="24"/>
          <w:szCs w:val="24"/>
        </w:rPr>
        <w:t>merely states that</w:t>
      </w:r>
      <w:r w:rsidR="00C626C8">
        <w:rPr>
          <w:sz w:val="24"/>
          <w:szCs w:val="24"/>
        </w:rPr>
        <w:t xml:space="preserve"> she</w:t>
      </w:r>
      <w:r w:rsidR="00132396">
        <w:rPr>
          <w:sz w:val="24"/>
          <w:szCs w:val="24"/>
        </w:rPr>
        <w:t xml:space="preserve"> “</w:t>
      </w:r>
      <w:r w:rsidR="00090EC9" w:rsidRPr="00172F66">
        <w:rPr>
          <w:i/>
          <w:iCs/>
          <w:sz w:val="24"/>
          <w:szCs w:val="24"/>
        </w:rPr>
        <w:t>has no knowledge of the allegations contained in this paragr</w:t>
      </w:r>
      <w:r w:rsidR="00172F66" w:rsidRPr="00172F66">
        <w:rPr>
          <w:i/>
          <w:iCs/>
          <w:sz w:val="24"/>
          <w:szCs w:val="24"/>
        </w:rPr>
        <w:t>aph, denies same and puts</w:t>
      </w:r>
      <w:r w:rsidR="00172F66">
        <w:rPr>
          <w:sz w:val="24"/>
          <w:szCs w:val="24"/>
        </w:rPr>
        <w:t xml:space="preserve"> </w:t>
      </w:r>
      <w:r w:rsidR="00132396" w:rsidRPr="009909DF">
        <w:rPr>
          <w:i/>
          <w:iCs/>
          <w:sz w:val="24"/>
          <w:szCs w:val="24"/>
        </w:rPr>
        <w:t>the applicants to the proof thereof</w:t>
      </w:r>
      <w:r w:rsidR="00132396">
        <w:rPr>
          <w:sz w:val="24"/>
          <w:szCs w:val="24"/>
        </w:rPr>
        <w:t>”.</w:t>
      </w:r>
      <w:r w:rsidR="00030886" w:rsidRPr="00997D6F">
        <w:rPr>
          <w:sz w:val="24"/>
          <w:szCs w:val="24"/>
        </w:rPr>
        <w:t xml:space="preserve">  </w:t>
      </w:r>
    </w:p>
    <w:p w14:paraId="79B89142" w14:textId="30D73D0D" w:rsidR="00F45A2C" w:rsidRDefault="00132396" w:rsidP="00F45A2C">
      <w:pPr>
        <w:pStyle w:val="ListParagraph"/>
        <w:numPr>
          <w:ilvl w:val="0"/>
          <w:numId w:val="3"/>
        </w:numPr>
        <w:contextualSpacing w:val="0"/>
        <w:rPr>
          <w:sz w:val="24"/>
          <w:szCs w:val="24"/>
        </w:rPr>
      </w:pPr>
      <w:r>
        <w:rPr>
          <w:sz w:val="24"/>
          <w:szCs w:val="24"/>
        </w:rPr>
        <w:t>The first applicant has set out in some detail</w:t>
      </w:r>
      <w:r w:rsidR="008B1301">
        <w:rPr>
          <w:sz w:val="24"/>
          <w:szCs w:val="24"/>
        </w:rPr>
        <w:t xml:space="preserve"> how the marriage between her and the deceased came about</w:t>
      </w:r>
      <w:r w:rsidR="00B104A3">
        <w:rPr>
          <w:sz w:val="24"/>
          <w:szCs w:val="24"/>
        </w:rPr>
        <w:t xml:space="preserve">. </w:t>
      </w:r>
      <w:r w:rsidR="00030886" w:rsidRPr="00997D6F">
        <w:rPr>
          <w:sz w:val="24"/>
          <w:szCs w:val="24"/>
        </w:rPr>
        <w:t xml:space="preserve">The inventory for the estate appears to record both the </w:t>
      </w:r>
      <w:r w:rsidR="00030886" w:rsidRPr="00997D6F">
        <w:rPr>
          <w:sz w:val="24"/>
          <w:szCs w:val="24"/>
        </w:rPr>
        <w:lastRenderedPageBreak/>
        <w:t>second and third applicants as major sons of the decease</w:t>
      </w:r>
      <w:r w:rsidR="00B104A3">
        <w:rPr>
          <w:sz w:val="24"/>
          <w:szCs w:val="24"/>
        </w:rPr>
        <w:t>d</w:t>
      </w:r>
      <w:r w:rsidR="00030886" w:rsidRPr="00997D6F">
        <w:rPr>
          <w:sz w:val="24"/>
          <w:szCs w:val="24"/>
        </w:rPr>
        <w:t xml:space="preserve">. </w:t>
      </w:r>
      <w:r w:rsidR="004125A7" w:rsidRPr="00997D6F">
        <w:rPr>
          <w:sz w:val="24"/>
          <w:szCs w:val="24"/>
        </w:rPr>
        <w:t>I thus conclude that applicants</w:t>
      </w:r>
      <w:r w:rsidR="00836BBD">
        <w:rPr>
          <w:sz w:val="24"/>
          <w:szCs w:val="24"/>
        </w:rPr>
        <w:t>,</w:t>
      </w:r>
      <w:r w:rsidR="00836BBD" w:rsidRPr="00836BBD">
        <w:rPr>
          <w:sz w:val="24"/>
          <w:szCs w:val="24"/>
        </w:rPr>
        <w:t xml:space="preserve"> </w:t>
      </w:r>
      <w:r w:rsidR="00836BBD">
        <w:rPr>
          <w:sz w:val="24"/>
          <w:szCs w:val="24"/>
        </w:rPr>
        <w:t>as persons with an interest in the estate,</w:t>
      </w:r>
      <w:r w:rsidR="004125A7" w:rsidRPr="00997D6F">
        <w:rPr>
          <w:sz w:val="24"/>
          <w:szCs w:val="24"/>
        </w:rPr>
        <w:t xml:space="preserve"> </w:t>
      </w:r>
      <w:r w:rsidR="001850D1" w:rsidRPr="00997D6F">
        <w:rPr>
          <w:sz w:val="24"/>
          <w:szCs w:val="24"/>
        </w:rPr>
        <w:t>have the</w:t>
      </w:r>
      <w:r w:rsidR="00B104A3">
        <w:rPr>
          <w:sz w:val="24"/>
          <w:szCs w:val="24"/>
        </w:rPr>
        <w:t xml:space="preserve"> necessary standing </w:t>
      </w:r>
      <w:r w:rsidR="001850D1" w:rsidRPr="00997D6F">
        <w:rPr>
          <w:sz w:val="24"/>
          <w:szCs w:val="24"/>
        </w:rPr>
        <w:t xml:space="preserve">to obtain the relief sought in this application. </w:t>
      </w:r>
    </w:p>
    <w:p w14:paraId="4C4DEA52" w14:textId="29950A94" w:rsidR="00312514" w:rsidRPr="00997D6F" w:rsidRDefault="00312514" w:rsidP="00F45A2C">
      <w:pPr>
        <w:pStyle w:val="ListParagraph"/>
        <w:numPr>
          <w:ilvl w:val="0"/>
          <w:numId w:val="3"/>
        </w:numPr>
        <w:contextualSpacing w:val="0"/>
        <w:rPr>
          <w:sz w:val="24"/>
          <w:szCs w:val="24"/>
        </w:rPr>
      </w:pPr>
      <w:r>
        <w:rPr>
          <w:sz w:val="24"/>
          <w:szCs w:val="24"/>
        </w:rPr>
        <w:t xml:space="preserve">Given the allegations regarding the improper treatment of estate assets by an executor, </w:t>
      </w:r>
      <w:r w:rsidR="00D06216">
        <w:rPr>
          <w:sz w:val="24"/>
          <w:szCs w:val="24"/>
        </w:rPr>
        <w:t>I consider</w:t>
      </w:r>
      <w:r w:rsidR="00794AA5">
        <w:rPr>
          <w:sz w:val="24"/>
          <w:szCs w:val="24"/>
        </w:rPr>
        <w:t>ed</w:t>
      </w:r>
      <w:r w:rsidR="00D06216">
        <w:rPr>
          <w:sz w:val="24"/>
          <w:szCs w:val="24"/>
        </w:rPr>
        <w:t xml:space="preserve"> it appropriate to entertain the application on the urgent basis upon which it was brought.  </w:t>
      </w:r>
    </w:p>
    <w:p w14:paraId="7DD3762A" w14:textId="4B23A167" w:rsidR="001850D1" w:rsidRPr="00997D6F" w:rsidRDefault="00C43684" w:rsidP="00F45A2C">
      <w:pPr>
        <w:pStyle w:val="ListParagraph"/>
        <w:numPr>
          <w:ilvl w:val="0"/>
          <w:numId w:val="3"/>
        </w:numPr>
        <w:contextualSpacing w:val="0"/>
        <w:rPr>
          <w:sz w:val="24"/>
          <w:szCs w:val="24"/>
        </w:rPr>
      </w:pPr>
      <w:r w:rsidRPr="00997D6F">
        <w:rPr>
          <w:sz w:val="24"/>
          <w:szCs w:val="24"/>
        </w:rPr>
        <w:t xml:space="preserve">Section 54 of the Administration of Estates Act, </w:t>
      </w:r>
      <w:r w:rsidR="00C04AFB" w:rsidRPr="00997D6F">
        <w:rPr>
          <w:sz w:val="24"/>
          <w:szCs w:val="24"/>
        </w:rPr>
        <w:t xml:space="preserve">66 of 1965, provides for circumstances in which </w:t>
      </w:r>
      <w:r w:rsidR="00DC0067" w:rsidRPr="00997D6F">
        <w:rPr>
          <w:sz w:val="24"/>
          <w:szCs w:val="24"/>
        </w:rPr>
        <w:t xml:space="preserve">the court may remove an </w:t>
      </w:r>
      <w:r w:rsidR="00890732">
        <w:rPr>
          <w:sz w:val="24"/>
          <w:szCs w:val="24"/>
        </w:rPr>
        <w:t>executrix</w:t>
      </w:r>
      <w:r w:rsidR="00DC0067" w:rsidRPr="00997D6F">
        <w:rPr>
          <w:sz w:val="24"/>
          <w:szCs w:val="24"/>
        </w:rPr>
        <w:t xml:space="preserve"> from her office.  The applicants rely on section 54(</w:t>
      </w:r>
      <w:r w:rsidR="005E7D47" w:rsidRPr="00997D6F">
        <w:rPr>
          <w:sz w:val="24"/>
          <w:szCs w:val="24"/>
        </w:rPr>
        <w:t>a)(</w:t>
      </w:r>
      <w:r w:rsidR="000D5ABF" w:rsidRPr="00997D6F">
        <w:rPr>
          <w:sz w:val="24"/>
          <w:szCs w:val="24"/>
        </w:rPr>
        <w:t>v</w:t>
      </w:r>
      <w:r w:rsidR="005D403B" w:rsidRPr="00997D6F">
        <w:rPr>
          <w:sz w:val="24"/>
          <w:szCs w:val="24"/>
        </w:rPr>
        <w:t>), which provides as follows:</w:t>
      </w:r>
    </w:p>
    <w:p w14:paraId="4088217E" w14:textId="32CB3A49" w:rsidR="00511B3D" w:rsidRPr="00BD21D9" w:rsidRDefault="005D403B" w:rsidP="004F7556">
      <w:pPr>
        <w:pStyle w:val="ListParagraph"/>
        <w:spacing w:line="360" w:lineRule="auto"/>
        <w:ind w:left="2268" w:right="521" w:hanging="567"/>
        <w:contextualSpacing w:val="0"/>
        <w:rPr>
          <w:sz w:val="20"/>
          <w:szCs w:val="20"/>
        </w:rPr>
      </w:pPr>
      <w:r w:rsidRPr="00BD21D9">
        <w:rPr>
          <w:sz w:val="20"/>
          <w:szCs w:val="20"/>
        </w:rPr>
        <w:t>“</w:t>
      </w:r>
      <w:r w:rsidR="00DF0E06" w:rsidRPr="00BD21D9">
        <w:rPr>
          <w:sz w:val="20"/>
          <w:szCs w:val="20"/>
        </w:rPr>
        <w:t>54</w:t>
      </w:r>
      <w:r w:rsidR="00DF0E06" w:rsidRPr="00BD21D9">
        <w:rPr>
          <w:sz w:val="20"/>
          <w:szCs w:val="20"/>
        </w:rPr>
        <w:tab/>
        <w:t>Removal from office as executor – (1)</w:t>
      </w:r>
      <w:r w:rsidR="00511B3D" w:rsidRPr="00BD21D9">
        <w:rPr>
          <w:sz w:val="20"/>
          <w:szCs w:val="20"/>
        </w:rPr>
        <w:t xml:space="preserve"> an executor may at any time be removed from his office – </w:t>
      </w:r>
    </w:p>
    <w:p w14:paraId="293D60AD" w14:textId="3A70FD42" w:rsidR="004F7556" w:rsidRPr="00BD21D9" w:rsidRDefault="007D0917" w:rsidP="004F7556">
      <w:pPr>
        <w:pStyle w:val="ListParagraph"/>
        <w:numPr>
          <w:ilvl w:val="4"/>
          <w:numId w:val="3"/>
        </w:numPr>
        <w:spacing w:line="360" w:lineRule="auto"/>
        <w:ind w:left="2694" w:right="521" w:hanging="426"/>
        <w:contextualSpacing w:val="0"/>
        <w:rPr>
          <w:sz w:val="20"/>
          <w:szCs w:val="20"/>
        </w:rPr>
      </w:pPr>
      <w:r w:rsidRPr="00BD21D9">
        <w:rPr>
          <w:sz w:val="20"/>
          <w:szCs w:val="20"/>
        </w:rPr>
        <w:t xml:space="preserve">by the Court – </w:t>
      </w:r>
    </w:p>
    <w:p w14:paraId="45711E41" w14:textId="1AD17E7D" w:rsidR="007D0917" w:rsidRPr="00BD21D9" w:rsidRDefault="000D5ABF" w:rsidP="000D5ABF">
      <w:pPr>
        <w:pStyle w:val="ListParagraph"/>
        <w:spacing w:line="360" w:lineRule="auto"/>
        <w:ind w:left="2694" w:right="521"/>
        <w:contextualSpacing w:val="0"/>
        <w:rPr>
          <w:sz w:val="20"/>
          <w:szCs w:val="20"/>
        </w:rPr>
      </w:pPr>
      <w:r w:rsidRPr="00BD21D9">
        <w:rPr>
          <w:sz w:val="20"/>
          <w:szCs w:val="20"/>
        </w:rPr>
        <w:t>…</w:t>
      </w:r>
    </w:p>
    <w:p w14:paraId="5EF62604" w14:textId="4D2B13BF" w:rsidR="000D5ABF" w:rsidRPr="00997D6F" w:rsidRDefault="000D5ABF" w:rsidP="000D5ABF">
      <w:pPr>
        <w:pStyle w:val="ListParagraph"/>
        <w:spacing w:line="360" w:lineRule="auto"/>
        <w:ind w:left="3119" w:right="521" w:hanging="425"/>
        <w:contextualSpacing w:val="0"/>
        <w:rPr>
          <w:sz w:val="24"/>
          <w:szCs w:val="24"/>
        </w:rPr>
      </w:pPr>
      <w:r w:rsidRPr="00BD21D9">
        <w:rPr>
          <w:sz w:val="20"/>
          <w:szCs w:val="20"/>
        </w:rPr>
        <w:t>(v)</w:t>
      </w:r>
      <w:r w:rsidRPr="00BD21D9">
        <w:rPr>
          <w:sz w:val="20"/>
          <w:szCs w:val="20"/>
        </w:rPr>
        <w:tab/>
      </w:r>
      <w:proofErr w:type="gramStart"/>
      <w:r w:rsidRPr="00BD21D9">
        <w:rPr>
          <w:sz w:val="20"/>
          <w:szCs w:val="20"/>
        </w:rPr>
        <w:t>if</w:t>
      </w:r>
      <w:proofErr w:type="gramEnd"/>
      <w:r w:rsidRPr="00BD21D9">
        <w:rPr>
          <w:sz w:val="20"/>
          <w:szCs w:val="20"/>
        </w:rPr>
        <w:t xml:space="preserve"> for any other reason the court is satisfied that it is undesirable than that he should act as executor of the estate concerned; …”</w:t>
      </w:r>
      <w:r w:rsidRPr="00997D6F">
        <w:rPr>
          <w:rStyle w:val="FootnoteReference"/>
          <w:sz w:val="24"/>
          <w:szCs w:val="24"/>
        </w:rPr>
        <w:footnoteReference w:id="6"/>
      </w:r>
    </w:p>
    <w:p w14:paraId="43F300D7" w14:textId="3F17BF90" w:rsidR="00472BD3" w:rsidRPr="00997D6F" w:rsidRDefault="00472BD3" w:rsidP="00F45A2C">
      <w:pPr>
        <w:pStyle w:val="ListParagraph"/>
        <w:numPr>
          <w:ilvl w:val="0"/>
          <w:numId w:val="3"/>
        </w:numPr>
        <w:contextualSpacing w:val="0"/>
        <w:rPr>
          <w:sz w:val="24"/>
          <w:szCs w:val="24"/>
        </w:rPr>
      </w:pPr>
      <w:r w:rsidRPr="00997D6F">
        <w:rPr>
          <w:sz w:val="24"/>
          <w:szCs w:val="24"/>
        </w:rPr>
        <w:t xml:space="preserve">The factual underpinning of the applicants </w:t>
      </w:r>
      <w:r w:rsidR="002045D9" w:rsidRPr="00997D6F">
        <w:rPr>
          <w:sz w:val="24"/>
          <w:szCs w:val="24"/>
        </w:rPr>
        <w:t xml:space="preserve">claim for the removal of the first respondent as executrix, </w:t>
      </w:r>
      <w:r w:rsidR="00EE5964" w:rsidRPr="00997D6F">
        <w:rPr>
          <w:sz w:val="24"/>
          <w:szCs w:val="24"/>
        </w:rPr>
        <w:t>is, to say the least, sparse.  The essence of that case is encapsulated in the following extract from the founding affidavit:</w:t>
      </w:r>
    </w:p>
    <w:p w14:paraId="22F2D4FA" w14:textId="7A86E853" w:rsidR="00EE5964" w:rsidRPr="00B70D52" w:rsidRDefault="00EE5964" w:rsidP="00E072DC">
      <w:pPr>
        <w:pStyle w:val="ListParagraph"/>
        <w:spacing w:line="360" w:lineRule="auto"/>
        <w:ind w:left="2268" w:right="662" w:hanging="567"/>
        <w:contextualSpacing w:val="0"/>
        <w:rPr>
          <w:sz w:val="20"/>
          <w:szCs w:val="20"/>
        </w:rPr>
      </w:pPr>
      <w:r w:rsidRPr="00B70D52">
        <w:rPr>
          <w:sz w:val="20"/>
          <w:szCs w:val="20"/>
        </w:rPr>
        <w:lastRenderedPageBreak/>
        <w:t>“</w:t>
      </w:r>
      <w:r w:rsidR="00E072DC" w:rsidRPr="00B70D52">
        <w:rPr>
          <w:sz w:val="20"/>
          <w:szCs w:val="20"/>
        </w:rPr>
        <w:t>44.</w:t>
      </w:r>
      <w:r w:rsidR="00E072DC" w:rsidRPr="00B70D52">
        <w:rPr>
          <w:sz w:val="20"/>
          <w:szCs w:val="20"/>
        </w:rPr>
        <w:tab/>
        <w:t>My current attorneys of record have addressed correspondences to the agents of the first respondent, pertaining to the administration of the estate.  …</w:t>
      </w:r>
    </w:p>
    <w:p w14:paraId="1ECA9134" w14:textId="67A87A81" w:rsidR="00E072DC" w:rsidRPr="00B70D52" w:rsidRDefault="00E072DC" w:rsidP="00E072DC">
      <w:pPr>
        <w:pStyle w:val="ListParagraph"/>
        <w:spacing w:line="360" w:lineRule="auto"/>
        <w:ind w:left="2268" w:right="662" w:hanging="567"/>
        <w:contextualSpacing w:val="0"/>
        <w:rPr>
          <w:sz w:val="20"/>
          <w:szCs w:val="20"/>
        </w:rPr>
      </w:pPr>
      <w:r w:rsidRPr="00B70D52">
        <w:rPr>
          <w:sz w:val="20"/>
          <w:szCs w:val="20"/>
        </w:rPr>
        <w:t>45.</w:t>
      </w:r>
      <w:r w:rsidRPr="00B70D52">
        <w:rPr>
          <w:sz w:val="20"/>
          <w:szCs w:val="20"/>
        </w:rPr>
        <w:tab/>
        <w:t>The first respondent and her attorneys replied to my attorney</w:t>
      </w:r>
      <w:r w:rsidR="00AB5A2A" w:rsidRPr="00B70D52">
        <w:rPr>
          <w:sz w:val="20"/>
          <w:szCs w:val="20"/>
        </w:rPr>
        <w:t>’s correspondence dismissively and uncooperatively.  …</w:t>
      </w:r>
    </w:p>
    <w:p w14:paraId="0950DC32" w14:textId="627E957A" w:rsidR="00AB5A2A" w:rsidRPr="00B70D52" w:rsidRDefault="00AB5A2A" w:rsidP="00E072DC">
      <w:pPr>
        <w:pStyle w:val="ListParagraph"/>
        <w:spacing w:line="360" w:lineRule="auto"/>
        <w:ind w:left="2268" w:right="662" w:hanging="567"/>
        <w:contextualSpacing w:val="0"/>
        <w:rPr>
          <w:sz w:val="20"/>
          <w:szCs w:val="20"/>
        </w:rPr>
      </w:pPr>
      <w:r w:rsidRPr="00B70D52">
        <w:rPr>
          <w:sz w:val="20"/>
          <w:szCs w:val="20"/>
        </w:rPr>
        <w:t>…</w:t>
      </w:r>
    </w:p>
    <w:p w14:paraId="0956879F" w14:textId="4719234A" w:rsidR="00AB5A2A" w:rsidRPr="00B70D52" w:rsidRDefault="00AB5A2A" w:rsidP="00E072DC">
      <w:pPr>
        <w:pStyle w:val="ListParagraph"/>
        <w:spacing w:line="360" w:lineRule="auto"/>
        <w:ind w:left="2268" w:right="662" w:hanging="567"/>
        <w:contextualSpacing w:val="0"/>
        <w:rPr>
          <w:sz w:val="20"/>
          <w:szCs w:val="20"/>
        </w:rPr>
      </w:pPr>
      <w:r w:rsidRPr="00B70D52">
        <w:rPr>
          <w:sz w:val="20"/>
          <w:szCs w:val="20"/>
        </w:rPr>
        <w:t>48.</w:t>
      </w:r>
      <w:r w:rsidRPr="00B70D52">
        <w:rPr>
          <w:sz w:val="20"/>
          <w:szCs w:val="20"/>
        </w:rPr>
        <w:tab/>
        <w:t>It is my submission that the conduct of the first respondent and her attorneys,</w:t>
      </w:r>
      <w:r w:rsidR="00D827CD" w:rsidRPr="00B70D52">
        <w:rPr>
          <w:sz w:val="20"/>
          <w:szCs w:val="20"/>
        </w:rPr>
        <w:t xml:space="preserve"> covert conduct in failing to inform the applicants about the status of the administration of the estate, more specifically when confronted </w:t>
      </w:r>
      <w:r w:rsidR="008D2F3A" w:rsidRPr="00B70D52">
        <w:rPr>
          <w:sz w:val="20"/>
          <w:szCs w:val="20"/>
        </w:rPr>
        <w:t>with a letter from our attorneys dated 1 December 2021 (original sentence incomplete)…</w:t>
      </w:r>
    </w:p>
    <w:p w14:paraId="7DA6E60B" w14:textId="0ACE0090" w:rsidR="008D2F3A" w:rsidRPr="00997D6F" w:rsidRDefault="008D2F3A" w:rsidP="00E072DC">
      <w:pPr>
        <w:pStyle w:val="ListParagraph"/>
        <w:spacing w:line="360" w:lineRule="auto"/>
        <w:ind w:left="2268" w:right="662" w:hanging="567"/>
        <w:contextualSpacing w:val="0"/>
        <w:rPr>
          <w:sz w:val="24"/>
          <w:szCs w:val="24"/>
        </w:rPr>
      </w:pPr>
      <w:r w:rsidRPr="00B70D52">
        <w:rPr>
          <w:sz w:val="20"/>
          <w:szCs w:val="20"/>
        </w:rPr>
        <w:t>49.</w:t>
      </w:r>
      <w:r w:rsidRPr="00B70D52">
        <w:rPr>
          <w:sz w:val="20"/>
          <w:szCs w:val="20"/>
        </w:rPr>
        <w:tab/>
        <w:t xml:space="preserve">The aforementioned conduct is suspicious and questionable, and had created a feeling of distrust in the applicants as potential heirs or beneficiaries in the estate.  There had also been an altercation between the applicants and the first respondent, these altercations gave rise to applications for a protection order being brought against the second applicant.  </w:t>
      </w:r>
      <w:r w:rsidR="00094B3D" w:rsidRPr="00B70D52">
        <w:rPr>
          <w:sz w:val="20"/>
          <w:szCs w:val="20"/>
        </w:rPr>
        <w:t>These applications are still pending in court.  The first applicant is not willing to disclose anything insofar as the estate is concerned.”</w:t>
      </w:r>
    </w:p>
    <w:p w14:paraId="363E6129" w14:textId="55C38D22" w:rsidR="00224597" w:rsidRPr="00997D6F" w:rsidRDefault="007D7B6B" w:rsidP="00F45A2C">
      <w:pPr>
        <w:pStyle w:val="ListParagraph"/>
        <w:numPr>
          <w:ilvl w:val="0"/>
          <w:numId w:val="3"/>
        </w:numPr>
        <w:contextualSpacing w:val="0"/>
        <w:rPr>
          <w:sz w:val="24"/>
          <w:szCs w:val="24"/>
        </w:rPr>
      </w:pPr>
      <w:r>
        <w:rPr>
          <w:sz w:val="24"/>
          <w:szCs w:val="24"/>
        </w:rPr>
        <w:t xml:space="preserve">These statements </w:t>
      </w:r>
      <w:r w:rsidR="002547F9">
        <w:rPr>
          <w:sz w:val="24"/>
          <w:szCs w:val="24"/>
        </w:rPr>
        <w:t xml:space="preserve">reveal the subjective views of the applicants, and do not set out facts to supports the relief sought. </w:t>
      </w:r>
      <w:r w:rsidR="00094B3D" w:rsidRPr="00997D6F">
        <w:rPr>
          <w:sz w:val="24"/>
          <w:szCs w:val="24"/>
        </w:rPr>
        <w:t xml:space="preserve">The applicants then list six </w:t>
      </w:r>
      <w:r w:rsidR="008A3D5A" w:rsidRPr="00997D6F">
        <w:rPr>
          <w:sz w:val="24"/>
          <w:szCs w:val="24"/>
        </w:rPr>
        <w:t xml:space="preserve">alleged failures </w:t>
      </w:r>
      <w:r w:rsidR="00224597" w:rsidRPr="00997D6F">
        <w:rPr>
          <w:sz w:val="24"/>
          <w:szCs w:val="24"/>
        </w:rPr>
        <w:t xml:space="preserve">of the first respondent to comply with the provisions of the Administration of Estates Act.  The complaint that the first respondent did not cause a notice to be published in the </w:t>
      </w:r>
      <w:r w:rsidR="00EC1D16">
        <w:rPr>
          <w:sz w:val="24"/>
          <w:szCs w:val="24"/>
        </w:rPr>
        <w:t>Government G</w:t>
      </w:r>
      <w:r w:rsidR="00224597" w:rsidRPr="00997D6F">
        <w:rPr>
          <w:sz w:val="24"/>
          <w:szCs w:val="24"/>
        </w:rPr>
        <w:t>azette and newspapers</w:t>
      </w:r>
      <w:r w:rsidR="00EC1D16">
        <w:rPr>
          <w:sz w:val="24"/>
          <w:szCs w:val="24"/>
        </w:rPr>
        <w:t>,</w:t>
      </w:r>
      <w:r w:rsidR="00224597" w:rsidRPr="00997D6F">
        <w:rPr>
          <w:sz w:val="24"/>
          <w:szCs w:val="24"/>
        </w:rPr>
        <w:t xml:space="preserve"> as required by section 29(1), was rebutted by </w:t>
      </w:r>
      <w:r w:rsidR="009B403B">
        <w:rPr>
          <w:sz w:val="24"/>
          <w:szCs w:val="24"/>
        </w:rPr>
        <w:t>her</w:t>
      </w:r>
      <w:r w:rsidR="00224597" w:rsidRPr="00997D6F">
        <w:rPr>
          <w:sz w:val="24"/>
          <w:szCs w:val="24"/>
        </w:rPr>
        <w:t xml:space="preserve"> </w:t>
      </w:r>
      <w:r w:rsidR="009B403B">
        <w:rPr>
          <w:sz w:val="24"/>
          <w:szCs w:val="24"/>
        </w:rPr>
        <w:t xml:space="preserve">with </w:t>
      </w:r>
      <w:r w:rsidR="00224597" w:rsidRPr="00997D6F">
        <w:rPr>
          <w:sz w:val="24"/>
          <w:szCs w:val="24"/>
        </w:rPr>
        <w:t>a copy of the published notice.  Similarly, the allegation that she had not opened a cheque account in the name of the estate</w:t>
      </w:r>
      <w:r w:rsidR="00EC1D16">
        <w:rPr>
          <w:sz w:val="24"/>
          <w:szCs w:val="24"/>
        </w:rPr>
        <w:t>, as</w:t>
      </w:r>
      <w:r w:rsidR="00224597" w:rsidRPr="00997D6F">
        <w:rPr>
          <w:sz w:val="24"/>
          <w:szCs w:val="24"/>
        </w:rPr>
        <w:t xml:space="preserve"> required by section 28(1</w:t>
      </w:r>
      <w:proofErr w:type="gramStart"/>
      <w:r w:rsidR="00224597" w:rsidRPr="00997D6F">
        <w:rPr>
          <w:sz w:val="24"/>
          <w:szCs w:val="24"/>
        </w:rPr>
        <w:t>)(</w:t>
      </w:r>
      <w:proofErr w:type="gramEnd"/>
      <w:r w:rsidR="00224597" w:rsidRPr="00997D6F">
        <w:rPr>
          <w:sz w:val="24"/>
          <w:szCs w:val="24"/>
        </w:rPr>
        <w:t xml:space="preserve">a) and (b), was rebutted by proof of the existence of the account </w:t>
      </w:r>
      <w:r w:rsidR="00621FB8">
        <w:rPr>
          <w:sz w:val="24"/>
          <w:szCs w:val="24"/>
        </w:rPr>
        <w:t xml:space="preserve">attached to </w:t>
      </w:r>
      <w:r w:rsidR="00224597" w:rsidRPr="00997D6F">
        <w:rPr>
          <w:sz w:val="24"/>
          <w:szCs w:val="24"/>
        </w:rPr>
        <w:t>the first respondent’s answer</w:t>
      </w:r>
      <w:r w:rsidR="00621FB8">
        <w:rPr>
          <w:sz w:val="24"/>
          <w:szCs w:val="24"/>
        </w:rPr>
        <w:t>ing affidavit</w:t>
      </w:r>
      <w:r w:rsidR="00224597" w:rsidRPr="00997D6F">
        <w:rPr>
          <w:sz w:val="24"/>
          <w:szCs w:val="24"/>
        </w:rPr>
        <w:t xml:space="preserve">.  </w:t>
      </w:r>
    </w:p>
    <w:p w14:paraId="44FDBB90" w14:textId="46D5FDBB" w:rsidR="00EE5964" w:rsidRPr="00997D6F" w:rsidRDefault="00726D99" w:rsidP="00F45A2C">
      <w:pPr>
        <w:pStyle w:val="ListParagraph"/>
        <w:numPr>
          <w:ilvl w:val="0"/>
          <w:numId w:val="3"/>
        </w:numPr>
        <w:contextualSpacing w:val="0"/>
        <w:rPr>
          <w:sz w:val="24"/>
          <w:szCs w:val="24"/>
        </w:rPr>
      </w:pPr>
      <w:r w:rsidRPr="00997D6F">
        <w:rPr>
          <w:sz w:val="24"/>
          <w:szCs w:val="24"/>
        </w:rPr>
        <w:lastRenderedPageBreak/>
        <w:t xml:space="preserve">The applicants also complained that </w:t>
      </w:r>
      <w:r w:rsidR="00621FB8">
        <w:rPr>
          <w:sz w:val="24"/>
          <w:szCs w:val="24"/>
        </w:rPr>
        <w:t>the first respondent</w:t>
      </w:r>
      <w:r w:rsidRPr="00997D6F">
        <w:rPr>
          <w:sz w:val="24"/>
          <w:szCs w:val="24"/>
        </w:rPr>
        <w:t xml:space="preserve"> failed to notify the first applicant to lodge an affidavit in support of her claim.  However, no detail is </w:t>
      </w:r>
      <w:r w:rsidR="005736C0" w:rsidRPr="00997D6F">
        <w:rPr>
          <w:sz w:val="24"/>
          <w:szCs w:val="24"/>
        </w:rPr>
        <w:t>provided,</w:t>
      </w:r>
      <w:r w:rsidRPr="00997D6F">
        <w:rPr>
          <w:sz w:val="24"/>
          <w:szCs w:val="24"/>
        </w:rPr>
        <w:t xml:space="preserve"> and it is not apparent from the application what the </w:t>
      </w:r>
      <w:r w:rsidR="003A22CD">
        <w:rPr>
          <w:sz w:val="24"/>
          <w:szCs w:val="24"/>
        </w:rPr>
        <w:t xml:space="preserve">possible </w:t>
      </w:r>
      <w:r w:rsidRPr="00997D6F">
        <w:rPr>
          <w:sz w:val="24"/>
          <w:szCs w:val="24"/>
        </w:rPr>
        <w:t xml:space="preserve">significance of this complaint is.  </w:t>
      </w:r>
    </w:p>
    <w:p w14:paraId="1B14012A" w14:textId="03151099" w:rsidR="00E82242" w:rsidRPr="00997D6F" w:rsidRDefault="00E82242" w:rsidP="00F45A2C">
      <w:pPr>
        <w:pStyle w:val="ListParagraph"/>
        <w:numPr>
          <w:ilvl w:val="0"/>
          <w:numId w:val="3"/>
        </w:numPr>
        <w:contextualSpacing w:val="0"/>
        <w:rPr>
          <w:sz w:val="24"/>
          <w:szCs w:val="24"/>
        </w:rPr>
      </w:pPr>
      <w:r w:rsidRPr="00997D6F">
        <w:rPr>
          <w:sz w:val="24"/>
          <w:szCs w:val="24"/>
        </w:rPr>
        <w:t xml:space="preserve">The applicants also </w:t>
      </w:r>
      <w:r w:rsidR="006A515A" w:rsidRPr="00997D6F">
        <w:rPr>
          <w:sz w:val="24"/>
          <w:szCs w:val="24"/>
        </w:rPr>
        <w:t>complain that the first respondent failed to obtain the consent of the Master before releasing money or property out of the estate, as required by section 21(1</w:t>
      </w:r>
      <w:r w:rsidR="009B74BB" w:rsidRPr="00997D6F">
        <w:rPr>
          <w:sz w:val="24"/>
          <w:szCs w:val="24"/>
        </w:rPr>
        <w:t>A).  This section is narrow in ambit</w:t>
      </w:r>
      <w:r w:rsidR="00EC75D3">
        <w:rPr>
          <w:sz w:val="24"/>
          <w:szCs w:val="24"/>
        </w:rPr>
        <w:t>. It provides as follows</w:t>
      </w:r>
      <w:r w:rsidR="009B74BB" w:rsidRPr="00997D6F">
        <w:rPr>
          <w:sz w:val="24"/>
          <w:szCs w:val="24"/>
        </w:rPr>
        <w:t>:</w:t>
      </w:r>
    </w:p>
    <w:p w14:paraId="027FE054" w14:textId="03A3EE3D" w:rsidR="009B74BB" w:rsidRPr="00B70D52" w:rsidRDefault="009B74BB" w:rsidP="00BC381E">
      <w:pPr>
        <w:pStyle w:val="ListParagraph"/>
        <w:spacing w:line="360" w:lineRule="auto"/>
        <w:ind w:left="2268" w:right="521" w:hanging="567"/>
        <w:contextualSpacing w:val="0"/>
        <w:rPr>
          <w:sz w:val="20"/>
          <w:szCs w:val="20"/>
        </w:rPr>
      </w:pPr>
      <w:r w:rsidRPr="00B70D52">
        <w:rPr>
          <w:sz w:val="20"/>
          <w:szCs w:val="20"/>
        </w:rPr>
        <w:t>“</w:t>
      </w:r>
      <w:r w:rsidR="00BC381E" w:rsidRPr="00B70D52">
        <w:rPr>
          <w:sz w:val="20"/>
          <w:szCs w:val="20"/>
        </w:rPr>
        <w:t>(1A)</w:t>
      </w:r>
      <w:r w:rsidR="00BC381E" w:rsidRPr="00B70D52">
        <w:rPr>
          <w:sz w:val="20"/>
          <w:szCs w:val="20"/>
        </w:rPr>
        <w:tab/>
        <w:t>The executor may before the account has lain open for inspection in terms of section 35(4), with the consent of the Master release such amount of money and such property out of the estate as in the executor’s opinion are sufficient to provide for the subsistence of the deceased’s family or household.”</w:t>
      </w:r>
    </w:p>
    <w:p w14:paraId="3B291664" w14:textId="1F68BB38" w:rsidR="009B74BB" w:rsidRPr="00997D6F" w:rsidRDefault="002D49CF" w:rsidP="00F45A2C">
      <w:pPr>
        <w:pStyle w:val="ListParagraph"/>
        <w:numPr>
          <w:ilvl w:val="0"/>
          <w:numId w:val="3"/>
        </w:numPr>
        <w:contextualSpacing w:val="0"/>
        <w:rPr>
          <w:sz w:val="24"/>
          <w:szCs w:val="24"/>
        </w:rPr>
      </w:pPr>
      <w:r>
        <w:rPr>
          <w:sz w:val="24"/>
          <w:szCs w:val="24"/>
        </w:rPr>
        <w:t>T</w:t>
      </w:r>
      <w:r w:rsidR="00BC381E" w:rsidRPr="00997D6F">
        <w:rPr>
          <w:sz w:val="24"/>
          <w:szCs w:val="24"/>
        </w:rPr>
        <w:t xml:space="preserve">he founding affidavit contains </w:t>
      </w:r>
      <w:r w:rsidR="00DB6AAF" w:rsidRPr="00997D6F">
        <w:rPr>
          <w:sz w:val="24"/>
          <w:szCs w:val="24"/>
        </w:rPr>
        <w:t xml:space="preserve">no evidence that the first respondent had released any money or property out of the estate.  In her replying affidavit, read together with a supplementary affidavit filed thereafter, </w:t>
      </w:r>
      <w:r w:rsidR="002F170D" w:rsidRPr="00997D6F">
        <w:rPr>
          <w:sz w:val="24"/>
          <w:szCs w:val="24"/>
        </w:rPr>
        <w:t xml:space="preserve">the first applicant shows that two of the three vehicles listed as assets of the estate in the inventory, are currently </w:t>
      </w:r>
      <w:r w:rsidR="00BE536D">
        <w:rPr>
          <w:sz w:val="24"/>
          <w:szCs w:val="24"/>
        </w:rPr>
        <w:t xml:space="preserve">registered on </w:t>
      </w:r>
      <w:proofErr w:type="spellStart"/>
      <w:r w:rsidR="00BE536D">
        <w:rPr>
          <w:sz w:val="24"/>
          <w:szCs w:val="24"/>
        </w:rPr>
        <w:t>eNATIS</w:t>
      </w:r>
      <w:proofErr w:type="spellEnd"/>
      <w:r w:rsidR="008317D5">
        <w:rPr>
          <w:sz w:val="24"/>
          <w:szCs w:val="24"/>
        </w:rPr>
        <w:t xml:space="preserve"> as owned by the </w:t>
      </w:r>
      <w:r w:rsidR="002F170D" w:rsidRPr="00997D6F">
        <w:rPr>
          <w:sz w:val="24"/>
          <w:szCs w:val="24"/>
        </w:rPr>
        <w:t xml:space="preserve">first respondent.  </w:t>
      </w:r>
      <w:r w:rsidR="0085429B" w:rsidRPr="00997D6F">
        <w:rPr>
          <w:sz w:val="24"/>
          <w:szCs w:val="24"/>
        </w:rPr>
        <w:t xml:space="preserve">The first respondent did not seek to file an affidavit in response to these </w:t>
      </w:r>
      <w:r w:rsidR="00790597" w:rsidRPr="00997D6F">
        <w:rPr>
          <w:sz w:val="24"/>
          <w:szCs w:val="24"/>
        </w:rPr>
        <w:t>allegations</w:t>
      </w:r>
      <w:r w:rsidR="00282AF8">
        <w:rPr>
          <w:sz w:val="24"/>
          <w:szCs w:val="24"/>
        </w:rPr>
        <w:t>.  She</w:t>
      </w:r>
      <w:r w:rsidR="0085429B" w:rsidRPr="00997D6F">
        <w:rPr>
          <w:sz w:val="24"/>
          <w:szCs w:val="24"/>
        </w:rPr>
        <w:t xml:space="preserve"> had almost a week to respond to the</w:t>
      </w:r>
      <w:r w:rsidR="00834DF0">
        <w:rPr>
          <w:sz w:val="24"/>
          <w:szCs w:val="24"/>
        </w:rPr>
        <w:t>m</w:t>
      </w:r>
      <w:r w:rsidR="0085429B" w:rsidRPr="00997D6F">
        <w:rPr>
          <w:sz w:val="24"/>
          <w:szCs w:val="24"/>
        </w:rPr>
        <w:t xml:space="preserve">.  </w:t>
      </w:r>
      <w:r w:rsidR="00025F36" w:rsidRPr="00997D6F">
        <w:rPr>
          <w:sz w:val="24"/>
          <w:szCs w:val="24"/>
        </w:rPr>
        <w:t>The appropriate inference must be that she has no answer to this evidence.</w:t>
      </w:r>
      <w:r w:rsidR="0027629C" w:rsidRPr="00997D6F">
        <w:rPr>
          <w:sz w:val="24"/>
          <w:szCs w:val="24"/>
        </w:rPr>
        <w:t xml:space="preserve">  Although regist</w:t>
      </w:r>
      <w:r w:rsidR="00282AF8">
        <w:rPr>
          <w:sz w:val="24"/>
          <w:szCs w:val="24"/>
        </w:rPr>
        <w:t xml:space="preserve">ration on </w:t>
      </w:r>
      <w:proofErr w:type="spellStart"/>
      <w:r w:rsidR="00282AF8">
        <w:rPr>
          <w:sz w:val="24"/>
          <w:szCs w:val="24"/>
        </w:rPr>
        <w:t>eNATIS</w:t>
      </w:r>
      <w:proofErr w:type="spellEnd"/>
      <w:r w:rsidR="0027629C" w:rsidRPr="00997D6F">
        <w:rPr>
          <w:sz w:val="24"/>
          <w:szCs w:val="24"/>
        </w:rPr>
        <w:t xml:space="preserve"> is not proof of ownership of the vehicles,</w:t>
      </w:r>
      <w:r w:rsidR="0027629C" w:rsidRPr="00997D6F">
        <w:rPr>
          <w:rStyle w:val="FootnoteReference"/>
          <w:sz w:val="24"/>
          <w:szCs w:val="24"/>
        </w:rPr>
        <w:footnoteReference w:id="7"/>
      </w:r>
      <w:r w:rsidR="0027629C" w:rsidRPr="00997D6F">
        <w:rPr>
          <w:sz w:val="24"/>
          <w:szCs w:val="24"/>
        </w:rPr>
        <w:t xml:space="preserve"> </w:t>
      </w:r>
      <w:r w:rsidR="00952108">
        <w:rPr>
          <w:sz w:val="24"/>
          <w:szCs w:val="24"/>
        </w:rPr>
        <w:t xml:space="preserve">the change in details </w:t>
      </w:r>
      <w:r w:rsidR="00810235">
        <w:rPr>
          <w:sz w:val="24"/>
          <w:szCs w:val="24"/>
        </w:rPr>
        <w:t xml:space="preserve">certainly </w:t>
      </w:r>
      <w:r w:rsidR="00952108">
        <w:rPr>
          <w:sz w:val="24"/>
          <w:szCs w:val="24"/>
        </w:rPr>
        <w:t xml:space="preserve">creates the impression </w:t>
      </w:r>
      <w:r w:rsidR="00810235">
        <w:rPr>
          <w:sz w:val="24"/>
          <w:szCs w:val="24"/>
        </w:rPr>
        <w:t xml:space="preserve">that the first respondent </w:t>
      </w:r>
      <w:r w:rsidR="0027629C" w:rsidRPr="00997D6F">
        <w:rPr>
          <w:sz w:val="24"/>
          <w:szCs w:val="24"/>
        </w:rPr>
        <w:t xml:space="preserve">treats the vehicles as her </w:t>
      </w:r>
      <w:r w:rsidR="002768AF">
        <w:rPr>
          <w:sz w:val="24"/>
          <w:szCs w:val="24"/>
        </w:rPr>
        <w:t xml:space="preserve">personal </w:t>
      </w:r>
      <w:r w:rsidR="0027629C" w:rsidRPr="00997D6F">
        <w:rPr>
          <w:sz w:val="24"/>
          <w:szCs w:val="24"/>
        </w:rPr>
        <w:t>property.</w:t>
      </w:r>
    </w:p>
    <w:p w14:paraId="3B71BA4E" w14:textId="23D06FF5" w:rsidR="00025F36" w:rsidRPr="00997D6F" w:rsidRDefault="00025F36" w:rsidP="00F45A2C">
      <w:pPr>
        <w:pStyle w:val="ListParagraph"/>
        <w:numPr>
          <w:ilvl w:val="0"/>
          <w:numId w:val="3"/>
        </w:numPr>
        <w:contextualSpacing w:val="0"/>
        <w:rPr>
          <w:sz w:val="24"/>
          <w:szCs w:val="24"/>
        </w:rPr>
      </w:pPr>
      <w:r w:rsidRPr="00997D6F">
        <w:rPr>
          <w:sz w:val="24"/>
          <w:szCs w:val="24"/>
        </w:rPr>
        <w:lastRenderedPageBreak/>
        <w:t>The applicants also complain that the first respondent has to date failed to lodge a liquidation and distribution account</w:t>
      </w:r>
      <w:r w:rsidR="00D96E50">
        <w:rPr>
          <w:sz w:val="24"/>
          <w:szCs w:val="24"/>
        </w:rPr>
        <w:t xml:space="preserve"> for the estate</w:t>
      </w:r>
      <w:r w:rsidRPr="00997D6F">
        <w:rPr>
          <w:sz w:val="24"/>
          <w:szCs w:val="24"/>
        </w:rPr>
        <w:t xml:space="preserve">.  Section 35 of the Administration of Estates Act provides as follows: </w:t>
      </w:r>
    </w:p>
    <w:p w14:paraId="1E6CF417" w14:textId="4364ADA7" w:rsidR="00ED76E2" w:rsidRPr="00B70D52" w:rsidRDefault="00ED76E2" w:rsidP="00075427">
      <w:pPr>
        <w:pStyle w:val="ListParagraph"/>
        <w:spacing w:line="360" w:lineRule="auto"/>
        <w:ind w:left="2268" w:right="521" w:hanging="567"/>
        <w:contextualSpacing w:val="0"/>
        <w:rPr>
          <w:sz w:val="20"/>
          <w:szCs w:val="20"/>
        </w:rPr>
      </w:pPr>
      <w:r w:rsidRPr="00B70D52">
        <w:rPr>
          <w:sz w:val="20"/>
          <w:szCs w:val="20"/>
        </w:rPr>
        <w:t>“</w:t>
      </w:r>
      <w:r w:rsidR="00075427" w:rsidRPr="00B70D52">
        <w:rPr>
          <w:sz w:val="20"/>
          <w:szCs w:val="20"/>
        </w:rPr>
        <w:t>35.</w:t>
      </w:r>
      <w:r w:rsidR="00075427" w:rsidRPr="00B70D52">
        <w:rPr>
          <w:sz w:val="20"/>
          <w:szCs w:val="20"/>
        </w:rPr>
        <w:tab/>
        <w:t>Liquidation and distribution accounts</w:t>
      </w:r>
    </w:p>
    <w:p w14:paraId="72996022" w14:textId="77777777" w:rsidR="006B3B40" w:rsidRPr="00B70D52" w:rsidRDefault="00075427" w:rsidP="00075427">
      <w:pPr>
        <w:pStyle w:val="ListParagraph"/>
        <w:spacing w:line="360" w:lineRule="auto"/>
        <w:ind w:left="2268" w:right="521" w:hanging="567"/>
        <w:contextualSpacing w:val="0"/>
        <w:rPr>
          <w:sz w:val="20"/>
          <w:szCs w:val="20"/>
        </w:rPr>
      </w:pPr>
      <w:r w:rsidRPr="00B70D52">
        <w:rPr>
          <w:sz w:val="20"/>
          <w:szCs w:val="20"/>
        </w:rPr>
        <w:t>(1)</w:t>
      </w:r>
      <w:r w:rsidRPr="00B70D52">
        <w:rPr>
          <w:sz w:val="20"/>
          <w:szCs w:val="20"/>
        </w:rPr>
        <w:tab/>
        <w:t>An executor shall, as soon as may be after the last day of the period specified in the notice referred to in section 29(</w:t>
      </w:r>
      <w:r w:rsidR="006B3B40" w:rsidRPr="00B70D52">
        <w:rPr>
          <w:sz w:val="20"/>
          <w:szCs w:val="20"/>
        </w:rPr>
        <w:t xml:space="preserve">1), but within – </w:t>
      </w:r>
    </w:p>
    <w:p w14:paraId="68F8959C" w14:textId="1D634932" w:rsidR="00075427" w:rsidRPr="00B70D52" w:rsidRDefault="006B3B40" w:rsidP="006B3B40">
      <w:pPr>
        <w:pStyle w:val="ListParagraph"/>
        <w:spacing w:line="360" w:lineRule="auto"/>
        <w:ind w:left="2694" w:right="521" w:hanging="426"/>
        <w:contextualSpacing w:val="0"/>
        <w:rPr>
          <w:sz w:val="20"/>
          <w:szCs w:val="20"/>
        </w:rPr>
      </w:pPr>
      <w:r w:rsidRPr="00B70D52">
        <w:rPr>
          <w:sz w:val="20"/>
          <w:szCs w:val="20"/>
        </w:rPr>
        <w:t>(a)</w:t>
      </w:r>
      <w:r w:rsidRPr="00B70D52">
        <w:rPr>
          <w:sz w:val="20"/>
          <w:szCs w:val="20"/>
        </w:rPr>
        <w:tab/>
        <w:t xml:space="preserve">six months after letters of executorship have been granted to him; or </w:t>
      </w:r>
    </w:p>
    <w:p w14:paraId="4807BE56" w14:textId="5E6D7127" w:rsidR="006B3B40" w:rsidRPr="00B70D52" w:rsidRDefault="006B3B40" w:rsidP="006B3B40">
      <w:pPr>
        <w:pStyle w:val="ListParagraph"/>
        <w:spacing w:line="360" w:lineRule="auto"/>
        <w:ind w:left="2694" w:right="521" w:hanging="426"/>
        <w:contextualSpacing w:val="0"/>
        <w:rPr>
          <w:sz w:val="20"/>
          <w:szCs w:val="20"/>
        </w:rPr>
      </w:pPr>
      <w:r w:rsidRPr="00B70D52">
        <w:rPr>
          <w:sz w:val="20"/>
          <w:szCs w:val="20"/>
        </w:rPr>
        <w:t>(b)</w:t>
      </w:r>
      <w:r w:rsidRPr="00B70D52">
        <w:rPr>
          <w:sz w:val="20"/>
          <w:szCs w:val="20"/>
        </w:rPr>
        <w:tab/>
      </w:r>
      <w:proofErr w:type="gramStart"/>
      <w:r w:rsidRPr="00B70D52">
        <w:rPr>
          <w:sz w:val="20"/>
          <w:szCs w:val="20"/>
        </w:rPr>
        <w:t>such</w:t>
      </w:r>
      <w:proofErr w:type="gramEnd"/>
      <w:r w:rsidRPr="00B70D52">
        <w:rPr>
          <w:sz w:val="20"/>
          <w:szCs w:val="20"/>
        </w:rPr>
        <w:t xml:space="preserve"> further period as the Master may in any case allow, </w:t>
      </w:r>
    </w:p>
    <w:p w14:paraId="7AF9CF37" w14:textId="15C22741" w:rsidR="006B3B40" w:rsidRPr="00B70D52" w:rsidRDefault="006962A1" w:rsidP="006962A1">
      <w:pPr>
        <w:pStyle w:val="ListParagraph"/>
        <w:spacing w:line="360" w:lineRule="auto"/>
        <w:ind w:left="2268" w:right="521"/>
        <w:contextualSpacing w:val="0"/>
        <w:rPr>
          <w:sz w:val="20"/>
          <w:szCs w:val="20"/>
        </w:rPr>
      </w:pPr>
      <w:proofErr w:type="gramStart"/>
      <w:r w:rsidRPr="00B70D52">
        <w:rPr>
          <w:sz w:val="20"/>
          <w:szCs w:val="20"/>
        </w:rPr>
        <w:t>submit</w:t>
      </w:r>
      <w:proofErr w:type="gramEnd"/>
      <w:r w:rsidRPr="00B70D52">
        <w:rPr>
          <w:sz w:val="20"/>
          <w:szCs w:val="20"/>
        </w:rPr>
        <w:t xml:space="preserve"> to the master an account in the prescribed form of the liquidation and distribution of the estate.”</w:t>
      </w:r>
    </w:p>
    <w:p w14:paraId="0E67FBFA" w14:textId="4A5464A7" w:rsidR="00ED76E2" w:rsidRPr="00997D6F" w:rsidRDefault="006962A1" w:rsidP="00F45A2C">
      <w:pPr>
        <w:pStyle w:val="ListParagraph"/>
        <w:numPr>
          <w:ilvl w:val="0"/>
          <w:numId w:val="3"/>
        </w:numPr>
        <w:contextualSpacing w:val="0"/>
        <w:rPr>
          <w:sz w:val="24"/>
          <w:szCs w:val="24"/>
        </w:rPr>
      </w:pPr>
      <w:r w:rsidRPr="00997D6F">
        <w:rPr>
          <w:sz w:val="24"/>
          <w:szCs w:val="24"/>
        </w:rPr>
        <w:t>The first respondent did not answer to t</w:t>
      </w:r>
      <w:r w:rsidR="00946EE9" w:rsidRPr="00997D6F">
        <w:rPr>
          <w:sz w:val="24"/>
          <w:szCs w:val="24"/>
        </w:rPr>
        <w:t>his allegation at all.  I therefore accept that no account has been lodged, and that no extension had been request</w:t>
      </w:r>
      <w:r w:rsidR="00297E49" w:rsidRPr="00997D6F">
        <w:rPr>
          <w:sz w:val="24"/>
          <w:szCs w:val="24"/>
        </w:rPr>
        <w:t>ed</w:t>
      </w:r>
      <w:r w:rsidR="00946EE9" w:rsidRPr="00997D6F">
        <w:rPr>
          <w:sz w:val="24"/>
          <w:szCs w:val="24"/>
        </w:rPr>
        <w:t xml:space="preserve"> from the Master.  The first </w:t>
      </w:r>
      <w:r w:rsidR="00297E49" w:rsidRPr="00997D6F">
        <w:rPr>
          <w:sz w:val="24"/>
          <w:szCs w:val="24"/>
        </w:rPr>
        <w:t xml:space="preserve">respondent received her letters of executorship on 22 April 2021, and thus had to lodge the liquidation and distribution account by the latest in October 2021.  </w:t>
      </w:r>
    </w:p>
    <w:p w14:paraId="5E50045A" w14:textId="65A4FB8D" w:rsidR="00297E49" w:rsidRPr="00997D6F" w:rsidRDefault="00730933" w:rsidP="00F45A2C">
      <w:pPr>
        <w:pStyle w:val="ListParagraph"/>
        <w:numPr>
          <w:ilvl w:val="0"/>
          <w:numId w:val="3"/>
        </w:numPr>
        <w:contextualSpacing w:val="0"/>
        <w:rPr>
          <w:sz w:val="24"/>
          <w:szCs w:val="24"/>
        </w:rPr>
      </w:pPr>
      <w:r w:rsidRPr="00997D6F">
        <w:rPr>
          <w:sz w:val="24"/>
          <w:szCs w:val="24"/>
        </w:rPr>
        <w:t>Section 36 of the Administration of Estates Act provides as follows:</w:t>
      </w:r>
    </w:p>
    <w:p w14:paraId="65FF7143" w14:textId="259DEAC1" w:rsidR="00730933" w:rsidRPr="00B70D52" w:rsidRDefault="00730933" w:rsidP="00730933">
      <w:pPr>
        <w:pStyle w:val="ListParagraph"/>
        <w:spacing w:line="360" w:lineRule="auto"/>
        <w:ind w:left="2268" w:right="521" w:hanging="567"/>
        <w:contextualSpacing w:val="0"/>
        <w:rPr>
          <w:sz w:val="20"/>
          <w:szCs w:val="20"/>
        </w:rPr>
      </w:pPr>
      <w:r w:rsidRPr="00B70D52">
        <w:rPr>
          <w:sz w:val="20"/>
          <w:szCs w:val="20"/>
        </w:rPr>
        <w:t>“36.</w:t>
      </w:r>
      <w:r w:rsidRPr="00B70D52">
        <w:rPr>
          <w:sz w:val="20"/>
          <w:szCs w:val="20"/>
        </w:rPr>
        <w:tab/>
      </w:r>
      <w:r w:rsidR="00227760" w:rsidRPr="00B70D52">
        <w:rPr>
          <w:sz w:val="20"/>
          <w:szCs w:val="20"/>
        </w:rPr>
        <w:t>Failure by executor to lodge account or to perform duties</w:t>
      </w:r>
    </w:p>
    <w:p w14:paraId="5D1EFE11" w14:textId="1DB6A4C3" w:rsidR="00227760" w:rsidRPr="00B70D52" w:rsidRDefault="00227760" w:rsidP="00227760">
      <w:pPr>
        <w:pStyle w:val="ListParagraph"/>
        <w:spacing w:line="360" w:lineRule="auto"/>
        <w:ind w:left="2694" w:right="521" w:hanging="426"/>
        <w:contextualSpacing w:val="0"/>
        <w:rPr>
          <w:sz w:val="20"/>
          <w:szCs w:val="20"/>
        </w:rPr>
      </w:pPr>
      <w:r w:rsidRPr="00B70D52">
        <w:rPr>
          <w:sz w:val="20"/>
          <w:szCs w:val="20"/>
        </w:rPr>
        <w:t>(1)</w:t>
      </w:r>
      <w:r w:rsidRPr="00B70D52">
        <w:rPr>
          <w:sz w:val="20"/>
          <w:szCs w:val="20"/>
        </w:rPr>
        <w:tab/>
        <w:t xml:space="preserve">If any executor fails to lodge any account with the Master </w:t>
      </w:r>
      <w:r w:rsidR="004A1178" w:rsidRPr="00B70D52">
        <w:rPr>
          <w:sz w:val="20"/>
          <w:szCs w:val="20"/>
        </w:rPr>
        <w:t xml:space="preserve">as and when required by this Act, or to lodge any voucher or vouchers in support of such account </w:t>
      </w:r>
      <w:r w:rsidR="00754AD0" w:rsidRPr="00B70D52">
        <w:rPr>
          <w:sz w:val="20"/>
          <w:szCs w:val="20"/>
        </w:rPr>
        <w:t xml:space="preserve">or any entry therein in accordance with a provision of or a requirement imposed under this Act or to perform any other duty imposed upon him by this Act or to comply with any </w:t>
      </w:r>
      <w:r w:rsidR="00542F53" w:rsidRPr="00B70D52">
        <w:rPr>
          <w:sz w:val="20"/>
          <w:szCs w:val="20"/>
        </w:rPr>
        <w:t xml:space="preserve">reasonable demand of the Master for information or proof required by him in connection with the liquidation or distribution of the estate, the Master or any </w:t>
      </w:r>
      <w:r w:rsidR="00542F53" w:rsidRPr="00B70D52">
        <w:rPr>
          <w:sz w:val="20"/>
          <w:szCs w:val="20"/>
        </w:rPr>
        <w:lastRenderedPageBreak/>
        <w:t xml:space="preserve">person having an interest in the liquidation and distribution of the estate may, </w:t>
      </w:r>
      <w:r w:rsidR="00966A18" w:rsidRPr="00B70D52">
        <w:rPr>
          <w:sz w:val="20"/>
          <w:szCs w:val="20"/>
        </w:rPr>
        <w:t xml:space="preserve">after giving the executor not less than one month’s notice, apply to the Court for an order directing the executor to lodge such account or voucher or vouchers in support thereof or of any entry therein or to perform such duty or to comply </w:t>
      </w:r>
      <w:r w:rsidR="003F53DC" w:rsidRPr="00B70D52">
        <w:rPr>
          <w:sz w:val="20"/>
          <w:szCs w:val="20"/>
        </w:rPr>
        <w:t xml:space="preserve">with such demand.  </w:t>
      </w:r>
    </w:p>
    <w:p w14:paraId="399737F2" w14:textId="196DD707" w:rsidR="003F53DC" w:rsidRPr="00B70D52" w:rsidRDefault="003F53DC" w:rsidP="00227760">
      <w:pPr>
        <w:pStyle w:val="ListParagraph"/>
        <w:spacing w:line="360" w:lineRule="auto"/>
        <w:ind w:left="2694" w:right="521" w:hanging="426"/>
        <w:contextualSpacing w:val="0"/>
        <w:rPr>
          <w:sz w:val="20"/>
          <w:szCs w:val="20"/>
        </w:rPr>
      </w:pPr>
      <w:r w:rsidRPr="00B70D52">
        <w:rPr>
          <w:sz w:val="20"/>
          <w:szCs w:val="20"/>
        </w:rPr>
        <w:t>(2)</w:t>
      </w:r>
      <w:r w:rsidRPr="00B70D52">
        <w:rPr>
          <w:sz w:val="20"/>
          <w:szCs w:val="20"/>
        </w:rPr>
        <w:tab/>
        <w:t xml:space="preserve">The costs judged by the Master or to such person shall, unless otherwise ordered by the Court, be payable by the executor, </w:t>
      </w:r>
      <w:r w:rsidR="00950A43" w:rsidRPr="00B70D52">
        <w:rPr>
          <w:i/>
          <w:iCs/>
          <w:sz w:val="20"/>
          <w:szCs w:val="20"/>
        </w:rPr>
        <w:t>d</w:t>
      </w:r>
      <w:r w:rsidR="004D27E2">
        <w:rPr>
          <w:i/>
          <w:iCs/>
          <w:sz w:val="20"/>
          <w:szCs w:val="20"/>
        </w:rPr>
        <w:t>e</w:t>
      </w:r>
      <w:r w:rsidR="00950A43" w:rsidRPr="00B70D52">
        <w:rPr>
          <w:i/>
          <w:iCs/>
          <w:sz w:val="20"/>
          <w:szCs w:val="20"/>
        </w:rPr>
        <w:t xml:space="preserve"> </w:t>
      </w:r>
      <w:proofErr w:type="spellStart"/>
      <w:r w:rsidR="00950A43" w:rsidRPr="00B70D52">
        <w:rPr>
          <w:i/>
          <w:iCs/>
          <w:sz w:val="20"/>
          <w:szCs w:val="20"/>
        </w:rPr>
        <w:t>bonis</w:t>
      </w:r>
      <w:proofErr w:type="spellEnd"/>
      <w:r w:rsidR="00950A43" w:rsidRPr="00B70D52">
        <w:rPr>
          <w:i/>
          <w:iCs/>
          <w:sz w:val="20"/>
          <w:szCs w:val="20"/>
        </w:rPr>
        <w:t xml:space="preserve"> </w:t>
      </w:r>
      <w:proofErr w:type="spellStart"/>
      <w:r w:rsidR="00950A43" w:rsidRPr="00B70D52">
        <w:rPr>
          <w:i/>
          <w:iCs/>
          <w:sz w:val="20"/>
          <w:szCs w:val="20"/>
        </w:rPr>
        <w:t>propriis</w:t>
      </w:r>
      <w:proofErr w:type="spellEnd"/>
      <w:r w:rsidR="00950A43" w:rsidRPr="00B70D52">
        <w:rPr>
          <w:i/>
          <w:iCs/>
          <w:sz w:val="20"/>
          <w:szCs w:val="20"/>
        </w:rPr>
        <w:t>.</w:t>
      </w:r>
      <w:r w:rsidR="00950A43" w:rsidRPr="00B70D52">
        <w:rPr>
          <w:sz w:val="20"/>
          <w:szCs w:val="20"/>
        </w:rPr>
        <w:t>”</w:t>
      </w:r>
    </w:p>
    <w:p w14:paraId="3BC8A3CE" w14:textId="5B70F372" w:rsidR="00730933" w:rsidRPr="00997D6F" w:rsidRDefault="005736C0" w:rsidP="00F45A2C">
      <w:pPr>
        <w:pStyle w:val="ListParagraph"/>
        <w:numPr>
          <w:ilvl w:val="0"/>
          <w:numId w:val="3"/>
        </w:numPr>
        <w:contextualSpacing w:val="0"/>
        <w:rPr>
          <w:sz w:val="24"/>
          <w:szCs w:val="24"/>
        </w:rPr>
      </w:pPr>
      <w:r w:rsidRPr="00997D6F">
        <w:rPr>
          <w:sz w:val="24"/>
          <w:szCs w:val="24"/>
        </w:rPr>
        <w:t xml:space="preserve">The applicants, through their attorney, gave the first respondent </w:t>
      </w:r>
      <w:r w:rsidR="006022C0">
        <w:rPr>
          <w:sz w:val="24"/>
          <w:szCs w:val="24"/>
        </w:rPr>
        <w:t>the required</w:t>
      </w:r>
      <w:r w:rsidRPr="00997D6F">
        <w:rPr>
          <w:sz w:val="24"/>
          <w:szCs w:val="24"/>
        </w:rPr>
        <w:t xml:space="preserve"> notice in a letter dated 1 December 2021.  </w:t>
      </w:r>
      <w:r w:rsidR="00430271">
        <w:rPr>
          <w:sz w:val="24"/>
          <w:szCs w:val="24"/>
        </w:rPr>
        <w:t>T</w:t>
      </w:r>
      <w:r w:rsidR="00202012" w:rsidRPr="00997D6F">
        <w:rPr>
          <w:sz w:val="24"/>
          <w:szCs w:val="24"/>
        </w:rPr>
        <w:t>he applicants are at least entitled to the alternative relief for the lodging of the liquidation and distribution account.</w:t>
      </w:r>
    </w:p>
    <w:p w14:paraId="156281FF" w14:textId="0CF55A58" w:rsidR="00B70D52" w:rsidRPr="00997D6F" w:rsidRDefault="00B70D52" w:rsidP="00B70D52">
      <w:pPr>
        <w:pStyle w:val="ListParagraph"/>
        <w:numPr>
          <w:ilvl w:val="0"/>
          <w:numId w:val="3"/>
        </w:numPr>
        <w:contextualSpacing w:val="0"/>
        <w:rPr>
          <w:sz w:val="24"/>
          <w:szCs w:val="24"/>
        </w:rPr>
      </w:pPr>
      <w:r w:rsidRPr="00997D6F">
        <w:rPr>
          <w:sz w:val="24"/>
          <w:szCs w:val="24"/>
        </w:rPr>
        <w:t>The sufficiency of the cause for removal should be tested by considering the interests of the estate.</w:t>
      </w:r>
      <w:r w:rsidRPr="00997D6F">
        <w:rPr>
          <w:rStyle w:val="FootnoteReference"/>
          <w:sz w:val="24"/>
          <w:szCs w:val="24"/>
        </w:rPr>
        <w:footnoteReference w:id="8"/>
      </w:r>
      <w:r w:rsidRPr="00997D6F">
        <w:rPr>
          <w:sz w:val="24"/>
          <w:szCs w:val="24"/>
        </w:rPr>
        <w:t xml:space="preserve">  Whilst a court will </w:t>
      </w:r>
      <w:r w:rsidR="00CF3EF0">
        <w:rPr>
          <w:sz w:val="24"/>
          <w:szCs w:val="24"/>
        </w:rPr>
        <w:t>not hesitate to</w:t>
      </w:r>
      <w:r w:rsidR="00C33ADC">
        <w:rPr>
          <w:sz w:val="24"/>
          <w:szCs w:val="24"/>
        </w:rPr>
        <w:t xml:space="preserve"> </w:t>
      </w:r>
      <w:r w:rsidR="00CF3EF0">
        <w:rPr>
          <w:sz w:val="24"/>
          <w:szCs w:val="24"/>
        </w:rPr>
        <w:t>remove</w:t>
      </w:r>
      <w:r w:rsidRPr="00997D6F">
        <w:rPr>
          <w:sz w:val="24"/>
          <w:szCs w:val="24"/>
        </w:rPr>
        <w:t xml:space="preserve"> an </w:t>
      </w:r>
      <w:r w:rsidR="00890732">
        <w:rPr>
          <w:sz w:val="24"/>
          <w:szCs w:val="24"/>
        </w:rPr>
        <w:t>executrix</w:t>
      </w:r>
      <w:r w:rsidRPr="00997D6F">
        <w:rPr>
          <w:sz w:val="24"/>
          <w:szCs w:val="24"/>
        </w:rPr>
        <w:t xml:space="preserve"> where there is clear positive misconduct, not every mistake or neglect of duty or inaccuracy of conduct will sustain such an outcome.</w:t>
      </w:r>
      <w:r w:rsidRPr="00997D6F">
        <w:rPr>
          <w:rStyle w:val="FootnoteReference"/>
          <w:sz w:val="24"/>
          <w:szCs w:val="24"/>
        </w:rPr>
        <w:footnoteReference w:id="9"/>
      </w:r>
      <w:r w:rsidRPr="00997D6F">
        <w:rPr>
          <w:sz w:val="24"/>
          <w:szCs w:val="24"/>
        </w:rPr>
        <w:t xml:space="preserve">  Where there is a conflict of interest between the </w:t>
      </w:r>
      <w:r w:rsidR="00890732">
        <w:rPr>
          <w:sz w:val="24"/>
          <w:szCs w:val="24"/>
        </w:rPr>
        <w:t>executrix</w:t>
      </w:r>
      <w:r w:rsidRPr="00997D6F">
        <w:rPr>
          <w:sz w:val="24"/>
          <w:szCs w:val="24"/>
        </w:rPr>
        <w:t xml:space="preserve">’s personal interests and the interests of the estate, the court will usually remove the </w:t>
      </w:r>
      <w:r w:rsidR="00890732">
        <w:rPr>
          <w:sz w:val="24"/>
          <w:szCs w:val="24"/>
        </w:rPr>
        <w:t>executrix</w:t>
      </w:r>
      <w:r w:rsidRPr="00997D6F">
        <w:rPr>
          <w:sz w:val="24"/>
          <w:szCs w:val="24"/>
        </w:rPr>
        <w:t>.</w:t>
      </w:r>
      <w:r w:rsidRPr="00997D6F">
        <w:rPr>
          <w:rStyle w:val="FootnoteReference"/>
          <w:sz w:val="24"/>
          <w:szCs w:val="24"/>
        </w:rPr>
        <w:footnoteReference w:id="10"/>
      </w:r>
    </w:p>
    <w:p w14:paraId="2E6E7A94" w14:textId="6590A2E3" w:rsidR="00202012" w:rsidRPr="00997D6F" w:rsidRDefault="00583229" w:rsidP="00F45A2C">
      <w:pPr>
        <w:pStyle w:val="ListParagraph"/>
        <w:numPr>
          <w:ilvl w:val="0"/>
          <w:numId w:val="3"/>
        </w:numPr>
        <w:contextualSpacing w:val="0"/>
        <w:rPr>
          <w:sz w:val="24"/>
          <w:szCs w:val="24"/>
        </w:rPr>
      </w:pPr>
      <w:r w:rsidRPr="00997D6F">
        <w:rPr>
          <w:sz w:val="24"/>
          <w:szCs w:val="24"/>
        </w:rPr>
        <w:t xml:space="preserve">However, given the sparsity of facts in the application, and the </w:t>
      </w:r>
      <w:r w:rsidR="00EF65D2" w:rsidRPr="00997D6F">
        <w:rPr>
          <w:sz w:val="24"/>
          <w:szCs w:val="24"/>
        </w:rPr>
        <w:t xml:space="preserve">limited proof that the </w:t>
      </w:r>
      <w:r w:rsidR="00890732">
        <w:rPr>
          <w:sz w:val="24"/>
          <w:szCs w:val="24"/>
        </w:rPr>
        <w:t>executrix</w:t>
      </w:r>
      <w:r w:rsidR="00EF65D2" w:rsidRPr="00997D6F">
        <w:rPr>
          <w:sz w:val="24"/>
          <w:szCs w:val="24"/>
        </w:rPr>
        <w:t xml:space="preserve"> had not complied with her duties, I am not satisfied that the applicants have shown that it is in the best interests of the estate to remove the </w:t>
      </w:r>
      <w:r w:rsidR="00890732">
        <w:rPr>
          <w:sz w:val="24"/>
          <w:szCs w:val="24"/>
        </w:rPr>
        <w:t>executrix from the office</w:t>
      </w:r>
      <w:r w:rsidR="00B17C28" w:rsidRPr="00997D6F">
        <w:rPr>
          <w:sz w:val="24"/>
          <w:szCs w:val="24"/>
        </w:rPr>
        <w:t xml:space="preserve">.  </w:t>
      </w:r>
    </w:p>
    <w:p w14:paraId="1D059441" w14:textId="3088C62E" w:rsidR="00B17C28" w:rsidRPr="00997D6F" w:rsidRDefault="00B17C28" w:rsidP="00F45A2C">
      <w:pPr>
        <w:pStyle w:val="ListParagraph"/>
        <w:numPr>
          <w:ilvl w:val="0"/>
          <w:numId w:val="3"/>
        </w:numPr>
        <w:contextualSpacing w:val="0"/>
        <w:rPr>
          <w:sz w:val="24"/>
          <w:szCs w:val="24"/>
        </w:rPr>
      </w:pPr>
      <w:r w:rsidRPr="00997D6F">
        <w:rPr>
          <w:sz w:val="24"/>
          <w:szCs w:val="24"/>
        </w:rPr>
        <w:lastRenderedPageBreak/>
        <w:t>In the result I make the following order:</w:t>
      </w:r>
    </w:p>
    <w:p w14:paraId="2C532E95" w14:textId="618C9615" w:rsidR="00B17C28" w:rsidRDefault="00876CEE" w:rsidP="00032CB2">
      <w:pPr>
        <w:pStyle w:val="ListParagraph"/>
        <w:numPr>
          <w:ilvl w:val="3"/>
          <w:numId w:val="3"/>
        </w:numPr>
        <w:contextualSpacing w:val="0"/>
        <w:rPr>
          <w:sz w:val="24"/>
          <w:szCs w:val="24"/>
        </w:rPr>
      </w:pPr>
      <w:r w:rsidRPr="00997D6F">
        <w:rPr>
          <w:sz w:val="24"/>
          <w:szCs w:val="24"/>
        </w:rPr>
        <w:t xml:space="preserve">The first respondent is directed to lodge a liquidation and distribution account for the estate of the late William </w:t>
      </w:r>
      <w:proofErr w:type="spellStart"/>
      <w:r w:rsidRPr="00997D6F">
        <w:rPr>
          <w:sz w:val="24"/>
          <w:szCs w:val="24"/>
        </w:rPr>
        <w:t>Sello</w:t>
      </w:r>
      <w:proofErr w:type="spellEnd"/>
      <w:r w:rsidRPr="00997D6F">
        <w:rPr>
          <w:sz w:val="24"/>
          <w:szCs w:val="24"/>
        </w:rPr>
        <w:t xml:space="preserve"> </w:t>
      </w:r>
      <w:proofErr w:type="spellStart"/>
      <w:r w:rsidRPr="00997D6F">
        <w:rPr>
          <w:sz w:val="24"/>
          <w:szCs w:val="24"/>
        </w:rPr>
        <w:t>Tshabalala</w:t>
      </w:r>
      <w:proofErr w:type="spellEnd"/>
      <w:r w:rsidRPr="00997D6F">
        <w:rPr>
          <w:sz w:val="24"/>
          <w:szCs w:val="24"/>
        </w:rPr>
        <w:t xml:space="preserve"> with the </w:t>
      </w:r>
      <w:r w:rsidR="003944DC">
        <w:rPr>
          <w:sz w:val="24"/>
          <w:szCs w:val="24"/>
        </w:rPr>
        <w:t>second respondent</w:t>
      </w:r>
      <w:r w:rsidRPr="00997D6F">
        <w:rPr>
          <w:sz w:val="24"/>
          <w:szCs w:val="24"/>
        </w:rPr>
        <w:t xml:space="preserve"> within 14 days of date of this order.  </w:t>
      </w:r>
    </w:p>
    <w:p w14:paraId="139AA7AB" w14:textId="30EAA962" w:rsidR="00876CEE" w:rsidRPr="00032CB2" w:rsidRDefault="00876CEE" w:rsidP="00032CB2">
      <w:pPr>
        <w:pStyle w:val="ListParagraph"/>
        <w:numPr>
          <w:ilvl w:val="3"/>
          <w:numId w:val="3"/>
        </w:numPr>
        <w:contextualSpacing w:val="0"/>
        <w:rPr>
          <w:sz w:val="24"/>
          <w:szCs w:val="24"/>
        </w:rPr>
      </w:pPr>
      <w:r w:rsidRPr="00032CB2">
        <w:rPr>
          <w:sz w:val="24"/>
          <w:szCs w:val="24"/>
        </w:rPr>
        <w:t xml:space="preserve">The first respondent shall pay the </w:t>
      </w:r>
      <w:r w:rsidR="00032CB2">
        <w:rPr>
          <w:sz w:val="24"/>
          <w:szCs w:val="24"/>
        </w:rPr>
        <w:t xml:space="preserve">applicants’ </w:t>
      </w:r>
      <w:r w:rsidRPr="00032CB2">
        <w:rPr>
          <w:sz w:val="24"/>
          <w:szCs w:val="24"/>
        </w:rPr>
        <w:t xml:space="preserve">costs of the application </w:t>
      </w:r>
      <w:r w:rsidRPr="00032CB2">
        <w:rPr>
          <w:i/>
          <w:iCs/>
          <w:sz w:val="24"/>
          <w:szCs w:val="24"/>
        </w:rPr>
        <w:t>d</w:t>
      </w:r>
      <w:r w:rsidR="00032CB2">
        <w:rPr>
          <w:i/>
          <w:iCs/>
          <w:sz w:val="24"/>
          <w:szCs w:val="24"/>
        </w:rPr>
        <w:t>e</w:t>
      </w:r>
      <w:r w:rsidRPr="00032CB2">
        <w:rPr>
          <w:i/>
          <w:iCs/>
          <w:sz w:val="24"/>
          <w:szCs w:val="24"/>
        </w:rPr>
        <w:t xml:space="preserve"> </w:t>
      </w:r>
      <w:proofErr w:type="spellStart"/>
      <w:r w:rsidRPr="00032CB2">
        <w:rPr>
          <w:i/>
          <w:iCs/>
          <w:sz w:val="24"/>
          <w:szCs w:val="24"/>
        </w:rPr>
        <w:t>bonis</w:t>
      </w:r>
      <w:proofErr w:type="spellEnd"/>
      <w:r w:rsidRPr="00032CB2">
        <w:rPr>
          <w:i/>
          <w:iCs/>
          <w:sz w:val="24"/>
          <w:szCs w:val="24"/>
        </w:rPr>
        <w:t xml:space="preserve"> </w:t>
      </w:r>
      <w:proofErr w:type="spellStart"/>
      <w:r w:rsidRPr="00032CB2">
        <w:rPr>
          <w:i/>
          <w:iCs/>
          <w:sz w:val="24"/>
          <w:szCs w:val="24"/>
        </w:rPr>
        <w:t>propriis</w:t>
      </w:r>
      <w:proofErr w:type="spellEnd"/>
      <w:r w:rsidR="00D57E70" w:rsidRPr="00032CB2">
        <w:rPr>
          <w:sz w:val="24"/>
          <w:szCs w:val="24"/>
        </w:rPr>
        <w:t xml:space="preserve">.  </w:t>
      </w:r>
    </w:p>
    <w:p w14:paraId="25EC43C8" w14:textId="0E84DD45" w:rsidR="009E2E9E" w:rsidRPr="00997D6F" w:rsidRDefault="009E2E9E" w:rsidP="00CD70DE">
      <w:pPr>
        <w:spacing w:after="0" w:line="240" w:lineRule="auto"/>
        <w:ind w:left="4255"/>
        <w:rPr>
          <w:sz w:val="24"/>
          <w:szCs w:val="24"/>
        </w:rPr>
      </w:pPr>
      <w:r w:rsidRPr="00997D6F">
        <w:rPr>
          <w:sz w:val="24"/>
          <w:szCs w:val="24"/>
        </w:rPr>
        <w:t>____________________________________</w:t>
      </w:r>
      <w:r w:rsidR="00997D6F">
        <w:rPr>
          <w:sz w:val="24"/>
          <w:szCs w:val="24"/>
        </w:rPr>
        <w:t>__</w:t>
      </w:r>
    </w:p>
    <w:p w14:paraId="73F11FC0" w14:textId="5429A1EB" w:rsidR="009E2E9E" w:rsidRPr="00997D6F" w:rsidRDefault="009E2E9E" w:rsidP="00CD70DE">
      <w:pPr>
        <w:spacing w:after="0" w:line="240" w:lineRule="auto"/>
        <w:ind w:left="4255"/>
        <w:rPr>
          <w:b/>
          <w:sz w:val="24"/>
          <w:szCs w:val="24"/>
        </w:rPr>
      </w:pPr>
      <w:r w:rsidRPr="00997D6F">
        <w:rPr>
          <w:b/>
          <w:sz w:val="24"/>
          <w:szCs w:val="24"/>
        </w:rPr>
        <w:t>A</w:t>
      </w:r>
      <w:r w:rsidR="0042623F" w:rsidRPr="00997D6F">
        <w:rPr>
          <w:b/>
          <w:sz w:val="24"/>
          <w:szCs w:val="24"/>
        </w:rPr>
        <w:t>ndy</w:t>
      </w:r>
      <w:r w:rsidRPr="00997D6F">
        <w:rPr>
          <w:b/>
          <w:sz w:val="24"/>
          <w:szCs w:val="24"/>
        </w:rPr>
        <w:t xml:space="preserve"> Bester</w:t>
      </w:r>
    </w:p>
    <w:p w14:paraId="045C0FA0" w14:textId="77777777" w:rsidR="009E2E9E" w:rsidRPr="00997D6F" w:rsidRDefault="009E2E9E" w:rsidP="00CD70DE">
      <w:pPr>
        <w:spacing w:after="0" w:line="240" w:lineRule="auto"/>
        <w:ind w:left="4255"/>
        <w:rPr>
          <w:b/>
          <w:sz w:val="24"/>
          <w:szCs w:val="24"/>
        </w:rPr>
      </w:pPr>
      <w:r w:rsidRPr="00997D6F">
        <w:rPr>
          <w:b/>
          <w:sz w:val="24"/>
          <w:szCs w:val="24"/>
        </w:rPr>
        <w:t>Acting Judge of the High Court of South Africa</w:t>
      </w:r>
    </w:p>
    <w:p w14:paraId="5AD01ECD" w14:textId="77777777" w:rsidR="009E2E9E" w:rsidRPr="00997D6F" w:rsidRDefault="009E2E9E" w:rsidP="00CD70DE">
      <w:pPr>
        <w:spacing w:after="0" w:line="240" w:lineRule="auto"/>
        <w:ind w:left="4255"/>
        <w:rPr>
          <w:b/>
          <w:sz w:val="24"/>
          <w:szCs w:val="24"/>
        </w:rPr>
      </w:pPr>
      <w:r w:rsidRPr="00997D6F">
        <w:rPr>
          <w:b/>
          <w:sz w:val="24"/>
          <w:szCs w:val="24"/>
        </w:rPr>
        <w:t>Gauteng Local Division, Johannesburg</w:t>
      </w:r>
    </w:p>
    <w:p w14:paraId="7D3A88B8" w14:textId="77777777" w:rsidR="009E2E9E" w:rsidRPr="00997D6F" w:rsidRDefault="009E2E9E" w:rsidP="009E2E9E">
      <w:pPr>
        <w:spacing w:after="0" w:line="240" w:lineRule="auto"/>
        <w:rPr>
          <w:sz w:val="24"/>
          <w:szCs w:val="24"/>
        </w:rPr>
      </w:pPr>
    </w:p>
    <w:p w14:paraId="499BEA69" w14:textId="77777777" w:rsidR="009E2E9E" w:rsidRPr="00997D6F" w:rsidRDefault="009E2E9E" w:rsidP="009E2E9E">
      <w:pPr>
        <w:spacing w:after="0" w:line="240" w:lineRule="auto"/>
        <w:rPr>
          <w:sz w:val="24"/>
          <w:szCs w:val="24"/>
        </w:rPr>
      </w:pPr>
    </w:p>
    <w:p w14:paraId="2F575FB6" w14:textId="77777777" w:rsidR="009E2E9E" w:rsidRPr="00997D6F" w:rsidRDefault="009E2E9E" w:rsidP="009E2E9E">
      <w:pPr>
        <w:spacing w:after="0" w:line="240" w:lineRule="auto"/>
        <w:rPr>
          <w:sz w:val="24"/>
          <w:szCs w:val="24"/>
        </w:rPr>
      </w:pP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631"/>
      </w:tblGrid>
      <w:tr w:rsidR="009E2E9E" w:rsidRPr="00997D6F" w14:paraId="21ABED09" w14:textId="77777777" w:rsidTr="00DB4552">
        <w:trPr>
          <w:trHeight w:val="570"/>
        </w:trPr>
        <w:tc>
          <w:tcPr>
            <w:tcW w:w="4537" w:type="dxa"/>
          </w:tcPr>
          <w:p w14:paraId="45FFA3C8" w14:textId="61C230B9" w:rsidR="009E2E9E" w:rsidRPr="00997D6F" w:rsidRDefault="0075627C" w:rsidP="00F36DB6">
            <w:pPr>
              <w:rPr>
                <w:sz w:val="24"/>
                <w:szCs w:val="24"/>
              </w:rPr>
            </w:pPr>
            <w:r w:rsidRPr="00997D6F">
              <w:rPr>
                <w:sz w:val="24"/>
                <w:szCs w:val="24"/>
              </w:rPr>
              <w:t>Date of hearing</w:t>
            </w:r>
            <w:r w:rsidR="009E2E9E" w:rsidRPr="00997D6F">
              <w:rPr>
                <w:sz w:val="24"/>
                <w:szCs w:val="24"/>
              </w:rPr>
              <w:t>:</w:t>
            </w:r>
          </w:p>
        </w:tc>
        <w:tc>
          <w:tcPr>
            <w:tcW w:w="4631" w:type="dxa"/>
          </w:tcPr>
          <w:p w14:paraId="7B3B0140" w14:textId="77777777" w:rsidR="009E2E9E" w:rsidRPr="00997D6F" w:rsidRDefault="009E2E9E" w:rsidP="00F36DB6">
            <w:pPr>
              <w:rPr>
                <w:sz w:val="24"/>
                <w:szCs w:val="24"/>
              </w:rPr>
            </w:pPr>
            <w:r w:rsidRPr="00997D6F">
              <w:rPr>
                <w:sz w:val="24"/>
                <w:szCs w:val="24"/>
              </w:rPr>
              <w:t>6 April 2022</w:t>
            </w:r>
          </w:p>
        </w:tc>
      </w:tr>
      <w:tr w:rsidR="009E2E9E" w:rsidRPr="00997D6F" w14:paraId="7A9C9DCA" w14:textId="77777777" w:rsidTr="00DB4552">
        <w:trPr>
          <w:trHeight w:val="1090"/>
        </w:trPr>
        <w:tc>
          <w:tcPr>
            <w:tcW w:w="4537" w:type="dxa"/>
          </w:tcPr>
          <w:p w14:paraId="5BB1449D" w14:textId="50051F60" w:rsidR="009E2E9E" w:rsidRPr="00997D6F" w:rsidRDefault="0075627C" w:rsidP="00F36DB6">
            <w:pPr>
              <w:rPr>
                <w:sz w:val="24"/>
                <w:szCs w:val="24"/>
              </w:rPr>
            </w:pPr>
            <w:r w:rsidRPr="00997D6F">
              <w:rPr>
                <w:sz w:val="24"/>
                <w:szCs w:val="24"/>
              </w:rPr>
              <w:t>Date of j</w:t>
            </w:r>
            <w:r w:rsidR="009E2E9E" w:rsidRPr="00997D6F">
              <w:rPr>
                <w:sz w:val="24"/>
                <w:szCs w:val="24"/>
              </w:rPr>
              <w:t>udgment:</w:t>
            </w:r>
          </w:p>
        </w:tc>
        <w:tc>
          <w:tcPr>
            <w:tcW w:w="4631" w:type="dxa"/>
          </w:tcPr>
          <w:p w14:paraId="3AA22CC7" w14:textId="1001DDA5" w:rsidR="009E2E9E" w:rsidRPr="00997D6F" w:rsidRDefault="0075627C" w:rsidP="00F36DB6">
            <w:pPr>
              <w:rPr>
                <w:sz w:val="24"/>
                <w:szCs w:val="24"/>
              </w:rPr>
            </w:pPr>
            <w:r w:rsidRPr="00997D6F">
              <w:rPr>
                <w:sz w:val="24"/>
                <w:szCs w:val="24"/>
              </w:rPr>
              <w:t>2</w:t>
            </w:r>
            <w:r w:rsidR="00B67200">
              <w:rPr>
                <w:sz w:val="24"/>
                <w:szCs w:val="24"/>
              </w:rPr>
              <w:t>6</w:t>
            </w:r>
            <w:r w:rsidRPr="00997D6F">
              <w:rPr>
                <w:sz w:val="24"/>
                <w:szCs w:val="24"/>
              </w:rPr>
              <w:t xml:space="preserve"> April 2022</w:t>
            </w:r>
          </w:p>
        </w:tc>
      </w:tr>
      <w:tr w:rsidR="009E2E9E" w:rsidRPr="00997D6F" w14:paraId="0379D849" w14:textId="77777777" w:rsidTr="00DB4552">
        <w:trPr>
          <w:trHeight w:val="558"/>
        </w:trPr>
        <w:tc>
          <w:tcPr>
            <w:tcW w:w="4537" w:type="dxa"/>
          </w:tcPr>
          <w:p w14:paraId="655E43DE" w14:textId="77777777" w:rsidR="009E2E9E" w:rsidRPr="00997D6F" w:rsidRDefault="009E2E9E" w:rsidP="00F36DB6">
            <w:pPr>
              <w:rPr>
                <w:sz w:val="24"/>
                <w:szCs w:val="24"/>
              </w:rPr>
            </w:pPr>
            <w:r w:rsidRPr="00997D6F">
              <w:rPr>
                <w:sz w:val="24"/>
                <w:szCs w:val="24"/>
              </w:rPr>
              <w:t>Appearance for the Applicants:</w:t>
            </w:r>
          </w:p>
        </w:tc>
        <w:tc>
          <w:tcPr>
            <w:tcW w:w="4631" w:type="dxa"/>
          </w:tcPr>
          <w:p w14:paraId="6C5E94A8" w14:textId="77777777" w:rsidR="009E2E9E" w:rsidRPr="00997D6F" w:rsidRDefault="009E2E9E" w:rsidP="00F36DB6">
            <w:pPr>
              <w:rPr>
                <w:sz w:val="24"/>
                <w:szCs w:val="24"/>
              </w:rPr>
            </w:pPr>
            <w:r w:rsidRPr="00997D6F">
              <w:rPr>
                <w:sz w:val="24"/>
                <w:szCs w:val="24"/>
              </w:rPr>
              <w:t xml:space="preserve">Mr VO </w:t>
            </w:r>
            <w:proofErr w:type="spellStart"/>
            <w:r w:rsidRPr="00997D6F">
              <w:rPr>
                <w:sz w:val="24"/>
                <w:szCs w:val="24"/>
              </w:rPr>
              <w:t>Seloane</w:t>
            </w:r>
            <w:proofErr w:type="spellEnd"/>
          </w:p>
        </w:tc>
      </w:tr>
      <w:tr w:rsidR="009E2E9E" w:rsidRPr="00997D6F" w14:paraId="62C2522E" w14:textId="77777777" w:rsidTr="00DB4552">
        <w:trPr>
          <w:trHeight w:val="1560"/>
        </w:trPr>
        <w:tc>
          <w:tcPr>
            <w:tcW w:w="4537" w:type="dxa"/>
          </w:tcPr>
          <w:p w14:paraId="746B27AE" w14:textId="77777777" w:rsidR="009E2E9E" w:rsidRPr="00997D6F" w:rsidRDefault="009E2E9E" w:rsidP="00F36DB6">
            <w:pPr>
              <w:rPr>
                <w:sz w:val="24"/>
                <w:szCs w:val="24"/>
              </w:rPr>
            </w:pPr>
            <w:r w:rsidRPr="00997D6F">
              <w:rPr>
                <w:sz w:val="24"/>
                <w:szCs w:val="24"/>
              </w:rPr>
              <w:t>Instructed by:</w:t>
            </w:r>
          </w:p>
        </w:tc>
        <w:tc>
          <w:tcPr>
            <w:tcW w:w="4631" w:type="dxa"/>
          </w:tcPr>
          <w:p w14:paraId="4DDE4322" w14:textId="30AC44DF" w:rsidR="009E2E9E" w:rsidRPr="00997D6F" w:rsidRDefault="009E2E9E" w:rsidP="00F36DB6">
            <w:pPr>
              <w:rPr>
                <w:sz w:val="24"/>
                <w:szCs w:val="24"/>
              </w:rPr>
            </w:pPr>
            <w:proofErr w:type="spellStart"/>
            <w:r w:rsidRPr="00997D6F">
              <w:rPr>
                <w:sz w:val="24"/>
                <w:szCs w:val="24"/>
              </w:rPr>
              <w:t>Seloane</w:t>
            </w:r>
            <w:proofErr w:type="spellEnd"/>
            <w:r w:rsidRPr="00997D6F">
              <w:rPr>
                <w:sz w:val="24"/>
                <w:szCs w:val="24"/>
              </w:rPr>
              <w:t xml:space="preserve"> – Vincent Attorneys</w:t>
            </w:r>
          </w:p>
        </w:tc>
      </w:tr>
      <w:tr w:rsidR="009E2E9E" w:rsidRPr="00997D6F" w14:paraId="384F89E4" w14:textId="77777777" w:rsidTr="00DB4552">
        <w:trPr>
          <w:trHeight w:val="551"/>
        </w:trPr>
        <w:tc>
          <w:tcPr>
            <w:tcW w:w="4537" w:type="dxa"/>
          </w:tcPr>
          <w:p w14:paraId="53D79EF4" w14:textId="77777777" w:rsidR="009E2E9E" w:rsidRPr="00997D6F" w:rsidRDefault="009E2E9E" w:rsidP="00F36DB6">
            <w:pPr>
              <w:rPr>
                <w:sz w:val="24"/>
                <w:szCs w:val="24"/>
              </w:rPr>
            </w:pPr>
            <w:r w:rsidRPr="00997D6F">
              <w:rPr>
                <w:sz w:val="24"/>
                <w:szCs w:val="24"/>
              </w:rPr>
              <w:t>Counsel for the First Respondent:</w:t>
            </w:r>
          </w:p>
        </w:tc>
        <w:tc>
          <w:tcPr>
            <w:tcW w:w="4631" w:type="dxa"/>
          </w:tcPr>
          <w:p w14:paraId="11F9D43B" w14:textId="77777777" w:rsidR="009E2E9E" w:rsidRPr="00997D6F" w:rsidRDefault="009E2E9E" w:rsidP="00F36DB6">
            <w:pPr>
              <w:rPr>
                <w:sz w:val="24"/>
                <w:szCs w:val="24"/>
              </w:rPr>
            </w:pPr>
            <w:proofErr w:type="spellStart"/>
            <w:r w:rsidRPr="00997D6F">
              <w:rPr>
                <w:sz w:val="24"/>
                <w:szCs w:val="24"/>
              </w:rPr>
              <w:t>Adv</w:t>
            </w:r>
            <w:proofErr w:type="spellEnd"/>
            <w:r w:rsidRPr="00997D6F">
              <w:rPr>
                <w:sz w:val="24"/>
                <w:szCs w:val="24"/>
              </w:rPr>
              <w:t xml:space="preserve"> F </w:t>
            </w:r>
            <w:proofErr w:type="spellStart"/>
            <w:r w:rsidRPr="00997D6F">
              <w:rPr>
                <w:sz w:val="24"/>
                <w:szCs w:val="24"/>
              </w:rPr>
              <w:t>Matika</w:t>
            </w:r>
            <w:proofErr w:type="spellEnd"/>
          </w:p>
        </w:tc>
      </w:tr>
      <w:tr w:rsidR="009E2E9E" w:rsidRPr="00997D6F" w14:paraId="70731090" w14:textId="77777777" w:rsidTr="00DB4552">
        <w:trPr>
          <w:trHeight w:val="1438"/>
        </w:trPr>
        <w:tc>
          <w:tcPr>
            <w:tcW w:w="4537" w:type="dxa"/>
          </w:tcPr>
          <w:p w14:paraId="5E69BAFB" w14:textId="77777777" w:rsidR="009E2E9E" w:rsidRPr="00997D6F" w:rsidRDefault="009E2E9E" w:rsidP="00F36DB6">
            <w:pPr>
              <w:rPr>
                <w:sz w:val="24"/>
                <w:szCs w:val="24"/>
              </w:rPr>
            </w:pPr>
            <w:r w:rsidRPr="00997D6F">
              <w:rPr>
                <w:sz w:val="24"/>
                <w:szCs w:val="24"/>
              </w:rPr>
              <w:t>Instructed by:</w:t>
            </w:r>
          </w:p>
        </w:tc>
        <w:tc>
          <w:tcPr>
            <w:tcW w:w="4631" w:type="dxa"/>
          </w:tcPr>
          <w:p w14:paraId="19371025" w14:textId="77777777" w:rsidR="009E2E9E" w:rsidRPr="00997D6F" w:rsidRDefault="009E2E9E" w:rsidP="00F36DB6">
            <w:pPr>
              <w:rPr>
                <w:sz w:val="24"/>
                <w:szCs w:val="24"/>
              </w:rPr>
            </w:pPr>
            <w:proofErr w:type="spellStart"/>
            <w:r w:rsidRPr="00997D6F">
              <w:rPr>
                <w:sz w:val="24"/>
                <w:szCs w:val="24"/>
              </w:rPr>
              <w:t>Nekhevha</w:t>
            </w:r>
            <w:proofErr w:type="spellEnd"/>
            <w:r w:rsidRPr="00997D6F">
              <w:rPr>
                <w:sz w:val="24"/>
                <w:szCs w:val="24"/>
              </w:rPr>
              <w:t xml:space="preserve"> </w:t>
            </w:r>
            <w:proofErr w:type="spellStart"/>
            <w:r w:rsidRPr="00997D6F">
              <w:rPr>
                <w:sz w:val="24"/>
                <w:szCs w:val="24"/>
              </w:rPr>
              <w:t>Mababo</w:t>
            </w:r>
            <w:proofErr w:type="spellEnd"/>
            <w:r w:rsidRPr="00997D6F">
              <w:rPr>
                <w:sz w:val="24"/>
                <w:szCs w:val="24"/>
              </w:rPr>
              <w:t xml:space="preserve"> Attorneys</w:t>
            </w:r>
          </w:p>
        </w:tc>
      </w:tr>
    </w:tbl>
    <w:p w14:paraId="6A7C693D" w14:textId="684D1823" w:rsidR="009E2E9E" w:rsidRPr="00997D6F" w:rsidRDefault="00E50B9C" w:rsidP="009E2E9E">
      <w:pPr>
        <w:rPr>
          <w:sz w:val="24"/>
          <w:szCs w:val="24"/>
        </w:rPr>
      </w:pPr>
      <w:r w:rsidRPr="00997D6F">
        <w:rPr>
          <w:sz w:val="24"/>
          <w:szCs w:val="24"/>
        </w:rPr>
        <w:t>No appearance for the Second Respondent</w:t>
      </w:r>
    </w:p>
    <w:sectPr w:rsidR="009E2E9E" w:rsidRPr="00997D6F" w:rsidSect="00453AE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2EFEB" w14:textId="77777777" w:rsidR="00332B91" w:rsidRDefault="00332B91" w:rsidP="00A47B82">
      <w:pPr>
        <w:spacing w:after="0" w:line="240" w:lineRule="auto"/>
      </w:pPr>
      <w:r>
        <w:separator/>
      </w:r>
    </w:p>
  </w:endnote>
  <w:endnote w:type="continuationSeparator" w:id="0">
    <w:p w14:paraId="66165482" w14:textId="77777777" w:rsidR="00332B91" w:rsidRDefault="00332B91" w:rsidP="00A47B82">
      <w:pPr>
        <w:spacing w:after="0" w:line="240" w:lineRule="auto"/>
      </w:pPr>
      <w:r>
        <w:continuationSeparator/>
      </w:r>
    </w:p>
  </w:endnote>
  <w:endnote w:type="continuationNotice" w:id="1">
    <w:p w14:paraId="16E61A14" w14:textId="77777777" w:rsidR="00332B91" w:rsidRDefault="00332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C8922" w14:textId="77777777" w:rsidR="00332B91" w:rsidRDefault="00332B91" w:rsidP="00A47B82">
      <w:pPr>
        <w:spacing w:after="0" w:line="240" w:lineRule="auto"/>
      </w:pPr>
      <w:r>
        <w:separator/>
      </w:r>
    </w:p>
  </w:footnote>
  <w:footnote w:type="continuationSeparator" w:id="0">
    <w:p w14:paraId="073EE176" w14:textId="77777777" w:rsidR="00332B91" w:rsidRDefault="00332B91" w:rsidP="00A47B82">
      <w:pPr>
        <w:spacing w:after="0" w:line="240" w:lineRule="auto"/>
      </w:pPr>
      <w:r>
        <w:continuationSeparator/>
      </w:r>
    </w:p>
  </w:footnote>
  <w:footnote w:type="continuationNotice" w:id="1">
    <w:p w14:paraId="7478B5A3" w14:textId="77777777" w:rsidR="00332B91" w:rsidRDefault="00332B91">
      <w:pPr>
        <w:spacing w:after="0" w:line="240" w:lineRule="auto"/>
      </w:pPr>
    </w:p>
  </w:footnote>
  <w:footnote w:id="2">
    <w:p w14:paraId="29550A03" w14:textId="4C4FD022" w:rsidR="007152D4" w:rsidRDefault="0054196D" w:rsidP="00523D16">
      <w:pPr>
        <w:pStyle w:val="FootnoteText"/>
        <w:spacing w:before="120" w:after="120"/>
        <w:ind w:left="284" w:hanging="284"/>
      </w:pPr>
      <w:r>
        <w:rPr>
          <w:rStyle w:val="FootnoteReference"/>
        </w:rPr>
        <w:footnoteRef/>
      </w:r>
      <w:r>
        <w:t xml:space="preserve"> </w:t>
      </w:r>
      <w:r w:rsidR="00523D16">
        <w:tab/>
      </w:r>
      <w:r w:rsidR="00926179">
        <w:t>Section 4(9) of the Recognition of Customary Marriages Act.</w:t>
      </w:r>
    </w:p>
  </w:footnote>
  <w:footnote w:id="3">
    <w:p w14:paraId="49D2420A" w14:textId="7977BCB9" w:rsidR="00DE575A" w:rsidRDefault="00DE575A" w:rsidP="00523D16">
      <w:pPr>
        <w:pStyle w:val="FootnoteText"/>
        <w:spacing w:before="120" w:after="120"/>
        <w:ind w:left="284" w:hanging="284"/>
      </w:pPr>
      <w:r>
        <w:rPr>
          <w:rStyle w:val="FootnoteReference"/>
        </w:rPr>
        <w:footnoteRef/>
      </w:r>
      <w:r>
        <w:t xml:space="preserve"> </w:t>
      </w:r>
      <w:r w:rsidR="00523D16">
        <w:tab/>
      </w:r>
      <w:r>
        <w:t xml:space="preserve">In terms of section </w:t>
      </w:r>
      <w:r w:rsidR="00CB4EC2">
        <w:t xml:space="preserve">4(8) of the Recognition of Customary Marriages Act the certificate is </w:t>
      </w:r>
      <w:r w:rsidR="00CB4EC2" w:rsidRPr="00603367">
        <w:rPr>
          <w:i/>
          <w:iCs/>
        </w:rPr>
        <w:t>prima facie</w:t>
      </w:r>
      <w:r w:rsidR="00CB4EC2">
        <w:t xml:space="preserve"> proof of the </w:t>
      </w:r>
      <w:r w:rsidR="007152D4">
        <w:t>existence of the customary marriage.</w:t>
      </w:r>
    </w:p>
  </w:footnote>
  <w:footnote w:id="4">
    <w:p w14:paraId="6C014E4C" w14:textId="3F97E870" w:rsidR="00FB29A6" w:rsidRPr="00F7134C" w:rsidRDefault="00FB29A6" w:rsidP="00FB29A6">
      <w:pPr>
        <w:pStyle w:val="FootnoteText"/>
        <w:spacing w:before="120" w:after="120"/>
        <w:ind w:left="284" w:hanging="284"/>
        <w:rPr>
          <w:lang w:val="en-GB"/>
        </w:rPr>
      </w:pPr>
      <w:r>
        <w:rPr>
          <w:rStyle w:val="FootnoteReference"/>
        </w:rPr>
        <w:footnoteRef/>
      </w:r>
      <w:r>
        <w:t xml:space="preserve"> </w:t>
      </w:r>
      <w:r>
        <w:rPr>
          <w:lang w:val="en-GB"/>
        </w:rPr>
        <w:tab/>
      </w:r>
      <w:proofErr w:type="spellStart"/>
      <w:r>
        <w:rPr>
          <w:i/>
          <w:iCs/>
          <w:lang w:val="en-GB"/>
        </w:rPr>
        <w:t>Plascon</w:t>
      </w:r>
      <w:proofErr w:type="spellEnd"/>
      <w:r>
        <w:rPr>
          <w:i/>
          <w:iCs/>
          <w:lang w:val="en-GB"/>
        </w:rPr>
        <w:t xml:space="preserve">-Evans Paints Limited v Van </w:t>
      </w:r>
      <w:proofErr w:type="spellStart"/>
      <w:r>
        <w:rPr>
          <w:i/>
          <w:iCs/>
          <w:lang w:val="en-GB"/>
        </w:rPr>
        <w:t>Riebeek</w:t>
      </w:r>
      <w:proofErr w:type="spellEnd"/>
      <w:r>
        <w:rPr>
          <w:i/>
          <w:iCs/>
          <w:lang w:val="en-GB"/>
        </w:rPr>
        <w:t xml:space="preserve"> Paints (Pty) Ltd</w:t>
      </w:r>
      <w:r>
        <w:rPr>
          <w:lang w:val="en-GB"/>
        </w:rPr>
        <w:t xml:space="preserve"> 1984 (3) SA 623 (A) at 634 E – 635 C.</w:t>
      </w:r>
    </w:p>
  </w:footnote>
  <w:footnote w:id="5">
    <w:p w14:paraId="1B0F3E71" w14:textId="6764DA01" w:rsidR="005D408F" w:rsidRPr="00B33678" w:rsidRDefault="005D408F" w:rsidP="005D408F">
      <w:pPr>
        <w:pStyle w:val="FootnoteText"/>
        <w:spacing w:before="120" w:after="120"/>
        <w:ind w:left="284" w:hanging="284"/>
        <w:rPr>
          <w:lang w:val="en-GB"/>
        </w:rPr>
      </w:pPr>
      <w:r>
        <w:rPr>
          <w:rStyle w:val="FootnoteReference"/>
        </w:rPr>
        <w:footnoteRef/>
      </w:r>
      <w:r>
        <w:t xml:space="preserve"> </w:t>
      </w:r>
      <w:r>
        <w:rPr>
          <w:lang w:val="en-GB"/>
        </w:rPr>
        <w:tab/>
      </w:r>
      <w:r>
        <w:rPr>
          <w:i/>
          <w:iCs/>
          <w:lang w:val="en-GB"/>
        </w:rPr>
        <w:t xml:space="preserve">Wightman t/a JW Construction v </w:t>
      </w:r>
      <w:proofErr w:type="spellStart"/>
      <w:r>
        <w:rPr>
          <w:i/>
          <w:iCs/>
          <w:lang w:val="en-GB"/>
        </w:rPr>
        <w:t>Headfour</w:t>
      </w:r>
      <w:proofErr w:type="spellEnd"/>
      <w:r>
        <w:rPr>
          <w:i/>
          <w:iCs/>
          <w:lang w:val="en-GB"/>
        </w:rPr>
        <w:t xml:space="preserve"> (Pty) Ltd and Another </w:t>
      </w:r>
      <w:r>
        <w:rPr>
          <w:lang w:val="en-GB"/>
        </w:rPr>
        <w:t>2008 (3) SA 371 (SCA) at paras 12 and 13.</w:t>
      </w:r>
    </w:p>
  </w:footnote>
  <w:footnote w:id="6">
    <w:p w14:paraId="08A153F1" w14:textId="6C874862" w:rsidR="000D5ABF" w:rsidRPr="000D5ABF" w:rsidRDefault="000D5ABF" w:rsidP="009B64E9">
      <w:pPr>
        <w:pStyle w:val="FootnoteText"/>
        <w:spacing w:before="120" w:after="120"/>
        <w:ind w:left="284" w:hanging="284"/>
        <w:rPr>
          <w:lang w:val="en-GB"/>
        </w:rPr>
      </w:pPr>
      <w:r>
        <w:rPr>
          <w:rStyle w:val="FootnoteReference"/>
        </w:rPr>
        <w:footnoteRef/>
      </w:r>
      <w:r>
        <w:t xml:space="preserve"> </w:t>
      </w:r>
      <w:r w:rsidR="00C7201D">
        <w:rPr>
          <w:lang w:val="en-GB"/>
        </w:rPr>
        <w:tab/>
        <w:t>The sub-sections preceding this provision</w:t>
      </w:r>
      <w:r w:rsidR="00313E06">
        <w:rPr>
          <w:lang w:val="en-GB"/>
        </w:rPr>
        <w:t xml:space="preserve"> are indeed not relevant on the case </w:t>
      </w:r>
      <w:r w:rsidR="008573C7">
        <w:rPr>
          <w:lang w:val="en-GB"/>
        </w:rPr>
        <w:t>pursued</w:t>
      </w:r>
      <w:r w:rsidR="00313E06">
        <w:rPr>
          <w:lang w:val="en-GB"/>
        </w:rPr>
        <w:t xml:space="preserve"> by the applicants. </w:t>
      </w:r>
    </w:p>
  </w:footnote>
  <w:footnote w:id="7">
    <w:p w14:paraId="6BDF6941" w14:textId="7A24C239" w:rsidR="0027629C" w:rsidRPr="00A95A89" w:rsidRDefault="0027629C" w:rsidP="0027629C">
      <w:pPr>
        <w:pStyle w:val="FootnoteText"/>
        <w:spacing w:before="120" w:after="120"/>
        <w:ind w:left="284" w:hanging="284"/>
        <w:rPr>
          <w:lang w:val="en-GB"/>
        </w:rPr>
      </w:pPr>
      <w:r>
        <w:rPr>
          <w:rStyle w:val="FootnoteReference"/>
        </w:rPr>
        <w:footnoteRef/>
      </w:r>
      <w:r>
        <w:t xml:space="preserve"> </w:t>
      </w:r>
      <w:r>
        <w:rPr>
          <w:lang w:val="en-GB"/>
        </w:rPr>
        <w:tab/>
      </w:r>
      <w:r w:rsidR="00E12CC6">
        <w:rPr>
          <w:i/>
          <w:iCs/>
          <w:lang w:val="en-GB"/>
        </w:rPr>
        <w:t>Marks &amp; Lamb Classic Cars CC v Ko</w:t>
      </w:r>
      <w:r w:rsidR="00A95A89">
        <w:rPr>
          <w:i/>
          <w:iCs/>
          <w:lang w:val="en-GB"/>
        </w:rPr>
        <w:t>na</w:t>
      </w:r>
      <w:r w:rsidR="00A95A89">
        <w:rPr>
          <w:lang w:val="en-GB"/>
        </w:rPr>
        <w:t xml:space="preserve"> 2019 JDR 0151 (GP) in par [17].</w:t>
      </w:r>
    </w:p>
  </w:footnote>
  <w:footnote w:id="8">
    <w:p w14:paraId="7F21DAF7" w14:textId="77777777" w:rsidR="00B70D52" w:rsidRPr="00514627" w:rsidRDefault="00B70D52" w:rsidP="00B70D52">
      <w:pPr>
        <w:pStyle w:val="FootnoteText"/>
        <w:spacing w:before="120" w:after="120"/>
        <w:ind w:left="284" w:hanging="284"/>
        <w:rPr>
          <w:lang w:val="en-GB"/>
        </w:rPr>
      </w:pPr>
      <w:r>
        <w:rPr>
          <w:rStyle w:val="FootnoteReference"/>
        </w:rPr>
        <w:footnoteRef/>
      </w:r>
      <w:r>
        <w:t xml:space="preserve"> </w:t>
      </w:r>
      <w:r>
        <w:rPr>
          <w:lang w:val="en-GB"/>
        </w:rPr>
        <w:tab/>
      </w:r>
      <w:r>
        <w:rPr>
          <w:i/>
          <w:iCs/>
          <w:lang w:val="en-GB"/>
        </w:rPr>
        <w:t xml:space="preserve">Die </w:t>
      </w:r>
      <w:proofErr w:type="spellStart"/>
      <w:r>
        <w:rPr>
          <w:i/>
          <w:iCs/>
          <w:lang w:val="en-GB"/>
        </w:rPr>
        <w:t>Meester</w:t>
      </w:r>
      <w:proofErr w:type="spellEnd"/>
      <w:r>
        <w:rPr>
          <w:i/>
          <w:iCs/>
          <w:lang w:val="en-GB"/>
        </w:rPr>
        <w:t xml:space="preserve"> v Meyer </w:t>
      </w:r>
      <w:proofErr w:type="spellStart"/>
      <w:r>
        <w:rPr>
          <w:i/>
          <w:iCs/>
          <w:lang w:val="en-GB"/>
        </w:rPr>
        <w:t>en</w:t>
      </w:r>
      <w:proofErr w:type="spellEnd"/>
      <w:r>
        <w:rPr>
          <w:i/>
          <w:iCs/>
          <w:lang w:val="en-GB"/>
        </w:rPr>
        <w:t xml:space="preserve"> </w:t>
      </w:r>
      <w:proofErr w:type="spellStart"/>
      <w:r>
        <w:rPr>
          <w:i/>
          <w:iCs/>
          <w:lang w:val="en-GB"/>
        </w:rPr>
        <w:t>Andere</w:t>
      </w:r>
      <w:proofErr w:type="spellEnd"/>
      <w:r>
        <w:rPr>
          <w:lang w:val="en-GB"/>
        </w:rPr>
        <w:t xml:space="preserve"> 1975 (2) SA 1 (T) at 17 B, referring to </w:t>
      </w:r>
      <w:proofErr w:type="spellStart"/>
      <w:r>
        <w:rPr>
          <w:i/>
          <w:iCs/>
          <w:lang w:val="en-GB"/>
        </w:rPr>
        <w:t>Volkwyn</w:t>
      </w:r>
      <w:proofErr w:type="spellEnd"/>
      <w:r>
        <w:rPr>
          <w:i/>
          <w:iCs/>
          <w:lang w:val="en-GB"/>
        </w:rPr>
        <w:t xml:space="preserve"> N.O. v Clarke and </w:t>
      </w:r>
      <w:proofErr w:type="spellStart"/>
      <w:r>
        <w:rPr>
          <w:i/>
          <w:iCs/>
          <w:lang w:val="en-GB"/>
        </w:rPr>
        <w:t>Damant</w:t>
      </w:r>
      <w:proofErr w:type="spellEnd"/>
      <w:r>
        <w:rPr>
          <w:i/>
          <w:iCs/>
          <w:lang w:val="en-GB"/>
        </w:rPr>
        <w:t xml:space="preserve"> </w:t>
      </w:r>
      <w:r>
        <w:t>1946 WLD 456 at 464.</w:t>
      </w:r>
    </w:p>
  </w:footnote>
  <w:footnote w:id="9">
    <w:p w14:paraId="50DA32EF" w14:textId="7FC5D7CC" w:rsidR="00B70D52" w:rsidRPr="004F7514" w:rsidRDefault="00B70D52" w:rsidP="00B70D52">
      <w:pPr>
        <w:pStyle w:val="FootnoteText"/>
        <w:spacing w:before="120" w:after="120"/>
        <w:ind w:left="284" w:hanging="284"/>
        <w:rPr>
          <w:lang w:val="en-GB"/>
        </w:rPr>
      </w:pPr>
      <w:r>
        <w:rPr>
          <w:rStyle w:val="FootnoteReference"/>
        </w:rPr>
        <w:footnoteRef/>
      </w:r>
      <w:r>
        <w:t xml:space="preserve"> </w:t>
      </w:r>
      <w:r>
        <w:rPr>
          <w:lang w:val="en-GB"/>
        </w:rPr>
        <w:tab/>
      </w:r>
      <w:r>
        <w:rPr>
          <w:i/>
          <w:iCs/>
          <w:lang w:val="en-GB"/>
        </w:rPr>
        <w:t xml:space="preserve">Die </w:t>
      </w:r>
      <w:proofErr w:type="spellStart"/>
      <w:r>
        <w:rPr>
          <w:i/>
          <w:iCs/>
          <w:lang w:val="en-GB"/>
        </w:rPr>
        <w:t>Meester</w:t>
      </w:r>
      <w:proofErr w:type="spellEnd"/>
      <w:r>
        <w:rPr>
          <w:i/>
          <w:iCs/>
          <w:lang w:val="en-GB"/>
        </w:rPr>
        <w:t xml:space="preserve"> supra</w:t>
      </w:r>
      <w:r>
        <w:rPr>
          <w:lang w:val="en-GB"/>
        </w:rPr>
        <w:t xml:space="preserve"> at </w:t>
      </w:r>
      <w:r w:rsidR="002227EC">
        <w:rPr>
          <w:lang w:val="en-GB"/>
        </w:rPr>
        <w:t>16 G - H</w:t>
      </w:r>
      <w:r>
        <w:rPr>
          <w:lang w:val="en-GB"/>
        </w:rPr>
        <w:t xml:space="preserve">, with reference to </w:t>
      </w:r>
      <w:r w:rsidRPr="000752A7">
        <w:rPr>
          <w:i/>
          <w:iCs/>
          <w:lang w:val="en-GB"/>
        </w:rPr>
        <w:t xml:space="preserve">Sackville-West v </w:t>
      </w:r>
      <w:proofErr w:type="spellStart"/>
      <w:r w:rsidRPr="000752A7">
        <w:rPr>
          <w:i/>
          <w:iCs/>
          <w:lang w:val="en-GB"/>
        </w:rPr>
        <w:t>Nourse</w:t>
      </w:r>
      <w:proofErr w:type="spellEnd"/>
      <w:r w:rsidRPr="000752A7">
        <w:rPr>
          <w:i/>
          <w:iCs/>
          <w:lang w:val="en-GB"/>
        </w:rPr>
        <w:t xml:space="preserve"> and </w:t>
      </w:r>
      <w:proofErr w:type="gramStart"/>
      <w:r w:rsidRPr="000752A7">
        <w:rPr>
          <w:i/>
          <w:iCs/>
          <w:lang w:val="en-GB"/>
        </w:rPr>
        <w:t>Another</w:t>
      </w:r>
      <w:proofErr w:type="gramEnd"/>
      <w:r>
        <w:rPr>
          <w:lang w:val="en-GB"/>
        </w:rPr>
        <w:t xml:space="preserve"> 1925 AD 516 at 527.</w:t>
      </w:r>
    </w:p>
  </w:footnote>
  <w:footnote w:id="10">
    <w:p w14:paraId="5DE0E8BE" w14:textId="44FA6ACB" w:rsidR="00B70D52" w:rsidRPr="002D3F49" w:rsidRDefault="00B70D52" w:rsidP="00B70D52">
      <w:pPr>
        <w:pStyle w:val="FootnoteText"/>
        <w:spacing w:before="120" w:after="120"/>
        <w:ind w:left="284" w:hanging="284"/>
        <w:rPr>
          <w:lang w:val="en-GB"/>
        </w:rPr>
      </w:pPr>
      <w:r>
        <w:rPr>
          <w:rStyle w:val="FootnoteReference"/>
        </w:rPr>
        <w:footnoteRef/>
      </w:r>
      <w:r>
        <w:t xml:space="preserve"> </w:t>
      </w:r>
      <w:r>
        <w:rPr>
          <w:lang w:val="en-GB"/>
        </w:rPr>
        <w:tab/>
      </w:r>
      <w:proofErr w:type="spellStart"/>
      <w:r>
        <w:rPr>
          <w:i/>
          <w:iCs/>
          <w:lang w:val="en-GB"/>
        </w:rPr>
        <w:t>Grobbelaar</w:t>
      </w:r>
      <w:proofErr w:type="spellEnd"/>
      <w:r>
        <w:rPr>
          <w:i/>
          <w:iCs/>
          <w:lang w:val="en-GB"/>
        </w:rPr>
        <w:t xml:space="preserve"> v </w:t>
      </w:r>
      <w:proofErr w:type="spellStart"/>
      <w:r>
        <w:rPr>
          <w:i/>
          <w:iCs/>
          <w:lang w:val="en-GB"/>
        </w:rPr>
        <w:t>Grobbelaar</w:t>
      </w:r>
      <w:proofErr w:type="spellEnd"/>
      <w:r>
        <w:rPr>
          <w:lang w:val="en-GB"/>
        </w:rPr>
        <w:t xml:space="preserve"> 1959 (4) SA 719 (A) at 724 G – 725 A; </w:t>
      </w:r>
      <w:r>
        <w:rPr>
          <w:i/>
          <w:iCs/>
          <w:lang w:val="en-GB"/>
        </w:rPr>
        <w:t>Harris v Fisher N.O.</w:t>
      </w:r>
      <w:r>
        <w:rPr>
          <w:lang w:val="en-GB"/>
        </w:rPr>
        <w:t xml:space="preserve"> 1960 (4) SA 855 (A) at 861 H – 862 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330000"/>
      <w:docPartObj>
        <w:docPartGallery w:val="Page Numbers (Top of Page)"/>
        <w:docPartUnique/>
      </w:docPartObj>
    </w:sdtPr>
    <w:sdtEndPr>
      <w:rPr>
        <w:noProof/>
      </w:rPr>
    </w:sdtEndPr>
    <w:sdtContent>
      <w:p w14:paraId="5182714B" w14:textId="6160E4DC" w:rsidR="00A46E1C" w:rsidRDefault="00A46E1C">
        <w:pPr>
          <w:pStyle w:val="Header"/>
          <w:jc w:val="center"/>
        </w:pPr>
        <w:r>
          <w:fldChar w:fldCharType="begin"/>
        </w:r>
        <w:r>
          <w:instrText xml:space="preserve"> PAGE   \* MERGEFORMAT </w:instrText>
        </w:r>
        <w:r>
          <w:fldChar w:fldCharType="separate"/>
        </w:r>
        <w:r w:rsidR="00BD378F">
          <w:rPr>
            <w:noProof/>
          </w:rPr>
          <w:t>2</w:t>
        </w:r>
        <w:r>
          <w:rPr>
            <w:noProof/>
          </w:rPr>
          <w:fldChar w:fldCharType="end"/>
        </w:r>
      </w:p>
    </w:sdtContent>
  </w:sdt>
  <w:p w14:paraId="71AF23D4" w14:textId="77777777" w:rsidR="00453AE9" w:rsidRDefault="00453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405"/>
    <w:multiLevelType w:val="multilevel"/>
    <w:tmpl w:val="1C09001D"/>
    <w:styleLink w:val="Style1"/>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10E43DA9"/>
    <w:multiLevelType w:val="hybridMultilevel"/>
    <w:tmpl w:val="949EF7BC"/>
    <w:lvl w:ilvl="0" w:tplc="21087A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406694"/>
    <w:multiLevelType w:val="multilevel"/>
    <w:tmpl w:val="1C2E5DE2"/>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F6059D"/>
    <w:multiLevelType w:val="hybridMultilevel"/>
    <w:tmpl w:val="4128E5CA"/>
    <w:lvl w:ilvl="0" w:tplc="71BC9D20">
      <w:start w:val="1"/>
      <w:numFmt w:val="upp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 w15:restartNumberingAfterBreak="0">
    <w:nsid w:val="29F66C99"/>
    <w:multiLevelType w:val="hybridMultilevel"/>
    <w:tmpl w:val="94DC4216"/>
    <w:lvl w:ilvl="0" w:tplc="BBF64984">
      <w:start w:val="1"/>
      <w:numFmt w:val="decimal"/>
      <w:lvlText w:val="(%1)"/>
      <w:lvlJc w:val="left"/>
      <w:pPr>
        <w:ind w:left="1065" w:hanging="705"/>
      </w:pPr>
      <w:rPr>
        <w:rFonts w:hint="default"/>
        <w:color w:val="FFFFFF" w:themeColor="background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663093B"/>
    <w:multiLevelType w:val="hybridMultilevel"/>
    <w:tmpl w:val="08B4277A"/>
    <w:lvl w:ilvl="0" w:tplc="892E2BC8">
      <w:start w:val="1"/>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97B59D9"/>
    <w:multiLevelType w:val="multilevel"/>
    <w:tmpl w:val="1C09001D"/>
    <w:numStyleLink w:val="Style1"/>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B9372E-1718-4C6D-8396-DC9E938A3132}"/>
    <w:docVar w:name="dgnword-eventsink" w:val="2813865810880"/>
  </w:docVars>
  <w:rsids>
    <w:rsidRoot w:val="00D47BAD"/>
    <w:rsid w:val="0000536F"/>
    <w:rsid w:val="00010AD9"/>
    <w:rsid w:val="00011DC0"/>
    <w:rsid w:val="00016E84"/>
    <w:rsid w:val="00021E58"/>
    <w:rsid w:val="00025F36"/>
    <w:rsid w:val="00026681"/>
    <w:rsid w:val="000275C3"/>
    <w:rsid w:val="00030886"/>
    <w:rsid w:val="00031BC0"/>
    <w:rsid w:val="00032CB2"/>
    <w:rsid w:val="000344B6"/>
    <w:rsid w:val="000367D2"/>
    <w:rsid w:val="00037824"/>
    <w:rsid w:val="000420F3"/>
    <w:rsid w:val="00042DEF"/>
    <w:rsid w:val="000458E4"/>
    <w:rsid w:val="00047D3A"/>
    <w:rsid w:val="00052A00"/>
    <w:rsid w:val="00053212"/>
    <w:rsid w:val="00053431"/>
    <w:rsid w:val="00065764"/>
    <w:rsid w:val="00071C85"/>
    <w:rsid w:val="00071EF7"/>
    <w:rsid w:val="000752A7"/>
    <w:rsid w:val="00075427"/>
    <w:rsid w:val="0007650E"/>
    <w:rsid w:val="00082F82"/>
    <w:rsid w:val="00090EC9"/>
    <w:rsid w:val="00092283"/>
    <w:rsid w:val="00092B7B"/>
    <w:rsid w:val="00094B3D"/>
    <w:rsid w:val="00096324"/>
    <w:rsid w:val="000A2FA7"/>
    <w:rsid w:val="000A4E20"/>
    <w:rsid w:val="000A5465"/>
    <w:rsid w:val="000A7F0B"/>
    <w:rsid w:val="000B0CA7"/>
    <w:rsid w:val="000B34BF"/>
    <w:rsid w:val="000B47EF"/>
    <w:rsid w:val="000B48F5"/>
    <w:rsid w:val="000B5275"/>
    <w:rsid w:val="000D0DFE"/>
    <w:rsid w:val="000D5ABF"/>
    <w:rsid w:val="000D68E9"/>
    <w:rsid w:val="000E14D7"/>
    <w:rsid w:val="000E4A53"/>
    <w:rsid w:val="000E7263"/>
    <w:rsid w:val="000F0CC4"/>
    <w:rsid w:val="000F30D5"/>
    <w:rsid w:val="000F3C4D"/>
    <w:rsid w:val="000F50CA"/>
    <w:rsid w:val="000F7E69"/>
    <w:rsid w:val="00101A58"/>
    <w:rsid w:val="001154A1"/>
    <w:rsid w:val="00122A1A"/>
    <w:rsid w:val="00125A4E"/>
    <w:rsid w:val="00132396"/>
    <w:rsid w:val="00132E83"/>
    <w:rsid w:val="00162888"/>
    <w:rsid w:val="00165F99"/>
    <w:rsid w:val="001660A8"/>
    <w:rsid w:val="00170473"/>
    <w:rsid w:val="00170D2B"/>
    <w:rsid w:val="00172F66"/>
    <w:rsid w:val="001733FD"/>
    <w:rsid w:val="00174304"/>
    <w:rsid w:val="001850D1"/>
    <w:rsid w:val="00185410"/>
    <w:rsid w:val="00186B57"/>
    <w:rsid w:val="00191008"/>
    <w:rsid w:val="00193033"/>
    <w:rsid w:val="001A01A6"/>
    <w:rsid w:val="001A1EB4"/>
    <w:rsid w:val="001B1E25"/>
    <w:rsid w:val="001B737C"/>
    <w:rsid w:val="001B78B0"/>
    <w:rsid w:val="001C1CF8"/>
    <w:rsid w:val="001C1F69"/>
    <w:rsid w:val="001C7E4D"/>
    <w:rsid w:val="001D25D6"/>
    <w:rsid w:val="001D4791"/>
    <w:rsid w:val="001D53F2"/>
    <w:rsid w:val="001E7990"/>
    <w:rsid w:val="001F1666"/>
    <w:rsid w:val="00202012"/>
    <w:rsid w:val="002045D9"/>
    <w:rsid w:val="00207BE6"/>
    <w:rsid w:val="002146DE"/>
    <w:rsid w:val="002152FB"/>
    <w:rsid w:val="002156FF"/>
    <w:rsid w:val="002227EC"/>
    <w:rsid w:val="00224597"/>
    <w:rsid w:val="0022593F"/>
    <w:rsid w:val="00227760"/>
    <w:rsid w:val="002301EC"/>
    <w:rsid w:val="00232420"/>
    <w:rsid w:val="002331FB"/>
    <w:rsid w:val="00235CC8"/>
    <w:rsid w:val="00237419"/>
    <w:rsid w:val="002547F9"/>
    <w:rsid w:val="00263132"/>
    <w:rsid w:val="002653D6"/>
    <w:rsid w:val="00271C78"/>
    <w:rsid w:val="00273B33"/>
    <w:rsid w:val="0027629C"/>
    <w:rsid w:val="002768AF"/>
    <w:rsid w:val="0027735B"/>
    <w:rsid w:val="00282AF8"/>
    <w:rsid w:val="002927D7"/>
    <w:rsid w:val="00293872"/>
    <w:rsid w:val="00294282"/>
    <w:rsid w:val="002968BC"/>
    <w:rsid w:val="002979D9"/>
    <w:rsid w:val="00297E49"/>
    <w:rsid w:val="002A297A"/>
    <w:rsid w:val="002A654E"/>
    <w:rsid w:val="002A79BA"/>
    <w:rsid w:val="002C3A0A"/>
    <w:rsid w:val="002D3F49"/>
    <w:rsid w:val="002D49CF"/>
    <w:rsid w:val="002D585E"/>
    <w:rsid w:val="002D7248"/>
    <w:rsid w:val="002F170D"/>
    <w:rsid w:val="003029C3"/>
    <w:rsid w:val="0030314D"/>
    <w:rsid w:val="003062B2"/>
    <w:rsid w:val="00310910"/>
    <w:rsid w:val="00312514"/>
    <w:rsid w:val="00312BFC"/>
    <w:rsid w:val="003132B7"/>
    <w:rsid w:val="00313E06"/>
    <w:rsid w:val="00317680"/>
    <w:rsid w:val="003216A6"/>
    <w:rsid w:val="003223A5"/>
    <w:rsid w:val="003304A3"/>
    <w:rsid w:val="00331200"/>
    <w:rsid w:val="00332B91"/>
    <w:rsid w:val="00336918"/>
    <w:rsid w:val="00344697"/>
    <w:rsid w:val="00346245"/>
    <w:rsid w:val="00352AF2"/>
    <w:rsid w:val="00355723"/>
    <w:rsid w:val="00356A0D"/>
    <w:rsid w:val="0036166E"/>
    <w:rsid w:val="0037474D"/>
    <w:rsid w:val="003800C4"/>
    <w:rsid w:val="003842E3"/>
    <w:rsid w:val="0038611E"/>
    <w:rsid w:val="00387C72"/>
    <w:rsid w:val="003907DC"/>
    <w:rsid w:val="00394064"/>
    <w:rsid w:val="003943A1"/>
    <w:rsid w:val="003944DC"/>
    <w:rsid w:val="00395070"/>
    <w:rsid w:val="003A22CD"/>
    <w:rsid w:val="003A7709"/>
    <w:rsid w:val="003B4391"/>
    <w:rsid w:val="003B55BB"/>
    <w:rsid w:val="003B64EC"/>
    <w:rsid w:val="003C3215"/>
    <w:rsid w:val="003E58D6"/>
    <w:rsid w:val="003E6908"/>
    <w:rsid w:val="003F144E"/>
    <w:rsid w:val="003F53DC"/>
    <w:rsid w:val="003F5BC3"/>
    <w:rsid w:val="00400DA3"/>
    <w:rsid w:val="00401ED3"/>
    <w:rsid w:val="00406812"/>
    <w:rsid w:val="004125A7"/>
    <w:rsid w:val="00417467"/>
    <w:rsid w:val="00420B4A"/>
    <w:rsid w:val="00425B82"/>
    <w:rsid w:val="0042623F"/>
    <w:rsid w:val="004273EE"/>
    <w:rsid w:val="00430271"/>
    <w:rsid w:val="00432B32"/>
    <w:rsid w:val="004360CD"/>
    <w:rsid w:val="00441A70"/>
    <w:rsid w:val="00442CDC"/>
    <w:rsid w:val="00452B74"/>
    <w:rsid w:val="00453A82"/>
    <w:rsid w:val="00453AE9"/>
    <w:rsid w:val="00457155"/>
    <w:rsid w:val="00460D3C"/>
    <w:rsid w:val="00460F28"/>
    <w:rsid w:val="0046439E"/>
    <w:rsid w:val="00466CFC"/>
    <w:rsid w:val="004720F0"/>
    <w:rsid w:val="00472BD3"/>
    <w:rsid w:val="00475B80"/>
    <w:rsid w:val="00483430"/>
    <w:rsid w:val="00484F70"/>
    <w:rsid w:val="004866BE"/>
    <w:rsid w:val="00493C86"/>
    <w:rsid w:val="004954E9"/>
    <w:rsid w:val="004A1178"/>
    <w:rsid w:val="004A22DA"/>
    <w:rsid w:val="004A405F"/>
    <w:rsid w:val="004B398C"/>
    <w:rsid w:val="004B6505"/>
    <w:rsid w:val="004B7BFC"/>
    <w:rsid w:val="004D27E2"/>
    <w:rsid w:val="004D5B35"/>
    <w:rsid w:val="004E70EE"/>
    <w:rsid w:val="004F0A7F"/>
    <w:rsid w:val="004F611B"/>
    <w:rsid w:val="004F7514"/>
    <w:rsid w:val="004F7556"/>
    <w:rsid w:val="00500B16"/>
    <w:rsid w:val="00511B3D"/>
    <w:rsid w:val="00514627"/>
    <w:rsid w:val="00523D16"/>
    <w:rsid w:val="00527DEB"/>
    <w:rsid w:val="0053046E"/>
    <w:rsid w:val="005316DC"/>
    <w:rsid w:val="00535F22"/>
    <w:rsid w:val="0054064C"/>
    <w:rsid w:val="0054196D"/>
    <w:rsid w:val="00542F53"/>
    <w:rsid w:val="00546198"/>
    <w:rsid w:val="00547690"/>
    <w:rsid w:val="00550906"/>
    <w:rsid w:val="005545B0"/>
    <w:rsid w:val="0056532F"/>
    <w:rsid w:val="005701A9"/>
    <w:rsid w:val="005720DC"/>
    <w:rsid w:val="005736C0"/>
    <w:rsid w:val="00573E5F"/>
    <w:rsid w:val="005763E5"/>
    <w:rsid w:val="00583229"/>
    <w:rsid w:val="0059029D"/>
    <w:rsid w:val="005968A5"/>
    <w:rsid w:val="00597977"/>
    <w:rsid w:val="005A20D3"/>
    <w:rsid w:val="005A4CA9"/>
    <w:rsid w:val="005B5C35"/>
    <w:rsid w:val="005C24CB"/>
    <w:rsid w:val="005D13CE"/>
    <w:rsid w:val="005D403B"/>
    <w:rsid w:val="005D408F"/>
    <w:rsid w:val="005D4D20"/>
    <w:rsid w:val="005E241D"/>
    <w:rsid w:val="005E7D47"/>
    <w:rsid w:val="005F2AC6"/>
    <w:rsid w:val="005F518E"/>
    <w:rsid w:val="006022C0"/>
    <w:rsid w:val="00603367"/>
    <w:rsid w:val="00606D89"/>
    <w:rsid w:val="00621FB8"/>
    <w:rsid w:val="0062760D"/>
    <w:rsid w:val="00634BF6"/>
    <w:rsid w:val="00634C41"/>
    <w:rsid w:val="00635A0E"/>
    <w:rsid w:val="00637DE0"/>
    <w:rsid w:val="00643CA5"/>
    <w:rsid w:val="00654618"/>
    <w:rsid w:val="00656480"/>
    <w:rsid w:val="0065682C"/>
    <w:rsid w:val="006619EE"/>
    <w:rsid w:val="00666EB5"/>
    <w:rsid w:val="00687810"/>
    <w:rsid w:val="00691319"/>
    <w:rsid w:val="0069151D"/>
    <w:rsid w:val="006962A1"/>
    <w:rsid w:val="006A515A"/>
    <w:rsid w:val="006A703A"/>
    <w:rsid w:val="006A7712"/>
    <w:rsid w:val="006B2625"/>
    <w:rsid w:val="006B3B40"/>
    <w:rsid w:val="006B6910"/>
    <w:rsid w:val="006C272A"/>
    <w:rsid w:val="006C28CC"/>
    <w:rsid w:val="006C2C6E"/>
    <w:rsid w:val="006D0016"/>
    <w:rsid w:val="006E00F2"/>
    <w:rsid w:val="006E1088"/>
    <w:rsid w:val="006E6F9A"/>
    <w:rsid w:val="006F24FA"/>
    <w:rsid w:val="006F3723"/>
    <w:rsid w:val="006F7CFE"/>
    <w:rsid w:val="00702BCB"/>
    <w:rsid w:val="0071190D"/>
    <w:rsid w:val="007152D4"/>
    <w:rsid w:val="00726D99"/>
    <w:rsid w:val="00730933"/>
    <w:rsid w:val="00735351"/>
    <w:rsid w:val="00745BFE"/>
    <w:rsid w:val="00754AD0"/>
    <w:rsid w:val="0075627C"/>
    <w:rsid w:val="00762CC9"/>
    <w:rsid w:val="007630F4"/>
    <w:rsid w:val="00766000"/>
    <w:rsid w:val="007663DE"/>
    <w:rsid w:val="00770055"/>
    <w:rsid w:val="00774574"/>
    <w:rsid w:val="007749B2"/>
    <w:rsid w:val="007844B2"/>
    <w:rsid w:val="00786F82"/>
    <w:rsid w:val="00790597"/>
    <w:rsid w:val="00794AA5"/>
    <w:rsid w:val="007A1925"/>
    <w:rsid w:val="007A4FE8"/>
    <w:rsid w:val="007B2A7B"/>
    <w:rsid w:val="007B3904"/>
    <w:rsid w:val="007B3F9D"/>
    <w:rsid w:val="007B4623"/>
    <w:rsid w:val="007C0DC6"/>
    <w:rsid w:val="007C2DAC"/>
    <w:rsid w:val="007C49BF"/>
    <w:rsid w:val="007C5CD2"/>
    <w:rsid w:val="007C5DEB"/>
    <w:rsid w:val="007C799F"/>
    <w:rsid w:val="007D0917"/>
    <w:rsid w:val="007D7B6B"/>
    <w:rsid w:val="007E201B"/>
    <w:rsid w:val="007E51D7"/>
    <w:rsid w:val="00800BD3"/>
    <w:rsid w:val="00810235"/>
    <w:rsid w:val="00811C92"/>
    <w:rsid w:val="0081257A"/>
    <w:rsid w:val="00813CC8"/>
    <w:rsid w:val="00813DFC"/>
    <w:rsid w:val="008140B8"/>
    <w:rsid w:val="00815602"/>
    <w:rsid w:val="00815EE1"/>
    <w:rsid w:val="00821375"/>
    <w:rsid w:val="00830888"/>
    <w:rsid w:val="008317D5"/>
    <w:rsid w:val="008332EB"/>
    <w:rsid w:val="008348DA"/>
    <w:rsid w:val="00834DF0"/>
    <w:rsid w:val="00836BBD"/>
    <w:rsid w:val="00845682"/>
    <w:rsid w:val="008467C2"/>
    <w:rsid w:val="00847285"/>
    <w:rsid w:val="00852C88"/>
    <w:rsid w:val="0085429B"/>
    <w:rsid w:val="0085645D"/>
    <w:rsid w:val="008573C7"/>
    <w:rsid w:val="00860220"/>
    <w:rsid w:val="00861592"/>
    <w:rsid w:val="00863B08"/>
    <w:rsid w:val="00875974"/>
    <w:rsid w:val="00876CEE"/>
    <w:rsid w:val="00877526"/>
    <w:rsid w:val="008873E5"/>
    <w:rsid w:val="008906F4"/>
    <w:rsid w:val="00890732"/>
    <w:rsid w:val="008948A7"/>
    <w:rsid w:val="0089585B"/>
    <w:rsid w:val="00895C5B"/>
    <w:rsid w:val="008A31F6"/>
    <w:rsid w:val="008A3D5A"/>
    <w:rsid w:val="008A4B1B"/>
    <w:rsid w:val="008A4FB7"/>
    <w:rsid w:val="008A5F89"/>
    <w:rsid w:val="008A6DE8"/>
    <w:rsid w:val="008B0063"/>
    <w:rsid w:val="008B1301"/>
    <w:rsid w:val="008B2CE4"/>
    <w:rsid w:val="008B3640"/>
    <w:rsid w:val="008C0897"/>
    <w:rsid w:val="008C169B"/>
    <w:rsid w:val="008C5F2A"/>
    <w:rsid w:val="008D0A95"/>
    <w:rsid w:val="008D2F3A"/>
    <w:rsid w:val="008D314A"/>
    <w:rsid w:val="008D7B0C"/>
    <w:rsid w:val="008E2A91"/>
    <w:rsid w:val="008E3B3F"/>
    <w:rsid w:val="008E6FA0"/>
    <w:rsid w:val="008F1877"/>
    <w:rsid w:val="008F5920"/>
    <w:rsid w:val="008F5CF7"/>
    <w:rsid w:val="009011B1"/>
    <w:rsid w:val="009017F4"/>
    <w:rsid w:val="009150B9"/>
    <w:rsid w:val="00917191"/>
    <w:rsid w:val="00926179"/>
    <w:rsid w:val="00935C26"/>
    <w:rsid w:val="009362BB"/>
    <w:rsid w:val="00936C03"/>
    <w:rsid w:val="00937B79"/>
    <w:rsid w:val="00941464"/>
    <w:rsid w:val="00946EE9"/>
    <w:rsid w:val="00950A43"/>
    <w:rsid w:val="00952108"/>
    <w:rsid w:val="0096286D"/>
    <w:rsid w:val="0096549D"/>
    <w:rsid w:val="00966A18"/>
    <w:rsid w:val="0097103C"/>
    <w:rsid w:val="0097583F"/>
    <w:rsid w:val="009909DF"/>
    <w:rsid w:val="00992DDD"/>
    <w:rsid w:val="00993EE7"/>
    <w:rsid w:val="00997D6F"/>
    <w:rsid w:val="009A4FF0"/>
    <w:rsid w:val="009A5096"/>
    <w:rsid w:val="009B003B"/>
    <w:rsid w:val="009B403B"/>
    <w:rsid w:val="009B64E9"/>
    <w:rsid w:val="009B6761"/>
    <w:rsid w:val="009B676A"/>
    <w:rsid w:val="009B74BB"/>
    <w:rsid w:val="009C3E93"/>
    <w:rsid w:val="009C77E7"/>
    <w:rsid w:val="009D1AD8"/>
    <w:rsid w:val="009D2FA3"/>
    <w:rsid w:val="009D315B"/>
    <w:rsid w:val="009D4ACD"/>
    <w:rsid w:val="009D710B"/>
    <w:rsid w:val="009E2E9E"/>
    <w:rsid w:val="009E571A"/>
    <w:rsid w:val="009E6AC8"/>
    <w:rsid w:val="009F1204"/>
    <w:rsid w:val="00A07B3A"/>
    <w:rsid w:val="00A24196"/>
    <w:rsid w:val="00A279F8"/>
    <w:rsid w:val="00A335DB"/>
    <w:rsid w:val="00A355A1"/>
    <w:rsid w:val="00A46337"/>
    <w:rsid w:val="00A46E1C"/>
    <w:rsid w:val="00A47B82"/>
    <w:rsid w:val="00A47DE2"/>
    <w:rsid w:val="00A51287"/>
    <w:rsid w:val="00A528A6"/>
    <w:rsid w:val="00A53938"/>
    <w:rsid w:val="00A53CAC"/>
    <w:rsid w:val="00A541EC"/>
    <w:rsid w:val="00A62298"/>
    <w:rsid w:val="00A65304"/>
    <w:rsid w:val="00A818B5"/>
    <w:rsid w:val="00A8424C"/>
    <w:rsid w:val="00A9049E"/>
    <w:rsid w:val="00A9151A"/>
    <w:rsid w:val="00A92DB5"/>
    <w:rsid w:val="00A95A89"/>
    <w:rsid w:val="00AA7E6B"/>
    <w:rsid w:val="00AB216C"/>
    <w:rsid w:val="00AB5725"/>
    <w:rsid w:val="00AB5A2A"/>
    <w:rsid w:val="00AC00A9"/>
    <w:rsid w:val="00AC33BD"/>
    <w:rsid w:val="00AC5A48"/>
    <w:rsid w:val="00AD25CE"/>
    <w:rsid w:val="00AE1A66"/>
    <w:rsid w:val="00AF0877"/>
    <w:rsid w:val="00AF090B"/>
    <w:rsid w:val="00AF4BD7"/>
    <w:rsid w:val="00AF62AD"/>
    <w:rsid w:val="00B104A3"/>
    <w:rsid w:val="00B16B0A"/>
    <w:rsid w:val="00B17C28"/>
    <w:rsid w:val="00B3272B"/>
    <w:rsid w:val="00B33678"/>
    <w:rsid w:val="00B36629"/>
    <w:rsid w:val="00B40481"/>
    <w:rsid w:val="00B428B0"/>
    <w:rsid w:val="00B47995"/>
    <w:rsid w:val="00B52C1F"/>
    <w:rsid w:val="00B6303C"/>
    <w:rsid w:val="00B67200"/>
    <w:rsid w:val="00B70D52"/>
    <w:rsid w:val="00B71165"/>
    <w:rsid w:val="00B73437"/>
    <w:rsid w:val="00B85445"/>
    <w:rsid w:val="00B878B2"/>
    <w:rsid w:val="00B950FB"/>
    <w:rsid w:val="00B95A1F"/>
    <w:rsid w:val="00BB2320"/>
    <w:rsid w:val="00BB3658"/>
    <w:rsid w:val="00BC0F15"/>
    <w:rsid w:val="00BC381E"/>
    <w:rsid w:val="00BC4B4E"/>
    <w:rsid w:val="00BC7705"/>
    <w:rsid w:val="00BD21D9"/>
    <w:rsid w:val="00BD378F"/>
    <w:rsid w:val="00BD3FBA"/>
    <w:rsid w:val="00BD6237"/>
    <w:rsid w:val="00BE3CF2"/>
    <w:rsid w:val="00BE536D"/>
    <w:rsid w:val="00BE7DA2"/>
    <w:rsid w:val="00BF0A00"/>
    <w:rsid w:val="00BF293D"/>
    <w:rsid w:val="00BF713B"/>
    <w:rsid w:val="00C00A90"/>
    <w:rsid w:val="00C0120B"/>
    <w:rsid w:val="00C04AFB"/>
    <w:rsid w:val="00C11CFA"/>
    <w:rsid w:val="00C125F3"/>
    <w:rsid w:val="00C15007"/>
    <w:rsid w:val="00C15FD5"/>
    <w:rsid w:val="00C23151"/>
    <w:rsid w:val="00C23C4B"/>
    <w:rsid w:val="00C30142"/>
    <w:rsid w:val="00C33ADC"/>
    <w:rsid w:val="00C36E21"/>
    <w:rsid w:val="00C3765A"/>
    <w:rsid w:val="00C4015A"/>
    <w:rsid w:val="00C43684"/>
    <w:rsid w:val="00C437B1"/>
    <w:rsid w:val="00C47998"/>
    <w:rsid w:val="00C50846"/>
    <w:rsid w:val="00C626C8"/>
    <w:rsid w:val="00C64871"/>
    <w:rsid w:val="00C7201D"/>
    <w:rsid w:val="00C81BD7"/>
    <w:rsid w:val="00C84724"/>
    <w:rsid w:val="00C854F7"/>
    <w:rsid w:val="00C86BE9"/>
    <w:rsid w:val="00C87724"/>
    <w:rsid w:val="00C916F5"/>
    <w:rsid w:val="00C95400"/>
    <w:rsid w:val="00CA1D28"/>
    <w:rsid w:val="00CA7C32"/>
    <w:rsid w:val="00CB2545"/>
    <w:rsid w:val="00CB2EDF"/>
    <w:rsid w:val="00CB3DD9"/>
    <w:rsid w:val="00CB4EC2"/>
    <w:rsid w:val="00CB75D4"/>
    <w:rsid w:val="00CC273A"/>
    <w:rsid w:val="00CC4029"/>
    <w:rsid w:val="00CC4A3F"/>
    <w:rsid w:val="00CC6874"/>
    <w:rsid w:val="00CD70DE"/>
    <w:rsid w:val="00CE19ED"/>
    <w:rsid w:val="00CE57C0"/>
    <w:rsid w:val="00CF0B18"/>
    <w:rsid w:val="00CF1587"/>
    <w:rsid w:val="00CF3EF0"/>
    <w:rsid w:val="00D03C5E"/>
    <w:rsid w:val="00D046F3"/>
    <w:rsid w:val="00D06216"/>
    <w:rsid w:val="00D0657B"/>
    <w:rsid w:val="00D1104B"/>
    <w:rsid w:val="00D116A7"/>
    <w:rsid w:val="00D1307A"/>
    <w:rsid w:val="00D20EC0"/>
    <w:rsid w:val="00D27DB2"/>
    <w:rsid w:val="00D35436"/>
    <w:rsid w:val="00D454B3"/>
    <w:rsid w:val="00D47BAD"/>
    <w:rsid w:val="00D51CB9"/>
    <w:rsid w:val="00D52392"/>
    <w:rsid w:val="00D57E70"/>
    <w:rsid w:val="00D62F57"/>
    <w:rsid w:val="00D728C8"/>
    <w:rsid w:val="00D76E24"/>
    <w:rsid w:val="00D827CD"/>
    <w:rsid w:val="00D846B4"/>
    <w:rsid w:val="00D85D29"/>
    <w:rsid w:val="00D90AE2"/>
    <w:rsid w:val="00D96E50"/>
    <w:rsid w:val="00DA68EE"/>
    <w:rsid w:val="00DB4296"/>
    <w:rsid w:val="00DB4552"/>
    <w:rsid w:val="00DB5B38"/>
    <w:rsid w:val="00DB6AAF"/>
    <w:rsid w:val="00DC0067"/>
    <w:rsid w:val="00DC2310"/>
    <w:rsid w:val="00DC3DA6"/>
    <w:rsid w:val="00DC51FF"/>
    <w:rsid w:val="00DD0A7C"/>
    <w:rsid w:val="00DD1079"/>
    <w:rsid w:val="00DD46EB"/>
    <w:rsid w:val="00DD495C"/>
    <w:rsid w:val="00DE575A"/>
    <w:rsid w:val="00DF0AA3"/>
    <w:rsid w:val="00DF0E06"/>
    <w:rsid w:val="00E02085"/>
    <w:rsid w:val="00E03871"/>
    <w:rsid w:val="00E072DC"/>
    <w:rsid w:val="00E12A9C"/>
    <w:rsid w:val="00E12CC6"/>
    <w:rsid w:val="00E16609"/>
    <w:rsid w:val="00E22382"/>
    <w:rsid w:val="00E26FF9"/>
    <w:rsid w:val="00E270D9"/>
    <w:rsid w:val="00E33832"/>
    <w:rsid w:val="00E343BB"/>
    <w:rsid w:val="00E3703D"/>
    <w:rsid w:val="00E407D3"/>
    <w:rsid w:val="00E50B9C"/>
    <w:rsid w:val="00E51CF7"/>
    <w:rsid w:val="00E62FAF"/>
    <w:rsid w:val="00E80296"/>
    <w:rsid w:val="00E81BD9"/>
    <w:rsid w:val="00E82242"/>
    <w:rsid w:val="00E86173"/>
    <w:rsid w:val="00E87DF5"/>
    <w:rsid w:val="00E9437A"/>
    <w:rsid w:val="00E94767"/>
    <w:rsid w:val="00E94A73"/>
    <w:rsid w:val="00EA4ADA"/>
    <w:rsid w:val="00EB5F76"/>
    <w:rsid w:val="00EC1D16"/>
    <w:rsid w:val="00EC6324"/>
    <w:rsid w:val="00EC75D3"/>
    <w:rsid w:val="00ED085D"/>
    <w:rsid w:val="00ED6A9A"/>
    <w:rsid w:val="00ED76E2"/>
    <w:rsid w:val="00ED7785"/>
    <w:rsid w:val="00EE0BAF"/>
    <w:rsid w:val="00EE52D1"/>
    <w:rsid w:val="00EE5964"/>
    <w:rsid w:val="00EE6068"/>
    <w:rsid w:val="00EE7EF5"/>
    <w:rsid w:val="00EF65D2"/>
    <w:rsid w:val="00F1024C"/>
    <w:rsid w:val="00F10835"/>
    <w:rsid w:val="00F15904"/>
    <w:rsid w:val="00F24A58"/>
    <w:rsid w:val="00F25F93"/>
    <w:rsid w:val="00F26C0E"/>
    <w:rsid w:val="00F30829"/>
    <w:rsid w:val="00F31425"/>
    <w:rsid w:val="00F3264D"/>
    <w:rsid w:val="00F32BAB"/>
    <w:rsid w:val="00F3302C"/>
    <w:rsid w:val="00F37565"/>
    <w:rsid w:val="00F45A2C"/>
    <w:rsid w:val="00F617BB"/>
    <w:rsid w:val="00F62A16"/>
    <w:rsid w:val="00F62EA4"/>
    <w:rsid w:val="00F67263"/>
    <w:rsid w:val="00F7134C"/>
    <w:rsid w:val="00F76280"/>
    <w:rsid w:val="00F77DD1"/>
    <w:rsid w:val="00F8712D"/>
    <w:rsid w:val="00F872EC"/>
    <w:rsid w:val="00F927C9"/>
    <w:rsid w:val="00F95742"/>
    <w:rsid w:val="00FA4499"/>
    <w:rsid w:val="00FA7728"/>
    <w:rsid w:val="00FB0DF3"/>
    <w:rsid w:val="00FB265E"/>
    <w:rsid w:val="00FB29A6"/>
    <w:rsid w:val="00FB56A7"/>
    <w:rsid w:val="00FB6FC0"/>
    <w:rsid w:val="00FC1B17"/>
    <w:rsid w:val="00FC328F"/>
    <w:rsid w:val="00FC476C"/>
    <w:rsid w:val="00FC48E3"/>
    <w:rsid w:val="00FC4B0D"/>
    <w:rsid w:val="00FD2475"/>
    <w:rsid w:val="00FD3804"/>
    <w:rsid w:val="00FD5C34"/>
    <w:rsid w:val="00FD6311"/>
    <w:rsid w:val="00FF6F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76FD"/>
  <w15:chartTrackingRefBased/>
  <w15:docId w15:val="{98AB232B-CBA3-4017-B9B1-226CD72E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15904"/>
    <w:pPr>
      <w:keepNext/>
      <w:keepLines/>
      <w:spacing w:before="360"/>
      <w:outlineLvl w:val="0"/>
    </w:pPr>
    <w:rPr>
      <w:rFonts w:ascii="Calibri" w:eastAsiaTheme="majorEastAsia" w:hAnsi="Calibri" w:cstheme="majorBidi"/>
      <w:b/>
      <w:color w:val="000000" w:themeColor="text1"/>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75B80"/>
    <w:pPr>
      <w:numPr>
        <w:numId w:val="1"/>
      </w:numPr>
    </w:pPr>
  </w:style>
  <w:style w:type="paragraph" w:styleId="ListParagraph">
    <w:name w:val="List Paragraph"/>
    <w:basedOn w:val="Normal"/>
    <w:uiPriority w:val="34"/>
    <w:qFormat/>
    <w:rsid w:val="00475B80"/>
    <w:pPr>
      <w:ind w:left="720"/>
      <w:contextualSpacing/>
    </w:pPr>
  </w:style>
  <w:style w:type="paragraph" w:styleId="FootnoteText">
    <w:name w:val="footnote text"/>
    <w:basedOn w:val="Normal"/>
    <w:link w:val="FootnoteTextChar"/>
    <w:uiPriority w:val="99"/>
    <w:semiHidden/>
    <w:unhideWhenUsed/>
    <w:rsid w:val="00A47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B82"/>
    <w:rPr>
      <w:sz w:val="20"/>
      <w:szCs w:val="20"/>
    </w:rPr>
  </w:style>
  <w:style w:type="character" w:styleId="FootnoteReference">
    <w:name w:val="footnote reference"/>
    <w:basedOn w:val="DefaultParagraphFont"/>
    <w:uiPriority w:val="99"/>
    <w:semiHidden/>
    <w:unhideWhenUsed/>
    <w:rsid w:val="00A47B82"/>
    <w:rPr>
      <w:vertAlign w:val="superscript"/>
    </w:rPr>
  </w:style>
  <w:style w:type="paragraph" w:styleId="Header">
    <w:name w:val="header"/>
    <w:basedOn w:val="Normal"/>
    <w:link w:val="HeaderChar"/>
    <w:uiPriority w:val="99"/>
    <w:unhideWhenUsed/>
    <w:rsid w:val="0045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E9"/>
  </w:style>
  <w:style w:type="paragraph" w:styleId="Footer">
    <w:name w:val="footer"/>
    <w:basedOn w:val="Normal"/>
    <w:link w:val="FooterChar"/>
    <w:uiPriority w:val="99"/>
    <w:unhideWhenUsed/>
    <w:rsid w:val="0045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E9"/>
  </w:style>
  <w:style w:type="table" w:customStyle="1" w:styleId="TableGrid1">
    <w:name w:val="Table Grid1"/>
    <w:basedOn w:val="TableNormal"/>
    <w:next w:val="TableGrid"/>
    <w:uiPriority w:val="39"/>
    <w:rsid w:val="00D8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5904"/>
    <w:rPr>
      <w:rFonts w:ascii="Calibri" w:eastAsiaTheme="majorEastAsia" w:hAnsi="Calibri" w:cstheme="majorBidi"/>
      <w:b/>
      <w:color w:val="000000" w:themeColor="tex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72BD-3347-4E22-A00A-9F4087DE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Nell</dc:creator>
  <cp:keywords/>
  <dc:description/>
  <cp:lastModifiedBy>Lazarus Rakgwale</cp:lastModifiedBy>
  <cp:revision>2</cp:revision>
  <cp:lastPrinted>2022-04-25T11:50:00Z</cp:lastPrinted>
  <dcterms:created xsi:type="dcterms:W3CDTF">2022-04-28T12:36:00Z</dcterms:created>
  <dcterms:modified xsi:type="dcterms:W3CDTF">2022-04-28T12:36:00Z</dcterms:modified>
</cp:coreProperties>
</file>