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E6B0" w14:textId="77777777" w:rsidR="002B26A7" w:rsidRDefault="002B26A7" w:rsidP="002B26A7">
      <w:pPr>
        <w:spacing w:line="254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15E525" w14:textId="77777777" w:rsidR="0028703B" w:rsidRPr="004A1FF6" w:rsidRDefault="0028703B" w:rsidP="0028703B">
      <w:pPr>
        <w:spacing w:before="120" w:after="120" w:line="240" w:lineRule="auto"/>
        <w:ind w:right="29"/>
        <w:jc w:val="center"/>
        <w:rPr>
          <w:rFonts w:ascii="Arial" w:eastAsia="Times New Roman" w:hAnsi="Arial" w:cs="Arial"/>
          <w:b/>
          <w:sz w:val="28"/>
          <w:szCs w:val="24"/>
          <w:lang w:val="en-GB" w:eastAsia="en-GB"/>
        </w:rPr>
      </w:pPr>
      <w:r w:rsidRPr="004A1FF6">
        <w:rPr>
          <w:rFonts w:ascii="Arial" w:eastAsia="Times New Roman" w:hAnsi="Arial" w:cs="Arial"/>
          <w:b/>
          <w:sz w:val="28"/>
          <w:szCs w:val="24"/>
          <w:lang w:val="en-GB" w:eastAsia="en-GB"/>
        </w:rPr>
        <w:t>REPUBLIC OF SOUTH AFRICA</w:t>
      </w:r>
    </w:p>
    <w:p w14:paraId="7104BAD8" w14:textId="77777777" w:rsidR="0028703B" w:rsidRPr="00F212E7" w:rsidRDefault="0028703B" w:rsidP="0028703B">
      <w:pPr>
        <w:spacing w:before="120" w:after="120" w:line="240" w:lineRule="auto"/>
        <w:ind w:right="29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F212E7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5AA1C3CD" wp14:editId="0AE188C9">
            <wp:extent cx="1325880" cy="1325880"/>
            <wp:effectExtent l="0" t="0" r="7620" b="7620"/>
            <wp:docPr id="1" name="Picture 1" descr="judiciary_logo_-_se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diciary_logo_-_seal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DAB7" w14:textId="77777777" w:rsidR="0028703B" w:rsidRPr="004A1FF6" w:rsidRDefault="0028703B" w:rsidP="0028703B">
      <w:pPr>
        <w:spacing w:before="120" w:after="120" w:line="240" w:lineRule="auto"/>
        <w:ind w:right="28"/>
        <w:jc w:val="center"/>
        <w:rPr>
          <w:rFonts w:ascii="Arial" w:eastAsia="Times New Roman" w:hAnsi="Arial" w:cs="Arial"/>
          <w:b/>
          <w:sz w:val="26"/>
          <w:szCs w:val="24"/>
          <w:lang w:val="en-GB" w:eastAsia="en-GB"/>
        </w:rPr>
      </w:pPr>
      <w:r w:rsidRPr="004A1FF6">
        <w:rPr>
          <w:rFonts w:ascii="Arial" w:eastAsia="Times New Roman" w:hAnsi="Arial" w:cs="Arial"/>
          <w:b/>
          <w:sz w:val="26"/>
          <w:szCs w:val="24"/>
          <w:lang w:val="en-GB" w:eastAsia="en-GB"/>
        </w:rPr>
        <w:t>IN THE HIGH COURT OF SOUTH AFRICA</w:t>
      </w:r>
    </w:p>
    <w:p w14:paraId="33538E33" w14:textId="77777777" w:rsidR="0028703B" w:rsidRPr="004A1FF6" w:rsidRDefault="0028703B" w:rsidP="0028703B">
      <w:pPr>
        <w:spacing w:before="120" w:after="120" w:line="240" w:lineRule="auto"/>
        <w:ind w:right="28"/>
        <w:jc w:val="center"/>
        <w:rPr>
          <w:rFonts w:ascii="Arial" w:eastAsia="Times New Roman" w:hAnsi="Arial" w:cs="Arial"/>
          <w:b/>
          <w:sz w:val="26"/>
          <w:szCs w:val="24"/>
          <w:lang w:val="en-GB" w:eastAsia="en-GB"/>
        </w:rPr>
      </w:pPr>
      <w:proofErr w:type="gramStart"/>
      <w:r w:rsidRPr="004A1FF6">
        <w:rPr>
          <w:rFonts w:ascii="Arial" w:eastAsia="Times New Roman" w:hAnsi="Arial" w:cs="Arial"/>
          <w:b/>
          <w:sz w:val="26"/>
          <w:szCs w:val="24"/>
          <w:lang w:val="en-GB" w:eastAsia="en-GB"/>
        </w:rPr>
        <w:t>GAUTENG  DIVISION</w:t>
      </w:r>
      <w:proofErr w:type="gramEnd"/>
      <w:r w:rsidRPr="004A1FF6">
        <w:rPr>
          <w:rFonts w:ascii="Arial" w:eastAsia="Times New Roman" w:hAnsi="Arial" w:cs="Arial"/>
          <w:b/>
          <w:sz w:val="26"/>
          <w:szCs w:val="24"/>
          <w:lang w:val="en-GB" w:eastAsia="en-GB"/>
        </w:rPr>
        <w:t>, JOHANNESBURG</w:t>
      </w:r>
    </w:p>
    <w:p w14:paraId="27830DB3" w14:textId="77777777" w:rsidR="0028703B" w:rsidRPr="00F212E7" w:rsidRDefault="0028703B" w:rsidP="0028703B">
      <w:pPr>
        <w:spacing w:before="120" w:after="120" w:line="240" w:lineRule="auto"/>
        <w:ind w:right="364"/>
        <w:jc w:val="right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69B15754" w14:textId="00D0CA91" w:rsidR="0028703B" w:rsidRPr="00F212E7" w:rsidRDefault="0028703B" w:rsidP="0028703B">
      <w:pPr>
        <w:spacing w:before="120" w:after="120" w:line="240" w:lineRule="auto"/>
        <w:ind w:right="-46"/>
        <w:jc w:val="right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F212E7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93D6C" wp14:editId="7E3ACFA2">
                <wp:simplePos x="0" y="0"/>
                <wp:positionH relativeFrom="margin">
                  <wp:posOffset>12700</wp:posOffset>
                </wp:positionH>
                <wp:positionV relativeFrom="paragraph">
                  <wp:posOffset>269240</wp:posOffset>
                </wp:positionV>
                <wp:extent cx="3314700" cy="14573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1C3B" w14:textId="77777777" w:rsidR="0028703B" w:rsidRPr="004120A8" w:rsidRDefault="0028703B" w:rsidP="0028703B">
                            <w:pPr>
                              <w:spacing w:after="120"/>
                              <w:ind w:right="28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3A48D867" w14:textId="33590899" w:rsidR="0028703B" w:rsidRPr="004120A8" w:rsidRDefault="0028703B" w:rsidP="00287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REPORTABLE: </w:t>
                            </w:r>
                            <w:r w:rsidR="00C86FF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7A2C083" w14:textId="58A63A1E" w:rsidR="0028703B" w:rsidRPr="004120A8" w:rsidRDefault="0028703B" w:rsidP="00287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 INTEREST TO OTHER JUDGES: </w:t>
                            </w:r>
                            <w:r w:rsidR="00C86FF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9C013F1" w14:textId="77777777" w:rsidR="0028703B" w:rsidRPr="00D257A8" w:rsidRDefault="0028703B" w:rsidP="002870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REVISED.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8C9E0CA" w14:textId="77777777" w:rsidR="0028703B" w:rsidRDefault="0028703B" w:rsidP="0028703B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33C16FDD" w14:textId="77777777" w:rsidR="0028703B" w:rsidRDefault="0028703B" w:rsidP="0028703B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1EED39E5" w14:textId="77777777" w:rsidR="0028703B" w:rsidRPr="00FD1FCB" w:rsidRDefault="0028703B" w:rsidP="0028703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DD2BA0C" w14:textId="77777777" w:rsidR="0028703B" w:rsidRPr="004120A8" w:rsidRDefault="0028703B" w:rsidP="0028703B">
                            <w:pPr>
                              <w:spacing w:after="0"/>
                              <w:ind w:right="28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…………..………….............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380625" w14:textId="0B63BE87" w:rsidR="0028703B" w:rsidRPr="004120A8" w:rsidRDefault="0028703B" w:rsidP="0028703B">
                            <w:pPr>
                              <w:ind w:right="28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D36A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F7033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3 May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14:paraId="4850A497" w14:textId="77777777" w:rsidR="0028703B" w:rsidRPr="004120A8" w:rsidRDefault="0028703B" w:rsidP="0028703B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3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21.2pt;width:261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">
                <v:textbox>
                  <w:txbxContent>
                    <w:p w14:paraId="34F51C3B" w14:textId="77777777" w:rsidR="0028703B" w:rsidRPr="004120A8" w:rsidRDefault="0028703B" w:rsidP="0028703B">
                      <w:pPr>
                        <w:spacing w:after="120"/>
                        <w:ind w:right="28"/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14:paraId="3A48D867" w14:textId="33590899" w:rsidR="0028703B" w:rsidRPr="004120A8" w:rsidRDefault="0028703B" w:rsidP="00287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REPORTABLE: </w:t>
                      </w:r>
                      <w:r w:rsidR="00C86FF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17A2C083" w14:textId="58A63A1E" w:rsidR="0028703B" w:rsidRPr="004120A8" w:rsidRDefault="0028703B" w:rsidP="00287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 INTEREST TO OTHER JUDGES: </w:t>
                      </w:r>
                      <w:r w:rsidR="00C86FF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59C013F1" w14:textId="77777777" w:rsidR="0028703B" w:rsidRPr="00D257A8" w:rsidRDefault="0028703B" w:rsidP="0028703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REVISED.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38C9E0CA" w14:textId="77777777" w:rsidR="0028703B" w:rsidRDefault="0028703B" w:rsidP="0028703B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33C16FDD" w14:textId="77777777" w:rsidR="0028703B" w:rsidRDefault="0028703B" w:rsidP="0028703B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1EED39E5" w14:textId="77777777" w:rsidR="0028703B" w:rsidRPr="00FD1FCB" w:rsidRDefault="0028703B" w:rsidP="0028703B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DD2BA0C" w14:textId="77777777" w:rsidR="0028703B" w:rsidRPr="004120A8" w:rsidRDefault="0028703B" w:rsidP="0028703B">
                      <w:pPr>
                        <w:spacing w:after="0"/>
                        <w:ind w:right="28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…………..………….............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8380625" w14:textId="0B63BE87" w:rsidR="0028703B" w:rsidRPr="004120A8" w:rsidRDefault="0028703B" w:rsidP="0028703B">
                      <w:pPr>
                        <w:ind w:right="28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2D36A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F7033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3 May 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2022</w:t>
                      </w:r>
                    </w:p>
                    <w:p w14:paraId="4850A497" w14:textId="77777777" w:rsidR="0028703B" w:rsidRPr="004120A8" w:rsidRDefault="0028703B" w:rsidP="0028703B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212E7">
        <w:rPr>
          <w:rFonts w:ascii="Arial" w:eastAsia="Times New Roman" w:hAnsi="Arial" w:cs="Arial"/>
          <w:b/>
          <w:sz w:val="24"/>
          <w:szCs w:val="24"/>
          <w:lang w:val="en-GB" w:eastAsia="en-GB"/>
        </w:rPr>
        <w:t>CASE NO:</w:t>
      </w:r>
      <w:r w:rsidRPr="0028703B">
        <w:rPr>
          <w:rFonts w:ascii="Arial" w:hAnsi="Arial" w:cs="Arial"/>
          <w:sz w:val="24"/>
          <w:szCs w:val="24"/>
        </w:rPr>
        <w:t xml:space="preserve"> </w:t>
      </w:r>
      <w:r w:rsidRPr="005F70C1">
        <w:rPr>
          <w:rFonts w:ascii="Arial" w:hAnsi="Arial" w:cs="Arial"/>
          <w:b/>
          <w:sz w:val="24"/>
          <w:szCs w:val="24"/>
        </w:rPr>
        <w:t>21 / 11114</w:t>
      </w:r>
      <w:r w:rsidRPr="00F212E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</w:p>
    <w:tbl>
      <w:tblPr>
        <w:tblW w:w="9309" w:type="dxa"/>
        <w:tblInd w:w="-95" w:type="dxa"/>
        <w:tblLook w:val="04A0" w:firstRow="1" w:lastRow="0" w:firstColumn="1" w:lastColumn="0" w:noHBand="0" w:noVBand="1"/>
      </w:tblPr>
      <w:tblGrid>
        <w:gridCol w:w="5624"/>
        <w:gridCol w:w="3543"/>
        <w:gridCol w:w="142"/>
      </w:tblGrid>
      <w:tr w:rsidR="0028703B" w:rsidRPr="00F212E7" w14:paraId="3F01955B" w14:textId="77777777" w:rsidTr="00DD420D">
        <w:tc>
          <w:tcPr>
            <w:tcW w:w="5624" w:type="dxa"/>
            <w:hideMark/>
          </w:tcPr>
          <w:p w14:paraId="53702069" w14:textId="77777777" w:rsidR="0028703B" w:rsidRPr="00F212E7" w:rsidRDefault="0028703B" w:rsidP="00DD420D">
            <w:pPr>
              <w:spacing w:before="200" w:after="200" w:line="240" w:lineRule="exact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F982F65" w14:textId="77777777" w:rsidR="0028703B" w:rsidRPr="00F212E7" w:rsidRDefault="0028703B" w:rsidP="00DD420D">
            <w:pPr>
              <w:spacing w:before="200" w:after="200" w:line="240" w:lineRule="exact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F212E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 the matter between:</w:t>
            </w:r>
          </w:p>
        </w:tc>
        <w:tc>
          <w:tcPr>
            <w:tcW w:w="3685" w:type="dxa"/>
            <w:gridSpan w:val="2"/>
          </w:tcPr>
          <w:p w14:paraId="5C5EE199" w14:textId="77777777" w:rsidR="0028703B" w:rsidRPr="00F212E7" w:rsidRDefault="0028703B" w:rsidP="00DD420D">
            <w:pPr>
              <w:spacing w:before="200" w:after="200" w:line="240" w:lineRule="exact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28703B" w:rsidRPr="002C7D8C" w14:paraId="26B1EDD9" w14:textId="77777777" w:rsidTr="00DD420D">
        <w:tc>
          <w:tcPr>
            <w:tcW w:w="5624" w:type="dxa"/>
            <w:hideMark/>
          </w:tcPr>
          <w:p w14:paraId="2F86BCF6" w14:textId="573FC6AC" w:rsidR="0028703B" w:rsidRPr="00BA7018" w:rsidRDefault="00E20B2D" w:rsidP="00DD420D">
            <w:pPr>
              <w:spacing w:before="200" w:after="200" w:line="240" w:lineRule="exact"/>
              <w:ind w:right="28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GB"/>
              </w:rPr>
            </w:pPr>
            <w:r w:rsidRPr="004A1FF6">
              <w:rPr>
                <w:rFonts w:ascii="Arial" w:hAnsi="Arial" w:cs="Arial"/>
                <w:b/>
                <w:sz w:val="26"/>
                <w:szCs w:val="24"/>
              </w:rPr>
              <w:t xml:space="preserve">MAAMACH (PTY) LTD  </w:t>
            </w:r>
          </w:p>
        </w:tc>
        <w:tc>
          <w:tcPr>
            <w:tcW w:w="3685" w:type="dxa"/>
            <w:gridSpan w:val="2"/>
            <w:hideMark/>
          </w:tcPr>
          <w:p w14:paraId="5F0BFF88" w14:textId="2436BE59" w:rsidR="0028703B" w:rsidRPr="004A1FF6" w:rsidRDefault="00C75F28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0"/>
                <w:lang w:val="en-GB"/>
              </w:rPr>
              <w:t xml:space="preserve"> </w:t>
            </w:r>
            <w:r w:rsidR="0028703B" w:rsidRPr="004A1FF6">
              <w:rPr>
                <w:rFonts w:ascii="Arial" w:eastAsia="Times New Roman" w:hAnsi="Arial" w:cs="Arial"/>
                <w:b/>
                <w:sz w:val="26"/>
                <w:szCs w:val="20"/>
                <w:lang w:val="en-GB"/>
              </w:rPr>
              <w:t>APPLICANT</w:t>
            </w:r>
          </w:p>
          <w:p w14:paraId="6A570043" w14:textId="77777777" w:rsidR="0028703B" w:rsidRPr="002C7D8C" w:rsidRDefault="0028703B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</w:p>
        </w:tc>
      </w:tr>
      <w:tr w:rsidR="0028703B" w:rsidRPr="00F212E7" w14:paraId="42C406E3" w14:textId="77777777" w:rsidTr="00DD420D">
        <w:tc>
          <w:tcPr>
            <w:tcW w:w="9309" w:type="dxa"/>
            <w:gridSpan w:val="3"/>
            <w:hideMark/>
          </w:tcPr>
          <w:p w14:paraId="12FE59B4" w14:textId="289B99F1" w:rsidR="0028703B" w:rsidRPr="00F212E7" w:rsidRDefault="006B727D" w:rsidP="00DD420D">
            <w:pPr>
              <w:spacing w:before="200" w:after="200" w:line="240" w:lineRule="exact"/>
              <w:ind w:right="28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</w:t>
            </w:r>
            <w:r w:rsidR="0028703B" w:rsidRPr="00F212E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nd</w:t>
            </w:r>
          </w:p>
        </w:tc>
      </w:tr>
      <w:tr w:rsidR="0028703B" w:rsidRPr="00DB5486" w14:paraId="0FE10F6B" w14:textId="77777777" w:rsidTr="00DD420D">
        <w:tc>
          <w:tcPr>
            <w:tcW w:w="5624" w:type="dxa"/>
            <w:hideMark/>
          </w:tcPr>
          <w:p w14:paraId="093FE147" w14:textId="6FCB079D" w:rsidR="0028703B" w:rsidRPr="004A1FF6" w:rsidRDefault="0028703B" w:rsidP="00DD420D">
            <w:pPr>
              <w:pStyle w:val="BodyText"/>
              <w:spacing w:line="275" w:lineRule="exact"/>
              <w:rPr>
                <w:sz w:val="26"/>
              </w:rPr>
            </w:pPr>
          </w:p>
          <w:p w14:paraId="72B21876" w14:textId="7520C359" w:rsidR="0028703B" w:rsidRPr="004A1FF6" w:rsidRDefault="005861A1" w:rsidP="00DD420D">
            <w:pPr>
              <w:spacing w:before="200" w:after="200" w:line="240" w:lineRule="exact"/>
              <w:ind w:right="28"/>
              <w:jc w:val="both"/>
              <w:rPr>
                <w:rFonts w:ascii="Arial" w:eastAsia="Times New Roman" w:hAnsi="Arial" w:cs="Arial"/>
                <w:b/>
                <w:caps/>
                <w:sz w:val="26"/>
                <w:szCs w:val="24"/>
                <w:lang w:val="en-GB"/>
              </w:rPr>
            </w:pPr>
            <w:r w:rsidRPr="004A1FF6">
              <w:rPr>
                <w:rFonts w:ascii="Arial" w:hAnsi="Arial" w:cs="Arial"/>
                <w:b/>
                <w:sz w:val="26"/>
                <w:szCs w:val="24"/>
              </w:rPr>
              <w:t>AIR TRAFFIC NAVIGATION SERVICE SOC LTD</w:t>
            </w:r>
          </w:p>
        </w:tc>
        <w:tc>
          <w:tcPr>
            <w:tcW w:w="3685" w:type="dxa"/>
            <w:gridSpan w:val="2"/>
            <w:hideMark/>
          </w:tcPr>
          <w:p w14:paraId="4CA0359C" w14:textId="77777777" w:rsidR="00BA7018" w:rsidRDefault="00BA7018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</w:p>
          <w:p w14:paraId="3561657F" w14:textId="7CDDACE5" w:rsidR="0028703B" w:rsidRPr="004A1FF6" w:rsidRDefault="00C75F28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0"/>
                <w:lang w:val="en-GB"/>
              </w:rPr>
              <w:t xml:space="preserve">  </w:t>
            </w:r>
            <w:r w:rsidR="0028703B" w:rsidRPr="004A1FF6">
              <w:rPr>
                <w:rFonts w:ascii="Arial" w:eastAsia="Times New Roman" w:hAnsi="Arial" w:cs="Arial"/>
                <w:b/>
                <w:sz w:val="26"/>
                <w:szCs w:val="20"/>
                <w:lang w:val="en-GB"/>
              </w:rPr>
              <w:t>RESPONDENT</w:t>
            </w:r>
          </w:p>
          <w:p w14:paraId="747F9213" w14:textId="09BC3DDC" w:rsidR="0028703B" w:rsidRDefault="00CB0CF6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 </w:t>
            </w:r>
          </w:p>
          <w:p w14:paraId="5D13D40B" w14:textId="77777777" w:rsidR="0028703B" w:rsidRDefault="0028703B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</w:p>
          <w:p w14:paraId="5CBA8EA0" w14:textId="77777777" w:rsidR="0028703B" w:rsidRDefault="0028703B" w:rsidP="00DD420D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</w:p>
          <w:p w14:paraId="69201C0D" w14:textId="4FFE8F49" w:rsidR="0028703B" w:rsidRPr="00DB5486" w:rsidRDefault="00CB0CF6" w:rsidP="00F2582F">
            <w:pPr>
              <w:spacing w:before="200" w:after="200" w:line="240" w:lineRule="exact"/>
              <w:ind w:right="28"/>
              <w:jc w:val="right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 </w:t>
            </w:r>
            <w:r w:rsidR="0028703B" w:rsidRPr="00DB5486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 </w:t>
            </w:r>
          </w:p>
        </w:tc>
      </w:tr>
      <w:tr w:rsidR="0028703B" w:rsidRPr="00F212E7" w14:paraId="0A4E2E98" w14:textId="77777777" w:rsidTr="00DD42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9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9368A" w14:textId="77777777" w:rsidR="0028703B" w:rsidRPr="00F212E7" w:rsidRDefault="0028703B" w:rsidP="00DD420D">
            <w:pPr>
              <w:spacing w:before="360" w:after="360" w:line="360" w:lineRule="exact"/>
              <w:ind w:right="29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GB" w:eastAsia="en-GB"/>
              </w:rPr>
            </w:pPr>
            <w:r w:rsidRPr="00B254B4">
              <w:rPr>
                <w:rFonts w:ascii="Arial" w:eastAsia="Times New Roman" w:hAnsi="Arial" w:cs="Arial"/>
                <w:b/>
                <w:sz w:val="32"/>
                <w:szCs w:val="24"/>
                <w:lang w:val="en-GB" w:eastAsia="en-GB"/>
              </w:rPr>
              <w:lastRenderedPageBreak/>
              <w:t xml:space="preserve">JUDGMENT </w:t>
            </w:r>
          </w:p>
        </w:tc>
      </w:tr>
    </w:tbl>
    <w:p w14:paraId="745E2441" w14:textId="77777777" w:rsidR="0028703B" w:rsidRPr="004A1FF6" w:rsidRDefault="0028703B" w:rsidP="004A1FF6">
      <w:pPr>
        <w:spacing w:line="360" w:lineRule="auto"/>
        <w:jc w:val="both"/>
        <w:rPr>
          <w:rFonts w:ascii="Arial" w:hAnsi="Arial" w:cs="Arial"/>
          <w:b/>
          <w:bCs/>
          <w:iCs/>
          <w:sz w:val="30"/>
          <w:szCs w:val="24"/>
        </w:rPr>
      </w:pPr>
      <w:r w:rsidRPr="004A1FF6">
        <w:rPr>
          <w:rFonts w:ascii="Arial" w:hAnsi="Arial" w:cs="Arial"/>
          <w:b/>
          <w:bCs/>
          <w:iCs/>
          <w:sz w:val="30"/>
          <w:szCs w:val="24"/>
        </w:rPr>
        <w:t>MANOIM J</w:t>
      </w:r>
    </w:p>
    <w:p w14:paraId="7F263523" w14:textId="17641C81" w:rsidR="00890391" w:rsidRDefault="00890391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in this case seeks certain records</w:t>
      </w:r>
      <w:r w:rsidR="0000651A">
        <w:rPr>
          <w:rFonts w:ascii="Arial" w:hAnsi="Arial" w:cs="Arial"/>
          <w:sz w:val="24"/>
          <w:szCs w:val="24"/>
        </w:rPr>
        <w:t xml:space="preserve"> from the respondent</w:t>
      </w:r>
      <w:r>
        <w:rPr>
          <w:rFonts w:ascii="Arial" w:hAnsi="Arial" w:cs="Arial"/>
          <w:sz w:val="24"/>
          <w:szCs w:val="24"/>
        </w:rPr>
        <w:t xml:space="preserve"> in relation to a cancelled tender</w:t>
      </w:r>
      <w:r w:rsidR="000065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5B2F">
        <w:rPr>
          <w:rFonts w:ascii="Arial" w:hAnsi="Arial" w:cs="Arial"/>
          <w:sz w:val="24"/>
          <w:szCs w:val="24"/>
        </w:rPr>
        <w:t xml:space="preserve"> </w:t>
      </w:r>
    </w:p>
    <w:p w14:paraId="058064F8" w14:textId="7EADE39E" w:rsidR="00555B2F" w:rsidRDefault="0000651A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A439A">
        <w:rPr>
          <w:rFonts w:ascii="Arial" w:hAnsi="Arial" w:cs="Arial"/>
          <w:sz w:val="24"/>
          <w:szCs w:val="24"/>
        </w:rPr>
        <w:t xml:space="preserve">application </w:t>
      </w:r>
      <w:r>
        <w:rPr>
          <w:rFonts w:ascii="Arial" w:hAnsi="Arial" w:cs="Arial"/>
          <w:sz w:val="24"/>
          <w:szCs w:val="24"/>
        </w:rPr>
        <w:t xml:space="preserve">is </w:t>
      </w:r>
      <w:r w:rsidR="00FA439A">
        <w:rPr>
          <w:rFonts w:ascii="Arial" w:hAnsi="Arial" w:cs="Arial"/>
          <w:sz w:val="24"/>
          <w:szCs w:val="24"/>
        </w:rPr>
        <w:t xml:space="preserve">brought </w:t>
      </w:r>
      <w:r w:rsidR="00B24D84">
        <w:rPr>
          <w:rFonts w:ascii="Arial" w:hAnsi="Arial" w:cs="Arial"/>
          <w:sz w:val="24"/>
          <w:szCs w:val="24"/>
        </w:rPr>
        <w:t>in terms of the Promotion of Access to Public Information Act</w:t>
      </w:r>
      <w:r w:rsidR="002B325B">
        <w:rPr>
          <w:rFonts w:ascii="Arial" w:hAnsi="Arial" w:cs="Arial"/>
          <w:sz w:val="24"/>
          <w:szCs w:val="24"/>
        </w:rPr>
        <w:t xml:space="preserve">, No 2 of </w:t>
      </w:r>
      <w:r w:rsidR="00E92D33">
        <w:rPr>
          <w:rFonts w:ascii="Arial" w:hAnsi="Arial" w:cs="Arial"/>
          <w:sz w:val="24"/>
          <w:szCs w:val="24"/>
        </w:rPr>
        <w:t>2000</w:t>
      </w:r>
      <w:r w:rsidR="00BF072D">
        <w:rPr>
          <w:rFonts w:ascii="Arial" w:hAnsi="Arial" w:cs="Arial"/>
          <w:sz w:val="24"/>
          <w:szCs w:val="24"/>
        </w:rPr>
        <w:t xml:space="preserve"> </w:t>
      </w:r>
      <w:r w:rsidR="00E92D33">
        <w:rPr>
          <w:rFonts w:ascii="Arial" w:hAnsi="Arial" w:cs="Arial"/>
          <w:sz w:val="24"/>
          <w:szCs w:val="24"/>
        </w:rPr>
        <w:t>(PAIA</w:t>
      </w:r>
      <w:r w:rsidR="002B325B">
        <w:rPr>
          <w:rFonts w:ascii="Arial" w:hAnsi="Arial" w:cs="Arial"/>
          <w:sz w:val="24"/>
          <w:szCs w:val="24"/>
        </w:rPr>
        <w:t>)</w:t>
      </w:r>
      <w:r w:rsidR="003D667A">
        <w:rPr>
          <w:rFonts w:ascii="Arial" w:hAnsi="Arial" w:cs="Arial"/>
          <w:sz w:val="24"/>
          <w:szCs w:val="24"/>
        </w:rPr>
        <w:t xml:space="preserve">. </w:t>
      </w:r>
    </w:p>
    <w:p w14:paraId="2683ED0C" w14:textId="2F16FFB6" w:rsidR="00A90068" w:rsidRDefault="00A90068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has taken several points </w:t>
      </w:r>
      <w:r w:rsidRPr="00C930DC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C930DC">
        <w:rPr>
          <w:rFonts w:ascii="Arial" w:hAnsi="Arial" w:cs="Arial"/>
          <w:i/>
          <w:sz w:val="24"/>
          <w:szCs w:val="24"/>
        </w:rPr>
        <w:t>limine</w:t>
      </w:r>
      <w:proofErr w:type="spellEnd"/>
      <w:r w:rsidR="00A01A88">
        <w:rPr>
          <w:rFonts w:ascii="Arial" w:hAnsi="Arial" w:cs="Arial"/>
          <w:sz w:val="24"/>
          <w:szCs w:val="24"/>
        </w:rPr>
        <w:t xml:space="preserve"> including</w:t>
      </w:r>
      <w:r w:rsidR="002364EA">
        <w:rPr>
          <w:rFonts w:ascii="Arial" w:hAnsi="Arial" w:cs="Arial"/>
          <w:sz w:val="24"/>
          <w:szCs w:val="24"/>
        </w:rPr>
        <w:t>;</w:t>
      </w:r>
      <w:r w:rsidR="00A01A88">
        <w:rPr>
          <w:rFonts w:ascii="Arial" w:hAnsi="Arial" w:cs="Arial"/>
          <w:sz w:val="24"/>
          <w:szCs w:val="24"/>
        </w:rPr>
        <w:t xml:space="preserve"> that the application has become moot</w:t>
      </w:r>
      <w:r w:rsidR="002364EA">
        <w:rPr>
          <w:rFonts w:ascii="Arial" w:hAnsi="Arial" w:cs="Arial"/>
          <w:sz w:val="24"/>
          <w:szCs w:val="24"/>
        </w:rPr>
        <w:t>;</w:t>
      </w:r>
      <w:r w:rsidR="00A01A88">
        <w:rPr>
          <w:rFonts w:ascii="Arial" w:hAnsi="Arial" w:cs="Arial"/>
          <w:sz w:val="24"/>
          <w:szCs w:val="24"/>
        </w:rPr>
        <w:t xml:space="preserve"> that there has been no refusal to provide the information and hence the application is abusive and</w:t>
      </w:r>
      <w:r w:rsidR="00F63F89">
        <w:rPr>
          <w:rFonts w:ascii="Arial" w:hAnsi="Arial" w:cs="Arial"/>
          <w:sz w:val="24"/>
          <w:szCs w:val="24"/>
        </w:rPr>
        <w:t>;</w:t>
      </w:r>
      <w:r w:rsidR="00A01A88">
        <w:rPr>
          <w:rFonts w:ascii="Arial" w:hAnsi="Arial" w:cs="Arial"/>
          <w:sz w:val="24"/>
          <w:szCs w:val="24"/>
        </w:rPr>
        <w:t xml:space="preserve"> finally</w:t>
      </w:r>
      <w:r w:rsidR="00DA5502">
        <w:rPr>
          <w:rFonts w:ascii="Arial" w:hAnsi="Arial" w:cs="Arial"/>
          <w:sz w:val="24"/>
          <w:szCs w:val="24"/>
        </w:rPr>
        <w:t>,</w:t>
      </w:r>
      <w:r w:rsidR="00A01A88">
        <w:rPr>
          <w:rFonts w:ascii="Arial" w:hAnsi="Arial" w:cs="Arial"/>
          <w:sz w:val="24"/>
          <w:szCs w:val="24"/>
        </w:rPr>
        <w:t xml:space="preserve"> that it is a fishing </w:t>
      </w:r>
      <w:r w:rsidR="007C008D">
        <w:rPr>
          <w:rFonts w:ascii="Arial" w:hAnsi="Arial" w:cs="Arial"/>
          <w:sz w:val="24"/>
          <w:szCs w:val="24"/>
        </w:rPr>
        <w:t>trip to engage in impermissible pre-litigation discovery.</w:t>
      </w:r>
    </w:p>
    <w:p w14:paraId="26F71933" w14:textId="10EEFD35" w:rsidR="007C008D" w:rsidRPr="00A25ABC" w:rsidRDefault="00493BC7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25ABC">
        <w:rPr>
          <w:rFonts w:ascii="Arial" w:hAnsi="Arial" w:cs="Arial"/>
          <w:sz w:val="24"/>
          <w:szCs w:val="24"/>
        </w:rPr>
        <w:t xml:space="preserve">The applicant is a private company whose sole director is its </w:t>
      </w:r>
      <w:r w:rsidR="007C008D" w:rsidRPr="00A25ABC">
        <w:rPr>
          <w:rFonts w:ascii="Arial" w:hAnsi="Arial" w:cs="Arial"/>
          <w:sz w:val="24"/>
          <w:szCs w:val="24"/>
        </w:rPr>
        <w:t>deponent</w:t>
      </w:r>
      <w:r w:rsidR="001C1577" w:rsidRPr="00A25ABC">
        <w:rPr>
          <w:rFonts w:ascii="Arial" w:hAnsi="Arial" w:cs="Arial"/>
          <w:sz w:val="24"/>
          <w:szCs w:val="24"/>
        </w:rPr>
        <w:t xml:space="preserve"> to the founding </w:t>
      </w:r>
      <w:r w:rsidR="00BB6941" w:rsidRPr="00A25ABC">
        <w:rPr>
          <w:rFonts w:ascii="Arial" w:hAnsi="Arial" w:cs="Arial"/>
          <w:sz w:val="24"/>
          <w:szCs w:val="24"/>
        </w:rPr>
        <w:t>affidavit, Sydney</w:t>
      </w:r>
      <w:r w:rsidR="00367AA4" w:rsidRPr="00A25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AA4" w:rsidRPr="00A25ABC">
        <w:rPr>
          <w:rFonts w:ascii="Arial" w:hAnsi="Arial" w:cs="Arial"/>
          <w:sz w:val="24"/>
          <w:szCs w:val="24"/>
        </w:rPr>
        <w:t>Maapola</w:t>
      </w:r>
      <w:proofErr w:type="spellEnd"/>
      <w:r w:rsidRPr="00A25ABC">
        <w:rPr>
          <w:rFonts w:ascii="Arial" w:hAnsi="Arial" w:cs="Arial"/>
          <w:sz w:val="24"/>
          <w:szCs w:val="24"/>
        </w:rPr>
        <w:t>.</w:t>
      </w:r>
      <w:r w:rsidR="00641451" w:rsidRPr="00A25ABC">
        <w:rPr>
          <w:rFonts w:ascii="Arial" w:hAnsi="Arial" w:cs="Arial"/>
          <w:sz w:val="24"/>
          <w:szCs w:val="24"/>
        </w:rPr>
        <w:t xml:space="preserve"> Apart from the fact that it was formed in 2015 the record contains </w:t>
      </w:r>
      <w:r w:rsidR="00607485" w:rsidRPr="00A25ABC">
        <w:rPr>
          <w:rFonts w:ascii="Arial" w:hAnsi="Arial" w:cs="Arial"/>
          <w:sz w:val="24"/>
          <w:szCs w:val="24"/>
        </w:rPr>
        <w:t>little</w:t>
      </w:r>
      <w:r w:rsidR="00641451" w:rsidRPr="00A25ABC">
        <w:rPr>
          <w:rFonts w:ascii="Arial" w:hAnsi="Arial" w:cs="Arial"/>
          <w:sz w:val="24"/>
          <w:szCs w:val="24"/>
        </w:rPr>
        <w:t xml:space="preserve"> detail about it.</w:t>
      </w:r>
    </w:p>
    <w:p w14:paraId="42A8B47A" w14:textId="06416490" w:rsidR="00682D41" w:rsidRDefault="00641451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25ABC">
        <w:rPr>
          <w:rFonts w:ascii="Arial" w:hAnsi="Arial" w:cs="Arial"/>
          <w:sz w:val="24"/>
          <w:szCs w:val="24"/>
        </w:rPr>
        <w:t xml:space="preserve">The respondent is a </w:t>
      </w:r>
      <w:r w:rsidR="007D24D7" w:rsidRPr="00A25ABC">
        <w:rPr>
          <w:rFonts w:ascii="Arial" w:hAnsi="Arial" w:cs="Arial"/>
          <w:sz w:val="24"/>
          <w:szCs w:val="24"/>
        </w:rPr>
        <w:t>state-owned</w:t>
      </w:r>
      <w:r w:rsidRPr="00A25ABC">
        <w:rPr>
          <w:rFonts w:ascii="Arial" w:hAnsi="Arial" w:cs="Arial"/>
          <w:sz w:val="24"/>
          <w:szCs w:val="24"/>
        </w:rPr>
        <w:t xml:space="preserve"> company </w:t>
      </w:r>
      <w:r w:rsidR="00D5310D" w:rsidRPr="00A25ABC">
        <w:rPr>
          <w:rFonts w:ascii="Arial" w:hAnsi="Arial" w:cs="Arial"/>
          <w:sz w:val="24"/>
          <w:szCs w:val="24"/>
        </w:rPr>
        <w:t xml:space="preserve">(hence its </w:t>
      </w:r>
      <w:r w:rsidR="001446BC" w:rsidRPr="00A25ABC">
        <w:rPr>
          <w:rFonts w:ascii="Arial" w:hAnsi="Arial" w:cs="Arial"/>
          <w:sz w:val="24"/>
          <w:szCs w:val="24"/>
        </w:rPr>
        <w:t>designation as an “SOC”</w:t>
      </w:r>
      <w:r w:rsidR="00D5310D" w:rsidRPr="00A25ABC">
        <w:rPr>
          <w:rFonts w:ascii="Arial" w:hAnsi="Arial" w:cs="Arial"/>
          <w:sz w:val="24"/>
          <w:szCs w:val="24"/>
        </w:rPr>
        <w:t>) involved in the provision of air traffic navigation services</w:t>
      </w:r>
      <w:r w:rsidR="00145740" w:rsidRPr="00A25ABC">
        <w:rPr>
          <w:rFonts w:ascii="Arial" w:hAnsi="Arial" w:cs="Arial"/>
          <w:sz w:val="24"/>
          <w:szCs w:val="24"/>
        </w:rPr>
        <w:t xml:space="preserve">. </w:t>
      </w:r>
      <w:r w:rsidR="007D24D7" w:rsidRPr="00A25ABC">
        <w:rPr>
          <w:rFonts w:ascii="Arial" w:hAnsi="Arial" w:cs="Arial"/>
          <w:sz w:val="24"/>
          <w:szCs w:val="24"/>
        </w:rPr>
        <w:t>Like the applicant it discloses little else about its functions</w:t>
      </w:r>
      <w:r w:rsidR="00CB1C00" w:rsidRPr="00A25ABC">
        <w:rPr>
          <w:rFonts w:ascii="Arial" w:hAnsi="Arial" w:cs="Arial"/>
          <w:sz w:val="24"/>
          <w:szCs w:val="24"/>
        </w:rPr>
        <w:t>,</w:t>
      </w:r>
      <w:r w:rsidR="007D24D7" w:rsidRPr="00A25ABC">
        <w:rPr>
          <w:rFonts w:ascii="Arial" w:hAnsi="Arial" w:cs="Arial"/>
          <w:sz w:val="24"/>
          <w:szCs w:val="24"/>
        </w:rPr>
        <w:t xml:space="preserve"> but </w:t>
      </w:r>
      <w:r w:rsidR="007D24D7">
        <w:rPr>
          <w:rFonts w:ascii="Arial" w:hAnsi="Arial" w:cs="Arial"/>
          <w:sz w:val="24"/>
          <w:szCs w:val="24"/>
        </w:rPr>
        <w:t>this notwithstanding</w:t>
      </w:r>
      <w:r w:rsidR="00CB1C00">
        <w:rPr>
          <w:rFonts w:ascii="Arial" w:hAnsi="Arial" w:cs="Arial"/>
          <w:sz w:val="24"/>
          <w:szCs w:val="24"/>
        </w:rPr>
        <w:t>,</w:t>
      </w:r>
      <w:r w:rsidR="007D24D7">
        <w:rPr>
          <w:rFonts w:ascii="Arial" w:hAnsi="Arial" w:cs="Arial"/>
          <w:sz w:val="24"/>
          <w:szCs w:val="24"/>
        </w:rPr>
        <w:t xml:space="preserve"> </w:t>
      </w:r>
      <w:r w:rsidR="00CB1C00">
        <w:rPr>
          <w:rFonts w:ascii="Arial" w:hAnsi="Arial" w:cs="Arial"/>
          <w:sz w:val="24"/>
          <w:szCs w:val="24"/>
        </w:rPr>
        <w:t xml:space="preserve">the only </w:t>
      </w:r>
      <w:r w:rsidR="00145740">
        <w:rPr>
          <w:rFonts w:ascii="Arial" w:hAnsi="Arial" w:cs="Arial"/>
          <w:sz w:val="24"/>
          <w:szCs w:val="24"/>
        </w:rPr>
        <w:t>relevant</w:t>
      </w:r>
      <w:r w:rsidR="00861D81">
        <w:rPr>
          <w:rFonts w:ascii="Arial" w:hAnsi="Arial" w:cs="Arial"/>
          <w:sz w:val="24"/>
          <w:szCs w:val="24"/>
        </w:rPr>
        <w:t xml:space="preserve"> fact concerning it for present purposes</w:t>
      </w:r>
      <w:r w:rsidR="00A64B85">
        <w:rPr>
          <w:rFonts w:ascii="Arial" w:hAnsi="Arial" w:cs="Arial"/>
          <w:sz w:val="24"/>
          <w:szCs w:val="24"/>
        </w:rPr>
        <w:t xml:space="preserve"> </w:t>
      </w:r>
      <w:r w:rsidR="007D24D7">
        <w:rPr>
          <w:rFonts w:ascii="Arial" w:hAnsi="Arial" w:cs="Arial"/>
          <w:sz w:val="24"/>
          <w:szCs w:val="24"/>
        </w:rPr>
        <w:t>is that</w:t>
      </w:r>
      <w:r w:rsidR="00861D81">
        <w:rPr>
          <w:rFonts w:ascii="Arial" w:hAnsi="Arial" w:cs="Arial"/>
          <w:sz w:val="24"/>
          <w:szCs w:val="24"/>
        </w:rPr>
        <w:t xml:space="preserve"> it is a public body. </w:t>
      </w:r>
    </w:p>
    <w:p w14:paraId="51BBAF9A" w14:textId="7583154F" w:rsidR="002B2C3E" w:rsidRDefault="00CB1C00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reason this is relevant is that t</w:t>
      </w:r>
      <w:r w:rsidR="00AA0778">
        <w:rPr>
          <w:rFonts w:ascii="Arial" w:hAnsi="Arial" w:cs="Arial"/>
          <w:sz w:val="24"/>
          <w:szCs w:val="24"/>
        </w:rPr>
        <w:t xml:space="preserve">he application </w:t>
      </w:r>
      <w:r w:rsidR="001E51AC">
        <w:rPr>
          <w:rFonts w:ascii="Arial" w:hAnsi="Arial" w:cs="Arial"/>
          <w:sz w:val="24"/>
          <w:szCs w:val="24"/>
        </w:rPr>
        <w:t xml:space="preserve">has </w:t>
      </w:r>
      <w:r w:rsidR="007D24D7">
        <w:rPr>
          <w:rFonts w:ascii="Arial" w:hAnsi="Arial" w:cs="Arial"/>
          <w:sz w:val="24"/>
          <w:szCs w:val="24"/>
        </w:rPr>
        <w:t>been brought</w:t>
      </w:r>
      <w:r w:rsidR="00AA0778">
        <w:rPr>
          <w:rFonts w:ascii="Arial" w:hAnsi="Arial" w:cs="Arial"/>
          <w:sz w:val="24"/>
          <w:szCs w:val="24"/>
        </w:rPr>
        <w:t xml:space="preserve"> in terms of section 11 of PAIA which states</w:t>
      </w:r>
      <w:r w:rsidR="00E14C1B">
        <w:rPr>
          <w:rFonts w:ascii="Arial" w:hAnsi="Arial" w:cs="Arial"/>
          <w:sz w:val="24"/>
          <w:szCs w:val="24"/>
        </w:rPr>
        <w:t>:</w:t>
      </w:r>
    </w:p>
    <w:p w14:paraId="099F83C4" w14:textId="77777777" w:rsidR="008854CC" w:rsidRPr="00AD5F9C" w:rsidRDefault="008854CC" w:rsidP="00153EC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>(1) A requester must be given access to a record of a public body if-</w:t>
      </w:r>
    </w:p>
    <w:p w14:paraId="478EBE0F" w14:textId="3C9449EC" w:rsidR="008854CC" w:rsidRPr="00AD5F9C" w:rsidRDefault="008854CC" w:rsidP="00F829C5">
      <w:pPr>
        <w:spacing w:line="360" w:lineRule="auto"/>
        <w:ind w:left="92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>(a)   </w:t>
      </w:r>
      <w:proofErr w:type="gramStart"/>
      <w:r w:rsidRPr="00AD5F9C">
        <w:rPr>
          <w:rFonts w:ascii="Arial" w:hAnsi="Arial" w:cs="Arial"/>
          <w:sz w:val="24"/>
          <w:szCs w:val="24"/>
        </w:rPr>
        <w:t>that</w:t>
      </w:r>
      <w:proofErr w:type="gramEnd"/>
      <w:r w:rsidRPr="00AD5F9C">
        <w:rPr>
          <w:rFonts w:ascii="Arial" w:hAnsi="Arial" w:cs="Arial"/>
          <w:sz w:val="24"/>
          <w:szCs w:val="24"/>
        </w:rPr>
        <w:t xml:space="preserve"> requester complies with all the procedural requirements in this Act relating to a request for access to that record; and</w:t>
      </w:r>
    </w:p>
    <w:p w14:paraId="6DEB7A2D" w14:textId="4EBC66AC" w:rsidR="008854CC" w:rsidRPr="00AD5F9C" w:rsidRDefault="008854CC" w:rsidP="005A2C6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>(b)   </w:t>
      </w:r>
      <w:proofErr w:type="gramStart"/>
      <w:r w:rsidRPr="00AD5F9C">
        <w:rPr>
          <w:rFonts w:ascii="Arial" w:hAnsi="Arial" w:cs="Arial"/>
          <w:sz w:val="24"/>
          <w:szCs w:val="24"/>
        </w:rPr>
        <w:t>access</w:t>
      </w:r>
      <w:proofErr w:type="gramEnd"/>
      <w:r w:rsidRPr="00AD5F9C">
        <w:rPr>
          <w:rFonts w:ascii="Arial" w:hAnsi="Arial" w:cs="Arial"/>
          <w:sz w:val="24"/>
          <w:szCs w:val="24"/>
        </w:rPr>
        <w:t xml:space="preserve"> to that record is not refused in terms of any ground for refusal contemplated in Chapter 4 of this Part.</w:t>
      </w:r>
    </w:p>
    <w:p w14:paraId="37FECAA9" w14:textId="30E52D6E" w:rsidR="00DC02A5" w:rsidRPr="00AD5F9C" w:rsidRDefault="002841C2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>A public body is defined as:</w:t>
      </w:r>
    </w:p>
    <w:p w14:paraId="7850BA3F" w14:textId="74E2402A" w:rsidR="00912713" w:rsidRPr="00AD5F9C" w:rsidRDefault="00912713" w:rsidP="0051388F">
      <w:pPr>
        <w:spacing w:line="360" w:lineRule="auto"/>
        <w:ind w:left="92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lastRenderedPageBreak/>
        <w:t>'(</w:t>
      </w:r>
      <w:r w:rsidR="005402EA" w:rsidRPr="00AD5F9C">
        <w:rPr>
          <w:rFonts w:ascii="Arial" w:hAnsi="Arial" w:cs="Arial"/>
          <w:sz w:val="24"/>
          <w:szCs w:val="24"/>
        </w:rPr>
        <w:t>a) any</w:t>
      </w:r>
      <w:r w:rsidRPr="00AD5F9C">
        <w:rPr>
          <w:rFonts w:ascii="Arial" w:hAnsi="Arial" w:cs="Arial"/>
          <w:sz w:val="24"/>
          <w:szCs w:val="24"/>
        </w:rPr>
        <w:t xml:space="preserve"> department of state or administration in the national or provincial sphere of government or any municipality in the local sphere of government; or </w:t>
      </w:r>
    </w:p>
    <w:p w14:paraId="4C05E92A" w14:textId="343A439D" w:rsidR="00912713" w:rsidRPr="00AD5F9C" w:rsidRDefault="00912713" w:rsidP="0051388F">
      <w:pPr>
        <w:spacing w:line="360" w:lineRule="auto"/>
        <w:ind w:left="720" w:firstLine="20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 xml:space="preserve">(b)   </w:t>
      </w:r>
      <w:proofErr w:type="gramStart"/>
      <w:r w:rsidRPr="00AD5F9C">
        <w:rPr>
          <w:rFonts w:ascii="Arial" w:hAnsi="Arial" w:cs="Arial"/>
          <w:sz w:val="24"/>
          <w:szCs w:val="24"/>
        </w:rPr>
        <w:t>any</w:t>
      </w:r>
      <w:proofErr w:type="gramEnd"/>
      <w:r w:rsidRPr="00AD5F9C">
        <w:rPr>
          <w:rFonts w:ascii="Arial" w:hAnsi="Arial" w:cs="Arial"/>
          <w:sz w:val="24"/>
          <w:szCs w:val="24"/>
        </w:rPr>
        <w:t xml:space="preserve"> other functionary or institution when -</w:t>
      </w:r>
    </w:p>
    <w:p w14:paraId="19CEC7DA" w14:textId="4C13DA95" w:rsidR="00912713" w:rsidRPr="00AD5F9C" w:rsidRDefault="00912713" w:rsidP="0051388F">
      <w:pPr>
        <w:spacing w:line="360" w:lineRule="auto"/>
        <w:ind w:left="99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>(</w:t>
      </w:r>
      <w:proofErr w:type="spellStart"/>
      <w:r w:rsidRPr="00AD5F9C">
        <w:rPr>
          <w:rFonts w:ascii="Arial" w:hAnsi="Arial" w:cs="Arial"/>
          <w:sz w:val="24"/>
          <w:szCs w:val="24"/>
        </w:rPr>
        <w:t>i</w:t>
      </w:r>
      <w:proofErr w:type="spellEnd"/>
      <w:r w:rsidRPr="00AD5F9C">
        <w:rPr>
          <w:rFonts w:ascii="Arial" w:hAnsi="Arial" w:cs="Arial"/>
          <w:sz w:val="24"/>
          <w:szCs w:val="24"/>
        </w:rPr>
        <w:t xml:space="preserve">)   </w:t>
      </w:r>
      <w:proofErr w:type="gramStart"/>
      <w:r w:rsidRPr="00AD5F9C">
        <w:rPr>
          <w:rFonts w:ascii="Arial" w:hAnsi="Arial" w:cs="Arial"/>
          <w:sz w:val="24"/>
          <w:szCs w:val="24"/>
        </w:rPr>
        <w:t>exercising</w:t>
      </w:r>
      <w:proofErr w:type="gramEnd"/>
      <w:r w:rsidRPr="00AD5F9C">
        <w:rPr>
          <w:rFonts w:ascii="Arial" w:hAnsi="Arial" w:cs="Arial"/>
          <w:sz w:val="24"/>
          <w:szCs w:val="24"/>
        </w:rPr>
        <w:t xml:space="preserve"> a power or performing a duty in terms of the Constitution or a provincial constitution; or</w:t>
      </w:r>
    </w:p>
    <w:p w14:paraId="0A95683B" w14:textId="06747F6B" w:rsidR="00912713" w:rsidRPr="00AD5F9C" w:rsidRDefault="00912713" w:rsidP="0051388F">
      <w:pPr>
        <w:spacing w:line="360" w:lineRule="auto"/>
        <w:ind w:left="99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 xml:space="preserve">(ii)   </w:t>
      </w:r>
      <w:proofErr w:type="gramStart"/>
      <w:r w:rsidRPr="00AD5F9C">
        <w:rPr>
          <w:rFonts w:ascii="Arial" w:hAnsi="Arial" w:cs="Arial"/>
          <w:sz w:val="24"/>
          <w:szCs w:val="24"/>
        </w:rPr>
        <w:t>exercising</w:t>
      </w:r>
      <w:proofErr w:type="gramEnd"/>
      <w:r w:rsidRPr="00AD5F9C">
        <w:rPr>
          <w:rFonts w:ascii="Arial" w:hAnsi="Arial" w:cs="Arial"/>
          <w:sz w:val="24"/>
          <w:szCs w:val="24"/>
        </w:rPr>
        <w:t xml:space="preserve"> a public power or performing a public function in terms of any legislation'</w:t>
      </w:r>
    </w:p>
    <w:p w14:paraId="75E43486" w14:textId="51A8B0F6" w:rsidR="001F4186" w:rsidRPr="007264A6" w:rsidRDefault="001F4186" w:rsidP="00AD5F9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D5F9C">
        <w:rPr>
          <w:rFonts w:ascii="Arial" w:hAnsi="Arial" w:cs="Arial"/>
          <w:sz w:val="24"/>
          <w:szCs w:val="24"/>
        </w:rPr>
        <w:t xml:space="preserve">Since it is common cause that the respondent is a public </w:t>
      </w:r>
      <w:r w:rsidR="00634CB9" w:rsidRPr="00AD5F9C">
        <w:rPr>
          <w:rFonts w:ascii="Arial" w:hAnsi="Arial" w:cs="Arial"/>
          <w:sz w:val="24"/>
          <w:szCs w:val="24"/>
        </w:rPr>
        <w:t>body,</w:t>
      </w:r>
      <w:r w:rsidRPr="00AD5F9C">
        <w:rPr>
          <w:rFonts w:ascii="Arial" w:hAnsi="Arial" w:cs="Arial"/>
          <w:sz w:val="24"/>
          <w:szCs w:val="24"/>
        </w:rPr>
        <w:t xml:space="preserve"> it is not necessary </w:t>
      </w:r>
      <w:r w:rsidR="00C670CA" w:rsidRPr="00AD5F9C">
        <w:rPr>
          <w:rFonts w:ascii="Arial" w:hAnsi="Arial" w:cs="Arial"/>
          <w:sz w:val="24"/>
          <w:szCs w:val="24"/>
        </w:rPr>
        <w:t>for me to consider under which of these sub-paragraphs it qualifies to be such.</w:t>
      </w:r>
      <w:r w:rsidR="00B32F0B" w:rsidRPr="00AD5F9C">
        <w:rPr>
          <w:rFonts w:ascii="Arial" w:hAnsi="Arial" w:cs="Arial"/>
          <w:sz w:val="24"/>
          <w:szCs w:val="24"/>
        </w:rPr>
        <w:t xml:space="preserve"> </w:t>
      </w:r>
    </w:p>
    <w:p w14:paraId="78C70E69" w14:textId="77777777" w:rsidR="00DA154A" w:rsidRDefault="00DA154A" w:rsidP="007B7E26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41A4CEC" w14:textId="7DFD482E" w:rsidR="008C5F1D" w:rsidRPr="004A1FF6" w:rsidRDefault="008C5F1D" w:rsidP="004955E7">
      <w:pPr>
        <w:spacing w:line="360" w:lineRule="auto"/>
        <w:jc w:val="both"/>
        <w:rPr>
          <w:rFonts w:ascii="Arial" w:hAnsi="Arial" w:cs="Arial"/>
          <w:b/>
          <w:bCs/>
          <w:iCs/>
          <w:sz w:val="32"/>
          <w:szCs w:val="24"/>
        </w:rPr>
      </w:pPr>
      <w:r w:rsidRPr="004A1FF6">
        <w:rPr>
          <w:rFonts w:ascii="Arial" w:hAnsi="Arial" w:cs="Arial"/>
          <w:b/>
          <w:bCs/>
          <w:iCs/>
          <w:sz w:val="32"/>
          <w:szCs w:val="24"/>
        </w:rPr>
        <w:t>Background</w:t>
      </w:r>
    </w:p>
    <w:p w14:paraId="11D757C8" w14:textId="7E7ECCA8" w:rsidR="008C5F1D" w:rsidRPr="00947701" w:rsidRDefault="008C5F1D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 xml:space="preserve">In </w:t>
      </w:r>
      <w:r w:rsidR="00B42404" w:rsidRPr="00947701">
        <w:rPr>
          <w:rFonts w:ascii="Arial" w:hAnsi="Arial" w:cs="Arial"/>
          <w:sz w:val="24"/>
          <w:szCs w:val="24"/>
        </w:rPr>
        <w:t>March 2019,</w:t>
      </w:r>
      <w:r w:rsidR="00C22476" w:rsidRPr="00947701">
        <w:rPr>
          <w:rFonts w:ascii="Arial" w:hAnsi="Arial" w:cs="Arial"/>
          <w:sz w:val="24"/>
          <w:szCs w:val="24"/>
        </w:rPr>
        <w:t xml:space="preserve"> the respondent issued a tender for the </w:t>
      </w:r>
      <w:r w:rsidR="00F92561" w:rsidRPr="00947701">
        <w:rPr>
          <w:rFonts w:ascii="Arial" w:hAnsi="Arial" w:cs="Arial"/>
          <w:sz w:val="24"/>
          <w:szCs w:val="24"/>
        </w:rPr>
        <w:t xml:space="preserve">replacement of </w:t>
      </w:r>
      <w:r w:rsidR="00B35683" w:rsidRPr="00947701">
        <w:rPr>
          <w:rFonts w:ascii="Arial" w:hAnsi="Arial" w:cs="Arial"/>
          <w:sz w:val="24"/>
          <w:szCs w:val="24"/>
        </w:rPr>
        <w:t>its</w:t>
      </w:r>
      <w:r w:rsidR="00F92561" w:rsidRPr="00947701">
        <w:rPr>
          <w:rFonts w:ascii="Arial" w:hAnsi="Arial" w:cs="Arial"/>
          <w:sz w:val="24"/>
          <w:szCs w:val="24"/>
        </w:rPr>
        <w:t xml:space="preserve"> digital airfield information display</w:t>
      </w:r>
      <w:r w:rsidR="00CC5D7A" w:rsidRPr="00947701">
        <w:rPr>
          <w:rFonts w:ascii="Arial" w:hAnsi="Arial" w:cs="Arial"/>
          <w:sz w:val="24"/>
          <w:szCs w:val="24"/>
        </w:rPr>
        <w:t xml:space="preserve">. </w:t>
      </w:r>
      <w:r w:rsidR="00DA5502" w:rsidRPr="00947701">
        <w:rPr>
          <w:rFonts w:ascii="Arial" w:hAnsi="Arial" w:cs="Arial"/>
          <w:sz w:val="24"/>
          <w:szCs w:val="24"/>
        </w:rPr>
        <w:t>(Note</w:t>
      </w:r>
      <w:r w:rsidR="00CC5D7A" w:rsidRPr="00947701">
        <w:rPr>
          <w:rFonts w:ascii="Arial" w:hAnsi="Arial" w:cs="Arial"/>
          <w:sz w:val="24"/>
          <w:szCs w:val="24"/>
        </w:rPr>
        <w:t xml:space="preserve"> the respondent constantly refers to this solicitation as a </w:t>
      </w:r>
      <w:r w:rsidR="00D50412" w:rsidRPr="00947701">
        <w:rPr>
          <w:rFonts w:ascii="Arial" w:hAnsi="Arial" w:cs="Arial"/>
          <w:sz w:val="24"/>
          <w:szCs w:val="24"/>
        </w:rPr>
        <w:t>‘</w:t>
      </w:r>
      <w:r w:rsidR="00CC5D7A" w:rsidRPr="00947701">
        <w:rPr>
          <w:rFonts w:ascii="Arial" w:hAnsi="Arial" w:cs="Arial"/>
          <w:sz w:val="24"/>
          <w:szCs w:val="24"/>
        </w:rPr>
        <w:t>request for a proposal</w:t>
      </w:r>
      <w:r w:rsidR="00D50412" w:rsidRPr="00947701">
        <w:rPr>
          <w:rFonts w:ascii="Arial" w:hAnsi="Arial" w:cs="Arial"/>
          <w:sz w:val="24"/>
          <w:szCs w:val="24"/>
        </w:rPr>
        <w:t>’</w:t>
      </w:r>
      <w:r w:rsidR="00CC5D7A" w:rsidRPr="00947701">
        <w:rPr>
          <w:rFonts w:ascii="Arial" w:hAnsi="Arial" w:cs="Arial"/>
          <w:sz w:val="24"/>
          <w:szCs w:val="24"/>
        </w:rPr>
        <w:t xml:space="preserve"> whilst the applicant </w:t>
      </w:r>
      <w:r w:rsidR="002E162C" w:rsidRPr="00947701">
        <w:rPr>
          <w:rFonts w:ascii="Arial" w:hAnsi="Arial" w:cs="Arial"/>
          <w:sz w:val="24"/>
          <w:szCs w:val="24"/>
        </w:rPr>
        <w:t xml:space="preserve">refers to it as a </w:t>
      </w:r>
      <w:r w:rsidR="00D912DE" w:rsidRPr="00947701">
        <w:rPr>
          <w:rFonts w:ascii="Arial" w:hAnsi="Arial" w:cs="Arial"/>
          <w:sz w:val="24"/>
          <w:szCs w:val="24"/>
        </w:rPr>
        <w:t>tender,</w:t>
      </w:r>
      <w:r w:rsidR="002E162C" w:rsidRPr="00947701">
        <w:rPr>
          <w:rFonts w:ascii="Arial" w:hAnsi="Arial" w:cs="Arial"/>
          <w:sz w:val="24"/>
          <w:szCs w:val="24"/>
        </w:rPr>
        <w:t xml:space="preserve"> but not</w:t>
      </w:r>
      <w:r w:rsidR="00F11550" w:rsidRPr="00947701">
        <w:rPr>
          <w:rFonts w:ascii="Arial" w:hAnsi="Arial" w:cs="Arial"/>
          <w:sz w:val="24"/>
          <w:szCs w:val="24"/>
        </w:rPr>
        <w:t>h</w:t>
      </w:r>
      <w:r w:rsidR="002E162C" w:rsidRPr="00947701">
        <w:rPr>
          <w:rFonts w:ascii="Arial" w:hAnsi="Arial" w:cs="Arial"/>
          <w:sz w:val="24"/>
          <w:szCs w:val="24"/>
        </w:rPr>
        <w:t>ing turns on this distinction for the purpose of this case. I will refer to this</w:t>
      </w:r>
      <w:r w:rsidR="00E2214F" w:rsidRPr="00947701">
        <w:rPr>
          <w:rFonts w:ascii="Arial" w:hAnsi="Arial" w:cs="Arial"/>
          <w:sz w:val="24"/>
          <w:szCs w:val="24"/>
        </w:rPr>
        <w:t xml:space="preserve"> from now on</w:t>
      </w:r>
      <w:r w:rsidR="002E162C" w:rsidRPr="00947701">
        <w:rPr>
          <w:rFonts w:ascii="Arial" w:hAnsi="Arial" w:cs="Arial"/>
          <w:sz w:val="24"/>
          <w:szCs w:val="24"/>
        </w:rPr>
        <w:t xml:space="preserve"> as a tender</w:t>
      </w:r>
      <w:r w:rsidR="00270D2B" w:rsidRPr="00947701">
        <w:rPr>
          <w:rFonts w:ascii="Arial" w:hAnsi="Arial" w:cs="Arial"/>
          <w:sz w:val="24"/>
          <w:szCs w:val="24"/>
        </w:rPr>
        <w:t>.</w:t>
      </w:r>
      <w:r w:rsidR="002E162C" w:rsidRPr="00947701">
        <w:rPr>
          <w:rFonts w:ascii="Arial" w:hAnsi="Arial" w:cs="Arial"/>
          <w:sz w:val="24"/>
          <w:szCs w:val="24"/>
        </w:rPr>
        <w:t>)</w:t>
      </w:r>
    </w:p>
    <w:p w14:paraId="7E4CC269" w14:textId="4F505114" w:rsidR="00124F04" w:rsidRPr="00947701" w:rsidRDefault="002E162C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>The applicant along with other</w:t>
      </w:r>
      <w:r w:rsidR="00270D2B" w:rsidRPr="00947701">
        <w:rPr>
          <w:rFonts w:ascii="Arial" w:hAnsi="Arial" w:cs="Arial"/>
          <w:sz w:val="24"/>
          <w:szCs w:val="24"/>
        </w:rPr>
        <w:t xml:space="preserve"> bidders submitted a proposal.</w:t>
      </w:r>
      <w:r w:rsidR="001065A9" w:rsidRPr="00947701">
        <w:rPr>
          <w:rFonts w:ascii="Arial" w:hAnsi="Arial" w:cs="Arial"/>
          <w:sz w:val="24"/>
          <w:szCs w:val="24"/>
        </w:rPr>
        <w:t xml:space="preserve"> In </w:t>
      </w:r>
      <w:r w:rsidR="00B42404" w:rsidRPr="00947701">
        <w:rPr>
          <w:rFonts w:ascii="Arial" w:hAnsi="Arial" w:cs="Arial"/>
          <w:sz w:val="24"/>
          <w:szCs w:val="24"/>
        </w:rPr>
        <w:t>August 2019,</w:t>
      </w:r>
      <w:r w:rsidR="003C4A9C" w:rsidRPr="00947701">
        <w:rPr>
          <w:rFonts w:ascii="Arial" w:hAnsi="Arial" w:cs="Arial"/>
          <w:sz w:val="24"/>
          <w:szCs w:val="24"/>
        </w:rPr>
        <w:t xml:space="preserve"> the respondent requested the applicant to meet</w:t>
      </w:r>
      <w:r w:rsidR="00E2214F" w:rsidRPr="00947701">
        <w:rPr>
          <w:rFonts w:ascii="Arial" w:hAnsi="Arial" w:cs="Arial"/>
          <w:sz w:val="24"/>
          <w:szCs w:val="24"/>
        </w:rPr>
        <w:t xml:space="preserve"> with its committee considering the bid</w:t>
      </w:r>
      <w:r w:rsidR="00FB1E89" w:rsidRPr="0094770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1FC9" w:rsidRPr="00947701">
        <w:rPr>
          <w:rFonts w:ascii="Arial" w:hAnsi="Arial" w:cs="Arial"/>
          <w:sz w:val="24"/>
          <w:szCs w:val="24"/>
        </w:rPr>
        <w:t>Maapola</w:t>
      </w:r>
      <w:proofErr w:type="spellEnd"/>
      <w:r w:rsidR="00FB1E89" w:rsidRPr="00947701">
        <w:rPr>
          <w:rFonts w:ascii="Arial" w:hAnsi="Arial" w:cs="Arial"/>
          <w:sz w:val="24"/>
          <w:szCs w:val="24"/>
        </w:rPr>
        <w:t xml:space="preserve"> </w:t>
      </w:r>
      <w:r w:rsidR="00141601" w:rsidRPr="00947701">
        <w:rPr>
          <w:rFonts w:ascii="Arial" w:hAnsi="Arial" w:cs="Arial"/>
          <w:sz w:val="24"/>
          <w:szCs w:val="24"/>
        </w:rPr>
        <w:t xml:space="preserve">and two colleagues </w:t>
      </w:r>
      <w:r w:rsidR="00FB1E89" w:rsidRPr="00947701">
        <w:rPr>
          <w:rFonts w:ascii="Arial" w:hAnsi="Arial" w:cs="Arial"/>
          <w:sz w:val="24"/>
          <w:szCs w:val="24"/>
        </w:rPr>
        <w:t xml:space="preserve">attended the meeting and according to </w:t>
      </w:r>
      <w:r w:rsidR="00E11FC9" w:rsidRPr="00947701">
        <w:rPr>
          <w:rFonts w:ascii="Arial" w:hAnsi="Arial" w:cs="Arial"/>
          <w:sz w:val="24"/>
          <w:szCs w:val="24"/>
        </w:rPr>
        <w:t xml:space="preserve">him </w:t>
      </w:r>
      <w:r w:rsidR="00141601" w:rsidRPr="00947701">
        <w:rPr>
          <w:rFonts w:ascii="Arial" w:hAnsi="Arial" w:cs="Arial"/>
          <w:sz w:val="24"/>
          <w:szCs w:val="24"/>
        </w:rPr>
        <w:t>t</w:t>
      </w:r>
      <w:r w:rsidR="00E11FC9" w:rsidRPr="00947701">
        <w:rPr>
          <w:rFonts w:ascii="Arial" w:hAnsi="Arial" w:cs="Arial"/>
          <w:sz w:val="24"/>
          <w:szCs w:val="24"/>
        </w:rPr>
        <w:t>he</w:t>
      </w:r>
      <w:r w:rsidR="00141601" w:rsidRPr="00947701">
        <w:rPr>
          <w:rFonts w:ascii="Arial" w:hAnsi="Arial" w:cs="Arial"/>
          <w:sz w:val="24"/>
          <w:szCs w:val="24"/>
        </w:rPr>
        <w:t>y</w:t>
      </w:r>
      <w:r w:rsidR="00E11FC9" w:rsidRPr="00947701">
        <w:rPr>
          <w:rFonts w:ascii="Arial" w:hAnsi="Arial" w:cs="Arial"/>
          <w:sz w:val="24"/>
          <w:szCs w:val="24"/>
        </w:rPr>
        <w:t xml:space="preserve"> </w:t>
      </w:r>
      <w:r w:rsidR="00FA6B5F" w:rsidRPr="00947701">
        <w:rPr>
          <w:rFonts w:ascii="Arial" w:hAnsi="Arial" w:cs="Arial"/>
          <w:sz w:val="24"/>
          <w:szCs w:val="24"/>
        </w:rPr>
        <w:t xml:space="preserve">satisfactorily dealt with all </w:t>
      </w:r>
      <w:r w:rsidR="00DA5502" w:rsidRPr="00947701">
        <w:rPr>
          <w:rFonts w:ascii="Arial" w:hAnsi="Arial" w:cs="Arial"/>
          <w:sz w:val="24"/>
          <w:szCs w:val="24"/>
        </w:rPr>
        <w:t>their</w:t>
      </w:r>
      <w:r w:rsidR="00FA6B5F" w:rsidRPr="00947701">
        <w:rPr>
          <w:rFonts w:ascii="Arial" w:hAnsi="Arial" w:cs="Arial"/>
          <w:sz w:val="24"/>
          <w:szCs w:val="24"/>
        </w:rPr>
        <w:t xml:space="preserve"> queries</w:t>
      </w:r>
      <w:r w:rsidR="00C2443A" w:rsidRPr="00947701">
        <w:rPr>
          <w:rFonts w:ascii="Arial" w:hAnsi="Arial" w:cs="Arial"/>
          <w:sz w:val="24"/>
          <w:szCs w:val="24"/>
        </w:rPr>
        <w:t>.</w:t>
      </w:r>
      <w:r w:rsidR="005A34C3" w:rsidRPr="00947701">
        <w:rPr>
          <w:rFonts w:ascii="Arial" w:hAnsi="Arial" w:cs="Arial"/>
          <w:sz w:val="24"/>
          <w:szCs w:val="24"/>
        </w:rPr>
        <w:t xml:space="preserve"> I refer to this meeting from now on as the clarification meeting.</w:t>
      </w:r>
    </w:p>
    <w:p w14:paraId="265566A4" w14:textId="5E44F849" w:rsidR="002E162C" w:rsidRPr="00947701" w:rsidRDefault="00270D2B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>On 25 September</w:t>
      </w:r>
      <w:r w:rsidR="00603345" w:rsidRPr="00947701">
        <w:rPr>
          <w:rFonts w:ascii="Arial" w:hAnsi="Arial" w:cs="Arial"/>
          <w:sz w:val="24"/>
          <w:szCs w:val="24"/>
        </w:rPr>
        <w:t xml:space="preserve"> </w:t>
      </w:r>
      <w:r w:rsidR="005402EA" w:rsidRPr="00947701">
        <w:rPr>
          <w:rFonts w:ascii="Arial" w:hAnsi="Arial" w:cs="Arial"/>
          <w:sz w:val="24"/>
          <w:szCs w:val="24"/>
        </w:rPr>
        <w:t>2019, the</w:t>
      </w:r>
      <w:r w:rsidRPr="00947701">
        <w:rPr>
          <w:rFonts w:ascii="Arial" w:hAnsi="Arial" w:cs="Arial"/>
          <w:sz w:val="24"/>
          <w:szCs w:val="24"/>
        </w:rPr>
        <w:t xml:space="preserve"> respondent </w:t>
      </w:r>
      <w:r w:rsidR="00640FAF" w:rsidRPr="00947701">
        <w:rPr>
          <w:rFonts w:ascii="Arial" w:hAnsi="Arial" w:cs="Arial"/>
          <w:sz w:val="24"/>
          <w:szCs w:val="24"/>
        </w:rPr>
        <w:t xml:space="preserve">cancelled the tender and notified all the bidders. In the case of the </w:t>
      </w:r>
      <w:r w:rsidR="00DA5502" w:rsidRPr="00947701">
        <w:rPr>
          <w:rFonts w:ascii="Arial" w:hAnsi="Arial" w:cs="Arial"/>
          <w:sz w:val="24"/>
          <w:szCs w:val="24"/>
        </w:rPr>
        <w:t>applicant,</w:t>
      </w:r>
      <w:r w:rsidR="00640FAF" w:rsidRPr="00947701">
        <w:rPr>
          <w:rFonts w:ascii="Arial" w:hAnsi="Arial" w:cs="Arial"/>
          <w:sz w:val="24"/>
          <w:szCs w:val="24"/>
        </w:rPr>
        <w:t xml:space="preserve"> he was notified that </w:t>
      </w:r>
      <w:r w:rsidR="006A5C58" w:rsidRPr="00947701">
        <w:rPr>
          <w:rFonts w:ascii="Arial" w:hAnsi="Arial" w:cs="Arial"/>
          <w:sz w:val="24"/>
          <w:szCs w:val="24"/>
        </w:rPr>
        <w:t xml:space="preserve">a new tender would be </w:t>
      </w:r>
      <w:r w:rsidR="002D75B0" w:rsidRPr="00947701">
        <w:rPr>
          <w:rFonts w:ascii="Arial" w:hAnsi="Arial" w:cs="Arial"/>
          <w:sz w:val="24"/>
          <w:szCs w:val="24"/>
        </w:rPr>
        <w:t>issued</w:t>
      </w:r>
      <w:r w:rsidR="006A5C58" w:rsidRPr="00947701">
        <w:rPr>
          <w:rFonts w:ascii="Arial" w:hAnsi="Arial" w:cs="Arial"/>
          <w:sz w:val="24"/>
          <w:szCs w:val="24"/>
        </w:rPr>
        <w:t xml:space="preserve"> and </w:t>
      </w:r>
      <w:r w:rsidR="00C40018">
        <w:rPr>
          <w:rFonts w:ascii="Arial" w:hAnsi="Arial" w:cs="Arial"/>
          <w:sz w:val="24"/>
          <w:szCs w:val="24"/>
        </w:rPr>
        <w:t xml:space="preserve">that </w:t>
      </w:r>
      <w:r w:rsidR="006A5C58" w:rsidRPr="00947701">
        <w:rPr>
          <w:rFonts w:ascii="Arial" w:hAnsi="Arial" w:cs="Arial"/>
          <w:sz w:val="24"/>
          <w:szCs w:val="24"/>
        </w:rPr>
        <w:t>he would be entitled to bid again.</w:t>
      </w:r>
    </w:p>
    <w:p w14:paraId="3D5CE088" w14:textId="2E428316" w:rsidR="00C55439" w:rsidRPr="00947701" w:rsidRDefault="00DA5502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>However,</w:t>
      </w:r>
      <w:r w:rsidR="00C55439" w:rsidRPr="00947701">
        <w:rPr>
          <w:rFonts w:ascii="Arial" w:hAnsi="Arial" w:cs="Arial"/>
          <w:sz w:val="24"/>
          <w:szCs w:val="24"/>
        </w:rPr>
        <w:t xml:space="preserve"> what the applicant did was to </w:t>
      </w:r>
      <w:r w:rsidR="006738C0" w:rsidRPr="00947701">
        <w:rPr>
          <w:rFonts w:ascii="Arial" w:hAnsi="Arial" w:cs="Arial"/>
          <w:sz w:val="24"/>
          <w:szCs w:val="24"/>
        </w:rPr>
        <w:t xml:space="preserve">issue a series of requests for information regarding the cancelled bid. </w:t>
      </w:r>
      <w:r w:rsidR="00607485" w:rsidRPr="00947701">
        <w:rPr>
          <w:rFonts w:ascii="Arial" w:hAnsi="Arial" w:cs="Arial"/>
          <w:sz w:val="24"/>
          <w:szCs w:val="24"/>
        </w:rPr>
        <w:t>Overall</w:t>
      </w:r>
      <w:r w:rsidR="00F01916" w:rsidRPr="00947701">
        <w:rPr>
          <w:rFonts w:ascii="Arial" w:hAnsi="Arial" w:cs="Arial"/>
          <w:sz w:val="24"/>
          <w:szCs w:val="24"/>
        </w:rPr>
        <w:t>,</w:t>
      </w:r>
      <w:r w:rsidR="006738C0" w:rsidRPr="00947701">
        <w:rPr>
          <w:rFonts w:ascii="Arial" w:hAnsi="Arial" w:cs="Arial"/>
          <w:sz w:val="24"/>
          <w:szCs w:val="24"/>
        </w:rPr>
        <w:t xml:space="preserve"> he submitted four </w:t>
      </w:r>
      <w:r w:rsidR="008C4E80" w:rsidRPr="00947701">
        <w:rPr>
          <w:rFonts w:ascii="Arial" w:hAnsi="Arial" w:cs="Arial"/>
          <w:sz w:val="24"/>
          <w:szCs w:val="24"/>
        </w:rPr>
        <w:t xml:space="preserve">requests and two internal appeals </w:t>
      </w:r>
      <w:r w:rsidR="00F01916" w:rsidRPr="00947701">
        <w:rPr>
          <w:rFonts w:ascii="Arial" w:hAnsi="Arial" w:cs="Arial"/>
          <w:sz w:val="24"/>
          <w:szCs w:val="24"/>
        </w:rPr>
        <w:t>to the respondent</w:t>
      </w:r>
      <w:r w:rsidR="00603345" w:rsidRPr="00947701">
        <w:rPr>
          <w:rFonts w:ascii="Arial" w:hAnsi="Arial" w:cs="Arial"/>
          <w:sz w:val="24"/>
          <w:szCs w:val="24"/>
        </w:rPr>
        <w:t>,</w:t>
      </w:r>
      <w:r w:rsidR="00F01916" w:rsidRPr="00947701">
        <w:rPr>
          <w:rFonts w:ascii="Arial" w:hAnsi="Arial" w:cs="Arial"/>
          <w:sz w:val="24"/>
          <w:szCs w:val="24"/>
        </w:rPr>
        <w:t xml:space="preserve"> </w:t>
      </w:r>
      <w:r w:rsidR="008C4E80" w:rsidRPr="00947701">
        <w:rPr>
          <w:rFonts w:ascii="Arial" w:hAnsi="Arial" w:cs="Arial"/>
          <w:sz w:val="24"/>
          <w:szCs w:val="24"/>
        </w:rPr>
        <w:t xml:space="preserve">between February 2020 and </w:t>
      </w:r>
      <w:r w:rsidR="007B30C2" w:rsidRPr="00947701">
        <w:rPr>
          <w:rFonts w:ascii="Arial" w:hAnsi="Arial" w:cs="Arial"/>
          <w:sz w:val="24"/>
          <w:szCs w:val="24"/>
        </w:rPr>
        <w:t>February 2021</w:t>
      </w:r>
      <w:r w:rsidR="00D31A99" w:rsidRPr="00947701">
        <w:rPr>
          <w:rFonts w:ascii="Arial" w:hAnsi="Arial" w:cs="Arial"/>
          <w:sz w:val="24"/>
          <w:szCs w:val="24"/>
        </w:rPr>
        <w:t xml:space="preserve">. </w:t>
      </w:r>
      <w:r w:rsidR="00B750D9" w:rsidRPr="00947701">
        <w:rPr>
          <w:rFonts w:ascii="Arial" w:hAnsi="Arial" w:cs="Arial"/>
          <w:sz w:val="24"/>
          <w:szCs w:val="24"/>
        </w:rPr>
        <w:t xml:space="preserve">Since he </w:t>
      </w:r>
      <w:r w:rsidR="00B750D9" w:rsidRPr="00947701">
        <w:rPr>
          <w:rFonts w:ascii="Arial" w:hAnsi="Arial" w:cs="Arial"/>
          <w:sz w:val="24"/>
          <w:szCs w:val="24"/>
        </w:rPr>
        <w:lastRenderedPageBreak/>
        <w:t>instituted the present application in March 2020 it means a request had been made even after the commencement of the current litigation.</w:t>
      </w:r>
    </w:p>
    <w:p w14:paraId="718768D3" w14:textId="16F5E429" w:rsidR="00A50D97" w:rsidRPr="00947701" w:rsidRDefault="00A50D97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 xml:space="preserve">The respondent has furnished certain of the documentation requested. Importantly the </w:t>
      </w:r>
      <w:r w:rsidR="002172D8" w:rsidRPr="00947701">
        <w:rPr>
          <w:rFonts w:ascii="Arial" w:hAnsi="Arial" w:cs="Arial"/>
          <w:sz w:val="24"/>
          <w:szCs w:val="24"/>
        </w:rPr>
        <w:t xml:space="preserve">Technical evaluation report was furnished to him in </w:t>
      </w:r>
      <w:r w:rsidR="00DA5502" w:rsidRPr="00947701">
        <w:rPr>
          <w:rFonts w:ascii="Arial" w:hAnsi="Arial" w:cs="Arial"/>
          <w:sz w:val="24"/>
          <w:szCs w:val="24"/>
        </w:rPr>
        <w:t>September</w:t>
      </w:r>
      <w:r w:rsidR="002172D8" w:rsidRPr="00947701">
        <w:rPr>
          <w:rFonts w:ascii="Arial" w:hAnsi="Arial" w:cs="Arial"/>
          <w:sz w:val="24"/>
          <w:szCs w:val="24"/>
        </w:rPr>
        <w:t xml:space="preserve"> 2020. This report contains the </w:t>
      </w:r>
      <w:r w:rsidR="00627A7E" w:rsidRPr="00947701">
        <w:rPr>
          <w:rFonts w:ascii="Arial" w:hAnsi="Arial" w:cs="Arial"/>
          <w:sz w:val="24"/>
          <w:szCs w:val="24"/>
        </w:rPr>
        <w:t>B</w:t>
      </w:r>
      <w:r w:rsidR="00BA6789" w:rsidRPr="00947701">
        <w:rPr>
          <w:rFonts w:ascii="Arial" w:hAnsi="Arial" w:cs="Arial"/>
          <w:sz w:val="24"/>
          <w:szCs w:val="24"/>
        </w:rPr>
        <w:t xml:space="preserve">id </w:t>
      </w:r>
      <w:r w:rsidR="00627A7E" w:rsidRPr="00947701">
        <w:rPr>
          <w:rFonts w:ascii="Arial" w:hAnsi="Arial" w:cs="Arial"/>
          <w:sz w:val="24"/>
          <w:szCs w:val="24"/>
        </w:rPr>
        <w:t>E</w:t>
      </w:r>
      <w:r w:rsidR="00BA6789" w:rsidRPr="00947701">
        <w:rPr>
          <w:rFonts w:ascii="Arial" w:hAnsi="Arial" w:cs="Arial"/>
          <w:sz w:val="24"/>
          <w:szCs w:val="24"/>
        </w:rPr>
        <w:t xml:space="preserve">valuation </w:t>
      </w:r>
      <w:r w:rsidR="00627A7E" w:rsidRPr="00947701">
        <w:rPr>
          <w:rFonts w:ascii="Arial" w:hAnsi="Arial" w:cs="Arial"/>
          <w:sz w:val="24"/>
          <w:szCs w:val="24"/>
        </w:rPr>
        <w:t>C</w:t>
      </w:r>
      <w:r w:rsidR="00BA6789" w:rsidRPr="00947701">
        <w:rPr>
          <w:rFonts w:ascii="Arial" w:hAnsi="Arial" w:cs="Arial"/>
          <w:sz w:val="24"/>
          <w:szCs w:val="24"/>
        </w:rPr>
        <w:t>ommittee</w:t>
      </w:r>
      <w:r w:rsidR="005602D5" w:rsidRPr="00947701">
        <w:rPr>
          <w:rFonts w:ascii="Arial" w:hAnsi="Arial" w:cs="Arial"/>
          <w:sz w:val="24"/>
          <w:szCs w:val="24"/>
        </w:rPr>
        <w:t>’s</w:t>
      </w:r>
      <w:r w:rsidR="00BA6789" w:rsidRPr="00947701">
        <w:rPr>
          <w:rFonts w:ascii="Arial" w:hAnsi="Arial" w:cs="Arial"/>
          <w:sz w:val="24"/>
          <w:szCs w:val="24"/>
        </w:rPr>
        <w:t xml:space="preserve"> (BEC) evaluation of al</w:t>
      </w:r>
      <w:r w:rsidR="005602D5" w:rsidRPr="00947701">
        <w:rPr>
          <w:rFonts w:ascii="Arial" w:hAnsi="Arial" w:cs="Arial"/>
          <w:sz w:val="24"/>
          <w:szCs w:val="24"/>
        </w:rPr>
        <w:t>l</w:t>
      </w:r>
      <w:r w:rsidR="00BA6789" w:rsidRPr="00947701">
        <w:rPr>
          <w:rFonts w:ascii="Arial" w:hAnsi="Arial" w:cs="Arial"/>
          <w:sz w:val="24"/>
          <w:szCs w:val="24"/>
        </w:rPr>
        <w:t xml:space="preserve"> the bids, their </w:t>
      </w:r>
      <w:r w:rsidR="00B42404" w:rsidRPr="00947701">
        <w:rPr>
          <w:rFonts w:ascii="Arial" w:hAnsi="Arial" w:cs="Arial"/>
          <w:sz w:val="24"/>
          <w:szCs w:val="24"/>
        </w:rPr>
        <w:t>scoring</w:t>
      </w:r>
      <w:r w:rsidR="00BA6789" w:rsidRPr="00947701">
        <w:rPr>
          <w:rFonts w:ascii="Arial" w:hAnsi="Arial" w:cs="Arial"/>
          <w:sz w:val="24"/>
          <w:szCs w:val="24"/>
        </w:rPr>
        <w:t xml:space="preserve"> and the</w:t>
      </w:r>
      <w:r w:rsidR="005602D5" w:rsidRPr="00947701">
        <w:rPr>
          <w:rFonts w:ascii="Arial" w:hAnsi="Arial" w:cs="Arial"/>
          <w:sz w:val="24"/>
          <w:szCs w:val="24"/>
        </w:rPr>
        <w:t>ir</w:t>
      </w:r>
      <w:r w:rsidR="00BA6789" w:rsidRPr="00947701">
        <w:rPr>
          <w:rFonts w:ascii="Arial" w:hAnsi="Arial" w:cs="Arial"/>
          <w:sz w:val="24"/>
          <w:szCs w:val="24"/>
        </w:rPr>
        <w:t xml:space="preserve"> reasoning. </w:t>
      </w:r>
    </w:p>
    <w:p w14:paraId="08BE014E" w14:textId="0FD53BB9" w:rsidR="00BA6789" w:rsidRPr="00947701" w:rsidRDefault="009B56B7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>T</w:t>
      </w:r>
      <w:r w:rsidR="00BA6789" w:rsidRPr="00947701">
        <w:rPr>
          <w:rFonts w:ascii="Arial" w:hAnsi="Arial" w:cs="Arial"/>
          <w:sz w:val="24"/>
          <w:szCs w:val="24"/>
        </w:rPr>
        <w:t xml:space="preserve">he </w:t>
      </w:r>
      <w:r w:rsidR="00F90C05" w:rsidRPr="00947701">
        <w:rPr>
          <w:rFonts w:ascii="Arial" w:hAnsi="Arial" w:cs="Arial"/>
          <w:sz w:val="24"/>
          <w:szCs w:val="24"/>
        </w:rPr>
        <w:t xml:space="preserve">report </w:t>
      </w:r>
      <w:r w:rsidRPr="00947701">
        <w:rPr>
          <w:rFonts w:ascii="Arial" w:hAnsi="Arial" w:cs="Arial"/>
          <w:sz w:val="24"/>
          <w:szCs w:val="24"/>
        </w:rPr>
        <w:t>acknowledges</w:t>
      </w:r>
      <w:r w:rsidR="00F90C05" w:rsidRPr="00947701">
        <w:rPr>
          <w:rFonts w:ascii="Arial" w:hAnsi="Arial" w:cs="Arial"/>
          <w:sz w:val="24"/>
          <w:szCs w:val="24"/>
        </w:rPr>
        <w:t xml:space="preserve"> that the applicant had the lowest priced bid but also stated it was the least technical</w:t>
      </w:r>
      <w:r w:rsidR="00C40018">
        <w:rPr>
          <w:rFonts w:ascii="Arial" w:hAnsi="Arial" w:cs="Arial"/>
          <w:sz w:val="24"/>
          <w:szCs w:val="24"/>
        </w:rPr>
        <w:t>ly</w:t>
      </w:r>
      <w:r w:rsidR="00F90C05" w:rsidRPr="00947701">
        <w:rPr>
          <w:rFonts w:ascii="Arial" w:hAnsi="Arial" w:cs="Arial"/>
          <w:sz w:val="24"/>
          <w:szCs w:val="24"/>
        </w:rPr>
        <w:t xml:space="preserve"> compliant</w:t>
      </w:r>
      <w:r w:rsidR="00CD22A7" w:rsidRPr="00947701">
        <w:rPr>
          <w:rFonts w:ascii="Arial" w:hAnsi="Arial" w:cs="Arial"/>
          <w:sz w:val="24"/>
          <w:szCs w:val="24"/>
        </w:rPr>
        <w:t xml:space="preserve"> with the most risks associated with it.</w:t>
      </w:r>
      <w:r w:rsidR="005B091A" w:rsidRPr="00947701">
        <w:rPr>
          <w:rFonts w:ascii="Arial" w:hAnsi="Arial" w:cs="Arial"/>
          <w:sz w:val="24"/>
          <w:szCs w:val="24"/>
        </w:rPr>
        <w:t xml:space="preserve"> In addition</w:t>
      </w:r>
      <w:r w:rsidR="00743AAB" w:rsidRPr="00947701">
        <w:rPr>
          <w:rFonts w:ascii="Arial" w:hAnsi="Arial" w:cs="Arial"/>
          <w:sz w:val="24"/>
          <w:szCs w:val="24"/>
        </w:rPr>
        <w:t xml:space="preserve">, it noted, </w:t>
      </w:r>
      <w:r w:rsidR="00845ABE" w:rsidRPr="00947701">
        <w:rPr>
          <w:rFonts w:ascii="Arial" w:hAnsi="Arial" w:cs="Arial"/>
          <w:sz w:val="24"/>
          <w:szCs w:val="24"/>
        </w:rPr>
        <w:t xml:space="preserve">there was no evidence </w:t>
      </w:r>
      <w:r w:rsidR="00C40018">
        <w:rPr>
          <w:rFonts w:ascii="Arial" w:hAnsi="Arial" w:cs="Arial"/>
          <w:sz w:val="24"/>
          <w:szCs w:val="24"/>
        </w:rPr>
        <w:t xml:space="preserve">that </w:t>
      </w:r>
      <w:r w:rsidR="00F90C05" w:rsidRPr="00947701">
        <w:rPr>
          <w:rFonts w:ascii="Arial" w:hAnsi="Arial" w:cs="Arial"/>
          <w:sz w:val="24"/>
          <w:szCs w:val="24"/>
        </w:rPr>
        <w:t xml:space="preserve">the applicant had </w:t>
      </w:r>
      <w:r w:rsidR="00141601" w:rsidRPr="00947701">
        <w:rPr>
          <w:rFonts w:ascii="Arial" w:hAnsi="Arial" w:cs="Arial"/>
          <w:sz w:val="24"/>
          <w:szCs w:val="24"/>
        </w:rPr>
        <w:t>any past experience.</w:t>
      </w:r>
    </w:p>
    <w:p w14:paraId="4F519EB3" w14:textId="74ECD11E" w:rsidR="009C2F3F" w:rsidRPr="00947701" w:rsidRDefault="009C2F3F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 xml:space="preserve">At the end of the report the Technical committee asks </w:t>
      </w:r>
      <w:r w:rsidR="003D68D1" w:rsidRPr="00947701">
        <w:rPr>
          <w:rFonts w:ascii="Arial" w:hAnsi="Arial" w:cs="Arial"/>
          <w:sz w:val="24"/>
          <w:szCs w:val="24"/>
        </w:rPr>
        <w:t>the m</w:t>
      </w:r>
      <w:r w:rsidRPr="00947701">
        <w:rPr>
          <w:rFonts w:ascii="Arial" w:hAnsi="Arial" w:cs="Arial"/>
          <w:sz w:val="24"/>
          <w:szCs w:val="24"/>
        </w:rPr>
        <w:t xml:space="preserve">anagement </w:t>
      </w:r>
      <w:r w:rsidR="003D68D1" w:rsidRPr="00947701">
        <w:rPr>
          <w:rFonts w:ascii="Arial" w:hAnsi="Arial" w:cs="Arial"/>
          <w:sz w:val="24"/>
          <w:szCs w:val="24"/>
        </w:rPr>
        <w:t xml:space="preserve">of the respondent </w:t>
      </w:r>
      <w:r w:rsidR="007E38A0" w:rsidRPr="00947701">
        <w:rPr>
          <w:rFonts w:ascii="Arial" w:hAnsi="Arial" w:cs="Arial"/>
          <w:sz w:val="24"/>
          <w:szCs w:val="24"/>
        </w:rPr>
        <w:t xml:space="preserve">to advise </w:t>
      </w:r>
      <w:r w:rsidR="003D68D1" w:rsidRPr="00947701">
        <w:rPr>
          <w:rFonts w:ascii="Arial" w:hAnsi="Arial" w:cs="Arial"/>
          <w:sz w:val="24"/>
          <w:szCs w:val="24"/>
        </w:rPr>
        <w:t xml:space="preserve">it </w:t>
      </w:r>
      <w:r w:rsidR="007E38A0" w:rsidRPr="00947701">
        <w:rPr>
          <w:rFonts w:ascii="Arial" w:hAnsi="Arial" w:cs="Arial"/>
          <w:sz w:val="24"/>
          <w:szCs w:val="24"/>
        </w:rPr>
        <w:t xml:space="preserve">on the fact that the applicant has the lowest priced bid </w:t>
      </w:r>
      <w:r w:rsidR="0015521B" w:rsidRPr="00947701">
        <w:rPr>
          <w:rFonts w:ascii="Arial" w:hAnsi="Arial" w:cs="Arial"/>
          <w:sz w:val="24"/>
          <w:szCs w:val="24"/>
        </w:rPr>
        <w:t xml:space="preserve">but had risks the </w:t>
      </w:r>
      <w:r w:rsidR="00086825" w:rsidRPr="00947701">
        <w:rPr>
          <w:rFonts w:ascii="Arial" w:hAnsi="Arial" w:cs="Arial"/>
          <w:sz w:val="24"/>
          <w:szCs w:val="24"/>
        </w:rPr>
        <w:t>respondent “</w:t>
      </w:r>
      <w:r w:rsidR="001A428A" w:rsidRPr="00947701">
        <w:rPr>
          <w:rFonts w:ascii="Arial" w:hAnsi="Arial" w:cs="Arial"/>
          <w:sz w:val="24"/>
          <w:szCs w:val="24"/>
        </w:rPr>
        <w:t>…</w:t>
      </w:r>
      <w:r w:rsidR="00086825" w:rsidRPr="00947701">
        <w:rPr>
          <w:rFonts w:ascii="Arial" w:hAnsi="Arial" w:cs="Arial"/>
          <w:sz w:val="24"/>
          <w:szCs w:val="24"/>
        </w:rPr>
        <w:t xml:space="preserve"> cannot overlook.”</w:t>
      </w:r>
    </w:p>
    <w:p w14:paraId="7119E55F" w14:textId="66F8D953" w:rsidR="00141601" w:rsidRPr="00947701" w:rsidRDefault="00854E4E" w:rsidP="0094770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47701">
        <w:rPr>
          <w:rFonts w:ascii="Arial" w:hAnsi="Arial" w:cs="Arial"/>
          <w:sz w:val="24"/>
          <w:szCs w:val="24"/>
        </w:rPr>
        <w:t xml:space="preserve">This observation does not seem to have deterred </w:t>
      </w:r>
      <w:proofErr w:type="spellStart"/>
      <w:r w:rsidR="00141601" w:rsidRPr="00947701">
        <w:rPr>
          <w:rFonts w:ascii="Arial" w:hAnsi="Arial" w:cs="Arial"/>
          <w:sz w:val="24"/>
          <w:szCs w:val="24"/>
        </w:rPr>
        <w:t>M</w:t>
      </w:r>
      <w:r w:rsidR="003427AB" w:rsidRPr="00947701">
        <w:rPr>
          <w:rFonts w:ascii="Arial" w:hAnsi="Arial" w:cs="Arial"/>
          <w:sz w:val="24"/>
          <w:szCs w:val="24"/>
        </w:rPr>
        <w:t>aapol</w:t>
      </w:r>
      <w:r w:rsidR="00190F24" w:rsidRPr="00947701">
        <w:rPr>
          <w:rFonts w:ascii="Arial" w:hAnsi="Arial" w:cs="Arial"/>
          <w:sz w:val="24"/>
          <w:szCs w:val="24"/>
        </w:rPr>
        <w:t>a</w:t>
      </w:r>
      <w:proofErr w:type="spellEnd"/>
      <w:r w:rsidRPr="00947701">
        <w:rPr>
          <w:rFonts w:ascii="Arial" w:hAnsi="Arial" w:cs="Arial"/>
          <w:sz w:val="24"/>
          <w:szCs w:val="24"/>
        </w:rPr>
        <w:t>, who in his founding affidavit states</w:t>
      </w:r>
      <w:r w:rsidR="006F7087" w:rsidRPr="00947701">
        <w:rPr>
          <w:rFonts w:ascii="Arial" w:hAnsi="Arial" w:cs="Arial"/>
          <w:sz w:val="24"/>
          <w:szCs w:val="24"/>
        </w:rPr>
        <w:t>,</w:t>
      </w:r>
      <w:r w:rsidRPr="00947701">
        <w:rPr>
          <w:rFonts w:ascii="Arial" w:hAnsi="Arial" w:cs="Arial"/>
          <w:sz w:val="24"/>
          <w:szCs w:val="24"/>
        </w:rPr>
        <w:t xml:space="preserve"> </w:t>
      </w:r>
      <w:r w:rsidR="006F7087" w:rsidRPr="00947701">
        <w:rPr>
          <w:rFonts w:ascii="Arial" w:hAnsi="Arial" w:cs="Arial"/>
          <w:sz w:val="24"/>
          <w:szCs w:val="24"/>
        </w:rPr>
        <w:t xml:space="preserve">that </w:t>
      </w:r>
      <w:r w:rsidR="003427AB" w:rsidRPr="00947701">
        <w:rPr>
          <w:rFonts w:ascii="Arial" w:hAnsi="Arial" w:cs="Arial"/>
          <w:sz w:val="24"/>
          <w:szCs w:val="24"/>
        </w:rPr>
        <w:t xml:space="preserve">after </w:t>
      </w:r>
      <w:r w:rsidR="001856E9" w:rsidRPr="00947701">
        <w:rPr>
          <w:rFonts w:ascii="Arial" w:hAnsi="Arial" w:cs="Arial"/>
          <w:sz w:val="24"/>
          <w:szCs w:val="24"/>
        </w:rPr>
        <w:t>reviewing</w:t>
      </w:r>
      <w:r w:rsidR="00D63773" w:rsidRPr="00947701">
        <w:rPr>
          <w:rFonts w:ascii="Arial" w:hAnsi="Arial" w:cs="Arial"/>
          <w:sz w:val="24"/>
          <w:szCs w:val="24"/>
        </w:rPr>
        <w:t xml:space="preserve"> the documents disclosed to him </w:t>
      </w:r>
      <w:r w:rsidR="00190F24" w:rsidRPr="00947701">
        <w:rPr>
          <w:rFonts w:ascii="Arial" w:hAnsi="Arial" w:cs="Arial"/>
          <w:sz w:val="24"/>
          <w:szCs w:val="24"/>
        </w:rPr>
        <w:t>“…</w:t>
      </w:r>
      <w:r w:rsidR="00A17644" w:rsidRPr="00947701">
        <w:rPr>
          <w:rFonts w:ascii="Arial" w:hAnsi="Arial" w:cs="Arial"/>
          <w:sz w:val="24"/>
          <w:szCs w:val="24"/>
        </w:rPr>
        <w:t>I have gathered that the applicant had the best tender bid response.”</w:t>
      </w:r>
    </w:p>
    <w:p w14:paraId="2275632E" w14:textId="77777777" w:rsidR="00440E2A" w:rsidRDefault="00440E2A" w:rsidP="00962CBF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8170FE" w14:textId="623EE8C9" w:rsidR="007B30C2" w:rsidRPr="004A1FF6" w:rsidRDefault="00C36AA3" w:rsidP="00033E61">
      <w:pPr>
        <w:spacing w:line="360" w:lineRule="auto"/>
        <w:jc w:val="both"/>
        <w:rPr>
          <w:rFonts w:ascii="Arial" w:hAnsi="Arial" w:cs="Arial"/>
          <w:b/>
          <w:bCs/>
          <w:iCs/>
          <w:sz w:val="32"/>
          <w:szCs w:val="24"/>
        </w:rPr>
      </w:pPr>
      <w:r w:rsidRPr="004A1FF6">
        <w:rPr>
          <w:rFonts w:ascii="Arial" w:hAnsi="Arial" w:cs="Arial"/>
          <w:b/>
          <w:bCs/>
          <w:iCs/>
          <w:sz w:val="32"/>
          <w:szCs w:val="24"/>
        </w:rPr>
        <w:t>What information does the applicant seek?</w:t>
      </w:r>
    </w:p>
    <w:p w14:paraId="6FD44C33" w14:textId="60699DBB" w:rsidR="00C36AA3" w:rsidRPr="000B5E17" w:rsidRDefault="00C36AA3" w:rsidP="000B5E17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B5E17">
        <w:rPr>
          <w:rFonts w:ascii="Arial" w:hAnsi="Arial" w:cs="Arial"/>
          <w:sz w:val="24"/>
          <w:szCs w:val="24"/>
        </w:rPr>
        <w:t>Although not set out in the Notice of Motion the applicant seeks the following as he describes it:</w:t>
      </w:r>
    </w:p>
    <w:p w14:paraId="04CC11F1" w14:textId="1AF0CD9D" w:rsidR="00003172" w:rsidRPr="004A1FF6" w:rsidRDefault="00BF6998" w:rsidP="004A1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F6">
        <w:rPr>
          <w:rFonts w:ascii="Arial" w:hAnsi="Arial" w:cs="Arial"/>
          <w:sz w:val="24"/>
          <w:szCs w:val="24"/>
        </w:rPr>
        <w:t>Records</w:t>
      </w:r>
      <w:r w:rsidR="00612332" w:rsidRPr="004A1FF6">
        <w:rPr>
          <w:rFonts w:ascii="Arial" w:hAnsi="Arial" w:cs="Arial"/>
          <w:sz w:val="24"/>
          <w:szCs w:val="24"/>
        </w:rPr>
        <w:t xml:space="preserve"> and minutes</w:t>
      </w:r>
      <w:r w:rsidR="00003172" w:rsidRPr="004A1FF6">
        <w:rPr>
          <w:rFonts w:ascii="Arial" w:hAnsi="Arial" w:cs="Arial"/>
          <w:sz w:val="24"/>
          <w:szCs w:val="24"/>
        </w:rPr>
        <w:t xml:space="preserve"> of the clarification meeting;</w:t>
      </w:r>
    </w:p>
    <w:p w14:paraId="1762EF74" w14:textId="1CD487BD" w:rsidR="00003172" w:rsidRPr="004A1FF6" w:rsidRDefault="00BF6998" w:rsidP="004A1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F6">
        <w:rPr>
          <w:rFonts w:ascii="Arial" w:hAnsi="Arial" w:cs="Arial"/>
          <w:sz w:val="24"/>
          <w:szCs w:val="24"/>
        </w:rPr>
        <w:t>Notes of everyone on the B</w:t>
      </w:r>
      <w:r w:rsidR="002B6E25" w:rsidRPr="004A1FF6">
        <w:rPr>
          <w:rFonts w:ascii="Arial" w:hAnsi="Arial" w:cs="Arial"/>
          <w:sz w:val="24"/>
          <w:szCs w:val="24"/>
        </w:rPr>
        <w:t>EC</w:t>
      </w:r>
      <w:r w:rsidRPr="004A1FF6">
        <w:rPr>
          <w:rFonts w:ascii="Arial" w:hAnsi="Arial" w:cs="Arial"/>
          <w:sz w:val="24"/>
          <w:szCs w:val="24"/>
        </w:rPr>
        <w:t xml:space="preserve"> taken during the clarification meeting.</w:t>
      </w:r>
    </w:p>
    <w:p w14:paraId="7BE2E393" w14:textId="7AF5FDE3" w:rsidR="002867C3" w:rsidRPr="004A1FF6" w:rsidRDefault="002867C3" w:rsidP="004A1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1FF6">
        <w:rPr>
          <w:rFonts w:ascii="Arial" w:hAnsi="Arial" w:cs="Arial"/>
          <w:sz w:val="24"/>
          <w:szCs w:val="24"/>
        </w:rPr>
        <w:t xml:space="preserve">Further any documents evidencing the </w:t>
      </w:r>
      <w:r w:rsidR="001856E9" w:rsidRPr="004A1FF6">
        <w:rPr>
          <w:rFonts w:ascii="Arial" w:hAnsi="Arial" w:cs="Arial"/>
          <w:sz w:val="24"/>
          <w:szCs w:val="24"/>
        </w:rPr>
        <w:t>interaction</w:t>
      </w:r>
      <w:r w:rsidRPr="004A1FF6">
        <w:rPr>
          <w:rFonts w:ascii="Arial" w:hAnsi="Arial" w:cs="Arial"/>
          <w:sz w:val="24"/>
          <w:szCs w:val="24"/>
        </w:rPr>
        <w:t xml:space="preserve"> between the respondent</w:t>
      </w:r>
      <w:r w:rsidR="004A1FF6">
        <w:rPr>
          <w:rFonts w:ascii="Arial" w:hAnsi="Arial" w:cs="Arial"/>
          <w:sz w:val="24"/>
          <w:szCs w:val="24"/>
        </w:rPr>
        <w:t>’</w:t>
      </w:r>
      <w:r w:rsidRPr="004A1FF6">
        <w:rPr>
          <w:rFonts w:ascii="Arial" w:hAnsi="Arial" w:cs="Arial"/>
          <w:sz w:val="24"/>
          <w:szCs w:val="24"/>
        </w:rPr>
        <w:t xml:space="preserve">s management </w:t>
      </w:r>
      <w:r w:rsidR="00050C56" w:rsidRPr="004A1FF6">
        <w:rPr>
          <w:rFonts w:ascii="Arial" w:hAnsi="Arial" w:cs="Arial"/>
          <w:sz w:val="24"/>
          <w:szCs w:val="24"/>
        </w:rPr>
        <w:t xml:space="preserve">committee </w:t>
      </w:r>
      <w:r w:rsidR="004F0EAF" w:rsidRPr="004A1FF6">
        <w:rPr>
          <w:rFonts w:ascii="Arial" w:hAnsi="Arial" w:cs="Arial"/>
          <w:sz w:val="24"/>
          <w:szCs w:val="24"/>
        </w:rPr>
        <w:t>and the members of the BEC.</w:t>
      </w:r>
    </w:p>
    <w:p w14:paraId="07D3B0F5" w14:textId="725C52A4" w:rsidR="004F0EAF" w:rsidRPr="000B5E17" w:rsidRDefault="004F0EAF" w:rsidP="000B5E17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B5E17">
        <w:rPr>
          <w:rFonts w:ascii="Arial" w:hAnsi="Arial" w:cs="Arial"/>
          <w:sz w:val="24"/>
          <w:szCs w:val="24"/>
        </w:rPr>
        <w:t xml:space="preserve">I have described them more broadly </w:t>
      </w:r>
      <w:r w:rsidR="00D21E5D" w:rsidRPr="000B5E17">
        <w:rPr>
          <w:rFonts w:ascii="Arial" w:hAnsi="Arial" w:cs="Arial"/>
          <w:sz w:val="24"/>
          <w:szCs w:val="24"/>
        </w:rPr>
        <w:t>than they are in the letter but since the dispute does not turn on any individual item</w:t>
      </w:r>
      <w:r w:rsidR="007908AB" w:rsidRPr="000B5E17">
        <w:rPr>
          <w:rFonts w:ascii="Arial" w:hAnsi="Arial" w:cs="Arial"/>
          <w:sz w:val="24"/>
          <w:szCs w:val="24"/>
        </w:rPr>
        <w:t xml:space="preserve"> this suffices</w:t>
      </w:r>
      <w:r w:rsidR="009A289F" w:rsidRPr="000B5E17">
        <w:rPr>
          <w:rFonts w:ascii="Arial" w:hAnsi="Arial" w:cs="Arial"/>
          <w:sz w:val="24"/>
          <w:szCs w:val="24"/>
        </w:rPr>
        <w:t>.</w:t>
      </w:r>
    </w:p>
    <w:p w14:paraId="256679C2" w14:textId="77777777" w:rsidR="00E10802" w:rsidRPr="004A1FF6" w:rsidRDefault="00E10802" w:rsidP="004A1FF6">
      <w:pPr>
        <w:pStyle w:val="ListParagraph"/>
        <w:spacing w:line="360" w:lineRule="auto"/>
        <w:ind w:left="0"/>
        <w:rPr>
          <w:rFonts w:ascii="Arial" w:hAnsi="Arial" w:cs="Arial"/>
          <w:b/>
          <w:bCs/>
          <w:color w:val="000000"/>
          <w:sz w:val="36"/>
          <w:szCs w:val="24"/>
        </w:rPr>
      </w:pPr>
    </w:p>
    <w:p w14:paraId="17563B07" w14:textId="547847C7" w:rsidR="009A289F" w:rsidRPr="004A1FF6" w:rsidRDefault="009A289F" w:rsidP="00033E61">
      <w:pPr>
        <w:spacing w:line="360" w:lineRule="auto"/>
        <w:jc w:val="both"/>
        <w:rPr>
          <w:rFonts w:ascii="Arial" w:hAnsi="Arial" w:cs="Arial"/>
          <w:b/>
          <w:bCs/>
          <w:iCs/>
          <w:sz w:val="32"/>
          <w:szCs w:val="24"/>
        </w:rPr>
      </w:pPr>
      <w:r w:rsidRPr="004A1FF6">
        <w:rPr>
          <w:rFonts w:ascii="Arial" w:hAnsi="Arial" w:cs="Arial"/>
          <w:b/>
          <w:bCs/>
          <w:iCs/>
          <w:sz w:val="32"/>
          <w:szCs w:val="24"/>
        </w:rPr>
        <w:lastRenderedPageBreak/>
        <w:t xml:space="preserve">Respondent’s response </w:t>
      </w:r>
    </w:p>
    <w:p w14:paraId="1C1F20C5" w14:textId="46E01ED6" w:rsidR="009A289F" w:rsidRPr="003545B9" w:rsidRDefault="004B112A" w:rsidP="003545B9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545B9">
        <w:rPr>
          <w:rFonts w:ascii="Arial" w:hAnsi="Arial" w:cs="Arial"/>
          <w:sz w:val="24"/>
          <w:szCs w:val="24"/>
        </w:rPr>
        <w:t xml:space="preserve">There have been various responses from staff of the respondent over this period to the request. But its final position can be summed up thus; it has furnished the applicant with the minutes of the </w:t>
      </w:r>
      <w:r w:rsidR="00BB5E0A" w:rsidRPr="003545B9">
        <w:rPr>
          <w:rFonts w:ascii="Arial" w:hAnsi="Arial" w:cs="Arial"/>
          <w:sz w:val="24"/>
          <w:szCs w:val="24"/>
        </w:rPr>
        <w:t xml:space="preserve">clarification meeting and the </w:t>
      </w:r>
      <w:r w:rsidR="002D5E93" w:rsidRPr="003545B9">
        <w:rPr>
          <w:rFonts w:ascii="Arial" w:hAnsi="Arial" w:cs="Arial"/>
          <w:sz w:val="24"/>
          <w:szCs w:val="24"/>
        </w:rPr>
        <w:t xml:space="preserve">report of the </w:t>
      </w:r>
      <w:r w:rsidR="00BB5E0A" w:rsidRPr="003545B9">
        <w:rPr>
          <w:rFonts w:ascii="Arial" w:hAnsi="Arial" w:cs="Arial"/>
          <w:sz w:val="24"/>
          <w:szCs w:val="24"/>
        </w:rPr>
        <w:t xml:space="preserve">technical </w:t>
      </w:r>
      <w:r w:rsidR="002D5E93" w:rsidRPr="003545B9">
        <w:rPr>
          <w:rFonts w:ascii="Arial" w:hAnsi="Arial" w:cs="Arial"/>
          <w:sz w:val="24"/>
          <w:szCs w:val="24"/>
        </w:rPr>
        <w:t>committee which evaluated the bids; the tender has in any event been cancelled; it has not refused access</w:t>
      </w:r>
      <w:r w:rsidR="00753355" w:rsidRPr="003545B9">
        <w:rPr>
          <w:rFonts w:ascii="Arial" w:hAnsi="Arial" w:cs="Arial"/>
          <w:sz w:val="24"/>
          <w:szCs w:val="24"/>
        </w:rPr>
        <w:t xml:space="preserve"> to the remaining documents </w:t>
      </w:r>
      <w:r w:rsidR="00F72DE9" w:rsidRPr="003545B9">
        <w:rPr>
          <w:rFonts w:ascii="Arial" w:hAnsi="Arial" w:cs="Arial"/>
          <w:sz w:val="24"/>
          <w:szCs w:val="24"/>
        </w:rPr>
        <w:t>requested but</w:t>
      </w:r>
      <w:r w:rsidR="002D5E93" w:rsidRPr="003545B9">
        <w:rPr>
          <w:rFonts w:ascii="Arial" w:hAnsi="Arial" w:cs="Arial"/>
          <w:sz w:val="24"/>
          <w:szCs w:val="24"/>
        </w:rPr>
        <w:t xml:space="preserve"> sought clarification for what is being sought</w:t>
      </w:r>
      <w:r w:rsidR="00C31695" w:rsidRPr="003545B9">
        <w:rPr>
          <w:rFonts w:ascii="Arial" w:hAnsi="Arial" w:cs="Arial"/>
          <w:sz w:val="24"/>
          <w:szCs w:val="24"/>
        </w:rPr>
        <w:t>;</w:t>
      </w:r>
      <w:r w:rsidR="007F7530" w:rsidRPr="003545B9">
        <w:rPr>
          <w:rFonts w:ascii="Arial" w:hAnsi="Arial" w:cs="Arial"/>
          <w:sz w:val="24"/>
          <w:szCs w:val="24"/>
        </w:rPr>
        <w:t xml:space="preserve"> clarification </w:t>
      </w:r>
      <w:r w:rsidR="00C31695" w:rsidRPr="003545B9">
        <w:rPr>
          <w:rFonts w:ascii="Arial" w:hAnsi="Arial" w:cs="Arial"/>
          <w:sz w:val="24"/>
          <w:szCs w:val="24"/>
        </w:rPr>
        <w:t xml:space="preserve">that </w:t>
      </w:r>
      <w:r w:rsidR="007F7530" w:rsidRPr="003545B9">
        <w:rPr>
          <w:rFonts w:ascii="Arial" w:hAnsi="Arial" w:cs="Arial"/>
          <w:sz w:val="24"/>
          <w:szCs w:val="24"/>
        </w:rPr>
        <w:t>has never been provided.</w:t>
      </w:r>
      <w:r w:rsidR="009619E1" w:rsidRPr="003545B9">
        <w:rPr>
          <w:rFonts w:ascii="Arial" w:hAnsi="Arial" w:cs="Arial"/>
          <w:sz w:val="24"/>
          <w:szCs w:val="24"/>
        </w:rPr>
        <w:t xml:space="preserve"> Thus</w:t>
      </w:r>
      <w:r w:rsidR="00161514" w:rsidRPr="003545B9">
        <w:rPr>
          <w:rFonts w:ascii="Arial" w:hAnsi="Arial" w:cs="Arial"/>
          <w:sz w:val="24"/>
          <w:szCs w:val="24"/>
        </w:rPr>
        <w:t>,</w:t>
      </w:r>
      <w:r w:rsidR="009619E1" w:rsidRPr="003545B9">
        <w:rPr>
          <w:rFonts w:ascii="Arial" w:hAnsi="Arial" w:cs="Arial"/>
          <w:sz w:val="24"/>
          <w:szCs w:val="24"/>
        </w:rPr>
        <w:t xml:space="preserve"> the </w:t>
      </w:r>
      <w:r w:rsidR="00131A42" w:rsidRPr="003545B9">
        <w:rPr>
          <w:rFonts w:ascii="Arial" w:hAnsi="Arial" w:cs="Arial"/>
          <w:sz w:val="24"/>
          <w:szCs w:val="24"/>
        </w:rPr>
        <w:t>legal and compliance officer wrote back to indicate the uncertainty:</w:t>
      </w:r>
    </w:p>
    <w:p w14:paraId="4EBAF3E4" w14:textId="5B0899AB" w:rsidR="00B7508C" w:rsidRPr="003545B9" w:rsidRDefault="00161514" w:rsidP="003545B9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545B9">
        <w:rPr>
          <w:rFonts w:ascii="Arial" w:hAnsi="Arial" w:cs="Arial"/>
          <w:sz w:val="24"/>
          <w:szCs w:val="24"/>
        </w:rPr>
        <w:t>“…</w:t>
      </w:r>
      <w:r w:rsidR="008B0715" w:rsidRPr="003545B9">
        <w:rPr>
          <w:rFonts w:ascii="Arial" w:hAnsi="Arial" w:cs="Arial"/>
          <w:sz w:val="24"/>
          <w:szCs w:val="24"/>
        </w:rPr>
        <w:t xml:space="preserve">we can </w:t>
      </w:r>
      <w:proofErr w:type="gramStart"/>
      <w:r w:rsidR="008B0715" w:rsidRPr="003545B9">
        <w:rPr>
          <w:rFonts w:ascii="Arial" w:hAnsi="Arial" w:cs="Arial"/>
          <w:sz w:val="24"/>
          <w:szCs w:val="24"/>
        </w:rPr>
        <w:t>neither confirm or</w:t>
      </w:r>
      <w:proofErr w:type="gramEnd"/>
      <w:r w:rsidR="008B0715" w:rsidRPr="003545B9">
        <w:rPr>
          <w:rFonts w:ascii="Arial" w:hAnsi="Arial" w:cs="Arial"/>
          <w:sz w:val="24"/>
          <w:szCs w:val="24"/>
        </w:rPr>
        <w:t xml:space="preserve"> </w:t>
      </w:r>
      <w:r w:rsidR="001856E9" w:rsidRPr="003545B9">
        <w:rPr>
          <w:rFonts w:ascii="Arial" w:hAnsi="Arial" w:cs="Arial"/>
          <w:sz w:val="24"/>
          <w:szCs w:val="24"/>
        </w:rPr>
        <w:t>deny</w:t>
      </w:r>
      <w:r w:rsidR="008B0715" w:rsidRPr="003545B9">
        <w:rPr>
          <w:rFonts w:ascii="Arial" w:hAnsi="Arial" w:cs="Arial"/>
          <w:sz w:val="24"/>
          <w:szCs w:val="24"/>
        </w:rPr>
        <w:t xml:space="preserve"> the existence of the documents in your</w:t>
      </w:r>
      <w:r w:rsidR="005402EA" w:rsidRPr="003545B9">
        <w:rPr>
          <w:rFonts w:ascii="Arial" w:hAnsi="Arial" w:cs="Arial"/>
          <w:sz w:val="24"/>
          <w:szCs w:val="24"/>
        </w:rPr>
        <w:t xml:space="preserve"> ...</w:t>
      </w:r>
      <w:r w:rsidR="008B0715" w:rsidRPr="003545B9">
        <w:rPr>
          <w:rFonts w:ascii="Arial" w:hAnsi="Arial" w:cs="Arial"/>
          <w:sz w:val="24"/>
          <w:szCs w:val="24"/>
        </w:rPr>
        <w:t xml:space="preserve"> form.</w:t>
      </w:r>
      <w:r w:rsidR="003D216B" w:rsidRPr="003545B9">
        <w:rPr>
          <w:rFonts w:ascii="Arial" w:hAnsi="Arial" w:cs="Arial"/>
          <w:sz w:val="24"/>
          <w:szCs w:val="24"/>
        </w:rPr>
        <w:t xml:space="preserve"> This is mainly due to the fact that we are not sure what is being requested </w:t>
      </w:r>
      <w:r w:rsidR="00991871" w:rsidRPr="003545B9">
        <w:rPr>
          <w:rFonts w:ascii="Arial" w:hAnsi="Arial" w:cs="Arial"/>
          <w:sz w:val="24"/>
          <w:szCs w:val="24"/>
        </w:rPr>
        <w:t xml:space="preserve">or even aware of the existence of </w:t>
      </w:r>
      <w:r w:rsidR="00E75964" w:rsidRPr="003545B9">
        <w:rPr>
          <w:rFonts w:ascii="Arial" w:hAnsi="Arial" w:cs="Arial"/>
          <w:sz w:val="24"/>
          <w:szCs w:val="24"/>
        </w:rPr>
        <w:t xml:space="preserve">such </w:t>
      </w:r>
      <w:r w:rsidR="00F72DE9" w:rsidRPr="003545B9">
        <w:rPr>
          <w:rFonts w:ascii="Arial" w:hAnsi="Arial" w:cs="Arial"/>
          <w:sz w:val="24"/>
          <w:szCs w:val="24"/>
        </w:rPr>
        <w:t>documents thus</w:t>
      </w:r>
      <w:r w:rsidR="00E75964" w:rsidRPr="003545B9">
        <w:rPr>
          <w:rFonts w:ascii="Arial" w:hAnsi="Arial" w:cs="Arial"/>
          <w:sz w:val="24"/>
          <w:szCs w:val="24"/>
        </w:rPr>
        <w:t xml:space="preserve"> we seek from yourselves</w:t>
      </w:r>
      <w:r w:rsidR="000777BC" w:rsidRPr="003545B9">
        <w:rPr>
          <w:rFonts w:ascii="Arial" w:hAnsi="Arial" w:cs="Arial"/>
          <w:sz w:val="24"/>
          <w:szCs w:val="24"/>
        </w:rPr>
        <w:t xml:space="preserve">, a more detailed and clarified description thereof </w:t>
      </w:r>
      <w:r w:rsidR="00B7508C" w:rsidRPr="003545B9">
        <w:rPr>
          <w:rFonts w:ascii="Arial" w:hAnsi="Arial" w:cs="Arial"/>
          <w:sz w:val="24"/>
          <w:szCs w:val="24"/>
        </w:rPr>
        <w:t>in order to adequately respond to you.”</w:t>
      </w:r>
    </w:p>
    <w:p w14:paraId="7AE29E5B" w14:textId="723EB1FD" w:rsidR="00F72DE9" w:rsidRPr="003545B9" w:rsidRDefault="00B7508C" w:rsidP="003545B9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545B9">
        <w:rPr>
          <w:rFonts w:ascii="Arial" w:hAnsi="Arial" w:cs="Arial"/>
          <w:sz w:val="24"/>
          <w:szCs w:val="24"/>
        </w:rPr>
        <w:t xml:space="preserve">The </w:t>
      </w:r>
      <w:r w:rsidR="00F72DE9" w:rsidRPr="003545B9">
        <w:rPr>
          <w:rFonts w:ascii="Arial" w:hAnsi="Arial" w:cs="Arial"/>
          <w:sz w:val="24"/>
          <w:szCs w:val="24"/>
        </w:rPr>
        <w:t>applicant’s response</w:t>
      </w:r>
      <w:r w:rsidR="00CF5443" w:rsidRPr="003545B9">
        <w:rPr>
          <w:rFonts w:ascii="Arial" w:hAnsi="Arial" w:cs="Arial"/>
          <w:sz w:val="24"/>
          <w:szCs w:val="24"/>
        </w:rPr>
        <w:t xml:space="preserve"> </w:t>
      </w:r>
      <w:r w:rsidR="00475855" w:rsidRPr="003545B9">
        <w:rPr>
          <w:rFonts w:ascii="Arial" w:hAnsi="Arial" w:cs="Arial"/>
          <w:sz w:val="24"/>
          <w:szCs w:val="24"/>
        </w:rPr>
        <w:t>was that sufficient particularity had been given and that not</w:t>
      </w:r>
      <w:r w:rsidR="00CF5443" w:rsidRPr="003545B9">
        <w:rPr>
          <w:rFonts w:ascii="Arial" w:hAnsi="Arial" w:cs="Arial"/>
          <w:sz w:val="24"/>
          <w:szCs w:val="24"/>
        </w:rPr>
        <w:t>h</w:t>
      </w:r>
      <w:r w:rsidR="00475855" w:rsidRPr="003545B9">
        <w:rPr>
          <w:rFonts w:ascii="Arial" w:hAnsi="Arial" w:cs="Arial"/>
          <w:sz w:val="24"/>
          <w:szCs w:val="24"/>
        </w:rPr>
        <w:t xml:space="preserve">ing further needed </w:t>
      </w:r>
      <w:r w:rsidR="0002406D" w:rsidRPr="003545B9">
        <w:rPr>
          <w:rFonts w:ascii="Arial" w:hAnsi="Arial" w:cs="Arial"/>
          <w:sz w:val="24"/>
          <w:szCs w:val="24"/>
        </w:rPr>
        <w:t xml:space="preserve">to </w:t>
      </w:r>
      <w:r w:rsidR="00475855" w:rsidRPr="003545B9">
        <w:rPr>
          <w:rFonts w:ascii="Arial" w:hAnsi="Arial" w:cs="Arial"/>
          <w:sz w:val="24"/>
          <w:szCs w:val="24"/>
        </w:rPr>
        <w:t>be provided</w:t>
      </w:r>
      <w:r w:rsidR="00CF5443" w:rsidRPr="003545B9">
        <w:rPr>
          <w:rFonts w:ascii="Arial" w:hAnsi="Arial" w:cs="Arial"/>
          <w:sz w:val="24"/>
          <w:szCs w:val="24"/>
        </w:rPr>
        <w:t xml:space="preserve"> to the respondent to enable it to comply. This remain</w:t>
      </w:r>
      <w:r w:rsidR="004A1FF6">
        <w:rPr>
          <w:rFonts w:ascii="Arial" w:hAnsi="Arial" w:cs="Arial"/>
          <w:sz w:val="24"/>
          <w:szCs w:val="24"/>
        </w:rPr>
        <w:t>ed</w:t>
      </w:r>
      <w:r w:rsidR="00CF5443" w:rsidRPr="003545B9">
        <w:rPr>
          <w:rFonts w:ascii="Arial" w:hAnsi="Arial" w:cs="Arial"/>
          <w:sz w:val="24"/>
          <w:szCs w:val="24"/>
        </w:rPr>
        <w:t xml:space="preserve"> </w:t>
      </w:r>
      <w:r w:rsidR="004A1FF6">
        <w:rPr>
          <w:rFonts w:ascii="Arial" w:hAnsi="Arial" w:cs="Arial"/>
          <w:sz w:val="24"/>
          <w:szCs w:val="24"/>
        </w:rPr>
        <w:t>the applicant’s</w:t>
      </w:r>
      <w:r w:rsidR="00CF5443" w:rsidRPr="003545B9">
        <w:rPr>
          <w:rFonts w:ascii="Arial" w:hAnsi="Arial" w:cs="Arial"/>
          <w:sz w:val="24"/>
          <w:szCs w:val="24"/>
        </w:rPr>
        <w:t xml:space="preserve"> position in the litigation.</w:t>
      </w:r>
    </w:p>
    <w:p w14:paraId="1355C3A3" w14:textId="77777777" w:rsidR="00964E48" w:rsidRPr="004A1FF6" w:rsidRDefault="00964E48" w:rsidP="004A1FF6">
      <w:pPr>
        <w:spacing w:line="360" w:lineRule="auto"/>
        <w:jc w:val="both"/>
        <w:rPr>
          <w:rFonts w:ascii="Arial" w:hAnsi="Arial" w:cs="Arial"/>
          <w:b/>
          <w:bCs/>
          <w:iCs/>
          <w:sz w:val="32"/>
          <w:szCs w:val="24"/>
        </w:rPr>
      </w:pPr>
      <w:r w:rsidRPr="004A1FF6">
        <w:rPr>
          <w:rFonts w:ascii="Arial" w:hAnsi="Arial" w:cs="Arial"/>
          <w:b/>
          <w:bCs/>
          <w:iCs/>
          <w:sz w:val="32"/>
          <w:szCs w:val="24"/>
        </w:rPr>
        <w:t>The applicant’s reasons</w:t>
      </w:r>
    </w:p>
    <w:p w14:paraId="7038762F" w14:textId="10F2B930" w:rsidR="00964E48" w:rsidRPr="00B25A57" w:rsidRDefault="00964E48" w:rsidP="00B25A57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25A57">
        <w:rPr>
          <w:rFonts w:ascii="Arial" w:hAnsi="Arial" w:cs="Arial"/>
          <w:sz w:val="24"/>
          <w:szCs w:val="24"/>
        </w:rPr>
        <w:t xml:space="preserve">In the founding affidavit </w:t>
      </w:r>
      <w:r w:rsidR="0036697E" w:rsidRPr="00B25A57">
        <w:rPr>
          <w:rFonts w:ascii="Arial" w:hAnsi="Arial" w:cs="Arial"/>
          <w:sz w:val="24"/>
          <w:szCs w:val="24"/>
        </w:rPr>
        <w:t xml:space="preserve">in clause 3.12 </w:t>
      </w:r>
      <w:proofErr w:type="spellStart"/>
      <w:r w:rsidR="00824429" w:rsidRPr="00B25A57">
        <w:rPr>
          <w:rFonts w:ascii="Arial" w:hAnsi="Arial" w:cs="Arial"/>
          <w:sz w:val="24"/>
          <w:szCs w:val="24"/>
        </w:rPr>
        <w:t>Maapola</w:t>
      </w:r>
      <w:proofErr w:type="spellEnd"/>
      <w:r w:rsidR="00B97328" w:rsidRPr="00B25A57">
        <w:rPr>
          <w:rFonts w:ascii="Arial" w:hAnsi="Arial" w:cs="Arial"/>
          <w:sz w:val="24"/>
          <w:szCs w:val="24"/>
        </w:rPr>
        <w:t xml:space="preserve"> contends</w:t>
      </w:r>
      <w:r w:rsidRPr="00B25A57">
        <w:rPr>
          <w:rFonts w:ascii="Arial" w:hAnsi="Arial" w:cs="Arial"/>
          <w:sz w:val="24"/>
          <w:szCs w:val="24"/>
        </w:rPr>
        <w:t>:</w:t>
      </w:r>
    </w:p>
    <w:p w14:paraId="4246B460" w14:textId="05C50CAD" w:rsidR="002B26A7" w:rsidRPr="00B25A57" w:rsidRDefault="00FA5409" w:rsidP="007777B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25A57">
        <w:rPr>
          <w:rFonts w:ascii="Arial" w:hAnsi="Arial" w:cs="Arial"/>
          <w:sz w:val="24"/>
          <w:szCs w:val="24"/>
        </w:rPr>
        <w:t>“</w:t>
      </w:r>
      <w:r w:rsidR="002B26A7" w:rsidRPr="00B25A57">
        <w:rPr>
          <w:rFonts w:ascii="Arial" w:hAnsi="Arial" w:cs="Arial"/>
          <w:sz w:val="24"/>
          <w:szCs w:val="24"/>
        </w:rPr>
        <w:t>In considering the furnished information, the Applicant formed a considered pre</w:t>
      </w:r>
      <w:r w:rsidR="00C40018">
        <w:rPr>
          <w:rFonts w:ascii="Arial" w:hAnsi="Arial" w:cs="Arial"/>
          <w:sz w:val="24"/>
          <w:szCs w:val="24"/>
        </w:rPr>
        <w:t>-</w:t>
      </w:r>
      <w:proofErr w:type="spellStart"/>
      <w:r w:rsidR="002B26A7" w:rsidRPr="00B25A57">
        <w:rPr>
          <w:rFonts w:ascii="Arial" w:hAnsi="Arial" w:cs="Arial"/>
          <w:sz w:val="24"/>
          <w:szCs w:val="24"/>
        </w:rPr>
        <w:t>liminary</w:t>
      </w:r>
      <w:proofErr w:type="spellEnd"/>
      <w:r w:rsidR="002B26A7" w:rsidRPr="00B25A57">
        <w:rPr>
          <w:rFonts w:ascii="Arial" w:hAnsi="Arial" w:cs="Arial"/>
          <w:sz w:val="24"/>
          <w:szCs w:val="24"/>
        </w:rPr>
        <w:t xml:space="preserve"> view that a number of irregularities had been committed by the Respondent; that the handling of this tender by the Respondent had been punctuated by illegality and unlawfulness.</w:t>
      </w:r>
      <w:r w:rsidRPr="00B25A57">
        <w:rPr>
          <w:rFonts w:ascii="Arial" w:hAnsi="Arial" w:cs="Arial"/>
          <w:sz w:val="24"/>
          <w:szCs w:val="24"/>
        </w:rPr>
        <w:t>”</w:t>
      </w:r>
      <w:r w:rsidR="002B26A7" w:rsidRPr="00B25A57">
        <w:footnoteReference w:id="2"/>
      </w:r>
    </w:p>
    <w:p w14:paraId="75DCDCD8" w14:textId="5C8270CF" w:rsidR="009A691B" w:rsidRPr="00B25A57" w:rsidRDefault="009A691B" w:rsidP="007777B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520F2C">
        <w:rPr>
          <w:rFonts w:ascii="Arial" w:hAnsi="Arial" w:cs="Arial"/>
          <w:sz w:val="24"/>
          <w:szCs w:val="24"/>
        </w:rPr>
        <w:t xml:space="preserve"> </w:t>
      </w:r>
      <w:r w:rsidR="00B97328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then goes on to state:</w:t>
      </w:r>
    </w:p>
    <w:p w14:paraId="3DE1225D" w14:textId="6CC90248" w:rsidR="004C5DAC" w:rsidRPr="00B25A57" w:rsidRDefault="00FA5409" w:rsidP="007777B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25A57">
        <w:rPr>
          <w:rFonts w:ascii="Arial" w:hAnsi="Arial" w:cs="Arial"/>
          <w:sz w:val="24"/>
          <w:szCs w:val="24"/>
        </w:rPr>
        <w:t>“</w:t>
      </w:r>
      <w:proofErr w:type="gramStart"/>
      <w:r w:rsidR="004C5DAC" w:rsidRPr="00B25A57">
        <w:rPr>
          <w:rFonts w:ascii="Arial" w:hAnsi="Arial" w:cs="Arial"/>
          <w:sz w:val="24"/>
          <w:szCs w:val="24"/>
        </w:rPr>
        <w:t>ln</w:t>
      </w:r>
      <w:proofErr w:type="gramEnd"/>
      <w:r w:rsidR="004C5DAC" w:rsidRPr="00B25A57">
        <w:rPr>
          <w:rFonts w:ascii="Arial" w:hAnsi="Arial" w:cs="Arial"/>
          <w:sz w:val="24"/>
          <w:szCs w:val="24"/>
        </w:rPr>
        <w:t xml:space="preserve"> the respectful considered view of the Applicant, the Respondent ought to have known that the Applicant had identified its nefarious conduct. The Respondent, in </w:t>
      </w:r>
      <w:r w:rsidR="004C5DAC" w:rsidRPr="00B25A57">
        <w:rPr>
          <w:rFonts w:ascii="Arial" w:hAnsi="Arial" w:cs="Arial"/>
          <w:sz w:val="24"/>
          <w:szCs w:val="24"/>
        </w:rPr>
        <w:lastRenderedPageBreak/>
        <w:t>the considered view of the Applicant, pretended not to understand what the Applicant was requesting</w:t>
      </w:r>
      <w:r w:rsidR="00B42404" w:rsidRPr="00B25A57">
        <w:rPr>
          <w:rFonts w:ascii="Arial" w:hAnsi="Arial" w:cs="Arial"/>
          <w:sz w:val="24"/>
          <w:szCs w:val="24"/>
        </w:rPr>
        <w:t>.”</w:t>
      </w:r>
      <w:r w:rsidR="004C5DAC" w:rsidRPr="00B25A57">
        <w:footnoteReference w:id="3"/>
      </w:r>
    </w:p>
    <w:p w14:paraId="32DAC96D" w14:textId="0D8BE68C" w:rsidR="00C22A32" w:rsidRPr="00B25A57" w:rsidRDefault="00C22A32" w:rsidP="00B25A57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25A57">
        <w:rPr>
          <w:rFonts w:ascii="Arial" w:hAnsi="Arial" w:cs="Arial"/>
          <w:sz w:val="24"/>
          <w:szCs w:val="24"/>
        </w:rPr>
        <w:t>Thus</w:t>
      </w:r>
      <w:r w:rsidR="00FA5409" w:rsidRPr="00B25A57">
        <w:rPr>
          <w:rFonts w:ascii="Arial" w:hAnsi="Arial" w:cs="Arial"/>
          <w:sz w:val="24"/>
          <w:szCs w:val="24"/>
        </w:rPr>
        <w:t>,</w:t>
      </w:r>
      <w:r w:rsidRPr="00B25A57">
        <w:rPr>
          <w:rFonts w:ascii="Arial" w:hAnsi="Arial" w:cs="Arial"/>
          <w:sz w:val="24"/>
          <w:szCs w:val="24"/>
        </w:rPr>
        <w:t xml:space="preserve"> the message here is that the respondent has committed </w:t>
      </w:r>
      <w:r w:rsidR="00281D44" w:rsidRPr="00B25A57">
        <w:rPr>
          <w:rFonts w:ascii="Arial" w:hAnsi="Arial" w:cs="Arial"/>
          <w:sz w:val="24"/>
          <w:szCs w:val="24"/>
        </w:rPr>
        <w:t xml:space="preserve">a number of </w:t>
      </w:r>
      <w:r w:rsidRPr="00B25A57">
        <w:rPr>
          <w:rFonts w:ascii="Arial" w:hAnsi="Arial" w:cs="Arial"/>
          <w:sz w:val="24"/>
          <w:szCs w:val="24"/>
        </w:rPr>
        <w:t xml:space="preserve">irregularities, </w:t>
      </w:r>
      <w:r w:rsidR="00281D44" w:rsidRPr="00B25A57">
        <w:rPr>
          <w:rFonts w:ascii="Arial" w:hAnsi="Arial" w:cs="Arial"/>
          <w:sz w:val="24"/>
          <w:szCs w:val="24"/>
        </w:rPr>
        <w:t>knows</w:t>
      </w:r>
      <w:r w:rsidR="0059474B" w:rsidRPr="00B25A57">
        <w:rPr>
          <w:rFonts w:ascii="Arial" w:hAnsi="Arial" w:cs="Arial"/>
          <w:sz w:val="24"/>
          <w:szCs w:val="24"/>
        </w:rPr>
        <w:t xml:space="preserve"> it has </w:t>
      </w:r>
      <w:r w:rsidR="003D028B" w:rsidRPr="00B25A57">
        <w:rPr>
          <w:rFonts w:ascii="Arial" w:hAnsi="Arial" w:cs="Arial"/>
          <w:sz w:val="24"/>
          <w:szCs w:val="24"/>
        </w:rPr>
        <w:t>and because</w:t>
      </w:r>
      <w:r w:rsidR="00FC1A11" w:rsidRPr="00B25A57">
        <w:rPr>
          <w:rFonts w:ascii="Arial" w:hAnsi="Arial" w:cs="Arial"/>
          <w:sz w:val="24"/>
          <w:szCs w:val="24"/>
        </w:rPr>
        <w:t xml:space="preserve"> of this</w:t>
      </w:r>
      <w:r w:rsidR="002909E2" w:rsidRPr="00B25A57">
        <w:rPr>
          <w:rFonts w:ascii="Arial" w:hAnsi="Arial" w:cs="Arial"/>
          <w:sz w:val="24"/>
          <w:szCs w:val="24"/>
        </w:rPr>
        <w:t>,</w:t>
      </w:r>
      <w:r w:rsidR="00281D44" w:rsidRPr="00B25A57">
        <w:rPr>
          <w:rFonts w:ascii="Arial" w:hAnsi="Arial" w:cs="Arial"/>
          <w:sz w:val="24"/>
          <w:szCs w:val="24"/>
        </w:rPr>
        <w:t xml:space="preserve"> </w:t>
      </w:r>
      <w:r w:rsidR="0059474B" w:rsidRPr="00B25A57">
        <w:rPr>
          <w:rFonts w:ascii="Arial" w:hAnsi="Arial" w:cs="Arial"/>
          <w:sz w:val="24"/>
          <w:szCs w:val="24"/>
        </w:rPr>
        <w:t xml:space="preserve">is </w:t>
      </w:r>
      <w:r w:rsidR="00281D44" w:rsidRPr="00B25A57">
        <w:rPr>
          <w:rFonts w:ascii="Arial" w:hAnsi="Arial" w:cs="Arial"/>
          <w:sz w:val="24"/>
          <w:szCs w:val="24"/>
        </w:rPr>
        <w:t xml:space="preserve">pretending not to understand </w:t>
      </w:r>
      <w:r w:rsidR="002909E2" w:rsidRPr="00B25A57">
        <w:rPr>
          <w:rFonts w:ascii="Arial" w:hAnsi="Arial" w:cs="Arial"/>
          <w:sz w:val="24"/>
          <w:szCs w:val="24"/>
        </w:rPr>
        <w:t>the applicant’s</w:t>
      </w:r>
      <w:r w:rsidR="00FC1A11" w:rsidRPr="00B25A57">
        <w:rPr>
          <w:rFonts w:ascii="Arial" w:hAnsi="Arial" w:cs="Arial"/>
          <w:sz w:val="24"/>
          <w:szCs w:val="24"/>
        </w:rPr>
        <w:t xml:space="preserve"> request. </w:t>
      </w:r>
    </w:p>
    <w:p w14:paraId="52C341DA" w14:textId="73F54E86" w:rsidR="00EA5D7A" w:rsidRPr="00B25A57" w:rsidRDefault="003D028B" w:rsidP="00B25A57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25A57">
        <w:rPr>
          <w:rFonts w:ascii="Arial" w:hAnsi="Arial" w:cs="Arial"/>
          <w:sz w:val="24"/>
          <w:szCs w:val="24"/>
        </w:rPr>
        <w:t>But i</w:t>
      </w:r>
      <w:r w:rsidR="00250BE5" w:rsidRPr="00B25A57">
        <w:rPr>
          <w:rFonts w:ascii="Arial" w:hAnsi="Arial" w:cs="Arial"/>
          <w:sz w:val="24"/>
          <w:szCs w:val="24"/>
        </w:rPr>
        <w:t xml:space="preserve">n the replying affidavit </w:t>
      </w:r>
      <w:r w:rsidR="00055982" w:rsidRPr="00B25A57">
        <w:rPr>
          <w:rFonts w:ascii="Arial" w:hAnsi="Arial" w:cs="Arial"/>
          <w:sz w:val="24"/>
          <w:szCs w:val="24"/>
        </w:rPr>
        <w:t xml:space="preserve">the </w:t>
      </w:r>
      <w:r w:rsidR="00973B4A" w:rsidRPr="00B25A57">
        <w:rPr>
          <w:rFonts w:ascii="Arial" w:hAnsi="Arial" w:cs="Arial"/>
          <w:sz w:val="24"/>
          <w:szCs w:val="24"/>
        </w:rPr>
        <w:t xml:space="preserve">applicant takes the view it does not need to give a reason and can instead rely on </w:t>
      </w:r>
      <w:r w:rsidRPr="00B25A57">
        <w:rPr>
          <w:rFonts w:ascii="Arial" w:hAnsi="Arial" w:cs="Arial"/>
          <w:sz w:val="24"/>
          <w:szCs w:val="24"/>
        </w:rPr>
        <w:t>the general right of information</w:t>
      </w:r>
      <w:r w:rsidR="00EA5D7A" w:rsidRPr="00B25A57">
        <w:rPr>
          <w:rFonts w:ascii="Arial" w:hAnsi="Arial" w:cs="Arial"/>
          <w:sz w:val="24"/>
          <w:szCs w:val="24"/>
        </w:rPr>
        <w:t>;</w:t>
      </w:r>
    </w:p>
    <w:p w14:paraId="6F2665ED" w14:textId="13AF9A68" w:rsidR="004C5DAC" w:rsidRPr="00B25A57" w:rsidRDefault="00FA5409" w:rsidP="00AA77D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25A57">
        <w:rPr>
          <w:rFonts w:ascii="Arial" w:hAnsi="Arial" w:cs="Arial"/>
          <w:sz w:val="24"/>
          <w:szCs w:val="24"/>
        </w:rPr>
        <w:t>“</w:t>
      </w:r>
      <w:r w:rsidR="004C5DAC" w:rsidRPr="00B25A57">
        <w:rPr>
          <w:rFonts w:ascii="Arial" w:hAnsi="Arial" w:cs="Arial"/>
          <w:sz w:val="24"/>
          <w:szCs w:val="24"/>
        </w:rPr>
        <w:t>I am advised by my attorneys that, as one of the parties who tendered for the cancelled bid, the applicant has a right as the requester to be given access to public records without giving a reason for seeking access to</w:t>
      </w:r>
      <w:r w:rsidR="004225A0" w:rsidRPr="00B25A57">
        <w:rPr>
          <w:rFonts w:ascii="Arial" w:hAnsi="Arial" w:cs="Arial"/>
          <w:sz w:val="24"/>
          <w:szCs w:val="24"/>
        </w:rPr>
        <w:t xml:space="preserve"> information.</w:t>
      </w:r>
      <w:r w:rsidRPr="00B25A57">
        <w:rPr>
          <w:rFonts w:ascii="Arial" w:hAnsi="Arial" w:cs="Arial"/>
          <w:sz w:val="24"/>
          <w:szCs w:val="24"/>
        </w:rPr>
        <w:t>”</w:t>
      </w:r>
    </w:p>
    <w:p w14:paraId="4D6388DA" w14:textId="014CC91B" w:rsidR="00337D7B" w:rsidRPr="004A1FF6" w:rsidRDefault="00337D7B" w:rsidP="004A1FF6">
      <w:pPr>
        <w:spacing w:line="360" w:lineRule="auto"/>
        <w:jc w:val="both"/>
        <w:rPr>
          <w:rFonts w:ascii="Arial" w:hAnsi="Arial" w:cs="Arial"/>
          <w:b/>
          <w:bCs/>
          <w:iCs/>
          <w:sz w:val="32"/>
          <w:szCs w:val="24"/>
        </w:rPr>
      </w:pPr>
      <w:r w:rsidRPr="004A1FF6">
        <w:rPr>
          <w:rFonts w:ascii="Arial" w:hAnsi="Arial" w:cs="Arial"/>
          <w:b/>
          <w:bCs/>
          <w:iCs/>
          <w:sz w:val="32"/>
          <w:szCs w:val="24"/>
        </w:rPr>
        <w:t>Analysis</w:t>
      </w:r>
    </w:p>
    <w:p w14:paraId="3B722B0F" w14:textId="6B69B583" w:rsidR="00155B6E" w:rsidRPr="00155B6E" w:rsidRDefault="008E6474" w:rsidP="005E009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has explained </w:t>
      </w:r>
      <w:r w:rsidR="00AE409D">
        <w:rPr>
          <w:rFonts w:ascii="Arial" w:hAnsi="Arial" w:cs="Arial"/>
          <w:sz w:val="24"/>
          <w:szCs w:val="24"/>
        </w:rPr>
        <w:t>in a</w:t>
      </w:r>
      <w:r w:rsidR="00E318BA">
        <w:rPr>
          <w:rFonts w:ascii="Arial" w:hAnsi="Arial" w:cs="Arial"/>
          <w:sz w:val="24"/>
          <w:szCs w:val="24"/>
        </w:rPr>
        <w:t xml:space="preserve"> letter to the applicant dated </w:t>
      </w:r>
      <w:r w:rsidR="00AB5F1F">
        <w:rPr>
          <w:rFonts w:ascii="Arial" w:hAnsi="Arial" w:cs="Arial"/>
          <w:sz w:val="24"/>
          <w:szCs w:val="24"/>
        </w:rPr>
        <w:t xml:space="preserve">28 February </w:t>
      </w:r>
      <w:r>
        <w:rPr>
          <w:rFonts w:ascii="Arial" w:hAnsi="Arial" w:cs="Arial"/>
          <w:sz w:val="24"/>
          <w:szCs w:val="24"/>
        </w:rPr>
        <w:t>that</w:t>
      </w:r>
      <w:r w:rsidR="00267F3C">
        <w:rPr>
          <w:rFonts w:ascii="Arial" w:hAnsi="Arial" w:cs="Arial"/>
          <w:sz w:val="24"/>
          <w:szCs w:val="24"/>
        </w:rPr>
        <w:t xml:space="preserve"> the reason the </w:t>
      </w:r>
      <w:r w:rsidR="00BC3F15">
        <w:rPr>
          <w:rFonts w:ascii="Arial" w:hAnsi="Arial" w:cs="Arial"/>
          <w:sz w:val="24"/>
          <w:szCs w:val="24"/>
        </w:rPr>
        <w:t>tender was cancelled was that</w:t>
      </w:r>
      <w:r w:rsidR="00C1103F" w:rsidRPr="005E0093">
        <w:rPr>
          <w:rFonts w:ascii="Arial" w:hAnsi="Arial" w:cs="Arial"/>
          <w:sz w:val="24"/>
          <w:szCs w:val="24"/>
        </w:rPr>
        <w:t>:</w:t>
      </w:r>
    </w:p>
    <w:p w14:paraId="0AD9A7FD" w14:textId="4EF8BD7E" w:rsidR="00337D7B" w:rsidRPr="005E0093" w:rsidRDefault="00155B6E" w:rsidP="005E009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B60E7">
        <w:rPr>
          <w:rFonts w:ascii="Arial" w:hAnsi="Arial" w:cs="Arial"/>
          <w:sz w:val="24"/>
          <w:szCs w:val="24"/>
        </w:rPr>
        <w:t>“</w:t>
      </w:r>
      <w:r w:rsidR="008C5BB0" w:rsidRPr="005E0093">
        <w:rPr>
          <w:rFonts w:ascii="Arial" w:hAnsi="Arial" w:cs="Arial"/>
          <w:sz w:val="24"/>
          <w:szCs w:val="24"/>
        </w:rPr>
        <w:t xml:space="preserve"> ….</w:t>
      </w:r>
      <w:r w:rsidR="00DE055B" w:rsidRPr="005E0093">
        <w:rPr>
          <w:rFonts w:ascii="Arial" w:hAnsi="Arial" w:cs="Arial"/>
          <w:sz w:val="24"/>
          <w:szCs w:val="24"/>
        </w:rPr>
        <w:t xml:space="preserve"> during the evaluation of the above tender, we identified serious deficiencies on the bid specifications, which led to a</w:t>
      </w:r>
      <w:r w:rsidR="008C5BB0" w:rsidRPr="005E0093">
        <w:rPr>
          <w:rFonts w:ascii="Arial" w:hAnsi="Arial" w:cs="Arial"/>
          <w:sz w:val="24"/>
          <w:szCs w:val="24"/>
        </w:rPr>
        <w:t>l</w:t>
      </w:r>
      <w:r w:rsidR="00DE055B" w:rsidRPr="005E0093">
        <w:rPr>
          <w:rFonts w:ascii="Arial" w:hAnsi="Arial" w:cs="Arial"/>
          <w:sz w:val="24"/>
          <w:szCs w:val="24"/>
        </w:rPr>
        <w:t xml:space="preserve">l submitted bids not fully </w:t>
      </w:r>
      <w:r w:rsidR="00AE409D" w:rsidRPr="005E0093">
        <w:rPr>
          <w:rFonts w:ascii="Arial" w:hAnsi="Arial" w:cs="Arial"/>
          <w:sz w:val="24"/>
          <w:szCs w:val="24"/>
        </w:rPr>
        <w:t>compliant, (</w:t>
      </w:r>
      <w:r w:rsidR="007B60E7" w:rsidRPr="005E0093">
        <w:rPr>
          <w:rFonts w:ascii="Arial" w:hAnsi="Arial" w:cs="Arial"/>
          <w:sz w:val="24"/>
          <w:szCs w:val="24"/>
        </w:rPr>
        <w:t>sic)</w:t>
      </w:r>
      <w:r w:rsidR="00DE055B" w:rsidRPr="005E0093">
        <w:rPr>
          <w:rFonts w:ascii="Arial" w:hAnsi="Arial" w:cs="Arial"/>
          <w:sz w:val="24"/>
          <w:szCs w:val="24"/>
        </w:rPr>
        <w:t xml:space="preserve"> and this resulted on the tender being cancelled.</w:t>
      </w:r>
      <w:r w:rsidR="00860E2B" w:rsidRPr="005E0093">
        <w:rPr>
          <w:rFonts w:ascii="Arial" w:hAnsi="Arial" w:cs="Arial"/>
          <w:sz w:val="24"/>
          <w:szCs w:val="24"/>
        </w:rPr>
        <w:t>”</w:t>
      </w:r>
    </w:p>
    <w:p w14:paraId="6B394C5A" w14:textId="41C2221E" w:rsidR="00F14805" w:rsidRDefault="00F14805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was since that letter invited to re-submit a tender; furnished with a copy of the technical report and </w:t>
      </w:r>
      <w:r w:rsidR="00D569CF">
        <w:rPr>
          <w:rFonts w:ascii="Arial" w:hAnsi="Arial" w:cs="Arial"/>
          <w:sz w:val="24"/>
          <w:szCs w:val="24"/>
        </w:rPr>
        <w:t>with the minutes of the clarification committee.</w:t>
      </w:r>
    </w:p>
    <w:p w14:paraId="4B4719C6" w14:textId="7E4778AA" w:rsidR="00FB118F" w:rsidRDefault="00FB118F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despite being asked to do so has refused to explain why th</w:t>
      </w:r>
      <w:r w:rsidR="004C75C5">
        <w:rPr>
          <w:rFonts w:ascii="Arial" w:hAnsi="Arial" w:cs="Arial"/>
          <w:sz w:val="24"/>
          <w:szCs w:val="24"/>
        </w:rPr>
        <w:t>e documents provided are an insufficient response to its request</w:t>
      </w:r>
      <w:r w:rsidR="0046774A">
        <w:rPr>
          <w:rFonts w:ascii="Arial" w:hAnsi="Arial" w:cs="Arial"/>
          <w:sz w:val="24"/>
          <w:szCs w:val="24"/>
        </w:rPr>
        <w:t>.</w:t>
      </w:r>
    </w:p>
    <w:p w14:paraId="1F9F462B" w14:textId="772361DD" w:rsidR="00DC0AFA" w:rsidRDefault="00DC0AFA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Heads of argument prepared by counsel although he did not argue the matter, he stated the reason the</w:t>
      </w:r>
      <w:r w:rsidR="004E21EE">
        <w:rPr>
          <w:rFonts w:ascii="Arial" w:hAnsi="Arial" w:cs="Arial"/>
          <w:sz w:val="24"/>
          <w:szCs w:val="24"/>
        </w:rPr>
        <w:t xml:space="preserve"> tender records </w:t>
      </w:r>
      <w:r>
        <w:rPr>
          <w:rFonts w:ascii="Arial" w:hAnsi="Arial" w:cs="Arial"/>
          <w:sz w:val="24"/>
          <w:szCs w:val="24"/>
        </w:rPr>
        <w:t xml:space="preserve">were required was to </w:t>
      </w:r>
      <w:r w:rsidR="00CE69EC">
        <w:rPr>
          <w:rFonts w:ascii="Arial" w:hAnsi="Arial" w:cs="Arial"/>
          <w:sz w:val="24"/>
          <w:szCs w:val="24"/>
        </w:rPr>
        <w:t xml:space="preserve">enable them to seek damages arising from their </w:t>
      </w:r>
      <w:r w:rsidR="0081168E">
        <w:rPr>
          <w:rFonts w:ascii="Arial" w:hAnsi="Arial" w:cs="Arial"/>
          <w:sz w:val="24"/>
          <w:szCs w:val="24"/>
        </w:rPr>
        <w:t xml:space="preserve">alleged </w:t>
      </w:r>
      <w:r w:rsidR="00CE69EC">
        <w:rPr>
          <w:rFonts w:ascii="Arial" w:hAnsi="Arial" w:cs="Arial"/>
          <w:sz w:val="24"/>
          <w:szCs w:val="24"/>
        </w:rPr>
        <w:t xml:space="preserve">negligent treatment </w:t>
      </w:r>
      <w:r w:rsidR="0081168E">
        <w:rPr>
          <w:rFonts w:ascii="Arial" w:hAnsi="Arial" w:cs="Arial"/>
          <w:sz w:val="24"/>
          <w:szCs w:val="24"/>
        </w:rPr>
        <w:t>by the respondent.”</w:t>
      </w:r>
      <w:r w:rsidR="00CE69EC">
        <w:rPr>
          <w:rFonts w:ascii="Arial" w:hAnsi="Arial" w:cs="Arial"/>
          <w:sz w:val="24"/>
          <w:szCs w:val="24"/>
        </w:rPr>
        <w:t xml:space="preserve"> </w:t>
      </w:r>
    </w:p>
    <w:p w14:paraId="2EBC2481" w14:textId="1BA4AC6E" w:rsidR="002D300A" w:rsidRDefault="001524B2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</w:t>
      </w:r>
      <w:r w:rsidR="00AC14BE">
        <w:rPr>
          <w:rFonts w:ascii="Arial" w:hAnsi="Arial" w:cs="Arial"/>
          <w:sz w:val="24"/>
          <w:szCs w:val="24"/>
        </w:rPr>
        <w:t xml:space="preserve"> this </w:t>
      </w:r>
      <w:r w:rsidR="00287A05">
        <w:rPr>
          <w:rFonts w:ascii="Arial" w:hAnsi="Arial" w:cs="Arial"/>
          <w:sz w:val="24"/>
          <w:szCs w:val="24"/>
        </w:rPr>
        <w:t xml:space="preserve">negligence </w:t>
      </w:r>
      <w:r w:rsidR="00AC14BE">
        <w:rPr>
          <w:rFonts w:ascii="Arial" w:hAnsi="Arial" w:cs="Arial"/>
          <w:sz w:val="24"/>
          <w:szCs w:val="24"/>
        </w:rPr>
        <w:t>argument was not persisted with by Mr</w:t>
      </w:r>
      <w:r w:rsidR="002108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Letoka</w:t>
      </w:r>
      <w:proofErr w:type="spellEnd"/>
      <w:r>
        <w:rPr>
          <w:rFonts w:ascii="Arial" w:hAnsi="Arial" w:cs="Arial"/>
          <w:sz w:val="24"/>
          <w:szCs w:val="24"/>
        </w:rPr>
        <w:t xml:space="preserve"> who</w:t>
      </w:r>
      <w:r w:rsidR="00AC14BE">
        <w:rPr>
          <w:rFonts w:ascii="Arial" w:hAnsi="Arial" w:cs="Arial"/>
          <w:sz w:val="24"/>
          <w:szCs w:val="24"/>
        </w:rPr>
        <w:t xml:space="preserve"> appeared for the applicant </w:t>
      </w:r>
      <w:r w:rsidR="00451211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>me,</w:t>
      </w:r>
      <w:r w:rsidR="00451211">
        <w:rPr>
          <w:rFonts w:ascii="Arial" w:hAnsi="Arial" w:cs="Arial"/>
          <w:sz w:val="24"/>
          <w:szCs w:val="24"/>
        </w:rPr>
        <w:t xml:space="preserve"> and he reverted to the nefarious conduct </w:t>
      </w:r>
      <w:r w:rsidR="00451211">
        <w:rPr>
          <w:rFonts w:ascii="Arial" w:hAnsi="Arial" w:cs="Arial"/>
          <w:sz w:val="24"/>
          <w:szCs w:val="24"/>
        </w:rPr>
        <w:lastRenderedPageBreak/>
        <w:t>theory</w:t>
      </w:r>
      <w:r w:rsidR="0036697E">
        <w:rPr>
          <w:rFonts w:ascii="Arial" w:hAnsi="Arial" w:cs="Arial"/>
          <w:sz w:val="24"/>
          <w:szCs w:val="24"/>
        </w:rPr>
        <w:t xml:space="preserve"> contained in </w:t>
      </w:r>
      <w:r w:rsidR="00556DE9">
        <w:rPr>
          <w:rFonts w:ascii="Arial" w:hAnsi="Arial" w:cs="Arial"/>
          <w:sz w:val="24"/>
          <w:szCs w:val="24"/>
        </w:rPr>
        <w:t>the paragraphs of the founding affidavit I quoted earlier</w:t>
      </w:r>
      <w:r w:rsidR="00451211">
        <w:rPr>
          <w:rFonts w:ascii="Arial" w:hAnsi="Arial" w:cs="Arial"/>
          <w:sz w:val="24"/>
          <w:szCs w:val="24"/>
        </w:rPr>
        <w:t xml:space="preserve">. The two theories are not compatible. If the </w:t>
      </w:r>
      <w:r w:rsidR="009365F4">
        <w:rPr>
          <w:rFonts w:ascii="Arial" w:hAnsi="Arial" w:cs="Arial"/>
          <w:sz w:val="24"/>
          <w:szCs w:val="24"/>
        </w:rPr>
        <w:t xml:space="preserve">reason for the </w:t>
      </w:r>
      <w:r w:rsidR="001D77DF">
        <w:rPr>
          <w:rFonts w:ascii="Arial" w:hAnsi="Arial" w:cs="Arial"/>
          <w:sz w:val="24"/>
          <w:szCs w:val="24"/>
        </w:rPr>
        <w:t>cancellation</w:t>
      </w:r>
      <w:r w:rsidR="009365F4">
        <w:rPr>
          <w:rFonts w:ascii="Arial" w:hAnsi="Arial" w:cs="Arial"/>
          <w:sz w:val="24"/>
          <w:szCs w:val="24"/>
        </w:rPr>
        <w:t xml:space="preserve"> of the tender was </w:t>
      </w:r>
      <w:r w:rsidR="001D77DF">
        <w:rPr>
          <w:rFonts w:ascii="Arial" w:hAnsi="Arial" w:cs="Arial"/>
          <w:sz w:val="24"/>
          <w:szCs w:val="24"/>
        </w:rPr>
        <w:t>negligence</w:t>
      </w:r>
      <w:r w:rsidR="009365F4">
        <w:rPr>
          <w:rFonts w:ascii="Arial" w:hAnsi="Arial" w:cs="Arial"/>
          <w:sz w:val="24"/>
          <w:szCs w:val="24"/>
        </w:rPr>
        <w:t xml:space="preserve"> by the respondent</w:t>
      </w:r>
      <w:r w:rsidR="00951E8B">
        <w:rPr>
          <w:rFonts w:ascii="Arial" w:hAnsi="Arial" w:cs="Arial"/>
          <w:sz w:val="24"/>
          <w:szCs w:val="24"/>
        </w:rPr>
        <w:t>,</w:t>
      </w:r>
      <w:r w:rsidR="009365F4">
        <w:rPr>
          <w:rFonts w:ascii="Arial" w:hAnsi="Arial" w:cs="Arial"/>
          <w:sz w:val="24"/>
          <w:szCs w:val="24"/>
        </w:rPr>
        <w:t xml:space="preserve"> then that is qualitatively different from an allegation </w:t>
      </w:r>
      <w:r w:rsidR="00E15246">
        <w:rPr>
          <w:rFonts w:ascii="Arial" w:hAnsi="Arial" w:cs="Arial"/>
          <w:sz w:val="24"/>
          <w:szCs w:val="24"/>
        </w:rPr>
        <w:t>of</w:t>
      </w:r>
      <w:r w:rsidR="009365F4">
        <w:rPr>
          <w:rFonts w:ascii="Arial" w:hAnsi="Arial" w:cs="Arial"/>
          <w:sz w:val="24"/>
          <w:szCs w:val="24"/>
        </w:rPr>
        <w:t xml:space="preserve"> nefarious conduct </w:t>
      </w:r>
      <w:r w:rsidR="004E65F9">
        <w:rPr>
          <w:rFonts w:ascii="Arial" w:hAnsi="Arial" w:cs="Arial"/>
          <w:sz w:val="24"/>
          <w:szCs w:val="24"/>
        </w:rPr>
        <w:t xml:space="preserve">and a deliberate attempt to obfuscate the request for information </w:t>
      </w:r>
      <w:r w:rsidR="00650E16">
        <w:rPr>
          <w:rFonts w:ascii="Arial" w:hAnsi="Arial" w:cs="Arial"/>
          <w:sz w:val="24"/>
          <w:szCs w:val="24"/>
        </w:rPr>
        <w:t xml:space="preserve">on the pretext it was not comprehensible. </w:t>
      </w:r>
    </w:p>
    <w:p w14:paraId="5A163319" w14:textId="319D2CEA" w:rsidR="00992A00" w:rsidRDefault="001009C8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028DD">
        <w:rPr>
          <w:rFonts w:ascii="Arial" w:hAnsi="Arial" w:cs="Arial"/>
          <w:sz w:val="24"/>
          <w:szCs w:val="24"/>
        </w:rPr>
        <w:t xml:space="preserve">the applicant is now attempting is to go behind the documents it has already received to make a case that they do not represent the </w:t>
      </w:r>
      <w:r w:rsidR="00992A00">
        <w:rPr>
          <w:rFonts w:ascii="Arial" w:hAnsi="Arial" w:cs="Arial"/>
          <w:sz w:val="24"/>
          <w:szCs w:val="24"/>
        </w:rPr>
        <w:t>full</w:t>
      </w:r>
      <w:r w:rsidR="00EA0EEE">
        <w:rPr>
          <w:rFonts w:ascii="Arial" w:hAnsi="Arial" w:cs="Arial"/>
          <w:sz w:val="24"/>
          <w:szCs w:val="24"/>
        </w:rPr>
        <w:t xml:space="preserve"> state of affairs. </w:t>
      </w:r>
    </w:p>
    <w:p w14:paraId="4BAC5DF4" w14:textId="4E6A8196" w:rsidR="00950BB3" w:rsidRDefault="00992A00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appear to be two strands to the request. To get further documents regarding the </w:t>
      </w:r>
      <w:r w:rsidR="00815493">
        <w:rPr>
          <w:rFonts w:ascii="Arial" w:hAnsi="Arial" w:cs="Arial"/>
          <w:sz w:val="24"/>
          <w:szCs w:val="24"/>
        </w:rPr>
        <w:t xml:space="preserve">clarification meeting, </w:t>
      </w:r>
      <w:r w:rsidR="00E46793">
        <w:rPr>
          <w:rFonts w:ascii="Arial" w:hAnsi="Arial" w:cs="Arial"/>
          <w:sz w:val="24"/>
          <w:szCs w:val="24"/>
        </w:rPr>
        <w:t xml:space="preserve">hence notes of everyone from the BEC present during the meeting; and second </w:t>
      </w:r>
      <w:r w:rsidR="00E7688E">
        <w:rPr>
          <w:rFonts w:ascii="Arial" w:hAnsi="Arial" w:cs="Arial"/>
          <w:sz w:val="24"/>
          <w:szCs w:val="24"/>
        </w:rPr>
        <w:t xml:space="preserve">to scrutinise </w:t>
      </w:r>
      <w:r w:rsidR="00E46793">
        <w:rPr>
          <w:rFonts w:ascii="Arial" w:hAnsi="Arial" w:cs="Arial"/>
          <w:sz w:val="24"/>
          <w:szCs w:val="24"/>
        </w:rPr>
        <w:t xml:space="preserve">the interface between the </w:t>
      </w:r>
      <w:r w:rsidR="009F4A6D">
        <w:rPr>
          <w:rFonts w:ascii="Arial" w:hAnsi="Arial" w:cs="Arial"/>
          <w:sz w:val="24"/>
          <w:szCs w:val="24"/>
        </w:rPr>
        <w:t>respondent’s management committee and the BEC, assuming there was any</w:t>
      </w:r>
      <w:r w:rsidR="00E7688E">
        <w:rPr>
          <w:rFonts w:ascii="Arial" w:hAnsi="Arial" w:cs="Arial"/>
          <w:sz w:val="24"/>
          <w:szCs w:val="24"/>
        </w:rPr>
        <w:t xml:space="preserve"> by seeking to find a </w:t>
      </w:r>
      <w:r w:rsidR="00190BDE">
        <w:rPr>
          <w:rFonts w:ascii="Arial" w:hAnsi="Arial" w:cs="Arial"/>
          <w:sz w:val="24"/>
          <w:szCs w:val="24"/>
        </w:rPr>
        <w:t>document trail</w:t>
      </w:r>
      <w:r w:rsidR="009F4A6D">
        <w:rPr>
          <w:rFonts w:ascii="Arial" w:hAnsi="Arial" w:cs="Arial"/>
          <w:sz w:val="24"/>
          <w:szCs w:val="24"/>
        </w:rPr>
        <w:t xml:space="preserve">. Hence the request for </w:t>
      </w:r>
      <w:r w:rsidR="00950BB3">
        <w:rPr>
          <w:rFonts w:ascii="Arial" w:hAnsi="Arial" w:cs="Arial"/>
          <w:sz w:val="24"/>
          <w:szCs w:val="24"/>
        </w:rPr>
        <w:t>correspondence exchanged, Management minutes on the subject</w:t>
      </w:r>
      <w:r w:rsidR="004E6634">
        <w:rPr>
          <w:rFonts w:ascii="Arial" w:hAnsi="Arial" w:cs="Arial"/>
          <w:sz w:val="24"/>
          <w:szCs w:val="24"/>
        </w:rPr>
        <w:t>,</w:t>
      </w:r>
      <w:r w:rsidR="00950BB3">
        <w:rPr>
          <w:rFonts w:ascii="Arial" w:hAnsi="Arial" w:cs="Arial"/>
          <w:sz w:val="24"/>
          <w:szCs w:val="24"/>
        </w:rPr>
        <w:t xml:space="preserve"> etc</w:t>
      </w:r>
      <w:r w:rsidR="004E6634">
        <w:rPr>
          <w:rFonts w:ascii="Arial" w:hAnsi="Arial" w:cs="Arial"/>
          <w:sz w:val="24"/>
          <w:szCs w:val="24"/>
        </w:rPr>
        <w:t>.</w:t>
      </w:r>
    </w:p>
    <w:p w14:paraId="4D0E149B" w14:textId="70972C52" w:rsidR="001009C8" w:rsidRDefault="00404BBA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manifestly an abuse of process and amounts to </w:t>
      </w:r>
      <w:r w:rsidR="00CC65E2">
        <w:rPr>
          <w:rFonts w:ascii="Arial" w:hAnsi="Arial" w:cs="Arial"/>
          <w:sz w:val="24"/>
          <w:szCs w:val="24"/>
        </w:rPr>
        <w:t>an attempt to gain pre-litigation discovery</w:t>
      </w:r>
      <w:r w:rsidR="0061406A">
        <w:rPr>
          <w:rFonts w:ascii="Arial" w:hAnsi="Arial" w:cs="Arial"/>
          <w:sz w:val="24"/>
          <w:szCs w:val="24"/>
        </w:rPr>
        <w:t xml:space="preserve"> through the general right to records of a public body afforded by section 11 of PAIA</w:t>
      </w:r>
      <w:r w:rsidR="00CC65E2">
        <w:rPr>
          <w:rFonts w:ascii="Arial" w:hAnsi="Arial" w:cs="Arial"/>
          <w:sz w:val="24"/>
          <w:szCs w:val="24"/>
        </w:rPr>
        <w:t xml:space="preserve">. </w:t>
      </w:r>
    </w:p>
    <w:p w14:paraId="7E211090" w14:textId="4ACDDA98" w:rsidR="00CC65E2" w:rsidRDefault="00AD0606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extent that the tender was cancelled because the committee had </w:t>
      </w:r>
      <w:r w:rsidR="00962F5E">
        <w:rPr>
          <w:rFonts w:ascii="Arial" w:hAnsi="Arial" w:cs="Arial"/>
          <w:sz w:val="24"/>
          <w:szCs w:val="24"/>
        </w:rPr>
        <w:t>identified problems with bid specification</w:t>
      </w:r>
      <w:r w:rsidR="00F165EB">
        <w:rPr>
          <w:rFonts w:ascii="Arial" w:hAnsi="Arial" w:cs="Arial"/>
          <w:sz w:val="24"/>
          <w:szCs w:val="24"/>
        </w:rPr>
        <w:t>,</w:t>
      </w:r>
      <w:r w:rsidR="00962F5E">
        <w:rPr>
          <w:rFonts w:ascii="Arial" w:hAnsi="Arial" w:cs="Arial"/>
          <w:sz w:val="24"/>
          <w:szCs w:val="24"/>
        </w:rPr>
        <w:t xml:space="preserve"> I would agree with the respondents </w:t>
      </w:r>
      <w:r w:rsidR="00C62450">
        <w:rPr>
          <w:rFonts w:ascii="Arial" w:hAnsi="Arial" w:cs="Arial"/>
          <w:sz w:val="24"/>
          <w:szCs w:val="24"/>
        </w:rPr>
        <w:t>that this renders any further requests moot. First</w:t>
      </w:r>
      <w:r w:rsidR="001D6560">
        <w:rPr>
          <w:rFonts w:ascii="Arial" w:hAnsi="Arial" w:cs="Arial"/>
          <w:sz w:val="24"/>
          <w:szCs w:val="24"/>
        </w:rPr>
        <w:t>,</w:t>
      </w:r>
      <w:r w:rsidR="00C62450">
        <w:rPr>
          <w:rFonts w:ascii="Arial" w:hAnsi="Arial" w:cs="Arial"/>
          <w:sz w:val="24"/>
          <w:szCs w:val="24"/>
        </w:rPr>
        <w:t xml:space="preserve"> because the applicant has been fur</w:t>
      </w:r>
      <w:r w:rsidR="00F165EB">
        <w:rPr>
          <w:rFonts w:ascii="Arial" w:hAnsi="Arial" w:cs="Arial"/>
          <w:sz w:val="24"/>
          <w:szCs w:val="24"/>
        </w:rPr>
        <w:t>nis</w:t>
      </w:r>
      <w:r w:rsidR="00C62450">
        <w:rPr>
          <w:rFonts w:ascii="Arial" w:hAnsi="Arial" w:cs="Arial"/>
          <w:sz w:val="24"/>
          <w:szCs w:val="24"/>
        </w:rPr>
        <w:t>h</w:t>
      </w:r>
      <w:r w:rsidR="00F165EB">
        <w:rPr>
          <w:rFonts w:ascii="Arial" w:hAnsi="Arial" w:cs="Arial"/>
          <w:sz w:val="24"/>
          <w:szCs w:val="24"/>
        </w:rPr>
        <w:t>e</w:t>
      </w:r>
      <w:r w:rsidR="00C62450">
        <w:rPr>
          <w:rFonts w:ascii="Arial" w:hAnsi="Arial" w:cs="Arial"/>
          <w:sz w:val="24"/>
          <w:szCs w:val="24"/>
        </w:rPr>
        <w:t xml:space="preserve">d with the reasons for the decision </w:t>
      </w:r>
      <w:r w:rsidR="00EC4DC0">
        <w:rPr>
          <w:rFonts w:ascii="Arial" w:hAnsi="Arial" w:cs="Arial"/>
          <w:sz w:val="24"/>
          <w:szCs w:val="24"/>
        </w:rPr>
        <w:t xml:space="preserve">to cancel the bid, </w:t>
      </w:r>
      <w:r w:rsidR="00C62450">
        <w:rPr>
          <w:rFonts w:ascii="Arial" w:hAnsi="Arial" w:cs="Arial"/>
          <w:sz w:val="24"/>
          <w:szCs w:val="24"/>
        </w:rPr>
        <w:t>which do not appear to relate to the individual firms</w:t>
      </w:r>
      <w:r w:rsidR="00B52B76">
        <w:rPr>
          <w:rFonts w:ascii="Arial" w:hAnsi="Arial" w:cs="Arial"/>
          <w:sz w:val="24"/>
          <w:szCs w:val="24"/>
        </w:rPr>
        <w:t>’</w:t>
      </w:r>
      <w:r w:rsidR="00C62450">
        <w:rPr>
          <w:rFonts w:ascii="Arial" w:hAnsi="Arial" w:cs="Arial"/>
          <w:sz w:val="24"/>
          <w:szCs w:val="24"/>
        </w:rPr>
        <w:t xml:space="preserve"> compliance with the bid</w:t>
      </w:r>
      <w:r w:rsidR="00EC4DC0">
        <w:rPr>
          <w:rFonts w:ascii="Arial" w:hAnsi="Arial" w:cs="Arial"/>
          <w:sz w:val="24"/>
          <w:szCs w:val="24"/>
        </w:rPr>
        <w:t>;</w:t>
      </w:r>
      <w:r w:rsidR="00C62450">
        <w:rPr>
          <w:rFonts w:ascii="Arial" w:hAnsi="Arial" w:cs="Arial"/>
          <w:sz w:val="24"/>
          <w:szCs w:val="24"/>
        </w:rPr>
        <w:t xml:space="preserve"> and second</w:t>
      </w:r>
      <w:r w:rsidR="00B52B76">
        <w:rPr>
          <w:rFonts w:ascii="Arial" w:hAnsi="Arial" w:cs="Arial"/>
          <w:sz w:val="24"/>
          <w:szCs w:val="24"/>
        </w:rPr>
        <w:t>,</w:t>
      </w:r>
      <w:r w:rsidR="00C62450">
        <w:rPr>
          <w:rFonts w:ascii="Arial" w:hAnsi="Arial" w:cs="Arial"/>
          <w:sz w:val="24"/>
          <w:szCs w:val="24"/>
        </w:rPr>
        <w:t xml:space="preserve"> to the extent that documents have been furnished</w:t>
      </w:r>
      <w:r w:rsidR="00B52B76">
        <w:rPr>
          <w:rFonts w:ascii="Arial" w:hAnsi="Arial" w:cs="Arial"/>
          <w:sz w:val="24"/>
          <w:szCs w:val="24"/>
        </w:rPr>
        <w:t>,</w:t>
      </w:r>
      <w:r w:rsidR="00C62450">
        <w:rPr>
          <w:rFonts w:ascii="Arial" w:hAnsi="Arial" w:cs="Arial"/>
          <w:sz w:val="24"/>
          <w:szCs w:val="24"/>
        </w:rPr>
        <w:t xml:space="preserve"> </w:t>
      </w:r>
      <w:r w:rsidR="003C64DA">
        <w:rPr>
          <w:rFonts w:ascii="Arial" w:hAnsi="Arial" w:cs="Arial"/>
          <w:sz w:val="24"/>
          <w:szCs w:val="24"/>
        </w:rPr>
        <w:t xml:space="preserve">they fully outline the BEC’s </w:t>
      </w:r>
      <w:r w:rsidR="00B52B76">
        <w:rPr>
          <w:rFonts w:ascii="Arial" w:hAnsi="Arial" w:cs="Arial"/>
          <w:sz w:val="24"/>
          <w:szCs w:val="24"/>
        </w:rPr>
        <w:t>thinking</w:t>
      </w:r>
      <w:r w:rsidR="003C64DA">
        <w:rPr>
          <w:rFonts w:ascii="Arial" w:hAnsi="Arial" w:cs="Arial"/>
          <w:sz w:val="24"/>
          <w:szCs w:val="24"/>
        </w:rPr>
        <w:t xml:space="preserve"> in relation to the </w:t>
      </w:r>
      <w:r w:rsidR="00B41B3D">
        <w:rPr>
          <w:rFonts w:ascii="Arial" w:hAnsi="Arial" w:cs="Arial"/>
          <w:sz w:val="24"/>
          <w:szCs w:val="24"/>
        </w:rPr>
        <w:t xml:space="preserve">then </w:t>
      </w:r>
      <w:r w:rsidR="003C64DA">
        <w:rPr>
          <w:rFonts w:ascii="Arial" w:hAnsi="Arial" w:cs="Arial"/>
          <w:sz w:val="24"/>
          <w:szCs w:val="24"/>
        </w:rPr>
        <w:t>extant bid.</w:t>
      </w:r>
    </w:p>
    <w:p w14:paraId="2ED8969E" w14:textId="66EB9D85" w:rsidR="00A73C21" w:rsidRDefault="00A73C21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Manifestly this is an attempt to gain pre-litigation discovery</w:t>
      </w:r>
      <w:r w:rsidR="00F35AA2">
        <w:rPr>
          <w:rFonts w:ascii="Arial" w:hAnsi="Arial" w:cs="Arial"/>
          <w:sz w:val="24"/>
          <w:szCs w:val="24"/>
        </w:rPr>
        <w:t xml:space="preserve"> because the applicant is seeking other documents to go behind those furnished to seek to bolster its contention of alleged nefarious conduct. </w:t>
      </w:r>
    </w:p>
    <w:p w14:paraId="6F8CB424" w14:textId="07BA8A62" w:rsidR="00CF5F6D" w:rsidRDefault="00CF5F6D" w:rsidP="0087690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7(1) of PAIA</w:t>
      </w:r>
      <w:r w:rsidR="005D25C7">
        <w:rPr>
          <w:rFonts w:ascii="Arial" w:hAnsi="Arial" w:cs="Arial"/>
          <w:sz w:val="24"/>
          <w:szCs w:val="24"/>
        </w:rPr>
        <w:t xml:space="preserve"> states:</w:t>
      </w:r>
    </w:p>
    <w:p w14:paraId="26C35F2C" w14:textId="77777777" w:rsidR="00F32F37" w:rsidRPr="0095132F" w:rsidRDefault="00F32F37" w:rsidP="00FC55D8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95132F">
        <w:rPr>
          <w:rFonts w:ascii="Arial" w:hAnsi="Arial" w:cs="Arial"/>
          <w:i/>
          <w:iCs/>
          <w:sz w:val="24"/>
          <w:szCs w:val="24"/>
        </w:rPr>
        <w:t>7(1) This Act does not apply to a record of a public body or a private body if-</w:t>
      </w:r>
    </w:p>
    <w:p w14:paraId="3026DA26" w14:textId="52507671" w:rsidR="00F32F37" w:rsidRPr="0095132F" w:rsidRDefault="00F32F37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95132F">
        <w:rPr>
          <w:rFonts w:ascii="Arial" w:hAnsi="Arial" w:cs="Arial"/>
          <w:i/>
          <w:iCs/>
          <w:sz w:val="24"/>
          <w:szCs w:val="24"/>
        </w:rPr>
        <w:lastRenderedPageBreak/>
        <w:t xml:space="preserve"> (a)   </w:t>
      </w:r>
      <w:proofErr w:type="gramStart"/>
      <w:r w:rsidRPr="0095132F">
        <w:rPr>
          <w:rFonts w:ascii="Arial" w:hAnsi="Arial" w:cs="Arial"/>
          <w:i/>
          <w:iCs/>
          <w:sz w:val="24"/>
          <w:szCs w:val="24"/>
        </w:rPr>
        <w:t>that</w:t>
      </w:r>
      <w:proofErr w:type="gramEnd"/>
      <w:r w:rsidRPr="0095132F">
        <w:rPr>
          <w:rFonts w:ascii="Arial" w:hAnsi="Arial" w:cs="Arial"/>
          <w:i/>
          <w:iCs/>
          <w:sz w:val="24"/>
          <w:szCs w:val="24"/>
        </w:rPr>
        <w:t xml:space="preserve"> record is requested for the purpose of criminal or civil proceedings;</w:t>
      </w:r>
    </w:p>
    <w:p w14:paraId="5D8BC25D" w14:textId="7659AF2A" w:rsidR="00F32F37" w:rsidRPr="0095132F" w:rsidRDefault="00F32F37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95132F">
        <w:rPr>
          <w:rFonts w:ascii="Arial" w:hAnsi="Arial" w:cs="Arial"/>
          <w:i/>
          <w:iCs/>
          <w:sz w:val="24"/>
          <w:szCs w:val="24"/>
        </w:rPr>
        <w:t xml:space="preserve"> (b)   </w:t>
      </w:r>
      <w:proofErr w:type="gramStart"/>
      <w:r w:rsidRPr="0095132F">
        <w:rPr>
          <w:rFonts w:ascii="Arial" w:hAnsi="Arial" w:cs="Arial"/>
          <w:i/>
          <w:iCs/>
          <w:sz w:val="24"/>
          <w:szCs w:val="24"/>
        </w:rPr>
        <w:t>so</w:t>
      </w:r>
      <w:proofErr w:type="gramEnd"/>
      <w:r w:rsidRPr="0095132F">
        <w:rPr>
          <w:rFonts w:ascii="Arial" w:hAnsi="Arial" w:cs="Arial"/>
          <w:i/>
          <w:iCs/>
          <w:sz w:val="24"/>
          <w:szCs w:val="24"/>
        </w:rPr>
        <w:t xml:space="preserve"> requested after the commencement of such criminal or civil proceedings, as the case may be; and</w:t>
      </w:r>
    </w:p>
    <w:p w14:paraId="55AC4C77" w14:textId="7B28FC2B" w:rsidR="00F32F37" w:rsidRDefault="00F32F37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95132F">
        <w:rPr>
          <w:rFonts w:ascii="Arial" w:hAnsi="Arial" w:cs="Arial"/>
          <w:i/>
          <w:iCs/>
          <w:sz w:val="24"/>
          <w:szCs w:val="24"/>
        </w:rPr>
        <w:t xml:space="preserve">(c)   </w:t>
      </w:r>
      <w:proofErr w:type="gramStart"/>
      <w:r w:rsidRPr="0095132F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Pr="0095132F">
        <w:rPr>
          <w:rFonts w:ascii="Arial" w:hAnsi="Arial" w:cs="Arial"/>
          <w:i/>
          <w:iCs/>
          <w:sz w:val="24"/>
          <w:szCs w:val="24"/>
        </w:rPr>
        <w:t xml:space="preserve"> production of or access to that record for the purpose referred to in paragraph (a) is provided for in any other law.</w:t>
      </w:r>
    </w:p>
    <w:p w14:paraId="6E5F0889" w14:textId="77777777" w:rsidR="0021370F" w:rsidRPr="0095132F" w:rsidRDefault="0021370F" w:rsidP="007B7E26">
      <w:pPr>
        <w:pStyle w:val="ListParagraph"/>
        <w:spacing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2217F275" w14:textId="5813C784" w:rsidR="00580EB0" w:rsidRDefault="00CB72B0" w:rsidP="00F5562C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Textually</w:t>
      </w:r>
      <w:r w:rsidR="0086155F">
        <w:rPr>
          <w:rFonts w:ascii="Arial" w:hAnsi="Arial" w:cs="Arial"/>
          <w:sz w:val="24"/>
          <w:szCs w:val="24"/>
        </w:rPr>
        <w:t>,</w:t>
      </w:r>
      <w:r w:rsidR="00F9440D">
        <w:rPr>
          <w:rFonts w:ascii="Arial" w:hAnsi="Arial" w:cs="Arial"/>
          <w:sz w:val="24"/>
          <w:szCs w:val="24"/>
        </w:rPr>
        <w:t xml:space="preserve"> the exclusion only applies after the </w:t>
      </w:r>
      <w:r w:rsidR="00F940E2">
        <w:rPr>
          <w:rFonts w:ascii="Arial" w:hAnsi="Arial" w:cs="Arial"/>
          <w:sz w:val="24"/>
          <w:szCs w:val="24"/>
        </w:rPr>
        <w:t>“</w:t>
      </w:r>
      <w:r w:rsidR="00F940E2" w:rsidRPr="00F5562C">
        <w:rPr>
          <w:rFonts w:ascii="Arial" w:hAnsi="Arial" w:cs="Arial"/>
          <w:sz w:val="24"/>
          <w:szCs w:val="24"/>
        </w:rPr>
        <w:t>commencement</w:t>
      </w:r>
      <w:r w:rsidR="00263437" w:rsidRPr="00F5562C">
        <w:rPr>
          <w:rFonts w:ascii="Arial" w:hAnsi="Arial" w:cs="Arial"/>
          <w:sz w:val="24"/>
          <w:szCs w:val="24"/>
        </w:rPr>
        <w:t>”</w:t>
      </w:r>
      <w:r w:rsidR="00F9440D">
        <w:rPr>
          <w:rFonts w:ascii="Arial" w:hAnsi="Arial" w:cs="Arial"/>
          <w:sz w:val="24"/>
          <w:szCs w:val="24"/>
        </w:rPr>
        <w:t xml:space="preserve"> </w:t>
      </w:r>
      <w:r w:rsidR="00263437">
        <w:rPr>
          <w:rFonts w:ascii="Arial" w:hAnsi="Arial" w:cs="Arial"/>
          <w:sz w:val="24"/>
          <w:szCs w:val="24"/>
        </w:rPr>
        <w:t>of proceedings. However</w:t>
      </w:r>
      <w:r w:rsidR="00767904">
        <w:rPr>
          <w:rFonts w:ascii="Arial" w:hAnsi="Arial" w:cs="Arial"/>
          <w:sz w:val="24"/>
          <w:szCs w:val="24"/>
        </w:rPr>
        <w:t>,</w:t>
      </w:r>
      <w:r w:rsidR="00263437">
        <w:rPr>
          <w:rFonts w:ascii="Arial" w:hAnsi="Arial" w:cs="Arial"/>
          <w:sz w:val="24"/>
          <w:szCs w:val="24"/>
        </w:rPr>
        <w:t xml:space="preserve"> </w:t>
      </w:r>
      <w:r w:rsidR="006E1C53">
        <w:rPr>
          <w:rFonts w:ascii="Arial" w:hAnsi="Arial" w:cs="Arial"/>
          <w:sz w:val="24"/>
          <w:szCs w:val="24"/>
        </w:rPr>
        <w:t xml:space="preserve">the courts have held that the exclusion can apply as well to attempts to obtain </w:t>
      </w:r>
      <w:r w:rsidR="00767904">
        <w:rPr>
          <w:rFonts w:ascii="Arial" w:hAnsi="Arial" w:cs="Arial"/>
          <w:sz w:val="24"/>
          <w:szCs w:val="24"/>
        </w:rPr>
        <w:t>“</w:t>
      </w:r>
      <w:r w:rsidR="006E1C53" w:rsidRPr="00F5562C">
        <w:rPr>
          <w:rFonts w:ascii="Arial" w:hAnsi="Arial" w:cs="Arial"/>
          <w:sz w:val="24"/>
          <w:szCs w:val="24"/>
        </w:rPr>
        <w:t xml:space="preserve">pre-action </w:t>
      </w:r>
      <w:r w:rsidR="00767904" w:rsidRPr="00F5562C">
        <w:rPr>
          <w:rFonts w:ascii="Arial" w:hAnsi="Arial" w:cs="Arial"/>
          <w:sz w:val="24"/>
          <w:szCs w:val="24"/>
        </w:rPr>
        <w:t>discovery</w:t>
      </w:r>
      <w:r w:rsidR="00B42404">
        <w:rPr>
          <w:rFonts w:ascii="Arial" w:hAnsi="Arial" w:cs="Arial"/>
          <w:sz w:val="24"/>
          <w:szCs w:val="24"/>
        </w:rPr>
        <w:t>.”</w:t>
      </w:r>
    </w:p>
    <w:p w14:paraId="58CF73A9" w14:textId="711ED34C" w:rsidR="00F32F37" w:rsidRPr="00654ADB" w:rsidRDefault="00D17986" w:rsidP="00654ADB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DB2182" w:rsidRPr="004A1FF6">
        <w:rPr>
          <w:rFonts w:ascii="Arial" w:hAnsi="Arial" w:cs="Arial"/>
          <w:b/>
          <w:sz w:val="24"/>
          <w:szCs w:val="24"/>
        </w:rPr>
        <w:t>U</w:t>
      </w:r>
      <w:r w:rsidR="00353E07" w:rsidRPr="004A1FF6">
        <w:rPr>
          <w:rFonts w:ascii="Arial" w:hAnsi="Arial" w:cs="Arial"/>
          <w:b/>
          <w:sz w:val="24"/>
          <w:szCs w:val="24"/>
        </w:rPr>
        <w:t>nitas</w:t>
      </w:r>
      <w:proofErr w:type="spellEnd"/>
      <w:r w:rsidR="00DB2182" w:rsidRPr="004A1FF6">
        <w:rPr>
          <w:rFonts w:ascii="Arial" w:hAnsi="Arial" w:cs="Arial"/>
          <w:b/>
          <w:sz w:val="24"/>
          <w:szCs w:val="24"/>
        </w:rPr>
        <w:t xml:space="preserve"> H</w:t>
      </w:r>
      <w:r w:rsidR="00353E07" w:rsidRPr="004A1FF6">
        <w:rPr>
          <w:rFonts w:ascii="Arial" w:hAnsi="Arial" w:cs="Arial"/>
          <w:b/>
          <w:sz w:val="24"/>
          <w:szCs w:val="24"/>
        </w:rPr>
        <w:t>ospital</w:t>
      </w:r>
      <w:r w:rsidR="00DB2182" w:rsidRPr="004A1FF6">
        <w:rPr>
          <w:rFonts w:ascii="Arial" w:hAnsi="Arial" w:cs="Arial"/>
          <w:b/>
          <w:sz w:val="24"/>
          <w:szCs w:val="24"/>
        </w:rPr>
        <w:t xml:space="preserve"> v V</w:t>
      </w:r>
      <w:r w:rsidR="00353E07" w:rsidRPr="004A1FF6">
        <w:rPr>
          <w:rFonts w:ascii="Arial" w:hAnsi="Arial" w:cs="Arial"/>
          <w:b/>
          <w:sz w:val="24"/>
          <w:szCs w:val="24"/>
        </w:rPr>
        <w:t>an</w:t>
      </w:r>
      <w:r w:rsidR="00DB2182" w:rsidRPr="004A1FF6">
        <w:rPr>
          <w:rFonts w:ascii="Arial" w:hAnsi="Arial" w:cs="Arial"/>
          <w:b/>
          <w:sz w:val="24"/>
          <w:szCs w:val="24"/>
        </w:rPr>
        <w:t xml:space="preserve"> W</w:t>
      </w:r>
      <w:r w:rsidR="00353E07" w:rsidRPr="004A1FF6">
        <w:rPr>
          <w:rFonts w:ascii="Arial" w:hAnsi="Arial" w:cs="Arial"/>
          <w:b/>
          <w:sz w:val="24"/>
          <w:szCs w:val="24"/>
        </w:rPr>
        <w:t>yk</w:t>
      </w:r>
      <w:r w:rsidR="00DB2182" w:rsidRPr="00654ADB">
        <w:rPr>
          <w:rFonts w:ascii="Arial" w:hAnsi="Arial" w:cs="Arial"/>
          <w:sz w:val="24"/>
          <w:szCs w:val="24"/>
        </w:rPr>
        <w:t xml:space="preserve"> </w:t>
      </w:r>
      <w:r w:rsidR="00D75F08" w:rsidRPr="00654ADB">
        <w:rPr>
          <w:rFonts w:ascii="Arial" w:hAnsi="Arial" w:cs="Arial"/>
          <w:sz w:val="24"/>
          <w:szCs w:val="24"/>
        </w:rPr>
        <w:t>and Another</w:t>
      </w:r>
      <w:r w:rsidR="00DB2182" w:rsidRPr="00DB2182">
        <w:rPr>
          <w:rFonts w:ascii="Arial" w:hAnsi="Arial" w:cs="Arial"/>
          <w:sz w:val="24"/>
          <w:szCs w:val="24"/>
        </w:rPr>
        <w:t xml:space="preserve"> 2006 (4) SA 436 (SCA</w:t>
      </w:r>
      <w:r w:rsidR="00DB2182">
        <w:rPr>
          <w:rFonts w:ascii="Arial" w:hAnsi="Arial" w:cs="Arial"/>
          <w:sz w:val="24"/>
          <w:szCs w:val="24"/>
        </w:rPr>
        <w:t xml:space="preserve">) </w:t>
      </w:r>
      <w:r w:rsidR="00DB2182" w:rsidRPr="008F3254">
        <w:rPr>
          <w:rFonts w:ascii="Arial" w:hAnsi="Arial" w:cs="Arial"/>
          <w:sz w:val="24"/>
          <w:szCs w:val="24"/>
        </w:rPr>
        <w:t xml:space="preserve">Brand J explained </w:t>
      </w:r>
      <w:r w:rsidR="00FC52D8" w:rsidRPr="008F3254">
        <w:rPr>
          <w:rFonts w:ascii="Arial" w:hAnsi="Arial" w:cs="Arial"/>
          <w:sz w:val="24"/>
          <w:szCs w:val="24"/>
        </w:rPr>
        <w:t>in discussing the purpose of section 7of PAIA that</w:t>
      </w:r>
      <w:r w:rsidR="00FC52D8" w:rsidRPr="00654ADB">
        <w:rPr>
          <w:rFonts w:ascii="Arial" w:hAnsi="Arial" w:cs="Arial"/>
          <w:sz w:val="24"/>
          <w:szCs w:val="24"/>
        </w:rPr>
        <w:t>:</w:t>
      </w:r>
    </w:p>
    <w:p w14:paraId="61E17156" w14:textId="77777777" w:rsidR="002B1309" w:rsidRPr="006C6955" w:rsidRDefault="002B1309" w:rsidP="003F7DB4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C6955">
        <w:rPr>
          <w:rFonts w:ascii="Arial" w:hAnsi="Arial" w:cs="Arial"/>
          <w:i/>
          <w:iCs/>
          <w:sz w:val="24"/>
          <w:szCs w:val="24"/>
        </w:rPr>
        <w:t>The deference shown to discovery rules is a clear indication, I think, that the Legislature had no intention to allow prospective litigants to avoid these measures of control by compelling pre-action discovery under s 50 as a matter of course.  I</w:t>
      </w:r>
    </w:p>
    <w:p w14:paraId="37BBCDB0" w14:textId="0B12BD46" w:rsidR="002B1309" w:rsidRDefault="002B1309" w:rsidP="003F7DB4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C6955">
        <w:rPr>
          <w:rFonts w:ascii="Arial" w:hAnsi="Arial" w:cs="Arial"/>
          <w:i/>
          <w:iCs/>
          <w:sz w:val="24"/>
          <w:szCs w:val="24"/>
        </w:rPr>
        <w:t>[22] I hasten to add that I am not suggesting that reliance on s 50 is automatically precluded merely because the information sought would eventually become accessible under the rules of discovery, after proceedings have been launched. What I do say is that pre-action discovery under s 50 must remain the exception rather than the rule;</w:t>
      </w:r>
      <w:r w:rsidR="002D407D">
        <w:rPr>
          <w:rFonts w:ascii="Arial" w:hAnsi="Arial" w:cs="Arial"/>
          <w:i/>
          <w:iCs/>
          <w:sz w:val="24"/>
          <w:szCs w:val="24"/>
        </w:rPr>
        <w:t>”</w:t>
      </w:r>
    </w:p>
    <w:p w14:paraId="5974B93D" w14:textId="133BD5B0" w:rsidR="006C6955" w:rsidRDefault="006C6955" w:rsidP="00F071FA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must be noted that Brand JA was dealing with section 50</w:t>
      </w:r>
      <w:r w:rsidR="00714A44">
        <w:rPr>
          <w:rFonts w:ascii="Arial" w:hAnsi="Arial" w:cs="Arial"/>
          <w:sz w:val="24"/>
          <w:szCs w:val="24"/>
        </w:rPr>
        <w:t xml:space="preserve">, a request for </w:t>
      </w:r>
      <w:r w:rsidR="00B52B76">
        <w:rPr>
          <w:rFonts w:ascii="Arial" w:hAnsi="Arial" w:cs="Arial"/>
          <w:sz w:val="24"/>
          <w:szCs w:val="24"/>
        </w:rPr>
        <w:t>information</w:t>
      </w:r>
      <w:r w:rsidR="00714A44">
        <w:rPr>
          <w:rFonts w:ascii="Arial" w:hAnsi="Arial" w:cs="Arial"/>
          <w:sz w:val="24"/>
          <w:szCs w:val="24"/>
        </w:rPr>
        <w:t xml:space="preserve"> from a private body where the legal threshold</w:t>
      </w:r>
      <w:r w:rsidR="00465F49">
        <w:rPr>
          <w:rFonts w:ascii="Arial" w:hAnsi="Arial" w:cs="Arial"/>
          <w:sz w:val="24"/>
          <w:szCs w:val="24"/>
        </w:rPr>
        <w:t xml:space="preserve"> to obtain access to information</w:t>
      </w:r>
      <w:r w:rsidR="00714A44">
        <w:rPr>
          <w:rFonts w:ascii="Arial" w:hAnsi="Arial" w:cs="Arial"/>
          <w:sz w:val="24"/>
          <w:szCs w:val="24"/>
        </w:rPr>
        <w:t xml:space="preserve"> is higher than for a state body under section 11. Nevertheless section 7(1)</w:t>
      </w:r>
      <w:r w:rsidR="002D7CC3">
        <w:rPr>
          <w:rFonts w:ascii="Arial" w:hAnsi="Arial" w:cs="Arial"/>
          <w:sz w:val="24"/>
          <w:szCs w:val="24"/>
        </w:rPr>
        <w:t xml:space="preserve">’s litigation </w:t>
      </w:r>
      <w:r w:rsidR="00D04E81">
        <w:rPr>
          <w:rFonts w:ascii="Arial" w:hAnsi="Arial" w:cs="Arial"/>
          <w:sz w:val="24"/>
          <w:szCs w:val="24"/>
        </w:rPr>
        <w:t>exclusion</w:t>
      </w:r>
      <w:r w:rsidR="002D7CC3">
        <w:rPr>
          <w:rFonts w:ascii="Arial" w:hAnsi="Arial" w:cs="Arial"/>
          <w:sz w:val="24"/>
          <w:szCs w:val="24"/>
        </w:rPr>
        <w:t xml:space="preserve"> applies equally to</w:t>
      </w:r>
      <w:r w:rsidR="003F2C10">
        <w:rPr>
          <w:rFonts w:ascii="Arial" w:hAnsi="Arial" w:cs="Arial"/>
          <w:sz w:val="24"/>
          <w:szCs w:val="24"/>
        </w:rPr>
        <w:t xml:space="preserve"> the records </w:t>
      </w:r>
      <w:r w:rsidR="00613800">
        <w:rPr>
          <w:rFonts w:ascii="Arial" w:hAnsi="Arial" w:cs="Arial"/>
          <w:sz w:val="24"/>
          <w:szCs w:val="24"/>
        </w:rPr>
        <w:t>of both</w:t>
      </w:r>
      <w:r w:rsidR="002D7CC3">
        <w:rPr>
          <w:rFonts w:ascii="Arial" w:hAnsi="Arial" w:cs="Arial"/>
          <w:sz w:val="24"/>
          <w:szCs w:val="24"/>
        </w:rPr>
        <w:t xml:space="preserve"> private and public </w:t>
      </w:r>
      <w:r w:rsidR="003F2C10">
        <w:rPr>
          <w:rFonts w:ascii="Arial" w:hAnsi="Arial" w:cs="Arial"/>
          <w:sz w:val="24"/>
          <w:szCs w:val="24"/>
        </w:rPr>
        <w:t>bodies. There is therefore no reason not to follow this app</w:t>
      </w:r>
      <w:r w:rsidR="00D04E81">
        <w:rPr>
          <w:rFonts w:ascii="Arial" w:hAnsi="Arial" w:cs="Arial"/>
          <w:sz w:val="24"/>
          <w:szCs w:val="24"/>
        </w:rPr>
        <w:t>r</w:t>
      </w:r>
      <w:r w:rsidR="003F2C10">
        <w:rPr>
          <w:rFonts w:ascii="Arial" w:hAnsi="Arial" w:cs="Arial"/>
          <w:sz w:val="24"/>
          <w:szCs w:val="24"/>
        </w:rPr>
        <w:t xml:space="preserve">oach in the present matter. </w:t>
      </w:r>
    </w:p>
    <w:p w14:paraId="0C868132" w14:textId="020F2CF8" w:rsidR="003F2C10" w:rsidRDefault="00D04E81" w:rsidP="00942C6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clear that the applicant’s request in this matter amounts to </w:t>
      </w:r>
      <w:r w:rsidR="00742B49">
        <w:rPr>
          <w:rFonts w:ascii="Arial" w:hAnsi="Arial" w:cs="Arial"/>
          <w:sz w:val="24"/>
          <w:szCs w:val="24"/>
        </w:rPr>
        <w:t>a request for pre-action discovery. In the first place</w:t>
      </w:r>
      <w:r w:rsidR="007410F5">
        <w:rPr>
          <w:rFonts w:ascii="Arial" w:hAnsi="Arial" w:cs="Arial"/>
          <w:sz w:val="24"/>
          <w:szCs w:val="24"/>
        </w:rPr>
        <w:t>,</w:t>
      </w:r>
      <w:r w:rsidR="00742B49">
        <w:rPr>
          <w:rFonts w:ascii="Arial" w:hAnsi="Arial" w:cs="Arial"/>
          <w:sz w:val="24"/>
          <w:szCs w:val="24"/>
        </w:rPr>
        <w:t xml:space="preserve"> this </w:t>
      </w:r>
      <w:r w:rsidR="003D77CB">
        <w:rPr>
          <w:rFonts w:ascii="Arial" w:hAnsi="Arial" w:cs="Arial"/>
          <w:sz w:val="24"/>
          <w:szCs w:val="24"/>
        </w:rPr>
        <w:t xml:space="preserve">purpose </w:t>
      </w:r>
      <w:r w:rsidR="00742B49">
        <w:rPr>
          <w:rFonts w:ascii="Arial" w:hAnsi="Arial" w:cs="Arial"/>
          <w:sz w:val="24"/>
          <w:szCs w:val="24"/>
        </w:rPr>
        <w:t>is admitted in the heads of argument of its counsel. Second, even if it has attempted to walk away from this admission</w:t>
      </w:r>
      <w:r w:rsidR="003D77CB">
        <w:rPr>
          <w:rFonts w:ascii="Arial" w:hAnsi="Arial" w:cs="Arial"/>
          <w:sz w:val="24"/>
          <w:szCs w:val="24"/>
        </w:rPr>
        <w:t>,</w:t>
      </w:r>
      <w:r w:rsidR="00742B49">
        <w:rPr>
          <w:rFonts w:ascii="Arial" w:hAnsi="Arial" w:cs="Arial"/>
          <w:sz w:val="24"/>
          <w:szCs w:val="24"/>
        </w:rPr>
        <w:t xml:space="preserve"> the nature of the documents requested coupled with the allegations of </w:t>
      </w:r>
      <w:r w:rsidR="00742B49">
        <w:rPr>
          <w:rFonts w:ascii="Arial" w:hAnsi="Arial" w:cs="Arial"/>
          <w:sz w:val="24"/>
          <w:szCs w:val="24"/>
        </w:rPr>
        <w:lastRenderedPageBreak/>
        <w:t xml:space="preserve">illegal conduct, nefarious </w:t>
      </w:r>
      <w:r w:rsidR="00B52B76">
        <w:rPr>
          <w:rFonts w:ascii="Arial" w:hAnsi="Arial" w:cs="Arial"/>
          <w:sz w:val="24"/>
          <w:szCs w:val="24"/>
        </w:rPr>
        <w:t>conduct</w:t>
      </w:r>
      <w:r w:rsidR="00742B49">
        <w:rPr>
          <w:rFonts w:ascii="Arial" w:hAnsi="Arial" w:cs="Arial"/>
          <w:sz w:val="24"/>
          <w:szCs w:val="24"/>
        </w:rPr>
        <w:t xml:space="preserve"> etc</w:t>
      </w:r>
      <w:r w:rsidR="006E741D">
        <w:rPr>
          <w:rFonts w:ascii="Arial" w:hAnsi="Arial" w:cs="Arial"/>
          <w:sz w:val="24"/>
          <w:szCs w:val="24"/>
        </w:rPr>
        <w:t>.,</w:t>
      </w:r>
      <w:r w:rsidR="00742B49">
        <w:rPr>
          <w:rFonts w:ascii="Arial" w:hAnsi="Arial" w:cs="Arial"/>
          <w:sz w:val="24"/>
          <w:szCs w:val="24"/>
        </w:rPr>
        <w:t xml:space="preserve"> suggests that litigation is precisely what is contemplated.</w:t>
      </w:r>
    </w:p>
    <w:p w14:paraId="5B691B56" w14:textId="3CAD6FE3" w:rsidR="005C4378" w:rsidRDefault="005C4378" w:rsidP="00942C6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therefore satisfied that the application must fail because it amounts to a matter that is now moot, is an abuse of process and finally is precluded by virtue of section 7(1) of PAIA because it amounts to pre-action discovery. </w:t>
      </w:r>
    </w:p>
    <w:p w14:paraId="5BA3A38A" w14:textId="41886B53" w:rsidR="006E05D8" w:rsidRDefault="006E05D8" w:rsidP="007B7E26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98A17E9" w14:textId="77777777" w:rsidR="00997402" w:rsidRDefault="00997402" w:rsidP="007B7E26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D474A67" w14:textId="64B3AA93" w:rsidR="00DD0962" w:rsidRPr="00D11A5A" w:rsidRDefault="00DD0962" w:rsidP="004E4F1F">
      <w:pPr>
        <w:spacing w:line="360" w:lineRule="auto"/>
        <w:rPr>
          <w:rFonts w:ascii="Arial" w:hAnsi="Arial" w:cs="Arial"/>
          <w:b/>
          <w:bCs/>
          <w:sz w:val="32"/>
          <w:szCs w:val="24"/>
        </w:rPr>
      </w:pPr>
      <w:r w:rsidRPr="00D11A5A">
        <w:rPr>
          <w:rFonts w:ascii="Arial" w:hAnsi="Arial" w:cs="Arial"/>
          <w:b/>
          <w:bCs/>
          <w:sz w:val="32"/>
          <w:szCs w:val="24"/>
        </w:rPr>
        <w:t xml:space="preserve">ORDER </w:t>
      </w:r>
    </w:p>
    <w:p w14:paraId="7C522C35" w14:textId="2DA33858" w:rsidR="005C4378" w:rsidRDefault="005C4378" w:rsidP="006C69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is dismissed with costs.</w:t>
      </w:r>
    </w:p>
    <w:p w14:paraId="44D2CA14" w14:textId="490C7DC6" w:rsidR="00B417BA" w:rsidRDefault="00B417BA" w:rsidP="00B417B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F41E95F" w14:textId="6FEEFE96" w:rsidR="00400687" w:rsidRDefault="00400687" w:rsidP="00B417B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66BE70A" w14:textId="77777777" w:rsidR="00400687" w:rsidRPr="004A1FF6" w:rsidRDefault="00400687" w:rsidP="00400687">
      <w:pPr>
        <w:autoSpaceDE w:val="0"/>
        <w:autoSpaceDN w:val="0"/>
        <w:adjustRightInd w:val="0"/>
        <w:spacing w:before="120" w:after="0" w:line="240" w:lineRule="auto"/>
        <w:ind w:left="709"/>
        <w:jc w:val="right"/>
        <w:rPr>
          <w:rFonts w:eastAsia="Times New Roman" w:cs="Arial"/>
          <w:b/>
          <w:color w:val="0D0D0D" w:themeColor="text1" w:themeTint="F2"/>
          <w:sz w:val="34"/>
          <w:szCs w:val="24"/>
          <w:lang w:val="en-GB"/>
        </w:rPr>
      </w:pPr>
      <w:r w:rsidRPr="004A1FF6">
        <w:rPr>
          <w:rFonts w:eastAsia="Times New Roman" w:cs="Arial"/>
          <w:b/>
          <w:color w:val="0D0D0D" w:themeColor="text1" w:themeTint="F2"/>
          <w:sz w:val="34"/>
          <w:szCs w:val="24"/>
          <w:lang w:val="en-GB"/>
        </w:rPr>
        <w:t xml:space="preserve">N MANOIM </w:t>
      </w:r>
    </w:p>
    <w:p w14:paraId="148B3C02" w14:textId="77777777" w:rsidR="00400687" w:rsidRPr="004A1FF6" w:rsidRDefault="00400687" w:rsidP="00400687">
      <w:pPr>
        <w:autoSpaceDE w:val="0"/>
        <w:autoSpaceDN w:val="0"/>
        <w:adjustRightInd w:val="0"/>
        <w:spacing w:before="120" w:after="0" w:line="240" w:lineRule="auto"/>
        <w:ind w:left="709"/>
        <w:jc w:val="right"/>
        <w:rPr>
          <w:rFonts w:eastAsia="Times New Roman" w:cs="Arial"/>
          <w:color w:val="0D0D0D" w:themeColor="text1" w:themeTint="F2"/>
          <w:sz w:val="34"/>
          <w:szCs w:val="24"/>
          <w:lang w:val="en-GB"/>
        </w:rPr>
      </w:pPr>
      <w:r w:rsidRPr="004A1FF6">
        <w:rPr>
          <w:rFonts w:eastAsia="Times New Roman" w:cs="Arial"/>
          <w:color w:val="0D0D0D" w:themeColor="text1" w:themeTint="F2"/>
          <w:sz w:val="34"/>
          <w:szCs w:val="24"/>
          <w:lang w:val="en-GB"/>
        </w:rPr>
        <w:t xml:space="preserve">JUDGE OF THE HIGH COURT </w:t>
      </w:r>
    </w:p>
    <w:p w14:paraId="3C89D63E" w14:textId="6A20162D" w:rsidR="00400687" w:rsidRPr="004A1FF6" w:rsidRDefault="00400687" w:rsidP="00400687">
      <w:pPr>
        <w:autoSpaceDE w:val="0"/>
        <w:autoSpaceDN w:val="0"/>
        <w:adjustRightInd w:val="0"/>
        <w:spacing w:before="120" w:after="0" w:line="240" w:lineRule="auto"/>
        <w:ind w:left="709"/>
        <w:jc w:val="right"/>
        <w:rPr>
          <w:rFonts w:eastAsia="Times New Roman" w:cs="Arial"/>
          <w:color w:val="0D0D0D" w:themeColor="text1" w:themeTint="F2"/>
          <w:sz w:val="34"/>
          <w:szCs w:val="24"/>
          <w:lang w:val="en-GB"/>
        </w:rPr>
      </w:pPr>
      <w:r w:rsidRPr="004A1FF6">
        <w:rPr>
          <w:rFonts w:eastAsia="Times New Roman" w:cs="Arial"/>
          <w:color w:val="0D0D0D" w:themeColor="text1" w:themeTint="F2"/>
          <w:sz w:val="34"/>
          <w:szCs w:val="24"/>
          <w:lang w:val="en-GB"/>
        </w:rPr>
        <w:t>GAUTENG DIVISION, JOHANNESBURG</w:t>
      </w:r>
    </w:p>
    <w:p w14:paraId="1E3C8AAD" w14:textId="77777777" w:rsidR="0049335E" w:rsidRDefault="0049335E" w:rsidP="00A5247F">
      <w:pPr>
        <w:spacing w:before="360" w:after="360" w:line="360" w:lineRule="auto"/>
        <w:jc w:val="both"/>
        <w:rPr>
          <w:rFonts w:ascii="Arial" w:eastAsia="Calibri" w:hAnsi="Arial" w:cs="Arial"/>
          <w:i/>
          <w:color w:val="0D0D0D" w:themeColor="text1" w:themeTint="F2"/>
          <w:sz w:val="24"/>
          <w:szCs w:val="24"/>
        </w:rPr>
      </w:pPr>
    </w:p>
    <w:p w14:paraId="59144AF9" w14:textId="1FF8936D" w:rsidR="00B417BA" w:rsidRPr="00FF4C93" w:rsidRDefault="00B417BA" w:rsidP="00A5247F">
      <w:pPr>
        <w:spacing w:before="360" w:after="360" w:line="360" w:lineRule="auto"/>
        <w:jc w:val="both"/>
        <w:rPr>
          <w:rFonts w:ascii="Arial" w:eastAsia="Times New Roman" w:hAnsi="Arial" w:cs="Arial"/>
          <w:i/>
          <w:color w:val="0D0D0D" w:themeColor="text1" w:themeTint="F2"/>
          <w:sz w:val="24"/>
          <w:szCs w:val="24"/>
        </w:rPr>
      </w:pPr>
      <w:r w:rsidRPr="00FF4C93">
        <w:rPr>
          <w:rFonts w:ascii="Arial" w:eastAsia="Calibri" w:hAnsi="Arial" w:cs="Arial"/>
          <w:i/>
          <w:color w:val="0D0D0D" w:themeColor="text1" w:themeTint="F2"/>
          <w:sz w:val="24"/>
          <w:szCs w:val="24"/>
        </w:rPr>
        <w:t xml:space="preserve">This judgment was handed down electronically by circulation to the parties’ and/or parties’ representatives by email and by being uploaded to </w:t>
      </w:r>
      <w:proofErr w:type="spellStart"/>
      <w:r w:rsidRPr="00FF4C93">
        <w:rPr>
          <w:rFonts w:ascii="Arial" w:eastAsia="Calibri" w:hAnsi="Arial" w:cs="Arial"/>
          <w:i/>
          <w:color w:val="0D0D0D" w:themeColor="text1" w:themeTint="F2"/>
          <w:sz w:val="24"/>
          <w:szCs w:val="24"/>
        </w:rPr>
        <w:t>CaseLines</w:t>
      </w:r>
      <w:proofErr w:type="spellEnd"/>
      <w:r w:rsidRPr="00FF4C93">
        <w:rPr>
          <w:rFonts w:ascii="Arial" w:eastAsia="Calibri" w:hAnsi="Arial" w:cs="Arial"/>
          <w:i/>
          <w:color w:val="0D0D0D" w:themeColor="text1" w:themeTint="F2"/>
          <w:sz w:val="24"/>
          <w:szCs w:val="24"/>
        </w:rPr>
        <w:t xml:space="preserve">. The date and time for hand-down is deemed to be 10h00 on </w:t>
      </w:r>
      <w:r w:rsidR="00D12081" w:rsidRPr="006B43A8">
        <w:rPr>
          <w:rFonts w:ascii="Arial" w:eastAsia="Calibri" w:hAnsi="Arial" w:cs="Arial"/>
          <w:i/>
          <w:iCs/>
          <w:color w:val="0D0D0D" w:themeColor="text1" w:themeTint="F2"/>
          <w:sz w:val="24"/>
          <w:szCs w:val="24"/>
          <w:lang w:val="en-GB"/>
        </w:rPr>
        <w:t xml:space="preserve">3 May </w:t>
      </w:r>
      <w:r w:rsidRPr="006B43A8">
        <w:rPr>
          <w:rFonts w:ascii="Arial" w:eastAsia="Calibri" w:hAnsi="Arial" w:cs="Arial"/>
          <w:i/>
          <w:iCs/>
          <w:color w:val="0D0D0D" w:themeColor="text1" w:themeTint="F2"/>
          <w:sz w:val="24"/>
          <w:szCs w:val="24"/>
          <w:lang w:val="en-GB"/>
        </w:rPr>
        <w:t>2022</w:t>
      </w:r>
      <w:r w:rsidRPr="00FF4C93">
        <w:rPr>
          <w:rFonts w:ascii="Arial" w:eastAsia="Calibri" w:hAnsi="Arial" w:cs="Arial"/>
          <w:i/>
          <w:iCs/>
          <w:color w:val="0D0D0D" w:themeColor="text1" w:themeTint="F2"/>
          <w:sz w:val="24"/>
          <w:szCs w:val="24"/>
          <w:lang w:val="en-GB"/>
        </w:rPr>
        <w:t>.</w:t>
      </w:r>
    </w:p>
    <w:p w14:paraId="7A8D26F8" w14:textId="77777777" w:rsidR="00B417BA" w:rsidRPr="00FF4C93" w:rsidRDefault="00B417BA" w:rsidP="00B417BA">
      <w:pPr>
        <w:tabs>
          <w:tab w:val="left" w:pos="3402"/>
        </w:tabs>
        <w:spacing w:before="120" w:after="12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</w:p>
    <w:p w14:paraId="141CE33F" w14:textId="5A3C3D97" w:rsidR="00B417BA" w:rsidRPr="00FF4C93" w:rsidRDefault="00B417BA" w:rsidP="00B417BA">
      <w:pPr>
        <w:tabs>
          <w:tab w:val="left" w:pos="3402"/>
        </w:tabs>
        <w:spacing w:before="120" w:after="120" w:line="360" w:lineRule="auto"/>
        <w:ind w:left="4320" w:hanging="4320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Date of </w:t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H</w:t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earing:</w:t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="008942D4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19 A</w:t>
      </w:r>
      <w:r w:rsidR="0079420B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pril</w:t>
      </w:r>
      <w:r w:rsidR="00883270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</w:t>
      </w:r>
      <w:r w:rsidR="00DE6CD9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2022</w:t>
      </w:r>
    </w:p>
    <w:p w14:paraId="436C6946" w14:textId="77777777" w:rsidR="00356233" w:rsidRDefault="00B417BA" w:rsidP="00B417BA">
      <w:pPr>
        <w:tabs>
          <w:tab w:val="left" w:pos="3402"/>
        </w:tabs>
        <w:spacing w:before="120" w:after="12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Date of </w:t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J</w:t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udgment:</w:t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="004316E0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3 May 2022</w:t>
      </w:r>
    </w:p>
    <w:p w14:paraId="334691C6" w14:textId="70608F75" w:rsidR="00B417BA" w:rsidRPr="00FF4C93" w:rsidRDefault="00B417BA" w:rsidP="00B417BA">
      <w:pPr>
        <w:tabs>
          <w:tab w:val="left" w:pos="3402"/>
        </w:tabs>
        <w:spacing w:before="120" w:after="120"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</w:t>
      </w:r>
    </w:p>
    <w:p w14:paraId="35532103" w14:textId="77777777" w:rsidR="00B417BA" w:rsidRPr="006D0E40" w:rsidRDefault="00B417BA" w:rsidP="00B417BA">
      <w:pPr>
        <w:spacing w:before="360" w:after="360" w:line="360" w:lineRule="auto"/>
        <w:jc w:val="both"/>
        <w:rPr>
          <w:rFonts w:ascii="Arial" w:eastAsia="Calibri" w:hAnsi="Arial" w:cs="Arial"/>
          <w:b/>
          <w:color w:val="0D0D0D" w:themeColor="text1" w:themeTint="F2"/>
          <w:sz w:val="30"/>
          <w:szCs w:val="24"/>
          <w:lang w:val="en-GB"/>
        </w:rPr>
      </w:pPr>
      <w:r w:rsidRPr="006D0E40">
        <w:rPr>
          <w:rFonts w:ascii="Arial" w:eastAsia="Calibri" w:hAnsi="Arial" w:cs="Arial"/>
          <w:b/>
          <w:color w:val="0D0D0D" w:themeColor="text1" w:themeTint="F2"/>
          <w:sz w:val="30"/>
          <w:szCs w:val="24"/>
          <w:lang w:val="en-GB"/>
        </w:rPr>
        <w:t>Appearances:</w:t>
      </w:r>
    </w:p>
    <w:p w14:paraId="7332ADAE" w14:textId="1A1E4389" w:rsidR="004A1FF6" w:rsidRDefault="00B417BA" w:rsidP="004A1FF6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lastRenderedPageBreak/>
        <w:t xml:space="preserve">Counsel for the </w:t>
      </w:r>
      <w:r w:rsidR="00F231A4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Applicant</w:t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:</w:t>
      </w:r>
      <w:r w:rsidR="00A02B4F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="00A02B4F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="004A1FF6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M.C. </w:t>
      </w:r>
      <w:proofErr w:type="spellStart"/>
      <w:r w:rsidR="004A1FF6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Letoka</w:t>
      </w:r>
      <w:proofErr w:type="spellEnd"/>
    </w:p>
    <w:p w14:paraId="16118D38" w14:textId="43BDB376" w:rsidR="004A1FF6" w:rsidRDefault="004A1FF6" w:rsidP="004A1FF6">
      <w:pPr>
        <w:spacing w:line="360" w:lineRule="auto"/>
        <w:ind w:left="3600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MC </w:t>
      </w:r>
      <w:proofErr w:type="spellStart"/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Letoka</w:t>
      </w:r>
      <w:proofErr w:type="spellEnd"/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Inc</w:t>
      </w:r>
      <w:proofErr w:type="spellEnd"/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attorneys</w:t>
      </w:r>
    </w:p>
    <w:p w14:paraId="7A7DE7BB" w14:textId="6681C785" w:rsidR="00610973" w:rsidRDefault="00610973" w:rsidP="004A1FF6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</w:p>
    <w:p w14:paraId="672FE164" w14:textId="77777777" w:rsidR="00B417BA" w:rsidRDefault="00B417BA" w:rsidP="00B417BA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</w:p>
    <w:p w14:paraId="32E6A214" w14:textId="28C31DB9" w:rsidR="00B417BA" w:rsidRDefault="00B417BA" w:rsidP="00B417BA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Counsel for the </w:t>
      </w:r>
      <w:r w:rsidR="00AC0AE5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Respondent</w:t>
      </w:r>
      <w:r w:rsidRPr="00FF4C93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:</w:t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proofErr w:type="spellStart"/>
      <w:r w:rsidR="00090FF4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Adv</w:t>
      </w:r>
      <w:proofErr w:type="spellEnd"/>
      <w:r w:rsidR="00090FF4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090FF4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Sethene</w:t>
      </w:r>
      <w:proofErr w:type="spellEnd"/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  <w:t xml:space="preserve"> </w:t>
      </w:r>
    </w:p>
    <w:p w14:paraId="3391B1ED" w14:textId="1B3BC9F5" w:rsidR="00154FF5" w:rsidRDefault="003A359D" w:rsidP="00A56505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</w:p>
    <w:p w14:paraId="7FFF0A0E" w14:textId="77777777" w:rsidR="003A359D" w:rsidRPr="00FF4C93" w:rsidRDefault="003A359D" w:rsidP="00B417BA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</w:p>
    <w:p w14:paraId="43112274" w14:textId="77777777" w:rsidR="00A56505" w:rsidRDefault="00B417BA" w:rsidP="00A56505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Instructed by:</w:t>
      </w:r>
      <w:r w:rsidR="00A56505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="00A56505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 w:rsidR="00A56505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proofErr w:type="spellStart"/>
      <w:r w:rsidR="00A56505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>Mfenyana</w:t>
      </w:r>
      <w:proofErr w:type="spellEnd"/>
      <w:r w:rsidR="00A56505"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 xml:space="preserve"> Attorneys</w:t>
      </w:r>
    </w:p>
    <w:p w14:paraId="0363917D" w14:textId="77777777" w:rsidR="00A56505" w:rsidRDefault="00A56505" w:rsidP="00A56505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hyperlink r:id="rId9" w:history="1">
        <w:r w:rsidRPr="00434B2D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info@mfenyanalaw.co.za</w:t>
        </w:r>
      </w:hyperlink>
    </w:p>
    <w:p w14:paraId="1DD1179E" w14:textId="77777777" w:rsidR="00A56505" w:rsidRDefault="00A56505" w:rsidP="00A56505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  <w:tab/>
        <w:t>012 – 001 8805</w:t>
      </w:r>
    </w:p>
    <w:p w14:paraId="54E4B08E" w14:textId="3B0570BA" w:rsidR="00B417BA" w:rsidRDefault="00B417BA" w:rsidP="00B417BA">
      <w:pPr>
        <w:spacing w:line="360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val="en-GB"/>
        </w:rPr>
      </w:pPr>
    </w:p>
    <w:p w14:paraId="4F697024" w14:textId="77777777" w:rsidR="00B417BA" w:rsidRPr="006C6955" w:rsidRDefault="00B417BA" w:rsidP="00B417B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B417BA" w:rsidRPr="006C6955" w:rsidSect="00FF34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0CAD" w14:textId="77777777" w:rsidR="00D02235" w:rsidRDefault="00D02235" w:rsidP="002B26A7">
      <w:pPr>
        <w:spacing w:after="0" w:line="240" w:lineRule="auto"/>
      </w:pPr>
      <w:r>
        <w:separator/>
      </w:r>
    </w:p>
  </w:endnote>
  <w:endnote w:type="continuationSeparator" w:id="0">
    <w:p w14:paraId="3CC3BD54" w14:textId="77777777" w:rsidR="00D02235" w:rsidRDefault="00D02235" w:rsidP="002B26A7">
      <w:pPr>
        <w:spacing w:after="0" w:line="240" w:lineRule="auto"/>
      </w:pPr>
      <w:r>
        <w:continuationSeparator/>
      </w:r>
    </w:p>
  </w:endnote>
  <w:endnote w:type="continuationNotice" w:id="1">
    <w:p w14:paraId="737E7D41" w14:textId="77777777" w:rsidR="00D02235" w:rsidRDefault="00D02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E78D" w14:textId="77777777" w:rsidR="00D02235" w:rsidRDefault="00D02235" w:rsidP="002B26A7">
      <w:pPr>
        <w:spacing w:after="0" w:line="240" w:lineRule="auto"/>
      </w:pPr>
      <w:r>
        <w:separator/>
      </w:r>
    </w:p>
  </w:footnote>
  <w:footnote w:type="continuationSeparator" w:id="0">
    <w:p w14:paraId="45E0C676" w14:textId="77777777" w:rsidR="00D02235" w:rsidRDefault="00D02235" w:rsidP="002B26A7">
      <w:pPr>
        <w:spacing w:after="0" w:line="240" w:lineRule="auto"/>
      </w:pPr>
      <w:r>
        <w:continuationSeparator/>
      </w:r>
    </w:p>
  </w:footnote>
  <w:footnote w:type="continuationNotice" w:id="1">
    <w:p w14:paraId="09495636" w14:textId="77777777" w:rsidR="00D02235" w:rsidRDefault="00D02235">
      <w:pPr>
        <w:spacing w:after="0" w:line="240" w:lineRule="auto"/>
      </w:pPr>
    </w:p>
  </w:footnote>
  <w:footnote w:id="2">
    <w:p w14:paraId="49AD312B" w14:textId="732AAB22" w:rsidR="002B26A7" w:rsidRPr="002B26A7" w:rsidRDefault="002B26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Founding affidavit 3.12</w:t>
      </w:r>
    </w:p>
  </w:footnote>
  <w:footnote w:id="3">
    <w:p w14:paraId="35FD2787" w14:textId="0D87022E" w:rsidR="004C5DAC" w:rsidRPr="004C5DAC" w:rsidRDefault="004C5DA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FA 3.15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7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3F255" w14:textId="49B9B82F" w:rsidR="00EB554C" w:rsidRDefault="00EB55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B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FFF2533" w14:textId="77777777" w:rsidR="00EB554C" w:rsidRDefault="00EB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0C3AAA"/>
    <w:multiLevelType w:val="hybridMultilevel"/>
    <w:tmpl w:val="7B90B896"/>
    <w:lvl w:ilvl="0" w:tplc="EBA244A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F5AD0"/>
    <w:multiLevelType w:val="hybridMultilevel"/>
    <w:tmpl w:val="7CE82E66"/>
    <w:lvl w:ilvl="0" w:tplc="B8A4DA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F5B71"/>
    <w:multiLevelType w:val="hybridMultilevel"/>
    <w:tmpl w:val="71C4D28C"/>
    <w:lvl w:ilvl="0" w:tplc="B8A4DAD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A7"/>
    <w:rsid w:val="00003172"/>
    <w:rsid w:val="0000651A"/>
    <w:rsid w:val="0002406D"/>
    <w:rsid w:val="00025AF1"/>
    <w:rsid w:val="00033E61"/>
    <w:rsid w:val="00036FC2"/>
    <w:rsid w:val="00043F71"/>
    <w:rsid w:val="00046281"/>
    <w:rsid w:val="000469F7"/>
    <w:rsid w:val="00047715"/>
    <w:rsid w:val="00050C56"/>
    <w:rsid w:val="00052CF7"/>
    <w:rsid w:val="00055982"/>
    <w:rsid w:val="000604AC"/>
    <w:rsid w:val="000777BC"/>
    <w:rsid w:val="00086825"/>
    <w:rsid w:val="00090FF4"/>
    <w:rsid w:val="0009493A"/>
    <w:rsid w:val="00094956"/>
    <w:rsid w:val="000A1201"/>
    <w:rsid w:val="000A371B"/>
    <w:rsid w:val="000A73BE"/>
    <w:rsid w:val="000B5E17"/>
    <w:rsid w:val="000D6F15"/>
    <w:rsid w:val="000E4118"/>
    <w:rsid w:val="001009C8"/>
    <w:rsid w:val="001065A9"/>
    <w:rsid w:val="00110CA5"/>
    <w:rsid w:val="00112557"/>
    <w:rsid w:val="00120688"/>
    <w:rsid w:val="00124F04"/>
    <w:rsid w:val="00131A42"/>
    <w:rsid w:val="00137C54"/>
    <w:rsid w:val="00141601"/>
    <w:rsid w:val="001417B1"/>
    <w:rsid w:val="00141F93"/>
    <w:rsid w:val="001446BC"/>
    <w:rsid w:val="00145740"/>
    <w:rsid w:val="00146C46"/>
    <w:rsid w:val="00147EA9"/>
    <w:rsid w:val="001524B2"/>
    <w:rsid w:val="00153EC9"/>
    <w:rsid w:val="00154FF5"/>
    <w:rsid w:val="0015521B"/>
    <w:rsid w:val="00155836"/>
    <w:rsid w:val="00155B6E"/>
    <w:rsid w:val="00161514"/>
    <w:rsid w:val="0017085F"/>
    <w:rsid w:val="00173F78"/>
    <w:rsid w:val="001846E4"/>
    <w:rsid w:val="001856E9"/>
    <w:rsid w:val="00190BDE"/>
    <w:rsid w:val="00190F24"/>
    <w:rsid w:val="001925D7"/>
    <w:rsid w:val="00195639"/>
    <w:rsid w:val="001A428A"/>
    <w:rsid w:val="001A4DE5"/>
    <w:rsid w:val="001B51CE"/>
    <w:rsid w:val="001B57D5"/>
    <w:rsid w:val="001C1577"/>
    <w:rsid w:val="001C2588"/>
    <w:rsid w:val="001D2A4B"/>
    <w:rsid w:val="001D6560"/>
    <w:rsid w:val="001D77DF"/>
    <w:rsid w:val="001E51AC"/>
    <w:rsid w:val="001F4186"/>
    <w:rsid w:val="00210835"/>
    <w:rsid w:val="0021370F"/>
    <w:rsid w:val="002172D8"/>
    <w:rsid w:val="0022262E"/>
    <w:rsid w:val="00230C58"/>
    <w:rsid w:val="002364EA"/>
    <w:rsid w:val="00240A28"/>
    <w:rsid w:val="00241E8D"/>
    <w:rsid w:val="00250BE5"/>
    <w:rsid w:val="00260FC8"/>
    <w:rsid w:val="00262D03"/>
    <w:rsid w:val="00263437"/>
    <w:rsid w:val="002677A5"/>
    <w:rsid w:val="00267F3C"/>
    <w:rsid w:val="00270D2B"/>
    <w:rsid w:val="00274ABD"/>
    <w:rsid w:val="00281D44"/>
    <w:rsid w:val="002841C2"/>
    <w:rsid w:val="002867C3"/>
    <w:rsid w:val="0028703B"/>
    <w:rsid w:val="00287A05"/>
    <w:rsid w:val="002909E2"/>
    <w:rsid w:val="00293677"/>
    <w:rsid w:val="002A642B"/>
    <w:rsid w:val="002B1309"/>
    <w:rsid w:val="002B1D45"/>
    <w:rsid w:val="002B26A7"/>
    <w:rsid w:val="002B2C3E"/>
    <w:rsid w:val="002B325B"/>
    <w:rsid w:val="002B6E25"/>
    <w:rsid w:val="002B7E4F"/>
    <w:rsid w:val="002D300A"/>
    <w:rsid w:val="002D407D"/>
    <w:rsid w:val="002D5E93"/>
    <w:rsid w:val="002D75B0"/>
    <w:rsid w:val="002D7CC3"/>
    <w:rsid w:val="002E1031"/>
    <w:rsid w:val="002E162C"/>
    <w:rsid w:val="003109FC"/>
    <w:rsid w:val="00337D7B"/>
    <w:rsid w:val="00337D7D"/>
    <w:rsid w:val="003427AB"/>
    <w:rsid w:val="00345F82"/>
    <w:rsid w:val="00353E07"/>
    <w:rsid w:val="003545B9"/>
    <w:rsid w:val="00356233"/>
    <w:rsid w:val="00364B6A"/>
    <w:rsid w:val="0036697E"/>
    <w:rsid w:val="00367AA4"/>
    <w:rsid w:val="00375784"/>
    <w:rsid w:val="003763A8"/>
    <w:rsid w:val="00380143"/>
    <w:rsid w:val="0039452B"/>
    <w:rsid w:val="003A359D"/>
    <w:rsid w:val="003A475E"/>
    <w:rsid w:val="003C1443"/>
    <w:rsid w:val="003C3876"/>
    <w:rsid w:val="003C4A9C"/>
    <w:rsid w:val="003C5463"/>
    <w:rsid w:val="003C64DA"/>
    <w:rsid w:val="003D028B"/>
    <w:rsid w:val="003D216B"/>
    <w:rsid w:val="003D667A"/>
    <w:rsid w:val="003D68D1"/>
    <w:rsid w:val="003D77CB"/>
    <w:rsid w:val="003F2C10"/>
    <w:rsid w:val="003F7DB4"/>
    <w:rsid w:val="00400687"/>
    <w:rsid w:val="00402A48"/>
    <w:rsid w:val="00404BBA"/>
    <w:rsid w:val="0041408E"/>
    <w:rsid w:val="00414C24"/>
    <w:rsid w:val="00416153"/>
    <w:rsid w:val="00416CFC"/>
    <w:rsid w:val="00420759"/>
    <w:rsid w:val="004225A0"/>
    <w:rsid w:val="004316E0"/>
    <w:rsid w:val="0043788F"/>
    <w:rsid w:val="00440E2A"/>
    <w:rsid w:val="0044218C"/>
    <w:rsid w:val="00451211"/>
    <w:rsid w:val="0045691C"/>
    <w:rsid w:val="00463D3E"/>
    <w:rsid w:val="00465F49"/>
    <w:rsid w:val="0046774A"/>
    <w:rsid w:val="00475855"/>
    <w:rsid w:val="0049335E"/>
    <w:rsid w:val="00493BC7"/>
    <w:rsid w:val="004955E7"/>
    <w:rsid w:val="004A1FF6"/>
    <w:rsid w:val="004B112A"/>
    <w:rsid w:val="004B5D38"/>
    <w:rsid w:val="004C5DAC"/>
    <w:rsid w:val="004C75C5"/>
    <w:rsid w:val="004C7933"/>
    <w:rsid w:val="004D3D13"/>
    <w:rsid w:val="004D537D"/>
    <w:rsid w:val="004E21EE"/>
    <w:rsid w:val="004E4F1F"/>
    <w:rsid w:val="004E65F9"/>
    <w:rsid w:val="004E6634"/>
    <w:rsid w:val="004F0EAF"/>
    <w:rsid w:val="00511892"/>
    <w:rsid w:val="0051388F"/>
    <w:rsid w:val="00520F2C"/>
    <w:rsid w:val="0052467E"/>
    <w:rsid w:val="00534836"/>
    <w:rsid w:val="005402EA"/>
    <w:rsid w:val="00540532"/>
    <w:rsid w:val="00555B2F"/>
    <w:rsid w:val="00556DE9"/>
    <w:rsid w:val="00557427"/>
    <w:rsid w:val="005602D5"/>
    <w:rsid w:val="00564BF3"/>
    <w:rsid w:val="005719F5"/>
    <w:rsid w:val="00580EB0"/>
    <w:rsid w:val="00584E7C"/>
    <w:rsid w:val="005861A1"/>
    <w:rsid w:val="0059474B"/>
    <w:rsid w:val="005A2C68"/>
    <w:rsid w:val="005A34C3"/>
    <w:rsid w:val="005A5266"/>
    <w:rsid w:val="005A5F63"/>
    <w:rsid w:val="005B091A"/>
    <w:rsid w:val="005B3BAD"/>
    <w:rsid w:val="005B6BB3"/>
    <w:rsid w:val="005C34EE"/>
    <w:rsid w:val="005C4378"/>
    <w:rsid w:val="005D14DF"/>
    <w:rsid w:val="005D25C7"/>
    <w:rsid w:val="005E0093"/>
    <w:rsid w:val="005E2DA5"/>
    <w:rsid w:val="005E626E"/>
    <w:rsid w:val="005F70C1"/>
    <w:rsid w:val="00603345"/>
    <w:rsid w:val="00607485"/>
    <w:rsid w:val="00610973"/>
    <w:rsid w:val="00612332"/>
    <w:rsid w:val="00613800"/>
    <w:rsid w:val="0061406A"/>
    <w:rsid w:val="006167A4"/>
    <w:rsid w:val="00622011"/>
    <w:rsid w:val="00627A7E"/>
    <w:rsid w:val="00634CB9"/>
    <w:rsid w:val="00640FAF"/>
    <w:rsid w:val="00641451"/>
    <w:rsid w:val="00650E16"/>
    <w:rsid w:val="00654ADB"/>
    <w:rsid w:val="00656536"/>
    <w:rsid w:val="006738C0"/>
    <w:rsid w:val="00682D41"/>
    <w:rsid w:val="00687913"/>
    <w:rsid w:val="00690639"/>
    <w:rsid w:val="006A1A6D"/>
    <w:rsid w:val="006A1E08"/>
    <w:rsid w:val="006A5C58"/>
    <w:rsid w:val="006B0539"/>
    <w:rsid w:val="006B1E8B"/>
    <w:rsid w:val="006B43A8"/>
    <w:rsid w:val="006B727D"/>
    <w:rsid w:val="006C1C84"/>
    <w:rsid w:val="006C2FFC"/>
    <w:rsid w:val="006C6955"/>
    <w:rsid w:val="006D0E40"/>
    <w:rsid w:val="006D45A2"/>
    <w:rsid w:val="006E05D8"/>
    <w:rsid w:val="006E1C53"/>
    <w:rsid w:val="006E4174"/>
    <w:rsid w:val="006E46F4"/>
    <w:rsid w:val="006E4888"/>
    <w:rsid w:val="006E741D"/>
    <w:rsid w:val="006F1722"/>
    <w:rsid w:val="006F7087"/>
    <w:rsid w:val="00714A44"/>
    <w:rsid w:val="007242C1"/>
    <w:rsid w:val="007264A6"/>
    <w:rsid w:val="00727EEA"/>
    <w:rsid w:val="007410F5"/>
    <w:rsid w:val="00742B49"/>
    <w:rsid w:val="00743AAB"/>
    <w:rsid w:val="00753355"/>
    <w:rsid w:val="007536AE"/>
    <w:rsid w:val="00765825"/>
    <w:rsid w:val="00766409"/>
    <w:rsid w:val="00767904"/>
    <w:rsid w:val="00770FD4"/>
    <w:rsid w:val="00776245"/>
    <w:rsid w:val="007777BE"/>
    <w:rsid w:val="007908AB"/>
    <w:rsid w:val="0079420B"/>
    <w:rsid w:val="007944B1"/>
    <w:rsid w:val="007A17F7"/>
    <w:rsid w:val="007A47F1"/>
    <w:rsid w:val="007B30C2"/>
    <w:rsid w:val="007B60E7"/>
    <w:rsid w:val="007B7E26"/>
    <w:rsid w:val="007C008D"/>
    <w:rsid w:val="007C0357"/>
    <w:rsid w:val="007C33F9"/>
    <w:rsid w:val="007C5AE4"/>
    <w:rsid w:val="007C5FC0"/>
    <w:rsid w:val="007C639A"/>
    <w:rsid w:val="007D1A45"/>
    <w:rsid w:val="007D24D7"/>
    <w:rsid w:val="007E36B5"/>
    <w:rsid w:val="007E38A0"/>
    <w:rsid w:val="007F7530"/>
    <w:rsid w:val="0081168E"/>
    <w:rsid w:val="00815493"/>
    <w:rsid w:val="008217F5"/>
    <w:rsid w:val="00824429"/>
    <w:rsid w:val="0084369C"/>
    <w:rsid w:val="00845ABE"/>
    <w:rsid w:val="008549B4"/>
    <w:rsid w:val="00854E4E"/>
    <w:rsid w:val="00854F02"/>
    <w:rsid w:val="00855352"/>
    <w:rsid w:val="00860E2B"/>
    <w:rsid w:val="0086155F"/>
    <w:rsid w:val="00861D81"/>
    <w:rsid w:val="00865565"/>
    <w:rsid w:val="00876903"/>
    <w:rsid w:val="00883270"/>
    <w:rsid w:val="008854CC"/>
    <w:rsid w:val="00890391"/>
    <w:rsid w:val="008942D4"/>
    <w:rsid w:val="008A7321"/>
    <w:rsid w:val="008A7578"/>
    <w:rsid w:val="008B0715"/>
    <w:rsid w:val="008C3FCA"/>
    <w:rsid w:val="008C4E80"/>
    <w:rsid w:val="008C5BB0"/>
    <w:rsid w:val="008C5F1D"/>
    <w:rsid w:val="008D32F9"/>
    <w:rsid w:val="008E6474"/>
    <w:rsid w:val="008F3254"/>
    <w:rsid w:val="008F6BEE"/>
    <w:rsid w:val="00900C30"/>
    <w:rsid w:val="009063C8"/>
    <w:rsid w:val="00910FFC"/>
    <w:rsid w:val="00912713"/>
    <w:rsid w:val="0092380B"/>
    <w:rsid w:val="00925439"/>
    <w:rsid w:val="009365F4"/>
    <w:rsid w:val="00942C61"/>
    <w:rsid w:val="00946867"/>
    <w:rsid w:val="00947701"/>
    <w:rsid w:val="00950BB3"/>
    <w:rsid w:val="0095132F"/>
    <w:rsid w:val="00951E8B"/>
    <w:rsid w:val="009537AC"/>
    <w:rsid w:val="00956973"/>
    <w:rsid w:val="009619E1"/>
    <w:rsid w:val="00962CBF"/>
    <w:rsid w:val="00962F5E"/>
    <w:rsid w:val="00964E48"/>
    <w:rsid w:val="009659F5"/>
    <w:rsid w:val="00973B4A"/>
    <w:rsid w:val="00991871"/>
    <w:rsid w:val="00992A00"/>
    <w:rsid w:val="009944F5"/>
    <w:rsid w:val="00997402"/>
    <w:rsid w:val="009A1839"/>
    <w:rsid w:val="009A289F"/>
    <w:rsid w:val="009A691B"/>
    <w:rsid w:val="009B56B7"/>
    <w:rsid w:val="009C2F3F"/>
    <w:rsid w:val="009D3426"/>
    <w:rsid w:val="009D61AA"/>
    <w:rsid w:val="009E7BED"/>
    <w:rsid w:val="009F4A6D"/>
    <w:rsid w:val="00A01A88"/>
    <w:rsid w:val="00A02B4F"/>
    <w:rsid w:val="00A03158"/>
    <w:rsid w:val="00A103D4"/>
    <w:rsid w:val="00A17644"/>
    <w:rsid w:val="00A25ABC"/>
    <w:rsid w:val="00A40BFD"/>
    <w:rsid w:val="00A4209C"/>
    <w:rsid w:val="00A50D97"/>
    <w:rsid w:val="00A5247F"/>
    <w:rsid w:val="00A56505"/>
    <w:rsid w:val="00A64B85"/>
    <w:rsid w:val="00A73C21"/>
    <w:rsid w:val="00A8593D"/>
    <w:rsid w:val="00A90068"/>
    <w:rsid w:val="00A90CD3"/>
    <w:rsid w:val="00AA0778"/>
    <w:rsid w:val="00AA3585"/>
    <w:rsid w:val="00AA5892"/>
    <w:rsid w:val="00AA77DB"/>
    <w:rsid w:val="00AB4FC5"/>
    <w:rsid w:val="00AB5F1F"/>
    <w:rsid w:val="00AC0AE5"/>
    <w:rsid w:val="00AC14BE"/>
    <w:rsid w:val="00AC2F22"/>
    <w:rsid w:val="00AD0606"/>
    <w:rsid w:val="00AD4219"/>
    <w:rsid w:val="00AD5F9C"/>
    <w:rsid w:val="00AD6CB4"/>
    <w:rsid w:val="00AE4043"/>
    <w:rsid w:val="00AE409D"/>
    <w:rsid w:val="00B01416"/>
    <w:rsid w:val="00B22C8F"/>
    <w:rsid w:val="00B24D84"/>
    <w:rsid w:val="00B25A57"/>
    <w:rsid w:val="00B310DF"/>
    <w:rsid w:val="00B32F0B"/>
    <w:rsid w:val="00B35683"/>
    <w:rsid w:val="00B417BA"/>
    <w:rsid w:val="00B41B3D"/>
    <w:rsid w:val="00B42404"/>
    <w:rsid w:val="00B507B8"/>
    <w:rsid w:val="00B529CE"/>
    <w:rsid w:val="00B52B76"/>
    <w:rsid w:val="00B53EFB"/>
    <w:rsid w:val="00B6033F"/>
    <w:rsid w:val="00B649EE"/>
    <w:rsid w:val="00B7508C"/>
    <w:rsid w:val="00B750D9"/>
    <w:rsid w:val="00B768E9"/>
    <w:rsid w:val="00B868E1"/>
    <w:rsid w:val="00B9347E"/>
    <w:rsid w:val="00B93D3A"/>
    <w:rsid w:val="00B94E5D"/>
    <w:rsid w:val="00B97328"/>
    <w:rsid w:val="00B978E6"/>
    <w:rsid w:val="00BA6789"/>
    <w:rsid w:val="00BA7018"/>
    <w:rsid w:val="00BB5E0A"/>
    <w:rsid w:val="00BB6941"/>
    <w:rsid w:val="00BC3F15"/>
    <w:rsid w:val="00BE0328"/>
    <w:rsid w:val="00BE281A"/>
    <w:rsid w:val="00BF072D"/>
    <w:rsid w:val="00BF6998"/>
    <w:rsid w:val="00C1103F"/>
    <w:rsid w:val="00C22476"/>
    <w:rsid w:val="00C22A32"/>
    <w:rsid w:val="00C2443A"/>
    <w:rsid w:val="00C26F5D"/>
    <w:rsid w:val="00C31695"/>
    <w:rsid w:val="00C330EA"/>
    <w:rsid w:val="00C36AA3"/>
    <w:rsid w:val="00C40018"/>
    <w:rsid w:val="00C4019F"/>
    <w:rsid w:val="00C412A2"/>
    <w:rsid w:val="00C42E62"/>
    <w:rsid w:val="00C52206"/>
    <w:rsid w:val="00C55439"/>
    <w:rsid w:val="00C56E34"/>
    <w:rsid w:val="00C62450"/>
    <w:rsid w:val="00C670CA"/>
    <w:rsid w:val="00C74234"/>
    <w:rsid w:val="00C75F28"/>
    <w:rsid w:val="00C86FF5"/>
    <w:rsid w:val="00C9209B"/>
    <w:rsid w:val="00C930DC"/>
    <w:rsid w:val="00C9440C"/>
    <w:rsid w:val="00CA3EFE"/>
    <w:rsid w:val="00CB0CF6"/>
    <w:rsid w:val="00CB1C00"/>
    <w:rsid w:val="00CB72B0"/>
    <w:rsid w:val="00CC19E0"/>
    <w:rsid w:val="00CC5D7A"/>
    <w:rsid w:val="00CC65E2"/>
    <w:rsid w:val="00CC66B2"/>
    <w:rsid w:val="00CC7541"/>
    <w:rsid w:val="00CD22A7"/>
    <w:rsid w:val="00CE69EC"/>
    <w:rsid w:val="00CE74E8"/>
    <w:rsid w:val="00CF5443"/>
    <w:rsid w:val="00CF5F6D"/>
    <w:rsid w:val="00CF7033"/>
    <w:rsid w:val="00D02235"/>
    <w:rsid w:val="00D04E81"/>
    <w:rsid w:val="00D10D20"/>
    <w:rsid w:val="00D11A5A"/>
    <w:rsid w:val="00D12081"/>
    <w:rsid w:val="00D15FAC"/>
    <w:rsid w:val="00D17986"/>
    <w:rsid w:val="00D21E5D"/>
    <w:rsid w:val="00D24B3E"/>
    <w:rsid w:val="00D31A99"/>
    <w:rsid w:val="00D44717"/>
    <w:rsid w:val="00D50412"/>
    <w:rsid w:val="00D5310D"/>
    <w:rsid w:val="00D569CF"/>
    <w:rsid w:val="00D57EBA"/>
    <w:rsid w:val="00D63773"/>
    <w:rsid w:val="00D673AE"/>
    <w:rsid w:val="00D70F73"/>
    <w:rsid w:val="00D72AB9"/>
    <w:rsid w:val="00D75F08"/>
    <w:rsid w:val="00D912DE"/>
    <w:rsid w:val="00D92B2D"/>
    <w:rsid w:val="00D93766"/>
    <w:rsid w:val="00DA154A"/>
    <w:rsid w:val="00DA5502"/>
    <w:rsid w:val="00DA5EB8"/>
    <w:rsid w:val="00DB00D8"/>
    <w:rsid w:val="00DB2182"/>
    <w:rsid w:val="00DC02A5"/>
    <w:rsid w:val="00DC0AFA"/>
    <w:rsid w:val="00DC6DA7"/>
    <w:rsid w:val="00DD0962"/>
    <w:rsid w:val="00DD3200"/>
    <w:rsid w:val="00DE055B"/>
    <w:rsid w:val="00DE28B4"/>
    <w:rsid w:val="00DE6CD9"/>
    <w:rsid w:val="00DF7073"/>
    <w:rsid w:val="00E04F27"/>
    <w:rsid w:val="00E070CA"/>
    <w:rsid w:val="00E10802"/>
    <w:rsid w:val="00E11FC9"/>
    <w:rsid w:val="00E14C1B"/>
    <w:rsid w:val="00E15246"/>
    <w:rsid w:val="00E20B2D"/>
    <w:rsid w:val="00E21FE6"/>
    <w:rsid w:val="00E2214F"/>
    <w:rsid w:val="00E318BA"/>
    <w:rsid w:val="00E3751F"/>
    <w:rsid w:val="00E46793"/>
    <w:rsid w:val="00E51A0D"/>
    <w:rsid w:val="00E577CB"/>
    <w:rsid w:val="00E641F4"/>
    <w:rsid w:val="00E71EE6"/>
    <w:rsid w:val="00E75964"/>
    <w:rsid w:val="00E7688E"/>
    <w:rsid w:val="00E92D33"/>
    <w:rsid w:val="00E94F07"/>
    <w:rsid w:val="00EA0EEE"/>
    <w:rsid w:val="00EA39AC"/>
    <w:rsid w:val="00EA5D7A"/>
    <w:rsid w:val="00EB554C"/>
    <w:rsid w:val="00EC4DC0"/>
    <w:rsid w:val="00ED00A0"/>
    <w:rsid w:val="00ED108B"/>
    <w:rsid w:val="00EE39B7"/>
    <w:rsid w:val="00EF5200"/>
    <w:rsid w:val="00EF62CD"/>
    <w:rsid w:val="00F01916"/>
    <w:rsid w:val="00F028DD"/>
    <w:rsid w:val="00F071FA"/>
    <w:rsid w:val="00F10DA2"/>
    <w:rsid w:val="00F11550"/>
    <w:rsid w:val="00F14805"/>
    <w:rsid w:val="00F148F0"/>
    <w:rsid w:val="00F165EB"/>
    <w:rsid w:val="00F23181"/>
    <w:rsid w:val="00F231A4"/>
    <w:rsid w:val="00F256EB"/>
    <w:rsid w:val="00F2582F"/>
    <w:rsid w:val="00F32F37"/>
    <w:rsid w:val="00F35AA2"/>
    <w:rsid w:val="00F5562C"/>
    <w:rsid w:val="00F63F89"/>
    <w:rsid w:val="00F72DE9"/>
    <w:rsid w:val="00F73DAB"/>
    <w:rsid w:val="00F81BD5"/>
    <w:rsid w:val="00F81C86"/>
    <w:rsid w:val="00F829C5"/>
    <w:rsid w:val="00F90C05"/>
    <w:rsid w:val="00F92561"/>
    <w:rsid w:val="00F92BED"/>
    <w:rsid w:val="00F940E2"/>
    <w:rsid w:val="00F9440D"/>
    <w:rsid w:val="00FA439A"/>
    <w:rsid w:val="00FA5409"/>
    <w:rsid w:val="00FA5555"/>
    <w:rsid w:val="00FA6B5F"/>
    <w:rsid w:val="00FB118F"/>
    <w:rsid w:val="00FB121C"/>
    <w:rsid w:val="00FB1E89"/>
    <w:rsid w:val="00FC0062"/>
    <w:rsid w:val="00FC1A11"/>
    <w:rsid w:val="00FC1BFA"/>
    <w:rsid w:val="00FC52D8"/>
    <w:rsid w:val="00FC55D8"/>
    <w:rsid w:val="00FE031C"/>
    <w:rsid w:val="00FF0E37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4614"/>
  <w15:chartTrackingRefBased/>
  <w15:docId w15:val="{9345FBB7-0A58-49A0-BD18-D81A404D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A7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2B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Cs/>
      <w:color w:val="000000" w:themeColor="tex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B2D"/>
    <w:rPr>
      <w:rFonts w:ascii="Times New Roman" w:eastAsia="Times New Roman" w:hAnsi="Times New Roman" w:cs="Times New Roman"/>
      <w:iCs/>
      <w:color w:val="000000" w:themeColor="text1"/>
      <w:szCs w:val="24"/>
      <w:lang w:val="en-US"/>
    </w:rPr>
  </w:style>
  <w:style w:type="paragraph" w:customStyle="1" w:styleId="Style1">
    <w:name w:val="Style1"/>
    <w:basedOn w:val="IntenseQuote"/>
    <w:link w:val="Style1Char"/>
    <w:qFormat/>
    <w:rsid w:val="00C4019F"/>
    <w:pPr>
      <w:spacing w:line="259" w:lineRule="auto"/>
    </w:pPr>
    <w:rPr>
      <w:rFonts w:ascii="Arial" w:eastAsiaTheme="minorHAnsi" w:hAnsi="Arial" w:cs="Arial"/>
      <w:bCs/>
      <w:iCs w:val="0"/>
      <w:color w:val="4472C4" w:themeColor="accent1"/>
      <w:szCs w:val="22"/>
      <w:lang w:val="en-ZA"/>
    </w:rPr>
  </w:style>
  <w:style w:type="character" w:customStyle="1" w:styleId="Style1Char">
    <w:name w:val="Style1 Char"/>
    <w:basedOn w:val="IntenseQuoteChar"/>
    <w:link w:val="Style1"/>
    <w:rsid w:val="00C4019F"/>
    <w:rPr>
      <w:rFonts w:ascii="Times New Roman" w:eastAsia="Times New Roman" w:hAnsi="Times New Roman" w:cs="Arial"/>
      <w:bCs/>
      <w:iCs w:val="0"/>
      <w:color w:val="4472C4" w:themeColor="accent1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6A7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6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5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9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9C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287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703B"/>
    <w:rPr>
      <w:rFonts w:ascii="Times New Roman" w:eastAsia="Times New Roman" w:hAnsi="Times New Roman" w:cs="Times New Roman"/>
      <w:b/>
      <w:bCs/>
      <w:i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5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0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01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fenyanalaw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92A2-10D9-4DF3-A8F1-D0CC10D1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Manoim</dc:creator>
  <cp:keywords/>
  <dc:description/>
  <cp:lastModifiedBy>Lazarus Rakgwale</cp:lastModifiedBy>
  <cp:revision>2</cp:revision>
  <dcterms:created xsi:type="dcterms:W3CDTF">2022-05-05T08:39:00Z</dcterms:created>
  <dcterms:modified xsi:type="dcterms:W3CDTF">2022-05-05T08:39:00Z</dcterms:modified>
</cp:coreProperties>
</file>