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45E45" w14:textId="77777777" w:rsidR="000B0DB9" w:rsidRDefault="006B5808">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bookmarkStart w:id="0" w:name="_GoBack"/>
      <w:bookmarkEnd w:id="0"/>
      <w:r>
        <w:rPr>
          <w:rFonts w:ascii="Arial" w:hAnsi="Arial"/>
          <w:b/>
          <w:bCs/>
          <w:sz w:val="22"/>
          <w:szCs w:val="22"/>
          <w:u w:color="000000"/>
          <w14:textOutline w14:w="12700" w14:cap="flat" w14:cmpd="sng" w14:algn="ctr">
            <w14:noFill/>
            <w14:prstDash w14:val="solid"/>
            <w14:miter w14:lim="400000"/>
          </w14:textOutline>
        </w:rPr>
        <w:t>REPUBLIC OF SOUTH AFRICA</w:t>
      </w:r>
    </w:p>
    <w:p w14:paraId="5C7161C5" w14:textId="77777777" w:rsidR="000B0DB9" w:rsidRDefault="000B0DB9">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04C0A134" w14:textId="77777777" w:rsidR="000B0DB9" w:rsidRDefault="006B5808">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eastAsia="Arial" w:hAnsi="Arial" w:cs="Arial"/>
          <w:b/>
          <w:bCs/>
          <w:noProof/>
          <w:sz w:val="22"/>
          <w:szCs w:val="22"/>
          <w:u w:color="000000"/>
          <w:lang w:val="en-ZA" w:eastAsia="en-ZA"/>
          <w14:textOutline w14:w="12700" w14:cap="flat" w14:cmpd="sng" w14:algn="ctr">
            <w14:noFill/>
            <w14:prstDash w14:val="solid"/>
            <w14:miter w14:lim="400000"/>
          </w14:textOutline>
        </w:rPr>
        <w:drawing>
          <wp:inline distT="0" distB="0" distL="0" distR="0" wp14:anchorId="32805397" wp14:editId="00139E8D">
            <wp:extent cx="1457325" cy="14287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57325" cy="1428750"/>
                    </a:xfrm>
                    <a:prstGeom prst="rect">
                      <a:avLst/>
                    </a:prstGeom>
                    <a:ln w="12700" cap="flat">
                      <a:noFill/>
                      <a:miter lim="400000"/>
                    </a:ln>
                    <a:effectLst/>
                  </pic:spPr>
                </pic:pic>
              </a:graphicData>
            </a:graphic>
          </wp:inline>
        </w:drawing>
      </w:r>
    </w:p>
    <w:p w14:paraId="6CF50B2C" w14:textId="77777777" w:rsidR="000B0DB9" w:rsidRDefault="000B0DB9">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0FBA9B89" w14:textId="77777777" w:rsidR="000B0DB9" w:rsidRDefault="006B5808">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IN THE HIGH COURT OF SOUTH AFRICA</w:t>
      </w:r>
    </w:p>
    <w:p w14:paraId="04ED96B0" w14:textId="77777777" w:rsidR="000B0DB9" w:rsidRDefault="006B5808">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GAUTENG LOCAL DIVISION, JOHANNESBURG</w:t>
      </w:r>
    </w:p>
    <w:p w14:paraId="29BA8F18" w14:textId="77777777" w:rsidR="000B0DB9" w:rsidRDefault="000B0DB9">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75104530" w14:textId="77777777" w:rsidR="000B0DB9" w:rsidRDefault="000B0DB9">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p>
    <w:p w14:paraId="5A1525D1" w14:textId="570946A2" w:rsidR="000B0DB9" w:rsidRPr="001E33CF" w:rsidRDefault="006B5808" w:rsidP="001E33CF">
      <w:pPr>
        <w:pStyle w:val="Default"/>
        <w:spacing w:before="0" w:line="240" w:lineRule="auto"/>
        <w:jc w:val="right"/>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CASE NO: 5321/2020</w:t>
      </w:r>
    </w:p>
    <w:p w14:paraId="7858B736" w14:textId="77777777" w:rsidR="000B0DB9" w:rsidRDefault="000B0DB9">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11CCC2F" w14:textId="77777777" w:rsidR="001E33CF" w:rsidRDefault="001E33CF" w:rsidP="001E33CF">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48D1E32B" w14:textId="77777777" w:rsidR="001E33CF" w:rsidRDefault="001E33CF" w:rsidP="001E33CF">
      <w:pPr>
        <w:pStyle w:val="Default"/>
        <w:spacing w:before="0" w:line="240" w:lineRule="auto"/>
        <w:rPr>
          <w:rFonts w:ascii="Arial" w:hAnsi="Arial"/>
          <w:u w:color="000000"/>
          <w14:textOutline w14:w="12700" w14:cap="flat" w14:cmpd="sng" w14:algn="ctr">
            <w14:noFill/>
            <w14:prstDash w14:val="solid"/>
            <w14:miter w14:lim="400000"/>
          </w14:textOutline>
        </w:rPr>
      </w:pPr>
      <w:r>
        <w:rPr>
          <w:noProof/>
          <w:lang w:val="en-ZA" w:eastAsia="en-ZA"/>
        </w:rPr>
        <mc:AlternateContent>
          <mc:Choice Requires="wps">
            <w:drawing>
              <wp:anchor distT="0" distB="0" distL="114300" distR="114300" simplePos="0" relativeHeight="251659264" behindDoc="0" locked="0" layoutInCell="1" allowOverlap="1" wp14:anchorId="07E7AEAD" wp14:editId="5E24C53D">
                <wp:simplePos x="0" y="0"/>
                <wp:positionH relativeFrom="column">
                  <wp:posOffset>-2540</wp:posOffset>
                </wp:positionH>
                <wp:positionV relativeFrom="paragraph">
                  <wp:posOffset>34290</wp:posOffset>
                </wp:positionV>
                <wp:extent cx="2682240" cy="1564640"/>
                <wp:effectExtent l="0" t="0" r="10160" b="10160"/>
                <wp:wrapSquare wrapText="bothSides"/>
                <wp:docPr id="1" name="Text Box 1"/>
                <wp:cNvGraphicFramePr/>
                <a:graphic xmlns:a="http://schemas.openxmlformats.org/drawingml/2006/main">
                  <a:graphicData uri="http://schemas.microsoft.com/office/word/2010/wordprocessingShape">
                    <wps:wsp>
                      <wps:cNvSpPr txBox="1"/>
                      <wps:spPr>
                        <a:xfrm>
                          <a:off x="0" y="0"/>
                          <a:ext cx="2682240" cy="1564640"/>
                        </a:xfrm>
                        <a:prstGeom prst="rect">
                          <a:avLst/>
                        </a:prstGeom>
                        <a:noFill/>
                        <a:ln w="6350">
                          <a:solidFill>
                            <a:prstClr val="black"/>
                          </a:solidFill>
                        </a:ln>
                      </wps:spPr>
                      <wps:txbx>
                        <w:txbxContent>
                          <w:p w14:paraId="1B3B39C5"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(1)  REPORTABLE: YES/NO </w:t>
                            </w:r>
                          </w:p>
                          <w:p w14:paraId="4A23F469"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(2)  </w:t>
                            </w:r>
                            <w:r w:rsidRPr="00D03982">
                              <w:rPr>
                                <w:rFonts w:ascii="Arial" w:hAnsi="Arial"/>
                                <w:b/>
                                <w:bCs/>
                                <w:sz w:val="18"/>
                                <w:szCs w:val="18"/>
                                <w:lang w:val="de-DE"/>
                              </w:rPr>
                              <w:t xml:space="preserve">OF INTEREST TO OTHER JUDGES: YES/ NO </w:t>
                            </w:r>
                          </w:p>
                          <w:p w14:paraId="60644E2D"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(3)  REVISED. </w:t>
                            </w:r>
                            <w:r w:rsidRPr="00D03982">
                              <w:rPr>
                                <w:rFonts w:ascii="Arial" w:eastAsia="Arial" w:hAnsi="Arial" w:cs="Arial"/>
                                <w:b/>
                                <w:bCs/>
                                <w:sz w:val="18"/>
                                <w:szCs w:val="18"/>
                              </w:rPr>
                              <w:br/>
                            </w:r>
                          </w:p>
                          <w:p w14:paraId="0317F768"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__________________ </w:t>
                            </w:r>
                          </w:p>
                          <w:p w14:paraId="497B0934"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lang w:val="pt-PT"/>
                              </w:rPr>
                              <w:t>SIGNATURE</w:t>
                            </w:r>
                          </w:p>
                          <w:p w14:paraId="101CE11E" w14:textId="77777777" w:rsidR="001E33CF"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b/>
                                <w:bCs/>
                                <w:sz w:val="18"/>
                                <w:szCs w:val="18"/>
                              </w:rPr>
                            </w:pPr>
                          </w:p>
                          <w:p w14:paraId="3EF5027B"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_____/______/______ </w:t>
                            </w:r>
                          </w:p>
                          <w:p w14:paraId="586D0691" w14:textId="77777777" w:rsidR="001E33CF" w:rsidRPr="00D03982" w:rsidRDefault="001E33CF" w:rsidP="001E33CF">
                            <w:pPr>
                              <w:pStyle w:val="Default"/>
                              <w:spacing w:line="240" w:lineRule="auto"/>
                              <w:rPr>
                                <w:rFonts w:ascii="Arial" w:hAnsi="Arial"/>
                                <w:b/>
                                <w:bCs/>
                                <w:sz w:val="18"/>
                                <w:szCs w:val="18"/>
                              </w:rPr>
                            </w:pPr>
                            <w:r w:rsidRPr="00D03982">
                              <w:rPr>
                                <w:rFonts w:ascii="Arial" w:hAnsi="Arial"/>
                                <w:b/>
                                <w:bCs/>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E7AEAD" id="_x0000_t202" coordsize="21600,21600" o:spt="202" path="m,l,21600r21600,l21600,xe">
                <v:stroke joinstyle="miter"/>
                <v:path gradientshapeok="t" o:connecttype="rect"/>
              </v:shapetype>
              <v:shape id="Text Box 1" o:spid="_x0000_s1026" type="#_x0000_t202" style="position:absolute;margin-left:-.2pt;margin-top:2.7pt;width:211.2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DKKwIAAFUEAAAOAAAAZHJzL2Uyb0RvYy54bWysVEtv2zAMvg/YfxB0X+x4SdYZcYosRYYB&#10;QVsgHXpWZCk2JouapMTOfv0o2Xmg22nYRSZFio/vIz2/7xpFjsK6GnRBx6OUEqE5lLXeF/T7y/rD&#10;HSXOM10yBVoU9CQcvV+8fzdvTS4yqECVwhIMol3emoJW3ps8SRyvRMPcCIzQaJRgG+ZRtfuktKzF&#10;6I1KsjSdJS3Y0ljgwjm8feiNdBHjSym4f5LSCU9UQbE2H08bz104k8Wc5XvLTFXzoQz2D1U0rNaY&#10;9BLqgXlGDrb+I1RTcwsOpB9xaBKQsuYi9oDdjNM33WwrZkTsBcFx5gKT+39h+eNxa54t8d0X6JDA&#10;AEhrXO7wMvTTSduEL1ZK0I4Qni6wic4TjpfZ7C7LJmjiaBtPZ5MZKhgnuT431vmvAhoShIJa5CXC&#10;xY4b53vXs0vIpmFdKxW5UZq0BZ19nKbxgQNVl8EY3MKTlbLkyJDdnWL8x5D2xguLUBpruTYVJN/t&#10;uqHTHZQnBMBCPxvO8HWNcTfM+WdmcRiwMRxw/4SHVIDFwCBRUoH99bf74I8coZWSFoeroO7ngVlB&#10;ifqmkb3P40nAy0dlMv2UoWJvLbtbiz40K8AOx7hKhkcx+Ht1FqWF5hX3YBmyoolpjrkL6s/iyvcj&#10;j3vExXIZnXD+DPMbvTU8hD7j+dK9MmsGnjxS/AjnMWT5G7p6356w5cGDrCOXAeAe1QF3nN04DcOe&#10;heW41aPX9W+w+A0AAP//AwBQSwMEFAAGAAgAAAAhAMQqLlLjAAAADAEAAA8AAABkcnMvZG93bnJl&#10;di54bWxMj09Lw0AQxe+C32EZwVu7aWi0pJkUUXsQRGgV63GTjNng/onZbRr99I4nvcwwvJk371ds&#10;JmvESEPovENYzBMQ5GrfdK5FeHnezlYgQlSuUcY7QviiAJvy/KxQeeNPbkfjPraCTVzIFYKOsc+l&#10;DLUmq8Lc9+RYe/eDVZHHoZXNoE5sbo1Mk+RKWtU5/qBVT7ea6o/90SI8vh4+77dPb8mBKtNlo7nW&#10;D98V4uXFdLfmcrMGEWmKfxfwy8D5oeRglT+6JgiDMFvyIkLGjdVlmjJehZBmixXIspD/IcofAAAA&#10;//8DAFBLAQItABQABgAIAAAAIQC2gziS/gAAAOEBAAATAAAAAAAAAAAAAAAAAAAAAABbQ29udGVu&#10;dF9UeXBlc10ueG1sUEsBAi0AFAAGAAgAAAAhADj9If/WAAAAlAEAAAsAAAAAAAAAAAAAAAAALwEA&#10;AF9yZWxzLy5yZWxzUEsBAi0AFAAGAAgAAAAhAJEG0MorAgAAVQQAAA4AAAAAAAAAAAAAAAAALgIA&#10;AGRycy9lMm9Eb2MueG1sUEsBAi0AFAAGAAgAAAAhAMQqLlLjAAAADAEAAA8AAAAAAAAAAAAAAAAA&#10;hQQAAGRycy9kb3ducmV2LnhtbFBLBQYAAAAABAAEAPMAAACVBQAAAAA=&#10;" filled="f" strokeweight=".5pt">
                <v:textbox>
                  <w:txbxContent>
                    <w:p w14:paraId="1B3B39C5"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(1)  REPORTABLE: YES/NO </w:t>
                      </w:r>
                    </w:p>
                    <w:p w14:paraId="4A23F469"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(2)  </w:t>
                      </w:r>
                      <w:r w:rsidRPr="00D03982">
                        <w:rPr>
                          <w:rFonts w:ascii="Arial" w:hAnsi="Arial"/>
                          <w:b/>
                          <w:bCs/>
                          <w:sz w:val="18"/>
                          <w:szCs w:val="18"/>
                          <w:lang w:val="de-DE"/>
                        </w:rPr>
                        <w:t xml:space="preserve">OF INTEREST TO OTHER JUDGES: YES/ NO </w:t>
                      </w:r>
                    </w:p>
                    <w:p w14:paraId="60644E2D"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(3)  REVISED. </w:t>
                      </w:r>
                      <w:r w:rsidRPr="00D03982">
                        <w:rPr>
                          <w:rFonts w:ascii="Arial" w:eastAsia="Arial" w:hAnsi="Arial" w:cs="Arial"/>
                          <w:b/>
                          <w:bCs/>
                          <w:sz w:val="18"/>
                          <w:szCs w:val="18"/>
                        </w:rPr>
                        <w:br/>
                      </w:r>
                    </w:p>
                    <w:p w14:paraId="0317F768"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__________________ </w:t>
                      </w:r>
                    </w:p>
                    <w:p w14:paraId="497B0934"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lang w:val="pt-PT"/>
                        </w:rPr>
                        <w:t>SIGNATURE</w:t>
                      </w:r>
                    </w:p>
                    <w:p w14:paraId="101CE11E" w14:textId="77777777" w:rsidR="001E33CF"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b/>
                          <w:bCs/>
                          <w:sz w:val="18"/>
                          <w:szCs w:val="18"/>
                        </w:rPr>
                      </w:pPr>
                    </w:p>
                    <w:p w14:paraId="3EF5027B" w14:textId="77777777" w:rsidR="001E33CF" w:rsidRPr="00D03982" w:rsidRDefault="001E33CF" w:rsidP="001E33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_____/______/______ </w:t>
                      </w:r>
                    </w:p>
                    <w:p w14:paraId="586D0691" w14:textId="77777777" w:rsidR="001E33CF" w:rsidRPr="00D03982" w:rsidRDefault="001E33CF" w:rsidP="001E33CF">
                      <w:pPr>
                        <w:pStyle w:val="Default"/>
                        <w:spacing w:line="240" w:lineRule="auto"/>
                        <w:rPr>
                          <w:rFonts w:ascii="Arial" w:hAnsi="Arial"/>
                          <w:b/>
                          <w:bCs/>
                          <w:sz w:val="18"/>
                          <w:szCs w:val="18"/>
                        </w:rPr>
                      </w:pPr>
                      <w:r w:rsidRPr="00D03982">
                        <w:rPr>
                          <w:rFonts w:ascii="Arial" w:hAnsi="Arial"/>
                          <w:b/>
                          <w:bCs/>
                          <w:sz w:val="18"/>
                          <w:szCs w:val="18"/>
                        </w:rPr>
                        <w:t>DATE</w:t>
                      </w:r>
                    </w:p>
                  </w:txbxContent>
                </v:textbox>
                <w10:wrap type="square"/>
              </v:shape>
            </w:pict>
          </mc:Fallback>
        </mc:AlternateContent>
      </w:r>
    </w:p>
    <w:p w14:paraId="3704B606" w14:textId="77777777" w:rsidR="001E33CF" w:rsidRDefault="001E33CF" w:rsidP="001E33CF">
      <w:pPr>
        <w:pStyle w:val="Default"/>
        <w:spacing w:before="0" w:line="240" w:lineRule="auto"/>
        <w:rPr>
          <w:rFonts w:ascii="Arial" w:hAnsi="Arial"/>
          <w:u w:color="000000"/>
          <w14:textOutline w14:w="12700" w14:cap="flat" w14:cmpd="sng" w14:algn="ctr">
            <w14:noFill/>
            <w14:prstDash w14:val="solid"/>
            <w14:miter w14:lim="400000"/>
          </w14:textOutline>
        </w:rPr>
      </w:pPr>
    </w:p>
    <w:p w14:paraId="4AC7DB79" w14:textId="77777777" w:rsidR="001E33CF" w:rsidRDefault="001E33CF" w:rsidP="001E33CF">
      <w:pPr>
        <w:pStyle w:val="Default"/>
        <w:spacing w:before="0" w:line="240" w:lineRule="auto"/>
        <w:rPr>
          <w:rFonts w:ascii="Arial" w:hAnsi="Arial"/>
          <w:u w:color="000000"/>
          <w14:textOutline w14:w="12700" w14:cap="flat" w14:cmpd="sng" w14:algn="ctr">
            <w14:noFill/>
            <w14:prstDash w14:val="solid"/>
            <w14:miter w14:lim="400000"/>
          </w14:textOutline>
        </w:rPr>
      </w:pPr>
    </w:p>
    <w:p w14:paraId="703B7BE2" w14:textId="77777777" w:rsidR="001E33CF" w:rsidRDefault="001E33CF" w:rsidP="001E33CF">
      <w:pPr>
        <w:pStyle w:val="Default"/>
        <w:spacing w:before="0" w:line="240" w:lineRule="auto"/>
        <w:rPr>
          <w:rFonts w:ascii="Arial" w:hAnsi="Arial"/>
          <w:u w:color="000000"/>
          <w14:textOutline w14:w="12700" w14:cap="flat" w14:cmpd="sng" w14:algn="ctr">
            <w14:noFill/>
            <w14:prstDash w14:val="solid"/>
            <w14:miter w14:lim="400000"/>
          </w14:textOutline>
        </w:rPr>
      </w:pPr>
    </w:p>
    <w:p w14:paraId="350C7F85" w14:textId="77777777" w:rsidR="001E33CF" w:rsidRDefault="001E33CF" w:rsidP="001E33CF">
      <w:pPr>
        <w:pStyle w:val="Default"/>
        <w:spacing w:before="0" w:line="240" w:lineRule="auto"/>
        <w:rPr>
          <w:rFonts w:ascii="Arial" w:hAnsi="Arial"/>
          <w:u w:color="000000"/>
          <w14:textOutline w14:w="12700" w14:cap="flat" w14:cmpd="sng" w14:algn="ctr">
            <w14:noFill/>
            <w14:prstDash w14:val="solid"/>
            <w14:miter w14:lim="400000"/>
          </w14:textOutline>
        </w:rPr>
      </w:pPr>
    </w:p>
    <w:p w14:paraId="3B84D2E1" w14:textId="77777777" w:rsidR="001E33CF" w:rsidRDefault="001E33CF" w:rsidP="001E33CF">
      <w:pPr>
        <w:pStyle w:val="Default"/>
        <w:spacing w:before="0" w:line="240" w:lineRule="auto"/>
        <w:rPr>
          <w:rFonts w:ascii="Arial" w:hAnsi="Arial"/>
          <w:u w:color="000000"/>
          <w14:textOutline w14:w="12700" w14:cap="flat" w14:cmpd="sng" w14:algn="ctr">
            <w14:noFill/>
            <w14:prstDash w14:val="solid"/>
            <w14:miter w14:lim="400000"/>
          </w14:textOutline>
        </w:rPr>
      </w:pPr>
    </w:p>
    <w:p w14:paraId="719AD91A" w14:textId="77777777" w:rsidR="001E33CF" w:rsidRDefault="001E33CF" w:rsidP="001E33CF">
      <w:pPr>
        <w:pStyle w:val="Default"/>
        <w:spacing w:before="0" w:line="240" w:lineRule="auto"/>
        <w:rPr>
          <w:rFonts w:ascii="Arial" w:hAnsi="Arial"/>
          <w:u w:color="000000"/>
          <w14:textOutline w14:w="12700" w14:cap="flat" w14:cmpd="sng" w14:algn="ctr">
            <w14:noFill/>
            <w14:prstDash w14:val="solid"/>
            <w14:miter w14:lim="400000"/>
          </w14:textOutline>
        </w:rPr>
      </w:pPr>
    </w:p>
    <w:p w14:paraId="5C87B2B4" w14:textId="77777777" w:rsidR="001E33CF" w:rsidRDefault="001E33CF" w:rsidP="001E33CF">
      <w:pPr>
        <w:pStyle w:val="Default"/>
        <w:spacing w:before="0" w:line="240" w:lineRule="auto"/>
        <w:rPr>
          <w:rFonts w:ascii="Arial" w:hAnsi="Arial"/>
          <w:u w:color="000000"/>
          <w14:textOutline w14:w="12700" w14:cap="flat" w14:cmpd="sng" w14:algn="ctr">
            <w14:noFill/>
            <w14:prstDash w14:val="solid"/>
            <w14:miter w14:lim="400000"/>
          </w14:textOutline>
        </w:rPr>
      </w:pPr>
    </w:p>
    <w:p w14:paraId="5CDF91C2" w14:textId="77777777" w:rsidR="001E33CF" w:rsidRDefault="001E33CF" w:rsidP="001E33CF">
      <w:pPr>
        <w:pStyle w:val="Default"/>
        <w:spacing w:before="0" w:line="240" w:lineRule="auto"/>
        <w:rPr>
          <w:rFonts w:ascii="Arial" w:hAnsi="Arial"/>
          <w:u w:color="000000"/>
          <w14:textOutline w14:w="12700" w14:cap="flat" w14:cmpd="sng" w14:algn="ctr">
            <w14:noFill/>
            <w14:prstDash w14:val="solid"/>
            <w14:miter w14:lim="400000"/>
          </w14:textOutline>
        </w:rPr>
      </w:pPr>
    </w:p>
    <w:p w14:paraId="72520286" w14:textId="77777777" w:rsidR="000B0DB9" w:rsidRDefault="000B0DB9">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4F37B58E" w14:textId="77777777" w:rsidR="000B0DB9" w:rsidRDefault="000B0DB9">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273CF190" w14:textId="77777777" w:rsidR="000B0DB9" w:rsidRDefault="000B0DB9">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80BE725" w14:textId="77777777" w:rsidR="000B0DB9" w:rsidRDefault="006B5808">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 the matter between:</w:t>
      </w:r>
    </w:p>
    <w:p w14:paraId="2BAF5B5F" w14:textId="77777777" w:rsidR="000B0DB9" w:rsidRDefault="000B0DB9">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tbl>
      <w:tblPr>
        <w:tblW w:w="9281" w:type="dxa"/>
        <w:tblInd w:w="110" w:type="dxa"/>
        <w:shd w:val="clear" w:color="auto" w:fill="CADFFF"/>
        <w:tblLayout w:type="fixed"/>
        <w:tblLook w:val="04A0" w:firstRow="1" w:lastRow="0" w:firstColumn="1" w:lastColumn="0" w:noHBand="0" w:noVBand="1"/>
      </w:tblPr>
      <w:tblGrid>
        <w:gridCol w:w="6771"/>
        <w:gridCol w:w="2510"/>
      </w:tblGrid>
      <w:tr w:rsidR="000B0DB9" w14:paraId="1AC86B05" w14:textId="77777777" w:rsidTr="001E33CF">
        <w:trPr>
          <w:trHeight w:val="852"/>
        </w:trPr>
        <w:tc>
          <w:tcPr>
            <w:tcW w:w="6771" w:type="dxa"/>
            <w:shd w:val="clear" w:color="auto" w:fill="auto"/>
            <w:tcMar>
              <w:top w:w="80" w:type="dxa"/>
              <w:left w:w="80" w:type="dxa"/>
              <w:bottom w:w="80" w:type="dxa"/>
              <w:right w:w="80" w:type="dxa"/>
            </w:tcMar>
          </w:tcPr>
          <w:p w14:paraId="015118B1" w14:textId="77777777" w:rsidR="000B0DB9" w:rsidRDefault="006B5808">
            <w:pPr>
              <w:pStyle w:val="Default"/>
              <w:spacing w:before="0" w:line="240" w:lineRule="auto"/>
              <w:jc w:val="both"/>
            </w:pPr>
            <w:r>
              <w:rPr>
                <w:rFonts w:ascii="Arial" w:hAnsi="Arial"/>
                <w:b/>
                <w:bCs/>
                <w:u w:color="000000"/>
              </w:rPr>
              <w:t>SORACO MINERALS (PTE) LTD</w:t>
            </w:r>
          </w:p>
        </w:tc>
        <w:tc>
          <w:tcPr>
            <w:tcW w:w="2510" w:type="dxa"/>
            <w:shd w:val="clear" w:color="auto" w:fill="auto"/>
            <w:tcMar>
              <w:top w:w="80" w:type="dxa"/>
              <w:left w:w="80" w:type="dxa"/>
              <w:bottom w:w="80" w:type="dxa"/>
              <w:right w:w="80" w:type="dxa"/>
            </w:tcMar>
          </w:tcPr>
          <w:p w14:paraId="1F2CF53A" w14:textId="77777777" w:rsidR="000B0DB9" w:rsidRDefault="006B5808">
            <w:pPr>
              <w:pStyle w:val="Default"/>
              <w:spacing w:before="0" w:line="240" w:lineRule="auto"/>
              <w:jc w:val="right"/>
            </w:pPr>
            <w:r>
              <w:rPr>
                <w:rFonts w:ascii="Arial" w:hAnsi="Arial"/>
                <w:u w:color="000000"/>
                <w14:textOutline w14:w="12700" w14:cap="flat" w14:cmpd="sng" w14:algn="ctr">
                  <w14:noFill/>
                  <w14:prstDash w14:val="solid"/>
                  <w14:miter w14:lim="400000"/>
                </w14:textOutline>
              </w:rPr>
              <w:t>Plaintiff</w:t>
            </w:r>
          </w:p>
        </w:tc>
      </w:tr>
      <w:tr w:rsidR="000B0DB9" w14:paraId="3DCBF45B" w14:textId="77777777" w:rsidTr="001E33CF">
        <w:trPr>
          <w:trHeight w:val="292"/>
        </w:trPr>
        <w:tc>
          <w:tcPr>
            <w:tcW w:w="6771" w:type="dxa"/>
            <w:shd w:val="clear" w:color="auto" w:fill="auto"/>
            <w:tcMar>
              <w:top w:w="80" w:type="dxa"/>
              <w:left w:w="80" w:type="dxa"/>
              <w:bottom w:w="80" w:type="dxa"/>
              <w:right w:w="80" w:type="dxa"/>
            </w:tcMar>
          </w:tcPr>
          <w:p w14:paraId="15BE5F98" w14:textId="77777777" w:rsidR="000B0DB9" w:rsidRDefault="006B5808">
            <w:pPr>
              <w:pStyle w:val="Default"/>
              <w:spacing w:before="0" w:line="240" w:lineRule="auto"/>
              <w:jc w:val="both"/>
            </w:pPr>
            <w:r>
              <w:rPr>
                <w:rFonts w:ascii="Arial" w:hAnsi="Arial"/>
                <w:u w:color="000000"/>
                <w14:textOutline w14:w="12700" w14:cap="flat" w14:cmpd="sng" w14:algn="ctr">
                  <w14:noFill/>
                  <w14:prstDash w14:val="solid"/>
                  <w14:miter w14:lim="400000"/>
                </w14:textOutline>
              </w:rPr>
              <w:t>and</w:t>
            </w:r>
          </w:p>
        </w:tc>
        <w:tc>
          <w:tcPr>
            <w:tcW w:w="2510" w:type="dxa"/>
            <w:shd w:val="clear" w:color="auto" w:fill="auto"/>
            <w:tcMar>
              <w:top w:w="80" w:type="dxa"/>
              <w:left w:w="80" w:type="dxa"/>
              <w:bottom w:w="80" w:type="dxa"/>
              <w:right w:w="80" w:type="dxa"/>
            </w:tcMar>
          </w:tcPr>
          <w:p w14:paraId="436611F6" w14:textId="77777777" w:rsidR="000B0DB9" w:rsidRDefault="000B0DB9"/>
        </w:tc>
      </w:tr>
      <w:tr w:rsidR="000B0DB9" w14:paraId="2701D147" w14:textId="77777777" w:rsidTr="001E33CF">
        <w:trPr>
          <w:trHeight w:val="292"/>
        </w:trPr>
        <w:tc>
          <w:tcPr>
            <w:tcW w:w="6771" w:type="dxa"/>
            <w:shd w:val="clear" w:color="auto" w:fill="auto"/>
            <w:tcMar>
              <w:top w:w="80" w:type="dxa"/>
              <w:left w:w="80" w:type="dxa"/>
              <w:bottom w:w="80" w:type="dxa"/>
              <w:right w:w="80" w:type="dxa"/>
            </w:tcMar>
          </w:tcPr>
          <w:p w14:paraId="546A0B18" w14:textId="77777777" w:rsidR="000B0DB9" w:rsidRDefault="006B5808">
            <w:pPr>
              <w:pStyle w:val="Default"/>
              <w:spacing w:before="0" w:line="240" w:lineRule="auto"/>
              <w:jc w:val="both"/>
            </w:pPr>
            <w:r>
              <w:rPr>
                <w:rFonts w:ascii="Arial" w:hAnsi="Arial"/>
                <w:b/>
                <w:bCs/>
                <w:u w:color="000000"/>
              </w:rPr>
              <w:t>DBG IMPORT AND EXPORT CC</w:t>
            </w:r>
          </w:p>
        </w:tc>
        <w:tc>
          <w:tcPr>
            <w:tcW w:w="2510" w:type="dxa"/>
            <w:shd w:val="clear" w:color="auto" w:fill="auto"/>
            <w:tcMar>
              <w:top w:w="80" w:type="dxa"/>
              <w:left w:w="80" w:type="dxa"/>
              <w:bottom w:w="80" w:type="dxa"/>
              <w:right w:w="80" w:type="dxa"/>
            </w:tcMar>
          </w:tcPr>
          <w:p w14:paraId="03386EDD" w14:textId="77777777" w:rsidR="000B0DB9" w:rsidRDefault="006B5808">
            <w:pPr>
              <w:pStyle w:val="Default"/>
              <w:spacing w:before="0" w:line="240" w:lineRule="auto"/>
              <w:jc w:val="right"/>
            </w:pPr>
            <w:r>
              <w:rPr>
                <w:rFonts w:ascii="Arial" w:hAnsi="Arial"/>
                <w:u w:color="000000"/>
              </w:rPr>
              <w:t>First defendant</w:t>
            </w:r>
          </w:p>
        </w:tc>
      </w:tr>
      <w:tr w:rsidR="000B0DB9" w14:paraId="6D4DBC74" w14:textId="77777777" w:rsidTr="001E33CF">
        <w:trPr>
          <w:trHeight w:val="852"/>
        </w:trPr>
        <w:tc>
          <w:tcPr>
            <w:tcW w:w="6771" w:type="dxa"/>
            <w:shd w:val="clear" w:color="auto" w:fill="auto"/>
            <w:tcMar>
              <w:top w:w="80" w:type="dxa"/>
              <w:left w:w="80" w:type="dxa"/>
              <w:bottom w:w="80" w:type="dxa"/>
              <w:right w:w="80" w:type="dxa"/>
            </w:tcMar>
          </w:tcPr>
          <w:p w14:paraId="0BC66518" w14:textId="77777777" w:rsidR="000B0DB9" w:rsidRDefault="006B5808">
            <w:pPr>
              <w:pStyle w:val="Default"/>
              <w:spacing w:before="0" w:line="240" w:lineRule="auto"/>
              <w:jc w:val="both"/>
            </w:pPr>
            <w:r>
              <w:rPr>
                <w:rFonts w:ascii="Arial" w:hAnsi="Arial"/>
                <w:b/>
                <w:bCs/>
                <w:u w:color="000000"/>
              </w:rPr>
              <w:t>DORON BARUCH GOLAN</w:t>
            </w:r>
          </w:p>
        </w:tc>
        <w:tc>
          <w:tcPr>
            <w:tcW w:w="2510" w:type="dxa"/>
            <w:shd w:val="clear" w:color="auto" w:fill="auto"/>
            <w:tcMar>
              <w:top w:w="80" w:type="dxa"/>
              <w:left w:w="80" w:type="dxa"/>
              <w:bottom w:w="80" w:type="dxa"/>
              <w:right w:w="80" w:type="dxa"/>
            </w:tcMar>
          </w:tcPr>
          <w:p w14:paraId="5520FB18" w14:textId="77777777" w:rsidR="000B0DB9" w:rsidRDefault="006B5808">
            <w:pPr>
              <w:pStyle w:val="Default"/>
              <w:spacing w:before="0" w:line="240" w:lineRule="auto"/>
              <w:jc w:val="right"/>
            </w:pPr>
            <w:r>
              <w:rPr>
                <w:rFonts w:ascii="Arial" w:hAnsi="Arial"/>
                <w:u w:color="000000"/>
                <w14:textOutline w14:w="12700" w14:cap="flat" w14:cmpd="sng" w14:algn="ctr">
                  <w14:noFill/>
                  <w14:prstDash w14:val="solid"/>
                  <w14:miter w14:lim="400000"/>
                </w14:textOutline>
              </w:rPr>
              <w:t>Second defendant</w:t>
            </w:r>
          </w:p>
        </w:tc>
      </w:tr>
    </w:tbl>
    <w:p w14:paraId="33EA2CCE" w14:textId="77777777" w:rsidR="000B0DB9" w:rsidRDefault="000B0DB9">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39C5AE02" w14:textId="77777777" w:rsidR="000B0DB9" w:rsidRDefault="006B5808">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___________________________________________________________________ </w:t>
      </w:r>
    </w:p>
    <w:p w14:paraId="6FB14E07" w14:textId="77777777" w:rsidR="000B0DB9" w:rsidRDefault="000B0DB9">
      <w:pPr>
        <w:pStyle w:val="Default"/>
        <w:tabs>
          <w:tab w:val="right" w:pos="8280"/>
        </w:tabs>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00B5171" w14:textId="77777777" w:rsidR="000B0DB9" w:rsidRDefault="006B5808">
      <w:pPr>
        <w:pStyle w:val="Default"/>
        <w:tabs>
          <w:tab w:val="right" w:pos="8280"/>
        </w:tabs>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 U D G M E N T</w:t>
      </w:r>
    </w:p>
    <w:p w14:paraId="4D4008EF" w14:textId="77777777" w:rsidR="000B0DB9" w:rsidRDefault="006B5808">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___________________________________________________________________</w:t>
      </w:r>
    </w:p>
    <w:p w14:paraId="2CA38B19" w14:textId="77777777" w:rsidR="000B0DB9" w:rsidRDefault="000B0DB9">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p>
    <w:p w14:paraId="191C1022" w14:textId="77777777" w:rsidR="000B0DB9" w:rsidRDefault="000B0DB9">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64A397DB" w14:textId="77777777" w:rsidR="000B0DB9" w:rsidRDefault="006B5808">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b/>
          <w:bCs/>
          <w:u w:val="single" w:color="000000"/>
          <w14:textOutline w14:w="12700" w14:cap="flat" w14:cmpd="sng" w14:algn="ctr">
            <w14:noFill/>
            <w14:prstDash w14:val="solid"/>
            <w14:miter w14:lim="400000"/>
          </w14:textOutline>
        </w:rPr>
        <w:t>KEIGHTLEY, J</w:t>
      </w:r>
      <w:r>
        <w:rPr>
          <w:rFonts w:ascii="Arial" w:hAnsi="Arial"/>
          <w:b/>
          <w:bCs/>
          <w:u w:color="000000"/>
          <w14:textOutline w14:w="12700" w14:cap="flat" w14:cmpd="sng" w14:algn="ctr">
            <w14:noFill/>
            <w14:prstDash w14:val="solid"/>
            <w14:miter w14:lim="400000"/>
          </w14:textOutline>
        </w:rPr>
        <w:t>:</w:t>
      </w:r>
    </w:p>
    <w:p w14:paraId="73058C8A" w14:textId="5785B341" w:rsidR="000B0DB9" w:rsidRDefault="006B5808">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lastRenderedPageBreak/>
        <w:t>This is an application for summary judgment.  The plaintiff, Soraco Minerals (PTE) Limited (Soraco), seeks an order directing the defendants, jointly and severally to pay to it the sum of $100 000.  The first defendant is DBG Import and Export CC</w:t>
      </w:r>
      <w:r w:rsidR="001E33CF">
        <w:rPr>
          <w:rFonts w:ascii="Arial" w:hAnsi="Arial"/>
          <w:sz w:val="24"/>
          <w:szCs w:val="24"/>
          <w:u w:color="000000"/>
        </w:rPr>
        <w:t xml:space="preserve"> </w:t>
      </w:r>
      <w:r>
        <w:rPr>
          <w:rFonts w:ascii="Arial" w:hAnsi="Arial"/>
          <w:sz w:val="24"/>
          <w:szCs w:val="24"/>
          <w:u w:color="000000"/>
        </w:rPr>
        <w:t>(DBG) and the second defendant is Doron Baruch Golan (</w:t>
      </w:r>
      <w:r w:rsidR="001E33CF">
        <w:rPr>
          <w:rFonts w:ascii="Arial" w:hAnsi="Arial"/>
          <w:sz w:val="24"/>
          <w:szCs w:val="24"/>
          <w:u w:color="000000"/>
        </w:rPr>
        <w:t xml:space="preserve">Mr </w:t>
      </w:r>
      <w:r>
        <w:rPr>
          <w:rFonts w:ascii="Arial" w:hAnsi="Arial"/>
          <w:sz w:val="24"/>
          <w:szCs w:val="24"/>
          <w:u w:color="000000"/>
        </w:rPr>
        <w:t>Golan)</w:t>
      </w:r>
      <w:r w:rsidR="001E33CF">
        <w:rPr>
          <w:rFonts w:ascii="Arial" w:hAnsi="Arial"/>
          <w:sz w:val="24"/>
          <w:szCs w:val="24"/>
          <w:u w:color="000000"/>
        </w:rPr>
        <w:t>.</w:t>
      </w:r>
      <w:r>
        <w:rPr>
          <w:rFonts w:ascii="Arial" w:hAnsi="Arial"/>
          <w:sz w:val="24"/>
          <w:szCs w:val="24"/>
          <w:u w:color="000000"/>
        </w:rPr>
        <w:t xml:space="preserve">  The plaintiff contends that it entered into a purchase and sale agreement with DGB, represented by </w:t>
      </w:r>
      <w:r w:rsidR="001E33CF">
        <w:rPr>
          <w:rFonts w:ascii="Arial" w:hAnsi="Arial"/>
          <w:sz w:val="24"/>
          <w:szCs w:val="24"/>
          <w:u w:color="000000"/>
        </w:rPr>
        <w:t xml:space="preserve">Mr </w:t>
      </w:r>
      <w:r>
        <w:rPr>
          <w:rFonts w:ascii="Arial" w:hAnsi="Arial"/>
          <w:sz w:val="24"/>
          <w:szCs w:val="24"/>
          <w:u w:color="000000"/>
        </w:rPr>
        <w:t>Golan, for the supply of cobalt.  It made an advance payment to DBG under an addendum to the agreement of $100 000.  However, DBG failed to supply the minerals under the agreement and addendum.</w:t>
      </w:r>
    </w:p>
    <w:p w14:paraId="36ED7E1F" w14:textId="48C363F5" w:rsidR="000B0DB9" w:rsidRDefault="006B5808">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plaintiff contends further that although DBG undertook to refund the amount of $100 000, it never did so.  Soraco cancelled the contract and demanded repayment of the advance.  However, in instituting the proceedings it discovered that DBG had been deregistered years before the agreement was entered into.  It pleads that </w:t>
      </w:r>
      <w:r w:rsidR="001E33CF">
        <w:rPr>
          <w:rFonts w:ascii="Arial" w:hAnsi="Arial"/>
          <w:sz w:val="24"/>
          <w:szCs w:val="24"/>
          <w:u w:color="000000"/>
        </w:rPr>
        <w:t xml:space="preserve">Mr </w:t>
      </w:r>
      <w:r>
        <w:rPr>
          <w:rFonts w:ascii="Arial" w:hAnsi="Arial"/>
          <w:sz w:val="24"/>
          <w:szCs w:val="24"/>
          <w:u w:color="000000"/>
        </w:rPr>
        <w:t xml:space="preserve">Golan acted recklessly, with gross negligence or fraudulently with the intention of misleading Soraco in purporting to contract on behalf of an entity that was, in fact, reregistered.  It seeks an order against </w:t>
      </w:r>
      <w:r w:rsidR="001E33CF">
        <w:rPr>
          <w:rFonts w:ascii="Arial" w:hAnsi="Arial"/>
          <w:sz w:val="24"/>
          <w:szCs w:val="24"/>
          <w:u w:color="000000"/>
        </w:rPr>
        <w:t xml:space="preserve">Mr </w:t>
      </w:r>
      <w:r>
        <w:rPr>
          <w:rFonts w:ascii="Arial" w:hAnsi="Arial"/>
          <w:sz w:val="24"/>
          <w:szCs w:val="24"/>
          <w:u w:color="000000"/>
        </w:rPr>
        <w:t xml:space="preserve">Golan </w:t>
      </w:r>
      <w:r w:rsidR="001E33CF">
        <w:rPr>
          <w:rFonts w:ascii="Arial" w:hAnsi="Arial"/>
          <w:sz w:val="24"/>
          <w:szCs w:val="24"/>
          <w:u w:color="000000"/>
        </w:rPr>
        <w:t>under</w:t>
      </w:r>
      <w:r>
        <w:rPr>
          <w:rFonts w:ascii="Arial" w:hAnsi="Arial"/>
          <w:sz w:val="24"/>
          <w:szCs w:val="24"/>
          <w:u w:color="000000"/>
        </w:rPr>
        <w:t xml:space="preserve"> section 64 of the Companies Act.</w:t>
      </w:r>
    </w:p>
    <w:p w14:paraId="500C4BFE" w14:textId="6AE0F529" w:rsidR="000B0DB9" w:rsidRDefault="006B5808">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Rather curiously, </w:t>
      </w:r>
      <w:r w:rsidR="001E33CF">
        <w:rPr>
          <w:rFonts w:ascii="Arial" w:hAnsi="Arial"/>
          <w:sz w:val="24"/>
          <w:szCs w:val="24"/>
          <w:u w:color="000000"/>
        </w:rPr>
        <w:t xml:space="preserve">Mr </w:t>
      </w:r>
      <w:r>
        <w:rPr>
          <w:rFonts w:ascii="Arial" w:hAnsi="Arial"/>
          <w:sz w:val="24"/>
          <w:szCs w:val="24"/>
          <w:u w:color="000000"/>
        </w:rPr>
        <w:t xml:space="preserve">Golan concedes that the purchase and sale agreement and the addendum was entered into, although he contends that </w:t>
      </w:r>
      <w:r>
        <w:rPr>
          <w:rFonts w:ascii="Arial" w:hAnsi="Arial"/>
          <w:sz w:val="24"/>
          <w:szCs w:val="24"/>
          <w:u w:val="single" w:color="000000"/>
        </w:rPr>
        <w:t>he</w:t>
      </w:r>
      <w:r>
        <w:rPr>
          <w:rFonts w:ascii="Arial" w:hAnsi="Arial"/>
          <w:sz w:val="24"/>
          <w:szCs w:val="24"/>
          <w:u w:color="000000"/>
        </w:rPr>
        <w:t xml:space="preserve"> entered into the agreement rather than the first defendant.  He also concedes that Soraco made the advance payment</w:t>
      </w:r>
      <w:r w:rsidR="001E33CF">
        <w:rPr>
          <w:rFonts w:ascii="Arial" w:hAnsi="Arial"/>
          <w:sz w:val="24"/>
          <w:szCs w:val="24"/>
          <w:u w:color="000000"/>
        </w:rPr>
        <w:t>,</w:t>
      </w:r>
      <w:r>
        <w:rPr>
          <w:rFonts w:ascii="Arial" w:hAnsi="Arial"/>
          <w:sz w:val="24"/>
          <w:szCs w:val="24"/>
          <w:u w:color="000000"/>
        </w:rPr>
        <w:t xml:space="preserve"> and that no cobalt was delivered.  Much of the plea is in the form of general denials.  </w:t>
      </w:r>
      <w:r w:rsidR="001E33CF">
        <w:rPr>
          <w:rFonts w:ascii="Arial" w:hAnsi="Arial"/>
          <w:sz w:val="24"/>
          <w:szCs w:val="24"/>
          <w:u w:color="000000"/>
        </w:rPr>
        <w:t xml:space="preserve">Mr </w:t>
      </w:r>
      <w:r>
        <w:rPr>
          <w:rFonts w:ascii="Arial" w:hAnsi="Arial"/>
          <w:sz w:val="24"/>
          <w:szCs w:val="24"/>
          <w:u w:color="000000"/>
        </w:rPr>
        <w:t xml:space="preserve">Golan does not even attempt to explain in his plea why, if he was the seller of the cobalt, the agreement and addendum were in the name of DBG Import and Export (albeit without the addition of ‘CC’).  Nor does he explain why he signed the contracts as a representative of the seller if he indeed was the seller.  Be that as it may, he advances one defence on the merits in his plea which is that under clause 4 of the addendum, any refund of the advance payment was to be in the form </w:t>
      </w:r>
      <w:r>
        <w:rPr>
          <w:rFonts w:ascii="Arial" w:hAnsi="Arial"/>
          <w:sz w:val="24"/>
          <w:szCs w:val="24"/>
          <w:u w:color="000000"/>
        </w:rPr>
        <w:lastRenderedPageBreak/>
        <w:t xml:space="preserve">of the delivery of cobalt, and not in monetary terms.  For a variety of reasons, which I do not need to traverse, the </w:t>
      </w:r>
      <w:r>
        <w:rPr>
          <w:rFonts w:ascii="Arial" w:hAnsi="Arial"/>
          <w:i/>
          <w:iCs/>
          <w:sz w:val="24"/>
          <w:szCs w:val="24"/>
          <w:u w:color="000000"/>
        </w:rPr>
        <w:t>bona fides</w:t>
      </w:r>
      <w:r>
        <w:rPr>
          <w:rFonts w:ascii="Arial" w:hAnsi="Arial"/>
          <w:sz w:val="24"/>
          <w:szCs w:val="24"/>
          <w:u w:color="000000"/>
        </w:rPr>
        <w:t xml:space="preserve"> of this defence are highly questionable.  If this was the defendants’ only defence, I would have been minded to consider granting summary judgment.</w:t>
      </w:r>
    </w:p>
    <w:p w14:paraId="380E8587" w14:textId="2B3124DE" w:rsidR="001E33CF" w:rsidRDefault="006B5808">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However, </w:t>
      </w:r>
      <w:r w:rsidR="001E33CF">
        <w:rPr>
          <w:rFonts w:ascii="Arial" w:hAnsi="Arial"/>
          <w:sz w:val="24"/>
          <w:szCs w:val="24"/>
          <w:u w:color="000000"/>
        </w:rPr>
        <w:t xml:space="preserve">Mr </w:t>
      </w:r>
      <w:r>
        <w:rPr>
          <w:rFonts w:ascii="Arial" w:hAnsi="Arial"/>
          <w:sz w:val="24"/>
          <w:szCs w:val="24"/>
          <w:u w:color="000000"/>
        </w:rPr>
        <w:t xml:space="preserve">Golan </w:t>
      </w:r>
      <w:r w:rsidR="001E33CF">
        <w:rPr>
          <w:rFonts w:ascii="Arial" w:hAnsi="Arial"/>
          <w:sz w:val="24"/>
          <w:szCs w:val="24"/>
          <w:u w:color="000000"/>
        </w:rPr>
        <w:t xml:space="preserve">did not limit his opposition to this defence on the merits.  In addition, he </w:t>
      </w:r>
      <w:r>
        <w:rPr>
          <w:rFonts w:ascii="Arial" w:hAnsi="Arial"/>
          <w:sz w:val="24"/>
          <w:szCs w:val="24"/>
          <w:u w:color="000000"/>
        </w:rPr>
        <w:t>raised a special plea calling into play the arbitration clause in the purchase and sale agreement.  It is common cause that clause 19 states that:</w:t>
      </w:r>
    </w:p>
    <w:p w14:paraId="5E898D95" w14:textId="65580195" w:rsidR="001E33CF" w:rsidRPr="001E33CF" w:rsidRDefault="006B5808" w:rsidP="001E33CF">
      <w:pPr>
        <w:pStyle w:val="Body"/>
        <w:spacing w:before="240" w:after="240"/>
        <w:ind w:left="851"/>
        <w:jc w:val="both"/>
        <w:rPr>
          <w:rFonts w:ascii="Arial" w:hAnsi="Arial"/>
          <w:u w:color="000000"/>
        </w:rPr>
      </w:pPr>
      <w:r w:rsidRPr="001E33CF">
        <w:rPr>
          <w:rFonts w:ascii="Arial" w:hAnsi="Arial"/>
          <w:u w:color="000000"/>
        </w:rPr>
        <w:t>‘</w:t>
      </w:r>
      <w:r w:rsidRPr="001E33CF">
        <w:rPr>
          <w:rFonts w:ascii="Arial" w:hAnsi="Arial"/>
          <w:i/>
          <w:iCs/>
          <w:u w:color="000000"/>
        </w:rPr>
        <w:t>Any difference or dispute arising out of or in connection with this contract, but not having been resolved amicably between the SELLER and the BUYER, shall be settled by Arbitration in Johannesburg, RSA by a mutually appointed arbitrator</w:t>
      </w:r>
      <w:r w:rsidRPr="001E33CF">
        <w:rPr>
          <w:rFonts w:ascii="Arial" w:hAnsi="Arial"/>
          <w:u w:color="000000"/>
        </w:rPr>
        <w:t>.’</w:t>
      </w:r>
    </w:p>
    <w:p w14:paraId="02CC3C39" w14:textId="2EFB6F8B" w:rsidR="000B0DB9" w:rsidRDefault="006B5808">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his special plea </w:t>
      </w:r>
      <w:r w:rsidR="001E33CF">
        <w:rPr>
          <w:rFonts w:ascii="Arial" w:hAnsi="Arial"/>
          <w:sz w:val="24"/>
          <w:szCs w:val="24"/>
          <w:u w:color="000000"/>
        </w:rPr>
        <w:t xml:space="preserve">Mr </w:t>
      </w:r>
      <w:r>
        <w:rPr>
          <w:rFonts w:ascii="Arial" w:hAnsi="Arial"/>
          <w:sz w:val="24"/>
          <w:szCs w:val="24"/>
          <w:u w:color="000000"/>
        </w:rPr>
        <w:t>Golan prayed that the action be stayed pending the outcome of arbitration proceedings.</w:t>
      </w:r>
    </w:p>
    <w:p w14:paraId="702F0E3A" w14:textId="6D77AC15" w:rsidR="000B0DB9" w:rsidRDefault="006B5808">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Soraco submitted that the special plea was still born.  First, because </w:t>
      </w:r>
      <w:r w:rsidR="001E33CF">
        <w:rPr>
          <w:rFonts w:ascii="Arial" w:hAnsi="Arial"/>
          <w:sz w:val="24"/>
          <w:szCs w:val="24"/>
          <w:u w:color="000000"/>
        </w:rPr>
        <w:t xml:space="preserve">Mr </w:t>
      </w:r>
      <w:r>
        <w:rPr>
          <w:rFonts w:ascii="Arial" w:hAnsi="Arial"/>
          <w:sz w:val="24"/>
          <w:szCs w:val="24"/>
          <w:u w:color="000000"/>
        </w:rPr>
        <w:t xml:space="preserve">Golan was not a party to the purchase and sale agreement and so cannot rely on the arbitration defence.  And second because, contrary to s 6 of the Arbitration Act 42 of 1965, the application for a stay was made after the defendants had taken steps in the litigation.  As to the latter point, it is trite that s 6 of the Act does not displace the common law which also permits an application for a stay pending the resolution of arbitration proceedings.  As the SCA explained in </w:t>
      </w:r>
      <w:r>
        <w:rPr>
          <w:rFonts w:ascii="Arial" w:hAnsi="Arial"/>
          <w:i/>
          <w:iCs/>
          <w:sz w:val="24"/>
          <w:szCs w:val="24"/>
          <w:u w:color="000000"/>
        </w:rPr>
        <w:t>PCL Consulting (Pty) Ltd t/a Phillips Consulting SA v Tresso Trading 119 (Pty) Ltd</w:t>
      </w:r>
      <w:r>
        <w:rPr>
          <w:rFonts w:ascii="Arial" w:hAnsi="Arial"/>
          <w:sz w:val="24"/>
          <w:szCs w:val="24"/>
          <w:u w:color="000000"/>
        </w:rPr>
        <w:t xml:space="preserve"> 2009 (4) SA 68 (SCA) at para 7:</w:t>
      </w:r>
    </w:p>
    <w:p w14:paraId="5841B7C3" w14:textId="77777777" w:rsidR="000B0DB9" w:rsidRDefault="006B5808">
      <w:pPr>
        <w:pStyle w:val="Body"/>
        <w:spacing w:before="240" w:after="240"/>
        <w:ind w:left="850"/>
        <w:jc w:val="both"/>
        <w:rPr>
          <w:rFonts w:ascii="Arial" w:eastAsia="Arial" w:hAnsi="Arial" w:cs="Arial"/>
          <w:u w:color="000000"/>
        </w:rPr>
      </w:pPr>
      <w:r>
        <w:rPr>
          <w:rFonts w:ascii="Arial" w:hAnsi="Arial"/>
          <w:u w:color="000000"/>
        </w:rPr>
        <w:t>‘If a party institutes proceedings in a court despite … an (arbitration) agreement, the other party has two options:</w:t>
      </w:r>
    </w:p>
    <w:p w14:paraId="6C33ABF3" w14:textId="77777777" w:rsidR="000B0DB9" w:rsidRDefault="006B5808">
      <w:pPr>
        <w:pStyle w:val="Body"/>
        <w:spacing w:before="240" w:after="240"/>
        <w:ind w:left="850"/>
        <w:jc w:val="both"/>
        <w:rPr>
          <w:rFonts w:ascii="Arial" w:eastAsia="Arial" w:hAnsi="Arial" w:cs="Arial"/>
          <w:u w:color="000000"/>
        </w:rPr>
      </w:pPr>
      <w:r>
        <w:rPr>
          <w:rFonts w:ascii="Arial" w:eastAsia="Arial" w:hAnsi="Arial" w:cs="Arial"/>
          <w:u w:color="000000"/>
        </w:rPr>
        <w:tab/>
        <w:t>(i)</w:t>
      </w:r>
      <w:r>
        <w:rPr>
          <w:rFonts w:ascii="Arial" w:eastAsia="Arial" w:hAnsi="Arial" w:cs="Arial"/>
          <w:u w:color="000000"/>
        </w:rPr>
        <w:tab/>
        <w:t xml:space="preserve">It may apply for a stay in the proceedings in terms of s 6 of the Arbitration Act </w:t>
      </w:r>
      <w:r>
        <w:rPr>
          <w:rFonts w:ascii="Arial" w:hAnsi="Arial"/>
          <w:u w:color="000000"/>
        </w:rPr>
        <w:t>…; or</w:t>
      </w:r>
    </w:p>
    <w:p w14:paraId="155869A3" w14:textId="77777777" w:rsidR="000B0DB9" w:rsidRDefault="006B5808">
      <w:pPr>
        <w:pStyle w:val="Body"/>
        <w:spacing w:before="240" w:after="240"/>
        <w:ind w:left="850"/>
        <w:jc w:val="both"/>
        <w:rPr>
          <w:rFonts w:ascii="Arial" w:eastAsia="Arial" w:hAnsi="Arial" w:cs="Arial"/>
          <w:u w:color="000000"/>
        </w:rPr>
      </w:pPr>
      <w:r>
        <w:rPr>
          <w:rFonts w:ascii="Arial" w:eastAsia="Arial" w:hAnsi="Arial" w:cs="Arial"/>
          <w:u w:color="000000"/>
        </w:rPr>
        <w:tab/>
        <w:t>(ii)</w:t>
      </w:r>
      <w:r>
        <w:rPr>
          <w:rFonts w:ascii="Arial" w:eastAsia="Arial" w:hAnsi="Arial" w:cs="Arial"/>
          <w:u w:color="000000"/>
        </w:rPr>
        <w:tab/>
        <w:t>it may in a special plea (which is in the nature of a dilatory plea) pray for a stay of the proceedings pending the final determination of the dispute by arbitration.</w:t>
      </w:r>
    </w:p>
    <w:p w14:paraId="7BD95C77" w14:textId="77777777" w:rsidR="000B0DB9" w:rsidRDefault="006B5808">
      <w:pPr>
        <w:pStyle w:val="Body"/>
        <w:spacing w:before="240" w:after="240"/>
        <w:ind w:left="850"/>
        <w:jc w:val="both"/>
        <w:rPr>
          <w:rFonts w:ascii="Arial" w:eastAsia="Arial" w:hAnsi="Arial" w:cs="Arial"/>
          <w:u w:color="000000"/>
        </w:rPr>
      </w:pPr>
      <w:r>
        <w:rPr>
          <w:rFonts w:ascii="Arial" w:hAnsi="Arial"/>
          <w:u w:color="000000"/>
        </w:rPr>
        <w:t>The definitive statement of the law in this regard is to be found in Rhodesian Railways Ltd v Mackintosh where Wessels ACJ said:</w:t>
      </w:r>
    </w:p>
    <w:p w14:paraId="5CBD41A8" w14:textId="739776AC" w:rsidR="000B0DB9" w:rsidRDefault="006B5808">
      <w:pPr>
        <w:pStyle w:val="Body"/>
        <w:spacing w:before="240" w:after="240"/>
        <w:ind w:left="1701"/>
        <w:jc w:val="both"/>
        <w:rPr>
          <w:rFonts w:ascii="Arial" w:eastAsia="Arial" w:hAnsi="Arial" w:cs="Arial"/>
          <w:sz w:val="24"/>
          <w:szCs w:val="24"/>
          <w:u w:color="000000"/>
        </w:rPr>
      </w:pPr>
      <w:r>
        <w:rPr>
          <w:rFonts w:ascii="Arial" w:hAnsi="Arial"/>
          <w:u w:color="000000"/>
        </w:rPr>
        <w:lastRenderedPageBreak/>
        <w:t>“All that sec 6(1) lays down is th</w:t>
      </w:r>
      <w:r w:rsidR="001E33CF">
        <w:rPr>
          <w:rFonts w:ascii="Arial" w:hAnsi="Arial"/>
          <w:u w:color="000000"/>
        </w:rPr>
        <w:t>at</w:t>
      </w:r>
      <w:r>
        <w:rPr>
          <w:rFonts w:ascii="Arial" w:hAnsi="Arial"/>
          <w:u w:color="000000"/>
        </w:rPr>
        <w:t xml:space="preserve"> you cannot adopt the cheaper and speedier procedure therein provided when once you have delivered pleadings or taken any other step in the proceedings.  If you have taken any step in the proceedings, then you can no longer adopt the speedier and less costly procedure of applying to the Court to stay proceedings but you must file your pleadings in</w:t>
      </w:r>
      <w:r w:rsidR="001E33CF">
        <w:rPr>
          <w:rFonts w:ascii="Arial" w:hAnsi="Arial"/>
          <w:u w:color="000000"/>
        </w:rPr>
        <w:t xml:space="preserve"> </w:t>
      </w:r>
      <w:r>
        <w:rPr>
          <w:rFonts w:ascii="Arial" w:hAnsi="Arial"/>
          <w:u w:color="000000"/>
        </w:rPr>
        <w:t>t</w:t>
      </w:r>
      <w:r w:rsidR="001E33CF">
        <w:rPr>
          <w:rFonts w:ascii="Arial" w:hAnsi="Arial"/>
          <w:u w:color="000000"/>
        </w:rPr>
        <w:t>he</w:t>
      </w:r>
      <w:r>
        <w:rPr>
          <w:rFonts w:ascii="Arial" w:hAnsi="Arial"/>
          <w:u w:color="000000"/>
        </w:rPr>
        <w:t xml:space="preserve"> ordinary way.  In pleading, however, you can raise the defence that the case ought to be decided by arbitration; this can be done by a special preliminary plea.”’</w:t>
      </w:r>
    </w:p>
    <w:p w14:paraId="638CB0C2" w14:textId="46F5997D" w:rsidR="000B0DB9" w:rsidRDefault="006B5808">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Consequently, as a matter of law, </w:t>
      </w:r>
      <w:r w:rsidR="001E33CF">
        <w:rPr>
          <w:rFonts w:ascii="Arial" w:hAnsi="Arial"/>
          <w:sz w:val="24"/>
          <w:szCs w:val="24"/>
          <w:u w:color="000000"/>
        </w:rPr>
        <w:t xml:space="preserve">Mr </w:t>
      </w:r>
      <w:r>
        <w:rPr>
          <w:rFonts w:ascii="Arial" w:hAnsi="Arial"/>
          <w:sz w:val="24"/>
          <w:szCs w:val="24"/>
          <w:u w:color="000000"/>
        </w:rPr>
        <w:t xml:space="preserve">Golan is procedurally entitled to raise the special plea of arbitration notwithstanding that he has taken steps in the proceedings.  As to the first point made by Soraco, it is not for this court, at summary judgment stage, to determine whether </w:t>
      </w:r>
      <w:r w:rsidR="001E33CF">
        <w:rPr>
          <w:rFonts w:ascii="Arial" w:hAnsi="Arial"/>
          <w:sz w:val="24"/>
          <w:szCs w:val="24"/>
          <w:u w:color="000000"/>
        </w:rPr>
        <w:t xml:space="preserve">Mr </w:t>
      </w:r>
      <w:r>
        <w:rPr>
          <w:rFonts w:ascii="Arial" w:hAnsi="Arial"/>
          <w:sz w:val="24"/>
          <w:szCs w:val="24"/>
          <w:u w:color="000000"/>
        </w:rPr>
        <w:t>Golan was a party to the purchase and sale agreement and thus entitled to rely on the arbitration clause.  For summary judgment purposes, it is only necessary for him to plead that he is entitled to do so.  If he is able to satisfy the trial court that he, rather than the first defendant, entered into the agreement, then the arbitration plea will be squarely on the table before that court.  I cannot find, at this stage, that the dilatory plea is still born.</w:t>
      </w:r>
    </w:p>
    <w:p w14:paraId="2765DD71" w14:textId="77777777" w:rsidR="000B0DB9" w:rsidRDefault="006B5808">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 should add that the plaintiff is not without a remedy.  It will be open to it, at trial, to attempt to persuade the court that there are exceptional circumstances warranting an order that the matter proceed in court rather than by arbitration.  It is at that stage that issues such as the inability of the parties to agree on an arbitrator will be relevant.</w:t>
      </w:r>
    </w:p>
    <w:p w14:paraId="09ECFF29" w14:textId="77777777" w:rsidR="000B0DB9" w:rsidRDefault="006B5808">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For these reasons, I must grant the defendants leave to defend.  I make the following order:</w:t>
      </w:r>
    </w:p>
    <w:p w14:paraId="640589D4" w14:textId="77777777" w:rsidR="000B0DB9" w:rsidRDefault="006B5808">
      <w:pPr>
        <w:pStyle w:val="Body"/>
        <w:spacing w:before="240" w:after="240" w:line="480" w:lineRule="auto"/>
        <w:jc w:val="both"/>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t>1.</w:t>
      </w:r>
      <w:r>
        <w:rPr>
          <w:rFonts w:ascii="Arial" w:eastAsia="Arial" w:hAnsi="Arial" w:cs="Arial"/>
          <w:sz w:val="24"/>
          <w:szCs w:val="24"/>
          <w:u w:color="000000"/>
        </w:rPr>
        <w:tab/>
        <w:t>The application for summary judgment is refused.</w:t>
      </w:r>
    </w:p>
    <w:p w14:paraId="43858439" w14:textId="77777777" w:rsidR="000B0DB9" w:rsidRDefault="006B5808">
      <w:pPr>
        <w:pStyle w:val="Body"/>
        <w:spacing w:before="240" w:after="240" w:line="480" w:lineRule="auto"/>
        <w:jc w:val="both"/>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t>2.</w:t>
      </w:r>
      <w:r>
        <w:rPr>
          <w:rFonts w:ascii="Arial" w:eastAsia="Arial" w:hAnsi="Arial" w:cs="Arial"/>
          <w:sz w:val="24"/>
          <w:szCs w:val="24"/>
          <w:u w:color="000000"/>
        </w:rPr>
        <w:tab/>
        <w:t>The defendants are given leave to defend the action.</w:t>
      </w:r>
    </w:p>
    <w:p w14:paraId="742E625C" w14:textId="6D685D90" w:rsidR="000B0DB9" w:rsidRDefault="006B5808" w:rsidP="001E33CF">
      <w:pPr>
        <w:pStyle w:val="Body"/>
        <w:spacing w:before="240" w:after="240" w:line="480" w:lineRule="auto"/>
        <w:ind w:left="1440" w:hanging="1440"/>
        <w:jc w:val="both"/>
        <w:rPr>
          <w:rFonts w:ascii="Arial" w:eastAsia="Arial" w:hAnsi="Arial" w:cs="Arial"/>
          <w:sz w:val="24"/>
          <w:szCs w:val="24"/>
          <w:u w:color="000000"/>
        </w:rPr>
      </w:pPr>
      <w:r>
        <w:rPr>
          <w:rFonts w:ascii="Arial" w:eastAsia="Arial" w:hAnsi="Arial" w:cs="Arial"/>
          <w:sz w:val="24"/>
          <w:szCs w:val="24"/>
          <w:u w:color="000000"/>
        </w:rPr>
        <w:tab/>
        <w:t>3.</w:t>
      </w:r>
      <w:r>
        <w:rPr>
          <w:rFonts w:ascii="Arial" w:eastAsia="Arial" w:hAnsi="Arial" w:cs="Arial"/>
          <w:sz w:val="24"/>
          <w:szCs w:val="24"/>
          <w:u w:color="000000"/>
        </w:rPr>
        <w:tab/>
        <w:t>The costs of the summary judgment application shall be costs in the cause.</w:t>
      </w:r>
    </w:p>
    <w:p w14:paraId="57DA50A0" w14:textId="6D53F8F1" w:rsidR="001E33CF" w:rsidRDefault="001E33CF" w:rsidP="001E33CF">
      <w:pPr>
        <w:pStyle w:val="Body"/>
        <w:spacing w:before="240" w:after="240" w:line="480" w:lineRule="auto"/>
        <w:ind w:left="1440" w:hanging="1440"/>
        <w:jc w:val="both"/>
        <w:rPr>
          <w:rFonts w:ascii="Arial" w:eastAsia="Arial" w:hAnsi="Arial" w:cs="Arial"/>
          <w:sz w:val="24"/>
          <w:szCs w:val="24"/>
          <w:u w:color="000000"/>
        </w:rPr>
      </w:pPr>
    </w:p>
    <w:p w14:paraId="214CB658" w14:textId="77777777" w:rsidR="001E33CF" w:rsidRPr="00A5438C" w:rsidRDefault="001E33CF" w:rsidP="001E33CF">
      <w:pPr>
        <w:pStyle w:val="Body"/>
        <w:spacing w:before="240" w:after="240"/>
        <w:jc w:val="right"/>
        <w:rPr>
          <w:rFonts w:ascii="Arial" w:hAnsi="Arial"/>
          <w:b/>
          <w:bCs/>
          <w:sz w:val="24"/>
          <w:szCs w:val="24"/>
          <w:u w:color="000000"/>
        </w:rPr>
      </w:pPr>
      <w:r w:rsidRPr="00A5438C">
        <w:rPr>
          <w:rFonts w:ascii="Arial" w:hAnsi="Arial"/>
          <w:b/>
          <w:bCs/>
          <w:sz w:val="24"/>
          <w:szCs w:val="24"/>
          <w:u w:color="000000"/>
        </w:rPr>
        <w:t>_____________________</w:t>
      </w:r>
    </w:p>
    <w:p w14:paraId="16FC1FF1" w14:textId="77777777" w:rsidR="001E33CF" w:rsidRPr="00A5438C" w:rsidRDefault="001E33CF" w:rsidP="001E33CF">
      <w:pPr>
        <w:pStyle w:val="Body"/>
        <w:spacing w:before="240" w:after="240"/>
        <w:jc w:val="right"/>
        <w:rPr>
          <w:rFonts w:ascii="Arial" w:hAnsi="Arial"/>
          <w:b/>
          <w:bCs/>
          <w:sz w:val="24"/>
          <w:szCs w:val="24"/>
          <w:u w:color="000000"/>
        </w:rPr>
      </w:pPr>
      <w:r w:rsidRPr="00A5438C">
        <w:rPr>
          <w:rFonts w:ascii="Arial" w:hAnsi="Arial"/>
          <w:b/>
          <w:bCs/>
          <w:sz w:val="24"/>
          <w:szCs w:val="24"/>
          <w:u w:color="000000"/>
        </w:rPr>
        <w:t>R M KEIGHTLEY</w:t>
      </w:r>
    </w:p>
    <w:p w14:paraId="61622F73" w14:textId="77777777" w:rsidR="001E33CF" w:rsidRPr="00A5438C" w:rsidRDefault="001E33CF" w:rsidP="001E33CF">
      <w:pPr>
        <w:pStyle w:val="Body"/>
        <w:spacing w:before="240" w:after="240"/>
        <w:jc w:val="right"/>
        <w:rPr>
          <w:rFonts w:ascii="Arial" w:hAnsi="Arial"/>
          <w:b/>
          <w:bCs/>
          <w:sz w:val="24"/>
          <w:szCs w:val="24"/>
          <w:u w:color="000000"/>
        </w:rPr>
      </w:pPr>
      <w:r w:rsidRPr="00A5438C">
        <w:rPr>
          <w:rFonts w:ascii="Arial" w:hAnsi="Arial"/>
          <w:b/>
          <w:bCs/>
          <w:sz w:val="24"/>
          <w:szCs w:val="24"/>
          <w:u w:color="000000"/>
        </w:rPr>
        <w:t>JUDGE OF THE HIGH COURT</w:t>
      </w:r>
    </w:p>
    <w:p w14:paraId="0EC332E3" w14:textId="77777777" w:rsidR="001E33CF" w:rsidRPr="00A5438C" w:rsidRDefault="001E33CF" w:rsidP="001E33CF">
      <w:pPr>
        <w:pStyle w:val="Body"/>
        <w:spacing w:before="240" w:after="240"/>
        <w:jc w:val="right"/>
        <w:rPr>
          <w:rFonts w:ascii="Arial" w:hAnsi="Arial"/>
          <w:b/>
          <w:bCs/>
          <w:sz w:val="24"/>
          <w:szCs w:val="24"/>
          <w:u w:color="000000"/>
        </w:rPr>
      </w:pPr>
      <w:r w:rsidRPr="00A5438C">
        <w:rPr>
          <w:rFonts w:ascii="Arial" w:hAnsi="Arial"/>
          <w:b/>
          <w:bCs/>
          <w:sz w:val="24"/>
          <w:szCs w:val="24"/>
          <w:u w:color="000000"/>
        </w:rPr>
        <w:t>GAUTENG DIVISION, JOHANNESBURG</w:t>
      </w:r>
    </w:p>
    <w:p w14:paraId="7183D55A" w14:textId="77777777" w:rsidR="001E33CF" w:rsidRDefault="001E33CF" w:rsidP="001E33CF">
      <w:pPr>
        <w:pStyle w:val="Body"/>
        <w:spacing w:before="240" w:after="240" w:line="480" w:lineRule="auto"/>
        <w:jc w:val="right"/>
        <w:rPr>
          <w:rFonts w:ascii="Arial" w:hAnsi="Arial"/>
          <w:sz w:val="24"/>
          <w:szCs w:val="24"/>
          <w:u w:color="000000"/>
          <w14:textOutline w14:w="12700" w14:cap="flat" w14:cmpd="sng" w14:algn="ctr">
            <w14:noFill/>
            <w14:prstDash w14:val="solid"/>
            <w14:miter w14:lim="400000"/>
          </w14:textOutline>
        </w:rPr>
      </w:pPr>
    </w:p>
    <w:p w14:paraId="699CC1F2" w14:textId="77777777" w:rsidR="001E33CF" w:rsidRDefault="001E33CF" w:rsidP="001E33CF">
      <w:pPr>
        <w:pStyle w:val="Body"/>
        <w:spacing w:before="240" w:after="240"/>
        <w:jc w:val="both"/>
        <w:rPr>
          <w:rFonts w:ascii="Arial" w:hAnsi="Arial"/>
          <w:sz w:val="24"/>
          <w:szCs w:val="24"/>
          <w:u w:color="000000"/>
          <w14:textOutline w14:w="12700" w14:cap="flat" w14:cmpd="sng" w14:algn="ctr">
            <w14:noFill/>
            <w14:prstDash w14:val="solid"/>
            <w14:miter w14:lim="400000"/>
          </w14:textOutline>
        </w:rPr>
      </w:pPr>
      <w:r w:rsidRPr="00F558B7">
        <w:rPr>
          <w:rFonts w:ascii="Arial" w:hAnsi="Arial" w:cs="Arial"/>
          <w:sz w:val="24"/>
          <w:szCs w:val="24"/>
          <w:lang w:eastAsia="en-US"/>
        </w:rPr>
        <w:t xml:space="preserve">This judgment was handed down electronically by circulation to the parties' representatives </w:t>
      </w:r>
      <w:r w:rsidRPr="00F558B7">
        <w:rPr>
          <w:rFonts w:ascii="Arial" w:hAnsi="Arial" w:cs="Arial"/>
          <w:i/>
          <w:sz w:val="24"/>
          <w:szCs w:val="24"/>
          <w:lang w:eastAsia="en-US"/>
        </w:rPr>
        <w:t>via</w:t>
      </w:r>
      <w:r w:rsidRPr="00F558B7">
        <w:rPr>
          <w:rFonts w:ascii="Arial" w:hAnsi="Arial" w:cs="Arial"/>
          <w:sz w:val="24"/>
          <w:szCs w:val="24"/>
          <w:lang w:eastAsia="en-US"/>
        </w:rPr>
        <w:t xml:space="preserve"> email, by being uploaded to </w:t>
      </w:r>
      <w:r w:rsidRPr="00F558B7">
        <w:rPr>
          <w:rFonts w:ascii="Arial" w:hAnsi="Arial" w:cs="Arial"/>
          <w:i/>
          <w:sz w:val="24"/>
          <w:szCs w:val="24"/>
          <w:lang w:eastAsia="en-US"/>
        </w:rPr>
        <w:t>CaseLines</w:t>
      </w:r>
      <w:r w:rsidRPr="00F558B7">
        <w:rPr>
          <w:rFonts w:ascii="Arial" w:hAnsi="Arial" w:cs="Arial"/>
          <w:sz w:val="24"/>
          <w:szCs w:val="24"/>
          <w:lang w:eastAsia="en-US"/>
        </w:rPr>
        <w:t xml:space="preserve"> and by release to SAFLII. The date and time for hand-down is deemed to be 11H00 on </w:t>
      </w:r>
      <w:r>
        <w:rPr>
          <w:rFonts w:ascii="Arial" w:hAnsi="Arial" w:cs="Arial"/>
          <w:sz w:val="24"/>
          <w:szCs w:val="24"/>
          <w:lang w:eastAsia="en-US"/>
        </w:rPr>
        <w:t>5</w:t>
      </w:r>
      <w:r w:rsidRPr="00F558B7">
        <w:rPr>
          <w:rFonts w:ascii="Arial" w:hAnsi="Arial" w:cs="Arial"/>
          <w:sz w:val="24"/>
          <w:szCs w:val="24"/>
          <w:lang w:eastAsia="en-US"/>
        </w:rPr>
        <w:t xml:space="preserve"> May 2022.</w:t>
      </w:r>
    </w:p>
    <w:p w14:paraId="3DC9629E" w14:textId="4C609213" w:rsidR="001E33CF" w:rsidRDefault="001E33CF" w:rsidP="001E33CF">
      <w:pPr>
        <w:pStyle w:val="Default"/>
        <w:jc w:val="both"/>
        <w:rPr>
          <w:rFonts w:ascii="Arial" w:hAnsi="Arial" w:cs="Arial"/>
          <w:u w:color="000000"/>
        </w:rPr>
      </w:pPr>
      <w:r>
        <w:rPr>
          <w:rFonts w:ascii="Arial" w:hAnsi="Arial" w:cs="Arial"/>
          <w:u w:color="000000"/>
        </w:rPr>
        <w:t>Date Heard (Microsoft Teams)</w:t>
      </w:r>
      <w:r w:rsidRPr="003445F6">
        <w:rPr>
          <w:rFonts w:ascii="Arial" w:hAnsi="Arial" w:cs="Arial"/>
          <w:u w:color="000000"/>
        </w:rPr>
        <w:t xml:space="preserve">: </w:t>
      </w:r>
      <w:r>
        <w:rPr>
          <w:rFonts w:ascii="Arial" w:hAnsi="Arial" w:cs="Arial"/>
          <w:u w:color="000000"/>
        </w:rPr>
        <w:tab/>
        <w:t xml:space="preserve">    03 March 2022 </w:t>
      </w:r>
    </w:p>
    <w:p w14:paraId="71D90AFB" w14:textId="77777777" w:rsidR="001E33CF" w:rsidRPr="00443C65" w:rsidRDefault="001E33CF" w:rsidP="001E33CF">
      <w:pPr>
        <w:pStyle w:val="Default"/>
        <w:jc w:val="both"/>
        <w:rPr>
          <w:rFonts w:ascii="Arial" w:hAnsi="Arial" w:cs="Arial"/>
          <w:u w:color="000000"/>
        </w:rPr>
      </w:pPr>
      <w:r>
        <w:rPr>
          <w:rFonts w:ascii="Arial" w:hAnsi="Arial" w:cs="Arial"/>
          <w:u w:color="000000"/>
        </w:rPr>
        <w:t>Date of Judgment</w:t>
      </w:r>
      <w:r w:rsidRPr="003445F6">
        <w:rPr>
          <w:rFonts w:ascii="Arial" w:hAnsi="Arial" w:cs="Arial"/>
          <w:u w:color="000000"/>
        </w:rPr>
        <w:t>:</w:t>
      </w:r>
      <w:r>
        <w:rPr>
          <w:rFonts w:ascii="Arial" w:hAnsi="Arial" w:cs="Arial"/>
          <w:u w:color="000000"/>
        </w:rPr>
        <w:tab/>
        <w:t xml:space="preserve">                          05 May 2022</w:t>
      </w:r>
    </w:p>
    <w:p w14:paraId="2E87393E" w14:textId="3B7BECB8" w:rsidR="001E33CF" w:rsidRDefault="001E33CF" w:rsidP="001E33CF">
      <w:pPr>
        <w:tabs>
          <w:tab w:val="left" w:pos="567"/>
        </w:tabs>
        <w:spacing w:before="240" w:after="240" w:line="360" w:lineRule="auto"/>
        <w:jc w:val="both"/>
        <w:rPr>
          <w:rFonts w:ascii="Arial" w:hAnsi="Arial" w:cs="Arial"/>
        </w:rPr>
      </w:pPr>
      <w:r w:rsidRPr="00B21A89">
        <w:rPr>
          <w:rFonts w:ascii="Arial" w:hAnsi="Arial" w:cs="Arial"/>
        </w:rPr>
        <w:t>On behalf of the Applicant:</w:t>
      </w:r>
      <w:r w:rsidRPr="00B21A89">
        <w:rPr>
          <w:rFonts w:ascii="Arial" w:hAnsi="Arial" w:cs="Arial"/>
        </w:rPr>
        <w:tab/>
      </w:r>
      <w:r>
        <w:rPr>
          <w:rFonts w:ascii="Arial" w:hAnsi="Arial" w:cs="Arial"/>
        </w:rPr>
        <w:t xml:space="preserve">               Adv N Mahlangu</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4ABD552" w14:textId="77777777" w:rsidR="001E33CF" w:rsidRPr="002D50B7" w:rsidRDefault="001E33CF" w:rsidP="001E33CF">
      <w:pPr>
        <w:tabs>
          <w:tab w:val="left" w:pos="567"/>
        </w:tabs>
        <w:spacing w:before="240" w:after="240" w:line="360" w:lineRule="auto"/>
        <w:jc w:val="both"/>
        <w:rPr>
          <w:rFonts w:ascii="Arial" w:hAnsi="Arial" w:cs="Arial"/>
          <w:u w:color="000000"/>
        </w:rPr>
      </w:pPr>
      <w:r>
        <w:rPr>
          <w:rFonts w:ascii="Arial" w:hAnsi="Arial" w:cs="Arial"/>
        </w:rPr>
        <w:t>I</w:t>
      </w:r>
      <w:r w:rsidRPr="00B21A89">
        <w:rPr>
          <w:rFonts w:ascii="Arial" w:hAnsi="Arial" w:cs="Arial"/>
        </w:rPr>
        <w:t>nstructed by:</w:t>
      </w:r>
      <w:r w:rsidRPr="00B21A89">
        <w:rPr>
          <w:rFonts w:ascii="Arial" w:hAnsi="Arial" w:cs="Arial"/>
        </w:rPr>
        <w:tab/>
      </w:r>
      <w:r>
        <w:rPr>
          <w:rFonts w:ascii="Arial" w:hAnsi="Arial" w:cs="Arial"/>
        </w:rPr>
        <w:t xml:space="preserve">                          Thomson Wilkes Inc    </w:t>
      </w:r>
    </w:p>
    <w:p w14:paraId="1F235D71" w14:textId="51B84747" w:rsidR="001E33CF" w:rsidRDefault="001E33CF" w:rsidP="001E33CF">
      <w:pPr>
        <w:tabs>
          <w:tab w:val="left" w:pos="567"/>
        </w:tabs>
        <w:spacing w:before="240" w:after="240" w:line="360" w:lineRule="auto"/>
        <w:jc w:val="both"/>
        <w:rPr>
          <w:rFonts w:ascii="Arial" w:hAnsi="Arial" w:cs="Arial"/>
        </w:rPr>
      </w:pPr>
      <w:r w:rsidRPr="00B21A89">
        <w:rPr>
          <w:rFonts w:ascii="Arial" w:hAnsi="Arial" w:cs="Arial"/>
        </w:rPr>
        <w:t>On behalf of the</w:t>
      </w:r>
      <w:r>
        <w:rPr>
          <w:rFonts w:ascii="Arial" w:hAnsi="Arial" w:cs="Arial"/>
        </w:rPr>
        <w:t xml:space="preserve"> First Respondent:    Adv K Naidoo</w:t>
      </w:r>
    </w:p>
    <w:p w14:paraId="2AC489CD" w14:textId="0ED322B8" w:rsidR="001E33CF" w:rsidRPr="00DA1E18" w:rsidRDefault="001E33CF" w:rsidP="001E33CF">
      <w:pPr>
        <w:tabs>
          <w:tab w:val="left" w:pos="567"/>
        </w:tabs>
        <w:spacing w:before="240" w:after="240" w:line="360" w:lineRule="auto"/>
        <w:jc w:val="both"/>
        <w:rPr>
          <w:rFonts w:ascii="Arial" w:hAnsi="Arial" w:cs="Arial"/>
        </w:rPr>
      </w:pPr>
      <w:r>
        <w:rPr>
          <w:rFonts w:ascii="Arial" w:hAnsi="Arial" w:cs="Arial"/>
        </w:rPr>
        <w:t>I</w:t>
      </w:r>
      <w:r w:rsidRPr="00B21A89">
        <w:rPr>
          <w:rFonts w:ascii="Arial" w:hAnsi="Arial" w:cs="Arial"/>
        </w:rPr>
        <w:t>nstructed by:</w:t>
      </w:r>
      <w:r>
        <w:rPr>
          <w:rFonts w:ascii="Arial" w:hAnsi="Arial" w:cs="Arial"/>
        </w:rPr>
        <w:tab/>
      </w:r>
      <w:r>
        <w:rPr>
          <w:rFonts w:ascii="Arial" w:hAnsi="Arial" w:cs="Arial"/>
        </w:rPr>
        <w:tab/>
      </w:r>
      <w:r>
        <w:rPr>
          <w:rFonts w:ascii="Arial" w:hAnsi="Arial" w:cs="Arial"/>
        </w:rPr>
        <w:tab/>
        <w:t xml:space="preserve">     C de Villiers Attorneys</w:t>
      </w:r>
    </w:p>
    <w:p w14:paraId="49822831" w14:textId="77777777" w:rsidR="001E33CF" w:rsidRDefault="001E33CF" w:rsidP="001E33CF">
      <w:pPr>
        <w:pStyle w:val="Body"/>
        <w:spacing w:before="240" w:after="240" w:line="480" w:lineRule="auto"/>
        <w:ind w:left="1440" w:hanging="1440"/>
        <w:jc w:val="both"/>
      </w:pPr>
    </w:p>
    <w:sectPr w:rsidR="001E33CF" w:rsidSect="001E33CF">
      <w:footerReference w:type="even" r:id="rId8"/>
      <w:footerReference w:type="default" r:id="rId9"/>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C2311" w14:textId="77777777" w:rsidR="0023421A" w:rsidRDefault="0023421A">
      <w:r>
        <w:separator/>
      </w:r>
    </w:p>
  </w:endnote>
  <w:endnote w:type="continuationSeparator" w:id="0">
    <w:p w14:paraId="417F0E0C" w14:textId="77777777" w:rsidR="0023421A" w:rsidRDefault="0023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8978513"/>
      <w:docPartObj>
        <w:docPartGallery w:val="Page Numbers (Bottom of Page)"/>
        <w:docPartUnique/>
      </w:docPartObj>
    </w:sdtPr>
    <w:sdtEndPr>
      <w:rPr>
        <w:rStyle w:val="PageNumber"/>
      </w:rPr>
    </w:sdtEndPr>
    <w:sdtContent>
      <w:p w14:paraId="338F0A55" w14:textId="4AA8252E" w:rsidR="001E33CF" w:rsidRDefault="001E33CF" w:rsidP="00BD5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14B5CC" w14:textId="77777777" w:rsidR="001E33CF" w:rsidRDefault="001E33CF" w:rsidP="001E3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8607866"/>
      <w:docPartObj>
        <w:docPartGallery w:val="Page Numbers (Bottom of Page)"/>
        <w:docPartUnique/>
      </w:docPartObj>
    </w:sdtPr>
    <w:sdtEndPr>
      <w:rPr>
        <w:rStyle w:val="PageNumber"/>
      </w:rPr>
    </w:sdtEndPr>
    <w:sdtContent>
      <w:p w14:paraId="55884731" w14:textId="22D1D272" w:rsidR="001E33CF" w:rsidRDefault="001E33CF" w:rsidP="00BD5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45D1">
          <w:rPr>
            <w:rStyle w:val="PageNumber"/>
            <w:noProof/>
          </w:rPr>
          <w:t>2</w:t>
        </w:r>
        <w:r>
          <w:rPr>
            <w:rStyle w:val="PageNumber"/>
          </w:rPr>
          <w:fldChar w:fldCharType="end"/>
        </w:r>
      </w:p>
    </w:sdtContent>
  </w:sdt>
  <w:p w14:paraId="7FFF1E2C" w14:textId="77777777" w:rsidR="000B0DB9" w:rsidRDefault="000B0DB9" w:rsidP="001E33C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0E4C8" w14:textId="77777777" w:rsidR="0023421A" w:rsidRDefault="0023421A">
      <w:r>
        <w:separator/>
      </w:r>
    </w:p>
  </w:footnote>
  <w:footnote w:type="continuationSeparator" w:id="0">
    <w:p w14:paraId="3C12C875" w14:textId="77777777" w:rsidR="0023421A" w:rsidRDefault="00234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935"/>
    <w:multiLevelType w:val="multilevel"/>
    <w:tmpl w:val="7618119A"/>
    <w:numStyleLink w:val="ImportedStyle2"/>
  </w:abstractNum>
  <w:abstractNum w:abstractNumId="1" w15:restartNumberingAfterBreak="0">
    <w:nsid w:val="40567533"/>
    <w:multiLevelType w:val="multilevel"/>
    <w:tmpl w:val="7618119A"/>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B9"/>
    <w:rsid w:val="000B0DB9"/>
    <w:rsid w:val="001E33CF"/>
    <w:rsid w:val="0023421A"/>
    <w:rsid w:val="006B5808"/>
    <w:rsid w:val="00EB45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0DE1"/>
  <w15:docId w15:val="{386C609F-6DA6-8D4C-8B52-C09033A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Footer">
    <w:name w:val="footer"/>
    <w:basedOn w:val="Normal"/>
    <w:link w:val="FooterChar"/>
    <w:uiPriority w:val="99"/>
    <w:unhideWhenUsed/>
    <w:rsid w:val="001E33CF"/>
    <w:pPr>
      <w:tabs>
        <w:tab w:val="center" w:pos="4513"/>
        <w:tab w:val="right" w:pos="9026"/>
      </w:tabs>
    </w:pPr>
  </w:style>
  <w:style w:type="character" w:customStyle="1" w:styleId="FooterChar">
    <w:name w:val="Footer Char"/>
    <w:basedOn w:val="DefaultParagraphFont"/>
    <w:link w:val="Footer"/>
    <w:uiPriority w:val="99"/>
    <w:rsid w:val="001E33CF"/>
    <w:rPr>
      <w:sz w:val="24"/>
      <w:szCs w:val="24"/>
      <w:lang w:val="en-US" w:eastAsia="en-US"/>
    </w:rPr>
  </w:style>
  <w:style w:type="character" w:styleId="PageNumber">
    <w:name w:val="page number"/>
    <w:basedOn w:val="DefaultParagraphFont"/>
    <w:uiPriority w:val="99"/>
    <w:semiHidden/>
    <w:unhideWhenUsed/>
    <w:rsid w:val="001E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 Rakgwale</dc:creator>
  <cp:lastModifiedBy>Lazarus Rakgwale</cp:lastModifiedBy>
  <cp:revision>2</cp:revision>
  <dcterms:created xsi:type="dcterms:W3CDTF">2022-05-09T08:31:00Z</dcterms:created>
  <dcterms:modified xsi:type="dcterms:W3CDTF">2022-05-09T08:31:00Z</dcterms:modified>
</cp:coreProperties>
</file>