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182A8" w14:textId="654ED34C" w:rsidR="0050251A" w:rsidRPr="0050251A" w:rsidRDefault="0050251A" w:rsidP="00F21877">
      <w:pPr>
        <w:pStyle w:val="Heading4"/>
        <w:numPr>
          <w:ilvl w:val="0"/>
          <w:numId w:val="0"/>
        </w:numPr>
        <w:spacing w:before="0" w:after="0" w:line="360" w:lineRule="auto"/>
        <w:ind w:left="862"/>
        <w:jc w:val="center"/>
        <w:rPr>
          <w:rFonts w:cs="Arial"/>
        </w:rPr>
      </w:pPr>
      <w:bookmarkStart w:id="0" w:name="_GoBack"/>
      <w:bookmarkEnd w:id="0"/>
      <w:r w:rsidRPr="0050251A">
        <w:rPr>
          <w:rFonts w:cs="Arial"/>
        </w:rPr>
        <w:t>REPUBLIC OF SOUTH AFRICA</w:t>
      </w:r>
    </w:p>
    <w:p w14:paraId="4C4C54EC" w14:textId="1C0D026C" w:rsidR="00F67BBA" w:rsidRPr="0050251A" w:rsidRDefault="00ED00E5" w:rsidP="00F21877">
      <w:pPr>
        <w:pStyle w:val="Heading4"/>
        <w:numPr>
          <w:ilvl w:val="0"/>
          <w:numId w:val="0"/>
        </w:numPr>
        <w:spacing w:before="0" w:after="0" w:line="360" w:lineRule="auto"/>
        <w:ind w:left="862" w:hanging="11"/>
        <w:jc w:val="center"/>
        <w:rPr>
          <w:rFonts w:cs="Arial"/>
        </w:rPr>
      </w:pPr>
      <w:r w:rsidRPr="0050251A">
        <w:rPr>
          <w:rFonts w:cs="Arial"/>
          <w:noProof/>
          <w:lang w:eastAsia="en-ZA"/>
        </w:rPr>
        <w:drawing>
          <wp:inline distT="0" distB="0" distL="0" distR="0" wp14:anchorId="6311C3B1" wp14:editId="3B8D3EA2">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34493976" w14:textId="77777777" w:rsidR="0050251A" w:rsidRPr="0050251A" w:rsidRDefault="0050251A" w:rsidP="0055530D">
      <w:pPr>
        <w:tabs>
          <w:tab w:val="right" w:pos="2552"/>
        </w:tabs>
        <w:spacing w:line="360" w:lineRule="auto"/>
        <w:jc w:val="center"/>
        <w:rPr>
          <w:rFonts w:ascii="Arial" w:hAnsi="Arial" w:cs="Arial"/>
          <w:b/>
          <w:bCs/>
          <w:lang w:eastAsia="en-US"/>
        </w:rPr>
      </w:pPr>
      <w:r w:rsidRPr="0050251A">
        <w:rPr>
          <w:rFonts w:ascii="Arial" w:hAnsi="Arial" w:cs="Arial"/>
          <w:b/>
          <w:bCs/>
          <w:lang w:eastAsia="en-US"/>
        </w:rPr>
        <w:t>IN THE HIGH COURT OF SOUTH AFRICA</w:t>
      </w:r>
    </w:p>
    <w:p w14:paraId="3BB9D421" w14:textId="1FFDFDAC" w:rsidR="00276391" w:rsidRDefault="0050251A" w:rsidP="00276391">
      <w:pPr>
        <w:spacing w:line="360" w:lineRule="auto"/>
        <w:jc w:val="center"/>
        <w:rPr>
          <w:rFonts w:ascii="Arial" w:hAnsi="Arial" w:cs="Arial"/>
          <w:b/>
          <w:bCs/>
          <w:lang w:eastAsia="en-US"/>
        </w:rPr>
      </w:pPr>
      <w:r w:rsidRPr="0050251A">
        <w:rPr>
          <w:rFonts w:ascii="Arial" w:hAnsi="Arial" w:cs="Arial"/>
          <w:b/>
          <w:bCs/>
          <w:lang w:eastAsia="en-US"/>
        </w:rPr>
        <w:t>(GAUTENG LOCAL DIVISION, JOHANNESBURG)</w:t>
      </w:r>
    </w:p>
    <w:p w14:paraId="3A22ADB8" w14:textId="49023CF3" w:rsidR="0050251A" w:rsidRPr="00276391" w:rsidRDefault="00276391" w:rsidP="00276391">
      <w:pPr>
        <w:spacing w:line="360" w:lineRule="auto"/>
        <w:jc w:val="center"/>
        <w:rPr>
          <w:rFonts w:ascii="Arial" w:hAnsi="Arial" w:cs="Arial"/>
          <w:lang w:eastAsia="en-US"/>
        </w:rPr>
      </w:pP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p>
    <w:p w14:paraId="4E30F221" w14:textId="0BA4880E" w:rsidR="0050251A" w:rsidRPr="00492E77" w:rsidRDefault="0050251A" w:rsidP="00276391">
      <w:pPr>
        <w:jc w:val="right"/>
        <w:rPr>
          <w:rFonts w:ascii="Arial" w:hAnsi="Arial" w:cs="Arial"/>
          <w:b/>
          <w:lang w:eastAsia="en-US"/>
        </w:rPr>
      </w:pPr>
      <w:r w:rsidRPr="00492E77">
        <w:rPr>
          <w:rFonts w:ascii="Arial" w:hAnsi="Arial" w:cs="Arial"/>
          <w:b/>
          <w:lang w:eastAsia="en-US"/>
        </w:rPr>
        <w:t>Ca</w:t>
      </w:r>
      <w:r w:rsidR="00EE4E70" w:rsidRPr="00492E77">
        <w:rPr>
          <w:rFonts w:ascii="Arial" w:hAnsi="Arial" w:cs="Arial"/>
          <w:b/>
          <w:lang w:eastAsia="en-US"/>
        </w:rPr>
        <w:t>se No:</w:t>
      </w:r>
      <w:r w:rsidR="001F661D" w:rsidRPr="00492E77">
        <w:rPr>
          <w:rFonts w:ascii="Arial" w:hAnsi="Arial" w:cs="Arial"/>
          <w:b/>
          <w:lang w:eastAsia="en-US"/>
        </w:rPr>
        <w:t xml:space="preserve"> </w:t>
      </w:r>
      <w:r w:rsidR="00660AB0" w:rsidRPr="00492E77">
        <w:rPr>
          <w:rFonts w:ascii="Arial" w:hAnsi="Arial" w:cs="Arial"/>
          <w:b/>
          <w:lang w:eastAsia="en-US"/>
        </w:rPr>
        <w:t>20</w:t>
      </w:r>
      <w:r w:rsidR="009370B5">
        <w:rPr>
          <w:rFonts w:ascii="Arial" w:hAnsi="Arial" w:cs="Arial"/>
          <w:b/>
          <w:lang w:eastAsia="en-US"/>
        </w:rPr>
        <w:t>21</w:t>
      </w:r>
      <w:r w:rsidR="006F12B1" w:rsidRPr="00492E77">
        <w:rPr>
          <w:rFonts w:ascii="Arial" w:hAnsi="Arial" w:cs="Arial"/>
          <w:b/>
          <w:lang w:eastAsia="en-US"/>
        </w:rPr>
        <w:t>/</w:t>
      </w:r>
      <w:r w:rsidR="009370B5">
        <w:rPr>
          <w:rFonts w:ascii="Arial" w:hAnsi="Arial" w:cs="Arial"/>
          <w:b/>
          <w:lang w:eastAsia="en-US"/>
        </w:rPr>
        <w:t>22783</w:t>
      </w:r>
    </w:p>
    <w:p w14:paraId="64A7F026" w14:textId="7D626AA9" w:rsidR="004A5EDB" w:rsidRDefault="004A5EDB" w:rsidP="00276391">
      <w:pPr>
        <w:jc w:val="right"/>
        <w:rPr>
          <w:rFonts w:ascii="Arial" w:hAnsi="Arial" w:cs="Arial"/>
          <w:lang w:eastAsia="en-US"/>
        </w:rPr>
      </w:pPr>
    </w:p>
    <w:p w14:paraId="43A2E2B6" w14:textId="0E9C2708" w:rsidR="004A5EDB" w:rsidRDefault="004A5EDB" w:rsidP="00276391">
      <w:pPr>
        <w:jc w:val="right"/>
        <w:rPr>
          <w:rFonts w:ascii="Arial" w:hAnsi="Arial" w:cs="Arial"/>
          <w:lang w:eastAsia="en-US"/>
        </w:rPr>
      </w:pPr>
      <w:r w:rsidRPr="00CF6CFA">
        <w:rPr>
          <w:rFonts w:ascii="Arial" w:eastAsiaTheme="minorHAnsi" w:hAnsi="Arial" w:cs="Arial"/>
          <w:b/>
          <w:bCs/>
          <w:noProof/>
          <w:szCs w:val="22"/>
          <w:lang w:eastAsia="en-ZA"/>
        </w:rPr>
        <mc:AlternateContent>
          <mc:Choice Requires="wps">
            <w:drawing>
              <wp:anchor distT="0" distB="0" distL="114300" distR="114300" simplePos="0" relativeHeight="251659264" behindDoc="0" locked="0" layoutInCell="1" allowOverlap="1" wp14:anchorId="1792161B" wp14:editId="5A66C620">
                <wp:simplePos x="0" y="0"/>
                <wp:positionH relativeFrom="column">
                  <wp:posOffset>-6350</wp:posOffset>
                </wp:positionH>
                <wp:positionV relativeFrom="paragraph">
                  <wp:posOffset>-191770</wp:posOffset>
                </wp:positionV>
                <wp:extent cx="3314700" cy="1352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52550"/>
                        </a:xfrm>
                        <a:prstGeom prst="rect">
                          <a:avLst/>
                        </a:prstGeom>
                        <a:solidFill>
                          <a:srgbClr val="FFFFFF"/>
                        </a:solidFill>
                        <a:ln w="9525">
                          <a:solidFill>
                            <a:srgbClr val="000000"/>
                          </a:solidFill>
                          <a:miter lim="800000"/>
                          <a:headEnd/>
                          <a:tailEnd/>
                        </a:ln>
                      </wps:spPr>
                      <wps:txbx>
                        <w:txbxContent>
                          <w:p w14:paraId="1BE9294F" w14:textId="77777777" w:rsidR="004A5EDB" w:rsidRPr="00913F95" w:rsidRDefault="004A5EDB" w:rsidP="004A5EDB">
                            <w:pPr>
                              <w:jc w:val="center"/>
                              <w:rPr>
                                <w:rFonts w:ascii="Century Gothic" w:hAnsi="Century Gothic"/>
                                <w:b/>
                                <w:sz w:val="20"/>
                                <w:szCs w:val="20"/>
                              </w:rPr>
                            </w:pPr>
                          </w:p>
                          <w:p w14:paraId="5AE28F9E" w14:textId="77777777" w:rsidR="004A5EDB" w:rsidRDefault="004A5EDB" w:rsidP="004A5EDB">
                            <w:pPr>
                              <w:numPr>
                                <w:ilvl w:val="0"/>
                                <w:numId w:val="10"/>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YES/ NO</w:t>
                            </w:r>
                          </w:p>
                          <w:p w14:paraId="40AC8B06" w14:textId="77777777" w:rsidR="004A5EDB" w:rsidRPr="00913F95" w:rsidRDefault="004A5EDB" w:rsidP="004A5EDB">
                            <w:pPr>
                              <w:numPr>
                                <w:ilvl w:val="0"/>
                                <w:numId w:val="10"/>
                              </w:numPr>
                              <w:rPr>
                                <w:rFonts w:ascii="Century Gothic" w:hAnsi="Century Gothic"/>
                                <w:sz w:val="20"/>
                                <w:szCs w:val="20"/>
                              </w:rPr>
                            </w:pPr>
                            <w:r>
                              <w:rPr>
                                <w:rFonts w:ascii="Century Gothic" w:hAnsi="Century Gothic"/>
                                <w:sz w:val="20"/>
                                <w:szCs w:val="20"/>
                              </w:rPr>
                              <w:t>OF INTEREST TO OTHER JUDGES:YES/</w:t>
                            </w:r>
                            <w:r w:rsidRPr="00913F95">
                              <w:rPr>
                                <w:rFonts w:ascii="Century Gothic" w:hAnsi="Century Gothic"/>
                                <w:sz w:val="20"/>
                                <w:szCs w:val="20"/>
                              </w:rPr>
                              <w:t>NO</w:t>
                            </w:r>
                          </w:p>
                          <w:p w14:paraId="365E2ADD" w14:textId="77777777" w:rsidR="004A5EDB" w:rsidRPr="00913F95" w:rsidRDefault="004A5EDB" w:rsidP="004A5EDB">
                            <w:pPr>
                              <w:numPr>
                                <w:ilvl w:val="0"/>
                                <w:numId w:val="10"/>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w:t>
                            </w:r>
                          </w:p>
                          <w:p w14:paraId="559F3747" w14:textId="77777777" w:rsidR="004A5EDB" w:rsidRDefault="004A5EDB" w:rsidP="004A5EDB">
                            <w:pPr>
                              <w:rPr>
                                <w:rFonts w:ascii="Century Gothic" w:hAnsi="Century Gothic"/>
                                <w:b/>
                                <w:sz w:val="18"/>
                                <w:szCs w:val="18"/>
                              </w:rPr>
                            </w:pPr>
                          </w:p>
                          <w:p w14:paraId="58187436" w14:textId="77777777" w:rsidR="004A5EDB" w:rsidRDefault="004A5EDB" w:rsidP="004A5EDB">
                            <w:pPr>
                              <w:rPr>
                                <w:rFonts w:ascii="Century Gothic" w:hAnsi="Century Gothic"/>
                                <w:b/>
                                <w:sz w:val="18"/>
                                <w:szCs w:val="18"/>
                              </w:rPr>
                            </w:pPr>
                            <w:r>
                              <w:rPr>
                                <w:rFonts w:ascii="Century Gothic" w:hAnsi="Century Gothic"/>
                                <w:b/>
                                <w:sz w:val="18"/>
                                <w:szCs w:val="18"/>
                              </w:rPr>
                              <w:t xml:space="preserve">    </w:t>
                            </w:r>
                          </w:p>
                          <w:p w14:paraId="3D2F1827" w14:textId="7C568FD0" w:rsidR="004A5EDB" w:rsidRDefault="00771E73" w:rsidP="004A5EDB">
                            <w:pPr>
                              <w:rPr>
                                <w:rFonts w:ascii="Century Gothic" w:hAnsi="Century Gothic"/>
                                <w:b/>
                                <w:sz w:val="18"/>
                                <w:szCs w:val="18"/>
                              </w:rPr>
                            </w:pPr>
                            <w:r>
                              <w:rPr>
                                <w:rFonts w:ascii="Century Gothic" w:hAnsi="Century Gothic"/>
                                <w:b/>
                                <w:sz w:val="18"/>
                                <w:szCs w:val="18"/>
                              </w:rPr>
                              <w:t xml:space="preserve">    03</w:t>
                            </w:r>
                            <w:r w:rsidR="009131C5">
                              <w:rPr>
                                <w:rFonts w:ascii="Century Gothic" w:hAnsi="Century Gothic"/>
                                <w:b/>
                                <w:sz w:val="18"/>
                                <w:szCs w:val="18"/>
                              </w:rPr>
                              <w:t>/</w:t>
                            </w:r>
                            <w:r>
                              <w:rPr>
                                <w:rFonts w:ascii="Century Gothic" w:hAnsi="Century Gothic"/>
                                <w:b/>
                                <w:sz w:val="18"/>
                                <w:szCs w:val="18"/>
                              </w:rPr>
                              <w:t>05</w:t>
                            </w:r>
                            <w:r w:rsidR="004A5EDB">
                              <w:rPr>
                                <w:rFonts w:ascii="Century Gothic" w:hAnsi="Century Gothic"/>
                                <w:b/>
                                <w:sz w:val="18"/>
                                <w:szCs w:val="18"/>
                              </w:rPr>
                              <w:t>/2022</w:t>
                            </w:r>
                            <w:r w:rsidR="004A5EDB" w:rsidRPr="00084341">
                              <w:rPr>
                                <w:rFonts w:ascii="Century Gothic" w:hAnsi="Century Gothic"/>
                                <w:b/>
                                <w:sz w:val="18"/>
                                <w:szCs w:val="18"/>
                              </w:rPr>
                              <w:tab/>
                            </w:r>
                            <w:r w:rsidR="004A5EDB" w:rsidRPr="00084341">
                              <w:rPr>
                                <w:rFonts w:ascii="Century Gothic" w:hAnsi="Century Gothic"/>
                                <w:b/>
                                <w:sz w:val="18"/>
                                <w:szCs w:val="18"/>
                              </w:rPr>
                              <w:tab/>
                            </w:r>
                            <w:r>
                              <w:rPr>
                                <w:rFonts w:ascii="Century Gothic" w:hAnsi="Century Gothic"/>
                                <w:b/>
                                <w:sz w:val="18"/>
                                <w:szCs w:val="18"/>
                              </w:rPr>
                              <w:t xml:space="preserve"> </w:t>
                            </w:r>
                            <w:r w:rsidR="004A5EDB" w:rsidRPr="00084341">
                              <w:rPr>
                                <w:rFonts w:ascii="Century Gothic" w:hAnsi="Century Gothic"/>
                                <w:b/>
                                <w:sz w:val="18"/>
                                <w:szCs w:val="18"/>
                              </w:rPr>
                              <w:t>………………………...</w:t>
                            </w:r>
                          </w:p>
                          <w:p w14:paraId="52BE7685" w14:textId="77777777" w:rsidR="004A5EDB" w:rsidRDefault="004A5EDB" w:rsidP="004A5EDB">
                            <w:pPr>
                              <w:rPr>
                                <w:rFonts w:ascii="Century Gothic" w:hAnsi="Century Gothic"/>
                                <w:b/>
                                <w:sz w:val="18"/>
                                <w:szCs w:val="18"/>
                              </w:rPr>
                            </w:pPr>
                            <w:r>
                              <w:rPr>
                                <w:rFonts w:ascii="Century Gothic" w:hAnsi="Century Gothic"/>
                                <w:b/>
                                <w:sz w:val="18"/>
                                <w:szCs w:val="18"/>
                              </w:rPr>
                              <w:t xml:space="preserve">         DATE                                        SIGNATURE</w:t>
                            </w:r>
                          </w:p>
                          <w:p w14:paraId="6FD5AACC" w14:textId="77777777" w:rsidR="004A5EDB" w:rsidRPr="00084341" w:rsidRDefault="004A5EDB" w:rsidP="004A5EDB">
                            <w:pPr>
                              <w:rPr>
                                <w:rFonts w:ascii="Century Gothic" w:hAnsi="Century Gothic"/>
                                <w:b/>
                                <w:sz w:val="18"/>
                                <w:szCs w:val="18"/>
                              </w:rPr>
                            </w:pPr>
                          </w:p>
                          <w:p w14:paraId="7306562F" w14:textId="77777777" w:rsidR="004A5EDB" w:rsidRPr="00084341" w:rsidRDefault="004A5EDB" w:rsidP="004A5EDB">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92161B" id="_x0000_t202" coordsize="21600,21600" o:spt="202" path="m,l,21600r21600,l21600,xe">
                <v:stroke joinstyle="miter"/>
                <v:path gradientshapeok="t" o:connecttype="rect"/>
              </v:shapetype>
              <v:shape id="Text Box 1" o:spid="_x0000_s1026" type="#_x0000_t202" style="position:absolute;left:0;text-align:left;margin-left:-.5pt;margin-top:-15.1pt;width:261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">
                <v:textbox>
                  <w:txbxContent>
                    <w:p w14:paraId="1BE9294F" w14:textId="77777777" w:rsidR="004A5EDB" w:rsidRPr="00913F95" w:rsidRDefault="004A5EDB" w:rsidP="004A5EDB">
                      <w:pPr>
                        <w:jc w:val="center"/>
                        <w:rPr>
                          <w:rFonts w:ascii="Century Gothic" w:hAnsi="Century Gothic"/>
                          <w:b/>
                          <w:sz w:val="20"/>
                          <w:szCs w:val="20"/>
                        </w:rPr>
                      </w:pPr>
                    </w:p>
                    <w:p w14:paraId="5AE28F9E" w14:textId="77777777" w:rsidR="004A5EDB" w:rsidRDefault="004A5EDB" w:rsidP="004A5EDB">
                      <w:pPr>
                        <w:numPr>
                          <w:ilvl w:val="0"/>
                          <w:numId w:val="10"/>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YES/ NO</w:t>
                      </w:r>
                    </w:p>
                    <w:p w14:paraId="40AC8B06" w14:textId="77777777" w:rsidR="004A5EDB" w:rsidRPr="00913F95" w:rsidRDefault="004A5EDB" w:rsidP="004A5EDB">
                      <w:pPr>
                        <w:numPr>
                          <w:ilvl w:val="0"/>
                          <w:numId w:val="10"/>
                        </w:numPr>
                        <w:rPr>
                          <w:rFonts w:ascii="Century Gothic" w:hAnsi="Century Gothic"/>
                          <w:sz w:val="20"/>
                          <w:szCs w:val="20"/>
                        </w:rPr>
                      </w:pPr>
                      <w:r>
                        <w:rPr>
                          <w:rFonts w:ascii="Century Gothic" w:hAnsi="Century Gothic"/>
                          <w:sz w:val="20"/>
                          <w:szCs w:val="20"/>
                        </w:rPr>
                        <w:t>OF INTEREST TO OTHER JUDGES:YES/</w:t>
                      </w:r>
                      <w:r w:rsidRPr="00913F95">
                        <w:rPr>
                          <w:rFonts w:ascii="Century Gothic" w:hAnsi="Century Gothic"/>
                          <w:sz w:val="20"/>
                          <w:szCs w:val="20"/>
                        </w:rPr>
                        <w:t>NO</w:t>
                      </w:r>
                    </w:p>
                    <w:p w14:paraId="365E2ADD" w14:textId="77777777" w:rsidR="004A5EDB" w:rsidRPr="00913F95" w:rsidRDefault="004A5EDB" w:rsidP="004A5EDB">
                      <w:pPr>
                        <w:numPr>
                          <w:ilvl w:val="0"/>
                          <w:numId w:val="10"/>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w:t>
                      </w:r>
                    </w:p>
                    <w:p w14:paraId="559F3747" w14:textId="77777777" w:rsidR="004A5EDB" w:rsidRDefault="004A5EDB" w:rsidP="004A5EDB">
                      <w:pPr>
                        <w:rPr>
                          <w:rFonts w:ascii="Century Gothic" w:hAnsi="Century Gothic"/>
                          <w:b/>
                          <w:sz w:val="18"/>
                          <w:szCs w:val="18"/>
                        </w:rPr>
                      </w:pPr>
                    </w:p>
                    <w:p w14:paraId="58187436" w14:textId="77777777" w:rsidR="004A5EDB" w:rsidRDefault="004A5EDB" w:rsidP="004A5EDB">
                      <w:pPr>
                        <w:rPr>
                          <w:rFonts w:ascii="Century Gothic" w:hAnsi="Century Gothic"/>
                          <w:b/>
                          <w:sz w:val="18"/>
                          <w:szCs w:val="18"/>
                        </w:rPr>
                      </w:pPr>
                      <w:r>
                        <w:rPr>
                          <w:rFonts w:ascii="Century Gothic" w:hAnsi="Century Gothic"/>
                          <w:b/>
                          <w:sz w:val="18"/>
                          <w:szCs w:val="18"/>
                        </w:rPr>
                        <w:t xml:space="preserve">    </w:t>
                      </w:r>
                    </w:p>
                    <w:p w14:paraId="3D2F1827" w14:textId="7C568FD0" w:rsidR="004A5EDB" w:rsidRDefault="00771E73" w:rsidP="004A5EDB">
                      <w:pPr>
                        <w:rPr>
                          <w:rFonts w:ascii="Century Gothic" w:hAnsi="Century Gothic"/>
                          <w:b/>
                          <w:sz w:val="18"/>
                          <w:szCs w:val="18"/>
                        </w:rPr>
                      </w:pPr>
                      <w:r>
                        <w:rPr>
                          <w:rFonts w:ascii="Century Gothic" w:hAnsi="Century Gothic"/>
                          <w:b/>
                          <w:sz w:val="18"/>
                          <w:szCs w:val="18"/>
                        </w:rPr>
                        <w:t xml:space="preserve">    03</w:t>
                      </w:r>
                      <w:r w:rsidR="009131C5">
                        <w:rPr>
                          <w:rFonts w:ascii="Century Gothic" w:hAnsi="Century Gothic"/>
                          <w:b/>
                          <w:sz w:val="18"/>
                          <w:szCs w:val="18"/>
                        </w:rPr>
                        <w:t>/</w:t>
                      </w:r>
                      <w:r>
                        <w:rPr>
                          <w:rFonts w:ascii="Century Gothic" w:hAnsi="Century Gothic"/>
                          <w:b/>
                          <w:sz w:val="18"/>
                          <w:szCs w:val="18"/>
                        </w:rPr>
                        <w:t>05</w:t>
                      </w:r>
                      <w:r w:rsidR="004A5EDB">
                        <w:rPr>
                          <w:rFonts w:ascii="Century Gothic" w:hAnsi="Century Gothic"/>
                          <w:b/>
                          <w:sz w:val="18"/>
                          <w:szCs w:val="18"/>
                        </w:rPr>
                        <w:t>/2022</w:t>
                      </w:r>
                      <w:r w:rsidR="004A5EDB" w:rsidRPr="00084341">
                        <w:rPr>
                          <w:rFonts w:ascii="Century Gothic" w:hAnsi="Century Gothic"/>
                          <w:b/>
                          <w:sz w:val="18"/>
                          <w:szCs w:val="18"/>
                        </w:rPr>
                        <w:tab/>
                      </w:r>
                      <w:r w:rsidR="004A5EDB" w:rsidRPr="00084341">
                        <w:rPr>
                          <w:rFonts w:ascii="Century Gothic" w:hAnsi="Century Gothic"/>
                          <w:b/>
                          <w:sz w:val="18"/>
                          <w:szCs w:val="18"/>
                        </w:rPr>
                        <w:tab/>
                      </w:r>
                      <w:r>
                        <w:rPr>
                          <w:rFonts w:ascii="Century Gothic" w:hAnsi="Century Gothic"/>
                          <w:b/>
                          <w:sz w:val="18"/>
                          <w:szCs w:val="18"/>
                        </w:rPr>
                        <w:t xml:space="preserve"> </w:t>
                      </w:r>
                      <w:r w:rsidR="004A5EDB" w:rsidRPr="00084341">
                        <w:rPr>
                          <w:rFonts w:ascii="Century Gothic" w:hAnsi="Century Gothic"/>
                          <w:b/>
                          <w:sz w:val="18"/>
                          <w:szCs w:val="18"/>
                        </w:rPr>
                        <w:t>………………………...</w:t>
                      </w:r>
                    </w:p>
                    <w:p w14:paraId="52BE7685" w14:textId="77777777" w:rsidR="004A5EDB" w:rsidRDefault="004A5EDB" w:rsidP="004A5EDB">
                      <w:pPr>
                        <w:rPr>
                          <w:rFonts w:ascii="Century Gothic" w:hAnsi="Century Gothic"/>
                          <w:b/>
                          <w:sz w:val="18"/>
                          <w:szCs w:val="18"/>
                        </w:rPr>
                      </w:pPr>
                      <w:r>
                        <w:rPr>
                          <w:rFonts w:ascii="Century Gothic" w:hAnsi="Century Gothic"/>
                          <w:b/>
                          <w:sz w:val="18"/>
                          <w:szCs w:val="18"/>
                        </w:rPr>
                        <w:t xml:space="preserve">         DATE                                        SIGNATURE</w:t>
                      </w:r>
                    </w:p>
                    <w:p w14:paraId="6FD5AACC" w14:textId="77777777" w:rsidR="004A5EDB" w:rsidRPr="00084341" w:rsidRDefault="004A5EDB" w:rsidP="004A5EDB">
                      <w:pPr>
                        <w:rPr>
                          <w:rFonts w:ascii="Century Gothic" w:hAnsi="Century Gothic"/>
                          <w:b/>
                          <w:sz w:val="18"/>
                          <w:szCs w:val="18"/>
                        </w:rPr>
                      </w:pPr>
                    </w:p>
                    <w:p w14:paraId="7306562F" w14:textId="77777777" w:rsidR="004A5EDB" w:rsidRPr="00084341" w:rsidRDefault="004A5EDB" w:rsidP="004A5EDB">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v:textbox>
              </v:shape>
            </w:pict>
          </mc:Fallback>
        </mc:AlternateContent>
      </w:r>
    </w:p>
    <w:p w14:paraId="40C1271F" w14:textId="05A6CCE3" w:rsidR="004A5EDB" w:rsidRDefault="004A5EDB" w:rsidP="00276391">
      <w:pPr>
        <w:jc w:val="right"/>
        <w:rPr>
          <w:rFonts w:ascii="Arial" w:hAnsi="Arial" w:cs="Arial"/>
          <w:lang w:eastAsia="en-US"/>
        </w:rPr>
      </w:pPr>
    </w:p>
    <w:p w14:paraId="6B0EE399" w14:textId="13C6D455" w:rsidR="004A5EDB" w:rsidRDefault="004A5EDB" w:rsidP="00276391">
      <w:pPr>
        <w:jc w:val="right"/>
        <w:rPr>
          <w:rFonts w:ascii="Arial" w:hAnsi="Arial" w:cs="Arial"/>
          <w:lang w:eastAsia="en-US"/>
        </w:rPr>
      </w:pPr>
    </w:p>
    <w:p w14:paraId="4DCC6A77" w14:textId="065DD334" w:rsidR="004A5EDB" w:rsidRDefault="004A5EDB" w:rsidP="00276391">
      <w:pPr>
        <w:jc w:val="right"/>
        <w:rPr>
          <w:rFonts w:ascii="Arial" w:hAnsi="Arial" w:cs="Arial"/>
          <w:lang w:eastAsia="en-US"/>
        </w:rPr>
      </w:pPr>
    </w:p>
    <w:p w14:paraId="587C1BED" w14:textId="2C48291E" w:rsidR="004A5EDB" w:rsidRDefault="004A5EDB" w:rsidP="00276391">
      <w:pPr>
        <w:jc w:val="right"/>
        <w:rPr>
          <w:rFonts w:ascii="Arial" w:hAnsi="Arial" w:cs="Arial"/>
          <w:lang w:eastAsia="en-US"/>
        </w:rPr>
      </w:pPr>
    </w:p>
    <w:p w14:paraId="675E2B74" w14:textId="0B0FDEF6" w:rsidR="004A5EDB" w:rsidRDefault="004A5EDB" w:rsidP="00276391">
      <w:pPr>
        <w:jc w:val="right"/>
        <w:rPr>
          <w:rFonts w:ascii="Arial" w:hAnsi="Arial" w:cs="Arial"/>
          <w:lang w:eastAsia="en-US"/>
        </w:rPr>
      </w:pPr>
    </w:p>
    <w:p w14:paraId="7AE931F8" w14:textId="5F2EF68C" w:rsidR="004A5EDB" w:rsidRDefault="004A5EDB" w:rsidP="00276391">
      <w:pPr>
        <w:jc w:val="right"/>
        <w:rPr>
          <w:rFonts w:ascii="Arial" w:hAnsi="Arial" w:cs="Arial"/>
          <w:lang w:eastAsia="en-US"/>
        </w:rPr>
      </w:pPr>
    </w:p>
    <w:p w14:paraId="27B531A7" w14:textId="77777777" w:rsidR="004A5EDB" w:rsidRDefault="004A5EDB" w:rsidP="00276391">
      <w:pPr>
        <w:jc w:val="right"/>
        <w:rPr>
          <w:rFonts w:ascii="Arial" w:hAnsi="Arial" w:cs="Arial"/>
          <w:lang w:eastAsia="en-US"/>
        </w:rPr>
      </w:pPr>
    </w:p>
    <w:p w14:paraId="3937662E" w14:textId="0FAAB338" w:rsidR="006F12B1" w:rsidRPr="007944D6" w:rsidRDefault="00A95D14" w:rsidP="00492E77">
      <w:pPr>
        <w:widowControl w:val="0"/>
        <w:spacing w:before="120" w:line="360" w:lineRule="auto"/>
        <w:rPr>
          <w:rFonts w:ascii="Arial" w:hAnsi="Arial" w:cs="Arial"/>
        </w:rPr>
      </w:pPr>
      <w:r w:rsidRPr="0050251A">
        <w:rPr>
          <w:rFonts w:ascii="Arial" w:hAnsi="Arial" w:cs="Arial"/>
        </w:rPr>
        <w:t>In the matter between:</w:t>
      </w:r>
    </w:p>
    <w:p w14:paraId="2E9DDE2C" w14:textId="77777777" w:rsidR="009131C5" w:rsidRDefault="009370B5" w:rsidP="009131C5">
      <w:pPr>
        <w:widowControl w:val="0"/>
        <w:spacing w:line="360" w:lineRule="auto"/>
        <w:rPr>
          <w:rFonts w:ascii="Arial" w:hAnsi="Arial" w:cs="Arial"/>
          <w:b/>
        </w:rPr>
      </w:pPr>
      <w:r w:rsidRPr="009370B5">
        <w:rPr>
          <w:rFonts w:ascii="Arial" w:hAnsi="Arial" w:cs="Arial"/>
          <w:b/>
        </w:rPr>
        <w:t xml:space="preserve">GAUTENG HOUSING SECONDARY </w:t>
      </w:r>
    </w:p>
    <w:p w14:paraId="035DF8C6" w14:textId="1373F9A7" w:rsidR="009370B5" w:rsidRDefault="009370B5" w:rsidP="009131C5">
      <w:pPr>
        <w:widowControl w:val="0"/>
        <w:spacing w:line="360" w:lineRule="auto"/>
        <w:rPr>
          <w:rFonts w:ascii="Arial" w:hAnsi="Arial" w:cs="Arial"/>
          <w:b/>
        </w:rPr>
      </w:pPr>
      <w:r w:rsidRPr="009370B5">
        <w:rPr>
          <w:rFonts w:ascii="Arial" w:hAnsi="Arial" w:cs="Arial"/>
          <w:b/>
        </w:rPr>
        <w:t>CO</w:t>
      </w:r>
      <w:r w:rsidR="00ED6AFA">
        <w:rPr>
          <w:rFonts w:ascii="Arial" w:hAnsi="Arial" w:cs="Arial"/>
          <w:b/>
        </w:rPr>
        <w:t>-</w:t>
      </w:r>
      <w:r w:rsidRPr="009370B5">
        <w:rPr>
          <w:rFonts w:ascii="Arial" w:hAnsi="Arial" w:cs="Arial"/>
          <w:b/>
        </w:rPr>
        <w:t>OPERATIVE</w:t>
      </w:r>
      <w:r w:rsidR="009131C5">
        <w:rPr>
          <w:rFonts w:ascii="Arial" w:hAnsi="Arial" w:cs="Arial"/>
          <w:b/>
        </w:rPr>
        <w:t xml:space="preserve"> LIMITED</w:t>
      </w:r>
      <w:r w:rsidRPr="009370B5">
        <w:rPr>
          <w:rFonts w:ascii="Arial" w:hAnsi="Arial" w:cs="Arial"/>
          <w:b/>
        </w:rPr>
        <w:t xml:space="preserve"> </w:t>
      </w:r>
      <w:r>
        <w:rPr>
          <w:rFonts w:ascii="Arial" w:hAnsi="Arial" w:cs="Arial"/>
          <w:b/>
        </w:rPr>
        <w:tab/>
      </w:r>
      <w:r>
        <w:rPr>
          <w:rFonts w:ascii="Arial" w:hAnsi="Arial" w:cs="Arial"/>
          <w:b/>
        </w:rPr>
        <w:tab/>
        <w:t xml:space="preserve">           </w:t>
      </w:r>
      <w:r w:rsidR="009131C5">
        <w:rPr>
          <w:rFonts w:ascii="Arial" w:hAnsi="Arial" w:cs="Arial"/>
          <w:b/>
        </w:rPr>
        <w:tab/>
      </w:r>
      <w:r w:rsidR="009131C5">
        <w:rPr>
          <w:rFonts w:ascii="Arial" w:hAnsi="Arial" w:cs="Arial"/>
          <w:b/>
        </w:rPr>
        <w:tab/>
      </w:r>
      <w:r w:rsidR="009131C5">
        <w:rPr>
          <w:rFonts w:ascii="Arial" w:hAnsi="Arial" w:cs="Arial"/>
          <w:b/>
        </w:rPr>
        <w:tab/>
      </w:r>
      <w:r w:rsidR="009131C5">
        <w:rPr>
          <w:rFonts w:ascii="Arial" w:hAnsi="Arial" w:cs="Arial"/>
          <w:b/>
        </w:rPr>
        <w:tab/>
        <w:t xml:space="preserve">   </w:t>
      </w:r>
      <w:r>
        <w:rPr>
          <w:rFonts w:ascii="Arial" w:hAnsi="Arial" w:cs="Arial"/>
          <w:b/>
        </w:rPr>
        <w:t xml:space="preserve"> </w:t>
      </w:r>
      <w:r w:rsidRPr="009370B5">
        <w:rPr>
          <w:rFonts w:ascii="Arial" w:hAnsi="Arial" w:cs="Arial"/>
          <w:b/>
        </w:rPr>
        <w:t>A</w:t>
      </w:r>
      <w:r w:rsidR="003651AD">
        <w:rPr>
          <w:rFonts w:ascii="Arial" w:hAnsi="Arial" w:cs="Arial"/>
          <w:b/>
        </w:rPr>
        <w:t>pplicant</w:t>
      </w:r>
    </w:p>
    <w:p w14:paraId="1A213BFA" w14:textId="77777777" w:rsidR="006839B7" w:rsidRDefault="006839B7" w:rsidP="00492E77">
      <w:pPr>
        <w:widowControl w:val="0"/>
        <w:rPr>
          <w:rFonts w:ascii="Arial" w:hAnsi="Arial" w:cs="Arial"/>
        </w:rPr>
      </w:pPr>
    </w:p>
    <w:p w14:paraId="45A648F0" w14:textId="75DF7F3D" w:rsidR="00D95F09" w:rsidRPr="0050251A" w:rsidRDefault="00974D6E" w:rsidP="00492E77">
      <w:pPr>
        <w:widowControl w:val="0"/>
        <w:rPr>
          <w:rFonts w:ascii="Arial" w:hAnsi="Arial" w:cs="Arial"/>
        </w:rPr>
      </w:pPr>
      <w:r w:rsidRPr="0050251A">
        <w:rPr>
          <w:rFonts w:ascii="Arial" w:hAnsi="Arial" w:cs="Arial"/>
        </w:rPr>
        <w:t>a</w:t>
      </w:r>
      <w:r w:rsidR="00D95F09" w:rsidRPr="0050251A">
        <w:rPr>
          <w:rFonts w:ascii="Arial" w:hAnsi="Arial" w:cs="Arial"/>
        </w:rPr>
        <w:t>nd</w:t>
      </w:r>
    </w:p>
    <w:p w14:paraId="63C85CEA" w14:textId="77777777" w:rsidR="00C968C3" w:rsidRPr="007944D6" w:rsidRDefault="00C968C3" w:rsidP="009131C5">
      <w:pPr>
        <w:widowControl w:val="0"/>
        <w:rPr>
          <w:rFonts w:ascii="Arial" w:hAnsi="Arial" w:cs="Arial"/>
          <w:b/>
          <w:sz w:val="10"/>
          <w:szCs w:val="10"/>
        </w:rPr>
      </w:pPr>
    </w:p>
    <w:p w14:paraId="0D1C47CD" w14:textId="633D2E05" w:rsidR="009370B5" w:rsidRDefault="009370B5" w:rsidP="009C3813">
      <w:pPr>
        <w:widowControl w:val="0"/>
        <w:pBdr>
          <w:bottom w:val="single" w:sz="12" w:space="1" w:color="auto"/>
        </w:pBdr>
        <w:spacing w:before="240"/>
        <w:rPr>
          <w:rFonts w:ascii="Arial" w:hAnsi="Arial" w:cs="Arial"/>
          <w:b/>
        </w:rPr>
      </w:pPr>
      <w:r w:rsidRPr="009370B5">
        <w:rPr>
          <w:rFonts w:ascii="Arial" w:hAnsi="Arial" w:cs="Arial"/>
          <w:b/>
        </w:rPr>
        <w:t>EASTLEIGH COURT HOUSING CO</w:t>
      </w:r>
      <w:r w:rsidR="00ED6AFA">
        <w:rPr>
          <w:rFonts w:ascii="Arial" w:hAnsi="Arial" w:cs="Arial"/>
          <w:b/>
        </w:rPr>
        <w:t>-</w:t>
      </w:r>
      <w:r w:rsidRPr="009370B5">
        <w:rPr>
          <w:rFonts w:ascii="Arial" w:hAnsi="Arial" w:cs="Arial"/>
          <w:b/>
        </w:rPr>
        <w:t xml:space="preserve">OPERATIVE </w:t>
      </w:r>
      <w:r>
        <w:rPr>
          <w:rFonts w:ascii="Arial" w:hAnsi="Arial" w:cs="Arial"/>
          <w:b/>
        </w:rPr>
        <w:tab/>
      </w:r>
      <w:r>
        <w:rPr>
          <w:rFonts w:ascii="Arial" w:hAnsi="Arial" w:cs="Arial"/>
          <w:b/>
        </w:rPr>
        <w:tab/>
        <w:t xml:space="preserve">   First Respondent</w:t>
      </w:r>
    </w:p>
    <w:p w14:paraId="118EAD68" w14:textId="0A44A64A" w:rsidR="009370B5" w:rsidRDefault="009370B5" w:rsidP="009C3813">
      <w:pPr>
        <w:widowControl w:val="0"/>
        <w:pBdr>
          <w:bottom w:val="single" w:sz="12" w:space="1" w:color="auto"/>
        </w:pBdr>
        <w:spacing w:before="240"/>
        <w:rPr>
          <w:rFonts w:ascii="Arial" w:hAnsi="Arial" w:cs="Arial"/>
          <w:b/>
        </w:rPr>
      </w:pPr>
      <w:r w:rsidRPr="009370B5">
        <w:rPr>
          <w:rFonts w:ascii="Arial" w:hAnsi="Arial" w:cs="Arial"/>
          <w:b/>
        </w:rPr>
        <w:t xml:space="preserve">NOREEN MNYANDA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Second Respondent</w:t>
      </w:r>
    </w:p>
    <w:p w14:paraId="5C368A03" w14:textId="1B85A361" w:rsidR="009370B5" w:rsidRDefault="009370B5" w:rsidP="009C3813">
      <w:pPr>
        <w:widowControl w:val="0"/>
        <w:pBdr>
          <w:bottom w:val="single" w:sz="12" w:space="1" w:color="auto"/>
        </w:pBdr>
        <w:spacing w:before="240"/>
        <w:rPr>
          <w:rFonts w:ascii="Arial" w:hAnsi="Arial" w:cs="Arial"/>
          <w:b/>
        </w:rPr>
      </w:pPr>
      <w:r w:rsidRPr="009370B5">
        <w:rPr>
          <w:rFonts w:ascii="Arial" w:hAnsi="Arial" w:cs="Arial"/>
          <w:b/>
        </w:rPr>
        <w:t xml:space="preserve">THANDAZILE MHLONGO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Third Respondent</w:t>
      </w:r>
    </w:p>
    <w:p w14:paraId="55136DA3" w14:textId="75CE849E" w:rsidR="009370B5" w:rsidRDefault="009370B5" w:rsidP="009C3813">
      <w:pPr>
        <w:widowControl w:val="0"/>
        <w:pBdr>
          <w:bottom w:val="single" w:sz="12" w:space="1" w:color="auto"/>
        </w:pBdr>
        <w:spacing w:before="240"/>
        <w:rPr>
          <w:rFonts w:ascii="Arial" w:hAnsi="Arial" w:cs="Arial"/>
          <w:b/>
        </w:rPr>
      </w:pPr>
      <w:r w:rsidRPr="009370B5">
        <w:rPr>
          <w:rFonts w:ascii="Arial" w:hAnsi="Arial" w:cs="Arial"/>
          <w:b/>
        </w:rPr>
        <w:t xml:space="preserve">TEBOGO SEKOBOANE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Fourth Respondent</w:t>
      </w:r>
    </w:p>
    <w:p w14:paraId="78923719" w14:textId="52238C21" w:rsidR="009370B5" w:rsidRDefault="009370B5" w:rsidP="009C3813">
      <w:pPr>
        <w:widowControl w:val="0"/>
        <w:pBdr>
          <w:bottom w:val="single" w:sz="12" w:space="1" w:color="auto"/>
        </w:pBdr>
        <w:spacing w:before="240"/>
        <w:rPr>
          <w:rFonts w:ascii="Arial" w:hAnsi="Arial" w:cs="Arial"/>
          <w:b/>
        </w:rPr>
      </w:pPr>
      <w:r w:rsidRPr="009370B5">
        <w:rPr>
          <w:rFonts w:ascii="Arial" w:hAnsi="Arial" w:cs="Arial"/>
          <w:b/>
        </w:rPr>
        <w:t>CITY ACCOM</w:t>
      </w:r>
      <w:r w:rsidR="00F52296">
        <w:rPr>
          <w:rFonts w:ascii="Arial" w:hAnsi="Arial" w:cs="Arial"/>
          <w:b/>
        </w:rPr>
        <w:t>M</w:t>
      </w:r>
      <w:r w:rsidRPr="009370B5">
        <w:rPr>
          <w:rFonts w:ascii="Arial" w:hAnsi="Arial" w:cs="Arial"/>
          <w:b/>
        </w:rPr>
        <w:t xml:space="preserve">ODATIONS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Fifth Respondent</w:t>
      </w:r>
    </w:p>
    <w:p w14:paraId="0D31A1E6" w14:textId="5AB196A3" w:rsidR="009370B5" w:rsidRDefault="009370B5" w:rsidP="009C3813">
      <w:pPr>
        <w:widowControl w:val="0"/>
        <w:pBdr>
          <w:bottom w:val="single" w:sz="12" w:space="1" w:color="auto"/>
        </w:pBdr>
        <w:spacing w:before="240"/>
        <w:rPr>
          <w:rFonts w:ascii="Arial" w:hAnsi="Arial" w:cs="Arial"/>
          <w:b/>
        </w:rPr>
      </w:pPr>
      <w:r w:rsidRPr="009370B5">
        <w:rPr>
          <w:rFonts w:ascii="Arial" w:hAnsi="Arial" w:cs="Arial"/>
          <w:b/>
        </w:rPr>
        <w:t xml:space="preserve">STANDARD BANK </w:t>
      </w:r>
      <w:r w:rsidR="009131C5">
        <w:rPr>
          <w:rFonts w:ascii="Arial" w:hAnsi="Arial" w:cs="Arial"/>
          <w:b/>
        </w:rPr>
        <w:t xml:space="preserve">OF SOUTH AFRICA </w:t>
      </w:r>
      <w:r w:rsidRPr="009370B5">
        <w:rPr>
          <w:rFonts w:ascii="Arial" w:hAnsi="Arial" w:cs="Arial"/>
          <w:b/>
        </w:rPr>
        <w:t xml:space="preserve">LIMITED </w:t>
      </w:r>
      <w:r>
        <w:rPr>
          <w:rFonts w:ascii="Arial" w:hAnsi="Arial" w:cs="Arial"/>
          <w:b/>
        </w:rPr>
        <w:tab/>
      </w:r>
      <w:r>
        <w:rPr>
          <w:rFonts w:ascii="Arial" w:hAnsi="Arial" w:cs="Arial"/>
          <w:b/>
        </w:rPr>
        <w:tab/>
      </w:r>
      <w:r w:rsidR="009131C5">
        <w:rPr>
          <w:rFonts w:ascii="Arial" w:hAnsi="Arial" w:cs="Arial"/>
          <w:b/>
        </w:rPr>
        <w:t xml:space="preserve">  </w:t>
      </w:r>
      <w:r>
        <w:rPr>
          <w:rFonts w:ascii="Arial" w:hAnsi="Arial" w:cs="Arial"/>
          <w:b/>
        </w:rPr>
        <w:t>Sixth Respondent</w:t>
      </w:r>
    </w:p>
    <w:p w14:paraId="1396CA66" w14:textId="4B8D895F" w:rsidR="004A5EDB" w:rsidRPr="009C3813" w:rsidRDefault="009370B5" w:rsidP="00D45040">
      <w:pPr>
        <w:widowControl w:val="0"/>
        <w:pBdr>
          <w:bottom w:val="single" w:sz="12" w:space="1" w:color="auto"/>
        </w:pBdr>
        <w:spacing w:before="240" w:after="120" w:line="480" w:lineRule="auto"/>
        <w:rPr>
          <w:rFonts w:ascii="Arial" w:hAnsi="Arial" w:cs="Arial"/>
          <w:b/>
        </w:rPr>
      </w:pPr>
      <w:r w:rsidRPr="009370B5">
        <w:rPr>
          <w:rFonts w:ascii="Arial" w:hAnsi="Arial" w:cs="Arial"/>
          <w:b/>
        </w:rPr>
        <w:t>CITY OF JOHANNESBURG</w:t>
      </w:r>
      <w:r w:rsidR="009131C5">
        <w:rPr>
          <w:rFonts w:ascii="Arial" w:hAnsi="Arial" w:cs="Arial"/>
          <w:b/>
        </w:rPr>
        <w:t xml:space="preserve"> MUNICIPALITY</w:t>
      </w:r>
      <w:r w:rsidRPr="009370B5">
        <w:rPr>
          <w:rFonts w:ascii="Arial" w:hAnsi="Arial" w:cs="Arial"/>
          <w:b/>
        </w:rPr>
        <w:t xml:space="preserve"> </w:t>
      </w:r>
      <w:r>
        <w:rPr>
          <w:rFonts w:ascii="Arial" w:hAnsi="Arial" w:cs="Arial"/>
          <w:b/>
        </w:rPr>
        <w:tab/>
      </w:r>
      <w:r>
        <w:rPr>
          <w:rFonts w:ascii="Arial" w:hAnsi="Arial" w:cs="Arial"/>
          <w:b/>
        </w:rPr>
        <w:tab/>
      </w:r>
      <w:r w:rsidR="009131C5">
        <w:rPr>
          <w:rFonts w:ascii="Arial" w:hAnsi="Arial" w:cs="Arial"/>
          <w:b/>
        </w:rPr>
        <w:t xml:space="preserve">          </w:t>
      </w:r>
      <w:r w:rsidR="003651AD">
        <w:rPr>
          <w:rFonts w:ascii="Arial" w:hAnsi="Arial" w:cs="Arial"/>
          <w:b/>
        </w:rPr>
        <w:t>Seventh Respondent</w:t>
      </w:r>
    </w:p>
    <w:p w14:paraId="5C95D987" w14:textId="77777777" w:rsidR="00F67BBA" w:rsidRPr="00CE3A32" w:rsidRDefault="00F67BBA" w:rsidP="00CE3A32">
      <w:pPr>
        <w:widowControl w:val="0"/>
        <w:tabs>
          <w:tab w:val="left" w:pos="1440"/>
          <w:tab w:val="right" w:pos="8789"/>
        </w:tabs>
        <w:rPr>
          <w:rFonts w:cs="Arial"/>
          <w:b/>
          <w:sz w:val="18"/>
          <w:szCs w:val="18"/>
        </w:rPr>
      </w:pPr>
    </w:p>
    <w:p w14:paraId="1EC5FA73" w14:textId="43AC7BA9" w:rsidR="007E5472" w:rsidRPr="00CE3A32" w:rsidRDefault="00A0669C" w:rsidP="00CE3A32">
      <w:pPr>
        <w:widowControl w:val="0"/>
        <w:pBdr>
          <w:bottom w:val="single" w:sz="12" w:space="1" w:color="auto"/>
        </w:pBdr>
        <w:jc w:val="center"/>
        <w:rPr>
          <w:rFonts w:ascii="Arial" w:hAnsi="Arial" w:cs="Arial"/>
          <w:b/>
        </w:rPr>
      </w:pPr>
      <w:r w:rsidRPr="00CE3A32">
        <w:rPr>
          <w:rFonts w:ascii="Arial" w:hAnsi="Arial" w:cs="Arial"/>
          <w:b/>
        </w:rPr>
        <w:t>JUDGMENT</w:t>
      </w:r>
    </w:p>
    <w:p w14:paraId="4B10CCCC" w14:textId="77777777" w:rsidR="007E5472" w:rsidRPr="00CE3A32" w:rsidRDefault="007E5472" w:rsidP="00CE3A32">
      <w:pPr>
        <w:widowControl w:val="0"/>
        <w:pBdr>
          <w:bottom w:val="single" w:sz="12" w:space="1" w:color="auto"/>
        </w:pBdr>
        <w:jc w:val="center"/>
        <w:rPr>
          <w:rFonts w:ascii="Arial" w:hAnsi="Arial" w:cs="Arial"/>
          <w:b/>
          <w:sz w:val="18"/>
          <w:szCs w:val="18"/>
        </w:rPr>
      </w:pPr>
    </w:p>
    <w:p w14:paraId="3D19227E" w14:textId="5362CC37" w:rsidR="004A5EDB" w:rsidRPr="004A5EDB" w:rsidRDefault="00F22193" w:rsidP="00BD0BC5">
      <w:pPr>
        <w:pStyle w:val="JudgmentStyle"/>
        <w:numPr>
          <w:ilvl w:val="0"/>
          <w:numId w:val="0"/>
        </w:numPr>
        <w:spacing w:line="360" w:lineRule="auto"/>
        <w:ind w:right="0"/>
        <w:rPr>
          <w:rFonts w:cs="Arial"/>
          <w:b/>
          <w:u w:val="single"/>
        </w:rPr>
      </w:pPr>
      <w:r w:rsidRPr="004A5EDB">
        <w:rPr>
          <w:rFonts w:cs="Arial"/>
          <w:b/>
          <w:u w:val="single"/>
        </w:rPr>
        <w:t>TLHOTLHALEMAJE</w:t>
      </w:r>
      <w:r w:rsidR="009B555C" w:rsidRPr="004A5EDB">
        <w:rPr>
          <w:rFonts w:cs="Arial"/>
          <w:b/>
          <w:u w:val="single"/>
        </w:rPr>
        <w:t>, A</w:t>
      </w:r>
      <w:r w:rsidRPr="004A5EDB">
        <w:rPr>
          <w:rFonts w:cs="Arial"/>
          <w:b/>
          <w:u w:val="single"/>
        </w:rPr>
        <w:t>J</w:t>
      </w:r>
    </w:p>
    <w:p w14:paraId="4B23559A" w14:textId="39F0C529" w:rsidR="005E448B" w:rsidRPr="00DA1AA5" w:rsidRDefault="005F59DF" w:rsidP="00F21877">
      <w:pPr>
        <w:pStyle w:val="JudgmentStyle"/>
        <w:numPr>
          <w:ilvl w:val="0"/>
          <w:numId w:val="0"/>
        </w:numPr>
        <w:spacing w:line="360" w:lineRule="auto"/>
        <w:ind w:right="0" w:firstLine="720"/>
        <w:rPr>
          <w:rFonts w:cs="Arial"/>
          <w:bCs/>
          <w:i/>
          <w:iCs/>
        </w:rPr>
      </w:pPr>
      <w:r w:rsidRPr="00DA1AA5">
        <w:rPr>
          <w:rFonts w:cs="Arial"/>
          <w:bCs/>
          <w:i/>
          <w:iCs/>
        </w:rPr>
        <w:lastRenderedPageBreak/>
        <w:t>Introduction:</w:t>
      </w:r>
    </w:p>
    <w:p w14:paraId="44A51D11" w14:textId="5501F779" w:rsidR="00116F6C" w:rsidRDefault="004676A7" w:rsidP="0018164F">
      <w:pPr>
        <w:pStyle w:val="JudgmentStyle"/>
        <w:numPr>
          <w:ilvl w:val="0"/>
          <w:numId w:val="6"/>
        </w:numPr>
        <w:spacing w:line="360" w:lineRule="auto"/>
        <w:ind w:left="720" w:right="0" w:hanging="720"/>
        <w:rPr>
          <w:iCs/>
        </w:rPr>
      </w:pPr>
      <w:r>
        <w:rPr>
          <w:iCs/>
        </w:rPr>
        <w:t>On 12 </w:t>
      </w:r>
      <w:r w:rsidR="00251C89" w:rsidRPr="00251C89">
        <w:rPr>
          <w:iCs/>
        </w:rPr>
        <w:t>May</w:t>
      </w:r>
      <w:r>
        <w:rPr>
          <w:iCs/>
        </w:rPr>
        <w:t> </w:t>
      </w:r>
      <w:r w:rsidR="00251C89" w:rsidRPr="00251C89">
        <w:rPr>
          <w:iCs/>
        </w:rPr>
        <w:t xml:space="preserve">2021, </w:t>
      </w:r>
      <w:r w:rsidR="00A7442F">
        <w:rPr>
          <w:iCs/>
        </w:rPr>
        <w:t xml:space="preserve">the Applicant obtained </w:t>
      </w:r>
      <w:r w:rsidR="00251C89" w:rsidRPr="00251C89">
        <w:rPr>
          <w:iCs/>
        </w:rPr>
        <w:t>an urgent inter</w:t>
      </w:r>
      <w:r w:rsidR="00251C89">
        <w:rPr>
          <w:iCs/>
        </w:rPr>
        <w:t>i</w:t>
      </w:r>
      <w:r w:rsidR="00251C89" w:rsidRPr="00251C89">
        <w:rPr>
          <w:iCs/>
        </w:rPr>
        <w:t xml:space="preserve">m order </w:t>
      </w:r>
      <w:r w:rsidR="00A7442F">
        <w:rPr>
          <w:iCs/>
        </w:rPr>
        <w:t xml:space="preserve">before </w:t>
      </w:r>
      <w:r w:rsidR="00A7442F" w:rsidRPr="00A7442F">
        <w:rPr>
          <w:iCs/>
        </w:rPr>
        <w:t>Di</w:t>
      </w:r>
      <w:r w:rsidR="00E90D39">
        <w:rPr>
          <w:iCs/>
        </w:rPr>
        <w:t>p</w:t>
      </w:r>
      <w:r w:rsidR="00A7442F" w:rsidRPr="00A7442F">
        <w:rPr>
          <w:iCs/>
        </w:rPr>
        <w:t>penaar J</w:t>
      </w:r>
      <w:r w:rsidR="00A7442F">
        <w:rPr>
          <w:iCs/>
        </w:rPr>
        <w:t xml:space="preserve">, </w:t>
      </w:r>
      <w:r w:rsidR="00251C89" w:rsidRPr="00251C89">
        <w:rPr>
          <w:iCs/>
        </w:rPr>
        <w:t>i</w:t>
      </w:r>
      <w:r w:rsidR="00E216F3">
        <w:rPr>
          <w:iCs/>
        </w:rPr>
        <w:t xml:space="preserve">n terms of </w:t>
      </w:r>
      <w:r w:rsidR="00A7442F">
        <w:rPr>
          <w:iCs/>
        </w:rPr>
        <w:t>which</w:t>
      </w:r>
      <w:r w:rsidR="00E216F3">
        <w:rPr>
          <w:iCs/>
        </w:rPr>
        <w:t xml:space="preserve"> the </w:t>
      </w:r>
      <w:r w:rsidR="00A7442F">
        <w:rPr>
          <w:iCs/>
        </w:rPr>
        <w:t>S</w:t>
      </w:r>
      <w:r w:rsidR="00E216F3">
        <w:rPr>
          <w:iCs/>
        </w:rPr>
        <w:t xml:space="preserve">ixth </w:t>
      </w:r>
      <w:r w:rsidR="00A7442F">
        <w:rPr>
          <w:iCs/>
        </w:rPr>
        <w:t>R</w:t>
      </w:r>
      <w:r w:rsidR="00E216F3">
        <w:rPr>
          <w:iCs/>
        </w:rPr>
        <w:t>espondent</w:t>
      </w:r>
      <w:r w:rsidR="00A7442F">
        <w:rPr>
          <w:iCs/>
        </w:rPr>
        <w:t xml:space="preserve"> (Standard Bank)</w:t>
      </w:r>
      <w:r w:rsidR="00E216F3">
        <w:rPr>
          <w:iCs/>
        </w:rPr>
        <w:t xml:space="preserve"> was interdicted and restrained from permitting </w:t>
      </w:r>
      <w:r w:rsidR="007F61F1" w:rsidRPr="00E216F3">
        <w:rPr>
          <w:iCs/>
        </w:rPr>
        <w:t xml:space="preserve">the monies held under </w:t>
      </w:r>
      <w:r w:rsidR="00ED317A">
        <w:rPr>
          <w:iCs/>
        </w:rPr>
        <w:t xml:space="preserve">the </w:t>
      </w:r>
      <w:r w:rsidR="007F61F1" w:rsidRPr="00E216F3">
        <w:rPr>
          <w:iCs/>
        </w:rPr>
        <w:t xml:space="preserve">names and </w:t>
      </w:r>
      <w:r w:rsidR="00F52296">
        <w:rPr>
          <w:iCs/>
        </w:rPr>
        <w:t>Stokvel</w:t>
      </w:r>
      <w:r w:rsidR="00731091">
        <w:rPr>
          <w:iCs/>
        </w:rPr>
        <w:t xml:space="preserve"> </w:t>
      </w:r>
      <w:r w:rsidR="007F61F1" w:rsidRPr="00E216F3">
        <w:rPr>
          <w:iCs/>
        </w:rPr>
        <w:t>Account numbers</w:t>
      </w:r>
      <w:r w:rsidR="0018164F">
        <w:rPr>
          <w:iCs/>
        </w:rPr>
        <w:t xml:space="preserve"> </w:t>
      </w:r>
      <w:r w:rsidR="00ED317A">
        <w:rPr>
          <w:iCs/>
        </w:rPr>
        <w:t xml:space="preserve">with it </w:t>
      </w:r>
      <w:r w:rsidR="0018164F">
        <w:rPr>
          <w:iCs/>
        </w:rPr>
        <w:t xml:space="preserve">to be withdrawn or be transferred from those accounts to </w:t>
      </w:r>
      <w:r w:rsidR="007F61F1" w:rsidRPr="00E216F3">
        <w:rPr>
          <w:iCs/>
        </w:rPr>
        <w:t>any other bank account</w:t>
      </w:r>
      <w:r w:rsidR="00881439">
        <w:rPr>
          <w:iCs/>
        </w:rPr>
        <w:t>,</w:t>
      </w:r>
      <w:r w:rsidR="007F61F1" w:rsidRPr="00E216F3">
        <w:rPr>
          <w:iCs/>
        </w:rPr>
        <w:t xml:space="preserve"> both internally or to any other banking </w:t>
      </w:r>
      <w:r w:rsidR="0018164F">
        <w:rPr>
          <w:iCs/>
        </w:rPr>
        <w:t xml:space="preserve">institution. </w:t>
      </w:r>
    </w:p>
    <w:p w14:paraId="6BCA52C4" w14:textId="31E23F81" w:rsidR="00E216F3" w:rsidRDefault="0018164F" w:rsidP="0018164F">
      <w:pPr>
        <w:pStyle w:val="JudgmentStyle"/>
        <w:numPr>
          <w:ilvl w:val="0"/>
          <w:numId w:val="6"/>
        </w:numPr>
        <w:spacing w:line="360" w:lineRule="auto"/>
        <w:ind w:left="720" w:right="0" w:hanging="720"/>
        <w:rPr>
          <w:iCs/>
        </w:rPr>
      </w:pPr>
      <w:r>
        <w:rPr>
          <w:iCs/>
        </w:rPr>
        <w:t xml:space="preserve">The </w:t>
      </w:r>
      <w:r w:rsidR="00116F6C">
        <w:rPr>
          <w:iCs/>
        </w:rPr>
        <w:t xml:space="preserve">interim </w:t>
      </w:r>
      <w:r>
        <w:rPr>
          <w:iCs/>
        </w:rPr>
        <w:t xml:space="preserve">order was granted pending the </w:t>
      </w:r>
      <w:r w:rsidR="00E409A1">
        <w:rPr>
          <w:iCs/>
        </w:rPr>
        <w:t xml:space="preserve">determination </w:t>
      </w:r>
      <w:r>
        <w:rPr>
          <w:iCs/>
        </w:rPr>
        <w:t>of th</w:t>
      </w:r>
      <w:r w:rsidR="004412CB">
        <w:rPr>
          <w:iCs/>
        </w:rPr>
        <w:t>e</w:t>
      </w:r>
      <w:r w:rsidR="00881439">
        <w:rPr>
          <w:iCs/>
        </w:rPr>
        <w:t xml:space="preserve"> relief sought by the Applicant </w:t>
      </w:r>
      <w:r w:rsidR="00E409A1">
        <w:rPr>
          <w:iCs/>
        </w:rPr>
        <w:t xml:space="preserve">under Part B </w:t>
      </w:r>
      <w:r w:rsidR="00881439">
        <w:rPr>
          <w:iCs/>
        </w:rPr>
        <w:t xml:space="preserve">of its </w:t>
      </w:r>
      <w:r w:rsidR="004412CB">
        <w:rPr>
          <w:iCs/>
        </w:rPr>
        <w:t>Notice of Motion.</w:t>
      </w:r>
      <w:r w:rsidR="0063619D">
        <w:rPr>
          <w:iCs/>
        </w:rPr>
        <w:t xml:space="preserve"> The </w:t>
      </w:r>
      <w:r w:rsidR="0063619D" w:rsidRPr="00FD7D5A">
        <w:rPr>
          <w:i/>
        </w:rPr>
        <w:t>rule nisi</w:t>
      </w:r>
      <w:r w:rsidR="0063619D">
        <w:rPr>
          <w:iCs/>
        </w:rPr>
        <w:t xml:space="preserve"> was extended on no less </w:t>
      </w:r>
      <w:r w:rsidR="004676A7">
        <w:rPr>
          <w:iCs/>
        </w:rPr>
        <w:t xml:space="preserve">than </w:t>
      </w:r>
      <w:r w:rsidR="0063619D">
        <w:rPr>
          <w:iCs/>
        </w:rPr>
        <w:t>three occasions</w:t>
      </w:r>
      <w:r w:rsidR="00BB2433">
        <w:rPr>
          <w:iCs/>
        </w:rPr>
        <w:t xml:space="preserve"> being</w:t>
      </w:r>
      <w:r w:rsidR="00ED317A">
        <w:rPr>
          <w:iCs/>
        </w:rPr>
        <w:t xml:space="preserve"> </w:t>
      </w:r>
      <w:r w:rsidR="0063619D">
        <w:rPr>
          <w:iCs/>
        </w:rPr>
        <w:t>on 3</w:t>
      </w:r>
      <w:r w:rsidR="004676A7">
        <w:rPr>
          <w:iCs/>
        </w:rPr>
        <w:t> </w:t>
      </w:r>
      <w:r w:rsidR="0063619D">
        <w:rPr>
          <w:iCs/>
        </w:rPr>
        <w:t>August</w:t>
      </w:r>
      <w:r w:rsidR="004676A7">
        <w:rPr>
          <w:iCs/>
        </w:rPr>
        <w:t> </w:t>
      </w:r>
      <w:r w:rsidR="0063619D">
        <w:rPr>
          <w:iCs/>
        </w:rPr>
        <w:t>2021</w:t>
      </w:r>
      <w:r w:rsidR="00881439">
        <w:rPr>
          <w:iCs/>
        </w:rPr>
        <w:t>;</w:t>
      </w:r>
      <w:r w:rsidR="00D94278">
        <w:rPr>
          <w:iCs/>
        </w:rPr>
        <w:t xml:space="preserve"> 4</w:t>
      </w:r>
      <w:r w:rsidR="004676A7">
        <w:rPr>
          <w:iCs/>
        </w:rPr>
        <w:t> </w:t>
      </w:r>
      <w:r w:rsidR="00D94278">
        <w:rPr>
          <w:iCs/>
        </w:rPr>
        <w:t>October</w:t>
      </w:r>
      <w:r w:rsidR="004676A7">
        <w:rPr>
          <w:iCs/>
        </w:rPr>
        <w:t> </w:t>
      </w:r>
      <w:r w:rsidR="00D94278">
        <w:rPr>
          <w:iCs/>
        </w:rPr>
        <w:t>2021</w:t>
      </w:r>
      <w:r w:rsidR="00881439">
        <w:rPr>
          <w:iCs/>
        </w:rPr>
        <w:t>;</w:t>
      </w:r>
      <w:r w:rsidR="00D94278">
        <w:rPr>
          <w:iCs/>
        </w:rPr>
        <w:t xml:space="preserve"> and on 10</w:t>
      </w:r>
      <w:r w:rsidR="004676A7">
        <w:rPr>
          <w:iCs/>
        </w:rPr>
        <w:t> </w:t>
      </w:r>
      <w:r w:rsidR="00D94278">
        <w:rPr>
          <w:iCs/>
        </w:rPr>
        <w:t>November</w:t>
      </w:r>
      <w:r w:rsidR="004676A7">
        <w:rPr>
          <w:iCs/>
        </w:rPr>
        <w:t> </w:t>
      </w:r>
      <w:r w:rsidR="00D94278">
        <w:rPr>
          <w:iCs/>
        </w:rPr>
        <w:t>202</w:t>
      </w:r>
      <w:r w:rsidR="00ED6AFA">
        <w:rPr>
          <w:iCs/>
        </w:rPr>
        <w:t>1</w:t>
      </w:r>
      <w:r w:rsidR="00FD7D5A">
        <w:rPr>
          <w:iCs/>
        </w:rPr>
        <w:t>.</w:t>
      </w:r>
    </w:p>
    <w:p w14:paraId="77D1BDE8" w14:textId="2F47C245" w:rsidR="00A7442F" w:rsidRDefault="004412CB" w:rsidP="00A7442F">
      <w:pPr>
        <w:pStyle w:val="JudgmentStyle"/>
        <w:numPr>
          <w:ilvl w:val="0"/>
          <w:numId w:val="6"/>
        </w:numPr>
        <w:spacing w:line="360" w:lineRule="auto"/>
        <w:ind w:left="720" w:right="0" w:hanging="720"/>
        <w:rPr>
          <w:iCs/>
        </w:rPr>
      </w:pPr>
      <w:r>
        <w:rPr>
          <w:iCs/>
        </w:rPr>
        <w:t xml:space="preserve">In Part B, the </w:t>
      </w:r>
      <w:r w:rsidR="00A7442F">
        <w:rPr>
          <w:iCs/>
        </w:rPr>
        <w:t>A</w:t>
      </w:r>
      <w:r>
        <w:rPr>
          <w:iCs/>
        </w:rPr>
        <w:t xml:space="preserve">pplicant sought an order that </w:t>
      </w:r>
      <w:r w:rsidRPr="004412CB">
        <w:rPr>
          <w:iCs/>
        </w:rPr>
        <w:t xml:space="preserve">the </w:t>
      </w:r>
      <w:r>
        <w:rPr>
          <w:iCs/>
        </w:rPr>
        <w:t>1</w:t>
      </w:r>
      <w:r w:rsidRPr="004412CB">
        <w:rPr>
          <w:iCs/>
          <w:vertAlign w:val="superscript"/>
        </w:rPr>
        <w:t>st</w:t>
      </w:r>
      <w:r>
        <w:rPr>
          <w:iCs/>
        </w:rPr>
        <w:t xml:space="preserve"> – 5</w:t>
      </w:r>
      <w:r w:rsidRPr="004412CB">
        <w:rPr>
          <w:iCs/>
          <w:vertAlign w:val="superscript"/>
        </w:rPr>
        <w:t>th</w:t>
      </w:r>
      <w:r>
        <w:rPr>
          <w:iCs/>
        </w:rPr>
        <w:t xml:space="preserve"> </w:t>
      </w:r>
      <w:r w:rsidR="00731091">
        <w:rPr>
          <w:iCs/>
        </w:rPr>
        <w:t>R</w:t>
      </w:r>
      <w:r w:rsidRPr="004412CB">
        <w:rPr>
          <w:iCs/>
        </w:rPr>
        <w:t>espondent</w:t>
      </w:r>
      <w:r>
        <w:rPr>
          <w:iCs/>
        </w:rPr>
        <w:t>s be interdicted</w:t>
      </w:r>
      <w:r w:rsidRPr="004412CB">
        <w:rPr>
          <w:iCs/>
        </w:rPr>
        <w:t xml:space="preserve"> </w:t>
      </w:r>
      <w:r w:rsidR="00BF5592">
        <w:rPr>
          <w:iCs/>
        </w:rPr>
        <w:t xml:space="preserve">and restrained </w:t>
      </w:r>
      <w:r w:rsidRPr="004412CB">
        <w:rPr>
          <w:iCs/>
        </w:rPr>
        <w:t>fro</w:t>
      </w:r>
      <w:r w:rsidR="00F52296">
        <w:rPr>
          <w:iCs/>
        </w:rPr>
        <w:t xml:space="preserve">m </w:t>
      </w:r>
      <w:r>
        <w:rPr>
          <w:iCs/>
        </w:rPr>
        <w:t>d</w:t>
      </w:r>
      <w:r w:rsidRPr="004412CB">
        <w:rPr>
          <w:iCs/>
        </w:rPr>
        <w:t xml:space="preserve">emanding and collecting funds from the unit occupants of </w:t>
      </w:r>
      <w:r w:rsidR="00116F6C">
        <w:rPr>
          <w:iCs/>
        </w:rPr>
        <w:t xml:space="preserve">premises known as </w:t>
      </w:r>
      <w:r w:rsidR="00116F6C" w:rsidRPr="00116F6C">
        <w:rPr>
          <w:iCs/>
        </w:rPr>
        <w:t>Eastleigh Court</w:t>
      </w:r>
      <w:r w:rsidR="00116F6C">
        <w:rPr>
          <w:iCs/>
        </w:rPr>
        <w:t>,</w:t>
      </w:r>
      <w:r w:rsidR="00116F6C" w:rsidRPr="00116F6C">
        <w:rPr>
          <w:iCs/>
        </w:rPr>
        <w:t xml:space="preserve"> situated at 153 Louis Botha Street, Hillbrow, Gauteng</w:t>
      </w:r>
      <w:r w:rsidR="00CB2A7C">
        <w:rPr>
          <w:iCs/>
        </w:rPr>
        <w:t xml:space="preserve"> </w:t>
      </w:r>
      <w:r w:rsidR="00116F6C">
        <w:rPr>
          <w:iCs/>
        </w:rPr>
        <w:t>(</w:t>
      </w:r>
      <w:r w:rsidR="00731091">
        <w:rPr>
          <w:iCs/>
        </w:rPr>
        <w:t>‘</w:t>
      </w:r>
      <w:r w:rsidR="00116F6C">
        <w:rPr>
          <w:iCs/>
        </w:rPr>
        <w:t xml:space="preserve">The </w:t>
      </w:r>
      <w:r w:rsidRPr="004412CB">
        <w:rPr>
          <w:iCs/>
        </w:rPr>
        <w:t>Building</w:t>
      </w:r>
      <w:r w:rsidR="00731091">
        <w:rPr>
          <w:iCs/>
        </w:rPr>
        <w:t>’</w:t>
      </w:r>
      <w:r w:rsidR="00116F6C">
        <w:rPr>
          <w:iCs/>
        </w:rPr>
        <w:t>)</w:t>
      </w:r>
      <w:r w:rsidR="00E409A1">
        <w:rPr>
          <w:iCs/>
        </w:rPr>
        <w:t>;</w:t>
      </w:r>
      <w:r w:rsidR="00CB2A7C">
        <w:rPr>
          <w:iCs/>
        </w:rPr>
        <w:t xml:space="preserve"> </w:t>
      </w:r>
      <w:r w:rsidR="00116F6C">
        <w:rPr>
          <w:iCs/>
        </w:rPr>
        <w:t xml:space="preserve">from </w:t>
      </w:r>
      <w:r w:rsidR="009348C1">
        <w:rPr>
          <w:iCs/>
        </w:rPr>
        <w:t xml:space="preserve">further </w:t>
      </w:r>
      <w:r w:rsidR="00BF5592">
        <w:rPr>
          <w:iCs/>
        </w:rPr>
        <w:t>i</w:t>
      </w:r>
      <w:r w:rsidR="00BF5592" w:rsidRPr="00BF5592">
        <w:rPr>
          <w:iCs/>
        </w:rPr>
        <w:t>ntimidating th</w:t>
      </w:r>
      <w:r w:rsidR="00BF5592">
        <w:rPr>
          <w:iCs/>
        </w:rPr>
        <w:t xml:space="preserve">e </w:t>
      </w:r>
      <w:r w:rsidR="00731091">
        <w:rPr>
          <w:iCs/>
        </w:rPr>
        <w:t>o</w:t>
      </w:r>
      <w:r w:rsidR="00BF5592" w:rsidRPr="00BF5592">
        <w:rPr>
          <w:iCs/>
        </w:rPr>
        <w:t>ccupants of the Building</w:t>
      </w:r>
      <w:r w:rsidR="009348C1">
        <w:rPr>
          <w:iCs/>
        </w:rPr>
        <w:t>,</w:t>
      </w:r>
      <w:r w:rsidR="00BF5592" w:rsidRPr="00BF5592">
        <w:rPr>
          <w:iCs/>
        </w:rPr>
        <w:t xml:space="preserve"> and </w:t>
      </w:r>
      <w:r w:rsidR="00E409A1">
        <w:rPr>
          <w:iCs/>
        </w:rPr>
        <w:t xml:space="preserve">further </w:t>
      </w:r>
      <w:r w:rsidR="00BF5592" w:rsidRPr="00BF5592">
        <w:rPr>
          <w:iCs/>
        </w:rPr>
        <w:t xml:space="preserve">preventing the </w:t>
      </w:r>
      <w:r w:rsidR="00731091">
        <w:rPr>
          <w:iCs/>
        </w:rPr>
        <w:t>A</w:t>
      </w:r>
      <w:r w:rsidR="00BF5592" w:rsidRPr="00BF5592">
        <w:rPr>
          <w:iCs/>
        </w:rPr>
        <w:t>pplicant from</w:t>
      </w:r>
      <w:r w:rsidR="00BF5592">
        <w:rPr>
          <w:iCs/>
        </w:rPr>
        <w:t xml:space="preserve"> administering its</w:t>
      </w:r>
      <w:r w:rsidR="00BF5592" w:rsidRPr="00BF5592">
        <w:rPr>
          <w:iCs/>
        </w:rPr>
        <w:t xml:space="preserve"> duties.</w:t>
      </w:r>
      <w:r w:rsidR="00BF5592">
        <w:rPr>
          <w:iCs/>
        </w:rPr>
        <w:t xml:space="preserve"> The </w:t>
      </w:r>
      <w:r w:rsidR="00731091">
        <w:rPr>
          <w:iCs/>
        </w:rPr>
        <w:t>A</w:t>
      </w:r>
      <w:r w:rsidR="00BF5592">
        <w:rPr>
          <w:iCs/>
        </w:rPr>
        <w:t xml:space="preserve">pplicant ultimately seeks that it be confirmed as the </w:t>
      </w:r>
      <w:r w:rsidR="00ED6AFA">
        <w:rPr>
          <w:iCs/>
        </w:rPr>
        <w:t xml:space="preserve">only </w:t>
      </w:r>
      <w:r w:rsidR="00BF5592">
        <w:rPr>
          <w:iCs/>
        </w:rPr>
        <w:t xml:space="preserve">lawful </w:t>
      </w:r>
      <w:r w:rsidR="00ED6AFA">
        <w:rPr>
          <w:iCs/>
        </w:rPr>
        <w:t>m</w:t>
      </w:r>
      <w:r w:rsidR="00BF5592">
        <w:rPr>
          <w:iCs/>
        </w:rPr>
        <w:t xml:space="preserve">anaging </w:t>
      </w:r>
      <w:r w:rsidR="00ED6AFA">
        <w:rPr>
          <w:iCs/>
        </w:rPr>
        <w:t>a</w:t>
      </w:r>
      <w:r w:rsidR="00BF5592">
        <w:rPr>
          <w:iCs/>
        </w:rPr>
        <w:t>gent of the Building.</w:t>
      </w:r>
    </w:p>
    <w:p w14:paraId="6E5772DC" w14:textId="7972748C" w:rsidR="00D60E3E" w:rsidRPr="00DA1AA5" w:rsidRDefault="00D60E3E" w:rsidP="00D60E3E">
      <w:pPr>
        <w:pStyle w:val="JudgmentStyle"/>
        <w:numPr>
          <w:ilvl w:val="0"/>
          <w:numId w:val="0"/>
        </w:numPr>
        <w:spacing w:line="360" w:lineRule="auto"/>
        <w:ind w:left="720" w:right="0"/>
        <w:rPr>
          <w:i/>
        </w:rPr>
      </w:pPr>
      <w:r w:rsidRPr="00DA1AA5">
        <w:rPr>
          <w:i/>
        </w:rPr>
        <w:t xml:space="preserve">The </w:t>
      </w:r>
      <w:r w:rsidR="00B53BE8" w:rsidRPr="00DA1AA5">
        <w:rPr>
          <w:i/>
        </w:rPr>
        <w:t>background</w:t>
      </w:r>
      <w:r w:rsidRPr="00DA1AA5">
        <w:rPr>
          <w:i/>
        </w:rPr>
        <w:t>:</w:t>
      </w:r>
    </w:p>
    <w:p w14:paraId="6B4DA491" w14:textId="6A12A6A4" w:rsidR="005E3C9A" w:rsidRPr="00A34D81" w:rsidRDefault="00976E3C" w:rsidP="00A34D81">
      <w:pPr>
        <w:pStyle w:val="JudgmentStyle"/>
        <w:numPr>
          <w:ilvl w:val="0"/>
          <w:numId w:val="6"/>
        </w:numPr>
        <w:spacing w:line="360" w:lineRule="auto"/>
        <w:ind w:left="720" w:right="0" w:hanging="720"/>
        <w:rPr>
          <w:iCs/>
        </w:rPr>
      </w:pPr>
      <w:r w:rsidRPr="00976E3C">
        <w:rPr>
          <w:iCs/>
        </w:rPr>
        <w:t>The Building constitutes</w:t>
      </w:r>
      <w:r w:rsidR="00A34D81">
        <w:rPr>
          <w:iCs/>
        </w:rPr>
        <w:t xml:space="preserve"> o</w:t>
      </w:r>
      <w:r w:rsidR="00A34D81" w:rsidRPr="00A34D81">
        <w:rPr>
          <w:iCs/>
        </w:rPr>
        <w:t xml:space="preserve">f </w:t>
      </w:r>
      <w:r w:rsidRPr="00A34D81">
        <w:rPr>
          <w:iCs/>
        </w:rPr>
        <w:t xml:space="preserve">units which were allocated by the Gauteng Department of Housing to people who ordinarily qualified for free state housing. </w:t>
      </w:r>
      <w:r w:rsidR="00D60E3E" w:rsidRPr="00A34D81">
        <w:rPr>
          <w:iCs/>
        </w:rPr>
        <w:t>The First Respondent</w:t>
      </w:r>
      <w:r w:rsidR="00E06C3B" w:rsidRPr="00A34D81">
        <w:rPr>
          <w:iCs/>
        </w:rPr>
        <w:t>,</w:t>
      </w:r>
      <w:r w:rsidR="00D60E3E" w:rsidRPr="00A34D81">
        <w:rPr>
          <w:iCs/>
        </w:rPr>
        <w:t xml:space="preserve"> Eastleigh Court Housing Co</w:t>
      </w:r>
      <w:r w:rsidR="007C4E9C">
        <w:rPr>
          <w:iCs/>
        </w:rPr>
        <w:t>-</w:t>
      </w:r>
      <w:r w:rsidR="00D60E3E" w:rsidRPr="00A34D81">
        <w:rPr>
          <w:iCs/>
        </w:rPr>
        <w:t xml:space="preserve">operative </w:t>
      </w:r>
      <w:r w:rsidR="00116F6C" w:rsidRPr="00A34D81">
        <w:rPr>
          <w:iCs/>
        </w:rPr>
        <w:t>(‘The Cooperative’)</w:t>
      </w:r>
      <w:r w:rsidR="00E06C3B" w:rsidRPr="00A34D81">
        <w:rPr>
          <w:iCs/>
        </w:rPr>
        <w:t>,</w:t>
      </w:r>
      <w:r w:rsidR="00116F6C" w:rsidRPr="00A34D81">
        <w:rPr>
          <w:iCs/>
        </w:rPr>
        <w:t xml:space="preserve"> </w:t>
      </w:r>
      <w:r w:rsidR="00D60E3E" w:rsidRPr="00A34D81">
        <w:rPr>
          <w:iCs/>
        </w:rPr>
        <w:t xml:space="preserve">is a government </w:t>
      </w:r>
      <w:r w:rsidR="004676A7">
        <w:rPr>
          <w:iCs/>
        </w:rPr>
        <w:t>subsidised</w:t>
      </w:r>
      <w:r w:rsidR="004676A7" w:rsidRPr="00A34D81">
        <w:rPr>
          <w:iCs/>
        </w:rPr>
        <w:t xml:space="preserve"> </w:t>
      </w:r>
      <w:r w:rsidR="00D60E3E" w:rsidRPr="00A34D81">
        <w:rPr>
          <w:iCs/>
        </w:rPr>
        <w:t xml:space="preserve">housing scheme of the </w:t>
      </w:r>
      <w:r w:rsidR="00116F6C" w:rsidRPr="00A34D81">
        <w:rPr>
          <w:iCs/>
        </w:rPr>
        <w:t>B</w:t>
      </w:r>
      <w:r w:rsidR="00D60E3E" w:rsidRPr="00A34D81">
        <w:rPr>
          <w:iCs/>
        </w:rPr>
        <w:t>uilding</w:t>
      </w:r>
      <w:r w:rsidR="000424FC" w:rsidRPr="00A34D81">
        <w:rPr>
          <w:iCs/>
        </w:rPr>
        <w:t xml:space="preserve"> which was registered by </w:t>
      </w:r>
      <w:r w:rsidR="00A34D81">
        <w:rPr>
          <w:iCs/>
        </w:rPr>
        <w:t>its</w:t>
      </w:r>
      <w:r w:rsidR="000424FC" w:rsidRPr="00A34D81">
        <w:rPr>
          <w:iCs/>
        </w:rPr>
        <w:t xml:space="preserve"> </w:t>
      </w:r>
      <w:r w:rsidR="00055620" w:rsidRPr="00A34D81">
        <w:rPr>
          <w:iCs/>
        </w:rPr>
        <w:t>tenants in 2001</w:t>
      </w:r>
      <w:r w:rsidR="000424FC" w:rsidRPr="00A34D81">
        <w:rPr>
          <w:iCs/>
        </w:rPr>
        <w:t>. The</w:t>
      </w:r>
      <w:r w:rsidR="00147BBE" w:rsidRPr="00A34D81">
        <w:rPr>
          <w:iCs/>
        </w:rPr>
        <w:t xml:space="preserve"> sole purpose of</w:t>
      </w:r>
      <w:r w:rsidR="000424FC" w:rsidRPr="00A34D81">
        <w:rPr>
          <w:iCs/>
        </w:rPr>
        <w:t xml:space="preserve"> registration was the</w:t>
      </w:r>
      <w:r w:rsidR="00147BBE" w:rsidRPr="00A34D81">
        <w:rPr>
          <w:iCs/>
        </w:rPr>
        <w:t xml:space="preserve"> collecti</w:t>
      </w:r>
      <w:r w:rsidR="000424FC" w:rsidRPr="00A34D81">
        <w:rPr>
          <w:iCs/>
        </w:rPr>
        <w:t>on of</w:t>
      </w:r>
      <w:r w:rsidR="00147BBE" w:rsidRPr="00A34D81">
        <w:rPr>
          <w:iCs/>
        </w:rPr>
        <w:t xml:space="preserve"> levies and utilities</w:t>
      </w:r>
      <w:r w:rsidR="00657F54" w:rsidRPr="00A34D81">
        <w:rPr>
          <w:iCs/>
        </w:rPr>
        <w:t xml:space="preserve">, which </w:t>
      </w:r>
      <w:r w:rsidR="00E409A1" w:rsidRPr="00A34D81">
        <w:rPr>
          <w:iCs/>
        </w:rPr>
        <w:t>were</w:t>
      </w:r>
      <w:r w:rsidR="00657F54" w:rsidRPr="00A34D81">
        <w:rPr>
          <w:iCs/>
        </w:rPr>
        <w:t xml:space="preserve"> then deposited into the </w:t>
      </w:r>
      <w:r w:rsidR="007C4E9C">
        <w:rPr>
          <w:iCs/>
        </w:rPr>
        <w:t>Stokvel a</w:t>
      </w:r>
      <w:r w:rsidR="00657F54" w:rsidRPr="00A34D81">
        <w:rPr>
          <w:iCs/>
        </w:rPr>
        <w:t>ccount held with Standard Bank</w:t>
      </w:r>
      <w:r w:rsidR="00E06C3B" w:rsidRPr="00A34D81">
        <w:rPr>
          <w:iCs/>
        </w:rPr>
        <w:t>.</w:t>
      </w:r>
    </w:p>
    <w:p w14:paraId="60FD451F" w14:textId="18EE8701" w:rsidR="000424FC" w:rsidRDefault="00D60E3E" w:rsidP="00147BBE">
      <w:pPr>
        <w:pStyle w:val="JudgmentStyle"/>
        <w:numPr>
          <w:ilvl w:val="0"/>
          <w:numId w:val="6"/>
        </w:numPr>
        <w:spacing w:line="360" w:lineRule="auto"/>
        <w:ind w:left="720" w:right="0" w:hanging="720"/>
        <w:rPr>
          <w:iCs/>
        </w:rPr>
      </w:pPr>
      <w:r w:rsidRPr="00147BBE">
        <w:rPr>
          <w:iCs/>
        </w:rPr>
        <w:t xml:space="preserve">The Second – Fourth Respondents are the tenants in the </w:t>
      </w:r>
      <w:r w:rsidR="00116F6C" w:rsidRPr="00147BBE">
        <w:rPr>
          <w:iCs/>
        </w:rPr>
        <w:t>B</w:t>
      </w:r>
      <w:r w:rsidRPr="00147BBE">
        <w:rPr>
          <w:iCs/>
        </w:rPr>
        <w:t>uilding</w:t>
      </w:r>
      <w:r w:rsidR="000424FC">
        <w:rPr>
          <w:iCs/>
        </w:rPr>
        <w:t xml:space="preserve">. They </w:t>
      </w:r>
      <w:r w:rsidR="00840129" w:rsidRPr="00147BBE">
        <w:rPr>
          <w:iCs/>
        </w:rPr>
        <w:t xml:space="preserve">are also </w:t>
      </w:r>
      <w:r w:rsidR="00731091" w:rsidRPr="00147BBE">
        <w:rPr>
          <w:iCs/>
        </w:rPr>
        <w:t xml:space="preserve">signatories to </w:t>
      </w:r>
      <w:r w:rsidR="007C4E9C">
        <w:rPr>
          <w:iCs/>
        </w:rPr>
        <w:t>the</w:t>
      </w:r>
      <w:r w:rsidR="00731091" w:rsidRPr="00147BBE">
        <w:rPr>
          <w:iCs/>
        </w:rPr>
        <w:t xml:space="preserve"> account held with Standard Bank</w:t>
      </w:r>
      <w:r w:rsidR="000424FC">
        <w:rPr>
          <w:iCs/>
        </w:rPr>
        <w:t>,</w:t>
      </w:r>
      <w:r w:rsidR="00E409A1">
        <w:rPr>
          <w:iCs/>
        </w:rPr>
        <w:t xml:space="preserve"> which</w:t>
      </w:r>
      <w:r w:rsidR="00C04B12">
        <w:rPr>
          <w:iCs/>
        </w:rPr>
        <w:t xml:space="preserve"> </w:t>
      </w:r>
      <w:r w:rsidR="009A15AD">
        <w:rPr>
          <w:iCs/>
        </w:rPr>
        <w:t xml:space="preserve">account </w:t>
      </w:r>
      <w:r w:rsidR="00C04B12">
        <w:rPr>
          <w:iCs/>
        </w:rPr>
        <w:t>was the subject matter under Part A of the Notice of Motion</w:t>
      </w:r>
      <w:r w:rsidR="00731091" w:rsidRPr="00147BBE">
        <w:rPr>
          <w:iCs/>
        </w:rPr>
        <w:t>.</w:t>
      </w:r>
      <w:r w:rsidRPr="00147BBE">
        <w:rPr>
          <w:iCs/>
        </w:rPr>
        <w:t xml:space="preserve"> </w:t>
      </w:r>
    </w:p>
    <w:p w14:paraId="3211A6A0" w14:textId="6EF499F8" w:rsidR="00A7442F" w:rsidRDefault="00731091" w:rsidP="00147BBE">
      <w:pPr>
        <w:pStyle w:val="JudgmentStyle"/>
        <w:numPr>
          <w:ilvl w:val="0"/>
          <w:numId w:val="6"/>
        </w:numPr>
        <w:spacing w:line="360" w:lineRule="auto"/>
        <w:ind w:left="720" w:right="0" w:hanging="720"/>
        <w:rPr>
          <w:iCs/>
        </w:rPr>
      </w:pPr>
      <w:r w:rsidRPr="00147BBE">
        <w:rPr>
          <w:iCs/>
        </w:rPr>
        <w:lastRenderedPageBreak/>
        <w:t>T</w:t>
      </w:r>
      <w:r w:rsidR="00D60E3E" w:rsidRPr="00147BBE">
        <w:rPr>
          <w:iCs/>
        </w:rPr>
        <w:t>he Fifth Respondent</w:t>
      </w:r>
      <w:r w:rsidR="00840129" w:rsidRPr="00147BBE">
        <w:rPr>
          <w:iCs/>
        </w:rPr>
        <w:t xml:space="preserve"> (City Accommodations)</w:t>
      </w:r>
      <w:r w:rsidRPr="00147BBE">
        <w:rPr>
          <w:iCs/>
        </w:rPr>
        <w:t>,</w:t>
      </w:r>
      <w:r w:rsidR="00840129" w:rsidRPr="00147BBE">
        <w:rPr>
          <w:iCs/>
        </w:rPr>
        <w:t xml:space="preserve"> is a registered company whose involvement in the dispute is currently to collect management fees of the </w:t>
      </w:r>
      <w:r w:rsidR="00E06C3B">
        <w:rPr>
          <w:iCs/>
        </w:rPr>
        <w:t>B</w:t>
      </w:r>
      <w:r w:rsidR="00840129" w:rsidRPr="00147BBE">
        <w:rPr>
          <w:iCs/>
        </w:rPr>
        <w:t>uilding, and which the Applicant contends interferes with its administrative duties</w:t>
      </w:r>
      <w:r w:rsidR="00FE0FA2">
        <w:rPr>
          <w:iCs/>
        </w:rPr>
        <w:t xml:space="preserve"> as a managing agent</w:t>
      </w:r>
      <w:r w:rsidR="00840129" w:rsidRPr="00147BBE">
        <w:rPr>
          <w:iCs/>
        </w:rPr>
        <w:t>.</w:t>
      </w:r>
    </w:p>
    <w:p w14:paraId="6AAA4245" w14:textId="199E98D8" w:rsidR="00E43DF2" w:rsidRPr="00E43DF2" w:rsidRDefault="00E43DF2" w:rsidP="00E43DF2">
      <w:pPr>
        <w:pStyle w:val="JudgmentStyle"/>
        <w:numPr>
          <w:ilvl w:val="0"/>
          <w:numId w:val="0"/>
        </w:numPr>
        <w:spacing w:line="360" w:lineRule="auto"/>
        <w:ind w:left="360" w:right="0" w:firstLine="360"/>
        <w:rPr>
          <w:i/>
        </w:rPr>
      </w:pPr>
      <w:r w:rsidRPr="00DA1AA5">
        <w:rPr>
          <w:i/>
        </w:rPr>
        <w:t>The dispute:</w:t>
      </w:r>
    </w:p>
    <w:p w14:paraId="70FB3561" w14:textId="724EE180" w:rsidR="00C83C7D" w:rsidRPr="00C83C7D" w:rsidRDefault="00C83C7D" w:rsidP="00C83C7D">
      <w:pPr>
        <w:pStyle w:val="JudgmentStyle"/>
        <w:numPr>
          <w:ilvl w:val="0"/>
          <w:numId w:val="6"/>
        </w:numPr>
        <w:spacing w:line="360" w:lineRule="auto"/>
        <w:ind w:left="720" w:right="0" w:hanging="720"/>
        <w:rPr>
          <w:iCs/>
        </w:rPr>
      </w:pPr>
      <w:r>
        <w:rPr>
          <w:iCs/>
        </w:rPr>
        <w:t>T</w:t>
      </w:r>
      <w:r w:rsidRPr="00C83C7D">
        <w:rPr>
          <w:iCs/>
        </w:rPr>
        <w:t>he dispute relates to the management and administration of the ‘Building’, and in particular, the collection of levies on behalf of the Co-operative with the ultimate purpose of servicing municipal debts and other creditors; attending to insurance of the Building; complying with the bylaws; and maintaining the upkeep of the Building. The issue is whether the Applicant is the lawfully appointed managing agent of the Building.</w:t>
      </w:r>
      <w:r w:rsidR="00ED317A">
        <w:rPr>
          <w:iCs/>
        </w:rPr>
        <w:t xml:space="preserve"> The 1</w:t>
      </w:r>
      <w:r w:rsidR="00ED317A" w:rsidRPr="00ED317A">
        <w:rPr>
          <w:iCs/>
          <w:vertAlign w:val="superscript"/>
        </w:rPr>
        <w:t>st</w:t>
      </w:r>
      <w:r w:rsidR="00ED317A">
        <w:rPr>
          <w:iCs/>
        </w:rPr>
        <w:t>- 5</w:t>
      </w:r>
      <w:r w:rsidR="00ED317A" w:rsidRPr="00ED317A">
        <w:rPr>
          <w:iCs/>
          <w:vertAlign w:val="superscript"/>
        </w:rPr>
        <w:t>th</w:t>
      </w:r>
      <w:r w:rsidR="00ED317A">
        <w:rPr>
          <w:iCs/>
        </w:rPr>
        <w:t xml:space="preserve"> Respondents’ case is that the Fifth Respondent is the lawfully appointed managing agent of the Building.</w:t>
      </w:r>
    </w:p>
    <w:p w14:paraId="228ABDE0" w14:textId="3E6AB401" w:rsidR="00BC01AC" w:rsidRPr="00BC01AC" w:rsidRDefault="008228B1" w:rsidP="00BC01AC">
      <w:pPr>
        <w:pStyle w:val="JudgmentStyle"/>
        <w:numPr>
          <w:ilvl w:val="0"/>
          <w:numId w:val="6"/>
        </w:numPr>
        <w:spacing w:line="360" w:lineRule="auto"/>
        <w:ind w:left="720" w:right="0" w:hanging="720"/>
        <w:rPr>
          <w:iCs/>
        </w:rPr>
      </w:pPr>
      <w:r>
        <w:rPr>
          <w:iCs/>
        </w:rPr>
        <w:t xml:space="preserve">In approaching the </w:t>
      </w:r>
      <w:r w:rsidR="004676A7">
        <w:rPr>
          <w:iCs/>
        </w:rPr>
        <w:t>Court</w:t>
      </w:r>
      <w:r>
        <w:rPr>
          <w:iCs/>
        </w:rPr>
        <w:t>, t</w:t>
      </w:r>
      <w:r w:rsidR="001E5A26">
        <w:rPr>
          <w:iCs/>
        </w:rPr>
        <w:t>he Applicant relie</w:t>
      </w:r>
      <w:r w:rsidR="00C83C7D">
        <w:rPr>
          <w:iCs/>
        </w:rPr>
        <w:t>d</w:t>
      </w:r>
      <w:r w:rsidR="001E5A26">
        <w:rPr>
          <w:iCs/>
        </w:rPr>
        <w:t xml:space="preserve"> on </w:t>
      </w:r>
      <w:r w:rsidR="00B53BE8">
        <w:rPr>
          <w:iCs/>
        </w:rPr>
        <w:t xml:space="preserve">a </w:t>
      </w:r>
      <w:r w:rsidR="00B53BE8" w:rsidRPr="00E06C3B">
        <w:rPr>
          <w:i/>
        </w:rPr>
        <w:t>‘Management and Business Development Agreement’</w:t>
      </w:r>
      <w:r w:rsidR="00B53BE8">
        <w:rPr>
          <w:iCs/>
        </w:rPr>
        <w:t xml:space="preserve"> (</w:t>
      </w:r>
      <w:r w:rsidR="00A34D81">
        <w:rPr>
          <w:iCs/>
        </w:rPr>
        <w:t xml:space="preserve">The Main </w:t>
      </w:r>
      <w:r w:rsidR="00B53BE8">
        <w:rPr>
          <w:iCs/>
        </w:rPr>
        <w:t>Agreement)</w:t>
      </w:r>
      <w:r w:rsidR="001E5A26">
        <w:rPr>
          <w:iCs/>
        </w:rPr>
        <w:t>, entered into between itself and the Co</w:t>
      </w:r>
      <w:r w:rsidR="007C4E9C">
        <w:rPr>
          <w:iCs/>
        </w:rPr>
        <w:t>-</w:t>
      </w:r>
      <w:r w:rsidR="001E5A26">
        <w:rPr>
          <w:iCs/>
        </w:rPr>
        <w:t xml:space="preserve">operative </w:t>
      </w:r>
      <w:r w:rsidR="00B53BE8" w:rsidRPr="00B53BE8">
        <w:rPr>
          <w:iCs/>
        </w:rPr>
        <w:t>on 01</w:t>
      </w:r>
      <w:r w:rsidR="00CE7FB2">
        <w:rPr>
          <w:iCs/>
        </w:rPr>
        <w:t> </w:t>
      </w:r>
      <w:r w:rsidR="00B53BE8" w:rsidRPr="00B53BE8">
        <w:rPr>
          <w:iCs/>
        </w:rPr>
        <w:t>May</w:t>
      </w:r>
      <w:r w:rsidR="00CE7FB2">
        <w:rPr>
          <w:iCs/>
        </w:rPr>
        <w:t> </w:t>
      </w:r>
      <w:r w:rsidR="00B53BE8" w:rsidRPr="00B53BE8">
        <w:rPr>
          <w:iCs/>
        </w:rPr>
        <w:t>2018</w:t>
      </w:r>
      <w:r w:rsidR="00665A32">
        <w:rPr>
          <w:iCs/>
        </w:rPr>
        <w:t xml:space="preserve">. </w:t>
      </w:r>
      <w:r w:rsidR="00147E1E" w:rsidRPr="000C7011">
        <w:rPr>
          <w:iCs/>
        </w:rPr>
        <w:t xml:space="preserve">The Agreement </w:t>
      </w:r>
      <w:r w:rsidR="00147E1E">
        <w:rPr>
          <w:iCs/>
        </w:rPr>
        <w:t xml:space="preserve">aims </w:t>
      </w:r>
      <w:r w:rsidR="00147E1E" w:rsidRPr="000C7011">
        <w:rPr>
          <w:iCs/>
        </w:rPr>
        <w:t>to regulate the engagement of the Applicant in providing certain administrative, management, and business development services to the Co</w:t>
      </w:r>
      <w:r w:rsidR="007C4E9C">
        <w:rPr>
          <w:iCs/>
        </w:rPr>
        <w:t>-</w:t>
      </w:r>
      <w:r w:rsidR="00147E1E" w:rsidRPr="000C7011">
        <w:rPr>
          <w:iCs/>
        </w:rPr>
        <w:t>operative, in accordance with the terms set out therein.</w:t>
      </w:r>
      <w:r w:rsidR="00691E43">
        <w:rPr>
          <w:iCs/>
        </w:rPr>
        <w:t xml:space="preserve"> </w:t>
      </w:r>
    </w:p>
    <w:p w14:paraId="1C97FA29" w14:textId="4A14F631" w:rsidR="0075293C" w:rsidRPr="00C83C7D" w:rsidRDefault="00691E43" w:rsidP="00C83C7D">
      <w:pPr>
        <w:pStyle w:val="JudgmentStyle"/>
        <w:numPr>
          <w:ilvl w:val="0"/>
          <w:numId w:val="6"/>
        </w:numPr>
        <w:spacing w:line="360" w:lineRule="auto"/>
        <w:ind w:left="720" w:right="0" w:hanging="720"/>
        <w:rPr>
          <w:iCs/>
        </w:rPr>
      </w:pPr>
      <w:r>
        <w:rPr>
          <w:iCs/>
        </w:rPr>
        <w:t>In the replying affidavit</w:t>
      </w:r>
      <w:r w:rsidR="00C83C7D">
        <w:rPr>
          <w:iCs/>
        </w:rPr>
        <w:t xml:space="preserve">, </w:t>
      </w:r>
      <w:r>
        <w:rPr>
          <w:iCs/>
        </w:rPr>
        <w:t>a</w:t>
      </w:r>
      <w:r w:rsidR="00E43DF2">
        <w:rPr>
          <w:iCs/>
        </w:rPr>
        <w:t>n</w:t>
      </w:r>
      <w:r>
        <w:rPr>
          <w:iCs/>
        </w:rPr>
        <w:t>d</w:t>
      </w:r>
      <w:r w:rsidR="00E43DF2">
        <w:rPr>
          <w:iCs/>
        </w:rPr>
        <w:t xml:space="preserve"> further </w:t>
      </w:r>
      <w:r w:rsidR="00BC01AC">
        <w:rPr>
          <w:iCs/>
        </w:rPr>
        <w:t xml:space="preserve">in </w:t>
      </w:r>
      <w:r w:rsidR="00E43DF2">
        <w:rPr>
          <w:iCs/>
        </w:rPr>
        <w:t xml:space="preserve">support of its </w:t>
      </w:r>
      <w:r w:rsidR="00C85A11">
        <w:rPr>
          <w:iCs/>
        </w:rPr>
        <w:t xml:space="preserve">contention that it was duly </w:t>
      </w:r>
      <w:r w:rsidR="00E43DF2">
        <w:rPr>
          <w:iCs/>
        </w:rPr>
        <w:t>appoint</w:t>
      </w:r>
      <w:r w:rsidR="00C85A11">
        <w:rPr>
          <w:iCs/>
        </w:rPr>
        <w:t>ed</w:t>
      </w:r>
      <w:r w:rsidR="00E43DF2">
        <w:rPr>
          <w:iCs/>
        </w:rPr>
        <w:t>, the Applicant also relie</w:t>
      </w:r>
      <w:r w:rsidR="009A15AD">
        <w:rPr>
          <w:iCs/>
        </w:rPr>
        <w:t>d</w:t>
      </w:r>
      <w:r w:rsidR="00E43DF2">
        <w:rPr>
          <w:iCs/>
        </w:rPr>
        <w:t xml:space="preserve"> on a </w:t>
      </w:r>
      <w:r w:rsidR="00A34D81" w:rsidRPr="00A34D81">
        <w:rPr>
          <w:i/>
        </w:rPr>
        <w:t>‘</w:t>
      </w:r>
      <w:r w:rsidR="00E43DF2" w:rsidRPr="00A34D81">
        <w:rPr>
          <w:i/>
        </w:rPr>
        <w:t>Property Cession and Management Agreement</w:t>
      </w:r>
      <w:r w:rsidR="00A34D81">
        <w:rPr>
          <w:iCs/>
        </w:rPr>
        <w:t>’</w:t>
      </w:r>
      <w:r w:rsidR="00E43DF2" w:rsidRPr="00E43DF2">
        <w:rPr>
          <w:iCs/>
        </w:rPr>
        <w:t xml:space="preserve"> </w:t>
      </w:r>
      <w:r w:rsidR="00E43DF2">
        <w:rPr>
          <w:iCs/>
        </w:rPr>
        <w:t xml:space="preserve">entered into </w:t>
      </w:r>
      <w:r w:rsidR="00E43DF2" w:rsidRPr="00E43DF2">
        <w:rPr>
          <w:iCs/>
        </w:rPr>
        <w:t>between</w:t>
      </w:r>
      <w:r w:rsidR="00E43DF2">
        <w:rPr>
          <w:iCs/>
        </w:rPr>
        <w:t xml:space="preserve"> itself and</w:t>
      </w:r>
      <w:r w:rsidR="00E43DF2" w:rsidRPr="00E43DF2">
        <w:rPr>
          <w:iCs/>
        </w:rPr>
        <w:t xml:space="preserve"> Members of the </w:t>
      </w:r>
      <w:r w:rsidR="00E43DF2">
        <w:rPr>
          <w:iCs/>
        </w:rPr>
        <w:t>Co</w:t>
      </w:r>
      <w:r w:rsidR="00CF6BA1">
        <w:rPr>
          <w:iCs/>
        </w:rPr>
        <w:t>-</w:t>
      </w:r>
      <w:r w:rsidR="00E43DF2">
        <w:rPr>
          <w:iCs/>
        </w:rPr>
        <w:t>operative</w:t>
      </w:r>
      <w:r w:rsidR="000C7011">
        <w:rPr>
          <w:iCs/>
        </w:rPr>
        <w:t xml:space="preserve"> on 10</w:t>
      </w:r>
      <w:r w:rsidR="00CE7FB2">
        <w:rPr>
          <w:iCs/>
        </w:rPr>
        <w:t> </w:t>
      </w:r>
      <w:r w:rsidR="000C7011">
        <w:rPr>
          <w:iCs/>
        </w:rPr>
        <w:t>October</w:t>
      </w:r>
      <w:r w:rsidR="00CE7FB2">
        <w:rPr>
          <w:iCs/>
        </w:rPr>
        <w:t> </w:t>
      </w:r>
      <w:r w:rsidR="000C7011">
        <w:rPr>
          <w:iCs/>
        </w:rPr>
        <w:t>2021</w:t>
      </w:r>
      <w:r w:rsidR="002F2438">
        <w:rPr>
          <w:iCs/>
        </w:rPr>
        <w:t>.</w:t>
      </w:r>
      <w:r>
        <w:rPr>
          <w:iCs/>
        </w:rPr>
        <w:t xml:space="preserve"> The Applicant contends that a new board of trustees of the Building </w:t>
      </w:r>
      <w:r w:rsidRPr="00691E43">
        <w:rPr>
          <w:iCs/>
        </w:rPr>
        <w:t>ha</w:t>
      </w:r>
      <w:r w:rsidR="001468AC">
        <w:rPr>
          <w:iCs/>
        </w:rPr>
        <w:t>s</w:t>
      </w:r>
      <w:r w:rsidRPr="00691E43">
        <w:rPr>
          <w:iCs/>
        </w:rPr>
        <w:t xml:space="preserve"> since endorsed </w:t>
      </w:r>
      <w:r>
        <w:rPr>
          <w:iCs/>
        </w:rPr>
        <w:t>its role with this agreement.</w:t>
      </w:r>
    </w:p>
    <w:p w14:paraId="3BF2EE27" w14:textId="1BB11393" w:rsidR="00840129" w:rsidRPr="00AA19B7" w:rsidRDefault="0075293C" w:rsidP="00AA19B7">
      <w:pPr>
        <w:pStyle w:val="JudgmentStyle"/>
        <w:numPr>
          <w:ilvl w:val="0"/>
          <w:numId w:val="6"/>
        </w:numPr>
        <w:spacing w:line="360" w:lineRule="auto"/>
        <w:ind w:left="720" w:right="0" w:hanging="720"/>
        <w:rPr>
          <w:iCs/>
        </w:rPr>
      </w:pPr>
      <w:r>
        <w:rPr>
          <w:iCs/>
        </w:rPr>
        <w:t>Until the</w:t>
      </w:r>
      <w:r w:rsidR="00886182">
        <w:rPr>
          <w:iCs/>
        </w:rPr>
        <w:t xml:space="preserve"> interim </w:t>
      </w:r>
      <w:r>
        <w:rPr>
          <w:iCs/>
        </w:rPr>
        <w:t>order was obtained, t</w:t>
      </w:r>
      <w:r w:rsidR="00D80A1B" w:rsidRPr="008228B1">
        <w:rPr>
          <w:iCs/>
        </w:rPr>
        <w:t xml:space="preserve">he </w:t>
      </w:r>
      <w:r w:rsidR="00B679EF">
        <w:rPr>
          <w:iCs/>
        </w:rPr>
        <w:t>1</w:t>
      </w:r>
      <w:r w:rsidR="00B679EF" w:rsidRPr="00B679EF">
        <w:rPr>
          <w:iCs/>
          <w:vertAlign w:val="superscript"/>
        </w:rPr>
        <w:t>st</w:t>
      </w:r>
      <w:r w:rsidR="00B679EF">
        <w:rPr>
          <w:iCs/>
        </w:rPr>
        <w:t xml:space="preserve"> – 5</w:t>
      </w:r>
      <w:r w:rsidR="00B679EF" w:rsidRPr="00B679EF">
        <w:rPr>
          <w:iCs/>
          <w:vertAlign w:val="superscript"/>
        </w:rPr>
        <w:t>th</w:t>
      </w:r>
      <w:r w:rsidR="00D80A1B" w:rsidRPr="008228B1">
        <w:rPr>
          <w:iCs/>
        </w:rPr>
        <w:t xml:space="preserve"> Respondents </w:t>
      </w:r>
      <w:r>
        <w:rPr>
          <w:iCs/>
        </w:rPr>
        <w:t xml:space="preserve">were </w:t>
      </w:r>
      <w:r w:rsidR="00D80A1B" w:rsidRPr="008228B1">
        <w:rPr>
          <w:iCs/>
        </w:rPr>
        <w:t xml:space="preserve">in control of the Stokvel </w:t>
      </w:r>
      <w:r w:rsidR="00833155" w:rsidRPr="008228B1">
        <w:rPr>
          <w:iCs/>
        </w:rPr>
        <w:t>A</w:t>
      </w:r>
      <w:r w:rsidR="00D80A1B" w:rsidRPr="008228B1">
        <w:rPr>
          <w:iCs/>
        </w:rPr>
        <w:t>ccount that is collecting funds from the occupants of the Building.</w:t>
      </w:r>
      <w:r w:rsidR="00F52296" w:rsidRPr="008228B1">
        <w:rPr>
          <w:iCs/>
        </w:rPr>
        <w:t xml:space="preserve"> </w:t>
      </w:r>
      <w:r w:rsidRPr="00AA19B7">
        <w:rPr>
          <w:iCs/>
        </w:rPr>
        <w:t xml:space="preserve">The Applicant contends that notwithstanding its appointment as Managing Agent in accordance with the </w:t>
      </w:r>
      <w:r w:rsidR="00C83C7D" w:rsidRPr="00AA19B7">
        <w:rPr>
          <w:iCs/>
        </w:rPr>
        <w:t>agreements referred to</w:t>
      </w:r>
      <w:r w:rsidRPr="00AA19B7">
        <w:rPr>
          <w:iCs/>
        </w:rPr>
        <w:t>, the 1</w:t>
      </w:r>
      <w:r w:rsidRPr="00AA19B7">
        <w:rPr>
          <w:iCs/>
          <w:vertAlign w:val="superscript"/>
        </w:rPr>
        <w:t>st</w:t>
      </w:r>
      <w:r w:rsidRPr="00AA19B7">
        <w:rPr>
          <w:iCs/>
        </w:rPr>
        <w:t xml:space="preserve"> – 5</w:t>
      </w:r>
      <w:r w:rsidRPr="00AA19B7">
        <w:rPr>
          <w:iCs/>
          <w:vertAlign w:val="superscript"/>
        </w:rPr>
        <w:t>th</w:t>
      </w:r>
      <w:r w:rsidRPr="00AA19B7">
        <w:rPr>
          <w:iCs/>
        </w:rPr>
        <w:t xml:space="preserve"> Respondents have continued to collect funds from the occupants of the </w:t>
      </w:r>
      <w:r w:rsidR="00B679EF">
        <w:rPr>
          <w:iCs/>
        </w:rPr>
        <w:t>B</w:t>
      </w:r>
      <w:r w:rsidRPr="00AA19B7">
        <w:rPr>
          <w:iCs/>
        </w:rPr>
        <w:t>uilding</w:t>
      </w:r>
      <w:r w:rsidR="00175EF4" w:rsidRPr="00AA19B7">
        <w:rPr>
          <w:iCs/>
        </w:rPr>
        <w:t xml:space="preserve">, and that this conduct </w:t>
      </w:r>
      <w:r w:rsidRPr="00AA19B7">
        <w:rPr>
          <w:iCs/>
        </w:rPr>
        <w:t xml:space="preserve">has prevented it </w:t>
      </w:r>
      <w:r w:rsidR="00791F2B" w:rsidRPr="00AA19B7">
        <w:rPr>
          <w:iCs/>
        </w:rPr>
        <w:t xml:space="preserve">from performing its duties </w:t>
      </w:r>
      <w:r w:rsidRPr="00AA19B7">
        <w:rPr>
          <w:iCs/>
        </w:rPr>
        <w:t>as the Managing Agent</w:t>
      </w:r>
      <w:r w:rsidR="00791F2B" w:rsidRPr="00AA19B7">
        <w:rPr>
          <w:iCs/>
        </w:rPr>
        <w:t xml:space="preserve">. </w:t>
      </w:r>
      <w:r w:rsidR="007753F0" w:rsidRPr="00AA19B7">
        <w:rPr>
          <w:iCs/>
        </w:rPr>
        <w:t xml:space="preserve">The </w:t>
      </w:r>
      <w:r w:rsidR="00833155" w:rsidRPr="00AA19B7">
        <w:rPr>
          <w:iCs/>
        </w:rPr>
        <w:t>Applicant</w:t>
      </w:r>
      <w:r w:rsidR="00E264D9" w:rsidRPr="00AA19B7">
        <w:rPr>
          <w:iCs/>
        </w:rPr>
        <w:t xml:space="preserve"> in seeking its confirmation as the Managing </w:t>
      </w:r>
      <w:r w:rsidR="00E264D9" w:rsidRPr="00AA19B7">
        <w:rPr>
          <w:iCs/>
        </w:rPr>
        <w:lastRenderedPageBreak/>
        <w:t xml:space="preserve">Agent </w:t>
      </w:r>
      <w:r w:rsidR="007753F0" w:rsidRPr="00AA19B7">
        <w:rPr>
          <w:iCs/>
        </w:rPr>
        <w:t xml:space="preserve">has also accused </w:t>
      </w:r>
      <w:r w:rsidR="00895CB6" w:rsidRPr="00AA19B7">
        <w:rPr>
          <w:iCs/>
        </w:rPr>
        <w:t>the 1</w:t>
      </w:r>
      <w:r w:rsidR="00895CB6" w:rsidRPr="00AA19B7">
        <w:rPr>
          <w:iCs/>
          <w:vertAlign w:val="superscript"/>
        </w:rPr>
        <w:t>st</w:t>
      </w:r>
      <w:r w:rsidR="00895CB6" w:rsidRPr="00AA19B7">
        <w:rPr>
          <w:iCs/>
        </w:rPr>
        <w:t xml:space="preserve"> – 5</w:t>
      </w:r>
      <w:r w:rsidR="00895CB6" w:rsidRPr="00AA19B7">
        <w:rPr>
          <w:iCs/>
          <w:vertAlign w:val="superscript"/>
        </w:rPr>
        <w:t>th</w:t>
      </w:r>
      <w:r w:rsidR="00895CB6" w:rsidRPr="00AA19B7">
        <w:rPr>
          <w:iCs/>
        </w:rPr>
        <w:t xml:space="preserve"> Respondents </w:t>
      </w:r>
      <w:r w:rsidR="007753F0" w:rsidRPr="00AA19B7">
        <w:rPr>
          <w:iCs/>
        </w:rPr>
        <w:t xml:space="preserve">of having </w:t>
      </w:r>
      <w:r w:rsidR="00E264D9" w:rsidRPr="00AA19B7">
        <w:rPr>
          <w:iCs/>
        </w:rPr>
        <w:t xml:space="preserve">have demonstrated a </w:t>
      </w:r>
      <w:r w:rsidR="00895CB6" w:rsidRPr="00AA19B7">
        <w:rPr>
          <w:iCs/>
        </w:rPr>
        <w:t xml:space="preserve">lack of accountability and probity in the management of funds held in the </w:t>
      </w:r>
      <w:r w:rsidR="00F52296" w:rsidRPr="00AA19B7">
        <w:rPr>
          <w:iCs/>
        </w:rPr>
        <w:t>Stokvel</w:t>
      </w:r>
      <w:r w:rsidR="00895CB6" w:rsidRPr="00AA19B7">
        <w:rPr>
          <w:iCs/>
        </w:rPr>
        <w:t xml:space="preserve"> Account</w:t>
      </w:r>
      <w:r w:rsidR="00E264D9" w:rsidRPr="00AA19B7">
        <w:rPr>
          <w:iCs/>
        </w:rPr>
        <w:t xml:space="preserve"> with Standard Bank</w:t>
      </w:r>
      <w:r w:rsidR="00895CB6" w:rsidRPr="00AA19B7">
        <w:rPr>
          <w:iCs/>
        </w:rPr>
        <w:t xml:space="preserve">. </w:t>
      </w:r>
    </w:p>
    <w:p w14:paraId="1CA03F8A" w14:textId="5DD3B7A5" w:rsidR="00495E9E" w:rsidRDefault="00907D73" w:rsidP="00E66467">
      <w:pPr>
        <w:pStyle w:val="JudgmentStyle"/>
        <w:numPr>
          <w:ilvl w:val="0"/>
          <w:numId w:val="6"/>
        </w:numPr>
        <w:spacing w:line="360" w:lineRule="auto"/>
        <w:ind w:left="720" w:right="0" w:hanging="720"/>
        <w:rPr>
          <w:iCs/>
        </w:rPr>
      </w:pPr>
      <w:r>
        <w:rPr>
          <w:iCs/>
        </w:rPr>
        <w:t xml:space="preserve">Subsequent to the </w:t>
      </w:r>
      <w:r w:rsidRPr="008228B1">
        <w:rPr>
          <w:i/>
        </w:rPr>
        <w:t>rule nisi</w:t>
      </w:r>
      <w:r>
        <w:rPr>
          <w:iCs/>
        </w:rPr>
        <w:t xml:space="preserve"> having been obtained, the </w:t>
      </w:r>
      <w:r w:rsidR="00CC0491">
        <w:rPr>
          <w:iCs/>
        </w:rPr>
        <w:t>1</w:t>
      </w:r>
      <w:r w:rsidR="00CC0491" w:rsidRPr="00CC0491">
        <w:rPr>
          <w:iCs/>
          <w:vertAlign w:val="superscript"/>
        </w:rPr>
        <w:t>st</w:t>
      </w:r>
      <w:r w:rsidR="00CC0491">
        <w:rPr>
          <w:iCs/>
        </w:rPr>
        <w:t xml:space="preserve"> – 5</w:t>
      </w:r>
      <w:r w:rsidR="00CC0491" w:rsidRPr="00CC0491">
        <w:rPr>
          <w:iCs/>
          <w:vertAlign w:val="superscript"/>
        </w:rPr>
        <w:t>th</w:t>
      </w:r>
      <w:r w:rsidR="00CC0491">
        <w:rPr>
          <w:iCs/>
        </w:rPr>
        <w:t xml:space="preserve"> Respondents</w:t>
      </w:r>
      <w:r>
        <w:rPr>
          <w:iCs/>
        </w:rPr>
        <w:t xml:space="preserve"> approached the Court in terms of Rule 6(12)(c) of the </w:t>
      </w:r>
      <w:r w:rsidR="005E7A35">
        <w:rPr>
          <w:iCs/>
        </w:rPr>
        <w:t xml:space="preserve">Uniform </w:t>
      </w:r>
      <w:r>
        <w:rPr>
          <w:iCs/>
        </w:rPr>
        <w:t>Rules,</w:t>
      </w:r>
      <w:r w:rsidR="008950A6">
        <w:rPr>
          <w:iCs/>
        </w:rPr>
        <w:t xml:space="preserve"> effectively seeking an order to set aside the preservation order. </w:t>
      </w:r>
      <w:r w:rsidR="00162254">
        <w:rPr>
          <w:iCs/>
        </w:rPr>
        <w:t>A supplementary affidavit was similarly filed by the 1</w:t>
      </w:r>
      <w:r w:rsidR="00162254" w:rsidRPr="00162254">
        <w:rPr>
          <w:iCs/>
          <w:vertAlign w:val="superscript"/>
        </w:rPr>
        <w:t>st</w:t>
      </w:r>
      <w:r w:rsidR="00162254">
        <w:rPr>
          <w:iCs/>
        </w:rPr>
        <w:t xml:space="preserve"> – 5</w:t>
      </w:r>
      <w:r w:rsidR="00162254" w:rsidRPr="00162254">
        <w:rPr>
          <w:iCs/>
          <w:vertAlign w:val="superscript"/>
        </w:rPr>
        <w:t>th</w:t>
      </w:r>
      <w:r w:rsidR="00162254">
        <w:rPr>
          <w:iCs/>
        </w:rPr>
        <w:t xml:space="preserve"> Respondents in opposing the relief sought under Part B of the Applicant’s Notice of Motion. </w:t>
      </w:r>
      <w:r w:rsidR="007753F0">
        <w:rPr>
          <w:iCs/>
        </w:rPr>
        <w:t xml:space="preserve">It is further significant to note that there has also been other interlocutory applications and counter applications since the </w:t>
      </w:r>
      <w:r w:rsidR="007753F0" w:rsidRPr="00B679EF">
        <w:rPr>
          <w:i/>
        </w:rPr>
        <w:t>rule nisi</w:t>
      </w:r>
      <w:r w:rsidR="007753F0">
        <w:rPr>
          <w:iCs/>
        </w:rPr>
        <w:t xml:space="preserve"> was issued, which either appeared to have fizzled out or were not pursued for one reason or the other.</w:t>
      </w:r>
      <w:r w:rsidR="00C85A11">
        <w:rPr>
          <w:iCs/>
        </w:rPr>
        <w:t xml:space="preserve"> </w:t>
      </w:r>
    </w:p>
    <w:p w14:paraId="38E114D3" w14:textId="3CAC376E" w:rsidR="008E6F33" w:rsidRDefault="00E66467" w:rsidP="00B66148">
      <w:pPr>
        <w:pStyle w:val="JudgmentStyle"/>
        <w:numPr>
          <w:ilvl w:val="0"/>
          <w:numId w:val="6"/>
        </w:numPr>
        <w:spacing w:line="360" w:lineRule="auto"/>
        <w:ind w:left="720" w:right="0" w:hanging="720"/>
        <w:rPr>
          <w:iCs/>
        </w:rPr>
      </w:pPr>
      <w:r>
        <w:rPr>
          <w:iCs/>
        </w:rPr>
        <w:t>In resisting the relief sought by the Applicant, t</w:t>
      </w:r>
      <w:r w:rsidR="00162254" w:rsidRPr="00E66467">
        <w:rPr>
          <w:iCs/>
        </w:rPr>
        <w:t>he 1</w:t>
      </w:r>
      <w:r w:rsidR="00162254" w:rsidRPr="00E66467">
        <w:rPr>
          <w:iCs/>
          <w:vertAlign w:val="superscript"/>
        </w:rPr>
        <w:t>st</w:t>
      </w:r>
      <w:r w:rsidR="00162254" w:rsidRPr="00E66467">
        <w:rPr>
          <w:iCs/>
        </w:rPr>
        <w:t xml:space="preserve"> – 5</w:t>
      </w:r>
      <w:r w:rsidR="00162254" w:rsidRPr="00E66467">
        <w:rPr>
          <w:iCs/>
          <w:vertAlign w:val="superscript"/>
        </w:rPr>
        <w:t>th</w:t>
      </w:r>
      <w:r w:rsidR="00162254" w:rsidRPr="00E66467">
        <w:rPr>
          <w:iCs/>
        </w:rPr>
        <w:t xml:space="preserve"> Respondents </w:t>
      </w:r>
      <w:r w:rsidR="00B66148">
        <w:rPr>
          <w:iCs/>
        </w:rPr>
        <w:t xml:space="preserve">initially </w:t>
      </w:r>
      <w:r w:rsidR="00495E9E">
        <w:rPr>
          <w:iCs/>
        </w:rPr>
        <w:t>dispute</w:t>
      </w:r>
      <w:r w:rsidR="00DA1AA5">
        <w:rPr>
          <w:iCs/>
        </w:rPr>
        <w:t>d</w:t>
      </w:r>
      <w:r w:rsidR="00495E9E">
        <w:rPr>
          <w:iCs/>
        </w:rPr>
        <w:t xml:space="preserve"> the </w:t>
      </w:r>
      <w:r w:rsidR="00907D73" w:rsidRPr="00495E9E">
        <w:rPr>
          <w:iCs/>
        </w:rPr>
        <w:t xml:space="preserve">validity of the </w:t>
      </w:r>
      <w:r w:rsidR="007B33AA">
        <w:rPr>
          <w:iCs/>
        </w:rPr>
        <w:t xml:space="preserve">Main </w:t>
      </w:r>
      <w:r w:rsidR="00907D73" w:rsidRPr="00495E9E">
        <w:rPr>
          <w:iCs/>
        </w:rPr>
        <w:t>Agreement</w:t>
      </w:r>
      <w:r w:rsidR="00A3699C" w:rsidRPr="00495E9E">
        <w:rPr>
          <w:iCs/>
        </w:rPr>
        <w:t xml:space="preserve"> </w:t>
      </w:r>
      <w:r w:rsidR="00495E9E">
        <w:rPr>
          <w:iCs/>
        </w:rPr>
        <w:t xml:space="preserve">relied upon by the Applicant. </w:t>
      </w:r>
      <w:r w:rsidR="00B66148">
        <w:rPr>
          <w:iCs/>
        </w:rPr>
        <w:t xml:space="preserve">This challenge </w:t>
      </w:r>
      <w:r w:rsidR="005B04B2">
        <w:rPr>
          <w:iCs/>
        </w:rPr>
        <w:t xml:space="preserve">was </w:t>
      </w:r>
      <w:r w:rsidR="00B66148">
        <w:rPr>
          <w:iCs/>
        </w:rPr>
        <w:t>however not pursued</w:t>
      </w:r>
      <w:r w:rsidR="005B04B2">
        <w:rPr>
          <w:iCs/>
        </w:rPr>
        <w:t xml:space="preserve"> with any vigour</w:t>
      </w:r>
      <w:r w:rsidR="00B66148">
        <w:rPr>
          <w:iCs/>
        </w:rPr>
        <w:t xml:space="preserve"> in </w:t>
      </w:r>
      <w:r w:rsidR="00A34D81">
        <w:rPr>
          <w:iCs/>
        </w:rPr>
        <w:t>that in the end, the 1</w:t>
      </w:r>
      <w:r w:rsidR="00A34D81" w:rsidRPr="00A34D81">
        <w:rPr>
          <w:iCs/>
          <w:vertAlign w:val="superscript"/>
        </w:rPr>
        <w:t>st</w:t>
      </w:r>
      <w:r w:rsidR="00A34D81">
        <w:rPr>
          <w:iCs/>
        </w:rPr>
        <w:t xml:space="preserve"> – 5</w:t>
      </w:r>
      <w:r w:rsidR="00A34D81" w:rsidRPr="00A34D81">
        <w:rPr>
          <w:iCs/>
          <w:vertAlign w:val="superscript"/>
        </w:rPr>
        <w:t>th</w:t>
      </w:r>
      <w:r w:rsidR="00A34D81">
        <w:rPr>
          <w:iCs/>
        </w:rPr>
        <w:t xml:space="preserve"> Respondents</w:t>
      </w:r>
      <w:r w:rsidR="008E72C9">
        <w:rPr>
          <w:iCs/>
        </w:rPr>
        <w:t>’ case</w:t>
      </w:r>
      <w:r w:rsidR="00A34D81">
        <w:rPr>
          <w:iCs/>
        </w:rPr>
        <w:t xml:space="preserve"> essentially</w:t>
      </w:r>
      <w:r w:rsidR="008E72C9">
        <w:rPr>
          <w:iCs/>
        </w:rPr>
        <w:t xml:space="preserve"> rested on whether this Court had the requisite </w:t>
      </w:r>
      <w:r w:rsidR="00B66148">
        <w:rPr>
          <w:iCs/>
        </w:rPr>
        <w:t xml:space="preserve">jurisdiction </w:t>
      </w:r>
      <w:r w:rsidR="008E72C9">
        <w:rPr>
          <w:iCs/>
        </w:rPr>
        <w:t>to determine the application, and whether the Applicant had made out a case for final relief</w:t>
      </w:r>
      <w:r w:rsidR="00B66148">
        <w:rPr>
          <w:iCs/>
        </w:rPr>
        <w:t xml:space="preserve">. </w:t>
      </w:r>
    </w:p>
    <w:p w14:paraId="5E641E3F" w14:textId="38F5FA44" w:rsidR="00495E9E" w:rsidRPr="00B66148" w:rsidRDefault="008E6F33" w:rsidP="00B66148">
      <w:pPr>
        <w:pStyle w:val="JudgmentStyle"/>
        <w:numPr>
          <w:ilvl w:val="0"/>
          <w:numId w:val="6"/>
        </w:numPr>
        <w:spacing w:line="360" w:lineRule="auto"/>
        <w:ind w:left="720" w:right="0" w:hanging="720"/>
        <w:rPr>
          <w:iCs/>
        </w:rPr>
      </w:pPr>
      <w:r>
        <w:rPr>
          <w:iCs/>
        </w:rPr>
        <w:t xml:space="preserve">In </w:t>
      </w:r>
      <w:r w:rsidR="00B66148">
        <w:rPr>
          <w:iCs/>
        </w:rPr>
        <w:t xml:space="preserve">the Rule 6(12)(c) application, </w:t>
      </w:r>
      <w:r w:rsidR="005B04B2">
        <w:rPr>
          <w:iCs/>
        </w:rPr>
        <w:t xml:space="preserve">and further </w:t>
      </w:r>
      <w:r w:rsidR="000E1521">
        <w:rPr>
          <w:iCs/>
        </w:rPr>
        <w:t>supplementary</w:t>
      </w:r>
      <w:r w:rsidR="005B04B2">
        <w:rPr>
          <w:iCs/>
        </w:rPr>
        <w:t xml:space="preserve"> affidavits, </w:t>
      </w:r>
      <w:r w:rsidR="00B66148">
        <w:rPr>
          <w:iCs/>
        </w:rPr>
        <w:t>t</w:t>
      </w:r>
      <w:r w:rsidR="00495E9E" w:rsidRPr="00B66148">
        <w:rPr>
          <w:iCs/>
        </w:rPr>
        <w:t>he 1</w:t>
      </w:r>
      <w:r w:rsidR="00495E9E" w:rsidRPr="00B66148">
        <w:rPr>
          <w:iCs/>
          <w:vertAlign w:val="superscript"/>
        </w:rPr>
        <w:t>st</w:t>
      </w:r>
      <w:r w:rsidR="00495E9E" w:rsidRPr="00B66148">
        <w:rPr>
          <w:iCs/>
        </w:rPr>
        <w:t xml:space="preserve"> – 5</w:t>
      </w:r>
      <w:r w:rsidR="00495E9E" w:rsidRPr="00B66148">
        <w:rPr>
          <w:iCs/>
          <w:vertAlign w:val="superscript"/>
        </w:rPr>
        <w:t>th</w:t>
      </w:r>
      <w:r w:rsidR="00495E9E" w:rsidRPr="00B66148">
        <w:rPr>
          <w:iCs/>
        </w:rPr>
        <w:t xml:space="preserve"> Respondent </w:t>
      </w:r>
      <w:r w:rsidR="00B66148">
        <w:rPr>
          <w:iCs/>
        </w:rPr>
        <w:t>had also</w:t>
      </w:r>
      <w:r w:rsidR="005B04B2">
        <w:rPr>
          <w:iCs/>
        </w:rPr>
        <w:t xml:space="preserve"> raised various disputes related to </w:t>
      </w:r>
      <w:r w:rsidR="00495E9E" w:rsidRPr="00B66148">
        <w:rPr>
          <w:iCs/>
        </w:rPr>
        <w:t>t</w:t>
      </w:r>
      <w:r w:rsidR="00E66467" w:rsidRPr="00B66148">
        <w:rPr>
          <w:iCs/>
        </w:rPr>
        <w:t>he Applicant</w:t>
      </w:r>
      <w:r w:rsidR="00B66148">
        <w:rPr>
          <w:iCs/>
        </w:rPr>
        <w:t>’s</w:t>
      </w:r>
      <w:r w:rsidR="00495E9E" w:rsidRPr="00B66148">
        <w:rPr>
          <w:iCs/>
        </w:rPr>
        <w:t xml:space="preserve"> lack</w:t>
      </w:r>
      <w:r w:rsidR="005B04B2">
        <w:rPr>
          <w:iCs/>
        </w:rPr>
        <w:t xml:space="preserve"> of</w:t>
      </w:r>
      <w:r w:rsidR="00495E9E" w:rsidRPr="00B66148">
        <w:rPr>
          <w:iCs/>
        </w:rPr>
        <w:t xml:space="preserve"> </w:t>
      </w:r>
      <w:r w:rsidR="00495E9E" w:rsidRPr="00B66148">
        <w:rPr>
          <w:i/>
        </w:rPr>
        <w:t xml:space="preserve">locus standi </w:t>
      </w:r>
      <w:r w:rsidR="00495E9E" w:rsidRPr="00B66148">
        <w:rPr>
          <w:iCs/>
        </w:rPr>
        <w:t>to have brought the urgent application</w:t>
      </w:r>
      <w:r w:rsidR="00B66148">
        <w:rPr>
          <w:iCs/>
        </w:rPr>
        <w:t>.</w:t>
      </w:r>
      <w:r w:rsidR="005B04B2">
        <w:rPr>
          <w:iCs/>
        </w:rPr>
        <w:t xml:space="preserve"> Allegations in this regard were that </w:t>
      </w:r>
      <w:r w:rsidR="00B66148">
        <w:rPr>
          <w:iCs/>
        </w:rPr>
        <w:t xml:space="preserve"> the Applicant</w:t>
      </w:r>
      <w:r w:rsidR="00495E9E" w:rsidRPr="00B66148">
        <w:rPr>
          <w:iCs/>
        </w:rPr>
        <w:t xml:space="preserve"> </w:t>
      </w:r>
      <w:r w:rsidR="00E66467" w:rsidRPr="00B66148">
        <w:rPr>
          <w:iCs/>
        </w:rPr>
        <w:t>ha</w:t>
      </w:r>
      <w:r w:rsidR="00495E9E" w:rsidRPr="00B66148">
        <w:rPr>
          <w:iCs/>
        </w:rPr>
        <w:t>d</w:t>
      </w:r>
      <w:r w:rsidR="00E66467" w:rsidRPr="00B66148">
        <w:rPr>
          <w:iCs/>
        </w:rPr>
        <w:t xml:space="preserve"> not registered itself with the Estate Agents Affairs Board, and </w:t>
      </w:r>
      <w:r w:rsidR="00B66148">
        <w:rPr>
          <w:iCs/>
        </w:rPr>
        <w:t>was</w:t>
      </w:r>
      <w:r w:rsidR="00E66467" w:rsidRPr="00B66148">
        <w:rPr>
          <w:iCs/>
        </w:rPr>
        <w:t xml:space="preserve"> accordingly not in possession of the requisite Fidelity Fund Certificate for </w:t>
      </w:r>
      <w:r w:rsidR="00495E9E" w:rsidRPr="00B66148">
        <w:rPr>
          <w:iCs/>
        </w:rPr>
        <w:t xml:space="preserve">it </w:t>
      </w:r>
      <w:r w:rsidR="00E66467" w:rsidRPr="00B66148">
        <w:rPr>
          <w:iCs/>
        </w:rPr>
        <w:t>to operate as Estate Agent or management agent</w:t>
      </w:r>
      <w:r w:rsidR="00A103EC" w:rsidRPr="00B66148">
        <w:rPr>
          <w:iCs/>
        </w:rPr>
        <w:t>.</w:t>
      </w:r>
    </w:p>
    <w:p w14:paraId="3AF569A5" w14:textId="3633F7BB" w:rsidR="005B04B2" w:rsidRPr="005B04B2" w:rsidRDefault="00495E9E" w:rsidP="005B04B2">
      <w:pPr>
        <w:pStyle w:val="JudgmentStyle"/>
        <w:numPr>
          <w:ilvl w:val="0"/>
          <w:numId w:val="6"/>
        </w:numPr>
        <w:spacing w:line="360" w:lineRule="auto"/>
        <w:ind w:left="720" w:right="0" w:hanging="720"/>
        <w:rPr>
          <w:iCs/>
        </w:rPr>
      </w:pPr>
      <w:r>
        <w:rPr>
          <w:iCs/>
        </w:rPr>
        <w:t>The 1</w:t>
      </w:r>
      <w:r w:rsidRPr="00495E9E">
        <w:rPr>
          <w:iCs/>
          <w:vertAlign w:val="superscript"/>
        </w:rPr>
        <w:t>st</w:t>
      </w:r>
      <w:r>
        <w:rPr>
          <w:iCs/>
        </w:rPr>
        <w:t xml:space="preserve"> - 5</w:t>
      </w:r>
      <w:r w:rsidRPr="00495E9E">
        <w:rPr>
          <w:iCs/>
          <w:vertAlign w:val="superscript"/>
        </w:rPr>
        <w:t>th</w:t>
      </w:r>
      <w:r>
        <w:rPr>
          <w:iCs/>
        </w:rPr>
        <w:t xml:space="preserve"> Respondents also disputed t</w:t>
      </w:r>
      <w:r w:rsidR="0064326E" w:rsidRPr="0064326E">
        <w:rPr>
          <w:iCs/>
        </w:rPr>
        <w:t xml:space="preserve">he mandate of the Applicant as </w:t>
      </w:r>
      <w:r w:rsidR="0064326E" w:rsidRPr="00495E9E">
        <w:rPr>
          <w:iCs/>
        </w:rPr>
        <w:t>m</w:t>
      </w:r>
      <w:r w:rsidR="0064326E" w:rsidRPr="0064326E">
        <w:rPr>
          <w:iCs/>
        </w:rPr>
        <w:t xml:space="preserve">anaging </w:t>
      </w:r>
      <w:r w:rsidR="0064326E" w:rsidRPr="00495E9E">
        <w:rPr>
          <w:iCs/>
        </w:rPr>
        <w:t>a</w:t>
      </w:r>
      <w:r w:rsidR="0064326E" w:rsidRPr="0064326E">
        <w:rPr>
          <w:iCs/>
        </w:rPr>
        <w:t>gent</w:t>
      </w:r>
      <w:r>
        <w:rPr>
          <w:iCs/>
        </w:rPr>
        <w:t xml:space="preserve">, contending that </w:t>
      </w:r>
      <w:r w:rsidR="00250155">
        <w:rPr>
          <w:iCs/>
        </w:rPr>
        <w:t xml:space="preserve">if there was indeed an Agreement, that mandate has since been </w:t>
      </w:r>
      <w:r w:rsidR="0064326E" w:rsidRPr="0064326E">
        <w:rPr>
          <w:iCs/>
        </w:rPr>
        <w:t>terminated</w:t>
      </w:r>
      <w:r w:rsidR="00250155">
        <w:rPr>
          <w:iCs/>
        </w:rPr>
        <w:t>. Reliance was placed on a separate</w:t>
      </w:r>
      <w:r w:rsidR="008E72C9">
        <w:rPr>
          <w:iCs/>
        </w:rPr>
        <w:t xml:space="preserve"> </w:t>
      </w:r>
      <w:r w:rsidR="008E72C9" w:rsidRPr="008E72C9">
        <w:rPr>
          <w:i/>
        </w:rPr>
        <w:t>Service A</w:t>
      </w:r>
      <w:r w:rsidR="00250155" w:rsidRPr="008E72C9">
        <w:rPr>
          <w:i/>
        </w:rPr>
        <w:t>greement</w:t>
      </w:r>
      <w:r w:rsidR="008E72C9" w:rsidRPr="008E72C9">
        <w:rPr>
          <w:i/>
        </w:rPr>
        <w:t xml:space="preserve"> Contract</w:t>
      </w:r>
      <w:r w:rsidR="00250155">
        <w:rPr>
          <w:iCs/>
        </w:rPr>
        <w:t xml:space="preserve"> entered into between </w:t>
      </w:r>
      <w:r w:rsidR="0064326E" w:rsidRPr="0064326E">
        <w:rPr>
          <w:iCs/>
        </w:rPr>
        <w:t xml:space="preserve">the </w:t>
      </w:r>
      <w:r w:rsidR="00FB43DB">
        <w:rPr>
          <w:iCs/>
        </w:rPr>
        <w:t xml:space="preserve">Directors of the </w:t>
      </w:r>
      <w:r w:rsidR="0064326E" w:rsidRPr="0064326E">
        <w:rPr>
          <w:iCs/>
        </w:rPr>
        <w:t xml:space="preserve">Cooperative </w:t>
      </w:r>
      <w:r w:rsidR="00250155">
        <w:rPr>
          <w:iCs/>
        </w:rPr>
        <w:t xml:space="preserve">and </w:t>
      </w:r>
      <w:r w:rsidR="0073216B" w:rsidRPr="00250155">
        <w:rPr>
          <w:iCs/>
        </w:rPr>
        <w:t>City Accommodations</w:t>
      </w:r>
      <w:r w:rsidR="00250155">
        <w:rPr>
          <w:iCs/>
        </w:rPr>
        <w:t xml:space="preserve"> on 01</w:t>
      </w:r>
      <w:r w:rsidR="00492535">
        <w:rPr>
          <w:iCs/>
        </w:rPr>
        <w:t> </w:t>
      </w:r>
      <w:r w:rsidR="00250155">
        <w:rPr>
          <w:iCs/>
        </w:rPr>
        <w:t>February</w:t>
      </w:r>
      <w:r w:rsidR="00492535">
        <w:rPr>
          <w:iCs/>
        </w:rPr>
        <w:t> </w:t>
      </w:r>
      <w:r w:rsidR="00250155">
        <w:rPr>
          <w:iCs/>
        </w:rPr>
        <w:t xml:space="preserve">2020, in terms of which the latter was </w:t>
      </w:r>
      <w:r w:rsidR="00A103EC" w:rsidRPr="00250155">
        <w:rPr>
          <w:iCs/>
        </w:rPr>
        <w:t>duly appointed</w:t>
      </w:r>
      <w:r w:rsidR="00250155">
        <w:rPr>
          <w:iCs/>
        </w:rPr>
        <w:t xml:space="preserve"> as the</w:t>
      </w:r>
      <w:r w:rsidR="00A103EC" w:rsidRPr="00250155">
        <w:rPr>
          <w:iCs/>
        </w:rPr>
        <w:t xml:space="preserve"> management agent of the </w:t>
      </w:r>
      <w:r w:rsidR="0073216B" w:rsidRPr="00250155">
        <w:rPr>
          <w:iCs/>
        </w:rPr>
        <w:t>Cooperative</w:t>
      </w:r>
      <w:r w:rsidR="00250155">
        <w:rPr>
          <w:iCs/>
        </w:rPr>
        <w:t>.</w:t>
      </w:r>
      <w:r w:rsidR="005B04B2">
        <w:rPr>
          <w:iCs/>
        </w:rPr>
        <w:t xml:space="preserve"> T</w:t>
      </w:r>
      <w:r w:rsidR="005B04B2" w:rsidRPr="005B04B2">
        <w:rPr>
          <w:iCs/>
        </w:rPr>
        <w:t xml:space="preserve">hese disputed facts </w:t>
      </w:r>
      <w:r w:rsidR="005B04B2">
        <w:rPr>
          <w:iCs/>
        </w:rPr>
        <w:t xml:space="preserve">will be dealt with </w:t>
      </w:r>
      <w:r w:rsidR="005B04B2" w:rsidRPr="005B04B2">
        <w:rPr>
          <w:iCs/>
        </w:rPr>
        <w:t>later in this judgment</w:t>
      </w:r>
      <w:r w:rsidR="005B04B2">
        <w:rPr>
          <w:iCs/>
        </w:rPr>
        <w:t>.</w:t>
      </w:r>
    </w:p>
    <w:p w14:paraId="148D8FC0" w14:textId="77777777" w:rsidR="0082511D" w:rsidRDefault="0082511D" w:rsidP="00FB43DB">
      <w:pPr>
        <w:pStyle w:val="JudgmentStyle"/>
        <w:numPr>
          <w:ilvl w:val="0"/>
          <w:numId w:val="0"/>
        </w:numPr>
        <w:spacing w:line="360" w:lineRule="auto"/>
        <w:ind w:left="720" w:right="0"/>
        <w:rPr>
          <w:i/>
        </w:rPr>
      </w:pPr>
    </w:p>
    <w:p w14:paraId="5CBFF3AB" w14:textId="15D0645C" w:rsidR="00FB43DB" w:rsidRPr="00FB43DB" w:rsidRDefault="00FB43DB" w:rsidP="00FB43DB">
      <w:pPr>
        <w:pStyle w:val="JudgmentStyle"/>
        <w:numPr>
          <w:ilvl w:val="0"/>
          <w:numId w:val="0"/>
        </w:numPr>
        <w:spacing w:line="360" w:lineRule="auto"/>
        <w:ind w:left="720" w:right="0"/>
        <w:rPr>
          <w:i/>
        </w:rPr>
      </w:pPr>
      <w:r w:rsidRPr="00FB43DB">
        <w:rPr>
          <w:i/>
        </w:rPr>
        <w:lastRenderedPageBreak/>
        <w:t xml:space="preserve">Jurisdiction: </w:t>
      </w:r>
    </w:p>
    <w:p w14:paraId="2BE59413" w14:textId="02B38BB7" w:rsidR="004461C3" w:rsidRPr="00CE47A9" w:rsidRDefault="007B33AA" w:rsidP="00CE47A9">
      <w:pPr>
        <w:pStyle w:val="JudgmentStyle"/>
        <w:numPr>
          <w:ilvl w:val="0"/>
          <w:numId w:val="6"/>
        </w:numPr>
        <w:spacing w:line="360" w:lineRule="auto"/>
        <w:ind w:left="720" w:right="0" w:hanging="720"/>
        <w:rPr>
          <w:iCs/>
        </w:rPr>
      </w:pPr>
      <w:r>
        <w:rPr>
          <w:iCs/>
        </w:rPr>
        <w:t xml:space="preserve">Notwithstanding a myriad of disputes of fact raised in all the pleadings, on the </w:t>
      </w:r>
      <w:r w:rsidR="00AA19B7">
        <w:rPr>
          <w:iCs/>
        </w:rPr>
        <w:t>return date, central to the 1</w:t>
      </w:r>
      <w:r w:rsidR="00AA19B7" w:rsidRPr="00AA19B7">
        <w:rPr>
          <w:iCs/>
          <w:vertAlign w:val="superscript"/>
        </w:rPr>
        <w:t>st</w:t>
      </w:r>
      <w:r w:rsidR="00AA19B7">
        <w:rPr>
          <w:iCs/>
        </w:rPr>
        <w:t xml:space="preserve"> – 5</w:t>
      </w:r>
      <w:r w:rsidR="00AA19B7" w:rsidRPr="00AA19B7">
        <w:rPr>
          <w:iCs/>
          <w:vertAlign w:val="superscript"/>
        </w:rPr>
        <w:t>th</w:t>
      </w:r>
      <w:r w:rsidR="00AA19B7">
        <w:rPr>
          <w:iCs/>
        </w:rPr>
        <w:t xml:space="preserve"> Respondents’ defence </w:t>
      </w:r>
      <w:r w:rsidR="008F1659">
        <w:rPr>
          <w:iCs/>
        </w:rPr>
        <w:t xml:space="preserve">in resisting the relief sought by the Applicant was that this Court lacks jurisdiction to consider the application. </w:t>
      </w:r>
      <w:r w:rsidR="004461C3">
        <w:rPr>
          <w:iCs/>
        </w:rPr>
        <w:t xml:space="preserve">In </w:t>
      </w:r>
      <w:r w:rsidR="004461C3" w:rsidRPr="004461C3">
        <w:rPr>
          <w:i/>
          <w:iCs/>
        </w:rPr>
        <w:t>Zhongji Development Construction Engineering Company Limited vs Kamoto Copper Company SARL</w:t>
      </w:r>
      <w:r w:rsidR="004461C3">
        <w:rPr>
          <w:rStyle w:val="FootnoteReference"/>
          <w:i/>
          <w:iCs/>
        </w:rPr>
        <w:footnoteReference w:id="1"/>
      </w:r>
      <w:r w:rsidR="004461C3">
        <w:t xml:space="preserve">, it was reaffirmed that </w:t>
      </w:r>
      <w:r w:rsidR="004461C3">
        <w:rPr>
          <w:iCs/>
        </w:rPr>
        <w:t>w</w:t>
      </w:r>
      <w:r w:rsidR="004461C3" w:rsidRPr="004461C3">
        <w:rPr>
          <w:iCs/>
        </w:rPr>
        <w:t xml:space="preserve">hen a party raises a challenge to the jurisdiction of a court, this issue must necessarily be resolved before any other issues in the proceedings. </w:t>
      </w:r>
      <w:r w:rsidR="004461C3">
        <w:rPr>
          <w:iCs/>
        </w:rPr>
        <w:t xml:space="preserve">This was so in that </w:t>
      </w:r>
      <w:r w:rsidR="00CE47A9">
        <w:rPr>
          <w:iCs/>
        </w:rPr>
        <w:t xml:space="preserve">if </w:t>
      </w:r>
      <w:r w:rsidR="004461C3" w:rsidRPr="004461C3">
        <w:rPr>
          <w:iCs/>
        </w:rPr>
        <w:t xml:space="preserve">the court </w:t>
      </w:r>
      <w:r w:rsidR="00CE47A9">
        <w:rPr>
          <w:iCs/>
        </w:rPr>
        <w:t xml:space="preserve">lacked </w:t>
      </w:r>
      <w:r w:rsidR="004461C3" w:rsidRPr="004461C3">
        <w:rPr>
          <w:iCs/>
        </w:rPr>
        <w:t>jurisdiction, it is precluded from dealing with the merits of the matter brought to it</w:t>
      </w:r>
      <w:r w:rsidR="00CE47A9">
        <w:rPr>
          <w:rStyle w:val="FootnoteReference"/>
          <w:iCs/>
        </w:rPr>
        <w:footnoteReference w:id="2"/>
      </w:r>
      <w:r w:rsidR="00CE47A9">
        <w:rPr>
          <w:iCs/>
        </w:rPr>
        <w:t>.</w:t>
      </w:r>
    </w:p>
    <w:p w14:paraId="3C7029C7" w14:textId="121033E9" w:rsidR="00A44433" w:rsidRDefault="00813981" w:rsidP="00813981">
      <w:pPr>
        <w:pStyle w:val="JudgmentStyle"/>
        <w:numPr>
          <w:ilvl w:val="0"/>
          <w:numId w:val="6"/>
        </w:numPr>
        <w:spacing w:line="360" w:lineRule="auto"/>
        <w:ind w:left="720" w:right="0" w:hanging="720"/>
        <w:rPr>
          <w:iCs/>
        </w:rPr>
      </w:pPr>
      <w:r>
        <w:rPr>
          <w:iCs/>
        </w:rPr>
        <w:t xml:space="preserve">The question of jurisdiction arose flowing from the </w:t>
      </w:r>
      <w:r w:rsidR="00966BF8" w:rsidRPr="00813981">
        <w:rPr>
          <w:iCs/>
        </w:rPr>
        <w:t xml:space="preserve">provisions of </w:t>
      </w:r>
      <w:r w:rsidR="00DA7232" w:rsidRPr="00813981">
        <w:rPr>
          <w:iCs/>
        </w:rPr>
        <w:t xml:space="preserve">Clause 5 of </w:t>
      </w:r>
      <w:r w:rsidR="00966BF8" w:rsidRPr="00813981">
        <w:rPr>
          <w:iCs/>
        </w:rPr>
        <w:t>th</w:t>
      </w:r>
      <w:r w:rsidR="007C2504">
        <w:rPr>
          <w:iCs/>
        </w:rPr>
        <w:t>e Main</w:t>
      </w:r>
      <w:r w:rsidR="00966BF8" w:rsidRPr="00813981">
        <w:rPr>
          <w:iCs/>
        </w:rPr>
        <w:t xml:space="preserve"> Agreement</w:t>
      </w:r>
      <w:r w:rsidR="00082787">
        <w:rPr>
          <w:rStyle w:val="FootnoteReference"/>
          <w:iCs/>
        </w:rPr>
        <w:footnoteReference w:id="3"/>
      </w:r>
      <w:r w:rsidR="00082787" w:rsidRPr="00813981">
        <w:rPr>
          <w:iCs/>
        </w:rPr>
        <w:t xml:space="preserve">, which provides </w:t>
      </w:r>
      <w:r w:rsidR="00864C49">
        <w:rPr>
          <w:iCs/>
        </w:rPr>
        <w:t xml:space="preserve">that </w:t>
      </w:r>
      <w:r w:rsidR="00082787" w:rsidRPr="00813981">
        <w:rPr>
          <w:iCs/>
        </w:rPr>
        <w:t>dispute</w:t>
      </w:r>
      <w:r w:rsidR="00864C49">
        <w:rPr>
          <w:iCs/>
        </w:rPr>
        <w:t>s</w:t>
      </w:r>
      <w:r w:rsidR="00082787" w:rsidRPr="00813981">
        <w:rPr>
          <w:iCs/>
        </w:rPr>
        <w:t xml:space="preserve"> between the parties</w:t>
      </w:r>
      <w:r w:rsidR="00864C49">
        <w:rPr>
          <w:iCs/>
        </w:rPr>
        <w:t xml:space="preserve"> (</w:t>
      </w:r>
      <w:r w:rsidR="00EF1482" w:rsidRPr="000E1521">
        <w:rPr>
          <w:i/>
          <w:iCs/>
        </w:rPr>
        <w:t>i.e.</w:t>
      </w:r>
      <w:r w:rsidR="009A3CE7" w:rsidRPr="000E1521">
        <w:rPr>
          <w:i/>
          <w:iCs/>
        </w:rPr>
        <w:t>,</w:t>
      </w:r>
      <w:r w:rsidR="009A3CE7">
        <w:rPr>
          <w:iCs/>
        </w:rPr>
        <w:t xml:space="preserve"> </w:t>
      </w:r>
      <w:r w:rsidR="00864C49">
        <w:rPr>
          <w:iCs/>
        </w:rPr>
        <w:t xml:space="preserve">The </w:t>
      </w:r>
      <w:r w:rsidR="004F6112">
        <w:rPr>
          <w:iCs/>
        </w:rPr>
        <w:t>A</w:t>
      </w:r>
      <w:r w:rsidR="00864C49">
        <w:rPr>
          <w:iCs/>
        </w:rPr>
        <w:t>pplicant and the Co-operative), must</w:t>
      </w:r>
      <w:r w:rsidR="00082787" w:rsidRPr="00813981">
        <w:rPr>
          <w:iCs/>
        </w:rPr>
        <w:t xml:space="preserve"> be referred </w:t>
      </w:r>
      <w:r w:rsidR="00DA7232" w:rsidRPr="00813981">
        <w:rPr>
          <w:iCs/>
        </w:rPr>
        <w:t xml:space="preserve">for </w:t>
      </w:r>
      <w:r w:rsidR="00082787" w:rsidRPr="00813981">
        <w:rPr>
          <w:iCs/>
        </w:rPr>
        <w:t>a final and binding arbitration process before a Co-</w:t>
      </w:r>
      <w:r w:rsidR="00F52296" w:rsidRPr="00813981">
        <w:rPr>
          <w:iCs/>
        </w:rPr>
        <w:t>operative</w:t>
      </w:r>
      <w:r w:rsidR="00082787" w:rsidRPr="00813981">
        <w:rPr>
          <w:iCs/>
        </w:rPr>
        <w:t xml:space="preserve"> Tribunal</w:t>
      </w:r>
      <w:r w:rsidR="00DA7232" w:rsidRPr="00813981">
        <w:rPr>
          <w:iCs/>
        </w:rPr>
        <w:t>.</w:t>
      </w:r>
    </w:p>
    <w:p w14:paraId="227BA0E1" w14:textId="7CC4E9E4" w:rsidR="0076190F" w:rsidRPr="0076190F" w:rsidRDefault="00864C49" w:rsidP="0020001C">
      <w:pPr>
        <w:pStyle w:val="JudgmentStyle"/>
        <w:numPr>
          <w:ilvl w:val="0"/>
          <w:numId w:val="6"/>
        </w:numPr>
        <w:spacing w:line="360" w:lineRule="auto"/>
        <w:ind w:left="720" w:right="0" w:hanging="720"/>
        <w:rPr>
          <w:iCs/>
        </w:rPr>
      </w:pPr>
      <w:r>
        <w:rPr>
          <w:iCs/>
        </w:rPr>
        <w:t xml:space="preserve">The </w:t>
      </w:r>
      <w:r w:rsidR="0020001C">
        <w:rPr>
          <w:iCs/>
        </w:rPr>
        <w:t xml:space="preserve">submissions made </w:t>
      </w:r>
      <w:r>
        <w:rPr>
          <w:iCs/>
        </w:rPr>
        <w:t>by the 1</w:t>
      </w:r>
      <w:r w:rsidRPr="00864C49">
        <w:rPr>
          <w:iCs/>
          <w:vertAlign w:val="superscript"/>
        </w:rPr>
        <w:t>st</w:t>
      </w:r>
      <w:r>
        <w:rPr>
          <w:iCs/>
        </w:rPr>
        <w:t xml:space="preserve"> – 5</w:t>
      </w:r>
      <w:r w:rsidRPr="00864C49">
        <w:rPr>
          <w:iCs/>
          <w:vertAlign w:val="superscript"/>
        </w:rPr>
        <w:t>th</w:t>
      </w:r>
      <w:r>
        <w:rPr>
          <w:iCs/>
        </w:rPr>
        <w:t xml:space="preserve"> Respondents </w:t>
      </w:r>
      <w:r w:rsidR="0020001C">
        <w:rPr>
          <w:iCs/>
        </w:rPr>
        <w:t xml:space="preserve">were </w:t>
      </w:r>
      <w:r>
        <w:rPr>
          <w:iCs/>
        </w:rPr>
        <w:t>that the Applicant had not pleaded that the Court had the requisite jurisdiction</w:t>
      </w:r>
      <w:r w:rsidR="007122BD">
        <w:rPr>
          <w:iCs/>
        </w:rPr>
        <w:t xml:space="preserve"> to determine its </w:t>
      </w:r>
      <w:r w:rsidR="007122BD">
        <w:rPr>
          <w:iCs/>
        </w:rPr>
        <w:lastRenderedPageBreak/>
        <w:t>application</w:t>
      </w:r>
      <w:r>
        <w:rPr>
          <w:iCs/>
        </w:rPr>
        <w:t xml:space="preserve">. Reference was made to </w:t>
      </w:r>
      <w:r w:rsidRPr="0037306B">
        <w:rPr>
          <w:i/>
        </w:rPr>
        <w:t>Girdwood v Theron</w:t>
      </w:r>
      <w:r>
        <w:rPr>
          <w:rStyle w:val="FootnoteReference"/>
          <w:i/>
        </w:rPr>
        <w:footnoteReference w:id="4"/>
      </w:r>
      <w:r w:rsidR="00D35ABA">
        <w:rPr>
          <w:iCs/>
        </w:rPr>
        <w:t xml:space="preserve"> for the proposition that it was fatal for an applicant in pleadings to fail to </w:t>
      </w:r>
      <w:r w:rsidR="0037306B" w:rsidRPr="0037306B">
        <w:rPr>
          <w:iCs/>
        </w:rPr>
        <w:t>set forth particulars showing that the court has jurisdiction</w:t>
      </w:r>
      <w:r w:rsidR="00D35ABA">
        <w:rPr>
          <w:iCs/>
        </w:rPr>
        <w:t xml:space="preserve">. </w:t>
      </w:r>
      <w:r w:rsidR="0020001C">
        <w:rPr>
          <w:iCs/>
        </w:rPr>
        <w:t xml:space="preserve">Aligned to this submission was that </w:t>
      </w:r>
      <w:r w:rsidR="00D35ABA" w:rsidRPr="0020001C">
        <w:rPr>
          <w:iCs/>
        </w:rPr>
        <w:t xml:space="preserve">the Applicant failed to explain why the </w:t>
      </w:r>
      <w:r w:rsidR="009A3CE7" w:rsidRPr="0020001C">
        <w:rPr>
          <w:iCs/>
        </w:rPr>
        <w:t>C</w:t>
      </w:r>
      <w:r w:rsidR="00D35ABA" w:rsidRPr="0020001C">
        <w:rPr>
          <w:iCs/>
        </w:rPr>
        <w:t xml:space="preserve">ourt ought to disregard the provisions of the very same agreement </w:t>
      </w:r>
      <w:r w:rsidR="0020001C">
        <w:rPr>
          <w:iCs/>
        </w:rPr>
        <w:t xml:space="preserve">it had </w:t>
      </w:r>
      <w:r w:rsidR="00D35ABA" w:rsidRPr="0020001C">
        <w:rPr>
          <w:iCs/>
        </w:rPr>
        <w:t>relied upon in seeking relief.</w:t>
      </w:r>
      <w:r w:rsidR="0076190F" w:rsidRPr="0020001C">
        <w:rPr>
          <w:iCs/>
        </w:rPr>
        <w:t xml:space="preserve"> </w:t>
      </w:r>
    </w:p>
    <w:p w14:paraId="76932D57" w14:textId="3D03A999" w:rsidR="008E4782" w:rsidRPr="008E4782" w:rsidRDefault="007C2504" w:rsidP="008E4782">
      <w:pPr>
        <w:pStyle w:val="JudgmentStyle"/>
        <w:numPr>
          <w:ilvl w:val="0"/>
          <w:numId w:val="6"/>
        </w:numPr>
        <w:spacing w:line="360" w:lineRule="auto"/>
        <w:ind w:left="720" w:right="0" w:hanging="720"/>
        <w:rPr>
          <w:iCs/>
        </w:rPr>
      </w:pPr>
      <w:r>
        <w:rPr>
          <w:iCs/>
        </w:rPr>
        <w:t xml:space="preserve">The legal position in regards to the jurisdiction of this Court in the face of an agreement to submit disputes </w:t>
      </w:r>
      <w:r w:rsidRPr="007C2504">
        <w:rPr>
          <w:iCs/>
        </w:rPr>
        <w:t>to final and binding arbitration</w:t>
      </w:r>
      <w:r w:rsidR="00B63FC3">
        <w:rPr>
          <w:iCs/>
        </w:rPr>
        <w:t xml:space="preserve"> can be said to be fairly settled. </w:t>
      </w:r>
      <w:r w:rsidR="008E4782">
        <w:rPr>
          <w:iCs/>
        </w:rPr>
        <w:t>As a starting point, counsel for the 1</w:t>
      </w:r>
      <w:r w:rsidR="008E4782" w:rsidRPr="008E4782">
        <w:rPr>
          <w:iCs/>
          <w:vertAlign w:val="superscript"/>
        </w:rPr>
        <w:t>st</w:t>
      </w:r>
      <w:r w:rsidR="008E4782">
        <w:rPr>
          <w:iCs/>
        </w:rPr>
        <w:t xml:space="preserve"> – 5</w:t>
      </w:r>
      <w:r w:rsidR="008E4782" w:rsidRPr="008E4782">
        <w:rPr>
          <w:iCs/>
          <w:vertAlign w:val="superscript"/>
        </w:rPr>
        <w:t>th</w:t>
      </w:r>
      <w:r w:rsidR="008E4782">
        <w:rPr>
          <w:iCs/>
        </w:rPr>
        <w:t xml:space="preserve"> </w:t>
      </w:r>
      <w:r w:rsidR="007B33AA">
        <w:rPr>
          <w:iCs/>
        </w:rPr>
        <w:t>R</w:t>
      </w:r>
      <w:r w:rsidR="008E4782">
        <w:rPr>
          <w:iCs/>
        </w:rPr>
        <w:t xml:space="preserve">espondents had correctly pointed out that the Applicant failed to plead the basis </w:t>
      </w:r>
      <w:r w:rsidR="001613DC">
        <w:rPr>
          <w:iCs/>
        </w:rPr>
        <w:t xml:space="preserve">upon which this </w:t>
      </w:r>
      <w:r w:rsidR="008E4782">
        <w:rPr>
          <w:iCs/>
        </w:rPr>
        <w:t>Court</w:t>
      </w:r>
      <w:r w:rsidR="001613DC">
        <w:rPr>
          <w:iCs/>
        </w:rPr>
        <w:t xml:space="preserve"> had</w:t>
      </w:r>
      <w:r w:rsidR="008E4782">
        <w:rPr>
          <w:iCs/>
        </w:rPr>
        <w:t xml:space="preserve"> jurisdiction</w:t>
      </w:r>
      <w:r w:rsidR="007B33AA">
        <w:rPr>
          <w:iCs/>
        </w:rPr>
        <w:t xml:space="preserve">. </w:t>
      </w:r>
      <w:r w:rsidR="00775445">
        <w:rPr>
          <w:iCs/>
        </w:rPr>
        <w:t>However, i</w:t>
      </w:r>
      <w:r w:rsidR="007B33AA">
        <w:rPr>
          <w:iCs/>
        </w:rPr>
        <w:t xml:space="preserve">n </w:t>
      </w:r>
      <w:r w:rsidR="008E4782" w:rsidRPr="008E4782">
        <w:rPr>
          <w:i/>
          <w:iCs/>
          <w:lang w:val="en-GB"/>
        </w:rPr>
        <w:t>Foize Beheer BV and Others</w:t>
      </w:r>
      <w:r w:rsidR="008E4782" w:rsidRPr="008E4782">
        <w:rPr>
          <w:iCs/>
          <w:vertAlign w:val="superscript"/>
          <w:lang w:val="en-GB"/>
        </w:rPr>
        <w:footnoteReference w:id="5"/>
      </w:r>
      <w:r w:rsidR="001613DC">
        <w:rPr>
          <w:i/>
          <w:iCs/>
          <w:lang w:val="en-GB"/>
        </w:rPr>
        <w:t>,</w:t>
      </w:r>
      <w:r w:rsidR="008E4782" w:rsidRPr="008E4782">
        <w:rPr>
          <w:iCs/>
          <w:lang w:val="en-GB"/>
        </w:rPr>
        <w:t xml:space="preserve"> the </w:t>
      </w:r>
      <w:r w:rsidR="007F73C0">
        <w:rPr>
          <w:iCs/>
          <w:lang w:val="en-GB"/>
        </w:rPr>
        <w:t>Supreme Court of Appeal (</w:t>
      </w:r>
      <w:r w:rsidR="008E4782" w:rsidRPr="008E4782">
        <w:rPr>
          <w:iCs/>
          <w:lang w:val="en-GB"/>
        </w:rPr>
        <w:t>SCA</w:t>
      </w:r>
      <w:r w:rsidR="007F73C0">
        <w:rPr>
          <w:iCs/>
          <w:lang w:val="en-GB"/>
        </w:rPr>
        <w:t>)</w:t>
      </w:r>
      <w:r w:rsidR="008E4782" w:rsidRPr="008E4782">
        <w:rPr>
          <w:iCs/>
          <w:lang w:val="en-GB"/>
        </w:rPr>
        <w:t xml:space="preserve"> ha</w:t>
      </w:r>
      <w:r w:rsidR="008E4782">
        <w:rPr>
          <w:iCs/>
          <w:lang w:val="en-GB"/>
        </w:rPr>
        <w:t>s since</w:t>
      </w:r>
      <w:r w:rsidR="008E4782" w:rsidRPr="008E4782">
        <w:rPr>
          <w:iCs/>
          <w:lang w:val="en-GB"/>
        </w:rPr>
        <w:t xml:space="preserve"> reaffirmed the legal position that </w:t>
      </w:r>
      <w:r w:rsidR="008E4782" w:rsidRPr="008E4782">
        <w:rPr>
          <w:iCs/>
        </w:rPr>
        <w:t xml:space="preserve">in the end, </w:t>
      </w:r>
      <w:r w:rsidR="008E4782" w:rsidRPr="008E4782">
        <w:rPr>
          <w:iCs/>
          <w:lang w:val="en-GB"/>
        </w:rPr>
        <w:t xml:space="preserve">jurisdiction is determined by the court and not the parties. </w:t>
      </w:r>
      <w:r w:rsidR="001613DC">
        <w:rPr>
          <w:iCs/>
          <w:lang w:val="en-GB"/>
        </w:rPr>
        <w:t xml:space="preserve">Once this issue is raised as a preliminary point, it is for the Court to </w:t>
      </w:r>
      <w:r w:rsidR="00EF1482">
        <w:rPr>
          <w:iCs/>
          <w:lang w:val="en-GB"/>
        </w:rPr>
        <w:t>decide</w:t>
      </w:r>
      <w:r w:rsidR="0082511D">
        <w:rPr>
          <w:iCs/>
          <w:lang w:val="en-GB"/>
        </w:rPr>
        <w:t>,</w:t>
      </w:r>
      <w:r w:rsidR="001613DC">
        <w:rPr>
          <w:iCs/>
          <w:lang w:val="en-GB"/>
        </w:rPr>
        <w:t xml:space="preserve"> even if the Applicant’s founding affidavit was found wanting in that regard.</w:t>
      </w:r>
      <w:r w:rsidR="00182D83">
        <w:rPr>
          <w:iCs/>
          <w:lang w:val="en-GB"/>
        </w:rPr>
        <w:t xml:space="preserve"> It follows that the application cannot merely be dismissed </w:t>
      </w:r>
      <w:r w:rsidR="00E60D26">
        <w:rPr>
          <w:iCs/>
          <w:lang w:val="en-GB"/>
        </w:rPr>
        <w:t>based on</w:t>
      </w:r>
      <w:r w:rsidR="00182D83">
        <w:rPr>
          <w:iCs/>
          <w:lang w:val="en-GB"/>
        </w:rPr>
        <w:t xml:space="preserve"> a failure to plead jurisdiction. This is but one of the </w:t>
      </w:r>
      <w:r w:rsidR="0082511D">
        <w:rPr>
          <w:iCs/>
          <w:lang w:val="en-GB"/>
        </w:rPr>
        <w:t xml:space="preserve">overall </w:t>
      </w:r>
      <w:r w:rsidR="00E60D26">
        <w:rPr>
          <w:iCs/>
          <w:lang w:val="en-GB"/>
        </w:rPr>
        <w:t>factors</w:t>
      </w:r>
      <w:r w:rsidR="00182D83">
        <w:rPr>
          <w:iCs/>
          <w:lang w:val="en-GB"/>
        </w:rPr>
        <w:t xml:space="preserve"> to be </w:t>
      </w:r>
      <w:r w:rsidR="00323ABA">
        <w:rPr>
          <w:iCs/>
          <w:lang w:val="en-GB"/>
        </w:rPr>
        <w:t>considered</w:t>
      </w:r>
      <w:r w:rsidR="00182D83">
        <w:rPr>
          <w:iCs/>
          <w:lang w:val="en-GB"/>
        </w:rPr>
        <w:t xml:space="preserve"> by the Court.</w:t>
      </w:r>
    </w:p>
    <w:p w14:paraId="09E81B4F" w14:textId="6C0E7505" w:rsidR="005B0172" w:rsidRPr="00021BFC" w:rsidRDefault="00B63FC3" w:rsidP="00021BFC">
      <w:pPr>
        <w:pStyle w:val="JudgmentStyle"/>
        <w:numPr>
          <w:ilvl w:val="0"/>
          <w:numId w:val="6"/>
        </w:numPr>
        <w:spacing w:line="360" w:lineRule="auto"/>
        <w:ind w:left="720" w:right="0" w:hanging="720"/>
        <w:rPr>
          <w:iCs/>
        </w:rPr>
      </w:pPr>
      <w:r w:rsidRPr="00801679">
        <w:rPr>
          <w:iCs/>
        </w:rPr>
        <w:t>The starting point is that</w:t>
      </w:r>
      <w:r w:rsidR="00F27192" w:rsidRPr="00801679">
        <w:rPr>
          <w:iCs/>
        </w:rPr>
        <w:t xml:space="preserve"> at a general level, </w:t>
      </w:r>
      <w:r w:rsidRPr="00801679">
        <w:rPr>
          <w:iCs/>
        </w:rPr>
        <w:t>t</w:t>
      </w:r>
      <w:r w:rsidRPr="00B63FC3">
        <w:rPr>
          <w:iCs/>
          <w:lang w:val="en-GB"/>
        </w:rPr>
        <w:t>he decision to refer a dispute to private arbitration is a choice</w:t>
      </w:r>
      <w:r w:rsidR="00F27192" w:rsidRPr="00801679">
        <w:rPr>
          <w:iCs/>
          <w:lang w:val="en-GB"/>
        </w:rPr>
        <w:t xml:space="preserve"> exercised by contracting parties,</w:t>
      </w:r>
      <w:r w:rsidRPr="00B63FC3">
        <w:rPr>
          <w:iCs/>
          <w:lang w:val="en-GB"/>
        </w:rPr>
        <w:t xml:space="preserve"> which as long as it is voluntarily made, should be respected by the courts</w:t>
      </w:r>
      <w:r>
        <w:rPr>
          <w:rStyle w:val="FootnoteReference"/>
          <w:iCs/>
          <w:lang w:val="en-GB"/>
        </w:rPr>
        <w:footnoteReference w:id="6"/>
      </w:r>
      <w:r w:rsidR="00F27192" w:rsidRPr="00801679">
        <w:rPr>
          <w:iCs/>
          <w:lang w:val="en-GB"/>
        </w:rPr>
        <w:t>.</w:t>
      </w:r>
      <w:r w:rsidR="00F27192" w:rsidRPr="00801679">
        <w:rPr>
          <w:iCs/>
        </w:rPr>
        <w:t xml:space="preserve"> This is so in that when the parties </w:t>
      </w:r>
      <w:r w:rsidR="00F55837">
        <w:rPr>
          <w:iCs/>
        </w:rPr>
        <w:t>agree</w:t>
      </w:r>
      <w:r w:rsidR="00F27192" w:rsidRPr="00801679">
        <w:rPr>
          <w:iCs/>
        </w:rPr>
        <w:t xml:space="preserve"> on such a clause,</w:t>
      </w:r>
      <w:r w:rsidR="00182D83">
        <w:rPr>
          <w:iCs/>
        </w:rPr>
        <w:t xml:space="preserve"> </w:t>
      </w:r>
      <w:r w:rsidR="00F27192" w:rsidRPr="00801679">
        <w:rPr>
          <w:iCs/>
        </w:rPr>
        <w:t xml:space="preserve">they </w:t>
      </w:r>
      <w:r w:rsidR="00A346A6">
        <w:rPr>
          <w:iCs/>
        </w:rPr>
        <w:t xml:space="preserve">not only </w:t>
      </w:r>
      <w:r w:rsidR="00F27192" w:rsidRPr="00B63FC3">
        <w:rPr>
          <w:iCs/>
          <w:lang w:val="en-GB"/>
        </w:rPr>
        <w:t xml:space="preserve">contemplate </w:t>
      </w:r>
      <w:r w:rsidR="00A346A6">
        <w:rPr>
          <w:iCs/>
          <w:lang w:val="en-GB"/>
        </w:rPr>
        <w:t xml:space="preserve">it as </w:t>
      </w:r>
      <w:r w:rsidR="00F27192" w:rsidRPr="00B63FC3">
        <w:rPr>
          <w:iCs/>
          <w:lang w:val="en-GB"/>
        </w:rPr>
        <w:t>a matter of commercial convenience</w:t>
      </w:r>
      <w:r w:rsidR="00A346A6">
        <w:rPr>
          <w:iCs/>
          <w:lang w:val="en-GB"/>
        </w:rPr>
        <w:t xml:space="preserve"> and</w:t>
      </w:r>
      <w:r w:rsidR="00F27192" w:rsidRPr="00B63FC3">
        <w:rPr>
          <w:iCs/>
          <w:lang w:val="en-GB"/>
        </w:rPr>
        <w:t xml:space="preserve"> a mechanism for resolving </w:t>
      </w:r>
      <w:r w:rsidR="00DF6961" w:rsidRPr="00801679">
        <w:rPr>
          <w:iCs/>
          <w:lang w:val="en-GB"/>
        </w:rPr>
        <w:t>any</w:t>
      </w:r>
      <w:r w:rsidR="00F27192" w:rsidRPr="00B63FC3">
        <w:rPr>
          <w:iCs/>
          <w:lang w:val="en-GB"/>
        </w:rPr>
        <w:t xml:space="preserve"> disputes that may arise in the course of thei</w:t>
      </w:r>
      <w:r w:rsidR="00DF6961" w:rsidRPr="00801679">
        <w:rPr>
          <w:iCs/>
          <w:lang w:val="en-GB"/>
        </w:rPr>
        <w:t xml:space="preserve">r </w:t>
      </w:r>
      <w:r w:rsidR="00F27192" w:rsidRPr="00B63FC3">
        <w:rPr>
          <w:iCs/>
          <w:lang w:val="en-GB"/>
        </w:rPr>
        <w:t>relationship</w:t>
      </w:r>
      <w:r w:rsidR="00DF6961" w:rsidRPr="00801679">
        <w:rPr>
          <w:iCs/>
          <w:lang w:val="en-GB"/>
        </w:rPr>
        <w:t xml:space="preserve">, </w:t>
      </w:r>
      <w:r w:rsidR="00A346A6">
        <w:rPr>
          <w:iCs/>
          <w:lang w:val="en-GB"/>
        </w:rPr>
        <w:t xml:space="preserve">but also view </w:t>
      </w:r>
      <w:r w:rsidR="00DF6961" w:rsidRPr="00801679">
        <w:rPr>
          <w:iCs/>
          <w:lang w:val="en-GB"/>
        </w:rPr>
        <w:t xml:space="preserve">such a mechanism </w:t>
      </w:r>
      <w:r w:rsidR="00A346A6">
        <w:rPr>
          <w:iCs/>
          <w:lang w:val="en-GB"/>
        </w:rPr>
        <w:t xml:space="preserve">as being </w:t>
      </w:r>
      <w:r w:rsidR="00DF6961" w:rsidRPr="00801679">
        <w:rPr>
          <w:iCs/>
          <w:lang w:val="en-GB"/>
        </w:rPr>
        <w:t>best suited for their interests.</w:t>
      </w:r>
      <w:r w:rsidR="00021BFC">
        <w:rPr>
          <w:iCs/>
        </w:rPr>
        <w:t xml:space="preserve"> To this end, courts generally </w:t>
      </w:r>
      <w:r w:rsidR="00021BFC" w:rsidRPr="00021BFC">
        <w:rPr>
          <w:iCs/>
        </w:rPr>
        <w:t xml:space="preserve">avoid enforcing any contrary construction </w:t>
      </w:r>
      <w:r w:rsidR="00021BFC">
        <w:rPr>
          <w:iCs/>
        </w:rPr>
        <w:t xml:space="preserve">of the agreement, </w:t>
      </w:r>
      <w:r w:rsidR="00021BFC" w:rsidRPr="00021BFC">
        <w:rPr>
          <w:iCs/>
        </w:rPr>
        <w:t>that would allow parties to frustrate this common intention.</w:t>
      </w:r>
      <w:r w:rsidR="001468AC">
        <w:rPr>
          <w:iCs/>
        </w:rPr>
        <w:t xml:space="preserve"> </w:t>
      </w:r>
      <w:r w:rsidR="00F20EC1" w:rsidRPr="00021BFC">
        <w:rPr>
          <w:iCs/>
          <w:lang w:val="en-GB"/>
        </w:rPr>
        <w:t xml:space="preserve">A </w:t>
      </w:r>
      <w:r w:rsidR="00021BFC">
        <w:rPr>
          <w:iCs/>
          <w:lang w:val="en-GB"/>
        </w:rPr>
        <w:t xml:space="preserve">further </w:t>
      </w:r>
      <w:r w:rsidR="00F20EC1" w:rsidRPr="00021BFC">
        <w:rPr>
          <w:iCs/>
          <w:lang w:val="en-GB"/>
        </w:rPr>
        <w:t>consideration is based on</w:t>
      </w:r>
      <w:r w:rsidR="00F20EC1" w:rsidRPr="00021BFC">
        <w:rPr>
          <w:iCs/>
        </w:rPr>
        <w:t xml:space="preserve"> </w:t>
      </w:r>
      <w:r w:rsidR="00F20EC1" w:rsidRPr="00021BFC">
        <w:rPr>
          <w:iCs/>
          <w:lang w:val="en-GB"/>
        </w:rPr>
        <w:t xml:space="preserve">the fundamental principle that parties should, in general, keep and be held to their agreements </w:t>
      </w:r>
      <w:r w:rsidR="00F20EC1" w:rsidRPr="00021BFC">
        <w:rPr>
          <w:i/>
          <w:iCs/>
          <w:lang w:val="en-GB"/>
        </w:rPr>
        <w:t>(pacta servanda sunt).</w:t>
      </w:r>
    </w:p>
    <w:p w14:paraId="2E136B5E" w14:textId="76E10FB6" w:rsidR="00741FAB" w:rsidRDefault="00DF6961" w:rsidP="00741FAB">
      <w:pPr>
        <w:pStyle w:val="JudgmentStyle"/>
        <w:numPr>
          <w:ilvl w:val="0"/>
          <w:numId w:val="6"/>
        </w:numPr>
        <w:spacing w:line="360" w:lineRule="auto"/>
        <w:ind w:left="720" w:right="0" w:hanging="720"/>
        <w:rPr>
          <w:iCs/>
        </w:rPr>
      </w:pPr>
      <w:r w:rsidRPr="005B0172">
        <w:rPr>
          <w:iCs/>
        </w:rPr>
        <w:t>Notwithstanding the</w:t>
      </w:r>
      <w:r w:rsidR="00AF0359" w:rsidRPr="005B0172">
        <w:rPr>
          <w:iCs/>
        </w:rPr>
        <w:t xml:space="preserve"> need to respect the</w:t>
      </w:r>
      <w:r w:rsidRPr="005B0172">
        <w:rPr>
          <w:iCs/>
        </w:rPr>
        <w:t xml:space="preserve"> sanctity of commercial contracts, </w:t>
      </w:r>
      <w:r w:rsidR="00AD5A91" w:rsidRPr="005B0172">
        <w:rPr>
          <w:iCs/>
        </w:rPr>
        <w:t xml:space="preserve">it is equally </w:t>
      </w:r>
      <w:r w:rsidR="00AD5A91">
        <w:t xml:space="preserve">acknowledged </w:t>
      </w:r>
      <w:r w:rsidRPr="00DF6961">
        <w:t>that arbitration</w:t>
      </w:r>
      <w:r w:rsidR="00AD5A91">
        <w:t xml:space="preserve"> clauses do </w:t>
      </w:r>
      <w:r w:rsidRPr="00DF6961">
        <w:t xml:space="preserve">not necessarily oust the </w:t>
      </w:r>
      <w:r w:rsidRPr="00DF6961">
        <w:lastRenderedPageBreak/>
        <w:t>jurisdiction of the courts</w:t>
      </w:r>
      <w:r w:rsidR="00AD5A91">
        <w:rPr>
          <w:rStyle w:val="FootnoteReference"/>
        </w:rPr>
        <w:footnoteReference w:id="7"/>
      </w:r>
      <w:r w:rsidRPr="00DF6961">
        <w:rPr>
          <w:lang w:val="en-GB"/>
        </w:rPr>
        <w:t>.</w:t>
      </w:r>
      <w:r w:rsidR="00AF0359" w:rsidRPr="005B0172">
        <w:rPr>
          <w:lang w:val="en-GB"/>
        </w:rPr>
        <w:t xml:space="preserve"> This point was confirmed </w:t>
      </w:r>
      <w:r w:rsidR="00AF0359" w:rsidRPr="005B0172">
        <w:rPr>
          <w:iCs/>
        </w:rPr>
        <w:t>i</w:t>
      </w:r>
      <w:r w:rsidR="00E87A17" w:rsidRPr="005B0172">
        <w:rPr>
          <w:iCs/>
        </w:rPr>
        <w:t xml:space="preserve">n </w:t>
      </w:r>
      <w:r w:rsidR="00E87A17" w:rsidRPr="005B0172">
        <w:rPr>
          <w:i/>
          <w:iCs/>
          <w:lang w:val="en-GB"/>
        </w:rPr>
        <w:t>Foize</w:t>
      </w:r>
      <w:r w:rsidR="005B0172">
        <w:rPr>
          <w:rStyle w:val="FootnoteReference"/>
          <w:i/>
          <w:iCs/>
          <w:lang w:val="en-GB"/>
        </w:rPr>
        <w:footnoteReference w:id="8"/>
      </w:r>
      <w:r w:rsidR="00AF0359" w:rsidRPr="005B0172">
        <w:rPr>
          <w:iCs/>
          <w:lang w:val="en-GB"/>
        </w:rPr>
        <w:t>.</w:t>
      </w:r>
      <w:r w:rsidR="008350A5" w:rsidRPr="005B0172">
        <w:rPr>
          <w:iCs/>
          <w:lang w:val="en-GB"/>
        </w:rPr>
        <w:t xml:space="preserve"> </w:t>
      </w:r>
      <w:r w:rsidR="00801679" w:rsidRPr="005B0172">
        <w:rPr>
          <w:iCs/>
          <w:lang w:val="en-GB"/>
        </w:rPr>
        <w:t>The SCA</w:t>
      </w:r>
      <w:r w:rsidR="00F55837">
        <w:rPr>
          <w:iCs/>
          <w:lang w:val="en-GB"/>
        </w:rPr>
        <w:t xml:space="preserve"> in that matter</w:t>
      </w:r>
      <w:r w:rsidR="00801679" w:rsidRPr="005B0172">
        <w:rPr>
          <w:iCs/>
          <w:lang w:val="en-GB"/>
        </w:rPr>
        <w:t xml:space="preserve"> further held that to the extent that </w:t>
      </w:r>
      <w:r w:rsidR="00801679" w:rsidRPr="00801679">
        <w:rPr>
          <w:iCs/>
        </w:rPr>
        <w:t>the objection</w:t>
      </w:r>
      <w:r w:rsidR="00775445">
        <w:rPr>
          <w:iCs/>
        </w:rPr>
        <w:t xml:space="preserve"> </w:t>
      </w:r>
      <w:r w:rsidR="00801679" w:rsidRPr="00801679">
        <w:rPr>
          <w:i/>
          <w:iCs/>
        </w:rPr>
        <w:t>in limine</w:t>
      </w:r>
      <w:r w:rsidR="00775445">
        <w:rPr>
          <w:iCs/>
        </w:rPr>
        <w:t xml:space="preserve"> </w:t>
      </w:r>
      <w:r w:rsidR="00801679" w:rsidRPr="005B0172">
        <w:rPr>
          <w:iCs/>
        </w:rPr>
        <w:t xml:space="preserve">was raised (as in this case), the Court nonetheless still </w:t>
      </w:r>
      <w:r w:rsidR="00801679" w:rsidRPr="00801679">
        <w:rPr>
          <w:iCs/>
        </w:rPr>
        <w:t xml:space="preserve">enjoyed a discretion </w:t>
      </w:r>
      <w:r w:rsidR="00EF1482" w:rsidRPr="00801679">
        <w:rPr>
          <w:iCs/>
        </w:rPr>
        <w:t>whether</w:t>
      </w:r>
      <w:r w:rsidR="00801679" w:rsidRPr="00801679">
        <w:rPr>
          <w:iCs/>
        </w:rPr>
        <w:t xml:space="preserve"> to enforce the clause</w:t>
      </w:r>
      <w:r w:rsidR="00801679">
        <w:rPr>
          <w:rStyle w:val="FootnoteReference"/>
          <w:iCs/>
        </w:rPr>
        <w:footnoteReference w:id="9"/>
      </w:r>
      <w:r w:rsidR="00501212" w:rsidRPr="005B0172">
        <w:rPr>
          <w:iCs/>
        </w:rPr>
        <w:t xml:space="preserve">. As to how and when a court </w:t>
      </w:r>
      <w:r w:rsidR="00501212" w:rsidRPr="00501212">
        <w:rPr>
          <w:iCs/>
        </w:rPr>
        <w:t xml:space="preserve">should exercise its discretion to enforce </w:t>
      </w:r>
      <w:r w:rsidR="00501212" w:rsidRPr="005B0172">
        <w:rPr>
          <w:iCs/>
        </w:rPr>
        <w:t xml:space="preserve">the </w:t>
      </w:r>
      <w:r w:rsidR="00501212" w:rsidRPr="00501212">
        <w:rPr>
          <w:iCs/>
        </w:rPr>
        <w:t>arbitration clause</w:t>
      </w:r>
      <w:r w:rsidR="00501212" w:rsidRPr="005B0172">
        <w:rPr>
          <w:iCs/>
        </w:rPr>
        <w:t xml:space="preserve"> was dependent upon the </w:t>
      </w:r>
      <w:r w:rsidR="00501212" w:rsidRPr="00501212">
        <w:rPr>
          <w:iCs/>
        </w:rPr>
        <w:t>particular facts and circumstances</w:t>
      </w:r>
      <w:r w:rsidR="00501212" w:rsidRPr="005B0172">
        <w:rPr>
          <w:iCs/>
        </w:rPr>
        <w:t xml:space="preserve"> of each case,</w:t>
      </w:r>
      <w:r w:rsidR="00501212" w:rsidRPr="00501212">
        <w:rPr>
          <w:iCs/>
        </w:rPr>
        <w:t xml:space="preserve"> as well as the stage at which and the manner in which the issue of enforcement of the clause in question </w:t>
      </w:r>
      <w:r w:rsidR="00501212" w:rsidRPr="005B0172">
        <w:rPr>
          <w:iCs/>
        </w:rPr>
        <w:t>was</w:t>
      </w:r>
      <w:r w:rsidR="00501212" w:rsidRPr="00501212">
        <w:rPr>
          <w:iCs/>
        </w:rPr>
        <w:t xml:space="preserve"> raised</w:t>
      </w:r>
      <w:r w:rsidR="00501212">
        <w:rPr>
          <w:rStyle w:val="FootnoteReference"/>
          <w:iCs/>
        </w:rPr>
        <w:footnoteReference w:id="10"/>
      </w:r>
      <w:r w:rsidR="00501212" w:rsidRPr="00501212">
        <w:rPr>
          <w:iCs/>
        </w:rPr>
        <w:t>.</w:t>
      </w:r>
    </w:p>
    <w:p w14:paraId="31940687" w14:textId="22061AA0" w:rsidR="00EA4B7E" w:rsidRDefault="00741FAB" w:rsidP="00F71A36">
      <w:pPr>
        <w:pStyle w:val="JudgmentStyle"/>
        <w:numPr>
          <w:ilvl w:val="0"/>
          <w:numId w:val="6"/>
        </w:numPr>
        <w:spacing w:line="360" w:lineRule="auto"/>
        <w:ind w:left="720" w:right="0" w:hanging="720"/>
        <w:rPr>
          <w:iCs/>
        </w:rPr>
      </w:pPr>
      <w:r>
        <w:rPr>
          <w:iCs/>
        </w:rPr>
        <w:t xml:space="preserve">In this case, it </w:t>
      </w:r>
      <w:r w:rsidR="001468AC">
        <w:rPr>
          <w:iCs/>
        </w:rPr>
        <w:t xml:space="preserve">will </w:t>
      </w:r>
      <w:r>
        <w:rPr>
          <w:iCs/>
        </w:rPr>
        <w:t>be recalled that</w:t>
      </w:r>
      <w:r w:rsidR="00775445">
        <w:rPr>
          <w:iCs/>
        </w:rPr>
        <w:t xml:space="preserve"> the Applicant does not seek enforcement</w:t>
      </w:r>
      <w:r w:rsidR="001B666B">
        <w:rPr>
          <w:iCs/>
        </w:rPr>
        <w:t xml:space="preserve"> of the relevant dispute resolution clause. Instead, it seeks to escape from it. I</w:t>
      </w:r>
      <w:r w:rsidR="001F416D">
        <w:rPr>
          <w:iCs/>
        </w:rPr>
        <w:t xml:space="preserve">n the </w:t>
      </w:r>
      <w:r>
        <w:rPr>
          <w:iCs/>
        </w:rPr>
        <w:t>Main Agreement</w:t>
      </w:r>
      <w:r w:rsidR="001F416D">
        <w:rPr>
          <w:iCs/>
        </w:rPr>
        <w:t>, provision is made</w:t>
      </w:r>
      <w:r>
        <w:rPr>
          <w:iCs/>
        </w:rPr>
        <w:t xml:space="preserve"> </w:t>
      </w:r>
      <w:r w:rsidR="00FC378A">
        <w:rPr>
          <w:iCs/>
        </w:rPr>
        <w:t>for any disputes between the parties to be referred to the Cooperative Tribunal.</w:t>
      </w:r>
      <w:r w:rsidR="001F416D">
        <w:rPr>
          <w:iCs/>
        </w:rPr>
        <w:t xml:space="preserve"> In the</w:t>
      </w:r>
      <w:r w:rsidR="001F416D" w:rsidRPr="001F416D">
        <w:rPr>
          <w:iCs/>
        </w:rPr>
        <w:t xml:space="preserve"> </w:t>
      </w:r>
      <w:r w:rsidR="001F416D" w:rsidRPr="001F416D">
        <w:rPr>
          <w:i/>
          <w:iCs/>
        </w:rPr>
        <w:t>‘Property Cession and Management Agreement</w:t>
      </w:r>
      <w:r w:rsidR="001F416D" w:rsidRPr="001F416D">
        <w:rPr>
          <w:iCs/>
        </w:rPr>
        <w:t>’</w:t>
      </w:r>
      <w:r w:rsidR="001F416D">
        <w:rPr>
          <w:rStyle w:val="FootnoteReference"/>
          <w:iCs/>
        </w:rPr>
        <w:footnoteReference w:id="11"/>
      </w:r>
      <w:r w:rsidR="001F416D">
        <w:rPr>
          <w:iCs/>
        </w:rPr>
        <w:t xml:space="preserve">, </w:t>
      </w:r>
      <w:r w:rsidR="00A346A6">
        <w:rPr>
          <w:iCs/>
        </w:rPr>
        <w:t xml:space="preserve">a similar </w:t>
      </w:r>
      <w:r w:rsidR="001F416D" w:rsidRPr="001F416D">
        <w:rPr>
          <w:iCs/>
        </w:rPr>
        <w:t>provi</w:t>
      </w:r>
      <w:r w:rsidR="001F416D">
        <w:rPr>
          <w:iCs/>
        </w:rPr>
        <w:t>sion is made</w:t>
      </w:r>
      <w:r w:rsidR="00A346A6">
        <w:rPr>
          <w:iCs/>
        </w:rPr>
        <w:t>, but</w:t>
      </w:r>
      <w:r w:rsidR="001F416D">
        <w:rPr>
          <w:iCs/>
        </w:rPr>
        <w:t xml:space="preserve"> for </w:t>
      </w:r>
      <w:r w:rsidR="00A346A6">
        <w:rPr>
          <w:iCs/>
        </w:rPr>
        <w:t xml:space="preserve">the </w:t>
      </w:r>
      <w:r w:rsidR="001F416D">
        <w:rPr>
          <w:iCs/>
        </w:rPr>
        <w:t xml:space="preserve">disputes to be referred to </w:t>
      </w:r>
      <w:r w:rsidR="001F416D">
        <w:rPr>
          <w:iCs/>
        </w:rPr>
        <w:lastRenderedPageBreak/>
        <w:t>private arbitration</w:t>
      </w:r>
      <w:r w:rsidR="00F71A36">
        <w:rPr>
          <w:iCs/>
        </w:rPr>
        <w:t xml:space="preserve">. </w:t>
      </w:r>
      <w:r w:rsidRPr="00741FAB">
        <w:rPr>
          <w:iCs/>
        </w:rPr>
        <w:t xml:space="preserve">In </w:t>
      </w:r>
      <w:r w:rsidRPr="00F71A36">
        <w:rPr>
          <w:iCs/>
        </w:rPr>
        <w:t>approaching the Court rather than referring a dispute to the Co</w:t>
      </w:r>
      <w:r w:rsidR="00A346A6">
        <w:rPr>
          <w:iCs/>
        </w:rPr>
        <w:t>-</w:t>
      </w:r>
      <w:r w:rsidRPr="00F71A36">
        <w:rPr>
          <w:iCs/>
        </w:rPr>
        <w:t>operative Tribunal</w:t>
      </w:r>
      <w:r w:rsidR="00A346A6">
        <w:rPr>
          <w:iCs/>
        </w:rPr>
        <w:t xml:space="preserve"> or arbitration proceedings</w:t>
      </w:r>
      <w:r w:rsidRPr="00741FAB">
        <w:rPr>
          <w:iCs/>
        </w:rPr>
        <w:t>, the Applicant’s contention was that it elected to</w:t>
      </w:r>
      <w:r w:rsidR="00F55837">
        <w:rPr>
          <w:iCs/>
        </w:rPr>
        <w:t xml:space="preserve"> do so, as the Court </w:t>
      </w:r>
      <w:r w:rsidRPr="00741FAB">
        <w:rPr>
          <w:iCs/>
        </w:rPr>
        <w:t xml:space="preserve">could not abdicate its Constitutional mandate to determine the matter even under </w:t>
      </w:r>
      <w:r w:rsidR="00F55837">
        <w:rPr>
          <w:iCs/>
        </w:rPr>
        <w:t xml:space="preserve">its </w:t>
      </w:r>
      <w:r w:rsidRPr="00741FAB">
        <w:rPr>
          <w:iCs/>
        </w:rPr>
        <w:t>powers to regulate its process</w:t>
      </w:r>
      <w:r w:rsidR="00F55837">
        <w:rPr>
          <w:iCs/>
        </w:rPr>
        <w:t>es</w:t>
      </w:r>
      <w:r w:rsidRPr="00741FAB">
        <w:rPr>
          <w:iCs/>
          <w:vertAlign w:val="superscript"/>
        </w:rPr>
        <w:footnoteReference w:id="12"/>
      </w:r>
      <w:r w:rsidRPr="00741FAB">
        <w:rPr>
          <w:iCs/>
        </w:rPr>
        <w:t xml:space="preserve">. </w:t>
      </w:r>
    </w:p>
    <w:p w14:paraId="35A1D48E" w14:textId="77BDF2B7" w:rsidR="002038D5" w:rsidRPr="005F3C7F" w:rsidRDefault="00EA4B7E" w:rsidP="005F3C7F">
      <w:pPr>
        <w:pStyle w:val="JudgmentStyle"/>
        <w:numPr>
          <w:ilvl w:val="0"/>
          <w:numId w:val="6"/>
        </w:numPr>
        <w:spacing w:line="360" w:lineRule="auto"/>
        <w:ind w:left="720" w:right="0" w:hanging="720"/>
        <w:rPr>
          <w:iCs/>
        </w:rPr>
      </w:pPr>
      <w:r>
        <w:rPr>
          <w:iCs/>
        </w:rPr>
        <w:t xml:space="preserve">The approach when </w:t>
      </w:r>
      <w:r w:rsidR="00170DF4">
        <w:rPr>
          <w:iCs/>
        </w:rPr>
        <w:t xml:space="preserve">determining </w:t>
      </w:r>
      <w:r>
        <w:rPr>
          <w:iCs/>
        </w:rPr>
        <w:t xml:space="preserve">whether </w:t>
      </w:r>
      <w:r w:rsidR="00170DF4">
        <w:rPr>
          <w:iCs/>
        </w:rPr>
        <w:t xml:space="preserve">the Court </w:t>
      </w:r>
      <w:r>
        <w:rPr>
          <w:iCs/>
        </w:rPr>
        <w:t xml:space="preserve">has jurisdiction is not confined to </w:t>
      </w:r>
      <w:r w:rsidR="00170DF4">
        <w:rPr>
          <w:iCs/>
        </w:rPr>
        <w:t>its</w:t>
      </w:r>
      <w:r>
        <w:rPr>
          <w:iCs/>
        </w:rPr>
        <w:t xml:space="preserve"> Constitutional mandate</w:t>
      </w:r>
      <w:r w:rsidR="005F3C7F">
        <w:rPr>
          <w:iCs/>
        </w:rPr>
        <w:t xml:space="preserve">. It has long been held in </w:t>
      </w:r>
      <w:r w:rsidR="005F3C7F" w:rsidRPr="000E1521">
        <w:rPr>
          <w:i/>
        </w:rPr>
        <w:t>Gcaba</w:t>
      </w:r>
      <w:r w:rsidR="005F3C7F">
        <w:rPr>
          <w:rStyle w:val="FootnoteReference"/>
          <w:i/>
        </w:rPr>
        <w:footnoteReference w:id="13"/>
      </w:r>
      <w:r w:rsidR="005F3C7F">
        <w:rPr>
          <w:iCs/>
        </w:rPr>
        <w:t xml:space="preserve"> that i</w:t>
      </w:r>
      <w:r w:rsidR="005F3C7F" w:rsidRPr="005F3C7F">
        <w:rPr>
          <w:iCs/>
        </w:rPr>
        <w:t>n the event of the Court’</w:t>
      </w:r>
      <w:r w:rsidR="005F3C7F">
        <w:rPr>
          <w:iCs/>
        </w:rPr>
        <w:t xml:space="preserve">s </w:t>
      </w:r>
      <w:r w:rsidR="005F3C7F" w:rsidRPr="005F3C7F">
        <w:rPr>
          <w:iCs/>
        </w:rPr>
        <w:t>jurisdiction being challenged at the outset (</w:t>
      </w:r>
      <w:r w:rsidR="005F3C7F" w:rsidRPr="005F3C7F">
        <w:rPr>
          <w:i/>
          <w:iCs/>
        </w:rPr>
        <w:t>in limine</w:t>
      </w:r>
      <w:r w:rsidR="005F3C7F" w:rsidRPr="005F3C7F">
        <w:rPr>
          <w:iCs/>
        </w:rPr>
        <w:t>), the</w:t>
      </w:r>
      <w:r w:rsidR="005F3C7F">
        <w:rPr>
          <w:iCs/>
        </w:rPr>
        <w:t xml:space="preserve"> </w:t>
      </w:r>
      <w:r w:rsidR="005F3C7F" w:rsidRPr="005F3C7F">
        <w:rPr>
          <w:iCs/>
        </w:rPr>
        <w:t>applicant’s pleadings are the determining factor.</w:t>
      </w:r>
      <w:r w:rsidR="005F3C7F">
        <w:rPr>
          <w:iCs/>
        </w:rPr>
        <w:t xml:space="preserve"> </w:t>
      </w:r>
      <w:r w:rsidR="00D16B24">
        <w:rPr>
          <w:iCs/>
        </w:rPr>
        <w:t>For the purposes of determining jurisdiction in this case, t</w:t>
      </w:r>
      <w:r w:rsidRPr="005F3C7F">
        <w:rPr>
          <w:iCs/>
        </w:rPr>
        <w:t xml:space="preserve">he test remains whether </w:t>
      </w:r>
      <w:r w:rsidR="001B14E7">
        <w:rPr>
          <w:iCs/>
        </w:rPr>
        <w:t xml:space="preserve">the Applicant has made out </w:t>
      </w:r>
      <w:r w:rsidR="000E1521">
        <w:rPr>
          <w:iCs/>
        </w:rPr>
        <w:t>a case</w:t>
      </w:r>
      <w:r w:rsidR="001B14E7">
        <w:rPr>
          <w:iCs/>
        </w:rPr>
        <w:t xml:space="preserve"> (i.e., discharged the onus)</w:t>
      </w:r>
      <w:r w:rsidR="000E1521">
        <w:rPr>
          <w:iCs/>
        </w:rPr>
        <w:t xml:space="preserve"> in the pleadings, to convince </w:t>
      </w:r>
      <w:r w:rsidRPr="005F3C7F">
        <w:rPr>
          <w:iCs/>
        </w:rPr>
        <w:t xml:space="preserve">the Court </w:t>
      </w:r>
      <w:r w:rsidR="002038D5" w:rsidRPr="005F3C7F">
        <w:rPr>
          <w:iCs/>
        </w:rPr>
        <w:t>that it should not in the exercise of its discretion</w:t>
      </w:r>
      <w:r w:rsidR="001B14E7">
        <w:rPr>
          <w:iCs/>
        </w:rPr>
        <w:t>,</w:t>
      </w:r>
      <w:r w:rsidR="002038D5" w:rsidRPr="005F3C7F">
        <w:rPr>
          <w:iCs/>
        </w:rPr>
        <w:t xml:space="preserve"> refer the matter to arbitration</w:t>
      </w:r>
      <w:r w:rsidR="002038D5">
        <w:rPr>
          <w:rStyle w:val="FootnoteReference"/>
          <w:iCs/>
        </w:rPr>
        <w:footnoteReference w:id="14"/>
      </w:r>
      <w:r w:rsidR="002038D5" w:rsidRPr="005F3C7F">
        <w:rPr>
          <w:iCs/>
        </w:rPr>
        <w:t>. </w:t>
      </w:r>
    </w:p>
    <w:p w14:paraId="0F991A4B" w14:textId="668144D0" w:rsidR="00384956" w:rsidRDefault="00741FAB" w:rsidP="00384956">
      <w:pPr>
        <w:pStyle w:val="JudgmentStyle"/>
        <w:numPr>
          <w:ilvl w:val="0"/>
          <w:numId w:val="6"/>
        </w:numPr>
        <w:spacing w:line="360" w:lineRule="auto"/>
        <w:ind w:left="720" w:right="0" w:hanging="720"/>
        <w:rPr>
          <w:iCs/>
        </w:rPr>
      </w:pPr>
      <w:r w:rsidRPr="00741FAB">
        <w:rPr>
          <w:iCs/>
        </w:rPr>
        <w:t>The Applicant</w:t>
      </w:r>
      <w:r w:rsidR="00EA4B7E">
        <w:rPr>
          <w:iCs/>
        </w:rPr>
        <w:t xml:space="preserve"> correctly pointed out that </w:t>
      </w:r>
      <w:r w:rsidRPr="00741FAB">
        <w:rPr>
          <w:iCs/>
        </w:rPr>
        <w:t xml:space="preserve">a close reading of Clause 5 </w:t>
      </w:r>
      <w:r w:rsidR="00384956">
        <w:rPr>
          <w:iCs/>
        </w:rPr>
        <w:t xml:space="preserve">in both the agreements it relied on </w:t>
      </w:r>
      <w:r w:rsidRPr="00741FAB">
        <w:rPr>
          <w:iCs/>
        </w:rPr>
        <w:t>revealed that the parties did not expressly exclude the jurisdiction of the court</w:t>
      </w:r>
      <w:r w:rsidR="00384956">
        <w:rPr>
          <w:iCs/>
        </w:rPr>
        <w:t>. This however does not at first blush imply that the Court ought to</w:t>
      </w:r>
      <w:r w:rsidRPr="00741FAB">
        <w:rPr>
          <w:iCs/>
        </w:rPr>
        <w:t xml:space="preserve"> retain the power to hear the matter. </w:t>
      </w:r>
      <w:r w:rsidR="00384956">
        <w:rPr>
          <w:iCs/>
        </w:rPr>
        <w:t xml:space="preserve">The </w:t>
      </w:r>
      <w:r w:rsidR="00F929A1">
        <w:rPr>
          <w:iCs/>
        </w:rPr>
        <w:t xml:space="preserve">relevant </w:t>
      </w:r>
      <w:r w:rsidR="00384956">
        <w:rPr>
          <w:iCs/>
        </w:rPr>
        <w:t>portion</w:t>
      </w:r>
      <w:r w:rsidR="00F929A1">
        <w:rPr>
          <w:iCs/>
        </w:rPr>
        <w:t>s</w:t>
      </w:r>
      <w:r w:rsidR="00384956">
        <w:rPr>
          <w:iCs/>
        </w:rPr>
        <w:t xml:space="preserve"> </w:t>
      </w:r>
      <w:r w:rsidR="00F55837">
        <w:rPr>
          <w:iCs/>
        </w:rPr>
        <w:t xml:space="preserve">of clause 5 </w:t>
      </w:r>
      <w:r w:rsidR="00384956">
        <w:rPr>
          <w:iCs/>
        </w:rPr>
        <w:t>in both</w:t>
      </w:r>
      <w:r w:rsidR="00F55837">
        <w:rPr>
          <w:iCs/>
        </w:rPr>
        <w:t xml:space="preserve"> agreements is similar, and provides that</w:t>
      </w:r>
      <w:r w:rsidR="00384956">
        <w:rPr>
          <w:iCs/>
        </w:rPr>
        <w:t>;</w:t>
      </w:r>
    </w:p>
    <w:p w14:paraId="64334AC7" w14:textId="24C0A1D1" w:rsidR="00384956" w:rsidRPr="00384956" w:rsidRDefault="00FC378A" w:rsidP="000E1521">
      <w:pPr>
        <w:pStyle w:val="JudgmentStyle"/>
        <w:numPr>
          <w:ilvl w:val="0"/>
          <w:numId w:val="0"/>
        </w:numPr>
        <w:spacing w:line="360" w:lineRule="auto"/>
        <w:ind w:left="1446" w:right="0"/>
        <w:rPr>
          <w:i/>
          <w:sz w:val="22"/>
          <w:szCs w:val="22"/>
        </w:rPr>
      </w:pPr>
      <w:r w:rsidRPr="00384956">
        <w:rPr>
          <w:i/>
          <w:sz w:val="22"/>
          <w:szCs w:val="22"/>
        </w:rPr>
        <w:t>‘</w:t>
      </w:r>
      <w:r w:rsidR="00384956" w:rsidRPr="00384956">
        <w:rPr>
          <w:i/>
          <w:sz w:val="22"/>
          <w:szCs w:val="22"/>
        </w:rPr>
        <w:t>…</w:t>
      </w:r>
      <w:r w:rsidRPr="00384956">
        <w:rPr>
          <w:i/>
          <w:sz w:val="22"/>
          <w:szCs w:val="22"/>
        </w:rPr>
        <w:t xml:space="preserve">Notwithstanding the foregoing, either party shall have the right, at its sole discretion, to seek equitable relief from the Higher court of competent jurisdiction, without being limited in recourse to arbitration, </w:t>
      </w:r>
      <w:r w:rsidRPr="00384956">
        <w:rPr>
          <w:i/>
          <w:sz w:val="22"/>
          <w:szCs w:val="22"/>
          <w:u w:val="single"/>
        </w:rPr>
        <w:t>in the event that a breach by the other party of this Cession Agreement shall result in irreparable injury to it or if monetary damages would be inadequate and impossible to calculate adequately</w:t>
      </w:r>
      <w:r w:rsidRPr="00384956">
        <w:rPr>
          <w:i/>
          <w:sz w:val="22"/>
          <w:szCs w:val="22"/>
        </w:rPr>
        <w:t xml:space="preserve">, which equitable relief shall include (but not be limited to) the entering of a temporary restraining order and/or a preliminary injunction. </w:t>
      </w:r>
      <w:r w:rsidRPr="00384956">
        <w:rPr>
          <w:i/>
          <w:sz w:val="22"/>
          <w:szCs w:val="22"/>
        </w:rPr>
        <w:lastRenderedPageBreak/>
        <w:t>This Section shall survive the termination of this Cession Agreement for any reason.’</w:t>
      </w:r>
      <w:r w:rsidR="00384956">
        <w:rPr>
          <w:i/>
          <w:sz w:val="22"/>
          <w:szCs w:val="22"/>
        </w:rPr>
        <w:t xml:space="preserve"> </w:t>
      </w:r>
    </w:p>
    <w:p w14:paraId="30116694" w14:textId="5DA9BDB6" w:rsidR="00384956" w:rsidRPr="0033314D" w:rsidRDefault="00384956" w:rsidP="0033314D">
      <w:pPr>
        <w:pStyle w:val="JudgmentStyle"/>
        <w:numPr>
          <w:ilvl w:val="0"/>
          <w:numId w:val="6"/>
        </w:numPr>
        <w:spacing w:line="360" w:lineRule="auto"/>
        <w:ind w:left="720" w:right="0" w:hanging="720"/>
        <w:rPr>
          <w:i/>
          <w:iCs/>
        </w:rPr>
      </w:pPr>
      <w:r>
        <w:rPr>
          <w:iCs/>
        </w:rPr>
        <w:t xml:space="preserve">What the above implies is that where the Court </w:t>
      </w:r>
      <w:r w:rsidR="0033314D">
        <w:rPr>
          <w:iCs/>
        </w:rPr>
        <w:t xml:space="preserve">is implored to </w:t>
      </w:r>
      <w:r>
        <w:rPr>
          <w:iCs/>
        </w:rPr>
        <w:t>exercise its discretion and hear the matter, at a minimum, and based on the above portion of the relevant clauses, the</w:t>
      </w:r>
      <w:r w:rsidR="0033314D">
        <w:rPr>
          <w:iCs/>
        </w:rPr>
        <w:t xml:space="preserve"> Applicant is required to demonstrate that </w:t>
      </w:r>
      <w:r w:rsidR="0033314D" w:rsidRPr="0033314D">
        <w:rPr>
          <w:i/>
          <w:iCs/>
        </w:rPr>
        <w:t>a breach by the other party of the Cession Agreement or of the Main Agreement shall result in irreparable injury to it or if monetary damages would be inadequate and impossible to calculate adequately</w:t>
      </w:r>
      <w:r w:rsidR="0033314D">
        <w:rPr>
          <w:i/>
          <w:iCs/>
        </w:rPr>
        <w:t>.</w:t>
      </w:r>
    </w:p>
    <w:p w14:paraId="1A0AACAE" w14:textId="6D910682" w:rsidR="001858DD" w:rsidRPr="001468AC" w:rsidRDefault="00AB3FC8" w:rsidP="001468AC">
      <w:pPr>
        <w:pStyle w:val="JudgmentStyle"/>
        <w:numPr>
          <w:ilvl w:val="0"/>
          <w:numId w:val="6"/>
        </w:numPr>
        <w:spacing w:line="360" w:lineRule="auto"/>
        <w:ind w:left="720" w:right="0" w:hanging="720"/>
        <w:rPr>
          <w:iCs/>
        </w:rPr>
      </w:pPr>
      <w:r w:rsidRPr="00D9408F">
        <w:rPr>
          <w:iCs/>
        </w:rPr>
        <w:t xml:space="preserve">It has repeatedly been stated that </w:t>
      </w:r>
      <w:r w:rsidR="00D9408F" w:rsidRPr="00D9408F">
        <w:rPr>
          <w:iCs/>
        </w:rPr>
        <w:t>an applicant in motion proceedings must make out a proper case in the founding papers, and is bound to the case made out therein. Thus, the applicant is not permitted to make out a new case in the replying affidavit</w:t>
      </w:r>
      <w:r w:rsidR="00D9408F">
        <w:rPr>
          <w:rStyle w:val="FootnoteReference"/>
          <w:iCs/>
        </w:rPr>
        <w:footnoteReference w:id="15"/>
      </w:r>
      <w:r w:rsidR="00EB2A04">
        <w:rPr>
          <w:iCs/>
        </w:rPr>
        <w:t xml:space="preserve">. </w:t>
      </w:r>
      <w:r w:rsidR="0033314D" w:rsidRPr="00EB2A04">
        <w:rPr>
          <w:iCs/>
        </w:rPr>
        <w:t xml:space="preserve">In the founding affidavit, </w:t>
      </w:r>
      <w:r w:rsidR="00EB2A04">
        <w:rPr>
          <w:iCs/>
        </w:rPr>
        <w:t xml:space="preserve">and beyond </w:t>
      </w:r>
      <w:r w:rsidR="0033314D" w:rsidRPr="00EB2A04">
        <w:rPr>
          <w:iCs/>
        </w:rPr>
        <w:t>the</w:t>
      </w:r>
      <w:r w:rsidRPr="00EB2A04">
        <w:rPr>
          <w:iCs/>
        </w:rPr>
        <w:t xml:space="preserve"> obvious fact that the</w:t>
      </w:r>
      <w:r w:rsidR="0033314D" w:rsidRPr="00EB2A04">
        <w:rPr>
          <w:iCs/>
        </w:rPr>
        <w:t xml:space="preserve"> basis upon which this Court had jurisdiction was not pleaded, the Applicant </w:t>
      </w:r>
      <w:r w:rsidRPr="00EB2A04">
        <w:rPr>
          <w:iCs/>
        </w:rPr>
        <w:t>in seeking urgent relief under the rubric ‘</w:t>
      </w:r>
      <w:r w:rsidR="0027069B" w:rsidRPr="00EB2A04">
        <w:rPr>
          <w:i/>
        </w:rPr>
        <w:t>I</w:t>
      </w:r>
      <w:r w:rsidRPr="00EB2A04">
        <w:rPr>
          <w:i/>
        </w:rPr>
        <w:t>rreparable harm’</w:t>
      </w:r>
      <w:r w:rsidRPr="00EB2A04">
        <w:rPr>
          <w:iCs/>
        </w:rPr>
        <w:t xml:space="preserve"> had merely stated that the continued control of the funds by the 1</w:t>
      </w:r>
      <w:r w:rsidRPr="00EB2A04">
        <w:rPr>
          <w:iCs/>
          <w:vertAlign w:val="superscript"/>
        </w:rPr>
        <w:t>st</w:t>
      </w:r>
      <w:r w:rsidRPr="00EB2A04">
        <w:rPr>
          <w:iCs/>
        </w:rPr>
        <w:t xml:space="preserve"> – 5</w:t>
      </w:r>
      <w:r w:rsidRPr="00EB2A04">
        <w:rPr>
          <w:iCs/>
          <w:vertAlign w:val="superscript"/>
        </w:rPr>
        <w:t>th</w:t>
      </w:r>
      <w:r w:rsidRPr="00EB2A04">
        <w:rPr>
          <w:iCs/>
        </w:rPr>
        <w:t xml:space="preserve"> Fifth Respondents puts the Building and its occupants in danger</w:t>
      </w:r>
      <w:r w:rsidR="00E108D6">
        <w:rPr>
          <w:iCs/>
        </w:rPr>
        <w:t>,</w:t>
      </w:r>
      <w:r w:rsidRPr="00EB2A04">
        <w:rPr>
          <w:iCs/>
        </w:rPr>
        <w:t xml:space="preserve"> as it is not being serviced proper</w:t>
      </w:r>
      <w:r w:rsidR="00110016">
        <w:rPr>
          <w:iCs/>
        </w:rPr>
        <w:t>l</w:t>
      </w:r>
      <w:r w:rsidRPr="00EB2A04">
        <w:rPr>
          <w:iCs/>
        </w:rPr>
        <w:t xml:space="preserve">y and its debts </w:t>
      </w:r>
      <w:r w:rsidR="00110016">
        <w:rPr>
          <w:iCs/>
        </w:rPr>
        <w:t xml:space="preserve">had </w:t>
      </w:r>
      <w:r w:rsidRPr="00EB2A04">
        <w:rPr>
          <w:iCs/>
        </w:rPr>
        <w:t>increased.</w:t>
      </w:r>
      <w:r w:rsidR="00E108D6">
        <w:rPr>
          <w:iCs/>
        </w:rPr>
        <w:t xml:space="preserve"> This contention was the sum total of the </w:t>
      </w:r>
      <w:r w:rsidR="00110016">
        <w:rPr>
          <w:iCs/>
        </w:rPr>
        <w:t>Applicant</w:t>
      </w:r>
      <w:r w:rsidR="00695700">
        <w:rPr>
          <w:iCs/>
        </w:rPr>
        <w:t>’</w:t>
      </w:r>
      <w:r w:rsidR="00110016">
        <w:rPr>
          <w:iCs/>
        </w:rPr>
        <w:t xml:space="preserve">s case </w:t>
      </w:r>
      <w:r w:rsidR="00E108D6">
        <w:rPr>
          <w:iCs/>
        </w:rPr>
        <w:t>in regards to any harm to</w:t>
      </w:r>
      <w:r w:rsidR="00110016">
        <w:rPr>
          <w:iCs/>
        </w:rPr>
        <w:t xml:space="preserve"> it</w:t>
      </w:r>
      <w:r w:rsidR="00E108D6">
        <w:rPr>
          <w:iCs/>
        </w:rPr>
        <w:t xml:space="preserve"> as a result of the alleged breach by the 1</w:t>
      </w:r>
      <w:r w:rsidR="00E108D6" w:rsidRPr="00E108D6">
        <w:rPr>
          <w:iCs/>
          <w:vertAlign w:val="superscript"/>
        </w:rPr>
        <w:t>st</w:t>
      </w:r>
      <w:r w:rsidR="00E108D6">
        <w:rPr>
          <w:iCs/>
        </w:rPr>
        <w:t xml:space="preserve"> – 5</w:t>
      </w:r>
      <w:r w:rsidR="00E108D6" w:rsidRPr="00E108D6">
        <w:rPr>
          <w:iCs/>
          <w:vertAlign w:val="superscript"/>
        </w:rPr>
        <w:t>th</w:t>
      </w:r>
      <w:r w:rsidR="00E108D6">
        <w:rPr>
          <w:iCs/>
        </w:rPr>
        <w:t xml:space="preserve"> Respondents.</w:t>
      </w:r>
    </w:p>
    <w:p w14:paraId="17AFF1B3" w14:textId="5FDC812C" w:rsidR="0027069B" w:rsidRDefault="00715536" w:rsidP="00715536">
      <w:pPr>
        <w:pStyle w:val="JudgmentStyle"/>
        <w:numPr>
          <w:ilvl w:val="0"/>
          <w:numId w:val="6"/>
        </w:numPr>
        <w:spacing w:line="360" w:lineRule="auto"/>
        <w:ind w:left="720" w:right="0" w:hanging="720"/>
        <w:rPr>
          <w:iCs/>
        </w:rPr>
      </w:pPr>
      <w:r>
        <w:rPr>
          <w:iCs/>
        </w:rPr>
        <w:t>The above</w:t>
      </w:r>
      <w:r w:rsidR="001468AC">
        <w:rPr>
          <w:iCs/>
        </w:rPr>
        <w:t xml:space="preserve"> contentions</w:t>
      </w:r>
      <w:r>
        <w:rPr>
          <w:iCs/>
        </w:rPr>
        <w:t xml:space="preserve"> hardly demonstrates in what material respects the Applicant </w:t>
      </w:r>
      <w:r w:rsidR="0027069B">
        <w:rPr>
          <w:iCs/>
        </w:rPr>
        <w:t xml:space="preserve">will </w:t>
      </w:r>
      <w:r w:rsidRPr="00715536">
        <w:rPr>
          <w:iCs/>
        </w:rPr>
        <w:t>suff</w:t>
      </w:r>
      <w:r>
        <w:rPr>
          <w:iCs/>
        </w:rPr>
        <w:t>er</w:t>
      </w:r>
      <w:r w:rsidR="0027069B">
        <w:rPr>
          <w:iCs/>
        </w:rPr>
        <w:t xml:space="preserve"> or continues to suffer any</w:t>
      </w:r>
      <w:r w:rsidRPr="00715536">
        <w:rPr>
          <w:iCs/>
        </w:rPr>
        <w:t xml:space="preserve"> irreparable </w:t>
      </w:r>
      <w:r>
        <w:rPr>
          <w:iCs/>
        </w:rPr>
        <w:t>injury</w:t>
      </w:r>
      <w:r w:rsidRPr="00715536">
        <w:rPr>
          <w:iCs/>
        </w:rPr>
        <w:t xml:space="preserve"> as a</w:t>
      </w:r>
      <w:r>
        <w:rPr>
          <w:iCs/>
        </w:rPr>
        <w:t xml:space="preserve"> result of a</w:t>
      </w:r>
      <w:r w:rsidR="00EB2A04">
        <w:rPr>
          <w:iCs/>
        </w:rPr>
        <w:t xml:space="preserve"> </w:t>
      </w:r>
      <w:r>
        <w:rPr>
          <w:iCs/>
        </w:rPr>
        <w:t>breach</w:t>
      </w:r>
      <w:r w:rsidR="00EB2A04">
        <w:rPr>
          <w:iCs/>
        </w:rPr>
        <w:t xml:space="preserve"> (if any)</w:t>
      </w:r>
      <w:r>
        <w:rPr>
          <w:iCs/>
        </w:rPr>
        <w:t xml:space="preserve"> on the part of the 1</w:t>
      </w:r>
      <w:r w:rsidRPr="00715536">
        <w:rPr>
          <w:iCs/>
          <w:vertAlign w:val="superscript"/>
        </w:rPr>
        <w:t>st</w:t>
      </w:r>
      <w:r>
        <w:rPr>
          <w:iCs/>
        </w:rPr>
        <w:t xml:space="preserve"> – 5</w:t>
      </w:r>
      <w:r w:rsidRPr="00715536">
        <w:rPr>
          <w:iCs/>
          <w:vertAlign w:val="superscript"/>
        </w:rPr>
        <w:t>th</w:t>
      </w:r>
      <w:r>
        <w:rPr>
          <w:iCs/>
        </w:rPr>
        <w:t xml:space="preserve"> Respondent</w:t>
      </w:r>
      <w:r w:rsidR="00EB2A04">
        <w:rPr>
          <w:iCs/>
        </w:rPr>
        <w:t>s</w:t>
      </w:r>
      <w:r>
        <w:rPr>
          <w:iCs/>
        </w:rPr>
        <w:t xml:space="preserve">. </w:t>
      </w:r>
      <w:r w:rsidR="003634E7">
        <w:rPr>
          <w:iCs/>
        </w:rPr>
        <w:t>It was correctly pointed out on behalf of the 1</w:t>
      </w:r>
      <w:r w:rsidR="003634E7" w:rsidRPr="003634E7">
        <w:rPr>
          <w:iCs/>
          <w:vertAlign w:val="superscript"/>
        </w:rPr>
        <w:t>st</w:t>
      </w:r>
      <w:r w:rsidR="003634E7">
        <w:rPr>
          <w:iCs/>
        </w:rPr>
        <w:t xml:space="preserve"> – 5</w:t>
      </w:r>
      <w:r w:rsidR="003634E7" w:rsidRPr="003634E7">
        <w:rPr>
          <w:iCs/>
          <w:vertAlign w:val="superscript"/>
        </w:rPr>
        <w:t>th</w:t>
      </w:r>
      <w:r w:rsidR="003634E7">
        <w:rPr>
          <w:iCs/>
        </w:rPr>
        <w:t xml:space="preserve"> Respondents that the Applicant’s </w:t>
      </w:r>
      <w:r w:rsidRPr="00715536">
        <w:rPr>
          <w:iCs/>
        </w:rPr>
        <w:t xml:space="preserve">argument </w:t>
      </w:r>
      <w:r w:rsidR="00E108D6">
        <w:rPr>
          <w:iCs/>
        </w:rPr>
        <w:t xml:space="preserve">unwittingly </w:t>
      </w:r>
      <w:r w:rsidR="0027069B">
        <w:rPr>
          <w:iCs/>
        </w:rPr>
        <w:t xml:space="preserve">advanced </w:t>
      </w:r>
      <w:r w:rsidR="00E108D6">
        <w:rPr>
          <w:iCs/>
        </w:rPr>
        <w:t xml:space="preserve">a case </w:t>
      </w:r>
      <w:r w:rsidRPr="00715536">
        <w:rPr>
          <w:iCs/>
        </w:rPr>
        <w:t xml:space="preserve">on behalf of the residents of the </w:t>
      </w:r>
      <w:r w:rsidR="003634E7">
        <w:rPr>
          <w:iCs/>
        </w:rPr>
        <w:t>Cooperative</w:t>
      </w:r>
      <w:r w:rsidR="0027069B">
        <w:rPr>
          <w:iCs/>
        </w:rPr>
        <w:t xml:space="preserve">, who nonetheless are </w:t>
      </w:r>
      <w:r w:rsidR="00695700">
        <w:rPr>
          <w:iCs/>
        </w:rPr>
        <w:t xml:space="preserve">(or at least most of them), </w:t>
      </w:r>
      <w:r w:rsidR="0027069B">
        <w:rPr>
          <w:iCs/>
        </w:rPr>
        <w:t>the respondent party</w:t>
      </w:r>
      <w:r w:rsidR="00EB2A04">
        <w:rPr>
          <w:iCs/>
        </w:rPr>
        <w:t xml:space="preserve"> in this matter</w:t>
      </w:r>
      <w:r w:rsidR="0027069B">
        <w:rPr>
          <w:iCs/>
        </w:rPr>
        <w:t>.</w:t>
      </w:r>
      <w:r w:rsidR="003634E7">
        <w:rPr>
          <w:iCs/>
        </w:rPr>
        <w:t xml:space="preserve"> </w:t>
      </w:r>
      <w:r w:rsidR="00666A8A">
        <w:rPr>
          <w:iCs/>
        </w:rPr>
        <w:t>Effectively, the Applicant</w:t>
      </w:r>
      <w:r w:rsidR="00695700">
        <w:rPr>
          <w:iCs/>
        </w:rPr>
        <w:t>’s pleadings</w:t>
      </w:r>
      <w:r w:rsidR="00666A8A">
        <w:rPr>
          <w:iCs/>
        </w:rPr>
        <w:t xml:space="preserve"> spectacularly failed to pass the minimum hurdle of demonstrating a breach or irreparable harm or injury as required in the agreements</w:t>
      </w:r>
      <w:r w:rsidR="00A061FC">
        <w:rPr>
          <w:iCs/>
        </w:rPr>
        <w:t>, for the purposes of engaging the jurisdiction of this Court</w:t>
      </w:r>
      <w:r w:rsidR="00666A8A">
        <w:rPr>
          <w:iCs/>
        </w:rPr>
        <w:t>.</w:t>
      </w:r>
    </w:p>
    <w:p w14:paraId="4B91D4DF" w14:textId="57CA26E8" w:rsidR="00BB0E60" w:rsidRDefault="0027069B" w:rsidP="00DA3E8A">
      <w:pPr>
        <w:pStyle w:val="JudgmentStyle"/>
        <w:numPr>
          <w:ilvl w:val="0"/>
          <w:numId w:val="6"/>
        </w:numPr>
        <w:spacing w:line="360" w:lineRule="auto"/>
        <w:ind w:left="720" w:right="0" w:hanging="720"/>
        <w:rPr>
          <w:iCs/>
        </w:rPr>
      </w:pPr>
      <w:r>
        <w:rPr>
          <w:iCs/>
        </w:rPr>
        <w:lastRenderedPageBreak/>
        <w:t xml:space="preserve">Purely on the basis of </w:t>
      </w:r>
      <w:r w:rsidR="00C559CF">
        <w:rPr>
          <w:iCs/>
        </w:rPr>
        <w:t xml:space="preserve">the Applicant’s </w:t>
      </w:r>
      <w:r>
        <w:rPr>
          <w:iCs/>
        </w:rPr>
        <w:t>failure to demonstrate</w:t>
      </w:r>
      <w:r w:rsidR="00AE6B21">
        <w:rPr>
          <w:iCs/>
        </w:rPr>
        <w:t xml:space="preserve"> that </w:t>
      </w:r>
      <w:r w:rsidR="00C559CF">
        <w:rPr>
          <w:iCs/>
        </w:rPr>
        <w:t xml:space="preserve">it </w:t>
      </w:r>
      <w:r w:rsidR="00E60D26">
        <w:rPr>
          <w:iCs/>
        </w:rPr>
        <w:t>satisfied the</w:t>
      </w:r>
      <w:r w:rsidR="00666A8A">
        <w:rPr>
          <w:iCs/>
        </w:rPr>
        <w:t xml:space="preserve"> </w:t>
      </w:r>
      <w:r w:rsidR="00E60D26">
        <w:rPr>
          <w:iCs/>
        </w:rPr>
        <w:t>exception</w:t>
      </w:r>
      <w:r w:rsidR="00BB0E60">
        <w:rPr>
          <w:iCs/>
        </w:rPr>
        <w:t xml:space="preserve"> </w:t>
      </w:r>
      <w:r w:rsidR="00AE6B21">
        <w:rPr>
          <w:iCs/>
        </w:rPr>
        <w:t xml:space="preserve">under the very same clause on which it alleged that this Court has jurisdiction, </w:t>
      </w:r>
      <w:r w:rsidR="00F929A1">
        <w:rPr>
          <w:iCs/>
        </w:rPr>
        <w:t xml:space="preserve">the Court should be </w:t>
      </w:r>
      <w:r w:rsidR="00666A8A">
        <w:rPr>
          <w:iCs/>
        </w:rPr>
        <w:t xml:space="preserve">therefore be </w:t>
      </w:r>
      <w:r w:rsidR="00F929A1">
        <w:rPr>
          <w:iCs/>
        </w:rPr>
        <w:t>disinclined to exercise its discretion in its favour</w:t>
      </w:r>
      <w:r w:rsidR="00A061FC">
        <w:rPr>
          <w:iCs/>
        </w:rPr>
        <w:t xml:space="preserve"> and assume jurisdiction,</w:t>
      </w:r>
      <w:r w:rsidR="00502E2D">
        <w:rPr>
          <w:iCs/>
        </w:rPr>
        <w:t xml:space="preserve"> and </w:t>
      </w:r>
      <w:r w:rsidR="00AE6B21">
        <w:rPr>
          <w:iCs/>
        </w:rPr>
        <w:t xml:space="preserve">that ought to be the end of the matter. </w:t>
      </w:r>
    </w:p>
    <w:p w14:paraId="3B773067" w14:textId="4F471E34" w:rsidR="00EB77E3" w:rsidRPr="00BB0E60" w:rsidRDefault="00BB0E60" w:rsidP="00BB0E60">
      <w:pPr>
        <w:pStyle w:val="JudgmentStyle"/>
        <w:numPr>
          <w:ilvl w:val="0"/>
          <w:numId w:val="6"/>
        </w:numPr>
        <w:spacing w:line="360" w:lineRule="auto"/>
        <w:ind w:left="720" w:right="0" w:hanging="720"/>
        <w:rPr>
          <w:iCs/>
        </w:rPr>
      </w:pPr>
      <w:r>
        <w:rPr>
          <w:iCs/>
        </w:rPr>
        <w:t>Other facts that led to this Court to decline to assume jurisdiction relates to</w:t>
      </w:r>
      <w:r w:rsidR="00666A8A">
        <w:rPr>
          <w:iCs/>
        </w:rPr>
        <w:t xml:space="preserve"> disputed facts </w:t>
      </w:r>
      <w:r w:rsidR="00DC1211" w:rsidRPr="00BB0E60">
        <w:rPr>
          <w:iCs/>
        </w:rPr>
        <w:t xml:space="preserve">arising from </w:t>
      </w:r>
      <w:r w:rsidR="00666A8A">
        <w:rPr>
          <w:iCs/>
        </w:rPr>
        <w:t xml:space="preserve">the </w:t>
      </w:r>
      <w:r w:rsidR="00DC1211" w:rsidRPr="00BB0E60">
        <w:rPr>
          <w:iCs/>
        </w:rPr>
        <w:t>pleadings</w:t>
      </w:r>
      <w:r w:rsidR="00DA3E8A" w:rsidRPr="00BB0E60">
        <w:rPr>
          <w:iCs/>
        </w:rPr>
        <w:t xml:space="preserve"> </w:t>
      </w:r>
      <w:r w:rsidR="000656E0">
        <w:rPr>
          <w:iCs/>
        </w:rPr>
        <w:t xml:space="preserve">of </w:t>
      </w:r>
      <w:r>
        <w:rPr>
          <w:iCs/>
        </w:rPr>
        <w:t>both parties</w:t>
      </w:r>
      <w:r w:rsidR="00DC1211" w:rsidRPr="00BB0E60">
        <w:rPr>
          <w:iCs/>
        </w:rPr>
        <w:t>.</w:t>
      </w:r>
      <w:r>
        <w:rPr>
          <w:iCs/>
        </w:rPr>
        <w:t xml:space="preserve"> </w:t>
      </w:r>
      <w:r w:rsidR="00DA3E8A" w:rsidRPr="00BB0E60">
        <w:rPr>
          <w:iCs/>
        </w:rPr>
        <w:t xml:space="preserve">As a general proposition, it is accepted that applications are not designed to resolve factual disputes between the parties. </w:t>
      </w:r>
      <w:r w:rsidR="00502E2D" w:rsidRPr="00BB0E60">
        <w:rPr>
          <w:iCs/>
        </w:rPr>
        <w:t xml:space="preserve">Applications </w:t>
      </w:r>
      <w:r w:rsidR="00DA3E8A" w:rsidRPr="00BB0E60">
        <w:rPr>
          <w:iCs/>
        </w:rPr>
        <w:t>are generally decided on common cause facts</w:t>
      </w:r>
      <w:r w:rsidR="00502E2D" w:rsidRPr="00BB0E60">
        <w:rPr>
          <w:iCs/>
        </w:rPr>
        <w:t xml:space="preserve">. </w:t>
      </w:r>
      <w:r w:rsidR="00DA3E8A" w:rsidRPr="00BB0E60">
        <w:rPr>
          <w:iCs/>
        </w:rPr>
        <w:t xml:space="preserve">Effectively, </w:t>
      </w:r>
      <w:r w:rsidR="0039213C" w:rsidRPr="00BB0E60">
        <w:rPr>
          <w:iCs/>
        </w:rPr>
        <w:t xml:space="preserve">where final relief is sought, </w:t>
      </w:r>
      <w:r w:rsidR="00F808F3" w:rsidRPr="00BB0E60">
        <w:rPr>
          <w:iCs/>
        </w:rPr>
        <w:t xml:space="preserve">issues surrounding probabilities and onus are </w:t>
      </w:r>
      <w:r w:rsidR="00DA3E8A" w:rsidRPr="00BB0E60">
        <w:rPr>
          <w:iCs/>
        </w:rPr>
        <w:t>amenable to being determined in motion proceedings</w:t>
      </w:r>
      <w:r w:rsidR="00F808F3">
        <w:rPr>
          <w:rStyle w:val="FootnoteReference"/>
          <w:iCs/>
        </w:rPr>
        <w:footnoteReference w:id="16"/>
      </w:r>
      <w:r w:rsidR="0039213C" w:rsidRPr="00BB0E60">
        <w:rPr>
          <w:iCs/>
        </w:rPr>
        <w:t xml:space="preserve">. </w:t>
      </w:r>
    </w:p>
    <w:p w14:paraId="19AFA592" w14:textId="6471EEBA" w:rsidR="008A4CF5" w:rsidRDefault="0039213C" w:rsidP="001B2BB9">
      <w:pPr>
        <w:pStyle w:val="JudgmentStyle"/>
        <w:numPr>
          <w:ilvl w:val="0"/>
          <w:numId w:val="6"/>
        </w:numPr>
        <w:spacing w:line="360" w:lineRule="auto"/>
        <w:ind w:left="720" w:right="0" w:hanging="720"/>
        <w:rPr>
          <w:iCs/>
        </w:rPr>
      </w:pPr>
      <w:r>
        <w:rPr>
          <w:iCs/>
        </w:rPr>
        <w:t xml:space="preserve">In this case, unfortunately, the </w:t>
      </w:r>
      <w:r w:rsidR="00EB77E3">
        <w:rPr>
          <w:iCs/>
        </w:rPr>
        <w:t xml:space="preserve">parties’ pleadings are replete with </w:t>
      </w:r>
      <w:r w:rsidRPr="0039213C">
        <w:rPr>
          <w:iCs/>
        </w:rPr>
        <w:t>relevant irresoluble factual disputes which are real and genuine</w:t>
      </w:r>
      <w:r w:rsidR="00EB77E3">
        <w:rPr>
          <w:iCs/>
        </w:rPr>
        <w:t xml:space="preserve">, and which invariably </w:t>
      </w:r>
      <w:r w:rsidR="00E60D26">
        <w:rPr>
          <w:iCs/>
        </w:rPr>
        <w:t xml:space="preserve">fortifies the conclusions reached in this judgment that this </w:t>
      </w:r>
      <w:r w:rsidR="00EB77E3">
        <w:rPr>
          <w:iCs/>
        </w:rPr>
        <w:t xml:space="preserve">matter ought to have been placed before the Cooperative Tribunal </w:t>
      </w:r>
      <w:r w:rsidR="002C3A58">
        <w:rPr>
          <w:iCs/>
        </w:rPr>
        <w:t xml:space="preserve">for determination </w:t>
      </w:r>
      <w:r w:rsidR="00EB77E3">
        <w:rPr>
          <w:iCs/>
        </w:rPr>
        <w:t>in the first place</w:t>
      </w:r>
      <w:r w:rsidR="00B75EFC">
        <w:rPr>
          <w:iCs/>
        </w:rPr>
        <w:t>.</w:t>
      </w:r>
    </w:p>
    <w:p w14:paraId="0722C7ED" w14:textId="437020C5" w:rsidR="00DA3E8A" w:rsidRDefault="00EB77E3" w:rsidP="001E46D5">
      <w:pPr>
        <w:pStyle w:val="JudgmentStyle"/>
        <w:numPr>
          <w:ilvl w:val="0"/>
          <w:numId w:val="6"/>
        </w:numPr>
        <w:spacing w:line="360" w:lineRule="auto"/>
        <w:ind w:left="720" w:right="0" w:hanging="720"/>
        <w:rPr>
          <w:iCs/>
        </w:rPr>
      </w:pPr>
      <w:r>
        <w:rPr>
          <w:iCs/>
        </w:rPr>
        <w:t xml:space="preserve">It will be recalled that the Applicant relied on the </w:t>
      </w:r>
      <w:r w:rsidR="001E46D5" w:rsidRPr="001E46D5">
        <w:rPr>
          <w:i/>
          <w:iCs/>
        </w:rPr>
        <w:t>‘Management and Business Development Agreement’</w:t>
      </w:r>
      <w:r w:rsidR="001E46D5" w:rsidRPr="001E46D5">
        <w:rPr>
          <w:iCs/>
        </w:rPr>
        <w:t xml:space="preserve"> entered into between itself and the Cooperative on 01</w:t>
      </w:r>
      <w:r w:rsidR="004C086A">
        <w:rPr>
          <w:iCs/>
        </w:rPr>
        <w:t> </w:t>
      </w:r>
      <w:r w:rsidR="001E46D5" w:rsidRPr="001E46D5">
        <w:rPr>
          <w:iCs/>
        </w:rPr>
        <w:t>May</w:t>
      </w:r>
      <w:r w:rsidR="004C086A">
        <w:rPr>
          <w:iCs/>
        </w:rPr>
        <w:t> </w:t>
      </w:r>
      <w:r w:rsidR="001E46D5" w:rsidRPr="001E46D5">
        <w:rPr>
          <w:iCs/>
        </w:rPr>
        <w:t>2018</w:t>
      </w:r>
      <w:r w:rsidR="001E46D5">
        <w:rPr>
          <w:iCs/>
        </w:rPr>
        <w:t xml:space="preserve">, together with the </w:t>
      </w:r>
      <w:r w:rsidR="001E46D5" w:rsidRPr="001E46D5">
        <w:rPr>
          <w:i/>
          <w:iCs/>
        </w:rPr>
        <w:t>‘Property Cession and Management Agreement</w:t>
      </w:r>
      <w:r w:rsidR="001E46D5" w:rsidRPr="001E46D5">
        <w:rPr>
          <w:iCs/>
        </w:rPr>
        <w:t>’ entered into between itself and Members of the Cooperative on 10</w:t>
      </w:r>
      <w:r w:rsidR="004C086A">
        <w:rPr>
          <w:iCs/>
        </w:rPr>
        <w:t> </w:t>
      </w:r>
      <w:r w:rsidR="001E46D5" w:rsidRPr="001E46D5">
        <w:rPr>
          <w:iCs/>
        </w:rPr>
        <w:t>October</w:t>
      </w:r>
      <w:r w:rsidR="004C086A">
        <w:rPr>
          <w:iCs/>
        </w:rPr>
        <w:t> </w:t>
      </w:r>
      <w:r w:rsidR="001E46D5" w:rsidRPr="001E46D5">
        <w:rPr>
          <w:iCs/>
        </w:rPr>
        <w:t>202</w:t>
      </w:r>
      <w:r w:rsidR="002C0BBB">
        <w:rPr>
          <w:iCs/>
        </w:rPr>
        <w:t>1</w:t>
      </w:r>
      <w:r w:rsidR="001E46D5">
        <w:rPr>
          <w:iCs/>
        </w:rPr>
        <w:t xml:space="preserve">, </w:t>
      </w:r>
      <w:r w:rsidRPr="001E46D5">
        <w:rPr>
          <w:iCs/>
        </w:rPr>
        <w:t>in claiming legitimate authority to manage and administ</w:t>
      </w:r>
      <w:r w:rsidR="001E46D5">
        <w:rPr>
          <w:iCs/>
        </w:rPr>
        <w:t>er</w:t>
      </w:r>
      <w:r w:rsidRPr="001E46D5">
        <w:rPr>
          <w:iCs/>
        </w:rPr>
        <w:t xml:space="preserve"> the Building. The 1</w:t>
      </w:r>
      <w:r w:rsidRPr="001E46D5">
        <w:rPr>
          <w:iCs/>
          <w:vertAlign w:val="superscript"/>
        </w:rPr>
        <w:t>st</w:t>
      </w:r>
      <w:r w:rsidRPr="001E46D5">
        <w:rPr>
          <w:iCs/>
        </w:rPr>
        <w:t xml:space="preserve"> – 5</w:t>
      </w:r>
      <w:r w:rsidRPr="001E46D5">
        <w:rPr>
          <w:iCs/>
          <w:vertAlign w:val="superscript"/>
        </w:rPr>
        <w:t>th</w:t>
      </w:r>
      <w:r w:rsidRPr="001E46D5">
        <w:rPr>
          <w:iCs/>
        </w:rPr>
        <w:t xml:space="preserve"> Respondents on the other hand </w:t>
      </w:r>
      <w:r w:rsidR="00B75EFC">
        <w:rPr>
          <w:iCs/>
        </w:rPr>
        <w:t>had</w:t>
      </w:r>
      <w:r w:rsidRPr="001E46D5">
        <w:rPr>
          <w:iCs/>
        </w:rPr>
        <w:t xml:space="preserve"> relied on another </w:t>
      </w:r>
      <w:r w:rsidRPr="001E46D5">
        <w:rPr>
          <w:iCs/>
        </w:rPr>
        <w:lastRenderedPageBreak/>
        <w:t xml:space="preserve">separate </w:t>
      </w:r>
      <w:r w:rsidRPr="001E46D5">
        <w:rPr>
          <w:i/>
          <w:iCs/>
        </w:rPr>
        <w:t>Service Agreement Contract</w:t>
      </w:r>
      <w:r w:rsidR="00B75EFC">
        <w:rPr>
          <w:i/>
          <w:iCs/>
        </w:rPr>
        <w:t>,</w:t>
      </w:r>
      <w:r w:rsidRPr="001E46D5">
        <w:rPr>
          <w:iCs/>
        </w:rPr>
        <w:t xml:space="preserve"> </w:t>
      </w:r>
      <w:r w:rsidR="00B75EFC">
        <w:rPr>
          <w:iCs/>
        </w:rPr>
        <w:t xml:space="preserve">which is said to have been </w:t>
      </w:r>
      <w:r w:rsidRPr="001E46D5">
        <w:rPr>
          <w:iCs/>
        </w:rPr>
        <w:t xml:space="preserve">entered into between the Directors of the Cooperative and </w:t>
      </w:r>
      <w:r w:rsidR="00B75EFC">
        <w:rPr>
          <w:iCs/>
        </w:rPr>
        <w:t xml:space="preserve">the Fifth Respondent </w:t>
      </w:r>
      <w:r w:rsidRPr="001E46D5">
        <w:rPr>
          <w:iCs/>
        </w:rPr>
        <w:t>on 01</w:t>
      </w:r>
      <w:r w:rsidR="004C086A">
        <w:rPr>
          <w:iCs/>
        </w:rPr>
        <w:t> </w:t>
      </w:r>
      <w:r w:rsidRPr="001E46D5">
        <w:rPr>
          <w:iCs/>
        </w:rPr>
        <w:t>February</w:t>
      </w:r>
      <w:r w:rsidR="004C086A">
        <w:rPr>
          <w:iCs/>
        </w:rPr>
        <w:t> </w:t>
      </w:r>
      <w:r w:rsidRPr="001E46D5">
        <w:rPr>
          <w:iCs/>
        </w:rPr>
        <w:t>2020, in terms of which the latter was duly appointed as the  management agent of the Cooperative.</w:t>
      </w:r>
    </w:p>
    <w:p w14:paraId="44F391D5" w14:textId="74E037F2" w:rsidR="001B2BB9" w:rsidRPr="007127A5" w:rsidRDefault="008D5B0A" w:rsidP="007127A5">
      <w:pPr>
        <w:pStyle w:val="JudgmentStyle"/>
        <w:numPr>
          <w:ilvl w:val="0"/>
          <w:numId w:val="6"/>
        </w:numPr>
        <w:spacing w:line="360" w:lineRule="auto"/>
        <w:ind w:left="720" w:right="0" w:hanging="720"/>
        <w:rPr>
          <w:iCs/>
        </w:rPr>
      </w:pPr>
      <w:r w:rsidRPr="002C0BBB">
        <w:rPr>
          <w:iCs/>
        </w:rPr>
        <w:t xml:space="preserve">In all three agreements, the central entity is the Cooperative, and in the end, the dispute </w:t>
      </w:r>
      <w:r w:rsidR="00B75EFC">
        <w:rPr>
          <w:iCs/>
        </w:rPr>
        <w:t>revolved around individuals in</w:t>
      </w:r>
      <w:r w:rsidR="000656E0">
        <w:rPr>
          <w:iCs/>
        </w:rPr>
        <w:t xml:space="preserve"> its</w:t>
      </w:r>
      <w:r w:rsidR="00B75EFC">
        <w:rPr>
          <w:iCs/>
        </w:rPr>
        <w:t xml:space="preserve"> board</w:t>
      </w:r>
      <w:r w:rsidR="000656E0">
        <w:rPr>
          <w:iCs/>
        </w:rPr>
        <w:t>,</w:t>
      </w:r>
      <w:r w:rsidR="00B75EFC">
        <w:rPr>
          <w:iCs/>
        </w:rPr>
        <w:t xml:space="preserve"> who had purported authority </w:t>
      </w:r>
      <w:r w:rsidRPr="002C0BBB">
        <w:rPr>
          <w:iCs/>
        </w:rPr>
        <w:t xml:space="preserve">for the purposes of entering into those agreements. </w:t>
      </w:r>
      <w:r w:rsidR="00FA173E">
        <w:rPr>
          <w:iCs/>
        </w:rPr>
        <w:t xml:space="preserve">The fact that one Cooperative could have entered into three </w:t>
      </w:r>
      <w:r w:rsidR="002C3A58">
        <w:rPr>
          <w:iCs/>
        </w:rPr>
        <w:t xml:space="preserve">disputed </w:t>
      </w:r>
      <w:r w:rsidR="00FA173E">
        <w:rPr>
          <w:iCs/>
        </w:rPr>
        <w:t>separate agreements in terms of which different managing agents for the same Building were appointed</w:t>
      </w:r>
      <w:r w:rsidR="00193DD5">
        <w:rPr>
          <w:iCs/>
        </w:rPr>
        <w:t>,</w:t>
      </w:r>
      <w:r w:rsidR="00FA173E">
        <w:rPr>
          <w:iCs/>
        </w:rPr>
        <w:t xml:space="preserve"> points to deep-seated fissures within the Cooperative</w:t>
      </w:r>
      <w:r w:rsidR="007127A5">
        <w:rPr>
          <w:iCs/>
        </w:rPr>
        <w:t>.</w:t>
      </w:r>
    </w:p>
    <w:p w14:paraId="48E93BE3" w14:textId="4F1CECA7" w:rsidR="00EA6611" w:rsidRPr="00EA6611" w:rsidRDefault="000656E0" w:rsidP="003C2EF4">
      <w:pPr>
        <w:pStyle w:val="JudgmentStyle"/>
        <w:numPr>
          <w:ilvl w:val="0"/>
          <w:numId w:val="6"/>
        </w:numPr>
        <w:spacing w:line="360" w:lineRule="auto"/>
        <w:ind w:left="720" w:right="0" w:hanging="720"/>
        <w:rPr>
          <w:iCs/>
        </w:rPr>
      </w:pPr>
      <w:r>
        <w:rPr>
          <w:iCs/>
        </w:rPr>
        <w:t xml:space="preserve">Aligned to the above is that </w:t>
      </w:r>
      <w:r w:rsidR="00447721">
        <w:rPr>
          <w:iCs/>
        </w:rPr>
        <w:t>the 1</w:t>
      </w:r>
      <w:r w:rsidR="00447721" w:rsidRPr="00447721">
        <w:rPr>
          <w:iCs/>
          <w:vertAlign w:val="superscript"/>
        </w:rPr>
        <w:t>st</w:t>
      </w:r>
      <w:r w:rsidR="00447721">
        <w:rPr>
          <w:iCs/>
        </w:rPr>
        <w:t xml:space="preserve"> – 5</w:t>
      </w:r>
      <w:r w:rsidR="00447721" w:rsidRPr="00447721">
        <w:rPr>
          <w:iCs/>
          <w:vertAlign w:val="superscript"/>
        </w:rPr>
        <w:t>th</w:t>
      </w:r>
      <w:r w:rsidR="00447721">
        <w:rPr>
          <w:iCs/>
        </w:rPr>
        <w:t xml:space="preserve"> Respondents </w:t>
      </w:r>
      <w:r>
        <w:rPr>
          <w:iCs/>
        </w:rPr>
        <w:t xml:space="preserve">also </w:t>
      </w:r>
      <w:r w:rsidR="00447721">
        <w:rPr>
          <w:iCs/>
        </w:rPr>
        <w:t>raised disputes pertaining to the authority</w:t>
      </w:r>
      <w:r w:rsidR="007127A5">
        <w:rPr>
          <w:iCs/>
        </w:rPr>
        <w:t xml:space="preserve"> and mandate</w:t>
      </w:r>
      <w:r w:rsidR="00447721">
        <w:rPr>
          <w:iCs/>
        </w:rPr>
        <w:t xml:space="preserve"> of </w:t>
      </w:r>
      <w:r w:rsidR="007127A5">
        <w:rPr>
          <w:iCs/>
        </w:rPr>
        <w:t xml:space="preserve">certain </w:t>
      </w:r>
      <w:r w:rsidR="00447721">
        <w:rPr>
          <w:iCs/>
        </w:rPr>
        <w:t>individuals</w:t>
      </w:r>
      <w:r w:rsidR="007127A5">
        <w:rPr>
          <w:iCs/>
        </w:rPr>
        <w:t xml:space="preserve"> who purportedly signed the agreements in question on behalf of the Cooperative. Furthermore, t</w:t>
      </w:r>
      <w:r w:rsidR="003C2EF4">
        <w:rPr>
          <w:iCs/>
        </w:rPr>
        <w:t>he</w:t>
      </w:r>
      <w:r w:rsidR="002C3A58">
        <w:rPr>
          <w:iCs/>
        </w:rPr>
        <w:t xml:space="preserve"> 1</w:t>
      </w:r>
      <w:r w:rsidR="002C3A58" w:rsidRPr="002C3A58">
        <w:rPr>
          <w:iCs/>
          <w:vertAlign w:val="superscript"/>
        </w:rPr>
        <w:t>st</w:t>
      </w:r>
      <w:r w:rsidR="002C3A58">
        <w:rPr>
          <w:iCs/>
        </w:rPr>
        <w:t xml:space="preserve"> – 5</w:t>
      </w:r>
      <w:r w:rsidR="002C3A58" w:rsidRPr="002C3A58">
        <w:rPr>
          <w:iCs/>
          <w:vertAlign w:val="superscript"/>
        </w:rPr>
        <w:t>th</w:t>
      </w:r>
      <w:r w:rsidR="002C3A58">
        <w:rPr>
          <w:iCs/>
        </w:rPr>
        <w:t xml:space="preserve"> Respondent also questioned the</w:t>
      </w:r>
      <w:r w:rsidR="003C2EF4">
        <w:rPr>
          <w:iCs/>
        </w:rPr>
        <w:t xml:space="preserve"> suitability of the Applicant as a managing agent on the grounds that it did not have a </w:t>
      </w:r>
      <w:r w:rsidR="00EA6611" w:rsidRPr="00EA6611">
        <w:rPr>
          <w:iCs/>
        </w:rPr>
        <w:t>fidelity fund certificate</w:t>
      </w:r>
      <w:r w:rsidR="007127A5">
        <w:rPr>
          <w:iCs/>
        </w:rPr>
        <w:t>,</w:t>
      </w:r>
      <w:r w:rsidR="00EA6611" w:rsidRPr="00EA6611">
        <w:rPr>
          <w:iCs/>
        </w:rPr>
        <w:t xml:space="preserve"> which </w:t>
      </w:r>
      <w:r w:rsidR="007127A5">
        <w:rPr>
          <w:iCs/>
        </w:rPr>
        <w:t xml:space="preserve">would have </w:t>
      </w:r>
      <w:r w:rsidR="00EA6611" w:rsidRPr="00EA6611">
        <w:rPr>
          <w:iCs/>
        </w:rPr>
        <w:t>allow</w:t>
      </w:r>
      <w:r w:rsidR="007127A5">
        <w:rPr>
          <w:iCs/>
        </w:rPr>
        <w:t>ed</w:t>
      </w:r>
      <w:r w:rsidR="00EA6611" w:rsidRPr="00EA6611">
        <w:rPr>
          <w:iCs/>
        </w:rPr>
        <w:t xml:space="preserve"> </w:t>
      </w:r>
      <w:r w:rsidR="003C2EF4">
        <w:rPr>
          <w:iCs/>
        </w:rPr>
        <w:t>it</w:t>
      </w:r>
      <w:r w:rsidR="00EA6611" w:rsidRPr="00EA6611">
        <w:rPr>
          <w:iCs/>
        </w:rPr>
        <w:t xml:space="preserve"> to hold monies in </w:t>
      </w:r>
      <w:r w:rsidR="003C2EF4">
        <w:rPr>
          <w:iCs/>
        </w:rPr>
        <w:t>its</w:t>
      </w:r>
      <w:r w:rsidR="00EA6611" w:rsidRPr="00EA6611">
        <w:rPr>
          <w:iCs/>
        </w:rPr>
        <w:t xml:space="preserve"> trust account</w:t>
      </w:r>
      <w:r w:rsidR="002C3A58">
        <w:rPr>
          <w:iCs/>
        </w:rPr>
        <w:t xml:space="preserve">. It was contended that the Applicant was </w:t>
      </w:r>
      <w:r w:rsidR="00B81F22">
        <w:rPr>
          <w:iCs/>
        </w:rPr>
        <w:t>also</w:t>
      </w:r>
      <w:r w:rsidR="002C3A58">
        <w:rPr>
          <w:iCs/>
        </w:rPr>
        <w:t xml:space="preserve"> disqualified as it</w:t>
      </w:r>
      <w:r w:rsidR="00B81F22">
        <w:rPr>
          <w:iCs/>
        </w:rPr>
        <w:t xml:space="preserve"> </w:t>
      </w:r>
      <w:r w:rsidR="003C2EF4">
        <w:rPr>
          <w:iCs/>
        </w:rPr>
        <w:t>was n</w:t>
      </w:r>
      <w:r w:rsidR="00EA6611" w:rsidRPr="00EA6611">
        <w:rPr>
          <w:iCs/>
        </w:rPr>
        <w:t>ot registered with the relevant authorities.</w:t>
      </w:r>
    </w:p>
    <w:p w14:paraId="47C2D477" w14:textId="1A518660" w:rsidR="00EA08DA" w:rsidRDefault="002C26C4" w:rsidP="00EA08DA">
      <w:pPr>
        <w:pStyle w:val="JudgmentStyle"/>
        <w:numPr>
          <w:ilvl w:val="0"/>
          <w:numId w:val="6"/>
        </w:numPr>
        <w:spacing w:line="360" w:lineRule="auto"/>
        <w:ind w:left="720" w:right="0" w:hanging="720"/>
        <w:rPr>
          <w:iCs/>
        </w:rPr>
      </w:pPr>
      <w:r w:rsidRPr="003C2EF4">
        <w:rPr>
          <w:iCs/>
        </w:rPr>
        <w:t>In equal measure, t</w:t>
      </w:r>
      <w:r w:rsidRPr="002C26C4">
        <w:rPr>
          <w:iCs/>
        </w:rPr>
        <w:t>he Applicant d</w:t>
      </w:r>
      <w:r w:rsidRPr="003C2EF4">
        <w:rPr>
          <w:iCs/>
        </w:rPr>
        <w:t>isputed</w:t>
      </w:r>
      <w:r w:rsidRPr="002C26C4">
        <w:rPr>
          <w:iCs/>
        </w:rPr>
        <w:t xml:space="preserve"> the fact that the individuals</w:t>
      </w:r>
      <w:r w:rsidR="00B81F22">
        <w:rPr>
          <w:iCs/>
        </w:rPr>
        <w:t xml:space="preserve"> within the Cooperative or the </w:t>
      </w:r>
      <w:r w:rsidR="00995B9A">
        <w:rPr>
          <w:iCs/>
        </w:rPr>
        <w:t>Building</w:t>
      </w:r>
      <w:r w:rsidRPr="002C26C4">
        <w:rPr>
          <w:iCs/>
        </w:rPr>
        <w:t xml:space="preserve"> that signed the resolution </w:t>
      </w:r>
      <w:r w:rsidRPr="003C2EF4">
        <w:rPr>
          <w:iCs/>
        </w:rPr>
        <w:t xml:space="preserve">authorising the deponent to the answering affidavit to do so </w:t>
      </w:r>
      <w:r w:rsidRPr="002C26C4">
        <w:rPr>
          <w:iCs/>
        </w:rPr>
        <w:t>ha</w:t>
      </w:r>
      <w:r w:rsidRPr="003C2EF4">
        <w:rPr>
          <w:iCs/>
        </w:rPr>
        <w:t>d</w:t>
      </w:r>
      <w:r w:rsidRPr="002C26C4">
        <w:rPr>
          <w:iCs/>
        </w:rPr>
        <w:t xml:space="preserve"> </w:t>
      </w:r>
      <w:r w:rsidRPr="003C2EF4">
        <w:rPr>
          <w:iCs/>
        </w:rPr>
        <w:t>such</w:t>
      </w:r>
      <w:r w:rsidRPr="002C26C4">
        <w:rPr>
          <w:iCs/>
        </w:rPr>
        <w:t xml:space="preserve"> capacity</w:t>
      </w:r>
      <w:r w:rsidR="00B81F22">
        <w:rPr>
          <w:iCs/>
        </w:rPr>
        <w:t xml:space="preserve">. The Applicant alleged that </w:t>
      </w:r>
      <w:r w:rsidRPr="003C2EF4">
        <w:rPr>
          <w:iCs/>
        </w:rPr>
        <w:t>the m</w:t>
      </w:r>
      <w:r w:rsidRPr="002C26C4">
        <w:rPr>
          <w:iCs/>
        </w:rPr>
        <w:t xml:space="preserve">ajority of them </w:t>
      </w:r>
      <w:r w:rsidRPr="003C2EF4">
        <w:rPr>
          <w:iCs/>
        </w:rPr>
        <w:t>were mere</w:t>
      </w:r>
      <w:r w:rsidRPr="002C26C4">
        <w:rPr>
          <w:iCs/>
        </w:rPr>
        <w:t xml:space="preserve"> tenants</w:t>
      </w:r>
      <w:r w:rsidRPr="003C2EF4">
        <w:rPr>
          <w:iCs/>
        </w:rPr>
        <w:t xml:space="preserve">, with some of them having had </w:t>
      </w:r>
      <w:r w:rsidRPr="002C26C4">
        <w:rPr>
          <w:iCs/>
        </w:rPr>
        <w:t>their membership terminated.</w:t>
      </w:r>
      <w:r w:rsidR="00EA6611" w:rsidRPr="003C2EF4">
        <w:rPr>
          <w:iCs/>
        </w:rPr>
        <w:t xml:space="preserve"> Furthermore, it was alleged that </w:t>
      </w:r>
      <w:r w:rsidR="00EA6611" w:rsidRPr="00EA6611">
        <w:rPr>
          <w:iCs/>
        </w:rPr>
        <w:t xml:space="preserve">the deponent does not appear in any records of the </w:t>
      </w:r>
      <w:r w:rsidR="00EA6611" w:rsidRPr="003C2EF4">
        <w:rPr>
          <w:iCs/>
        </w:rPr>
        <w:t>Cooperative</w:t>
      </w:r>
      <w:r w:rsidR="00EA6611" w:rsidRPr="00EA6611">
        <w:rPr>
          <w:iCs/>
        </w:rPr>
        <w:t xml:space="preserve"> as being a chairperson or a member of the board</w:t>
      </w:r>
      <w:r w:rsidR="00EA6611" w:rsidRPr="003C2EF4">
        <w:rPr>
          <w:iCs/>
        </w:rPr>
        <w:t xml:space="preserve">, and that her </w:t>
      </w:r>
      <w:r w:rsidR="00EA6611" w:rsidRPr="00B81F22">
        <w:rPr>
          <w:i/>
        </w:rPr>
        <w:t>locus standi</w:t>
      </w:r>
      <w:r w:rsidR="00EA6611" w:rsidRPr="003C2EF4">
        <w:rPr>
          <w:iCs/>
        </w:rPr>
        <w:t xml:space="preserve"> was challenged on the basis that she was not in </w:t>
      </w:r>
      <w:r w:rsidR="00EA6611" w:rsidRPr="00EA6611">
        <w:rPr>
          <w:iCs/>
        </w:rPr>
        <w:t>possess</w:t>
      </w:r>
      <w:r w:rsidR="00EA6611" w:rsidRPr="003C2EF4">
        <w:rPr>
          <w:iCs/>
        </w:rPr>
        <w:t>ion of a South African</w:t>
      </w:r>
      <w:r w:rsidR="00EA6611" w:rsidRPr="00EA6611">
        <w:rPr>
          <w:iCs/>
        </w:rPr>
        <w:t xml:space="preserve"> ID document</w:t>
      </w:r>
      <w:r w:rsidR="00B81F22">
        <w:rPr>
          <w:iCs/>
        </w:rPr>
        <w:t xml:space="preserve">. In this regard, it was alleged that the deponent as an </w:t>
      </w:r>
      <w:r w:rsidR="00EA6611" w:rsidRPr="00EA6611">
        <w:rPr>
          <w:iCs/>
        </w:rPr>
        <w:t>undocumented foreign national</w:t>
      </w:r>
      <w:r w:rsidR="00EA6611" w:rsidRPr="003C2EF4">
        <w:rPr>
          <w:iCs/>
        </w:rPr>
        <w:t>, who would</w:t>
      </w:r>
      <w:r w:rsidR="00B81F22">
        <w:rPr>
          <w:iCs/>
        </w:rPr>
        <w:t xml:space="preserve"> not</w:t>
      </w:r>
      <w:r w:rsidR="00EA6611" w:rsidRPr="003C2EF4">
        <w:rPr>
          <w:iCs/>
        </w:rPr>
        <w:t xml:space="preserve"> ordinarily have benefitted in terms of the general scheme of the Cooperative</w:t>
      </w:r>
      <w:r w:rsidR="00B81F22">
        <w:rPr>
          <w:iCs/>
        </w:rPr>
        <w:t xml:space="preserve"> and as a legitimate tenant of the Building.</w:t>
      </w:r>
    </w:p>
    <w:p w14:paraId="3412C0A6" w14:textId="5615A8CA" w:rsidR="00502E2D" w:rsidRDefault="00EA08DA" w:rsidP="00502E2D">
      <w:pPr>
        <w:pStyle w:val="JudgmentStyle"/>
        <w:numPr>
          <w:ilvl w:val="0"/>
          <w:numId w:val="6"/>
        </w:numPr>
        <w:spacing w:line="360" w:lineRule="auto"/>
        <w:ind w:left="720" w:right="0" w:hanging="720"/>
        <w:rPr>
          <w:iCs/>
        </w:rPr>
      </w:pPr>
      <w:r>
        <w:rPr>
          <w:iCs/>
        </w:rPr>
        <w:t>In the light of</w:t>
      </w:r>
      <w:r w:rsidR="00B81F22">
        <w:rPr>
          <w:iCs/>
        </w:rPr>
        <w:t xml:space="preserve"> all</w:t>
      </w:r>
      <w:r>
        <w:rPr>
          <w:iCs/>
        </w:rPr>
        <w:t xml:space="preserve"> the numerous disputes of fact arising from the papers, even if the Court was inclined to </w:t>
      </w:r>
      <w:r w:rsidRPr="00EA08DA">
        <w:rPr>
          <w:iCs/>
        </w:rPr>
        <w:t>resolve th</w:t>
      </w:r>
      <w:r w:rsidR="00502E2D">
        <w:rPr>
          <w:iCs/>
        </w:rPr>
        <w:t>e</w:t>
      </w:r>
      <w:r>
        <w:rPr>
          <w:iCs/>
        </w:rPr>
        <w:t>se</w:t>
      </w:r>
      <w:r w:rsidRPr="00EA08DA">
        <w:rPr>
          <w:iCs/>
        </w:rPr>
        <w:t xml:space="preserve"> by applying the</w:t>
      </w:r>
      <w:r>
        <w:rPr>
          <w:iCs/>
        </w:rPr>
        <w:t xml:space="preserve"> so-called</w:t>
      </w:r>
      <w:r w:rsidRPr="00EA08DA">
        <w:rPr>
          <w:iCs/>
        </w:rPr>
        <w:t xml:space="preserve"> </w:t>
      </w:r>
      <w:r w:rsidR="00D41905">
        <w:rPr>
          <w:iCs/>
        </w:rPr>
        <w:t xml:space="preserve">“robust </w:t>
      </w:r>
      <w:r w:rsidR="00D41905">
        <w:rPr>
          <w:iCs/>
        </w:rPr>
        <w:lastRenderedPageBreak/>
        <w:t xml:space="preserve">approach” referenced in </w:t>
      </w:r>
      <w:r w:rsidRPr="00EA08DA">
        <w:rPr>
          <w:i/>
          <w:iCs/>
        </w:rPr>
        <w:t>Fakie NO v CCII Systems (Pty) Ltd</w:t>
      </w:r>
      <w:r>
        <w:rPr>
          <w:rStyle w:val="FootnoteReference"/>
          <w:i/>
          <w:iCs/>
        </w:rPr>
        <w:footnoteReference w:id="17"/>
      </w:r>
      <w:r>
        <w:rPr>
          <w:i/>
          <w:iCs/>
        </w:rPr>
        <w:t xml:space="preserve">, </w:t>
      </w:r>
      <w:r>
        <w:t>it should nonetheless refuse to do so</w:t>
      </w:r>
      <w:r w:rsidR="00502E2D">
        <w:t>,</w:t>
      </w:r>
      <w:r>
        <w:t xml:space="preserve"> as clearly </w:t>
      </w:r>
      <w:r w:rsidR="00E82A10">
        <w:t xml:space="preserve">there is no scope for </w:t>
      </w:r>
      <w:r w:rsidR="00502E2D">
        <w:t>such a manoeuvre</w:t>
      </w:r>
      <w:r w:rsidR="00B81F22">
        <w:t xml:space="preserve">. Of importance however is that </w:t>
      </w:r>
      <w:r>
        <w:t>these disputed facts</w:t>
      </w:r>
      <w:r w:rsidR="002C3A58">
        <w:t xml:space="preserve"> </w:t>
      </w:r>
      <w:r>
        <w:t xml:space="preserve">ought to have </w:t>
      </w:r>
      <w:r w:rsidR="002C3A58">
        <w:t xml:space="preserve">been </w:t>
      </w:r>
      <w:r>
        <w:t>foreseen</w:t>
      </w:r>
      <w:r w:rsidR="002C3A58">
        <w:t xml:space="preserve"> by the Applicant</w:t>
      </w:r>
      <w:r>
        <w:t>.</w:t>
      </w:r>
    </w:p>
    <w:p w14:paraId="25BB0D12" w14:textId="2EA0E57F" w:rsidR="00895DE7" w:rsidRPr="00995B9A" w:rsidRDefault="00C11282" w:rsidP="00995B9A">
      <w:pPr>
        <w:pStyle w:val="JudgmentStyle"/>
        <w:numPr>
          <w:ilvl w:val="0"/>
          <w:numId w:val="6"/>
        </w:numPr>
        <w:spacing w:line="360" w:lineRule="auto"/>
        <w:ind w:left="720" w:right="0" w:hanging="720"/>
        <w:rPr>
          <w:iCs/>
        </w:rPr>
      </w:pPr>
      <w:r>
        <w:rPr>
          <w:iCs/>
        </w:rPr>
        <w:t xml:space="preserve">In summary, </w:t>
      </w:r>
      <w:r w:rsidR="00D01816">
        <w:rPr>
          <w:iCs/>
        </w:rPr>
        <w:t xml:space="preserve">the above disputed facts and the conclusions reached in that regard sought to highlight again the reasons this Court declined jurisdiction. This is so in that the </w:t>
      </w:r>
      <w:r>
        <w:rPr>
          <w:iCs/>
        </w:rPr>
        <w:t>Applicant has not demonstrated why this Court should determine this application when both the agreements it had relied on, directed it to refer such disputes to the Cooperative Tribunal or arbitration</w:t>
      </w:r>
      <w:r w:rsidR="00D01816">
        <w:rPr>
          <w:iCs/>
        </w:rPr>
        <w:t>, or where these agreements were placed in dispute.</w:t>
      </w:r>
      <w:r>
        <w:rPr>
          <w:iCs/>
        </w:rPr>
        <w:t xml:space="preserve"> In the end,</w:t>
      </w:r>
      <w:r w:rsidR="004D7633">
        <w:rPr>
          <w:iCs/>
        </w:rPr>
        <w:t xml:space="preserve"> </w:t>
      </w:r>
      <w:r w:rsidR="00D01816">
        <w:rPr>
          <w:iCs/>
        </w:rPr>
        <w:t xml:space="preserve">based on the very same agreements, </w:t>
      </w:r>
      <w:r w:rsidR="00E14F02">
        <w:rPr>
          <w:iCs/>
        </w:rPr>
        <w:t xml:space="preserve">and what </w:t>
      </w:r>
      <w:r w:rsidR="004D7633">
        <w:rPr>
          <w:iCs/>
        </w:rPr>
        <w:t>the Applicant has</w:t>
      </w:r>
      <w:r w:rsidR="00E14F02">
        <w:rPr>
          <w:iCs/>
        </w:rPr>
        <w:t xml:space="preserve"> pleaded, it has</w:t>
      </w:r>
      <w:r w:rsidR="004D7633">
        <w:rPr>
          <w:iCs/>
        </w:rPr>
        <w:t xml:space="preserve"> not demonstrated the basis upon which this Court should accept that there exist exceptions (</w:t>
      </w:r>
      <w:r w:rsidR="00E60D26" w:rsidRPr="000E1521">
        <w:rPr>
          <w:i/>
          <w:iCs/>
        </w:rPr>
        <w:t>i.e</w:t>
      </w:r>
      <w:r w:rsidR="00E60D26">
        <w:rPr>
          <w:iCs/>
        </w:rPr>
        <w:t>.</w:t>
      </w:r>
      <w:r w:rsidR="004D7633">
        <w:rPr>
          <w:iCs/>
        </w:rPr>
        <w:t>, breach which has ca</w:t>
      </w:r>
      <w:r w:rsidR="00895DE7">
        <w:rPr>
          <w:iCs/>
        </w:rPr>
        <w:t>u</w:t>
      </w:r>
      <w:r w:rsidR="004D7633">
        <w:rPr>
          <w:iCs/>
        </w:rPr>
        <w:t xml:space="preserve">sed irreparable injury or otherwise), that necessitates that </w:t>
      </w:r>
      <w:r w:rsidR="00DB50ED">
        <w:rPr>
          <w:iCs/>
        </w:rPr>
        <w:t xml:space="preserve">a </w:t>
      </w:r>
      <w:r w:rsidR="004D7633">
        <w:rPr>
          <w:iCs/>
        </w:rPr>
        <w:t>discretion</w:t>
      </w:r>
      <w:r w:rsidR="00DB50ED">
        <w:rPr>
          <w:iCs/>
        </w:rPr>
        <w:t xml:space="preserve"> be exercised in its favour</w:t>
      </w:r>
      <w:r w:rsidR="002C3A58">
        <w:rPr>
          <w:iCs/>
        </w:rPr>
        <w:t>,</w:t>
      </w:r>
      <w:r w:rsidR="004D7633">
        <w:rPr>
          <w:iCs/>
        </w:rPr>
        <w:t xml:space="preserve"> and </w:t>
      </w:r>
      <w:r w:rsidR="00DB50ED">
        <w:rPr>
          <w:iCs/>
        </w:rPr>
        <w:t xml:space="preserve">that </w:t>
      </w:r>
      <w:r w:rsidR="004D7633">
        <w:rPr>
          <w:iCs/>
        </w:rPr>
        <w:t xml:space="preserve">the matter </w:t>
      </w:r>
      <w:r>
        <w:rPr>
          <w:iCs/>
        </w:rPr>
        <w:t xml:space="preserve">under Part B of </w:t>
      </w:r>
      <w:r w:rsidR="004D7633">
        <w:rPr>
          <w:iCs/>
        </w:rPr>
        <w:t>the Applicant’s</w:t>
      </w:r>
      <w:r>
        <w:rPr>
          <w:iCs/>
        </w:rPr>
        <w:t xml:space="preserve"> Notice of Motion</w:t>
      </w:r>
      <w:r w:rsidR="00DB50ED">
        <w:rPr>
          <w:iCs/>
        </w:rPr>
        <w:t xml:space="preserve"> be determined</w:t>
      </w:r>
      <w:r>
        <w:rPr>
          <w:iCs/>
        </w:rPr>
        <w:t>.</w:t>
      </w:r>
      <w:r w:rsidR="00B81F22">
        <w:rPr>
          <w:iCs/>
        </w:rPr>
        <w:t xml:space="preserve"> </w:t>
      </w:r>
      <w:r w:rsidR="00995B9A">
        <w:rPr>
          <w:iCs/>
        </w:rPr>
        <w:t>Further i</w:t>
      </w:r>
      <w:r w:rsidR="00895DE7" w:rsidRPr="00995B9A">
        <w:rPr>
          <w:iCs/>
        </w:rPr>
        <w:t>n the light of the</w:t>
      </w:r>
      <w:r w:rsidR="00995B9A">
        <w:rPr>
          <w:iCs/>
        </w:rPr>
        <w:t>se</w:t>
      </w:r>
      <w:r w:rsidR="00895DE7" w:rsidRPr="00995B9A">
        <w:rPr>
          <w:iCs/>
        </w:rPr>
        <w:t xml:space="preserve"> conclusions, it follows that the enquiry ought to end at that point</w:t>
      </w:r>
      <w:r w:rsidR="000656E0">
        <w:rPr>
          <w:iCs/>
        </w:rPr>
        <w:t>,</w:t>
      </w:r>
      <w:r w:rsidR="00895DE7" w:rsidRPr="00995B9A">
        <w:rPr>
          <w:iCs/>
        </w:rPr>
        <w:t xml:space="preserve"> without the necessity of establishing whether the requirements of final relief on the </w:t>
      </w:r>
      <w:r w:rsidR="00895DE7" w:rsidRPr="00995B9A">
        <w:rPr>
          <w:i/>
          <w:iCs/>
        </w:rPr>
        <w:t>Setlogelo v Setlogelo</w:t>
      </w:r>
      <w:r w:rsidR="00895DE7" w:rsidRPr="00895DE7">
        <w:rPr>
          <w:iCs/>
          <w:vertAlign w:val="superscript"/>
        </w:rPr>
        <w:footnoteReference w:id="18"/>
      </w:r>
      <w:r w:rsidR="00895DE7" w:rsidRPr="00995B9A">
        <w:rPr>
          <w:iCs/>
        </w:rPr>
        <w:t xml:space="preserve"> test have been met.</w:t>
      </w:r>
    </w:p>
    <w:p w14:paraId="47021731" w14:textId="216D56F5" w:rsidR="00E60D26" w:rsidRDefault="00105210" w:rsidP="00877DEB">
      <w:pPr>
        <w:pStyle w:val="JudgmentStyle"/>
        <w:numPr>
          <w:ilvl w:val="0"/>
          <w:numId w:val="6"/>
        </w:numPr>
        <w:spacing w:line="360" w:lineRule="auto"/>
        <w:ind w:left="720" w:right="0" w:hanging="720"/>
        <w:rPr>
          <w:iCs/>
        </w:rPr>
      </w:pPr>
      <w:r>
        <w:rPr>
          <w:iCs/>
        </w:rPr>
        <w:t>It</w:t>
      </w:r>
      <w:r w:rsidR="00995B9A">
        <w:rPr>
          <w:iCs/>
        </w:rPr>
        <w:t xml:space="preserve"> further</w:t>
      </w:r>
      <w:r>
        <w:rPr>
          <w:iCs/>
        </w:rPr>
        <w:t xml:space="preserve"> follows that</w:t>
      </w:r>
      <w:r w:rsidR="00C11282">
        <w:rPr>
          <w:iCs/>
        </w:rPr>
        <w:t xml:space="preserve"> the </w:t>
      </w:r>
      <w:r w:rsidR="00C11282" w:rsidRPr="00105210">
        <w:rPr>
          <w:i/>
        </w:rPr>
        <w:t>rule nisi</w:t>
      </w:r>
      <w:r w:rsidR="00C11282">
        <w:rPr>
          <w:iCs/>
        </w:rPr>
        <w:t xml:space="preserve"> granted on 12</w:t>
      </w:r>
      <w:r w:rsidR="00BA14A7">
        <w:rPr>
          <w:iCs/>
        </w:rPr>
        <w:t> </w:t>
      </w:r>
      <w:r w:rsidR="00C11282">
        <w:rPr>
          <w:iCs/>
        </w:rPr>
        <w:t>May</w:t>
      </w:r>
      <w:r w:rsidR="00BA14A7">
        <w:rPr>
          <w:iCs/>
        </w:rPr>
        <w:t> </w:t>
      </w:r>
      <w:r w:rsidR="00C11282">
        <w:rPr>
          <w:iCs/>
        </w:rPr>
        <w:t>2021 ought to be discharged</w:t>
      </w:r>
      <w:r w:rsidR="007B04F0">
        <w:rPr>
          <w:iCs/>
        </w:rPr>
        <w:t xml:space="preserve">. </w:t>
      </w:r>
      <w:r>
        <w:rPr>
          <w:iCs/>
        </w:rPr>
        <w:t>This is so in that t</w:t>
      </w:r>
      <w:r w:rsidR="007B04F0">
        <w:rPr>
          <w:iCs/>
        </w:rPr>
        <w:t>he 1</w:t>
      </w:r>
      <w:r w:rsidR="007B04F0" w:rsidRPr="007B04F0">
        <w:rPr>
          <w:iCs/>
          <w:vertAlign w:val="superscript"/>
        </w:rPr>
        <w:t>st</w:t>
      </w:r>
      <w:r w:rsidR="007B04F0">
        <w:rPr>
          <w:iCs/>
        </w:rPr>
        <w:t xml:space="preserve"> – 5</w:t>
      </w:r>
      <w:r w:rsidR="007B04F0" w:rsidRPr="007B04F0">
        <w:rPr>
          <w:iCs/>
          <w:vertAlign w:val="superscript"/>
        </w:rPr>
        <w:t>th</w:t>
      </w:r>
      <w:r w:rsidR="007B04F0">
        <w:rPr>
          <w:iCs/>
        </w:rPr>
        <w:t xml:space="preserve"> Respondents have demonstrated the prejudice the preservation order has caused</w:t>
      </w:r>
      <w:r>
        <w:rPr>
          <w:iCs/>
        </w:rPr>
        <w:t xml:space="preserve"> </w:t>
      </w:r>
      <w:r w:rsidR="00995B9A">
        <w:rPr>
          <w:iCs/>
        </w:rPr>
        <w:t xml:space="preserve">to the Cooperative and </w:t>
      </w:r>
      <w:r>
        <w:rPr>
          <w:iCs/>
        </w:rPr>
        <w:t>the tenants of the Building</w:t>
      </w:r>
      <w:r w:rsidR="00995B9A">
        <w:rPr>
          <w:iCs/>
        </w:rPr>
        <w:t xml:space="preserve"> in particular</w:t>
      </w:r>
      <w:r w:rsidR="007B04F0">
        <w:rPr>
          <w:iCs/>
        </w:rPr>
        <w:t xml:space="preserve">. Inasmuch as the Applicant has complained about its inability to carry out its mandate in managing and administering the Building, </w:t>
      </w:r>
      <w:r>
        <w:rPr>
          <w:iCs/>
        </w:rPr>
        <w:t>and</w:t>
      </w:r>
      <w:r w:rsidR="00E60D26">
        <w:rPr>
          <w:iCs/>
        </w:rPr>
        <w:t xml:space="preserve"> also</w:t>
      </w:r>
      <w:r>
        <w:rPr>
          <w:iCs/>
        </w:rPr>
        <w:t xml:space="preserve"> cast aspersions on the integrity of the </w:t>
      </w:r>
      <w:r w:rsidR="00323ABA">
        <w:rPr>
          <w:iCs/>
        </w:rPr>
        <w:t>2</w:t>
      </w:r>
      <w:r w:rsidR="00323ABA" w:rsidRPr="00323ABA">
        <w:rPr>
          <w:iCs/>
          <w:vertAlign w:val="superscript"/>
        </w:rPr>
        <w:t>nd</w:t>
      </w:r>
      <w:r>
        <w:rPr>
          <w:iCs/>
        </w:rPr>
        <w:t xml:space="preserve"> – </w:t>
      </w:r>
      <w:r w:rsidR="00323ABA">
        <w:rPr>
          <w:iCs/>
        </w:rPr>
        <w:t>4</w:t>
      </w:r>
      <w:r w:rsidRPr="00105210">
        <w:rPr>
          <w:iCs/>
          <w:vertAlign w:val="superscript"/>
        </w:rPr>
        <w:t>th</w:t>
      </w:r>
      <w:r>
        <w:rPr>
          <w:iCs/>
        </w:rPr>
        <w:t xml:space="preserve"> Respondents, </w:t>
      </w:r>
      <w:r w:rsidR="007B04F0">
        <w:rPr>
          <w:iCs/>
        </w:rPr>
        <w:t xml:space="preserve">in the same token, the preservation order has clearly hampered any effort in ensuring that the Cooperative maintains minimum services </w:t>
      </w:r>
      <w:r w:rsidR="00E60D26">
        <w:rPr>
          <w:iCs/>
        </w:rPr>
        <w:t>in the Building</w:t>
      </w:r>
      <w:r w:rsidR="007B04F0">
        <w:rPr>
          <w:iCs/>
        </w:rPr>
        <w:t xml:space="preserve">. </w:t>
      </w:r>
    </w:p>
    <w:p w14:paraId="54896E70" w14:textId="7AADA9E6" w:rsidR="00E60D26" w:rsidRPr="00323ABA" w:rsidRDefault="007B04F0" w:rsidP="00323ABA">
      <w:pPr>
        <w:pStyle w:val="JudgmentStyle"/>
        <w:numPr>
          <w:ilvl w:val="0"/>
          <w:numId w:val="6"/>
        </w:numPr>
        <w:spacing w:line="360" w:lineRule="auto"/>
        <w:ind w:left="720" w:right="0" w:hanging="720"/>
        <w:rPr>
          <w:iCs/>
        </w:rPr>
      </w:pPr>
      <w:r>
        <w:rPr>
          <w:iCs/>
        </w:rPr>
        <w:t xml:space="preserve">At this point of the dispute, the interests of the tenants are paramount, and </w:t>
      </w:r>
      <w:r w:rsidR="00105210">
        <w:rPr>
          <w:iCs/>
        </w:rPr>
        <w:t xml:space="preserve">whether it is the Applicant or the Fifth Respondent that is the rightful managing agent </w:t>
      </w:r>
      <w:r w:rsidR="00877DEB">
        <w:rPr>
          <w:iCs/>
        </w:rPr>
        <w:t>of the Building is an issue that can be resolved through the alternative dispute resolution route the contesting parties chose</w:t>
      </w:r>
      <w:r w:rsidR="001A578D">
        <w:rPr>
          <w:iCs/>
        </w:rPr>
        <w:t xml:space="preserve"> in accordance with the </w:t>
      </w:r>
      <w:r w:rsidR="001A578D">
        <w:rPr>
          <w:iCs/>
        </w:rPr>
        <w:lastRenderedPageBreak/>
        <w:t>agreements relied upon</w:t>
      </w:r>
      <w:r w:rsidR="00877DEB">
        <w:rPr>
          <w:iCs/>
        </w:rPr>
        <w:t xml:space="preserve">. </w:t>
      </w:r>
      <w:r w:rsidR="001A578D">
        <w:rPr>
          <w:iCs/>
        </w:rPr>
        <w:t>It is for these reasons that the following order is deemed appropriate;</w:t>
      </w:r>
    </w:p>
    <w:p w14:paraId="6826D8A0" w14:textId="755838D6" w:rsidR="009218C4" w:rsidRPr="009218C4" w:rsidRDefault="00D13CDA" w:rsidP="005F6EA6">
      <w:pPr>
        <w:pStyle w:val="JudgmentStyle"/>
        <w:numPr>
          <w:ilvl w:val="0"/>
          <w:numId w:val="0"/>
        </w:numPr>
        <w:spacing w:line="360" w:lineRule="auto"/>
        <w:ind w:left="567" w:right="0" w:hanging="567"/>
        <w:rPr>
          <w:iCs/>
          <w:u w:val="single"/>
        </w:rPr>
      </w:pPr>
      <w:r w:rsidRPr="00D13CDA">
        <w:rPr>
          <w:iCs/>
          <w:u w:val="single"/>
        </w:rPr>
        <w:t xml:space="preserve">Order: </w:t>
      </w:r>
    </w:p>
    <w:p w14:paraId="4D509231" w14:textId="5B5E9F07" w:rsidR="00C32770" w:rsidRDefault="001A578D" w:rsidP="000E1521">
      <w:pPr>
        <w:pStyle w:val="JudgmentStyle"/>
        <w:numPr>
          <w:ilvl w:val="0"/>
          <w:numId w:val="9"/>
        </w:numPr>
        <w:spacing w:line="360" w:lineRule="auto"/>
        <w:ind w:left="1440" w:right="0" w:hanging="720"/>
        <w:rPr>
          <w:iCs/>
        </w:rPr>
      </w:pPr>
      <w:r>
        <w:rPr>
          <w:iCs/>
        </w:rPr>
        <w:t xml:space="preserve">The interim </w:t>
      </w:r>
      <w:r w:rsidR="005A5928">
        <w:rPr>
          <w:iCs/>
        </w:rPr>
        <w:t xml:space="preserve">order </w:t>
      </w:r>
      <w:r>
        <w:rPr>
          <w:iCs/>
        </w:rPr>
        <w:t>granted by the Court o</w:t>
      </w:r>
      <w:r w:rsidRPr="001A578D">
        <w:rPr>
          <w:iCs/>
        </w:rPr>
        <w:t xml:space="preserve">n 12 May 2021 </w:t>
      </w:r>
      <w:r>
        <w:rPr>
          <w:iCs/>
        </w:rPr>
        <w:t>is discharged</w:t>
      </w:r>
      <w:r w:rsidR="005A5928">
        <w:rPr>
          <w:iCs/>
        </w:rPr>
        <w:t xml:space="preserve">, and </w:t>
      </w:r>
      <w:r w:rsidR="00E51B56" w:rsidRPr="005A5928">
        <w:rPr>
          <w:iCs/>
        </w:rPr>
        <w:t xml:space="preserve">the freezing or suspension of the </w:t>
      </w:r>
      <w:r w:rsidR="005A5928">
        <w:rPr>
          <w:iCs/>
        </w:rPr>
        <w:t>F</w:t>
      </w:r>
      <w:r w:rsidR="00E51B56" w:rsidRPr="005A5928">
        <w:rPr>
          <w:iCs/>
        </w:rPr>
        <w:t xml:space="preserve">irst </w:t>
      </w:r>
      <w:r w:rsidR="005A5928">
        <w:rPr>
          <w:iCs/>
        </w:rPr>
        <w:t>R</w:t>
      </w:r>
      <w:r w:rsidR="00E51B56" w:rsidRPr="005A5928">
        <w:rPr>
          <w:iCs/>
        </w:rPr>
        <w:t>espondent's bank account number 007474024 held at Standard Bank is set aside;</w:t>
      </w:r>
    </w:p>
    <w:p w14:paraId="611936C6" w14:textId="75B2EC7B" w:rsidR="005A5928" w:rsidRDefault="005A5928" w:rsidP="000E1521">
      <w:pPr>
        <w:pStyle w:val="JudgmentStyle"/>
        <w:numPr>
          <w:ilvl w:val="0"/>
          <w:numId w:val="9"/>
        </w:numPr>
        <w:spacing w:line="360" w:lineRule="auto"/>
        <w:ind w:left="1440" w:right="0" w:hanging="720"/>
        <w:rPr>
          <w:iCs/>
        </w:rPr>
      </w:pPr>
      <w:r>
        <w:rPr>
          <w:iCs/>
        </w:rPr>
        <w:t>The Court lacks jurisdiction to determine Part B of the Applicant’s Notice of Motion.</w:t>
      </w:r>
    </w:p>
    <w:p w14:paraId="6C272B55" w14:textId="163D8C89" w:rsidR="005A5928" w:rsidRPr="005A5928" w:rsidRDefault="005A5928" w:rsidP="000E1521">
      <w:pPr>
        <w:pStyle w:val="JudgmentStyle"/>
        <w:numPr>
          <w:ilvl w:val="0"/>
          <w:numId w:val="9"/>
        </w:numPr>
        <w:spacing w:line="360" w:lineRule="auto"/>
        <w:ind w:left="1440" w:right="0" w:hanging="720"/>
        <w:rPr>
          <w:iCs/>
        </w:rPr>
      </w:pPr>
      <w:r>
        <w:rPr>
          <w:iCs/>
        </w:rPr>
        <w:t>The Applicant is to pay the costs of this application</w:t>
      </w:r>
    </w:p>
    <w:p w14:paraId="6206A18A" w14:textId="77777777" w:rsidR="00492E77" w:rsidRPr="00CF3DCD" w:rsidRDefault="00492E77" w:rsidP="00492E77">
      <w:pPr>
        <w:pStyle w:val="JudgmentStyle"/>
        <w:numPr>
          <w:ilvl w:val="0"/>
          <w:numId w:val="0"/>
        </w:numPr>
        <w:spacing w:line="360" w:lineRule="auto"/>
        <w:ind w:left="1287" w:right="0"/>
        <w:rPr>
          <w:iCs/>
        </w:rPr>
      </w:pPr>
    </w:p>
    <w:p w14:paraId="3015E42A" w14:textId="77777777" w:rsidR="004A5EDB" w:rsidRDefault="004A5EDB" w:rsidP="004A5EDB">
      <w:pPr>
        <w:pStyle w:val="JudgmentStyle"/>
        <w:numPr>
          <w:ilvl w:val="0"/>
          <w:numId w:val="0"/>
        </w:numPr>
        <w:spacing w:before="120" w:after="0"/>
        <w:ind w:left="-284" w:right="-28"/>
        <w:jc w:val="center"/>
        <w:rPr>
          <w:iCs/>
        </w:rPr>
      </w:pPr>
    </w:p>
    <w:p w14:paraId="5DDCC125" w14:textId="539892AD" w:rsidR="00CE527E" w:rsidRPr="005812AE" w:rsidRDefault="00CE527E" w:rsidP="00D41905">
      <w:pPr>
        <w:pStyle w:val="JudgmentStyle"/>
        <w:numPr>
          <w:ilvl w:val="0"/>
          <w:numId w:val="0"/>
        </w:numPr>
        <w:spacing w:before="120" w:after="0"/>
        <w:ind w:left="-284" w:right="-28"/>
        <w:jc w:val="right"/>
      </w:pPr>
      <w:r w:rsidRPr="005812AE">
        <w:t>___________________</w:t>
      </w:r>
      <w:r w:rsidR="00492E77">
        <w:t>____________</w:t>
      </w:r>
    </w:p>
    <w:p w14:paraId="78EAA3C5" w14:textId="29AD5A35" w:rsidR="00CE527E" w:rsidRDefault="00CE527E" w:rsidP="00D41905">
      <w:pPr>
        <w:pStyle w:val="JudgmentStyle"/>
        <w:numPr>
          <w:ilvl w:val="0"/>
          <w:numId w:val="0"/>
        </w:numPr>
        <w:spacing w:before="120" w:after="0"/>
        <w:ind w:left="-284" w:right="-28"/>
        <w:jc w:val="right"/>
      </w:pPr>
      <w:r w:rsidRPr="00027278">
        <w:t>E</w:t>
      </w:r>
      <w:r w:rsidR="00E646AA" w:rsidRPr="00027278">
        <w:t>dwin</w:t>
      </w:r>
      <w:r w:rsidRPr="00027278">
        <w:t xml:space="preserve"> Tlhotlhalemaje</w:t>
      </w:r>
    </w:p>
    <w:p w14:paraId="135476AB" w14:textId="77777777" w:rsidR="004A5EDB" w:rsidRPr="00027278" w:rsidRDefault="004A5EDB" w:rsidP="005A05AF">
      <w:pPr>
        <w:pStyle w:val="JudgmentStyle"/>
        <w:numPr>
          <w:ilvl w:val="0"/>
          <w:numId w:val="0"/>
        </w:numPr>
        <w:spacing w:before="120" w:after="0"/>
        <w:ind w:left="-284" w:right="-28"/>
        <w:jc w:val="right"/>
      </w:pPr>
    </w:p>
    <w:p w14:paraId="3C195F61" w14:textId="1A3A731E" w:rsidR="004A5EDB" w:rsidRPr="004A5EDB" w:rsidRDefault="00D41905" w:rsidP="00D41905">
      <w:pPr>
        <w:spacing w:line="276" w:lineRule="auto"/>
        <w:ind w:left="3600"/>
        <w:jc w:val="right"/>
        <w:rPr>
          <w:rFonts w:ascii="Arial" w:hAnsi="Arial" w:cs="Arial"/>
          <w:b/>
          <w:iCs/>
          <w:sz w:val="22"/>
          <w:szCs w:val="22"/>
        </w:rPr>
      </w:pPr>
      <w:r>
        <w:rPr>
          <w:rFonts w:ascii="Arial" w:hAnsi="Arial" w:cs="Arial"/>
          <w:b/>
          <w:iCs/>
          <w:sz w:val="22"/>
          <w:szCs w:val="22"/>
        </w:rPr>
        <w:t>ACTING JUDGE OF THE HIGH COURT</w:t>
      </w:r>
    </w:p>
    <w:p w14:paraId="2990F5DB" w14:textId="3080F332" w:rsidR="004A5EDB" w:rsidRPr="004A5EDB" w:rsidRDefault="004A5EDB" w:rsidP="004A5EDB">
      <w:pPr>
        <w:pStyle w:val="JudgmentStyle"/>
        <w:numPr>
          <w:ilvl w:val="0"/>
          <w:numId w:val="0"/>
        </w:numPr>
        <w:spacing w:before="120" w:after="0"/>
        <w:ind w:left="-284" w:right="-28" w:firstLine="1135"/>
        <w:jc w:val="right"/>
        <w:rPr>
          <w:rFonts w:eastAsiaTheme="minorHAnsi" w:cs="Arial"/>
          <w:b/>
          <w:color w:val="000000" w:themeColor="text1"/>
          <w:sz w:val="22"/>
          <w:szCs w:val="22"/>
        </w:rPr>
      </w:pPr>
      <w:r w:rsidRPr="004A5EDB">
        <w:rPr>
          <w:rFonts w:eastAsiaTheme="minorHAnsi" w:cs="Arial"/>
          <w:b/>
          <w:color w:val="000000" w:themeColor="text1"/>
          <w:sz w:val="22"/>
          <w:szCs w:val="22"/>
        </w:rPr>
        <w:t>GAUTENG LOCAL DIVISION, JOHANNESBURG</w:t>
      </w:r>
    </w:p>
    <w:p w14:paraId="5DFE8C0B" w14:textId="77777777" w:rsidR="004A5EDB" w:rsidRDefault="004A5EDB" w:rsidP="004A5EDB">
      <w:pPr>
        <w:pStyle w:val="JudgmentStyle"/>
        <w:numPr>
          <w:ilvl w:val="0"/>
          <w:numId w:val="0"/>
        </w:numPr>
        <w:spacing w:before="120" w:after="0"/>
        <w:ind w:left="-284" w:right="-28" w:firstLine="1135"/>
        <w:jc w:val="right"/>
      </w:pPr>
    </w:p>
    <w:p w14:paraId="0E5DFB26" w14:textId="75791812" w:rsidR="004A5EDB" w:rsidRDefault="004A5EDB" w:rsidP="00027278">
      <w:pPr>
        <w:pStyle w:val="JudgmentStyle"/>
        <w:numPr>
          <w:ilvl w:val="0"/>
          <w:numId w:val="0"/>
        </w:numPr>
        <w:spacing w:before="120" w:after="0"/>
        <w:ind w:left="-284" w:right="-28" w:firstLine="1135"/>
        <w:jc w:val="right"/>
      </w:pPr>
    </w:p>
    <w:p w14:paraId="6E9F325F" w14:textId="75A078F5" w:rsidR="004A5EDB" w:rsidRPr="00AD5C8F" w:rsidRDefault="004A5EDB" w:rsidP="004A5EDB">
      <w:pPr>
        <w:spacing w:after="200"/>
        <w:contextualSpacing/>
        <w:rPr>
          <w:rFonts w:ascii="Arial" w:eastAsiaTheme="minorHAnsi" w:hAnsi="Arial" w:cs="Arial"/>
          <w:b/>
          <w:i/>
          <w:iCs/>
          <w:color w:val="000000" w:themeColor="text1"/>
        </w:rPr>
      </w:pPr>
      <w:r w:rsidRPr="00AD5C8F">
        <w:rPr>
          <w:rFonts w:ascii="Arial" w:eastAsia="Arial Unicode MS" w:hAnsi="Arial" w:cs="Arial"/>
          <w:bCs/>
          <w:i/>
          <w:color w:val="000000" w:themeColor="text1"/>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771E73">
        <w:rPr>
          <w:rFonts w:ascii="Arial" w:eastAsia="Arial Unicode MS" w:hAnsi="Arial" w:cs="Arial"/>
          <w:bCs/>
          <w:color w:val="000000" w:themeColor="text1"/>
        </w:rPr>
        <w:t xml:space="preserve">03 May </w:t>
      </w:r>
      <w:r w:rsidRPr="00AD5C8F">
        <w:rPr>
          <w:rFonts w:ascii="Arial" w:eastAsia="Arial Unicode MS" w:hAnsi="Arial" w:cs="Arial"/>
          <w:bCs/>
          <w:i/>
          <w:color w:val="000000" w:themeColor="text1"/>
        </w:rPr>
        <w:t>2022.</w:t>
      </w:r>
    </w:p>
    <w:p w14:paraId="49800BAC" w14:textId="77777777" w:rsidR="004A5EDB" w:rsidRDefault="004A5EDB" w:rsidP="000F3BBE">
      <w:pPr>
        <w:widowControl w:val="0"/>
        <w:spacing w:line="360" w:lineRule="auto"/>
        <w:jc w:val="both"/>
      </w:pPr>
    </w:p>
    <w:p w14:paraId="37F0FE71" w14:textId="1673CD36" w:rsidR="004A5EDB" w:rsidRDefault="004A5EDB" w:rsidP="00492E77">
      <w:pPr>
        <w:widowControl w:val="0"/>
        <w:spacing w:before="120" w:line="360" w:lineRule="auto"/>
        <w:rPr>
          <w:rFonts w:ascii="Arial" w:hAnsi="Arial" w:cs="Arial"/>
          <w:b/>
          <w:sz w:val="22"/>
          <w:szCs w:val="22"/>
        </w:rPr>
      </w:pPr>
      <w:r w:rsidRPr="007944D6">
        <w:rPr>
          <w:rFonts w:ascii="Arial" w:hAnsi="Arial" w:cs="Arial"/>
          <w:b/>
          <w:sz w:val="22"/>
          <w:szCs w:val="22"/>
        </w:rPr>
        <w:t>Heard</w:t>
      </w:r>
      <w:r>
        <w:rPr>
          <w:rFonts w:ascii="Arial" w:hAnsi="Arial" w:cs="Arial"/>
          <w:b/>
          <w:sz w:val="22"/>
          <w:szCs w:val="22"/>
        </w:rPr>
        <w:t xml:space="preserve"> on : 2</w:t>
      </w:r>
      <w:r w:rsidR="00C32770">
        <w:rPr>
          <w:rFonts w:ascii="Arial" w:hAnsi="Arial" w:cs="Arial"/>
          <w:b/>
          <w:sz w:val="22"/>
          <w:szCs w:val="22"/>
        </w:rPr>
        <w:t>6</w:t>
      </w:r>
      <w:r w:rsidRPr="007944D6">
        <w:rPr>
          <w:rFonts w:ascii="Arial" w:hAnsi="Arial" w:cs="Arial"/>
          <w:b/>
          <w:sz w:val="22"/>
          <w:szCs w:val="22"/>
        </w:rPr>
        <w:t xml:space="preserve"> January 2022 (</w:t>
      </w:r>
      <w:r w:rsidRPr="007944D6">
        <w:rPr>
          <w:rFonts w:ascii="Arial" w:hAnsi="Arial" w:cs="Arial"/>
          <w:b/>
          <w:i/>
          <w:iCs/>
          <w:sz w:val="22"/>
          <w:szCs w:val="22"/>
        </w:rPr>
        <w:t>Via</w:t>
      </w:r>
      <w:r w:rsidRPr="007944D6">
        <w:rPr>
          <w:rFonts w:ascii="Arial" w:hAnsi="Arial" w:cs="Arial"/>
          <w:b/>
          <w:sz w:val="22"/>
          <w:szCs w:val="22"/>
        </w:rPr>
        <w:t xml:space="preserve"> Microsoft Teams)</w:t>
      </w:r>
    </w:p>
    <w:p w14:paraId="7937D8D6" w14:textId="109C2916" w:rsidR="004A5EDB" w:rsidRDefault="004A5EDB" w:rsidP="00492E77">
      <w:pPr>
        <w:widowControl w:val="0"/>
        <w:spacing w:before="120" w:line="360" w:lineRule="auto"/>
        <w:rPr>
          <w:rFonts w:ascii="Arial" w:hAnsi="Arial" w:cs="Arial"/>
          <w:b/>
          <w:sz w:val="22"/>
          <w:szCs w:val="22"/>
        </w:rPr>
      </w:pPr>
      <w:r>
        <w:rPr>
          <w:rFonts w:ascii="Arial" w:hAnsi="Arial" w:cs="Arial"/>
          <w:b/>
          <w:sz w:val="22"/>
          <w:szCs w:val="22"/>
        </w:rPr>
        <w:t xml:space="preserve">Delivered: </w:t>
      </w:r>
      <w:r w:rsidR="00771E73">
        <w:rPr>
          <w:rFonts w:ascii="Arial" w:hAnsi="Arial" w:cs="Arial"/>
          <w:b/>
          <w:sz w:val="22"/>
          <w:szCs w:val="22"/>
        </w:rPr>
        <w:t>03 May</w:t>
      </w:r>
      <w:r>
        <w:rPr>
          <w:rFonts w:ascii="Arial" w:hAnsi="Arial" w:cs="Arial"/>
          <w:b/>
          <w:sz w:val="22"/>
          <w:szCs w:val="22"/>
        </w:rPr>
        <w:t xml:space="preserve"> 2022</w:t>
      </w:r>
    </w:p>
    <w:p w14:paraId="05ACE173" w14:textId="77777777" w:rsidR="00492E77" w:rsidRDefault="00492E77" w:rsidP="00492E77">
      <w:pPr>
        <w:rPr>
          <w:rFonts w:ascii="Arial" w:hAnsi="Arial" w:cs="Arial"/>
          <w:b/>
          <w:sz w:val="22"/>
          <w:szCs w:val="22"/>
        </w:rPr>
      </w:pPr>
    </w:p>
    <w:p w14:paraId="44DCDAF3" w14:textId="77777777" w:rsidR="00E14F02" w:rsidRDefault="00E14F02" w:rsidP="00492E77">
      <w:pPr>
        <w:rPr>
          <w:rFonts w:ascii="Arial" w:eastAsia="SimSun" w:hAnsi="Arial" w:cs="Arial"/>
          <w:b/>
          <w:bCs/>
          <w:w w:val="104"/>
          <w:u w:val="single"/>
          <w:lang w:eastAsia="zh-CN"/>
        </w:rPr>
      </w:pPr>
    </w:p>
    <w:p w14:paraId="43A52E00" w14:textId="77777777" w:rsidR="00E14F02" w:rsidRDefault="00E14F02" w:rsidP="00492E77">
      <w:pPr>
        <w:rPr>
          <w:rFonts w:ascii="Arial" w:eastAsia="SimSun" w:hAnsi="Arial" w:cs="Arial"/>
          <w:b/>
          <w:bCs/>
          <w:w w:val="104"/>
          <w:u w:val="single"/>
          <w:lang w:eastAsia="zh-CN"/>
        </w:rPr>
      </w:pPr>
    </w:p>
    <w:p w14:paraId="7E43AE46" w14:textId="77777777" w:rsidR="00E14F02" w:rsidRDefault="00E14F02" w:rsidP="00492E77">
      <w:pPr>
        <w:rPr>
          <w:rFonts w:ascii="Arial" w:eastAsia="SimSun" w:hAnsi="Arial" w:cs="Arial"/>
          <w:b/>
          <w:bCs/>
          <w:w w:val="104"/>
          <w:u w:val="single"/>
          <w:lang w:eastAsia="zh-CN"/>
        </w:rPr>
      </w:pPr>
    </w:p>
    <w:p w14:paraId="0800B13C" w14:textId="77777777" w:rsidR="00E14F02" w:rsidRDefault="00E14F02" w:rsidP="00492E77">
      <w:pPr>
        <w:rPr>
          <w:rFonts w:ascii="Arial" w:eastAsia="SimSun" w:hAnsi="Arial" w:cs="Arial"/>
          <w:b/>
          <w:bCs/>
          <w:w w:val="104"/>
          <w:u w:val="single"/>
          <w:lang w:eastAsia="zh-CN"/>
        </w:rPr>
      </w:pPr>
    </w:p>
    <w:p w14:paraId="435FDC89" w14:textId="77777777" w:rsidR="00E14F02" w:rsidRDefault="00E14F02" w:rsidP="00492E77">
      <w:pPr>
        <w:rPr>
          <w:rFonts w:ascii="Arial" w:eastAsia="SimSun" w:hAnsi="Arial" w:cs="Arial"/>
          <w:b/>
          <w:bCs/>
          <w:w w:val="104"/>
          <w:u w:val="single"/>
          <w:lang w:eastAsia="zh-CN"/>
        </w:rPr>
      </w:pPr>
    </w:p>
    <w:p w14:paraId="5E15E215" w14:textId="77777777" w:rsidR="00E14F02" w:rsidRDefault="00E14F02" w:rsidP="00492E77">
      <w:pPr>
        <w:rPr>
          <w:rFonts w:ascii="Arial" w:eastAsia="SimSun" w:hAnsi="Arial" w:cs="Arial"/>
          <w:b/>
          <w:bCs/>
          <w:w w:val="104"/>
          <w:u w:val="single"/>
          <w:lang w:eastAsia="zh-CN"/>
        </w:rPr>
      </w:pPr>
    </w:p>
    <w:p w14:paraId="39E3E5E5" w14:textId="77777777" w:rsidR="00D91251" w:rsidRDefault="00D91251" w:rsidP="00492E77">
      <w:pPr>
        <w:rPr>
          <w:rFonts w:ascii="Arial" w:eastAsia="SimSun" w:hAnsi="Arial" w:cs="Arial"/>
          <w:b/>
          <w:bCs/>
          <w:w w:val="104"/>
          <w:u w:val="single"/>
          <w:lang w:eastAsia="zh-CN"/>
        </w:rPr>
      </w:pPr>
    </w:p>
    <w:p w14:paraId="00E82B1B" w14:textId="77777777" w:rsidR="00D91251" w:rsidRDefault="00D91251" w:rsidP="00492E77">
      <w:pPr>
        <w:rPr>
          <w:rFonts w:ascii="Arial" w:eastAsia="SimSun" w:hAnsi="Arial" w:cs="Arial"/>
          <w:b/>
          <w:bCs/>
          <w:w w:val="104"/>
          <w:u w:val="single"/>
          <w:lang w:eastAsia="zh-CN"/>
        </w:rPr>
      </w:pPr>
    </w:p>
    <w:p w14:paraId="541C5D62" w14:textId="77777777" w:rsidR="00D91251" w:rsidRDefault="00D91251" w:rsidP="00492E77">
      <w:pPr>
        <w:rPr>
          <w:rFonts w:ascii="Arial" w:eastAsia="SimSun" w:hAnsi="Arial" w:cs="Arial"/>
          <w:b/>
          <w:bCs/>
          <w:w w:val="104"/>
          <w:u w:val="single"/>
          <w:lang w:eastAsia="zh-CN"/>
        </w:rPr>
      </w:pPr>
    </w:p>
    <w:p w14:paraId="671C9C5F" w14:textId="77777777" w:rsidR="00D91251" w:rsidRDefault="00D91251" w:rsidP="00492E77">
      <w:pPr>
        <w:rPr>
          <w:rFonts w:ascii="Arial" w:eastAsia="SimSun" w:hAnsi="Arial" w:cs="Arial"/>
          <w:b/>
          <w:bCs/>
          <w:w w:val="104"/>
          <w:u w:val="single"/>
          <w:lang w:eastAsia="zh-CN"/>
        </w:rPr>
      </w:pPr>
    </w:p>
    <w:p w14:paraId="6C24F183" w14:textId="1BE2CE9A" w:rsidR="005812AE" w:rsidRPr="00C32770" w:rsidRDefault="00840DA6" w:rsidP="00492E77">
      <w:pPr>
        <w:rPr>
          <w:rFonts w:ascii="Arial" w:eastAsia="SimSun" w:hAnsi="Arial" w:cs="Arial"/>
          <w:b/>
          <w:bCs/>
          <w:w w:val="104"/>
          <w:u w:val="single"/>
          <w:lang w:eastAsia="zh-CN"/>
        </w:rPr>
      </w:pPr>
      <w:r w:rsidRPr="00C32770">
        <w:rPr>
          <w:rFonts w:ascii="Arial" w:eastAsia="SimSun" w:hAnsi="Arial" w:cs="Arial"/>
          <w:b/>
          <w:bCs/>
          <w:w w:val="104"/>
          <w:u w:val="single"/>
          <w:lang w:eastAsia="zh-CN"/>
        </w:rPr>
        <w:lastRenderedPageBreak/>
        <w:t>Appearances</w:t>
      </w:r>
      <w:r w:rsidR="005812AE" w:rsidRPr="00C32770">
        <w:rPr>
          <w:rFonts w:ascii="Arial" w:eastAsia="SimSun" w:hAnsi="Arial" w:cs="Arial"/>
          <w:b/>
          <w:bCs/>
          <w:w w:val="104"/>
          <w:u w:val="single"/>
          <w:lang w:eastAsia="zh-CN"/>
        </w:rPr>
        <w:t>:</w:t>
      </w:r>
    </w:p>
    <w:p w14:paraId="2116D0E0" w14:textId="77777777" w:rsidR="00492E77" w:rsidRPr="00492E77" w:rsidRDefault="00492E77" w:rsidP="00492E77">
      <w:pPr>
        <w:rPr>
          <w:rFonts w:ascii="Arial" w:hAnsi="Arial"/>
          <w:lang w:eastAsia="en-US"/>
        </w:rPr>
      </w:pPr>
    </w:p>
    <w:p w14:paraId="125F7784" w14:textId="735BE5E5" w:rsidR="003651AD" w:rsidRDefault="005812AE" w:rsidP="000E1521">
      <w:pPr>
        <w:pStyle w:val="alevel1"/>
        <w:numPr>
          <w:ilvl w:val="0"/>
          <w:numId w:val="0"/>
        </w:numPr>
        <w:spacing w:before="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 xml:space="preserve">For the </w:t>
      </w:r>
      <w:r w:rsidR="00C27400">
        <w:rPr>
          <w:rFonts w:eastAsia="SimSun" w:cs="Arial"/>
          <w:w w:val="104"/>
          <w:sz w:val="24"/>
          <w:szCs w:val="24"/>
          <w:lang w:eastAsia="zh-CN"/>
        </w:rPr>
        <w:t>Applicant</w:t>
      </w:r>
      <w:r w:rsidRPr="00EE4E70">
        <w:rPr>
          <w:rFonts w:eastAsia="SimSun" w:cs="Arial"/>
          <w:w w:val="104"/>
          <w:sz w:val="24"/>
          <w:szCs w:val="24"/>
          <w:lang w:eastAsia="zh-CN"/>
        </w:rPr>
        <w:t>:</w:t>
      </w:r>
      <w:r w:rsidRPr="00EE4E70">
        <w:rPr>
          <w:rFonts w:eastAsia="SimSun" w:cs="Arial"/>
          <w:w w:val="104"/>
          <w:sz w:val="24"/>
          <w:szCs w:val="24"/>
          <w:lang w:eastAsia="zh-CN"/>
        </w:rPr>
        <w:tab/>
      </w:r>
      <w:r w:rsidR="003651AD">
        <w:rPr>
          <w:rFonts w:eastAsia="SimSun" w:cs="Arial"/>
          <w:w w:val="104"/>
          <w:sz w:val="24"/>
          <w:szCs w:val="24"/>
          <w:lang w:eastAsia="zh-CN"/>
        </w:rPr>
        <w:t xml:space="preserve">Adv. I Mureriwa, instructed by Mncube Attorneys </w:t>
      </w:r>
      <w:r w:rsidR="007944D6">
        <w:rPr>
          <w:rFonts w:eastAsia="SimSun" w:cs="Arial"/>
          <w:w w:val="104"/>
          <w:sz w:val="24"/>
          <w:szCs w:val="24"/>
          <w:lang w:eastAsia="zh-CN"/>
        </w:rPr>
        <w:t>INC</w:t>
      </w:r>
      <w:r w:rsidR="00AB1A7B">
        <w:rPr>
          <w:rFonts w:eastAsia="SimSun" w:cs="Arial"/>
          <w:w w:val="104"/>
          <w:sz w:val="24"/>
          <w:szCs w:val="24"/>
          <w:lang w:eastAsia="zh-CN"/>
        </w:rPr>
        <w:t>.</w:t>
      </w:r>
    </w:p>
    <w:p w14:paraId="005A9E09" w14:textId="1EC25024" w:rsidR="003651AD" w:rsidRDefault="005812AE" w:rsidP="00053BFF">
      <w:pPr>
        <w:pStyle w:val="alevel1"/>
        <w:numPr>
          <w:ilvl w:val="0"/>
          <w:numId w:val="0"/>
        </w:numPr>
        <w:spacing w:before="0" w:after="12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 xml:space="preserve">For the </w:t>
      </w:r>
      <w:r w:rsidR="00AB1A7B">
        <w:rPr>
          <w:rFonts w:eastAsia="SimSun" w:cs="Arial"/>
          <w:w w:val="104"/>
          <w:sz w:val="24"/>
          <w:szCs w:val="24"/>
          <w:lang w:eastAsia="zh-CN"/>
        </w:rPr>
        <w:t xml:space="preserve"> </w:t>
      </w:r>
      <w:r w:rsidR="00C32770">
        <w:rPr>
          <w:rFonts w:eastAsia="SimSun" w:cs="Arial"/>
          <w:w w:val="104"/>
          <w:sz w:val="24"/>
          <w:szCs w:val="24"/>
          <w:lang w:eastAsia="zh-CN"/>
        </w:rPr>
        <w:t>1</w:t>
      </w:r>
      <w:r w:rsidR="00C32770" w:rsidRPr="00C32770">
        <w:rPr>
          <w:rFonts w:eastAsia="SimSun" w:cs="Arial"/>
          <w:w w:val="104"/>
          <w:sz w:val="24"/>
          <w:szCs w:val="24"/>
          <w:vertAlign w:val="superscript"/>
          <w:lang w:eastAsia="zh-CN"/>
        </w:rPr>
        <w:t>st</w:t>
      </w:r>
      <w:r w:rsidR="00C32770">
        <w:rPr>
          <w:rFonts w:eastAsia="SimSun" w:cs="Arial"/>
          <w:w w:val="104"/>
          <w:sz w:val="24"/>
          <w:szCs w:val="24"/>
          <w:lang w:eastAsia="zh-CN"/>
        </w:rPr>
        <w:t xml:space="preserve"> – 5</w:t>
      </w:r>
      <w:r w:rsidR="00C32770" w:rsidRPr="00C32770">
        <w:rPr>
          <w:rFonts w:eastAsia="SimSun" w:cs="Arial"/>
          <w:w w:val="104"/>
          <w:sz w:val="24"/>
          <w:szCs w:val="24"/>
          <w:vertAlign w:val="superscript"/>
          <w:lang w:eastAsia="zh-CN"/>
        </w:rPr>
        <w:t>th</w:t>
      </w:r>
      <w:r w:rsidR="00C32770">
        <w:rPr>
          <w:rFonts w:eastAsia="SimSun" w:cs="Arial"/>
          <w:w w:val="104"/>
          <w:sz w:val="24"/>
          <w:szCs w:val="24"/>
          <w:lang w:eastAsia="zh-CN"/>
        </w:rPr>
        <w:t xml:space="preserve"> </w:t>
      </w:r>
      <w:r w:rsidR="00E97CF5" w:rsidRPr="00EE4E70">
        <w:rPr>
          <w:rFonts w:eastAsia="SimSun" w:cs="Arial"/>
          <w:w w:val="104"/>
          <w:sz w:val="24"/>
          <w:szCs w:val="24"/>
          <w:lang w:eastAsia="zh-CN"/>
        </w:rPr>
        <w:t>Respondent</w:t>
      </w:r>
      <w:r w:rsidR="00C27400">
        <w:rPr>
          <w:rFonts w:eastAsia="SimSun" w:cs="Arial"/>
          <w:w w:val="104"/>
          <w:sz w:val="24"/>
          <w:szCs w:val="24"/>
          <w:lang w:eastAsia="zh-CN"/>
        </w:rPr>
        <w:t>s</w:t>
      </w:r>
      <w:r w:rsidRPr="00EE4E70">
        <w:rPr>
          <w:rFonts w:eastAsia="SimSun" w:cs="Arial"/>
          <w:w w:val="104"/>
          <w:sz w:val="24"/>
          <w:szCs w:val="24"/>
          <w:lang w:eastAsia="zh-CN"/>
        </w:rPr>
        <w:t>:</w:t>
      </w:r>
      <w:r w:rsidRPr="00EE4E70">
        <w:rPr>
          <w:rFonts w:eastAsia="SimSun" w:cs="Arial"/>
          <w:w w:val="104"/>
          <w:sz w:val="24"/>
          <w:szCs w:val="24"/>
          <w:lang w:eastAsia="zh-CN"/>
        </w:rPr>
        <w:tab/>
      </w:r>
      <w:r w:rsidR="003651AD">
        <w:rPr>
          <w:rFonts w:eastAsia="SimSun" w:cs="Arial"/>
          <w:w w:val="104"/>
          <w:sz w:val="24"/>
          <w:szCs w:val="24"/>
          <w:lang w:eastAsia="zh-CN"/>
        </w:rPr>
        <w:t xml:space="preserve">Adv S. G Zwane, instructed by </w:t>
      </w:r>
      <w:r w:rsidR="00C32770">
        <w:rPr>
          <w:rFonts w:eastAsia="SimSun" w:cs="Arial"/>
          <w:w w:val="104"/>
          <w:sz w:val="24"/>
          <w:szCs w:val="24"/>
          <w:lang w:eastAsia="zh-CN"/>
        </w:rPr>
        <w:t>Dube N Attorneys INC</w:t>
      </w:r>
    </w:p>
    <w:p w14:paraId="7E393F1A" w14:textId="77777777" w:rsidR="00EE4E70" w:rsidRPr="00BD44F1" w:rsidRDefault="00EE4E70" w:rsidP="000E1521">
      <w:pPr>
        <w:pStyle w:val="alevel1"/>
        <w:numPr>
          <w:ilvl w:val="0"/>
          <w:numId w:val="0"/>
        </w:numPr>
        <w:spacing w:after="120" w:line="360" w:lineRule="auto"/>
        <w:ind w:left="567" w:hanging="567"/>
        <w:jc w:val="both"/>
        <w:rPr>
          <w:rFonts w:eastAsia="SimSun" w:cs="Arial"/>
          <w:w w:val="104"/>
          <w:sz w:val="24"/>
          <w:szCs w:val="24"/>
          <w:lang w:eastAsia="zh-CN"/>
        </w:rPr>
      </w:pPr>
    </w:p>
    <w:sectPr w:rsidR="00EE4E70" w:rsidRPr="00BD44F1"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DABF" w14:textId="77777777" w:rsidR="00D80177" w:rsidRDefault="00D80177">
      <w:r>
        <w:separator/>
      </w:r>
    </w:p>
  </w:endnote>
  <w:endnote w:type="continuationSeparator" w:id="0">
    <w:p w14:paraId="3C9319FC" w14:textId="77777777" w:rsidR="00D80177" w:rsidRDefault="00D8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11582"/>
      <w:docPartObj>
        <w:docPartGallery w:val="Page Numbers (Bottom of Page)"/>
        <w:docPartUnique/>
      </w:docPartObj>
    </w:sdtPr>
    <w:sdtEndPr>
      <w:rPr>
        <w:noProof/>
      </w:rPr>
    </w:sdtEndPr>
    <w:sdtContent>
      <w:p w14:paraId="55236D22" w14:textId="20F9AEF5" w:rsidR="00FF1CE1" w:rsidRPr="003E678E" w:rsidRDefault="00FF1CE1" w:rsidP="003E678E">
        <w:pPr>
          <w:pStyle w:val="Footer"/>
          <w:jc w:val="right"/>
        </w:pPr>
        <w:r>
          <w:fldChar w:fldCharType="begin"/>
        </w:r>
        <w:r>
          <w:instrText xml:space="preserve"> PAGE   \* MERGEFORMAT </w:instrText>
        </w:r>
        <w:r>
          <w:fldChar w:fldCharType="separate"/>
        </w:r>
        <w:r w:rsidR="00D863FF">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B1D2" w14:textId="77777777" w:rsidR="00D80177" w:rsidRDefault="00D80177">
      <w:r>
        <w:separator/>
      </w:r>
    </w:p>
  </w:footnote>
  <w:footnote w:type="continuationSeparator" w:id="0">
    <w:p w14:paraId="2C9930B4" w14:textId="77777777" w:rsidR="00D80177" w:rsidRDefault="00D80177">
      <w:r>
        <w:continuationSeparator/>
      </w:r>
    </w:p>
  </w:footnote>
  <w:footnote w:id="1">
    <w:p w14:paraId="2CD4679B" w14:textId="1692DA64" w:rsidR="004461C3" w:rsidRPr="004461C3" w:rsidRDefault="004461C3" w:rsidP="004461C3">
      <w:pPr>
        <w:pStyle w:val="FootnoteText"/>
        <w:jc w:val="both"/>
        <w:rPr>
          <w:lang w:val="en-GB"/>
        </w:rPr>
      </w:pPr>
      <w:r w:rsidRPr="004461C3">
        <w:rPr>
          <w:rStyle w:val="FootnoteReference"/>
        </w:rPr>
        <w:footnoteRef/>
      </w:r>
      <w:r w:rsidRPr="004461C3">
        <w:t xml:space="preserve"> </w:t>
      </w:r>
      <w:r w:rsidRPr="004461C3">
        <w:rPr>
          <w:lang w:val="en-GB"/>
        </w:rPr>
        <w:t>421/13) [2014] ZASCA 160 (1 October 2014)</w:t>
      </w:r>
      <w:r>
        <w:rPr>
          <w:lang w:val="en-GB"/>
        </w:rPr>
        <w:t xml:space="preserve">; </w:t>
      </w:r>
      <w:r w:rsidRPr="004461C3">
        <w:t>(2014) JOL 32421 (SCA),</w:t>
      </w:r>
    </w:p>
  </w:footnote>
  <w:footnote w:id="2">
    <w:p w14:paraId="241FEEA0" w14:textId="119D51F6" w:rsidR="00CE47A9" w:rsidRPr="00CE47A9" w:rsidRDefault="00CE47A9">
      <w:pPr>
        <w:pStyle w:val="FootnoteText"/>
        <w:rPr>
          <w:lang w:val="en-US"/>
        </w:rPr>
      </w:pPr>
      <w:r>
        <w:rPr>
          <w:rStyle w:val="FootnoteReference"/>
        </w:rPr>
        <w:footnoteRef/>
      </w:r>
      <w:r>
        <w:t xml:space="preserve"> </w:t>
      </w:r>
      <w:r>
        <w:rPr>
          <w:lang w:val="en-US"/>
        </w:rPr>
        <w:t>At para 50</w:t>
      </w:r>
    </w:p>
  </w:footnote>
  <w:footnote w:id="3">
    <w:p w14:paraId="6124FC13" w14:textId="00F64C76" w:rsidR="00082787" w:rsidRDefault="00082787" w:rsidP="003F451E">
      <w:pPr>
        <w:pStyle w:val="FootnoteText"/>
        <w:jc w:val="both"/>
      </w:pPr>
      <w:r>
        <w:rPr>
          <w:rStyle w:val="FootnoteReference"/>
        </w:rPr>
        <w:footnoteRef/>
      </w:r>
      <w:r>
        <w:t xml:space="preserve"> </w:t>
      </w:r>
      <w:r w:rsidR="003F451E">
        <w:t>5. DISPUTE RESOLUTION:</w:t>
      </w:r>
    </w:p>
    <w:p w14:paraId="4F8A58F8" w14:textId="65EFB941" w:rsidR="00082787" w:rsidRPr="00D35ABA" w:rsidRDefault="003F451E" w:rsidP="00D35ABA">
      <w:pPr>
        <w:pStyle w:val="FootnoteText"/>
        <w:ind w:left="851"/>
        <w:jc w:val="both"/>
        <w:rPr>
          <w:iCs/>
        </w:rPr>
      </w:pPr>
      <w:r w:rsidRPr="00A60BD9">
        <w:rPr>
          <w:iCs/>
        </w:rPr>
        <w:t>‘</w:t>
      </w:r>
      <w:r w:rsidR="00082787" w:rsidRPr="00A60BD9">
        <w:rPr>
          <w:iCs/>
        </w:rPr>
        <w:t xml:space="preserve">Except as provided below, no civil action concerning any dispute under this Agreement shall be instituted before any court, and all such disputes shall be submitted to final and binding arbitration before the Co-operative Tribunal. The place for any arbitration shall be directed by the Tribunal, and provisions of the Co-operatives laws shall govern, and the arbitrator solely shall apply them to, the interpretation and construction of this Agreement. Such arbitration shall be in </w:t>
      </w:r>
      <w:r w:rsidR="00F52296" w:rsidRPr="00A60BD9">
        <w:rPr>
          <w:iCs/>
        </w:rPr>
        <w:t>accordance with</w:t>
      </w:r>
      <w:r w:rsidR="00082787" w:rsidRPr="00A60BD9">
        <w:rPr>
          <w:iCs/>
        </w:rPr>
        <w:t xml:space="preserve"> provisions of the Co-operatives Act before a single neutral arbitrator. If possible, the choice of arbitrators presented to the parties shall include persons who have experience with management agreements and contractual matters. Any award issued shall be made in accordance with the Co-operative law of the Republic in which the arbitration is conducted and shall include the award to the prevailing party of its costs and expenses (including but not limited to attorneys' fees and costs and arbitration costs and arbitrator’s fees and the costs of all dispute resolution proceedings (including, but not limited to those incurred in or relating to any and all trial and appellate proceedings)). An award shall be final and binding and may not be appealed or reviewed, except upon the ground of malfeasance or fraud by the arbitrator. Judgment upon the award may be enforced in any court of competent jurisdiction, wherever located. Notwithstanding the foregoing, either party shall have the right, at its sole discretion, to seek equitable relief from the Higher court of competent </w:t>
      </w:r>
      <w:r w:rsidR="00F52296" w:rsidRPr="00A60BD9">
        <w:rPr>
          <w:iCs/>
        </w:rPr>
        <w:t>jurisdiction, without</w:t>
      </w:r>
      <w:r w:rsidR="00082787" w:rsidRPr="00A60BD9">
        <w:rPr>
          <w:iCs/>
        </w:rPr>
        <w:t xml:space="preserve"> being limited in recourse to arbitration, in the event that a breach by the other party of this Agreement shall result in irreparable injury to it or if monetary damages would be inadequate and impossible to calculate adequately, which equitable relief shall include (but not be limited to) the entering of a temporary restraining order and/or a preliminary injunction. This Section shall survive the termination for any reason.</w:t>
      </w:r>
      <w:r w:rsidRPr="00A60BD9">
        <w:rPr>
          <w:iCs/>
        </w:rPr>
        <w:t>’</w:t>
      </w:r>
    </w:p>
  </w:footnote>
  <w:footnote w:id="4">
    <w:p w14:paraId="472B6AED" w14:textId="04DC1E8F" w:rsidR="00864C49" w:rsidRPr="00864C49" w:rsidRDefault="00864C49">
      <w:pPr>
        <w:pStyle w:val="FootnoteText"/>
        <w:rPr>
          <w:lang w:val="en-US"/>
        </w:rPr>
      </w:pPr>
      <w:r>
        <w:rPr>
          <w:rStyle w:val="FootnoteReference"/>
        </w:rPr>
        <w:footnoteRef/>
      </w:r>
      <w:r>
        <w:t xml:space="preserve"> </w:t>
      </w:r>
      <w:r w:rsidRPr="0037306B">
        <w:rPr>
          <w:iCs/>
        </w:rPr>
        <w:t>1913 CPD 859</w:t>
      </w:r>
    </w:p>
  </w:footnote>
  <w:footnote w:id="5">
    <w:p w14:paraId="642900CF" w14:textId="52EDF614" w:rsidR="008E4782" w:rsidRPr="008E4782" w:rsidRDefault="008E4782" w:rsidP="00F00D5C">
      <w:pPr>
        <w:pStyle w:val="FootnoteText"/>
        <w:jc w:val="both"/>
      </w:pPr>
      <w:r w:rsidRPr="00E87A17">
        <w:rPr>
          <w:rStyle w:val="FootnoteReference"/>
        </w:rPr>
        <w:footnoteRef/>
      </w:r>
      <w:r w:rsidRPr="00E87A17">
        <w:t xml:space="preserve"> 752/2011) [2012] ZASCA 123; [2012] 4 All SA 387 (SCA); 2013 (3) SA 91 (SCA)</w:t>
      </w:r>
    </w:p>
  </w:footnote>
  <w:footnote w:id="6">
    <w:p w14:paraId="1828232F" w14:textId="5E596BEF" w:rsidR="00B63FC3" w:rsidRPr="00F27192" w:rsidRDefault="00B63FC3" w:rsidP="00F27192">
      <w:pPr>
        <w:pStyle w:val="FootnoteText"/>
        <w:jc w:val="both"/>
      </w:pPr>
      <w:r>
        <w:rPr>
          <w:rStyle w:val="FootnoteReference"/>
        </w:rPr>
        <w:footnoteRef/>
      </w:r>
      <w:r>
        <w:t xml:space="preserve"> </w:t>
      </w:r>
      <w:r w:rsidR="00F27192" w:rsidRPr="00F27192">
        <w:rPr>
          <w:i/>
          <w:iCs/>
        </w:rPr>
        <w:t>Lufuno Mphaphuli &amp; Associates (Pty) Ltd v Andrews and Another</w:t>
      </w:r>
      <w:r w:rsidR="00F27192" w:rsidRPr="00F27192">
        <w:t xml:space="preserve"> (CCT 97/07) [2009] ZACC 6; 2009 (4) SA 529 (CC) ; 2009 (6) BCLR 527 (CC)</w:t>
      </w:r>
      <w:r w:rsidR="00F27192">
        <w:t xml:space="preserve"> at [219]</w:t>
      </w:r>
    </w:p>
  </w:footnote>
  <w:footnote w:id="7">
    <w:p w14:paraId="0DFA29E8" w14:textId="2790743C" w:rsidR="00AD5A91" w:rsidRPr="00AD5A91" w:rsidRDefault="00AD5A91" w:rsidP="005B0172">
      <w:pPr>
        <w:pStyle w:val="FootnoteText"/>
        <w:jc w:val="both"/>
        <w:rPr>
          <w:lang w:val="en-US"/>
        </w:rPr>
      </w:pPr>
      <w:r>
        <w:rPr>
          <w:rStyle w:val="FootnoteReference"/>
        </w:rPr>
        <w:footnoteRef/>
      </w:r>
      <w:r w:rsidR="003F691A">
        <w:t>See</w:t>
      </w:r>
      <w:r>
        <w:t xml:space="preserve"> </w:t>
      </w:r>
      <w:r w:rsidRPr="00DF6961">
        <w:rPr>
          <w:i/>
          <w:iCs/>
        </w:rPr>
        <w:t>Universiteit Van Stellenbosch v J A Louw (Edms) Bpk</w:t>
      </w:r>
      <w:r w:rsidRPr="00DF6961">
        <w:t> </w:t>
      </w:r>
      <w:r>
        <w:t xml:space="preserve">1983 (4) SA 321 </w:t>
      </w:r>
      <w:r w:rsidRPr="00DF6961">
        <w:t>(A) at </w:t>
      </w:r>
      <w:r w:rsidRPr="00DF6961">
        <w:rPr>
          <w:lang w:val="en-GB"/>
        </w:rPr>
        <w:t>333G</w:t>
      </w:r>
      <w:r w:rsidR="00F56362">
        <w:rPr>
          <w:lang w:val="en-GB"/>
        </w:rPr>
        <w:t xml:space="preserve"> – 334B</w:t>
      </w:r>
      <w:r w:rsidR="003F691A">
        <w:rPr>
          <w:lang w:val="en-GB"/>
        </w:rPr>
        <w:t xml:space="preserve">; </w:t>
      </w:r>
      <w:r w:rsidR="003F691A" w:rsidRPr="007A053D">
        <w:rPr>
          <w:i/>
        </w:rPr>
        <w:t>PCL Consulting (Pty) Ltd t/a Phillips Consulting SA v Tresso Trading 119 (Pty) Ltd</w:t>
      </w:r>
      <w:r w:rsidR="003F691A" w:rsidRPr="007A053D">
        <w:rPr>
          <w:iCs/>
        </w:rPr>
        <w:t xml:space="preserve"> </w:t>
      </w:r>
      <w:r w:rsidR="00741FAB" w:rsidRPr="00CC126E">
        <w:rPr>
          <w:iCs/>
        </w:rPr>
        <w:t>98/06) [2007] ZASCA 9; [2007] SCA 9 (RSA); </w:t>
      </w:r>
      <w:r w:rsidR="003F691A" w:rsidRPr="007A053D">
        <w:rPr>
          <w:iCs/>
        </w:rPr>
        <w:t>2009 (4) SA 68 (SCA)</w:t>
      </w:r>
      <w:r w:rsidR="00741FAB">
        <w:rPr>
          <w:iCs/>
        </w:rPr>
        <w:t xml:space="preserve"> at para 7</w:t>
      </w:r>
      <w:r w:rsidR="006362AD">
        <w:rPr>
          <w:iCs/>
        </w:rPr>
        <w:t xml:space="preserve">; </w:t>
      </w:r>
      <w:r w:rsidR="006362AD" w:rsidRPr="007A053D">
        <w:rPr>
          <w:i/>
        </w:rPr>
        <w:t>Parekh v Shah Jehan Cinemas (Pty) Ltd and Others</w:t>
      </w:r>
      <w:r w:rsidR="006362AD" w:rsidRPr="007A053D">
        <w:rPr>
          <w:iCs/>
        </w:rPr>
        <w:t xml:space="preserve"> 1980 (1) SA 301 (D)</w:t>
      </w:r>
    </w:p>
  </w:footnote>
  <w:footnote w:id="8">
    <w:p w14:paraId="7E100705" w14:textId="10BC2475" w:rsidR="005B0172" w:rsidRDefault="005B0172" w:rsidP="005B0172">
      <w:pPr>
        <w:pStyle w:val="FootnoteText"/>
        <w:jc w:val="both"/>
        <w:rPr>
          <w:lang w:val="en-US"/>
        </w:rPr>
      </w:pPr>
      <w:r>
        <w:rPr>
          <w:rStyle w:val="FootnoteReference"/>
        </w:rPr>
        <w:footnoteRef/>
      </w:r>
      <w:r>
        <w:t xml:space="preserve"> </w:t>
      </w:r>
      <w:r>
        <w:rPr>
          <w:lang w:val="en-US"/>
        </w:rPr>
        <w:t>At para 21, where it was held that;</w:t>
      </w:r>
    </w:p>
    <w:p w14:paraId="1CCF5561" w14:textId="44936985" w:rsidR="005B0172" w:rsidRPr="003E31B0" w:rsidRDefault="005B0172" w:rsidP="003E31B0">
      <w:pPr>
        <w:pStyle w:val="FootnoteText"/>
        <w:ind w:left="851" w:firstLine="9"/>
        <w:jc w:val="both"/>
      </w:pPr>
      <w:r>
        <w:t>“…</w:t>
      </w:r>
      <w:r w:rsidRPr="005B0172">
        <w:t xml:space="preserve">It can now be regarded as well settled that a foreign jurisdiction or arbitration clause does not exclude the court’s jurisdiction. Parties to a contract cannot exclude the jurisdiction of a court by their own agreement, and where a party wishes to invoke the protection of a foreign jurisdiction or arbitration clause, it should do so by way of a special or dilatory plea seeking a stay of the proceedings. That having been done, the court will then be called on to exercise its discretion whether or not to enforce the clause in question ─ see </w:t>
      </w:r>
      <w:r w:rsidR="00EF1482" w:rsidRPr="005B0172">
        <w:t>e.g.</w:t>
      </w:r>
      <w:r w:rsidRPr="005B0172">
        <w:t> </w:t>
      </w:r>
      <w:r w:rsidRPr="005B0172">
        <w:rPr>
          <w:i/>
          <w:iCs/>
        </w:rPr>
        <w:t>Commissioner for Inland Revenue and another v Isaacs NO</w:t>
      </w:r>
      <w:r>
        <w:rPr>
          <w:i/>
          <w:iCs/>
        </w:rPr>
        <w:t xml:space="preserve"> </w:t>
      </w:r>
      <w:r>
        <w:t>1960 (1) SA</w:t>
      </w:r>
      <w:r w:rsidR="00647D29">
        <w:t xml:space="preserve"> 126</w:t>
      </w:r>
      <w:r w:rsidR="00647D29">
        <w:rPr>
          <w:i/>
          <w:iCs/>
        </w:rPr>
        <w:t xml:space="preserve"> (</w:t>
      </w:r>
      <w:r w:rsidRPr="005B0172">
        <w:t>A) at 134B-H, </w:t>
      </w:r>
      <w:r w:rsidRPr="005B0172">
        <w:rPr>
          <w:i/>
          <w:iCs/>
        </w:rPr>
        <w:t>Yorigami Maritime Construction Co Ltd v Nissho-</w:t>
      </w:r>
      <w:r w:rsidRPr="005B0172">
        <w:t> </w:t>
      </w:r>
      <w:r w:rsidRPr="005B0172">
        <w:rPr>
          <w:i/>
          <w:iCs/>
        </w:rPr>
        <w:t>Iwai Co Ltd</w:t>
      </w:r>
      <w:r w:rsidR="00647D29">
        <w:t xml:space="preserve"> 1977 (4) SA 682 </w:t>
      </w:r>
      <w:r w:rsidRPr="005B0172">
        <w:t>(C), </w:t>
      </w:r>
      <w:r w:rsidRPr="005B0172">
        <w:rPr>
          <w:i/>
          <w:iCs/>
        </w:rPr>
        <w:t>Butler v Banimar Shipping Co</w:t>
      </w:r>
      <w:r w:rsidRPr="005B0172">
        <w:t> </w:t>
      </w:r>
      <w:r w:rsidRPr="005B0172">
        <w:rPr>
          <w:i/>
          <w:iCs/>
        </w:rPr>
        <w:t>SA</w:t>
      </w:r>
      <w:r w:rsidR="003E31B0">
        <w:t xml:space="preserve"> 1978 </w:t>
      </w:r>
      <w:r w:rsidR="00647D29">
        <w:t xml:space="preserve">(4) SA 753 </w:t>
      </w:r>
      <w:r w:rsidRPr="005B0172">
        <w:t>(SE) and </w:t>
      </w:r>
      <w:r w:rsidRPr="005B0172">
        <w:rPr>
          <w:i/>
          <w:iCs/>
        </w:rPr>
        <w:t>Universiteit van Stellenbosch v J A Louw (Edms) Bpk</w:t>
      </w:r>
      <w:r w:rsidR="003E31B0">
        <w:t xml:space="preserve"> 1983 (4) SA 321 </w:t>
      </w:r>
      <w:r w:rsidRPr="005B0172">
        <w:t>(A) at 333G-H.</w:t>
      </w:r>
      <w:r w:rsidR="003E31B0">
        <w:t>”</w:t>
      </w:r>
      <w:r w:rsidR="003E31B0" w:rsidRPr="005B0172">
        <w:t xml:space="preserve"> </w:t>
      </w:r>
      <w:r w:rsidR="003E31B0">
        <w:t>(Other citations omitted)</w:t>
      </w:r>
    </w:p>
  </w:footnote>
  <w:footnote w:id="9">
    <w:p w14:paraId="0733FDD1" w14:textId="7555365C" w:rsidR="00801679" w:rsidRPr="00801679" w:rsidRDefault="00801679" w:rsidP="005B0172">
      <w:pPr>
        <w:pStyle w:val="FootnoteText"/>
        <w:jc w:val="both"/>
        <w:rPr>
          <w:lang w:val="en-US"/>
        </w:rPr>
      </w:pPr>
      <w:r>
        <w:rPr>
          <w:rStyle w:val="FootnoteReference"/>
        </w:rPr>
        <w:footnoteRef/>
      </w:r>
      <w:r>
        <w:t xml:space="preserve"> </w:t>
      </w:r>
      <w:r>
        <w:rPr>
          <w:lang w:val="en-US"/>
        </w:rPr>
        <w:t>At para 22</w:t>
      </w:r>
    </w:p>
  </w:footnote>
  <w:footnote w:id="10">
    <w:p w14:paraId="06D419B2" w14:textId="484D5DFF" w:rsidR="00501212" w:rsidRPr="00501212" w:rsidRDefault="00501212">
      <w:pPr>
        <w:pStyle w:val="FootnoteText"/>
        <w:rPr>
          <w:lang w:val="en-US"/>
        </w:rPr>
      </w:pPr>
      <w:r>
        <w:rPr>
          <w:rStyle w:val="FootnoteReference"/>
        </w:rPr>
        <w:footnoteRef/>
      </w:r>
      <w:r>
        <w:t xml:space="preserve"> </w:t>
      </w:r>
      <w:r>
        <w:rPr>
          <w:lang w:val="en-US"/>
        </w:rPr>
        <w:t>At para 26</w:t>
      </w:r>
    </w:p>
  </w:footnote>
  <w:footnote w:id="11">
    <w:p w14:paraId="21CC02F6" w14:textId="77777777" w:rsidR="001F416D" w:rsidRDefault="001F416D" w:rsidP="001F416D">
      <w:pPr>
        <w:pStyle w:val="FootnoteText"/>
        <w:jc w:val="both"/>
      </w:pPr>
      <w:r>
        <w:rPr>
          <w:rStyle w:val="FootnoteReference"/>
        </w:rPr>
        <w:footnoteRef/>
      </w:r>
      <w:r>
        <w:t xml:space="preserve"> ‘Clause </w:t>
      </w:r>
      <w:r w:rsidRPr="001F416D">
        <w:rPr>
          <w:b/>
          <w:bCs/>
        </w:rPr>
        <w:t>5. DISPUTE RESOLUTION</w:t>
      </w:r>
      <w:r w:rsidRPr="001F416D">
        <w:t xml:space="preserve"> </w:t>
      </w:r>
    </w:p>
    <w:p w14:paraId="040707E7" w14:textId="40A4E222" w:rsidR="001F416D" w:rsidRPr="00F71A36" w:rsidRDefault="001F416D" w:rsidP="005F3C7F">
      <w:pPr>
        <w:pStyle w:val="FootnoteText"/>
        <w:ind w:left="851"/>
        <w:jc w:val="both"/>
      </w:pPr>
      <w:r w:rsidRPr="001F416D">
        <w:t>Except as provided below, no civil action concerning any dispute under this Cession Agreement shall be instituted before any court, until all such disputes have been submitted to final and binding arbitration before the appointed arbitrator. The place for any arbitration shall be directed by the Arbitrator, and provisions of the Company laws shall govern, and the arbitrator solely shall apply them to, the interpretation and construction of this Cession Agreement. Such arbitration shall be in accordance with provisions of the Company Act before a single neutral arbitrator. If possible, the choice of arbitrators presented to the parties shall include persons who have experience with management Cession Agreements and contractual matters. Any award issued shall be made in accordance with the Company's law of the Republic in which the arbitration is conducted and shall include the award to the prevailing party of its costs and expenses (including but not limited to attorneys'</w:t>
      </w:r>
      <w:r w:rsidR="00F71A36">
        <w:t xml:space="preserve"> f</w:t>
      </w:r>
      <w:r w:rsidRPr="001F416D">
        <w:t>ees and costs and arbitration costs and arbitrator's fees and the costs of all dispute resolution proceedings (including, but not limited to those incurred in or relating to any and trial and appellate proceedings)). An award shall be final and binding and</w:t>
      </w:r>
      <w:r>
        <w:t xml:space="preserve"> </w:t>
      </w:r>
      <w:r w:rsidRPr="001F416D">
        <w:t>may not be appealed or reviewed, except upon the ground of malfeasance or fraud by the arbitrator. Judgment upon the award may be enforced in any court of competent jurisdiction, wherever located. Notwithstanding the foregoing, either party shall have the right, at its sole discretion, to seek equitable relief from the Higher court of competent jurisdiction, without being limited in recourse to arbitration, in the event that a breach by the other party of this Cession Agreement shall result in irreparable injury to it or if monetary damages would be inadequate and impossible to calculate adequately, which equitable relief shall include (but not be limited to) the entering of a temporary restraining order and/or a preliminary injunction. This Section shall survive the termination of this Cession Agreement for any reason.</w:t>
      </w:r>
      <w:r>
        <w:t>’</w:t>
      </w:r>
    </w:p>
  </w:footnote>
  <w:footnote w:id="12">
    <w:p w14:paraId="6662F31A" w14:textId="77777777" w:rsidR="00741FAB" w:rsidRPr="00E87A17" w:rsidRDefault="00741FAB" w:rsidP="005F3C7F">
      <w:pPr>
        <w:pStyle w:val="FootnoteText"/>
        <w:jc w:val="both"/>
      </w:pPr>
      <w:r>
        <w:rPr>
          <w:rStyle w:val="FootnoteReference"/>
        </w:rPr>
        <w:footnoteRef/>
      </w:r>
      <w:r w:rsidRPr="00E87A17">
        <w:t xml:space="preserve">In reliance on </w:t>
      </w:r>
      <w:r w:rsidRPr="00E87A17">
        <w:rPr>
          <w:i/>
          <w:iCs/>
        </w:rPr>
        <w:t>Standard Bank of SA Ltd and Others v Thobejane and Others</w:t>
      </w:r>
      <w:r w:rsidRPr="00E87A17">
        <w:t xml:space="preserve">; </w:t>
      </w:r>
      <w:r w:rsidRPr="00E87A17">
        <w:rPr>
          <w:i/>
          <w:iCs/>
        </w:rPr>
        <w:t>Standard Bank of SA Ltd v Gqirana N O and Another</w:t>
      </w:r>
      <w:r w:rsidRPr="00E87A17">
        <w:t xml:space="preserve"> (38/2019; 47/2019; 999/2019) [2021] ZASCA 92; [2021] 3 All SA 812 (SCA); 2021 (6) SA 403 (SCA)</w:t>
      </w:r>
    </w:p>
  </w:footnote>
  <w:footnote w:id="13">
    <w:p w14:paraId="7D3AAD61" w14:textId="6E60B042" w:rsidR="005F3C7F" w:rsidRPr="000E1521" w:rsidRDefault="005F3C7F" w:rsidP="000E1521">
      <w:pPr>
        <w:pStyle w:val="FootnoteText"/>
        <w:jc w:val="both"/>
        <w:rPr>
          <w:b/>
          <w:bCs/>
        </w:rPr>
      </w:pPr>
      <w:r>
        <w:rPr>
          <w:rStyle w:val="FootnoteReference"/>
        </w:rPr>
        <w:footnoteRef/>
      </w:r>
      <w:r>
        <w:t xml:space="preserve"> </w:t>
      </w:r>
      <w:r w:rsidRPr="000E1521">
        <w:rPr>
          <w:i/>
          <w:iCs/>
        </w:rPr>
        <w:t xml:space="preserve">Gcaba v Minister for Safety and Security and Others </w:t>
      </w:r>
      <w:r w:rsidRPr="000E1521">
        <w:t>(CCT 64 of 2008) [2009] ZACC 26 (07 October 2009</w:t>
      </w:r>
      <w:r w:rsidRPr="00E14F02">
        <w:rPr>
          <w:b/>
          <w:bCs/>
        </w:rPr>
        <w:t xml:space="preserve">); </w:t>
      </w:r>
      <w:r w:rsidRPr="00E14F02">
        <w:t>2010 (1) SA 238</w:t>
      </w:r>
      <w:r w:rsidRPr="005F3C7F">
        <w:t xml:space="preserve"> (CC)</w:t>
      </w:r>
      <w:r>
        <w:rPr>
          <w:b/>
          <w:bCs/>
        </w:rPr>
        <w:t xml:space="preserve">; </w:t>
      </w:r>
      <w:r w:rsidRPr="005F3C7F">
        <w:t>2010 (1) BCLR 35 (CC)</w:t>
      </w:r>
      <w:r>
        <w:rPr>
          <w:b/>
          <w:bCs/>
        </w:rPr>
        <w:t xml:space="preserve">; </w:t>
      </w:r>
      <w:r w:rsidRPr="005F3C7F">
        <w:t>(2010) 31 ILJ 296 (CC)</w:t>
      </w:r>
      <w:r>
        <w:rPr>
          <w:b/>
          <w:bCs/>
        </w:rPr>
        <w:t xml:space="preserve">; </w:t>
      </w:r>
      <w:r w:rsidRPr="005F3C7F">
        <w:t>[2009] 12 BLLR 1145 (CC)</w:t>
      </w:r>
      <w:r>
        <w:t xml:space="preserve"> at para 75</w:t>
      </w:r>
    </w:p>
  </w:footnote>
  <w:footnote w:id="14">
    <w:p w14:paraId="3CEFF64D" w14:textId="1FBA1B4A" w:rsidR="002038D5" w:rsidRPr="002038D5" w:rsidRDefault="002038D5" w:rsidP="000E1521">
      <w:pPr>
        <w:pStyle w:val="FootnoteText"/>
        <w:jc w:val="both"/>
        <w:rPr>
          <w:lang w:val="en-US"/>
        </w:rPr>
      </w:pPr>
      <w:r>
        <w:rPr>
          <w:rStyle w:val="FootnoteReference"/>
        </w:rPr>
        <w:footnoteRef/>
      </w:r>
      <w:r>
        <w:t xml:space="preserve"> </w:t>
      </w:r>
      <w:r w:rsidRPr="002038D5">
        <w:rPr>
          <w:iCs/>
        </w:rPr>
        <w:t>See </w:t>
      </w:r>
      <w:r w:rsidRPr="002038D5">
        <w:rPr>
          <w:i/>
          <w:iCs/>
        </w:rPr>
        <w:t>Kathmer Investments (Pty) Ltd v Woolworths (Pty) Ltd </w:t>
      </w:r>
      <w:r>
        <w:rPr>
          <w:iCs/>
        </w:rPr>
        <w:t xml:space="preserve">1970 (2) 498 (A) </w:t>
      </w:r>
      <w:r w:rsidRPr="002038D5">
        <w:rPr>
          <w:iCs/>
        </w:rPr>
        <w:t>at 504H</w:t>
      </w:r>
    </w:p>
  </w:footnote>
  <w:footnote w:id="15">
    <w:p w14:paraId="5AD37D64" w14:textId="0839CB17" w:rsidR="00D9408F" w:rsidRPr="00F929A1" w:rsidRDefault="00D9408F" w:rsidP="00D9408F">
      <w:pPr>
        <w:pStyle w:val="FootnoteText"/>
        <w:jc w:val="both"/>
        <w:rPr>
          <w:iCs/>
        </w:rPr>
      </w:pPr>
      <w:r>
        <w:rPr>
          <w:rStyle w:val="FootnoteReference"/>
        </w:rPr>
        <w:footnoteRef/>
      </w:r>
      <w:r>
        <w:t xml:space="preserve"> </w:t>
      </w:r>
      <w:r w:rsidRPr="00D9408F">
        <w:rPr>
          <w:iCs/>
        </w:rPr>
        <w:t>See </w:t>
      </w:r>
      <w:r w:rsidR="009B2907" w:rsidRPr="009B2907">
        <w:rPr>
          <w:i/>
        </w:rPr>
        <w:t>Director of Hospital Services v Mistry</w:t>
      </w:r>
      <w:r w:rsidR="009B2907" w:rsidRPr="009B2907">
        <w:rPr>
          <w:iCs/>
        </w:rPr>
        <w:t xml:space="preserve"> 1979 (1) SA 626 (A) at 635F-636A; </w:t>
      </w:r>
      <w:r w:rsidR="009B2907" w:rsidRPr="009B2907">
        <w:rPr>
          <w:i/>
        </w:rPr>
        <w:t>My Vote Counts NPC v Speaker of the National Assembly and Others</w:t>
      </w:r>
      <w:r w:rsidR="009B2907" w:rsidRPr="009B2907">
        <w:rPr>
          <w:iCs/>
        </w:rPr>
        <w:t xml:space="preserve"> 2016 (1) SA 132 (CC) at para [177]</w:t>
      </w:r>
      <w:r w:rsidR="00A24E84">
        <w:rPr>
          <w:iCs/>
        </w:rPr>
        <w:t xml:space="preserve">; </w:t>
      </w:r>
      <w:r w:rsidRPr="00D9408F">
        <w:rPr>
          <w:i/>
        </w:rPr>
        <w:t>National Council of Societies for the Prevention of Cruelty to Animals v Openshaw</w:t>
      </w:r>
      <w:r w:rsidRPr="00D9408F">
        <w:rPr>
          <w:iCs/>
        </w:rPr>
        <w:t> 2008 (5) SA 339 (SCA) at paragraphs 29 to 30</w:t>
      </w:r>
      <w:r>
        <w:rPr>
          <w:iCs/>
        </w:rPr>
        <w:t xml:space="preserve">; </w:t>
      </w:r>
      <w:r w:rsidRPr="00D9408F">
        <w:rPr>
          <w:i/>
        </w:rPr>
        <w:t>Bowman NO v De Souza Raoldao</w:t>
      </w:r>
      <w:r w:rsidRPr="00D9408F">
        <w:rPr>
          <w:iCs/>
        </w:rPr>
        <w:t> 1988 (4) SA 326 (T) at 327D – H</w:t>
      </w:r>
      <w:r>
        <w:rPr>
          <w:iCs/>
        </w:rPr>
        <w:t xml:space="preserve">; </w:t>
      </w:r>
      <w:r w:rsidRPr="00D9408F">
        <w:rPr>
          <w:bCs/>
          <w:i/>
        </w:rPr>
        <w:t>Lagoon Beach Hotel (Pty) Ltd v Lehane NO and Others</w:t>
      </w:r>
      <w:r w:rsidRPr="00D9408F">
        <w:rPr>
          <w:bCs/>
          <w:iCs/>
        </w:rPr>
        <w:t> </w:t>
      </w:r>
      <w:r w:rsidRPr="00D9408F">
        <w:rPr>
          <w:iCs/>
        </w:rPr>
        <w:t>2016 (3) SA 143 (SCA) at paragraph 16</w:t>
      </w:r>
    </w:p>
  </w:footnote>
  <w:footnote w:id="16">
    <w:p w14:paraId="01603EA0" w14:textId="55293A44" w:rsidR="00F808F3" w:rsidRDefault="00F808F3" w:rsidP="00F808F3">
      <w:pPr>
        <w:pStyle w:val="FootnoteText"/>
        <w:jc w:val="both"/>
      </w:pPr>
      <w:r>
        <w:rPr>
          <w:rStyle w:val="FootnoteReference"/>
        </w:rPr>
        <w:footnoteRef/>
      </w:r>
      <w:r w:rsidRPr="00F808F3">
        <w:t xml:space="preserve">See </w:t>
      </w:r>
      <w:r w:rsidRPr="00F808F3">
        <w:rPr>
          <w:i/>
          <w:iCs/>
        </w:rPr>
        <w:t>Plascon-Evans Paints (TVL) Ltd v Van Riebeck Paints (Pty) Ltd</w:t>
      </w:r>
      <w:r>
        <w:t xml:space="preserve"> [1984] ZASCA 51;</w:t>
      </w:r>
      <w:r w:rsidR="00502E2D">
        <w:t xml:space="preserve"> </w:t>
      </w:r>
      <w:r>
        <w:t>1984 (3) SA 623</w:t>
      </w:r>
      <w:r w:rsidR="00502E2D">
        <w:t xml:space="preserve"> </w:t>
      </w:r>
      <w:r w:rsidRPr="00F808F3">
        <w:t xml:space="preserve">A </w:t>
      </w:r>
      <w:r>
        <w:t xml:space="preserve">at </w:t>
      </w:r>
      <w:r w:rsidRPr="00F808F3">
        <w:t>634 – 635;</w:t>
      </w:r>
      <w:r w:rsidR="00502E2D">
        <w:t xml:space="preserve"> </w:t>
      </w:r>
      <w:r w:rsidRPr="00F808F3">
        <w:rPr>
          <w:i/>
          <w:iCs/>
        </w:rPr>
        <w:t>National Director of Public Prosecutions v Zuma</w:t>
      </w:r>
      <w:r>
        <w:t xml:space="preserve"> </w:t>
      </w:r>
      <w:r w:rsidRPr="00F808F3">
        <w:t>(573/08) [2009] ZASCA 1; 2009 (2) SA 277 (SCA) ; 2009 (1) SACR 361 (SCA) ; 2009 (4) BCLR 393 (SCA) ; [2009] 2 All SA 243 (SCA)</w:t>
      </w:r>
      <w:r w:rsidR="0039213C">
        <w:t xml:space="preserve"> at para 26, where it was held that;</w:t>
      </w:r>
    </w:p>
    <w:p w14:paraId="3BA85E25" w14:textId="1E60A129" w:rsidR="00F808F3" w:rsidRPr="00502E2D" w:rsidRDefault="0039213C" w:rsidP="00502E2D">
      <w:pPr>
        <w:pStyle w:val="FootnoteText"/>
        <w:ind w:left="851"/>
        <w:jc w:val="both"/>
      </w:pPr>
      <w:r>
        <w:t>“</w:t>
      </w:r>
      <w:r w:rsidRPr="0039213C">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w:t>
      </w:r>
      <w:r w:rsidR="00502E2D">
        <w:t xml:space="preserve"> </w:t>
      </w:r>
      <w:r w:rsidRPr="0039213C">
        <w:rPr>
          <w:i/>
          <w:iCs/>
        </w:rPr>
        <w:t>Plascon-Evans</w:t>
      </w:r>
      <w:r w:rsidR="00502E2D">
        <w:t xml:space="preserve"> </w:t>
      </w:r>
      <w:r w:rsidRPr="0039213C">
        <w:t>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w:t>
      </w:r>
      <w:r w:rsidR="00502E2D">
        <w:t xml:space="preserve"> </w:t>
      </w:r>
      <w:r w:rsidRPr="0039213C">
        <w:rPr>
          <w:lang w:val="en-US"/>
        </w:rPr>
        <w:t>consists of bald or uncreditworthy denials, raises fictitious disputes of fact, is palpably implausible, far-fetched or so clearly untenable that the court is justified in rejecting them merely on the papers. The court below did not have regard to these propositions and instead decided the case on probabilities without rejecting the NDPP’s version</w:t>
      </w:r>
      <w:r>
        <w:rPr>
          <w:lang w:val="en-US"/>
        </w:rPr>
        <w:t>.”</w:t>
      </w:r>
      <w:r w:rsidRPr="0039213C">
        <w:t xml:space="preserve"> </w:t>
      </w:r>
      <w:r>
        <w:t>(Internal Citations omitted)</w:t>
      </w:r>
    </w:p>
  </w:footnote>
  <w:footnote w:id="17">
    <w:p w14:paraId="4C9F0BFE" w14:textId="517E51DC" w:rsidR="00EA08DA" w:rsidRPr="00EA08DA" w:rsidRDefault="00EA08DA">
      <w:pPr>
        <w:pStyle w:val="FootnoteText"/>
        <w:rPr>
          <w:lang w:val="en-US"/>
        </w:rPr>
      </w:pPr>
      <w:r>
        <w:rPr>
          <w:rStyle w:val="FootnoteReference"/>
        </w:rPr>
        <w:footnoteRef/>
      </w:r>
      <w:r>
        <w:t xml:space="preserve"> </w:t>
      </w:r>
      <w:r w:rsidRPr="00EA08DA">
        <w:rPr>
          <w:iCs/>
        </w:rPr>
        <w:t>2006 (4) SA 326 (SCA)</w:t>
      </w:r>
    </w:p>
  </w:footnote>
  <w:footnote w:id="18">
    <w:p w14:paraId="6066E1DF" w14:textId="77777777" w:rsidR="00895DE7" w:rsidRPr="00877DEB" w:rsidRDefault="00895DE7" w:rsidP="00895DE7">
      <w:pPr>
        <w:pStyle w:val="FootnoteText"/>
        <w:rPr>
          <w:lang w:val="en-US"/>
        </w:rPr>
      </w:pPr>
      <w:r>
        <w:rPr>
          <w:rStyle w:val="FootnoteReference"/>
        </w:rPr>
        <w:footnoteRef/>
      </w:r>
      <w:r>
        <w:t xml:space="preserve"> </w:t>
      </w:r>
      <w:r w:rsidRPr="00877DEB">
        <w:rPr>
          <w:iCs/>
        </w:rPr>
        <w:t>1914 AD 221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1B8A" w14:textId="343F8FDF" w:rsidR="00FF1CE1" w:rsidRDefault="00FF1CE1">
    <w:pPr>
      <w:pStyle w:val="Header"/>
      <w:jc w:val="right"/>
    </w:pPr>
  </w:p>
  <w:p w14:paraId="3FA3606A" w14:textId="77777777" w:rsidR="00FF1CE1" w:rsidRDefault="00FF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971"/>
    <w:multiLevelType w:val="multilevel"/>
    <w:tmpl w:val="3CCCB7BE"/>
    <w:lvl w:ilvl="0">
      <w:start w:val="2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E324345"/>
    <w:multiLevelType w:val="hybridMultilevel"/>
    <w:tmpl w:val="0C8E0462"/>
    <w:lvl w:ilvl="0" w:tplc="0EEE3404">
      <w:start w:val="1"/>
      <w:numFmt w:val="lowerRoman"/>
      <w:lvlText w:val="(%1)"/>
      <w:lvlJc w:val="left"/>
      <w:pPr>
        <w:ind w:left="2291" w:hanging="72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4" w15:restartNumberingAfterBreak="0">
    <w:nsid w:val="19225282"/>
    <w:multiLevelType w:val="hybridMultilevel"/>
    <w:tmpl w:val="27E2968A"/>
    <w:lvl w:ilvl="0" w:tplc="1C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 w15:restartNumberingAfterBreak="0">
    <w:nsid w:val="36203961"/>
    <w:multiLevelType w:val="multilevel"/>
    <w:tmpl w:val="07F46032"/>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5027567"/>
    <w:multiLevelType w:val="multilevel"/>
    <w:tmpl w:val="9508E0C0"/>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B174158"/>
    <w:multiLevelType w:val="multilevel"/>
    <w:tmpl w:val="B95C99F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9A50DB"/>
    <w:multiLevelType w:val="multilevel"/>
    <w:tmpl w:val="519414EC"/>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12"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
  </w:num>
  <w:num w:numId="3">
    <w:abstractNumId w:val="13"/>
  </w:num>
  <w:num w:numId="4">
    <w:abstractNumId w:val="5"/>
  </w:num>
  <w:num w:numId="5">
    <w:abstractNumId w:val="11"/>
  </w:num>
  <w:num w:numId="6">
    <w:abstractNumId w:val="9"/>
  </w:num>
  <w:num w:numId="7">
    <w:abstractNumId w:val="3"/>
  </w:num>
  <w:num w:numId="8">
    <w:abstractNumId w:val="0"/>
  </w:num>
  <w:num w:numId="9">
    <w:abstractNumId w:val="4"/>
  </w:num>
  <w:num w:numId="10">
    <w:abstractNumId w:val="2"/>
  </w:num>
  <w:num w:numId="11">
    <w:abstractNumId w:val="8"/>
  </w:num>
  <w:num w:numId="12">
    <w:abstractNumId w:val="6"/>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EF0"/>
    <w:rsid w:val="000018B5"/>
    <w:rsid w:val="00001B53"/>
    <w:rsid w:val="000027D7"/>
    <w:rsid w:val="00002CE3"/>
    <w:rsid w:val="00003B6A"/>
    <w:rsid w:val="00006400"/>
    <w:rsid w:val="00007E2F"/>
    <w:rsid w:val="00007FBE"/>
    <w:rsid w:val="00010D77"/>
    <w:rsid w:val="0001141E"/>
    <w:rsid w:val="00011ED1"/>
    <w:rsid w:val="00012018"/>
    <w:rsid w:val="000127E1"/>
    <w:rsid w:val="000129A6"/>
    <w:rsid w:val="000129CE"/>
    <w:rsid w:val="00012CE3"/>
    <w:rsid w:val="0001665D"/>
    <w:rsid w:val="000176E0"/>
    <w:rsid w:val="00017993"/>
    <w:rsid w:val="000205A8"/>
    <w:rsid w:val="00020B8E"/>
    <w:rsid w:val="00021033"/>
    <w:rsid w:val="0002194D"/>
    <w:rsid w:val="00021BFC"/>
    <w:rsid w:val="00021CD7"/>
    <w:rsid w:val="00021EE1"/>
    <w:rsid w:val="00021F02"/>
    <w:rsid w:val="000222DC"/>
    <w:rsid w:val="00022B36"/>
    <w:rsid w:val="00023003"/>
    <w:rsid w:val="00024559"/>
    <w:rsid w:val="00024710"/>
    <w:rsid w:val="0002556D"/>
    <w:rsid w:val="0002592F"/>
    <w:rsid w:val="0002613A"/>
    <w:rsid w:val="00027278"/>
    <w:rsid w:val="00027480"/>
    <w:rsid w:val="00027738"/>
    <w:rsid w:val="00030C15"/>
    <w:rsid w:val="00031282"/>
    <w:rsid w:val="0003183B"/>
    <w:rsid w:val="00031F83"/>
    <w:rsid w:val="000325D6"/>
    <w:rsid w:val="00032A5C"/>
    <w:rsid w:val="00033238"/>
    <w:rsid w:val="0003458D"/>
    <w:rsid w:val="00035DF9"/>
    <w:rsid w:val="000366A3"/>
    <w:rsid w:val="00037040"/>
    <w:rsid w:val="0003706D"/>
    <w:rsid w:val="0004086E"/>
    <w:rsid w:val="000412F0"/>
    <w:rsid w:val="00041858"/>
    <w:rsid w:val="000424FC"/>
    <w:rsid w:val="00042802"/>
    <w:rsid w:val="000441D9"/>
    <w:rsid w:val="000441DA"/>
    <w:rsid w:val="00044FC7"/>
    <w:rsid w:val="000459DA"/>
    <w:rsid w:val="00052AD4"/>
    <w:rsid w:val="00053474"/>
    <w:rsid w:val="00053883"/>
    <w:rsid w:val="00053983"/>
    <w:rsid w:val="00053BFF"/>
    <w:rsid w:val="000540D9"/>
    <w:rsid w:val="0005496D"/>
    <w:rsid w:val="000549D7"/>
    <w:rsid w:val="00055620"/>
    <w:rsid w:val="0005598A"/>
    <w:rsid w:val="0005602B"/>
    <w:rsid w:val="00056055"/>
    <w:rsid w:val="000565D9"/>
    <w:rsid w:val="00057CD7"/>
    <w:rsid w:val="00057E92"/>
    <w:rsid w:val="000617E0"/>
    <w:rsid w:val="00061C2D"/>
    <w:rsid w:val="00062FCB"/>
    <w:rsid w:val="00063828"/>
    <w:rsid w:val="000653DE"/>
    <w:rsid w:val="0006549F"/>
    <w:rsid w:val="00065541"/>
    <w:rsid w:val="000656E0"/>
    <w:rsid w:val="000666BC"/>
    <w:rsid w:val="00070087"/>
    <w:rsid w:val="00070491"/>
    <w:rsid w:val="00070588"/>
    <w:rsid w:val="000711D6"/>
    <w:rsid w:val="00071412"/>
    <w:rsid w:val="00071492"/>
    <w:rsid w:val="000724EF"/>
    <w:rsid w:val="000724FB"/>
    <w:rsid w:val="0007288F"/>
    <w:rsid w:val="00074F78"/>
    <w:rsid w:val="0007714C"/>
    <w:rsid w:val="00080306"/>
    <w:rsid w:val="00080F80"/>
    <w:rsid w:val="00081528"/>
    <w:rsid w:val="00082787"/>
    <w:rsid w:val="0008299F"/>
    <w:rsid w:val="00083E3D"/>
    <w:rsid w:val="00084434"/>
    <w:rsid w:val="00084A6A"/>
    <w:rsid w:val="00085631"/>
    <w:rsid w:val="00085786"/>
    <w:rsid w:val="00085B08"/>
    <w:rsid w:val="00086425"/>
    <w:rsid w:val="00087526"/>
    <w:rsid w:val="000877AD"/>
    <w:rsid w:val="00093247"/>
    <w:rsid w:val="0009329F"/>
    <w:rsid w:val="00093E3C"/>
    <w:rsid w:val="00096A14"/>
    <w:rsid w:val="00096DC0"/>
    <w:rsid w:val="00097580"/>
    <w:rsid w:val="00097668"/>
    <w:rsid w:val="0009784C"/>
    <w:rsid w:val="00097DF8"/>
    <w:rsid w:val="000A18C3"/>
    <w:rsid w:val="000A1D0B"/>
    <w:rsid w:val="000A1D83"/>
    <w:rsid w:val="000A1FE2"/>
    <w:rsid w:val="000A216C"/>
    <w:rsid w:val="000A3D89"/>
    <w:rsid w:val="000A5106"/>
    <w:rsid w:val="000A59F9"/>
    <w:rsid w:val="000A6778"/>
    <w:rsid w:val="000A78ED"/>
    <w:rsid w:val="000B08F2"/>
    <w:rsid w:val="000B0BA5"/>
    <w:rsid w:val="000B0E0D"/>
    <w:rsid w:val="000B1747"/>
    <w:rsid w:val="000B19CB"/>
    <w:rsid w:val="000B1B9B"/>
    <w:rsid w:val="000B2176"/>
    <w:rsid w:val="000B252D"/>
    <w:rsid w:val="000B2CA2"/>
    <w:rsid w:val="000B43DF"/>
    <w:rsid w:val="000B454F"/>
    <w:rsid w:val="000B478F"/>
    <w:rsid w:val="000B4C04"/>
    <w:rsid w:val="000B5496"/>
    <w:rsid w:val="000B688D"/>
    <w:rsid w:val="000B77B2"/>
    <w:rsid w:val="000B7BDE"/>
    <w:rsid w:val="000C0643"/>
    <w:rsid w:val="000C0E32"/>
    <w:rsid w:val="000C187E"/>
    <w:rsid w:val="000C19F5"/>
    <w:rsid w:val="000C2B19"/>
    <w:rsid w:val="000C4D13"/>
    <w:rsid w:val="000C4EA0"/>
    <w:rsid w:val="000C5507"/>
    <w:rsid w:val="000C639F"/>
    <w:rsid w:val="000C68F5"/>
    <w:rsid w:val="000C6D82"/>
    <w:rsid w:val="000C7011"/>
    <w:rsid w:val="000C7993"/>
    <w:rsid w:val="000C7D4F"/>
    <w:rsid w:val="000D027F"/>
    <w:rsid w:val="000D02B8"/>
    <w:rsid w:val="000D04E0"/>
    <w:rsid w:val="000D0F4F"/>
    <w:rsid w:val="000D0F65"/>
    <w:rsid w:val="000D239C"/>
    <w:rsid w:val="000D2923"/>
    <w:rsid w:val="000D452A"/>
    <w:rsid w:val="000D452E"/>
    <w:rsid w:val="000D5EA8"/>
    <w:rsid w:val="000D6773"/>
    <w:rsid w:val="000D6882"/>
    <w:rsid w:val="000D7B23"/>
    <w:rsid w:val="000E0127"/>
    <w:rsid w:val="000E0927"/>
    <w:rsid w:val="000E0B3D"/>
    <w:rsid w:val="000E1521"/>
    <w:rsid w:val="000E1DB9"/>
    <w:rsid w:val="000E2302"/>
    <w:rsid w:val="000E2317"/>
    <w:rsid w:val="000E26A8"/>
    <w:rsid w:val="000E3796"/>
    <w:rsid w:val="000E3D40"/>
    <w:rsid w:val="000E41A1"/>
    <w:rsid w:val="000E4EEA"/>
    <w:rsid w:val="000E6125"/>
    <w:rsid w:val="000E6F6C"/>
    <w:rsid w:val="000E7601"/>
    <w:rsid w:val="000F0799"/>
    <w:rsid w:val="000F0A26"/>
    <w:rsid w:val="000F16F6"/>
    <w:rsid w:val="000F1D7A"/>
    <w:rsid w:val="000F2829"/>
    <w:rsid w:val="000F375F"/>
    <w:rsid w:val="000F3A5C"/>
    <w:rsid w:val="000F3BBE"/>
    <w:rsid w:val="000F556D"/>
    <w:rsid w:val="000F56E0"/>
    <w:rsid w:val="000F6FDC"/>
    <w:rsid w:val="00100A21"/>
    <w:rsid w:val="00100CC0"/>
    <w:rsid w:val="0010278E"/>
    <w:rsid w:val="00103399"/>
    <w:rsid w:val="00103BA9"/>
    <w:rsid w:val="00104429"/>
    <w:rsid w:val="00105210"/>
    <w:rsid w:val="00105343"/>
    <w:rsid w:val="00106255"/>
    <w:rsid w:val="001067D2"/>
    <w:rsid w:val="00106BCF"/>
    <w:rsid w:val="00106F79"/>
    <w:rsid w:val="00110016"/>
    <w:rsid w:val="001111CE"/>
    <w:rsid w:val="00112D3C"/>
    <w:rsid w:val="001137F1"/>
    <w:rsid w:val="001145A8"/>
    <w:rsid w:val="00114DB2"/>
    <w:rsid w:val="00115C25"/>
    <w:rsid w:val="00116F6C"/>
    <w:rsid w:val="00117918"/>
    <w:rsid w:val="001203CA"/>
    <w:rsid w:val="0012079B"/>
    <w:rsid w:val="00120872"/>
    <w:rsid w:val="00122190"/>
    <w:rsid w:val="001228FD"/>
    <w:rsid w:val="001244CD"/>
    <w:rsid w:val="0012478D"/>
    <w:rsid w:val="00125DDD"/>
    <w:rsid w:val="00126A5E"/>
    <w:rsid w:val="00127186"/>
    <w:rsid w:val="001275C5"/>
    <w:rsid w:val="001303A1"/>
    <w:rsid w:val="00131A1B"/>
    <w:rsid w:val="00133CBA"/>
    <w:rsid w:val="0013474C"/>
    <w:rsid w:val="001347E1"/>
    <w:rsid w:val="00134A9F"/>
    <w:rsid w:val="00134B81"/>
    <w:rsid w:val="00134E95"/>
    <w:rsid w:val="0013551B"/>
    <w:rsid w:val="001368F2"/>
    <w:rsid w:val="001407C2"/>
    <w:rsid w:val="00140F24"/>
    <w:rsid w:val="001413CA"/>
    <w:rsid w:val="001421D1"/>
    <w:rsid w:val="001425C5"/>
    <w:rsid w:val="001426E4"/>
    <w:rsid w:val="001428BA"/>
    <w:rsid w:val="00142C66"/>
    <w:rsid w:val="00143973"/>
    <w:rsid w:val="00143BC4"/>
    <w:rsid w:val="00144673"/>
    <w:rsid w:val="00146213"/>
    <w:rsid w:val="001468AC"/>
    <w:rsid w:val="0014749C"/>
    <w:rsid w:val="00147BBE"/>
    <w:rsid w:val="00147D43"/>
    <w:rsid w:val="00147E1E"/>
    <w:rsid w:val="001501A0"/>
    <w:rsid w:val="001502E9"/>
    <w:rsid w:val="00150538"/>
    <w:rsid w:val="00150CF8"/>
    <w:rsid w:val="00152334"/>
    <w:rsid w:val="0015257A"/>
    <w:rsid w:val="00152C03"/>
    <w:rsid w:val="00153BED"/>
    <w:rsid w:val="00154F7D"/>
    <w:rsid w:val="00156529"/>
    <w:rsid w:val="001603FD"/>
    <w:rsid w:val="00160BBA"/>
    <w:rsid w:val="001613DC"/>
    <w:rsid w:val="00161487"/>
    <w:rsid w:val="001617D4"/>
    <w:rsid w:val="001618C7"/>
    <w:rsid w:val="00162254"/>
    <w:rsid w:val="00162297"/>
    <w:rsid w:val="0016272F"/>
    <w:rsid w:val="001629C9"/>
    <w:rsid w:val="00163365"/>
    <w:rsid w:val="00163B46"/>
    <w:rsid w:val="00163E22"/>
    <w:rsid w:val="00164585"/>
    <w:rsid w:val="00164AAD"/>
    <w:rsid w:val="00165206"/>
    <w:rsid w:val="00165BA5"/>
    <w:rsid w:val="001667FF"/>
    <w:rsid w:val="001669A8"/>
    <w:rsid w:val="0016716F"/>
    <w:rsid w:val="0016782A"/>
    <w:rsid w:val="001708B7"/>
    <w:rsid w:val="00170DF4"/>
    <w:rsid w:val="00171BEE"/>
    <w:rsid w:val="00171F03"/>
    <w:rsid w:val="0017212C"/>
    <w:rsid w:val="00172F3C"/>
    <w:rsid w:val="0017333C"/>
    <w:rsid w:val="00174816"/>
    <w:rsid w:val="00175997"/>
    <w:rsid w:val="00175EF4"/>
    <w:rsid w:val="00176607"/>
    <w:rsid w:val="00176805"/>
    <w:rsid w:val="00176F02"/>
    <w:rsid w:val="001777BF"/>
    <w:rsid w:val="00177DDA"/>
    <w:rsid w:val="0018031A"/>
    <w:rsid w:val="001806BB"/>
    <w:rsid w:val="001811F4"/>
    <w:rsid w:val="0018164F"/>
    <w:rsid w:val="00181B53"/>
    <w:rsid w:val="00182C3C"/>
    <w:rsid w:val="00182D83"/>
    <w:rsid w:val="0018312E"/>
    <w:rsid w:val="00185669"/>
    <w:rsid w:val="001858DD"/>
    <w:rsid w:val="00185BB1"/>
    <w:rsid w:val="00185EE6"/>
    <w:rsid w:val="00186257"/>
    <w:rsid w:val="00186401"/>
    <w:rsid w:val="001865B8"/>
    <w:rsid w:val="001866EF"/>
    <w:rsid w:val="00187075"/>
    <w:rsid w:val="001911D5"/>
    <w:rsid w:val="001918E7"/>
    <w:rsid w:val="00192261"/>
    <w:rsid w:val="00192EE6"/>
    <w:rsid w:val="00193584"/>
    <w:rsid w:val="00193DD5"/>
    <w:rsid w:val="00194A01"/>
    <w:rsid w:val="00195434"/>
    <w:rsid w:val="0019547D"/>
    <w:rsid w:val="00195CD7"/>
    <w:rsid w:val="00196658"/>
    <w:rsid w:val="00196D5C"/>
    <w:rsid w:val="001970F5"/>
    <w:rsid w:val="001A0E00"/>
    <w:rsid w:val="001A2F19"/>
    <w:rsid w:val="001A335F"/>
    <w:rsid w:val="001A38F2"/>
    <w:rsid w:val="001A4A65"/>
    <w:rsid w:val="001A521B"/>
    <w:rsid w:val="001A5575"/>
    <w:rsid w:val="001A56DF"/>
    <w:rsid w:val="001A578D"/>
    <w:rsid w:val="001A583A"/>
    <w:rsid w:val="001A58E4"/>
    <w:rsid w:val="001A5BCF"/>
    <w:rsid w:val="001A6F06"/>
    <w:rsid w:val="001A6F59"/>
    <w:rsid w:val="001A7335"/>
    <w:rsid w:val="001A734E"/>
    <w:rsid w:val="001B00F1"/>
    <w:rsid w:val="001B025C"/>
    <w:rsid w:val="001B05D6"/>
    <w:rsid w:val="001B14E7"/>
    <w:rsid w:val="001B2BB9"/>
    <w:rsid w:val="001B30C6"/>
    <w:rsid w:val="001B4E17"/>
    <w:rsid w:val="001B515A"/>
    <w:rsid w:val="001B5398"/>
    <w:rsid w:val="001B666B"/>
    <w:rsid w:val="001B6D6D"/>
    <w:rsid w:val="001B7BD2"/>
    <w:rsid w:val="001C3087"/>
    <w:rsid w:val="001C3D2A"/>
    <w:rsid w:val="001C448E"/>
    <w:rsid w:val="001C4BAE"/>
    <w:rsid w:val="001C6218"/>
    <w:rsid w:val="001C6AF8"/>
    <w:rsid w:val="001C6E4A"/>
    <w:rsid w:val="001C73AB"/>
    <w:rsid w:val="001D0A8E"/>
    <w:rsid w:val="001D0C1B"/>
    <w:rsid w:val="001D0E85"/>
    <w:rsid w:val="001D21A1"/>
    <w:rsid w:val="001D3BA3"/>
    <w:rsid w:val="001D4A09"/>
    <w:rsid w:val="001D4D14"/>
    <w:rsid w:val="001D5AA4"/>
    <w:rsid w:val="001D635E"/>
    <w:rsid w:val="001D692E"/>
    <w:rsid w:val="001D6D46"/>
    <w:rsid w:val="001E2D3C"/>
    <w:rsid w:val="001E35D5"/>
    <w:rsid w:val="001E46D5"/>
    <w:rsid w:val="001E49D1"/>
    <w:rsid w:val="001E4C7C"/>
    <w:rsid w:val="001E4F38"/>
    <w:rsid w:val="001E51F0"/>
    <w:rsid w:val="001E559B"/>
    <w:rsid w:val="001E5A26"/>
    <w:rsid w:val="001E5B2A"/>
    <w:rsid w:val="001E6F3D"/>
    <w:rsid w:val="001E703C"/>
    <w:rsid w:val="001E70E0"/>
    <w:rsid w:val="001E7B88"/>
    <w:rsid w:val="001F0F4B"/>
    <w:rsid w:val="001F1AB6"/>
    <w:rsid w:val="001F1D34"/>
    <w:rsid w:val="001F1D93"/>
    <w:rsid w:val="001F1EA9"/>
    <w:rsid w:val="001F1F3F"/>
    <w:rsid w:val="001F3BED"/>
    <w:rsid w:val="001F406A"/>
    <w:rsid w:val="001F4136"/>
    <w:rsid w:val="001F416D"/>
    <w:rsid w:val="001F42C7"/>
    <w:rsid w:val="001F55E0"/>
    <w:rsid w:val="001F661D"/>
    <w:rsid w:val="001F6CBB"/>
    <w:rsid w:val="001F7AC6"/>
    <w:rsid w:val="0020001C"/>
    <w:rsid w:val="0020007D"/>
    <w:rsid w:val="002000F4"/>
    <w:rsid w:val="002002EA"/>
    <w:rsid w:val="00200FA5"/>
    <w:rsid w:val="00201754"/>
    <w:rsid w:val="002022AB"/>
    <w:rsid w:val="00203315"/>
    <w:rsid w:val="002034DA"/>
    <w:rsid w:val="002038D5"/>
    <w:rsid w:val="00204901"/>
    <w:rsid w:val="00204C0D"/>
    <w:rsid w:val="0020500A"/>
    <w:rsid w:val="002056E5"/>
    <w:rsid w:val="002065E5"/>
    <w:rsid w:val="00206645"/>
    <w:rsid w:val="00206783"/>
    <w:rsid w:val="002076C6"/>
    <w:rsid w:val="002114B8"/>
    <w:rsid w:val="00212182"/>
    <w:rsid w:val="002121BA"/>
    <w:rsid w:val="00213010"/>
    <w:rsid w:val="00214148"/>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4787"/>
    <w:rsid w:val="00227144"/>
    <w:rsid w:val="002308A2"/>
    <w:rsid w:val="00230983"/>
    <w:rsid w:val="002310ED"/>
    <w:rsid w:val="00231A9D"/>
    <w:rsid w:val="00231DBE"/>
    <w:rsid w:val="00232F60"/>
    <w:rsid w:val="0023310D"/>
    <w:rsid w:val="0023343A"/>
    <w:rsid w:val="0023496B"/>
    <w:rsid w:val="00235179"/>
    <w:rsid w:val="00236347"/>
    <w:rsid w:val="00242457"/>
    <w:rsid w:val="00242510"/>
    <w:rsid w:val="002425F5"/>
    <w:rsid w:val="00244564"/>
    <w:rsid w:val="00245580"/>
    <w:rsid w:val="00245902"/>
    <w:rsid w:val="00245D9C"/>
    <w:rsid w:val="002460A4"/>
    <w:rsid w:val="002461B2"/>
    <w:rsid w:val="00246D62"/>
    <w:rsid w:val="00250155"/>
    <w:rsid w:val="00251C89"/>
    <w:rsid w:val="002524DE"/>
    <w:rsid w:val="00252695"/>
    <w:rsid w:val="00252A0C"/>
    <w:rsid w:val="00252A95"/>
    <w:rsid w:val="00253260"/>
    <w:rsid w:val="00254139"/>
    <w:rsid w:val="00255D57"/>
    <w:rsid w:val="00256869"/>
    <w:rsid w:val="00263B81"/>
    <w:rsid w:val="00266517"/>
    <w:rsid w:val="00266E62"/>
    <w:rsid w:val="00267563"/>
    <w:rsid w:val="0027069B"/>
    <w:rsid w:val="002707B0"/>
    <w:rsid w:val="0027145A"/>
    <w:rsid w:val="00271A3F"/>
    <w:rsid w:val="00271C53"/>
    <w:rsid w:val="002731C8"/>
    <w:rsid w:val="00273FBB"/>
    <w:rsid w:val="00274E0C"/>
    <w:rsid w:val="00274E6D"/>
    <w:rsid w:val="0027564E"/>
    <w:rsid w:val="00276391"/>
    <w:rsid w:val="0027639E"/>
    <w:rsid w:val="00276BFF"/>
    <w:rsid w:val="0027730A"/>
    <w:rsid w:val="002773DD"/>
    <w:rsid w:val="0027762B"/>
    <w:rsid w:val="00277971"/>
    <w:rsid w:val="00277D8E"/>
    <w:rsid w:val="00280E5E"/>
    <w:rsid w:val="00281C8C"/>
    <w:rsid w:val="002825A7"/>
    <w:rsid w:val="00283D02"/>
    <w:rsid w:val="00284EBC"/>
    <w:rsid w:val="00285BA3"/>
    <w:rsid w:val="00286821"/>
    <w:rsid w:val="00286FD3"/>
    <w:rsid w:val="00287137"/>
    <w:rsid w:val="00287569"/>
    <w:rsid w:val="00287D32"/>
    <w:rsid w:val="00290136"/>
    <w:rsid w:val="00291B39"/>
    <w:rsid w:val="00291F1E"/>
    <w:rsid w:val="002925DC"/>
    <w:rsid w:val="00292D4B"/>
    <w:rsid w:val="002934A3"/>
    <w:rsid w:val="00297386"/>
    <w:rsid w:val="002A1018"/>
    <w:rsid w:val="002A1A9C"/>
    <w:rsid w:val="002A3910"/>
    <w:rsid w:val="002A5A37"/>
    <w:rsid w:val="002A6BAA"/>
    <w:rsid w:val="002B0C77"/>
    <w:rsid w:val="002B3E10"/>
    <w:rsid w:val="002B4CC1"/>
    <w:rsid w:val="002B4E4F"/>
    <w:rsid w:val="002B550A"/>
    <w:rsid w:val="002B7630"/>
    <w:rsid w:val="002B78B0"/>
    <w:rsid w:val="002B7BEE"/>
    <w:rsid w:val="002B7CD5"/>
    <w:rsid w:val="002B7E72"/>
    <w:rsid w:val="002C0BBB"/>
    <w:rsid w:val="002C152C"/>
    <w:rsid w:val="002C1937"/>
    <w:rsid w:val="002C26C4"/>
    <w:rsid w:val="002C2BEA"/>
    <w:rsid w:val="002C32F9"/>
    <w:rsid w:val="002C3A58"/>
    <w:rsid w:val="002C3CC2"/>
    <w:rsid w:val="002C422B"/>
    <w:rsid w:val="002C55E7"/>
    <w:rsid w:val="002C5666"/>
    <w:rsid w:val="002C5710"/>
    <w:rsid w:val="002C5ABC"/>
    <w:rsid w:val="002C690E"/>
    <w:rsid w:val="002C6B58"/>
    <w:rsid w:val="002C7AFE"/>
    <w:rsid w:val="002D0002"/>
    <w:rsid w:val="002D005C"/>
    <w:rsid w:val="002D0E74"/>
    <w:rsid w:val="002D121E"/>
    <w:rsid w:val="002D1490"/>
    <w:rsid w:val="002D1DD4"/>
    <w:rsid w:val="002D212F"/>
    <w:rsid w:val="002D2268"/>
    <w:rsid w:val="002D35CE"/>
    <w:rsid w:val="002D3C9C"/>
    <w:rsid w:val="002D539B"/>
    <w:rsid w:val="002D58CE"/>
    <w:rsid w:val="002D68F2"/>
    <w:rsid w:val="002D6F1B"/>
    <w:rsid w:val="002E2E30"/>
    <w:rsid w:val="002E3109"/>
    <w:rsid w:val="002E3C90"/>
    <w:rsid w:val="002E3CCC"/>
    <w:rsid w:val="002E3EEC"/>
    <w:rsid w:val="002E45A0"/>
    <w:rsid w:val="002E4B03"/>
    <w:rsid w:val="002E4C6D"/>
    <w:rsid w:val="002E4D5E"/>
    <w:rsid w:val="002E504A"/>
    <w:rsid w:val="002E60B4"/>
    <w:rsid w:val="002F07B4"/>
    <w:rsid w:val="002F1495"/>
    <w:rsid w:val="002F2438"/>
    <w:rsid w:val="002F2FC5"/>
    <w:rsid w:val="002F6172"/>
    <w:rsid w:val="002F6367"/>
    <w:rsid w:val="002F6549"/>
    <w:rsid w:val="00300437"/>
    <w:rsid w:val="003022CB"/>
    <w:rsid w:val="003023EB"/>
    <w:rsid w:val="003041EA"/>
    <w:rsid w:val="00304816"/>
    <w:rsid w:val="00304C6D"/>
    <w:rsid w:val="00304FEE"/>
    <w:rsid w:val="00305A84"/>
    <w:rsid w:val="00305CB7"/>
    <w:rsid w:val="00306154"/>
    <w:rsid w:val="003076B7"/>
    <w:rsid w:val="00307A55"/>
    <w:rsid w:val="0031307C"/>
    <w:rsid w:val="003145A4"/>
    <w:rsid w:val="003147FC"/>
    <w:rsid w:val="0031508B"/>
    <w:rsid w:val="00315F37"/>
    <w:rsid w:val="00316059"/>
    <w:rsid w:val="00316415"/>
    <w:rsid w:val="00316D31"/>
    <w:rsid w:val="0032017E"/>
    <w:rsid w:val="00323ABA"/>
    <w:rsid w:val="00324814"/>
    <w:rsid w:val="00324B7D"/>
    <w:rsid w:val="00325905"/>
    <w:rsid w:val="00326D30"/>
    <w:rsid w:val="00327BAC"/>
    <w:rsid w:val="00327BD4"/>
    <w:rsid w:val="00330356"/>
    <w:rsid w:val="0033105A"/>
    <w:rsid w:val="00331122"/>
    <w:rsid w:val="00331AB9"/>
    <w:rsid w:val="003324A4"/>
    <w:rsid w:val="00332B5B"/>
    <w:rsid w:val="00332D6C"/>
    <w:rsid w:val="0033314D"/>
    <w:rsid w:val="00333882"/>
    <w:rsid w:val="00333F44"/>
    <w:rsid w:val="00334086"/>
    <w:rsid w:val="003342B7"/>
    <w:rsid w:val="0033467D"/>
    <w:rsid w:val="00335B26"/>
    <w:rsid w:val="00335BAF"/>
    <w:rsid w:val="00340378"/>
    <w:rsid w:val="00340629"/>
    <w:rsid w:val="0034064A"/>
    <w:rsid w:val="003427A9"/>
    <w:rsid w:val="00342D94"/>
    <w:rsid w:val="00343512"/>
    <w:rsid w:val="00344B4B"/>
    <w:rsid w:val="00345AC6"/>
    <w:rsid w:val="00345BE9"/>
    <w:rsid w:val="00347064"/>
    <w:rsid w:val="0034755F"/>
    <w:rsid w:val="00350D6B"/>
    <w:rsid w:val="003517B9"/>
    <w:rsid w:val="00351A94"/>
    <w:rsid w:val="0035262F"/>
    <w:rsid w:val="00353816"/>
    <w:rsid w:val="00353E8C"/>
    <w:rsid w:val="0035546E"/>
    <w:rsid w:val="00357DE4"/>
    <w:rsid w:val="00361447"/>
    <w:rsid w:val="0036170D"/>
    <w:rsid w:val="003622EA"/>
    <w:rsid w:val="003625BE"/>
    <w:rsid w:val="003634E7"/>
    <w:rsid w:val="00364C6F"/>
    <w:rsid w:val="00364C85"/>
    <w:rsid w:val="00364CF4"/>
    <w:rsid w:val="003651AD"/>
    <w:rsid w:val="00366291"/>
    <w:rsid w:val="00366B9F"/>
    <w:rsid w:val="00367699"/>
    <w:rsid w:val="00367BB9"/>
    <w:rsid w:val="00371D03"/>
    <w:rsid w:val="003728DE"/>
    <w:rsid w:val="00372A89"/>
    <w:rsid w:val="0037306B"/>
    <w:rsid w:val="0037310F"/>
    <w:rsid w:val="00373B7C"/>
    <w:rsid w:val="00373D3D"/>
    <w:rsid w:val="00376984"/>
    <w:rsid w:val="0038009F"/>
    <w:rsid w:val="00380B5A"/>
    <w:rsid w:val="003811EB"/>
    <w:rsid w:val="00381CED"/>
    <w:rsid w:val="00382121"/>
    <w:rsid w:val="00382172"/>
    <w:rsid w:val="003824DE"/>
    <w:rsid w:val="00382589"/>
    <w:rsid w:val="0038303E"/>
    <w:rsid w:val="00383951"/>
    <w:rsid w:val="003841B2"/>
    <w:rsid w:val="00384956"/>
    <w:rsid w:val="00385269"/>
    <w:rsid w:val="00385C41"/>
    <w:rsid w:val="00386E1F"/>
    <w:rsid w:val="0038720E"/>
    <w:rsid w:val="003900D6"/>
    <w:rsid w:val="003901AC"/>
    <w:rsid w:val="003901C1"/>
    <w:rsid w:val="00390244"/>
    <w:rsid w:val="003904BC"/>
    <w:rsid w:val="0039078D"/>
    <w:rsid w:val="00392089"/>
    <w:rsid w:val="0039213C"/>
    <w:rsid w:val="003923F6"/>
    <w:rsid w:val="00392B52"/>
    <w:rsid w:val="00393B6C"/>
    <w:rsid w:val="00395A78"/>
    <w:rsid w:val="00395F4E"/>
    <w:rsid w:val="003975A1"/>
    <w:rsid w:val="003A00B6"/>
    <w:rsid w:val="003A0D14"/>
    <w:rsid w:val="003A3A86"/>
    <w:rsid w:val="003A4810"/>
    <w:rsid w:val="003A53E8"/>
    <w:rsid w:val="003A5C3A"/>
    <w:rsid w:val="003A62FB"/>
    <w:rsid w:val="003B0C4D"/>
    <w:rsid w:val="003B3E2D"/>
    <w:rsid w:val="003B4045"/>
    <w:rsid w:val="003B4754"/>
    <w:rsid w:val="003B6D9A"/>
    <w:rsid w:val="003B76E7"/>
    <w:rsid w:val="003C0C91"/>
    <w:rsid w:val="003C2EF4"/>
    <w:rsid w:val="003C46B1"/>
    <w:rsid w:val="003C5108"/>
    <w:rsid w:val="003C5D31"/>
    <w:rsid w:val="003C6499"/>
    <w:rsid w:val="003D09B7"/>
    <w:rsid w:val="003D1688"/>
    <w:rsid w:val="003D2734"/>
    <w:rsid w:val="003D3020"/>
    <w:rsid w:val="003D38E2"/>
    <w:rsid w:val="003D487C"/>
    <w:rsid w:val="003D503E"/>
    <w:rsid w:val="003D516C"/>
    <w:rsid w:val="003D7284"/>
    <w:rsid w:val="003D77E0"/>
    <w:rsid w:val="003E0427"/>
    <w:rsid w:val="003E05DE"/>
    <w:rsid w:val="003E29CD"/>
    <w:rsid w:val="003E2DA3"/>
    <w:rsid w:val="003E31B0"/>
    <w:rsid w:val="003E3D90"/>
    <w:rsid w:val="003E48C0"/>
    <w:rsid w:val="003E4CA7"/>
    <w:rsid w:val="003E542C"/>
    <w:rsid w:val="003E6451"/>
    <w:rsid w:val="003E6664"/>
    <w:rsid w:val="003E678E"/>
    <w:rsid w:val="003E7F0F"/>
    <w:rsid w:val="003F0010"/>
    <w:rsid w:val="003F01BF"/>
    <w:rsid w:val="003F03AF"/>
    <w:rsid w:val="003F0D64"/>
    <w:rsid w:val="003F1681"/>
    <w:rsid w:val="003F451E"/>
    <w:rsid w:val="003F4E62"/>
    <w:rsid w:val="003F5607"/>
    <w:rsid w:val="003F691A"/>
    <w:rsid w:val="003F7E11"/>
    <w:rsid w:val="00401571"/>
    <w:rsid w:val="004015F3"/>
    <w:rsid w:val="00401D24"/>
    <w:rsid w:val="00401FF3"/>
    <w:rsid w:val="00402377"/>
    <w:rsid w:val="00402CE2"/>
    <w:rsid w:val="00403BB2"/>
    <w:rsid w:val="00403D54"/>
    <w:rsid w:val="00404143"/>
    <w:rsid w:val="004041DA"/>
    <w:rsid w:val="00404EC5"/>
    <w:rsid w:val="00405110"/>
    <w:rsid w:val="004056C2"/>
    <w:rsid w:val="00406325"/>
    <w:rsid w:val="0040672D"/>
    <w:rsid w:val="00406A14"/>
    <w:rsid w:val="00407B67"/>
    <w:rsid w:val="0041071C"/>
    <w:rsid w:val="00411496"/>
    <w:rsid w:val="004119C8"/>
    <w:rsid w:val="004122E2"/>
    <w:rsid w:val="004138D9"/>
    <w:rsid w:val="00414195"/>
    <w:rsid w:val="004150EB"/>
    <w:rsid w:val="004169AF"/>
    <w:rsid w:val="00420432"/>
    <w:rsid w:val="0042061F"/>
    <w:rsid w:val="00420776"/>
    <w:rsid w:val="004222DD"/>
    <w:rsid w:val="0042256E"/>
    <w:rsid w:val="0042430B"/>
    <w:rsid w:val="00424578"/>
    <w:rsid w:val="0042563E"/>
    <w:rsid w:val="004259FF"/>
    <w:rsid w:val="0042607E"/>
    <w:rsid w:val="004268E9"/>
    <w:rsid w:val="00426C52"/>
    <w:rsid w:val="0042713F"/>
    <w:rsid w:val="004271B3"/>
    <w:rsid w:val="004277EA"/>
    <w:rsid w:val="00427BF4"/>
    <w:rsid w:val="0043033A"/>
    <w:rsid w:val="004317CE"/>
    <w:rsid w:val="00431DB7"/>
    <w:rsid w:val="00432388"/>
    <w:rsid w:val="00433396"/>
    <w:rsid w:val="00433BB0"/>
    <w:rsid w:val="004347ED"/>
    <w:rsid w:val="00434887"/>
    <w:rsid w:val="00434D0F"/>
    <w:rsid w:val="0043617B"/>
    <w:rsid w:val="00436204"/>
    <w:rsid w:val="00436434"/>
    <w:rsid w:val="004368DE"/>
    <w:rsid w:val="00436938"/>
    <w:rsid w:val="00437A9E"/>
    <w:rsid w:val="004412CB"/>
    <w:rsid w:val="00441311"/>
    <w:rsid w:val="00441608"/>
    <w:rsid w:val="00443774"/>
    <w:rsid w:val="0044424A"/>
    <w:rsid w:val="00444D55"/>
    <w:rsid w:val="00444F4F"/>
    <w:rsid w:val="004454C3"/>
    <w:rsid w:val="004459C0"/>
    <w:rsid w:val="004461C3"/>
    <w:rsid w:val="00447207"/>
    <w:rsid w:val="00447281"/>
    <w:rsid w:val="00447721"/>
    <w:rsid w:val="00447864"/>
    <w:rsid w:val="00447974"/>
    <w:rsid w:val="00447D0D"/>
    <w:rsid w:val="00450008"/>
    <w:rsid w:val="00450A3E"/>
    <w:rsid w:val="00452986"/>
    <w:rsid w:val="00452FF6"/>
    <w:rsid w:val="00453459"/>
    <w:rsid w:val="004550AC"/>
    <w:rsid w:val="00455A38"/>
    <w:rsid w:val="00455AA6"/>
    <w:rsid w:val="00455F83"/>
    <w:rsid w:val="004568FA"/>
    <w:rsid w:val="00457F9C"/>
    <w:rsid w:val="00460004"/>
    <w:rsid w:val="00460617"/>
    <w:rsid w:val="00460921"/>
    <w:rsid w:val="00460C95"/>
    <w:rsid w:val="00463186"/>
    <w:rsid w:val="00463A19"/>
    <w:rsid w:val="00464788"/>
    <w:rsid w:val="0046573F"/>
    <w:rsid w:val="00465868"/>
    <w:rsid w:val="00465B84"/>
    <w:rsid w:val="00466B8C"/>
    <w:rsid w:val="004676A7"/>
    <w:rsid w:val="00467EE1"/>
    <w:rsid w:val="00470A7E"/>
    <w:rsid w:val="00471281"/>
    <w:rsid w:val="00471B64"/>
    <w:rsid w:val="00471E3D"/>
    <w:rsid w:val="00471F88"/>
    <w:rsid w:val="00472E46"/>
    <w:rsid w:val="0047392B"/>
    <w:rsid w:val="00474B9E"/>
    <w:rsid w:val="00474CAA"/>
    <w:rsid w:val="00474DF0"/>
    <w:rsid w:val="00476229"/>
    <w:rsid w:val="00476A02"/>
    <w:rsid w:val="00476F93"/>
    <w:rsid w:val="00477353"/>
    <w:rsid w:val="00477E2E"/>
    <w:rsid w:val="00480206"/>
    <w:rsid w:val="004804A3"/>
    <w:rsid w:val="004813EE"/>
    <w:rsid w:val="004830C1"/>
    <w:rsid w:val="004830DC"/>
    <w:rsid w:val="00483181"/>
    <w:rsid w:val="00483271"/>
    <w:rsid w:val="00484332"/>
    <w:rsid w:val="00484BAA"/>
    <w:rsid w:val="00485C35"/>
    <w:rsid w:val="00485C6C"/>
    <w:rsid w:val="00485F7E"/>
    <w:rsid w:val="004866AE"/>
    <w:rsid w:val="00487697"/>
    <w:rsid w:val="00487DAB"/>
    <w:rsid w:val="00490453"/>
    <w:rsid w:val="004905C9"/>
    <w:rsid w:val="0049210F"/>
    <w:rsid w:val="00492535"/>
    <w:rsid w:val="00492E77"/>
    <w:rsid w:val="00492F30"/>
    <w:rsid w:val="004949FF"/>
    <w:rsid w:val="00495171"/>
    <w:rsid w:val="00495621"/>
    <w:rsid w:val="00495E9E"/>
    <w:rsid w:val="00496CFD"/>
    <w:rsid w:val="00497091"/>
    <w:rsid w:val="004A026C"/>
    <w:rsid w:val="004A2C06"/>
    <w:rsid w:val="004A2E50"/>
    <w:rsid w:val="004A4087"/>
    <w:rsid w:val="004A4153"/>
    <w:rsid w:val="004A4354"/>
    <w:rsid w:val="004A5C1D"/>
    <w:rsid w:val="004A5EDB"/>
    <w:rsid w:val="004A6B27"/>
    <w:rsid w:val="004A713A"/>
    <w:rsid w:val="004A7960"/>
    <w:rsid w:val="004A7C55"/>
    <w:rsid w:val="004B1AEF"/>
    <w:rsid w:val="004B2060"/>
    <w:rsid w:val="004B242E"/>
    <w:rsid w:val="004B2854"/>
    <w:rsid w:val="004B2ABB"/>
    <w:rsid w:val="004B2BEC"/>
    <w:rsid w:val="004B3A2F"/>
    <w:rsid w:val="004B3C37"/>
    <w:rsid w:val="004B4B63"/>
    <w:rsid w:val="004B4D1A"/>
    <w:rsid w:val="004B567C"/>
    <w:rsid w:val="004B69B1"/>
    <w:rsid w:val="004B7744"/>
    <w:rsid w:val="004C0733"/>
    <w:rsid w:val="004C086A"/>
    <w:rsid w:val="004C191E"/>
    <w:rsid w:val="004C1CF5"/>
    <w:rsid w:val="004C33D9"/>
    <w:rsid w:val="004C3F08"/>
    <w:rsid w:val="004C4B62"/>
    <w:rsid w:val="004C5BB8"/>
    <w:rsid w:val="004C7965"/>
    <w:rsid w:val="004D175A"/>
    <w:rsid w:val="004D318B"/>
    <w:rsid w:val="004D3703"/>
    <w:rsid w:val="004D3E24"/>
    <w:rsid w:val="004D4F28"/>
    <w:rsid w:val="004D5AB7"/>
    <w:rsid w:val="004D5E60"/>
    <w:rsid w:val="004D5EC8"/>
    <w:rsid w:val="004D7633"/>
    <w:rsid w:val="004D7A49"/>
    <w:rsid w:val="004E1066"/>
    <w:rsid w:val="004E16C5"/>
    <w:rsid w:val="004E395C"/>
    <w:rsid w:val="004E4590"/>
    <w:rsid w:val="004E5C90"/>
    <w:rsid w:val="004E5F59"/>
    <w:rsid w:val="004E628C"/>
    <w:rsid w:val="004E64B5"/>
    <w:rsid w:val="004E7275"/>
    <w:rsid w:val="004E7558"/>
    <w:rsid w:val="004E7627"/>
    <w:rsid w:val="004F045F"/>
    <w:rsid w:val="004F072F"/>
    <w:rsid w:val="004F2020"/>
    <w:rsid w:val="004F2AD4"/>
    <w:rsid w:val="004F334C"/>
    <w:rsid w:val="004F3894"/>
    <w:rsid w:val="004F4D16"/>
    <w:rsid w:val="004F58A1"/>
    <w:rsid w:val="004F6112"/>
    <w:rsid w:val="004F6DFA"/>
    <w:rsid w:val="004F738D"/>
    <w:rsid w:val="004F7454"/>
    <w:rsid w:val="0050051B"/>
    <w:rsid w:val="00501212"/>
    <w:rsid w:val="005012E0"/>
    <w:rsid w:val="005012EE"/>
    <w:rsid w:val="00501C0C"/>
    <w:rsid w:val="00501C26"/>
    <w:rsid w:val="00501C5D"/>
    <w:rsid w:val="0050204C"/>
    <w:rsid w:val="00502343"/>
    <w:rsid w:val="0050251A"/>
    <w:rsid w:val="0050262C"/>
    <w:rsid w:val="00502B71"/>
    <w:rsid w:val="00502E2D"/>
    <w:rsid w:val="00503ADE"/>
    <w:rsid w:val="00503D99"/>
    <w:rsid w:val="0050459E"/>
    <w:rsid w:val="00505836"/>
    <w:rsid w:val="005059B7"/>
    <w:rsid w:val="00506560"/>
    <w:rsid w:val="00506A26"/>
    <w:rsid w:val="00506CDE"/>
    <w:rsid w:val="00506D92"/>
    <w:rsid w:val="00507E09"/>
    <w:rsid w:val="0051118B"/>
    <w:rsid w:val="00511DBC"/>
    <w:rsid w:val="00511E9C"/>
    <w:rsid w:val="00514322"/>
    <w:rsid w:val="005145BC"/>
    <w:rsid w:val="00515C5D"/>
    <w:rsid w:val="00517418"/>
    <w:rsid w:val="00517DB9"/>
    <w:rsid w:val="005201DD"/>
    <w:rsid w:val="0052217E"/>
    <w:rsid w:val="005222CB"/>
    <w:rsid w:val="00522C76"/>
    <w:rsid w:val="0052307A"/>
    <w:rsid w:val="00523719"/>
    <w:rsid w:val="00525F7C"/>
    <w:rsid w:val="00526CD9"/>
    <w:rsid w:val="00526CEE"/>
    <w:rsid w:val="005273E1"/>
    <w:rsid w:val="00527A21"/>
    <w:rsid w:val="00527BE4"/>
    <w:rsid w:val="005304FD"/>
    <w:rsid w:val="00531496"/>
    <w:rsid w:val="00531D39"/>
    <w:rsid w:val="005323EE"/>
    <w:rsid w:val="00532B31"/>
    <w:rsid w:val="0053474E"/>
    <w:rsid w:val="0053572E"/>
    <w:rsid w:val="005366C8"/>
    <w:rsid w:val="00540879"/>
    <w:rsid w:val="0054393C"/>
    <w:rsid w:val="00544A7E"/>
    <w:rsid w:val="00544CA0"/>
    <w:rsid w:val="00544CE3"/>
    <w:rsid w:val="005459C7"/>
    <w:rsid w:val="00545B99"/>
    <w:rsid w:val="00546174"/>
    <w:rsid w:val="0054678B"/>
    <w:rsid w:val="00546B0E"/>
    <w:rsid w:val="0054776C"/>
    <w:rsid w:val="00547C29"/>
    <w:rsid w:val="005500D8"/>
    <w:rsid w:val="00552701"/>
    <w:rsid w:val="00553B7D"/>
    <w:rsid w:val="005546D2"/>
    <w:rsid w:val="00554844"/>
    <w:rsid w:val="0055530D"/>
    <w:rsid w:val="0055773E"/>
    <w:rsid w:val="00557C55"/>
    <w:rsid w:val="005627E7"/>
    <w:rsid w:val="00566529"/>
    <w:rsid w:val="0056794A"/>
    <w:rsid w:val="0057126D"/>
    <w:rsid w:val="005719CB"/>
    <w:rsid w:val="00572406"/>
    <w:rsid w:val="00572797"/>
    <w:rsid w:val="00572FB7"/>
    <w:rsid w:val="005733AB"/>
    <w:rsid w:val="005734A9"/>
    <w:rsid w:val="00573BB0"/>
    <w:rsid w:val="00575B76"/>
    <w:rsid w:val="0057691F"/>
    <w:rsid w:val="00576CF7"/>
    <w:rsid w:val="00580A7D"/>
    <w:rsid w:val="005812AE"/>
    <w:rsid w:val="00582B16"/>
    <w:rsid w:val="00583ACA"/>
    <w:rsid w:val="005842E1"/>
    <w:rsid w:val="00584A9C"/>
    <w:rsid w:val="00585EA6"/>
    <w:rsid w:val="005866F8"/>
    <w:rsid w:val="0058777A"/>
    <w:rsid w:val="00590AA4"/>
    <w:rsid w:val="005915D9"/>
    <w:rsid w:val="00592404"/>
    <w:rsid w:val="005935B5"/>
    <w:rsid w:val="00594BBF"/>
    <w:rsid w:val="00595EE1"/>
    <w:rsid w:val="005975FF"/>
    <w:rsid w:val="005977E7"/>
    <w:rsid w:val="00597B46"/>
    <w:rsid w:val="00597F4D"/>
    <w:rsid w:val="005A05AF"/>
    <w:rsid w:val="005A0995"/>
    <w:rsid w:val="005A23A6"/>
    <w:rsid w:val="005A2997"/>
    <w:rsid w:val="005A3BEA"/>
    <w:rsid w:val="005A412C"/>
    <w:rsid w:val="005A4DFD"/>
    <w:rsid w:val="005A5928"/>
    <w:rsid w:val="005A5D3F"/>
    <w:rsid w:val="005A65E7"/>
    <w:rsid w:val="005A676F"/>
    <w:rsid w:val="005A74C9"/>
    <w:rsid w:val="005B0172"/>
    <w:rsid w:val="005B0436"/>
    <w:rsid w:val="005B04B2"/>
    <w:rsid w:val="005B225E"/>
    <w:rsid w:val="005B2299"/>
    <w:rsid w:val="005B2641"/>
    <w:rsid w:val="005B2C9C"/>
    <w:rsid w:val="005B45D9"/>
    <w:rsid w:val="005B6253"/>
    <w:rsid w:val="005B75FE"/>
    <w:rsid w:val="005C0C63"/>
    <w:rsid w:val="005C746E"/>
    <w:rsid w:val="005D09CB"/>
    <w:rsid w:val="005D1268"/>
    <w:rsid w:val="005D4BFA"/>
    <w:rsid w:val="005D61C3"/>
    <w:rsid w:val="005D670D"/>
    <w:rsid w:val="005E13A7"/>
    <w:rsid w:val="005E1D20"/>
    <w:rsid w:val="005E1F07"/>
    <w:rsid w:val="005E29CB"/>
    <w:rsid w:val="005E2C5C"/>
    <w:rsid w:val="005E3C9A"/>
    <w:rsid w:val="005E445A"/>
    <w:rsid w:val="005E448B"/>
    <w:rsid w:val="005E4909"/>
    <w:rsid w:val="005E5D7E"/>
    <w:rsid w:val="005E6529"/>
    <w:rsid w:val="005E7668"/>
    <w:rsid w:val="005E7941"/>
    <w:rsid w:val="005E7A35"/>
    <w:rsid w:val="005E7F6A"/>
    <w:rsid w:val="005F0EEC"/>
    <w:rsid w:val="005F1230"/>
    <w:rsid w:val="005F20EF"/>
    <w:rsid w:val="005F269F"/>
    <w:rsid w:val="005F2A92"/>
    <w:rsid w:val="005F32B7"/>
    <w:rsid w:val="005F3587"/>
    <w:rsid w:val="005F35C6"/>
    <w:rsid w:val="005F37C7"/>
    <w:rsid w:val="005F3C7F"/>
    <w:rsid w:val="005F4CE7"/>
    <w:rsid w:val="005F5666"/>
    <w:rsid w:val="005F57E6"/>
    <w:rsid w:val="005F5967"/>
    <w:rsid w:val="005F59DF"/>
    <w:rsid w:val="005F5D36"/>
    <w:rsid w:val="005F6EA6"/>
    <w:rsid w:val="005F6F5C"/>
    <w:rsid w:val="005F7640"/>
    <w:rsid w:val="005F7859"/>
    <w:rsid w:val="00601543"/>
    <w:rsid w:val="00603665"/>
    <w:rsid w:val="0060461D"/>
    <w:rsid w:val="0060468D"/>
    <w:rsid w:val="006047F7"/>
    <w:rsid w:val="006048E7"/>
    <w:rsid w:val="00605AF6"/>
    <w:rsid w:val="00606FA4"/>
    <w:rsid w:val="00610411"/>
    <w:rsid w:val="00610A71"/>
    <w:rsid w:val="00610BA4"/>
    <w:rsid w:val="006112CE"/>
    <w:rsid w:val="00612FCA"/>
    <w:rsid w:val="0061346B"/>
    <w:rsid w:val="0061411A"/>
    <w:rsid w:val="00614D0B"/>
    <w:rsid w:val="00615F01"/>
    <w:rsid w:val="00616512"/>
    <w:rsid w:val="006173B3"/>
    <w:rsid w:val="00617813"/>
    <w:rsid w:val="00617E1D"/>
    <w:rsid w:val="00620DB4"/>
    <w:rsid w:val="00621399"/>
    <w:rsid w:val="0062153C"/>
    <w:rsid w:val="00621B71"/>
    <w:rsid w:val="006227C2"/>
    <w:rsid w:val="00623F19"/>
    <w:rsid w:val="0062426B"/>
    <w:rsid w:val="006245AA"/>
    <w:rsid w:val="00626FC6"/>
    <w:rsid w:val="00627865"/>
    <w:rsid w:val="00630279"/>
    <w:rsid w:val="00630C26"/>
    <w:rsid w:val="00633263"/>
    <w:rsid w:val="00633617"/>
    <w:rsid w:val="0063429A"/>
    <w:rsid w:val="0063435D"/>
    <w:rsid w:val="00634584"/>
    <w:rsid w:val="006345C6"/>
    <w:rsid w:val="00635930"/>
    <w:rsid w:val="0063619D"/>
    <w:rsid w:val="006362AD"/>
    <w:rsid w:val="00636755"/>
    <w:rsid w:val="0063685C"/>
    <w:rsid w:val="00636F8C"/>
    <w:rsid w:val="006378AE"/>
    <w:rsid w:val="00637BC4"/>
    <w:rsid w:val="0064024E"/>
    <w:rsid w:val="00641397"/>
    <w:rsid w:val="0064196A"/>
    <w:rsid w:val="00642BA9"/>
    <w:rsid w:val="00642DB3"/>
    <w:rsid w:val="0064326E"/>
    <w:rsid w:val="00643765"/>
    <w:rsid w:val="00643B1C"/>
    <w:rsid w:val="00643E49"/>
    <w:rsid w:val="0064466C"/>
    <w:rsid w:val="00644F2D"/>
    <w:rsid w:val="0064728E"/>
    <w:rsid w:val="00647C43"/>
    <w:rsid w:val="00647D29"/>
    <w:rsid w:val="00650CE3"/>
    <w:rsid w:val="00652B27"/>
    <w:rsid w:val="0065334F"/>
    <w:rsid w:val="00653659"/>
    <w:rsid w:val="00653ACF"/>
    <w:rsid w:val="00655958"/>
    <w:rsid w:val="00656ACB"/>
    <w:rsid w:val="00656D26"/>
    <w:rsid w:val="00657F54"/>
    <w:rsid w:val="00660AB0"/>
    <w:rsid w:val="00661DEF"/>
    <w:rsid w:val="00662B8B"/>
    <w:rsid w:val="00663415"/>
    <w:rsid w:val="006634CE"/>
    <w:rsid w:val="00663577"/>
    <w:rsid w:val="00663CA8"/>
    <w:rsid w:val="00665A32"/>
    <w:rsid w:val="00665AA6"/>
    <w:rsid w:val="0066637C"/>
    <w:rsid w:val="00666610"/>
    <w:rsid w:val="00666A8A"/>
    <w:rsid w:val="00666B83"/>
    <w:rsid w:val="00667238"/>
    <w:rsid w:val="00670CA7"/>
    <w:rsid w:val="00670F3C"/>
    <w:rsid w:val="00671FC9"/>
    <w:rsid w:val="006728AA"/>
    <w:rsid w:val="00674F29"/>
    <w:rsid w:val="00674FDE"/>
    <w:rsid w:val="006756C4"/>
    <w:rsid w:val="00676971"/>
    <w:rsid w:val="0067789D"/>
    <w:rsid w:val="00680198"/>
    <w:rsid w:val="0068081A"/>
    <w:rsid w:val="006811CE"/>
    <w:rsid w:val="00681A58"/>
    <w:rsid w:val="006822C0"/>
    <w:rsid w:val="006830A1"/>
    <w:rsid w:val="006839B7"/>
    <w:rsid w:val="00683EC6"/>
    <w:rsid w:val="0068461B"/>
    <w:rsid w:val="00685954"/>
    <w:rsid w:val="00686650"/>
    <w:rsid w:val="006879A9"/>
    <w:rsid w:val="00687C82"/>
    <w:rsid w:val="00687CD9"/>
    <w:rsid w:val="00690097"/>
    <w:rsid w:val="00690446"/>
    <w:rsid w:val="00690670"/>
    <w:rsid w:val="00691398"/>
    <w:rsid w:val="00691AF2"/>
    <w:rsid w:val="00691E43"/>
    <w:rsid w:val="006923D7"/>
    <w:rsid w:val="00693624"/>
    <w:rsid w:val="00693B9A"/>
    <w:rsid w:val="00694CD7"/>
    <w:rsid w:val="00694CE0"/>
    <w:rsid w:val="00694EF4"/>
    <w:rsid w:val="0069551F"/>
    <w:rsid w:val="00695700"/>
    <w:rsid w:val="00695C0D"/>
    <w:rsid w:val="00696A41"/>
    <w:rsid w:val="00696A4E"/>
    <w:rsid w:val="0069702C"/>
    <w:rsid w:val="006974B9"/>
    <w:rsid w:val="006A1DBE"/>
    <w:rsid w:val="006A20CC"/>
    <w:rsid w:val="006A48F3"/>
    <w:rsid w:val="006A5043"/>
    <w:rsid w:val="006A53FA"/>
    <w:rsid w:val="006A61E3"/>
    <w:rsid w:val="006A6233"/>
    <w:rsid w:val="006A7963"/>
    <w:rsid w:val="006A7F6E"/>
    <w:rsid w:val="006B09E2"/>
    <w:rsid w:val="006B13E9"/>
    <w:rsid w:val="006B19A3"/>
    <w:rsid w:val="006B1E37"/>
    <w:rsid w:val="006B52F9"/>
    <w:rsid w:val="006B5709"/>
    <w:rsid w:val="006B6686"/>
    <w:rsid w:val="006B6E6A"/>
    <w:rsid w:val="006C017B"/>
    <w:rsid w:val="006C0395"/>
    <w:rsid w:val="006C2298"/>
    <w:rsid w:val="006C2B54"/>
    <w:rsid w:val="006C4425"/>
    <w:rsid w:val="006C4BF7"/>
    <w:rsid w:val="006C616C"/>
    <w:rsid w:val="006C6C12"/>
    <w:rsid w:val="006C6D81"/>
    <w:rsid w:val="006D0295"/>
    <w:rsid w:val="006D1838"/>
    <w:rsid w:val="006D27EB"/>
    <w:rsid w:val="006D2932"/>
    <w:rsid w:val="006D3313"/>
    <w:rsid w:val="006D3892"/>
    <w:rsid w:val="006D3C19"/>
    <w:rsid w:val="006D63DF"/>
    <w:rsid w:val="006D6911"/>
    <w:rsid w:val="006D6CF0"/>
    <w:rsid w:val="006D744A"/>
    <w:rsid w:val="006D7819"/>
    <w:rsid w:val="006D7AC5"/>
    <w:rsid w:val="006E0373"/>
    <w:rsid w:val="006E096E"/>
    <w:rsid w:val="006E12E4"/>
    <w:rsid w:val="006E1AA5"/>
    <w:rsid w:val="006E271F"/>
    <w:rsid w:val="006E3518"/>
    <w:rsid w:val="006E45B9"/>
    <w:rsid w:val="006E5364"/>
    <w:rsid w:val="006E5F99"/>
    <w:rsid w:val="006E69DA"/>
    <w:rsid w:val="006E6E96"/>
    <w:rsid w:val="006F08A6"/>
    <w:rsid w:val="006F12B1"/>
    <w:rsid w:val="006F1A9D"/>
    <w:rsid w:val="006F2B11"/>
    <w:rsid w:val="006F38B3"/>
    <w:rsid w:val="006F4262"/>
    <w:rsid w:val="006F4927"/>
    <w:rsid w:val="006F60B1"/>
    <w:rsid w:val="006F73A1"/>
    <w:rsid w:val="006F78E4"/>
    <w:rsid w:val="006F7C0B"/>
    <w:rsid w:val="00700669"/>
    <w:rsid w:val="00700760"/>
    <w:rsid w:val="007024FB"/>
    <w:rsid w:val="00702587"/>
    <w:rsid w:val="00702E25"/>
    <w:rsid w:val="00702E70"/>
    <w:rsid w:val="007034F4"/>
    <w:rsid w:val="00703E2F"/>
    <w:rsid w:val="007043A9"/>
    <w:rsid w:val="00704CAD"/>
    <w:rsid w:val="007053F5"/>
    <w:rsid w:val="007061B9"/>
    <w:rsid w:val="00706793"/>
    <w:rsid w:val="00706D34"/>
    <w:rsid w:val="00707689"/>
    <w:rsid w:val="00707811"/>
    <w:rsid w:val="007078D0"/>
    <w:rsid w:val="00710BCB"/>
    <w:rsid w:val="00710FF6"/>
    <w:rsid w:val="007113FE"/>
    <w:rsid w:val="00711704"/>
    <w:rsid w:val="007122BD"/>
    <w:rsid w:val="00712510"/>
    <w:rsid w:val="007127A5"/>
    <w:rsid w:val="0071297C"/>
    <w:rsid w:val="00712E1C"/>
    <w:rsid w:val="0071393A"/>
    <w:rsid w:val="00714F43"/>
    <w:rsid w:val="00714FA5"/>
    <w:rsid w:val="00714FB0"/>
    <w:rsid w:val="00715536"/>
    <w:rsid w:val="00715C43"/>
    <w:rsid w:val="00716922"/>
    <w:rsid w:val="00716AAD"/>
    <w:rsid w:val="00721E97"/>
    <w:rsid w:val="00721F8D"/>
    <w:rsid w:val="007225F3"/>
    <w:rsid w:val="00722609"/>
    <w:rsid w:val="007227E1"/>
    <w:rsid w:val="00722B4E"/>
    <w:rsid w:val="00722B60"/>
    <w:rsid w:val="00723E94"/>
    <w:rsid w:val="00724CF6"/>
    <w:rsid w:val="00725072"/>
    <w:rsid w:val="00725B2D"/>
    <w:rsid w:val="00725B3D"/>
    <w:rsid w:val="007279D2"/>
    <w:rsid w:val="00730228"/>
    <w:rsid w:val="00730406"/>
    <w:rsid w:val="00730BC8"/>
    <w:rsid w:val="00731091"/>
    <w:rsid w:val="00731932"/>
    <w:rsid w:val="0073216B"/>
    <w:rsid w:val="00732295"/>
    <w:rsid w:val="00732784"/>
    <w:rsid w:val="00732CD6"/>
    <w:rsid w:val="00732D08"/>
    <w:rsid w:val="007334EA"/>
    <w:rsid w:val="007336E9"/>
    <w:rsid w:val="0073468C"/>
    <w:rsid w:val="007347C2"/>
    <w:rsid w:val="00734929"/>
    <w:rsid w:val="00734B1B"/>
    <w:rsid w:val="007360AD"/>
    <w:rsid w:val="00736381"/>
    <w:rsid w:val="00737B10"/>
    <w:rsid w:val="0074058A"/>
    <w:rsid w:val="00740D23"/>
    <w:rsid w:val="0074114D"/>
    <w:rsid w:val="00741FAA"/>
    <w:rsid w:val="00741FAB"/>
    <w:rsid w:val="0074282D"/>
    <w:rsid w:val="0074344B"/>
    <w:rsid w:val="0074390E"/>
    <w:rsid w:val="00743F80"/>
    <w:rsid w:val="007457D9"/>
    <w:rsid w:val="00745DDB"/>
    <w:rsid w:val="00746648"/>
    <w:rsid w:val="0074672A"/>
    <w:rsid w:val="00746A1E"/>
    <w:rsid w:val="0074748D"/>
    <w:rsid w:val="00750CD5"/>
    <w:rsid w:val="007511AC"/>
    <w:rsid w:val="00752012"/>
    <w:rsid w:val="0075293C"/>
    <w:rsid w:val="00753300"/>
    <w:rsid w:val="00753385"/>
    <w:rsid w:val="00753CFB"/>
    <w:rsid w:val="00754691"/>
    <w:rsid w:val="00755182"/>
    <w:rsid w:val="007554B1"/>
    <w:rsid w:val="007555FA"/>
    <w:rsid w:val="007563D4"/>
    <w:rsid w:val="007571DC"/>
    <w:rsid w:val="0076118C"/>
    <w:rsid w:val="00761325"/>
    <w:rsid w:val="0076190F"/>
    <w:rsid w:val="00761BD9"/>
    <w:rsid w:val="00761CE2"/>
    <w:rsid w:val="0076200D"/>
    <w:rsid w:val="007628B8"/>
    <w:rsid w:val="00762EBD"/>
    <w:rsid w:val="007653AD"/>
    <w:rsid w:val="0076619B"/>
    <w:rsid w:val="00767BE2"/>
    <w:rsid w:val="0077042C"/>
    <w:rsid w:val="00770643"/>
    <w:rsid w:val="007714A1"/>
    <w:rsid w:val="00771E73"/>
    <w:rsid w:val="00773DFB"/>
    <w:rsid w:val="00773E3F"/>
    <w:rsid w:val="007749E6"/>
    <w:rsid w:val="00774E31"/>
    <w:rsid w:val="007753F0"/>
    <w:rsid w:val="00775445"/>
    <w:rsid w:val="00775D21"/>
    <w:rsid w:val="0077609C"/>
    <w:rsid w:val="00776386"/>
    <w:rsid w:val="00776662"/>
    <w:rsid w:val="00776A92"/>
    <w:rsid w:val="00776BEB"/>
    <w:rsid w:val="00780D73"/>
    <w:rsid w:val="00781F0A"/>
    <w:rsid w:val="00782762"/>
    <w:rsid w:val="0078291F"/>
    <w:rsid w:val="00782BB2"/>
    <w:rsid w:val="00783107"/>
    <w:rsid w:val="007834DE"/>
    <w:rsid w:val="007838BB"/>
    <w:rsid w:val="00783A59"/>
    <w:rsid w:val="007861A2"/>
    <w:rsid w:val="007877B1"/>
    <w:rsid w:val="00791DD3"/>
    <w:rsid w:val="00791F2B"/>
    <w:rsid w:val="00793452"/>
    <w:rsid w:val="007934AC"/>
    <w:rsid w:val="0079374C"/>
    <w:rsid w:val="00793944"/>
    <w:rsid w:val="00793C1B"/>
    <w:rsid w:val="007944D6"/>
    <w:rsid w:val="0079504A"/>
    <w:rsid w:val="007953F6"/>
    <w:rsid w:val="00796165"/>
    <w:rsid w:val="00796388"/>
    <w:rsid w:val="00796C85"/>
    <w:rsid w:val="00797493"/>
    <w:rsid w:val="007A053D"/>
    <w:rsid w:val="007A0F1D"/>
    <w:rsid w:val="007A184B"/>
    <w:rsid w:val="007A316D"/>
    <w:rsid w:val="007A3BAE"/>
    <w:rsid w:val="007A4AE7"/>
    <w:rsid w:val="007A680F"/>
    <w:rsid w:val="007A749B"/>
    <w:rsid w:val="007A7642"/>
    <w:rsid w:val="007A7B76"/>
    <w:rsid w:val="007B00F8"/>
    <w:rsid w:val="007B0136"/>
    <w:rsid w:val="007B03CB"/>
    <w:rsid w:val="007B04F0"/>
    <w:rsid w:val="007B0CC3"/>
    <w:rsid w:val="007B0D30"/>
    <w:rsid w:val="007B33AA"/>
    <w:rsid w:val="007B584E"/>
    <w:rsid w:val="007B6818"/>
    <w:rsid w:val="007B6B5C"/>
    <w:rsid w:val="007B76E6"/>
    <w:rsid w:val="007C012F"/>
    <w:rsid w:val="007C0C1D"/>
    <w:rsid w:val="007C10BD"/>
    <w:rsid w:val="007C12A3"/>
    <w:rsid w:val="007C1AE3"/>
    <w:rsid w:val="007C1E7F"/>
    <w:rsid w:val="007C2362"/>
    <w:rsid w:val="007C2504"/>
    <w:rsid w:val="007C3206"/>
    <w:rsid w:val="007C36FB"/>
    <w:rsid w:val="007C3B6F"/>
    <w:rsid w:val="007C4E9C"/>
    <w:rsid w:val="007C6A60"/>
    <w:rsid w:val="007C6B0A"/>
    <w:rsid w:val="007C6B3F"/>
    <w:rsid w:val="007D090E"/>
    <w:rsid w:val="007D37DC"/>
    <w:rsid w:val="007D47D8"/>
    <w:rsid w:val="007D7386"/>
    <w:rsid w:val="007D7CE4"/>
    <w:rsid w:val="007E0CA0"/>
    <w:rsid w:val="007E1DDD"/>
    <w:rsid w:val="007E1FCE"/>
    <w:rsid w:val="007E224C"/>
    <w:rsid w:val="007E28B1"/>
    <w:rsid w:val="007E3044"/>
    <w:rsid w:val="007E3626"/>
    <w:rsid w:val="007E39DB"/>
    <w:rsid w:val="007E5472"/>
    <w:rsid w:val="007E5543"/>
    <w:rsid w:val="007E6937"/>
    <w:rsid w:val="007E6F81"/>
    <w:rsid w:val="007E7EFC"/>
    <w:rsid w:val="007F18D8"/>
    <w:rsid w:val="007F1DEF"/>
    <w:rsid w:val="007F25D4"/>
    <w:rsid w:val="007F25F2"/>
    <w:rsid w:val="007F3124"/>
    <w:rsid w:val="007F41A5"/>
    <w:rsid w:val="007F5E26"/>
    <w:rsid w:val="007F61F1"/>
    <w:rsid w:val="007F626F"/>
    <w:rsid w:val="007F6361"/>
    <w:rsid w:val="007F6F3C"/>
    <w:rsid w:val="007F719C"/>
    <w:rsid w:val="007F73C0"/>
    <w:rsid w:val="007F7D9F"/>
    <w:rsid w:val="007F7DE3"/>
    <w:rsid w:val="0080052D"/>
    <w:rsid w:val="008009B0"/>
    <w:rsid w:val="00800B47"/>
    <w:rsid w:val="00800D6C"/>
    <w:rsid w:val="008013D7"/>
    <w:rsid w:val="00801679"/>
    <w:rsid w:val="00801A36"/>
    <w:rsid w:val="00801C1B"/>
    <w:rsid w:val="00804C48"/>
    <w:rsid w:val="008056A0"/>
    <w:rsid w:val="00805AF5"/>
    <w:rsid w:val="00806F2B"/>
    <w:rsid w:val="00807816"/>
    <w:rsid w:val="00807A08"/>
    <w:rsid w:val="008103F9"/>
    <w:rsid w:val="00810518"/>
    <w:rsid w:val="0081073D"/>
    <w:rsid w:val="008113C9"/>
    <w:rsid w:val="00812724"/>
    <w:rsid w:val="008128E3"/>
    <w:rsid w:val="00813981"/>
    <w:rsid w:val="00813E47"/>
    <w:rsid w:val="008152B3"/>
    <w:rsid w:val="00815F4F"/>
    <w:rsid w:val="00816342"/>
    <w:rsid w:val="008166BD"/>
    <w:rsid w:val="00817576"/>
    <w:rsid w:val="00817942"/>
    <w:rsid w:val="008228B1"/>
    <w:rsid w:val="00822E54"/>
    <w:rsid w:val="00823021"/>
    <w:rsid w:val="00824E72"/>
    <w:rsid w:val="0082511D"/>
    <w:rsid w:val="00825F6D"/>
    <w:rsid w:val="0082607D"/>
    <w:rsid w:val="00826B61"/>
    <w:rsid w:val="00826F44"/>
    <w:rsid w:val="00827F5C"/>
    <w:rsid w:val="008317F7"/>
    <w:rsid w:val="00831B63"/>
    <w:rsid w:val="00832020"/>
    <w:rsid w:val="00832721"/>
    <w:rsid w:val="00833155"/>
    <w:rsid w:val="008332C2"/>
    <w:rsid w:val="008350A5"/>
    <w:rsid w:val="0083536B"/>
    <w:rsid w:val="00835DBD"/>
    <w:rsid w:val="00836F10"/>
    <w:rsid w:val="008370A7"/>
    <w:rsid w:val="008373A1"/>
    <w:rsid w:val="0083769B"/>
    <w:rsid w:val="0083770D"/>
    <w:rsid w:val="00837AD9"/>
    <w:rsid w:val="00840129"/>
    <w:rsid w:val="008402AA"/>
    <w:rsid w:val="00840DA6"/>
    <w:rsid w:val="00841379"/>
    <w:rsid w:val="0084263E"/>
    <w:rsid w:val="0084300E"/>
    <w:rsid w:val="0084306D"/>
    <w:rsid w:val="008441CC"/>
    <w:rsid w:val="00844502"/>
    <w:rsid w:val="008451AE"/>
    <w:rsid w:val="008451C2"/>
    <w:rsid w:val="00845906"/>
    <w:rsid w:val="00846287"/>
    <w:rsid w:val="00847AB4"/>
    <w:rsid w:val="00847D77"/>
    <w:rsid w:val="00851B58"/>
    <w:rsid w:val="00851FFF"/>
    <w:rsid w:val="00853059"/>
    <w:rsid w:val="00854188"/>
    <w:rsid w:val="00857DEE"/>
    <w:rsid w:val="00861677"/>
    <w:rsid w:val="00861C12"/>
    <w:rsid w:val="00861F04"/>
    <w:rsid w:val="00862A01"/>
    <w:rsid w:val="00863EC9"/>
    <w:rsid w:val="00864B05"/>
    <w:rsid w:val="00864B57"/>
    <w:rsid w:val="00864C49"/>
    <w:rsid w:val="00864CB5"/>
    <w:rsid w:val="00864DEE"/>
    <w:rsid w:val="00864EDE"/>
    <w:rsid w:val="00865C58"/>
    <w:rsid w:val="00866136"/>
    <w:rsid w:val="00870D9C"/>
    <w:rsid w:val="00871E93"/>
    <w:rsid w:val="008729BF"/>
    <w:rsid w:val="00872C90"/>
    <w:rsid w:val="00873265"/>
    <w:rsid w:val="0087412F"/>
    <w:rsid w:val="0087463A"/>
    <w:rsid w:val="00874A0C"/>
    <w:rsid w:val="00875828"/>
    <w:rsid w:val="008764D0"/>
    <w:rsid w:val="008770E7"/>
    <w:rsid w:val="00877DEB"/>
    <w:rsid w:val="0088056D"/>
    <w:rsid w:val="00880B4D"/>
    <w:rsid w:val="008810EF"/>
    <w:rsid w:val="00881439"/>
    <w:rsid w:val="008820CB"/>
    <w:rsid w:val="00882FF4"/>
    <w:rsid w:val="00883689"/>
    <w:rsid w:val="008839D7"/>
    <w:rsid w:val="00883BB9"/>
    <w:rsid w:val="00883D0E"/>
    <w:rsid w:val="00884965"/>
    <w:rsid w:val="008860DD"/>
    <w:rsid w:val="00886182"/>
    <w:rsid w:val="008865EC"/>
    <w:rsid w:val="00886A96"/>
    <w:rsid w:val="008879AA"/>
    <w:rsid w:val="00887C5F"/>
    <w:rsid w:val="00890409"/>
    <w:rsid w:val="00891047"/>
    <w:rsid w:val="00891F0A"/>
    <w:rsid w:val="00892027"/>
    <w:rsid w:val="00892331"/>
    <w:rsid w:val="00892E15"/>
    <w:rsid w:val="0089331A"/>
    <w:rsid w:val="0089338E"/>
    <w:rsid w:val="00893706"/>
    <w:rsid w:val="00893C55"/>
    <w:rsid w:val="008940B5"/>
    <w:rsid w:val="008950A6"/>
    <w:rsid w:val="00895292"/>
    <w:rsid w:val="00895CB6"/>
    <w:rsid w:val="00895DE7"/>
    <w:rsid w:val="0089640A"/>
    <w:rsid w:val="00896C33"/>
    <w:rsid w:val="008970E8"/>
    <w:rsid w:val="00897ECD"/>
    <w:rsid w:val="008A11C6"/>
    <w:rsid w:val="008A18CE"/>
    <w:rsid w:val="008A2B21"/>
    <w:rsid w:val="008A301B"/>
    <w:rsid w:val="008A3151"/>
    <w:rsid w:val="008A4145"/>
    <w:rsid w:val="008A45E8"/>
    <w:rsid w:val="008A4CF5"/>
    <w:rsid w:val="008A6708"/>
    <w:rsid w:val="008B09B7"/>
    <w:rsid w:val="008B0AAC"/>
    <w:rsid w:val="008B0E00"/>
    <w:rsid w:val="008B36CE"/>
    <w:rsid w:val="008B3A91"/>
    <w:rsid w:val="008B569F"/>
    <w:rsid w:val="008B5D43"/>
    <w:rsid w:val="008B615F"/>
    <w:rsid w:val="008B671D"/>
    <w:rsid w:val="008B70DC"/>
    <w:rsid w:val="008C0CD9"/>
    <w:rsid w:val="008C1982"/>
    <w:rsid w:val="008C1A84"/>
    <w:rsid w:val="008C2117"/>
    <w:rsid w:val="008C305A"/>
    <w:rsid w:val="008C33B9"/>
    <w:rsid w:val="008C3E5B"/>
    <w:rsid w:val="008C3F49"/>
    <w:rsid w:val="008C44B7"/>
    <w:rsid w:val="008C5654"/>
    <w:rsid w:val="008C69C0"/>
    <w:rsid w:val="008D0E09"/>
    <w:rsid w:val="008D186A"/>
    <w:rsid w:val="008D20C5"/>
    <w:rsid w:val="008D2DD4"/>
    <w:rsid w:val="008D38AC"/>
    <w:rsid w:val="008D3D6C"/>
    <w:rsid w:val="008D46F6"/>
    <w:rsid w:val="008D49E7"/>
    <w:rsid w:val="008D500D"/>
    <w:rsid w:val="008D5B0A"/>
    <w:rsid w:val="008D7C57"/>
    <w:rsid w:val="008E0FBF"/>
    <w:rsid w:val="008E115D"/>
    <w:rsid w:val="008E1508"/>
    <w:rsid w:val="008E189A"/>
    <w:rsid w:val="008E25BE"/>
    <w:rsid w:val="008E2AC1"/>
    <w:rsid w:val="008E4782"/>
    <w:rsid w:val="008E47D4"/>
    <w:rsid w:val="008E511D"/>
    <w:rsid w:val="008E5765"/>
    <w:rsid w:val="008E6858"/>
    <w:rsid w:val="008E6D72"/>
    <w:rsid w:val="008E6F33"/>
    <w:rsid w:val="008E70C9"/>
    <w:rsid w:val="008E72C9"/>
    <w:rsid w:val="008F0095"/>
    <w:rsid w:val="008F03FE"/>
    <w:rsid w:val="008F0B2B"/>
    <w:rsid w:val="008F0D80"/>
    <w:rsid w:val="008F1017"/>
    <w:rsid w:val="008F15DF"/>
    <w:rsid w:val="008F1659"/>
    <w:rsid w:val="008F1CAD"/>
    <w:rsid w:val="008F20AE"/>
    <w:rsid w:val="008F22C7"/>
    <w:rsid w:val="008F276E"/>
    <w:rsid w:val="008F309D"/>
    <w:rsid w:val="008F63F2"/>
    <w:rsid w:val="008F669E"/>
    <w:rsid w:val="008F67DF"/>
    <w:rsid w:val="008F7790"/>
    <w:rsid w:val="0090023F"/>
    <w:rsid w:val="0090036C"/>
    <w:rsid w:val="009019BF"/>
    <w:rsid w:val="00901AAA"/>
    <w:rsid w:val="00901D5A"/>
    <w:rsid w:val="00902565"/>
    <w:rsid w:val="0090287B"/>
    <w:rsid w:val="00902DC0"/>
    <w:rsid w:val="00903038"/>
    <w:rsid w:val="0090334E"/>
    <w:rsid w:val="0090365C"/>
    <w:rsid w:val="009053D1"/>
    <w:rsid w:val="00905ED5"/>
    <w:rsid w:val="00906DF0"/>
    <w:rsid w:val="00907776"/>
    <w:rsid w:val="00907D73"/>
    <w:rsid w:val="0091103A"/>
    <w:rsid w:val="00911F1D"/>
    <w:rsid w:val="009131C5"/>
    <w:rsid w:val="00914046"/>
    <w:rsid w:val="009140E6"/>
    <w:rsid w:val="009149F1"/>
    <w:rsid w:val="00914CEB"/>
    <w:rsid w:val="00915B89"/>
    <w:rsid w:val="00915D39"/>
    <w:rsid w:val="009164CE"/>
    <w:rsid w:val="009167DD"/>
    <w:rsid w:val="009171BA"/>
    <w:rsid w:val="009174EF"/>
    <w:rsid w:val="00917CC6"/>
    <w:rsid w:val="009218C4"/>
    <w:rsid w:val="0092206B"/>
    <w:rsid w:val="0092226A"/>
    <w:rsid w:val="009235E4"/>
    <w:rsid w:val="0092461D"/>
    <w:rsid w:val="00926377"/>
    <w:rsid w:val="009275A3"/>
    <w:rsid w:val="00927A7C"/>
    <w:rsid w:val="00930BEE"/>
    <w:rsid w:val="009317B1"/>
    <w:rsid w:val="0093206D"/>
    <w:rsid w:val="009348C1"/>
    <w:rsid w:val="009349E6"/>
    <w:rsid w:val="00935967"/>
    <w:rsid w:val="009369C8"/>
    <w:rsid w:val="009370B5"/>
    <w:rsid w:val="0093735D"/>
    <w:rsid w:val="00940224"/>
    <w:rsid w:val="00940C24"/>
    <w:rsid w:val="00941962"/>
    <w:rsid w:val="00941F90"/>
    <w:rsid w:val="00942C69"/>
    <w:rsid w:val="00943504"/>
    <w:rsid w:val="00944694"/>
    <w:rsid w:val="00944F45"/>
    <w:rsid w:val="00945AC1"/>
    <w:rsid w:val="009467C3"/>
    <w:rsid w:val="00946F0E"/>
    <w:rsid w:val="00947C76"/>
    <w:rsid w:val="00947DCC"/>
    <w:rsid w:val="0095020B"/>
    <w:rsid w:val="009509BD"/>
    <w:rsid w:val="00951353"/>
    <w:rsid w:val="009523CD"/>
    <w:rsid w:val="0095273C"/>
    <w:rsid w:val="009532A5"/>
    <w:rsid w:val="00953AEE"/>
    <w:rsid w:val="00955B71"/>
    <w:rsid w:val="00956635"/>
    <w:rsid w:val="00956E24"/>
    <w:rsid w:val="009574C3"/>
    <w:rsid w:val="00960148"/>
    <w:rsid w:val="00961B51"/>
    <w:rsid w:val="00962CCE"/>
    <w:rsid w:val="00962E39"/>
    <w:rsid w:val="00962E4C"/>
    <w:rsid w:val="009636DE"/>
    <w:rsid w:val="00964D5E"/>
    <w:rsid w:val="00965B79"/>
    <w:rsid w:val="009663EB"/>
    <w:rsid w:val="00966B66"/>
    <w:rsid w:val="00966BF8"/>
    <w:rsid w:val="00967220"/>
    <w:rsid w:val="00967755"/>
    <w:rsid w:val="00967758"/>
    <w:rsid w:val="009704A0"/>
    <w:rsid w:val="0097087B"/>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76E3C"/>
    <w:rsid w:val="00977DDA"/>
    <w:rsid w:val="00980582"/>
    <w:rsid w:val="009817B8"/>
    <w:rsid w:val="00981CF6"/>
    <w:rsid w:val="00984329"/>
    <w:rsid w:val="009844D0"/>
    <w:rsid w:val="00984D18"/>
    <w:rsid w:val="00984DAB"/>
    <w:rsid w:val="00984F09"/>
    <w:rsid w:val="00985BBC"/>
    <w:rsid w:val="0098660E"/>
    <w:rsid w:val="009913FC"/>
    <w:rsid w:val="009924C0"/>
    <w:rsid w:val="009928B9"/>
    <w:rsid w:val="0099349F"/>
    <w:rsid w:val="009935CB"/>
    <w:rsid w:val="00994521"/>
    <w:rsid w:val="009956AE"/>
    <w:rsid w:val="00995934"/>
    <w:rsid w:val="00995B9A"/>
    <w:rsid w:val="00995DFA"/>
    <w:rsid w:val="00996FB8"/>
    <w:rsid w:val="009A0F8C"/>
    <w:rsid w:val="009A15AD"/>
    <w:rsid w:val="009A1FC0"/>
    <w:rsid w:val="009A33FB"/>
    <w:rsid w:val="009A3CE7"/>
    <w:rsid w:val="009A3DD6"/>
    <w:rsid w:val="009A6C14"/>
    <w:rsid w:val="009B11F9"/>
    <w:rsid w:val="009B1625"/>
    <w:rsid w:val="009B2907"/>
    <w:rsid w:val="009B2ED0"/>
    <w:rsid w:val="009B3907"/>
    <w:rsid w:val="009B4516"/>
    <w:rsid w:val="009B4FF4"/>
    <w:rsid w:val="009B5103"/>
    <w:rsid w:val="009B555C"/>
    <w:rsid w:val="009B6722"/>
    <w:rsid w:val="009B6736"/>
    <w:rsid w:val="009B6A37"/>
    <w:rsid w:val="009B7F0E"/>
    <w:rsid w:val="009C02EF"/>
    <w:rsid w:val="009C0909"/>
    <w:rsid w:val="009C0A85"/>
    <w:rsid w:val="009C1E5D"/>
    <w:rsid w:val="009C2323"/>
    <w:rsid w:val="009C33DC"/>
    <w:rsid w:val="009C3813"/>
    <w:rsid w:val="009C3918"/>
    <w:rsid w:val="009C3EB3"/>
    <w:rsid w:val="009C4C09"/>
    <w:rsid w:val="009C5E51"/>
    <w:rsid w:val="009C5EBE"/>
    <w:rsid w:val="009C71D0"/>
    <w:rsid w:val="009D04CC"/>
    <w:rsid w:val="009D1C4F"/>
    <w:rsid w:val="009D2761"/>
    <w:rsid w:val="009D2A3D"/>
    <w:rsid w:val="009D2E3D"/>
    <w:rsid w:val="009D3198"/>
    <w:rsid w:val="009D4E0D"/>
    <w:rsid w:val="009D65F0"/>
    <w:rsid w:val="009E0491"/>
    <w:rsid w:val="009E0978"/>
    <w:rsid w:val="009E0AAF"/>
    <w:rsid w:val="009E1332"/>
    <w:rsid w:val="009E1532"/>
    <w:rsid w:val="009E1750"/>
    <w:rsid w:val="009E1C8E"/>
    <w:rsid w:val="009E2AFE"/>
    <w:rsid w:val="009E3C96"/>
    <w:rsid w:val="009E3F59"/>
    <w:rsid w:val="009E5F22"/>
    <w:rsid w:val="009E73A5"/>
    <w:rsid w:val="009F0A00"/>
    <w:rsid w:val="009F0B69"/>
    <w:rsid w:val="009F1731"/>
    <w:rsid w:val="009F19B9"/>
    <w:rsid w:val="009F21F1"/>
    <w:rsid w:val="009F2592"/>
    <w:rsid w:val="009F3056"/>
    <w:rsid w:val="009F32C3"/>
    <w:rsid w:val="009F3C40"/>
    <w:rsid w:val="009F4C44"/>
    <w:rsid w:val="009F5432"/>
    <w:rsid w:val="009F5AF9"/>
    <w:rsid w:val="009F6416"/>
    <w:rsid w:val="00A00653"/>
    <w:rsid w:val="00A00FAB"/>
    <w:rsid w:val="00A01493"/>
    <w:rsid w:val="00A017B6"/>
    <w:rsid w:val="00A01BE1"/>
    <w:rsid w:val="00A021C1"/>
    <w:rsid w:val="00A02AC9"/>
    <w:rsid w:val="00A04A5A"/>
    <w:rsid w:val="00A061FC"/>
    <w:rsid w:val="00A06674"/>
    <w:rsid w:val="00A0669C"/>
    <w:rsid w:val="00A103EC"/>
    <w:rsid w:val="00A1466F"/>
    <w:rsid w:val="00A15C55"/>
    <w:rsid w:val="00A15DA5"/>
    <w:rsid w:val="00A1658B"/>
    <w:rsid w:val="00A16867"/>
    <w:rsid w:val="00A17934"/>
    <w:rsid w:val="00A17ADC"/>
    <w:rsid w:val="00A17D46"/>
    <w:rsid w:val="00A2070B"/>
    <w:rsid w:val="00A20F23"/>
    <w:rsid w:val="00A21B94"/>
    <w:rsid w:val="00A22573"/>
    <w:rsid w:val="00A22D87"/>
    <w:rsid w:val="00A23745"/>
    <w:rsid w:val="00A241E8"/>
    <w:rsid w:val="00A249EC"/>
    <w:rsid w:val="00A24E84"/>
    <w:rsid w:val="00A25570"/>
    <w:rsid w:val="00A279AE"/>
    <w:rsid w:val="00A304DD"/>
    <w:rsid w:val="00A30687"/>
    <w:rsid w:val="00A32CDF"/>
    <w:rsid w:val="00A33473"/>
    <w:rsid w:val="00A33E5A"/>
    <w:rsid w:val="00A3432D"/>
    <w:rsid w:val="00A346A6"/>
    <w:rsid w:val="00A34753"/>
    <w:rsid w:val="00A34C05"/>
    <w:rsid w:val="00A34D81"/>
    <w:rsid w:val="00A35298"/>
    <w:rsid w:val="00A3592E"/>
    <w:rsid w:val="00A361DF"/>
    <w:rsid w:val="00A3685D"/>
    <w:rsid w:val="00A3699C"/>
    <w:rsid w:val="00A37296"/>
    <w:rsid w:val="00A37B55"/>
    <w:rsid w:val="00A37BD9"/>
    <w:rsid w:val="00A37D6F"/>
    <w:rsid w:val="00A40828"/>
    <w:rsid w:val="00A41137"/>
    <w:rsid w:val="00A411BA"/>
    <w:rsid w:val="00A43660"/>
    <w:rsid w:val="00A44433"/>
    <w:rsid w:val="00A44B4E"/>
    <w:rsid w:val="00A453C0"/>
    <w:rsid w:val="00A46705"/>
    <w:rsid w:val="00A46ADE"/>
    <w:rsid w:val="00A4720C"/>
    <w:rsid w:val="00A478DA"/>
    <w:rsid w:val="00A47C08"/>
    <w:rsid w:val="00A51DDC"/>
    <w:rsid w:val="00A51EC1"/>
    <w:rsid w:val="00A51F7C"/>
    <w:rsid w:val="00A52E3A"/>
    <w:rsid w:val="00A54605"/>
    <w:rsid w:val="00A549A0"/>
    <w:rsid w:val="00A554C7"/>
    <w:rsid w:val="00A55636"/>
    <w:rsid w:val="00A55A3C"/>
    <w:rsid w:val="00A55D83"/>
    <w:rsid w:val="00A56AF9"/>
    <w:rsid w:val="00A57821"/>
    <w:rsid w:val="00A57D84"/>
    <w:rsid w:val="00A57E0D"/>
    <w:rsid w:val="00A601B1"/>
    <w:rsid w:val="00A60BD9"/>
    <w:rsid w:val="00A62329"/>
    <w:rsid w:val="00A64270"/>
    <w:rsid w:val="00A649E4"/>
    <w:rsid w:val="00A66349"/>
    <w:rsid w:val="00A664D7"/>
    <w:rsid w:val="00A6741E"/>
    <w:rsid w:val="00A6777A"/>
    <w:rsid w:val="00A7001D"/>
    <w:rsid w:val="00A71A58"/>
    <w:rsid w:val="00A71C69"/>
    <w:rsid w:val="00A71EFF"/>
    <w:rsid w:val="00A72FE1"/>
    <w:rsid w:val="00A7442F"/>
    <w:rsid w:val="00A7591B"/>
    <w:rsid w:val="00A768EE"/>
    <w:rsid w:val="00A769F3"/>
    <w:rsid w:val="00A76BB9"/>
    <w:rsid w:val="00A76E9C"/>
    <w:rsid w:val="00A7769E"/>
    <w:rsid w:val="00A7786E"/>
    <w:rsid w:val="00A81306"/>
    <w:rsid w:val="00A816D2"/>
    <w:rsid w:val="00A81FC1"/>
    <w:rsid w:val="00A8330F"/>
    <w:rsid w:val="00A84D95"/>
    <w:rsid w:val="00A84EE5"/>
    <w:rsid w:val="00A858CD"/>
    <w:rsid w:val="00A85E6D"/>
    <w:rsid w:val="00A87CFB"/>
    <w:rsid w:val="00A90037"/>
    <w:rsid w:val="00A90716"/>
    <w:rsid w:val="00A910EC"/>
    <w:rsid w:val="00A91403"/>
    <w:rsid w:val="00A91FF9"/>
    <w:rsid w:val="00A92B7E"/>
    <w:rsid w:val="00A93198"/>
    <w:rsid w:val="00A94213"/>
    <w:rsid w:val="00A943B6"/>
    <w:rsid w:val="00A95029"/>
    <w:rsid w:val="00A95D14"/>
    <w:rsid w:val="00AA03B3"/>
    <w:rsid w:val="00AA19B7"/>
    <w:rsid w:val="00AA3C80"/>
    <w:rsid w:val="00AA4308"/>
    <w:rsid w:val="00AA4DCE"/>
    <w:rsid w:val="00AA5C51"/>
    <w:rsid w:val="00AA61A5"/>
    <w:rsid w:val="00AA69CE"/>
    <w:rsid w:val="00AA75D2"/>
    <w:rsid w:val="00AA7C47"/>
    <w:rsid w:val="00AB13F5"/>
    <w:rsid w:val="00AB140D"/>
    <w:rsid w:val="00AB1A7B"/>
    <w:rsid w:val="00AB258B"/>
    <w:rsid w:val="00AB2C07"/>
    <w:rsid w:val="00AB3FC8"/>
    <w:rsid w:val="00AB4173"/>
    <w:rsid w:val="00AB44FD"/>
    <w:rsid w:val="00AB5EF7"/>
    <w:rsid w:val="00AB6B95"/>
    <w:rsid w:val="00AB6C16"/>
    <w:rsid w:val="00AC0590"/>
    <w:rsid w:val="00AC137D"/>
    <w:rsid w:val="00AC2118"/>
    <w:rsid w:val="00AC2E78"/>
    <w:rsid w:val="00AC2FFD"/>
    <w:rsid w:val="00AC3043"/>
    <w:rsid w:val="00AC5097"/>
    <w:rsid w:val="00AC57EC"/>
    <w:rsid w:val="00AC5D26"/>
    <w:rsid w:val="00AC614B"/>
    <w:rsid w:val="00AC631A"/>
    <w:rsid w:val="00AC6A89"/>
    <w:rsid w:val="00AC72AF"/>
    <w:rsid w:val="00AC7DBA"/>
    <w:rsid w:val="00AD01ED"/>
    <w:rsid w:val="00AD11DD"/>
    <w:rsid w:val="00AD1846"/>
    <w:rsid w:val="00AD227A"/>
    <w:rsid w:val="00AD2F64"/>
    <w:rsid w:val="00AD3A23"/>
    <w:rsid w:val="00AD3B5E"/>
    <w:rsid w:val="00AD3DBA"/>
    <w:rsid w:val="00AD4211"/>
    <w:rsid w:val="00AD49CD"/>
    <w:rsid w:val="00AD5370"/>
    <w:rsid w:val="00AD5881"/>
    <w:rsid w:val="00AD5A91"/>
    <w:rsid w:val="00AD5E1C"/>
    <w:rsid w:val="00AD7492"/>
    <w:rsid w:val="00AE0A85"/>
    <w:rsid w:val="00AE1074"/>
    <w:rsid w:val="00AE17BE"/>
    <w:rsid w:val="00AE184C"/>
    <w:rsid w:val="00AE1C63"/>
    <w:rsid w:val="00AE339E"/>
    <w:rsid w:val="00AE4A07"/>
    <w:rsid w:val="00AE66D5"/>
    <w:rsid w:val="00AE67B8"/>
    <w:rsid w:val="00AE687F"/>
    <w:rsid w:val="00AE6B21"/>
    <w:rsid w:val="00AE746E"/>
    <w:rsid w:val="00AE7AE7"/>
    <w:rsid w:val="00AE7B9C"/>
    <w:rsid w:val="00AE7DD8"/>
    <w:rsid w:val="00AF0359"/>
    <w:rsid w:val="00AF0C9C"/>
    <w:rsid w:val="00AF15F3"/>
    <w:rsid w:val="00AF2341"/>
    <w:rsid w:val="00AF345D"/>
    <w:rsid w:val="00AF3E2E"/>
    <w:rsid w:val="00AF4642"/>
    <w:rsid w:val="00AF6B61"/>
    <w:rsid w:val="00AF75A2"/>
    <w:rsid w:val="00AF7DFE"/>
    <w:rsid w:val="00AF7EA3"/>
    <w:rsid w:val="00B016EE"/>
    <w:rsid w:val="00B02B51"/>
    <w:rsid w:val="00B031F3"/>
    <w:rsid w:val="00B04E6C"/>
    <w:rsid w:val="00B05680"/>
    <w:rsid w:val="00B05F56"/>
    <w:rsid w:val="00B06987"/>
    <w:rsid w:val="00B0765A"/>
    <w:rsid w:val="00B07F01"/>
    <w:rsid w:val="00B100E4"/>
    <w:rsid w:val="00B12242"/>
    <w:rsid w:val="00B1276C"/>
    <w:rsid w:val="00B14958"/>
    <w:rsid w:val="00B14D5B"/>
    <w:rsid w:val="00B15EC8"/>
    <w:rsid w:val="00B162B8"/>
    <w:rsid w:val="00B163F2"/>
    <w:rsid w:val="00B17F04"/>
    <w:rsid w:val="00B2047A"/>
    <w:rsid w:val="00B2222A"/>
    <w:rsid w:val="00B22BDA"/>
    <w:rsid w:val="00B250BA"/>
    <w:rsid w:val="00B2521A"/>
    <w:rsid w:val="00B2664D"/>
    <w:rsid w:val="00B271F5"/>
    <w:rsid w:val="00B27938"/>
    <w:rsid w:val="00B27A0D"/>
    <w:rsid w:val="00B3376C"/>
    <w:rsid w:val="00B33DF4"/>
    <w:rsid w:val="00B34489"/>
    <w:rsid w:val="00B3516D"/>
    <w:rsid w:val="00B3537E"/>
    <w:rsid w:val="00B359D2"/>
    <w:rsid w:val="00B37705"/>
    <w:rsid w:val="00B37908"/>
    <w:rsid w:val="00B4070B"/>
    <w:rsid w:val="00B422E2"/>
    <w:rsid w:val="00B42BAD"/>
    <w:rsid w:val="00B4354C"/>
    <w:rsid w:val="00B43C7F"/>
    <w:rsid w:val="00B44A36"/>
    <w:rsid w:val="00B453CE"/>
    <w:rsid w:val="00B4611A"/>
    <w:rsid w:val="00B50C19"/>
    <w:rsid w:val="00B5127D"/>
    <w:rsid w:val="00B532BC"/>
    <w:rsid w:val="00B53BE8"/>
    <w:rsid w:val="00B55213"/>
    <w:rsid w:val="00B55DE5"/>
    <w:rsid w:val="00B55EFF"/>
    <w:rsid w:val="00B56589"/>
    <w:rsid w:val="00B57509"/>
    <w:rsid w:val="00B57F2C"/>
    <w:rsid w:val="00B6014B"/>
    <w:rsid w:val="00B60850"/>
    <w:rsid w:val="00B60C1D"/>
    <w:rsid w:val="00B6147C"/>
    <w:rsid w:val="00B621F3"/>
    <w:rsid w:val="00B6296B"/>
    <w:rsid w:val="00B635C3"/>
    <w:rsid w:val="00B63D13"/>
    <w:rsid w:val="00B63FC3"/>
    <w:rsid w:val="00B66148"/>
    <w:rsid w:val="00B66FE4"/>
    <w:rsid w:val="00B679EF"/>
    <w:rsid w:val="00B70738"/>
    <w:rsid w:val="00B71283"/>
    <w:rsid w:val="00B72409"/>
    <w:rsid w:val="00B7241D"/>
    <w:rsid w:val="00B731C7"/>
    <w:rsid w:val="00B73628"/>
    <w:rsid w:val="00B74461"/>
    <w:rsid w:val="00B75054"/>
    <w:rsid w:val="00B75B5A"/>
    <w:rsid w:val="00B75EFC"/>
    <w:rsid w:val="00B75F64"/>
    <w:rsid w:val="00B77869"/>
    <w:rsid w:val="00B800DE"/>
    <w:rsid w:val="00B803B9"/>
    <w:rsid w:val="00B807E9"/>
    <w:rsid w:val="00B81A58"/>
    <w:rsid w:val="00B81F22"/>
    <w:rsid w:val="00B82708"/>
    <w:rsid w:val="00B82CD7"/>
    <w:rsid w:val="00B836D0"/>
    <w:rsid w:val="00B83A71"/>
    <w:rsid w:val="00B83C49"/>
    <w:rsid w:val="00B8607A"/>
    <w:rsid w:val="00B8764A"/>
    <w:rsid w:val="00B877A4"/>
    <w:rsid w:val="00B878E5"/>
    <w:rsid w:val="00B87B3C"/>
    <w:rsid w:val="00B9016B"/>
    <w:rsid w:val="00B90E64"/>
    <w:rsid w:val="00B91D9D"/>
    <w:rsid w:val="00B9211A"/>
    <w:rsid w:val="00B93375"/>
    <w:rsid w:val="00B93816"/>
    <w:rsid w:val="00B938E5"/>
    <w:rsid w:val="00B93F1A"/>
    <w:rsid w:val="00B945DD"/>
    <w:rsid w:val="00B94C51"/>
    <w:rsid w:val="00B97AC7"/>
    <w:rsid w:val="00B97BE2"/>
    <w:rsid w:val="00BA005E"/>
    <w:rsid w:val="00BA1192"/>
    <w:rsid w:val="00BA1268"/>
    <w:rsid w:val="00BA14A7"/>
    <w:rsid w:val="00BA1E17"/>
    <w:rsid w:val="00BA2790"/>
    <w:rsid w:val="00BA2C04"/>
    <w:rsid w:val="00BA39BB"/>
    <w:rsid w:val="00BA43E8"/>
    <w:rsid w:val="00BA52F5"/>
    <w:rsid w:val="00BA5DDA"/>
    <w:rsid w:val="00BA6251"/>
    <w:rsid w:val="00BA67E7"/>
    <w:rsid w:val="00BA76B3"/>
    <w:rsid w:val="00BA78F6"/>
    <w:rsid w:val="00BA7921"/>
    <w:rsid w:val="00BB0A77"/>
    <w:rsid w:val="00BB0E60"/>
    <w:rsid w:val="00BB2080"/>
    <w:rsid w:val="00BB220B"/>
    <w:rsid w:val="00BB2433"/>
    <w:rsid w:val="00BB2B37"/>
    <w:rsid w:val="00BB2F38"/>
    <w:rsid w:val="00BB35C5"/>
    <w:rsid w:val="00BB3887"/>
    <w:rsid w:val="00BB39A7"/>
    <w:rsid w:val="00BB3C50"/>
    <w:rsid w:val="00BB3DDD"/>
    <w:rsid w:val="00BB44FC"/>
    <w:rsid w:val="00BB4D4E"/>
    <w:rsid w:val="00BB508E"/>
    <w:rsid w:val="00BB5205"/>
    <w:rsid w:val="00BB5A8E"/>
    <w:rsid w:val="00BB6FD6"/>
    <w:rsid w:val="00BB73F8"/>
    <w:rsid w:val="00BB7DC9"/>
    <w:rsid w:val="00BC01AC"/>
    <w:rsid w:val="00BC0AC6"/>
    <w:rsid w:val="00BC0D90"/>
    <w:rsid w:val="00BC1284"/>
    <w:rsid w:val="00BC3076"/>
    <w:rsid w:val="00BC52F1"/>
    <w:rsid w:val="00BC54E6"/>
    <w:rsid w:val="00BC551D"/>
    <w:rsid w:val="00BC7098"/>
    <w:rsid w:val="00BC7BAB"/>
    <w:rsid w:val="00BC7D09"/>
    <w:rsid w:val="00BD0BC5"/>
    <w:rsid w:val="00BD17FA"/>
    <w:rsid w:val="00BD272F"/>
    <w:rsid w:val="00BD3FC3"/>
    <w:rsid w:val="00BD42FC"/>
    <w:rsid w:val="00BD44F1"/>
    <w:rsid w:val="00BD526E"/>
    <w:rsid w:val="00BD615B"/>
    <w:rsid w:val="00BD68E3"/>
    <w:rsid w:val="00BD6A0C"/>
    <w:rsid w:val="00BD6EF5"/>
    <w:rsid w:val="00BD7683"/>
    <w:rsid w:val="00BE07BE"/>
    <w:rsid w:val="00BE0ADA"/>
    <w:rsid w:val="00BE0E1E"/>
    <w:rsid w:val="00BE207E"/>
    <w:rsid w:val="00BE2198"/>
    <w:rsid w:val="00BE2EFE"/>
    <w:rsid w:val="00BE42EC"/>
    <w:rsid w:val="00BE4AD2"/>
    <w:rsid w:val="00BE4B67"/>
    <w:rsid w:val="00BE4F4C"/>
    <w:rsid w:val="00BE6882"/>
    <w:rsid w:val="00BE69BF"/>
    <w:rsid w:val="00BE7A23"/>
    <w:rsid w:val="00BF0F55"/>
    <w:rsid w:val="00BF0FD5"/>
    <w:rsid w:val="00BF19B2"/>
    <w:rsid w:val="00BF1D2E"/>
    <w:rsid w:val="00BF4A4A"/>
    <w:rsid w:val="00BF5592"/>
    <w:rsid w:val="00BF6EE4"/>
    <w:rsid w:val="00C0069E"/>
    <w:rsid w:val="00C010D9"/>
    <w:rsid w:val="00C014C4"/>
    <w:rsid w:val="00C023C8"/>
    <w:rsid w:val="00C03F20"/>
    <w:rsid w:val="00C048C3"/>
    <w:rsid w:val="00C048FB"/>
    <w:rsid w:val="00C048FF"/>
    <w:rsid w:val="00C04B12"/>
    <w:rsid w:val="00C077DC"/>
    <w:rsid w:val="00C1056A"/>
    <w:rsid w:val="00C10601"/>
    <w:rsid w:val="00C10FD9"/>
    <w:rsid w:val="00C11282"/>
    <w:rsid w:val="00C117C8"/>
    <w:rsid w:val="00C11CA0"/>
    <w:rsid w:val="00C12EC3"/>
    <w:rsid w:val="00C1385F"/>
    <w:rsid w:val="00C15B9A"/>
    <w:rsid w:val="00C15D2B"/>
    <w:rsid w:val="00C16998"/>
    <w:rsid w:val="00C17935"/>
    <w:rsid w:val="00C20FE8"/>
    <w:rsid w:val="00C2167D"/>
    <w:rsid w:val="00C21ACB"/>
    <w:rsid w:val="00C22C4B"/>
    <w:rsid w:val="00C24357"/>
    <w:rsid w:val="00C246B4"/>
    <w:rsid w:val="00C25E96"/>
    <w:rsid w:val="00C27400"/>
    <w:rsid w:val="00C3185E"/>
    <w:rsid w:val="00C31A14"/>
    <w:rsid w:val="00C32770"/>
    <w:rsid w:val="00C33B4A"/>
    <w:rsid w:val="00C349AE"/>
    <w:rsid w:val="00C35DB4"/>
    <w:rsid w:val="00C363EC"/>
    <w:rsid w:val="00C3753D"/>
    <w:rsid w:val="00C4016E"/>
    <w:rsid w:val="00C42B9F"/>
    <w:rsid w:val="00C42F2D"/>
    <w:rsid w:val="00C4327E"/>
    <w:rsid w:val="00C43632"/>
    <w:rsid w:val="00C43B98"/>
    <w:rsid w:val="00C44140"/>
    <w:rsid w:val="00C44B65"/>
    <w:rsid w:val="00C44E8B"/>
    <w:rsid w:val="00C4556D"/>
    <w:rsid w:val="00C4564F"/>
    <w:rsid w:val="00C47197"/>
    <w:rsid w:val="00C47F8B"/>
    <w:rsid w:val="00C504FE"/>
    <w:rsid w:val="00C51F30"/>
    <w:rsid w:val="00C539DA"/>
    <w:rsid w:val="00C54613"/>
    <w:rsid w:val="00C54C95"/>
    <w:rsid w:val="00C559CF"/>
    <w:rsid w:val="00C56A01"/>
    <w:rsid w:val="00C579C1"/>
    <w:rsid w:val="00C6176E"/>
    <w:rsid w:val="00C6570B"/>
    <w:rsid w:val="00C65FA4"/>
    <w:rsid w:val="00C6644A"/>
    <w:rsid w:val="00C66465"/>
    <w:rsid w:val="00C676A3"/>
    <w:rsid w:val="00C67DE7"/>
    <w:rsid w:val="00C703B1"/>
    <w:rsid w:val="00C70987"/>
    <w:rsid w:val="00C71C44"/>
    <w:rsid w:val="00C72BD2"/>
    <w:rsid w:val="00C73405"/>
    <w:rsid w:val="00C747E3"/>
    <w:rsid w:val="00C75846"/>
    <w:rsid w:val="00C7661E"/>
    <w:rsid w:val="00C8132F"/>
    <w:rsid w:val="00C8150F"/>
    <w:rsid w:val="00C834DE"/>
    <w:rsid w:val="00C83C7D"/>
    <w:rsid w:val="00C84194"/>
    <w:rsid w:val="00C85A11"/>
    <w:rsid w:val="00C865BA"/>
    <w:rsid w:val="00C87726"/>
    <w:rsid w:val="00C90766"/>
    <w:rsid w:val="00C909F2"/>
    <w:rsid w:val="00C9194C"/>
    <w:rsid w:val="00C91ADC"/>
    <w:rsid w:val="00C92064"/>
    <w:rsid w:val="00C935D4"/>
    <w:rsid w:val="00C94BCF"/>
    <w:rsid w:val="00C955ED"/>
    <w:rsid w:val="00C95AE6"/>
    <w:rsid w:val="00C95FE8"/>
    <w:rsid w:val="00C968C3"/>
    <w:rsid w:val="00C96FB2"/>
    <w:rsid w:val="00C97042"/>
    <w:rsid w:val="00C97818"/>
    <w:rsid w:val="00CA0F04"/>
    <w:rsid w:val="00CA14ED"/>
    <w:rsid w:val="00CA21D7"/>
    <w:rsid w:val="00CA2A09"/>
    <w:rsid w:val="00CA468A"/>
    <w:rsid w:val="00CA4861"/>
    <w:rsid w:val="00CA5701"/>
    <w:rsid w:val="00CA585F"/>
    <w:rsid w:val="00CA5AB1"/>
    <w:rsid w:val="00CA6AEC"/>
    <w:rsid w:val="00CA72C1"/>
    <w:rsid w:val="00CA7D15"/>
    <w:rsid w:val="00CB08F5"/>
    <w:rsid w:val="00CB0A4D"/>
    <w:rsid w:val="00CB0F9D"/>
    <w:rsid w:val="00CB21D3"/>
    <w:rsid w:val="00CB223C"/>
    <w:rsid w:val="00CB2A7C"/>
    <w:rsid w:val="00CB3181"/>
    <w:rsid w:val="00CB49DA"/>
    <w:rsid w:val="00CB50EB"/>
    <w:rsid w:val="00CB578A"/>
    <w:rsid w:val="00CB5C84"/>
    <w:rsid w:val="00CB625C"/>
    <w:rsid w:val="00CC0491"/>
    <w:rsid w:val="00CC0596"/>
    <w:rsid w:val="00CC1124"/>
    <w:rsid w:val="00CC126E"/>
    <w:rsid w:val="00CC1575"/>
    <w:rsid w:val="00CC1DBF"/>
    <w:rsid w:val="00CC26B4"/>
    <w:rsid w:val="00CC3177"/>
    <w:rsid w:val="00CC3BB4"/>
    <w:rsid w:val="00CD065E"/>
    <w:rsid w:val="00CD0663"/>
    <w:rsid w:val="00CD0990"/>
    <w:rsid w:val="00CD1855"/>
    <w:rsid w:val="00CD1BA5"/>
    <w:rsid w:val="00CD1C82"/>
    <w:rsid w:val="00CD35BC"/>
    <w:rsid w:val="00CD3C21"/>
    <w:rsid w:val="00CD5644"/>
    <w:rsid w:val="00CD5FEA"/>
    <w:rsid w:val="00CD638E"/>
    <w:rsid w:val="00CD6595"/>
    <w:rsid w:val="00CD6A1B"/>
    <w:rsid w:val="00CD742D"/>
    <w:rsid w:val="00CE0959"/>
    <w:rsid w:val="00CE1375"/>
    <w:rsid w:val="00CE26C0"/>
    <w:rsid w:val="00CE2BDB"/>
    <w:rsid w:val="00CE3A32"/>
    <w:rsid w:val="00CE47A9"/>
    <w:rsid w:val="00CE47D5"/>
    <w:rsid w:val="00CE527E"/>
    <w:rsid w:val="00CE57EC"/>
    <w:rsid w:val="00CE5AF4"/>
    <w:rsid w:val="00CE5F69"/>
    <w:rsid w:val="00CE651A"/>
    <w:rsid w:val="00CE6730"/>
    <w:rsid w:val="00CE7F31"/>
    <w:rsid w:val="00CE7FB2"/>
    <w:rsid w:val="00CF0F3B"/>
    <w:rsid w:val="00CF1917"/>
    <w:rsid w:val="00CF3611"/>
    <w:rsid w:val="00CF3AD4"/>
    <w:rsid w:val="00CF3DCD"/>
    <w:rsid w:val="00CF44C8"/>
    <w:rsid w:val="00CF4AD9"/>
    <w:rsid w:val="00CF6BA1"/>
    <w:rsid w:val="00CF74C1"/>
    <w:rsid w:val="00CF7882"/>
    <w:rsid w:val="00CF795F"/>
    <w:rsid w:val="00D011D8"/>
    <w:rsid w:val="00D016F7"/>
    <w:rsid w:val="00D01816"/>
    <w:rsid w:val="00D02738"/>
    <w:rsid w:val="00D03B17"/>
    <w:rsid w:val="00D03D4B"/>
    <w:rsid w:val="00D03E70"/>
    <w:rsid w:val="00D03F78"/>
    <w:rsid w:val="00D04118"/>
    <w:rsid w:val="00D04892"/>
    <w:rsid w:val="00D04A02"/>
    <w:rsid w:val="00D06EE1"/>
    <w:rsid w:val="00D07D2A"/>
    <w:rsid w:val="00D11BAE"/>
    <w:rsid w:val="00D12A0E"/>
    <w:rsid w:val="00D12CAF"/>
    <w:rsid w:val="00D13738"/>
    <w:rsid w:val="00D13841"/>
    <w:rsid w:val="00D13CDA"/>
    <w:rsid w:val="00D153E4"/>
    <w:rsid w:val="00D156EA"/>
    <w:rsid w:val="00D15AED"/>
    <w:rsid w:val="00D15B19"/>
    <w:rsid w:val="00D16A6C"/>
    <w:rsid w:val="00D16B24"/>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70CE"/>
    <w:rsid w:val="00D27E2A"/>
    <w:rsid w:val="00D30347"/>
    <w:rsid w:val="00D30548"/>
    <w:rsid w:val="00D3187A"/>
    <w:rsid w:val="00D32206"/>
    <w:rsid w:val="00D32830"/>
    <w:rsid w:val="00D336F5"/>
    <w:rsid w:val="00D337B1"/>
    <w:rsid w:val="00D33F5B"/>
    <w:rsid w:val="00D33FC2"/>
    <w:rsid w:val="00D34870"/>
    <w:rsid w:val="00D34E7A"/>
    <w:rsid w:val="00D352C2"/>
    <w:rsid w:val="00D35ABA"/>
    <w:rsid w:val="00D3661D"/>
    <w:rsid w:val="00D36BE5"/>
    <w:rsid w:val="00D36BEE"/>
    <w:rsid w:val="00D373D4"/>
    <w:rsid w:val="00D3759A"/>
    <w:rsid w:val="00D37C6C"/>
    <w:rsid w:val="00D408C3"/>
    <w:rsid w:val="00D40A49"/>
    <w:rsid w:val="00D40C20"/>
    <w:rsid w:val="00D40EBF"/>
    <w:rsid w:val="00D40F0F"/>
    <w:rsid w:val="00D41701"/>
    <w:rsid w:val="00D41905"/>
    <w:rsid w:val="00D41B80"/>
    <w:rsid w:val="00D41C65"/>
    <w:rsid w:val="00D422D6"/>
    <w:rsid w:val="00D45040"/>
    <w:rsid w:val="00D45245"/>
    <w:rsid w:val="00D45AF4"/>
    <w:rsid w:val="00D47174"/>
    <w:rsid w:val="00D47D46"/>
    <w:rsid w:val="00D47D67"/>
    <w:rsid w:val="00D5098A"/>
    <w:rsid w:val="00D50F5C"/>
    <w:rsid w:val="00D51C89"/>
    <w:rsid w:val="00D52F65"/>
    <w:rsid w:val="00D54CBC"/>
    <w:rsid w:val="00D5528A"/>
    <w:rsid w:val="00D55D7B"/>
    <w:rsid w:val="00D56D21"/>
    <w:rsid w:val="00D60146"/>
    <w:rsid w:val="00D605A8"/>
    <w:rsid w:val="00D60D4B"/>
    <w:rsid w:val="00D60E3E"/>
    <w:rsid w:val="00D61313"/>
    <w:rsid w:val="00D61D03"/>
    <w:rsid w:val="00D62113"/>
    <w:rsid w:val="00D6225E"/>
    <w:rsid w:val="00D62B53"/>
    <w:rsid w:val="00D63308"/>
    <w:rsid w:val="00D6421A"/>
    <w:rsid w:val="00D64848"/>
    <w:rsid w:val="00D65CA0"/>
    <w:rsid w:val="00D674D9"/>
    <w:rsid w:val="00D70930"/>
    <w:rsid w:val="00D70FF4"/>
    <w:rsid w:val="00D71A9D"/>
    <w:rsid w:val="00D71FB1"/>
    <w:rsid w:val="00D72368"/>
    <w:rsid w:val="00D72BC6"/>
    <w:rsid w:val="00D7351C"/>
    <w:rsid w:val="00D75440"/>
    <w:rsid w:val="00D75CCE"/>
    <w:rsid w:val="00D7605E"/>
    <w:rsid w:val="00D76523"/>
    <w:rsid w:val="00D77034"/>
    <w:rsid w:val="00D77E66"/>
    <w:rsid w:val="00D80177"/>
    <w:rsid w:val="00D8020F"/>
    <w:rsid w:val="00D80A1B"/>
    <w:rsid w:val="00D81B03"/>
    <w:rsid w:val="00D82D5F"/>
    <w:rsid w:val="00D82D76"/>
    <w:rsid w:val="00D83D2C"/>
    <w:rsid w:val="00D841DE"/>
    <w:rsid w:val="00D845B5"/>
    <w:rsid w:val="00D84C00"/>
    <w:rsid w:val="00D85388"/>
    <w:rsid w:val="00D85753"/>
    <w:rsid w:val="00D857BF"/>
    <w:rsid w:val="00D863FF"/>
    <w:rsid w:val="00D8731C"/>
    <w:rsid w:val="00D91251"/>
    <w:rsid w:val="00D93387"/>
    <w:rsid w:val="00D93FB1"/>
    <w:rsid w:val="00D9408F"/>
    <w:rsid w:val="00D940DB"/>
    <w:rsid w:val="00D94278"/>
    <w:rsid w:val="00D9483C"/>
    <w:rsid w:val="00D95F09"/>
    <w:rsid w:val="00D9656B"/>
    <w:rsid w:val="00DA02B7"/>
    <w:rsid w:val="00DA0492"/>
    <w:rsid w:val="00DA0633"/>
    <w:rsid w:val="00DA070E"/>
    <w:rsid w:val="00DA1579"/>
    <w:rsid w:val="00DA1AA5"/>
    <w:rsid w:val="00DA3E8A"/>
    <w:rsid w:val="00DA53D4"/>
    <w:rsid w:val="00DA7232"/>
    <w:rsid w:val="00DA78AC"/>
    <w:rsid w:val="00DB063E"/>
    <w:rsid w:val="00DB3820"/>
    <w:rsid w:val="00DB3A13"/>
    <w:rsid w:val="00DB3F23"/>
    <w:rsid w:val="00DB4562"/>
    <w:rsid w:val="00DB50ED"/>
    <w:rsid w:val="00DB53D0"/>
    <w:rsid w:val="00DB56EB"/>
    <w:rsid w:val="00DB6449"/>
    <w:rsid w:val="00DB6FB9"/>
    <w:rsid w:val="00DC1211"/>
    <w:rsid w:val="00DC1DB0"/>
    <w:rsid w:val="00DC30A9"/>
    <w:rsid w:val="00DD0710"/>
    <w:rsid w:val="00DD072D"/>
    <w:rsid w:val="00DD4107"/>
    <w:rsid w:val="00DD6675"/>
    <w:rsid w:val="00DD6D2C"/>
    <w:rsid w:val="00DD731C"/>
    <w:rsid w:val="00DD78E7"/>
    <w:rsid w:val="00DD7B5E"/>
    <w:rsid w:val="00DE0460"/>
    <w:rsid w:val="00DE0FF4"/>
    <w:rsid w:val="00DE11B1"/>
    <w:rsid w:val="00DE1C9A"/>
    <w:rsid w:val="00DE1FB2"/>
    <w:rsid w:val="00DE30FB"/>
    <w:rsid w:val="00DE3C30"/>
    <w:rsid w:val="00DE48C3"/>
    <w:rsid w:val="00DE49C1"/>
    <w:rsid w:val="00DE52A3"/>
    <w:rsid w:val="00DE57BB"/>
    <w:rsid w:val="00DE6D88"/>
    <w:rsid w:val="00DE7F15"/>
    <w:rsid w:val="00DF06F2"/>
    <w:rsid w:val="00DF15C5"/>
    <w:rsid w:val="00DF175E"/>
    <w:rsid w:val="00DF25A4"/>
    <w:rsid w:val="00DF42C8"/>
    <w:rsid w:val="00DF4AA3"/>
    <w:rsid w:val="00DF4F01"/>
    <w:rsid w:val="00DF501D"/>
    <w:rsid w:val="00DF5BDB"/>
    <w:rsid w:val="00DF5EF8"/>
    <w:rsid w:val="00DF6691"/>
    <w:rsid w:val="00DF6961"/>
    <w:rsid w:val="00DF703B"/>
    <w:rsid w:val="00DF7DF6"/>
    <w:rsid w:val="00E0005D"/>
    <w:rsid w:val="00E01068"/>
    <w:rsid w:val="00E033A7"/>
    <w:rsid w:val="00E05461"/>
    <w:rsid w:val="00E05573"/>
    <w:rsid w:val="00E06511"/>
    <w:rsid w:val="00E06C3B"/>
    <w:rsid w:val="00E1075B"/>
    <w:rsid w:val="00E108D6"/>
    <w:rsid w:val="00E11BCB"/>
    <w:rsid w:val="00E13B0F"/>
    <w:rsid w:val="00E13BB5"/>
    <w:rsid w:val="00E14327"/>
    <w:rsid w:val="00E1481F"/>
    <w:rsid w:val="00E14BC3"/>
    <w:rsid w:val="00E14F02"/>
    <w:rsid w:val="00E16AD2"/>
    <w:rsid w:val="00E174DD"/>
    <w:rsid w:val="00E20241"/>
    <w:rsid w:val="00E202AD"/>
    <w:rsid w:val="00E216F3"/>
    <w:rsid w:val="00E22DAC"/>
    <w:rsid w:val="00E2357C"/>
    <w:rsid w:val="00E237AF"/>
    <w:rsid w:val="00E23DB5"/>
    <w:rsid w:val="00E246FB"/>
    <w:rsid w:val="00E24885"/>
    <w:rsid w:val="00E24D77"/>
    <w:rsid w:val="00E2504D"/>
    <w:rsid w:val="00E25446"/>
    <w:rsid w:val="00E258C0"/>
    <w:rsid w:val="00E264D9"/>
    <w:rsid w:val="00E26633"/>
    <w:rsid w:val="00E27292"/>
    <w:rsid w:val="00E27710"/>
    <w:rsid w:val="00E279DF"/>
    <w:rsid w:val="00E3040F"/>
    <w:rsid w:val="00E31641"/>
    <w:rsid w:val="00E31696"/>
    <w:rsid w:val="00E31C23"/>
    <w:rsid w:val="00E31EA6"/>
    <w:rsid w:val="00E3500F"/>
    <w:rsid w:val="00E361E0"/>
    <w:rsid w:val="00E36D3F"/>
    <w:rsid w:val="00E36E33"/>
    <w:rsid w:val="00E37129"/>
    <w:rsid w:val="00E37D19"/>
    <w:rsid w:val="00E409A1"/>
    <w:rsid w:val="00E410AF"/>
    <w:rsid w:val="00E41A92"/>
    <w:rsid w:val="00E429B6"/>
    <w:rsid w:val="00E42B3A"/>
    <w:rsid w:val="00E42B70"/>
    <w:rsid w:val="00E42D4E"/>
    <w:rsid w:val="00E430AF"/>
    <w:rsid w:val="00E4339F"/>
    <w:rsid w:val="00E43901"/>
    <w:rsid w:val="00E43DF2"/>
    <w:rsid w:val="00E45423"/>
    <w:rsid w:val="00E4557C"/>
    <w:rsid w:val="00E4727E"/>
    <w:rsid w:val="00E47836"/>
    <w:rsid w:val="00E47A91"/>
    <w:rsid w:val="00E50013"/>
    <w:rsid w:val="00E5082D"/>
    <w:rsid w:val="00E51B56"/>
    <w:rsid w:val="00E5244A"/>
    <w:rsid w:val="00E52598"/>
    <w:rsid w:val="00E54205"/>
    <w:rsid w:val="00E54E05"/>
    <w:rsid w:val="00E556A9"/>
    <w:rsid w:val="00E55E95"/>
    <w:rsid w:val="00E570BA"/>
    <w:rsid w:val="00E572C5"/>
    <w:rsid w:val="00E60D26"/>
    <w:rsid w:val="00E60E8D"/>
    <w:rsid w:val="00E61B4D"/>
    <w:rsid w:val="00E6281B"/>
    <w:rsid w:val="00E62DEF"/>
    <w:rsid w:val="00E62E1E"/>
    <w:rsid w:val="00E63EAF"/>
    <w:rsid w:val="00E640F0"/>
    <w:rsid w:val="00E646AA"/>
    <w:rsid w:val="00E65598"/>
    <w:rsid w:val="00E655A4"/>
    <w:rsid w:val="00E66467"/>
    <w:rsid w:val="00E6648C"/>
    <w:rsid w:val="00E66824"/>
    <w:rsid w:val="00E66FD1"/>
    <w:rsid w:val="00E6750F"/>
    <w:rsid w:val="00E7026B"/>
    <w:rsid w:val="00E70B87"/>
    <w:rsid w:val="00E71157"/>
    <w:rsid w:val="00E72140"/>
    <w:rsid w:val="00E7289A"/>
    <w:rsid w:val="00E737D0"/>
    <w:rsid w:val="00E73B52"/>
    <w:rsid w:val="00E74197"/>
    <w:rsid w:val="00E742B2"/>
    <w:rsid w:val="00E76ADF"/>
    <w:rsid w:val="00E8298A"/>
    <w:rsid w:val="00E82A10"/>
    <w:rsid w:val="00E83AB2"/>
    <w:rsid w:val="00E83FB6"/>
    <w:rsid w:val="00E84118"/>
    <w:rsid w:val="00E85A02"/>
    <w:rsid w:val="00E86393"/>
    <w:rsid w:val="00E86768"/>
    <w:rsid w:val="00E8715C"/>
    <w:rsid w:val="00E87A17"/>
    <w:rsid w:val="00E90492"/>
    <w:rsid w:val="00E907C6"/>
    <w:rsid w:val="00E90D39"/>
    <w:rsid w:val="00E90E9A"/>
    <w:rsid w:val="00E91006"/>
    <w:rsid w:val="00E91F8B"/>
    <w:rsid w:val="00E922AE"/>
    <w:rsid w:val="00E92CCD"/>
    <w:rsid w:val="00E93194"/>
    <w:rsid w:val="00E935CE"/>
    <w:rsid w:val="00E940D6"/>
    <w:rsid w:val="00E94A69"/>
    <w:rsid w:val="00E95BCD"/>
    <w:rsid w:val="00E973B8"/>
    <w:rsid w:val="00E97CF5"/>
    <w:rsid w:val="00EA0668"/>
    <w:rsid w:val="00EA08DA"/>
    <w:rsid w:val="00EA0A9E"/>
    <w:rsid w:val="00EA1F95"/>
    <w:rsid w:val="00EA222C"/>
    <w:rsid w:val="00EA3485"/>
    <w:rsid w:val="00EA3C36"/>
    <w:rsid w:val="00EA3CC6"/>
    <w:rsid w:val="00EA4717"/>
    <w:rsid w:val="00EA4B7E"/>
    <w:rsid w:val="00EA4BC1"/>
    <w:rsid w:val="00EA6611"/>
    <w:rsid w:val="00EB1260"/>
    <w:rsid w:val="00EB12A0"/>
    <w:rsid w:val="00EB2521"/>
    <w:rsid w:val="00EB2A04"/>
    <w:rsid w:val="00EB40C4"/>
    <w:rsid w:val="00EB5560"/>
    <w:rsid w:val="00EB5812"/>
    <w:rsid w:val="00EB62AA"/>
    <w:rsid w:val="00EB7282"/>
    <w:rsid w:val="00EB77E3"/>
    <w:rsid w:val="00EC2075"/>
    <w:rsid w:val="00EC5334"/>
    <w:rsid w:val="00EC69C4"/>
    <w:rsid w:val="00EC709B"/>
    <w:rsid w:val="00ED00E5"/>
    <w:rsid w:val="00ED06D9"/>
    <w:rsid w:val="00ED07E7"/>
    <w:rsid w:val="00ED14BD"/>
    <w:rsid w:val="00ED224A"/>
    <w:rsid w:val="00ED317A"/>
    <w:rsid w:val="00ED35C8"/>
    <w:rsid w:val="00ED36FB"/>
    <w:rsid w:val="00ED42DA"/>
    <w:rsid w:val="00ED53EA"/>
    <w:rsid w:val="00ED5552"/>
    <w:rsid w:val="00ED6AFA"/>
    <w:rsid w:val="00ED751B"/>
    <w:rsid w:val="00ED75BA"/>
    <w:rsid w:val="00ED76E4"/>
    <w:rsid w:val="00ED7EEF"/>
    <w:rsid w:val="00EE12FD"/>
    <w:rsid w:val="00EE1345"/>
    <w:rsid w:val="00EE15A3"/>
    <w:rsid w:val="00EE1B6E"/>
    <w:rsid w:val="00EE20F6"/>
    <w:rsid w:val="00EE2C22"/>
    <w:rsid w:val="00EE31A2"/>
    <w:rsid w:val="00EE38CB"/>
    <w:rsid w:val="00EE4D4E"/>
    <w:rsid w:val="00EE4E70"/>
    <w:rsid w:val="00EE6B39"/>
    <w:rsid w:val="00EE6D50"/>
    <w:rsid w:val="00EE6D5C"/>
    <w:rsid w:val="00EE742A"/>
    <w:rsid w:val="00EF1065"/>
    <w:rsid w:val="00EF1482"/>
    <w:rsid w:val="00EF1AA8"/>
    <w:rsid w:val="00EF2270"/>
    <w:rsid w:val="00EF3D12"/>
    <w:rsid w:val="00EF6A66"/>
    <w:rsid w:val="00EF7D49"/>
    <w:rsid w:val="00F00D5C"/>
    <w:rsid w:val="00F0427B"/>
    <w:rsid w:val="00F04906"/>
    <w:rsid w:val="00F050A1"/>
    <w:rsid w:val="00F05195"/>
    <w:rsid w:val="00F068CE"/>
    <w:rsid w:val="00F06AD7"/>
    <w:rsid w:val="00F07207"/>
    <w:rsid w:val="00F10290"/>
    <w:rsid w:val="00F117C9"/>
    <w:rsid w:val="00F11D2F"/>
    <w:rsid w:val="00F11D45"/>
    <w:rsid w:val="00F124DD"/>
    <w:rsid w:val="00F12BA1"/>
    <w:rsid w:val="00F12F16"/>
    <w:rsid w:val="00F1332D"/>
    <w:rsid w:val="00F136E4"/>
    <w:rsid w:val="00F138E7"/>
    <w:rsid w:val="00F15DC2"/>
    <w:rsid w:val="00F17314"/>
    <w:rsid w:val="00F20E39"/>
    <w:rsid w:val="00F20EC1"/>
    <w:rsid w:val="00F211D1"/>
    <w:rsid w:val="00F21347"/>
    <w:rsid w:val="00F21877"/>
    <w:rsid w:val="00F22193"/>
    <w:rsid w:val="00F2297B"/>
    <w:rsid w:val="00F2325A"/>
    <w:rsid w:val="00F2443D"/>
    <w:rsid w:val="00F24500"/>
    <w:rsid w:val="00F245ED"/>
    <w:rsid w:val="00F24721"/>
    <w:rsid w:val="00F2508B"/>
    <w:rsid w:val="00F2585E"/>
    <w:rsid w:val="00F25A36"/>
    <w:rsid w:val="00F25BAF"/>
    <w:rsid w:val="00F27192"/>
    <w:rsid w:val="00F2746B"/>
    <w:rsid w:val="00F3249B"/>
    <w:rsid w:val="00F326C0"/>
    <w:rsid w:val="00F33DBB"/>
    <w:rsid w:val="00F34472"/>
    <w:rsid w:val="00F34DDB"/>
    <w:rsid w:val="00F34ED5"/>
    <w:rsid w:val="00F35A99"/>
    <w:rsid w:val="00F35FA5"/>
    <w:rsid w:val="00F3600D"/>
    <w:rsid w:val="00F3623F"/>
    <w:rsid w:val="00F36637"/>
    <w:rsid w:val="00F419A0"/>
    <w:rsid w:val="00F41F84"/>
    <w:rsid w:val="00F421A4"/>
    <w:rsid w:val="00F43A5F"/>
    <w:rsid w:val="00F43D34"/>
    <w:rsid w:val="00F443BF"/>
    <w:rsid w:val="00F44BED"/>
    <w:rsid w:val="00F454B3"/>
    <w:rsid w:val="00F46320"/>
    <w:rsid w:val="00F4787E"/>
    <w:rsid w:val="00F47D87"/>
    <w:rsid w:val="00F506D9"/>
    <w:rsid w:val="00F50927"/>
    <w:rsid w:val="00F5170C"/>
    <w:rsid w:val="00F52296"/>
    <w:rsid w:val="00F53108"/>
    <w:rsid w:val="00F536B4"/>
    <w:rsid w:val="00F538B0"/>
    <w:rsid w:val="00F540B9"/>
    <w:rsid w:val="00F544A7"/>
    <w:rsid w:val="00F54C9F"/>
    <w:rsid w:val="00F5516B"/>
    <w:rsid w:val="00F55837"/>
    <w:rsid w:val="00F55E42"/>
    <w:rsid w:val="00F5630B"/>
    <w:rsid w:val="00F56362"/>
    <w:rsid w:val="00F568A6"/>
    <w:rsid w:val="00F56F37"/>
    <w:rsid w:val="00F5795B"/>
    <w:rsid w:val="00F60129"/>
    <w:rsid w:val="00F606DC"/>
    <w:rsid w:val="00F60BCC"/>
    <w:rsid w:val="00F61B99"/>
    <w:rsid w:val="00F61D69"/>
    <w:rsid w:val="00F62AF9"/>
    <w:rsid w:val="00F643D7"/>
    <w:rsid w:val="00F6443D"/>
    <w:rsid w:val="00F646FD"/>
    <w:rsid w:val="00F64D1E"/>
    <w:rsid w:val="00F65848"/>
    <w:rsid w:val="00F65B6A"/>
    <w:rsid w:val="00F6634A"/>
    <w:rsid w:val="00F676DB"/>
    <w:rsid w:val="00F67BBA"/>
    <w:rsid w:val="00F67FEC"/>
    <w:rsid w:val="00F70AD0"/>
    <w:rsid w:val="00F71A36"/>
    <w:rsid w:val="00F72177"/>
    <w:rsid w:val="00F726BF"/>
    <w:rsid w:val="00F72CB3"/>
    <w:rsid w:val="00F73543"/>
    <w:rsid w:val="00F73E30"/>
    <w:rsid w:val="00F74E8F"/>
    <w:rsid w:val="00F75F3D"/>
    <w:rsid w:val="00F76608"/>
    <w:rsid w:val="00F76E23"/>
    <w:rsid w:val="00F775C4"/>
    <w:rsid w:val="00F808F3"/>
    <w:rsid w:val="00F8329C"/>
    <w:rsid w:val="00F84049"/>
    <w:rsid w:val="00F85AFB"/>
    <w:rsid w:val="00F85C0D"/>
    <w:rsid w:val="00F8793B"/>
    <w:rsid w:val="00F87DBE"/>
    <w:rsid w:val="00F87E16"/>
    <w:rsid w:val="00F9055A"/>
    <w:rsid w:val="00F914EF"/>
    <w:rsid w:val="00F929A1"/>
    <w:rsid w:val="00F92D93"/>
    <w:rsid w:val="00F930BB"/>
    <w:rsid w:val="00F93D0C"/>
    <w:rsid w:val="00F957DD"/>
    <w:rsid w:val="00F96274"/>
    <w:rsid w:val="00F963B0"/>
    <w:rsid w:val="00F969B0"/>
    <w:rsid w:val="00F97C46"/>
    <w:rsid w:val="00FA0E22"/>
    <w:rsid w:val="00FA1335"/>
    <w:rsid w:val="00FA173E"/>
    <w:rsid w:val="00FA27BB"/>
    <w:rsid w:val="00FA3BCD"/>
    <w:rsid w:val="00FA508D"/>
    <w:rsid w:val="00FA7EEB"/>
    <w:rsid w:val="00FB03D5"/>
    <w:rsid w:val="00FB06BF"/>
    <w:rsid w:val="00FB0A5D"/>
    <w:rsid w:val="00FB0DE5"/>
    <w:rsid w:val="00FB1977"/>
    <w:rsid w:val="00FB2148"/>
    <w:rsid w:val="00FB2523"/>
    <w:rsid w:val="00FB3356"/>
    <w:rsid w:val="00FB3A95"/>
    <w:rsid w:val="00FB3CE3"/>
    <w:rsid w:val="00FB43DB"/>
    <w:rsid w:val="00FB4FC8"/>
    <w:rsid w:val="00FB57D6"/>
    <w:rsid w:val="00FB59E2"/>
    <w:rsid w:val="00FB5F1D"/>
    <w:rsid w:val="00FB6467"/>
    <w:rsid w:val="00FB7E17"/>
    <w:rsid w:val="00FC00F7"/>
    <w:rsid w:val="00FC14D0"/>
    <w:rsid w:val="00FC154B"/>
    <w:rsid w:val="00FC186D"/>
    <w:rsid w:val="00FC1EC7"/>
    <w:rsid w:val="00FC1F60"/>
    <w:rsid w:val="00FC378A"/>
    <w:rsid w:val="00FC4441"/>
    <w:rsid w:val="00FC478F"/>
    <w:rsid w:val="00FC4825"/>
    <w:rsid w:val="00FC4A15"/>
    <w:rsid w:val="00FC5D47"/>
    <w:rsid w:val="00FC5F86"/>
    <w:rsid w:val="00FD164D"/>
    <w:rsid w:val="00FD1B66"/>
    <w:rsid w:val="00FD2482"/>
    <w:rsid w:val="00FD2768"/>
    <w:rsid w:val="00FD4089"/>
    <w:rsid w:val="00FD57A1"/>
    <w:rsid w:val="00FD62BE"/>
    <w:rsid w:val="00FD6A8D"/>
    <w:rsid w:val="00FD6C22"/>
    <w:rsid w:val="00FD7209"/>
    <w:rsid w:val="00FD7D5A"/>
    <w:rsid w:val="00FE0FA2"/>
    <w:rsid w:val="00FE1740"/>
    <w:rsid w:val="00FE1888"/>
    <w:rsid w:val="00FE1B6E"/>
    <w:rsid w:val="00FE1D5B"/>
    <w:rsid w:val="00FE23A7"/>
    <w:rsid w:val="00FE2950"/>
    <w:rsid w:val="00FE3644"/>
    <w:rsid w:val="00FE4DCE"/>
    <w:rsid w:val="00FE5B40"/>
    <w:rsid w:val="00FE5CA1"/>
    <w:rsid w:val="00FE6417"/>
    <w:rsid w:val="00FE679D"/>
    <w:rsid w:val="00FE77A9"/>
    <w:rsid w:val="00FF1C82"/>
    <w:rsid w:val="00FF1CE1"/>
    <w:rsid w:val="00FF23A8"/>
    <w:rsid w:val="00FF35C0"/>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AA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712510"/>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uiPriority w:val="99"/>
    <w:rsid w:val="002C5ABC"/>
    <w:rPr>
      <w:vertAlign w:val="superscript"/>
    </w:rPr>
  </w:style>
  <w:style w:type="paragraph" w:styleId="FootnoteText">
    <w:name w:val="footnote text"/>
    <w:basedOn w:val="Normal"/>
    <w:link w:val="FootnoteTextChar"/>
    <w:uiPriority w:val="99"/>
    <w:rsid w:val="002C5ABC"/>
    <w:rPr>
      <w:rFonts w:ascii="Arial" w:hAnsi="Arial"/>
      <w:sz w:val="20"/>
      <w:szCs w:val="20"/>
      <w:lang w:eastAsia="en-US"/>
    </w:rPr>
  </w:style>
  <w:style w:type="character" w:customStyle="1" w:styleId="FootnoteTextChar">
    <w:name w:val="Footnote Text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character" w:customStyle="1" w:styleId="UnresolvedMention4">
    <w:name w:val="Unresolved Mention4"/>
    <w:basedOn w:val="DefaultParagraphFont"/>
    <w:uiPriority w:val="99"/>
    <w:semiHidden/>
    <w:unhideWhenUsed/>
    <w:rsid w:val="005B6253"/>
    <w:rPr>
      <w:color w:val="605E5C"/>
      <w:shd w:val="clear" w:color="auto" w:fill="E1DFDD"/>
    </w:rPr>
  </w:style>
  <w:style w:type="paragraph" w:styleId="Revision">
    <w:name w:val="Revision"/>
    <w:hidden/>
    <w:uiPriority w:val="99"/>
    <w:semiHidden/>
    <w:rsid w:val="005B2641"/>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809">
      <w:bodyDiv w:val="1"/>
      <w:marLeft w:val="0"/>
      <w:marRight w:val="0"/>
      <w:marTop w:val="0"/>
      <w:marBottom w:val="0"/>
      <w:divBdr>
        <w:top w:val="none" w:sz="0" w:space="0" w:color="auto"/>
        <w:left w:val="none" w:sz="0" w:space="0" w:color="auto"/>
        <w:bottom w:val="none" w:sz="0" w:space="0" w:color="auto"/>
        <w:right w:val="none" w:sz="0" w:space="0" w:color="auto"/>
      </w:divBdr>
    </w:div>
    <w:div w:id="28377376">
      <w:bodyDiv w:val="1"/>
      <w:marLeft w:val="0"/>
      <w:marRight w:val="0"/>
      <w:marTop w:val="0"/>
      <w:marBottom w:val="0"/>
      <w:divBdr>
        <w:top w:val="none" w:sz="0" w:space="0" w:color="auto"/>
        <w:left w:val="none" w:sz="0" w:space="0" w:color="auto"/>
        <w:bottom w:val="none" w:sz="0" w:space="0" w:color="auto"/>
        <w:right w:val="none" w:sz="0" w:space="0" w:color="auto"/>
      </w:divBdr>
      <w:divsChild>
        <w:div w:id="422920403">
          <w:marLeft w:val="0"/>
          <w:marRight w:val="0"/>
          <w:marTop w:val="0"/>
          <w:marBottom w:val="0"/>
          <w:divBdr>
            <w:top w:val="none" w:sz="0" w:space="0" w:color="auto"/>
            <w:left w:val="none" w:sz="0" w:space="0" w:color="auto"/>
            <w:bottom w:val="none" w:sz="0" w:space="0" w:color="auto"/>
            <w:right w:val="none" w:sz="0" w:space="0" w:color="auto"/>
          </w:divBdr>
          <w:divsChild>
            <w:div w:id="1496607051">
              <w:marLeft w:val="0"/>
              <w:marRight w:val="0"/>
              <w:marTop w:val="0"/>
              <w:marBottom w:val="0"/>
              <w:divBdr>
                <w:top w:val="none" w:sz="0" w:space="0" w:color="auto"/>
                <w:left w:val="none" w:sz="0" w:space="0" w:color="auto"/>
                <w:bottom w:val="none" w:sz="0" w:space="0" w:color="auto"/>
                <w:right w:val="none" w:sz="0" w:space="0" w:color="auto"/>
              </w:divBdr>
              <w:divsChild>
                <w:div w:id="19318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7848089">
      <w:bodyDiv w:val="1"/>
      <w:marLeft w:val="0"/>
      <w:marRight w:val="0"/>
      <w:marTop w:val="0"/>
      <w:marBottom w:val="0"/>
      <w:divBdr>
        <w:top w:val="none" w:sz="0" w:space="0" w:color="auto"/>
        <w:left w:val="none" w:sz="0" w:space="0" w:color="auto"/>
        <w:bottom w:val="none" w:sz="0" w:space="0" w:color="auto"/>
        <w:right w:val="none" w:sz="0" w:space="0" w:color="auto"/>
      </w:divBdr>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76175919">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05930294">
      <w:bodyDiv w:val="1"/>
      <w:marLeft w:val="0"/>
      <w:marRight w:val="0"/>
      <w:marTop w:val="0"/>
      <w:marBottom w:val="0"/>
      <w:divBdr>
        <w:top w:val="none" w:sz="0" w:space="0" w:color="auto"/>
        <w:left w:val="none" w:sz="0" w:space="0" w:color="auto"/>
        <w:bottom w:val="none" w:sz="0" w:space="0" w:color="auto"/>
        <w:right w:val="none" w:sz="0" w:space="0" w:color="auto"/>
      </w:divBdr>
    </w:div>
    <w:div w:id="114176724">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17795687">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25121500">
      <w:bodyDiv w:val="1"/>
      <w:marLeft w:val="0"/>
      <w:marRight w:val="0"/>
      <w:marTop w:val="0"/>
      <w:marBottom w:val="0"/>
      <w:divBdr>
        <w:top w:val="none" w:sz="0" w:space="0" w:color="auto"/>
        <w:left w:val="none" w:sz="0" w:space="0" w:color="auto"/>
        <w:bottom w:val="none" w:sz="0" w:space="0" w:color="auto"/>
        <w:right w:val="none" w:sz="0" w:space="0" w:color="auto"/>
      </w:divBdr>
    </w:div>
    <w:div w:id="137964154">
      <w:bodyDiv w:val="1"/>
      <w:marLeft w:val="0"/>
      <w:marRight w:val="0"/>
      <w:marTop w:val="0"/>
      <w:marBottom w:val="0"/>
      <w:divBdr>
        <w:top w:val="none" w:sz="0" w:space="0" w:color="auto"/>
        <w:left w:val="none" w:sz="0" w:space="0" w:color="auto"/>
        <w:bottom w:val="none" w:sz="0" w:space="0" w:color="auto"/>
        <w:right w:val="none" w:sz="0" w:space="0" w:color="auto"/>
      </w:divBdr>
    </w:div>
    <w:div w:id="145359179">
      <w:bodyDiv w:val="1"/>
      <w:marLeft w:val="0"/>
      <w:marRight w:val="0"/>
      <w:marTop w:val="0"/>
      <w:marBottom w:val="0"/>
      <w:divBdr>
        <w:top w:val="none" w:sz="0" w:space="0" w:color="auto"/>
        <w:left w:val="none" w:sz="0" w:space="0" w:color="auto"/>
        <w:bottom w:val="none" w:sz="0" w:space="0" w:color="auto"/>
        <w:right w:val="none" w:sz="0" w:space="0" w:color="auto"/>
      </w:divBdr>
    </w:div>
    <w:div w:id="152988830">
      <w:bodyDiv w:val="1"/>
      <w:marLeft w:val="0"/>
      <w:marRight w:val="0"/>
      <w:marTop w:val="0"/>
      <w:marBottom w:val="0"/>
      <w:divBdr>
        <w:top w:val="none" w:sz="0" w:space="0" w:color="auto"/>
        <w:left w:val="none" w:sz="0" w:space="0" w:color="auto"/>
        <w:bottom w:val="none" w:sz="0" w:space="0" w:color="auto"/>
        <w:right w:val="none" w:sz="0" w:space="0" w:color="auto"/>
      </w:divBdr>
      <w:divsChild>
        <w:div w:id="1116679509">
          <w:marLeft w:val="0"/>
          <w:marRight w:val="0"/>
          <w:marTop w:val="0"/>
          <w:marBottom w:val="0"/>
          <w:divBdr>
            <w:top w:val="none" w:sz="0" w:space="0" w:color="auto"/>
            <w:left w:val="none" w:sz="0" w:space="0" w:color="auto"/>
            <w:bottom w:val="none" w:sz="0" w:space="0" w:color="auto"/>
            <w:right w:val="none" w:sz="0" w:space="0" w:color="auto"/>
          </w:divBdr>
        </w:div>
        <w:div w:id="684600056">
          <w:marLeft w:val="0"/>
          <w:marRight w:val="0"/>
          <w:marTop w:val="0"/>
          <w:marBottom w:val="0"/>
          <w:divBdr>
            <w:top w:val="none" w:sz="0" w:space="0" w:color="auto"/>
            <w:left w:val="none" w:sz="0" w:space="0" w:color="auto"/>
            <w:bottom w:val="none" w:sz="0" w:space="0" w:color="auto"/>
            <w:right w:val="none" w:sz="0" w:space="0" w:color="auto"/>
          </w:divBdr>
          <w:divsChild>
            <w:div w:id="631131401">
              <w:marLeft w:val="0"/>
              <w:marRight w:val="0"/>
              <w:marTop w:val="0"/>
              <w:marBottom w:val="0"/>
              <w:divBdr>
                <w:top w:val="none" w:sz="0" w:space="0" w:color="auto"/>
                <w:left w:val="none" w:sz="0" w:space="0" w:color="auto"/>
                <w:bottom w:val="none" w:sz="0" w:space="0" w:color="auto"/>
                <w:right w:val="none" w:sz="0" w:space="0" w:color="auto"/>
              </w:divBdr>
            </w:div>
            <w:div w:id="1730497289">
              <w:marLeft w:val="0"/>
              <w:marRight w:val="0"/>
              <w:marTop w:val="0"/>
              <w:marBottom w:val="0"/>
              <w:divBdr>
                <w:top w:val="none" w:sz="0" w:space="0" w:color="auto"/>
                <w:left w:val="none" w:sz="0" w:space="0" w:color="auto"/>
                <w:bottom w:val="none" w:sz="0" w:space="0" w:color="auto"/>
                <w:right w:val="none" w:sz="0" w:space="0" w:color="auto"/>
              </w:divBdr>
            </w:div>
            <w:div w:id="988096968">
              <w:marLeft w:val="0"/>
              <w:marRight w:val="0"/>
              <w:marTop w:val="0"/>
              <w:marBottom w:val="0"/>
              <w:divBdr>
                <w:top w:val="none" w:sz="0" w:space="0" w:color="auto"/>
                <w:left w:val="none" w:sz="0" w:space="0" w:color="auto"/>
                <w:bottom w:val="none" w:sz="0" w:space="0" w:color="auto"/>
                <w:right w:val="none" w:sz="0" w:space="0" w:color="auto"/>
              </w:divBdr>
            </w:div>
            <w:div w:id="2072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2371316">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3705317">
      <w:bodyDiv w:val="1"/>
      <w:marLeft w:val="0"/>
      <w:marRight w:val="0"/>
      <w:marTop w:val="0"/>
      <w:marBottom w:val="0"/>
      <w:divBdr>
        <w:top w:val="none" w:sz="0" w:space="0" w:color="auto"/>
        <w:left w:val="none" w:sz="0" w:space="0" w:color="auto"/>
        <w:bottom w:val="none" w:sz="0" w:space="0" w:color="auto"/>
        <w:right w:val="none" w:sz="0" w:space="0" w:color="auto"/>
      </w:divBdr>
      <w:divsChild>
        <w:div w:id="47340337">
          <w:marLeft w:val="0"/>
          <w:marRight w:val="0"/>
          <w:marTop w:val="0"/>
          <w:marBottom w:val="0"/>
          <w:divBdr>
            <w:top w:val="none" w:sz="0" w:space="0" w:color="auto"/>
            <w:left w:val="none" w:sz="0" w:space="0" w:color="auto"/>
            <w:bottom w:val="none" w:sz="0" w:space="0" w:color="auto"/>
            <w:right w:val="none" w:sz="0" w:space="0" w:color="auto"/>
          </w:divBdr>
          <w:divsChild>
            <w:div w:id="255022233">
              <w:marLeft w:val="0"/>
              <w:marRight w:val="0"/>
              <w:marTop w:val="0"/>
              <w:marBottom w:val="0"/>
              <w:divBdr>
                <w:top w:val="none" w:sz="0" w:space="0" w:color="auto"/>
                <w:left w:val="none" w:sz="0" w:space="0" w:color="auto"/>
                <w:bottom w:val="none" w:sz="0" w:space="0" w:color="auto"/>
                <w:right w:val="none" w:sz="0" w:space="0" w:color="auto"/>
              </w:divBdr>
              <w:divsChild>
                <w:div w:id="7637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49970108">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65043121">
      <w:bodyDiv w:val="1"/>
      <w:marLeft w:val="0"/>
      <w:marRight w:val="0"/>
      <w:marTop w:val="0"/>
      <w:marBottom w:val="0"/>
      <w:divBdr>
        <w:top w:val="none" w:sz="0" w:space="0" w:color="auto"/>
        <w:left w:val="none" w:sz="0" w:space="0" w:color="auto"/>
        <w:bottom w:val="none" w:sz="0" w:space="0" w:color="auto"/>
        <w:right w:val="none" w:sz="0" w:space="0" w:color="auto"/>
      </w:divBdr>
    </w:div>
    <w:div w:id="277224228">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293171172">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29992290">
      <w:bodyDiv w:val="1"/>
      <w:marLeft w:val="0"/>
      <w:marRight w:val="0"/>
      <w:marTop w:val="0"/>
      <w:marBottom w:val="0"/>
      <w:divBdr>
        <w:top w:val="none" w:sz="0" w:space="0" w:color="auto"/>
        <w:left w:val="none" w:sz="0" w:space="0" w:color="auto"/>
        <w:bottom w:val="none" w:sz="0" w:space="0" w:color="auto"/>
        <w:right w:val="none" w:sz="0" w:space="0" w:color="auto"/>
      </w:divBdr>
      <w:divsChild>
        <w:div w:id="1772242059">
          <w:marLeft w:val="0"/>
          <w:marRight w:val="0"/>
          <w:marTop w:val="0"/>
          <w:marBottom w:val="0"/>
          <w:divBdr>
            <w:top w:val="none" w:sz="0" w:space="0" w:color="auto"/>
            <w:left w:val="none" w:sz="0" w:space="0" w:color="auto"/>
            <w:bottom w:val="none" w:sz="0" w:space="0" w:color="auto"/>
            <w:right w:val="none" w:sz="0" w:space="0" w:color="auto"/>
          </w:divBdr>
          <w:divsChild>
            <w:div w:id="670644931">
              <w:marLeft w:val="0"/>
              <w:marRight w:val="0"/>
              <w:marTop w:val="0"/>
              <w:marBottom w:val="0"/>
              <w:divBdr>
                <w:top w:val="none" w:sz="0" w:space="0" w:color="auto"/>
                <w:left w:val="none" w:sz="0" w:space="0" w:color="auto"/>
                <w:bottom w:val="none" w:sz="0" w:space="0" w:color="auto"/>
                <w:right w:val="none" w:sz="0" w:space="0" w:color="auto"/>
              </w:divBdr>
              <w:divsChild>
                <w:div w:id="1105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9642">
      <w:bodyDiv w:val="1"/>
      <w:marLeft w:val="0"/>
      <w:marRight w:val="0"/>
      <w:marTop w:val="0"/>
      <w:marBottom w:val="0"/>
      <w:divBdr>
        <w:top w:val="none" w:sz="0" w:space="0" w:color="auto"/>
        <w:left w:val="none" w:sz="0" w:space="0" w:color="auto"/>
        <w:bottom w:val="none" w:sz="0" w:space="0" w:color="auto"/>
        <w:right w:val="none" w:sz="0" w:space="0" w:color="auto"/>
      </w:divBdr>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388000330">
      <w:bodyDiv w:val="1"/>
      <w:marLeft w:val="0"/>
      <w:marRight w:val="0"/>
      <w:marTop w:val="0"/>
      <w:marBottom w:val="0"/>
      <w:divBdr>
        <w:top w:val="none" w:sz="0" w:space="0" w:color="auto"/>
        <w:left w:val="none" w:sz="0" w:space="0" w:color="auto"/>
        <w:bottom w:val="none" w:sz="0" w:space="0" w:color="auto"/>
        <w:right w:val="none" w:sz="0" w:space="0" w:color="auto"/>
      </w:divBdr>
    </w:div>
    <w:div w:id="3960504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09349445">
      <w:bodyDiv w:val="1"/>
      <w:marLeft w:val="0"/>
      <w:marRight w:val="0"/>
      <w:marTop w:val="0"/>
      <w:marBottom w:val="0"/>
      <w:divBdr>
        <w:top w:val="none" w:sz="0" w:space="0" w:color="auto"/>
        <w:left w:val="none" w:sz="0" w:space="0" w:color="auto"/>
        <w:bottom w:val="none" w:sz="0" w:space="0" w:color="auto"/>
        <w:right w:val="none" w:sz="0" w:space="0" w:color="auto"/>
      </w:divBdr>
      <w:divsChild>
        <w:div w:id="1726218304">
          <w:marLeft w:val="0"/>
          <w:marRight w:val="0"/>
          <w:marTop w:val="0"/>
          <w:marBottom w:val="0"/>
          <w:divBdr>
            <w:top w:val="none" w:sz="0" w:space="0" w:color="auto"/>
            <w:left w:val="none" w:sz="0" w:space="0" w:color="auto"/>
            <w:bottom w:val="none" w:sz="0" w:space="0" w:color="auto"/>
            <w:right w:val="none" w:sz="0" w:space="0" w:color="auto"/>
          </w:divBdr>
          <w:divsChild>
            <w:div w:id="455493773">
              <w:marLeft w:val="0"/>
              <w:marRight w:val="0"/>
              <w:marTop w:val="0"/>
              <w:marBottom w:val="0"/>
              <w:divBdr>
                <w:top w:val="none" w:sz="0" w:space="0" w:color="auto"/>
                <w:left w:val="none" w:sz="0" w:space="0" w:color="auto"/>
                <w:bottom w:val="none" w:sz="0" w:space="0" w:color="auto"/>
                <w:right w:val="none" w:sz="0" w:space="0" w:color="auto"/>
              </w:divBdr>
              <w:divsChild>
                <w:div w:id="1461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8064">
      <w:bodyDiv w:val="1"/>
      <w:marLeft w:val="0"/>
      <w:marRight w:val="0"/>
      <w:marTop w:val="0"/>
      <w:marBottom w:val="0"/>
      <w:divBdr>
        <w:top w:val="none" w:sz="0" w:space="0" w:color="auto"/>
        <w:left w:val="none" w:sz="0" w:space="0" w:color="auto"/>
        <w:bottom w:val="none" w:sz="0" w:space="0" w:color="auto"/>
        <w:right w:val="none" w:sz="0" w:space="0" w:color="auto"/>
      </w:divBdr>
    </w:div>
    <w:div w:id="415902618">
      <w:bodyDiv w:val="1"/>
      <w:marLeft w:val="0"/>
      <w:marRight w:val="0"/>
      <w:marTop w:val="0"/>
      <w:marBottom w:val="0"/>
      <w:divBdr>
        <w:top w:val="none" w:sz="0" w:space="0" w:color="auto"/>
        <w:left w:val="none" w:sz="0" w:space="0" w:color="auto"/>
        <w:bottom w:val="none" w:sz="0" w:space="0" w:color="auto"/>
        <w:right w:val="none" w:sz="0" w:space="0" w:color="auto"/>
      </w:divBdr>
    </w:div>
    <w:div w:id="431899449">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4899">
      <w:bodyDiv w:val="1"/>
      <w:marLeft w:val="0"/>
      <w:marRight w:val="0"/>
      <w:marTop w:val="0"/>
      <w:marBottom w:val="0"/>
      <w:divBdr>
        <w:top w:val="none" w:sz="0" w:space="0" w:color="auto"/>
        <w:left w:val="none" w:sz="0" w:space="0" w:color="auto"/>
        <w:bottom w:val="none" w:sz="0" w:space="0" w:color="auto"/>
        <w:right w:val="none" w:sz="0" w:space="0" w:color="auto"/>
      </w:divBdr>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60747531">
      <w:bodyDiv w:val="1"/>
      <w:marLeft w:val="0"/>
      <w:marRight w:val="0"/>
      <w:marTop w:val="0"/>
      <w:marBottom w:val="0"/>
      <w:divBdr>
        <w:top w:val="none" w:sz="0" w:space="0" w:color="auto"/>
        <w:left w:val="none" w:sz="0" w:space="0" w:color="auto"/>
        <w:bottom w:val="none" w:sz="0" w:space="0" w:color="auto"/>
        <w:right w:val="none" w:sz="0" w:space="0" w:color="auto"/>
      </w:divBdr>
    </w:div>
    <w:div w:id="572008794">
      <w:bodyDiv w:val="1"/>
      <w:marLeft w:val="0"/>
      <w:marRight w:val="0"/>
      <w:marTop w:val="0"/>
      <w:marBottom w:val="0"/>
      <w:divBdr>
        <w:top w:val="none" w:sz="0" w:space="0" w:color="auto"/>
        <w:left w:val="none" w:sz="0" w:space="0" w:color="auto"/>
        <w:bottom w:val="none" w:sz="0" w:space="0" w:color="auto"/>
        <w:right w:val="none" w:sz="0" w:space="0" w:color="auto"/>
      </w:divBdr>
    </w:div>
    <w:div w:id="579214230">
      <w:bodyDiv w:val="1"/>
      <w:marLeft w:val="0"/>
      <w:marRight w:val="0"/>
      <w:marTop w:val="0"/>
      <w:marBottom w:val="0"/>
      <w:divBdr>
        <w:top w:val="none" w:sz="0" w:space="0" w:color="auto"/>
        <w:left w:val="none" w:sz="0" w:space="0" w:color="auto"/>
        <w:bottom w:val="none" w:sz="0" w:space="0" w:color="auto"/>
        <w:right w:val="none" w:sz="0" w:space="0" w:color="auto"/>
      </w:divBdr>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07854259">
      <w:bodyDiv w:val="1"/>
      <w:marLeft w:val="0"/>
      <w:marRight w:val="0"/>
      <w:marTop w:val="0"/>
      <w:marBottom w:val="0"/>
      <w:divBdr>
        <w:top w:val="none" w:sz="0" w:space="0" w:color="auto"/>
        <w:left w:val="none" w:sz="0" w:space="0" w:color="auto"/>
        <w:bottom w:val="none" w:sz="0" w:space="0" w:color="auto"/>
        <w:right w:val="none" w:sz="0" w:space="0" w:color="auto"/>
      </w:divBdr>
      <w:divsChild>
        <w:div w:id="2014794974">
          <w:marLeft w:val="0"/>
          <w:marRight w:val="0"/>
          <w:marTop w:val="0"/>
          <w:marBottom w:val="390"/>
          <w:divBdr>
            <w:top w:val="none" w:sz="0" w:space="0" w:color="auto"/>
            <w:left w:val="none" w:sz="0" w:space="0" w:color="auto"/>
            <w:bottom w:val="none" w:sz="0" w:space="0" w:color="auto"/>
            <w:right w:val="none" w:sz="0" w:space="0" w:color="auto"/>
          </w:divBdr>
        </w:div>
        <w:div w:id="1942033183">
          <w:marLeft w:val="0"/>
          <w:marRight w:val="0"/>
          <w:marTop w:val="0"/>
          <w:marBottom w:val="390"/>
          <w:divBdr>
            <w:top w:val="none" w:sz="0" w:space="0" w:color="auto"/>
            <w:left w:val="none" w:sz="0" w:space="0" w:color="auto"/>
            <w:bottom w:val="none" w:sz="0" w:space="0" w:color="auto"/>
            <w:right w:val="none" w:sz="0" w:space="0" w:color="auto"/>
          </w:divBdr>
        </w:div>
      </w:divsChild>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35843804">
      <w:bodyDiv w:val="1"/>
      <w:marLeft w:val="0"/>
      <w:marRight w:val="0"/>
      <w:marTop w:val="0"/>
      <w:marBottom w:val="0"/>
      <w:divBdr>
        <w:top w:val="none" w:sz="0" w:space="0" w:color="auto"/>
        <w:left w:val="none" w:sz="0" w:space="0" w:color="auto"/>
        <w:bottom w:val="none" w:sz="0" w:space="0" w:color="auto"/>
        <w:right w:val="none" w:sz="0" w:space="0" w:color="auto"/>
      </w:divBdr>
    </w:div>
    <w:div w:id="654918117">
      <w:bodyDiv w:val="1"/>
      <w:marLeft w:val="0"/>
      <w:marRight w:val="0"/>
      <w:marTop w:val="0"/>
      <w:marBottom w:val="0"/>
      <w:divBdr>
        <w:top w:val="none" w:sz="0" w:space="0" w:color="auto"/>
        <w:left w:val="none" w:sz="0" w:space="0" w:color="auto"/>
        <w:bottom w:val="none" w:sz="0" w:space="0" w:color="auto"/>
        <w:right w:val="none" w:sz="0" w:space="0" w:color="auto"/>
      </w:divBdr>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63418">
      <w:bodyDiv w:val="1"/>
      <w:marLeft w:val="0"/>
      <w:marRight w:val="0"/>
      <w:marTop w:val="0"/>
      <w:marBottom w:val="0"/>
      <w:divBdr>
        <w:top w:val="none" w:sz="0" w:space="0" w:color="auto"/>
        <w:left w:val="none" w:sz="0" w:space="0" w:color="auto"/>
        <w:bottom w:val="none" w:sz="0" w:space="0" w:color="auto"/>
        <w:right w:val="none" w:sz="0" w:space="0" w:color="auto"/>
      </w:divBdr>
    </w:div>
    <w:div w:id="726270574">
      <w:bodyDiv w:val="1"/>
      <w:marLeft w:val="0"/>
      <w:marRight w:val="0"/>
      <w:marTop w:val="0"/>
      <w:marBottom w:val="0"/>
      <w:divBdr>
        <w:top w:val="none" w:sz="0" w:space="0" w:color="auto"/>
        <w:left w:val="none" w:sz="0" w:space="0" w:color="auto"/>
        <w:bottom w:val="none" w:sz="0" w:space="0" w:color="auto"/>
        <w:right w:val="none" w:sz="0" w:space="0" w:color="auto"/>
      </w:divBdr>
    </w:div>
    <w:div w:id="744301920">
      <w:bodyDiv w:val="1"/>
      <w:marLeft w:val="0"/>
      <w:marRight w:val="0"/>
      <w:marTop w:val="0"/>
      <w:marBottom w:val="0"/>
      <w:divBdr>
        <w:top w:val="none" w:sz="0" w:space="0" w:color="auto"/>
        <w:left w:val="none" w:sz="0" w:space="0" w:color="auto"/>
        <w:bottom w:val="none" w:sz="0" w:space="0" w:color="auto"/>
        <w:right w:val="none" w:sz="0" w:space="0" w:color="auto"/>
      </w:divBdr>
    </w:div>
    <w:div w:id="777068709">
      <w:bodyDiv w:val="1"/>
      <w:marLeft w:val="0"/>
      <w:marRight w:val="0"/>
      <w:marTop w:val="0"/>
      <w:marBottom w:val="0"/>
      <w:divBdr>
        <w:top w:val="none" w:sz="0" w:space="0" w:color="auto"/>
        <w:left w:val="none" w:sz="0" w:space="0" w:color="auto"/>
        <w:bottom w:val="none" w:sz="0" w:space="0" w:color="auto"/>
        <w:right w:val="none" w:sz="0" w:space="0" w:color="auto"/>
      </w:divBdr>
    </w:div>
    <w:div w:id="781724827">
      <w:bodyDiv w:val="1"/>
      <w:marLeft w:val="0"/>
      <w:marRight w:val="0"/>
      <w:marTop w:val="0"/>
      <w:marBottom w:val="0"/>
      <w:divBdr>
        <w:top w:val="none" w:sz="0" w:space="0" w:color="auto"/>
        <w:left w:val="none" w:sz="0" w:space="0" w:color="auto"/>
        <w:bottom w:val="none" w:sz="0" w:space="0" w:color="auto"/>
        <w:right w:val="none" w:sz="0" w:space="0" w:color="auto"/>
      </w:divBdr>
      <w:divsChild>
        <w:div w:id="874385315">
          <w:marLeft w:val="0"/>
          <w:marRight w:val="0"/>
          <w:marTop w:val="0"/>
          <w:marBottom w:val="390"/>
          <w:divBdr>
            <w:top w:val="none" w:sz="0" w:space="0" w:color="auto"/>
            <w:left w:val="none" w:sz="0" w:space="0" w:color="auto"/>
            <w:bottom w:val="none" w:sz="0" w:space="0" w:color="auto"/>
            <w:right w:val="none" w:sz="0" w:space="0" w:color="auto"/>
          </w:divBdr>
        </w:div>
        <w:div w:id="1953510001">
          <w:marLeft w:val="0"/>
          <w:marRight w:val="0"/>
          <w:marTop w:val="0"/>
          <w:marBottom w:val="390"/>
          <w:divBdr>
            <w:top w:val="none" w:sz="0" w:space="0" w:color="auto"/>
            <w:left w:val="none" w:sz="0" w:space="0" w:color="auto"/>
            <w:bottom w:val="none" w:sz="0" w:space="0" w:color="auto"/>
            <w:right w:val="none" w:sz="0" w:space="0" w:color="auto"/>
          </w:divBdr>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0864">
      <w:bodyDiv w:val="1"/>
      <w:marLeft w:val="0"/>
      <w:marRight w:val="0"/>
      <w:marTop w:val="0"/>
      <w:marBottom w:val="0"/>
      <w:divBdr>
        <w:top w:val="none" w:sz="0" w:space="0" w:color="auto"/>
        <w:left w:val="none" w:sz="0" w:space="0" w:color="auto"/>
        <w:bottom w:val="none" w:sz="0" w:space="0" w:color="auto"/>
        <w:right w:val="none" w:sz="0" w:space="0" w:color="auto"/>
      </w:divBdr>
    </w:div>
    <w:div w:id="820002578">
      <w:bodyDiv w:val="1"/>
      <w:marLeft w:val="0"/>
      <w:marRight w:val="0"/>
      <w:marTop w:val="0"/>
      <w:marBottom w:val="0"/>
      <w:divBdr>
        <w:top w:val="none" w:sz="0" w:space="0" w:color="auto"/>
        <w:left w:val="none" w:sz="0" w:space="0" w:color="auto"/>
        <w:bottom w:val="none" w:sz="0" w:space="0" w:color="auto"/>
        <w:right w:val="none" w:sz="0" w:space="0" w:color="auto"/>
      </w:divBdr>
      <w:divsChild>
        <w:div w:id="37166343">
          <w:marLeft w:val="0"/>
          <w:marRight w:val="0"/>
          <w:marTop w:val="0"/>
          <w:marBottom w:val="0"/>
          <w:divBdr>
            <w:top w:val="none" w:sz="0" w:space="0" w:color="auto"/>
            <w:left w:val="none" w:sz="0" w:space="0" w:color="auto"/>
            <w:bottom w:val="none" w:sz="0" w:space="0" w:color="auto"/>
            <w:right w:val="none" w:sz="0" w:space="0" w:color="auto"/>
          </w:divBdr>
          <w:divsChild>
            <w:div w:id="2071343714">
              <w:marLeft w:val="0"/>
              <w:marRight w:val="0"/>
              <w:marTop w:val="0"/>
              <w:marBottom w:val="0"/>
              <w:divBdr>
                <w:top w:val="none" w:sz="0" w:space="0" w:color="auto"/>
                <w:left w:val="none" w:sz="0" w:space="0" w:color="auto"/>
                <w:bottom w:val="none" w:sz="0" w:space="0" w:color="auto"/>
                <w:right w:val="none" w:sz="0" w:space="0" w:color="auto"/>
              </w:divBdr>
              <w:divsChild>
                <w:div w:id="1181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86914394">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3903527">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42767740">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49314020">
      <w:bodyDiv w:val="1"/>
      <w:marLeft w:val="0"/>
      <w:marRight w:val="0"/>
      <w:marTop w:val="0"/>
      <w:marBottom w:val="0"/>
      <w:divBdr>
        <w:top w:val="none" w:sz="0" w:space="0" w:color="auto"/>
        <w:left w:val="none" w:sz="0" w:space="0" w:color="auto"/>
        <w:bottom w:val="none" w:sz="0" w:space="0" w:color="auto"/>
        <w:right w:val="none" w:sz="0" w:space="0" w:color="auto"/>
      </w:divBdr>
    </w:div>
    <w:div w:id="951938663">
      <w:bodyDiv w:val="1"/>
      <w:marLeft w:val="0"/>
      <w:marRight w:val="0"/>
      <w:marTop w:val="0"/>
      <w:marBottom w:val="0"/>
      <w:divBdr>
        <w:top w:val="none" w:sz="0" w:space="0" w:color="auto"/>
        <w:left w:val="none" w:sz="0" w:space="0" w:color="auto"/>
        <w:bottom w:val="none" w:sz="0" w:space="0" w:color="auto"/>
        <w:right w:val="none" w:sz="0" w:space="0" w:color="auto"/>
      </w:divBdr>
    </w:div>
    <w:div w:id="964585802">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3850601">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09179">
      <w:bodyDiv w:val="1"/>
      <w:marLeft w:val="0"/>
      <w:marRight w:val="0"/>
      <w:marTop w:val="0"/>
      <w:marBottom w:val="0"/>
      <w:divBdr>
        <w:top w:val="none" w:sz="0" w:space="0" w:color="auto"/>
        <w:left w:val="none" w:sz="0" w:space="0" w:color="auto"/>
        <w:bottom w:val="none" w:sz="0" w:space="0" w:color="auto"/>
        <w:right w:val="none" w:sz="0" w:space="0" w:color="auto"/>
      </w:divBdr>
    </w:div>
    <w:div w:id="1056274938">
      <w:bodyDiv w:val="1"/>
      <w:marLeft w:val="0"/>
      <w:marRight w:val="0"/>
      <w:marTop w:val="0"/>
      <w:marBottom w:val="0"/>
      <w:divBdr>
        <w:top w:val="none" w:sz="0" w:space="0" w:color="auto"/>
        <w:left w:val="none" w:sz="0" w:space="0" w:color="auto"/>
        <w:bottom w:val="none" w:sz="0" w:space="0" w:color="auto"/>
        <w:right w:val="none" w:sz="0" w:space="0" w:color="auto"/>
      </w:divBdr>
      <w:divsChild>
        <w:div w:id="842158988">
          <w:marLeft w:val="0"/>
          <w:marRight w:val="0"/>
          <w:marTop w:val="0"/>
          <w:marBottom w:val="0"/>
          <w:divBdr>
            <w:top w:val="none" w:sz="0" w:space="0" w:color="auto"/>
            <w:left w:val="none" w:sz="0" w:space="0" w:color="auto"/>
            <w:bottom w:val="none" w:sz="0" w:space="0" w:color="auto"/>
            <w:right w:val="none" w:sz="0" w:space="0" w:color="auto"/>
          </w:divBdr>
          <w:divsChild>
            <w:div w:id="1379549880">
              <w:marLeft w:val="0"/>
              <w:marRight w:val="0"/>
              <w:marTop w:val="0"/>
              <w:marBottom w:val="0"/>
              <w:divBdr>
                <w:top w:val="none" w:sz="0" w:space="0" w:color="auto"/>
                <w:left w:val="none" w:sz="0" w:space="0" w:color="auto"/>
                <w:bottom w:val="none" w:sz="0" w:space="0" w:color="auto"/>
                <w:right w:val="none" w:sz="0" w:space="0" w:color="auto"/>
              </w:divBdr>
              <w:divsChild>
                <w:div w:id="1853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7148170">
      <w:bodyDiv w:val="1"/>
      <w:marLeft w:val="0"/>
      <w:marRight w:val="0"/>
      <w:marTop w:val="0"/>
      <w:marBottom w:val="0"/>
      <w:divBdr>
        <w:top w:val="none" w:sz="0" w:space="0" w:color="auto"/>
        <w:left w:val="none" w:sz="0" w:space="0" w:color="auto"/>
        <w:bottom w:val="none" w:sz="0" w:space="0" w:color="auto"/>
        <w:right w:val="none" w:sz="0" w:space="0" w:color="auto"/>
      </w:divBdr>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070272096">
      <w:bodyDiv w:val="1"/>
      <w:marLeft w:val="0"/>
      <w:marRight w:val="0"/>
      <w:marTop w:val="0"/>
      <w:marBottom w:val="0"/>
      <w:divBdr>
        <w:top w:val="none" w:sz="0" w:space="0" w:color="auto"/>
        <w:left w:val="none" w:sz="0" w:space="0" w:color="auto"/>
        <w:bottom w:val="none" w:sz="0" w:space="0" w:color="auto"/>
        <w:right w:val="none" w:sz="0" w:space="0" w:color="auto"/>
      </w:divBdr>
      <w:divsChild>
        <w:div w:id="1112937171">
          <w:marLeft w:val="0"/>
          <w:marRight w:val="0"/>
          <w:marTop w:val="0"/>
          <w:marBottom w:val="0"/>
          <w:divBdr>
            <w:top w:val="none" w:sz="0" w:space="0" w:color="auto"/>
            <w:left w:val="none" w:sz="0" w:space="0" w:color="auto"/>
            <w:bottom w:val="none" w:sz="0" w:space="0" w:color="auto"/>
            <w:right w:val="none" w:sz="0" w:space="0" w:color="auto"/>
          </w:divBdr>
          <w:divsChild>
            <w:div w:id="180704741">
              <w:marLeft w:val="0"/>
              <w:marRight w:val="0"/>
              <w:marTop w:val="0"/>
              <w:marBottom w:val="0"/>
              <w:divBdr>
                <w:top w:val="none" w:sz="0" w:space="0" w:color="auto"/>
                <w:left w:val="none" w:sz="0" w:space="0" w:color="auto"/>
                <w:bottom w:val="none" w:sz="0" w:space="0" w:color="auto"/>
                <w:right w:val="none" w:sz="0" w:space="0" w:color="auto"/>
              </w:divBdr>
              <w:divsChild>
                <w:div w:id="6648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974993911">
          <w:marLeft w:val="0"/>
          <w:marRight w:val="0"/>
          <w:marTop w:val="0"/>
          <w:marBottom w:val="0"/>
          <w:divBdr>
            <w:top w:val="none" w:sz="0" w:space="0" w:color="auto"/>
            <w:left w:val="none" w:sz="0" w:space="0" w:color="auto"/>
            <w:bottom w:val="none" w:sz="0" w:space="0" w:color="auto"/>
            <w:right w:val="none" w:sz="0" w:space="0" w:color="auto"/>
          </w:divBdr>
          <w:divsChild>
            <w:div w:id="553391030">
              <w:marLeft w:val="0"/>
              <w:marRight w:val="0"/>
              <w:marTop w:val="0"/>
              <w:marBottom w:val="0"/>
              <w:divBdr>
                <w:top w:val="none" w:sz="0" w:space="0" w:color="auto"/>
                <w:left w:val="none" w:sz="0" w:space="0" w:color="auto"/>
                <w:bottom w:val="none" w:sz="0" w:space="0" w:color="auto"/>
                <w:right w:val="none" w:sz="0" w:space="0" w:color="auto"/>
              </w:divBdr>
              <w:divsChild>
                <w:div w:id="17895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2160">
      <w:bodyDiv w:val="1"/>
      <w:marLeft w:val="0"/>
      <w:marRight w:val="0"/>
      <w:marTop w:val="0"/>
      <w:marBottom w:val="0"/>
      <w:divBdr>
        <w:top w:val="none" w:sz="0" w:space="0" w:color="auto"/>
        <w:left w:val="none" w:sz="0" w:space="0" w:color="auto"/>
        <w:bottom w:val="none" w:sz="0" w:space="0" w:color="auto"/>
        <w:right w:val="none" w:sz="0" w:space="0" w:color="auto"/>
      </w:divBdr>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883296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179">
      <w:bodyDiv w:val="1"/>
      <w:marLeft w:val="0"/>
      <w:marRight w:val="0"/>
      <w:marTop w:val="0"/>
      <w:marBottom w:val="0"/>
      <w:divBdr>
        <w:top w:val="none" w:sz="0" w:space="0" w:color="auto"/>
        <w:left w:val="none" w:sz="0" w:space="0" w:color="auto"/>
        <w:bottom w:val="none" w:sz="0" w:space="0" w:color="auto"/>
        <w:right w:val="none" w:sz="0" w:space="0" w:color="auto"/>
      </w:divBdr>
    </w:div>
    <w:div w:id="1202012334">
      <w:bodyDiv w:val="1"/>
      <w:marLeft w:val="0"/>
      <w:marRight w:val="0"/>
      <w:marTop w:val="0"/>
      <w:marBottom w:val="0"/>
      <w:divBdr>
        <w:top w:val="none" w:sz="0" w:space="0" w:color="auto"/>
        <w:left w:val="none" w:sz="0" w:space="0" w:color="auto"/>
        <w:bottom w:val="none" w:sz="0" w:space="0" w:color="auto"/>
        <w:right w:val="none" w:sz="0" w:space="0" w:color="auto"/>
      </w:divBdr>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3611077">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18770955">
          <w:marLeft w:val="0"/>
          <w:marRight w:val="0"/>
          <w:marTop w:val="0"/>
          <w:marBottom w:val="0"/>
          <w:divBdr>
            <w:top w:val="none" w:sz="0" w:space="0" w:color="auto"/>
            <w:left w:val="none" w:sz="0" w:space="0" w:color="auto"/>
            <w:bottom w:val="none" w:sz="0" w:space="0" w:color="auto"/>
            <w:right w:val="none" w:sz="0" w:space="0" w:color="auto"/>
          </w:divBdr>
          <w:divsChild>
            <w:div w:id="295186202">
              <w:marLeft w:val="0"/>
              <w:marRight w:val="0"/>
              <w:marTop w:val="0"/>
              <w:marBottom w:val="0"/>
              <w:divBdr>
                <w:top w:val="none" w:sz="0" w:space="0" w:color="auto"/>
                <w:left w:val="none" w:sz="0" w:space="0" w:color="auto"/>
                <w:bottom w:val="none" w:sz="0" w:space="0" w:color="auto"/>
                <w:right w:val="none" w:sz="0" w:space="0" w:color="auto"/>
              </w:divBdr>
              <w:divsChild>
                <w:div w:id="4774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6782">
      <w:bodyDiv w:val="1"/>
      <w:marLeft w:val="0"/>
      <w:marRight w:val="0"/>
      <w:marTop w:val="0"/>
      <w:marBottom w:val="0"/>
      <w:divBdr>
        <w:top w:val="none" w:sz="0" w:space="0" w:color="auto"/>
        <w:left w:val="none" w:sz="0" w:space="0" w:color="auto"/>
        <w:bottom w:val="none" w:sz="0" w:space="0" w:color="auto"/>
        <w:right w:val="none" w:sz="0" w:space="0" w:color="auto"/>
      </w:divBdr>
    </w:div>
    <w:div w:id="1239748270">
      <w:bodyDiv w:val="1"/>
      <w:marLeft w:val="0"/>
      <w:marRight w:val="0"/>
      <w:marTop w:val="0"/>
      <w:marBottom w:val="0"/>
      <w:divBdr>
        <w:top w:val="none" w:sz="0" w:space="0" w:color="auto"/>
        <w:left w:val="none" w:sz="0" w:space="0" w:color="auto"/>
        <w:bottom w:val="none" w:sz="0" w:space="0" w:color="auto"/>
        <w:right w:val="none" w:sz="0" w:space="0" w:color="auto"/>
      </w:divBdr>
      <w:divsChild>
        <w:div w:id="14500469">
          <w:marLeft w:val="0"/>
          <w:marRight w:val="0"/>
          <w:marTop w:val="0"/>
          <w:marBottom w:val="390"/>
          <w:divBdr>
            <w:top w:val="none" w:sz="0" w:space="0" w:color="auto"/>
            <w:left w:val="none" w:sz="0" w:space="0" w:color="auto"/>
            <w:bottom w:val="none" w:sz="0" w:space="0" w:color="auto"/>
            <w:right w:val="none" w:sz="0" w:space="0" w:color="auto"/>
          </w:divBdr>
        </w:div>
        <w:div w:id="590546509">
          <w:marLeft w:val="0"/>
          <w:marRight w:val="0"/>
          <w:marTop w:val="0"/>
          <w:marBottom w:val="390"/>
          <w:divBdr>
            <w:top w:val="none" w:sz="0" w:space="0" w:color="auto"/>
            <w:left w:val="none" w:sz="0" w:space="0" w:color="auto"/>
            <w:bottom w:val="none" w:sz="0" w:space="0" w:color="auto"/>
            <w:right w:val="none" w:sz="0" w:space="0" w:color="auto"/>
          </w:divBdr>
        </w:div>
      </w:divsChild>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50969479">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78029560">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04696221">
      <w:bodyDiv w:val="1"/>
      <w:marLeft w:val="0"/>
      <w:marRight w:val="0"/>
      <w:marTop w:val="0"/>
      <w:marBottom w:val="0"/>
      <w:divBdr>
        <w:top w:val="none" w:sz="0" w:space="0" w:color="auto"/>
        <w:left w:val="none" w:sz="0" w:space="0" w:color="auto"/>
        <w:bottom w:val="none" w:sz="0" w:space="0" w:color="auto"/>
        <w:right w:val="none" w:sz="0" w:space="0" w:color="auto"/>
      </w:divBdr>
    </w:div>
    <w:div w:id="1318607418">
      <w:bodyDiv w:val="1"/>
      <w:marLeft w:val="0"/>
      <w:marRight w:val="0"/>
      <w:marTop w:val="0"/>
      <w:marBottom w:val="0"/>
      <w:divBdr>
        <w:top w:val="none" w:sz="0" w:space="0" w:color="auto"/>
        <w:left w:val="none" w:sz="0" w:space="0" w:color="auto"/>
        <w:bottom w:val="none" w:sz="0" w:space="0" w:color="auto"/>
        <w:right w:val="none" w:sz="0" w:space="0" w:color="auto"/>
      </w:divBdr>
    </w:div>
    <w:div w:id="1360200341">
      <w:bodyDiv w:val="1"/>
      <w:marLeft w:val="0"/>
      <w:marRight w:val="0"/>
      <w:marTop w:val="0"/>
      <w:marBottom w:val="0"/>
      <w:divBdr>
        <w:top w:val="none" w:sz="0" w:space="0" w:color="auto"/>
        <w:left w:val="none" w:sz="0" w:space="0" w:color="auto"/>
        <w:bottom w:val="none" w:sz="0" w:space="0" w:color="auto"/>
        <w:right w:val="none" w:sz="0" w:space="0" w:color="auto"/>
      </w:divBdr>
      <w:divsChild>
        <w:div w:id="21831334">
          <w:marLeft w:val="0"/>
          <w:marRight w:val="0"/>
          <w:marTop w:val="0"/>
          <w:marBottom w:val="0"/>
          <w:divBdr>
            <w:top w:val="none" w:sz="0" w:space="0" w:color="auto"/>
            <w:left w:val="none" w:sz="0" w:space="0" w:color="auto"/>
            <w:bottom w:val="none" w:sz="0" w:space="0" w:color="auto"/>
            <w:right w:val="none" w:sz="0" w:space="0" w:color="auto"/>
          </w:divBdr>
          <w:divsChild>
            <w:div w:id="187381006">
              <w:marLeft w:val="0"/>
              <w:marRight w:val="0"/>
              <w:marTop w:val="0"/>
              <w:marBottom w:val="0"/>
              <w:divBdr>
                <w:top w:val="none" w:sz="0" w:space="0" w:color="auto"/>
                <w:left w:val="none" w:sz="0" w:space="0" w:color="auto"/>
                <w:bottom w:val="none" w:sz="0" w:space="0" w:color="auto"/>
                <w:right w:val="none" w:sz="0" w:space="0" w:color="auto"/>
              </w:divBdr>
              <w:divsChild>
                <w:div w:id="181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7298">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2622">
      <w:bodyDiv w:val="1"/>
      <w:marLeft w:val="0"/>
      <w:marRight w:val="0"/>
      <w:marTop w:val="0"/>
      <w:marBottom w:val="0"/>
      <w:divBdr>
        <w:top w:val="none" w:sz="0" w:space="0" w:color="auto"/>
        <w:left w:val="none" w:sz="0" w:space="0" w:color="auto"/>
        <w:bottom w:val="none" w:sz="0" w:space="0" w:color="auto"/>
        <w:right w:val="none" w:sz="0" w:space="0" w:color="auto"/>
      </w:divBdr>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936">
      <w:bodyDiv w:val="1"/>
      <w:marLeft w:val="0"/>
      <w:marRight w:val="0"/>
      <w:marTop w:val="0"/>
      <w:marBottom w:val="0"/>
      <w:divBdr>
        <w:top w:val="none" w:sz="0" w:space="0" w:color="auto"/>
        <w:left w:val="none" w:sz="0" w:space="0" w:color="auto"/>
        <w:bottom w:val="none" w:sz="0" w:space="0" w:color="auto"/>
        <w:right w:val="none" w:sz="0" w:space="0" w:color="auto"/>
      </w:divBdr>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39175303">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3739761">
      <w:bodyDiv w:val="1"/>
      <w:marLeft w:val="0"/>
      <w:marRight w:val="0"/>
      <w:marTop w:val="0"/>
      <w:marBottom w:val="0"/>
      <w:divBdr>
        <w:top w:val="none" w:sz="0" w:space="0" w:color="auto"/>
        <w:left w:val="none" w:sz="0" w:space="0" w:color="auto"/>
        <w:bottom w:val="none" w:sz="0" w:space="0" w:color="auto"/>
        <w:right w:val="none" w:sz="0" w:space="0" w:color="auto"/>
      </w:divBdr>
    </w:div>
    <w:div w:id="1483959270">
      <w:bodyDiv w:val="1"/>
      <w:marLeft w:val="0"/>
      <w:marRight w:val="0"/>
      <w:marTop w:val="0"/>
      <w:marBottom w:val="0"/>
      <w:divBdr>
        <w:top w:val="none" w:sz="0" w:space="0" w:color="auto"/>
        <w:left w:val="none" w:sz="0" w:space="0" w:color="auto"/>
        <w:bottom w:val="none" w:sz="0" w:space="0" w:color="auto"/>
        <w:right w:val="none" w:sz="0" w:space="0" w:color="auto"/>
      </w:divBdr>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87163429">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727503">
      <w:bodyDiv w:val="1"/>
      <w:marLeft w:val="0"/>
      <w:marRight w:val="0"/>
      <w:marTop w:val="0"/>
      <w:marBottom w:val="0"/>
      <w:divBdr>
        <w:top w:val="none" w:sz="0" w:space="0" w:color="auto"/>
        <w:left w:val="none" w:sz="0" w:space="0" w:color="auto"/>
        <w:bottom w:val="none" w:sz="0" w:space="0" w:color="auto"/>
        <w:right w:val="none" w:sz="0" w:space="0" w:color="auto"/>
      </w:divBdr>
    </w:div>
    <w:div w:id="1510439503">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561668881">
      <w:bodyDiv w:val="1"/>
      <w:marLeft w:val="0"/>
      <w:marRight w:val="0"/>
      <w:marTop w:val="0"/>
      <w:marBottom w:val="0"/>
      <w:divBdr>
        <w:top w:val="none" w:sz="0" w:space="0" w:color="auto"/>
        <w:left w:val="none" w:sz="0" w:space="0" w:color="auto"/>
        <w:bottom w:val="none" w:sz="0" w:space="0" w:color="auto"/>
        <w:right w:val="none" w:sz="0" w:space="0" w:color="auto"/>
      </w:divBdr>
    </w:div>
    <w:div w:id="1600722995">
      <w:bodyDiv w:val="1"/>
      <w:marLeft w:val="0"/>
      <w:marRight w:val="0"/>
      <w:marTop w:val="0"/>
      <w:marBottom w:val="0"/>
      <w:divBdr>
        <w:top w:val="none" w:sz="0" w:space="0" w:color="auto"/>
        <w:left w:val="none" w:sz="0" w:space="0" w:color="auto"/>
        <w:bottom w:val="none" w:sz="0" w:space="0" w:color="auto"/>
        <w:right w:val="none" w:sz="0" w:space="0" w:color="auto"/>
      </w:divBdr>
    </w:div>
    <w:div w:id="1601794037">
      <w:bodyDiv w:val="1"/>
      <w:marLeft w:val="0"/>
      <w:marRight w:val="0"/>
      <w:marTop w:val="0"/>
      <w:marBottom w:val="0"/>
      <w:divBdr>
        <w:top w:val="none" w:sz="0" w:space="0" w:color="auto"/>
        <w:left w:val="none" w:sz="0" w:space="0" w:color="auto"/>
        <w:bottom w:val="none" w:sz="0" w:space="0" w:color="auto"/>
        <w:right w:val="none" w:sz="0" w:space="0" w:color="auto"/>
      </w:divBdr>
    </w:div>
    <w:div w:id="1607884908">
      <w:bodyDiv w:val="1"/>
      <w:marLeft w:val="0"/>
      <w:marRight w:val="0"/>
      <w:marTop w:val="0"/>
      <w:marBottom w:val="0"/>
      <w:divBdr>
        <w:top w:val="none" w:sz="0" w:space="0" w:color="auto"/>
        <w:left w:val="none" w:sz="0" w:space="0" w:color="auto"/>
        <w:bottom w:val="none" w:sz="0" w:space="0" w:color="auto"/>
        <w:right w:val="none" w:sz="0" w:space="0" w:color="auto"/>
      </w:divBdr>
      <w:divsChild>
        <w:div w:id="2120366650">
          <w:marLeft w:val="0"/>
          <w:marRight w:val="0"/>
          <w:marTop w:val="0"/>
          <w:marBottom w:val="0"/>
          <w:divBdr>
            <w:top w:val="none" w:sz="0" w:space="0" w:color="auto"/>
            <w:left w:val="none" w:sz="0" w:space="0" w:color="auto"/>
            <w:bottom w:val="none" w:sz="0" w:space="0" w:color="auto"/>
            <w:right w:val="none" w:sz="0" w:space="0" w:color="auto"/>
          </w:divBdr>
          <w:divsChild>
            <w:div w:id="813790062">
              <w:marLeft w:val="0"/>
              <w:marRight w:val="0"/>
              <w:marTop w:val="0"/>
              <w:marBottom w:val="0"/>
              <w:divBdr>
                <w:top w:val="none" w:sz="0" w:space="0" w:color="auto"/>
                <w:left w:val="none" w:sz="0" w:space="0" w:color="auto"/>
                <w:bottom w:val="none" w:sz="0" w:space="0" w:color="auto"/>
                <w:right w:val="none" w:sz="0" w:space="0" w:color="auto"/>
              </w:divBdr>
              <w:divsChild>
                <w:div w:id="11963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1209467">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82930391">
      <w:bodyDiv w:val="1"/>
      <w:marLeft w:val="0"/>
      <w:marRight w:val="0"/>
      <w:marTop w:val="0"/>
      <w:marBottom w:val="0"/>
      <w:divBdr>
        <w:top w:val="none" w:sz="0" w:space="0" w:color="auto"/>
        <w:left w:val="none" w:sz="0" w:space="0" w:color="auto"/>
        <w:bottom w:val="none" w:sz="0" w:space="0" w:color="auto"/>
        <w:right w:val="none" w:sz="0" w:space="0" w:color="auto"/>
      </w:divBdr>
    </w:div>
    <w:div w:id="1688629831">
      <w:bodyDiv w:val="1"/>
      <w:marLeft w:val="0"/>
      <w:marRight w:val="0"/>
      <w:marTop w:val="0"/>
      <w:marBottom w:val="0"/>
      <w:divBdr>
        <w:top w:val="none" w:sz="0" w:space="0" w:color="auto"/>
        <w:left w:val="none" w:sz="0" w:space="0" w:color="auto"/>
        <w:bottom w:val="none" w:sz="0" w:space="0" w:color="auto"/>
        <w:right w:val="none" w:sz="0" w:space="0" w:color="auto"/>
      </w:divBdr>
    </w:div>
    <w:div w:id="1725106579">
      <w:bodyDiv w:val="1"/>
      <w:marLeft w:val="0"/>
      <w:marRight w:val="0"/>
      <w:marTop w:val="0"/>
      <w:marBottom w:val="0"/>
      <w:divBdr>
        <w:top w:val="none" w:sz="0" w:space="0" w:color="auto"/>
        <w:left w:val="none" w:sz="0" w:space="0" w:color="auto"/>
        <w:bottom w:val="none" w:sz="0" w:space="0" w:color="auto"/>
        <w:right w:val="none" w:sz="0" w:space="0" w:color="auto"/>
      </w:divBdr>
    </w:div>
    <w:div w:id="1726559547">
      <w:bodyDiv w:val="1"/>
      <w:marLeft w:val="0"/>
      <w:marRight w:val="0"/>
      <w:marTop w:val="0"/>
      <w:marBottom w:val="0"/>
      <w:divBdr>
        <w:top w:val="none" w:sz="0" w:space="0" w:color="auto"/>
        <w:left w:val="none" w:sz="0" w:space="0" w:color="auto"/>
        <w:bottom w:val="none" w:sz="0" w:space="0" w:color="auto"/>
        <w:right w:val="none" w:sz="0" w:space="0" w:color="auto"/>
      </w:divBdr>
    </w:div>
    <w:div w:id="1727101310">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797139593">
      <w:bodyDiv w:val="1"/>
      <w:marLeft w:val="0"/>
      <w:marRight w:val="0"/>
      <w:marTop w:val="0"/>
      <w:marBottom w:val="0"/>
      <w:divBdr>
        <w:top w:val="none" w:sz="0" w:space="0" w:color="auto"/>
        <w:left w:val="none" w:sz="0" w:space="0" w:color="auto"/>
        <w:bottom w:val="none" w:sz="0" w:space="0" w:color="auto"/>
        <w:right w:val="none" w:sz="0" w:space="0" w:color="auto"/>
      </w:divBdr>
    </w:div>
    <w:div w:id="1809514562">
      <w:bodyDiv w:val="1"/>
      <w:marLeft w:val="0"/>
      <w:marRight w:val="0"/>
      <w:marTop w:val="0"/>
      <w:marBottom w:val="0"/>
      <w:divBdr>
        <w:top w:val="none" w:sz="0" w:space="0" w:color="auto"/>
        <w:left w:val="none" w:sz="0" w:space="0" w:color="auto"/>
        <w:bottom w:val="none" w:sz="0" w:space="0" w:color="auto"/>
        <w:right w:val="none" w:sz="0" w:space="0" w:color="auto"/>
      </w:divBdr>
      <w:divsChild>
        <w:div w:id="1105267469">
          <w:marLeft w:val="0"/>
          <w:marRight w:val="0"/>
          <w:marTop w:val="0"/>
          <w:marBottom w:val="0"/>
          <w:divBdr>
            <w:top w:val="none" w:sz="0" w:space="0" w:color="auto"/>
            <w:left w:val="none" w:sz="0" w:space="0" w:color="auto"/>
            <w:bottom w:val="none" w:sz="0" w:space="0" w:color="auto"/>
            <w:right w:val="none" w:sz="0" w:space="0" w:color="auto"/>
          </w:divBdr>
          <w:divsChild>
            <w:div w:id="299728610">
              <w:marLeft w:val="0"/>
              <w:marRight w:val="0"/>
              <w:marTop w:val="0"/>
              <w:marBottom w:val="0"/>
              <w:divBdr>
                <w:top w:val="none" w:sz="0" w:space="0" w:color="auto"/>
                <w:left w:val="none" w:sz="0" w:space="0" w:color="auto"/>
                <w:bottom w:val="none" w:sz="0" w:space="0" w:color="auto"/>
                <w:right w:val="none" w:sz="0" w:space="0" w:color="auto"/>
              </w:divBdr>
              <w:divsChild>
                <w:div w:id="11937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4371181">
      <w:bodyDiv w:val="1"/>
      <w:marLeft w:val="0"/>
      <w:marRight w:val="0"/>
      <w:marTop w:val="0"/>
      <w:marBottom w:val="0"/>
      <w:divBdr>
        <w:top w:val="none" w:sz="0" w:space="0" w:color="auto"/>
        <w:left w:val="none" w:sz="0" w:space="0" w:color="auto"/>
        <w:bottom w:val="none" w:sz="0" w:space="0" w:color="auto"/>
        <w:right w:val="none" w:sz="0" w:space="0" w:color="auto"/>
      </w:divBdr>
    </w:div>
    <w:div w:id="1863859883">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893612642">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55205710">
      <w:bodyDiv w:val="1"/>
      <w:marLeft w:val="0"/>
      <w:marRight w:val="0"/>
      <w:marTop w:val="0"/>
      <w:marBottom w:val="0"/>
      <w:divBdr>
        <w:top w:val="none" w:sz="0" w:space="0" w:color="auto"/>
        <w:left w:val="none" w:sz="0" w:space="0" w:color="auto"/>
        <w:bottom w:val="none" w:sz="0" w:space="0" w:color="auto"/>
        <w:right w:val="none" w:sz="0" w:space="0" w:color="auto"/>
      </w:divBdr>
      <w:divsChild>
        <w:div w:id="301883101">
          <w:marLeft w:val="0"/>
          <w:marRight w:val="0"/>
          <w:marTop w:val="0"/>
          <w:marBottom w:val="0"/>
          <w:divBdr>
            <w:top w:val="none" w:sz="0" w:space="0" w:color="auto"/>
            <w:left w:val="none" w:sz="0" w:space="0" w:color="auto"/>
            <w:bottom w:val="none" w:sz="0" w:space="0" w:color="auto"/>
            <w:right w:val="none" w:sz="0" w:space="0" w:color="auto"/>
          </w:divBdr>
          <w:divsChild>
            <w:div w:id="1844127971">
              <w:marLeft w:val="0"/>
              <w:marRight w:val="0"/>
              <w:marTop w:val="0"/>
              <w:marBottom w:val="0"/>
              <w:divBdr>
                <w:top w:val="none" w:sz="0" w:space="0" w:color="auto"/>
                <w:left w:val="none" w:sz="0" w:space="0" w:color="auto"/>
                <w:bottom w:val="none" w:sz="0" w:space="0" w:color="auto"/>
                <w:right w:val="none" w:sz="0" w:space="0" w:color="auto"/>
              </w:divBdr>
              <w:divsChild>
                <w:div w:id="1943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1980499855">
      <w:bodyDiv w:val="1"/>
      <w:marLeft w:val="0"/>
      <w:marRight w:val="0"/>
      <w:marTop w:val="0"/>
      <w:marBottom w:val="0"/>
      <w:divBdr>
        <w:top w:val="none" w:sz="0" w:space="0" w:color="auto"/>
        <w:left w:val="none" w:sz="0" w:space="0" w:color="auto"/>
        <w:bottom w:val="none" w:sz="0" w:space="0" w:color="auto"/>
        <w:right w:val="none" w:sz="0" w:space="0" w:color="auto"/>
      </w:divBdr>
    </w:div>
    <w:div w:id="2010517873">
      <w:bodyDiv w:val="1"/>
      <w:marLeft w:val="0"/>
      <w:marRight w:val="0"/>
      <w:marTop w:val="0"/>
      <w:marBottom w:val="0"/>
      <w:divBdr>
        <w:top w:val="none" w:sz="0" w:space="0" w:color="auto"/>
        <w:left w:val="none" w:sz="0" w:space="0" w:color="auto"/>
        <w:bottom w:val="none" w:sz="0" w:space="0" w:color="auto"/>
        <w:right w:val="none" w:sz="0" w:space="0" w:color="auto"/>
      </w:divBdr>
    </w:div>
    <w:div w:id="2014919111">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0CA5-F21D-492A-A371-AAABFF3A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Lazarus Rakgwale</cp:lastModifiedBy>
  <cp:revision>2</cp:revision>
  <cp:lastPrinted>2022-05-03T08:35:00Z</cp:lastPrinted>
  <dcterms:created xsi:type="dcterms:W3CDTF">2022-05-11T12:50:00Z</dcterms:created>
  <dcterms:modified xsi:type="dcterms:W3CDTF">2022-05-11T12:50:00Z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