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7CF05" w14:textId="77777777" w:rsidR="001F51FC" w:rsidRPr="00B509EE" w:rsidRDefault="001F51FC" w:rsidP="001F51FC">
      <w:pPr>
        <w:tabs>
          <w:tab w:val="left" w:pos="3000"/>
        </w:tabs>
        <w:jc w:val="center"/>
        <w:rPr>
          <w:rFonts w:ascii="Arial" w:hAnsi="Arial" w:cs="Arial"/>
          <w:b/>
          <w:sz w:val="28"/>
          <w:szCs w:val="28"/>
        </w:rPr>
      </w:pPr>
      <w:r>
        <w:rPr>
          <w:rFonts w:ascii="Arial" w:hAnsi="Arial" w:cs="Arial"/>
          <w:b/>
          <w:sz w:val="28"/>
          <w:szCs w:val="28"/>
        </w:rPr>
        <w:t>REPUBLIC OF SOUTH AFRICA</w:t>
      </w:r>
    </w:p>
    <w:p w14:paraId="129DC7CA" w14:textId="77777777" w:rsidR="001F51FC" w:rsidRPr="00B509EE" w:rsidRDefault="001F51FC" w:rsidP="001F51FC">
      <w:pPr>
        <w:tabs>
          <w:tab w:val="left" w:pos="3000"/>
        </w:tabs>
        <w:jc w:val="center"/>
        <w:rPr>
          <w:b/>
          <w:sz w:val="28"/>
          <w:szCs w:val="28"/>
        </w:rPr>
      </w:pPr>
      <w:r w:rsidRPr="00646E2F">
        <w:rPr>
          <w:rFonts w:ascii="Arial" w:hAnsi="Arial" w:cs="Arial"/>
          <w:b/>
          <w:noProof/>
          <w:lang w:eastAsia="en-ZA"/>
        </w:rPr>
        <w:drawing>
          <wp:inline distT="0" distB="0" distL="0" distR="0" wp14:anchorId="049549A2" wp14:editId="6E367B21">
            <wp:extent cx="140017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343025"/>
                    </a:xfrm>
                    <a:prstGeom prst="rect">
                      <a:avLst/>
                    </a:prstGeom>
                    <a:noFill/>
                    <a:ln>
                      <a:noFill/>
                    </a:ln>
                  </pic:spPr>
                </pic:pic>
              </a:graphicData>
            </a:graphic>
          </wp:inline>
        </w:drawing>
      </w:r>
    </w:p>
    <w:p w14:paraId="4A06431C" w14:textId="77777777" w:rsidR="001F51FC" w:rsidRPr="00B509EE" w:rsidRDefault="001F51FC" w:rsidP="001F51FC">
      <w:pPr>
        <w:tabs>
          <w:tab w:val="left" w:pos="3000"/>
        </w:tabs>
        <w:jc w:val="center"/>
        <w:rPr>
          <w:rFonts w:ascii="Arial" w:hAnsi="Arial" w:cs="Arial"/>
          <w:b/>
          <w:sz w:val="28"/>
          <w:szCs w:val="28"/>
        </w:rPr>
      </w:pPr>
      <w:r w:rsidRPr="00B509EE">
        <w:rPr>
          <w:rFonts w:ascii="Arial" w:hAnsi="Arial" w:cs="Arial"/>
          <w:b/>
          <w:sz w:val="28"/>
          <w:szCs w:val="28"/>
        </w:rPr>
        <w:t>IN THE HIGH COURT OF SOUTH AFRICA</w:t>
      </w:r>
    </w:p>
    <w:p w14:paraId="6D4961E2" w14:textId="0F1C7BE7" w:rsidR="001F51FC" w:rsidRDefault="001F51FC" w:rsidP="001F51FC">
      <w:pPr>
        <w:tabs>
          <w:tab w:val="left" w:pos="3000"/>
        </w:tabs>
        <w:jc w:val="center"/>
        <w:rPr>
          <w:rFonts w:ascii="Arial" w:hAnsi="Arial" w:cs="Arial"/>
          <w:b/>
          <w:sz w:val="28"/>
          <w:szCs w:val="28"/>
        </w:rPr>
      </w:pPr>
      <w:r w:rsidRPr="00B509EE">
        <w:rPr>
          <w:rFonts w:ascii="Arial" w:hAnsi="Arial" w:cs="Arial"/>
          <w:b/>
          <w:sz w:val="28"/>
          <w:szCs w:val="28"/>
        </w:rPr>
        <w:t>GAUT</w:t>
      </w:r>
      <w:r w:rsidR="00DE0D9A">
        <w:rPr>
          <w:rFonts w:ascii="Arial" w:hAnsi="Arial" w:cs="Arial"/>
          <w:b/>
          <w:sz w:val="28"/>
          <w:szCs w:val="28"/>
        </w:rPr>
        <w:t xml:space="preserve">ENG </w:t>
      </w:r>
      <w:r>
        <w:rPr>
          <w:rFonts w:ascii="Arial" w:hAnsi="Arial" w:cs="Arial"/>
          <w:b/>
          <w:sz w:val="28"/>
          <w:szCs w:val="28"/>
        </w:rPr>
        <w:t>DIVISION, JOHANNESBURG</w:t>
      </w:r>
    </w:p>
    <w:p w14:paraId="52CA0770" w14:textId="77777777" w:rsidR="001C5172" w:rsidRPr="00CC3680" w:rsidRDefault="001C5172" w:rsidP="001F51FC">
      <w:pPr>
        <w:tabs>
          <w:tab w:val="left" w:pos="3000"/>
        </w:tabs>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7"/>
      </w:tblGrid>
      <w:tr w:rsidR="001F51FC" w:rsidRPr="00B509EE" w14:paraId="7D4D26EE" w14:textId="77777777" w:rsidTr="00E545E3">
        <w:trPr>
          <w:trHeight w:val="1857"/>
        </w:trPr>
        <w:tc>
          <w:tcPr>
            <w:tcW w:w="5057" w:type="dxa"/>
          </w:tcPr>
          <w:p w14:paraId="333D1DB4" w14:textId="77777777" w:rsidR="001F51FC" w:rsidRPr="00B509EE" w:rsidRDefault="001F51FC" w:rsidP="00E545E3">
            <w:pPr>
              <w:jc w:val="both"/>
              <w:rPr>
                <w:sz w:val="18"/>
                <w:szCs w:val="18"/>
              </w:rPr>
            </w:pPr>
          </w:p>
          <w:p w14:paraId="4AA94CF2" w14:textId="77777777" w:rsidR="001F51FC" w:rsidRPr="00CD26F9" w:rsidRDefault="00773A28" w:rsidP="00E545E3">
            <w:pPr>
              <w:spacing w:line="360" w:lineRule="auto"/>
              <w:jc w:val="both"/>
              <w:rPr>
                <w:rFonts w:ascii="Arial" w:hAnsi="Arial" w:cs="Arial"/>
                <w:sz w:val="18"/>
                <w:szCs w:val="18"/>
              </w:rPr>
            </w:pPr>
            <w:r>
              <w:rPr>
                <w:rFonts w:ascii="Arial" w:hAnsi="Arial" w:cs="Arial"/>
                <w:sz w:val="18"/>
                <w:szCs w:val="18"/>
              </w:rPr>
              <w:t>(1)    REPORTABLE:  NO</w:t>
            </w:r>
          </w:p>
          <w:p w14:paraId="5BF9AF7D" w14:textId="258D9C32" w:rsidR="001F51FC" w:rsidRDefault="001F51FC" w:rsidP="00E545E3">
            <w:pPr>
              <w:spacing w:line="360" w:lineRule="auto"/>
              <w:jc w:val="both"/>
              <w:rPr>
                <w:rFonts w:ascii="Arial" w:hAnsi="Arial" w:cs="Arial"/>
                <w:sz w:val="18"/>
                <w:szCs w:val="18"/>
              </w:rPr>
            </w:pPr>
            <w:r w:rsidRPr="00CD26F9">
              <w:rPr>
                <w:rFonts w:ascii="Arial" w:hAnsi="Arial" w:cs="Arial"/>
                <w:sz w:val="18"/>
                <w:szCs w:val="18"/>
              </w:rPr>
              <w:t xml:space="preserve">(2)    OF </w:t>
            </w:r>
            <w:r w:rsidR="00773A28">
              <w:rPr>
                <w:rFonts w:ascii="Arial" w:hAnsi="Arial" w:cs="Arial"/>
                <w:sz w:val="18"/>
                <w:szCs w:val="18"/>
              </w:rPr>
              <w:t xml:space="preserve">INTEREST TO OTHER JUDGES: YES </w:t>
            </w:r>
          </w:p>
          <w:p w14:paraId="44ADF6D1" w14:textId="77777777" w:rsidR="001C5172" w:rsidRPr="00CD26F9" w:rsidRDefault="001C5172" w:rsidP="00E545E3">
            <w:pPr>
              <w:spacing w:line="360" w:lineRule="auto"/>
              <w:jc w:val="both"/>
              <w:rPr>
                <w:rFonts w:ascii="Arial" w:hAnsi="Arial" w:cs="Arial"/>
                <w:sz w:val="18"/>
                <w:szCs w:val="18"/>
              </w:rPr>
            </w:pPr>
          </w:p>
          <w:p w14:paraId="1D68B898" w14:textId="77777777" w:rsidR="001F51FC" w:rsidRPr="00CD26F9" w:rsidRDefault="001F51FC" w:rsidP="00E545E3">
            <w:pPr>
              <w:jc w:val="both"/>
              <w:rPr>
                <w:rFonts w:ascii="Arial" w:hAnsi="Arial" w:cs="Arial"/>
                <w:sz w:val="18"/>
                <w:szCs w:val="18"/>
              </w:rPr>
            </w:pPr>
            <w:r w:rsidRPr="00CD26F9">
              <w:rPr>
                <w:rFonts w:ascii="Arial" w:hAnsi="Arial" w:cs="Arial"/>
                <w:sz w:val="18"/>
                <w:szCs w:val="18"/>
              </w:rPr>
              <w:t>______________________         ______________________</w:t>
            </w:r>
          </w:p>
          <w:p w14:paraId="6B6ADA7F" w14:textId="49A266B7" w:rsidR="001F51FC" w:rsidRPr="00B509EE" w:rsidRDefault="001F51FC" w:rsidP="00E545E3">
            <w:pPr>
              <w:jc w:val="both"/>
              <w:rPr>
                <w:sz w:val="18"/>
                <w:szCs w:val="18"/>
              </w:rPr>
            </w:pPr>
            <w:r w:rsidRPr="00CD26F9">
              <w:rPr>
                <w:rFonts w:ascii="Arial" w:hAnsi="Arial" w:cs="Arial"/>
                <w:sz w:val="18"/>
                <w:szCs w:val="18"/>
              </w:rPr>
              <w:t>DATE                                               SIGNATURE</w:t>
            </w:r>
          </w:p>
        </w:tc>
      </w:tr>
    </w:tbl>
    <w:p w14:paraId="13DB6EC7" w14:textId="77777777" w:rsidR="001F51FC" w:rsidRDefault="001F51FC" w:rsidP="001F51FC"/>
    <w:p w14:paraId="64357493" w14:textId="77777777" w:rsidR="001F51FC" w:rsidRPr="00CD26F9" w:rsidRDefault="001F51FC" w:rsidP="001F51FC">
      <w:pPr>
        <w:rPr>
          <w:rFonts w:ascii="Arial" w:hAnsi="Arial" w:cs="Arial"/>
        </w:rPr>
      </w:pPr>
      <w:r>
        <w:t xml:space="preserve">                                                                                                                  </w:t>
      </w:r>
      <w:r>
        <w:tab/>
      </w:r>
      <w:r>
        <w:tab/>
      </w:r>
      <w:r>
        <w:rPr>
          <w:rFonts w:ascii="Arial" w:hAnsi="Arial" w:cs="Arial"/>
        </w:rPr>
        <w:t>CASE NO: A139/2020</w:t>
      </w:r>
    </w:p>
    <w:p w14:paraId="71C612A7" w14:textId="77777777" w:rsidR="001F51FC" w:rsidRPr="00CD26F9" w:rsidRDefault="001F51FC" w:rsidP="001F51FC">
      <w:pPr>
        <w:rPr>
          <w:rFonts w:ascii="Arial" w:hAnsi="Arial" w:cs="Arial"/>
        </w:rPr>
      </w:pPr>
      <w:r w:rsidRPr="00CD26F9">
        <w:rPr>
          <w:rFonts w:ascii="Arial" w:hAnsi="Arial" w:cs="Arial"/>
        </w:rPr>
        <w:t>In the matter between:</w:t>
      </w:r>
    </w:p>
    <w:p w14:paraId="56C6760B" w14:textId="77777777" w:rsidR="001F51FC" w:rsidRPr="00CD26F9" w:rsidRDefault="001F51FC" w:rsidP="001F51FC">
      <w:pPr>
        <w:rPr>
          <w:rFonts w:ascii="Arial" w:hAnsi="Arial" w:cs="Arial"/>
        </w:rPr>
      </w:pPr>
    </w:p>
    <w:p w14:paraId="16AB7B0F" w14:textId="77777777" w:rsidR="001F51FC" w:rsidRPr="00CD26F9" w:rsidRDefault="001F51FC" w:rsidP="001F51FC">
      <w:pPr>
        <w:rPr>
          <w:rFonts w:ascii="Arial" w:hAnsi="Arial" w:cs="Arial"/>
        </w:rPr>
      </w:pPr>
      <w:r>
        <w:rPr>
          <w:rFonts w:ascii="Arial" w:hAnsi="Arial" w:cs="Arial"/>
        </w:rPr>
        <w:t>AARON CHAUKE</w:t>
      </w:r>
      <w:r>
        <w:rPr>
          <w:rFonts w:ascii="Arial" w:hAnsi="Arial" w:cs="Arial"/>
        </w:rPr>
        <w:tab/>
      </w:r>
      <w:r>
        <w:rPr>
          <w:rFonts w:ascii="Arial" w:hAnsi="Arial" w:cs="Arial"/>
        </w:rPr>
        <w:tab/>
      </w:r>
      <w:r w:rsidRPr="00CD26F9">
        <w:rPr>
          <w:rFonts w:ascii="Arial" w:hAnsi="Arial" w:cs="Arial"/>
        </w:rPr>
        <w:t xml:space="preserve">                                                     </w:t>
      </w:r>
      <w:r w:rsidRPr="00CD26F9">
        <w:rPr>
          <w:rFonts w:ascii="Arial" w:hAnsi="Arial" w:cs="Arial"/>
        </w:rPr>
        <w:tab/>
        <w:t>APPELLANT</w:t>
      </w:r>
    </w:p>
    <w:p w14:paraId="4B9CB9FA" w14:textId="77777777" w:rsidR="001F51FC" w:rsidRPr="00CD26F9" w:rsidRDefault="001F51FC" w:rsidP="001F51FC">
      <w:pPr>
        <w:rPr>
          <w:rFonts w:ascii="Arial" w:hAnsi="Arial" w:cs="Arial"/>
        </w:rPr>
      </w:pPr>
    </w:p>
    <w:p w14:paraId="56978941" w14:textId="77777777" w:rsidR="001F51FC" w:rsidRPr="00CD26F9" w:rsidRDefault="001F51FC" w:rsidP="001F51FC">
      <w:pPr>
        <w:rPr>
          <w:rFonts w:ascii="Arial" w:hAnsi="Arial" w:cs="Arial"/>
        </w:rPr>
      </w:pPr>
      <w:r w:rsidRPr="00CD26F9">
        <w:rPr>
          <w:rFonts w:ascii="Arial" w:hAnsi="Arial" w:cs="Arial"/>
        </w:rPr>
        <w:t>And</w:t>
      </w:r>
    </w:p>
    <w:p w14:paraId="0E796FDD" w14:textId="77777777" w:rsidR="001F51FC" w:rsidRPr="00CD26F9" w:rsidRDefault="001F51FC" w:rsidP="001F51FC">
      <w:pPr>
        <w:rPr>
          <w:rFonts w:ascii="Arial" w:hAnsi="Arial" w:cs="Arial"/>
        </w:rPr>
      </w:pPr>
    </w:p>
    <w:p w14:paraId="63C51E51" w14:textId="77777777" w:rsidR="001F51FC" w:rsidRPr="00CD26F9" w:rsidRDefault="001F51FC" w:rsidP="001F51FC">
      <w:pPr>
        <w:rPr>
          <w:rFonts w:ascii="Arial" w:hAnsi="Arial" w:cs="Arial"/>
        </w:rPr>
      </w:pPr>
      <w:r w:rsidRPr="00CD26F9">
        <w:rPr>
          <w:rFonts w:ascii="Arial" w:hAnsi="Arial" w:cs="Arial"/>
        </w:rPr>
        <w:t xml:space="preserve">THE STATE                                                                      </w:t>
      </w:r>
      <w:r w:rsidR="004A0D43">
        <w:rPr>
          <w:rFonts w:ascii="Arial" w:hAnsi="Arial" w:cs="Arial"/>
        </w:rPr>
        <w:t xml:space="preserve">     </w:t>
      </w:r>
      <w:r w:rsidR="004A0D43">
        <w:rPr>
          <w:rFonts w:ascii="Arial" w:hAnsi="Arial" w:cs="Arial"/>
        </w:rPr>
        <w:tab/>
      </w:r>
      <w:r w:rsidRPr="00CD26F9">
        <w:rPr>
          <w:rFonts w:ascii="Arial" w:hAnsi="Arial" w:cs="Arial"/>
        </w:rPr>
        <w:t>RESPONDENT</w:t>
      </w:r>
    </w:p>
    <w:p w14:paraId="1C28E9A3" w14:textId="77777777" w:rsidR="001F51FC" w:rsidRDefault="001F51FC" w:rsidP="001F51FC">
      <w:pPr>
        <w:pBdr>
          <w:bottom w:val="single" w:sz="12" w:space="1" w:color="auto"/>
        </w:pBdr>
        <w:rPr>
          <w:rFonts w:ascii="Arial" w:hAnsi="Arial" w:cs="Arial"/>
        </w:rPr>
      </w:pPr>
    </w:p>
    <w:p w14:paraId="6897CE61" w14:textId="77777777" w:rsidR="001F51FC" w:rsidRDefault="001F51FC" w:rsidP="001F51FC">
      <w:pPr>
        <w:jc w:val="center"/>
        <w:rPr>
          <w:rFonts w:ascii="Arial" w:hAnsi="Arial" w:cs="Arial"/>
        </w:rPr>
      </w:pPr>
    </w:p>
    <w:p w14:paraId="22D559F9" w14:textId="77777777" w:rsidR="001F51FC" w:rsidRDefault="001F51FC" w:rsidP="001F51FC">
      <w:pPr>
        <w:pBdr>
          <w:bottom w:val="single" w:sz="12" w:space="1" w:color="auto"/>
        </w:pBdr>
        <w:jc w:val="center"/>
        <w:rPr>
          <w:rFonts w:ascii="Arial" w:hAnsi="Arial" w:cs="Arial"/>
        </w:rPr>
      </w:pPr>
      <w:r>
        <w:rPr>
          <w:rFonts w:ascii="Arial" w:hAnsi="Arial" w:cs="Arial"/>
        </w:rPr>
        <w:t>JUDGMENT</w:t>
      </w:r>
    </w:p>
    <w:p w14:paraId="6DE96D29" w14:textId="77777777" w:rsidR="001F51FC" w:rsidRDefault="001F51FC" w:rsidP="001F51FC">
      <w:pPr>
        <w:pBdr>
          <w:bottom w:val="single" w:sz="12" w:space="1" w:color="auto"/>
        </w:pBdr>
        <w:jc w:val="center"/>
        <w:rPr>
          <w:rFonts w:ascii="Arial" w:hAnsi="Arial" w:cs="Arial"/>
        </w:rPr>
      </w:pPr>
    </w:p>
    <w:p w14:paraId="2F0DB794" w14:textId="18347288" w:rsidR="00DE0D9A" w:rsidRDefault="00DE0D9A" w:rsidP="00DE0D9A">
      <w:pPr>
        <w:spacing w:line="480" w:lineRule="auto"/>
        <w:rPr>
          <w:rFonts w:ascii="Arial" w:hAnsi="Arial" w:cs="Arial"/>
          <w:b/>
          <w:sz w:val="24"/>
          <w:szCs w:val="24"/>
        </w:rPr>
      </w:pPr>
    </w:p>
    <w:p w14:paraId="2F1A8746" w14:textId="77777777" w:rsidR="001C5172" w:rsidRDefault="001C5172" w:rsidP="00DE0D9A">
      <w:pPr>
        <w:spacing w:line="480" w:lineRule="auto"/>
        <w:rPr>
          <w:rFonts w:ascii="Arial" w:hAnsi="Arial" w:cs="Arial"/>
          <w:b/>
          <w:sz w:val="24"/>
          <w:szCs w:val="24"/>
        </w:rPr>
      </w:pPr>
    </w:p>
    <w:p w14:paraId="7F12D6C9" w14:textId="77777777" w:rsidR="008F5748" w:rsidRDefault="008F5748" w:rsidP="008F5748">
      <w:pPr>
        <w:rPr>
          <w:rFonts w:ascii="Times New Roman" w:hAnsi="Times New Roman" w:cs="Times New Roman"/>
          <w:sz w:val="24"/>
          <w:szCs w:val="24"/>
        </w:rPr>
      </w:pPr>
      <w:r>
        <w:rPr>
          <w:rFonts w:ascii="Times New Roman" w:hAnsi="Times New Roman" w:cs="Times New Roman"/>
          <w:sz w:val="24"/>
          <w:szCs w:val="24"/>
        </w:rPr>
        <w:lastRenderedPageBreak/>
        <w:t>Headnote</w:t>
      </w:r>
    </w:p>
    <w:p w14:paraId="10C6C9F8" w14:textId="606CD2AB" w:rsidR="008F5748" w:rsidRDefault="008F5748" w:rsidP="0026195E">
      <w:pPr>
        <w:jc w:val="both"/>
        <w:rPr>
          <w:rFonts w:ascii="Times New Roman" w:hAnsi="Times New Roman" w:cs="Times New Roman"/>
          <w:sz w:val="24"/>
          <w:szCs w:val="24"/>
        </w:rPr>
      </w:pPr>
      <w:r>
        <w:rPr>
          <w:rFonts w:ascii="Times New Roman" w:hAnsi="Times New Roman" w:cs="Times New Roman"/>
          <w:sz w:val="24"/>
          <w:szCs w:val="24"/>
        </w:rPr>
        <w:t>Appeal against a conviction of rape of a 14 year old boy and sentence of life imprisonment –  evidence in support of allegation of anal penetration  received from victim -  competence of victim to testify satisfactorily determined by magistrate upon the evidence of a psychologist having regard to s 164 of CPA – corroboration of allegation of rape derived from a report made by the victim to an examining doctor who conducted an examination within hours of the police bringing him from the scene of the alleged rape – being the appellant’s shack, where the appellant and the vi</w:t>
      </w:r>
      <w:bookmarkStart w:id="0" w:name="_GoBack"/>
      <w:bookmarkEnd w:id="0"/>
      <w:r>
        <w:rPr>
          <w:rFonts w:ascii="Times New Roman" w:hAnsi="Times New Roman" w:cs="Times New Roman"/>
          <w:sz w:val="24"/>
          <w:szCs w:val="24"/>
        </w:rPr>
        <w:t xml:space="preserve">ctim were found in bed together and the victim in tears; from the doctor’s clinical examination revealing signs in anus  consistent with recent penetration, and, from a neighbour who heard the victim </w:t>
      </w:r>
      <w:proofErr w:type="spellStart"/>
      <w:r>
        <w:rPr>
          <w:rFonts w:ascii="Times New Roman" w:hAnsi="Times New Roman" w:cs="Times New Roman"/>
          <w:sz w:val="24"/>
          <w:szCs w:val="24"/>
        </w:rPr>
        <w:t>wimpering</w:t>
      </w:r>
      <w:proofErr w:type="spellEnd"/>
      <w:r>
        <w:rPr>
          <w:rFonts w:ascii="Times New Roman" w:hAnsi="Times New Roman" w:cs="Times New Roman"/>
          <w:sz w:val="24"/>
          <w:szCs w:val="24"/>
        </w:rPr>
        <w:t xml:space="preserve"> in the night and called the  police.</w:t>
      </w:r>
    </w:p>
    <w:p w14:paraId="353EE6C4" w14:textId="77777777" w:rsidR="008F5748" w:rsidRDefault="008F5748" w:rsidP="0026195E">
      <w:pPr>
        <w:jc w:val="both"/>
        <w:rPr>
          <w:rFonts w:ascii="Times New Roman" w:hAnsi="Times New Roman" w:cs="Times New Roman"/>
          <w:sz w:val="24"/>
          <w:szCs w:val="24"/>
        </w:rPr>
      </w:pPr>
      <w:r w:rsidRPr="00F9526B">
        <w:rPr>
          <w:rFonts w:ascii="Times New Roman" w:hAnsi="Times New Roman" w:cs="Times New Roman"/>
          <w:i/>
          <w:iCs/>
          <w:sz w:val="24"/>
          <w:szCs w:val="24"/>
        </w:rPr>
        <w:t xml:space="preserve">Obiter </w:t>
      </w:r>
      <w:r>
        <w:rPr>
          <w:rFonts w:ascii="Times New Roman" w:hAnsi="Times New Roman" w:cs="Times New Roman"/>
          <w:sz w:val="24"/>
          <w:szCs w:val="24"/>
        </w:rPr>
        <w:t>(</w:t>
      </w:r>
      <w:proofErr w:type="spellStart"/>
      <w:r>
        <w:rPr>
          <w:rFonts w:ascii="Times New Roman" w:hAnsi="Times New Roman" w:cs="Times New Roman"/>
          <w:sz w:val="24"/>
          <w:szCs w:val="24"/>
        </w:rPr>
        <w:t>Majele</w:t>
      </w:r>
      <w:proofErr w:type="spellEnd"/>
      <w:r>
        <w:rPr>
          <w:rFonts w:ascii="Times New Roman" w:hAnsi="Times New Roman" w:cs="Times New Roman"/>
          <w:sz w:val="24"/>
          <w:szCs w:val="24"/>
        </w:rPr>
        <w:t xml:space="preserve"> AJ):  consideration of the application of S194 of CPA, of international instruments and </w:t>
      </w:r>
      <w:proofErr w:type="spellStart"/>
      <w:r>
        <w:rPr>
          <w:rFonts w:ascii="Times New Roman" w:hAnsi="Times New Roman" w:cs="Times New Roman"/>
          <w:sz w:val="24"/>
          <w:szCs w:val="24"/>
        </w:rPr>
        <w:t>caselaw</w:t>
      </w:r>
      <w:proofErr w:type="spellEnd"/>
      <w:r>
        <w:rPr>
          <w:rFonts w:ascii="Times New Roman" w:hAnsi="Times New Roman" w:cs="Times New Roman"/>
          <w:sz w:val="24"/>
          <w:szCs w:val="24"/>
        </w:rPr>
        <w:t xml:space="preserve"> in respect of persons with disabilities, of S 34 and S 9 of the Constitution.</w:t>
      </w:r>
    </w:p>
    <w:p w14:paraId="4927C578" w14:textId="77777777" w:rsidR="008F5748" w:rsidRDefault="008F5748" w:rsidP="008F5748">
      <w:pPr>
        <w:rPr>
          <w:rFonts w:ascii="Times New Roman" w:hAnsi="Times New Roman" w:cs="Times New Roman"/>
          <w:sz w:val="24"/>
          <w:szCs w:val="24"/>
        </w:rPr>
      </w:pPr>
      <w:r>
        <w:rPr>
          <w:rFonts w:ascii="Times New Roman" w:hAnsi="Times New Roman" w:cs="Times New Roman"/>
          <w:sz w:val="24"/>
          <w:szCs w:val="24"/>
        </w:rPr>
        <w:t xml:space="preserve">On sentence: no misdirection by the magistrate established. </w:t>
      </w:r>
    </w:p>
    <w:p w14:paraId="19162BE3" w14:textId="7D00FA4B" w:rsidR="001C5172" w:rsidRDefault="008F5748" w:rsidP="001C5172">
      <w:pPr>
        <w:rPr>
          <w:rFonts w:ascii="Times New Roman" w:hAnsi="Times New Roman" w:cs="Times New Roman"/>
          <w:sz w:val="24"/>
          <w:szCs w:val="24"/>
        </w:rPr>
      </w:pPr>
      <w:r>
        <w:rPr>
          <w:rFonts w:ascii="Times New Roman" w:hAnsi="Times New Roman" w:cs="Times New Roman"/>
          <w:sz w:val="24"/>
          <w:szCs w:val="24"/>
        </w:rPr>
        <w:t>Ordered: the appeal is dismissed and the conviction and sentence confirmed.</w:t>
      </w:r>
    </w:p>
    <w:p w14:paraId="298F04F6" w14:textId="77777777" w:rsidR="001C5172" w:rsidRPr="001C5172" w:rsidRDefault="001C5172" w:rsidP="001C5172">
      <w:pPr>
        <w:rPr>
          <w:rFonts w:ascii="Times New Roman" w:hAnsi="Times New Roman" w:cs="Times New Roman"/>
          <w:sz w:val="24"/>
          <w:szCs w:val="24"/>
        </w:rPr>
      </w:pPr>
    </w:p>
    <w:p w14:paraId="3C488201" w14:textId="3555010D" w:rsidR="00EE246A" w:rsidRPr="00F13862" w:rsidRDefault="00EE246A" w:rsidP="00DE0D9A">
      <w:pPr>
        <w:spacing w:line="480" w:lineRule="auto"/>
        <w:rPr>
          <w:rFonts w:ascii="Arial" w:hAnsi="Arial" w:cs="Arial"/>
          <w:b/>
          <w:sz w:val="24"/>
          <w:szCs w:val="24"/>
        </w:rPr>
      </w:pPr>
      <w:r w:rsidRPr="00EE246A">
        <w:rPr>
          <w:rFonts w:ascii="Arial" w:hAnsi="Arial" w:cs="Arial"/>
          <w:b/>
          <w:sz w:val="24"/>
          <w:szCs w:val="24"/>
        </w:rPr>
        <w:t xml:space="preserve">Coram: </w:t>
      </w:r>
      <w:r w:rsidR="00F77E5C">
        <w:rPr>
          <w:rFonts w:ascii="Arial" w:hAnsi="Arial" w:cs="Arial"/>
          <w:b/>
          <w:sz w:val="24"/>
          <w:szCs w:val="24"/>
        </w:rPr>
        <w:t>Sutherland</w:t>
      </w:r>
      <w:r w:rsidRPr="00EE246A">
        <w:rPr>
          <w:rFonts w:ascii="Arial" w:hAnsi="Arial" w:cs="Arial"/>
          <w:b/>
          <w:sz w:val="24"/>
          <w:szCs w:val="24"/>
        </w:rPr>
        <w:t xml:space="preserve"> </w:t>
      </w:r>
      <w:r w:rsidR="00136208">
        <w:rPr>
          <w:rFonts w:ascii="Arial" w:hAnsi="Arial" w:cs="Arial"/>
          <w:b/>
          <w:sz w:val="24"/>
          <w:szCs w:val="24"/>
        </w:rPr>
        <w:t>D</w:t>
      </w:r>
      <w:r w:rsidRPr="00EE246A">
        <w:rPr>
          <w:rFonts w:ascii="Arial" w:hAnsi="Arial" w:cs="Arial"/>
          <w:b/>
          <w:sz w:val="24"/>
          <w:szCs w:val="24"/>
        </w:rPr>
        <w:t>J</w:t>
      </w:r>
      <w:r w:rsidR="00136208">
        <w:rPr>
          <w:rFonts w:ascii="Arial" w:hAnsi="Arial" w:cs="Arial"/>
          <w:b/>
          <w:sz w:val="24"/>
          <w:szCs w:val="24"/>
        </w:rPr>
        <w:t>P</w:t>
      </w:r>
      <w:r>
        <w:rPr>
          <w:rFonts w:ascii="Arial" w:hAnsi="Arial" w:cs="Arial"/>
          <w:b/>
          <w:sz w:val="24"/>
          <w:szCs w:val="24"/>
        </w:rPr>
        <w:t>,</w:t>
      </w:r>
      <w:r w:rsidR="00DE0D9A">
        <w:rPr>
          <w:rFonts w:ascii="Arial" w:hAnsi="Arial" w:cs="Arial"/>
          <w:b/>
          <w:sz w:val="24"/>
          <w:szCs w:val="24"/>
        </w:rPr>
        <w:t xml:space="preserve"> </w:t>
      </w:r>
      <w:proofErr w:type="spellStart"/>
      <w:r w:rsidR="00DE0D9A">
        <w:rPr>
          <w:rFonts w:ascii="Arial" w:hAnsi="Arial" w:cs="Arial"/>
          <w:b/>
          <w:sz w:val="24"/>
          <w:szCs w:val="24"/>
        </w:rPr>
        <w:t>Moila</w:t>
      </w:r>
      <w:proofErr w:type="spellEnd"/>
      <w:r w:rsidR="00DE0D9A">
        <w:rPr>
          <w:rFonts w:ascii="Arial" w:hAnsi="Arial" w:cs="Arial"/>
          <w:b/>
          <w:sz w:val="24"/>
          <w:szCs w:val="24"/>
        </w:rPr>
        <w:t xml:space="preserve"> and </w:t>
      </w:r>
      <w:proofErr w:type="spellStart"/>
      <w:r w:rsidR="00DE0D9A">
        <w:rPr>
          <w:rFonts w:ascii="Arial" w:hAnsi="Arial" w:cs="Arial"/>
          <w:b/>
          <w:sz w:val="24"/>
          <w:szCs w:val="24"/>
        </w:rPr>
        <w:t>Matjele</w:t>
      </w:r>
      <w:proofErr w:type="spellEnd"/>
      <w:r w:rsidR="00DE0D9A">
        <w:rPr>
          <w:rFonts w:ascii="Arial" w:hAnsi="Arial" w:cs="Arial"/>
          <w:b/>
          <w:sz w:val="24"/>
          <w:szCs w:val="24"/>
        </w:rPr>
        <w:t xml:space="preserve"> AJJ</w:t>
      </w:r>
    </w:p>
    <w:p w14:paraId="39A13873" w14:textId="5922E854" w:rsidR="005A50FB" w:rsidRDefault="005A50FB" w:rsidP="001C5172">
      <w:pPr>
        <w:spacing w:line="360" w:lineRule="auto"/>
        <w:jc w:val="both"/>
        <w:rPr>
          <w:rFonts w:ascii="Arial" w:hAnsi="Arial" w:cs="Arial"/>
          <w:sz w:val="24"/>
          <w:szCs w:val="24"/>
        </w:rPr>
      </w:pPr>
      <w:r w:rsidRPr="00C3792D">
        <w:rPr>
          <w:rFonts w:ascii="Arial" w:hAnsi="Arial" w:cs="Arial"/>
          <w:b/>
          <w:bCs/>
          <w:color w:val="242121"/>
          <w:sz w:val="24"/>
          <w:szCs w:val="24"/>
          <w:u w:val="single"/>
          <w:lang w:val="en-US"/>
        </w:rPr>
        <w:t>Delivered:</w:t>
      </w:r>
      <w:r w:rsidRPr="00C3792D">
        <w:rPr>
          <w:rFonts w:ascii="Arial" w:hAnsi="Arial" w:cs="Arial"/>
          <w:color w:val="242121"/>
          <w:sz w:val="24"/>
          <w:szCs w:val="24"/>
        </w:rPr>
        <w:t xml:space="preserve">       </w:t>
      </w:r>
      <w:r w:rsidRPr="00C3792D">
        <w:rPr>
          <w:rFonts w:ascii="Arial" w:hAnsi="Arial" w:cs="Arial"/>
          <w:color w:val="242121"/>
          <w:sz w:val="24"/>
          <w:szCs w:val="24"/>
          <w:lang w:val="en-US"/>
        </w:rPr>
        <w:t>This judgment was handed down electronically by circulation to the parties’ representatives via email. The date and time for hand-down is deemed to be 10H00 on 1</w:t>
      </w:r>
      <w:r w:rsidR="007B4E6E">
        <w:rPr>
          <w:rFonts w:ascii="Arial" w:hAnsi="Arial" w:cs="Arial"/>
          <w:color w:val="242121"/>
          <w:sz w:val="24"/>
          <w:szCs w:val="24"/>
          <w:lang w:val="en-US"/>
        </w:rPr>
        <w:t>5</w:t>
      </w:r>
      <w:r w:rsidRPr="00C3792D">
        <w:rPr>
          <w:rFonts w:ascii="Arial" w:hAnsi="Arial" w:cs="Arial"/>
          <w:color w:val="242121"/>
          <w:sz w:val="24"/>
          <w:szCs w:val="24"/>
          <w:lang w:val="en-US"/>
        </w:rPr>
        <w:t xml:space="preserve"> March 2022.</w:t>
      </w:r>
    </w:p>
    <w:p w14:paraId="2B37B3EF" w14:textId="77777777" w:rsidR="001C5172" w:rsidRPr="00C3792D" w:rsidRDefault="001C5172" w:rsidP="001C5172">
      <w:pPr>
        <w:spacing w:line="360" w:lineRule="auto"/>
        <w:jc w:val="both"/>
        <w:rPr>
          <w:rFonts w:ascii="Arial" w:hAnsi="Arial" w:cs="Arial"/>
          <w:sz w:val="24"/>
          <w:szCs w:val="24"/>
        </w:rPr>
      </w:pPr>
    </w:p>
    <w:p w14:paraId="78FF5F01" w14:textId="77777777" w:rsidR="001F51FC" w:rsidRPr="00491A1E" w:rsidRDefault="00491A1E" w:rsidP="00EE246A">
      <w:pPr>
        <w:spacing w:line="360" w:lineRule="auto"/>
        <w:rPr>
          <w:rFonts w:ascii="Arial" w:hAnsi="Arial" w:cs="Arial"/>
          <w:b/>
          <w:sz w:val="24"/>
          <w:szCs w:val="24"/>
        </w:rPr>
      </w:pPr>
      <w:r w:rsidRPr="00491A1E">
        <w:rPr>
          <w:rFonts w:ascii="Arial" w:hAnsi="Arial" w:cs="Arial"/>
          <w:b/>
          <w:sz w:val="24"/>
          <w:szCs w:val="24"/>
        </w:rPr>
        <w:t>MATJELE AJ:</w:t>
      </w:r>
    </w:p>
    <w:p w14:paraId="77EC9149" w14:textId="77777777" w:rsidR="00F77E5C" w:rsidRPr="00C3792D" w:rsidRDefault="00F77E5C" w:rsidP="00F77E5C">
      <w:pPr>
        <w:pStyle w:val="ListParagraph"/>
        <w:numPr>
          <w:ilvl w:val="0"/>
          <w:numId w:val="1"/>
        </w:numPr>
        <w:spacing w:line="360" w:lineRule="auto"/>
        <w:jc w:val="both"/>
        <w:rPr>
          <w:rFonts w:ascii="Arial" w:hAnsi="Arial" w:cs="Arial"/>
          <w:color w:val="242121"/>
          <w:sz w:val="24"/>
          <w:szCs w:val="24"/>
          <w:lang w:val="en-GB"/>
        </w:rPr>
      </w:pPr>
      <w:r w:rsidRPr="00C3792D">
        <w:rPr>
          <w:rFonts w:ascii="Arial" w:eastAsia="Times New Roman" w:hAnsi="Arial" w:cs="Arial"/>
          <w:sz w:val="24"/>
          <w:szCs w:val="24"/>
        </w:rPr>
        <w:t>This appeal was initi</w:t>
      </w:r>
      <w:r w:rsidR="00DE0D9A">
        <w:rPr>
          <w:rFonts w:ascii="Arial" w:eastAsia="Times New Roman" w:hAnsi="Arial" w:cs="Arial"/>
          <w:sz w:val="24"/>
          <w:szCs w:val="24"/>
        </w:rPr>
        <w:t xml:space="preserve">ally considered by Monama J, </w:t>
      </w:r>
      <w:proofErr w:type="spellStart"/>
      <w:r w:rsidR="00DE0D9A">
        <w:rPr>
          <w:rFonts w:ascii="Arial" w:eastAsia="Times New Roman" w:hAnsi="Arial" w:cs="Arial"/>
          <w:sz w:val="24"/>
          <w:szCs w:val="24"/>
        </w:rPr>
        <w:t>Moila</w:t>
      </w:r>
      <w:proofErr w:type="spellEnd"/>
      <w:r w:rsidR="00DE0D9A">
        <w:rPr>
          <w:rFonts w:ascii="Arial" w:eastAsia="Times New Roman" w:hAnsi="Arial" w:cs="Arial"/>
          <w:sz w:val="24"/>
          <w:szCs w:val="24"/>
        </w:rPr>
        <w:t xml:space="preserve"> </w:t>
      </w:r>
      <w:r w:rsidR="000C6ED9" w:rsidRPr="00C3792D">
        <w:rPr>
          <w:rFonts w:ascii="Arial" w:eastAsia="Times New Roman" w:hAnsi="Arial" w:cs="Arial"/>
          <w:sz w:val="24"/>
          <w:szCs w:val="24"/>
        </w:rPr>
        <w:t xml:space="preserve">and </w:t>
      </w:r>
      <w:proofErr w:type="spellStart"/>
      <w:r w:rsidR="000C6ED9" w:rsidRPr="00C3792D">
        <w:rPr>
          <w:rFonts w:ascii="Arial" w:eastAsia="Times New Roman" w:hAnsi="Arial" w:cs="Arial"/>
          <w:sz w:val="24"/>
          <w:szCs w:val="24"/>
        </w:rPr>
        <w:t>Matjele</w:t>
      </w:r>
      <w:proofErr w:type="spellEnd"/>
      <w:r w:rsidR="000C6ED9" w:rsidRPr="00C3792D">
        <w:rPr>
          <w:rFonts w:ascii="Arial" w:eastAsia="Times New Roman" w:hAnsi="Arial" w:cs="Arial"/>
          <w:sz w:val="24"/>
          <w:szCs w:val="24"/>
        </w:rPr>
        <w:t xml:space="preserve"> AJ</w:t>
      </w:r>
      <w:r w:rsidR="00DE0D9A">
        <w:rPr>
          <w:rFonts w:ascii="Arial" w:eastAsia="Times New Roman" w:hAnsi="Arial" w:cs="Arial"/>
          <w:sz w:val="24"/>
          <w:szCs w:val="24"/>
        </w:rPr>
        <w:t>J</w:t>
      </w:r>
      <w:r w:rsidRPr="00C3792D">
        <w:rPr>
          <w:rFonts w:ascii="Arial" w:eastAsia="Times New Roman" w:hAnsi="Arial" w:cs="Arial"/>
          <w:sz w:val="24"/>
          <w:szCs w:val="24"/>
        </w:rPr>
        <w:t xml:space="preserve"> on the 31</w:t>
      </w:r>
      <w:r w:rsidRPr="00C3792D">
        <w:rPr>
          <w:rFonts w:ascii="Arial" w:eastAsia="Times New Roman" w:hAnsi="Arial" w:cs="Arial"/>
          <w:sz w:val="24"/>
          <w:szCs w:val="24"/>
          <w:vertAlign w:val="superscript"/>
        </w:rPr>
        <w:t>st</w:t>
      </w:r>
      <w:r w:rsidRPr="00C3792D">
        <w:rPr>
          <w:rFonts w:ascii="Arial" w:eastAsia="Times New Roman" w:hAnsi="Arial" w:cs="Arial"/>
          <w:sz w:val="24"/>
          <w:szCs w:val="24"/>
        </w:rPr>
        <w:t xml:space="preserve"> January 2022. </w:t>
      </w:r>
      <w:r w:rsidR="00DE0D9A">
        <w:rPr>
          <w:rFonts w:ascii="Arial" w:eastAsia="Times New Roman" w:hAnsi="Arial" w:cs="Arial"/>
          <w:sz w:val="24"/>
          <w:szCs w:val="24"/>
        </w:rPr>
        <w:t>Before judgment could be delivered, Monama J passed away. To preserve the quorum of the court, Sutherland DJP joined the bench.</w:t>
      </w:r>
    </w:p>
    <w:p w14:paraId="498E9B53" w14:textId="77777777" w:rsidR="00F77E5C" w:rsidRPr="00C3792D" w:rsidRDefault="00F77E5C" w:rsidP="00F77E5C">
      <w:pPr>
        <w:pStyle w:val="ListParagraph"/>
        <w:spacing w:line="360" w:lineRule="auto"/>
        <w:ind w:left="360"/>
        <w:jc w:val="both"/>
        <w:rPr>
          <w:rFonts w:ascii="Arial" w:hAnsi="Arial" w:cs="Arial"/>
          <w:color w:val="242121"/>
          <w:sz w:val="24"/>
          <w:szCs w:val="24"/>
          <w:lang w:val="en-GB"/>
        </w:rPr>
      </w:pPr>
    </w:p>
    <w:p w14:paraId="7EE99817" w14:textId="77777777" w:rsidR="004A0D43" w:rsidRPr="00C3792D" w:rsidRDefault="00D47013" w:rsidP="003439EB">
      <w:pPr>
        <w:pStyle w:val="ListParagraph"/>
        <w:numPr>
          <w:ilvl w:val="0"/>
          <w:numId w:val="1"/>
        </w:numPr>
        <w:spacing w:line="360" w:lineRule="auto"/>
        <w:jc w:val="both"/>
        <w:rPr>
          <w:rFonts w:ascii="Arial" w:hAnsi="Arial" w:cs="Arial"/>
          <w:color w:val="242121"/>
          <w:sz w:val="24"/>
          <w:szCs w:val="24"/>
          <w:lang w:val="en-GB"/>
        </w:rPr>
      </w:pPr>
      <w:r w:rsidRPr="00C3792D">
        <w:rPr>
          <w:rFonts w:ascii="Arial" w:hAnsi="Arial" w:cs="Arial"/>
          <w:sz w:val="24"/>
          <w:szCs w:val="24"/>
        </w:rPr>
        <w:t>In this appeal, a</w:t>
      </w:r>
      <w:r w:rsidR="001F51FC" w:rsidRPr="00C3792D">
        <w:rPr>
          <w:rFonts w:ascii="Arial" w:hAnsi="Arial" w:cs="Arial"/>
          <w:sz w:val="24"/>
          <w:szCs w:val="24"/>
        </w:rPr>
        <w:t xml:space="preserve">ppellant was </w:t>
      </w:r>
      <w:r w:rsidR="001F51FC" w:rsidRPr="00C3792D">
        <w:rPr>
          <w:rFonts w:ascii="Arial" w:hAnsi="Arial" w:cs="Arial"/>
          <w:color w:val="242121"/>
          <w:sz w:val="24"/>
          <w:szCs w:val="24"/>
          <w:lang w:val="en-GB"/>
        </w:rPr>
        <w:t xml:space="preserve">charged and convicted, in the Regional Court, Randfontein, </w:t>
      </w:r>
      <w:r w:rsidR="00E545E3" w:rsidRPr="00C3792D">
        <w:rPr>
          <w:rFonts w:ascii="Arial" w:hAnsi="Arial" w:cs="Arial"/>
          <w:color w:val="242121"/>
          <w:sz w:val="24"/>
          <w:szCs w:val="24"/>
          <w:lang w:val="en-GB"/>
        </w:rPr>
        <w:t xml:space="preserve">of </w:t>
      </w:r>
      <w:r w:rsidR="001F51FC" w:rsidRPr="00C3792D">
        <w:rPr>
          <w:rFonts w:ascii="Arial" w:hAnsi="Arial" w:cs="Arial"/>
          <w:color w:val="242121"/>
          <w:sz w:val="24"/>
          <w:szCs w:val="24"/>
          <w:lang w:val="en-GB"/>
        </w:rPr>
        <w:t>the charge of rape of a 14 years old</w:t>
      </w:r>
      <w:r w:rsidR="00E545E3" w:rsidRPr="00C3792D">
        <w:rPr>
          <w:rFonts w:ascii="Arial" w:hAnsi="Arial" w:cs="Arial"/>
          <w:color w:val="242121"/>
          <w:sz w:val="24"/>
          <w:szCs w:val="24"/>
          <w:lang w:val="en-GB"/>
        </w:rPr>
        <w:t xml:space="preserve"> child,</w:t>
      </w:r>
      <w:r w:rsidR="001F51FC" w:rsidRPr="00C3792D">
        <w:rPr>
          <w:rFonts w:ascii="Arial" w:hAnsi="Arial" w:cs="Arial"/>
          <w:color w:val="242121"/>
          <w:sz w:val="24"/>
          <w:szCs w:val="24"/>
          <w:lang w:val="en-GB"/>
        </w:rPr>
        <w:t xml:space="preserve"> in contravention of section 3 of the General Law (Sexual offences and related matters) Amendment Act 32 of 2007</w:t>
      </w:r>
      <w:r w:rsidR="00192178" w:rsidRPr="00C3792D">
        <w:rPr>
          <w:rFonts w:ascii="Arial" w:hAnsi="Arial" w:cs="Arial"/>
          <w:color w:val="242121"/>
          <w:sz w:val="24"/>
          <w:szCs w:val="24"/>
          <w:lang w:val="en-GB"/>
        </w:rPr>
        <w:t xml:space="preserve"> (SORMA)</w:t>
      </w:r>
      <w:r w:rsidR="00E545E3" w:rsidRPr="00C3792D">
        <w:rPr>
          <w:rFonts w:ascii="Arial" w:hAnsi="Arial" w:cs="Arial"/>
          <w:color w:val="242121"/>
          <w:sz w:val="24"/>
          <w:szCs w:val="24"/>
          <w:lang w:val="en-GB"/>
        </w:rPr>
        <w:t>.</w:t>
      </w:r>
      <w:r w:rsidR="001F51FC" w:rsidRPr="00C3792D">
        <w:rPr>
          <w:rFonts w:ascii="Arial" w:hAnsi="Arial" w:cs="Arial"/>
          <w:color w:val="242121"/>
          <w:sz w:val="24"/>
          <w:szCs w:val="24"/>
          <w:lang w:val="en-GB"/>
        </w:rPr>
        <w:t xml:space="preserve"> He was sentenced to </w:t>
      </w:r>
      <w:r w:rsidR="004A0D43" w:rsidRPr="00C3792D">
        <w:rPr>
          <w:rFonts w:ascii="Arial" w:hAnsi="Arial" w:cs="Arial"/>
          <w:color w:val="242121"/>
          <w:sz w:val="24"/>
          <w:szCs w:val="24"/>
          <w:lang w:val="en-GB"/>
        </w:rPr>
        <w:t xml:space="preserve">a term of </w:t>
      </w:r>
      <w:r w:rsidR="00E545E3" w:rsidRPr="00C3792D">
        <w:rPr>
          <w:rFonts w:ascii="Arial" w:hAnsi="Arial" w:cs="Arial"/>
          <w:color w:val="242121"/>
          <w:sz w:val="24"/>
          <w:szCs w:val="24"/>
          <w:lang w:val="en-GB"/>
        </w:rPr>
        <w:t>life</w:t>
      </w:r>
      <w:r w:rsidR="001F51FC" w:rsidRPr="00C3792D">
        <w:rPr>
          <w:rFonts w:ascii="Arial" w:hAnsi="Arial" w:cs="Arial"/>
          <w:color w:val="242121"/>
          <w:sz w:val="24"/>
          <w:szCs w:val="24"/>
          <w:lang w:val="en-GB"/>
        </w:rPr>
        <w:t xml:space="preserve"> imprisonment</w:t>
      </w:r>
      <w:r w:rsidR="00E545E3" w:rsidRPr="00C3792D">
        <w:rPr>
          <w:rFonts w:ascii="Arial" w:hAnsi="Arial" w:cs="Arial"/>
          <w:color w:val="242121"/>
          <w:sz w:val="24"/>
          <w:szCs w:val="24"/>
          <w:lang w:val="en-GB"/>
        </w:rPr>
        <w:t xml:space="preserve"> for this</w:t>
      </w:r>
      <w:r w:rsidR="001F51FC" w:rsidRPr="00C3792D">
        <w:rPr>
          <w:rFonts w:ascii="Arial" w:hAnsi="Arial" w:cs="Arial"/>
          <w:color w:val="242121"/>
          <w:sz w:val="24"/>
          <w:szCs w:val="24"/>
          <w:lang w:val="en-GB"/>
        </w:rPr>
        <w:t xml:space="preserve"> charge of rape. </w:t>
      </w:r>
      <w:r w:rsidR="004A0D43" w:rsidRPr="00C3792D">
        <w:rPr>
          <w:rFonts w:ascii="Arial" w:hAnsi="Arial" w:cs="Arial"/>
          <w:color w:val="242121"/>
          <w:sz w:val="24"/>
          <w:szCs w:val="24"/>
          <w:lang w:val="en-GB"/>
        </w:rPr>
        <w:t xml:space="preserve"> </w:t>
      </w:r>
    </w:p>
    <w:p w14:paraId="627C9B7F" w14:textId="77777777" w:rsidR="004A0D43" w:rsidRPr="00C3792D" w:rsidRDefault="004A0D43" w:rsidP="004A0D43">
      <w:pPr>
        <w:pStyle w:val="ListParagraph"/>
        <w:spacing w:line="360" w:lineRule="auto"/>
        <w:ind w:left="360"/>
        <w:jc w:val="both"/>
        <w:rPr>
          <w:rFonts w:ascii="Arial" w:hAnsi="Arial" w:cs="Arial"/>
          <w:color w:val="242121"/>
          <w:sz w:val="24"/>
          <w:szCs w:val="24"/>
          <w:lang w:val="en-GB"/>
        </w:rPr>
      </w:pPr>
    </w:p>
    <w:p w14:paraId="61663BC4" w14:textId="77777777" w:rsidR="001F51FC" w:rsidRPr="00C3792D" w:rsidRDefault="001F51FC" w:rsidP="001F51FC">
      <w:pPr>
        <w:pStyle w:val="ListParagraph"/>
        <w:numPr>
          <w:ilvl w:val="0"/>
          <w:numId w:val="1"/>
        </w:numPr>
        <w:spacing w:line="360" w:lineRule="auto"/>
        <w:jc w:val="both"/>
        <w:rPr>
          <w:rFonts w:ascii="Arial" w:hAnsi="Arial" w:cs="Arial"/>
          <w:sz w:val="24"/>
          <w:szCs w:val="24"/>
        </w:rPr>
      </w:pPr>
      <w:r w:rsidRPr="00C3792D">
        <w:rPr>
          <w:rFonts w:ascii="Arial" w:hAnsi="Arial" w:cs="Arial"/>
          <w:color w:val="242121"/>
          <w:sz w:val="24"/>
          <w:szCs w:val="24"/>
          <w:lang w:val="en-GB"/>
        </w:rPr>
        <w:t xml:space="preserve">The </w:t>
      </w:r>
      <w:r w:rsidR="004A0D43" w:rsidRPr="00C3792D">
        <w:rPr>
          <w:rFonts w:ascii="Arial" w:hAnsi="Arial" w:cs="Arial"/>
          <w:color w:val="242121"/>
          <w:sz w:val="24"/>
          <w:szCs w:val="24"/>
          <w:lang w:val="en-GB"/>
        </w:rPr>
        <w:t xml:space="preserve">appeal is before us by way of automatic right of appeal </w:t>
      </w:r>
      <w:r w:rsidR="00192178" w:rsidRPr="00C3792D">
        <w:rPr>
          <w:rFonts w:ascii="Arial" w:hAnsi="Arial" w:cs="Arial"/>
          <w:color w:val="242121"/>
          <w:sz w:val="24"/>
          <w:szCs w:val="24"/>
          <w:lang w:val="en-GB"/>
        </w:rPr>
        <w:t>in terms of section 309(1) of the</w:t>
      </w:r>
      <w:r w:rsidRPr="00C3792D">
        <w:rPr>
          <w:rFonts w:ascii="Arial" w:hAnsi="Arial" w:cs="Arial"/>
          <w:color w:val="242121"/>
          <w:sz w:val="24"/>
          <w:szCs w:val="24"/>
          <w:lang w:val="en-GB"/>
        </w:rPr>
        <w:t xml:space="preserve"> </w:t>
      </w:r>
      <w:r w:rsidR="00192178" w:rsidRPr="00C3792D">
        <w:rPr>
          <w:rFonts w:ascii="Arial" w:hAnsi="Arial" w:cs="Arial"/>
          <w:color w:val="242121"/>
          <w:sz w:val="24"/>
          <w:szCs w:val="24"/>
          <w:lang w:val="en-GB"/>
        </w:rPr>
        <w:t xml:space="preserve">Criminal Procedure Act 51 of 1977, read together with S10 </w:t>
      </w:r>
      <w:r w:rsidR="005B6505" w:rsidRPr="00C3792D">
        <w:rPr>
          <w:rFonts w:ascii="Arial" w:hAnsi="Arial" w:cs="Arial"/>
          <w:color w:val="242121"/>
          <w:sz w:val="24"/>
          <w:szCs w:val="24"/>
          <w:lang w:val="en-GB"/>
        </w:rPr>
        <w:t xml:space="preserve">and 43(2) </w:t>
      </w:r>
      <w:r w:rsidR="00192178" w:rsidRPr="00C3792D">
        <w:rPr>
          <w:rFonts w:ascii="Arial" w:hAnsi="Arial" w:cs="Arial"/>
          <w:color w:val="242121"/>
          <w:sz w:val="24"/>
          <w:szCs w:val="24"/>
          <w:lang w:val="en-GB"/>
        </w:rPr>
        <w:lastRenderedPageBreak/>
        <w:t>of the Judicial Matters Amendment Act 42 of 2013</w:t>
      </w:r>
      <w:r w:rsidR="005B6505" w:rsidRPr="00C3792D">
        <w:rPr>
          <w:rFonts w:ascii="Arial" w:hAnsi="Arial" w:cs="Arial"/>
          <w:color w:val="242121"/>
          <w:sz w:val="24"/>
          <w:szCs w:val="24"/>
          <w:lang w:val="en-GB"/>
        </w:rPr>
        <w:t xml:space="preserve">, </w:t>
      </w:r>
      <w:r w:rsidR="009E35E8" w:rsidRPr="00C3792D">
        <w:rPr>
          <w:rFonts w:ascii="Arial" w:hAnsi="Arial" w:cs="Arial"/>
          <w:color w:val="242121"/>
          <w:sz w:val="24"/>
          <w:szCs w:val="24"/>
          <w:lang w:val="en-GB"/>
        </w:rPr>
        <w:t>by virtue of the imposed sentence</w:t>
      </w:r>
      <w:r w:rsidR="005B6505" w:rsidRPr="00C3792D">
        <w:rPr>
          <w:rFonts w:ascii="Arial" w:hAnsi="Arial" w:cs="Arial"/>
          <w:color w:val="242121"/>
          <w:sz w:val="24"/>
          <w:szCs w:val="24"/>
          <w:lang w:val="en-GB"/>
        </w:rPr>
        <w:t xml:space="preserve"> of life imprisonment</w:t>
      </w:r>
      <w:r w:rsidR="009E35E8" w:rsidRPr="00C3792D">
        <w:rPr>
          <w:rFonts w:ascii="Arial" w:hAnsi="Arial" w:cs="Arial"/>
          <w:color w:val="242121"/>
          <w:sz w:val="24"/>
          <w:szCs w:val="24"/>
          <w:lang w:val="en-GB"/>
        </w:rPr>
        <w:t>.</w:t>
      </w:r>
      <w:r w:rsidR="005B6505" w:rsidRPr="00C3792D">
        <w:rPr>
          <w:rFonts w:ascii="Arial" w:hAnsi="Arial" w:cs="Arial"/>
          <w:color w:val="242121"/>
          <w:sz w:val="24"/>
          <w:szCs w:val="24"/>
          <w:lang w:val="en-GB"/>
        </w:rPr>
        <w:t xml:space="preserve"> The appeal is against both conviction and sentence.</w:t>
      </w:r>
    </w:p>
    <w:p w14:paraId="2A0FA5DF" w14:textId="77777777" w:rsidR="001F51FC" w:rsidRPr="00C3792D" w:rsidRDefault="001F51FC" w:rsidP="001F51FC">
      <w:pPr>
        <w:pStyle w:val="ListParagraph"/>
        <w:spacing w:line="360" w:lineRule="auto"/>
        <w:ind w:left="360"/>
        <w:jc w:val="both"/>
        <w:rPr>
          <w:rFonts w:ascii="Arial" w:hAnsi="Arial" w:cs="Arial"/>
          <w:sz w:val="24"/>
          <w:szCs w:val="24"/>
        </w:rPr>
      </w:pPr>
    </w:p>
    <w:p w14:paraId="355B236B" w14:textId="77777777" w:rsidR="001F51FC" w:rsidRPr="00C3792D" w:rsidRDefault="001F51FC" w:rsidP="00C96155">
      <w:pPr>
        <w:pStyle w:val="ListParagraph"/>
        <w:numPr>
          <w:ilvl w:val="0"/>
          <w:numId w:val="1"/>
        </w:numPr>
        <w:spacing w:line="480" w:lineRule="auto"/>
        <w:jc w:val="both"/>
        <w:rPr>
          <w:rFonts w:ascii="Arial" w:hAnsi="Arial" w:cs="Arial"/>
          <w:sz w:val="24"/>
          <w:szCs w:val="24"/>
        </w:rPr>
      </w:pPr>
      <w:r w:rsidRPr="00C3792D">
        <w:rPr>
          <w:rFonts w:ascii="Arial" w:hAnsi="Arial" w:cs="Arial"/>
          <w:sz w:val="24"/>
          <w:szCs w:val="24"/>
        </w:rPr>
        <w:t>Heads of argument were filed</w:t>
      </w:r>
      <w:r w:rsidR="003F44DE" w:rsidRPr="00C3792D">
        <w:rPr>
          <w:rFonts w:ascii="Arial" w:hAnsi="Arial" w:cs="Arial"/>
          <w:sz w:val="24"/>
          <w:szCs w:val="24"/>
        </w:rPr>
        <w:t xml:space="preserve">, and </w:t>
      </w:r>
      <w:r w:rsidR="00DE0D9A">
        <w:rPr>
          <w:rFonts w:ascii="Arial" w:hAnsi="Arial" w:cs="Arial"/>
          <w:sz w:val="24"/>
          <w:szCs w:val="24"/>
        </w:rPr>
        <w:t xml:space="preserve">by agreement </w:t>
      </w:r>
      <w:r w:rsidR="003F44DE" w:rsidRPr="00C3792D">
        <w:rPr>
          <w:rFonts w:ascii="Arial" w:hAnsi="Arial" w:cs="Arial"/>
          <w:sz w:val="24"/>
          <w:szCs w:val="24"/>
        </w:rPr>
        <w:t>the appeal</w:t>
      </w:r>
      <w:r w:rsidR="00DE0D9A">
        <w:rPr>
          <w:rFonts w:ascii="Arial" w:hAnsi="Arial" w:cs="Arial"/>
          <w:sz w:val="24"/>
          <w:szCs w:val="24"/>
        </w:rPr>
        <w:t xml:space="preserve"> </w:t>
      </w:r>
      <w:r w:rsidR="00507B49">
        <w:rPr>
          <w:rFonts w:ascii="Arial" w:hAnsi="Arial" w:cs="Arial"/>
          <w:sz w:val="24"/>
          <w:szCs w:val="24"/>
        </w:rPr>
        <w:t>w</w:t>
      </w:r>
      <w:r w:rsidR="00DE0D9A">
        <w:rPr>
          <w:rFonts w:ascii="Arial" w:hAnsi="Arial" w:cs="Arial"/>
          <w:sz w:val="24"/>
          <w:szCs w:val="24"/>
        </w:rPr>
        <w:t xml:space="preserve">as </w:t>
      </w:r>
      <w:r w:rsidR="00C96155" w:rsidRPr="00C3792D">
        <w:rPr>
          <w:rFonts w:ascii="Arial" w:hAnsi="Arial" w:cs="Arial"/>
          <w:sz w:val="24"/>
          <w:szCs w:val="24"/>
        </w:rPr>
        <w:t>determined on the papers only</w:t>
      </w:r>
      <w:r w:rsidR="00DE0D9A">
        <w:rPr>
          <w:rFonts w:ascii="Arial" w:hAnsi="Arial" w:cs="Arial"/>
          <w:sz w:val="24"/>
          <w:szCs w:val="24"/>
        </w:rPr>
        <w:t xml:space="preserve"> without oral argument</w:t>
      </w:r>
      <w:r w:rsidR="00C96155" w:rsidRPr="00C3792D">
        <w:rPr>
          <w:rFonts w:ascii="Arial" w:hAnsi="Arial" w:cs="Arial"/>
          <w:sz w:val="24"/>
          <w:szCs w:val="24"/>
        </w:rPr>
        <w:t>.</w:t>
      </w:r>
    </w:p>
    <w:p w14:paraId="046A9DAF" w14:textId="77777777" w:rsidR="001F51FC" w:rsidRPr="00C3792D" w:rsidRDefault="001F51FC" w:rsidP="001F51FC">
      <w:pPr>
        <w:pStyle w:val="ListParagraph"/>
        <w:spacing w:line="480" w:lineRule="auto"/>
        <w:ind w:left="360"/>
        <w:jc w:val="both"/>
        <w:rPr>
          <w:rFonts w:ascii="Arial" w:hAnsi="Arial" w:cs="Arial"/>
          <w:sz w:val="24"/>
          <w:szCs w:val="24"/>
        </w:rPr>
      </w:pPr>
    </w:p>
    <w:p w14:paraId="093005F0" w14:textId="77777777" w:rsidR="001F51FC" w:rsidRPr="00C3792D" w:rsidRDefault="001F51FC" w:rsidP="001F51FC">
      <w:pPr>
        <w:pStyle w:val="ListParagraph"/>
        <w:spacing w:line="480" w:lineRule="auto"/>
        <w:ind w:left="360"/>
        <w:jc w:val="both"/>
        <w:rPr>
          <w:rFonts w:ascii="Arial" w:hAnsi="Arial" w:cs="Arial"/>
          <w:b/>
          <w:sz w:val="24"/>
          <w:szCs w:val="24"/>
        </w:rPr>
      </w:pPr>
      <w:r w:rsidRPr="00C3792D">
        <w:rPr>
          <w:rFonts w:ascii="Arial" w:hAnsi="Arial" w:cs="Arial"/>
          <w:b/>
          <w:sz w:val="24"/>
          <w:szCs w:val="24"/>
        </w:rPr>
        <w:t>Facts</w:t>
      </w:r>
    </w:p>
    <w:p w14:paraId="126086FB" w14:textId="77777777" w:rsidR="005E53DA" w:rsidRPr="00C3792D" w:rsidRDefault="001F51FC" w:rsidP="001F51FC">
      <w:pPr>
        <w:pStyle w:val="ListParagraph"/>
        <w:numPr>
          <w:ilvl w:val="0"/>
          <w:numId w:val="1"/>
        </w:numPr>
        <w:spacing w:line="480" w:lineRule="auto"/>
        <w:jc w:val="both"/>
        <w:rPr>
          <w:rFonts w:ascii="Arial" w:hAnsi="Arial" w:cs="Arial"/>
          <w:sz w:val="24"/>
          <w:szCs w:val="24"/>
        </w:rPr>
      </w:pPr>
      <w:r w:rsidRPr="00C3792D">
        <w:rPr>
          <w:rFonts w:ascii="Arial" w:hAnsi="Arial" w:cs="Arial"/>
          <w:sz w:val="24"/>
          <w:szCs w:val="24"/>
        </w:rPr>
        <w:t>The State led the evid</w:t>
      </w:r>
      <w:r w:rsidR="004D7A3E" w:rsidRPr="00C3792D">
        <w:rPr>
          <w:rFonts w:ascii="Arial" w:hAnsi="Arial" w:cs="Arial"/>
          <w:sz w:val="24"/>
          <w:szCs w:val="24"/>
        </w:rPr>
        <w:t>ence of three witnesses, namely:</w:t>
      </w:r>
      <w:r w:rsidRPr="00C3792D">
        <w:rPr>
          <w:rFonts w:ascii="Arial" w:hAnsi="Arial" w:cs="Arial"/>
          <w:sz w:val="24"/>
          <w:szCs w:val="24"/>
        </w:rPr>
        <w:t xml:space="preserve"> the complainant,</w:t>
      </w:r>
      <w:r w:rsidR="004D7A3E" w:rsidRPr="00C3792D">
        <w:rPr>
          <w:rFonts w:ascii="Arial" w:hAnsi="Arial" w:cs="Arial"/>
          <w:sz w:val="24"/>
          <w:szCs w:val="24"/>
        </w:rPr>
        <w:t xml:space="preserve"> </w:t>
      </w:r>
      <w:proofErr w:type="spellStart"/>
      <w:r w:rsidR="004D7A3E" w:rsidRPr="00C3792D">
        <w:rPr>
          <w:rFonts w:ascii="Arial" w:hAnsi="Arial" w:cs="Arial"/>
          <w:sz w:val="24"/>
          <w:szCs w:val="24"/>
        </w:rPr>
        <w:t>Ayabonga</w:t>
      </w:r>
      <w:proofErr w:type="spellEnd"/>
      <w:r w:rsidR="004D7A3E" w:rsidRPr="00C3792D">
        <w:rPr>
          <w:rFonts w:ascii="Arial" w:hAnsi="Arial" w:cs="Arial"/>
          <w:sz w:val="24"/>
          <w:szCs w:val="24"/>
        </w:rPr>
        <w:t xml:space="preserve"> </w:t>
      </w:r>
      <w:proofErr w:type="spellStart"/>
      <w:r w:rsidR="004D7A3E" w:rsidRPr="00C3792D">
        <w:rPr>
          <w:rFonts w:ascii="Arial" w:hAnsi="Arial" w:cs="Arial"/>
          <w:sz w:val="24"/>
          <w:szCs w:val="24"/>
        </w:rPr>
        <w:t>Mabusela</w:t>
      </w:r>
      <w:proofErr w:type="spellEnd"/>
      <w:r w:rsidR="004D7A3E" w:rsidRPr="00C3792D">
        <w:rPr>
          <w:rFonts w:ascii="Arial" w:hAnsi="Arial" w:cs="Arial"/>
          <w:sz w:val="24"/>
          <w:szCs w:val="24"/>
        </w:rPr>
        <w:t>;</w:t>
      </w:r>
      <w:r w:rsidRPr="00C3792D">
        <w:rPr>
          <w:rFonts w:ascii="Arial" w:hAnsi="Arial" w:cs="Arial"/>
          <w:sz w:val="24"/>
          <w:szCs w:val="24"/>
        </w:rPr>
        <w:t xml:space="preserve"> </w:t>
      </w:r>
      <w:r w:rsidR="005E53DA" w:rsidRPr="00C3792D">
        <w:rPr>
          <w:rFonts w:ascii="Arial" w:hAnsi="Arial" w:cs="Arial"/>
          <w:sz w:val="24"/>
          <w:szCs w:val="24"/>
        </w:rPr>
        <w:t xml:space="preserve">Mr. </w:t>
      </w:r>
      <w:proofErr w:type="spellStart"/>
      <w:r w:rsidR="005E53DA" w:rsidRPr="00C3792D">
        <w:rPr>
          <w:rFonts w:ascii="Arial" w:hAnsi="Arial" w:cs="Arial"/>
          <w:sz w:val="24"/>
          <w:szCs w:val="24"/>
        </w:rPr>
        <w:t>Phule</w:t>
      </w:r>
      <w:proofErr w:type="spellEnd"/>
      <w:r w:rsidR="005B4E6A" w:rsidRPr="00C3792D">
        <w:rPr>
          <w:rFonts w:ascii="Arial" w:hAnsi="Arial" w:cs="Arial"/>
          <w:sz w:val="24"/>
          <w:szCs w:val="24"/>
        </w:rPr>
        <w:t xml:space="preserve"> </w:t>
      </w:r>
      <w:proofErr w:type="spellStart"/>
      <w:r w:rsidR="005B4E6A" w:rsidRPr="00C3792D">
        <w:rPr>
          <w:rFonts w:ascii="Arial" w:hAnsi="Arial" w:cs="Arial"/>
          <w:sz w:val="24"/>
          <w:szCs w:val="24"/>
        </w:rPr>
        <w:t>Rampai</w:t>
      </w:r>
      <w:proofErr w:type="spellEnd"/>
      <w:r w:rsidR="005E53DA" w:rsidRPr="00C3792D">
        <w:rPr>
          <w:rFonts w:ascii="Arial" w:hAnsi="Arial" w:cs="Arial"/>
          <w:sz w:val="24"/>
          <w:szCs w:val="24"/>
        </w:rPr>
        <w:t>,</w:t>
      </w:r>
      <w:r w:rsidR="004D7A3E" w:rsidRPr="00C3792D">
        <w:rPr>
          <w:rFonts w:ascii="Arial" w:hAnsi="Arial" w:cs="Arial"/>
          <w:sz w:val="24"/>
          <w:szCs w:val="24"/>
        </w:rPr>
        <w:t xml:space="preserve"> the neighbour; </w:t>
      </w:r>
      <w:r w:rsidR="005E53DA" w:rsidRPr="00C3792D">
        <w:rPr>
          <w:rFonts w:ascii="Arial" w:hAnsi="Arial" w:cs="Arial"/>
          <w:sz w:val="24"/>
          <w:szCs w:val="24"/>
        </w:rPr>
        <w:t>the mother of the complainant</w:t>
      </w:r>
      <w:r w:rsidR="005B4E6A" w:rsidRPr="00C3792D">
        <w:rPr>
          <w:rFonts w:ascii="Arial" w:hAnsi="Arial" w:cs="Arial"/>
          <w:sz w:val="24"/>
          <w:szCs w:val="24"/>
        </w:rPr>
        <w:t xml:space="preserve">, </w:t>
      </w:r>
      <w:proofErr w:type="spellStart"/>
      <w:r w:rsidR="005B4E6A" w:rsidRPr="00C3792D">
        <w:rPr>
          <w:rFonts w:ascii="Arial" w:hAnsi="Arial" w:cs="Arial"/>
          <w:sz w:val="24"/>
          <w:szCs w:val="24"/>
        </w:rPr>
        <w:t>Nobisa</w:t>
      </w:r>
      <w:proofErr w:type="spellEnd"/>
      <w:r w:rsidR="005B4E6A" w:rsidRPr="00C3792D">
        <w:rPr>
          <w:rFonts w:ascii="Arial" w:hAnsi="Arial" w:cs="Arial"/>
          <w:sz w:val="24"/>
          <w:szCs w:val="24"/>
        </w:rPr>
        <w:t xml:space="preserve"> Cynthia </w:t>
      </w:r>
      <w:proofErr w:type="spellStart"/>
      <w:r w:rsidR="005B4E6A" w:rsidRPr="00C3792D">
        <w:rPr>
          <w:rFonts w:ascii="Arial" w:hAnsi="Arial" w:cs="Arial"/>
          <w:sz w:val="24"/>
          <w:szCs w:val="24"/>
        </w:rPr>
        <w:t>Mabusela</w:t>
      </w:r>
      <w:proofErr w:type="spellEnd"/>
      <w:r w:rsidR="004D7A3E" w:rsidRPr="00C3792D">
        <w:rPr>
          <w:rFonts w:ascii="Arial" w:hAnsi="Arial" w:cs="Arial"/>
          <w:sz w:val="24"/>
          <w:szCs w:val="24"/>
        </w:rPr>
        <w:t xml:space="preserve">; and Dr </w:t>
      </w:r>
      <w:proofErr w:type="spellStart"/>
      <w:r w:rsidR="004D7A3E" w:rsidRPr="00C3792D">
        <w:rPr>
          <w:rFonts w:ascii="Arial" w:hAnsi="Arial" w:cs="Arial"/>
          <w:sz w:val="24"/>
          <w:szCs w:val="24"/>
        </w:rPr>
        <w:t>Saita</w:t>
      </w:r>
      <w:proofErr w:type="spellEnd"/>
      <w:r w:rsidR="004D7A3E" w:rsidRPr="00C3792D">
        <w:rPr>
          <w:rFonts w:ascii="Arial" w:hAnsi="Arial" w:cs="Arial"/>
          <w:sz w:val="24"/>
          <w:szCs w:val="24"/>
        </w:rPr>
        <w:t xml:space="preserve"> </w:t>
      </w:r>
      <w:proofErr w:type="spellStart"/>
      <w:r w:rsidR="004D7A3E" w:rsidRPr="00C3792D">
        <w:rPr>
          <w:rFonts w:ascii="Arial" w:hAnsi="Arial" w:cs="Arial"/>
          <w:sz w:val="24"/>
          <w:szCs w:val="24"/>
        </w:rPr>
        <w:t>Kashif</w:t>
      </w:r>
      <w:proofErr w:type="spellEnd"/>
      <w:r w:rsidR="005B4E6A" w:rsidRPr="00C3792D">
        <w:rPr>
          <w:rFonts w:ascii="Arial" w:hAnsi="Arial" w:cs="Arial"/>
          <w:sz w:val="24"/>
          <w:szCs w:val="24"/>
        </w:rPr>
        <w:t>.</w:t>
      </w:r>
      <w:r w:rsidR="00DE0D9A">
        <w:rPr>
          <w:rFonts w:ascii="Arial" w:hAnsi="Arial" w:cs="Arial"/>
          <w:sz w:val="24"/>
          <w:szCs w:val="24"/>
        </w:rPr>
        <w:t xml:space="preserve"> For the defence case only the A</w:t>
      </w:r>
      <w:r w:rsidR="005B4E6A" w:rsidRPr="00C3792D">
        <w:rPr>
          <w:rFonts w:ascii="Arial" w:hAnsi="Arial" w:cs="Arial"/>
          <w:sz w:val="24"/>
          <w:szCs w:val="24"/>
        </w:rPr>
        <w:t>ccused testified.</w:t>
      </w:r>
    </w:p>
    <w:p w14:paraId="1C2706E7" w14:textId="77777777" w:rsidR="005E53DA" w:rsidRPr="00C3792D" w:rsidRDefault="005E53DA" w:rsidP="005E53DA">
      <w:pPr>
        <w:pStyle w:val="ListParagraph"/>
        <w:spacing w:line="480" w:lineRule="auto"/>
        <w:ind w:left="360"/>
        <w:jc w:val="both"/>
        <w:rPr>
          <w:rFonts w:ascii="Arial" w:hAnsi="Arial" w:cs="Arial"/>
          <w:sz w:val="24"/>
          <w:szCs w:val="24"/>
        </w:rPr>
      </w:pPr>
      <w:r w:rsidRPr="00C3792D">
        <w:rPr>
          <w:rFonts w:ascii="Arial" w:hAnsi="Arial" w:cs="Arial"/>
          <w:sz w:val="24"/>
          <w:szCs w:val="24"/>
        </w:rPr>
        <w:t xml:space="preserve"> </w:t>
      </w:r>
    </w:p>
    <w:p w14:paraId="20409CD8" w14:textId="77777777" w:rsidR="00543973" w:rsidRPr="00C3792D" w:rsidRDefault="005E53DA" w:rsidP="001F51FC">
      <w:pPr>
        <w:pStyle w:val="ListParagraph"/>
        <w:numPr>
          <w:ilvl w:val="0"/>
          <w:numId w:val="1"/>
        </w:numPr>
        <w:spacing w:line="480" w:lineRule="auto"/>
        <w:jc w:val="both"/>
        <w:rPr>
          <w:rFonts w:ascii="Arial" w:hAnsi="Arial" w:cs="Arial"/>
          <w:sz w:val="24"/>
          <w:szCs w:val="24"/>
        </w:rPr>
      </w:pPr>
      <w:r w:rsidRPr="00C3792D">
        <w:rPr>
          <w:rFonts w:ascii="Arial" w:hAnsi="Arial" w:cs="Arial"/>
          <w:sz w:val="24"/>
          <w:szCs w:val="24"/>
        </w:rPr>
        <w:t>The evidence before the</w:t>
      </w:r>
      <w:r w:rsidR="0091326D" w:rsidRPr="00C3792D">
        <w:rPr>
          <w:rFonts w:ascii="Arial" w:hAnsi="Arial" w:cs="Arial"/>
          <w:sz w:val="24"/>
          <w:szCs w:val="24"/>
        </w:rPr>
        <w:t xml:space="preserve"> Court is that the complainant,</w:t>
      </w:r>
      <w:r w:rsidRPr="00C3792D">
        <w:rPr>
          <w:rFonts w:ascii="Arial" w:hAnsi="Arial" w:cs="Arial"/>
          <w:sz w:val="24"/>
          <w:szCs w:val="24"/>
        </w:rPr>
        <w:t xml:space="preserve"> </w:t>
      </w:r>
      <w:r w:rsidR="0044087C" w:rsidRPr="00C3792D">
        <w:rPr>
          <w:rFonts w:ascii="Arial" w:hAnsi="Arial" w:cs="Arial"/>
          <w:sz w:val="24"/>
          <w:szCs w:val="24"/>
        </w:rPr>
        <w:t>Appellant</w:t>
      </w:r>
      <w:r w:rsidR="0091326D" w:rsidRPr="00C3792D">
        <w:rPr>
          <w:rFonts w:ascii="Arial" w:hAnsi="Arial" w:cs="Arial"/>
          <w:sz w:val="24"/>
          <w:szCs w:val="24"/>
        </w:rPr>
        <w:t xml:space="preserve"> and</w:t>
      </w:r>
      <w:r w:rsidRPr="00C3792D">
        <w:rPr>
          <w:rFonts w:ascii="Arial" w:hAnsi="Arial" w:cs="Arial"/>
          <w:sz w:val="24"/>
          <w:szCs w:val="24"/>
        </w:rPr>
        <w:t xml:space="preserve"> the complainant’s father were seated around the fire at night. According to the </w:t>
      </w:r>
      <w:r w:rsidR="008B22FD">
        <w:rPr>
          <w:rFonts w:ascii="Arial" w:hAnsi="Arial" w:cs="Arial"/>
          <w:sz w:val="24"/>
          <w:szCs w:val="24"/>
        </w:rPr>
        <w:t>complainant</w:t>
      </w:r>
      <w:r w:rsidR="008B22FD" w:rsidRPr="00C3792D">
        <w:rPr>
          <w:rFonts w:ascii="Arial" w:hAnsi="Arial" w:cs="Arial"/>
          <w:sz w:val="24"/>
          <w:szCs w:val="24"/>
        </w:rPr>
        <w:t xml:space="preserve"> </w:t>
      </w:r>
      <w:r w:rsidR="0091326D" w:rsidRPr="00C3792D">
        <w:rPr>
          <w:rFonts w:ascii="Arial" w:hAnsi="Arial" w:cs="Arial"/>
          <w:sz w:val="24"/>
          <w:szCs w:val="24"/>
        </w:rPr>
        <w:t>his</w:t>
      </w:r>
      <w:r w:rsidRPr="00C3792D">
        <w:rPr>
          <w:rFonts w:ascii="Arial" w:hAnsi="Arial" w:cs="Arial"/>
          <w:sz w:val="24"/>
          <w:szCs w:val="24"/>
        </w:rPr>
        <w:t xml:space="preserve"> father </w:t>
      </w:r>
      <w:r w:rsidR="0091326D" w:rsidRPr="00C3792D">
        <w:rPr>
          <w:rFonts w:ascii="Arial" w:hAnsi="Arial" w:cs="Arial"/>
          <w:sz w:val="24"/>
          <w:szCs w:val="24"/>
        </w:rPr>
        <w:t xml:space="preserve">left them and </w:t>
      </w:r>
      <w:r w:rsidRPr="00C3792D">
        <w:rPr>
          <w:rFonts w:ascii="Arial" w:hAnsi="Arial" w:cs="Arial"/>
          <w:sz w:val="24"/>
          <w:szCs w:val="24"/>
        </w:rPr>
        <w:t>went to sleep</w:t>
      </w:r>
      <w:r w:rsidR="008A013E" w:rsidRPr="00C3792D">
        <w:rPr>
          <w:rFonts w:ascii="Arial" w:hAnsi="Arial" w:cs="Arial"/>
          <w:sz w:val="24"/>
          <w:szCs w:val="24"/>
        </w:rPr>
        <w:t xml:space="preserve">. </w:t>
      </w:r>
      <w:r w:rsidR="0044087C" w:rsidRPr="00C3792D">
        <w:rPr>
          <w:rFonts w:ascii="Arial" w:hAnsi="Arial" w:cs="Arial"/>
          <w:sz w:val="24"/>
          <w:szCs w:val="24"/>
        </w:rPr>
        <w:t>Appellant</w:t>
      </w:r>
      <w:r w:rsidR="008A013E" w:rsidRPr="00C3792D">
        <w:rPr>
          <w:rFonts w:ascii="Arial" w:hAnsi="Arial" w:cs="Arial"/>
          <w:sz w:val="24"/>
          <w:szCs w:val="24"/>
        </w:rPr>
        <w:t xml:space="preserve"> sent </w:t>
      </w:r>
      <w:r w:rsidR="0091326D" w:rsidRPr="00C3792D">
        <w:rPr>
          <w:rFonts w:ascii="Arial" w:hAnsi="Arial" w:cs="Arial"/>
          <w:sz w:val="24"/>
          <w:szCs w:val="24"/>
        </w:rPr>
        <w:t>him inside</w:t>
      </w:r>
      <w:r w:rsidR="008A013E" w:rsidRPr="00C3792D">
        <w:rPr>
          <w:rFonts w:ascii="Arial" w:hAnsi="Arial" w:cs="Arial"/>
          <w:sz w:val="24"/>
          <w:szCs w:val="24"/>
        </w:rPr>
        <w:t xml:space="preserve"> his room to check </w:t>
      </w:r>
      <w:r w:rsidR="0091326D" w:rsidRPr="00C3792D">
        <w:rPr>
          <w:rFonts w:ascii="Arial" w:hAnsi="Arial" w:cs="Arial"/>
          <w:sz w:val="24"/>
          <w:szCs w:val="24"/>
        </w:rPr>
        <w:t>on the</w:t>
      </w:r>
      <w:r w:rsidR="008A013E" w:rsidRPr="00C3792D">
        <w:rPr>
          <w:rFonts w:ascii="Arial" w:hAnsi="Arial" w:cs="Arial"/>
          <w:sz w:val="24"/>
          <w:szCs w:val="24"/>
        </w:rPr>
        <w:t xml:space="preserve"> pots, and the latter complied. The </w:t>
      </w:r>
      <w:r w:rsidR="0044087C" w:rsidRPr="00C3792D">
        <w:rPr>
          <w:rFonts w:ascii="Arial" w:hAnsi="Arial" w:cs="Arial"/>
          <w:sz w:val="24"/>
          <w:szCs w:val="24"/>
        </w:rPr>
        <w:t>Appellant</w:t>
      </w:r>
      <w:r w:rsidR="008A013E" w:rsidRPr="00C3792D">
        <w:rPr>
          <w:rFonts w:ascii="Arial" w:hAnsi="Arial" w:cs="Arial"/>
          <w:sz w:val="24"/>
          <w:szCs w:val="24"/>
        </w:rPr>
        <w:t xml:space="preserve"> followed him and then locked the door behind him,</w:t>
      </w:r>
      <w:r w:rsidR="0091326D" w:rsidRPr="00C3792D">
        <w:rPr>
          <w:rFonts w:ascii="Arial" w:hAnsi="Arial" w:cs="Arial"/>
          <w:sz w:val="24"/>
          <w:szCs w:val="24"/>
        </w:rPr>
        <w:t xml:space="preserve"> pushed</w:t>
      </w:r>
      <w:r w:rsidR="007759E8" w:rsidRPr="00C3792D">
        <w:rPr>
          <w:rFonts w:ascii="Arial" w:hAnsi="Arial" w:cs="Arial"/>
          <w:sz w:val="24"/>
          <w:szCs w:val="24"/>
        </w:rPr>
        <w:t xml:space="preserve"> him on top of the bed, throttled him and threatened to kill him. I</w:t>
      </w:r>
      <w:r w:rsidR="008A013E" w:rsidRPr="00C3792D">
        <w:rPr>
          <w:rFonts w:ascii="Arial" w:hAnsi="Arial" w:cs="Arial"/>
          <w:sz w:val="24"/>
          <w:szCs w:val="24"/>
        </w:rPr>
        <w:t>nstructed him to undress</w:t>
      </w:r>
      <w:r w:rsidR="007759E8" w:rsidRPr="00C3792D">
        <w:rPr>
          <w:rFonts w:ascii="Arial" w:hAnsi="Arial" w:cs="Arial"/>
          <w:sz w:val="24"/>
          <w:szCs w:val="24"/>
        </w:rPr>
        <w:t xml:space="preserve"> his trouser, and he</w:t>
      </w:r>
      <w:r w:rsidR="008A013E" w:rsidRPr="00C3792D">
        <w:rPr>
          <w:rFonts w:ascii="Arial" w:hAnsi="Arial" w:cs="Arial"/>
          <w:sz w:val="24"/>
          <w:szCs w:val="24"/>
        </w:rPr>
        <w:t xml:space="preserve"> undressed</w:t>
      </w:r>
      <w:r w:rsidR="007759E8" w:rsidRPr="00C3792D">
        <w:rPr>
          <w:rFonts w:ascii="Arial" w:hAnsi="Arial" w:cs="Arial"/>
          <w:sz w:val="24"/>
          <w:szCs w:val="24"/>
        </w:rPr>
        <w:t xml:space="preserve"> his own trouser</w:t>
      </w:r>
      <w:r w:rsidR="008A013E" w:rsidRPr="00C3792D">
        <w:rPr>
          <w:rFonts w:ascii="Arial" w:hAnsi="Arial" w:cs="Arial"/>
          <w:sz w:val="24"/>
          <w:szCs w:val="24"/>
        </w:rPr>
        <w:t xml:space="preserve"> too</w:t>
      </w:r>
      <w:r w:rsidR="007759E8" w:rsidRPr="00C3792D">
        <w:rPr>
          <w:rFonts w:ascii="Arial" w:hAnsi="Arial" w:cs="Arial"/>
          <w:sz w:val="24"/>
          <w:szCs w:val="24"/>
        </w:rPr>
        <w:t>. H</w:t>
      </w:r>
      <w:r w:rsidR="008A013E" w:rsidRPr="00C3792D">
        <w:rPr>
          <w:rFonts w:ascii="Arial" w:hAnsi="Arial" w:cs="Arial"/>
          <w:sz w:val="24"/>
          <w:szCs w:val="24"/>
        </w:rPr>
        <w:t xml:space="preserve">e then penetrated him with </w:t>
      </w:r>
      <w:r w:rsidR="007759E8" w:rsidRPr="00C3792D">
        <w:rPr>
          <w:rFonts w:ascii="Arial" w:hAnsi="Arial" w:cs="Arial"/>
          <w:sz w:val="24"/>
          <w:szCs w:val="24"/>
        </w:rPr>
        <w:t>h</w:t>
      </w:r>
      <w:r w:rsidR="008A013E" w:rsidRPr="00C3792D">
        <w:rPr>
          <w:rFonts w:ascii="Arial" w:hAnsi="Arial" w:cs="Arial"/>
          <w:sz w:val="24"/>
          <w:szCs w:val="24"/>
        </w:rPr>
        <w:t>is penis on the</w:t>
      </w:r>
      <w:r w:rsidR="007759E8" w:rsidRPr="00C3792D">
        <w:rPr>
          <w:rFonts w:ascii="Arial" w:hAnsi="Arial" w:cs="Arial"/>
          <w:sz w:val="24"/>
          <w:szCs w:val="24"/>
        </w:rPr>
        <w:t xml:space="preserve"> complainant’s</w:t>
      </w:r>
      <w:r w:rsidR="008A013E" w:rsidRPr="00C3792D">
        <w:rPr>
          <w:rFonts w:ascii="Arial" w:hAnsi="Arial" w:cs="Arial"/>
          <w:sz w:val="24"/>
          <w:szCs w:val="24"/>
        </w:rPr>
        <w:t xml:space="preserve"> anus</w:t>
      </w:r>
      <w:r w:rsidR="007759E8" w:rsidRPr="00C3792D">
        <w:rPr>
          <w:rFonts w:ascii="Arial" w:hAnsi="Arial" w:cs="Arial"/>
          <w:sz w:val="24"/>
          <w:szCs w:val="24"/>
        </w:rPr>
        <w:t>, and was making back and forward moves with his hips</w:t>
      </w:r>
      <w:r w:rsidR="008A013E" w:rsidRPr="00C3792D">
        <w:rPr>
          <w:rFonts w:ascii="Arial" w:hAnsi="Arial" w:cs="Arial"/>
          <w:sz w:val="24"/>
          <w:szCs w:val="24"/>
        </w:rPr>
        <w:t>. It was painful and he was crying</w:t>
      </w:r>
      <w:r w:rsidR="00543973" w:rsidRPr="00C3792D">
        <w:rPr>
          <w:rFonts w:ascii="Arial" w:hAnsi="Arial" w:cs="Arial"/>
          <w:sz w:val="24"/>
          <w:szCs w:val="24"/>
        </w:rPr>
        <w:t xml:space="preserve">. He </w:t>
      </w:r>
      <w:r w:rsidR="007759E8" w:rsidRPr="00C3792D">
        <w:rPr>
          <w:rFonts w:ascii="Arial" w:hAnsi="Arial" w:cs="Arial"/>
          <w:sz w:val="24"/>
          <w:szCs w:val="24"/>
        </w:rPr>
        <w:t>urinated</w:t>
      </w:r>
      <w:r w:rsidR="00543973" w:rsidRPr="00C3792D">
        <w:rPr>
          <w:rFonts w:ascii="Arial" w:hAnsi="Arial" w:cs="Arial"/>
          <w:sz w:val="24"/>
          <w:szCs w:val="24"/>
        </w:rPr>
        <w:t xml:space="preserve"> twice</w:t>
      </w:r>
      <w:r w:rsidR="007759E8" w:rsidRPr="00C3792D">
        <w:rPr>
          <w:rFonts w:ascii="Arial" w:hAnsi="Arial" w:cs="Arial"/>
          <w:sz w:val="24"/>
          <w:szCs w:val="24"/>
        </w:rPr>
        <w:t xml:space="preserve"> not at the same time</w:t>
      </w:r>
      <w:r w:rsidR="00543973" w:rsidRPr="00C3792D">
        <w:rPr>
          <w:rFonts w:ascii="Arial" w:hAnsi="Arial" w:cs="Arial"/>
          <w:sz w:val="24"/>
          <w:szCs w:val="24"/>
        </w:rPr>
        <w:t>.</w:t>
      </w:r>
      <w:r w:rsidR="00DE0D9A">
        <w:rPr>
          <w:rStyle w:val="FootnoteReference"/>
          <w:rFonts w:ascii="Arial" w:hAnsi="Arial" w:cs="Arial"/>
          <w:sz w:val="24"/>
          <w:szCs w:val="24"/>
        </w:rPr>
        <w:footnoteReference w:id="1"/>
      </w:r>
      <w:r w:rsidR="00DB49CF" w:rsidRPr="00C3792D">
        <w:rPr>
          <w:rFonts w:ascii="Arial" w:hAnsi="Arial" w:cs="Arial"/>
          <w:sz w:val="24"/>
          <w:szCs w:val="24"/>
        </w:rPr>
        <w:t xml:space="preserve"> He stopped when the police arrived with </w:t>
      </w:r>
      <w:proofErr w:type="spellStart"/>
      <w:r w:rsidR="00753382" w:rsidRPr="00C3792D">
        <w:rPr>
          <w:rFonts w:ascii="Arial" w:hAnsi="Arial" w:cs="Arial"/>
          <w:sz w:val="24"/>
          <w:szCs w:val="24"/>
        </w:rPr>
        <w:t>Rampai</w:t>
      </w:r>
      <w:proofErr w:type="spellEnd"/>
      <w:r w:rsidR="00DB49CF" w:rsidRPr="00C3792D">
        <w:rPr>
          <w:rFonts w:ascii="Arial" w:hAnsi="Arial" w:cs="Arial"/>
          <w:sz w:val="24"/>
          <w:szCs w:val="24"/>
        </w:rPr>
        <w:t>, who had alerted them. Appellant ran away.</w:t>
      </w:r>
      <w:r w:rsidR="00543973" w:rsidRPr="00C3792D">
        <w:rPr>
          <w:rFonts w:ascii="Arial" w:hAnsi="Arial" w:cs="Arial"/>
          <w:sz w:val="24"/>
          <w:szCs w:val="24"/>
        </w:rPr>
        <w:t xml:space="preserve"> </w:t>
      </w:r>
    </w:p>
    <w:p w14:paraId="69CDC489" w14:textId="77777777" w:rsidR="00543973" w:rsidRPr="00C3792D" w:rsidRDefault="00543973" w:rsidP="00543973">
      <w:pPr>
        <w:pStyle w:val="ListParagraph"/>
        <w:rPr>
          <w:rFonts w:ascii="Arial" w:hAnsi="Arial" w:cs="Arial"/>
          <w:sz w:val="24"/>
          <w:szCs w:val="24"/>
        </w:rPr>
      </w:pPr>
    </w:p>
    <w:p w14:paraId="15F9B335" w14:textId="77777777" w:rsidR="00115B3D" w:rsidRPr="00C3792D" w:rsidRDefault="00543973" w:rsidP="001F51FC">
      <w:pPr>
        <w:pStyle w:val="ListParagraph"/>
        <w:numPr>
          <w:ilvl w:val="0"/>
          <w:numId w:val="1"/>
        </w:numPr>
        <w:spacing w:line="480" w:lineRule="auto"/>
        <w:jc w:val="both"/>
        <w:rPr>
          <w:rFonts w:ascii="Arial" w:hAnsi="Arial" w:cs="Arial"/>
          <w:sz w:val="24"/>
          <w:szCs w:val="24"/>
        </w:rPr>
      </w:pPr>
      <w:proofErr w:type="spellStart"/>
      <w:r w:rsidRPr="00C3792D">
        <w:rPr>
          <w:rFonts w:ascii="Arial" w:hAnsi="Arial" w:cs="Arial"/>
          <w:sz w:val="24"/>
          <w:szCs w:val="24"/>
        </w:rPr>
        <w:t>Phule</w:t>
      </w:r>
      <w:proofErr w:type="spellEnd"/>
      <w:r w:rsidR="00DB49CF" w:rsidRPr="00C3792D">
        <w:rPr>
          <w:rFonts w:ascii="Arial" w:hAnsi="Arial" w:cs="Arial"/>
          <w:sz w:val="24"/>
          <w:szCs w:val="24"/>
        </w:rPr>
        <w:t xml:space="preserve"> Johannes </w:t>
      </w:r>
      <w:proofErr w:type="spellStart"/>
      <w:r w:rsidR="00DB49CF" w:rsidRPr="00C3792D">
        <w:rPr>
          <w:rFonts w:ascii="Arial" w:hAnsi="Arial" w:cs="Arial"/>
          <w:sz w:val="24"/>
          <w:szCs w:val="24"/>
        </w:rPr>
        <w:t>Rampai</w:t>
      </w:r>
      <w:proofErr w:type="spellEnd"/>
      <w:r w:rsidRPr="00C3792D">
        <w:rPr>
          <w:rFonts w:ascii="Arial" w:hAnsi="Arial" w:cs="Arial"/>
          <w:sz w:val="24"/>
          <w:szCs w:val="24"/>
        </w:rPr>
        <w:t>, the neighbour</w:t>
      </w:r>
      <w:r w:rsidR="00DB49CF" w:rsidRPr="00C3792D">
        <w:rPr>
          <w:rFonts w:ascii="Arial" w:hAnsi="Arial" w:cs="Arial"/>
          <w:sz w:val="24"/>
          <w:szCs w:val="24"/>
        </w:rPr>
        <w:t>,</w:t>
      </w:r>
      <w:r w:rsidRPr="00C3792D">
        <w:rPr>
          <w:rFonts w:ascii="Arial" w:hAnsi="Arial" w:cs="Arial"/>
          <w:sz w:val="24"/>
          <w:szCs w:val="24"/>
        </w:rPr>
        <w:t xml:space="preserve"> heard the sound of the complainant crying inside the </w:t>
      </w:r>
      <w:r w:rsidR="0044087C" w:rsidRPr="00C3792D">
        <w:rPr>
          <w:rFonts w:ascii="Arial" w:hAnsi="Arial" w:cs="Arial"/>
          <w:sz w:val="24"/>
          <w:szCs w:val="24"/>
        </w:rPr>
        <w:t>Appellant</w:t>
      </w:r>
      <w:r w:rsidRPr="00C3792D">
        <w:rPr>
          <w:rFonts w:ascii="Arial" w:hAnsi="Arial" w:cs="Arial"/>
          <w:sz w:val="24"/>
          <w:szCs w:val="24"/>
        </w:rPr>
        <w:t xml:space="preserve">’s house. On his way to get assistance from the complainant’s </w:t>
      </w:r>
      <w:r w:rsidRPr="00C3792D">
        <w:rPr>
          <w:rFonts w:ascii="Arial" w:hAnsi="Arial" w:cs="Arial"/>
          <w:sz w:val="24"/>
          <w:szCs w:val="24"/>
        </w:rPr>
        <w:lastRenderedPageBreak/>
        <w:t>parents he saw a police vehicle on the street, which he</w:t>
      </w:r>
      <w:r w:rsidR="00DB49CF" w:rsidRPr="00C3792D">
        <w:rPr>
          <w:rFonts w:ascii="Arial" w:hAnsi="Arial" w:cs="Arial"/>
          <w:sz w:val="24"/>
          <w:szCs w:val="24"/>
        </w:rPr>
        <w:t xml:space="preserve"> rushed to,</w:t>
      </w:r>
      <w:r w:rsidRPr="00C3792D">
        <w:rPr>
          <w:rFonts w:ascii="Arial" w:hAnsi="Arial" w:cs="Arial"/>
          <w:sz w:val="24"/>
          <w:szCs w:val="24"/>
        </w:rPr>
        <w:t xml:space="preserve"> stopped</w:t>
      </w:r>
      <w:r w:rsidR="00DE0D9A">
        <w:rPr>
          <w:rFonts w:ascii="Arial" w:hAnsi="Arial" w:cs="Arial"/>
          <w:sz w:val="24"/>
          <w:szCs w:val="24"/>
        </w:rPr>
        <w:t>,</w:t>
      </w:r>
      <w:r w:rsidR="00DB49CF" w:rsidRPr="00C3792D">
        <w:rPr>
          <w:rFonts w:ascii="Arial" w:hAnsi="Arial" w:cs="Arial"/>
          <w:sz w:val="24"/>
          <w:szCs w:val="24"/>
        </w:rPr>
        <w:t xml:space="preserve"> and </w:t>
      </w:r>
      <w:r w:rsidR="00DE0D9A">
        <w:rPr>
          <w:rFonts w:ascii="Arial" w:hAnsi="Arial" w:cs="Arial"/>
          <w:sz w:val="24"/>
          <w:szCs w:val="24"/>
        </w:rPr>
        <w:t>a</w:t>
      </w:r>
      <w:r w:rsidR="00DB49CF" w:rsidRPr="00C3792D">
        <w:rPr>
          <w:rFonts w:ascii="Arial" w:hAnsi="Arial" w:cs="Arial"/>
          <w:sz w:val="24"/>
          <w:szCs w:val="24"/>
        </w:rPr>
        <w:t>sked them to come to the plot</w:t>
      </w:r>
      <w:r w:rsidR="00DE0D9A">
        <w:rPr>
          <w:rFonts w:ascii="Arial" w:hAnsi="Arial" w:cs="Arial"/>
          <w:sz w:val="24"/>
          <w:szCs w:val="24"/>
        </w:rPr>
        <w:t xml:space="preserve"> where they all lived</w:t>
      </w:r>
      <w:r w:rsidRPr="00C3792D">
        <w:rPr>
          <w:rFonts w:ascii="Arial" w:hAnsi="Arial" w:cs="Arial"/>
          <w:sz w:val="24"/>
          <w:szCs w:val="24"/>
        </w:rPr>
        <w:t xml:space="preserve">. </w:t>
      </w:r>
      <w:r w:rsidR="00DB49CF" w:rsidRPr="00C3792D">
        <w:rPr>
          <w:rFonts w:ascii="Arial" w:hAnsi="Arial" w:cs="Arial"/>
          <w:sz w:val="24"/>
          <w:szCs w:val="24"/>
        </w:rPr>
        <w:t>The</w:t>
      </w:r>
      <w:r w:rsidRPr="00C3792D">
        <w:rPr>
          <w:rFonts w:ascii="Arial" w:hAnsi="Arial" w:cs="Arial"/>
          <w:sz w:val="24"/>
          <w:szCs w:val="24"/>
        </w:rPr>
        <w:t xml:space="preserve"> police officers knocked</w:t>
      </w:r>
      <w:r w:rsidR="00DB49CF" w:rsidRPr="00C3792D">
        <w:rPr>
          <w:rFonts w:ascii="Arial" w:hAnsi="Arial" w:cs="Arial"/>
          <w:sz w:val="24"/>
          <w:szCs w:val="24"/>
        </w:rPr>
        <w:t xml:space="preserve"> </w:t>
      </w:r>
      <w:r w:rsidR="007A3D9B">
        <w:rPr>
          <w:rFonts w:ascii="Arial" w:hAnsi="Arial" w:cs="Arial"/>
          <w:sz w:val="24"/>
          <w:szCs w:val="24"/>
        </w:rPr>
        <w:t xml:space="preserve">on </w:t>
      </w:r>
      <w:r w:rsidR="00DB49CF" w:rsidRPr="00C3792D">
        <w:rPr>
          <w:rFonts w:ascii="Arial" w:hAnsi="Arial" w:cs="Arial"/>
          <w:sz w:val="24"/>
          <w:szCs w:val="24"/>
        </w:rPr>
        <w:t>the door, and when appellant was</w:t>
      </w:r>
      <w:r w:rsidR="00DE0D9A">
        <w:rPr>
          <w:rFonts w:ascii="Arial" w:hAnsi="Arial" w:cs="Arial"/>
          <w:sz w:val="24"/>
          <w:szCs w:val="24"/>
        </w:rPr>
        <w:t xml:space="preserve"> not opening they broke the pad</w:t>
      </w:r>
      <w:r w:rsidR="00DB49CF" w:rsidRPr="00C3792D">
        <w:rPr>
          <w:rFonts w:ascii="Arial" w:hAnsi="Arial" w:cs="Arial"/>
          <w:sz w:val="24"/>
          <w:szCs w:val="24"/>
        </w:rPr>
        <w:t>lock and went inside.</w:t>
      </w:r>
      <w:r w:rsidR="00CE4D1F" w:rsidRPr="00C3792D">
        <w:rPr>
          <w:rFonts w:ascii="Arial" w:hAnsi="Arial" w:cs="Arial"/>
          <w:sz w:val="24"/>
          <w:szCs w:val="24"/>
        </w:rPr>
        <w:t xml:space="preserve"> Appellant stood up wearing only underpants, and</w:t>
      </w:r>
      <w:r w:rsidRPr="00C3792D">
        <w:rPr>
          <w:rFonts w:ascii="Arial" w:hAnsi="Arial" w:cs="Arial"/>
          <w:sz w:val="24"/>
          <w:szCs w:val="24"/>
        </w:rPr>
        <w:t xml:space="preserve"> the complainant</w:t>
      </w:r>
      <w:r w:rsidR="00CE4D1F" w:rsidRPr="00C3792D">
        <w:rPr>
          <w:rFonts w:ascii="Arial" w:hAnsi="Arial" w:cs="Arial"/>
          <w:sz w:val="24"/>
          <w:szCs w:val="24"/>
        </w:rPr>
        <w:t xml:space="preserve"> also stood up dressing up while</w:t>
      </w:r>
      <w:r w:rsidRPr="00C3792D">
        <w:rPr>
          <w:rFonts w:ascii="Arial" w:hAnsi="Arial" w:cs="Arial"/>
          <w:sz w:val="24"/>
          <w:szCs w:val="24"/>
        </w:rPr>
        <w:t xml:space="preserve"> crying</w:t>
      </w:r>
      <w:r w:rsidR="00CE4D1F" w:rsidRPr="00C3792D">
        <w:rPr>
          <w:rFonts w:ascii="Arial" w:hAnsi="Arial" w:cs="Arial"/>
          <w:sz w:val="24"/>
          <w:szCs w:val="24"/>
        </w:rPr>
        <w:t xml:space="preserve">. The complainant was taken to the </w:t>
      </w:r>
      <w:proofErr w:type="spellStart"/>
      <w:r w:rsidR="00CE4D1F" w:rsidRPr="00C3792D">
        <w:rPr>
          <w:rFonts w:ascii="Arial" w:hAnsi="Arial" w:cs="Arial"/>
          <w:sz w:val="24"/>
          <w:szCs w:val="24"/>
        </w:rPr>
        <w:t>bakkie</w:t>
      </w:r>
      <w:proofErr w:type="spellEnd"/>
      <w:r w:rsidR="00CE4D1F" w:rsidRPr="00C3792D">
        <w:rPr>
          <w:rFonts w:ascii="Arial" w:hAnsi="Arial" w:cs="Arial"/>
          <w:sz w:val="24"/>
          <w:szCs w:val="24"/>
        </w:rPr>
        <w:t xml:space="preserve"> by one</w:t>
      </w:r>
      <w:r w:rsidR="00DE0D9A">
        <w:rPr>
          <w:rFonts w:ascii="Arial" w:hAnsi="Arial" w:cs="Arial"/>
          <w:sz w:val="24"/>
          <w:szCs w:val="24"/>
        </w:rPr>
        <w:t xml:space="preserve"> police officer for questioning. The</w:t>
      </w:r>
      <w:r w:rsidR="00CE4D1F" w:rsidRPr="00C3792D">
        <w:rPr>
          <w:rFonts w:ascii="Arial" w:hAnsi="Arial" w:cs="Arial"/>
          <w:sz w:val="24"/>
          <w:szCs w:val="24"/>
        </w:rPr>
        <w:t xml:space="preserve"> appellant </w:t>
      </w:r>
      <w:r w:rsidR="00DE0D9A">
        <w:rPr>
          <w:rFonts w:ascii="Arial" w:hAnsi="Arial" w:cs="Arial"/>
          <w:sz w:val="24"/>
          <w:szCs w:val="24"/>
        </w:rPr>
        <w:t xml:space="preserve">then </w:t>
      </w:r>
      <w:r w:rsidR="00CE4D1F" w:rsidRPr="00C3792D">
        <w:rPr>
          <w:rFonts w:ascii="Arial" w:hAnsi="Arial" w:cs="Arial"/>
          <w:sz w:val="24"/>
          <w:szCs w:val="24"/>
        </w:rPr>
        <w:t xml:space="preserve">fought with </w:t>
      </w:r>
      <w:proofErr w:type="spellStart"/>
      <w:r w:rsidR="00753382" w:rsidRPr="00C3792D">
        <w:rPr>
          <w:rFonts w:ascii="Arial" w:hAnsi="Arial" w:cs="Arial"/>
          <w:sz w:val="24"/>
          <w:szCs w:val="24"/>
        </w:rPr>
        <w:t>Rampai</w:t>
      </w:r>
      <w:proofErr w:type="spellEnd"/>
      <w:r w:rsidR="00CE4D1F" w:rsidRPr="00C3792D">
        <w:rPr>
          <w:rFonts w:ascii="Arial" w:hAnsi="Arial" w:cs="Arial"/>
          <w:sz w:val="24"/>
          <w:szCs w:val="24"/>
        </w:rPr>
        <w:t xml:space="preserve"> as to why he broke his lock and why he brought the police. </w:t>
      </w:r>
      <w:proofErr w:type="spellStart"/>
      <w:r w:rsidR="00753382" w:rsidRPr="00C3792D">
        <w:rPr>
          <w:rFonts w:ascii="Arial" w:hAnsi="Arial" w:cs="Arial"/>
          <w:sz w:val="24"/>
          <w:szCs w:val="24"/>
        </w:rPr>
        <w:t>Rampai</w:t>
      </w:r>
      <w:proofErr w:type="spellEnd"/>
      <w:r w:rsidR="00CE4D1F" w:rsidRPr="00C3792D">
        <w:rPr>
          <w:rFonts w:ascii="Arial" w:hAnsi="Arial" w:cs="Arial"/>
          <w:sz w:val="24"/>
          <w:szCs w:val="24"/>
        </w:rPr>
        <w:t xml:space="preserve"> then assaulted him thrice. </w:t>
      </w:r>
      <w:r w:rsidR="0044087C" w:rsidRPr="00C3792D">
        <w:rPr>
          <w:rFonts w:ascii="Arial" w:hAnsi="Arial" w:cs="Arial"/>
          <w:sz w:val="24"/>
          <w:szCs w:val="24"/>
        </w:rPr>
        <w:t>Appellant</w:t>
      </w:r>
      <w:r w:rsidR="00CE4D1F" w:rsidRPr="00C3792D">
        <w:rPr>
          <w:rFonts w:ascii="Arial" w:hAnsi="Arial" w:cs="Arial"/>
          <w:sz w:val="24"/>
          <w:szCs w:val="24"/>
        </w:rPr>
        <w:t xml:space="preserve"> escaped through the window and</w:t>
      </w:r>
      <w:r w:rsidRPr="00C3792D">
        <w:rPr>
          <w:rFonts w:ascii="Arial" w:hAnsi="Arial" w:cs="Arial"/>
          <w:sz w:val="24"/>
          <w:szCs w:val="24"/>
        </w:rPr>
        <w:t xml:space="preserve"> ran away </w:t>
      </w:r>
      <w:r w:rsidR="00CE4D1F" w:rsidRPr="00C3792D">
        <w:rPr>
          <w:rFonts w:ascii="Arial" w:hAnsi="Arial" w:cs="Arial"/>
          <w:sz w:val="24"/>
          <w:szCs w:val="24"/>
        </w:rPr>
        <w:t>in his red underpants.</w:t>
      </w:r>
      <w:r w:rsidRPr="00C3792D">
        <w:rPr>
          <w:rFonts w:ascii="Arial" w:hAnsi="Arial" w:cs="Arial"/>
          <w:sz w:val="24"/>
          <w:szCs w:val="24"/>
        </w:rPr>
        <w:t xml:space="preserve"> </w:t>
      </w:r>
      <w:r w:rsidR="0044087C" w:rsidRPr="00C3792D">
        <w:rPr>
          <w:rFonts w:ascii="Arial" w:hAnsi="Arial" w:cs="Arial"/>
          <w:sz w:val="24"/>
          <w:szCs w:val="24"/>
        </w:rPr>
        <w:t xml:space="preserve">He returned at around </w:t>
      </w:r>
      <w:r w:rsidR="00115B3D" w:rsidRPr="00C3792D">
        <w:rPr>
          <w:rFonts w:ascii="Arial" w:hAnsi="Arial" w:cs="Arial"/>
          <w:sz w:val="24"/>
          <w:szCs w:val="24"/>
        </w:rPr>
        <w:t xml:space="preserve">3 am or </w:t>
      </w:r>
      <w:r w:rsidR="0044087C" w:rsidRPr="00C3792D">
        <w:rPr>
          <w:rFonts w:ascii="Arial" w:hAnsi="Arial" w:cs="Arial"/>
          <w:sz w:val="24"/>
          <w:szCs w:val="24"/>
        </w:rPr>
        <w:t xml:space="preserve">4am still wearing the </w:t>
      </w:r>
      <w:r w:rsidR="00115B3D" w:rsidRPr="00C3792D">
        <w:rPr>
          <w:rFonts w:ascii="Arial" w:hAnsi="Arial" w:cs="Arial"/>
          <w:sz w:val="24"/>
          <w:szCs w:val="24"/>
        </w:rPr>
        <w:t>red underpants</w:t>
      </w:r>
      <w:r w:rsidR="0044087C" w:rsidRPr="00C3792D">
        <w:rPr>
          <w:rFonts w:ascii="Arial" w:hAnsi="Arial" w:cs="Arial"/>
          <w:sz w:val="24"/>
          <w:szCs w:val="24"/>
        </w:rPr>
        <w:t xml:space="preserve"> he was wearing when he ran away. He was then apprehended</w:t>
      </w:r>
      <w:r w:rsidR="00DE0D9A">
        <w:rPr>
          <w:rFonts w:ascii="Arial" w:hAnsi="Arial" w:cs="Arial"/>
          <w:sz w:val="24"/>
          <w:szCs w:val="24"/>
        </w:rPr>
        <w:t xml:space="preserve">, and </w:t>
      </w:r>
      <w:r w:rsidR="00115B3D" w:rsidRPr="00C3792D">
        <w:rPr>
          <w:rFonts w:ascii="Arial" w:hAnsi="Arial" w:cs="Arial"/>
          <w:sz w:val="24"/>
          <w:szCs w:val="24"/>
        </w:rPr>
        <w:t>assaulted</w:t>
      </w:r>
      <w:r w:rsidR="00DE0D9A">
        <w:rPr>
          <w:rFonts w:ascii="Arial" w:hAnsi="Arial" w:cs="Arial"/>
          <w:sz w:val="24"/>
          <w:szCs w:val="24"/>
        </w:rPr>
        <w:t xml:space="preserve">. The </w:t>
      </w:r>
      <w:r w:rsidR="0044087C" w:rsidRPr="00C3792D">
        <w:rPr>
          <w:rFonts w:ascii="Arial" w:hAnsi="Arial" w:cs="Arial"/>
          <w:sz w:val="24"/>
          <w:szCs w:val="24"/>
        </w:rPr>
        <w:t>police</w:t>
      </w:r>
      <w:r w:rsidR="00115B3D" w:rsidRPr="00C3792D">
        <w:rPr>
          <w:rFonts w:ascii="Arial" w:hAnsi="Arial" w:cs="Arial"/>
          <w:sz w:val="24"/>
          <w:szCs w:val="24"/>
        </w:rPr>
        <w:t xml:space="preserve"> </w:t>
      </w:r>
      <w:proofErr w:type="spellStart"/>
      <w:r w:rsidR="00115B3D" w:rsidRPr="00C3792D">
        <w:rPr>
          <w:rFonts w:ascii="Arial" w:hAnsi="Arial" w:cs="Arial"/>
          <w:sz w:val="24"/>
          <w:szCs w:val="24"/>
        </w:rPr>
        <w:t>bakkie</w:t>
      </w:r>
      <w:proofErr w:type="spellEnd"/>
      <w:r w:rsidR="00115B3D" w:rsidRPr="00C3792D">
        <w:rPr>
          <w:rFonts w:ascii="Arial" w:hAnsi="Arial" w:cs="Arial"/>
          <w:sz w:val="24"/>
          <w:szCs w:val="24"/>
        </w:rPr>
        <w:t xml:space="preserve"> that had earlier left with the complainant and his father ultimately returned, and he was </w:t>
      </w:r>
      <w:r w:rsidR="0044087C" w:rsidRPr="00C3792D">
        <w:rPr>
          <w:rFonts w:ascii="Arial" w:hAnsi="Arial" w:cs="Arial"/>
          <w:sz w:val="24"/>
          <w:szCs w:val="24"/>
        </w:rPr>
        <w:t xml:space="preserve">arrested. </w:t>
      </w:r>
    </w:p>
    <w:p w14:paraId="275CC043" w14:textId="77777777" w:rsidR="00115B3D" w:rsidRPr="00C3792D" w:rsidRDefault="00115B3D" w:rsidP="00115B3D">
      <w:pPr>
        <w:pStyle w:val="ListParagraph"/>
        <w:rPr>
          <w:rFonts w:ascii="Arial" w:hAnsi="Arial" w:cs="Arial"/>
          <w:sz w:val="24"/>
          <w:szCs w:val="24"/>
        </w:rPr>
      </w:pPr>
    </w:p>
    <w:p w14:paraId="2C48932C" w14:textId="77777777" w:rsidR="001F51FC" w:rsidRPr="00C3792D" w:rsidRDefault="0044087C" w:rsidP="001F51FC">
      <w:pPr>
        <w:pStyle w:val="ListParagraph"/>
        <w:numPr>
          <w:ilvl w:val="0"/>
          <w:numId w:val="1"/>
        </w:numPr>
        <w:spacing w:line="480" w:lineRule="auto"/>
        <w:jc w:val="both"/>
        <w:rPr>
          <w:rFonts w:ascii="Arial" w:hAnsi="Arial" w:cs="Arial"/>
          <w:sz w:val="24"/>
          <w:szCs w:val="24"/>
        </w:rPr>
      </w:pPr>
      <w:r w:rsidRPr="00C3792D">
        <w:rPr>
          <w:rFonts w:ascii="Arial" w:hAnsi="Arial" w:cs="Arial"/>
          <w:sz w:val="24"/>
          <w:szCs w:val="24"/>
        </w:rPr>
        <w:t>The mother</w:t>
      </w:r>
      <w:r w:rsidR="00C07F35" w:rsidRPr="00C3792D">
        <w:rPr>
          <w:rFonts w:ascii="Arial" w:hAnsi="Arial" w:cs="Arial"/>
          <w:sz w:val="24"/>
          <w:szCs w:val="24"/>
        </w:rPr>
        <w:t xml:space="preserve">, </w:t>
      </w:r>
      <w:proofErr w:type="spellStart"/>
      <w:r w:rsidR="00C07F35" w:rsidRPr="00C3792D">
        <w:rPr>
          <w:rFonts w:ascii="Arial" w:hAnsi="Arial" w:cs="Arial"/>
          <w:sz w:val="24"/>
          <w:szCs w:val="24"/>
        </w:rPr>
        <w:t>Nobisa</w:t>
      </w:r>
      <w:proofErr w:type="spellEnd"/>
      <w:r w:rsidR="00C07F35" w:rsidRPr="00C3792D">
        <w:rPr>
          <w:rFonts w:ascii="Arial" w:hAnsi="Arial" w:cs="Arial"/>
          <w:sz w:val="24"/>
          <w:szCs w:val="24"/>
        </w:rPr>
        <w:t xml:space="preserve"> Cynthia </w:t>
      </w:r>
      <w:proofErr w:type="spellStart"/>
      <w:r w:rsidR="00C07F35" w:rsidRPr="00C3792D">
        <w:rPr>
          <w:rFonts w:ascii="Arial" w:hAnsi="Arial" w:cs="Arial"/>
          <w:sz w:val="24"/>
          <w:szCs w:val="24"/>
        </w:rPr>
        <w:t>Mabusela</w:t>
      </w:r>
      <w:proofErr w:type="spellEnd"/>
      <w:r w:rsidR="00C07F35" w:rsidRPr="00C3792D">
        <w:rPr>
          <w:rFonts w:ascii="Arial" w:hAnsi="Arial" w:cs="Arial"/>
          <w:sz w:val="24"/>
          <w:szCs w:val="24"/>
        </w:rPr>
        <w:t>,</w:t>
      </w:r>
      <w:r w:rsidR="00A131CC" w:rsidRPr="00C3792D">
        <w:rPr>
          <w:rFonts w:ascii="Arial" w:hAnsi="Arial" w:cs="Arial"/>
          <w:sz w:val="24"/>
          <w:szCs w:val="24"/>
        </w:rPr>
        <w:t xml:space="preserve"> testified that the complainant is her first born child born on the 28</w:t>
      </w:r>
      <w:r w:rsidR="00A131CC" w:rsidRPr="00C3792D">
        <w:rPr>
          <w:rFonts w:ascii="Arial" w:hAnsi="Arial" w:cs="Arial"/>
          <w:sz w:val="24"/>
          <w:szCs w:val="24"/>
          <w:vertAlign w:val="superscript"/>
        </w:rPr>
        <w:t>th</w:t>
      </w:r>
      <w:r w:rsidR="00A131CC" w:rsidRPr="00C3792D">
        <w:rPr>
          <w:rFonts w:ascii="Arial" w:hAnsi="Arial" w:cs="Arial"/>
          <w:sz w:val="24"/>
          <w:szCs w:val="24"/>
        </w:rPr>
        <w:t xml:space="preserve"> June 2004. On the night in question she was sleeping with </w:t>
      </w:r>
      <w:r w:rsidR="00C30185" w:rsidRPr="00C3792D">
        <w:rPr>
          <w:rFonts w:ascii="Arial" w:hAnsi="Arial" w:cs="Arial"/>
          <w:sz w:val="24"/>
          <w:szCs w:val="24"/>
        </w:rPr>
        <w:t>Samson</w:t>
      </w:r>
      <w:r w:rsidR="00A131CC" w:rsidRPr="00C3792D">
        <w:rPr>
          <w:rFonts w:ascii="Arial" w:hAnsi="Arial" w:cs="Arial"/>
          <w:sz w:val="24"/>
          <w:szCs w:val="24"/>
        </w:rPr>
        <w:t>, her partner in his room</w:t>
      </w:r>
      <w:r w:rsidRPr="00C3792D">
        <w:rPr>
          <w:rFonts w:ascii="Arial" w:hAnsi="Arial" w:cs="Arial"/>
          <w:sz w:val="24"/>
          <w:szCs w:val="24"/>
        </w:rPr>
        <w:t>.</w:t>
      </w:r>
      <w:r w:rsidR="00A131CC" w:rsidRPr="00C3792D">
        <w:rPr>
          <w:rFonts w:ascii="Arial" w:hAnsi="Arial" w:cs="Arial"/>
          <w:sz w:val="24"/>
          <w:szCs w:val="24"/>
        </w:rPr>
        <w:t xml:space="preserve"> She denied that she was locked out of the house by h</w:t>
      </w:r>
      <w:r w:rsidR="00DE0D9A">
        <w:rPr>
          <w:rFonts w:ascii="Arial" w:hAnsi="Arial" w:cs="Arial"/>
          <w:sz w:val="24"/>
          <w:szCs w:val="24"/>
        </w:rPr>
        <w:t>er husband, Samson that night. Sh</w:t>
      </w:r>
      <w:r w:rsidR="00A131CC" w:rsidRPr="00C3792D">
        <w:rPr>
          <w:rFonts w:ascii="Arial" w:hAnsi="Arial" w:cs="Arial"/>
          <w:sz w:val="24"/>
          <w:szCs w:val="24"/>
        </w:rPr>
        <w:t>e deni</w:t>
      </w:r>
      <w:r w:rsidR="00DE0D9A">
        <w:rPr>
          <w:rFonts w:ascii="Arial" w:hAnsi="Arial" w:cs="Arial"/>
          <w:sz w:val="24"/>
          <w:szCs w:val="24"/>
        </w:rPr>
        <w:t>ed appellant’s version that she and the complainant slept in appellant’s room together with the appellant that night,</w:t>
      </w:r>
    </w:p>
    <w:p w14:paraId="7742C7BD" w14:textId="77777777" w:rsidR="004D7A3E" w:rsidRPr="00C3792D" w:rsidRDefault="004D7A3E" w:rsidP="004D7A3E">
      <w:pPr>
        <w:pStyle w:val="ListParagraph"/>
        <w:rPr>
          <w:rFonts w:ascii="Arial" w:hAnsi="Arial" w:cs="Arial"/>
          <w:sz w:val="24"/>
          <w:szCs w:val="24"/>
        </w:rPr>
      </w:pPr>
    </w:p>
    <w:p w14:paraId="57F585CF" w14:textId="77777777" w:rsidR="004D7A3E" w:rsidRPr="00C3792D" w:rsidRDefault="00760775" w:rsidP="001F51FC">
      <w:pPr>
        <w:pStyle w:val="ListParagraph"/>
        <w:numPr>
          <w:ilvl w:val="0"/>
          <w:numId w:val="1"/>
        </w:numPr>
        <w:spacing w:line="480" w:lineRule="auto"/>
        <w:jc w:val="both"/>
        <w:rPr>
          <w:rFonts w:ascii="Arial" w:hAnsi="Arial" w:cs="Arial"/>
          <w:sz w:val="24"/>
          <w:szCs w:val="24"/>
        </w:rPr>
      </w:pPr>
      <w:r>
        <w:rPr>
          <w:rFonts w:ascii="Arial" w:hAnsi="Arial" w:cs="Arial"/>
          <w:sz w:val="24"/>
          <w:szCs w:val="24"/>
        </w:rPr>
        <w:t xml:space="preserve">Dr </w:t>
      </w:r>
      <w:proofErr w:type="spellStart"/>
      <w:r w:rsidR="004D7A3E" w:rsidRPr="00C3792D">
        <w:rPr>
          <w:rFonts w:ascii="Arial" w:hAnsi="Arial" w:cs="Arial"/>
          <w:sz w:val="24"/>
          <w:szCs w:val="24"/>
        </w:rPr>
        <w:t>Saita</w:t>
      </w:r>
      <w:proofErr w:type="spellEnd"/>
      <w:r w:rsidR="004D7A3E" w:rsidRPr="00C3792D">
        <w:rPr>
          <w:rFonts w:ascii="Arial" w:hAnsi="Arial" w:cs="Arial"/>
          <w:sz w:val="24"/>
          <w:szCs w:val="24"/>
        </w:rPr>
        <w:t xml:space="preserve"> </w:t>
      </w:r>
      <w:proofErr w:type="spellStart"/>
      <w:r w:rsidR="004D7A3E" w:rsidRPr="00C3792D">
        <w:rPr>
          <w:rFonts w:ascii="Arial" w:hAnsi="Arial" w:cs="Arial"/>
          <w:sz w:val="24"/>
          <w:szCs w:val="24"/>
        </w:rPr>
        <w:t>Kashif</w:t>
      </w:r>
      <w:proofErr w:type="spellEnd"/>
      <w:r w:rsidR="004D7A3E" w:rsidRPr="00C3792D">
        <w:rPr>
          <w:rFonts w:ascii="Arial" w:hAnsi="Arial" w:cs="Arial"/>
          <w:sz w:val="24"/>
          <w:szCs w:val="24"/>
        </w:rPr>
        <w:t xml:space="preserve"> testified that on the 27</w:t>
      </w:r>
      <w:r w:rsidR="004D7A3E" w:rsidRPr="00C3792D">
        <w:rPr>
          <w:rFonts w:ascii="Arial" w:hAnsi="Arial" w:cs="Arial"/>
          <w:sz w:val="24"/>
          <w:szCs w:val="24"/>
          <w:vertAlign w:val="superscript"/>
        </w:rPr>
        <w:t>th</w:t>
      </w:r>
      <w:r w:rsidR="004D7A3E" w:rsidRPr="00C3792D">
        <w:rPr>
          <w:rFonts w:ascii="Arial" w:hAnsi="Arial" w:cs="Arial"/>
          <w:sz w:val="24"/>
          <w:szCs w:val="24"/>
        </w:rPr>
        <w:t xml:space="preserve"> January 2019 she examined the complainant, and completed a J88 at </w:t>
      </w:r>
      <w:proofErr w:type="spellStart"/>
      <w:r w:rsidR="004D7A3E" w:rsidRPr="00C3792D">
        <w:rPr>
          <w:rFonts w:ascii="Arial" w:hAnsi="Arial" w:cs="Arial"/>
          <w:sz w:val="24"/>
          <w:szCs w:val="24"/>
        </w:rPr>
        <w:t>Leratong</w:t>
      </w:r>
      <w:proofErr w:type="spellEnd"/>
      <w:r w:rsidR="004D7A3E" w:rsidRPr="00C3792D">
        <w:rPr>
          <w:rFonts w:ascii="Arial" w:hAnsi="Arial" w:cs="Arial"/>
          <w:sz w:val="24"/>
          <w:szCs w:val="24"/>
        </w:rPr>
        <w:t xml:space="preserve"> Crisis centre</w:t>
      </w:r>
      <w:r w:rsidR="007F29E2">
        <w:rPr>
          <w:rFonts w:ascii="Arial" w:hAnsi="Arial" w:cs="Arial"/>
          <w:sz w:val="24"/>
          <w:szCs w:val="24"/>
        </w:rPr>
        <w:t>,</w:t>
      </w:r>
      <w:r w:rsidR="004D7A3E" w:rsidRPr="00C3792D">
        <w:rPr>
          <w:rFonts w:ascii="Arial" w:hAnsi="Arial" w:cs="Arial"/>
          <w:sz w:val="24"/>
          <w:szCs w:val="24"/>
        </w:rPr>
        <w:t xml:space="preserve"> where she was ba</w:t>
      </w:r>
      <w:r w:rsidR="009512CB">
        <w:rPr>
          <w:rFonts w:ascii="Arial" w:hAnsi="Arial" w:cs="Arial"/>
          <w:sz w:val="24"/>
          <w:szCs w:val="24"/>
        </w:rPr>
        <w:t xml:space="preserve">sed. Her conclusion was that her examination and clinical findings </w:t>
      </w:r>
      <w:r>
        <w:rPr>
          <w:rFonts w:ascii="Arial" w:hAnsi="Arial" w:cs="Arial"/>
          <w:sz w:val="24"/>
          <w:szCs w:val="24"/>
        </w:rPr>
        <w:t xml:space="preserve">of his anus </w:t>
      </w:r>
      <w:r w:rsidR="009512CB">
        <w:rPr>
          <w:rFonts w:ascii="Arial" w:hAnsi="Arial" w:cs="Arial"/>
          <w:sz w:val="24"/>
          <w:szCs w:val="24"/>
        </w:rPr>
        <w:t>were</w:t>
      </w:r>
      <w:r w:rsidR="004D7A3E" w:rsidRPr="00C3792D">
        <w:rPr>
          <w:rFonts w:ascii="Arial" w:hAnsi="Arial" w:cs="Arial"/>
          <w:sz w:val="24"/>
          <w:szCs w:val="24"/>
        </w:rPr>
        <w:t xml:space="preserve"> consistent with</w:t>
      </w:r>
      <w:r>
        <w:rPr>
          <w:rFonts w:ascii="Arial" w:hAnsi="Arial" w:cs="Arial"/>
          <w:sz w:val="24"/>
          <w:szCs w:val="24"/>
        </w:rPr>
        <w:t xml:space="preserve"> the history given by the child that he had been raped.</w:t>
      </w:r>
      <w:r w:rsidR="004D7A3E" w:rsidRPr="00C3792D">
        <w:rPr>
          <w:rFonts w:ascii="Arial" w:hAnsi="Arial" w:cs="Arial"/>
          <w:sz w:val="24"/>
          <w:szCs w:val="24"/>
        </w:rPr>
        <w:t xml:space="preserve"> The doctor’s evidence was not disputed. There was no DNA evidence presented.</w:t>
      </w:r>
    </w:p>
    <w:p w14:paraId="011B42A0" w14:textId="77777777" w:rsidR="0044087C" w:rsidRPr="00C3792D" w:rsidRDefault="0044087C" w:rsidP="0044087C">
      <w:pPr>
        <w:pStyle w:val="ListParagraph"/>
        <w:rPr>
          <w:rFonts w:ascii="Arial" w:hAnsi="Arial" w:cs="Arial"/>
          <w:sz w:val="24"/>
          <w:szCs w:val="24"/>
        </w:rPr>
      </w:pPr>
    </w:p>
    <w:p w14:paraId="0DD7A13C" w14:textId="77777777" w:rsidR="00FE49EB" w:rsidRPr="00C3792D" w:rsidRDefault="0044087C" w:rsidP="001F51FC">
      <w:pPr>
        <w:pStyle w:val="ListParagraph"/>
        <w:numPr>
          <w:ilvl w:val="0"/>
          <w:numId w:val="1"/>
        </w:numPr>
        <w:spacing w:line="480" w:lineRule="auto"/>
        <w:jc w:val="both"/>
        <w:rPr>
          <w:rFonts w:ascii="Arial" w:hAnsi="Arial" w:cs="Arial"/>
          <w:sz w:val="24"/>
          <w:szCs w:val="24"/>
        </w:rPr>
      </w:pPr>
      <w:r w:rsidRPr="00C3792D">
        <w:rPr>
          <w:rFonts w:ascii="Arial" w:hAnsi="Arial" w:cs="Arial"/>
          <w:sz w:val="24"/>
          <w:szCs w:val="24"/>
        </w:rPr>
        <w:t>According to the Appellant</w:t>
      </w:r>
      <w:r w:rsidR="00FB3C80" w:rsidRPr="00C3792D">
        <w:rPr>
          <w:rFonts w:ascii="Arial" w:hAnsi="Arial" w:cs="Arial"/>
          <w:sz w:val="24"/>
          <w:szCs w:val="24"/>
        </w:rPr>
        <w:t xml:space="preserve">, Aaron </w:t>
      </w:r>
      <w:proofErr w:type="spellStart"/>
      <w:r w:rsidR="00FB3C80" w:rsidRPr="00C3792D">
        <w:rPr>
          <w:rFonts w:ascii="Arial" w:hAnsi="Arial" w:cs="Arial"/>
          <w:sz w:val="24"/>
          <w:szCs w:val="24"/>
        </w:rPr>
        <w:t>Chauke</w:t>
      </w:r>
      <w:proofErr w:type="spellEnd"/>
      <w:r w:rsidR="00FB3C80" w:rsidRPr="00C3792D">
        <w:rPr>
          <w:rFonts w:ascii="Arial" w:hAnsi="Arial" w:cs="Arial"/>
          <w:sz w:val="24"/>
          <w:szCs w:val="24"/>
        </w:rPr>
        <w:t>,</w:t>
      </w:r>
      <w:r w:rsidRPr="00C3792D">
        <w:rPr>
          <w:rFonts w:ascii="Arial" w:hAnsi="Arial" w:cs="Arial"/>
          <w:sz w:val="24"/>
          <w:szCs w:val="24"/>
        </w:rPr>
        <w:t xml:space="preserve"> </w:t>
      </w:r>
      <w:r w:rsidR="00FB3C80" w:rsidRPr="00C3792D">
        <w:rPr>
          <w:rFonts w:ascii="Arial" w:hAnsi="Arial" w:cs="Arial"/>
          <w:sz w:val="24"/>
          <w:szCs w:val="24"/>
        </w:rPr>
        <w:t>on the 26</w:t>
      </w:r>
      <w:r w:rsidR="00FB3C80" w:rsidRPr="00C3792D">
        <w:rPr>
          <w:rFonts w:ascii="Arial" w:hAnsi="Arial" w:cs="Arial"/>
          <w:sz w:val="24"/>
          <w:szCs w:val="24"/>
          <w:vertAlign w:val="superscript"/>
        </w:rPr>
        <w:t>th</w:t>
      </w:r>
      <w:r w:rsidR="00FB3C80" w:rsidRPr="00C3792D">
        <w:rPr>
          <w:rFonts w:ascii="Arial" w:hAnsi="Arial" w:cs="Arial"/>
          <w:sz w:val="24"/>
          <w:szCs w:val="24"/>
        </w:rPr>
        <w:t xml:space="preserve"> January 2019 went to the liquor store to buy alcohol. On his way back home he met up with </w:t>
      </w:r>
      <w:proofErr w:type="spellStart"/>
      <w:r w:rsidR="00753382" w:rsidRPr="00C3792D">
        <w:rPr>
          <w:rFonts w:ascii="Arial" w:hAnsi="Arial" w:cs="Arial"/>
          <w:sz w:val="24"/>
          <w:szCs w:val="24"/>
        </w:rPr>
        <w:t>Rampai</w:t>
      </w:r>
      <w:proofErr w:type="spellEnd"/>
      <w:r w:rsidR="00FB3C80" w:rsidRPr="00C3792D">
        <w:rPr>
          <w:rFonts w:ascii="Arial" w:hAnsi="Arial" w:cs="Arial"/>
          <w:sz w:val="24"/>
          <w:szCs w:val="24"/>
        </w:rPr>
        <w:t xml:space="preserve"> and </w:t>
      </w:r>
      <w:r w:rsidR="00FB3C80" w:rsidRPr="00C3792D">
        <w:rPr>
          <w:rFonts w:ascii="Arial" w:hAnsi="Arial" w:cs="Arial"/>
          <w:sz w:val="24"/>
          <w:szCs w:val="24"/>
        </w:rPr>
        <w:lastRenderedPageBreak/>
        <w:t xml:space="preserve">his friends who robbed him of his money and the liquor. When he arrived at home he found the complainant and his mother </w:t>
      </w:r>
      <w:r w:rsidR="007A3D9B">
        <w:rPr>
          <w:rFonts w:ascii="Arial" w:hAnsi="Arial" w:cs="Arial"/>
          <w:sz w:val="24"/>
          <w:szCs w:val="24"/>
        </w:rPr>
        <w:t>sit</w:t>
      </w:r>
      <w:r w:rsidR="00FB3C80" w:rsidRPr="00C3792D">
        <w:rPr>
          <w:rFonts w:ascii="Arial" w:hAnsi="Arial" w:cs="Arial"/>
          <w:sz w:val="24"/>
          <w:szCs w:val="24"/>
        </w:rPr>
        <w:t>ting around the fire. She requested to sleep with him and the complainant, and indeed</w:t>
      </w:r>
      <w:r w:rsidRPr="00C3792D">
        <w:rPr>
          <w:rFonts w:ascii="Arial" w:hAnsi="Arial" w:cs="Arial"/>
          <w:sz w:val="24"/>
          <w:szCs w:val="24"/>
        </w:rPr>
        <w:t xml:space="preserve"> slept in his room with him because the complainant’s </w:t>
      </w:r>
      <w:r w:rsidR="00FE49EB" w:rsidRPr="00C3792D">
        <w:rPr>
          <w:rFonts w:ascii="Arial" w:hAnsi="Arial" w:cs="Arial"/>
          <w:sz w:val="24"/>
          <w:szCs w:val="24"/>
        </w:rPr>
        <w:t xml:space="preserve">father had </w:t>
      </w:r>
      <w:r w:rsidR="00FB3C80" w:rsidRPr="00C3792D">
        <w:rPr>
          <w:rFonts w:ascii="Arial" w:hAnsi="Arial" w:cs="Arial"/>
          <w:sz w:val="24"/>
          <w:szCs w:val="24"/>
        </w:rPr>
        <w:t>locked</w:t>
      </w:r>
      <w:r w:rsidR="00FE49EB" w:rsidRPr="00C3792D">
        <w:rPr>
          <w:rFonts w:ascii="Arial" w:hAnsi="Arial" w:cs="Arial"/>
          <w:sz w:val="24"/>
          <w:szCs w:val="24"/>
        </w:rPr>
        <w:t xml:space="preserve"> her</w:t>
      </w:r>
      <w:r w:rsidR="00FB3C80" w:rsidRPr="00C3792D">
        <w:rPr>
          <w:rFonts w:ascii="Arial" w:hAnsi="Arial" w:cs="Arial"/>
          <w:sz w:val="24"/>
          <w:szCs w:val="24"/>
        </w:rPr>
        <w:t xml:space="preserve"> outside his room</w:t>
      </w:r>
      <w:r w:rsidR="00FE49EB" w:rsidRPr="00C3792D">
        <w:rPr>
          <w:rFonts w:ascii="Arial" w:hAnsi="Arial" w:cs="Arial"/>
          <w:sz w:val="24"/>
          <w:szCs w:val="24"/>
        </w:rPr>
        <w:t xml:space="preserve">. As they slept, </w:t>
      </w:r>
      <w:proofErr w:type="spellStart"/>
      <w:r w:rsidR="00753382" w:rsidRPr="00C3792D">
        <w:rPr>
          <w:rFonts w:ascii="Arial" w:hAnsi="Arial" w:cs="Arial"/>
          <w:sz w:val="24"/>
          <w:szCs w:val="24"/>
        </w:rPr>
        <w:t>Rampai</w:t>
      </w:r>
      <w:proofErr w:type="spellEnd"/>
      <w:r w:rsidR="00FE49EB" w:rsidRPr="00C3792D">
        <w:rPr>
          <w:rFonts w:ascii="Arial" w:hAnsi="Arial" w:cs="Arial"/>
          <w:sz w:val="24"/>
          <w:szCs w:val="24"/>
        </w:rPr>
        <w:t xml:space="preserve"> and the complainant’s father came and knocked, the wife went out through the window. They found the complainant fast asleep in bed. The next time they came with the police, and he ran away because </w:t>
      </w:r>
      <w:proofErr w:type="spellStart"/>
      <w:r w:rsidR="00753382" w:rsidRPr="00C3792D">
        <w:rPr>
          <w:rFonts w:ascii="Arial" w:hAnsi="Arial" w:cs="Arial"/>
          <w:sz w:val="24"/>
          <w:szCs w:val="24"/>
        </w:rPr>
        <w:t>Rampai</w:t>
      </w:r>
      <w:proofErr w:type="spellEnd"/>
      <w:r w:rsidR="00FE49EB" w:rsidRPr="00C3792D">
        <w:rPr>
          <w:rFonts w:ascii="Arial" w:hAnsi="Arial" w:cs="Arial"/>
          <w:sz w:val="24"/>
          <w:szCs w:val="24"/>
        </w:rPr>
        <w:t xml:space="preserve"> was </w:t>
      </w:r>
      <w:r w:rsidR="00FB3C80" w:rsidRPr="00C3792D">
        <w:rPr>
          <w:rFonts w:ascii="Arial" w:hAnsi="Arial" w:cs="Arial"/>
          <w:sz w:val="24"/>
          <w:szCs w:val="24"/>
        </w:rPr>
        <w:t>assault</w:t>
      </w:r>
      <w:r w:rsidR="00FE49EB" w:rsidRPr="00C3792D">
        <w:rPr>
          <w:rFonts w:ascii="Arial" w:hAnsi="Arial" w:cs="Arial"/>
          <w:sz w:val="24"/>
          <w:szCs w:val="24"/>
        </w:rPr>
        <w:t xml:space="preserve">ing </w:t>
      </w:r>
      <w:r w:rsidR="00FB3C80" w:rsidRPr="00C3792D">
        <w:rPr>
          <w:rFonts w:ascii="Arial" w:hAnsi="Arial" w:cs="Arial"/>
          <w:sz w:val="24"/>
          <w:szCs w:val="24"/>
        </w:rPr>
        <w:t>him</w:t>
      </w:r>
      <w:r w:rsidR="003439EB" w:rsidRPr="00C3792D">
        <w:rPr>
          <w:rFonts w:ascii="Arial" w:hAnsi="Arial" w:cs="Arial"/>
          <w:sz w:val="24"/>
          <w:szCs w:val="24"/>
        </w:rPr>
        <w:t>. He confirmed</w:t>
      </w:r>
      <w:r w:rsidR="00FE49EB" w:rsidRPr="00C3792D">
        <w:rPr>
          <w:rFonts w:ascii="Arial" w:hAnsi="Arial" w:cs="Arial"/>
          <w:sz w:val="24"/>
          <w:szCs w:val="24"/>
        </w:rPr>
        <w:t xml:space="preserve"> that he returned at dawn and was arrested. He denied raping the child. He does not know what caused the injuries on his an</w:t>
      </w:r>
      <w:r w:rsidR="003439EB" w:rsidRPr="00C3792D">
        <w:rPr>
          <w:rFonts w:ascii="Arial" w:hAnsi="Arial" w:cs="Arial"/>
          <w:sz w:val="24"/>
          <w:szCs w:val="24"/>
        </w:rPr>
        <w:t>al area</w:t>
      </w:r>
      <w:r w:rsidR="00FE49EB" w:rsidRPr="00C3792D">
        <w:rPr>
          <w:rFonts w:ascii="Arial" w:hAnsi="Arial" w:cs="Arial"/>
          <w:sz w:val="24"/>
          <w:szCs w:val="24"/>
        </w:rPr>
        <w:t>.</w:t>
      </w:r>
    </w:p>
    <w:p w14:paraId="24513B9D" w14:textId="77777777" w:rsidR="00FE49EB" w:rsidRPr="00C3792D" w:rsidRDefault="00FE49EB" w:rsidP="00FE49EB">
      <w:pPr>
        <w:pStyle w:val="ListParagraph"/>
        <w:rPr>
          <w:rFonts w:ascii="Arial" w:hAnsi="Arial" w:cs="Arial"/>
          <w:sz w:val="24"/>
          <w:szCs w:val="24"/>
        </w:rPr>
      </w:pPr>
    </w:p>
    <w:p w14:paraId="5B68B995" w14:textId="77777777" w:rsidR="0044087C" w:rsidRPr="00C3792D" w:rsidRDefault="00FE49EB" w:rsidP="001F51FC">
      <w:pPr>
        <w:pStyle w:val="ListParagraph"/>
        <w:numPr>
          <w:ilvl w:val="0"/>
          <w:numId w:val="1"/>
        </w:numPr>
        <w:spacing w:line="480" w:lineRule="auto"/>
        <w:jc w:val="both"/>
        <w:rPr>
          <w:rFonts w:ascii="Arial" w:hAnsi="Arial" w:cs="Arial"/>
          <w:sz w:val="24"/>
          <w:szCs w:val="24"/>
        </w:rPr>
      </w:pPr>
      <w:r w:rsidRPr="00C3792D">
        <w:rPr>
          <w:rFonts w:ascii="Arial" w:hAnsi="Arial" w:cs="Arial"/>
          <w:sz w:val="24"/>
          <w:szCs w:val="24"/>
        </w:rPr>
        <w:t xml:space="preserve">The court a quo convicted the accused and sentenced him to life imprisonment. </w:t>
      </w:r>
    </w:p>
    <w:p w14:paraId="5BA46C85" w14:textId="77777777" w:rsidR="00155581" w:rsidRPr="00C3792D" w:rsidRDefault="00155581" w:rsidP="00155581">
      <w:pPr>
        <w:pStyle w:val="ListParagraph"/>
        <w:rPr>
          <w:rFonts w:ascii="Arial" w:hAnsi="Arial" w:cs="Arial"/>
          <w:sz w:val="24"/>
          <w:szCs w:val="24"/>
        </w:rPr>
      </w:pPr>
    </w:p>
    <w:p w14:paraId="4DE41550" w14:textId="77777777" w:rsidR="00155581" w:rsidRDefault="00155581" w:rsidP="00155581">
      <w:pPr>
        <w:pStyle w:val="ListParagraph"/>
        <w:numPr>
          <w:ilvl w:val="0"/>
          <w:numId w:val="1"/>
        </w:numPr>
        <w:spacing w:line="480" w:lineRule="auto"/>
        <w:jc w:val="both"/>
        <w:rPr>
          <w:rFonts w:ascii="Arial" w:hAnsi="Arial" w:cs="Arial"/>
          <w:sz w:val="24"/>
          <w:szCs w:val="24"/>
        </w:rPr>
      </w:pPr>
      <w:r w:rsidRPr="00C3792D">
        <w:rPr>
          <w:rFonts w:ascii="Arial" w:hAnsi="Arial" w:cs="Arial"/>
          <w:sz w:val="24"/>
          <w:szCs w:val="24"/>
        </w:rPr>
        <w:t>In respect of conviction, appellant’s grounds of appeal are that the trial court, in taking the complainant’s evidence did not comply with the provisions of Sections 162 and 164 CPA. In respect of sentence, appellant contends that the trial court should have found that there are compelling and substantial circumstances justifying a deviation from imposition of the prescribed minimum sentence of life imprisonment.</w:t>
      </w:r>
      <w:r w:rsidR="00C3792D">
        <w:rPr>
          <w:rFonts w:ascii="Arial" w:hAnsi="Arial" w:cs="Arial"/>
          <w:sz w:val="24"/>
          <w:szCs w:val="24"/>
        </w:rPr>
        <w:t xml:space="preserve"> </w:t>
      </w:r>
    </w:p>
    <w:p w14:paraId="42128696" w14:textId="77777777" w:rsidR="00C3792D" w:rsidRPr="00C3792D" w:rsidRDefault="00C3792D" w:rsidP="00C3792D">
      <w:pPr>
        <w:pStyle w:val="ListParagraph"/>
        <w:rPr>
          <w:rFonts w:ascii="Arial" w:hAnsi="Arial" w:cs="Arial"/>
          <w:sz w:val="24"/>
          <w:szCs w:val="24"/>
        </w:rPr>
      </w:pPr>
    </w:p>
    <w:p w14:paraId="5BC2113E" w14:textId="77777777" w:rsidR="00C3792D" w:rsidRPr="000D025D" w:rsidRDefault="00AC5337" w:rsidP="000D025D">
      <w:pPr>
        <w:pStyle w:val="ListParagraph"/>
        <w:spacing w:line="480" w:lineRule="auto"/>
        <w:ind w:left="360"/>
        <w:jc w:val="both"/>
        <w:rPr>
          <w:rFonts w:ascii="Arial" w:hAnsi="Arial" w:cs="Arial"/>
          <w:sz w:val="24"/>
          <w:szCs w:val="24"/>
        </w:rPr>
      </w:pPr>
      <w:r w:rsidRPr="00C3792D">
        <w:rPr>
          <w:rFonts w:ascii="Arial" w:hAnsi="Arial" w:cs="Arial"/>
          <w:b/>
          <w:sz w:val="24"/>
          <w:szCs w:val="24"/>
        </w:rPr>
        <w:t>Issues for determination</w:t>
      </w:r>
      <w:r w:rsidR="008C38A2" w:rsidRPr="00C3792D">
        <w:rPr>
          <w:rFonts w:ascii="Arial" w:hAnsi="Arial" w:cs="Arial"/>
          <w:b/>
          <w:sz w:val="24"/>
          <w:szCs w:val="24"/>
        </w:rPr>
        <w:t>:</w:t>
      </w:r>
      <w:r w:rsidR="00C3792D">
        <w:rPr>
          <w:rFonts w:ascii="Arial" w:hAnsi="Arial" w:cs="Arial"/>
          <w:b/>
          <w:sz w:val="24"/>
          <w:szCs w:val="24"/>
        </w:rPr>
        <w:t xml:space="preserve"> </w:t>
      </w:r>
    </w:p>
    <w:p w14:paraId="3F1C4ED1" w14:textId="77777777" w:rsidR="00C3792D" w:rsidRDefault="00AC5337" w:rsidP="00C3792D">
      <w:pPr>
        <w:pStyle w:val="ListParagraph"/>
        <w:numPr>
          <w:ilvl w:val="0"/>
          <w:numId w:val="1"/>
        </w:numPr>
        <w:spacing w:line="480" w:lineRule="auto"/>
        <w:jc w:val="both"/>
        <w:rPr>
          <w:rFonts w:ascii="Arial" w:hAnsi="Arial" w:cs="Arial"/>
          <w:sz w:val="24"/>
          <w:szCs w:val="24"/>
        </w:rPr>
      </w:pPr>
      <w:r w:rsidRPr="00C3792D">
        <w:rPr>
          <w:rFonts w:ascii="Arial" w:hAnsi="Arial" w:cs="Arial"/>
          <w:sz w:val="24"/>
          <w:szCs w:val="24"/>
        </w:rPr>
        <w:t>AD CONVICTION</w:t>
      </w:r>
    </w:p>
    <w:p w14:paraId="3C0872DB" w14:textId="77777777" w:rsidR="00C3792D" w:rsidRPr="00C3792D" w:rsidRDefault="00C3792D" w:rsidP="00C3792D">
      <w:pPr>
        <w:pStyle w:val="ListParagraph"/>
        <w:numPr>
          <w:ilvl w:val="0"/>
          <w:numId w:val="27"/>
        </w:numPr>
        <w:spacing w:line="480" w:lineRule="auto"/>
        <w:jc w:val="both"/>
        <w:rPr>
          <w:rFonts w:ascii="Arial" w:hAnsi="Arial" w:cs="Arial"/>
          <w:sz w:val="24"/>
          <w:szCs w:val="24"/>
        </w:rPr>
      </w:pPr>
      <w:r w:rsidRPr="00C3792D">
        <w:rPr>
          <w:rFonts w:ascii="Arial" w:hAnsi="Arial" w:cs="Arial"/>
          <w:sz w:val="24"/>
          <w:szCs w:val="24"/>
        </w:rPr>
        <w:t xml:space="preserve">Whether the trial court failed in its duty to comply with the provisions of sections 162 and 164 CPA? </w:t>
      </w:r>
    </w:p>
    <w:p w14:paraId="2B2B079D" w14:textId="77777777" w:rsidR="00C3792D" w:rsidRDefault="00C3792D" w:rsidP="00C3792D">
      <w:pPr>
        <w:pStyle w:val="ListParagraph"/>
        <w:numPr>
          <w:ilvl w:val="0"/>
          <w:numId w:val="27"/>
        </w:numPr>
        <w:spacing w:line="480" w:lineRule="auto"/>
        <w:jc w:val="both"/>
        <w:rPr>
          <w:rFonts w:ascii="Arial" w:hAnsi="Arial" w:cs="Arial"/>
          <w:sz w:val="24"/>
          <w:szCs w:val="24"/>
        </w:rPr>
      </w:pPr>
      <w:r w:rsidRPr="00C3792D">
        <w:rPr>
          <w:rFonts w:ascii="Arial" w:hAnsi="Arial" w:cs="Arial"/>
          <w:sz w:val="24"/>
          <w:szCs w:val="24"/>
        </w:rPr>
        <w:t>Whether the state proved its case beyond reasonable doubt, and appellant’s version not reasonably possibly true?</w:t>
      </w:r>
    </w:p>
    <w:p w14:paraId="2CCFD386" w14:textId="77777777" w:rsidR="00C3792D" w:rsidRPr="00C3792D" w:rsidRDefault="00C3792D" w:rsidP="00C3792D">
      <w:pPr>
        <w:pStyle w:val="ListParagraph"/>
        <w:rPr>
          <w:rFonts w:ascii="Arial" w:hAnsi="Arial" w:cs="Arial"/>
          <w:sz w:val="24"/>
          <w:szCs w:val="24"/>
        </w:rPr>
      </w:pPr>
    </w:p>
    <w:p w14:paraId="3BF28C14" w14:textId="77777777" w:rsidR="00C3792D" w:rsidRDefault="00155581" w:rsidP="00C3792D">
      <w:pPr>
        <w:pStyle w:val="ListParagraph"/>
        <w:numPr>
          <w:ilvl w:val="0"/>
          <w:numId w:val="1"/>
        </w:numPr>
        <w:spacing w:line="480" w:lineRule="auto"/>
        <w:jc w:val="both"/>
        <w:rPr>
          <w:rFonts w:ascii="Arial" w:hAnsi="Arial" w:cs="Arial"/>
          <w:sz w:val="24"/>
          <w:szCs w:val="24"/>
        </w:rPr>
      </w:pPr>
      <w:r w:rsidRPr="00C3792D">
        <w:rPr>
          <w:rFonts w:ascii="Arial" w:hAnsi="Arial" w:cs="Arial"/>
          <w:sz w:val="24"/>
          <w:szCs w:val="24"/>
        </w:rPr>
        <w:t xml:space="preserve">AD SENTENCE </w:t>
      </w:r>
    </w:p>
    <w:p w14:paraId="62F4B148" w14:textId="77777777" w:rsidR="00AC5337" w:rsidRPr="00C3792D" w:rsidRDefault="00155581" w:rsidP="00C3792D">
      <w:pPr>
        <w:pStyle w:val="ListParagraph"/>
        <w:numPr>
          <w:ilvl w:val="0"/>
          <w:numId w:val="28"/>
        </w:numPr>
        <w:spacing w:line="480" w:lineRule="auto"/>
        <w:jc w:val="both"/>
        <w:rPr>
          <w:rFonts w:ascii="Arial" w:hAnsi="Arial" w:cs="Arial"/>
          <w:sz w:val="24"/>
          <w:szCs w:val="24"/>
        </w:rPr>
      </w:pPr>
      <w:r w:rsidRPr="00C3792D">
        <w:rPr>
          <w:rFonts w:ascii="Arial" w:hAnsi="Arial" w:cs="Arial"/>
          <w:sz w:val="24"/>
          <w:szCs w:val="24"/>
        </w:rPr>
        <w:lastRenderedPageBreak/>
        <w:t>Whether the personal circumstances of appellant taken together, especially that he is a first offender, married and has three children, constitute substantial and compelling circumstances necessitating a deviation from imposing the sentence of life imprisonment?</w:t>
      </w:r>
    </w:p>
    <w:p w14:paraId="60420513" w14:textId="77777777" w:rsidR="008C38A2" w:rsidRPr="00C3792D" w:rsidRDefault="008C38A2" w:rsidP="00155581">
      <w:pPr>
        <w:pStyle w:val="ListParagraph"/>
        <w:spacing w:line="480" w:lineRule="auto"/>
        <w:ind w:left="360"/>
        <w:jc w:val="both"/>
        <w:rPr>
          <w:rFonts w:ascii="Arial" w:hAnsi="Arial" w:cs="Arial"/>
          <w:sz w:val="24"/>
          <w:szCs w:val="24"/>
        </w:rPr>
      </w:pPr>
    </w:p>
    <w:p w14:paraId="5FC995A6" w14:textId="77777777" w:rsidR="00155581" w:rsidRPr="00C3792D" w:rsidRDefault="00B300F6" w:rsidP="00155581">
      <w:pPr>
        <w:pStyle w:val="ListParagraph"/>
        <w:spacing w:line="480" w:lineRule="auto"/>
        <w:ind w:left="360"/>
        <w:jc w:val="both"/>
        <w:rPr>
          <w:rFonts w:ascii="Arial" w:hAnsi="Arial" w:cs="Arial"/>
          <w:b/>
          <w:sz w:val="24"/>
          <w:szCs w:val="24"/>
        </w:rPr>
      </w:pPr>
      <w:r w:rsidRPr="00C3792D">
        <w:rPr>
          <w:rFonts w:ascii="Arial" w:hAnsi="Arial" w:cs="Arial"/>
          <w:b/>
          <w:sz w:val="24"/>
          <w:szCs w:val="24"/>
        </w:rPr>
        <w:t>Law and application:</w:t>
      </w:r>
    </w:p>
    <w:p w14:paraId="537EE2C9" w14:textId="77777777" w:rsidR="006929A4" w:rsidRPr="00C3792D" w:rsidRDefault="006929A4" w:rsidP="004A5C25">
      <w:pPr>
        <w:pStyle w:val="ListParagraph"/>
        <w:numPr>
          <w:ilvl w:val="0"/>
          <w:numId w:val="1"/>
        </w:numPr>
        <w:spacing w:line="480" w:lineRule="auto"/>
        <w:jc w:val="both"/>
        <w:rPr>
          <w:rFonts w:ascii="Arial" w:eastAsia="Times New Roman" w:hAnsi="Arial" w:cs="Arial"/>
          <w:sz w:val="24"/>
          <w:szCs w:val="24"/>
          <w:lang w:eastAsia="en-ZA"/>
        </w:rPr>
      </w:pPr>
      <w:r w:rsidRPr="00C3792D">
        <w:rPr>
          <w:rFonts w:ascii="Arial" w:hAnsi="Arial" w:cs="Arial"/>
          <w:sz w:val="24"/>
          <w:szCs w:val="24"/>
        </w:rPr>
        <w:t xml:space="preserve">Section </w:t>
      </w:r>
      <w:bookmarkStart w:id="1" w:name="0-0-0-194121"/>
      <w:bookmarkEnd w:id="1"/>
      <w:r w:rsidRPr="00C3792D">
        <w:rPr>
          <w:rFonts w:ascii="Arial" w:eastAsia="Times New Roman" w:hAnsi="Arial" w:cs="Arial"/>
          <w:bCs/>
          <w:sz w:val="24"/>
          <w:szCs w:val="24"/>
          <w:lang w:eastAsia="en-ZA"/>
        </w:rPr>
        <w:fldChar w:fldCharType="begin"/>
      </w:r>
      <w:r w:rsidRPr="00C3792D">
        <w:rPr>
          <w:rFonts w:ascii="Arial" w:eastAsia="Times New Roman" w:hAnsi="Arial" w:cs="Arial"/>
          <w:bCs/>
          <w:sz w:val="24"/>
          <w:szCs w:val="24"/>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LJC_a51y1977s162'%5d&amp;xhitlist_md=target-id=0-0-0-194123" \t "main" </w:instrText>
      </w:r>
      <w:r w:rsidRPr="00C3792D">
        <w:rPr>
          <w:rFonts w:ascii="Arial" w:eastAsia="Times New Roman" w:hAnsi="Arial" w:cs="Arial"/>
          <w:bCs/>
          <w:sz w:val="24"/>
          <w:szCs w:val="24"/>
          <w:lang w:eastAsia="en-ZA"/>
        </w:rPr>
        <w:fldChar w:fldCharType="separate"/>
      </w:r>
      <w:r w:rsidRPr="00C3792D">
        <w:rPr>
          <w:rFonts w:ascii="Arial" w:eastAsia="Times New Roman" w:hAnsi="Arial" w:cs="Arial"/>
          <w:bCs/>
          <w:sz w:val="24"/>
          <w:szCs w:val="24"/>
          <w:lang w:eastAsia="en-ZA"/>
        </w:rPr>
        <w:t>162</w:t>
      </w:r>
      <w:r w:rsidRPr="00C3792D">
        <w:rPr>
          <w:rFonts w:ascii="Arial" w:eastAsia="Times New Roman" w:hAnsi="Arial" w:cs="Arial"/>
          <w:bCs/>
          <w:sz w:val="24"/>
          <w:szCs w:val="24"/>
          <w:lang w:eastAsia="en-ZA"/>
        </w:rPr>
        <w:fldChar w:fldCharType="end"/>
      </w:r>
      <w:bookmarkStart w:id="2" w:name="0-0-0-194125"/>
      <w:bookmarkEnd w:id="2"/>
      <w:r w:rsidRPr="00C3792D">
        <w:rPr>
          <w:rFonts w:ascii="Arial" w:eastAsia="Times New Roman" w:hAnsi="Arial" w:cs="Arial"/>
          <w:sz w:val="24"/>
          <w:szCs w:val="24"/>
          <w:lang w:eastAsia="en-ZA"/>
        </w:rPr>
        <w:t>(1) CPA</w:t>
      </w:r>
      <w:r w:rsidR="004F3145" w:rsidRPr="00C3792D">
        <w:rPr>
          <w:rStyle w:val="FootnoteReference"/>
          <w:rFonts w:ascii="Arial" w:eastAsia="Times New Roman" w:hAnsi="Arial" w:cs="Arial"/>
          <w:sz w:val="24"/>
          <w:szCs w:val="24"/>
          <w:lang w:eastAsia="en-ZA"/>
        </w:rPr>
        <w:footnoteReference w:id="2"/>
      </w:r>
      <w:r w:rsidRPr="00C3792D">
        <w:rPr>
          <w:rFonts w:ascii="Arial" w:eastAsia="Times New Roman" w:hAnsi="Arial" w:cs="Arial"/>
          <w:sz w:val="24"/>
          <w:szCs w:val="24"/>
          <w:lang w:eastAsia="en-ZA"/>
        </w:rPr>
        <w:t xml:space="preserve"> provides that subject</w:t>
      </w:r>
      <w:r w:rsidR="007A3D9B">
        <w:rPr>
          <w:rFonts w:ascii="Arial" w:eastAsia="Times New Roman" w:hAnsi="Arial" w:cs="Arial"/>
          <w:sz w:val="24"/>
          <w:szCs w:val="24"/>
          <w:lang w:eastAsia="en-ZA"/>
        </w:rPr>
        <w:t xml:space="preserve"> to</w:t>
      </w:r>
      <w:r w:rsidRPr="00C3792D">
        <w:rPr>
          <w:rFonts w:ascii="Arial" w:eastAsia="Times New Roman" w:hAnsi="Arial" w:cs="Arial"/>
          <w:sz w:val="24"/>
          <w:szCs w:val="24"/>
          <w:lang w:eastAsia="en-ZA"/>
        </w:rPr>
        <w:t xml:space="preserve"> sections 163 and 164</w:t>
      </w:r>
      <w:r w:rsidR="007A3D9B">
        <w:rPr>
          <w:rFonts w:ascii="Arial" w:eastAsia="Times New Roman" w:hAnsi="Arial" w:cs="Arial"/>
          <w:sz w:val="24"/>
          <w:szCs w:val="24"/>
          <w:lang w:eastAsia="en-ZA"/>
        </w:rPr>
        <w:t>,</w:t>
      </w:r>
      <w:r w:rsidRPr="00C3792D">
        <w:rPr>
          <w:rFonts w:ascii="Arial" w:eastAsia="Times New Roman" w:hAnsi="Arial" w:cs="Arial"/>
          <w:sz w:val="24"/>
          <w:szCs w:val="24"/>
          <w:lang w:eastAsia="en-ZA"/>
        </w:rPr>
        <w:t xml:space="preserve"> no person shall be examined as a witness in criminal proceedings unless he is under oath</w:t>
      </w:r>
      <w:r w:rsidR="004A5C25" w:rsidRPr="00C3792D">
        <w:rPr>
          <w:rFonts w:ascii="Arial" w:eastAsia="Times New Roman" w:hAnsi="Arial" w:cs="Arial"/>
          <w:sz w:val="24"/>
          <w:szCs w:val="24"/>
          <w:lang w:eastAsia="en-ZA"/>
        </w:rPr>
        <w:t>. Section 163 CPA provides for affirmation to be taken in lieu of oath, where a person does not believe in God or subscribe to taking oath. Section 164</w:t>
      </w:r>
      <w:r w:rsidR="004F3145" w:rsidRPr="00C3792D">
        <w:rPr>
          <w:rFonts w:ascii="Arial" w:eastAsia="Times New Roman" w:hAnsi="Arial" w:cs="Arial"/>
          <w:sz w:val="24"/>
          <w:szCs w:val="24"/>
          <w:lang w:eastAsia="en-ZA"/>
        </w:rPr>
        <w:t xml:space="preserve"> CPA</w:t>
      </w:r>
      <w:r w:rsidR="004F3145" w:rsidRPr="00C3792D">
        <w:rPr>
          <w:rStyle w:val="FootnoteReference"/>
          <w:rFonts w:ascii="Arial" w:eastAsia="Times New Roman" w:hAnsi="Arial" w:cs="Arial"/>
          <w:sz w:val="24"/>
          <w:szCs w:val="24"/>
          <w:lang w:eastAsia="en-ZA"/>
        </w:rPr>
        <w:footnoteReference w:id="3"/>
      </w:r>
      <w:r w:rsidR="004F3145" w:rsidRPr="00C3792D">
        <w:rPr>
          <w:rFonts w:ascii="Arial" w:eastAsia="Times New Roman" w:hAnsi="Arial" w:cs="Arial"/>
          <w:sz w:val="24"/>
          <w:szCs w:val="24"/>
          <w:lang w:eastAsia="en-ZA"/>
        </w:rPr>
        <w:t xml:space="preserve"> enables </w:t>
      </w:r>
      <w:r w:rsidR="004A5C25" w:rsidRPr="00C3792D">
        <w:rPr>
          <w:rFonts w:ascii="Arial" w:eastAsia="Times New Roman" w:hAnsi="Arial" w:cs="Arial"/>
          <w:sz w:val="24"/>
          <w:szCs w:val="24"/>
          <w:lang w:eastAsia="en-ZA"/>
        </w:rPr>
        <w:t>the court to admonish a witness who is found not to understand the nature and import of the oath or the affirmation</w:t>
      </w:r>
      <w:r w:rsidR="004F3145" w:rsidRPr="00C3792D">
        <w:rPr>
          <w:rFonts w:ascii="Arial" w:eastAsia="Times New Roman" w:hAnsi="Arial" w:cs="Arial"/>
          <w:sz w:val="24"/>
          <w:szCs w:val="24"/>
          <w:lang w:eastAsia="en-ZA"/>
        </w:rPr>
        <w:t>.</w:t>
      </w:r>
      <w:r w:rsidR="004A5C25" w:rsidRPr="00C3792D">
        <w:rPr>
          <w:rFonts w:ascii="Arial" w:eastAsia="Times New Roman" w:hAnsi="Arial" w:cs="Arial"/>
          <w:sz w:val="24"/>
          <w:szCs w:val="24"/>
          <w:lang w:eastAsia="en-ZA"/>
        </w:rPr>
        <w:t xml:space="preserve"> </w:t>
      </w:r>
    </w:p>
    <w:p w14:paraId="45CF1EEC" w14:textId="77777777" w:rsidR="00AC5337" w:rsidRPr="00C3792D" w:rsidRDefault="00AC5337" w:rsidP="00AC5337">
      <w:pPr>
        <w:pStyle w:val="ListParagraph"/>
        <w:rPr>
          <w:rFonts w:ascii="Arial" w:hAnsi="Arial" w:cs="Arial"/>
          <w:sz w:val="24"/>
          <w:szCs w:val="24"/>
        </w:rPr>
      </w:pPr>
    </w:p>
    <w:p w14:paraId="35E21EC6" w14:textId="77777777" w:rsidR="00A20706" w:rsidRPr="00C3792D" w:rsidRDefault="003366AB" w:rsidP="00AC5337">
      <w:pPr>
        <w:pStyle w:val="ListParagraph"/>
        <w:numPr>
          <w:ilvl w:val="0"/>
          <w:numId w:val="1"/>
        </w:numPr>
        <w:spacing w:line="480" w:lineRule="auto"/>
        <w:jc w:val="both"/>
        <w:rPr>
          <w:rFonts w:ascii="Arial" w:hAnsi="Arial" w:cs="Arial"/>
          <w:sz w:val="24"/>
          <w:szCs w:val="24"/>
        </w:rPr>
      </w:pPr>
      <w:r w:rsidRPr="00C3792D">
        <w:rPr>
          <w:rFonts w:ascii="Arial" w:hAnsi="Arial" w:cs="Arial"/>
          <w:sz w:val="24"/>
          <w:szCs w:val="24"/>
        </w:rPr>
        <w:t xml:space="preserve">In the present matter </w:t>
      </w:r>
      <w:r w:rsidR="004F3145" w:rsidRPr="00C3792D">
        <w:rPr>
          <w:rFonts w:ascii="Arial" w:hAnsi="Arial" w:cs="Arial"/>
          <w:sz w:val="24"/>
          <w:szCs w:val="24"/>
        </w:rPr>
        <w:t xml:space="preserve">the court </w:t>
      </w:r>
      <w:r w:rsidRPr="00C3792D">
        <w:rPr>
          <w:rFonts w:ascii="Arial" w:hAnsi="Arial" w:cs="Arial"/>
          <w:sz w:val="24"/>
          <w:szCs w:val="24"/>
        </w:rPr>
        <w:t xml:space="preserve">realised that the child witness did not understand what taking </w:t>
      </w:r>
      <w:r w:rsidR="007A3D9B">
        <w:rPr>
          <w:rFonts w:ascii="Arial" w:hAnsi="Arial" w:cs="Arial"/>
          <w:sz w:val="24"/>
          <w:szCs w:val="24"/>
        </w:rPr>
        <w:t xml:space="preserve">an </w:t>
      </w:r>
      <w:r w:rsidRPr="00C3792D">
        <w:rPr>
          <w:rFonts w:ascii="Arial" w:hAnsi="Arial" w:cs="Arial"/>
          <w:sz w:val="24"/>
          <w:szCs w:val="24"/>
        </w:rPr>
        <w:t xml:space="preserve">oath is, and the applied section 164, trying to determine if the child knows the difference between ‘truth and lies’. It is while engaged in the questioning </w:t>
      </w:r>
      <w:r w:rsidRPr="00C3792D">
        <w:rPr>
          <w:rFonts w:ascii="Arial" w:hAnsi="Arial" w:cs="Arial"/>
          <w:sz w:val="24"/>
          <w:szCs w:val="24"/>
        </w:rPr>
        <w:lastRenderedPageBreak/>
        <w:t xml:space="preserve">exercise </w:t>
      </w:r>
      <w:r w:rsidR="007B4E6E">
        <w:rPr>
          <w:rFonts w:ascii="Arial" w:hAnsi="Arial" w:cs="Arial"/>
          <w:sz w:val="24"/>
          <w:szCs w:val="24"/>
        </w:rPr>
        <w:t>o</w:t>
      </w:r>
      <w:r w:rsidRPr="00C3792D">
        <w:rPr>
          <w:rFonts w:ascii="Arial" w:hAnsi="Arial" w:cs="Arial"/>
          <w:sz w:val="24"/>
          <w:szCs w:val="24"/>
        </w:rPr>
        <w:t>f the child to make this determination prior to admonishing the child that the trial court had a challenge, with the child not answering correctly to prove he knows the difference. The Court insisted on an assessment</w:t>
      </w:r>
      <w:r w:rsidR="00FA68A9" w:rsidRPr="00C3792D">
        <w:rPr>
          <w:rFonts w:ascii="Arial" w:hAnsi="Arial" w:cs="Arial"/>
          <w:sz w:val="24"/>
          <w:szCs w:val="24"/>
        </w:rPr>
        <w:t xml:space="preserve"> of the child by a professional to make this determination. </w:t>
      </w:r>
    </w:p>
    <w:p w14:paraId="3EC36001" w14:textId="77777777" w:rsidR="00A20706" w:rsidRPr="00C3792D" w:rsidRDefault="00A20706" w:rsidP="00A20706">
      <w:pPr>
        <w:pStyle w:val="ListParagraph"/>
        <w:rPr>
          <w:rFonts w:ascii="Arial" w:hAnsi="Arial" w:cs="Arial"/>
          <w:sz w:val="24"/>
          <w:szCs w:val="24"/>
        </w:rPr>
      </w:pPr>
    </w:p>
    <w:p w14:paraId="6846EA8A" w14:textId="77777777" w:rsidR="004709B2" w:rsidRPr="00C3792D" w:rsidRDefault="00FA68A9" w:rsidP="00D45AA0">
      <w:pPr>
        <w:pStyle w:val="ListParagraph"/>
        <w:numPr>
          <w:ilvl w:val="0"/>
          <w:numId w:val="1"/>
        </w:numPr>
        <w:spacing w:line="480" w:lineRule="auto"/>
        <w:jc w:val="both"/>
        <w:rPr>
          <w:rFonts w:ascii="Arial" w:hAnsi="Arial" w:cs="Arial"/>
          <w:sz w:val="24"/>
          <w:szCs w:val="24"/>
        </w:rPr>
      </w:pPr>
      <w:r w:rsidRPr="00C3792D">
        <w:rPr>
          <w:rFonts w:ascii="Arial" w:hAnsi="Arial" w:cs="Arial"/>
          <w:sz w:val="24"/>
          <w:szCs w:val="24"/>
        </w:rPr>
        <w:t xml:space="preserve">The complainant was therefore </w:t>
      </w:r>
      <w:r w:rsidR="00A20706" w:rsidRPr="00C3792D">
        <w:rPr>
          <w:rFonts w:ascii="Arial" w:hAnsi="Arial" w:cs="Arial"/>
          <w:sz w:val="24"/>
          <w:szCs w:val="24"/>
        </w:rPr>
        <w:t>referred to the Teddy Bear clinic. He was assessed by a clinical psychologist, Ms. Karen Bradford who conduc</w:t>
      </w:r>
      <w:r w:rsidR="007F29E2">
        <w:rPr>
          <w:rFonts w:ascii="Arial" w:hAnsi="Arial" w:cs="Arial"/>
          <w:sz w:val="24"/>
          <w:szCs w:val="24"/>
        </w:rPr>
        <w:t>ted a mental age and competency</w:t>
      </w:r>
      <w:r w:rsidR="00A20706" w:rsidRPr="00C3792D">
        <w:rPr>
          <w:rFonts w:ascii="Arial" w:hAnsi="Arial" w:cs="Arial"/>
          <w:sz w:val="24"/>
          <w:szCs w:val="24"/>
        </w:rPr>
        <w:t xml:space="preserve"> assessment. </w:t>
      </w:r>
      <w:r w:rsidR="00F46B5D" w:rsidRPr="00C3792D">
        <w:rPr>
          <w:rFonts w:ascii="Arial" w:hAnsi="Arial" w:cs="Arial"/>
          <w:sz w:val="24"/>
          <w:szCs w:val="24"/>
        </w:rPr>
        <w:t>T</w:t>
      </w:r>
      <w:r w:rsidR="00EB0A23" w:rsidRPr="00C3792D">
        <w:rPr>
          <w:rFonts w:ascii="Arial" w:hAnsi="Arial" w:cs="Arial"/>
          <w:sz w:val="24"/>
          <w:szCs w:val="24"/>
        </w:rPr>
        <w:t>he recommendations</w:t>
      </w:r>
      <w:r w:rsidR="00F46B5D" w:rsidRPr="00C3792D">
        <w:rPr>
          <w:rFonts w:ascii="Arial" w:hAnsi="Arial" w:cs="Arial"/>
          <w:sz w:val="24"/>
          <w:szCs w:val="24"/>
        </w:rPr>
        <w:t xml:space="preserve">, </w:t>
      </w:r>
      <w:r w:rsidR="00EB0A23" w:rsidRPr="00C3792D">
        <w:rPr>
          <w:rFonts w:ascii="Arial" w:hAnsi="Arial" w:cs="Arial"/>
          <w:sz w:val="24"/>
          <w:szCs w:val="24"/>
        </w:rPr>
        <w:t>which were</w:t>
      </w:r>
      <w:r w:rsidRPr="00C3792D">
        <w:rPr>
          <w:rFonts w:ascii="Arial" w:hAnsi="Arial" w:cs="Arial"/>
          <w:sz w:val="24"/>
          <w:szCs w:val="24"/>
        </w:rPr>
        <w:t xml:space="preserve"> </w:t>
      </w:r>
      <w:r w:rsidR="00A20706" w:rsidRPr="00C3792D">
        <w:rPr>
          <w:rFonts w:ascii="Arial" w:hAnsi="Arial" w:cs="Arial"/>
          <w:sz w:val="24"/>
          <w:szCs w:val="24"/>
        </w:rPr>
        <w:t>read into the record</w:t>
      </w:r>
      <w:r w:rsidR="00F46B5D" w:rsidRPr="00C3792D">
        <w:rPr>
          <w:rFonts w:ascii="Arial" w:hAnsi="Arial" w:cs="Arial"/>
          <w:sz w:val="24"/>
          <w:szCs w:val="24"/>
        </w:rPr>
        <w:t>, were as follows:</w:t>
      </w:r>
    </w:p>
    <w:p w14:paraId="03A0AAB8" w14:textId="77777777" w:rsidR="008C38A2" w:rsidRPr="00C3792D" w:rsidRDefault="00F46B5D" w:rsidP="00D45AA0">
      <w:pPr>
        <w:pStyle w:val="ListParagraph"/>
        <w:numPr>
          <w:ilvl w:val="1"/>
          <w:numId w:val="1"/>
        </w:numPr>
        <w:spacing w:line="360" w:lineRule="auto"/>
        <w:jc w:val="both"/>
        <w:rPr>
          <w:rFonts w:ascii="Arial" w:hAnsi="Arial" w:cs="Arial"/>
          <w:i/>
          <w:sz w:val="24"/>
          <w:szCs w:val="24"/>
        </w:rPr>
      </w:pPr>
      <w:r w:rsidRPr="00C3792D">
        <w:rPr>
          <w:rFonts w:ascii="Arial" w:hAnsi="Arial" w:cs="Arial"/>
          <w:i/>
          <w:sz w:val="24"/>
          <w:szCs w:val="24"/>
        </w:rPr>
        <w:t xml:space="preserve">“The results of </w:t>
      </w:r>
      <w:proofErr w:type="spellStart"/>
      <w:r w:rsidRPr="00C3792D">
        <w:rPr>
          <w:rFonts w:ascii="Arial" w:hAnsi="Arial" w:cs="Arial"/>
          <w:i/>
          <w:sz w:val="24"/>
          <w:szCs w:val="24"/>
        </w:rPr>
        <w:t>Ayabonga’s</w:t>
      </w:r>
      <w:proofErr w:type="spellEnd"/>
      <w:r w:rsidRPr="00C3792D">
        <w:rPr>
          <w:rFonts w:ascii="Arial" w:hAnsi="Arial" w:cs="Arial"/>
          <w:i/>
          <w:sz w:val="24"/>
          <w:szCs w:val="24"/>
        </w:rPr>
        <w:t xml:space="preserve"> assessment indicate that he lives with </w:t>
      </w:r>
      <w:r w:rsidR="00A20706" w:rsidRPr="00C3792D">
        <w:rPr>
          <w:rFonts w:ascii="Arial" w:hAnsi="Arial" w:cs="Arial"/>
          <w:b/>
          <w:i/>
          <w:sz w:val="24"/>
          <w:szCs w:val="24"/>
        </w:rPr>
        <w:t>learning difficulties</w:t>
      </w:r>
      <w:r w:rsidRPr="00C3792D">
        <w:rPr>
          <w:rFonts w:ascii="Arial" w:hAnsi="Arial" w:cs="Arial"/>
          <w:b/>
          <w:i/>
          <w:sz w:val="24"/>
          <w:szCs w:val="24"/>
        </w:rPr>
        <w:t>.</w:t>
      </w:r>
      <w:r w:rsidRPr="00C3792D">
        <w:rPr>
          <w:rFonts w:ascii="Arial" w:hAnsi="Arial" w:cs="Arial"/>
          <w:i/>
          <w:sz w:val="24"/>
          <w:szCs w:val="24"/>
        </w:rPr>
        <w:t xml:space="preserve"> They do not however indicate that h</w:t>
      </w:r>
      <w:r w:rsidR="00EB0A23" w:rsidRPr="00C3792D">
        <w:rPr>
          <w:rFonts w:ascii="Arial" w:hAnsi="Arial" w:cs="Arial"/>
          <w:i/>
          <w:sz w:val="24"/>
          <w:szCs w:val="24"/>
        </w:rPr>
        <w:t xml:space="preserve">e lives with any </w:t>
      </w:r>
      <w:r w:rsidR="00A20706" w:rsidRPr="00C3792D">
        <w:rPr>
          <w:rFonts w:ascii="Arial" w:hAnsi="Arial" w:cs="Arial"/>
          <w:i/>
          <w:sz w:val="24"/>
          <w:szCs w:val="24"/>
        </w:rPr>
        <w:t>intellectual disability.</w:t>
      </w:r>
    </w:p>
    <w:p w14:paraId="45C20E9D" w14:textId="77777777" w:rsidR="004709B2" w:rsidRPr="00C3792D" w:rsidRDefault="004709B2" w:rsidP="00D45AA0">
      <w:pPr>
        <w:pStyle w:val="ListParagraph"/>
        <w:numPr>
          <w:ilvl w:val="1"/>
          <w:numId w:val="1"/>
        </w:numPr>
        <w:spacing w:line="360" w:lineRule="auto"/>
        <w:jc w:val="both"/>
        <w:rPr>
          <w:rFonts w:ascii="Arial" w:hAnsi="Arial" w:cs="Arial"/>
          <w:i/>
          <w:sz w:val="24"/>
          <w:szCs w:val="24"/>
        </w:rPr>
      </w:pPr>
      <w:r w:rsidRPr="00C3792D">
        <w:rPr>
          <w:rFonts w:ascii="Arial" w:hAnsi="Arial" w:cs="Arial"/>
          <w:i/>
          <w:sz w:val="24"/>
          <w:szCs w:val="24"/>
        </w:rPr>
        <w:t>He is able to provide information regarding the alleged incident. He met the necessary criteria for competency to testify.</w:t>
      </w:r>
    </w:p>
    <w:p w14:paraId="40B77899" w14:textId="77777777" w:rsidR="004709B2" w:rsidRPr="00C3792D" w:rsidRDefault="004709B2" w:rsidP="00D45AA0">
      <w:pPr>
        <w:pStyle w:val="ListParagraph"/>
        <w:numPr>
          <w:ilvl w:val="1"/>
          <w:numId w:val="1"/>
        </w:numPr>
        <w:spacing w:line="360" w:lineRule="auto"/>
        <w:jc w:val="both"/>
        <w:rPr>
          <w:rFonts w:ascii="Arial" w:hAnsi="Arial" w:cs="Arial"/>
          <w:i/>
          <w:sz w:val="24"/>
          <w:szCs w:val="24"/>
        </w:rPr>
      </w:pPr>
      <w:r w:rsidRPr="00C3792D">
        <w:rPr>
          <w:rFonts w:ascii="Arial" w:hAnsi="Arial" w:cs="Arial"/>
          <w:i/>
          <w:sz w:val="24"/>
          <w:szCs w:val="24"/>
        </w:rPr>
        <w:t xml:space="preserve">It is recommended that </w:t>
      </w:r>
      <w:proofErr w:type="gramStart"/>
      <w:r w:rsidRPr="00C3792D">
        <w:rPr>
          <w:rFonts w:ascii="Arial" w:hAnsi="Arial" w:cs="Arial"/>
          <w:i/>
          <w:sz w:val="24"/>
          <w:szCs w:val="24"/>
        </w:rPr>
        <w:t>…[</w:t>
      </w:r>
      <w:proofErr w:type="gramEnd"/>
      <w:r w:rsidRPr="00C3792D">
        <w:rPr>
          <w:rFonts w:ascii="Arial" w:hAnsi="Arial" w:cs="Arial"/>
          <w:i/>
          <w:sz w:val="24"/>
          <w:szCs w:val="24"/>
        </w:rPr>
        <w:t>he] be allowed the assistance of an intermediary.</w:t>
      </w:r>
    </w:p>
    <w:p w14:paraId="599A5E12" w14:textId="77777777" w:rsidR="004709B2" w:rsidRPr="00C3792D" w:rsidRDefault="004709B2" w:rsidP="00D45AA0">
      <w:pPr>
        <w:pStyle w:val="ListParagraph"/>
        <w:numPr>
          <w:ilvl w:val="1"/>
          <w:numId w:val="1"/>
        </w:numPr>
        <w:spacing w:line="360" w:lineRule="auto"/>
        <w:jc w:val="both"/>
        <w:rPr>
          <w:rFonts w:ascii="Arial" w:hAnsi="Arial" w:cs="Arial"/>
          <w:i/>
          <w:sz w:val="24"/>
          <w:szCs w:val="24"/>
        </w:rPr>
      </w:pPr>
      <w:r w:rsidRPr="00C3792D">
        <w:rPr>
          <w:rFonts w:ascii="Arial" w:hAnsi="Arial" w:cs="Arial"/>
          <w:i/>
          <w:sz w:val="24"/>
          <w:szCs w:val="24"/>
        </w:rPr>
        <w:t xml:space="preserve">Questions posed to </w:t>
      </w:r>
      <w:proofErr w:type="gramStart"/>
      <w:r w:rsidRPr="00C3792D">
        <w:rPr>
          <w:rFonts w:ascii="Arial" w:hAnsi="Arial" w:cs="Arial"/>
          <w:i/>
          <w:sz w:val="24"/>
          <w:szCs w:val="24"/>
        </w:rPr>
        <w:t>…[</w:t>
      </w:r>
      <w:proofErr w:type="gramEnd"/>
      <w:r w:rsidRPr="00C3792D">
        <w:rPr>
          <w:rFonts w:ascii="Arial" w:hAnsi="Arial" w:cs="Arial"/>
          <w:i/>
          <w:sz w:val="24"/>
          <w:szCs w:val="24"/>
        </w:rPr>
        <w:t>him] should be kept simple and direct.</w:t>
      </w:r>
    </w:p>
    <w:p w14:paraId="1217C63D" w14:textId="77777777" w:rsidR="004709B2" w:rsidRPr="00C3792D" w:rsidRDefault="004709B2" w:rsidP="00D45AA0">
      <w:pPr>
        <w:pStyle w:val="ListParagraph"/>
        <w:numPr>
          <w:ilvl w:val="1"/>
          <w:numId w:val="1"/>
        </w:numPr>
        <w:spacing w:line="360" w:lineRule="auto"/>
        <w:jc w:val="both"/>
        <w:rPr>
          <w:rFonts w:ascii="Arial" w:hAnsi="Arial" w:cs="Arial"/>
          <w:i/>
          <w:sz w:val="24"/>
          <w:szCs w:val="24"/>
        </w:rPr>
      </w:pPr>
      <w:r w:rsidRPr="00C3792D">
        <w:rPr>
          <w:rFonts w:ascii="Arial" w:hAnsi="Arial" w:cs="Arial"/>
          <w:i/>
          <w:sz w:val="24"/>
          <w:szCs w:val="24"/>
        </w:rPr>
        <w:t xml:space="preserve">The intermediary will need to sit close to </w:t>
      </w:r>
      <w:proofErr w:type="spellStart"/>
      <w:r w:rsidRPr="00C3792D">
        <w:rPr>
          <w:rFonts w:ascii="Arial" w:hAnsi="Arial" w:cs="Arial"/>
          <w:i/>
          <w:sz w:val="24"/>
          <w:szCs w:val="24"/>
        </w:rPr>
        <w:t>Ayabonga</w:t>
      </w:r>
      <w:proofErr w:type="spellEnd"/>
      <w:r w:rsidRPr="00C3792D">
        <w:rPr>
          <w:rFonts w:ascii="Arial" w:hAnsi="Arial" w:cs="Arial"/>
          <w:i/>
          <w:sz w:val="24"/>
          <w:szCs w:val="24"/>
        </w:rPr>
        <w:t xml:space="preserve"> as he is do softly spoken and his speech can be difficult to hear.</w:t>
      </w:r>
    </w:p>
    <w:p w14:paraId="351CC2A4" w14:textId="77777777" w:rsidR="004709B2" w:rsidRPr="00C3792D" w:rsidRDefault="004709B2" w:rsidP="00D45AA0">
      <w:pPr>
        <w:pStyle w:val="ListParagraph"/>
        <w:numPr>
          <w:ilvl w:val="1"/>
          <w:numId w:val="1"/>
        </w:numPr>
        <w:spacing w:line="360" w:lineRule="auto"/>
        <w:jc w:val="both"/>
        <w:rPr>
          <w:rFonts w:ascii="Arial" w:hAnsi="Arial" w:cs="Arial"/>
          <w:i/>
          <w:sz w:val="24"/>
          <w:szCs w:val="24"/>
        </w:rPr>
      </w:pPr>
      <w:r w:rsidRPr="00C3792D">
        <w:rPr>
          <w:rFonts w:ascii="Arial" w:hAnsi="Arial" w:cs="Arial"/>
          <w:i/>
          <w:sz w:val="24"/>
          <w:szCs w:val="24"/>
        </w:rPr>
        <w:t>He will not understand words and phrases that he is unfamiliar with. Repetitive questioning may also lead him to believe that he has provided the wrong answer.</w:t>
      </w:r>
    </w:p>
    <w:p w14:paraId="2B63D510" w14:textId="77777777" w:rsidR="004709B2" w:rsidRPr="00C3792D" w:rsidRDefault="004709B2" w:rsidP="00D45AA0">
      <w:pPr>
        <w:pStyle w:val="ListParagraph"/>
        <w:numPr>
          <w:ilvl w:val="1"/>
          <w:numId w:val="1"/>
        </w:numPr>
        <w:spacing w:line="360" w:lineRule="auto"/>
        <w:jc w:val="both"/>
        <w:rPr>
          <w:rFonts w:ascii="Arial" w:hAnsi="Arial" w:cs="Arial"/>
          <w:i/>
          <w:sz w:val="24"/>
          <w:szCs w:val="24"/>
        </w:rPr>
      </w:pPr>
      <w:r w:rsidRPr="00C3792D">
        <w:rPr>
          <w:rFonts w:ascii="Arial" w:hAnsi="Arial" w:cs="Arial"/>
          <w:i/>
          <w:sz w:val="24"/>
          <w:szCs w:val="24"/>
        </w:rPr>
        <w:t>He should be encouraged to speak up should he not understand</w:t>
      </w:r>
      <w:r w:rsidR="00F46B5D" w:rsidRPr="00C3792D">
        <w:rPr>
          <w:rFonts w:ascii="Arial" w:hAnsi="Arial" w:cs="Arial"/>
          <w:i/>
          <w:sz w:val="24"/>
          <w:szCs w:val="24"/>
        </w:rPr>
        <w:t xml:space="preserve"> a word or phrase.</w:t>
      </w:r>
    </w:p>
    <w:p w14:paraId="2FF1853B" w14:textId="77777777" w:rsidR="00F46B5D" w:rsidRPr="00C3792D" w:rsidRDefault="00F46B5D" w:rsidP="00D45AA0">
      <w:pPr>
        <w:pStyle w:val="ListParagraph"/>
        <w:numPr>
          <w:ilvl w:val="1"/>
          <w:numId w:val="1"/>
        </w:numPr>
        <w:spacing w:line="360" w:lineRule="auto"/>
        <w:jc w:val="both"/>
        <w:rPr>
          <w:rFonts w:ascii="Arial" w:hAnsi="Arial" w:cs="Arial"/>
          <w:i/>
          <w:sz w:val="24"/>
          <w:szCs w:val="24"/>
        </w:rPr>
      </w:pPr>
      <w:r w:rsidRPr="00C3792D">
        <w:rPr>
          <w:rFonts w:ascii="Arial" w:hAnsi="Arial" w:cs="Arial"/>
          <w:i/>
          <w:sz w:val="24"/>
          <w:szCs w:val="24"/>
        </w:rPr>
        <w:t>He becomes visibly uncomfortable when discussing details of the alleged incident, and direct questioning will be necessary to illicit such details.</w:t>
      </w:r>
    </w:p>
    <w:p w14:paraId="5F90E7AC" w14:textId="77777777" w:rsidR="00F46B5D" w:rsidRPr="00C3792D" w:rsidRDefault="00F46B5D" w:rsidP="00D45AA0">
      <w:pPr>
        <w:pStyle w:val="ListParagraph"/>
        <w:numPr>
          <w:ilvl w:val="1"/>
          <w:numId w:val="1"/>
        </w:numPr>
        <w:spacing w:line="360" w:lineRule="auto"/>
        <w:jc w:val="both"/>
        <w:rPr>
          <w:rFonts w:ascii="Arial" w:hAnsi="Arial" w:cs="Arial"/>
          <w:i/>
          <w:sz w:val="24"/>
          <w:szCs w:val="24"/>
        </w:rPr>
      </w:pPr>
      <w:r w:rsidRPr="00C3792D">
        <w:rPr>
          <w:rFonts w:ascii="Arial" w:hAnsi="Arial" w:cs="Arial"/>
          <w:i/>
          <w:sz w:val="24"/>
          <w:szCs w:val="24"/>
        </w:rPr>
        <w:t>Individual court preparation is advised in order to assist him in testifying to the best of his ability.”</w:t>
      </w:r>
      <w:r w:rsidR="0062794E" w:rsidRPr="00C3792D">
        <w:rPr>
          <w:rStyle w:val="FootnoteReference"/>
          <w:rFonts w:ascii="Arial" w:hAnsi="Arial" w:cs="Arial"/>
          <w:i/>
          <w:sz w:val="24"/>
          <w:szCs w:val="24"/>
        </w:rPr>
        <w:footnoteReference w:id="4"/>
      </w:r>
    </w:p>
    <w:p w14:paraId="55149703" w14:textId="77777777" w:rsidR="006929A4" w:rsidRPr="00C3792D" w:rsidRDefault="006929A4" w:rsidP="006929A4">
      <w:pPr>
        <w:pStyle w:val="ListParagraph"/>
        <w:spacing w:line="480" w:lineRule="auto"/>
        <w:ind w:left="360"/>
        <w:jc w:val="both"/>
        <w:rPr>
          <w:rFonts w:ascii="Arial" w:hAnsi="Arial" w:cs="Arial"/>
          <w:sz w:val="24"/>
          <w:szCs w:val="24"/>
        </w:rPr>
      </w:pPr>
      <w:r w:rsidRPr="00C3792D">
        <w:rPr>
          <w:rFonts w:ascii="Arial" w:hAnsi="Arial" w:cs="Arial"/>
          <w:sz w:val="24"/>
          <w:szCs w:val="24"/>
        </w:rPr>
        <w:lastRenderedPageBreak/>
        <w:t xml:space="preserve"> </w:t>
      </w:r>
    </w:p>
    <w:p w14:paraId="11F22CA7" w14:textId="77777777" w:rsidR="00C00655" w:rsidRPr="00C3792D" w:rsidRDefault="00C00655" w:rsidP="001F51FC">
      <w:pPr>
        <w:pStyle w:val="ListParagraph"/>
        <w:numPr>
          <w:ilvl w:val="0"/>
          <w:numId w:val="1"/>
        </w:numPr>
        <w:spacing w:line="480" w:lineRule="auto"/>
        <w:jc w:val="both"/>
        <w:rPr>
          <w:rFonts w:ascii="Arial" w:hAnsi="Arial" w:cs="Arial"/>
          <w:sz w:val="24"/>
          <w:szCs w:val="24"/>
        </w:rPr>
      </w:pPr>
      <w:r w:rsidRPr="00C3792D">
        <w:rPr>
          <w:rFonts w:ascii="Arial" w:hAnsi="Arial" w:cs="Arial"/>
          <w:sz w:val="24"/>
          <w:szCs w:val="24"/>
        </w:rPr>
        <w:t>The trial magistrate then asked the following questions to the complainant:</w:t>
      </w:r>
    </w:p>
    <w:p w14:paraId="12A7BEFD" w14:textId="77777777" w:rsidR="000D1068" w:rsidRPr="00C3792D" w:rsidRDefault="00444AA2" w:rsidP="00B300F6">
      <w:pPr>
        <w:pStyle w:val="ListParagraph"/>
        <w:numPr>
          <w:ilvl w:val="1"/>
          <w:numId w:val="1"/>
        </w:numPr>
        <w:spacing w:line="360" w:lineRule="auto"/>
        <w:jc w:val="both"/>
        <w:rPr>
          <w:rFonts w:ascii="Arial" w:hAnsi="Arial" w:cs="Arial"/>
          <w:sz w:val="24"/>
          <w:szCs w:val="24"/>
        </w:rPr>
      </w:pPr>
      <w:r w:rsidRPr="00C3792D">
        <w:rPr>
          <w:rFonts w:ascii="Arial" w:hAnsi="Arial" w:cs="Arial"/>
          <w:sz w:val="24"/>
          <w:szCs w:val="24"/>
        </w:rPr>
        <w:t>“</w:t>
      </w:r>
      <w:r w:rsidR="000D1068" w:rsidRPr="00C3792D">
        <w:rPr>
          <w:rFonts w:ascii="Arial" w:hAnsi="Arial" w:cs="Arial"/>
          <w:sz w:val="24"/>
          <w:szCs w:val="24"/>
        </w:rPr>
        <w:t>Court</w:t>
      </w:r>
      <w:r w:rsidR="00C00655" w:rsidRPr="00C3792D">
        <w:rPr>
          <w:rFonts w:ascii="Arial" w:hAnsi="Arial" w:cs="Arial"/>
          <w:sz w:val="24"/>
          <w:szCs w:val="24"/>
        </w:rPr>
        <w:t xml:space="preserve">: Are you well? </w:t>
      </w:r>
    </w:p>
    <w:p w14:paraId="4856ABDA" w14:textId="77777777" w:rsidR="00C00655" w:rsidRPr="00C3792D" w:rsidRDefault="00C00655" w:rsidP="00B300F6">
      <w:pPr>
        <w:pStyle w:val="ListParagraph"/>
        <w:spacing w:line="360" w:lineRule="auto"/>
        <w:ind w:left="1440"/>
        <w:jc w:val="both"/>
        <w:rPr>
          <w:rFonts w:ascii="Arial" w:hAnsi="Arial" w:cs="Arial"/>
          <w:sz w:val="24"/>
          <w:szCs w:val="24"/>
        </w:rPr>
      </w:pPr>
      <w:proofErr w:type="spellStart"/>
      <w:r w:rsidRPr="00C3792D">
        <w:rPr>
          <w:rFonts w:ascii="Arial" w:hAnsi="Arial" w:cs="Arial"/>
          <w:sz w:val="24"/>
          <w:szCs w:val="24"/>
        </w:rPr>
        <w:t>A</w:t>
      </w:r>
      <w:r w:rsidR="000D1068" w:rsidRPr="00C3792D">
        <w:rPr>
          <w:rFonts w:ascii="Arial" w:hAnsi="Arial" w:cs="Arial"/>
          <w:sz w:val="24"/>
          <w:szCs w:val="24"/>
        </w:rPr>
        <w:t>yabonga</w:t>
      </w:r>
      <w:proofErr w:type="spellEnd"/>
      <w:r w:rsidRPr="00C3792D">
        <w:rPr>
          <w:rFonts w:ascii="Arial" w:hAnsi="Arial" w:cs="Arial"/>
          <w:sz w:val="24"/>
          <w:szCs w:val="24"/>
        </w:rPr>
        <w:t xml:space="preserve">: </w:t>
      </w:r>
      <w:r w:rsidR="00C30185" w:rsidRPr="00C3792D">
        <w:rPr>
          <w:rFonts w:ascii="Arial" w:hAnsi="Arial" w:cs="Arial"/>
          <w:sz w:val="24"/>
          <w:szCs w:val="24"/>
        </w:rPr>
        <w:t>Yes,</w:t>
      </w:r>
      <w:r w:rsidRPr="00C3792D">
        <w:rPr>
          <w:rFonts w:ascii="Arial" w:hAnsi="Arial" w:cs="Arial"/>
          <w:sz w:val="24"/>
          <w:szCs w:val="24"/>
        </w:rPr>
        <w:t xml:space="preserve"> I’m fine. </w:t>
      </w:r>
    </w:p>
    <w:p w14:paraId="400BB006" w14:textId="77777777" w:rsidR="000D1068" w:rsidRPr="00C3792D" w:rsidRDefault="000D1068" w:rsidP="00B300F6">
      <w:pPr>
        <w:pStyle w:val="ListParagraph"/>
        <w:numPr>
          <w:ilvl w:val="1"/>
          <w:numId w:val="1"/>
        </w:numPr>
        <w:spacing w:line="360" w:lineRule="auto"/>
        <w:jc w:val="both"/>
        <w:rPr>
          <w:rFonts w:ascii="Arial" w:hAnsi="Arial" w:cs="Arial"/>
          <w:sz w:val="24"/>
          <w:szCs w:val="24"/>
        </w:rPr>
      </w:pPr>
      <w:r w:rsidRPr="00C3792D">
        <w:rPr>
          <w:rFonts w:ascii="Arial" w:hAnsi="Arial" w:cs="Arial"/>
          <w:sz w:val="24"/>
          <w:szCs w:val="24"/>
        </w:rPr>
        <w:t>Court</w:t>
      </w:r>
      <w:r w:rsidR="00C00655" w:rsidRPr="00C3792D">
        <w:rPr>
          <w:rFonts w:ascii="Arial" w:hAnsi="Arial" w:cs="Arial"/>
          <w:sz w:val="24"/>
          <w:szCs w:val="24"/>
        </w:rPr>
        <w:t xml:space="preserve">: </w:t>
      </w:r>
      <w:proofErr w:type="spellStart"/>
      <w:r w:rsidR="00C00655" w:rsidRPr="00C3792D">
        <w:rPr>
          <w:rFonts w:ascii="Arial" w:hAnsi="Arial" w:cs="Arial"/>
          <w:sz w:val="24"/>
          <w:szCs w:val="24"/>
        </w:rPr>
        <w:t>Ayabonga</w:t>
      </w:r>
      <w:proofErr w:type="spellEnd"/>
      <w:r w:rsidR="00C00655" w:rsidRPr="00C3792D">
        <w:rPr>
          <w:rFonts w:ascii="Arial" w:hAnsi="Arial" w:cs="Arial"/>
          <w:sz w:val="24"/>
          <w:szCs w:val="24"/>
        </w:rPr>
        <w:t xml:space="preserve"> do you know the difference between telling the truth and telling a lie? </w:t>
      </w:r>
    </w:p>
    <w:p w14:paraId="1B6CAA40" w14:textId="77777777" w:rsidR="00C00655" w:rsidRPr="00C3792D" w:rsidRDefault="00C00655" w:rsidP="00B300F6">
      <w:pPr>
        <w:pStyle w:val="ListParagraph"/>
        <w:spacing w:line="360" w:lineRule="auto"/>
        <w:ind w:left="1440"/>
        <w:jc w:val="both"/>
        <w:rPr>
          <w:rFonts w:ascii="Arial" w:hAnsi="Arial" w:cs="Arial"/>
          <w:sz w:val="24"/>
          <w:szCs w:val="24"/>
        </w:rPr>
      </w:pPr>
      <w:proofErr w:type="spellStart"/>
      <w:r w:rsidRPr="00C3792D">
        <w:rPr>
          <w:rFonts w:ascii="Arial" w:hAnsi="Arial" w:cs="Arial"/>
          <w:sz w:val="24"/>
          <w:szCs w:val="24"/>
        </w:rPr>
        <w:t>A</w:t>
      </w:r>
      <w:r w:rsidR="000D1068" w:rsidRPr="00C3792D">
        <w:rPr>
          <w:rFonts w:ascii="Arial" w:hAnsi="Arial" w:cs="Arial"/>
          <w:sz w:val="24"/>
          <w:szCs w:val="24"/>
        </w:rPr>
        <w:t>yabonga</w:t>
      </w:r>
      <w:proofErr w:type="spellEnd"/>
      <w:r w:rsidRPr="00C3792D">
        <w:rPr>
          <w:rFonts w:ascii="Arial" w:hAnsi="Arial" w:cs="Arial"/>
          <w:sz w:val="24"/>
          <w:szCs w:val="24"/>
        </w:rPr>
        <w:t xml:space="preserve">: </w:t>
      </w:r>
      <w:r w:rsidR="00C30185" w:rsidRPr="00C3792D">
        <w:rPr>
          <w:rFonts w:ascii="Arial" w:hAnsi="Arial" w:cs="Arial"/>
          <w:sz w:val="24"/>
          <w:szCs w:val="24"/>
        </w:rPr>
        <w:t>Yes,</w:t>
      </w:r>
      <w:r w:rsidRPr="00C3792D">
        <w:rPr>
          <w:rFonts w:ascii="Arial" w:hAnsi="Arial" w:cs="Arial"/>
          <w:sz w:val="24"/>
          <w:szCs w:val="24"/>
        </w:rPr>
        <w:t xml:space="preserve"> I do.</w:t>
      </w:r>
    </w:p>
    <w:p w14:paraId="32CC2B73" w14:textId="77777777" w:rsidR="000D1068" w:rsidRPr="00C3792D" w:rsidRDefault="000D1068" w:rsidP="00B300F6">
      <w:pPr>
        <w:pStyle w:val="ListParagraph"/>
        <w:numPr>
          <w:ilvl w:val="1"/>
          <w:numId w:val="1"/>
        </w:numPr>
        <w:spacing w:line="360" w:lineRule="auto"/>
        <w:jc w:val="both"/>
        <w:rPr>
          <w:rFonts w:ascii="Arial" w:hAnsi="Arial" w:cs="Arial"/>
          <w:sz w:val="24"/>
          <w:szCs w:val="24"/>
        </w:rPr>
      </w:pPr>
      <w:r w:rsidRPr="00C3792D">
        <w:rPr>
          <w:rFonts w:ascii="Arial" w:hAnsi="Arial" w:cs="Arial"/>
          <w:sz w:val="24"/>
          <w:szCs w:val="24"/>
        </w:rPr>
        <w:t>Court</w:t>
      </w:r>
      <w:r w:rsidR="00C00655" w:rsidRPr="00C3792D">
        <w:rPr>
          <w:rFonts w:ascii="Arial" w:hAnsi="Arial" w:cs="Arial"/>
          <w:sz w:val="24"/>
          <w:szCs w:val="24"/>
        </w:rPr>
        <w:t xml:space="preserve">: Now if I said to you today that the sun is shining outside and it is hot is that the truth or would that be a lie? </w:t>
      </w:r>
    </w:p>
    <w:p w14:paraId="5DAB9838" w14:textId="77777777" w:rsidR="00C00655" w:rsidRPr="00C3792D" w:rsidRDefault="00C00655" w:rsidP="00B300F6">
      <w:pPr>
        <w:pStyle w:val="ListParagraph"/>
        <w:spacing w:line="360" w:lineRule="auto"/>
        <w:ind w:left="1440"/>
        <w:jc w:val="both"/>
        <w:rPr>
          <w:rFonts w:ascii="Arial" w:hAnsi="Arial" w:cs="Arial"/>
          <w:sz w:val="24"/>
          <w:szCs w:val="24"/>
        </w:rPr>
      </w:pPr>
      <w:proofErr w:type="spellStart"/>
      <w:r w:rsidRPr="00C3792D">
        <w:rPr>
          <w:rFonts w:ascii="Arial" w:hAnsi="Arial" w:cs="Arial"/>
          <w:sz w:val="24"/>
          <w:szCs w:val="24"/>
        </w:rPr>
        <w:t>A</w:t>
      </w:r>
      <w:r w:rsidR="000D1068" w:rsidRPr="00C3792D">
        <w:rPr>
          <w:rFonts w:ascii="Arial" w:hAnsi="Arial" w:cs="Arial"/>
          <w:sz w:val="24"/>
          <w:szCs w:val="24"/>
        </w:rPr>
        <w:t>yabonga</w:t>
      </w:r>
      <w:proofErr w:type="spellEnd"/>
      <w:r w:rsidRPr="00C3792D">
        <w:rPr>
          <w:rFonts w:ascii="Arial" w:hAnsi="Arial" w:cs="Arial"/>
          <w:sz w:val="24"/>
          <w:szCs w:val="24"/>
        </w:rPr>
        <w:t>: It is a lie.</w:t>
      </w:r>
    </w:p>
    <w:p w14:paraId="1AFB7416" w14:textId="77777777" w:rsidR="000D1068" w:rsidRPr="00C3792D" w:rsidRDefault="000D1068" w:rsidP="00B300F6">
      <w:pPr>
        <w:pStyle w:val="ListParagraph"/>
        <w:numPr>
          <w:ilvl w:val="1"/>
          <w:numId w:val="1"/>
        </w:numPr>
        <w:spacing w:line="360" w:lineRule="auto"/>
        <w:jc w:val="both"/>
        <w:rPr>
          <w:rFonts w:ascii="Arial" w:hAnsi="Arial" w:cs="Arial"/>
          <w:sz w:val="24"/>
          <w:szCs w:val="24"/>
        </w:rPr>
      </w:pPr>
      <w:r w:rsidRPr="00C3792D">
        <w:rPr>
          <w:rFonts w:ascii="Arial" w:hAnsi="Arial" w:cs="Arial"/>
          <w:sz w:val="24"/>
          <w:szCs w:val="24"/>
        </w:rPr>
        <w:t>Court</w:t>
      </w:r>
      <w:r w:rsidR="00C00655" w:rsidRPr="00C3792D">
        <w:rPr>
          <w:rFonts w:ascii="Arial" w:hAnsi="Arial" w:cs="Arial"/>
          <w:sz w:val="24"/>
          <w:szCs w:val="24"/>
        </w:rPr>
        <w:t xml:space="preserve">: Why do you say that? </w:t>
      </w:r>
    </w:p>
    <w:p w14:paraId="3BA13E5E" w14:textId="77777777" w:rsidR="00C00655" w:rsidRPr="00C3792D" w:rsidRDefault="00C00655" w:rsidP="00B300F6">
      <w:pPr>
        <w:pStyle w:val="ListParagraph"/>
        <w:spacing w:line="360" w:lineRule="auto"/>
        <w:ind w:left="1440"/>
        <w:jc w:val="both"/>
        <w:rPr>
          <w:rFonts w:ascii="Arial" w:hAnsi="Arial" w:cs="Arial"/>
          <w:sz w:val="24"/>
          <w:szCs w:val="24"/>
        </w:rPr>
      </w:pPr>
      <w:proofErr w:type="spellStart"/>
      <w:r w:rsidRPr="00C3792D">
        <w:rPr>
          <w:rFonts w:ascii="Arial" w:hAnsi="Arial" w:cs="Arial"/>
          <w:sz w:val="24"/>
          <w:szCs w:val="24"/>
        </w:rPr>
        <w:t>A</w:t>
      </w:r>
      <w:r w:rsidR="000D1068" w:rsidRPr="00C3792D">
        <w:rPr>
          <w:rFonts w:ascii="Arial" w:hAnsi="Arial" w:cs="Arial"/>
          <w:sz w:val="24"/>
          <w:szCs w:val="24"/>
        </w:rPr>
        <w:t>yabonga</w:t>
      </w:r>
      <w:proofErr w:type="spellEnd"/>
      <w:r w:rsidRPr="00C3792D">
        <w:rPr>
          <w:rFonts w:ascii="Arial" w:hAnsi="Arial" w:cs="Arial"/>
          <w:sz w:val="24"/>
          <w:szCs w:val="24"/>
        </w:rPr>
        <w:t>: It is cold outside.</w:t>
      </w:r>
    </w:p>
    <w:p w14:paraId="33E275D7" w14:textId="77777777" w:rsidR="000D1068" w:rsidRPr="00C3792D" w:rsidRDefault="00C00655" w:rsidP="00B300F6">
      <w:pPr>
        <w:pStyle w:val="ListParagraph"/>
        <w:numPr>
          <w:ilvl w:val="1"/>
          <w:numId w:val="1"/>
        </w:numPr>
        <w:spacing w:line="360" w:lineRule="auto"/>
        <w:jc w:val="both"/>
        <w:rPr>
          <w:rFonts w:ascii="Arial" w:hAnsi="Arial" w:cs="Arial"/>
          <w:sz w:val="24"/>
          <w:szCs w:val="24"/>
        </w:rPr>
      </w:pPr>
      <w:r w:rsidRPr="00C3792D">
        <w:rPr>
          <w:rFonts w:ascii="Arial" w:hAnsi="Arial" w:cs="Arial"/>
          <w:sz w:val="24"/>
          <w:szCs w:val="24"/>
        </w:rPr>
        <w:t xml:space="preserve">Court: Now in Court today </w:t>
      </w:r>
      <w:proofErr w:type="spellStart"/>
      <w:r w:rsidRPr="00C3792D">
        <w:rPr>
          <w:rFonts w:ascii="Arial" w:hAnsi="Arial" w:cs="Arial"/>
          <w:sz w:val="24"/>
          <w:szCs w:val="24"/>
        </w:rPr>
        <w:t>Ayabonga</w:t>
      </w:r>
      <w:proofErr w:type="spellEnd"/>
      <w:r w:rsidRPr="00C3792D">
        <w:rPr>
          <w:rFonts w:ascii="Arial" w:hAnsi="Arial" w:cs="Arial"/>
          <w:sz w:val="24"/>
          <w:szCs w:val="24"/>
        </w:rPr>
        <w:t xml:space="preserve"> the Court needs you to tell only the truth and nothing but the truth. Do you understand that? </w:t>
      </w:r>
    </w:p>
    <w:p w14:paraId="11CF7CD8" w14:textId="77777777" w:rsidR="00C00655" w:rsidRPr="00C3792D" w:rsidRDefault="00C00655" w:rsidP="00B300F6">
      <w:pPr>
        <w:pStyle w:val="ListParagraph"/>
        <w:spacing w:line="360" w:lineRule="auto"/>
        <w:ind w:left="1440"/>
        <w:jc w:val="both"/>
        <w:rPr>
          <w:rFonts w:ascii="Arial" w:hAnsi="Arial" w:cs="Arial"/>
          <w:sz w:val="24"/>
          <w:szCs w:val="24"/>
        </w:rPr>
      </w:pPr>
      <w:proofErr w:type="spellStart"/>
      <w:r w:rsidRPr="00C3792D">
        <w:rPr>
          <w:rFonts w:ascii="Arial" w:hAnsi="Arial" w:cs="Arial"/>
          <w:sz w:val="24"/>
          <w:szCs w:val="24"/>
        </w:rPr>
        <w:t>A</w:t>
      </w:r>
      <w:r w:rsidR="000D1068" w:rsidRPr="00C3792D">
        <w:rPr>
          <w:rFonts w:ascii="Arial" w:hAnsi="Arial" w:cs="Arial"/>
          <w:sz w:val="24"/>
          <w:szCs w:val="24"/>
        </w:rPr>
        <w:t>yabonga</w:t>
      </w:r>
      <w:proofErr w:type="spellEnd"/>
      <w:r w:rsidRPr="00C3792D">
        <w:rPr>
          <w:rFonts w:ascii="Arial" w:hAnsi="Arial" w:cs="Arial"/>
          <w:sz w:val="24"/>
          <w:szCs w:val="24"/>
        </w:rPr>
        <w:t>: Yes</w:t>
      </w:r>
    </w:p>
    <w:p w14:paraId="5FF525BC" w14:textId="77777777" w:rsidR="00CD7FFD" w:rsidRPr="00C3792D" w:rsidRDefault="00C00655" w:rsidP="00B300F6">
      <w:pPr>
        <w:pStyle w:val="ListParagraph"/>
        <w:numPr>
          <w:ilvl w:val="1"/>
          <w:numId w:val="1"/>
        </w:numPr>
        <w:spacing w:line="360" w:lineRule="auto"/>
        <w:jc w:val="both"/>
        <w:rPr>
          <w:rFonts w:ascii="Arial" w:hAnsi="Arial" w:cs="Arial"/>
          <w:sz w:val="24"/>
          <w:szCs w:val="24"/>
        </w:rPr>
      </w:pPr>
      <w:proofErr w:type="spellStart"/>
      <w:r w:rsidRPr="00C3792D">
        <w:rPr>
          <w:rFonts w:ascii="Arial" w:hAnsi="Arial" w:cs="Arial"/>
          <w:sz w:val="24"/>
          <w:szCs w:val="24"/>
        </w:rPr>
        <w:t>Ayabonga</w:t>
      </w:r>
      <w:proofErr w:type="spellEnd"/>
      <w:r w:rsidRPr="00C3792D">
        <w:rPr>
          <w:rFonts w:ascii="Arial" w:hAnsi="Arial" w:cs="Arial"/>
          <w:sz w:val="24"/>
          <w:szCs w:val="24"/>
        </w:rPr>
        <w:t xml:space="preserve"> is admonished (through the intermediary) (through interpreter)</w:t>
      </w:r>
      <w:r w:rsidR="00444AA2" w:rsidRPr="00C3792D">
        <w:rPr>
          <w:rFonts w:ascii="Arial" w:hAnsi="Arial" w:cs="Arial"/>
          <w:sz w:val="24"/>
          <w:szCs w:val="24"/>
        </w:rPr>
        <w:t>”</w:t>
      </w:r>
      <w:r w:rsidR="00444AA2" w:rsidRPr="00C3792D">
        <w:rPr>
          <w:rStyle w:val="FootnoteReference"/>
          <w:rFonts w:ascii="Arial" w:hAnsi="Arial" w:cs="Arial"/>
          <w:sz w:val="24"/>
          <w:szCs w:val="24"/>
        </w:rPr>
        <w:footnoteReference w:id="5"/>
      </w:r>
    </w:p>
    <w:p w14:paraId="5AB59122" w14:textId="77777777" w:rsidR="00D45AA0" w:rsidRPr="00C3792D" w:rsidRDefault="00D45AA0" w:rsidP="00D45AA0">
      <w:pPr>
        <w:pStyle w:val="ListParagraph"/>
        <w:spacing w:line="480" w:lineRule="auto"/>
        <w:ind w:left="360"/>
        <w:jc w:val="both"/>
        <w:rPr>
          <w:rFonts w:ascii="Arial" w:hAnsi="Arial" w:cs="Arial"/>
          <w:sz w:val="24"/>
          <w:szCs w:val="24"/>
        </w:rPr>
      </w:pPr>
    </w:p>
    <w:p w14:paraId="028DBE84" w14:textId="77777777" w:rsidR="008E240A" w:rsidRPr="00C3792D" w:rsidRDefault="00D1503A" w:rsidP="0056493C">
      <w:pPr>
        <w:pStyle w:val="ListParagraph"/>
        <w:numPr>
          <w:ilvl w:val="0"/>
          <w:numId w:val="1"/>
        </w:numPr>
        <w:spacing w:line="480" w:lineRule="auto"/>
        <w:jc w:val="both"/>
        <w:rPr>
          <w:rFonts w:ascii="Arial" w:hAnsi="Arial" w:cs="Arial"/>
          <w:sz w:val="24"/>
          <w:szCs w:val="24"/>
        </w:rPr>
      </w:pPr>
      <w:r w:rsidRPr="00C3792D">
        <w:rPr>
          <w:rFonts w:ascii="Arial" w:hAnsi="Arial" w:cs="Arial"/>
          <w:sz w:val="24"/>
          <w:szCs w:val="24"/>
        </w:rPr>
        <w:t xml:space="preserve">In light of the above </w:t>
      </w:r>
      <w:r w:rsidR="00D63D36" w:rsidRPr="00C3792D">
        <w:rPr>
          <w:rFonts w:ascii="Arial" w:hAnsi="Arial" w:cs="Arial"/>
          <w:sz w:val="24"/>
          <w:szCs w:val="24"/>
        </w:rPr>
        <w:t>recommendations</w:t>
      </w:r>
      <w:r w:rsidRPr="00C3792D">
        <w:rPr>
          <w:rFonts w:ascii="Arial" w:hAnsi="Arial" w:cs="Arial"/>
          <w:sz w:val="24"/>
          <w:szCs w:val="24"/>
        </w:rPr>
        <w:t xml:space="preserve">, I am satisfied that </w:t>
      </w:r>
      <w:r w:rsidR="00D63D36" w:rsidRPr="00C3792D">
        <w:rPr>
          <w:rFonts w:ascii="Arial" w:hAnsi="Arial" w:cs="Arial"/>
          <w:sz w:val="24"/>
          <w:szCs w:val="24"/>
        </w:rPr>
        <w:t>t</w:t>
      </w:r>
      <w:r w:rsidRPr="00C3792D">
        <w:rPr>
          <w:rFonts w:ascii="Arial" w:hAnsi="Arial" w:cs="Arial"/>
          <w:sz w:val="24"/>
          <w:szCs w:val="24"/>
        </w:rPr>
        <w:t>he</w:t>
      </w:r>
      <w:r w:rsidR="00D63D36" w:rsidRPr="00C3792D">
        <w:rPr>
          <w:rFonts w:ascii="Arial" w:hAnsi="Arial" w:cs="Arial"/>
          <w:sz w:val="24"/>
          <w:szCs w:val="24"/>
        </w:rPr>
        <w:t xml:space="preserve"> magistrate</w:t>
      </w:r>
      <w:r w:rsidRPr="00C3792D">
        <w:rPr>
          <w:rFonts w:ascii="Arial" w:hAnsi="Arial" w:cs="Arial"/>
          <w:sz w:val="24"/>
          <w:szCs w:val="24"/>
        </w:rPr>
        <w:t xml:space="preserve"> properly admonished the complainant.</w:t>
      </w:r>
      <w:r w:rsidR="006D6C50" w:rsidRPr="00C3792D">
        <w:rPr>
          <w:rFonts w:ascii="Arial" w:hAnsi="Arial" w:cs="Arial"/>
          <w:sz w:val="24"/>
          <w:szCs w:val="24"/>
        </w:rPr>
        <w:t xml:space="preserve"> The record by the typist, states that he was </w:t>
      </w:r>
      <w:r w:rsidR="006D6C50" w:rsidRPr="00C3792D">
        <w:rPr>
          <w:rFonts w:ascii="Arial" w:hAnsi="Arial" w:cs="Arial"/>
          <w:sz w:val="24"/>
          <w:szCs w:val="24"/>
          <w:u w:val="single"/>
        </w:rPr>
        <w:t>admonished through the intermediary</w:t>
      </w:r>
      <w:r w:rsidR="00254A8A" w:rsidRPr="00C3792D">
        <w:rPr>
          <w:rFonts w:ascii="Arial" w:hAnsi="Arial" w:cs="Arial"/>
          <w:sz w:val="24"/>
          <w:szCs w:val="24"/>
        </w:rPr>
        <w:t>,</w:t>
      </w:r>
      <w:r w:rsidR="0086088E" w:rsidRPr="00C3792D">
        <w:rPr>
          <w:rStyle w:val="FootnoteReference"/>
          <w:rFonts w:ascii="Arial" w:hAnsi="Arial" w:cs="Arial"/>
          <w:sz w:val="24"/>
          <w:szCs w:val="24"/>
        </w:rPr>
        <w:footnoteReference w:id="6"/>
      </w:r>
      <w:r w:rsidR="00254A8A" w:rsidRPr="00C3792D">
        <w:rPr>
          <w:rFonts w:ascii="Arial" w:hAnsi="Arial" w:cs="Arial"/>
          <w:sz w:val="24"/>
          <w:szCs w:val="24"/>
        </w:rPr>
        <w:t xml:space="preserve"> which is allowed in terms of section 165 CPA.</w:t>
      </w:r>
      <w:r w:rsidR="006D6C50" w:rsidRPr="00C3792D">
        <w:rPr>
          <w:rFonts w:ascii="Arial" w:hAnsi="Arial" w:cs="Arial"/>
          <w:sz w:val="24"/>
          <w:szCs w:val="24"/>
        </w:rPr>
        <w:t xml:space="preserve"> It can be safely assumed the latter was following what the Court </w:t>
      </w:r>
      <w:r w:rsidR="000D025D">
        <w:rPr>
          <w:rFonts w:ascii="Arial" w:hAnsi="Arial" w:cs="Arial"/>
          <w:sz w:val="24"/>
          <w:szCs w:val="24"/>
        </w:rPr>
        <w:t>stated</w:t>
      </w:r>
      <w:r w:rsidR="00D63D36" w:rsidRPr="00C3792D">
        <w:rPr>
          <w:rFonts w:ascii="Arial" w:hAnsi="Arial" w:cs="Arial"/>
          <w:sz w:val="24"/>
          <w:szCs w:val="24"/>
        </w:rPr>
        <w:t>, though the typist’s record is silent</w:t>
      </w:r>
      <w:r w:rsidR="006D6C50" w:rsidRPr="00C3792D">
        <w:rPr>
          <w:rFonts w:ascii="Arial" w:hAnsi="Arial" w:cs="Arial"/>
          <w:sz w:val="24"/>
          <w:szCs w:val="24"/>
        </w:rPr>
        <w:t>.</w:t>
      </w:r>
      <w:r w:rsidRPr="00C3792D">
        <w:rPr>
          <w:rFonts w:ascii="Arial" w:hAnsi="Arial" w:cs="Arial"/>
          <w:sz w:val="24"/>
          <w:szCs w:val="24"/>
        </w:rPr>
        <w:t xml:space="preserve"> Granted, </w:t>
      </w:r>
      <w:r w:rsidR="0056493C" w:rsidRPr="00C3792D">
        <w:rPr>
          <w:rFonts w:ascii="Arial" w:hAnsi="Arial" w:cs="Arial"/>
          <w:sz w:val="24"/>
          <w:szCs w:val="24"/>
        </w:rPr>
        <w:t>after the report by a clinical psychologist, Ms. Karen Bradford, t</w:t>
      </w:r>
      <w:r w:rsidRPr="00C3792D">
        <w:rPr>
          <w:rFonts w:ascii="Arial" w:hAnsi="Arial" w:cs="Arial"/>
          <w:sz w:val="24"/>
          <w:szCs w:val="24"/>
        </w:rPr>
        <w:t>he</w:t>
      </w:r>
      <w:r w:rsidR="0056493C" w:rsidRPr="00C3792D">
        <w:rPr>
          <w:rFonts w:ascii="Arial" w:hAnsi="Arial" w:cs="Arial"/>
          <w:sz w:val="24"/>
          <w:szCs w:val="24"/>
        </w:rPr>
        <w:t xml:space="preserve"> trial court</w:t>
      </w:r>
      <w:r w:rsidRPr="00C3792D">
        <w:rPr>
          <w:rFonts w:ascii="Arial" w:hAnsi="Arial" w:cs="Arial"/>
          <w:sz w:val="24"/>
          <w:szCs w:val="24"/>
        </w:rPr>
        <w:t xml:space="preserve"> did not </w:t>
      </w:r>
      <w:r w:rsidR="0056493C" w:rsidRPr="00C3792D">
        <w:rPr>
          <w:rFonts w:ascii="Arial" w:hAnsi="Arial" w:cs="Arial"/>
          <w:sz w:val="24"/>
          <w:szCs w:val="24"/>
        </w:rPr>
        <w:t xml:space="preserve">ask the usual </w:t>
      </w:r>
      <w:r w:rsidRPr="00C3792D">
        <w:rPr>
          <w:rFonts w:ascii="Arial" w:hAnsi="Arial" w:cs="Arial"/>
          <w:sz w:val="24"/>
          <w:szCs w:val="24"/>
        </w:rPr>
        <w:t>many questions</w:t>
      </w:r>
      <w:r w:rsidR="00DA5786" w:rsidRPr="00C3792D">
        <w:rPr>
          <w:rFonts w:ascii="Arial" w:hAnsi="Arial" w:cs="Arial"/>
          <w:sz w:val="24"/>
          <w:szCs w:val="24"/>
        </w:rPr>
        <w:t xml:space="preserve"> in conducting an enquiry</w:t>
      </w:r>
      <w:r w:rsidRPr="00C3792D">
        <w:rPr>
          <w:rFonts w:ascii="Arial" w:hAnsi="Arial" w:cs="Arial"/>
          <w:sz w:val="24"/>
          <w:szCs w:val="24"/>
        </w:rPr>
        <w:t xml:space="preserve">, </w:t>
      </w:r>
      <w:r w:rsidR="0056493C" w:rsidRPr="00C3792D">
        <w:rPr>
          <w:rFonts w:ascii="Arial" w:hAnsi="Arial" w:cs="Arial"/>
          <w:sz w:val="24"/>
          <w:szCs w:val="24"/>
        </w:rPr>
        <w:t xml:space="preserve">prior to admonishing the child to speak the </w:t>
      </w:r>
      <w:r w:rsidR="0056493C" w:rsidRPr="00C3792D">
        <w:rPr>
          <w:rFonts w:ascii="Arial" w:hAnsi="Arial" w:cs="Arial"/>
          <w:sz w:val="24"/>
          <w:szCs w:val="24"/>
        </w:rPr>
        <w:lastRenderedPageBreak/>
        <w:t>truth, unlike o</w:t>
      </w:r>
      <w:r w:rsidRPr="00C3792D">
        <w:rPr>
          <w:rFonts w:ascii="Arial" w:hAnsi="Arial" w:cs="Arial"/>
          <w:sz w:val="24"/>
          <w:szCs w:val="24"/>
        </w:rPr>
        <w:t xml:space="preserve">n the first </w:t>
      </w:r>
      <w:r w:rsidR="00DA5786" w:rsidRPr="00C3792D">
        <w:rPr>
          <w:rFonts w:ascii="Arial" w:hAnsi="Arial" w:cs="Arial"/>
          <w:sz w:val="24"/>
          <w:szCs w:val="24"/>
        </w:rPr>
        <w:t>day he testified when the court</w:t>
      </w:r>
      <w:r w:rsidR="008E240A" w:rsidRPr="00C3792D">
        <w:rPr>
          <w:rFonts w:ascii="Arial" w:hAnsi="Arial" w:cs="Arial"/>
          <w:sz w:val="24"/>
          <w:szCs w:val="24"/>
        </w:rPr>
        <w:t xml:space="preserve"> referr</w:t>
      </w:r>
      <w:r w:rsidR="00DA5786" w:rsidRPr="00C3792D">
        <w:rPr>
          <w:rFonts w:ascii="Arial" w:hAnsi="Arial" w:cs="Arial"/>
          <w:sz w:val="24"/>
          <w:szCs w:val="24"/>
        </w:rPr>
        <w:t>ed him</w:t>
      </w:r>
      <w:r w:rsidR="008E240A" w:rsidRPr="00C3792D">
        <w:rPr>
          <w:rFonts w:ascii="Arial" w:hAnsi="Arial" w:cs="Arial"/>
          <w:sz w:val="24"/>
          <w:szCs w:val="24"/>
        </w:rPr>
        <w:t xml:space="preserve"> for</w:t>
      </w:r>
      <w:r w:rsidR="00DA5786" w:rsidRPr="00C3792D">
        <w:rPr>
          <w:rFonts w:ascii="Arial" w:hAnsi="Arial" w:cs="Arial"/>
          <w:sz w:val="24"/>
          <w:szCs w:val="24"/>
        </w:rPr>
        <w:t xml:space="preserve"> an</w:t>
      </w:r>
      <w:r w:rsidR="008E240A" w:rsidRPr="00C3792D">
        <w:rPr>
          <w:rFonts w:ascii="Arial" w:hAnsi="Arial" w:cs="Arial"/>
          <w:sz w:val="24"/>
          <w:szCs w:val="24"/>
        </w:rPr>
        <w:t xml:space="preserve"> assessment</w:t>
      </w:r>
      <w:r w:rsidRPr="00C3792D">
        <w:rPr>
          <w:rFonts w:ascii="Arial" w:hAnsi="Arial" w:cs="Arial"/>
          <w:sz w:val="24"/>
          <w:szCs w:val="24"/>
        </w:rPr>
        <w:t xml:space="preserve">. </w:t>
      </w:r>
    </w:p>
    <w:p w14:paraId="12D2766B" w14:textId="77777777" w:rsidR="00A07F22" w:rsidRPr="00C3792D" w:rsidRDefault="00A07F22" w:rsidP="00A07F22">
      <w:pPr>
        <w:pStyle w:val="ListParagraph"/>
        <w:spacing w:line="480" w:lineRule="auto"/>
        <w:ind w:left="360"/>
        <w:jc w:val="both"/>
        <w:rPr>
          <w:rFonts w:ascii="Arial" w:hAnsi="Arial" w:cs="Arial"/>
          <w:sz w:val="24"/>
          <w:szCs w:val="24"/>
        </w:rPr>
      </w:pPr>
    </w:p>
    <w:p w14:paraId="2F159DA6" w14:textId="77777777" w:rsidR="00A07F22" w:rsidRPr="00C3792D" w:rsidRDefault="00A07F22" w:rsidP="00A07F22">
      <w:pPr>
        <w:pStyle w:val="ListParagraph"/>
        <w:spacing w:line="480" w:lineRule="auto"/>
        <w:ind w:left="360"/>
        <w:jc w:val="both"/>
        <w:rPr>
          <w:rFonts w:ascii="Arial" w:hAnsi="Arial" w:cs="Arial"/>
          <w:b/>
          <w:sz w:val="24"/>
          <w:szCs w:val="24"/>
        </w:rPr>
      </w:pPr>
      <w:r w:rsidRPr="00C3792D">
        <w:rPr>
          <w:rFonts w:ascii="Arial" w:hAnsi="Arial" w:cs="Arial"/>
          <w:b/>
          <w:sz w:val="24"/>
          <w:szCs w:val="24"/>
        </w:rPr>
        <w:t>Technical defence</w:t>
      </w:r>
    </w:p>
    <w:p w14:paraId="6B4DAB50" w14:textId="77777777" w:rsidR="00A07F22" w:rsidRPr="00C3792D" w:rsidRDefault="00A07F22" w:rsidP="00A07F22">
      <w:pPr>
        <w:pStyle w:val="ListParagraph"/>
        <w:numPr>
          <w:ilvl w:val="0"/>
          <w:numId w:val="1"/>
        </w:numPr>
        <w:spacing w:line="480" w:lineRule="auto"/>
        <w:jc w:val="both"/>
        <w:rPr>
          <w:rFonts w:ascii="Arial" w:hAnsi="Arial" w:cs="Arial"/>
          <w:sz w:val="24"/>
          <w:szCs w:val="24"/>
        </w:rPr>
      </w:pPr>
      <w:r w:rsidRPr="00C3792D">
        <w:rPr>
          <w:rFonts w:ascii="Arial" w:hAnsi="Arial" w:cs="Arial"/>
          <w:sz w:val="24"/>
          <w:szCs w:val="24"/>
        </w:rPr>
        <w:t>Appellant is not raising a</w:t>
      </w:r>
      <w:r w:rsidR="000D025D">
        <w:rPr>
          <w:rFonts w:ascii="Arial" w:hAnsi="Arial" w:cs="Arial"/>
          <w:sz w:val="24"/>
          <w:szCs w:val="24"/>
        </w:rPr>
        <w:t>ny</w:t>
      </w:r>
      <w:r w:rsidRPr="00C3792D">
        <w:rPr>
          <w:rFonts w:ascii="Arial" w:hAnsi="Arial" w:cs="Arial"/>
          <w:sz w:val="24"/>
          <w:szCs w:val="24"/>
        </w:rPr>
        <w:t xml:space="preserve"> substantive </w:t>
      </w:r>
      <w:r w:rsidR="00015BDE" w:rsidRPr="00C3792D">
        <w:rPr>
          <w:rFonts w:ascii="Arial" w:hAnsi="Arial" w:cs="Arial"/>
          <w:sz w:val="24"/>
          <w:szCs w:val="24"/>
        </w:rPr>
        <w:t>ground of appeal, but a legally technical ground of non-compliance with the provisions of section 164 CPA. He does not deny that he was found with the 14 years old complainant</w:t>
      </w:r>
      <w:r w:rsidRPr="00C3792D">
        <w:rPr>
          <w:rFonts w:ascii="Arial" w:hAnsi="Arial" w:cs="Arial"/>
          <w:sz w:val="24"/>
          <w:szCs w:val="24"/>
        </w:rPr>
        <w:t xml:space="preserve"> immediately after </w:t>
      </w:r>
      <w:r w:rsidR="00015BDE" w:rsidRPr="00C3792D">
        <w:rPr>
          <w:rFonts w:ascii="Arial" w:hAnsi="Arial" w:cs="Arial"/>
          <w:sz w:val="24"/>
          <w:szCs w:val="24"/>
        </w:rPr>
        <w:t>he had</w:t>
      </w:r>
      <w:r w:rsidRPr="00C3792D">
        <w:rPr>
          <w:rFonts w:ascii="Arial" w:hAnsi="Arial" w:cs="Arial"/>
          <w:sz w:val="24"/>
          <w:szCs w:val="24"/>
        </w:rPr>
        <w:t xml:space="preserve"> </w:t>
      </w:r>
      <w:r w:rsidR="00254A8A" w:rsidRPr="00C3792D">
        <w:rPr>
          <w:rFonts w:ascii="Arial" w:hAnsi="Arial" w:cs="Arial"/>
          <w:sz w:val="24"/>
          <w:szCs w:val="24"/>
        </w:rPr>
        <w:t xml:space="preserve">been </w:t>
      </w:r>
      <w:r w:rsidRPr="00C3792D">
        <w:rPr>
          <w:rFonts w:ascii="Arial" w:hAnsi="Arial" w:cs="Arial"/>
          <w:sz w:val="24"/>
          <w:szCs w:val="24"/>
        </w:rPr>
        <w:t>raped.</w:t>
      </w:r>
      <w:r w:rsidR="00015BDE" w:rsidRPr="00C3792D">
        <w:rPr>
          <w:rFonts w:ascii="Arial" w:hAnsi="Arial" w:cs="Arial"/>
          <w:sz w:val="24"/>
          <w:szCs w:val="24"/>
        </w:rPr>
        <w:t xml:space="preserve"> It was only he and that child found in that room by the police and </w:t>
      </w:r>
      <w:proofErr w:type="spellStart"/>
      <w:r w:rsidR="00753382" w:rsidRPr="00C3792D">
        <w:rPr>
          <w:rFonts w:ascii="Arial" w:hAnsi="Arial" w:cs="Arial"/>
          <w:sz w:val="24"/>
          <w:szCs w:val="24"/>
        </w:rPr>
        <w:t>Rampai</w:t>
      </w:r>
      <w:proofErr w:type="spellEnd"/>
      <w:r w:rsidR="00015BDE" w:rsidRPr="00C3792D">
        <w:rPr>
          <w:rFonts w:ascii="Arial" w:hAnsi="Arial" w:cs="Arial"/>
          <w:sz w:val="24"/>
          <w:szCs w:val="24"/>
        </w:rPr>
        <w:t>. Even on his version the third person was the mother of the said child, which version was refuted.</w:t>
      </w:r>
      <w:r w:rsidRPr="00C3792D">
        <w:rPr>
          <w:rFonts w:ascii="Arial" w:hAnsi="Arial" w:cs="Arial"/>
          <w:sz w:val="24"/>
          <w:szCs w:val="24"/>
        </w:rPr>
        <w:t xml:space="preserve"> He ran away </w:t>
      </w:r>
      <w:r w:rsidR="00015BDE" w:rsidRPr="00C3792D">
        <w:rPr>
          <w:rFonts w:ascii="Arial" w:hAnsi="Arial" w:cs="Arial"/>
          <w:sz w:val="24"/>
          <w:szCs w:val="24"/>
        </w:rPr>
        <w:t>wearing only underwear after escaping through the window. He</w:t>
      </w:r>
      <w:r w:rsidRPr="00C3792D">
        <w:rPr>
          <w:rFonts w:ascii="Arial" w:hAnsi="Arial" w:cs="Arial"/>
          <w:sz w:val="24"/>
          <w:szCs w:val="24"/>
        </w:rPr>
        <w:t xml:space="preserve"> returned an hour or two later, when the police vehicle was g</w:t>
      </w:r>
      <w:r w:rsidR="009273BC" w:rsidRPr="00C3792D">
        <w:rPr>
          <w:rFonts w:ascii="Arial" w:hAnsi="Arial" w:cs="Arial"/>
          <w:sz w:val="24"/>
          <w:szCs w:val="24"/>
        </w:rPr>
        <w:t>one. T</w:t>
      </w:r>
      <w:r w:rsidRPr="00C3792D">
        <w:rPr>
          <w:rFonts w:ascii="Arial" w:hAnsi="Arial" w:cs="Arial"/>
          <w:sz w:val="24"/>
          <w:szCs w:val="24"/>
        </w:rPr>
        <w:t xml:space="preserve">he police took the child to the police station to open the case, and </w:t>
      </w:r>
      <w:r w:rsidR="00CB2CB5" w:rsidRPr="00C3792D">
        <w:rPr>
          <w:rFonts w:ascii="Arial" w:hAnsi="Arial" w:cs="Arial"/>
          <w:sz w:val="24"/>
          <w:szCs w:val="24"/>
        </w:rPr>
        <w:t>the child was</w:t>
      </w:r>
      <w:r w:rsidRPr="00C3792D">
        <w:rPr>
          <w:rFonts w:ascii="Arial" w:hAnsi="Arial" w:cs="Arial"/>
          <w:sz w:val="24"/>
          <w:szCs w:val="24"/>
        </w:rPr>
        <w:t xml:space="preserve"> medical</w:t>
      </w:r>
      <w:r w:rsidR="00CB2CB5" w:rsidRPr="00C3792D">
        <w:rPr>
          <w:rFonts w:ascii="Arial" w:hAnsi="Arial" w:cs="Arial"/>
          <w:sz w:val="24"/>
          <w:szCs w:val="24"/>
        </w:rPr>
        <w:t>ly</w:t>
      </w:r>
      <w:r w:rsidRPr="00C3792D">
        <w:rPr>
          <w:rFonts w:ascii="Arial" w:hAnsi="Arial" w:cs="Arial"/>
          <w:sz w:val="24"/>
          <w:szCs w:val="24"/>
        </w:rPr>
        <w:t xml:space="preserve"> examin</w:t>
      </w:r>
      <w:r w:rsidR="00CB2CB5" w:rsidRPr="00C3792D">
        <w:rPr>
          <w:rFonts w:ascii="Arial" w:hAnsi="Arial" w:cs="Arial"/>
          <w:sz w:val="24"/>
          <w:szCs w:val="24"/>
        </w:rPr>
        <w:t xml:space="preserve">ed </w:t>
      </w:r>
      <w:r w:rsidRPr="00C3792D">
        <w:rPr>
          <w:rFonts w:ascii="Arial" w:hAnsi="Arial" w:cs="Arial"/>
          <w:sz w:val="24"/>
          <w:szCs w:val="24"/>
        </w:rPr>
        <w:t xml:space="preserve">at </w:t>
      </w:r>
      <w:proofErr w:type="spellStart"/>
      <w:r w:rsidRPr="00C3792D">
        <w:rPr>
          <w:rFonts w:ascii="Arial" w:hAnsi="Arial" w:cs="Arial"/>
          <w:sz w:val="24"/>
          <w:szCs w:val="24"/>
        </w:rPr>
        <w:t>Leratong</w:t>
      </w:r>
      <w:proofErr w:type="spellEnd"/>
      <w:r w:rsidRPr="00C3792D">
        <w:rPr>
          <w:rFonts w:ascii="Arial" w:hAnsi="Arial" w:cs="Arial"/>
          <w:sz w:val="24"/>
          <w:szCs w:val="24"/>
        </w:rPr>
        <w:t xml:space="preserve"> Crisis Centre,</w:t>
      </w:r>
      <w:r w:rsidR="00CB2CB5" w:rsidRPr="00C3792D">
        <w:rPr>
          <w:rFonts w:ascii="Arial" w:hAnsi="Arial" w:cs="Arial"/>
          <w:sz w:val="24"/>
          <w:szCs w:val="24"/>
        </w:rPr>
        <w:t xml:space="preserve"> on the very day of the 27</w:t>
      </w:r>
      <w:r w:rsidR="00CB2CB5" w:rsidRPr="00C3792D">
        <w:rPr>
          <w:rFonts w:ascii="Arial" w:hAnsi="Arial" w:cs="Arial"/>
          <w:sz w:val="24"/>
          <w:szCs w:val="24"/>
          <w:vertAlign w:val="superscript"/>
        </w:rPr>
        <w:t>th</w:t>
      </w:r>
      <w:r w:rsidR="00CB2CB5" w:rsidRPr="00C3792D">
        <w:rPr>
          <w:rFonts w:ascii="Arial" w:hAnsi="Arial" w:cs="Arial"/>
          <w:sz w:val="24"/>
          <w:szCs w:val="24"/>
        </w:rPr>
        <w:t xml:space="preserve"> January 2019</w:t>
      </w:r>
      <w:r w:rsidRPr="00C3792D">
        <w:rPr>
          <w:rFonts w:ascii="Arial" w:hAnsi="Arial" w:cs="Arial"/>
          <w:sz w:val="24"/>
          <w:szCs w:val="24"/>
        </w:rPr>
        <w:t xml:space="preserve"> where it was confirmed</w:t>
      </w:r>
      <w:r w:rsidR="00146730" w:rsidRPr="00C3792D">
        <w:rPr>
          <w:rFonts w:ascii="Arial" w:hAnsi="Arial" w:cs="Arial"/>
          <w:sz w:val="24"/>
          <w:szCs w:val="24"/>
        </w:rPr>
        <w:t xml:space="preserve"> by </w:t>
      </w:r>
      <w:proofErr w:type="spellStart"/>
      <w:r w:rsidR="00146730" w:rsidRPr="00C3792D">
        <w:rPr>
          <w:rFonts w:ascii="Arial" w:hAnsi="Arial" w:cs="Arial"/>
          <w:sz w:val="24"/>
          <w:szCs w:val="24"/>
        </w:rPr>
        <w:t>Dr.</w:t>
      </w:r>
      <w:proofErr w:type="spellEnd"/>
      <w:r w:rsidR="00146730" w:rsidRPr="00C3792D">
        <w:rPr>
          <w:rFonts w:ascii="Arial" w:hAnsi="Arial" w:cs="Arial"/>
          <w:sz w:val="24"/>
          <w:szCs w:val="24"/>
        </w:rPr>
        <w:t xml:space="preserve"> </w:t>
      </w:r>
      <w:proofErr w:type="spellStart"/>
      <w:r w:rsidR="00146730" w:rsidRPr="00C3792D">
        <w:rPr>
          <w:rFonts w:ascii="Arial" w:hAnsi="Arial" w:cs="Arial"/>
          <w:sz w:val="24"/>
          <w:szCs w:val="24"/>
        </w:rPr>
        <w:t>Saita</w:t>
      </w:r>
      <w:proofErr w:type="spellEnd"/>
      <w:r w:rsidR="00146730" w:rsidRPr="00C3792D">
        <w:rPr>
          <w:rFonts w:ascii="Arial" w:hAnsi="Arial" w:cs="Arial"/>
          <w:sz w:val="24"/>
          <w:szCs w:val="24"/>
        </w:rPr>
        <w:t xml:space="preserve"> </w:t>
      </w:r>
      <w:proofErr w:type="spellStart"/>
      <w:r w:rsidR="00146730" w:rsidRPr="00C3792D">
        <w:rPr>
          <w:rFonts w:ascii="Arial" w:hAnsi="Arial" w:cs="Arial"/>
          <w:sz w:val="24"/>
          <w:szCs w:val="24"/>
        </w:rPr>
        <w:t>Kashif</w:t>
      </w:r>
      <w:proofErr w:type="spellEnd"/>
      <w:r w:rsidR="00146730" w:rsidRPr="00C3792D">
        <w:rPr>
          <w:rFonts w:ascii="Arial" w:hAnsi="Arial" w:cs="Arial"/>
          <w:sz w:val="24"/>
          <w:szCs w:val="24"/>
        </w:rPr>
        <w:t xml:space="preserve"> that</w:t>
      </w:r>
      <w:r w:rsidRPr="00C3792D">
        <w:rPr>
          <w:rFonts w:ascii="Arial" w:hAnsi="Arial" w:cs="Arial"/>
          <w:sz w:val="24"/>
          <w:szCs w:val="24"/>
        </w:rPr>
        <w:t xml:space="preserve"> the child </w:t>
      </w:r>
      <w:r w:rsidR="00146730" w:rsidRPr="00C3792D">
        <w:rPr>
          <w:rFonts w:ascii="Arial" w:hAnsi="Arial" w:cs="Arial"/>
          <w:sz w:val="24"/>
          <w:szCs w:val="24"/>
        </w:rPr>
        <w:t>had rec</w:t>
      </w:r>
      <w:r w:rsidR="00254A8A" w:rsidRPr="00C3792D">
        <w:rPr>
          <w:rFonts w:ascii="Arial" w:hAnsi="Arial" w:cs="Arial"/>
          <w:sz w:val="24"/>
          <w:szCs w:val="24"/>
        </w:rPr>
        <w:t>ently been sexually penetrated o</w:t>
      </w:r>
      <w:r w:rsidR="00146730" w:rsidRPr="00C3792D">
        <w:rPr>
          <w:rFonts w:ascii="Arial" w:hAnsi="Arial" w:cs="Arial"/>
          <w:sz w:val="24"/>
          <w:szCs w:val="24"/>
        </w:rPr>
        <w:t>n the anus</w:t>
      </w:r>
      <w:r w:rsidRPr="00C3792D">
        <w:rPr>
          <w:rFonts w:ascii="Arial" w:hAnsi="Arial" w:cs="Arial"/>
          <w:sz w:val="24"/>
          <w:szCs w:val="24"/>
        </w:rPr>
        <w:t xml:space="preserve">, </w:t>
      </w:r>
      <w:r w:rsidR="00146730" w:rsidRPr="00C3792D">
        <w:rPr>
          <w:rFonts w:ascii="Arial" w:hAnsi="Arial" w:cs="Arial"/>
          <w:sz w:val="24"/>
          <w:szCs w:val="24"/>
        </w:rPr>
        <w:t>which was consistent with the history</w:t>
      </w:r>
      <w:r w:rsidRPr="00C3792D">
        <w:rPr>
          <w:rFonts w:ascii="Arial" w:hAnsi="Arial" w:cs="Arial"/>
          <w:sz w:val="24"/>
          <w:szCs w:val="24"/>
        </w:rPr>
        <w:t xml:space="preserve"> </w:t>
      </w:r>
      <w:r w:rsidR="00CB2CB5" w:rsidRPr="00C3792D">
        <w:rPr>
          <w:rFonts w:ascii="Arial" w:hAnsi="Arial" w:cs="Arial"/>
          <w:sz w:val="24"/>
          <w:szCs w:val="24"/>
        </w:rPr>
        <w:t xml:space="preserve">given </w:t>
      </w:r>
      <w:r w:rsidR="00146730" w:rsidRPr="00C3792D">
        <w:rPr>
          <w:rFonts w:ascii="Arial" w:hAnsi="Arial" w:cs="Arial"/>
          <w:sz w:val="24"/>
          <w:szCs w:val="24"/>
        </w:rPr>
        <w:t xml:space="preserve">by the child </w:t>
      </w:r>
      <w:r w:rsidR="00CB2CB5" w:rsidRPr="00C3792D">
        <w:rPr>
          <w:rFonts w:ascii="Arial" w:hAnsi="Arial" w:cs="Arial"/>
          <w:sz w:val="24"/>
          <w:szCs w:val="24"/>
        </w:rPr>
        <w:t>to</w:t>
      </w:r>
      <w:r w:rsidRPr="00C3792D">
        <w:rPr>
          <w:rFonts w:ascii="Arial" w:hAnsi="Arial" w:cs="Arial"/>
          <w:sz w:val="24"/>
          <w:szCs w:val="24"/>
        </w:rPr>
        <w:t xml:space="preserve"> </w:t>
      </w:r>
      <w:proofErr w:type="spellStart"/>
      <w:r w:rsidRPr="00C3792D">
        <w:rPr>
          <w:rFonts w:ascii="Arial" w:hAnsi="Arial" w:cs="Arial"/>
          <w:sz w:val="24"/>
          <w:szCs w:val="24"/>
        </w:rPr>
        <w:t>Dr.</w:t>
      </w:r>
      <w:proofErr w:type="spellEnd"/>
      <w:r w:rsidRPr="00C3792D">
        <w:rPr>
          <w:rFonts w:ascii="Arial" w:hAnsi="Arial" w:cs="Arial"/>
          <w:sz w:val="24"/>
          <w:szCs w:val="24"/>
        </w:rPr>
        <w:t xml:space="preserve"> </w:t>
      </w:r>
      <w:proofErr w:type="spellStart"/>
      <w:r w:rsidRPr="00C3792D">
        <w:rPr>
          <w:rFonts w:ascii="Arial" w:hAnsi="Arial" w:cs="Arial"/>
          <w:sz w:val="24"/>
          <w:szCs w:val="24"/>
        </w:rPr>
        <w:t>Saita</w:t>
      </w:r>
      <w:proofErr w:type="spellEnd"/>
      <w:r w:rsidRPr="00C3792D">
        <w:rPr>
          <w:rFonts w:ascii="Arial" w:hAnsi="Arial" w:cs="Arial"/>
          <w:sz w:val="24"/>
          <w:szCs w:val="24"/>
        </w:rPr>
        <w:t xml:space="preserve"> </w:t>
      </w:r>
      <w:proofErr w:type="spellStart"/>
      <w:r w:rsidRPr="00C3792D">
        <w:rPr>
          <w:rFonts w:ascii="Arial" w:hAnsi="Arial" w:cs="Arial"/>
          <w:sz w:val="24"/>
          <w:szCs w:val="24"/>
        </w:rPr>
        <w:t>Kashif</w:t>
      </w:r>
      <w:proofErr w:type="spellEnd"/>
      <w:r w:rsidR="00CB2CB5" w:rsidRPr="00C3792D">
        <w:rPr>
          <w:rFonts w:ascii="Arial" w:hAnsi="Arial" w:cs="Arial"/>
          <w:sz w:val="24"/>
          <w:szCs w:val="24"/>
        </w:rPr>
        <w:t xml:space="preserve"> </w:t>
      </w:r>
      <w:r w:rsidR="00146730" w:rsidRPr="00C3792D">
        <w:rPr>
          <w:rFonts w:ascii="Arial" w:hAnsi="Arial" w:cs="Arial"/>
          <w:sz w:val="24"/>
          <w:szCs w:val="24"/>
        </w:rPr>
        <w:t>before examination</w:t>
      </w:r>
      <w:r w:rsidRPr="00C3792D">
        <w:rPr>
          <w:rFonts w:ascii="Arial" w:hAnsi="Arial" w:cs="Arial"/>
          <w:sz w:val="24"/>
          <w:szCs w:val="24"/>
        </w:rPr>
        <w:t>. The child was injured and could not walk well because of the pain. The appellant’s argument that the child is being influenced against him does not hold water, as the child’s version is the ver</w:t>
      </w:r>
      <w:r w:rsidR="00146730" w:rsidRPr="00C3792D">
        <w:rPr>
          <w:rFonts w:ascii="Arial" w:hAnsi="Arial" w:cs="Arial"/>
          <w:sz w:val="24"/>
          <w:szCs w:val="24"/>
        </w:rPr>
        <w:t>y same he gave to the doctor as it</w:t>
      </w:r>
      <w:r w:rsidR="00254A8A" w:rsidRPr="00C3792D">
        <w:rPr>
          <w:rFonts w:ascii="Arial" w:hAnsi="Arial" w:cs="Arial"/>
          <w:sz w:val="24"/>
          <w:szCs w:val="24"/>
        </w:rPr>
        <w:t xml:space="preserve"> appears on the J88. Appellant </w:t>
      </w:r>
      <w:r w:rsidRPr="00C3792D">
        <w:rPr>
          <w:rFonts w:ascii="Arial" w:hAnsi="Arial" w:cs="Arial"/>
          <w:sz w:val="24"/>
          <w:szCs w:val="24"/>
        </w:rPr>
        <w:t xml:space="preserve">can’t even argue that </w:t>
      </w:r>
      <w:proofErr w:type="spellStart"/>
      <w:r w:rsidR="00753382" w:rsidRPr="00C3792D">
        <w:rPr>
          <w:rFonts w:ascii="Arial" w:hAnsi="Arial" w:cs="Arial"/>
          <w:sz w:val="24"/>
          <w:szCs w:val="24"/>
        </w:rPr>
        <w:t>Rampai</w:t>
      </w:r>
      <w:proofErr w:type="spellEnd"/>
      <w:r w:rsidRPr="00C3792D">
        <w:rPr>
          <w:rFonts w:ascii="Arial" w:hAnsi="Arial" w:cs="Arial"/>
          <w:sz w:val="24"/>
          <w:szCs w:val="24"/>
        </w:rPr>
        <w:t xml:space="preserve"> has something to do with this influence over the child, because when the complainant made a report to the police and doctor, </w:t>
      </w:r>
      <w:proofErr w:type="spellStart"/>
      <w:r w:rsidR="00753382" w:rsidRPr="00C3792D">
        <w:rPr>
          <w:rFonts w:ascii="Arial" w:hAnsi="Arial" w:cs="Arial"/>
          <w:sz w:val="24"/>
          <w:szCs w:val="24"/>
        </w:rPr>
        <w:t>Rampai</w:t>
      </w:r>
      <w:proofErr w:type="spellEnd"/>
      <w:r w:rsidRPr="00C3792D">
        <w:rPr>
          <w:rFonts w:ascii="Arial" w:hAnsi="Arial" w:cs="Arial"/>
          <w:sz w:val="24"/>
          <w:szCs w:val="24"/>
        </w:rPr>
        <w:t xml:space="preserve"> was not there</w:t>
      </w:r>
      <w:r w:rsidR="00146730" w:rsidRPr="00C3792D">
        <w:rPr>
          <w:rFonts w:ascii="Arial" w:hAnsi="Arial" w:cs="Arial"/>
          <w:sz w:val="24"/>
          <w:szCs w:val="24"/>
        </w:rPr>
        <w:t xml:space="preserve"> at the police station</w:t>
      </w:r>
      <w:r w:rsidRPr="00C3792D">
        <w:rPr>
          <w:rFonts w:ascii="Arial" w:hAnsi="Arial" w:cs="Arial"/>
          <w:sz w:val="24"/>
          <w:szCs w:val="24"/>
        </w:rPr>
        <w:t>. Instead he is the one who apprehended appellant when he returned around 3am with other members of the community, while the complainant and his father were gone with the police and</w:t>
      </w:r>
      <w:r w:rsidR="0092260B" w:rsidRPr="00C3792D">
        <w:rPr>
          <w:rFonts w:ascii="Arial" w:hAnsi="Arial" w:cs="Arial"/>
          <w:sz w:val="24"/>
          <w:szCs w:val="24"/>
        </w:rPr>
        <w:t xml:space="preserve"> had not</w:t>
      </w:r>
      <w:r w:rsidRPr="00C3792D">
        <w:rPr>
          <w:rFonts w:ascii="Arial" w:hAnsi="Arial" w:cs="Arial"/>
          <w:sz w:val="24"/>
          <w:szCs w:val="24"/>
        </w:rPr>
        <w:t xml:space="preserve"> yet returned home. There was j</w:t>
      </w:r>
      <w:r w:rsidR="0092260B" w:rsidRPr="00C3792D">
        <w:rPr>
          <w:rFonts w:ascii="Arial" w:hAnsi="Arial" w:cs="Arial"/>
          <w:sz w:val="24"/>
          <w:szCs w:val="24"/>
        </w:rPr>
        <w:t xml:space="preserve">ust no room for collusion, as appellant </w:t>
      </w:r>
      <w:r w:rsidRPr="00C3792D">
        <w:rPr>
          <w:rFonts w:ascii="Arial" w:hAnsi="Arial" w:cs="Arial"/>
          <w:sz w:val="24"/>
          <w:szCs w:val="24"/>
        </w:rPr>
        <w:t xml:space="preserve">alleges. </w:t>
      </w:r>
    </w:p>
    <w:p w14:paraId="1DB21D3E" w14:textId="77777777" w:rsidR="008F3ABC" w:rsidRPr="00C3792D" w:rsidRDefault="008F3ABC" w:rsidP="008F3ABC">
      <w:pPr>
        <w:pStyle w:val="ListParagraph"/>
        <w:spacing w:line="480" w:lineRule="auto"/>
        <w:ind w:left="360"/>
        <w:jc w:val="both"/>
        <w:rPr>
          <w:rFonts w:ascii="Arial" w:hAnsi="Arial" w:cs="Arial"/>
          <w:sz w:val="24"/>
          <w:szCs w:val="24"/>
        </w:rPr>
      </w:pPr>
      <w:r w:rsidRPr="00C3792D">
        <w:rPr>
          <w:rFonts w:ascii="Arial" w:hAnsi="Arial" w:cs="Arial"/>
          <w:sz w:val="24"/>
          <w:szCs w:val="24"/>
        </w:rPr>
        <w:lastRenderedPageBreak/>
        <w:t xml:space="preserve"> </w:t>
      </w:r>
    </w:p>
    <w:p w14:paraId="55188CB1" w14:textId="77777777" w:rsidR="00EA3674" w:rsidRPr="00C3792D" w:rsidRDefault="008F3ABC" w:rsidP="004B4A2E">
      <w:pPr>
        <w:pStyle w:val="ListParagraph"/>
        <w:numPr>
          <w:ilvl w:val="0"/>
          <w:numId w:val="1"/>
        </w:numPr>
        <w:spacing w:line="480" w:lineRule="auto"/>
        <w:jc w:val="both"/>
        <w:rPr>
          <w:rFonts w:ascii="Arial" w:hAnsi="Arial" w:cs="Arial"/>
          <w:sz w:val="24"/>
          <w:szCs w:val="24"/>
        </w:rPr>
      </w:pPr>
      <w:r w:rsidRPr="00C3792D">
        <w:rPr>
          <w:rFonts w:ascii="Arial" w:hAnsi="Arial" w:cs="Arial"/>
          <w:sz w:val="24"/>
          <w:szCs w:val="24"/>
        </w:rPr>
        <w:t>The only ground of appeal against conviction is alleged</w:t>
      </w:r>
      <w:r w:rsidR="007A3D9B">
        <w:rPr>
          <w:rFonts w:ascii="Arial" w:hAnsi="Arial" w:cs="Arial"/>
          <w:sz w:val="24"/>
          <w:szCs w:val="24"/>
        </w:rPr>
        <w:t>ly</w:t>
      </w:r>
      <w:r w:rsidRPr="00C3792D">
        <w:rPr>
          <w:rFonts w:ascii="Arial" w:hAnsi="Arial" w:cs="Arial"/>
          <w:sz w:val="24"/>
          <w:szCs w:val="24"/>
        </w:rPr>
        <w:t xml:space="preserve"> non-compliance with section 164</w:t>
      </w:r>
      <w:r w:rsidR="00316AA0" w:rsidRPr="00C3792D">
        <w:rPr>
          <w:rFonts w:ascii="Arial" w:hAnsi="Arial" w:cs="Arial"/>
          <w:sz w:val="24"/>
          <w:szCs w:val="24"/>
        </w:rPr>
        <w:t xml:space="preserve"> CPA, which is also not true</w:t>
      </w:r>
      <w:r w:rsidR="00E31ABF" w:rsidRPr="00C3792D">
        <w:rPr>
          <w:rFonts w:ascii="Arial" w:hAnsi="Arial" w:cs="Arial"/>
          <w:sz w:val="24"/>
          <w:szCs w:val="24"/>
        </w:rPr>
        <w:t xml:space="preserve"> because the court complied</w:t>
      </w:r>
      <w:r w:rsidR="00316AA0" w:rsidRPr="00C3792D">
        <w:rPr>
          <w:rFonts w:ascii="Arial" w:hAnsi="Arial" w:cs="Arial"/>
          <w:sz w:val="24"/>
          <w:szCs w:val="24"/>
        </w:rPr>
        <w:t>. This is just an attempt at getting the complainant’s strong evidence eliminated based on a preliminary enquiry, ignoring how he testified during the trial. The hope is that if it is eliminated, then there is no eye witness, and the state remains with circumstantial evidence.</w:t>
      </w:r>
      <w:r w:rsidRPr="00C3792D">
        <w:rPr>
          <w:rFonts w:ascii="Arial" w:hAnsi="Arial" w:cs="Arial"/>
          <w:sz w:val="24"/>
          <w:szCs w:val="24"/>
        </w:rPr>
        <w:t xml:space="preserve"> </w:t>
      </w:r>
      <w:r w:rsidR="00A07F22" w:rsidRPr="00C3792D">
        <w:rPr>
          <w:rFonts w:ascii="Arial" w:hAnsi="Arial" w:cs="Arial"/>
          <w:sz w:val="24"/>
          <w:szCs w:val="24"/>
        </w:rPr>
        <w:t>It is my view that even if the evidence of the complainant were to be rejected for</w:t>
      </w:r>
      <w:r w:rsidR="00316AA0" w:rsidRPr="00C3792D">
        <w:rPr>
          <w:rFonts w:ascii="Arial" w:hAnsi="Arial" w:cs="Arial"/>
          <w:sz w:val="24"/>
          <w:szCs w:val="24"/>
        </w:rPr>
        <w:t xml:space="preserve"> non-compliance with section 164</w:t>
      </w:r>
      <w:r w:rsidR="00A07F22" w:rsidRPr="00C3792D">
        <w:rPr>
          <w:rFonts w:ascii="Arial" w:hAnsi="Arial" w:cs="Arial"/>
          <w:sz w:val="24"/>
          <w:szCs w:val="24"/>
        </w:rPr>
        <w:t xml:space="preserve">, as argued by appellant’s counsel, the </w:t>
      </w:r>
      <w:proofErr w:type="spellStart"/>
      <w:r w:rsidR="00A07F22" w:rsidRPr="00C3792D">
        <w:rPr>
          <w:rFonts w:ascii="Arial" w:hAnsi="Arial" w:cs="Arial"/>
          <w:sz w:val="24"/>
          <w:szCs w:val="24"/>
        </w:rPr>
        <w:t>uncontradicted</w:t>
      </w:r>
      <w:proofErr w:type="spellEnd"/>
      <w:r w:rsidR="00A07F22" w:rsidRPr="00C3792D">
        <w:rPr>
          <w:rFonts w:ascii="Arial" w:hAnsi="Arial" w:cs="Arial"/>
          <w:sz w:val="24"/>
          <w:szCs w:val="24"/>
        </w:rPr>
        <w:t xml:space="preserve"> evidence of </w:t>
      </w:r>
      <w:proofErr w:type="spellStart"/>
      <w:r w:rsidR="00A07F22" w:rsidRPr="00C3792D">
        <w:rPr>
          <w:rFonts w:ascii="Arial" w:hAnsi="Arial" w:cs="Arial"/>
          <w:sz w:val="24"/>
          <w:szCs w:val="24"/>
        </w:rPr>
        <w:t>Dr.</w:t>
      </w:r>
      <w:proofErr w:type="spellEnd"/>
      <w:r w:rsidR="00A07F22" w:rsidRPr="00C3792D">
        <w:rPr>
          <w:rFonts w:ascii="Arial" w:hAnsi="Arial" w:cs="Arial"/>
          <w:sz w:val="24"/>
          <w:szCs w:val="24"/>
        </w:rPr>
        <w:t xml:space="preserve"> </w:t>
      </w:r>
      <w:proofErr w:type="spellStart"/>
      <w:r w:rsidR="00A07F22" w:rsidRPr="00C3792D">
        <w:rPr>
          <w:rFonts w:ascii="Arial" w:hAnsi="Arial" w:cs="Arial"/>
          <w:sz w:val="24"/>
          <w:szCs w:val="24"/>
        </w:rPr>
        <w:t>Kashif</w:t>
      </w:r>
      <w:proofErr w:type="spellEnd"/>
      <w:r w:rsidR="00A07F22" w:rsidRPr="00C3792D">
        <w:rPr>
          <w:rFonts w:ascii="Arial" w:hAnsi="Arial" w:cs="Arial"/>
          <w:sz w:val="24"/>
          <w:szCs w:val="24"/>
        </w:rPr>
        <w:t xml:space="preserve"> </w:t>
      </w:r>
      <w:r w:rsidR="00316AA0" w:rsidRPr="00C3792D">
        <w:rPr>
          <w:rFonts w:ascii="Arial" w:hAnsi="Arial" w:cs="Arial"/>
          <w:sz w:val="24"/>
          <w:szCs w:val="24"/>
        </w:rPr>
        <w:t>together with</w:t>
      </w:r>
      <w:r w:rsidR="00A07F22" w:rsidRPr="00C3792D">
        <w:rPr>
          <w:rFonts w:ascii="Arial" w:hAnsi="Arial" w:cs="Arial"/>
          <w:sz w:val="24"/>
          <w:szCs w:val="24"/>
        </w:rPr>
        <w:t xml:space="preserve"> the evidence of </w:t>
      </w:r>
      <w:proofErr w:type="spellStart"/>
      <w:r w:rsidR="00753382" w:rsidRPr="00C3792D">
        <w:rPr>
          <w:rFonts w:ascii="Arial" w:hAnsi="Arial" w:cs="Arial"/>
          <w:sz w:val="24"/>
          <w:szCs w:val="24"/>
        </w:rPr>
        <w:t>Rampai</w:t>
      </w:r>
      <w:proofErr w:type="spellEnd"/>
      <w:r w:rsidR="00A07F22" w:rsidRPr="00C3792D">
        <w:rPr>
          <w:rFonts w:ascii="Arial" w:hAnsi="Arial" w:cs="Arial"/>
          <w:sz w:val="24"/>
          <w:szCs w:val="24"/>
        </w:rPr>
        <w:t xml:space="preserve"> who heard the cry of the complainant, and decided to go wake up the parents in the middle of the night, thereby calling a police </w:t>
      </w:r>
      <w:proofErr w:type="spellStart"/>
      <w:r w:rsidR="00A07F22" w:rsidRPr="00C3792D">
        <w:rPr>
          <w:rFonts w:ascii="Arial" w:hAnsi="Arial" w:cs="Arial"/>
          <w:sz w:val="24"/>
          <w:szCs w:val="24"/>
        </w:rPr>
        <w:t>bakkie</w:t>
      </w:r>
      <w:proofErr w:type="spellEnd"/>
      <w:r w:rsidR="00A07F22" w:rsidRPr="00C3792D">
        <w:rPr>
          <w:rFonts w:ascii="Arial" w:hAnsi="Arial" w:cs="Arial"/>
          <w:sz w:val="24"/>
          <w:szCs w:val="24"/>
        </w:rPr>
        <w:t xml:space="preserve"> patrolling to enter the plot to examine his suspicion</w:t>
      </w:r>
      <w:r w:rsidR="00316AA0" w:rsidRPr="00C3792D">
        <w:rPr>
          <w:rFonts w:ascii="Arial" w:hAnsi="Arial" w:cs="Arial"/>
          <w:sz w:val="24"/>
          <w:szCs w:val="24"/>
        </w:rPr>
        <w:t>, can only lead to one inference</w:t>
      </w:r>
      <w:r w:rsidR="007B5E41" w:rsidRPr="00C3792D">
        <w:rPr>
          <w:rFonts w:ascii="Arial" w:hAnsi="Arial" w:cs="Arial"/>
          <w:sz w:val="24"/>
          <w:szCs w:val="24"/>
        </w:rPr>
        <w:t xml:space="preserve"> that appellant who was found with the child is the perpetrator</w:t>
      </w:r>
      <w:r w:rsidR="00A07F22" w:rsidRPr="00C3792D">
        <w:rPr>
          <w:rFonts w:ascii="Arial" w:hAnsi="Arial" w:cs="Arial"/>
          <w:sz w:val="24"/>
          <w:szCs w:val="24"/>
        </w:rPr>
        <w:t>. Indeed, the suspicion was found to be true after the door was opened by force</w:t>
      </w:r>
      <w:r w:rsidR="0092260B" w:rsidRPr="00C3792D">
        <w:rPr>
          <w:rFonts w:ascii="Arial" w:hAnsi="Arial" w:cs="Arial"/>
          <w:sz w:val="24"/>
          <w:szCs w:val="24"/>
        </w:rPr>
        <w:t xml:space="preserve"> by the police</w:t>
      </w:r>
      <w:r w:rsidR="00A07F22" w:rsidRPr="00C3792D">
        <w:rPr>
          <w:rFonts w:ascii="Arial" w:hAnsi="Arial" w:cs="Arial"/>
          <w:sz w:val="24"/>
          <w:szCs w:val="24"/>
        </w:rPr>
        <w:t xml:space="preserve">. </w:t>
      </w:r>
    </w:p>
    <w:p w14:paraId="29DA52D8" w14:textId="77777777" w:rsidR="00EA3674" w:rsidRPr="00C3792D" w:rsidRDefault="00EA3674" w:rsidP="00EA3674">
      <w:pPr>
        <w:pStyle w:val="ListParagraph"/>
        <w:rPr>
          <w:rFonts w:ascii="Arial" w:hAnsi="Arial" w:cs="Arial"/>
          <w:sz w:val="24"/>
          <w:szCs w:val="24"/>
        </w:rPr>
      </w:pPr>
    </w:p>
    <w:p w14:paraId="37A8FB91" w14:textId="77777777" w:rsidR="00A07F22" w:rsidRPr="00C3792D" w:rsidRDefault="00A07F22" w:rsidP="004B4A2E">
      <w:pPr>
        <w:pStyle w:val="ListParagraph"/>
        <w:numPr>
          <w:ilvl w:val="0"/>
          <w:numId w:val="1"/>
        </w:numPr>
        <w:spacing w:line="480" w:lineRule="auto"/>
        <w:jc w:val="both"/>
        <w:rPr>
          <w:rFonts w:ascii="Arial" w:hAnsi="Arial" w:cs="Arial"/>
          <w:sz w:val="24"/>
          <w:szCs w:val="24"/>
        </w:rPr>
      </w:pPr>
      <w:r w:rsidRPr="00C3792D">
        <w:rPr>
          <w:rFonts w:ascii="Arial" w:hAnsi="Arial" w:cs="Arial"/>
          <w:sz w:val="24"/>
          <w:szCs w:val="24"/>
        </w:rPr>
        <w:t>On the other hand,</w:t>
      </w:r>
      <w:r w:rsidR="00EA3674" w:rsidRPr="00C3792D">
        <w:rPr>
          <w:rFonts w:ascii="Arial" w:hAnsi="Arial" w:cs="Arial"/>
          <w:sz w:val="24"/>
          <w:szCs w:val="24"/>
        </w:rPr>
        <w:t xml:space="preserve"> appellant</w:t>
      </w:r>
      <w:r w:rsidRPr="00C3792D">
        <w:rPr>
          <w:rFonts w:ascii="Arial" w:hAnsi="Arial" w:cs="Arial"/>
          <w:sz w:val="24"/>
          <w:szCs w:val="24"/>
        </w:rPr>
        <w:t xml:space="preserve"> does not deny the child had injuries on his anus, but he does not know how it came about. </w:t>
      </w:r>
      <w:r w:rsidR="007B5E41" w:rsidRPr="00C3792D">
        <w:rPr>
          <w:rFonts w:ascii="Arial" w:hAnsi="Arial" w:cs="Arial"/>
          <w:sz w:val="24"/>
          <w:szCs w:val="24"/>
        </w:rPr>
        <w:t xml:space="preserve">Applying </w:t>
      </w:r>
      <w:r w:rsidR="007B5E41" w:rsidRPr="00C3792D">
        <w:rPr>
          <w:rFonts w:ascii="Arial" w:hAnsi="Arial" w:cs="Arial"/>
          <w:i/>
          <w:iCs/>
          <w:sz w:val="24"/>
          <w:szCs w:val="24"/>
        </w:rPr>
        <w:t xml:space="preserve">R v </w:t>
      </w:r>
      <w:proofErr w:type="spellStart"/>
      <w:r w:rsidR="007B5E41" w:rsidRPr="00C3792D">
        <w:rPr>
          <w:rFonts w:ascii="Arial" w:hAnsi="Arial" w:cs="Arial"/>
          <w:i/>
          <w:iCs/>
          <w:sz w:val="24"/>
          <w:szCs w:val="24"/>
        </w:rPr>
        <w:t>Blom</w:t>
      </w:r>
      <w:proofErr w:type="spellEnd"/>
      <w:r w:rsidR="007B5E41" w:rsidRPr="00C3792D">
        <w:rPr>
          <w:rFonts w:ascii="Arial" w:hAnsi="Arial" w:cs="Arial"/>
          <w:i/>
          <w:iCs/>
          <w:sz w:val="24"/>
          <w:szCs w:val="24"/>
        </w:rPr>
        <w:t xml:space="preserve"> </w:t>
      </w:r>
      <w:r w:rsidR="007B5E41" w:rsidRPr="00C3792D">
        <w:rPr>
          <w:rFonts w:ascii="Arial" w:hAnsi="Arial" w:cs="Arial"/>
          <w:sz w:val="24"/>
          <w:szCs w:val="24"/>
        </w:rPr>
        <w:t>1939 AD 188 at 202-3, firstly, that the inference sought to be drawn must be consistent with all the proven facts</w:t>
      </w:r>
      <w:r w:rsidR="00E31ABF" w:rsidRPr="00C3792D">
        <w:rPr>
          <w:rFonts w:ascii="Arial" w:hAnsi="Arial" w:cs="Arial"/>
          <w:sz w:val="24"/>
          <w:szCs w:val="24"/>
        </w:rPr>
        <w:t>, and it is so. S</w:t>
      </w:r>
      <w:r w:rsidR="007B5E41" w:rsidRPr="00C3792D">
        <w:rPr>
          <w:rFonts w:ascii="Arial" w:hAnsi="Arial" w:cs="Arial"/>
          <w:sz w:val="24"/>
          <w:szCs w:val="24"/>
        </w:rPr>
        <w:t>econdly, the proved facts should be such ‘that they exclude every reasonable inference from them sa</w:t>
      </w:r>
      <w:r w:rsidR="00E31ABF" w:rsidRPr="00C3792D">
        <w:rPr>
          <w:rFonts w:ascii="Arial" w:hAnsi="Arial" w:cs="Arial"/>
          <w:sz w:val="24"/>
          <w:szCs w:val="24"/>
        </w:rPr>
        <w:t>ve the one sought to be drawn’, and indeed t</w:t>
      </w:r>
      <w:r w:rsidRPr="00C3792D">
        <w:rPr>
          <w:rFonts w:ascii="Arial" w:hAnsi="Arial" w:cs="Arial"/>
          <w:sz w:val="24"/>
          <w:szCs w:val="24"/>
        </w:rPr>
        <w:t xml:space="preserve">he only reasonable inference </w:t>
      </w:r>
      <w:r w:rsidR="00E31ABF" w:rsidRPr="00C3792D">
        <w:rPr>
          <w:rFonts w:ascii="Arial" w:hAnsi="Arial" w:cs="Arial"/>
          <w:sz w:val="24"/>
          <w:szCs w:val="24"/>
        </w:rPr>
        <w:t>that can be draw</w:t>
      </w:r>
      <w:r w:rsidR="00EA3674" w:rsidRPr="00C3792D">
        <w:rPr>
          <w:rFonts w:ascii="Arial" w:hAnsi="Arial" w:cs="Arial"/>
          <w:sz w:val="24"/>
          <w:szCs w:val="24"/>
        </w:rPr>
        <w:t>n is that appellant</w:t>
      </w:r>
      <w:r w:rsidR="00E31ABF" w:rsidRPr="00C3792D">
        <w:rPr>
          <w:rFonts w:ascii="Arial" w:hAnsi="Arial" w:cs="Arial"/>
          <w:sz w:val="24"/>
          <w:szCs w:val="24"/>
        </w:rPr>
        <w:t xml:space="preserve"> is </w:t>
      </w:r>
      <w:r w:rsidRPr="00C3792D">
        <w:rPr>
          <w:rFonts w:ascii="Arial" w:hAnsi="Arial" w:cs="Arial"/>
          <w:sz w:val="24"/>
          <w:szCs w:val="24"/>
        </w:rPr>
        <w:t>the perpetrator. If the child had been abused by someone else before they went to sleep</w:t>
      </w:r>
      <w:r w:rsidR="00E31ABF" w:rsidRPr="00C3792D">
        <w:rPr>
          <w:rFonts w:ascii="Arial" w:hAnsi="Arial" w:cs="Arial"/>
          <w:sz w:val="24"/>
          <w:szCs w:val="24"/>
        </w:rPr>
        <w:t>,</w:t>
      </w:r>
      <w:r w:rsidRPr="00C3792D">
        <w:rPr>
          <w:rFonts w:ascii="Arial" w:hAnsi="Arial" w:cs="Arial"/>
          <w:sz w:val="24"/>
          <w:szCs w:val="24"/>
        </w:rPr>
        <w:t xml:space="preserve"> </w:t>
      </w:r>
      <w:r w:rsidR="007B5E41" w:rsidRPr="00C3792D">
        <w:rPr>
          <w:rFonts w:ascii="Arial" w:hAnsi="Arial" w:cs="Arial"/>
          <w:sz w:val="24"/>
          <w:szCs w:val="24"/>
        </w:rPr>
        <w:t xml:space="preserve">appellant would have </w:t>
      </w:r>
      <w:r w:rsidRPr="00C3792D">
        <w:rPr>
          <w:rFonts w:ascii="Arial" w:hAnsi="Arial" w:cs="Arial"/>
          <w:sz w:val="24"/>
          <w:szCs w:val="24"/>
        </w:rPr>
        <w:t xml:space="preserve">been the first </w:t>
      </w:r>
      <w:r w:rsidR="009A2698">
        <w:rPr>
          <w:rFonts w:ascii="Arial" w:hAnsi="Arial" w:cs="Arial"/>
          <w:sz w:val="24"/>
          <w:szCs w:val="24"/>
        </w:rPr>
        <w:t xml:space="preserve">to </w:t>
      </w:r>
      <w:r w:rsidRPr="00C3792D">
        <w:rPr>
          <w:rFonts w:ascii="Arial" w:hAnsi="Arial" w:cs="Arial"/>
          <w:sz w:val="24"/>
          <w:szCs w:val="24"/>
        </w:rPr>
        <w:t>report</w:t>
      </w:r>
      <w:r w:rsidR="007A3D9B">
        <w:rPr>
          <w:rFonts w:ascii="Arial" w:hAnsi="Arial" w:cs="Arial"/>
          <w:sz w:val="24"/>
          <w:szCs w:val="24"/>
        </w:rPr>
        <w:t xml:space="preserve"> it</w:t>
      </w:r>
      <w:r w:rsidRPr="00C3792D">
        <w:rPr>
          <w:rFonts w:ascii="Arial" w:hAnsi="Arial" w:cs="Arial"/>
          <w:sz w:val="24"/>
          <w:szCs w:val="24"/>
        </w:rPr>
        <w:t>.</w:t>
      </w:r>
      <w:r w:rsidR="00E31ABF" w:rsidRPr="00C3792D">
        <w:rPr>
          <w:rFonts w:ascii="Arial" w:hAnsi="Arial" w:cs="Arial"/>
          <w:sz w:val="24"/>
          <w:szCs w:val="24"/>
        </w:rPr>
        <w:t xml:space="preserve"> The complainant’s father would also have also known before he left the fire to sleep.</w:t>
      </w:r>
      <w:r w:rsidRPr="00C3792D">
        <w:rPr>
          <w:rFonts w:ascii="Arial" w:hAnsi="Arial" w:cs="Arial"/>
          <w:sz w:val="24"/>
          <w:szCs w:val="24"/>
        </w:rPr>
        <w:t xml:space="preserve"> </w:t>
      </w:r>
    </w:p>
    <w:p w14:paraId="68C7AE02" w14:textId="77777777" w:rsidR="008E240A" w:rsidRPr="00C3792D" w:rsidRDefault="008E240A" w:rsidP="008E240A">
      <w:pPr>
        <w:pStyle w:val="ListParagraph"/>
        <w:spacing w:line="480" w:lineRule="auto"/>
        <w:ind w:left="360"/>
        <w:jc w:val="both"/>
        <w:rPr>
          <w:rFonts w:ascii="Arial" w:hAnsi="Arial" w:cs="Arial"/>
          <w:i/>
          <w:sz w:val="24"/>
          <w:szCs w:val="24"/>
        </w:rPr>
      </w:pPr>
    </w:p>
    <w:p w14:paraId="4F6B75BE" w14:textId="77777777" w:rsidR="000D025D" w:rsidRDefault="008E240A" w:rsidP="00FB537D">
      <w:pPr>
        <w:pStyle w:val="ListParagraph"/>
        <w:numPr>
          <w:ilvl w:val="0"/>
          <w:numId w:val="1"/>
        </w:numPr>
        <w:spacing w:line="480" w:lineRule="auto"/>
        <w:jc w:val="both"/>
        <w:rPr>
          <w:rFonts w:ascii="Arial" w:hAnsi="Arial" w:cs="Arial"/>
          <w:sz w:val="24"/>
          <w:szCs w:val="24"/>
        </w:rPr>
      </w:pPr>
      <w:r w:rsidRPr="00C3792D">
        <w:rPr>
          <w:rFonts w:ascii="Arial" w:hAnsi="Arial" w:cs="Arial"/>
          <w:sz w:val="24"/>
          <w:szCs w:val="24"/>
        </w:rPr>
        <w:lastRenderedPageBreak/>
        <w:t>It is trite that, all things being normal, in terms of section 164 CPA a preliminary enquiry has to be conducted by the presiding judicial officer prior to hearing the evidence</w:t>
      </w:r>
      <w:r w:rsidR="00607405" w:rsidRPr="00C3792D">
        <w:rPr>
          <w:rFonts w:ascii="Arial" w:hAnsi="Arial" w:cs="Arial"/>
          <w:sz w:val="24"/>
          <w:szCs w:val="24"/>
        </w:rPr>
        <w:t xml:space="preserve"> of a witness who does not understand the</w:t>
      </w:r>
      <w:r w:rsidR="00607405" w:rsidRPr="00C3792D">
        <w:rPr>
          <w:rFonts w:ascii="Arial" w:hAnsi="Arial" w:cs="Arial"/>
          <w:i/>
          <w:sz w:val="24"/>
          <w:szCs w:val="24"/>
        </w:rPr>
        <w:t xml:space="preserve"> </w:t>
      </w:r>
      <w:r w:rsidR="00607405" w:rsidRPr="00C3792D">
        <w:rPr>
          <w:rFonts w:ascii="Arial" w:hAnsi="Arial" w:cs="Arial"/>
          <w:sz w:val="24"/>
          <w:szCs w:val="24"/>
        </w:rPr>
        <w:t>nature and import of the oath or the affirmation, whether</w:t>
      </w:r>
      <w:r w:rsidR="00607405" w:rsidRPr="00C3792D">
        <w:rPr>
          <w:rFonts w:ascii="Arial" w:hAnsi="Arial" w:cs="Arial"/>
          <w:i/>
          <w:sz w:val="24"/>
          <w:szCs w:val="24"/>
        </w:rPr>
        <w:t xml:space="preserve"> </w:t>
      </w:r>
      <w:r w:rsidR="00607405" w:rsidRPr="00C3792D">
        <w:rPr>
          <w:rFonts w:ascii="Arial" w:hAnsi="Arial" w:cs="Arial"/>
          <w:sz w:val="24"/>
          <w:szCs w:val="24"/>
        </w:rPr>
        <w:t>from ignorance arising from youth, defective education or other cause</w:t>
      </w:r>
      <w:r w:rsidR="00607405" w:rsidRPr="00C3792D">
        <w:rPr>
          <w:rFonts w:ascii="Arial" w:hAnsi="Arial" w:cs="Arial"/>
          <w:i/>
          <w:sz w:val="24"/>
          <w:szCs w:val="24"/>
        </w:rPr>
        <w:t xml:space="preserve"> </w:t>
      </w:r>
      <w:r w:rsidR="00607405" w:rsidRPr="00C3792D">
        <w:rPr>
          <w:rFonts w:ascii="Arial" w:hAnsi="Arial" w:cs="Arial"/>
          <w:sz w:val="24"/>
          <w:szCs w:val="24"/>
        </w:rPr>
        <w:t xml:space="preserve">for the court to hold an enquiry to determine if the witness knows the difference between truth and lies, prior to being </w:t>
      </w:r>
      <w:r w:rsidR="007F6C37" w:rsidRPr="00C3792D">
        <w:rPr>
          <w:rFonts w:ascii="Arial" w:hAnsi="Arial" w:cs="Arial"/>
          <w:sz w:val="24"/>
          <w:szCs w:val="24"/>
        </w:rPr>
        <w:t>admonis</w:t>
      </w:r>
      <w:r w:rsidR="00607405" w:rsidRPr="00C3792D">
        <w:rPr>
          <w:rFonts w:ascii="Arial" w:hAnsi="Arial" w:cs="Arial"/>
          <w:sz w:val="24"/>
          <w:szCs w:val="24"/>
        </w:rPr>
        <w:t>hed to speak the truth before court.</w:t>
      </w:r>
      <w:r w:rsidR="00607405" w:rsidRPr="00C3792D">
        <w:rPr>
          <w:rStyle w:val="FootnoteReference"/>
          <w:rFonts w:ascii="Arial" w:hAnsi="Arial" w:cs="Arial"/>
          <w:sz w:val="24"/>
          <w:szCs w:val="24"/>
        </w:rPr>
        <w:footnoteReference w:id="7"/>
      </w:r>
      <w:r w:rsidR="00FB537D" w:rsidRPr="00C3792D">
        <w:rPr>
          <w:rFonts w:ascii="Arial" w:hAnsi="Arial" w:cs="Arial"/>
          <w:sz w:val="24"/>
          <w:szCs w:val="24"/>
        </w:rPr>
        <w:t xml:space="preserve"> </w:t>
      </w:r>
      <w:r w:rsidR="00E31ABF" w:rsidRPr="00C3792D">
        <w:rPr>
          <w:rFonts w:ascii="Arial" w:hAnsi="Arial" w:cs="Arial"/>
          <w:sz w:val="24"/>
          <w:szCs w:val="24"/>
        </w:rPr>
        <w:t xml:space="preserve">It is my argument that in this case the learned magistrate complied with the provisions of section 164 CPA, read together with section 164A CPA. </w:t>
      </w:r>
    </w:p>
    <w:p w14:paraId="6890CCE4" w14:textId="77777777" w:rsidR="000D025D" w:rsidRPr="000D025D" w:rsidRDefault="000D025D" w:rsidP="000D025D">
      <w:pPr>
        <w:pStyle w:val="ListParagraph"/>
        <w:rPr>
          <w:rFonts w:ascii="Arial" w:hAnsi="Arial" w:cs="Arial"/>
          <w:sz w:val="24"/>
          <w:szCs w:val="24"/>
        </w:rPr>
      </w:pPr>
    </w:p>
    <w:p w14:paraId="161142FD" w14:textId="77777777" w:rsidR="00D45AA0" w:rsidRPr="00C3792D" w:rsidRDefault="00E31ABF" w:rsidP="00FB537D">
      <w:pPr>
        <w:pStyle w:val="ListParagraph"/>
        <w:numPr>
          <w:ilvl w:val="0"/>
          <w:numId w:val="1"/>
        </w:numPr>
        <w:spacing w:line="480" w:lineRule="auto"/>
        <w:jc w:val="both"/>
        <w:rPr>
          <w:rFonts w:ascii="Arial" w:hAnsi="Arial" w:cs="Arial"/>
          <w:sz w:val="24"/>
          <w:szCs w:val="24"/>
        </w:rPr>
      </w:pPr>
      <w:r w:rsidRPr="00C3792D">
        <w:rPr>
          <w:rFonts w:ascii="Arial" w:hAnsi="Arial" w:cs="Arial"/>
          <w:sz w:val="24"/>
          <w:szCs w:val="24"/>
        </w:rPr>
        <w:t xml:space="preserve">Even if there had not been full compliance, which I disagree with, </w:t>
      </w:r>
      <w:r w:rsidR="00FB537D" w:rsidRPr="00C3792D">
        <w:rPr>
          <w:rFonts w:ascii="Arial" w:hAnsi="Arial" w:cs="Arial"/>
          <w:sz w:val="24"/>
          <w:szCs w:val="24"/>
        </w:rPr>
        <w:t>e</w:t>
      </w:r>
      <w:r w:rsidR="00690D5E" w:rsidRPr="00C3792D">
        <w:rPr>
          <w:rFonts w:ascii="Arial" w:hAnsi="Arial" w:cs="Arial"/>
          <w:sz w:val="24"/>
          <w:szCs w:val="24"/>
        </w:rPr>
        <w:t>very matter has to be treated and handled according to its own merits</w:t>
      </w:r>
      <w:r w:rsidR="00444AA2" w:rsidRPr="00C3792D">
        <w:rPr>
          <w:rFonts w:ascii="Arial" w:hAnsi="Arial" w:cs="Arial"/>
          <w:sz w:val="24"/>
          <w:szCs w:val="24"/>
        </w:rPr>
        <w:t xml:space="preserve">. </w:t>
      </w:r>
      <w:r w:rsidR="000D025D">
        <w:rPr>
          <w:rFonts w:ascii="Arial" w:hAnsi="Arial" w:cs="Arial"/>
          <w:sz w:val="24"/>
          <w:szCs w:val="24"/>
        </w:rPr>
        <w:t>In this case, the witness testified well and despite cross-examination he answered all questions with consistency without contradicting himself. Can his substantive evidence be rejected simply because the preliminary enquiry was not done effectively, or at all?</w:t>
      </w:r>
    </w:p>
    <w:p w14:paraId="2F439690" w14:textId="77777777" w:rsidR="00906A61" w:rsidRPr="00C3792D" w:rsidRDefault="00906A61" w:rsidP="003E2EDC">
      <w:bookmarkStart w:id="6" w:name="0-0-0-194129"/>
      <w:bookmarkEnd w:id="6"/>
    </w:p>
    <w:p w14:paraId="4EF3E40F" w14:textId="77777777" w:rsidR="00522316" w:rsidRPr="00C3792D" w:rsidRDefault="00522316" w:rsidP="00B300F6">
      <w:pPr>
        <w:ind w:firstLine="360"/>
        <w:rPr>
          <w:rFonts w:ascii="Arial" w:hAnsi="Arial" w:cs="Arial"/>
          <w:b/>
          <w:sz w:val="24"/>
          <w:szCs w:val="24"/>
        </w:rPr>
      </w:pPr>
      <w:r w:rsidRPr="00C3792D">
        <w:rPr>
          <w:rFonts w:ascii="Arial" w:hAnsi="Arial" w:cs="Arial"/>
          <w:b/>
          <w:sz w:val="24"/>
          <w:szCs w:val="24"/>
        </w:rPr>
        <w:t xml:space="preserve">Learning difficulties </w:t>
      </w:r>
      <w:r w:rsidR="00223975" w:rsidRPr="00C3792D">
        <w:rPr>
          <w:rFonts w:ascii="Arial" w:hAnsi="Arial" w:cs="Arial"/>
          <w:b/>
          <w:sz w:val="24"/>
          <w:szCs w:val="24"/>
        </w:rPr>
        <w:t>(</w:t>
      </w:r>
      <w:r w:rsidRPr="00C3792D">
        <w:rPr>
          <w:rFonts w:ascii="Arial" w:hAnsi="Arial" w:cs="Arial"/>
          <w:b/>
          <w:sz w:val="24"/>
          <w:szCs w:val="24"/>
        </w:rPr>
        <w:t>psychosocial disability</w:t>
      </w:r>
      <w:r w:rsidR="00223975" w:rsidRPr="00C3792D">
        <w:rPr>
          <w:rFonts w:ascii="Arial" w:hAnsi="Arial" w:cs="Arial"/>
          <w:b/>
          <w:sz w:val="24"/>
          <w:szCs w:val="24"/>
        </w:rPr>
        <w:t>)</w:t>
      </w:r>
      <w:r w:rsidRPr="00C3792D">
        <w:rPr>
          <w:rFonts w:ascii="Arial" w:hAnsi="Arial" w:cs="Arial"/>
          <w:b/>
          <w:sz w:val="24"/>
          <w:szCs w:val="24"/>
        </w:rPr>
        <w:t>:</w:t>
      </w:r>
    </w:p>
    <w:p w14:paraId="7D80F3CE" w14:textId="77777777" w:rsidR="00906A61" w:rsidRPr="00C3792D" w:rsidRDefault="00906A61" w:rsidP="0081715C">
      <w:pPr>
        <w:pStyle w:val="ListParagraph"/>
        <w:numPr>
          <w:ilvl w:val="0"/>
          <w:numId w:val="1"/>
        </w:numPr>
        <w:spacing w:line="480" w:lineRule="auto"/>
        <w:jc w:val="both"/>
        <w:rPr>
          <w:rFonts w:ascii="Arial" w:hAnsi="Arial" w:cs="Arial"/>
          <w:sz w:val="24"/>
          <w:szCs w:val="24"/>
        </w:rPr>
      </w:pPr>
      <w:r w:rsidRPr="00C3792D">
        <w:rPr>
          <w:rFonts w:ascii="Arial" w:hAnsi="Arial" w:cs="Arial"/>
          <w:sz w:val="24"/>
          <w:szCs w:val="24"/>
        </w:rPr>
        <w:t xml:space="preserve">It important to note that </w:t>
      </w:r>
      <w:r w:rsidR="00522316" w:rsidRPr="00C3792D">
        <w:rPr>
          <w:rFonts w:ascii="Arial" w:hAnsi="Arial" w:cs="Arial"/>
          <w:sz w:val="24"/>
          <w:szCs w:val="24"/>
        </w:rPr>
        <w:t>according to the report of</w:t>
      </w:r>
      <w:r w:rsidR="00E664FD" w:rsidRPr="00C3792D">
        <w:rPr>
          <w:rFonts w:ascii="Arial" w:hAnsi="Arial" w:cs="Arial"/>
          <w:sz w:val="24"/>
          <w:szCs w:val="24"/>
        </w:rPr>
        <w:t xml:space="preserve"> clinical psychologist</w:t>
      </w:r>
      <w:r w:rsidR="00522316" w:rsidRPr="00C3792D">
        <w:rPr>
          <w:rFonts w:ascii="Arial" w:hAnsi="Arial" w:cs="Arial"/>
          <w:sz w:val="24"/>
          <w:szCs w:val="24"/>
        </w:rPr>
        <w:t xml:space="preserve"> Ms. Karen Bradford, </w:t>
      </w:r>
      <w:r w:rsidRPr="00C3792D">
        <w:rPr>
          <w:rFonts w:ascii="Arial" w:hAnsi="Arial" w:cs="Arial"/>
          <w:sz w:val="24"/>
          <w:szCs w:val="24"/>
        </w:rPr>
        <w:t xml:space="preserve">the complainant lives with </w:t>
      </w:r>
      <w:r w:rsidR="00C0239A" w:rsidRPr="00C3792D">
        <w:rPr>
          <w:rFonts w:ascii="Arial" w:hAnsi="Arial" w:cs="Arial"/>
          <w:sz w:val="24"/>
          <w:szCs w:val="24"/>
        </w:rPr>
        <w:t>‘</w:t>
      </w:r>
      <w:r w:rsidRPr="00C3792D">
        <w:rPr>
          <w:rFonts w:ascii="Arial" w:hAnsi="Arial" w:cs="Arial"/>
          <w:b/>
          <w:sz w:val="24"/>
          <w:szCs w:val="24"/>
        </w:rPr>
        <w:t>learning difficulties</w:t>
      </w:r>
      <w:r w:rsidR="00C0239A" w:rsidRPr="00C3792D">
        <w:rPr>
          <w:rFonts w:ascii="Arial" w:hAnsi="Arial" w:cs="Arial"/>
          <w:b/>
          <w:sz w:val="24"/>
          <w:szCs w:val="24"/>
        </w:rPr>
        <w:t>’</w:t>
      </w:r>
      <w:r w:rsidRPr="00C3792D">
        <w:rPr>
          <w:rFonts w:ascii="Arial" w:hAnsi="Arial" w:cs="Arial"/>
          <w:b/>
          <w:sz w:val="24"/>
          <w:szCs w:val="24"/>
        </w:rPr>
        <w:t>,</w:t>
      </w:r>
      <w:r w:rsidRPr="00C3792D">
        <w:rPr>
          <w:rFonts w:ascii="Arial" w:hAnsi="Arial" w:cs="Arial"/>
          <w:sz w:val="24"/>
          <w:szCs w:val="24"/>
        </w:rPr>
        <w:t xml:space="preserve"> </w:t>
      </w:r>
      <w:r w:rsidR="00522316" w:rsidRPr="00C3792D">
        <w:rPr>
          <w:rFonts w:ascii="Arial" w:hAnsi="Arial" w:cs="Arial"/>
          <w:sz w:val="24"/>
          <w:szCs w:val="24"/>
        </w:rPr>
        <w:t xml:space="preserve">which is not necessarily an </w:t>
      </w:r>
      <w:r w:rsidR="0059482A" w:rsidRPr="00C3792D">
        <w:rPr>
          <w:rFonts w:ascii="Arial" w:hAnsi="Arial" w:cs="Arial"/>
          <w:sz w:val="24"/>
          <w:szCs w:val="24"/>
        </w:rPr>
        <w:t>intellectual disability, b</w:t>
      </w:r>
      <w:r w:rsidR="00223975" w:rsidRPr="00C3792D">
        <w:rPr>
          <w:rFonts w:ascii="Arial" w:hAnsi="Arial" w:cs="Arial"/>
          <w:sz w:val="24"/>
          <w:szCs w:val="24"/>
        </w:rPr>
        <w:t xml:space="preserve">ut a psychosocial disability, or </w:t>
      </w:r>
      <w:r w:rsidR="00E664FD" w:rsidRPr="00C3792D">
        <w:rPr>
          <w:rFonts w:ascii="Arial" w:hAnsi="Arial" w:cs="Arial"/>
          <w:sz w:val="24"/>
          <w:szCs w:val="24"/>
        </w:rPr>
        <w:t>what may be attributable to</w:t>
      </w:r>
      <w:r w:rsidR="00223975" w:rsidRPr="00C3792D">
        <w:rPr>
          <w:rFonts w:ascii="Arial" w:hAnsi="Arial" w:cs="Arial"/>
          <w:sz w:val="24"/>
          <w:szCs w:val="24"/>
        </w:rPr>
        <w:t xml:space="preserve"> one</w:t>
      </w:r>
      <w:r w:rsidR="00E664FD" w:rsidRPr="00C3792D">
        <w:rPr>
          <w:rFonts w:ascii="Arial" w:hAnsi="Arial" w:cs="Arial"/>
          <w:sz w:val="24"/>
          <w:szCs w:val="24"/>
        </w:rPr>
        <w:t>. I</w:t>
      </w:r>
      <w:r w:rsidR="0059482A" w:rsidRPr="00C3792D">
        <w:rPr>
          <w:rFonts w:ascii="Arial" w:hAnsi="Arial" w:cs="Arial"/>
          <w:sz w:val="24"/>
          <w:szCs w:val="24"/>
        </w:rPr>
        <w:t xml:space="preserve"> therefore</w:t>
      </w:r>
      <w:r w:rsidR="00E664FD" w:rsidRPr="00C3792D">
        <w:rPr>
          <w:rFonts w:ascii="Arial" w:hAnsi="Arial" w:cs="Arial"/>
          <w:sz w:val="24"/>
          <w:szCs w:val="24"/>
        </w:rPr>
        <w:t xml:space="preserve"> deem it necessary to look at section 194</w:t>
      </w:r>
      <w:r w:rsidR="0059482A" w:rsidRPr="00C3792D">
        <w:rPr>
          <w:rFonts w:ascii="Arial" w:hAnsi="Arial" w:cs="Arial"/>
          <w:sz w:val="24"/>
          <w:szCs w:val="24"/>
        </w:rPr>
        <w:t xml:space="preserve"> CPA as read together with section 164 and 165 CPA.</w:t>
      </w:r>
    </w:p>
    <w:p w14:paraId="5716164D" w14:textId="77777777" w:rsidR="008669AA" w:rsidRPr="00C3792D" w:rsidRDefault="008669AA" w:rsidP="008669AA">
      <w:pPr>
        <w:pStyle w:val="ListParagraph"/>
        <w:rPr>
          <w:rFonts w:ascii="Arial" w:hAnsi="Arial" w:cs="Arial"/>
          <w:sz w:val="24"/>
          <w:szCs w:val="24"/>
        </w:rPr>
      </w:pPr>
    </w:p>
    <w:p w14:paraId="05627A8B" w14:textId="77777777" w:rsidR="000D1068" w:rsidRPr="00C3792D" w:rsidRDefault="005C509A" w:rsidP="000D1068">
      <w:pPr>
        <w:pStyle w:val="ListParagraph"/>
        <w:widowControl w:val="0"/>
        <w:numPr>
          <w:ilvl w:val="0"/>
          <w:numId w:val="1"/>
        </w:numPr>
        <w:tabs>
          <w:tab w:val="left" w:pos="1409"/>
        </w:tabs>
        <w:kinsoku w:val="0"/>
        <w:overflowPunct w:val="0"/>
        <w:autoSpaceDE w:val="0"/>
        <w:autoSpaceDN w:val="0"/>
        <w:adjustRightInd w:val="0"/>
        <w:spacing w:before="2" w:after="0" w:line="360" w:lineRule="auto"/>
        <w:ind w:right="1264"/>
        <w:contextualSpacing w:val="0"/>
        <w:rPr>
          <w:rFonts w:ascii="Arial" w:hAnsi="Arial" w:cs="Arial"/>
          <w:sz w:val="24"/>
          <w:szCs w:val="24"/>
        </w:rPr>
      </w:pPr>
      <w:r w:rsidRPr="00C3792D">
        <w:rPr>
          <w:rFonts w:ascii="Arial" w:hAnsi="Arial" w:cs="Arial"/>
          <w:sz w:val="24"/>
          <w:szCs w:val="24"/>
        </w:rPr>
        <w:t>Section 194 CPA provides that:</w:t>
      </w:r>
    </w:p>
    <w:p w14:paraId="2E03CF8F" w14:textId="77777777" w:rsidR="005C509A" w:rsidRPr="00C3792D" w:rsidRDefault="005C509A" w:rsidP="009E56E4">
      <w:pPr>
        <w:pStyle w:val="ListParagraph"/>
        <w:widowControl w:val="0"/>
        <w:tabs>
          <w:tab w:val="left" w:pos="1409"/>
        </w:tabs>
        <w:kinsoku w:val="0"/>
        <w:overflowPunct w:val="0"/>
        <w:autoSpaceDE w:val="0"/>
        <w:autoSpaceDN w:val="0"/>
        <w:adjustRightInd w:val="0"/>
        <w:spacing w:before="2" w:after="0" w:line="360" w:lineRule="auto"/>
        <w:ind w:left="360" w:right="1264"/>
        <w:contextualSpacing w:val="0"/>
        <w:jc w:val="both"/>
        <w:rPr>
          <w:rFonts w:ascii="Arial" w:hAnsi="Arial" w:cs="Arial"/>
          <w:sz w:val="24"/>
          <w:szCs w:val="24"/>
        </w:rPr>
      </w:pPr>
      <w:r w:rsidRPr="00C3792D">
        <w:rPr>
          <w:rFonts w:ascii="Arial" w:hAnsi="Arial" w:cs="Arial"/>
          <w:i/>
          <w:sz w:val="24"/>
          <w:szCs w:val="24"/>
        </w:rPr>
        <w:t xml:space="preserve">‘No person </w:t>
      </w:r>
      <w:r w:rsidRPr="00C3792D">
        <w:rPr>
          <w:rFonts w:ascii="Arial" w:hAnsi="Arial" w:cs="Arial"/>
          <w:i/>
          <w:iCs/>
          <w:sz w:val="24"/>
          <w:szCs w:val="24"/>
        </w:rPr>
        <w:t xml:space="preserve">appearing or [proven] </w:t>
      </w:r>
      <w:r w:rsidRPr="00C3792D">
        <w:rPr>
          <w:rFonts w:ascii="Arial" w:hAnsi="Arial" w:cs="Arial"/>
          <w:i/>
          <w:sz w:val="24"/>
          <w:szCs w:val="24"/>
        </w:rPr>
        <w:t xml:space="preserve">to be afflicted with mental illness or to be labouring under any </w:t>
      </w:r>
      <w:r w:rsidRPr="00C3792D">
        <w:rPr>
          <w:rFonts w:ascii="Arial" w:hAnsi="Arial" w:cs="Arial"/>
          <w:i/>
          <w:iCs/>
          <w:sz w:val="24"/>
          <w:szCs w:val="24"/>
        </w:rPr>
        <w:t xml:space="preserve">imbecility of mind </w:t>
      </w:r>
      <w:r w:rsidRPr="00C3792D">
        <w:rPr>
          <w:rFonts w:ascii="Arial" w:hAnsi="Arial" w:cs="Arial"/>
          <w:i/>
          <w:sz w:val="24"/>
          <w:szCs w:val="24"/>
        </w:rPr>
        <w:t xml:space="preserve">due to </w:t>
      </w:r>
      <w:r w:rsidRPr="00C3792D">
        <w:rPr>
          <w:rFonts w:ascii="Arial" w:hAnsi="Arial" w:cs="Arial"/>
          <w:i/>
          <w:iCs/>
          <w:sz w:val="24"/>
          <w:szCs w:val="24"/>
        </w:rPr>
        <w:t xml:space="preserve">intoxication or drugs </w:t>
      </w:r>
      <w:r w:rsidRPr="00C3792D">
        <w:rPr>
          <w:rFonts w:ascii="Arial" w:hAnsi="Arial" w:cs="Arial"/>
          <w:i/>
          <w:sz w:val="24"/>
          <w:szCs w:val="24"/>
        </w:rPr>
        <w:lastRenderedPageBreak/>
        <w:t xml:space="preserve">or </w:t>
      </w:r>
      <w:r w:rsidRPr="00C3792D">
        <w:rPr>
          <w:rFonts w:ascii="Arial" w:hAnsi="Arial" w:cs="Arial"/>
          <w:i/>
          <w:iCs/>
          <w:sz w:val="24"/>
          <w:szCs w:val="24"/>
        </w:rPr>
        <w:t>the like</w:t>
      </w:r>
      <w:r w:rsidRPr="00C3792D">
        <w:rPr>
          <w:rFonts w:ascii="Arial" w:hAnsi="Arial" w:cs="Arial"/>
          <w:i/>
          <w:sz w:val="24"/>
          <w:szCs w:val="24"/>
        </w:rPr>
        <w:t xml:space="preserve">, and who is thereby deprived of the </w:t>
      </w:r>
      <w:r w:rsidRPr="00C3792D">
        <w:rPr>
          <w:rFonts w:ascii="Arial" w:hAnsi="Arial" w:cs="Arial"/>
          <w:i/>
          <w:iCs/>
          <w:sz w:val="24"/>
          <w:szCs w:val="24"/>
        </w:rPr>
        <w:t>proper use of his reason</w:t>
      </w:r>
      <w:r w:rsidRPr="00C3792D">
        <w:rPr>
          <w:rFonts w:ascii="Arial" w:hAnsi="Arial" w:cs="Arial"/>
          <w:i/>
          <w:sz w:val="24"/>
          <w:szCs w:val="24"/>
        </w:rPr>
        <w:t>,</w:t>
      </w:r>
      <w:r w:rsidRPr="00C3792D">
        <w:rPr>
          <w:rFonts w:ascii="Arial" w:hAnsi="Arial" w:cs="Arial"/>
          <w:i/>
          <w:spacing w:val="-4"/>
          <w:sz w:val="24"/>
          <w:szCs w:val="24"/>
        </w:rPr>
        <w:t xml:space="preserve"> </w:t>
      </w:r>
      <w:r w:rsidRPr="00C3792D">
        <w:rPr>
          <w:rFonts w:ascii="Arial" w:hAnsi="Arial" w:cs="Arial"/>
          <w:i/>
          <w:sz w:val="24"/>
          <w:szCs w:val="24"/>
        </w:rPr>
        <w:t>shall</w:t>
      </w:r>
      <w:r w:rsidRPr="00C3792D">
        <w:rPr>
          <w:rFonts w:ascii="Arial" w:hAnsi="Arial" w:cs="Arial"/>
          <w:i/>
          <w:spacing w:val="-4"/>
          <w:sz w:val="24"/>
          <w:szCs w:val="24"/>
        </w:rPr>
        <w:t xml:space="preserve"> </w:t>
      </w:r>
      <w:r w:rsidRPr="00C3792D">
        <w:rPr>
          <w:rFonts w:ascii="Arial" w:hAnsi="Arial" w:cs="Arial"/>
          <w:i/>
          <w:sz w:val="24"/>
          <w:szCs w:val="24"/>
        </w:rPr>
        <w:t>be</w:t>
      </w:r>
      <w:r w:rsidRPr="00C3792D">
        <w:rPr>
          <w:rFonts w:ascii="Arial" w:hAnsi="Arial" w:cs="Arial"/>
          <w:i/>
          <w:spacing w:val="-5"/>
          <w:sz w:val="24"/>
          <w:szCs w:val="24"/>
        </w:rPr>
        <w:t xml:space="preserve"> </w:t>
      </w:r>
      <w:r w:rsidRPr="00C3792D">
        <w:rPr>
          <w:rFonts w:ascii="Arial" w:hAnsi="Arial" w:cs="Arial"/>
          <w:i/>
          <w:sz w:val="24"/>
          <w:szCs w:val="24"/>
        </w:rPr>
        <w:t>competent</w:t>
      </w:r>
      <w:r w:rsidRPr="00C3792D">
        <w:rPr>
          <w:rFonts w:ascii="Arial" w:hAnsi="Arial" w:cs="Arial"/>
          <w:i/>
          <w:spacing w:val="-4"/>
          <w:sz w:val="24"/>
          <w:szCs w:val="24"/>
        </w:rPr>
        <w:t xml:space="preserve"> </w:t>
      </w:r>
      <w:r w:rsidRPr="00C3792D">
        <w:rPr>
          <w:rFonts w:ascii="Arial" w:hAnsi="Arial" w:cs="Arial"/>
          <w:i/>
          <w:sz w:val="24"/>
          <w:szCs w:val="24"/>
        </w:rPr>
        <w:t>to</w:t>
      </w:r>
      <w:r w:rsidRPr="00C3792D">
        <w:rPr>
          <w:rFonts w:ascii="Arial" w:hAnsi="Arial" w:cs="Arial"/>
          <w:i/>
          <w:spacing w:val="-5"/>
          <w:sz w:val="24"/>
          <w:szCs w:val="24"/>
        </w:rPr>
        <w:t xml:space="preserve"> </w:t>
      </w:r>
      <w:r w:rsidRPr="00C3792D">
        <w:rPr>
          <w:rFonts w:ascii="Arial" w:hAnsi="Arial" w:cs="Arial"/>
          <w:i/>
          <w:sz w:val="24"/>
          <w:szCs w:val="24"/>
        </w:rPr>
        <w:t>give</w:t>
      </w:r>
      <w:r w:rsidRPr="00C3792D">
        <w:rPr>
          <w:rFonts w:ascii="Arial" w:hAnsi="Arial" w:cs="Arial"/>
          <w:i/>
          <w:spacing w:val="-4"/>
          <w:sz w:val="24"/>
          <w:szCs w:val="24"/>
        </w:rPr>
        <w:t xml:space="preserve"> </w:t>
      </w:r>
      <w:r w:rsidRPr="00C3792D">
        <w:rPr>
          <w:rFonts w:ascii="Arial" w:hAnsi="Arial" w:cs="Arial"/>
          <w:i/>
          <w:sz w:val="24"/>
          <w:szCs w:val="24"/>
        </w:rPr>
        <w:t>evidence</w:t>
      </w:r>
      <w:r w:rsidRPr="00C3792D">
        <w:rPr>
          <w:rFonts w:ascii="Arial" w:hAnsi="Arial" w:cs="Arial"/>
          <w:i/>
          <w:spacing w:val="-4"/>
          <w:sz w:val="24"/>
          <w:szCs w:val="24"/>
        </w:rPr>
        <w:t xml:space="preserve"> </w:t>
      </w:r>
      <w:r w:rsidRPr="00C3792D">
        <w:rPr>
          <w:rFonts w:ascii="Arial" w:hAnsi="Arial" w:cs="Arial"/>
          <w:i/>
          <w:sz w:val="24"/>
          <w:szCs w:val="24"/>
        </w:rPr>
        <w:t>while</w:t>
      </w:r>
      <w:r w:rsidRPr="00C3792D">
        <w:rPr>
          <w:rFonts w:ascii="Arial" w:hAnsi="Arial" w:cs="Arial"/>
          <w:i/>
          <w:spacing w:val="-5"/>
          <w:sz w:val="24"/>
          <w:szCs w:val="24"/>
        </w:rPr>
        <w:t xml:space="preserve"> </w:t>
      </w:r>
      <w:r w:rsidRPr="00C3792D">
        <w:rPr>
          <w:rFonts w:ascii="Arial" w:hAnsi="Arial" w:cs="Arial"/>
          <w:i/>
          <w:sz w:val="24"/>
          <w:szCs w:val="24"/>
        </w:rPr>
        <w:t>so</w:t>
      </w:r>
      <w:r w:rsidRPr="00C3792D">
        <w:rPr>
          <w:rFonts w:ascii="Arial" w:hAnsi="Arial" w:cs="Arial"/>
          <w:i/>
          <w:spacing w:val="-3"/>
          <w:sz w:val="24"/>
          <w:szCs w:val="24"/>
        </w:rPr>
        <w:t xml:space="preserve"> </w:t>
      </w:r>
      <w:r w:rsidRPr="00C3792D">
        <w:rPr>
          <w:rFonts w:ascii="Arial" w:hAnsi="Arial" w:cs="Arial"/>
          <w:i/>
          <w:sz w:val="24"/>
          <w:szCs w:val="24"/>
        </w:rPr>
        <w:t>afflicted</w:t>
      </w:r>
      <w:r w:rsidRPr="00C3792D">
        <w:rPr>
          <w:rFonts w:ascii="Arial" w:hAnsi="Arial" w:cs="Arial"/>
          <w:i/>
          <w:spacing w:val="-3"/>
          <w:sz w:val="24"/>
          <w:szCs w:val="24"/>
        </w:rPr>
        <w:t xml:space="preserve"> </w:t>
      </w:r>
      <w:r w:rsidRPr="00C3792D">
        <w:rPr>
          <w:rFonts w:ascii="Arial" w:hAnsi="Arial" w:cs="Arial"/>
          <w:i/>
          <w:sz w:val="24"/>
          <w:szCs w:val="24"/>
        </w:rPr>
        <w:t>or</w:t>
      </w:r>
      <w:r w:rsidRPr="00C3792D">
        <w:rPr>
          <w:rFonts w:ascii="Arial" w:hAnsi="Arial" w:cs="Arial"/>
          <w:i/>
          <w:spacing w:val="-4"/>
          <w:sz w:val="24"/>
          <w:szCs w:val="24"/>
        </w:rPr>
        <w:t xml:space="preserve"> </w:t>
      </w:r>
      <w:r w:rsidRPr="00C3792D">
        <w:rPr>
          <w:rFonts w:ascii="Arial" w:hAnsi="Arial" w:cs="Arial"/>
          <w:i/>
          <w:sz w:val="24"/>
          <w:szCs w:val="24"/>
        </w:rPr>
        <w:t xml:space="preserve">disabled.’ </w:t>
      </w:r>
      <w:r w:rsidRPr="00C3792D">
        <w:rPr>
          <w:rFonts w:ascii="Arial" w:hAnsi="Arial" w:cs="Arial"/>
          <w:sz w:val="24"/>
          <w:szCs w:val="24"/>
        </w:rPr>
        <w:t>[</w:t>
      </w:r>
      <w:proofErr w:type="gramStart"/>
      <w:r w:rsidRPr="00C3792D">
        <w:rPr>
          <w:rFonts w:ascii="Arial" w:hAnsi="Arial" w:cs="Arial"/>
          <w:sz w:val="24"/>
          <w:szCs w:val="24"/>
        </w:rPr>
        <w:t>my</w:t>
      </w:r>
      <w:proofErr w:type="gramEnd"/>
      <w:r w:rsidRPr="00C3792D">
        <w:rPr>
          <w:rFonts w:ascii="Arial" w:hAnsi="Arial" w:cs="Arial"/>
          <w:sz w:val="24"/>
          <w:szCs w:val="24"/>
        </w:rPr>
        <w:t xml:space="preserve"> emphasis]</w:t>
      </w:r>
    </w:p>
    <w:p w14:paraId="633E691A" w14:textId="77777777" w:rsidR="002C2A59" w:rsidRPr="00C3792D" w:rsidRDefault="002C2A59" w:rsidP="002C2A59">
      <w:pPr>
        <w:pStyle w:val="BodyText"/>
        <w:kinsoku w:val="0"/>
        <w:overflowPunct w:val="0"/>
        <w:spacing w:before="22" w:line="204" w:lineRule="auto"/>
        <w:ind w:left="360" w:right="1066"/>
        <w:rPr>
          <w:rFonts w:ascii="Arial" w:hAnsi="Arial" w:cs="Arial"/>
          <w:sz w:val="24"/>
          <w:szCs w:val="24"/>
        </w:rPr>
      </w:pPr>
    </w:p>
    <w:p w14:paraId="6C530793" w14:textId="77777777" w:rsidR="000D1068" w:rsidRPr="00C3792D" w:rsidRDefault="000D1068" w:rsidP="000D1068">
      <w:pPr>
        <w:pStyle w:val="ListParagraph"/>
        <w:numPr>
          <w:ilvl w:val="0"/>
          <w:numId w:val="1"/>
        </w:numPr>
        <w:spacing w:line="480" w:lineRule="auto"/>
        <w:jc w:val="both"/>
        <w:rPr>
          <w:rFonts w:ascii="Arial" w:hAnsi="Arial" w:cs="Arial"/>
          <w:sz w:val="24"/>
          <w:szCs w:val="24"/>
        </w:rPr>
      </w:pPr>
      <w:r w:rsidRPr="00C3792D">
        <w:rPr>
          <w:rFonts w:ascii="Arial" w:hAnsi="Arial" w:cs="Arial"/>
          <w:sz w:val="24"/>
          <w:szCs w:val="24"/>
        </w:rPr>
        <w:t>Section 225 of the previous Act is the predecessor of section 194, after recommendations of the Botha Commission of</w:t>
      </w:r>
      <w:r w:rsidRPr="00C3792D">
        <w:rPr>
          <w:rFonts w:ascii="Arial" w:hAnsi="Arial" w:cs="Arial"/>
          <w:spacing w:val="-34"/>
          <w:sz w:val="24"/>
          <w:szCs w:val="24"/>
        </w:rPr>
        <w:t xml:space="preserve"> </w:t>
      </w:r>
      <w:r w:rsidRPr="00C3792D">
        <w:rPr>
          <w:rFonts w:ascii="Arial" w:hAnsi="Arial" w:cs="Arial"/>
          <w:sz w:val="24"/>
          <w:szCs w:val="24"/>
        </w:rPr>
        <w:t>Inquiry on</w:t>
      </w:r>
      <w:r w:rsidRPr="00C3792D">
        <w:rPr>
          <w:rFonts w:ascii="Arial" w:hAnsi="Arial" w:cs="Arial"/>
          <w:spacing w:val="40"/>
          <w:sz w:val="24"/>
          <w:szCs w:val="24"/>
        </w:rPr>
        <w:t xml:space="preserve"> </w:t>
      </w:r>
      <w:r w:rsidRPr="00C3792D">
        <w:rPr>
          <w:rFonts w:ascii="Arial" w:hAnsi="Arial" w:cs="Arial"/>
          <w:sz w:val="24"/>
          <w:szCs w:val="24"/>
        </w:rPr>
        <w:t>Criminal</w:t>
      </w:r>
      <w:r w:rsidRPr="00C3792D">
        <w:rPr>
          <w:rFonts w:ascii="Arial" w:hAnsi="Arial" w:cs="Arial"/>
          <w:spacing w:val="40"/>
          <w:sz w:val="24"/>
          <w:szCs w:val="24"/>
        </w:rPr>
        <w:t xml:space="preserve"> </w:t>
      </w:r>
      <w:r w:rsidRPr="00C3792D">
        <w:rPr>
          <w:rFonts w:ascii="Arial" w:hAnsi="Arial" w:cs="Arial"/>
          <w:sz w:val="24"/>
          <w:szCs w:val="24"/>
        </w:rPr>
        <w:t>Evidence</w:t>
      </w:r>
      <w:r w:rsidRPr="00C3792D">
        <w:rPr>
          <w:rFonts w:ascii="Arial" w:hAnsi="Arial" w:cs="Arial"/>
          <w:spacing w:val="40"/>
          <w:sz w:val="24"/>
          <w:szCs w:val="24"/>
        </w:rPr>
        <w:t xml:space="preserve"> </w:t>
      </w:r>
      <w:r w:rsidRPr="00C3792D">
        <w:rPr>
          <w:rFonts w:ascii="Arial" w:hAnsi="Arial" w:cs="Arial"/>
          <w:sz w:val="24"/>
          <w:szCs w:val="24"/>
        </w:rPr>
        <w:t>and</w:t>
      </w:r>
      <w:r w:rsidRPr="00C3792D">
        <w:rPr>
          <w:rFonts w:ascii="Arial" w:hAnsi="Arial" w:cs="Arial"/>
          <w:spacing w:val="40"/>
          <w:sz w:val="24"/>
          <w:szCs w:val="24"/>
        </w:rPr>
        <w:t xml:space="preserve"> </w:t>
      </w:r>
      <w:r w:rsidRPr="00C3792D">
        <w:rPr>
          <w:rFonts w:ascii="Arial" w:hAnsi="Arial" w:cs="Arial"/>
          <w:sz w:val="24"/>
          <w:szCs w:val="24"/>
        </w:rPr>
        <w:t>Procedure</w:t>
      </w:r>
      <w:r w:rsidRPr="00C3792D">
        <w:rPr>
          <w:rStyle w:val="FootnoteReference"/>
          <w:rFonts w:ascii="Arial" w:hAnsi="Arial" w:cs="Arial"/>
          <w:sz w:val="24"/>
          <w:szCs w:val="24"/>
        </w:rPr>
        <w:footnoteReference w:id="8"/>
      </w:r>
      <w:r w:rsidRPr="00C3792D">
        <w:rPr>
          <w:rFonts w:ascii="Arial" w:hAnsi="Arial" w:cs="Arial"/>
          <w:spacing w:val="32"/>
          <w:position w:val="8"/>
          <w:sz w:val="24"/>
          <w:szCs w:val="24"/>
        </w:rPr>
        <w:t xml:space="preserve"> </w:t>
      </w:r>
      <w:r w:rsidRPr="00C3792D">
        <w:rPr>
          <w:rFonts w:ascii="Arial" w:hAnsi="Arial" w:cs="Arial"/>
          <w:sz w:val="24"/>
          <w:szCs w:val="24"/>
        </w:rPr>
        <w:t xml:space="preserve">which removed the words ‘idiocy’ and ‘lunacy, and by the substitution of the term ‘insanity’ with mental illness and of the word ‘otherwise’ with </w:t>
      </w:r>
      <w:r w:rsidRPr="00C3792D">
        <w:rPr>
          <w:rFonts w:ascii="Arial" w:hAnsi="Arial" w:cs="Arial"/>
          <w:b/>
          <w:sz w:val="24"/>
          <w:szCs w:val="24"/>
        </w:rPr>
        <w:t>‘the like’</w:t>
      </w:r>
      <w:r w:rsidRPr="00C3792D">
        <w:rPr>
          <w:rFonts w:ascii="Arial" w:hAnsi="Arial" w:cs="Arial"/>
          <w:sz w:val="24"/>
          <w:szCs w:val="24"/>
        </w:rPr>
        <w:t xml:space="preserve"> as well as the inclusion of the term ‘drugs’. The amended version of this provision is the current section 194 CPA.</w:t>
      </w:r>
      <w:r w:rsidRPr="00C3792D">
        <w:rPr>
          <w:rFonts w:ascii="Arial" w:hAnsi="Arial" w:cs="Arial"/>
          <w:position w:val="8"/>
          <w:sz w:val="24"/>
          <w:szCs w:val="24"/>
        </w:rPr>
        <w:t xml:space="preserve"> </w:t>
      </w:r>
      <w:r w:rsidRPr="00C3792D">
        <w:rPr>
          <w:rFonts w:ascii="Arial" w:hAnsi="Arial" w:cs="Arial"/>
          <w:sz w:val="24"/>
          <w:szCs w:val="24"/>
        </w:rPr>
        <w:t>However, in spite of these changes, section 194 continued to be interpreted by many courts to exclude the evidence of persons with intellectual disabilities</w:t>
      </w:r>
      <w:r w:rsidRPr="00C3792D">
        <w:rPr>
          <w:rFonts w:ascii="Arial" w:hAnsi="Arial" w:cs="Arial"/>
          <w:i/>
          <w:iCs/>
          <w:sz w:val="24"/>
          <w:szCs w:val="24"/>
        </w:rPr>
        <w:t>.</w:t>
      </w:r>
      <w:r w:rsidRPr="00C3792D">
        <w:rPr>
          <w:rFonts w:ascii="Arial" w:hAnsi="Arial" w:cs="Arial"/>
          <w:iCs/>
          <w:sz w:val="24"/>
          <w:szCs w:val="24"/>
        </w:rPr>
        <w:t xml:space="preserve"> </w:t>
      </w:r>
    </w:p>
    <w:p w14:paraId="48567947" w14:textId="77777777" w:rsidR="000D1068" w:rsidRPr="00C3792D" w:rsidRDefault="000D1068" w:rsidP="000D1068">
      <w:pPr>
        <w:pStyle w:val="ListParagraph"/>
        <w:spacing w:line="480" w:lineRule="auto"/>
        <w:ind w:left="360"/>
        <w:jc w:val="both"/>
        <w:rPr>
          <w:rFonts w:ascii="Arial" w:hAnsi="Arial" w:cs="Arial"/>
          <w:sz w:val="24"/>
          <w:szCs w:val="24"/>
        </w:rPr>
      </w:pPr>
    </w:p>
    <w:p w14:paraId="387781C5" w14:textId="77777777" w:rsidR="00DF4B31" w:rsidRPr="00C3792D" w:rsidRDefault="00EF3E83" w:rsidP="00385FAE">
      <w:pPr>
        <w:pStyle w:val="ListParagraph"/>
        <w:numPr>
          <w:ilvl w:val="0"/>
          <w:numId w:val="1"/>
        </w:numPr>
        <w:spacing w:line="480" w:lineRule="auto"/>
        <w:jc w:val="both"/>
        <w:rPr>
          <w:rFonts w:ascii="Arial" w:hAnsi="Arial" w:cs="Arial"/>
          <w:sz w:val="24"/>
          <w:szCs w:val="24"/>
        </w:rPr>
      </w:pPr>
      <w:r w:rsidRPr="00C3792D">
        <w:rPr>
          <w:rFonts w:ascii="Arial" w:hAnsi="Arial" w:cs="Arial"/>
          <w:sz w:val="24"/>
          <w:szCs w:val="24"/>
        </w:rPr>
        <w:t>The interpretation of section 194 was finally settled by the S</w:t>
      </w:r>
      <w:r w:rsidR="00F53AFB">
        <w:rPr>
          <w:rFonts w:ascii="Arial" w:hAnsi="Arial" w:cs="Arial"/>
          <w:sz w:val="24"/>
          <w:szCs w:val="24"/>
        </w:rPr>
        <w:t>CA</w:t>
      </w:r>
      <w:r w:rsidRPr="00C3792D">
        <w:rPr>
          <w:rFonts w:ascii="Arial" w:hAnsi="Arial" w:cs="Arial"/>
          <w:sz w:val="24"/>
          <w:szCs w:val="24"/>
        </w:rPr>
        <w:t xml:space="preserve"> in </w:t>
      </w:r>
      <w:r w:rsidRPr="00C3792D">
        <w:rPr>
          <w:rFonts w:ascii="Arial" w:hAnsi="Arial" w:cs="Arial"/>
          <w:i/>
          <w:iCs/>
          <w:sz w:val="24"/>
          <w:szCs w:val="24"/>
        </w:rPr>
        <w:t xml:space="preserve">S v </w:t>
      </w:r>
      <w:proofErr w:type="spellStart"/>
      <w:r w:rsidRPr="00C3792D">
        <w:rPr>
          <w:rFonts w:ascii="Arial" w:hAnsi="Arial" w:cs="Arial"/>
          <w:i/>
          <w:iCs/>
          <w:sz w:val="24"/>
          <w:szCs w:val="24"/>
        </w:rPr>
        <w:t>Katoo</w:t>
      </w:r>
      <w:proofErr w:type="spellEnd"/>
      <w:r w:rsidRPr="00C3792D">
        <w:rPr>
          <w:rFonts w:ascii="Arial" w:hAnsi="Arial" w:cs="Arial"/>
          <w:i/>
          <w:iCs/>
          <w:sz w:val="24"/>
          <w:szCs w:val="24"/>
        </w:rPr>
        <w:t>.</w:t>
      </w:r>
      <w:r w:rsidRPr="00C3792D">
        <w:rPr>
          <w:rStyle w:val="FootnoteReference"/>
          <w:rFonts w:ascii="Arial" w:hAnsi="Arial" w:cs="Arial"/>
          <w:i/>
          <w:iCs/>
          <w:sz w:val="24"/>
          <w:szCs w:val="24"/>
        </w:rPr>
        <w:footnoteReference w:id="9"/>
      </w:r>
      <w:r w:rsidRPr="00C3792D">
        <w:rPr>
          <w:rFonts w:ascii="Arial" w:hAnsi="Arial" w:cs="Arial"/>
          <w:i/>
          <w:iCs/>
          <w:sz w:val="24"/>
          <w:szCs w:val="24"/>
        </w:rPr>
        <w:t xml:space="preserve"> </w:t>
      </w:r>
      <w:r w:rsidR="005C509A" w:rsidRPr="00C3792D">
        <w:rPr>
          <w:rFonts w:ascii="Arial" w:hAnsi="Arial" w:cs="Arial"/>
          <w:sz w:val="24"/>
          <w:szCs w:val="24"/>
        </w:rPr>
        <w:t>In this case the prosecution sought</w:t>
      </w:r>
      <w:r w:rsidRPr="00C3792D">
        <w:rPr>
          <w:rFonts w:ascii="Arial" w:hAnsi="Arial" w:cs="Arial"/>
          <w:sz w:val="24"/>
          <w:szCs w:val="24"/>
        </w:rPr>
        <w:t xml:space="preserve"> </w:t>
      </w:r>
      <w:r w:rsidR="005C509A" w:rsidRPr="00C3792D">
        <w:rPr>
          <w:rFonts w:ascii="Arial" w:hAnsi="Arial" w:cs="Arial"/>
          <w:sz w:val="24"/>
          <w:szCs w:val="24"/>
        </w:rPr>
        <w:t>to</w:t>
      </w:r>
      <w:r w:rsidR="005C509A" w:rsidRPr="00C3792D">
        <w:rPr>
          <w:rFonts w:ascii="Arial" w:hAnsi="Arial" w:cs="Arial"/>
          <w:spacing w:val="-6"/>
          <w:sz w:val="24"/>
          <w:szCs w:val="24"/>
        </w:rPr>
        <w:t xml:space="preserve"> </w:t>
      </w:r>
      <w:r w:rsidR="005C509A" w:rsidRPr="00C3792D">
        <w:rPr>
          <w:rFonts w:ascii="Arial" w:hAnsi="Arial" w:cs="Arial"/>
          <w:sz w:val="24"/>
          <w:szCs w:val="24"/>
        </w:rPr>
        <w:t>call</w:t>
      </w:r>
      <w:r w:rsidR="005C509A" w:rsidRPr="00C3792D">
        <w:rPr>
          <w:rFonts w:ascii="Arial" w:hAnsi="Arial" w:cs="Arial"/>
          <w:spacing w:val="-6"/>
          <w:sz w:val="24"/>
          <w:szCs w:val="24"/>
        </w:rPr>
        <w:t xml:space="preserve"> </w:t>
      </w:r>
      <w:r w:rsidR="005C509A" w:rsidRPr="00C3792D">
        <w:rPr>
          <w:rFonts w:ascii="Arial" w:hAnsi="Arial" w:cs="Arial"/>
          <w:sz w:val="24"/>
          <w:szCs w:val="24"/>
        </w:rPr>
        <w:t>the</w:t>
      </w:r>
      <w:r w:rsidR="005C509A" w:rsidRPr="00C3792D">
        <w:rPr>
          <w:rFonts w:ascii="Arial" w:hAnsi="Arial" w:cs="Arial"/>
          <w:spacing w:val="-7"/>
          <w:sz w:val="24"/>
          <w:szCs w:val="24"/>
        </w:rPr>
        <w:t xml:space="preserve"> </w:t>
      </w:r>
      <w:r w:rsidR="005C509A" w:rsidRPr="00C3792D">
        <w:rPr>
          <w:rFonts w:ascii="Arial" w:hAnsi="Arial" w:cs="Arial"/>
          <w:sz w:val="24"/>
          <w:szCs w:val="24"/>
        </w:rPr>
        <w:t>complainant</w:t>
      </w:r>
      <w:r w:rsidR="005C509A" w:rsidRPr="00C3792D">
        <w:rPr>
          <w:rFonts w:ascii="Arial" w:hAnsi="Arial" w:cs="Arial"/>
          <w:spacing w:val="-7"/>
          <w:sz w:val="24"/>
          <w:szCs w:val="24"/>
        </w:rPr>
        <w:t xml:space="preserve"> </w:t>
      </w:r>
      <w:r w:rsidR="005C509A" w:rsidRPr="00C3792D">
        <w:rPr>
          <w:rFonts w:ascii="Arial" w:hAnsi="Arial" w:cs="Arial"/>
          <w:sz w:val="24"/>
          <w:szCs w:val="24"/>
        </w:rPr>
        <w:t>in</w:t>
      </w:r>
      <w:r w:rsidR="005C509A" w:rsidRPr="00C3792D">
        <w:rPr>
          <w:rFonts w:ascii="Arial" w:hAnsi="Arial" w:cs="Arial"/>
          <w:spacing w:val="-6"/>
          <w:sz w:val="24"/>
          <w:szCs w:val="24"/>
        </w:rPr>
        <w:t xml:space="preserve"> </w:t>
      </w:r>
      <w:r w:rsidR="005C509A" w:rsidRPr="00C3792D">
        <w:rPr>
          <w:rFonts w:ascii="Arial" w:hAnsi="Arial" w:cs="Arial"/>
          <w:sz w:val="24"/>
          <w:szCs w:val="24"/>
        </w:rPr>
        <w:t>a</w:t>
      </w:r>
      <w:r w:rsidR="005C509A" w:rsidRPr="00C3792D">
        <w:rPr>
          <w:rFonts w:ascii="Arial" w:hAnsi="Arial" w:cs="Arial"/>
          <w:spacing w:val="-6"/>
          <w:sz w:val="24"/>
          <w:szCs w:val="24"/>
        </w:rPr>
        <w:t xml:space="preserve"> </w:t>
      </w:r>
      <w:r w:rsidR="005C509A" w:rsidRPr="00C3792D">
        <w:rPr>
          <w:rFonts w:ascii="Arial" w:hAnsi="Arial" w:cs="Arial"/>
          <w:sz w:val="24"/>
          <w:szCs w:val="24"/>
        </w:rPr>
        <w:t>rape</w:t>
      </w:r>
      <w:r w:rsidR="005C509A" w:rsidRPr="00C3792D">
        <w:rPr>
          <w:rFonts w:ascii="Arial" w:hAnsi="Arial" w:cs="Arial"/>
          <w:spacing w:val="-5"/>
          <w:sz w:val="24"/>
          <w:szCs w:val="24"/>
        </w:rPr>
        <w:t xml:space="preserve"> </w:t>
      </w:r>
      <w:r w:rsidR="005C509A" w:rsidRPr="00C3792D">
        <w:rPr>
          <w:rFonts w:ascii="Arial" w:hAnsi="Arial" w:cs="Arial"/>
          <w:sz w:val="24"/>
          <w:szCs w:val="24"/>
        </w:rPr>
        <w:t>trial</w:t>
      </w:r>
      <w:r w:rsidR="005C509A" w:rsidRPr="00C3792D">
        <w:rPr>
          <w:rFonts w:ascii="Arial" w:hAnsi="Arial" w:cs="Arial"/>
          <w:spacing w:val="-6"/>
          <w:sz w:val="24"/>
          <w:szCs w:val="24"/>
        </w:rPr>
        <w:t xml:space="preserve"> </w:t>
      </w:r>
      <w:r w:rsidR="005C509A" w:rsidRPr="00C3792D">
        <w:rPr>
          <w:rFonts w:ascii="Arial" w:hAnsi="Arial" w:cs="Arial"/>
          <w:sz w:val="24"/>
          <w:szCs w:val="24"/>
        </w:rPr>
        <w:t>who</w:t>
      </w:r>
      <w:r w:rsidR="005C509A" w:rsidRPr="00C3792D">
        <w:rPr>
          <w:rFonts w:ascii="Arial" w:hAnsi="Arial" w:cs="Arial"/>
          <w:spacing w:val="-6"/>
          <w:sz w:val="24"/>
          <w:szCs w:val="24"/>
        </w:rPr>
        <w:t xml:space="preserve"> </w:t>
      </w:r>
      <w:r w:rsidR="005C509A" w:rsidRPr="00C3792D">
        <w:rPr>
          <w:rFonts w:ascii="Arial" w:hAnsi="Arial" w:cs="Arial"/>
          <w:sz w:val="24"/>
          <w:szCs w:val="24"/>
        </w:rPr>
        <w:t>was</w:t>
      </w:r>
      <w:r w:rsidR="005C509A" w:rsidRPr="00C3792D">
        <w:rPr>
          <w:rFonts w:ascii="Arial" w:hAnsi="Arial" w:cs="Arial"/>
          <w:spacing w:val="-6"/>
          <w:sz w:val="24"/>
          <w:szCs w:val="24"/>
        </w:rPr>
        <w:t xml:space="preserve"> </w:t>
      </w:r>
      <w:r w:rsidR="005C509A" w:rsidRPr="00C3792D">
        <w:rPr>
          <w:rFonts w:ascii="Arial" w:hAnsi="Arial" w:cs="Arial"/>
          <w:sz w:val="24"/>
          <w:szCs w:val="24"/>
        </w:rPr>
        <w:t>described</w:t>
      </w:r>
      <w:r w:rsidR="005C509A" w:rsidRPr="00C3792D">
        <w:rPr>
          <w:rFonts w:ascii="Arial" w:hAnsi="Arial" w:cs="Arial"/>
          <w:spacing w:val="-6"/>
          <w:sz w:val="24"/>
          <w:szCs w:val="24"/>
        </w:rPr>
        <w:t xml:space="preserve"> </w:t>
      </w:r>
      <w:r w:rsidR="005C509A" w:rsidRPr="00C3792D">
        <w:rPr>
          <w:rFonts w:ascii="Arial" w:hAnsi="Arial" w:cs="Arial"/>
          <w:sz w:val="24"/>
          <w:szCs w:val="24"/>
        </w:rPr>
        <w:t>by</w:t>
      </w:r>
      <w:r w:rsidR="005C509A" w:rsidRPr="00C3792D">
        <w:rPr>
          <w:rFonts w:ascii="Arial" w:hAnsi="Arial" w:cs="Arial"/>
          <w:spacing w:val="-6"/>
          <w:sz w:val="24"/>
          <w:szCs w:val="24"/>
        </w:rPr>
        <w:t xml:space="preserve"> </w:t>
      </w:r>
      <w:r w:rsidR="005C509A" w:rsidRPr="00C3792D">
        <w:rPr>
          <w:rFonts w:ascii="Arial" w:hAnsi="Arial" w:cs="Arial"/>
          <w:sz w:val="24"/>
          <w:szCs w:val="24"/>
        </w:rPr>
        <w:t>a</w:t>
      </w:r>
      <w:r w:rsidR="005C509A" w:rsidRPr="00C3792D">
        <w:rPr>
          <w:rFonts w:ascii="Arial" w:hAnsi="Arial" w:cs="Arial"/>
          <w:spacing w:val="-6"/>
          <w:sz w:val="24"/>
          <w:szCs w:val="24"/>
        </w:rPr>
        <w:t xml:space="preserve"> </w:t>
      </w:r>
      <w:r w:rsidR="005C509A" w:rsidRPr="00C3792D">
        <w:rPr>
          <w:rFonts w:ascii="Arial" w:hAnsi="Arial" w:cs="Arial"/>
          <w:sz w:val="24"/>
          <w:szCs w:val="24"/>
        </w:rPr>
        <w:t>psychologist as having ‘severe mental</w:t>
      </w:r>
      <w:r w:rsidRPr="00C3792D">
        <w:rPr>
          <w:rFonts w:ascii="Arial" w:hAnsi="Arial" w:cs="Arial"/>
          <w:sz w:val="24"/>
          <w:szCs w:val="24"/>
        </w:rPr>
        <w:t xml:space="preserve"> retardation’,</w:t>
      </w:r>
      <w:r w:rsidR="005C509A" w:rsidRPr="00C3792D">
        <w:rPr>
          <w:rFonts w:ascii="Arial" w:hAnsi="Arial" w:cs="Arial"/>
          <w:position w:val="8"/>
          <w:sz w:val="24"/>
          <w:szCs w:val="24"/>
        </w:rPr>
        <w:t xml:space="preserve"> </w:t>
      </w:r>
      <w:r w:rsidR="005C509A" w:rsidRPr="00C3792D">
        <w:rPr>
          <w:rFonts w:ascii="Arial" w:hAnsi="Arial" w:cs="Arial"/>
          <w:sz w:val="24"/>
          <w:szCs w:val="24"/>
        </w:rPr>
        <w:t>as a witness. The evidence of the psychologist</w:t>
      </w:r>
      <w:r w:rsidR="005C509A" w:rsidRPr="00C3792D">
        <w:rPr>
          <w:rFonts w:ascii="Arial" w:hAnsi="Arial" w:cs="Arial"/>
          <w:spacing w:val="-7"/>
          <w:sz w:val="24"/>
          <w:szCs w:val="24"/>
        </w:rPr>
        <w:t xml:space="preserve"> </w:t>
      </w:r>
      <w:r w:rsidR="005C509A" w:rsidRPr="00C3792D">
        <w:rPr>
          <w:rFonts w:ascii="Arial" w:hAnsi="Arial" w:cs="Arial"/>
          <w:sz w:val="24"/>
          <w:szCs w:val="24"/>
        </w:rPr>
        <w:t>was</w:t>
      </w:r>
      <w:r w:rsidR="005C509A" w:rsidRPr="00C3792D">
        <w:rPr>
          <w:rFonts w:ascii="Arial" w:hAnsi="Arial" w:cs="Arial"/>
          <w:spacing w:val="-6"/>
          <w:sz w:val="24"/>
          <w:szCs w:val="24"/>
        </w:rPr>
        <w:t xml:space="preserve"> </w:t>
      </w:r>
      <w:r w:rsidR="005C509A" w:rsidRPr="00C3792D">
        <w:rPr>
          <w:rFonts w:ascii="Arial" w:hAnsi="Arial" w:cs="Arial"/>
          <w:sz w:val="24"/>
          <w:szCs w:val="24"/>
        </w:rPr>
        <w:t>to</w:t>
      </w:r>
      <w:r w:rsidR="005C509A" w:rsidRPr="00C3792D">
        <w:rPr>
          <w:rFonts w:ascii="Arial" w:hAnsi="Arial" w:cs="Arial"/>
          <w:spacing w:val="-6"/>
          <w:sz w:val="24"/>
          <w:szCs w:val="24"/>
        </w:rPr>
        <w:t xml:space="preserve"> </w:t>
      </w:r>
      <w:r w:rsidR="005C509A" w:rsidRPr="00C3792D">
        <w:rPr>
          <w:rFonts w:ascii="Arial" w:hAnsi="Arial" w:cs="Arial"/>
          <w:sz w:val="24"/>
          <w:szCs w:val="24"/>
        </w:rPr>
        <w:t>the</w:t>
      </w:r>
      <w:r w:rsidR="005C509A" w:rsidRPr="00C3792D">
        <w:rPr>
          <w:rFonts w:ascii="Arial" w:hAnsi="Arial" w:cs="Arial"/>
          <w:spacing w:val="-6"/>
          <w:sz w:val="24"/>
          <w:szCs w:val="24"/>
        </w:rPr>
        <w:t xml:space="preserve"> </w:t>
      </w:r>
      <w:r w:rsidR="005C509A" w:rsidRPr="00C3792D">
        <w:rPr>
          <w:rFonts w:ascii="Arial" w:hAnsi="Arial" w:cs="Arial"/>
          <w:sz w:val="24"/>
          <w:szCs w:val="24"/>
        </w:rPr>
        <w:t>effect</w:t>
      </w:r>
      <w:r w:rsidR="005C509A" w:rsidRPr="00C3792D">
        <w:rPr>
          <w:rFonts w:ascii="Arial" w:hAnsi="Arial" w:cs="Arial"/>
          <w:spacing w:val="-6"/>
          <w:sz w:val="24"/>
          <w:szCs w:val="24"/>
        </w:rPr>
        <w:t xml:space="preserve"> </w:t>
      </w:r>
      <w:r w:rsidR="005C509A" w:rsidRPr="00C3792D">
        <w:rPr>
          <w:rFonts w:ascii="Arial" w:hAnsi="Arial" w:cs="Arial"/>
          <w:sz w:val="24"/>
          <w:szCs w:val="24"/>
        </w:rPr>
        <w:t>that</w:t>
      </w:r>
      <w:r w:rsidR="005C509A" w:rsidRPr="00C3792D">
        <w:rPr>
          <w:rFonts w:ascii="Arial" w:hAnsi="Arial" w:cs="Arial"/>
          <w:spacing w:val="-7"/>
          <w:sz w:val="24"/>
          <w:szCs w:val="24"/>
        </w:rPr>
        <w:t xml:space="preserve"> </w:t>
      </w:r>
      <w:r w:rsidR="005C509A" w:rsidRPr="00C3792D">
        <w:rPr>
          <w:rFonts w:ascii="Arial" w:hAnsi="Arial" w:cs="Arial"/>
          <w:sz w:val="24"/>
          <w:szCs w:val="24"/>
        </w:rPr>
        <w:t>the</w:t>
      </w:r>
      <w:r w:rsidR="005C509A" w:rsidRPr="00C3792D">
        <w:rPr>
          <w:rFonts w:ascii="Arial" w:hAnsi="Arial" w:cs="Arial"/>
          <w:spacing w:val="-5"/>
          <w:sz w:val="24"/>
          <w:szCs w:val="24"/>
        </w:rPr>
        <w:t xml:space="preserve"> </w:t>
      </w:r>
      <w:r w:rsidR="005C509A" w:rsidRPr="00C3792D">
        <w:rPr>
          <w:rFonts w:ascii="Arial" w:hAnsi="Arial" w:cs="Arial"/>
          <w:sz w:val="24"/>
          <w:szCs w:val="24"/>
        </w:rPr>
        <w:t>complainant</w:t>
      </w:r>
      <w:r w:rsidR="005C509A" w:rsidRPr="00C3792D">
        <w:rPr>
          <w:rFonts w:ascii="Arial" w:hAnsi="Arial" w:cs="Arial"/>
          <w:spacing w:val="-6"/>
          <w:sz w:val="24"/>
          <w:szCs w:val="24"/>
        </w:rPr>
        <w:t xml:space="preserve"> </w:t>
      </w:r>
      <w:r w:rsidR="005C509A" w:rsidRPr="00C3792D">
        <w:rPr>
          <w:rFonts w:ascii="Arial" w:hAnsi="Arial" w:cs="Arial"/>
          <w:sz w:val="24"/>
          <w:szCs w:val="24"/>
        </w:rPr>
        <w:t>‘could</w:t>
      </w:r>
      <w:r w:rsidR="005C509A" w:rsidRPr="00C3792D">
        <w:rPr>
          <w:rFonts w:ascii="Arial" w:hAnsi="Arial" w:cs="Arial"/>
          <w:spacing w:val="-6"/>
          <w:sz w:val="24"/>
          <w:szCs w:val="24"/>
        </w:rPr>
        <w:t xml:space="preserve"> </w:t>
      </w:r>
      <w:r w:rsidR="005C509A" w:rsidRPr="00C3792D">
        <w:rPr>
          <w:rFonts w:ascii="Arial" w:hAnsi="Arial" w:cs="Arial"/>
          <w:sz w:val="24"/>
          <w:szCs w:val="24"/>
        </w:rPr>
        <w:t>consequently</w:t>
      </w:r>
      <w:r w:rsidR="005C509A" w:rsidRPr="00C3792D">
        <w:rPr>
          <w:rFonts w:ascii="Arial" w:hAnsi="Arial" w:cs="Arial"/>
          <w:spacing w:val="-6"/>
          <w:sz w:val="24"/>
          <w:szCs w:val="24"/>
        </w:rPr>
        <w:t xml:space="preserve"> </w:t>
      </w:r>
      <w:r w:rsidR="005C509A" w:rsidRPr="00C3792D">
        <w:rPr>
          <w:rFonts w:ascii="Arial" w:hAnsi="Arial" w:cs="Arial"/>
          <w:sz w:val="24"/>
          <w:szCs w:val="24"/>
        </w:rPr>
        <w:t>be</w:t>
      </w:r>
      <w:r w:rsidRPr="00C3792D">
        <w:rPr>
          <w:rFonts w:ascii="Arial" w:hAnsi="Arial" w:cs="Arial"/>
          <w:sz w:val="24"/>
          <w:szCs w:val="24"/>
        </w:rPr>
        <w:t xml:space="preserve"> </w:t>
      </w:r>
      <w:r w:rsidR="005C509A" w:rsidRPr="00C3792D">
        <w:rPr>
          <w:rFonts w:ascii="Arial" w:hAnsi="Arial" w:cs="Arial"/>
          <w:sz w:val="24"/>
          <w:szCs w:val="24"/>
        </w:rPr>
        <w:t>described as an imbecile’.</w:t>
      </w:r>
      <w:r w:rsidRPr="00C3792D">
        <w:rPr>
          <w:rFonts w:ascii="Arial" w:hAnsi="Arial" w:cs="Arial"/>
          <w:position w:val="8"/>
          <w:sz w:val="24"/>
          <w:szCs w:val="24"/>
        </w:rPr>
        <w:t xml:space="preserve"> </w:t>
      </w:r>
      <w:r w:rsidRPr="00C3792D">
        <w:rPr>
          <w:rFonts w:ascii="Arial" w:hAnsi="Arial" w:cs="Arial"/>
          <w:sz w:val="24"/>
          <w:szCs w:val="24"/>
        </w:rPr>
        <w:t>The</w:t>
      </w:r>
      <w:r w:rsidR="005C509A" w:rsidRPr="00C3792D">
        <w:rPr>
          <w:rFonts w:ascii="Arial" w:hAnsi="Arial" w:cs="Arial"/>
          <w:sz w:val="24"/>
          <w:szCs w:val="24"/>
        </w:rPr>
        <w:t xml:space="preserve"> psychologist asserted that the complainant had a </w:t>
      </w:r>
      <w:r w:rsidR="005C509A" w:rsidRPr="00C3792D">
        <w:rPr>
          <w:rFonts w:ascii="Arial" w:hAnsi="Arial" w:cs="Arial"/>
          <w:i/>
          <w:sz w:val="24"/>
          <w:szCs w:val="24"/>
        </w:rPr>
        <w:t>‘very limited capacity to exercise her will and make choices, and that her mental age was that of a four-year-old child’</w:t>
      </w:r>
      <w:r w:rsidR="005C509A" w:rsidRPr="00C3792D">
        <w:rPr>
          <w:rFonts w:ascii="Arial" w:hAnsi="Arial" w:cs="Arial"/>
          <w:sz w:val="24"/>
          <w:szCs w:val="24"/>
        </w:rPr>
        <w:t>.</w:t>
      </w:r>
      <w:r w:rsidRPr="00C3792D">
        <w:rPr>
          <w:rFonts w:ascii="Arial" w:hAnsi="Arial" w:cs="Arial"/>
          <w:sz w:val="24"/>
          <w:szCs w:val="24"/>
        </w:rPr>
        <w:t xml:space="preserve"> </w:t>
      </w:r>
      <w:r w:rsidR="005C509A" w:rsidRPr="00C3792D">
        <w:rPr>
          <w:rFonts w:ascii="Arial" w:hAnsi="Arial" w:cs="Arial"/>
          <w:sz w:val="24"/>
          <w:szCs w:val="24"/>
        </w:rPr>
        <w:t xml:space="preserve">The trial judge interpreted section 194 to mean that due to her status as an ‘imbecile’, the complainant was not competent to testify. Consequently, the respondent was acquitted. </w:t>
      </w:r>
    </w:p>
    <w:p w14:paraId="5BBA2866" w14:textId="77777777" w:rsidR="00DF4B31" w:rsidRPr="00C3792D" w:rsidRDefault="00DF4B31" w:rsidP="00DF4B31">
      <w:pPr>
        <w:pStyle w:val="ListParagraph"/>
        <w:rPr>
          <w:rFonts w:ascii="Arial" w:hAnsi="Arial" w:cs="Arial"/>
          <w:sz w:val="24"/>
          <w:szCs w:val="24"/>
        </w:rPr>
      </w:pPr>
    </w:p>
    <w:p w14:paraId="0FACB5FD" w14:textId="77777777" w:rsidR="00385FAE" w:rsidRPr="00C3792D" w:rsidRDefault="005C509A" w:rsidP="00385FAE">
      <w:pPr>
        <w:pStyle w:val="ListParagraph"/>
        <w:numPr>
          <w:ilvl w:val="0"/>
          <w:numId w:val="1"/>
        </w:numPr>
        <w:spacing w:line="480" w:lineRule="auto"/>
        <w:jc w:val="both"/>
        <w:rPr>
          <w:rFonts w:ascii="Arial" w:hAnsi="Arial" w:cs="Arial"/>
          <w:sz w:val="24"/>
          <w:szCs w:val="24"/>
        </w:rPr>
      </w:pPr>
      <w:r w:rsidRPr="00C3792D">
        <w:rPr>
          <w:rFonts w:ascii="Arial" w:hAnsi="Arial" w:cs="Arial"/>
          <w:sz w:val="24"/>
          <w:szCs w:val="24"/>
        </w:rPr>
        <w:lastRenderedPageBreak/>
        <w:t>On appeal the specific question which the Supreme Court of Appeal had to answer was ‘whether the court was correct in law in refusing the state an opportunity to present the evidence of the complainant on the charges preferred?’</w:t>
      </w:r>
      <w:r w:rsidR="00EF3E83" w:rsidRPr="00C3792D">
        <w:rPr>
          <w:rFonts w:ascii="Arial" w:hAnsi="Arial" w:cs="Arial"/>
          <w:sz w:val="24"/>
          <w:szCs w:val="24"/>
        </w:rPr>
        <w:t xml:space="preserve"> In</w:t>
      </w:r>
      <w:r w:rsidRPr="00C3792D">
        <w:rPr>
          <w:rFonts w:ascii="Arial" w:hAnsi="Arial" w:cs="Arial"/>
          <w:sz w:val="24"/>
          <w:szCs w:val="24"/>
        </w:rPr>
        <w:t xml:space="preserve"> disagreeing with the finding</w:t>
      </w:r>
      <w:r w:rsidRPr="00C3792D">
        <w:rPr>
          <w:rFonts w:ascii="Arial" w:hAnsi="Arial" w:cs="Arial"/>
          <w:spacing w:val="-9"/>
          <w:sz w:val="24"/>
          <w:szCs w:val="24"/>
        </w:rPr>
        <w:t xml:space="preserve"> </w:t>
      </w:r>
      <w:r w:rsidRPr="00C3792D">
        <w:rPr>
          <w:rFonts w:ascii="Arial" w:hAnsi="Arial" w:cs="Arial"/>
          <w:sz w:val="24"/>
          <w:szCs w:val="24"/>
        </w:rPr>
        <w:t>made</w:t>
      </w:r>
      <w:r w:rsidRPr="00C3792D">
        <w:rPr>
          <w:rFonts w:ascii="Arial" w:hAnsi="Arial" w:cs="Arial"/>
          <w:spacing w:val="-9"/>
          <w:sz w:val="24"/>
          <w:szCs w:val="24"/>
        </w:rPr>
        <w:t xml:space="preserve"> </w:t>
      </w:r>
      <w:r w:rsidRPr="00C3792D">
        <w:rPr>
          <w:rFonts w:ascii="Arial" w:hAnsi="Arial" w:cs="Arial"/>
          <w:sz w:val="24"/>
          <w:szCs w:val="24"/>
        </w:rPr>
        <w:t>by</w:t>
      </w:r>
      <w:r w:rsidRPr="00C3792D">
        <w:rPr>
          <w:rFonts w:ascii="Arial" w:hAnsi="Arial" w:cs="Arial"/>
          <w:spacing w:val="-10"/>
          <w:sz w:val="24"/>
          <w:szCs w:val="24"/>
        </w:rPr>
        <w:t xml:space="preserve"> </w:t>
      </w:r>
      <w:r w:rsidRPr="00C3792D">
        <w:rPr>
          <w:rFonts w:ascii="Arial" w:hAnsi="Arial" w:cs="Arial"/>
          <w:sz w:val="24"/>
          <w:szCs w:val="24"/>
        </w:rPr>
        <w:t>the</w:t>
      </w:r>
      <w:r w:rsidRPr="00C3792D">
        <w:rPr>
          <w:rFonts w:ascii="Arial" w:hAnsi="Arial" w:cs="Arial"/>
          <w:spacing w:val="-9"/>
          <w:sz w:val="24"/>
          <w:szCs w:val="24"/>
        </w:rPr>
        <w:t xml:space="preserve"> </w:t>
      </w:r>
      <w:r w:rsidRPr="00C3792D">
        <w:rPr>
          <w:rFonts w:ascii="Arial" w:hAnsi="Arial" w:cs="Arial"/>
          <w:sz w:val="24"/>
          <w:szCs w:val="24"/>
        </w:rPr>
        <w:t>trial</w:t>
      </w:r>
      <w:r w:rsidRPr="00C3792D">
        <w:rPr>
          <w:rFonts w:ascii="Arial" w:hAnsi="Arial" w:cs="Arial"/>
          <w:spacing w:val="-9"/>
          <w:sz w:val="24"/>
          <w:szCs w:val="24"/>
        </w:rPr>
        <w:t xml:space="preserve"> </w:t>
      </w:r>
      <w:r w:rsidRPr="00C3792D">
        <w:rPr>
          <w:rFonts w:ascii="Arial" w:hAnsi="Arial" w:cs="Arial"/>
          <w:sz w:val="24"/>
          <w:szCs w:val="24"/>
        </w:rPr>
        <w:t>court</w:t>
      </w:r>
      <w:r w:rsidRPr="00C3792D">
        <w:rPr>
          <w:rFonts w:ascii="Arial" w:hAnsi="Arial" w:cs="Arial"/>
          <w:spacing w:val="-10"/>
          <w:sz w:val="24"/>
          <w:szCs w:val="24"/>
        </w:rPr>
        <w:t xml:space="preserve"> </w:t>
      </w:r>
      <w:proofErr w:type="spellStart"/>
      <w:r w:rsidRPr="00C3792D">
        <w:rPr>
          <w:rFonts w:ascii="Arial" w:hAnsi="Arial" w:cs="Arial"/>
          <w:sz w:val="24"/>
          <w:szCs w:val="24"/>
        </w:rPr>
        <w:t>Jafta</w:t>
      </w:r>
      <w:proofErr w:type="spellEnd"/>
      <w:r w:rsidRPr="00C3792D">
        <w:rPr>
          <w:rFonts w:ascii="Arial" w:hAnsi="Arial" w:cs="Arial"/>
          <w:spacing w:val="-10"/>
          <w:sz w:val="24"/>
          <w:szCs w:val="24"/>
        </w:rPr>
        <w:t xml:space="preserve"> </w:t>
      </w:r>
      <w:r w:rsidRPr="00C3792D">
        <w:rPr>
          <w:rFonts w:ascii="Arial" w:hAnsi="Arial" w:cs="Arial"/>
          <w:sz w:val="24"/>
          <w:szCs w:val="24"/>
        </w:rPr>
        <w:t>AJA</w:t>
      </w:r>
      <w:r w:rsidRPr="00C3792D">
        <w:rPr>
          <w:rFonts w:ascii="Arial" w:hAnsi="Arial" w:cs="Arial"/>
          <w:spacing w:val="-9"/>
          <w:sz w:val="24"/>
          <w:szCs w:val="24"/>
        </w:rPr>
        <w:t xml:space="preserve"> </w:t>
      </w:r>
      <w:r w:rsidRPr="00C3792D">
        <w:rPr>
          <w:rFonts w:ascii="Arial" w:hAnsi="Arial" w:cs="Arial"/>
          <w:sz w:val="24"/>
          <w:szCs w:val="24"/>
        </w:rPr>
        <w:t>clarified</w:t>
      </w:r>
      <w:r w:rsidRPr="00C3792D">
        <w:rPr>
          <w:rFonts w:ascii="Arial" w:hAnsi="Arial" w:cs="Arial"/>
          <w:spacing w:val="-10"/>
          <w:sz w:val="24"/>
          <w:szCs w:val="24"/>
        </w:rPr>
        <w:t xml:space="preserve"> </w:t>
      </w:r>
      <w:r w:rsidRPr="00C3792D">
        <w:rPr>
          <w:rFonts w:ascii="Arial" w:hAnsi="Arial" w:cs="Arial"/>
          <w:sz w:val="24"/>
          <w:szCs w:val="24"/>
        </w:rPr>
        <w:t>that</w:t>
      </w:r>
      <w:r w:rsidRPr="00C3792D">
        <w:rPr>
          <w:rFonts w:ascii="Arial" w:hAnsi="Arial" w:cs="Arial"/>
          <w:spacing w:val="-10"/>
          <w:sz w:val="24"/>
          <w:szCs w:val="24"/>
        </w:rPr>
        <w:t xml:space="preserve"> </w:t>
      </w:r>
      <w:r w:rsidRPr="00C3792D">
        <w:rPr>
          <w:rFonts w:ascii="Arial" w:hAnsi="Arial" w:cs="Arial"/>
          <w:sz w:val="24"/>
          <w:szCs w:val="24"/>
        </w:rPr>
        <w:t>‘it</w:t>
      </w:r>
      <w:r w:rsidRPr="00C3792D">
        <w:rPr>
          <w:rFonts w:ascii="Arial" w:hAnsi="Arial" w:cs="Arial"/>
          <w:spacing w:val="-10"/>
          <w:sz w:val="24"/>
          <w:szCs w:val="24"/>
        </w:rPr>
        <w:t xml:space="preserve"> </w:t>
      </w:r>
      <w:r w:rsidRPr="00C3792D">
        <w:rPr>
          <w:rFonts w:ascii="Arial" w:hAnsi="Arial" w:cs="Arial"/>
          <w:sz w:val="24"/>
          <w:szCs w:val="24"/>
        </w:rPr>
        <w:t>is</w:t>
      </w:r>
      <w:r w:rsidRPr="00C3792D">
        <w:rPr>
          <w:rFonts w:ascii="Arial" w:hAnsi="Arial" w:cs="Arial"/>
          <w:spacing w:val="-10"/>
          <w:sz w:val="24"/>
          <w:szCs w:val="24"/>
        </w:rPr>
        <w:t xml:space="preserve"> </w:t>
      </w:r>
      <w:r w:rsidRPr="00C3792D">
        <w:rPr>
          <w:rFonts w:ascii="Arial" w:hAnsi="Arial" w:cs="Arial"/>
          <w:sz w:val="24"/>
          <w:szCs w:val="24"/>
        </w:rPr>
        <w:t>only</w:t>
      </w:r>
      <w:r w:rsidRPr="00C3792D">
        <w:rPr>
          <w:rFonts w:ascii="Arial" w:hAnsi="Arial" w:cs="Arial"/>
          <w:spacing w:val="-10"/>
          <w:sz w:val="24"/>
          <w:szCs w:val="24"/>
        </w:rPr>
        <w:t xml:space="preserve"> </w:t>
      </w:r>
      <w:r w:rsidRPr="00C3792D">
        <w:rPr>
          <w:rFonts w:ascii="Arial" w:hAnsi="Arial" w:cs="Arial"/>
          <w:sz w:val="24"/>
          <w:szCs w:val="24"/>
        </w:rPr>
        <w:t>imbecility induced by “intoxication, or drugs or the like” that falls within the ambit of</w:t>
      </w:r>
      <w:r w:rsidRPr="00C3792D">
        <w:rPr>
          <w:rFonts w:ascii="Arial" w:hAnsi="Arial" w:cs="Arial"/>
          <w:spacing w:val="-12"/>
          <w:sz w:val="24"/>
          <w:szCs w:val="24"/>
        </w:rPr>
        <w:t xml:space="preserve"> </w:t>
      </w:r>
      <w:r w:rsidRPr="00C3792D">
        <w:rPr>
          <w:rFonts w:ascii="Arial" w:hAnsi="Arial" w:cs="Arial"/>
          <w:sz w:val="24"/>
          <w:szCs w:val="24"/>
        </w:rPr>
        <w:t>the</w:t>
      </w:r>
      <w:r w:rsidRPr="00C3792D">
        <w:rPr>
          <w:rFonts w:ascii="Arial" w:hAnsi="Arial" w:cs="Arial"/>
          <w:spacing w:val="-12"/>
          <w:sz w:val="24"/>
          <w:szCs w:val="24"/>
        </w:rPr>
        <w:t xml:space="preserve"> </w:t>
      </w:r>
      <w:r w:rsidRPr="00C3792D">
        <w:rPr>
          <w:rFonts w:ascii="Arial" w:hAnsi="Arial" w:cs="Arial"/>
          <w:sz w:val="24"/>
          <w:szCs w:val="24"/>
        </w:rPr>
        <w:t>section</w:t>
      </w:r>
      <w:r w:rsidRPr="00C3792D">
        <w:rPr>
          <w:rFonts w:ascii="Arial" w:hAnsi="Arial" w:cs="Arial"/>
          <w:spacing w:val="-12"/>
          <w:sz w:val="24"/>
          <w:szCs w:val="24"/>
        </w:rPr>
        <w:t xml:space="preserve"> </w:t>
      </w:r>
      <w:r w:rsidRPr="00C3792D">
        <w:rPr>
          <w:rFonts w:ascii="Arial" w:hAnsi="Arial" w:cs="Arial"/>
          <w:sz w:val="24"/>
          <w:szCs w:val="24"/>
        </w:rPr>
        <w:t>(and</w:t>
      </w:r>
      <w:r w:rsidRPr="00C3792D">
        <w:rPr>
          <w:rFonts w:ascii="Arial" w:hAnsi="Arial" w:cs="Arial"/>
          <w:spacing w:val="-10"/>
          <w:sz w:val="24"/>
          <w:szCs w:val="24"/>
        </w:rPr>
        <w:t xml:space="preserve"> </w:t>
      </w:r>
      <w:r w:rsidRPr="00C3792D">
        <w:rPr>
          <w:rFonts w:ascii="Arial" w:hAnsi="Arial" w:cs="Arial"/>
          <w:sz w:val="24"/>
          <w:szCs w:val="24"/>
        </w:rPr>
        <w:t>then</w:t>
      </w:r>
      <w:r w:rsidRPr="00C3792D">
        <w:rPr>
          <w:rFonts w:ascii="Arial" w:hAnsi="Arial" w:cs="Arial"/>
          <w:spacing w:val="-11"/>
          <w:sz w:val="24"/>
          <w:szCs w:val="24"/>
        </w:rPr>
        <w:t xml:space="preserve"> </w:t>
      </w:r>
      <w:r w:rsidRPr="00C3792D">
        <w:rPr>
          <w:rFonts w:ascii="Arial" w:hAnsi="Arial" w:cs="Arial"/>
          <w:sz w:val="24"/>
          <w:szCs w:val="24"/>
        </w:rPr>
        <w:t>only</w:t>
      </w:r>
      <w:r w:rsidRPr="00C3792D">
        <w:rPr>
          <w:rFonts w:ascii="Arial" w:hAnsi="Arial" w:cs="Arial"/>
          <w:spacing w:val="-11"/>
          <w:sz w:val="24"/>
          <w:szCs w:val="24"/>
        </w:rPr>
        <w:t xml:space="preserve"> </w:t>
      </w:r>
      <w:r w:rsidRPr="00C3792D">
        <w:rPr>
          <w:rFonts w:ascii="Arial" w:hAnsi="Arial" w:cs="Arial"/>
          <w:sz w:val="24"/>
          <w:szCs w:val="24"/>
        </w:rPr>
        <w:t>when</w:t>
      </w:r>
      <w:r w:rsidRPr="00C3792D">
        <w:rPr>
          <w:rFonts w:ascii="Arial" w:hAnsi="Arial" w:cs="Arial"/>
          <w:spacing w:val="-12"/>
          <w:sz w:val="24"/>
          <w:szCs w:val="24"/>
        </w:rPr>
        <w:t xml:space="preserve"> </w:t>
      </w:r>
      <w:r w:rsidRPr="00C3792D">
        <w:rPr>
          <w:rFonts w:ascii="Arial" w:hAnsi="Arial" w:cs="Arial"/>
          <w:sz w:val="24"/>
          <w:szCs w:val="24"/>
        </w:rPr>
        <w:t>the</w:t>
      </w:r>
      <w:r w:rsidRPr="00C3792D">
        <w:rPr>
          <w:rFonts w:ascii="Arial" w:hAnsi="Arial" w:cs="Arial"/>
          <w:spacing w:val="-10"/>
          <w:sz w:val="24"/>
          <w:szCs w:val="24"/>
        </w:rPr>
        <w:t xml:space="preserve"> </w:t>
      </w:r>
      <w:r w:rsidRPr="00C3792D">
        <w:rPr>
          <w:rFonts w:ascii="Arial" w:hAnsi="Arial" w:cs="Arial"/>
          <w:sz w:val="24"/>
          <w:szCs w:val="24"/>
        </w:rPr>
        <w:t>witness</w:t>
      </w:r>
      <w:r w:rsidRPr="00C3792D">
        <w:rPr>
          <w:rFonts w:ascii="Arial" w:hAnsi="Arial" w:cs="Arial"/>
          <w:spacing w:val="-11"/>
          <w:sz w:val="24"/>
          <w:szCs w:val="24"/>
        </w:rPr>
        <w:t xml:space="preserve"> </w:t>
      </w:r>
      <w:r w:rsidRPr="00C3792D">
        <w:rPr>
          <w:rFonts w:ascii="Arial" w:hAnsi="Arial" w:cs="Arial"/>
          <w:sz w:val="24"/>
          <w:szCs w:val="24"/>
        </w:rPr>
        <w:t>is</w:t>
      </w:r>
      <w:r w:rsidRPr="00C3792D">
        <w:rPr>
          <w:rFonts w:ascii="Arial" w:hAnsi="Arial" w:cs="Arial"/>
          <w:spacing w:val="-10"/>
          <w:sz w:val="24"/>
          <w:szCs w:val="24"/>
        </w:rPr>
        <w:t xml:space="preserve"> </w:t>
      </w:r>
      <w:r w:rsidRPr="00C3792D">
        <w:rPr>
          <w:rFonts w:ascii="Arial" w:hAnsi="Arial" w:cs="Arial"/>
          <w:sz w:val="24"/>
          <w:szCs w:val="24"/>
        </w:rPr>
        <w:t>deprived</w:t>
      </w:r>
      <w:r w:rsidRPr="00C3792D">
        <w:rPr>
          <w:rFonts w:ascii="Arial" w:hAnsi="Arial" w:cs="Arial"/>
          <w:spacing w:val="-12"/>
          <w:sz w:val="24"/>
          <w:szCs w:val="24"/>
        </w:rPr>
        <w:t xml:space="preserve"> </w:t>
      </w:r>
      <w:r w:rsidRPr="00C3792D">
        <w:rPr>
          <w:rFonts w:ascii="Arial" w:hAnsi="Arial" w:cs="Arial"/>
          <w:sz w:val="24"/>
          <w:szCs w:val="24"/>
        </w:rPr>
        <w:t>of</w:t>
      </w:r>
      <w:r w:rsidRPr="00C3792D">
        <w:rPr>
          <w:rFonts w:ascii="Arial" w:hAnsi="Arial" w:cs="Arial"/>
          <w:spacing w:val="-12"/>
          <w:sz w:val="24"/>
          <w:szCs w:val="24"/>
        </w:rPr>
        <w:t xml:space="preserve"> </w:t>
      </w:r>
      <w:r w:rsidRPr="00C3792D">
        <w:rPr>
          <w:rFonts w:ascii="Arial" w:hAnsi="Arial" w:cs="Arial"/>
          <w:sz w:val="24"/>
          <w:szCs w:val="24"/>
        </w:rPr>
        <w:t>the</w:t>
      </w:r>
      <w:r w:rsidRPr="00C3792D">
        <w:rPr>
          <w:rFonts w:ascii="Arial" w:hAnsi="Arial" w:cs="Arial"/>
          <w:spacing w:val="-12"/>
          <w:sz w:val="24"/>
          <w:szCs w:val="24"/>
        </w:rPr>
        <w:t xml:space="preserve"> </w:t>
      </w:r>
      <w:r w:rsidRPr="00C3792D">
        <w:rPr>
          <w:rFonts w:ascii="Arial" w:hAnsi="Arial" w:cs="Arial"/>
          <w:sz w:val="24"/>
          <w:szCs w:val="24"/>
        </w:rPr>
        <w:t>proper</w:t>
      </w:r>
      <w:r w:rsidRPr="00C3792D">
        <w:rPr>
          <w:rFonts w:ascii="Arial" w:hAnsi="Arial" w:cs="Arial"/>
          <w:spacing w:val="-10"/>
          <w:sz w:val="24"/>
          <w:szCs w:val="24"/>
        </w:rPr>
        <w:t xml:space="preserve"> </w:t>
      </w:r>
      <w:r w:rsidRPr="00C3792D">
        <w:rPr>
          <w:rFonts w:ascii="Arial" w:hAnsi="Arial" w:cs="Arial"/>
          <w:sz w:val="24"/>
          <w:szCs w:val="24"/>
        </w:rPr>
        <w:t>use</w:t>
      </w:r>
      <w:r w:rsidR="00EF3E83" w:rsidRPr="00C3792D">
        <w:rPr>
          <w:rFonts w:ascii="Arial" w:hAnsi="Arial" w:cs="Arial"/>
          <w:sz w:val="24"/>
          <w:szCs w:val="24"/>
        </w:rPr>
        <w:t xml:space="preserve"> </w:t>
      </w:r>
      <w:r w:rsidRPr="00C3792D">
        <w:rPr>
          <w:rFonts w:ascii="Arial" w:hAnsi="Arial" w:cs="Arial"/>
          <w:sz w:val="24"/>
          <w:szCs w:val="24"/>
        </w:rPr>
        <w:t>of</w:t>
      </w:r>
      <w:r w:rsidRPr="00C3792D">
        <w:rPr>
          <w:rFonts w:ascii="Arial" w:hAnsi="Arial" w:cs="Arial"/>
          <w:spacing w:val="-9"/>
          <w:sz w:val="24"/>
          <w:szCs w:val="24"/>
        </w:rPr>
        <w:t xml:space="preserve"> </w:t>
      </w:r>
      <w:r w:rsidRPr="00C3792D">
        <w:rPr>
          <w:rFonts w:ascii="Arial" w:hAnsi="Arial" w:cs="Arial"/>
          <w:sz w:val="24"/>
          <w:szCs w:val="24"/>
        </w:rPr>
        <w:t>his</w:t>
      </w:r>
      <w:r w:rsidRPr="00C3792D">
        <w:rPr>
          <w:rFonts w:ascii="Arial" w:hAnsi="Arial" w:cs="Arial"/>
          <w:spacing w:val="-9"/>
          <w:sz w:val="24"/>
          <w:szCs w:val="24"/>
        </w:rPr>
        <w:t xml:space="preserve"> </w:t>
      </w:r>
      <w:r w:rsidRPr="00C3792D">
        <w:rPr>
          <w:rFonts w:ascii="Arial" w:hAnsi="Arial" w:cs="Arial"/>
          <w:sz w:val="24"/>
          <w:szCs w:val="24"/>
        </w:rPr>
        <w:t>or</w:t>
      </w:r>
      <w:r w:rsidRPr="00C3792D">
        <w:rPr>
          <w:rFonts w:ascii="Arial" w:hAnsi="Arial" w:cs="Arial"/>
          <w:spacing w:val="-9"/>
          <w:sz w:val="24"/>
          <w:szCs w:val="24"/>
        </w:rPr>
        <w:t xml:space="preserve"> </w:t>
      </w:r>
      <w:r w:rsidRPr="00C3792D">
        <w:rPr>
          <w:rFonts w:ascii="Arial" w:hAnsi="Arial" w:cs="Arial"/>
          <w:sz w:val="24"/>
          <w:szCs w:val="24"/>
        </w:rPr>
        <w:t>her</w:t>
      </w:r>
      <w:r w:rsidRPr="00C3792D">
        <w:rPr>
          <w:rFonts w:ascii="Arial" w:hAnsi="Arial" w:cs="Arial"/>
          <w:spacing w:val="-9"/>
          <w:sz w:val="24"/>
          <w:szCs w:val="24"/>
        </w:rPr>
        <w:t xml:space="preserve"> </w:t>
      </w:r>
      <w:r w:rsidRPr="00C3792D">
        <w:rPr>
          <w:rFonts w:ascii="Arial" w:hAnsi="Arial" w:cs="Arial"/>
          <w:sz w:val="24"/>
          <w:szCs w:val="24"/>
        </w:rPr>
        <w:t>reason)’.</w:t>
      </w:r>
      <w:r w:rsidRPr="00C3792D">
        <w:rPr>
          <w:rFonts w:ascii="Arial" w:hAnsi="Arial" w:cs="Arial"/>
          <w:spacing w:val="-7"/>
          <w:position w:val="8"/>
          <w:sz w:val="24"/>
          <w:szCs w:val="24"/>
        </w:rPr>
        <w:t xml:space="preserve"> </w:t>
      </w:r>
      <w:r w:rsidRPr="00C3792D">
        <w:rPr>
          <w:rFonts w:ascii="Arial" w:hAnsi="Arial" w:cs="Arial"/>
          <w:sz w:val="24"/>
          <w:szCs w:val="24"/>
        </w:rPr>
        <w:t>He</w:t>
      </w:r>
      <w:r w:rsidRPr="00C3792D">
        <w:rPr>
          <w:rFonts w:ascii="Arial" w:hAnsi="Arial" w:cs="Arial"/>
          <w:spacing w:val="-9"/>
          <w:sz w:val="24"/>
          <w:szCs w:val="24"/>
        </w:rPr>
        <w:t xml:space="preserve"> </w:t>
      </w:r>
      <w:r w:rsidRPr="00C3792D">
        <w:rPr>
          <w:rFonts w:ascii="Arial" w:hAnsi="Arial" w:cs="Arial"/>
          <w:sz w:val="24"/>
          <w:szCs w:val="24"/>
        </w:rPr>
        <w:t>concluded</w:t>
      </w:r>
      <w:r w:rsidRPr="00C3792D">
        <w:rPr>
          <w:rFonts w:ascii="Arial" w:hAnsi="Arial" w:cs="Arial"/>
          <w:spacing w:val="-7"/>
          <w:sz w:val="24"/>
          <w:szCs w:val="24"/>
        </w:rPr>
        <w:t xml:space="preserve"> </w:t>
      </w:r>
      <w:r w:rsidRPr="00C3792D">
        <w:rPr>
          <w:rFonts w:ascii="Arial" w:hAnsi="Arial" w:cs="Arial"/>
          <w:sz w:val="24"/>
          <w:szCs w:val="24"/>
        </w:rPr>
        <w:t>that</w:t>
      </w:r>
      <w:r w:rsidRPr="00C3792D">
        <w:rPr>
          <w:rFonts w:ascii="Arial" w:hAnsi="Arial" w:cs="Arial"/>
          <w:spacing w:val="-9"/>
          <w:sz w:val="24"/>
          <w:szCs w:val="24"/>
        </w:rPr>
        <w:t xml:space="preserve"> </w:t>
      </w:r>
      <w:r w:rsidRPr="00C3792D">
        <w:rPr>
          <w:rFonts w:ascii="Arial" w:hAnsi="Arial" w:cs="Arial"/>
          <w:sz w:val="24"/>
          <w:szCs w:val="24"/>
        </w:rPr>
        <w:t>the</w:t>
      </w:r>
      <w:r w:rsidRPr="00C3792D">
        <w:rPr>
          <w:rFonts w:ascii="Arial" w:hAnsi="Arial" w:cs="Arial"/>
          <w:spacing w:val="-9"/>
          <w:sz w:val="24"/>
          <w:szCs w:val="24"/>
        </w:rPr>
        <w:t xml:space="preserve"> </w:t>
      </w:r>
      <w:r w:rsidRPr="00C3792D">
        <w:rPr>
          <w:rFonts w:ascii="Arial" w:hAnsi="Arial" w:cs="Arial"/>
          <w:sz w:val="24"/>
          <w:szCs w:val="24"/>
        </w:rPr>
        <w:t>evidence</w:t>
      </w:r>
      <w:r w:rsidRPr="00C3792D">
        <w:rPr>
          <w:rFonts w:ascii="Arial" w:hAnsi="Arial" w:cs="Arial"/>
          <w:spacing w:val="-9"/>
          <w:sz w:val="24"/>
          <w:szCs w:val="24"/>
        </w:rPr>
        <w:t xml:space="preserve"> </w:t>
      </w:r>
      <w:r w:rsidRPr="00C3792D">
        <w:rPr>
          <w:rFonts w:ascii="Arial" w:hAnsi="Arial" w:cs="Arial"/>
          <w:sz w:val="24"/>
          <w:szCs w:val="24"/>
        </w:rPr>
        <w:t>led</w:t>
      </w:r>
      <w:r w:rsidRPr="00C3792D">
        <w:rPr>
          <w:rFonts w:ascii="Arial" w:hAnsi="Arial" w:cs="Arial"/>
          <w:spacing w:val="-9"/>
          <w:sz w:val="24"/>
          <w:szCs w:val="24"/>
        </w:rPr>
        <w:t xml:space="preserve"> </w:t>
      </w:r>
      <w:r w:rsidRPr="00C3792D">
        <w:rPr>
          <w:rFonts w:ascii="Arial" w:hAnsi="Arial" w:cs="Arial"/>
          <w:sz w:val="24"/>
          <w:szCs w:val="24"/>
        </w:rPr>
        <w:t>did</w:t>
      </w:r>
      <w:r w:rsidRPr="00C3792D">
        <w:rPr>
          <w:rFonts w:ascii="Arial" w:hAnsi="Arial" w:cs="Arial"/>
          <w:spacing w:val="-9"/>
          <w:sz w:val="24"/>
          <w:szCs w:val="24"/>
        </w:rPr>
        <w:t xml:space="preserve"> </w:t>
      </w:r>
      <w:r w:rsidRPr="00C3792D">
        <w:rPr>
          <w:rFonts w:ascii="Arial" w:hAnsi="Arial" w:cs="Arial"/>
          <w:sz w:val="24"/>
          <w:szCs w:val="24"/>
        </w:rPr>
        <w:t>not</w:t>
      </w:r>
      <w:r w:rsidRPr="00C3792D">
        <w:rPr>
          <w:rFonts w:ascii="Arial" w:hAnsi="Arial" w:cs="Arial"/>
          <w:spacing w:val="-9"/>
          <w:sz w:val="24"/>
          <w:szCs w:val="24"/>
        </w:rPr>
        <w:t xml:space="preserve"> </w:t>
      </w:r>
      <w:r w:rsidRPr="00C3792D">
        <w:rPr>
          <w:rFonts w:ascii="Arial" w:hAnsi="Arial" w:cs="Arial"/>
          <w:sz w:val="24"/>
          <w:szCs w:val="24"/>
        </w:rPr>
        <w:t>suggest that the complainant was deprived of the proper use of her reason. It simply</w:t>
      </w:r>
      <w:r w:rsidRPr="00C3792D">
        <w:rPr>
          <w:rFonts w:ascii="Arial" w:hAnsi="Arial" w:cs="Arial"/>
          <w:spacing w:val="-7"/>
          <w:sz w:val="24"/>
          <w:szCs w:val="24"/>
        </w:rPr>
        <w:t xml:space="preserve"> </w:t>
      </w:r>
      <w:r w:rsidRPr="00C3792D">
        <w:rPr>
          <w:rFonts w:ascii="Arial" w:hAnsi="Arial" w:cs="Arial"/>
          <w:sz w:val="24"/>
          <w:szCs w:val="24"/>
        </w:rPr>
        <w:t>showed</w:t>
      </w:r>
      <w:r w:rsidRPr="00C3792D">
        <w:rPr>
          <w:rFonts w:ascii="Arial" w:hAnsi="Arial" w:cs="Arial"/>
          <w:spacing w:val="-5"/>
          <w:sz w:val="24"/>
          <w:szCs w:val="24"/>
        </w:rPr>
        <w:t xml:space="preserve"> </w:t>
      </w:r>
      <w:r w:rsidRPr="00C3792D">
        <w:rPr>
          <w:rFonts w:ascii="Arial" w:hAnsi="Arial" w:cs="Arial"/>
          <w:sz w:val="24"/>
          <w:szCs w:val="24"/>
        </w:rPr>
        <w:t>that</w:t>
      </w:r>
      <w:r w:rsidRPr="00C3792D">
        <w:rPr>
          <w:rFonts w:ascii="Arial" w:hAnsi="Arial" w:cs="Arial"/>
          <w:spacing w:val="-5"/>
          <w:sz w:val="24"/>
          <w:szCs w:val="24"/>
        </w:rPr>
        <w:t xml:space="preserve"> </w:t>
      </w:r>
      <w:r w:rsidRPr="00C3792D">
        <w:rPr>
          <w:rFonts w:ascii="Arial" w:hAnsi="Arial" w:cs="Arial"/>
          <w:sz w:val="24"/>
          <w:szCs w:val="24"/>
        </w:rPr>
        <w:t>she</w:t>
      </w:r>
      <w:r w:rsidRPr="00C3792D">
        <w:rPr>
          <w:rFonts w:ascii="Arial" w:hAnsi="Arial" w:cs="Arial"/>
          <w:spacing w:val="-5"/>
          <w:sz w:val="24"/>
          <w:szCs w:val="24"/>
        </w:rPr>
        <w:t xml:space="preserve"> </w:t>
      </w:r>
      <w:r w:rsidRPr="00C3792D">
        <w:rPr>
          <w:rFonts w:ascii="Arial" w:hAnsi="Arial" w:cs="Arial"/>
          <w:sz w:val="24"/>
          <w:szCs w:val="24"/>
        </w:rPr>
        <w:t>had</w:t>
      </w:r>
      <w:r w:rsidRPr="00C3792D">
        <w:rPr>
          <w:rFonts w:ascii="Arial" w:hAnsi="Arial" w:cs="Arial"/>
          <w:spacing w:val="-5"/>
          <w:sz w:val="24"/>
          <w:szCs w:val="24"/>
        </w:rPr>
        <w:t xml:space="preserve"> </w:t>
      </w:r>
      <w:r w:rsidRPr="00C3792D">
        <w:rPr>
          <w:rFonts w:ascii="Arial" w:hAnsi="Arial" w:cs="Arial"/>
          <w:sz w:val="24"/>
          <w:szCs w:val="24"/>
        </w:rPr>
        <w:t>‘limited</w:t>
      </w:r>
      <w:r w:rsidRPr="00C3792D">
        <w:rPr>
          <w:rFonts w:ascii="Arial" w:hAnsi="Arial" w:cs="Arial"/>
          <w:spacing w:val="-7"/>
          <w:sz w:val="24"/>
          <w:szCs w:val="24"/>
        </w:rPr>
        <w:t xml:space="preserve"> </w:t>
      </w:r>
      <w:r w:rsidRPr="00C3792D">
        <w:rPr>
          <w:rFonts w:ascii="Arial" w:hAnsi="Arial" w:cs="Arial"/>
          <w:sz w:val="24"/>
          <w:szCs w:val="24"/>
        </w:rPr>
        <w:t>mental</w:t>
      </w:r>
      <w:r w:rsidRPr="00C3792D">
        <w:rPr>
          <w:rFonts w:ascii="Arial" w:hAnsi="Arial" w:cs="Arial"/>
          <w:spacing w:val="-4"/>
          <w:sz w:val="24"/>
          <w:szCs w:val="24"/>
        </w:rPr>
        <w:t xml:space="preserve"> </w:t>
      </w:r>
      <w:r w:rsidRPr="00C3792D">
        <w:rPr>
          <w:rFonts w:ascii="Arial" w:hAnsi="Arial" w:cs="Arial"/>
          <w:sz w:val="24"/>
          <w:szCs w:val="24"/>
        </w:rPr>
        <w:t>capacity’.</w:t>
      </w:r>
      <w:r w:rsidR="00EF3E83" w:rsidRPr="00C3792D">
        <w:rPr>
          <w:rFonts w:ascii="Arial" w:hAnsi="Arial" w:cs="Arial"/>
          <w:position w:val="8"/>
          <w:sz w:val="24"/>
          <w:szCs w:val="24"/>
        </w:rPr>
        <w:t xml:space="preserve"> </w:t>
      </w:r>
      <w:proofErr w:type="spellStart"/>
      <w:r w:rsidRPr="00C3792D">
        <w:rPr>
          <w:rFonts w:ascii="Arial" w:hAnsi="Arial" w:cs="Arial"/>
          <w:sz w:val="24"/>
          <w:szCs w:val="24"/>
        </w:rPr>
        <w:t>Jafta</w:t>
      </w:r>
      <w:proofErr w:type="spellEnd"/>
      <w:r w:rsidRPr="00C3792D">
        <w:rPr>
          <w:rFonts w:ascii="Arial" w:hAnsi="Arial" w:cs="Arial"/>
          <w:spacing w:val="-6"/>
          <w:sz w:val="24"/>
          <w:szCs w:val="24"/>
        </w:rPr>
        <w:t xml:space="preserve"> </w:t>
      </w:r>
      <w:r w:rsidRPr="00C3792D">
        <w:rPr>
          <w:rFonts w:ascii="Arial" w:hAnsi="Arial" w:cs="Arial"/>
          <w:sz w:val="24"/>
          <w:szCs w:val="24"/>
        </w:rPr>
        <w:t>AJA</w:t>
      </w:r>
      <w:r w:rsidRPr="00C3792D">
        <w:rPr>
          <w:rFonts w:ascii="Arial" w:hAnsi="Arial" w:cs="Arial"/>
          <w:spacing w:val="-6"/>
          <w:sz w:val="24"/>
          <w:szCs w:val="24"/>
        </w:rPr>
        <w:t xml:space="preserve"> </w:t>
      </w:r>
      <w:r w:rsidRPr="00C3792D">
        <w:rPr>
          <w:rFonts w:ascii="Arial" w:hAnsi="Arial" w:cs="Arial"/>
          <w:sz w:val="24"/>
          <w:szCs w:val="24"/>
        </w:rPr>
        <w:t>argued</w:t>
      </w:r>
      <w:r w:rsidR="00EF3E83" w:rsidRPr="00C3792D">
        <w:rPr>
          <w:rFonts w:ascii="Arial" w:hAnsi="Arial" w:cs="Arial"/>
          <w:sz w:val="24"/>
          <w:szCs w:val="24"/>
        </w:rPr>
        <w:t xml:space="preserve"> </w:t>
      </w:r>
      <w:r w:rsidRPr="00C3792D">
        <w:rPr>
          <w:rFonts w:ascii="Arial" w:hAnsi="Arial" w:cs="Arial"/>
          <w:sz w:val="24"/>
          <w:szCs w:val="24"/>
        </w:rPr>
        <w:t>that evidence led at trial showed that she did not suffer from a mental illness, but that she was merely an ‘imbecile’ and that alone did not make her incompetent to testify.</w:t>
      </w:r>
      <w:r w:rsidR="00EF3E83" w:rsidRPr="00C3792D">
        <w:rPr>
          <w:rFonts w:ascii="Arial" w:hAnsi="Arial" w:cs="Arial"/>
          <w:position w:val="8"/>
          <w:sz w:val="24"/>
          <w:szCs w:val="24"/>
        </w:rPr>
        <w:t xml:space="preserve"> </w:t>
      </w:r>
      <w:r w:rsidRPr="00C3792D">
        <w:rPr>
          <w:rFonts w:ascii="Arial" w:hAnsi="Arial" w:cs="Arial"/>
          <w:sz w:val="24"/>
          <w:szCs w:val="24"/>
        </w:rPr>
        <w:t>It was therefore, held that she did not fall</w:t>
      </w:r>
      <w:r w:rsidR="00EF3E83" w:rsidRPr="00C3792D">
        <w:rPr>
          <w:rFonts w:ascii="Arial" w:hAnsi="Arial" w:cs="Arial"/>
          <w:sz w:val="24"/>
          <w:szCs w:val="24"/>
        </w:rPr>
        <w:t xml:space="preserve"> </w:t>
      </w:r>
      <w:r w:rsidRPr="00C3792D">
        <w:rPr>
          <w:rFonts w:ascii="Arial" w:hAnsi="Arial" w:cs="Arial"/>
          <w:sz w:val="24"/>
          <w:szCs w:val="24"/>
        </w:rPr>
        <w:t>within the ambit of section 194 and she was in fact competent to testify.</w:t>
      </w:r>
      <w:r w:rsidR="00EF3E83" w:rsidRPr="00C3792D">
        <w:rPr>
          <w:rFonts w:ascii="Arial" w:hAnsi="Arial" w:cs="Arial"/>
          <w:sz w:val="24"/>
          <w:szCs w:val="24"/>
        </w:rPr>
        <w:t xml:space="preserve"> </w:t>
      </w:r>
    </w:p>
    <w:p w14:paraId="6FCE51B8" w14:textId="77777777" w:rsidR="00385FAE" w:rsidRPr="00C3792D" w:rsidRDefault="00385FAE" w:rsidP="00385FAE">
      <w:pPr>
        <w:pStyle w:val="ListParagraph"/>
        <w:spacing w:line="480" w:lineRule="auto"/>
        <w:ind w:left="360"/>
        <w:jc w:val="both"/>
        <w:rPr>
          <w:rFonts w:ascii="Arial" w:hAnsi="Arial" w:cs="Arial"/>
          <w:sz w:val="24"/>
          <w:szCs w:val="24"/>
        </w:rPr>
      </w:pPr>
      <w:r w:rsidRPr="00C3792D">
        <w:rPr>
          <w:rFonts w:ascii="Arial" w:hAnsi="Arial" w:cs="Arial"/>
          <w:sz w:val="24"/>
          <w:szCs w:val="24"/>
        </w:rPr>
        <w:t xml:space="preserve"> </w:t>
      </w:r>
    </w:p>
    <w:p w14:paraId="5922037E" w14:textId="77777777" w:rsidR="00385FAE" w:rsidRPr="00C3792D" w:rsidRDefault="00385FAE" w:rsidP="00385FAE">
      <w:pPr>
        <w:pStyle w:val="ListParagraph"/>
        <w:numPr>
          <w:ilvl w:val="0"/>
          <w:numId w:val="1"/>
        </w:numPr>
        <w:spacing w:line="480" w:lineRule="auto"/>
        <w:jc w:val="both"/>
        <w:rPr>
          <w:rFonts w:ascii="Arial" w:hAnsi="Arial" w:cs="Arial"/>
          <w:sz w:val="24"/>
          <w:szCs w:val="24"/>
        </w:rPr>
      </w:pPr>
      <w:r w:rsidRPr="00C3792D">
        <w:rPr>
          <w:rFonts w:ascii="Arial" w:hAnsi="Arial" w:cs="Arial"/>
          <w:sz w:val="24"/>
          <w:szCs w:val="24"/>
        </w:rPr>
        <w:t>Following this decision, it is now settled in South Africa that section 194 need not necessarily apply to persons with intellectual disabilities but instead</w:t>
      </w:r>
      <w:r w:rsidRPr="00C3792D">
        <w:rPr>
          <w:rFonts w:ascii="Arial" w:hAnsi="Arial" w:cs="Arial"/>
          <w:spacing w:val="-7"/>
          <w:sz w:val="24"/>
          <w:szCs w:val="24"/>
        </w:rPr>
        <w:t xml:space="preserve"> </w:t>
      </w:r>
      <w:r w:rsidRPr="00C3792D">
        <w:rPr>
          <w:rFonts w:ascii="Arial" w:hAnsi="Arial" w:cs="Arial"/>
          <w:sz w:val="24"/>
          <w:szCs w:val="24"/>
        </w:rPr>
        <w:t>it</w:t>
      </w:r>
      <w:r w:rsidRPr="00C3792D">
        <w:rPr>
          <w:rFonts w:ascii="Arial" w:hAnsi="Arial" w:cs="Arial"/>
          <w:spacing w:val="-6"/>
          <w:sz w:val="24"/>
          <w:szCs w:val="24"/>
        </w:rPr>
        <w:t xml:space="preserve"> </w:t>
      </w:r>
      <w:r w:rsidRPr="00C3792D">
        <w:rPr>
          <w:rFonts w:ascii="Arial" w:hAnsi="Arial" w:cs="Arial"/>
          <w:sz w:val="24"/>
          <w:szCs w:val="24"/>
        </w:rPr>
        <w:t>applies</w:t>
      </w:r>
      <w:r w:rsidRPr="00C3792D">
        <w:rPr>
          <w:rFonts w:ascii="Arial" w:hAnsi="Arial" w:cs="Arial"/>
          <w:spacing w:val="-5"/>
          <w:sz w:val="24"/>
          <w:szCs w:val="24"/>
        </w:rPr>
        <w:t xml:space="preserve"> </w:t>
      </w:r>
      <w:r w:rsidRPr="00C3792D">
        <w:rPr>
          <w:rFonts w:ascii="Arial" w:hAnsi="Arial" w:cs="Arial"/>
          <w:sz w:val="24"/>
          <w:szCs w:val="24"/>
        </w:rPr>
        <w:t>to</w:t>
      </w:r>
      <w:r w:rsidRPr="00C3792D">
        <w:rPr>
          <w:rFonts w:ascii="Arial" w:hAnsi="Arial" w:cs="Arial"/>
          <w:spacing w:val="-8"/>
          <w:sz w:val="24"/>
          <w:szCs w:val="24"/>
        </w:rPr>
        <w:t xml:space="preserve"> </w:t>
      </w:r>
      <w:r w:rsidRPr="00C3792D">
        <w:rPr>
          <w:rFonts w:ascii="Arial" w:hAnsi="Arial" w:cs="Arial"/>
          <w:sz w:val="24"/>
          <w:szCs w:val="24"/>
        </w:rPr>
        <w:t>cases</w:t>
      </w:r>
      <w:r w:rsidRPr="00C3792D">
        <w:rPr>
          <w:rFonts w:ascii="Arial" w:hAnsi="Arial" w:cs="Arial"/>
          <w:spacing w:val="-6"/>
          <w:sz w:val="24"/>
          <w:szCs w:val="24"/>
        </w:rPr>
        <w:t xml:space="preserve"> </w:t>
      </w:r>
      <w:r w:rsidRPr="00C3792D">
        <w:rPr>
          <w:rFonts w:ascii="Arial" w:hAnsi="Arial" w:cs="Arial"/>
          <w:sz w:val="24"/>
          <w:szCs w:val="24"/>
        </w:rPr>
        <w:t>of</w:t>
      </w:r>
      <w:r w:rsidRPr="00C3792D">
        <w:rPr>
          <w:rFonts w:ascii="Arial" w:hAnsi="Arial" w:cs="Arial"/>
          <w:spacing w:val="-6"/>
          <w:sz w:val="24"/>
          <w:szCs w:val="24"/>
        </w:rPr>
        <w:t xml:space="preserve"> </w:t>
      </w:r>
      <w:r w:rsidRPr="00C3792D">
        <w:rPr>
          <w:rFonts w:ascii="Arial" w:hAnsi="Arial" w:cs="Arial"/>
          <w:sz w:val="24"/>
          <w:szCs w:val="24"/>
        </w:rPr>
        <w:t>mental</w:t>
      </w:r>
      <w:r w:rsidRPr="00C3792D">
        <w:rPr>
          <w:rFonts w:ascii="Arial" w:hAnsi="Arial" w:cs="Arial"/>
          <w:spacing w:val="-6"/>
          <w:sz w:val="24"/>
          <w:szCs w:val="24"/>
        </w:rPr>
        <w:t xml:space="preserve"> </w:t>
      </w:r>
      <w:r w:rsidRPr="00C3792D">
        <w:rPr>
          <w:rFonts w:ascii="Arial" w:hAnsi="Arial" w:cs="Arial"/>
          <w:sz w:val="24"/>
          <w:szCs w:val="24"/>
        </w:rPr>
        <w:t>illness</w:t>
      </w:r>
      <w:r w:rsidRPr="00C3792D">
        <w:rPr>
          <w:rFonts w:ascii="Arial" w:hAnsi="Arial" w:cs="Arial"/>
          <w:spacing w:val="-5"/>
          <w:sz w:val="24"/>
          <w:szCs w:val="24"/>
        </w:rPr>
        <w:t xml:space="preserve"> </w:t>
      </w:r>
      <w:r w:rsidRPr="00C3792D">
        <w:rPr>
          <w:rFonts w:ascii="Arial" w:hAnsi="Arial" w:cs="Arial"/>
          <w:sz w:val="24"/>
          <w:szCs w:val="24"/>
        </w:rPr>
        <w:t>or</w:t>
      </w:r>
      <w:r w:rsidRPr="00C3792D">
        <w:rPr>
          <w:rFonts w:ascii="Arial" w:hAnsi="Arial" w:cs="Arial"/>
          <w:spacing w:val="-7"/>
          <w:sz w:val="24"/>
          <w:szCs w:val="24"/>
        </w:rPr>
        <w:t xml:space="preserve"> </w:t>
      </w:r>
      <w:r w:rsidRPr="00C3792D">
        <w:rPr>
          <w:rFonts w:ascii="Arial" w:hAnsi="Arial" w:cs="Arial"/>
          <w:sz w:val="24"/>
          <w:szCs w:val="24"/>
        </w:rPr>
        <w:t>‘imbecility’,</w:t>
      </w:r>
      <w:r w:rsidRPr="00C3792D">
        <w:rPr>
          <w:rFonts w:ascii="Arial" w:hAnsi="Arial" w:cs="Arial"/>
          <w:spacing w:val="-7"/>
          <w:sz w:val="24"/>
          <w:szCs w:val="24"/>
        </w:rPr>
        <w:t xml:space="preserve"> </w:t>
      </w:r>
      <w:r w:rsidRPr="00C3792D">
        <w:rPr>
          <w:rFonts w:ascii="Arial" w:hAnsi="Arial" w:cs="Arial"/>
          <w:b/>
          <w:sz w:val="24"/>
          <w:szCs w:val="24"/>
        </w:rPr>
        <w:t>that</w:t>
      </w:r>
      <w:r w:rsidRPr="00C3792D">
        <w:rPr>
          <w:rFonts w:ascii="Arial" w:hAnsi="Arial" w:cs="Arial"/>
          <w:b/>
          <w:spacing w:val="-7"/>
          <w:sz w:val="24"/>
          <w:szCs w:val="24"/>
        </w:rPr>
        <w:t xml:space="preserve"> </w:t>
      </w:r>
      <w:r w:rsidRPr="00C3792D">
        <w:rPr>
          <w:rFonts w:ascii="Arial" w:hAnsi="Arial" w:cs="Arial"/>
          <w:b/>
          <w:sz w:val="24"/>
          <w:szCs w:val="24"/>
        </w:rPr>
        <w:t>results</w:t>
      </w:r>
      <w:r w:rsidRPr="00C3792D">
        <w:rPr>
          <w:rFonts w:ascii="Arial" w:hAnsi="Arial" w:cs="Arial"/>
          <w:b/>
          <w:spacing w:val="-5"/>
          <w:sz w:val="24"/>
          <w:szCs w:val="24"/>
        </w:rPr>
        <w:t xml:space="preserve"> </w:t>
      </w:r>
      <w:r w:rsidRPr="00C3792D">
        <w:rPr>
          <w:rFonts w:ascii="Arial" w:hAnsi="Arial" w:cs="Arial"/>
          <w:b/>
          <w:sz w:val="24"/>
          <w:szCs w:val="24"/>
        </w:rPr>
        <w:t>from intoxication or drugs</w:t>
      </w:r>
      <w:r w:rsidRPr="00C3792D">
        <w:rPr>
          <w:rFonts w:ascii="Arial" w:hAnsi="Arial" w:cs="Arial"/>
          <w:sz w:val="24"/>
          <w:szCs w:val="24"/>
        </w:rPr>
        <w:t xml:space="preserve"> and which affects a person’s powers of reason. This is particularly because of the requirement it creates for the court to conduct an inquiry into the cause of ‘imbecility’.</w:t>
      </w:r>
      <w:r w:rsidRPr="00C3792D">
        <w:rPr>
          <w:rStyle w:val="FootnoteReference"/>
          <w:rFonts w:ascii="Arial" w:hAnsi="Arial" w:cs="Arial"/>
          <w:sz w:val="24"/>
          <w:szCs w:val="24"/>
        </w:rPr>
        <w:footnoteReference w:id="10"/>
      </w:r>
      <w:r w:rsidRPr="00C3792D">
        <w:rPr>
          <w:rFonts w:ascii="Arial" w:hAnsi="Arial" w:cs="Arial"/>
          <w:position w:val="8"/>
          <w:sz w:val="24"/>
          <w:szCs w:val="24"/>
        </w:rPr>
        <w:t xml:space="preserve"> </w:t>
      </w:r>
      <w:r w:rsidRPr="00C3792D">
        <w:rPr>
          <w:rFonts w:ascii="Arial" w:hAnsi="Arial" w:cs="Arial"/>
          <w:sz w:val="24"/>
          <w:szCs w:val="24"/>
        </w:rPr>
        <w:t xml:space="preserve">In holding that the trial court’s ruling in </w:t>
      </w:r>
      <w:proofErr w:type="spellStart"/>
      <w:r w:rsidRPr="00C3792D">
        <w:rPr>
          <w:rFonts w:ascii="Arial" w:hAnsi="Arial" w:cs="Arial"/>
          <w:i/>
          <w:iCs/>
          <w:sz w:val="24"/>
          <w:szCs w:val="24"/>
        </w:rPr>
        <w:t>Katoo</w:t>
      </w:r>
      <w:proofErr w:type="spellEnd"/>
      <w:r w:rsidRPr="00C3792D">
        <w:rPr>
          <w:rFonts w:ascii="Arial" w:hAnsi="Arial" w:cs="Arial"/>
          <w:i/>
          <w:iCs/>
          <w:spacing w:val="-3"/>
          <w:sz w:val="24"/>
          <w:szCs w:val="24"/>
        </w:rPr>
        <w:t xml:space="preserve"> </w:t>
      </w:r>
      <w:r w:rsidRPr="00C3792D">
        <w:rPr>
          <w:rFonts w:ascii="Arial" w:hAnsi="Arial" w:cs="Arial"/>
          <w:sz w:val="24"/>
          <w:szCs w:val="24"/>
        </w:rPr>
        <w:t>was</w:t>
      </w:r>
      <w:r w:rsidRPr="00C3792D">
        <w:rPr>
          <w:rFonts w:ascii="Arial" w:hAnsi="Arial" w:cs="Arial"/>
          <w:spacing w:val="-6"/>
          <w:sz w:val="24"/>
          <w:szCs w:val="24"/>
        </w:rPr>
        <w:t xml:space="preserve"> </w:t>
      </w:r>
      <w:r w:rsidRPr="00C3792D">
        <w:rPr>
          <w:rFonts w:ascii="Arial" w:hAnsi="Arial" w:cs="Arial"/>
          <w:sz w:val="24"/>
          <w:szCs w:val="24"/>
        </w:rPr>
        <w:t>an</w:t>
      </w:r>
      <w:r w:rsidRPr="00C3792D">
        <w:rPr>
          <w:rFonts w:ascii="Arial" w:hAnsi="Arial" w:cs="Arial"/>
          <w:spacing w:val="-5"/>
          <w:sz w:val="24"/>
          <w:szCs w:val="24"/>
        </w:rPr>
        <w:t xml:space="preserve"> </w:t>
      </w:r>
      <w:r w:rsidRPr="00C3792D">
        <w:rPr>
          <w:rFonts w:ascii="Arial" w:hAnsi="Arial" w:cs="Arial"/>
          <w:sz w:val="24"/>
          <w:szCs w:val="24"/>
        </w:rPr>
        <w:t>irregularity</w:t>
      </w:r>
      <w:r w:rsidRPr="00C3792D">
        <w:rPr>
          <w:rFonts w:ascii="Arial" w:hAnsi="Arial" w:cs="Arial"/>
          <w:spacing w:val="-6"/>
          <w:sz w:val="24"/>
          <w:szCs w:val="24"/>
        </w:rPr>
        <w:t xml:space="preserve"> </w:t>
      </w:r>
      <w:r w:rsidRPr="00C3792D">
        <w:rPr>
          <w:rFonts w:ascii="Arial" w:hAnsi="Arial" w:cs="Arial"/>
          <w:sz w:val="24"/>
          <w:szCs w:val="24"/>
        </w:rPr>
        <w:t>and</w:t>
      </w:r>
      <w:r w:rsidRPr="00C3792D">
        <w:rPr>
          <w:rFonts w:ascii="Arial" w:hAnsi="Arial" w:cs="Arial"/>
          <w:spacing w:val="-6"/>
          <w:sz w:val="24"/>
          <w:szCs w:val="24"/>
        </w:rPr>
        <w:t xml:space="preserve"> </w:t>
      </w:r>
      <w:r w:rsidRPr="00C3792D">
        <w:rPr>
          <w:rFonts w:ascii="Arial" w:hAnsi="Arial" w:cs="Arial"/>
          <w:sz w:val="24"/>
          <w:szCs w:val="24"/>
        </w:rPr>
        <w:t>a</w:t>
      </w:r>
      <w:r w:rsidRPr="00C3792D">
        <w:rPr>
          <w:rFonts w:ascii="Arial" w:hAnsi="Arial" w:cs="Arial"/>
          <w:spacing w:val="-6"/>
          <w:sz w:val="24"/>
          <w:szCs w:val="24"/>
        </w:rPr>
        <w:t xml:space="preserve"> </w:t>
      </w:r>
      <w:r w:rsidRPr="00C3792D">
        <w:rPr>
          <w:rFonts w:ascii="Arial" w:hAnsi="Arial" w:cs="Arial"/>
          <w:sz w:val="24"/>
          <w:szCs w:val="24"/>
        </w:rPr>
        <w:t>miscarriage</w:t>
      </w:r>
      <w:r w:rsidRPr="00C3792D">
        <w:rPr>
          <w:rFonts w:ascii="Arial" w:hAnsi="Arial" w:cs="Arial"/>
          <w:spacing w:val="-6"/>
          <w:sz w:val="24"/>
          <w:szCs w:val="24"/>
        </w:rPr>
        <w:t xml:space="preserve"> </w:t>
      </w:r>
      <w:r w:rsidRPr="00C3792D">
        <w:rPr>
          <w:rFonts w:ascii="Arial" w:hAnsi="Arial" w:cs="Arial"/>
          <w:sz w:val="24"/>
          <w:szCs w:val="24"/>
        </w:rPr>
        <w:t>of</w:t>
      </w:r>
      <w:r w:rsidRPr="00C3792D">
        <w:rPr>
          <w:rFonts w:ascii="Arial" w:hAnsi="Arial" w:cs="Arial"/>
          <w:spacing w:val="-7"/>
          <w:sz w:val="24"/>
          <w:szCs w:val="24"/>
        </w:rPr>
        <w:t xml:space="preserve"> </w:t>
      </w:r>
      <w:r w:rsidRPr="00C3792D">
        <w:rPr>
          <w:rFonts w:ascii="Arial" w:hAnsi="Arial" w:cs="Arial"/>
          <w:sz w:val="24"/>
          <w:szCs w:val="24"/>
        </w:rPr>
        <w:t>justice,</w:t>
      </w:r>
      <w:r w:rsidRPr="00C3792D">
        <w:rPr>
          <w:rFonts w:ascii="Arial" w:hAnsi="Arial" w:cs="Arial"/>
          <w:spacing w:val="-6"/>
          <w:sz w:val="24"/>
          <w:szCs w:val="24"/>
        </w:rPr>
        <w:t xml:space="preserve"> </w:t>
      </w:r>
      <w:proofErr w:type="spellStart"/>
      <w:r w:rsidRPr="00C3792D">
        <w:rPr>
          <w:rFonts w:ascii="Arial" w:hAnsi="Arial" w:cs="Arial"/>
          <w:sz w:val="24"/>
          <w:szCs w:val="24"/>
        </w:rPr>
        <w:t>Jafta</w:t>
      </w:r>
      <w:proofErr w:type="spellEnd"/>
      <w:r w:rsidRPr="00C3792D">
        <w:rPr>
          <w:rFonts w:ascii="Arial" w:hAnsi="Arial" w:cs="Arial"/>
          <w:spacing w:val="-5"/>
          <w:sz w:val="24"/>
          <w:szCs w:val="24"/>
        </w:rPr>
        <w:t xml:space="preserve"> </w:t>
      </w:r>
      <w:r w:rsidRPr="00C3792D">
        <w:rPr>
          <w:rFonts w:ascii="Arial" w:hAnsi="Arial" w:cs="Arial"/>
          <w:sz w:val="24"/>
          <w:szCs w:val="24"/>
        </w:rPr>
        <w:t>AJA</w:t>
      </w:r>
      <w:r w:rsidRPr="00C3792D">
        <w:rPr>
          <w:rFonts w:ascii="Arial" w:hAnsi="Arial" w:cs="Arial"/>
          <w:spacing w:val="-5"/>
          <w:sz w:val="24"/>
          <w:szCs w:val="24"/>
        </w:rPr>
        <w:t xml:space="preserve"> </w:t>
      </w:r>
      <w:r w:rsidRPr="00C3792D">
        <w:rPr>
          <w:rFonts w:ascii="Arial" w:hAnsi="Arial" w:cs="Arial"/>
          <w:sz w:val="24"/>
          <w:szCs w:val="24"/>
        </w:rPr>
        <w:t>reiterated the duty of the trial court to conduct an inquiry in order to decide on the issue of</w:t>
      </w:r>
      <w:r w:rsidRPr="00C3792D">
        <w:rPr>
          <w:rFonts w:ascii="Arial" w:hAnsi="Arial" w:cs="Arial"/>
          <w:spacing w:val="-7"/>
          <w:sz w:val="24"/>
          <w:szCs w:val="24"/>
        </w:rPr>
        <w:t xml:space="preserve"> </w:t>
      </w:r>
      <w:r w:rsidRPr="00C3792D">
        <w:rPr>
          <w:rFonts w:ascii="Arial" w:hAnsi="Arial" w:cs="Arial"/>
          <w:sz w:val="24"/>
          <w:szCs w:val="24"/>
        </w:rPr>
        <w:t>competence.</w:t>
      </w:r>
      <w:r w:rsidRPr="00C3792D">
        <w:rPr>
          <w:rStyle w:val="FootnoteReference"/>
          <w:rFonts w:ascii="Arial" w:hAnsi="Arial" w:cs="Arial"/>
          <w:sz w:val="24"/>
          <w:szCs w:val="24"/>
        </w:rPr>
        <w:footnoteReference w:id="11"/>
      </w:r>
    </w:p>
    <w:p w14:paraId="08ECD829" w14:textId="77777777" w:rsidR="005C509A" w:rsidRPr="00C3792D" w:rsidRDefault="009B051E" w:rsidP="009B051E">
      <w:pPr>
        <w:pStyle w:val="ListParagraph"/>
        <w:spacing w:line="480" w:lineRule="auto"/>
        <w:ind w:left="360"/>
        <w:jc w:val="both"/>
        <w:rPr>
          <w:rFonts w:ascii="Arial" w:hAnsi="Arial" w:cs="Arial"/>
          <w:sz w:val="24"/>
          <w:szCs w:val="24"/>
        </w:rPr>
      </w:pPr>
      <w:r w:rsidRPr="00C3792D">
        <w:rPr>
          <w:rFonts w:ascii="Arial" w:hAnsi="Arial" w:cs="Arial"/>
          <w:sz w:val="24"/>
          <w:szCs w:val="24"/>
        </w:rPr>
        <w:t xml:space="preserve"> </w:t>
      </w:r>
    </w:p>
    <w:p w14:paraId="012D5924" w14:textId="77777777" w:rsidR="00867FC6" w:rsidRPr="00C3792D" w:rsidRDefault="0059482A" w:rsidP="00707FCB">
      <w:pPr>
        <w:pStyle w:val="ListParagraph"/>
        <w:numPr>
          <w:ilvl w:val="0"/>
          <w:numId w:val="1"/>
        </w:numPr>
        <w:spacing w:line="360" w:lineRule="auto"/>
        <w:jc w:val="both"/>
        <w:rPr>
          <w:rFonts w:ascii="Arial" w:hAnsi="Arial" w:cs="Arial"/>
          <w:sz w:val="24"/>
          <w:szCs w:val="24"/>
        </w:rPr>
      </w:pPr>
      <w:r w:rsidRPr="00C3792D">
        <w:rPr>
          <w:rFonts w:ascii="Arial" w:hAnsi="Arial" w:cs="Arial"/>
          <w:sz w:val="24"/>
          <w:szCs w:val="24"/>
        </w:rPr>
        <w:lastRenderedPageBreak/>
        <w:t xml:space="preserve">Subsequent to </w:t>
      </w:r>
      <w:proofErr w:type="spellStart"/>
      <w:r w:rsidRPr="00C3792D">
        <w:rPr>
          <w:rFonts w:ascii="Arial" w:hAnsi="Arial" w:cs="Arial"/>
          <w:i/>
          <w:sz w:val="24"/>
          <w:szCs w:val="24"/>
        </w:rPr>
        <w:t>Katoo</w:t>
      </w:r>
      <w:proofErr w:type="spellEnd"/>
      <w:r w:rsidRPr="00C3792D">
        <w:rPr>
          <w:rFonts w:ascii="Arial" w:hAnsi="Arial" w:cs="Arial"/>
          <w:sz w:val="24"/>
          <w:szCs w:val="24"/>
        </w:rPr>
        <w:t xml:space="preserve"> section 194A CPA was inserted by section 10 of Act 8 of 2017, and it reads:</w:t>
      </w:r>
    </w:p>
    <w:p w14:paraId="43C16F0D" w14:textId="77777777" w:rsidR="00867FC6" w:rsidRPr="00C3792D" w:rsidRDefault="00867FC6" w:rsidP="00707FCB">
      <w:pPr>
        <w:pStyle w:val="ListParagraph"/>
        <w:spacing w:line="360" w:lineRule="auto"/>
        <w:jc w:val="both"/>
        <w:rPr>
          <w:rFonts w:ascii="Arial" w:hAnsi="Arial" w:cs="Arial"/>
          <w:i/>
          <w:sz w:val="24"/>
          <w:szCs w:val="24"/>
        </w:rPr>
      </w:pPr>
      <w:r w:rsidRPr="00C3792D">
        <w:rPr>
          <w:rFonts w:ascii="Arial" w:eastAsia="Times New Roman" w:hAnsi="Arial" w:cs="Arial"/>
          <w:bCs/>
          <w:i/>
          <w:color w:val="000000"/>
          <w:sz w:val="24"/>
          <w:szCs w:val="24"/>
          <w:lang w:eastAsia="en-ZA"/>
        </w:rPr>
        <w:t>194A</w:t>
      </w:r>
      <w:r w:rsidR="009E56E4" w:rsidRPr="00C3792D">
        <w:rPr>
          <w:rFonts w:ascii="Arial" w:eastAsia="Times New Roman" w:hAnsi="Arial" w:cs="Arial"/>
          <w:bCs/>
          <w:i/>
          <w:color w:val="000000"/>
          <w:sz w:val="24"/>
          <w:szCs w:val="24"/>
          <w:lang w:eastAsia="en-ZA"/>
        </w:rPr>
        <w:t xml:space="preserve"> </w:t>
      </w:r>
      <w:r w:rsidR="00707FCB" w:rsidRPr="00C3792D">
        <w:rPr>
          <w:rFonts w:ascii="Arial" w:eastAsia="Times New Roman" w:hAnsi="Arial" w:cs="Arial"/>
          <w:bCs/>
          <w:i/>
          <w:color w:val="000000"/>
          <w:sz w:val="24"/>
          <w:szCs w:val="24"/>
          <w:lang w:eastAsia="en-ZA"/>
        </w:rPr>
        <w:t>(1)</w:t>
      </w:r>
      <w:r w:rsidRPr="00C3792D">
        <w:rPr>
          <w:rFonts w:ascii="Arial" w:eastAsia="Times New Roman" w:hAnsi="Arial" w:cs="Arial"/>
          <w:bCs/>
          <w:i/>
          <w:color w:val="000000"/>
          <w:sz w:val="24"/>
          <w:szCs w:val="24"/>
          <w:lang w:eastAsia="en-ZA"/>
        </w:rPr>
        <w:t> </w:t>
      </w:r>
      <w:r w:rsidR="009E56E4" w:rsidRPr="00C3792D">
        <w:rPr>
          <w:rFonts w:ascii="Arial" w:eastAsia="Times New Roman" w:hAnsi="Arial" w:cs="Arial"/>
          <w:bCs/>
          <w:i/>
          <w:color w:val="000000"/>
          <w:sz w:val="24"/>
          <w:szCs w:val="24"/>
          <w:lang w:eastAsia="en-ZA"/>
        </w:rPr>
        <w:t>CPA</w:t>
      </w:r>
      <w:r w:rsidR="009E56E4" w:rsidRPr="00C3792D">
        <w:rPr>
          <w:rFonts w:ascii="Arial" w:eastAsia="Times New Roman" w:hAnsi="Arial" w:cs="Arial"/>
          <w:b/>
          <w:bCs/>
          <w:i/>
          <w:color w:val="000000"/>
          <w:sz w:val="24"/>
          <w:szCs w:val="24"/>
          <w:lang w:eastAsia="en-ZA"/>
        </w:rPr>
        <w:t xml:space="preserve"> - </w:t>
      </w:r>
      <w:r w:rsidRPr="00C3792D">
        <w:rPr>
          <w:rFonts w:ascii="Arial" w:eastAsia="Times New Roman" w:hAnsi="Arial" w:cs="Arial"/>
          <w:b/>
          <w:bCs/>
          <w:i/>
          <w:color w:val="000000"/>
          <w:sz w:val="24"/>
          <w:szCs w:val="24"/>
          <w:lang w:eastAsia="en-ZA"/>
        </w:rPr>
        <w:t>Evaluation of competency of witnesses due to state of mind</w:t>
      </w:r>
      <w:r w:rsidR="005A3586" w:rsidRPr="00C3792D">
        <w:rPr>
          <w:rFonts w:ascii="Arial" w:eastAsia="Times New Roman" w:hAnsi="Arial" w:cs="Arial"/>
          <w:b/>
          <w:bCs/>
          <w:i/>
          <w:color w:val="000000"/>
          <w:sz w:val="24"/>
          <w:szCs w:val="24"/>
          <w:lang w:eastAsia="en-ZA"/>
        </w:rPr>
        <w:t>:</w:t>
      </w:r>
    </w:p>
    <w:p w14:paraId="6ECE2FAB" w14:textId="77777777" w:rsidR="00867FC6" w:rsidRPr="00C3792D" w:rsidRDefault="00707FCB" w:rsidP="00707FCB">
      <w:pPr>
        <w:pStyle w:val="ListParagraph"/>
        <w:spacing w:before="60" w:after="0" w:line="360" w:lineRule="auto"/>
        <w:jc w:val="both"/>
        <w:rPr>
          <w:rFonts w:ascii="Arial" w:eastAsia="Times New Roman" w:hAnsi="Arial" w:cs="Arial"/>
          <w:color w:val="000000"/>
          <w:sz w:val="24"/>
          <w:szCs w:val="24"/>
          <w:lang w:eastAsia="en-ZA"/>
        </w:rPr>
      </w:pPr>
      <w:bookmarkStart w:id="7" w:name="0-0-0-19365"/>
      <w:bookmarkEnd w:id="7"/>
      <w:r w:rsidRPr="00C3792D">
        <w:rPr>
          <w:rFonts w:ascii="Arial" w:eastAsia="Times New Roman" w:hAnsi="Arial" w:cs="Arial"/>
          <w:i/>
          <w:color w:val="000000"/>
          <w:sz w:val="24"/>
          <w:szCs w:val="24"/>
          <w:lang w:eastAsia="en-ZA"/>
        </w:rPr>
        <w:t>“</w:t>
      </w:r>
      <w:r w:rsidR="00867FC6" w:rsidRPr="00C3792D">
        <w:rPr>
          <w:rFonts w:ascii="Arial" w:eastAsia="Times New Roman" w:hAnsi="Arial" w:cs="Arial"/>
          <w:i/>
          <w:color w:val="000000"/>
          <w:sz w:val="24"/>
          <w:szCs w:val="24"/>
          <w:lang w:eastAsia="en-ZA"/>
        </w:rPr>
        <w:t xml:space="preserve">For purposes of section 193, </w:t>
      </w:r>
      <w:r w:rsidR="00867FC6" w:rsidRPr="00C3792D">
        <w:rPr>
          <w:rFonts w:ascii="Arial" w:eastAsia="Times New Roman" w:hAnsi="Arial" w:cs="Arial"/>
          <w:b/>
          <w:i/>
          <w:color w:val="000000"/>
          <w:sz w:val="24"/>
          <w:szCs w:val="24"/>
          <w:lang w:eastAsia="en-ZA"/>
        </w:rPr>
        <w:t>whenever a court is required to decide on the competency of a witness due to his or her state of mind, as contemplated in section 194</w:t>
      </w:r>
      <w:r w:rsidR="00867FC6" w:rsidRPr="00C3792D">
        <w:rPr>
          <w:rFonts w:ascii="Arial" w:eastAsia="Times New Roman" w:hAnsi="Arial" w:cs="Arial"/>
          <w:i/>
          <w:color w:val="000000"/>
          <w:sz w:val="24"/>
          <w:szCs w:val="24"/>
          <w:lang w:eastAsia="en-ZA"/>
        </w:rPr>
        <w:t xml:space="preserve">, the court may, when it deems it necessary in the interests of justice and with due consideration to the circumstances of the witness, and on such terms and conditions as the court may decide, </w:t>
      </w:r>
      <w:r w:rsidR="00867FC6" w:rsidRPr="00C3792D">
        <w:rPr>
          <w:rFonts w:ascii="Arial" w:eastAsia="Times New Roman" w:hAnsi="Arial" w:cs="Arial"/>
          <w:b/>
          <w:i/>
          <w:color w:val="000000"/>
          <w:sz w:val="24"/>
          <w:szCs w:val="24"/>
          <w:lang w:eastAsia="en-ZA"/>
        </w:rPr>
        <w:t>order that the witness be examined by a medical practitioner, a psychiatrist or clinical psychologist designated by the court</w:t>
      </w:r>
      <w:r w:rsidR="00867FC6" w:rsidRPr="00C3792D">
        <w:rPr>
          <w:rFonts w:ascii="Arial" w:eastAsia="Times New Roman" w:hAnsi="Arial" w:cs="Arial"/>
          <w:i/>
          <w:color w:val="000000"/>
          <w:sz w:val="24"/>
          <w:szCs w:val="24"/>
          <w:lang w:eastAsia="en-ZA"/>
        </w:rPr>
        <w:t>, who must furnish the court with a report on the competency of the witness to give evidence.</w:t>
      </w:r>
      <w:r w:rsidRPr="00C3792D">
        <w:rPr>
          <w:rFonts w:ascii="Arial" w:eastAsia="Times New Roman" w:hAnsi="Arial" w:cs="Arial"/>
          <w:i/>
          <w:color w:val="000000"/>
          <w:sz w:val="24"/>
          <w:szCs w:val="24"/>
          <w:lang w:eastAsia="en-ZA"/>
        </w:rPr>
        <w:t>”</w:t>
      </w:r>
      <w:r w:rsidRPr="00C3792D">
        <w:rPr>
          <w:rFonts w:ascii="Arial" w:eastAsia="Times New Roman" w:hAnsi="Arial" w:cs="Arial"/>
          <w:color w:val="000000"/>
          <w:sz w:val="24"/>
          <w:szCs w:val="24"/>
          <w:lang w:eastAsia="en-ZA"/>
        </w:rPr>
        <w:t xml:space="preserve"> [My emphasis]</w:t>
      </w:r>
    </w:p>
    <w:p w14:paraId="7707B8A4" w14:textId="77777777" w:rsidR="00707FCB" w:rsidRPr="00C3792D" w:rsidRDefault="00707FCB" w:rsidP="00707FCB">
      <w:pPr>
        <w:pStyle w:val="ListParagraph"/>
        <w:spacing w:line="480" w:lineRule="auto"/>
        <w:ind w:left="360"/>
        <w:jc w:val="both"/>
        <w:rPr>
          <w:rFonts w:ascii="Arial" w:hAnsi="Arial" w:cs="Arial"/>
          <w:sz w:val="24"/>
          <w:szCs w:val="24"/>
        </w:rPr>
      </w:pPr>
    </w:p>
    <w:p w14:paraId="7E435FCA" w14:textId="77777777" w:rsidR="00EF3E83" w:rsidRPr="00C3792D" w:rsidRDefault="00707FCB" w:rsidP="00B300F6">
      <w:pPr>
        <w:pStyle w:val="ListParagraph"/>
        <w:numPr>
          <w:ilvl w:val="0"/>
          <w:numId w:val="1"/>
        </w:numPr>
        <w:spacing w:line="480" w:lineRule="auto"/>
        <w:jc w:val="both"/>
        <w:rPr>
          <w:rFonts w:ascii="Arial" w:hAnsi="Arial" w:cs="Arial"/>
          <w:sz w:val="24"/>
          <w:szCs w:val="24"/>
        </w:rPr>
      </w:pPr>
      <w:r w:rsidRPr="00C3792D">
        <w:rPr>
          <w:rFonts w:ascii="Arial" w:hAnsi="Arial" w:cs="Arial"/>
          <w:sz w:val="24"/>
          <w:szCs w:val="24"/>
        </w:rPr>
        <w:t>Based on this section</w:t>
      </w:r>
      <w:r w:rsidR="000E4AC2" w:rsidRPr="00C3792D">
        <w:rPr>
          <w:rFonts w:ascii="Arial" w:hAnsi="Arial" w:cs="Arial"/>
          <w:sz w:val="24"/>
          <w:szCs w:val="24"/>
        </w:rPr>
        <w:t xml:space="preserve"> 194A</w:t>
      </w:r>
      <w:r w:rsidRPr="00C3792D">
        <w:rPr>
          <w:rFonts w:ascii="Arial" w:hAnsi="Arial" w:cs="Arial"/>
          <w:sz w:val="24"/>
          <w:szCs w:val="24"/>
        </w:rPr>
        <w:t>, it was definitely correct for the magistrate to refer the complainant as he did for assessment. And that report by the clinica</w:t>
      </w:r>
      <w:r w:rsidR="000E4AC2" w:rsidRPr="00C3792D">
        <w:rPr>
          <w:rFonts w:ascii="Arial" w:hAnsi="Arial" w:cs="Arial"/>
          <w:sz w:val="24"/>
          <w:szCs w:val="24"/>
        </w:rPr>
        <w:t xml:space="preserve">l psychologist is important, </w:t>
      </w:r>
      <w:r w:rsidRPr="00C3792D">
        <w:rPr>
          <w:rFonts w:ascii="Arial" w:hAnsi="Arial" w:cs="Arial"/>
          <w:sz w:val="24"/>
          <w:szCs w:val="24"/>
        </w:rPr>
        <w:t>instrumental</w:t>
      </w:r>
      <w:r w:rsidR="000E4AC2" w:rsidRPr="00C3792D">
        <w:rPr>
          <w:rFonts w:ascii="Arial" w:hAnsi="Arial" w:cs="Arial"/>
          <w:sz w:val="24"/>
          <w:szCs w:val="24"/>
        </w:rPr>
        <w:t xml:space="preserve"> to the process and in compliance with section 194A</w:t>
      </w:r>
      <w:r w:rsidR="00B300F6" w:rsidRPr="00C3792D">
        <w:rPr>
          <w:rFonts w:ascii="Arial" w:hAnsi="Arial" w:cs="Arial"/>
          <w:sz w:val="24"/>
          <w:szCs w:val="24"/>
        </w:rPr>
        <w:t>.</w:t>
      </w:r>
      <w:r w:rsidRPr="00C3792D">
        <w:rPr>
          <w:rFonts w:ascii="Arial" w:hAnsi="Arial" w:cs="Arial"/>
          <w:sz w:val="24"/>
          <w:szCs w:val="24"/>
        </w:rPr>
        <w:t xml:space="preserve"> </w:t>
      </w:r>
      <w:r w:rsidR="00EF3E83" w:rsidRPr="00C3792D">
        <w:rPr>
          <w:rFonts w:ascii="Arial" w:hAnsi="Arial" w:cs="Arial"/>
          <w:sz w:val="24"/>
          <w:szCs w:val="24"/>
        </w:rPr>
        <w:t xml:space="preserve"> </w:t>
      </w:r>
    </w:p>
    <w:p w14:paraId="79BEBE18" w14:textId="77777777" w:rsidR="00B300F6" w:rsidRPr="00C3792D" w:rsidRDefault="00B300F6" w:rsidP="00B300F6">
      <w:pPr>
        <w:pStyle w:val="ListParagraph"/>
        <w:spacing w:line="480" w:lineRule="auto"/>
        <w:ind w:left="360"/>
        <w:jc w:val="both"/>
        <w:rPr>
          <w:rFonts w:ascii="Arial" w:hAnsi="Arial" w:cs="Arial"/>
          <w:sz w:val="24"/>
          <w:szCs w:val="24"/>
        </w:rPr>
      </w:pPr>
    </w:p>
    <w:p w14:paraId="258F8659" w14:textId="77777777" w:rsidR="00B300F6" w:rsidRPr="00C3792D" w:rsidRDefault="00B300F6" w:rsidP="0095456B">
      <w:pPr>
        <w:spacing w:line="480" w:lineRule="auto"/>
        <w:jc w:val="both"/>
        <w:rPr>
          <w:rFonts w:ascii="Arial" w:hAnsi="Arial" w:cs="Arial"/>
          <w:b/>
          <w:sz w:val="24"/>
          <w:szCs w:val="24"/>
        </w:rPr>
      </w:pPr>
      <w:r w:rsidRPr="00C3792D">
        <w:rPr>
          <w:rFonts w:ascii="Arial" w:hAnsi="Arial" w:cs="Arial"/>
          <w:b/>
          <w:sz w:val="24"/>
          <w:szCs w:val="24"/>
        </w:rPr>
        <w:t xml:space="preserve">Accommodations:  </w:t>
      </w:r>
    </w:p>
    <w:p w14:paraId="0E21BFE7" w14:textId="77777777" w:rsidR="0095456B" w:rsidRPr="003E2EDC" w:rsidRDefault="0095456B" w:rsidP="003E2EDC">
      <w:pPr>
        <w:pStyle w:val="ListParagraph"/>
        <w:numPr>
          <w:ilvl w:val="0"/>
          <w:numId w:val="1"/>
        </w:numPr>
        <w:spacing w:line="480" w:lineRule="auto"/>
        <w:jc w:val="both"/>
        <w:rPr>
          <w:rFonts w:ascii="Arial" w:hAnsi="Arial" w:cs="Arial"/>
          <w:sz w:val="24"/>
          <w:szCs w:val="24"/>
        </w:rPr>
      </w:pPr>
      <w:r w:rsidRPr="003E2EDC">
        <w:rPr>
          <w:rFonts w:ascii="Arial" w:hAnsi="Arial" w:cs="Arial"/>
          <w:sz w:val="24"/>
          <w:szCs w:val="24"/>
        </w:rPr>
        <w:t xml:space="preserve">Article 2 of the </w:t>
      </w:r>
      <w:r w:rsidRPr="003E2EDC">
        <w:rPr>
          <w:rFonts w:ascii="Arial" w:hAnsi="Arial" w:cs="Arial"/>
          <w:b/>
          <w:sz w:val="24"/>
          <w:szCs w:val="24"/>
        </w:rPr>
        <w:t>Convention</w:t>
      </w:r>
      <w:r w:rsidRPr="003E2EDC">
        <w:rPr>
          <w:rFonts w:ascii="Arial" w:hAnsi="Arial" w:cs="Arial"/>
          <w:b/>
          <w:spacing w:val="-14"/>
          <w:sz w:val="24"/>
          <w:szCs w:val="24"/>
        </w:rPr>
        <w:t xml:space="preserve"> </w:t>
      </w:r>
      <w:r w:rsidRPr="003E2EDC">
        <w:rPr>
          <w:rFonts w:ascii="Arial" w:hAnsi="Arial" w:cs="Arial"/>
          <w:b/>
          <w:sz w:val="24"/>
          <w:szCs w:val="24"/>
        </w:rPr>
        <w:t>on</w:t>
      </w:r>
      <w:r w:rsidRPr="003E2EDC">
        <w:rPr>
          <w:rFonts w:ascii="Arial" w:hAnsi="Arial" w:cs="Arial"/>
          <w:b/>
          <w:spacing w:val="-14"/>
          <w:sz w:val="24"/>
          <w:szCs w:val="24"/>
        </w:rPr>
        <w:t xml:space="preserve"> </w:t>
      </w:r>
      <w:r w:rsidRPr="003E2EDC">
        <w:rPr>
          <w:rFonts w:ascii="Arial" w:hAnsi="Arial" w:cs="Arial"/>
          <w:b/>
          <w:sz w:val="24"/>
          <w:szCs w:val="24"/>
        </w:rPr>
        <w:t>the</w:t>
      </w:r>
      <w:r w:rsidRPr="003E2EDC">
        <w:rPr>
          <w:rFonts w:ascii="Arial" w:hAnsi="Arial" w:cs="Arial"/>
          <w:b/>
          <w:spacing w:val="-14"/>
          <w:sz w:val="24"/>
          <w:szCs w:val="24"/>
        </w:rPr>
        <w:t xml:space="preserve"> </w:t>
      </w:r>
      <w:r w:rsidRPr="003E2EDC">
        <w:rPr>
          <w:rFonts w:ascii="Arial" w:hAnsi="Arial" w:cs="Arial"/>
          <w:b/>
          <w:sz w:val="24"/>
          <w:szCs w:val="24"/>
        </w:rPr>
        <w:t>Rights</w:t>
      </w:r>
      <w:r w:rsidRPr="003E2EDC">
        <w:rPr>
          <w:rFonts w:ascii="Arial" w:hAnsi="Arial" w:cs="Arial"/>
          <w:b/>
          <w:spacing w:val="-13"/>
          <w:sz w:val="24"/>
          <w:szCs w:val="24"/>
        </w:rPr>
        <w:t xml:space="preserve"> </w:t>
      </w:r>
      <w:r w:rsidRPr="003E2EDC">
        <w:rPr>
          <w:rFonts w:ascii="Arial" w:hAnsi="Arial" w:cs="Arial"/>
          <w:b/>
          <w:sz w:val="24"/>
          <w:szCs w:val="24"/>
        </w:rPr>
        <w:t>of</w:t>
      </w:r>
      <w:r w:rsidRPr="003E2EDC">
        <w:rPr>
          <w:rFonts w:ascii="Arial" w:hAnsi="Arial" w:cs="Arial"/>
          <w:b/>
          <w:spacing w:val="-14"/>
          <w:sz w:val="24"/>
          <w:szCs w:val="24"/>
        </w:rPr>
        <w:t xml:space="preserve"> </w:t>
      </w:r>
      <w:r w:rsidRPr="003E2EDC">
        <w:rPr>
          <w:rFonts w:ascii="Arial" w:hAnsi="Arial" w:cs="Arial"/>
          <w:b/>
          <w:sz w:val="24"/>
          <w:szCs w:val="24"/>
        </w:rPr>
        <w:t>Persons</w:t>
      </w:r>
      <w:r w:rsidRPr="003E2EDC">
        <w:rPr>
          <w:rFonts w:ascii="Arial" w:hAnsi="Arial" w:cs="Arial"/>
          <w:b/>
          <w:spacing w:val="-15"/>
          <w:sz w:val="24"/>
          <w:szCs w:val="24"/>
        </w:rPr>
        <w:t xml:space="preserve"> </w:t>
      </w:r>
      <w:r w:rsidRPr="003E2EDC">
        <w:rPr>
          <w:rFonts w:ascii="Arial" w:hAnsi="Arial" w:cs="Arial"/>
          <w:b/>
          <w:sz w:val="24"/>
          <w:szCs w:val="24"/>
        </w:rPr>
        <w:t>with Disabilities (CRPD)</w:t>
      </w:r>
      <w:r w:rsidRPr="003E2EDC">
        <w:rPr>
          <w:rFonts w:ascii="Arial" w:hAnsi="Arial" w:cs="Arial"/>
          <w:position w:val="8"/>
          <w:sz w:val="24"/>
          <w:szCs w:val="24"/>
        </w:rPr>
        <w:t xml:space="preserve"> </w:t>
      </w:r>
      <w:r w:rsidRPr="003E2EDC">
        <w:rPr>
          <w:rFonts w:ascii="Arial" w:hAnsi="Arial" w:cs="Arial"/>
          <w:sz w:val="24"/>
          <w:szCs w:val="24"/>
        </w:rPr>
        <w:t>which is an international human rights treaty dealing specifically with the rights of persons with disabilities, which came</w:t>
      </w:r>
      <w:r w:rsidRPr="003E2EDC">
        <w:rPr>
          <w:rFonts w:ascii="Arial" w:hAnsi="Arial" w:cs="Arial"/>
          <w:spacing w:val="-11"/>
          <w:sz w:val="24"/>
          <w:szCs w:val="24"/>
        </w:rPr>
        <w:t xml:space="preserve"> </w:t>
      </w:r>
      <w:r w:rsidRPr="003E2EDC">
        <w:rPr>
          <w:rFonts w:ascii="Arial" w:hAnsi="Arial" w:cs="Arial"/>
          <w:sz w:val="24"/>
          <w:szCs w:val="24"/>
        </w:rPr>
        <w:t>to</w:t>
      </w:r>
      <w:r w:rsidRPr="003E2EDC">
        <w:rPr>
          <w:rFonts w:ascii="Arial" w:hAnsi="Arial" w:cs="Arial"/>
          <w:spacing w:val="-12"/>
          <w:sz w:val="24"/>
          <w:szCs w:val="24"/>
        </w:rPr>
        <w:t xml:space="preserve"> </w:t>
      </w:r>
      <w:r w:rsidRPr="003E2EDC">
        <w:rPr>
          <w:rFonts w:ascii="Arial" w:hAnsi="Arial" w:cs="Arial"/>
          <w:sz w:val="24"/>
          <w:szCs w:val="24"/>
        </w:rPr>
        <w:t>force</w:t>
      </w:r>
      <w:r w:rsidRPr="003E2EDC">
        <w:rPr>
          <w:rFonts w:ascii="Arial" w:hAnsi="Arial" w:cs="Arial"/>
          <w:spacing w:val="-13"/>
          <w:sz w:val="24"/>
          <w:szCs w:val="24"/>
        </w:rPr>
        <w:t xml:space="preserve"> </w:t>
      </w:r>
      <w:r w:rsidRPr="003E2EDC">
        <w:rPr>
          <w:rFonts w:ascii="Arial" w:hAnsi="Arial" w:cs="Arial"/>
          <w:sz w:val="24"/>
          <w:szCs w:val="24"/>
        </w:rPr>
        <w:t>on</w:t>
      </w:r>
      <w:r w:rsidRPr="003E2EDC">
        <w:rPr>
          <w:rFonts w:ascii="Arial" w:hAnsi="Arial" w:cs="Arial"/>
          <w:spacing w:val="-12"/>
          <w:sz w:val="24"/>
          <w:szCs w:val="24"/>
        </w:rPr>
        <w:t xml:space="preserve"> </w:t>
      </w:r>
      <w:r w:rsidRPr="003E2EDC">
        <w:rPr>
          <w:rFonts w:ascii="Arial" w:hAnsi="Arial" w:cs="Arial"/>
          <w:sz w:val="24"/>
          <w:szCs w:val="24"/>
        </w:rPr>
        <w:t>3</w:t>
      </w:r>
      <w:r w:rsidRPr="003E2EDC">
        <w:rPr>
          <w:rFonts w:ascii="Arial" w:hAnsi="Arial" w:cs="Arial"/>
          <w:spacing w:val="-11"/>
          <w:sz w:val="24"/>
          <w:szCs w:val="24"/>
        </w:rPr>
        <w:t xml:space="preserve"> </w:t>
      </w:r>
      <w:r w:rsidRPr="003E2EDC">
        <w:rPr>
          <w:rFonts w:ascii="Arial" w:hAnsi="Arial" w:cs="Arial"/>
          <w:sz w:val="24"/>
          <w:szCs w:val="24"/>
        </w:rPr>
        <w:t>May</w:t>
      </w:r>
      <w:r w:rsidRPr="003E2EDC">
        <w:rPr>
          <w:rFonts w:ascii="Arial" w:hAnsi="Arial" w:cs="Arial"/>
          <w:spacing w:val="-12"/>
          <w:sz w:val="24"/>
          <w:szCs w:val="24"/>
        </w:rPr>
        <w:t xml:space="preserve"> </w:t>
      </w:r>
      <w:r w:rsidRPr="003E2EDC">
        <w:rPr>
          <w:rFonts w:ascii="Arial" w:hAnsi="Arial" w:cs="Arial"/>
          <w:sz w:val="24"/>
          <w:szCs w:val="24"/>
        </w:rPr>
        <w:t>2008, of which South Africa is a signatory. CRPD defines reasonable accommodation as:</w:t>
      </w:r>
    </w:p>
    <w:p w14:paraId="3FCBC3E7" w14:textId="77777777" w:rsidR="0095456B" w:rsidRPr="00C3792D" w:rsidRDefault="0095456B" w:rsidP="009E56E4">
      <w:pPr>
        <w:autoSpaceDE w:val="0"/>
        <w:autoSpaceDN w:val="0"/>
        <w:adjustRightInd w:val="0"/>
        <w:spacing w:after="0" w:line="360" w:lineRule="auto"/>
        <w:ind w:left="720"/>
        <w:jc w:val="both"/>
        <w:rPr>
          <w:rFonts w:ascii="Arial" w:hAnsi="Arial" w:cs="Arial"/>
          <w:sz w:val="24"/>
          <w:szCs w:val="24"/>
        </w:rPr>
      </w:pPr>
      <w:r w:rsidRPr="00C3792D">
        <w:rPr>
          <w:rFonts w:ascii="Arial" w:hAnsi="Arial" w:cs="Arial"/>
          <w:i/>
          <w:sz w:val="24"/>
          <w:szCs w:val="24"/>
        </w:rPr>
        <w:t>“</w:t>
      </w:r>
      <w:proofErr w:type="gramStart"/>
      <w:r w:rsidRPr="00C3792D">
        <w:rPr>
          <w:rFonts w:ascii="Arial" w:hAnsi="Arial" w:cs="Arial"/>
          <w:i/>
          <w:sz w:val="24"/>
          <w:szCs w:val="24"/>
        </w:rPr>
        <w:t>necessary</w:t>
      </w:r>
      <w:proofErr w:type="gramEnd"/>
      <w:r w:rsidRPr="00C3792D">
        <w:rPr>
          <w:rFonts w:ascii="Arial" w:hAnsi="Arial" w:cs="Arial"/>
          <w:i/>
          <w:sz w:val="24"/>
          <w:szCs w:val="24"/>
        </w:rPr>
        <w:t xml:space="preserve"> and appropriate modification and adjustments not imposing a disproportionate or undue burden where needed in a particular case to ensure to persons with disabilities the enjoyment or exercise on an equal basis with others of all human rights and fundamental freedoms”</w:t>
      </w:r>
      <w:r w:rsidRPr="00C3792D">
        <w:rPr>
          <w:rFonts w:ascii="Arial" w:hAnsi="Arial" w:cs="Arial"/>
          <w:sz w:val="24"/>
          <w:szCs w:val="24"/>
        </w:rPr>
        <w:t>.</w:t>
      </w:r>
    </w:p>
    <w:p w14:paraId="07275D99" w14:textId="77777777" w:rsidR="0095456B" w:rsidRPr="00C3792D" w:rsidRDefault="0095456B" w:rsidP="0095456B">
      <w:pPr>
        <w:pStyle w:val="ListParagraph"/>
        <w:spacing w:line="480" w:lineRule="auto"/>
        <w:ind w:left="0"/>
        <w:jc w:val="both"/>
        <w:rPr>
          <w:rFonts w:ascii="Arial" w:hAnsi="Arial" w:cs="Arial"/>
          <w:sz w:val="24"/>
          <w:szCs w:val="24"/>
        </w:rPr>
      </w:pPr>
    </w:p>
    <w:p w14:paraId="0C3E608C" w14:textId="77777777" w:rsidR="00B300F6" w:rsidRPr="003E2EDC" w:rsidRDefault="00B300F6" w:rsidP="003E2EDC">
      <w:pPr>
        <w:pStyle w:val="ListParagraph"/>
        <w:numPr>
          <w:ilvl w:val="0"/>
          <w:numId w:val="1"/>
        </w:numPr>
        <w:spacing w:line="480" w:lineRule="auto"/>
        <w:jc w:val="both"/>
        <w:rPr>
          <w:rFonts w:ascii="Arial" w:hAnsi="Arial" w:cs="Arial"/>
          <w:sz w:val="24"/>
          <w:szCs w:val="24"/>
        </w:rPr>
      </w:pPr>
      <w:r w:rsidRPr="003E2EDC">
        <w:rPr>
          <w:rFonts w:ascii="Arial" w:hAnsi="Arial" w:cs="Arial"/>
          <w:sz w:val="24"/>
          <w:szCs w:val="24"/>
        </w:rPr>
        <w:lastRenderedPageBreak/>
        <w:t xml:space="preserve">Simply explained, the term ‘accommodations’ refers to </w:t>
      </w:r>
      <w:r w:rsidRPr="003E2EDC">
        <w:rPr>
          <w:rFonts w:ascii="Arial" w:hAnsi="Arial" w:cs="Arial"/>
          <w:sz w:val="24"/>
          <w:szCs w:val="24"/>
          <w:u w:val="single"/>
        </w:rPr>
        <w:t>any modification to usual practice.</w:t>
      </w:r>
      <w:r w:rsidRPr="003E2EDC">
        <w:rPr>
          <w:rFonts w:ascii="Arial" w:hAnsi="Arial" w:cs="Arial"/>
          <w:sz w:val="24"/>
          <w:szCs w:val="24"/>
        </w:rPr>
        <w:t xml:space="preserve"> There is a requirement in article 2 of the CRPD for accommodations to be reasonable in the sense that the provision of the accommodations should not impose an undue or disproportionate burden.  </w:t>
      </w:r>
    </w:p>
    <w:p w14:paraId="500A838B" w14:textId="77777777" w:rsidR="00B300F6" w:rsidRPr="00C3792D" w:rsidRDefault="00B300F6" w:rsidP="00B300F6">
      <w:pPr>
        <w:pStyle w:val="ListParagraph"/>
        <w:spacing w:line="480" w:lineRule="auto"/>
        <w:ind w:left="0"/>
        <w:jc w:val="both"/>
        <w:rPr>
          <w:rFonts w:ascii="Arial" w:hAnsi="Arial" w:cs="Arial"/>
          <w:sz w:val="24"/>
          <w:szCs w:val="24"/>
        </w:rPr>
      </w:pPr>
    </w:p>
    <w:p w14:paraId="3E655D8A" w14:textId="77777777" w:rsidR="00B300F6" w:rsidRPr="00C3792D" w:rsidRDefault="00B300F6" w:rsidP="003E2EDC">
      <w:pPr>
        <w:pStyle w:val="ListParagraph"/>
        <w:numPr>
          <w:ilvl w:val="0"/>
          <w:numId w:val="1"/>
        </w:numPr>
        <w:spacing w:line="480" w:lineRule="auto"/>
        <w:jc w:val="both"/>
        <w:rPr>
          <w:rFonts w:ascii="Arial" w:hAnsi="Arial" w:cs="Arial"/>
          <w:sz w:val="24"/>
          <w:szCs w:val="24"/>
        </w:rPr>
      </w:pPr>
      <w:r w:rsidRPr="00C3792D">
        <w:rPr>
          <w:rFonts w:ascii="Arial" w:hAnsi="Arial" w:cs="Arial"/>
          <w:sz w:val="24"/>
          <w:szCs w:val="24"/>
        </w:rPr>
        <w:t>The</w:t>
      </w:r>
      <w:r w:rsidRPr="00C3792D">
        <w:rPr>
          <w:rFonts w:ascii="Arial" w:hAnsi="Arial" w:cs="Arial"/>
          <w:spacing w:val="-10"/>
          <w:sz w:val="24"/>
          <w:szCs w:val="24"/>
        </w:rPr>
        <w:t xml:space="preserve"> </w:t>
      </w:r>
      <w:r w:rsidRPr="00C3792D">
        <w:rPr>
          <w:rFonts w:ascii="Arial" w:hAnsi="Arial" w:cs="Arial"/>
          <w:sz w:val="24"/>
          <w:szCs w:val="24"/>
        </w:rPr>
        <w:t>CRPD</w:t>
      </w:r>
      <w:r w:rsidRPr="00C3792D">
        <w:rPr>
          <w:rFonts w:ascii="Arial" w:hAnsi="Arial" w:cs="Arial"/>
          <w:spacing w:val="-11"/>
          <w:sz w:val="24"/>
          <w:szCs w:val="24"/>
        </w:rPr>
        <w:t xml:space="preserve"> </w:t>
      </w:r>
      <w:r w:rsidRPr="00C3792D">
        <w:rPr>
          <w:rFonts w:ascii="Arial" w:hAnsi="Arial" w:cs="Arial"/>
          <w:sz w:val="24"/>
          <w:szCs w:val="24"/>
        </w:rPr>
        <w:t>addresses</w:t>
      </w:r>
      <w:r w:rsidRPr="00C3792D">
        <w:rPr>
          <w:rFonts w:ascii="Arial" w:hAnsi="Arial" w:cs="Arial"/>
          <w:spacing w:val="-10"/>
          <w:sz w:val="24"/>
          <w:szCs w:val="24"/>
        </w:rPr>
        <w:t xml:space="preserve"> </w:t>
      </w:r>
      <w:r w:rsidRPr="00C3792D">
        <w:rPr>
          <w:rFonts w:ascii="Arial" w:hAnsi="Arial" w:cs="Arial"/>
          <w:sz w:val="24"/>
          <w:szCs w:val="24"/>
        </w:rPr>
        <w:t>the</w:t>
      </w:r>
      <w:r w:rsidRPr="00C3792D">
        <w:rPr>
          <w:rFonts w:ascii="Arial" w:hAnsi="Arial" w:cs="Arial"/>
          <w:spacing w:val="-10"/>
          <w:sz w:val="24"/>
          <w:szCs w:val="24"/>
        </w:rPr>
        <w:t xml:space="preserve"> </w:t>
      </w:r>
      <w:r w:rsidRPr="00C3792D">
        <w:rPr>
          <w:rFonts w:ascii="Arial" w:hAnsi="Arial" w:cs="Arial"/>
          <w:sz w:val="24"/>
          <w:szCs w:val="24"/>
        </w:rPr>
        <w:t xml:space="preserve">interaction between witnesses with intellectual disabilities and the criminal justice system by requiring the making of procedural and age-appropriate accommodations. </w:t>
      </w:r>
    </w:p>
    <w:p w14:paraId="51C23C24" w14:textId="77777777" w:rsidR="00B300F6" w:rsidRPr="00C3792D" w:rsidRDefault="00B300F6" w:rsidP="00B300F6">
      <w:pPr>
        <w:pStyle w:val="ListParagraph"/>
        <w:spacing w:line="480" w:lineRule="auto"/>
        <w:ind w:left="0"/>
        <w:jc w:val="both"/>
        <w:rPr>
          <w:rFonts w:ascii="Arial" w:hAnsi="Arial" w:cs="Arial"/>
          <w:sz w:val="24"/>
          <w:szCs w:val="24"/>
        </w:rPr>
      </w:pPr>
      <w:r w:rsidRPr="00C3792D">
        <w:rPr>
          <w:rFonts w:ascii="Arial" w:hAnsi="Arial" w:cs="Arial"/>
          <w:sz w:val="24"/>
          <w:szCs w:val="24"/>
        </w:rPr>
        <w:t xml:space="preserve"> </w:t>
      </w:r>
    </w:p>
    <w:p w14:paraId="238A1615" w14:textId="77777777" w:rsidR="00B300F6" w:rsidRPr="003E2EDC" w:rsidRDefault="00B300F6" w:rsidP="003E2EDC">
      <w:pPr>
        <w:pStyle w:val="ListParagraph"/>
        <w:numPr>
          <w:ilvl w:val="0"/>
          <w:numId w:val="1"/>
        </w:numPr>
        <w:spacing w:line="480" w:lineRule="auto"/>
        <w:jc w:val="both"/>
        <w:rPr>
          <w:rFonts w:ascii="Arial" w:hAnsi="Arial" w:cs="Arial"/>
          <w:sz w:val="24"/>
          <w:szCs w:val="24"/>
        </w:rPr>
      </w:pPr>
      <w:r w:rsidRPr="003E2EDC">
        <w:rPr>
          <w:rFonts w:ascii="Arial" w:hAnsi="Arial" w:cs="Arial"/>
          <w:sz w:val="24"/>
          <w:szCs w:val="24"/>
        </w:rPr>
        <w:t>Legislation in South Africa generally ma</w:t>
      </w:r>
      <w:r w:rsidR="00F53AFB" w:rsidRPr="003E2EDC">
        <w:rPr>
          <w:rFonts w:ascii="Arial" w:hAnsi="Arial" w:cs="Arial"/>
          <w:sz w:val="24"/>
          <w:szCs w:val="24"/>
        </w:rPr>
        <w:t xml:space="preserve">kes provision for accommodations, for example: </w:t>
      </w:r>
    </w:p>
    <w:p w14:paraId="037DF7C7" w14:textId="77777777" w:rsidR="00B300F6" w:rsidRPr="00C3792D" w:rsidRDefault="00B300F6" w:rsidP="00B300F6">
      <w:pPr>
        <w:pStyle w:val="ListParagraph"/>
        <w:numPr>
          <w:ilvl w:val="0"/>
          <w:numId w:val="16"/>
        </w:numPr>
        <w:spacing w:line="480" w:lineRule="auto"/>
        <w:jc w:val="both"/>
        <w:rPr>
          <w:rFonts w:ascii="Arial" w:hAnsi="Arial" w:cs="Arial"/>
          <w:sz w:val="24"/>
          <w:szCs w:val="24"/>
        </w:rPr>
      </w:pPr>
      <w:r w:rsidRPr="00C3792D">
        <w:rPr>
          <w:rFonts w:ascii="Arial" w:hAnsi="Arial" w:cs="Arial"/>
          <w:sz w:val="24"/>
          <w:szCs w:val="24"/>
        </w:rPr>
        <w:t>In terms of the Child Justice Act the ‘assessment of a child may take place in any suitable place identified by the probation officer, at a police station, a magistrates’ court, the offices of the Department of Social Development or a One-Stop Child Justice Centre’.</w:t>
      </w:r>
      <w:r w:rsidRPr="00C3792D">
        <w:rPr>
          <w:rStyle w:val="FootnoteReference"/>
          <w:rFonts w:ascii="Arial" w:hAnsi="Arial" w:cs="Arial"/>
          <w:sz w:val="24"/>
          <w:szCs w:val="24"/>
        </w:rPr>
        <w:footnoteReference w:id="12"/>
      </w:r>
      <w:r w:rsidRPr="00C3792D">
        <w:rPr>
          <w:rFonts w:ascii="Arial" w:hAnsi="Arial" w:cs="Arial"/>
          <w:sz w:val="24"/>
          <w:szCs w:val="24"/>
        </w:rPr>
        <w:t xml:space="preserve"> Also the place chosen must provide as much privacy as possible.</w:t>
      </w:r>
      <w:r w:rsidRPr="00C3792D">
        <w:rPr>
          <w:rStyle w:val="FootnoteReference"/>
          <w:rFonts w:ascii="Arial" w:hAnsi="Arial" w:cs="Arial"/>
          <w:sz w:val="24"/>
          <w:szCs w:val="24"/>
        </w:rPr>
        <w:footnoteReference w:id="13"/>
      </w:r>
      <w:r w:rsidRPr="00C3792D">
        <w:rPr>
          <w:rFonts w:ascii="Arial" w:hAnsi="Arial" w:cs="Arial"/>
          <w:sz w:val="24"/>
          <w:szCs w:val="24"/>
        </w:rPr>
        <w:t xml:space="preserve"> </w:t>
      </w:r>
    </w:p>
    <w:p w14:paraId="12974019" w14:textId="77777777" w:rsidR="00B300F6" w:rsidRPr="00C3792D" w:rsidRDefault="00B300F6" w:rsidP="00B300F6">
      <w:pPr>
        <w:pStyle w:val="ListParagraph"/>
        <w:numPr>
          <w:ilvl w:val="0"/>
          <w:numId w:val="16"/>
        </w:numPr>
        <w:spacing w:line="480" w:lineRule="auto"/>
        <w:jc w:val="both"/>
        <w:rPr>
          <w:rFonts w:ascii="Arial" w:hAnsi="Arial" w:cs="Arial"/>
          <w:sz w:val="24"/>
          <w:szCs w:val="24"/>
        </w:rPr>
      </w:pPr>
      <w:r w:rsidRPr="00C3792D">
        <w:rPr>
          <w:rFonts w:ascii="Arial" w:hAnsi="Arial" w:cs="Arial"/>
          <w:sz w:val="24"/>
          <w:szCs w:val="24"/>
        </w:rPr>
        <w:t>In terms of the Children’s Act proceedings involving children are to be held in a place ‘furnished and designed in a manner aimed at putting children at ease;’</w:t>
      </w:r>
      <w:r w:rsidRPr="00C3792D">
        <w:rPr>
          <w:rStyle w:val="FootnoteReference"/>
          <w:rFonts w:ascii="Arial" w:hAnsi="Arial" w:cs="Arial"/>
          <w:sz w:val="24"/>
          <w:szCs w:val="24"/>
        </w:rPr>
        <w:footnoteReference w:id="14"/>
      </w:r>
      <w:r w:rsidRPr="00C3792D">
        <w:rPr>
          <w:rFonts w:ascii="Arial" w:hAnsi="Arial" w:cs="Arial"/>
          <w:sz w:val="24"/>
          <w:szCs w:val="24"/>
        </w:rPr>
        <w:t xml:space="preserve"> ‘conducive to the informality of the proceedings and the active participation of all persons involved in the proceedings without compromising the prestige of the court’.</w:t>
      </w:r>
      <w:r w:rsidRPr="00C3792D">
        <w:rPr>
          <w:rStyle w:val="FootnoteReference"/>
          <w:rFonts w:ascii="Arial" w:hAnsi="Arial" w:cs="Arial"/>
          <w:sz w:val="24"/>
          <w:szCs w:val="24"/>
        </w:rPr>
        <w:footnoteReference w:id="15"/>
      </w:r>
    </w:p>
    <w:p w14:paraId="4F82B867" w14:textId="77777777" w:rsidR="00B300F6" w:rsidRPr="00C3792D" w:rsidRDefault="00B300F6" w:rsidP="00B300F6">
      <w:pPr>
        <w:pStyle w:val="ListParagraph"/>
        <w:numPr>
          <w:ilvl w:val="0"/>
          <w:numId w:val="16"/>
        </w:numPr>
        <w:spacing w:line="480" w:lineRule="auto"/>
        <w:jc w:val="both"/>
        <w:rPr>
          <w:rFonts w:ascii="Arial" w:hAnsi="Arial" w:cs="Arial"/>
          <w:sz w:val="24"/>
          <w:szCs w:val="24"/>
        </w:rPr>
      </w:pPr>
      <w:r w:rsidRPr="00C3792D">
        <w:rPr>
          <w:rFonts w:ascii="Arial" w:hAnsi="Arial" w:cs="Arial"/>
          <w:sz w:val="24"/>
          <w:szCs w:val="24"/>
        </w:rPr>
        <w:lastRenderedPageBreak/>
        <w:t xml:space="preserve">Section 56 of the Children’s Act prescribes proceedings to take place </w:t>
      </w:r>
      <w:r w:rsidRPr="00C3792D">
        <w:rPr>
          <w:rFonts w:ascii="Arial" w:hAnsi="Arial" w:cs="Arial"/>
          <w:i/>
          <w:iCs/>
          <w:sz w:val="24"/>
          <w:szCs w:val="24"/>
        </w:rPr>
        <w:t>in camera</w:t>
      </w:r>
      <w:r w:rsidRPr="00C3792D">
        <w:rPr>
          <w:rFonts w:ascii="Arial" w:hAnsi="Arial" w:cs="Arial"/>
          <w:sz w:val="24"/>
          <w:szCs w:val="24"/>
        </w:rPr>
        <w:t>, in an informal manner,</w:t>
      </w:r>
      <w:r w:rsidRPr="00C3792D">
        <w:rPr>
          <w:rStyle w:val="FootnoteReference"/>
          <w:rFonts w:ascii="Arial" w:hAnsi="Arial" w:cs="Arial"/>
          <w:sz w:val="24"/>
          <w:szCs w:val="24"/>
        </w:rPr>
        <w:footnoteReference w:id="16"/>
      </w:r>
      <w:r w:rsidRPr="00C3792D">
        <w:rPr>
          <w:rFonts w:ascii="Arial" w:hAnsi="Arial" w:cs="Arial"/>
          <w:sz w:val="24"/>
          <w:szCs w:val="24"/>
        </w:rPr>
        <w:t xml:space="preserve"> and that children be questioned through an intermediary.</w:t>
      </w:r>
      <w:r w:rsidRPr="00C3792D">
        <w:rPr>
          <w:rStyle w:val="FootnoteReference"/>
          <w:rFonts w:ascii="Arial" w:hAnsi="Arial" w:cs="Arial"/>
          <w:sz w:val="24"/>
          <w:szCs w:val="24"/>
        </w:rPr>
        <w:footnoteReference w:id="17"/>
      </w:r>
    </w:p>
    <w:p w14:paraId="64E91F88" w14:textId="77777777" w:rsidR="00B300F6" w:rsidRPr="00C3792D" w:rsidRDefault="00B300F6" w:rsidP="00B300F6">
      <w:pPr>
        <w:pStyle w:val="ListParagraph"/>
        <w:spacing w:line="480" w:lineRule="auto"/>
        <w:ind w:left="0"/>
        <w:jc w:val="both"/>
        <w:rPr>
          <w:rFonts w:ascii="Arial" w:hAnsi="Arial" w:cs="Arial"/>
          <w:sz w:val="24"/>
          <w:szCs w:val="24"/>
        </w:rPr>
      </w:pPr>
    </w:p>
    <w:p w14:paraId="5E6B959F" w14:textId="77777777" w:rsidR="00B300F6" w:rsidRPr="003E2EDC" w:rsidRDefault="00B300F6" w:rsidP="003E2EDC">
      <w:pPr>
        <w:pStyle w:val="ListParagraph"/>
        <w:numPr>
          <w:ilvl w:val="0"/>
          <w:numId w:val="32"/>
        </w:numPr>
        <w:spacing w:line="480" w:lineRule="auto"/>
        <w:jc w:val="both"/>
        <w:rPr>
          <w:rFonts w:ascii="Arial" w:hAnsi="Arial" w:cs="Arial"/>
          <w:sz w:val="24"/>
          <w:szCs w:val="24"/>
        </w:rPr>
      </w:pPr>
      <w:r w:rsidRPr="003E2EDC">
        <w:rPr>
          <w:rFonts w:ascii="Arial" w:hAnsi="Arial" w:cs="Arial"/>
          <w:sz w:val="24"/>
          <w:szCs w:val="24"/>
        </w:rPr>
        <w:t xml:space="preserve"> More relevant to our case are accommodations in terms of the CPA, for instance:</w:t>
      </w:r>
    </w:p>
    <w:p w14:paraId="6057E035" w14:textId="77777777" w:rsidR="00B300F6" w:rsidRPr="00C3792D" w:rsidRDefault="00B300F6" w:rsidP="00B300F6">
      <w:pPr>
        <w:pStyle w:val="ListParagraph"/>
        <w:numPr>
          <w:ilvl w:val="0"/>
          <w:numId w:val="14"/>
        </w:numPr>
        <w:spacing w:line="480" w:lineRule="auto"/>
        <w:jc w:val="both"/>
        <w:rPr>
          <w:rFonts w:ascii="Arial" w:hAnsi="Arial" w:cs="Arial"/>
          <w:sz w:val="24"/>
          <w:szCs w:val="24"/>
        </w:rPr>
      </w:pPr>
      <w:r w:rsidRPr="00C3792D">
        <w:rPr>
          <w:rFonts w:ascii="Arial" w:hAnsi="Arial" w:cs="Arial"/>
          <w:sz w:val="24"/>
          <w:szCs w:val="24"/>
        </w:rPr>
        <w:t xml:space="preserve">This Act requires the proceedings to be held </w:t>
      </w:r>
      <w:r w:rsidRPr="00C3792D">
        <w:rPr>
          <w:rFonts w:ascii="Arial" w:hAnsi="Arial" w:cs="Arial"/>
          <w:i/>
          <w:iCs/>
          <w:sz w:val="24"/>
          <w:szCs w:val="24"/>
        </w:rPr>
        <w:t>in camera</w:t>
      </w:r>
      <w:r w:rsidRPr="00C3792D">
        <w:rPr>
          <w:rFonts w:ascii="Arial" w:hAnsi="Arial" w:cs="Arial"/>
          <w:sz w:val="24"/>
          <w:szCs w:val="24"/>
        </w:rPr>
        <w:t>, that is, not in open court, in circumstances where the court considers that harm may result to any person who is not the accused,</w:t>
      </w:r>
      <w:r w:rsidRPr="00C3792D">
        <w:rPr>
          <w:rStyle w:val="FootnoteReference"/>
          <w:rFonts w:ascii="Arial" w:hAnsi="Arial" w:cs="Arial"/>
          <w:sz w:val="24"/>
          <w:szCs w:val="24"/>
        </w:rPr>
        <w:footnoteReference w:id="18"/>
      </w:r>
      <w:r w:rsidRPr="00C3792D">
        <w:rPr>
          <w:rFonts w:ascii="Arial" w:hAnsi="Arial" w:cs="Arial"/>
          <w:sz w:val="24"/>
          <w:szCs w:val="24"/>
        </w:rPr>
        <w:t xml:space="preserve"> via closed circuit television.</w:t>
      </w:r>
      <w:r w:rsidRPr="00C3792D">
        <w:rPr>
          <w:rStyle w:val="FootnoteReference"/>
          <w:rFonts w:ascii="Arial" w:hAnsi="Arial" w:cs="Arial"/>
          <w:sz w:val="24"/>
          <w:szCs w:val="24"/>
        </w:rPr>
        <w:footnoteReference w:id="19"/>
      </w:r>
      <w:r w:rsidRPr="00C3792D">
        <w:rPr>
          <w:rFonts w:ascii="Arial" w:hAnsi="Arial" w:cs="Arial"/>
          <w:sz w:val="24"/>
          <w:szCs w:val="24"/>
        </w:rPr>
        <w:t xml:space="preserve"> </w:t>
      </w:r>
    </w:p>
    <w:p w14:paraId="26413D3A" w14:textId="77777777" w:rsidR="00B300F6" w:rsidRPr="00C3792D" w:rsidRDefault="00B300F6" w:rsidP="00B300F6">
      <w:pPr>
        <w:pStyle w:val="ListParagraph"/>
        <w:numPr>
          <w:ilvl w:val="0"/>
          <w:numId w:val="14"/>
        </w:numPr>
        <w:spacing w:line="480" w:lineRule="auto"/>
        <w:jc w:val="both"/>
        <w:rPr>
          <w:rFonts w:ascii="Arial" w:hAnsi="Arial" w:cs="Arial"/>
          <w:sz w:val="24"/>
          <w:szCs w:val="24"/>
        </w:rPr>
      </w:pPr>
      <w:r w:rsidRPr="00C3792D">
        <w:rPr>
          <w:rFonts w:ascii="Arial" w:hAnsi="Arial" w:cs="Arial"/>
          <w:sz w:val="24"/>
          <w:szCs w:val="24"/>
        </w:rPr>
        <w:t>The Act also provides for the giving of evidence through intermediaries</w:t>
      </w:r>
      <w:r w:rsidRPr="00C3792D">
        <w:rPr>
          <w:rStyle w:val="FootnoteReference"/>
          <w:rFonts w:ascii="Arial" w:hAnsi="Arial" w:cs="Arial"/>
          <w:sz w:val="24"/>
          <w:szCs w:val="24"/>
        </w:rPr>
        <w:footnoteReference w:id="20"/>
      </w:r>
      <w:r w:rsidRPr="00C3792D">
        <w:rPr>
          <w:rFonts w:ascii="Arial" w:hAnsi="Arial" w:cs="Arial"/>
          <w:sz w:val="24"/>
          <w:szCs w:val="24"/>
        </w:rPr>
        <w:t xml:space="preserve"> for witnesses under the biological or mental age of 18 years.</w:t>
      </w:r>
      <w:r w:rsidRPr="00C3792D">
        <w:rPr>
          <w:rStyle w:val="FootnoteReference"/>
          <w:rFonts w:ascii="Arial" w:hAnsi="Arial" w:cs="Arial"/>
          <w:sz w:val="24"/>
          <w:szCs w:val="24"/>
        </w:rPr>
        <w:footnoteReference w:id="21"/>
      </w:r>
      <w:r w:rsidRPr="00C3792D">
        <w:rPr>
          <w:rFonts w:ascii="Arial" w:hAnsi="Arial" w:cs="Arial"/>
          <w:sz w:val="24"/>
          <w:szCs w:val="24"/>
        </w:rPr>
        <w:t xml:space="preserve"> In terms of section </w:t>
      </w:r>
      <w:proofErr w:type="gramStart"/>
      <w:r w:rsidRPr="00C3792D">
        <w:rPr>
          <w:rFonts w:ascii="Arial" w:hAnsi="Arial" w:cs="Arial"/>
          <w:sz w:val="24"/>
          <w:szCs w:val="24"/>
        </w:rPr>
        <w:t>170A(</w:t>
      </w:r>
      <w:proofErr w:type="gramEnd"/>
      <w:r w:rsidRPr="00C3792D">
        <w:rPr>
          <w:rFonts w:ascii="Arial" w:hAnsi="Arial" w:cs="Arial"/>
          <w:sz w:val="24"/>
          <w:szCs w:val="24"/>
        </w:rPr>
        <w:t>3)(a) where the court appoints an intermediary, the proceedings may take place in a venue which is ‘informally arranged to set that witness at ease’ and which is ‘so situated that any person whose presence may upset that witness is outside the sight and hearing of that witness’.</w:t>
      </w:r>
      <w:r w:rsidRPr="00C3792D">
        <w:rPr>
          <w:rStyle w:val="FootnoteReference"/>
          <w:rFonts w:ascii="Arial" w:hAnsi="Arial" w:cs="Arial"/>
          <w:sz w:val="24"/>
          <w:szCs w:val="24"/>
        </w:rPr>
        <w:footnoteReference w:id="22"/>
      </w:r>
      <w:r w:rsidRPr="00C3792D">
        <w:rPr>
          <w:rFonts w:ascii="Arial" w:hAnsi="Arial" w:cs="Arial"/>
          <w:sz w:val="24"/>
          <w:szCs w:val="24"/>
        </w:rPr>
        <w:t xml:space="preserve"> This is to take place in a venue which enables the court and the accused to see and hear, either directly or through the medium of any electronic or other devices, the evidence of the child witness during his or her testimony’.</w:t>
      </w:r>
      <w:r w:rsidRPr="00C3792D">
        <w:rPr>
          <w:rStyle w:val="FootnoteReference"/>
          <w:rFonts w:ascii="Arial" w:hAnsi="Arial" w:cs="Arial"/>
          <w:sz w:val="24"/>
          <w:szCs w:val="24"/>
        </w:rPr>
        <w:footnoteReference w:id="23"/>
      </w:r>
      <w:r w:rsidRPr="00C3792D">
        <w:rPr>
          <w:rFonts w:ascii="Arial" w:hAnsi="Arial" w:cs="Arial"/>
          <w:sz w:val="24"/>
          <w:szCs w:val="24"/>
        </w:rPr>
        <w:t xml:space="preserve"> </w:t>
      </w:r>
    </w:p>
    <w:p w14:paraId="2FD6AA18" w14:textId="77777777" w:rsidR="00B300F6" w:rsidRPr="00C3792D" w:rsidRDefault="00B300F6" w:rsidP="00B300F6">
      <w:pPr>
        <w:pStyle w:val="ListParagraph"/>
        <w:spacing w:line="480" w:lineRule="auto"/>
        <w:ind w:left="0"/>
        <w:jc w:val="both"/>
        <w:rPr>
          <w:rFonts w:ascii="Arial" w:hAnsi="Arial" w:cs="Arial"/>
          <w:sz w:val="24"/>
          <w:szCs w:val="24"/>
        </w:rPr>
      </w:pPr>
      <w:r w:rsidRPr="00C3792D">
        <w:rPr>
          <w:rFonts w:ascii="Arial" w:hAnsi="Arial" w:cs="Arial"/>
          <w:sz w:val="24"/>
          <w:szCs w:val="24"/>
        </w:rPr>
        <w:t xml:space="preserve"> </w:t>
      </w:r>
    </w:p>
    <w:p w14:paraId="59483442" w14:textId="77777777" w:rsidR="00D10C10" w:rsidRPr="003E2EDC" w:rsidRDefault="005A3586" w:rsidP="003E2EDC">
      <w:pPr>
        <w:pStyle w:val="ListParagraph"/>
        <w:numPr>
          <w:ilvl w:val="0"/>
          <w:numId w:val="32"/>
        </w:numPr>
        <w:spacing w:line="480" w:lineRule="auto"/>
        <w:jc w:val="both"/>
        <w:rPr>
          <w:rFonts w:ascii="Arial" w:hAnsi="Arial" w:cs="Arial"/>
          <w:sz w:val="24"/>
          <w:szCs w:val="24"/>
        </w:rPr>
      </w:pPr>
      <w:r w:rsidRPr="003E2EDC">
        <w:rPr>
          <w:rFonts w:ascii="Arial" w:hAnsi="Arial" w:cs="Arial"/>
          <w:sz w:val="24"/>
          <w:szCs w:val="24"/>
        </w:rPr>
        <w:lastRenderedPageBreak/>
        <w:t>In international criminal law settings ‘the question is no</w:t>
      </w:r>
      <w:r w:rsidRPr="003E2EDC">
        <w:rPr>
          <w:rFonts w:ascii="Arial" w:hAnsi="Arial" w:cs="Arial"/>
          <w:spacing w:val="-9"/>
          <w:sz w:val="24"/>
          <w:szCs w:val="24"/>
        </w:rPr>
        <w:t xml:space="preserve"> </w:t>
      </w:r>
      <w:r w:rsidRPr="003E2EDC">
        <w:rPr>
          <w:rFonts w:ascii="Arial" w:hAnsi="Arial" w:cs="Arial"/>
          <w:sz w:val="24"/>
          <w:szCs w:val="24"/>
        </w:rPr>
        <w:t>longer:</w:t>
      </w:r>
      <w:r w:rsidRPr="003E2EDC">
        <w:rPr>
          <w:rFonts w:ascii="Arial" w:hAnsi="Arial" w:cs="Arial"/>
          <w:spacing w:val="-8"/>
          <w:sz w:val="24"/>
          <w:szCs w:val="24"/>
        </w:rPr>
        <w:t xml:space="preserve"> </w:t>
      </w:r>
      <w:r w:rsidRPr="003E2EDC">
        <w:rPr>
          <w:rFonts w:ascii="Arial" w:hAnsi="Arial" w:cs="Arial"/>
          <w:sz w:val="24"/>
          <w:szCs w:val="24"/>
        </w:rPr>
        <w:t>does</w:t>
      </w:r>
      <w:r w:rsidRPr="003E2EDC">
        <w:rPr>
          <w:rFonts w:ascii="Arial" w:hAnsi="Arial" w:cs="Arial"/>
          <w:spacing w:val="-8"/>
          <w:sz w:val="24"/>
          <w:szCs w:val="24"/>
        </w:rPr>
        <w:t xml:space="preserve"> </w:t>
      </w:r>
      <w:r w:rsidRPr="003E2EDC">
        <w:rPr>
          <w:rFonts w:ascii="Arial" w:hAnsi="Arial" w:cs="Arial"/>
          <w:sz w:val="24"/>
          <w:szCs w:val="24"/>
        </w:rPr>
        <w:t>a</w:t>
      </w:r>
      <w:r w:rsidRPr="003E2EDC">
        <w:rPr>
          <w:rFonts w:ascii="Arial" w:hAnsi="Arial" w:cs="Arial"/>
          <w:spacing w:val="-9"/>
          <w:sz w:val="24"/>
          <w:szCs w:val="24"/>
        </w:rPr>
        <w:t xml:space="preserve"> </w:t>
      </w:r>
      <w:r w:rsidRPr="003E2EDC">
        <w:rPr>
          <w:rFonts w:ascii="Arial" w:hAnsi="Arial" w:cs="Arial"/>
          <w:sz w:val="24"/>
          <w:szCs w:val="24"/>
        </w:rPr>
        <w:t>person</w:t>
      </w:r>
      <w:r w:rsidRPr="003E2EDC">
        <w:rPr>
          <w:rFonts w:ascii="Arial" w:hAnsi="Arial" w:cs="Arial"/>
          <w:spacing w:val="-9"/>
          <w:sz w:val="24"/>
          <w:szCs w:val="24"/>
        </w:rPr>
        <w:t xml:space="preserve"> </w:t>
      </w:r>
      <w:r w:rsidRPr="003E2EDC">
        <w:rPr>
          <w:rFonts w:ascii="Arial" w:hAnsi="Arial" w:cs="Arial"/>
          <w:sz w:val="24"/>
          <w:szCs w:val="24"/>
        </w:rPr>
        <w:t>have</w:t>
      </w:r>
      <w:r w:rsidRPr="003E2EDC">
        <w:rPr>
          <w:rFonts w:ascii="Arial" w:hAnsi="Arial" w:cs="Arial"/>
          <w:spacing w:val="-8"/>
          <w:sz w:val="24"/>
          <w:szCs w:val="24"/>
        </w:rPr>
        <w:t xml:space="preserve"> </w:t>
      </w:r>
      <w:r w:rsidRPr="003E2EDC">
        <w:rPr>
          <w:rFonts w:ascii="Arial" w:hAnsi="Arial" w:cs="Arial"/>
          <w:sz w:val="24"/>
          <w:szCs w:val="24"/>
        </w:rPr>
        <w:t>the</w:t>
      </w:r>
      <w:r w:rsidRPr="003E2EDC">
        <w:rPr>
          <w:rFonts w:ascii="Arial" w:hAnsi="Arial" w:cs="Arial"/>
          <w:spacing w:val="-9"/>
          <w:sz w:val="24"/>
          <w:szCs w:val="24"/>
        </w:rPr>
        <w:t xml:space="preserve"> </w:t>
      </w:r>
      <w:r w:rsidRPr="003E2EDC">
        <w:rPr>
          <w:rFonts w:ascii="Arial" w:hAnsi="Arial" w:cs="Arial"/>
          <w:sz w:val="24"/>
          <w:szCs w:val="24"/>
        </w:rPr>
        <w:t>mental</w:t>
      </w:r>
      <w:r w:rsidRPr="003E2EDC">
        <w:rPr>
          <w:rFonts w:ascii="Arial" w:hAnsi="Arial" w:cs="Arial"/>
          <w:spacing w:val="-9"/>
          <w:sz w:val="24"/>
          <w:szCs w:val="24"/>
        </w:rPr>
        <w:t xml:space="preserve"> </w:t>
      </w:r>
      <w:r w:rsidRPr="003E2EDC">
        <w:rPr>
          <w:rFonts w:ascii="Arial" w:hAnsi="Arial" w:cs="Arial"/>
          <w:sz w:val="24"/>
          <w:szCs w:val="24"/>
        </w:rPr>
        <w:t>capacity</w:t>
      </w:r>
      <w:r w:rsidRPr="003E2EDC">
        <w:rPr>
          <w:rFonts w:ascii="Arial" w:hAnsi="Arial" w:cs="Arial"/>
          <w:spacing w:val="-8"/>
          <w:sz w:val="24"/>
          <w:szCs w:val="24"/>
        </w:rPr>
        <w:t xml:space="preserve"> </w:t>
      </w:r>
      <w:r w:rsidRPr="003E2EDC">
        <w:rPr>
          <w:rFonts w:ascii="Arial" w:hAnsi="Arial" w:cs="Arial"/>
          <w:sz w:val="24"/>
          <w:szCs w:val="24"/>
        </w:rPr>
        <w:t>to</w:t>
      </w:r>
      <w:r w:rsidRPr="003E2EDC">
        <w:rPr>
          <w:rFonts w:ascii="Arial" w:hAnsi="Arial" w:cs="Arial"/>
          <w:spacing w:val="-9"/>
          <w:sz w:val="24"/>
          <w:szCs w:val="24"/>
        </w:rPr>
        <w:t xml:space="preserve"> </w:t>
      </w:r>
      <w:r w:rsidRPr="003E2EDC">
        <w:rPr>
          <w:rFonts w:ascii="Arial" w:hAnsi="Arial" w:cs="Arial"/>
          <w:sz w:val="24"/>
          <w:szCs w:val="24"/>
        </w:rPr>
        <w:t>exercise</w:t>
      </w:r>
      <w:r w:rsidRPr="003E2EDC">
        <w:rPr>
          <w:rFonts w:ascii="Arial" w:hAnsi="Arial" w:cs="Arial"/>
          <w:spacing w:val="-7"/>
          <w:sz w:val="24"/>
          <w:szCs w:val="24"/>
        </w:rPr>
        <w:t xml:space="preserve"> </w:t>
      </w:r>
      <w:r w:rsidRPr="003E2EDC">
        <w:rPr>
          <w:rFonts w:ascii="Arial" w:hAnsi="Arial" w:cs="Arial"/>
          <w:sz w:val="24"/>
          <w:szCs w:val="24"/>
        </w:rPr>
        <w:t>his/her</w:t>
      </w:r>
      <w:r w:rsidRPr="003E2EDC">
        <w:rPr>
          <w:rFonts w:ascii="Arial" w:hAnsi="Arial" w:cs="Arial"/>
          <w:spacing w:val="-9"/>
          <w:sz w:val="24"/>
          <w:szCs w:val="24"/>
        </w:rPr>
        <w:t xml:space="preserve"> </w:t>
      </w:r>
      <w:r w:rsidRPr="003E2EDC">
        <w:rPr>
          <w:rFonts w:ascii="Arial" w:hAnsi="Arial" w:cs="Arial"/>
          <w:sz w:val="24"/>
          <w:szCs w:val="24"/>
        </w:rPr>
        <w:t xml:space="preserve">legal capacity? The question is instead: </w:t>
      </w:r>
      <w:r w:rsidRPr="003E2EDC">
        <w:rPr>
          <w:rFonts w:ascii="Arial" w:hAnsi="Arial" w:cs="Arial"/>
          <w:sz w:val="24"/>
          <w:szCs w:val="24"/>
          <w:u w:val="single"/>
        </w:rPr>
        <w:t>What types of support are required for the person to exercise his or her legal capacity</w:t>
      </w:r>
      <w:r w:rsidRPr="003E2EDC">
        <w:rPr>
          <w:rFonts w:ascii="Arial" w:hAnsi="Arial" w:cs="Arial"/>
          <w:sz w:val="24"/>
          <w:szCs w:val="24"/>
        </w:rPr>
        <w:t>?’</w:t>
      </w:r>
      <w:r w:rsidRPr="00C3792D">
        <w:rPr>
          <w:rStyle w:val="FootnoteReference"/>
          <w:rFonts w:ascii="Arial" w:hAnsi="Arial" w:cs="Arial"/>
          <w:sz w:val="24"/>
          <w:szCs w:val="24"/>
        </w:rPr>
        <w:footnoteReference w:id="24"/>
      </w:r>
      <w:r w:rsidRPr="003E2EDC">
        <w:rPr>
          <w:rFonts w:ascii="Arial" w:hAnsi="Arial" w:cs="Arial"/>
          <w:position w:val="8"/>
          <w:sz w:val="24"/>
          <w:szCs w:val="24"/>
        </w:rPr>
        <w:t xml:space="preserve"> </w:t>
      </w:r>
      <w:r w:rsidRPr="003E2EDC">
        <w:rPr>
          <w:rFonts w:ascii="Arial" w:hAnsi="Arial" w:cs="Arial"/>
          <w:sz w:val="24"/>
          <w:szCs w:val="24"/>
        </w:rPr>
        <w:t>The</w:t>
      </w:r>
      <w:r w:rsidRPr="003E2EDC">
        <w:rPr>
          <w:rFonts w:ascii="Arial" w:hAnsi="Arial" w:cs="Arial"/>
          <w:spacing w:val="-14"/>
          <w:sz w:val="24"/>
          <w:szCs w:val="24"/>
        </w:rPr>
        <w:t xml:space="preserve"> </w:t>
      </w:r>
      <w:r w:rsidRPr="003E2EDC">
        <w:rPr>
          <w:rFonts w:ascii="Arial" w:hAnsi="Arial" w:cs="Arial"/>
          <w:sz w:val="24"/>
          <w:szCs w:val="24"/>
        </w:rPr>
        <w:t>question</w:t>
      </w:r>
      <w:r w:rsidRPr="003E2EDC">
        <w:rPr>
          <w:rFonts w:ascii="Arial" w:hAnsi="Arial" w:cs="Arial"/>
          <w:spacing w:val="-14"/>
          <w:sz w:val="24"/>
          <w:szCs w:val="24"/>
        </w:rPr>
        <w:t xml:space="preserve"> </w:t>
      </w:r>
      <w:r w:rsidRPr="003E2EDC">
        <w:rPr>
          <w:rFonts w:ascii="Arial" w:hAnsi="Arial" w:cs="Arial"/>
          <w:sz w:val="24"/>
          <w:szCs w:val="24"/>
        </w:rPr>
        <w:t>should</w:t>
      </w:r>
      <w:r w:rsidRPr="003E2EDC">
        <w:rPr>
          <w:rFonts w:ascii="Arial" w:hAnsi="Arial" w:cs="Arial"/>
          <w:spacing w:val="-13"/>
          <w:sz w:val="24"/>
          <w:szCs w:val="24"/>
        </w:rPr>
        <w:t xml:space="preserve"> </w:t>
      </w:r>
      <w:r w:rsidRPr="003E2EDC">
        <w:rPr>
          <w:rFonts w:ascii="Arial" w:hAnsi="Arial" w:cs="Arial"/>
          <w:sz w:val="24"/>
          <w:szCs w:val="24"/>
        </w:rPr>
        <w:t>not</w:t>
      </w:r>
      <w:r w:rsidRPr="003E2EDC">
        <w:rPr>
          <w:rFonts w:ascii="Arial" w:hAnsi="Arial" w:cs="Arial"/>
          <w:spacing w:val="-14"/>
          <w:sz w:val="24"/>
          <w:szCs w:val="24"/>
        </w:rPr>
        <w:t xml:space="preserve"> </w:t>
      </w:r>
      <w:r w:rsidRPr="003E2EDC">
        <w:rPr>
          <w:rFonts w:ascii="Arial" w:hAnsi="Arial" w:cs="Arial"/>
          <w:sz w:val="24"/>
          <w:szCs w:val="24"/>
        </w:rPr>
        <w:t>be</w:t>
      </w:r>
      <w:r w:rsidRPr="003E2EDC">
        <w:rPr>
          <w:rFonts w:ascii="Arial" w:hAnsi="Arial" w:cs="Arial"/>
          <w:spacing w:val="-14"/>
          <w:sz w:val="24"/>
          <w:szCs w:val="24"/>
        </w:rPr>
        <w:t xml:space="preserve"> </w:t>
      </w:r>
      <w:r w:rsidRPr="003E2EDC">
        <w:rPr>
          <w:rFonts w:ascii="Arial" w:hAnsi="Arial" w:cs="Arial"/>
          <w:sz w:val="24"/>
          <w:szCs w:val="24"/>
        </w:rPr>
        <w:t>whether</w:t>
      </w:r>
      <w:r w:rsidRPr="003E2EDC">
        <w:rPr>
          <w:rFonts w:ascii="Arial" w:hAnsi="Arial" w:cs="Arial"/>
          <w:spacing w:val="-14"/>
          <w:sz w:val="24"/>
          <w:szCs w:val="24"/>
        </w:rPr>
        <w:t xml:space="preserve"> </w:t>
      </w:r>
      <w:r w:rsidRPr="003E2EDC">
        <w:rPr>
          <w:rFonts w:ascii="Arial" w:hAnsi="Arial" w:cs="Arial"/>
          <w:sz w:val="24"/>
          <w:szCs w:val="24"/>
        </w:rPr>
        <w:t>a</w:t>
      </w:r>
      <w:r w:rsidRPr="003E2EDC">
        <w:rPr>
          <w:rFonts w:ascii="Arial" w:hAnsi="Arial" w:cs="Arial"/>
          <w:spacing w:val="-14"/>
          <w:sz w:val="24"/>
          <w:szCs w:val="24"/>
        </w:rPr>
        <w:t xml:space="preserve"> </w:t>
      </w:r>
      <w:r w:rsidRPr="003E2EDC">
        <w:rPr>
          <w:rFonts w:ascii="Arial" w:hAnsi="Arial" w:cs="Arial"/>
          <w:sz w:val="24"/>
          <w:szCs w:val="24"/>
        </w:rPr>
        <w:t>person</w:t>
      </w:r>
      <w:r w:rsidRPr="003E2EDC">
        <w:rPr>
          <w:rFonts w:ascii="Arial" w:hAnsi="Arial" w:cs="Arial"/>
          <w:spacing w:val="-13"/>
          <w:sz w:val="24"/>
          <w:szCs w:val="24"/>
        </w:rPr>
        <w:t xml:space="preserve"> </w:t>
      </w:r>
      <w:r w:rsidRPr="003E2EDC">
        <w:rPr>
          <w:rFonts w:ascii="Arial" w:hAnsi="Arial" w:cs="Arial"/>
          <w:sz w:val="24"/>
          <w:szCs w:val="24"/>
        </w:rPr>
        <w:t>is</w:t>
      </w:r>
      <w:r w:rsidRPr="003E2EDC">
        <w:rPr>
          <w:rFonts w:ascii="Arial" w:hAnsi="Arial" w:cs="Arial"/>
          <w:spacing w:val="-14"/>
          <w:sz w:val="24"/>
          <w:szCs w:val="24"/>
        </w:rPr>
        <w:t xml:space="preserve"> </w:t>
      </w:r>
      <w:r w:rsidRPr="003E2EDC">
        <w:rPr>
          <w:rFonts w:ascii="Arial" w:hAnsi="Arial" w:cs="Arial"/>
          <w:sz w:val="24"/>
          <w:szCs w:val="24"/>
        </w:rPr>
        <w:t>competent</w:t>
      </w:r>
      <w:r w:rsidRPr="003E2EDC">
        <w:rPr>
          <w:rFonts w:ascii="Arial" w:hAnsi="Arial" w:cs="Arial"/>
          <w:spacing w:val="-13"/>
          <w:sz w:val="24"/>
          <w:szCs w:val="24"/>
        </w:rPr>
        <w:t xml:space="preserve"> </w:t>
      </w:r>
      <w:r w:rsidRPr="003E2EDC">
        <w:rPr>
          <w:rFonts w:ascii="Arial" w:hAnsi="Arial" w:cs="Arial"/>
          <w:sz w:val="24"/>
          <w:szCs w:val="24"/>
        </w:rPr>
        <w:t>to</w:t>
      </w:r>
      <w:r w:rsidRPr="003E2EDC">
        <w:rPr>
          <w:rFonts w:ascii="Arial" w:hAnsi="Arial" w:cs="Arial"/>
          <w:spacing w:val="-14"/>
          <w:sz w:val="24"/>
          <w:szCs w:val="24"/>
        </w:rPr>
        <w:t xml:space="preserve"> </w:t>
      </w:r>
      <w:r w:rsidRPr="003E2EDC">
        <w:rPr>
          <w:rFonts w:ascii="Arial" w:hAnsi="Arial" w:cs="Arial"/>
          <w:sz w:val="24"/>
          <w:szCs w:val="24"/>
        </w:rPr>
        <w:t xml:space="preserve">testify; rather it should be what types of accommodations are required to enable the person to give effective testimony? </w:t>
      </w:r>
    </w:p>
    <w:p w14:paraId="4209A423" w14:textId="77777777" w:rsidR="00D10C10" w:rsidRPr="00C3792D" w:rsidRDefault="00D10C10" w:rsidP="00D10C10">
      <w:pPr>
        <w:pStyle w:val="ListParagraph"/>
        <w:spacing w:line="480" w:lineRule="auto"/>
        <w:ind w:left="0"/>
        <w:jc w:val="both"/>
        <w:rPr>
          <w:rFonts w:ascii="Arial" w:hAnsi="Arial" w:cs="Arial"/>
          <w:sz w:val="24"/>
          <w:szCs w:val="24"/>
        </w:rPr>
      </w:pPr>
      <w:r w:rsidRPr="00C3792D">
        <w:rPr>
          <w:rFonts w:ascii="Arial" w:hAnsi="Arial" w:cs="Arial"/>
          <w:sz w:val="24"/>
          <w:szCs w:val="24"/>
        </w:rPr>
        <w:t xml:space="preserve"> </w:t>
      </w:r>
    </w:p>
    <w:p w14:paraId="06EABC98" w14:textId="77777777" w:rsidR="00D10C10" w:rsidRPr="003E2EDC" w:rsidRDefault="00B300F6" w:rsidP="003E2EDC">
      <w:pPr>
        <w:pStyle w:val="ListParagraph"/>
        <w:numPr>
          <w:ilvl w:val="0"/>
          <w:numId w:val="32"/>
        </w:numPr>
        <w:spacing w:line="480" w:lineRule="auto"/>
        <w:jc w:val="both"/>
        <w:rPr>
          <w:rFonts w:ascii="Arial" w:hAnsi="Arial" w:cs="Arial"/>
          <w:sz w:val="24"/>
          <w:szCs w:val="24"/>
        </w:rPr>
      </w:pPr>
      <w:r w:rsidRPr="003E2EDC">
        <w:rPr>
          <w:rFonts w:ascii="Arial" w:hAnsi="Arial" w:cs="Arial"/>
          <w:sz w:val="24"/>
          <w:szCs w:val="24"/>
        </w:rPr>
        <w:t xml:space="preserve">Coming to our present </w:t>
      </w:r>
      <w:r w:rsidR="005A3586" w:rsidRPr="003E2EDC">
        <w:rPr>
          <w:rFonts w:ascii="Arial" w:hAnsi="Arial" w:cs="Arial"/>
          <w:sz w:val="24"/>
          <w:szCs w:val="24"/>
        </w:rPr>
        <w:t>case</w:t>
      </w:r>
      <w:r w:rsidRPr="003E2EDC">
        <w:rPr>
          <w:rFonts w:ascii="Arial" w:hAnsi="Arial" w:cs="Arial"/>
          <w:sz w:val="24"/>
          <w:szCs w:val="24"/>
        </w:rPr>
        <w:t>, the learned magistrate clearly after hearing the clinical psychologist’s reports that the complainant knows the di</w:t>
      </w:r>
      <w:r w:rsidR="005A3586" w:rsidRPr="003E2EDC">
        <w:rPr>
          <w:rFonts w:ascii="Arial" w:hAnsi="Arial" w:cs="Arial"/>
          <w:sz w:val="24"/>
          <w:szCs w:val="24"/>
        </w:rPr>
        <w:t>fference between truth and lies; knowing</w:t>
      </w:r>
      <w:r w:rsidRPr="003E2EDC">
        <w:rPr>
          <w:rFonts w:ascii="Arial" w:hAnsi="Arial" w:cs="Arial"/>
          <w:sz w:val="24"/>
          <w:szCs w:val="24"/>
        </w:rPr>
        <w:t xml:space="preserve"> about his learning difficulties</w:t>
      </w:r>
      <w:r w:rsidR="005A3586" w:rsidRPr="003E2EDC">
        <w:rPr>
          <w:rFonts w:ascii="Arial" w:hAnsi="Arial" w:cs="Arial"/>
          <w:sz w:val="24"/>
          <w:szCs w:val="24"/>
        </w:rPr>
        <w:t>;</w:t>
      </w:r>
      <w:r w:rsidRPr="003E2EDC">
        <w:rPr>
          <w:rFonts w:ascii="Arial" w:hAnsi="Arial" w:cs="Arial"/>
          <w:sz w:val="24"/>
          <w:szCs w:val="24"/>
        </w:rPr>
        <w:t xml:space="preserve"> and how he was to be accommodated </w:t>
      </w:r>
      <w:r w:rsidR="005A3586" w:rsidRPr="003E2EDC">
        <w:rPr>
          <w:rFonts w:ascii="Arial" w:hAnsi="Arial" w:cs="Arial"/>
          <w:sz w:val="24"/>
          <w:szCs w:val="24"/>
        </w:rPr>
        <w:t xml:space="preserve">per the recommendations of the clinical psychologist </w:t>
      </w:r>
      <w:r w:rsidRPr="003E2EDC">
        <w:rPr>
          <w:rFonts w:ascii="Arial" w:hAnsi="Arial" w:cs="Arial"/>
          <w:sz w:val="24"/>
          <w:szCs w:val="24"/>
        </w:rPr>
        <w:t>in terms of the type of questioning technique</w:t>
      </w:r>
      <w:r w:rsidR="005A3586" w:rsidRPr="003E2EDC">
        <w:rPr>
          <w:rFonts w:ascii="Arial" w:hAnsi="Arial" w:cs="Arial"/>
          <w:sz w:val="24"/>
          <w:szCs w:val="24"/>
        </w:rPr>
        <w:t xml:space="preserve"> relevant to the child witness to enable him</w:t>
      </w:r>
      <w:r w:rsidRPr="003E2EDC">
        <w:rPr>
          <w:rFonts w:ascii="Arial" w:hAnsi="Arial" w:cs="Arial"/>
          <w:sz w:val="24"/>
          <w:szCs w:val="24"/>
        </w:rPr>
        <w:t xml:space="preserve"> to narrate the incident effectively in court, he </w:t>
      </w:r>
      <w:r w:rsidR="005A3586" w:rsidRPr="003E2EDC">
        <w:rPr>
          <w:rFonts w:ascii="Arial" w:hAnsi="Arial" w:cs="Arial"/>
          <w:sz w:val="24"/>
          <w:szCs w:val="24"/>
        </w:rPr>
        <w:t>put the measures in place</w:t>
      </w:r>
      <w:r w:rsidRPr="003E2EDC">
        <w:rPr>
          <w:rFonts w:ascii="Arial" w:hAnsi="Arial" w:cs="Arial"/>
          <w:sz w:val="24"/>
          <w:szCs w:val="24"/>
        </w:rPr>
        <w:t>. Knowing the expert had already established he knows the difference</w:t>
      </w:r>
      <w:r w:rsidR="0095456B" w:rsidRPr="003E2EDC">
        <w:rPr>
          <w:rFonts w:ascii="Arial" w:hAnsi="Arial" w:cs="Arial"/>
          <w:sz w:val="24"/>
          <w:szCs w:val="24"/>
        </w:rPr>
        <w:t xml:space="preserve"> between truth and lies</w:t>
      </w:r>
      <w:r w:rsidRPr="003E2EDC">
        <w:rPr>
          <w:rFonts w:ascii="Arial" w:hAnsi="Arial" w:cs="Arial"/>
          <w:sz w:val="24"/>
          <w:szCs w:val="24"/>
        </w:rPr>
        <w:t xml:space="preserve">, </w:t>
      </w:r>
      <w:r w:rsidR="0095456B" w:rsidRPr="003E2EDC">
        <w:rPr>
          <w:rFonts w:ascii="Arial" w:hAnsi="Arial" w:cs="Arial"/>
          <w:sz w:val="24"/>
          <w:szCs w:val="24"/>
        </w:rPr>
        <w:t>t</w:t>
      </w:r>
      <w:r w:rsidRPr="003E2EDC">
        <w:rPr>
          <w:rFonts w:ascii="Arial" w:hAnsi="Arial" w:cs="Arial"/>
          <w:sz w:val="24"/>
          <w:szCs w:val="24"/>
        </w:rPr>
        <w:t xml:space="preserve">he </w:t>
      </w:r>
      <w:r w:rsidR="0095456B" w:rsidRPr="003E2EDC">
        <w:rPr>
          <w:rFonts w:ascii="Arial" w:hAnsi="Arial" w:cs="Arial"/>
          <w:sz w:val="24"/>
          <w:szCs w:val="24"/>
        </w:rPr>
        <w:t xml:space="preserve">magistrate then </w:t>
      </w:r>
      <w:r w:rsidRPr="003E2EDC">
        <w:rPr>
          <w:rFonts w:ascii="Arial" w:hAnsi="Arial" w:cs="Arial"/>
          <w:sz w:val="24"/>
          <w:szCs w:val="24"/>
        </w:rPr>
        <w:t xml:space="preserve">asked briefly to </w:t>
      </w:r>
      <w:r w:rsidR="005A3586" w:rsidRPr="003E2EDC">
        <w:rPr>
          <w:rFonts w:ascii="Arial" w:hAnsi="Arial" w:cs="Arial"/>
          <w:sz w:val="24"/>
          <w:szCs w:val="24"/>
        </w:rPr>
        <w:t>satisfy</w:t>
      </w:r>
      <w:r w:rsidRPr="003E2EDC">
        <w:rPr>
          <w:rFonts w:ascii="Arial" w:hAnsi="Arial" w:cs="Arial"/>
          <w:sz w:val="24"/>
          <w:szCs w:val="24"/>
        </w:rPr>
        <w:t xml:space="preserve"> himself if the child knows the difference between truth and lies, and then proceeded to admonish the child to speak the truth, through the intermediary seating with the child. He obviously did not ask long protracted questions as ordinarily would be the case. This </w:t>
      </w:r>
      <w:r w:rsidR="005A3586" w:rsidRPr="003E2EDC">
        <w:rPr>
          <w:rFonts w:ascii="Arial" w:hAnsi="Arial" w:cs="Arial"/>
          <w:sz w:val="24"/>
          <w:szCs w:val="24"/>
        </w:rPr>
        <w:t xml:space="preserve">was </w:t>
      </w:r>
      <w:r w:rsidRPr="003E2EDC">
        <w:rPr>
          <w:rFonts w:ascii="Arial" w:hAnsi="Arial" w:cs="Arial"/>
          <w:sz w:val="24"/>
          <w:szCs w:val="24"/>
        </w:rPr>
        <w:t>in no way prejudic</w:t>
      </w:r>
      <w:r w:rsidR="005A3586" w:rsidRPr="003E2EDC">
        <w:rPr>
          <w:rFonts w:ascii="Arial" w:hAnsi="Arial" w:cs="Arial"/>
          <w:sz w:val="24"/>
          <w:szCs w:val="24"/>
        </w:rPr>
        <w:t>ial to</w:t>
      </w:r>
      <w:r w:rsidRPr="003E2EDC">
        <w:rPr>
          <w:rFonts w:ascii="Arial" w:hAnsi="Arial" w:cs="Arial"/>
          <w:sz w:val="24"/>
          <w:szCs w:val="24"/>
        </w:rPr>
        <w:t xml:space="preserve"> the accused who still had the opportunity to cross-ex</w:t>
      </w:r>
      <w:r w:rsidR="005A3586" w:rsidRPr="003E2EDC">
        <w:rPr>
          <w:rFonts w:ascii="Arial" w:hAnsi="Arial" w:cs="Arial"/>
          <w:sz w:val="24"/>
          <w:szCs w:val="24"/>
        </w:rPr>
        <w:t>amine the complainant at length, which in fact happened.</w:t>
      </w:r>
    </w:p>
    <w:p w14:paraId="7651B994" w14:textId="77777777" w:rsidR="00D10C10" w:rsidRPr="00C3792D" w:rsidRDefault="00D10C10" w:rsidP="00D57760">
      <w:pPr>
        <w:pStyle w:val="ListParagraph"/>
        <w:spacing w:line="480" w:lineRule="auto"/>
        <w:rPr>
          <w:rFonts w:ascii="Arial" w:hAnsi="Arial" w:cs="Arial"/>
          <w:sz w:val="24"/>
          <w:szCs w:val="24"/>
        </w:rPr>
      </w:pPr>
    </w:p>
    <w:p w14:paraId="384962F8" w14:textId="77777777" w:rsidR="00D10C10" w:rsidRPr="00C3792D" w:rsidRDefault="00D10C10" w:rsidP="00D57760">
      <w:pPr>
        <w:pStyle w:val="ListParagraph"/>
        <w:spacing w:line="480" w:lineRule="auto"/>
        <w:ind w:left="360"/>
        <w:rPr>
          <w:rFonts w:ascii="Arial" w:hAnsi="Arial" w:cs="Arial"/>
          <w:b/>
          <w:sz w:val="24"/>
          <w:szCs w:val="24"/>
        </w:rPr>
      </w:pPr>
      <w:r w:rsidRPr="00C3792D">
        <w:rPr>
          <w:rFonts w:ascii="Arial" w:hAnsi="Arial" w:cs="Arial"/>
          <w:b/>
          <w:sz w:val="24"/>
          <w:szCs w:val="24"/>
        </w:rPr>
        <w:t>Right of Access to the Courts:</w:t>
      </w:r>
    </w:p>
    <w:p w14:paraId="726695D6" w14:textId="77777777" w:rsidR="00C3595D" w:rsidRPr="00C3792D" w:rsidRDefault="007C5D68" w:rsidP="003E2EDC">
      <w:pPr>
        <w:pStyle w:val="ListParagraph"/>
        <w:numPr>
          <w:ilvl w:val="0"/>
          <w:numId w:val="32"/>
        </w:numPr>
        <w:spacing w:line="480" w:lineRule="auto"/>
        <w:jc w:val="both"/>
        <w:rPr>
          <w:rFonts w:ascii="Arial" w:hAnsi="Arial" w:cs="Arial"/>
          <w:sz w:val="24"/>
          <w:szCs w:val="24"/>
        </w:rPr>
      </w:pPr>
      <w:r w:rsidRPr="00C3792D">
        <w:rPr>
          <w:rFonts w:ascii="Arial" w:hAnsi="Arial" w:cs="Arial"/>
          <w:sz w:val="24"/>
          <w:szCs w:val="24"/>
        </w:rPr>
        <w:lastRenderedPageBreak/>
        <w:t xml:space="preserve">Thirdly, </w:t>
      </w:r>
      <w:r w:rsidR="002C04CF" w:rsidRPr="00C3792D">
        <w:rPr>
          <w:rFonts w:ascii="Arial" w:hAnsi="Arial" w:cs="Arial"/>
          <w:b/>
          <w:sz w:val="24"/>
          <w:szCs w:val="24"/>
        </w:rPr>
        <w:t>section 34</w:t>
      </w:r>
      <w:r w:rsidR="002C04CF" w:rsidRPr="00C3792D">
        <w:rPr>
          <w:rFonts w:ascii="Arial" w:hAnsi="Arial" w:cs="Arial"/>
          <w:sz w:val="24"/>
          <w:szCs w:val="24"/>
        </w:rPr>
        <w:t xml:space="preserve"> of the Constitution</w:t>
      </w:r>
      <w:r w:rsidR="007D1BB5" w:rsidRPr="00C3792D">
        <w:rPr>
          <w:rFonts w:ascii="Arial" w:hAnsi="Arial" w:cs="Arial"/>
          <w:sz w:val="24"/>
          <w:szCs w:val="24"/>
        </w:rPr>
        <w:t xml:space="preserve"> of South Africa</w:t>
      </w:r>
      <w:r w:rsidR="002C04CF" w:rsidRPr="00C3792D">
        <w:rPr>
          <w:rFonts w:ascii="Arial" w:hAnsi="Arial" w:cs="Arial"/>
          <w:sz w:val="24"/>
          <w:szCs w:val="24"/>
        </w:rPr>
        <w:t xml:space="preserve"> provides</w:t>
      </w:r>
      <w:r w:rsidR="00745AE1" w:rsidRPr="00C3792D">
        <w:rPr>
          <w:rFonts w:ascii="Arial" w:hAnsi="Arial" w:cs="Arial"/>
          <w:sz w:val="24"/>
          <w:szCs w:val="24"/>
        </w:rPr>
        <w:t xml:space="preserve"> that everyone, including people with disabilities and/or psycho-social limitations, </w:t>
      </w:r>
      <w:r w:rsidR="00745AE1" w:rsidRPr="00C3792D">
        <w:rPr>
          <w:rFonts w:ascii="Arial" w:hAnsi="Arial" w:cs="Arial"/>
          <w:i/>
          <w:sz w:val="24"/>
          <w:szCs w:val="24"/>
        </w:rPr>
        <w:t>“…has a right to have any dispute that can be resolved by the application of the law decided in a fair public hearing before a court…</w:t>
      </w:r>
      <w:proofErr w:type="gramStart"/>
      <w:r w:rsidR="00745AE1" w:rsidRPr="00C3792D">
        <w:rPr>
          <w:rFonts w:ascii="Arial" w:hAnsi="Arial" w:cs="Arial"/>
          <w:i/>
          <w:sz w:val="24"/>
          <w:szCs w:val="24"/>
        </w:rPr>
        <w:t>”</w:t>
      </w:r>
      <w:r w:rsidR="00745AE1" w:rsidRPr="00C3792D">
        <w:rPr>
          <w:rFonts w:ascii="Arial" w:hAnsi="Arial" w:cs="Arial"/>
          <w:sz w:val="24"/>
          <w:szCs w:val="24"/>
        </w:rPr>
        <w:t>.</w:t>
      </w:r>
      <w:proofErr w:type="gramEnd"/>
      <w:r w:rsidR="00745AE1" w:rsidRPr="00C3792D">
        <w:rPr>
          <w:rFonts w:ascii="Arial" w:hAnsi="Arial" w:cs="Arial"/>
          <w:sz w:val="24"/>
          <w:szCs w:val="24"/>
        </w:rPr>
        <w:t xml:space="preserve"> </w:t>
      </w:r>
    </w:p>
    <w:p w14:paraId="648F3976" w14:textId="77777777" w:rsidR="00C309B2" w:rsidRPr="00C3792D" w:rsidRDefault="007D1BB5" w:rsidP="003E2EDC">
      <w:pPr>
        <w:pStyle w:val="ListParagraph"/>
        <w:numPr>
          <w:ilvl w:val="0"/>
          <w:numId w:val="32"/>
        </w:numPr>
        <w:spacing w:line="480" w:lineRule="auto"/>
        <w:jc w:val="both"/>
        <w:rPr>
          <w:rFonts w:ascii="Arial" w:hAnsi="Arial" w:cs="Arial"/>
          <w:sz w:val="24"/>
          <w:szCs w:val="24"/>
        </w:rPr>
      </w:pPr>
      <w:r w:rsidRPr="00C3792D">
        <w:rPr>
          <w:rFonts w:ascii="Arial" w:hAnsi="Arial" w:cs="Arial"/>
          <w:sz w:val="24"/>
          <w:szCs w:val="24"/>
        </w:rPr>
        <w:t>Article 13 of the Convention on the Rights of Persons with Disabilities (CRPD) provides for the right of a</w:t>
      </w:r>
      <w:r w:rsidR="00A16784" w:rsidRPr="00C3792D">
        <w:rPr>
          <w:rFonts w:ascii="Arial" w:hAnsi="Arial" w:cs="Arial"/>
          <w:sz w:val="24"/>
          <w:szCs w:val="24"/>
        </w:rPr>
        <w:t>ccess to justice,</w:t>
      </w:r>
      <w:r w:rsidRPr="00C3792D">
        <w:rPr>
          <w:rStyle w:val="FootnoteReference"/>
          <w:rFonts w:ascii="Arial" w:hAnsi="Arial" w:cs="Arial"/>
          <w:sz w:val="24"/>
          <w:szCs w:val="24"/>
        </w:rPr>
        <w:footnoteReference w:id="25"/>
      </w:r>
      <w:r w:rsidRPr="00C3792D">
        <w:rPr>
          <w:rFonts w:ascii="Arial" w:hAnsi="Arial" w:cs="Arial"/>
          <w:sz w:val="24"/>
          <w:szCs w:val="24"/>
        </w:rPr>
        <w:t xml:space="preserve"> </w:t>
      </w:r>
      <w:r w:rsidR="00A16784" w:rsidRPr="00C3792D">
        <w:rPr>
          <w:rFonts w:ascii="Arial" w:hAnsi="Arial" w:cs="Arial"/>
          <w:sz w:val="24"/>
          <w:szCs w:val="24"/>
        </w:rPr>
        <w:t xml:space="preserve">which </w:t>
      </w:r>
      <w:r w:rsidRPr="00C3792D">
        <w:rPr>
          <w:rFonts w:ascii="Arial" w:hAnsi="Arial" w:cs="Arial"/>
          <w:sz w:val="24"/>
          <w:szCs w:val="24"/>
        </w:rPr>
        <w:t xml:space="preserve">requires states parties to </w:t>
      </w:r>
      <w:r w:rsidRPr="00C3792D">
        <w:rPr>
          <w:rFonts w:ascii="Arial" w:hAnsi="Arial" w:cs="Arial"/>
          <w:b/>
          <w:sz w:val="24"/>
          <w:szCs w:val="24"/>
        </w:rPr>
        <w:t>‘ensure effective access to justice for persons with disabilities on an equal basis with others’</w:t>
      </w:r>
      <w:r w:rsidRPr="00C3792D">
        <w:rPr>
          <w:rFonts w:ascii="Arial" w:hAnsi="Arial" w:cs="Arial"/>
          <w:sz w:val="24"/>
          <w:szCs w:val="24"/>
        </w:rPr>
        <w:t>. Although the CRPD is recognised as the first international human rights instrument containing a substantive right of access to justice, the right existed prior to the coming into force of the</w:t>
      </w:r>
      <w:r w:rsidR="00A16784" w:rsidRPr="00C3792D">
        <w:rPr>
          <w:rFonts w:ascii="Arial" w:hAnsi="Arial" w:cs="Arial"/>
          <w:sz w:val="24"/>
          <w:szCs w:val="24"/>
        </w:rPr>
        <w:t xml:space="preserve"> CRPD, i</w:t>
      </w:r>
      <w:r w:rsidRPr="00C3792D">
        <w:rPr>
          <w:rFonts w:ascii="Arial" w:hAnsi="Arial" w:cs="Arial"/>
          <w:sz w:val="24"/>
          <w:szCs w:val="24"/>
        </w:rPr>
        <w:t>n internation</w:t>
      </w:r>
      <w:r w:rsidR="00A16784" w:rsidRPr="00C3792D">
        <w:rPr>
          <w:rFonts w:ascii="Arial" w:hAnsi="Arial" w:cs="Arial"/>
          <w:sz w:val="24"/>
          <w:szCs w:val="24"/>
        </w:rPr>
        <w:t>al human rights law</w:t>
      </w:r>
      <w:r w:rsidRPr="00C3792D">
        <w:rPr>
          <w:rFonts w:ascii="Arial" w:hAnsi="Arial" w:cs="Arial"/>
          <w:sz w:val="24"/>
          <w:szCs w:val="24"/>
        </w:rPr>
        <w:t xml:space="preserve"> usually termed as the right to an effective remedy.</w:t>
      </w:r>
      <w:r w:rsidR="00A16784" w:rsidRPr="00C3792D">
        <w:rPr>
          <w:rStyle w:val="FootnoteReference"/>
          <w:rFonts w:ascii="Arial" w:hAnsi="Arial" w:cs="Arial"/>
          <w:sz w:val="24"/>
          <w:szCs w:val="24"/>
        </w:rPr>
        <w:footnoteReference w:id="26"/>
      </w:r>
      <w:r w:rsidRPr="00C3792D">
        <w:rPr>
          <w:rFonts w:ascii="Arial" w:hAnsi="Arial" w:cs="Arial"/>
          <w:sz w:val="24"/>
          <w:szCs w:val="24"/>
        </w:rPr>
        <w:t xml:space="preserve"> </w:t>
      </w:r>
      <w:r w:rsidR="00A16784" w:rsidRPr="00C3792D">
        <w:rPr>
          <w:rFonts w:ascii="Arial" w:hAnsi="Arial" w:cs="Arial"/>
          <w:sz w:val="24"/>
          <w:szCs w:val="24"/>
        </w:rPr>
        <w:t xml:space="preserve">However, in the CRPD it is </w:t>
      </w:r>
      <w:r w:rsidRPr="00C3792D">
        <w:rPr>
          <w:rFonts w:ascii="Arial" w:hAnsi="Arial" w:cs="Arial"/>
          <w:sz w:val="24"/>
          <w:szCs w:val="24"/>
        </w:rPr>
        <w:t>a substantive right because it was a response to the ‘specific rights experience</w:t>
      </w:r>
      <w:r w:rsidR="000E4AC2" w:rsidRPr="00C3792D">
        <w:rPr>
          <w:rFonts w:ascii="Arial" w:hAnsi="Arial" w:cs="Arial"/>
          <w:sz w:val="24"/>
          <w:szCs w:val="24"/>
        </w:rPr>
        <w:t xml:space="preserve"> of persons with disabilities’. This </w:t>
      </w:r>
      <w:r w:rsidRPr="00C3792D">
        <w:rPr>
          <w:rFonts w:ascii="Arial" w:hAnsi="Arial" w:cs="Arial"/>
          <w:sz w:val="24"/>
          <w:szCs w:val="24"/>
        </w:rPr>
        <w:t>was a recognition of the fact that persons with disabilities face numerous barriers to accessing justice.</w:t>
      </w:r>
      <w:r w:rsidR="00C3595D" w:rsidRPr="00C3792D">
        <w:rPr>
          <w:rStyle w:val="FootnoteReference"/>
          <w:rFonts w:ascii="Arial" w:hAnsi="Arial" w:cs="Arial"/>
          <w:sz w:val="24"/>
          <w:szCs w:val="24"/>
        </w:rPr>
        <w:footnoteReference w:id="27"/>
      </w:r>
      <w:r w:rsidRPr="00C3792D">
        <w:rPr>
          <w:rFonts w:ascii="Arial" w:hAnsi="Arial" w:cs="Arial"/>
          <w:sz w:val="24"/>
          <w:szCs w:val="24"/>
        </w:rPr>
        <w:t xml:space="preserve"> </w:t>
      </w:r>
    </w:p>
    <w:p w14:paraId="659C547C" w14:textId="77777777" w:rsidR="00C309B2" w:rsidRPr="00C3792D" w:rsidRDefault="00C309B2" w:rsidP="00D57760">
      <w:pPr>
        <w:pStyle w:val="ListParagraph"/>
        <w:spacing w:line="480" w:lineRule="auto"/>
        <w:ind w:left="420"/>
        <w:jc w:val="both"/>
        <w:rPr>
          <w:rFonts w:ascii="Arial" w:hAnsi="Arial" w:cs="Arial"/>
          <w:sz w:val="24"/>
          <w:szCs w:val="24"/>
        </w:rPr>
      </w:pPr>
    </w:p>
    <w:p w14:paraId="3961F31D" w14:textId="77777777" w:rsidR="007D1BB5" w:rsidRPr="00C3792D" w:rsidRDefault="00C309B2" w:rsidP="003E2EDC">
      <w:pPr>
        <w:pStyle w:val="ListParagraph"/>
        <w:numPr>
          <w:ilvl w:val="0"/>
          <w:numId w:val="32"/>
        </w:numPr>
        <w:spacing w:line="480" w:lineRule="auto"/>
        <w:jc w:val="both"/>
        <w:rPr>
          <w:rFonts w:ascii="Arial" w:hAnsi="Arial" w:cs="Arial"/>
          <w:sz w:val="24"/>
          <w:szCs w:val="24"/>
        </w:rPr>
      </w:pPr>
      <w:r w:rsidRPr="00C3792D">
        <w:rPr>
          <w:rFonts w:ascii="Arial" w:hAnsi="Arial" w:cs="Arial"/>
          <w:sz w:val="24"/>
          <w:szCs w:val="24"/>
        </w:rPr>
        <w:t>The impact of assessments of competence goes beyond the outcome of a case and affects what has been described as ‘the most basic “human right”’,</w:t>
      </w:r>
      <w:r w:rsidRPr="00C3792D">
        <w:rPr>
          <w:rFonts w:ascii="Arial" w:hAnsi="Arial" w:cs="Arial"/>
          <w:position w:val="8"/>
          <w:sz w:val="24"/>
          <w:szCs w:val="24"/>
        </w:rPr>
        <w:t xml:space="preserve"> </w:t>
      </w:r>
      <w:r w:rsidRPr="00C3792D">
        <w:rPr>
          <w:rFonts w:ascii="Arial" w:hAnsi="Arial" w:cs="Arial"/>
          <w:sz w:val="24"/>
          <w:szCs w:val="24"/>
        </w:rPr>
        <w:t xml:space="preserve">the right to access justice or the right to effective remedy. CRPD recognises it as a substantive </w:t>
      </w:r>
      <w:r w:rsidRPr="00C3792D">
        <w:rPr>
          <w:rFonts w:ascii="Arial" w:hAnsi="Arial" w:cs="Arial"/>
          <w:sz w:val="24"/>
          <w:szCs w:val="24"/>
        </w:rPr>
        <w:lastRenderedPageBreak/>
        <w:t>right, which is crucial for the protection of human</w:t>
      </w:r>
      <w:r w:rsidRPr="00C3792D">
        <w:rPr>
          <w:rFonts w:ascii="Arial" w:hAnsi="Arial" w:cs="Arial"/>
          <w:spacing w:val="16"/>
          <w:sz w:val="24"/>
          <w:szCs w:val="24"/>
        </w:rPr>
        <w:t xml:space="preserve"> </w:t>
      </w:r>
      <w:r w:rsidRPr="00C3792D">
        <w:rPr>
          <w:rFonts w:ascii="Arial" w:hAnsi="Arial" w:cs="Arial"/>
          <w:sz w:val="24"/>
          <w:szCs w:val="24"/>
        </w:rPr>
        <w:t>rights because it has a bearing on the enjoyment of other rights.</w:t>
      </w:r>
      <w:r w:rsidRPr="00C3792D">
        <w:rPr>
          <w:rStyle w:val="FootnoteReference"/>
          <w:rFonts w:ascii="Arial" w:hAnsi="Arial" w:cs="Arial"/>
          <w:sz w:val="24"/>
          <w:szCs w:val="24"/>
        </w:rPr>
        <w:footnoteReference w:id="28"/>
      </w:r>
      <w:r w:rsidRPr="00C3792D">
        <w:rPr>
          <w:rFonts w:ascii="Arial" w:hAnsi="Arial" w:cs="Arial"/>
          <w:sz w:val="24"/>
          <w:szCs w:val="24"/>
        </w:rPr>
        <w:t xml:space="preserve"> </w:t>
      </w:r>
    </w:p>
    <w:p w14:paraId="7DB85FBF" w14:textId="77777777" w:rsidR="007D1BB5" w:rsidRPr="00C3792D" w:rsidRDefault="007D1BB5" w:rsidP="00D57760">
      <w:pPr>
        <w:pStyle w:val="ListParagraph"/>
        <w:spacing w:line="480" w:lineRule="auto"/>
        <w:ind w:left="420"/>
        <w:jc w:val="both"/>
        <w:rPr>
          <w:rFonts w:ascii="Arial" w:hAnsi="Arial" w:cs="Arial"/>
          <w:sz w:val="24"/>
          <w:szCs w:val="24"/>
        </w:rPr>
      </w:pPr>
    </w:p>
    <w:p w14:paraId="253E15C7" w14:textId="77777777" w:rsidR="00224AA5" w:rsidRPr="00C3792D" w:rsidRDefault="00745AE1" w:rsidP="003E2EDC">
      <w:pPr>
        <w:pStyle w:val="ListParagraph"/>
        <w:numPr>
          <w:ilvl w:val="0"/>
          <w:numId w:val="32"/>
        </w:numPr>
        <w:spacing w:line="480" w:lineRule="auto"/>
        <w:jc w:val="both"/>
        <w:rPr>
          <w:rFonts w:ascii="Arial" w:hAnsi="Arial" w:cs="Arial"/>
          <w:sz w:val="24"/>
          <w:szCs w:val="24"/>
        </w:rPr>
      </w:pPr>
      <w:r w:rsidRPr="00C3792D">
        <w:rPr>
          <w:rFonts w:ascii="Arial" w:hAnsi="Arial" w:cs="Arial"/>
          <w:sz w:val="24"/>
          <w:szCs w:val="24"/>
        </w:rPr>
        <w:t xml:space="preserve">The right of access to the Courts and protection of the law is imperative for all citizens of the country, including this category of people. It </w:t>
      </w:r>
      <w:r w:rsidR="00C3595D" w:rsidRPr="00C3792D">
        <w:rPr>
          <w:rFonts w:ascii="Arial" w:hAnsi="Arial" w:cs="Arial"/>
          <w:sz w:val="24"/>
          <w:szCs w:val="24"/>
        </w:rPr>
        <w:t>would be</w:t>
      </w:r>
      <w:r w:rsidRPr="00C3792D">
        <w:rPr>
          <w:rFonts w:ascii="Arial" w:hAnsi="Arial" w:cs="Arial"/>
          <w:sz w:val="24"/>
          <w:szCs w:val="24"/>
        </w:rPr>
        <w:t xml:space="preserve"> the worst</w:t>
      </w:r>
      <w:r w:rsidR="00C3595D" w:rsidRPr="00C3792D">
        <w:rPr>
          <w:rFonts w:ascii="Arial" w:hAnsi="Arial" w:cs="Arial"/>
          <w:sz w:val="24"/>
          <w:szCs w:val="24"/>
        </w:rPr>
        <w:t xml:space="preserve"> travesty of justice to ignore this</w:t>
      </w:r>
      <w:r w:rsidRPr="00C3792D">
        <w:rPr>
          <w:rFonts w:ascii="Arial" w:hAnsi="Arial" w:cs="Arial"/>
          <w:sz w:val="24"/>
          <w:szCs w:val="24"/>
        </w:rPr>
        <w:t xml:space="preserve"> sector of society from protection of</w:t>
      </w:r>
      <w:r w:rsidR="00C3595D" w:rsidRPr="00C3792D">
        <w:rPr>
          <w:rFonts w:ascii="Arial" w:hAnsi="Arial" w:cs="Arial"/>
          <w:sz w:val="24"/>
          <w:szCs w:val="24"/>
        </w:rPr>
        <w:t xml:space="preserve"> the law, while they are equal to all</w:t>
      </w:r>
      <w:r w:rsidRPr="00C3792D">
        <w:rPr>
          <w:rFonts w:ascii="Arial" w:hAnsi="Arial" w:cs="Arial"/>
          <w:sz w:val="24"/>
          <w:szCs w:val="24"/>
        </w:rPr>
        <w:t xml:space="preserve"> other citizens. Without the courts becoming innovative to accommodate these types of </w:t>
      </w:r>
      <w:r w:rsidR="007D72CD" w:rsidRPr="00C3792D">
        <w:rPr>
          <w:rFonts w:ascii="Arial" w:hAnsi="Arial" w:cs="Arial"/>
          <w:sz w:val="24"/>
          <w:szCs w:val="24"/>
        </w:rPr>
        <w:t xml:space="preserve">litigants, then </w:t>
      </w:r>
      <w:r w:rsidR="00696D7F" w:rsidRPr="00C3792D">
        <w:rPr>
          <w:rFonts w:ascii="Arial" w:hAnsi="Arial" w:cs="Arial"/>
          <w:sz w:val="24"/>
          <w:szCs w:val="24"/>
        </w:rPr>
        <w:t>their</w:t>
      </w:r>
      <w:r w:rsidR="006D06E8" w:rsidRPr="00C3792D">
        <w:rPr>
          <w:rFonts w:ascii="Arial" w:hAnsi="Arial" w:cs="Arial"/>
          <w:sz w:val="24"/>
          <w:szCs w:val="24"/>
        </w:rPr>
        <w:t xml:space="preserve"> rights</w:t>
      </w:r>
      <w:r w:rsidR="00696D7F" w:rsidRPr="00C3792D">
        <w:rPr>
          <w:rFonts w:ascii="Arial" w:hAnsi="Arial" w:cs="Arial"/>
          <w:sz w:val="24"/>
          <w:szCs w:val="24"/>
        </w:rPr>
        <w:t xml:space="preserve"> of </w:t>
      </w:r>
      <w:r w:rsidR="007D72CD" w:rsidRPr="00C3792D">
        <w:rPr>
          <w:rFonts w:ascii="Arial" w:hAnsi="Arial" w:cs="Arial"/>
          <w:sz w:val="24"/>
          <w:szCs w:val="24"/>
        </w:rPr>
        <w:t>acce</w:t>
      </w:r>
      <w:r w:rsidR="00696D7F" w:rsidRPr="00C3792D">
        <w:rPr>
          <w:rFonts w:ascii="Arial" w:hAnsi="Arial" w:cs="Arial"/>
          <w:sz w:val="24"/>
          <w:szCs w:val="24"/>
        </w:rPr>
        <w:t xml:space="preserve">ss to courts and justice becomes </w:t>
      </w:r>
      <w:r w:rsidR="006D06E8" w:rsidRPr="00C3792D">
        <w:rPr>
          <w:rFonts w:ascii="Arial" w:hAnsi="Arial" w:cs="Arial"/>
          <w:sz w:val="24"/>
          <w:szCs w:val="24"/>
        </w:rPr>
        <w:t>trampled upon</w:t>
      </w:r>
      <w:r w:rsidR="007D72CD" w:rsidRPr="00C3792D">
        <w:rPr>
          <w:rFonts w:ascii="Arial" w:hAnsi="Arial" w:cs="Arial"/>
          <w:sz w:val="24"/>
          <w:szCs w:val="24"/>
        </w:rPr>
        <w:t>. That means for example a rape victim</w:t>
      </w:r>
      <w:r w:rsidR="00696D7F" w:rsidRPr="00C3792D">
        <w:rPr>
          <w:rFonts w:ascii="Arial" w:hAnsi="Arial" w:cs="Arial"/>
          <w:sz w:val="24"/>
          <w:szCs w:val="24"/>
        </w:rPr>
        <w:t>, as in the present case,</w:t>
      </w:r>
      <w:r w:rsidR="007D72CD" w:rsidRPr="00C3792D">
        <w:rPr>
          <w:rFonts w:ascii="Arial" w:hAnsi="Arial" w:cs="Arial"/>
          <w:sz w:val="24"/>
          <w:szCs w:val="24"/>
        </w:rPr>
        <w:t xml:space="preserve"> may</w:t>
      </w:r>
      <w:r w:rsidR="00696D7F" w:rsidRPr="00C3792D">
        <w:rPr>
          <w:rFonts w:ascii="Arial" w:hAnsi="Arial" w:cs="Arial"/>
          <w:sz w:val="24"/>
          <w:szCs w:val="24"/>
        </w:rPr>
        <w:t xml:space="preserve"> be raped repeatedly with the perpetrator aware that the case will not go any further, failing the preliminary enquiry or inability to communicate well</w:t>
      </w:r>
      <w:r w:rsidR="00224AA5" w:rsidRPr="00C3792D">
        <w:rPr>
          <w:rFonts w:ascii="Arial" w:hAnsi="Arial" w:cs="Arial"/>
          <w:sz w:val="24"/>
          <w:szCs w:val="24"/>
        </w:rPr>
        <w:t>, or other limitations not falling within the knowledge and expertise of the presiding officer</w:t>
      </w:r>
      <w:r w:rsidR="00696D7F" w:rsidRPr="00C3792D">
        <w:rPr>
          <w:rFonts w:ascii="Arial" w:hAnsi="Arial" w:cs="Arial"/>
          <w:sz w:val="24"/>
          <w:szCs w:val="24"/>
        </w:rPr>
        <w:t xml:space="preserve">. </w:t>
      </w:r>
    </w:p>
    <w:p w14:paraId="59D642A4" w14:textId="77777777" w:rsidR="00224AA5" w:rsidRPr="00C3792D" w:rsidRDefault="00224AA5" w:rsidP="00D57760">
      <w:pPr>
        <w:pStyle w:val="ListParagraph"/>
        <w:ind w:left="360"/>
        <w:rPr>
          <w:rFonts w:ascii="Arial" w:hAnsi="Arial" w:cs="Arial"/>
          <w:sz w:val="24"/>
          <w:szCs w:val="24"/>
        </w:rPr>
      </w:pPr>
    </w:p>
    <w:p w14:paraId="0BC77522" w14:textId="77777777" w:rsidR="00715005" w:rsidRPr="00C3792D" w:rsidRDefault="00224AA5" w:rsidP="003E2EDC">
      <w:pPr>
        <w:pStyle w:val="ListParagraph"/>
        <w:numPr>
          <w:ilvl w:val="0"/>
          <w:numId w:val="32"/>
        </w:numPr>
        <w:spacing w:line="480" w:lineRule="auto"/>
        <w:jc w:val="both"/>
        <w:rPr>
          <w:rFonts w:ascii="Arial" w:hAnsi="Arial" w:cs="Arial"/>
          <w:sz w:val="24"/>
          <w:szCs w:val="24"/>
        </w:rPr>
      </w:pPr>
      <w:r w:rsidRPr="00C3792D">
        <w:rPr>
          <w:rFonts w:ascii="Arial" w:hAnsi="Arial" w:cs="Arial"/>
          <w:sz w:val="24"/>
          <w:szCs w:val="24"/>
        </w:rPr>
        <w:t>For instance</w:t>
      </w:r>
      <w:r w:rsidR="00715005" w:rsidRPr="00C3792D">
        <w:rPr>
          <w:rFonts w:ascii="Arial" w:hAnsi="Arial" w:cs="Arial"/>
          <w:sz w:val="24"/>
          <w:szCs w:val="24"/>
        </w:rPr>
        <w:t>,</w:t>
      </w:r>
      <w:r w:rsidRPr="00C3792D">
        <w:rPr>
          <w:rFonts w:ascii="Arial" w:hAnsi="Arial" w:cs="Arial"/>
          <w:sz w:val="24"/>
          <w:szCs w:val="24"/>
        </w:rPr>
        <w:t xml:space="preserve"> a complainant who is deaf </w:t>
      </w:r>
      <w:r w:rsidR="00C309B2" w:rsidRPr="00C3792D">
        <w:rPr>
          <w:rFonts w:ascii="Arial" w:hAnsi="Arial" w:cs="Arial"/>
          <w:sz w:val="24"/>
          <w:szCs w:val="24"/>
        </w:rPr>
        <w:t>and/or dumb person</w:t>
      </w:r>
      <w:r w:rsidRPr="00C3792D">
        <w:rPr>
          <w:rFonts w:ascii="Arial" w:hAnsi="Arial" w:cs="Arial"/>
          <w:sz w:val="24"/>
          <w:szCs w:val="24"/>
        </w:rPr>
        <w:t xml:space="preserve"> yet not formally</w:t>
      </w:r>
      <w:r w:rsidR="00715005" w:rsidRPr="00C3792D">
        <w:rPr>
          <w:rFonts w:ascii="Arial" w:hAnsi="Arial" w:cs="Arial"/>
          <w:sz w:val="24"/>
          <w:szCs w:val="24"/>
        </w:rPr>
        <w:t xml:space="preserve"> </w:t>
      </w:r>
      <w:r w:rsidR="00C309B2" w:rsidRPr="00C3792D">
        <w:rPr>
          <w:rFonts w:ascii="Arial" w:hAnsi="Arial" w:cs="Arial"/>
          <w:sz w:val="24"/>
          <w:szCs w:val="24"/>
        </w:rPr>
        <w:t xml:space="preserve">educated or </w:t>
      </w:r>
      <w:r w:rsidR="00715005" w:rsidRPr="00C3792D">
        <w:rPr>
          <w:rFonts w:ascii="Arial" w:hAnsi="Arial" w:cs="Arial"/>
          <w:sz w:val="24"/>
          <w:szCs w:val="24"/>
        </w:rPr>
        <w:t>trained in formal</w:t>
      </w:r>
      <w:r w:rsidR="007D72CD" w:rsidRPr="00C3792D">
        <w:rPr>
          <w:rFonts w:ascii="Arial" w:hAnsi="Arial" w:cs="Arial"/>
          <w:sz w:val="24"/>
          <w:szCs w:val="24"/>
        </w:rPr>
        <w:t xml:space="preserve"> sign language</w:t>
      </w:r>
      <w:r w:rsidR="00715005" w:rsidRPr="00C3792D">
        <w:rPr>
          <w:rFonts w:ascii="Arial" w:hAnsi="Arial" w:cs="Arial"/>
          <w:sz w:val="24"/>
          <w:szCs w:val="24"/>
        </w:rPr>
        <w:t xml:space="preserve"> may easily be denied access to court</w:t>
      </w:r>
      <w:r w:rsidR="007D72CD" w:rsidRPr="00C3792D">
        <w:rPr>
          <w:rFonts w:ascii="Arial" w:hAnsi="Arial" w:cs="Arial"/>
          <w:sz w:val="24"/>
          <w:szCs w:val="24"/>
        </w:rPr>
        <w:t>,</w:t>
      </w:r>
      <w:r w:rsidR="00715005" w:rsidRPr="00C3792D">
        <w:rPr>
          <w:rFonts w:ascii="Arial" w:hAnsi="Arial" w:cs="Arial"/>
          <w:sz w:val="24"/>
          <w:szCs w:val="24"/>
        </w:rPr>
        <w:t xml:space="preserve"> whereas there are people who understand their self-developed language</w:t>
      </w:r>
      <w:r w:rsidR="007D72CD" w:rsidRPr="00C3792D">
        <w:rPr>
          <w:rFonts w:ascii="Arial" w:hAnsi="Arial" w:cs="Arial"/>
          <w:sz w:val="24"/>
          <w:szCs w:val="24"/>
        </w:rPr>
        <w:t>. An innovative court would call the friend or even relative, swear them in and have them interpret the victim’s evidence</w:t>
      </w:r>
      <w:r w:rsidR="00715005" w:rsidRPr="00C3792D">
        <w:rPr>
          <w:rFonts w:ascii="Arial" w:hAnsi="Arial" w:cs="Arial"/>
          <w:sz w:val="24"/>
          <w:szCs w:val="24"/>
        </w:rPr>
        <w:t>, thereby grant them access</w:t>
      </w:r>
      <w:r w:rsidR="007D72CD" w:rsidRPr="00C3792D">
        <w:rPr>
          <w:rFonts w:ascii="Arial" w:hAnsi="Arial" w:cs="Arial"/>
          <w:sz w:val="24"/>
          <w:szCs w:val="24"/>
        </w:rPr>
        <w:t xml:space="preserve">. </w:t>
      </w:r>
    </w:p>
    <w:p w14:paraId="7DE54DDF" w14:textId="77777777" w:rsidR="00DE129F" w:rsidRPr="00C3792D" w:rsidRDefault="00DE129F" w:rsidP="00D57760">
      <w:pPr>
        <w:pStyle w:val="ListParagraph"/>
        <w:ind w:left="360"/>
        <w:rPr>
          <w:rFonts w:ascii="Arial" w:hAnsi="Arial" w:cs="Arial"/>
          <w:sz w:val="24"/>
          <w:szCs w:val="24"/>
        </w:rPr>
      </w:pPr>
    </w:p>
    <w:p w14:paraId="60E970E0" w14:textId="77777777" w:rsidR="00715005" w:rsidRPr="00C3792D" w:rsidRDefault="00715005" w:rsidP="00D57760">
      <w:pPr>
        <w:pStyle w:val="ListParagraph"/>
        <w:ind w:left="360"/>
        <w:rPr>
          <w:rFonts w:ascii="Arial" w:hAnsi="Arial" w:cs="Arial"/>
          <w:sz w:val="24"/>
          <w:szCs w:val="24"/>
        </w:rPr>
      </w:pPr>
    </w:p>
    <w:p w14:paraId="769C2DCB" w14:textId="77777777" w:rsidR="000C09CD" w:rsidRPr="00C3792D" w:rsidRDefault="00DF4B31" w:rsidP="003E2EDC">
      <w:pPr>
        <w:pStyle w:val="ListParagraph"/>
        <w:numPr>
          <w:ilvl w:val="0"/>
          <w:numId w:val="32"/>
        </w:numPr>
        <w:spacing w:line="480" w:lineRule="auto"/>
        <w:jc w:val="both"/>
        <w:rPr>
          <w:rFonts w:ascii="Arial" w:hAnsi="Arial" w:cs="Arial"/>
          <w:sz w:val="24"/>
          <w:szCs w:val="24"/>
        </w:rPr>
      </w:pPr>
      <w:r w:rsidRPr="00C3792D">
        <w:rPr>
          <w:rFonts w:ascii="Arial" w:hAnsi="Arial" w:cs="Arial"/>
          <w:sz w:val="24"/>
          <w:szCs w:val="24"/>
        </w:rPr>
        <w:t>In the present matter, b</w:t>
      </w:r>
      <w:r w:rsidR="00B51027" w:rsidRPr="00C3792D">
        <w:rPr>
          <w:rFonts w:ascii="Arial" w:hAnsi="Arial" w:cs="Arial"/>
          <w:sz w:val="24"/>
          <w:szCs w:val="24"/>
        </w:rPr>
        <w:t>y not asking too many questions</w:t>
      </w:r>
      <w:r w:rsidR="004C7F1F" w:rsidRPr="00C3792D">
        <w:rPr>
          <w:rFonts w:ascii="Arial" w:hAnsi="Arial" w:cs="Arial"/>
          <w:sz w:val="24"/>
          <w:szCs w:val="24"/>
        </w:rPr>
        <w:t xml:space="preserve"> as part of the preliminary enquiry,</w:t>
      </w:r>
      <w:r w:rsidR="00B51027" w:rsidRPr="00C3792D">
        <w:rPr>
          <w:rFonts w:ascii="Arial" w:hAnsi="Arial" w:cs="Arial"/>
          <w:sz w:val="24"/>
          <w:szCs w:val="24"/>
        </w:rPr>
        <w:t xml:space="preserve"> after receiving the report from the clinica</w:t>
      </w:r>
      <w:r w:rsidR="00C83CFE" w:rsidRPr="00C3792D">
        <w:rPr>
          <w:rFonts w:ascii="Arial" w:hAnsi="Arial" w:cs="Arial"/>
          <w:sz w:val="24"/>
          <w:szCs w:val="24"/>
        </w:rPr>
        <w:t>l</w:t>
      </w:r>
      <w:r w:rsidR="00B51027" w:rsidRPr="00C3792D">
        <w:rPr>
          <w:rFonts w:ascii="Arial" w:hAnsi="Arial" w:cs="Arial"/>
          <w:sz w:val="24"/>
          <w:szCs w:val="24"/>
        </w:rPr>
        <w:t xml:space="preserve"> psychologist</w:t>
      </w:r>
      <w:r w:rsidR="004C7F1F" w:rsidRPr="00C3792D">
        <w:rPr>
          <w:rFonts w:ascii="Arial" w:hAnsi="Arial" w:cs="Arial"/>
          <w:sz w:val="24"/>
          <w:szCs w:val="24"/>
        </w:rPr>
        <w:t>,</w:t>
      </w:r>
      <w:r w:rsidR="007D72CD" w:rsidRPr="00C3792D">
        <w:rPr>
          <w:rFonts w:ascii="Arial" w:hAnsi="Arial" w:cs="Arial"/>
          <w:sz w:val="24"/>
          <w:szCs w:val="24"/>
        </w:rPr>
        <w:t xml:space="preserve"> </w:t>
      </w:r>
      <w:r w:rsidR="00C83CFE" w:rsidRPr="00C3792D">
        <w:rPr>
          <w:rFonts w:ascii="Arial" w:hAnsi="Arial" w:cs="Arial"/>
          <w:sz w:val="24"/>
          <w:szCs w:val="24"/>
        </w:rPr>
        <w:t xml:space="preserve">the court was granting </w:t>
      </w:r>
      <w:r w:rsidRPr="00C3792D">
        <w:rPr>
          <w:rFonts w:ascii="Arial" w:hAnsi="Arial" w:cs="Arial"/>
          <w:sz w:val="24"/>
          <w:szCs w:val="24"/>
        </w:rPr>
        <w:t>the complainant well-deserved</w:t>
      </w:r>
      <w:r w:rsidR="004C7F1F" w:rsidRPr="00C3792D">
        <w:rPr>
          <w:rFonts w:ascii="Arial" w:hAnsi="Arial" w:cs="Arial"/>
          <w:sz w:val="24"/>
          <w:szCs w:val="24"/>
        </w:rPr>
        <w:t xml:space="preserve"> access to court and protection of law. </w:t>
      </w:r>
    </w:p>
    <w:p w14:paraId="6095BE94" w14:textId="77777777" w:rsidR="00DE1450" w:rsidRPr="00C3792D" w:rsidRDefault="00DE1450" w:rsidP="00D10C10">
      <w:pPr>
        <w:pStyle w:val="ListParagraph"/>
        <w:spacing w:line="480" w:lineRule="auto"/>
        <w:ind w:left="0"/>
        <w:jc w:val="both"/>
        <w:rPr>
          <w:rFonts w:ascii="Arial" w:hAnsi="Arial" w:cs="Arial"/>
          <w:sz w:val="24"/>
          <w:szCs w:val="24"/>
        </w:rPr>
      </w:pPr>
    </w:p>
    <w:p w14:paraId="6BBD1B17" w14:textId="77777777" w:rsidR="00224AA5" w:rsidRPr="00C3792D" w:rsidRDefault="00224AA5" w:rsidP="006B0630">
      <w:pPr>
        <w:pStyle w:val="ListParagraph"/>
        <w:spacing w:line="480" w:lineRule="auto"/>
        <w:ind w:left="360"/>
        <w:rPr>
          <w:rFonts w:ascii="Arial" w:hAnsi="Arial" w:cs="Arial"/>
          <w:b/>
          <w:sz w:val="24"/>
          <w:szCs w:val="24"/>
        </w:rPr>
      </w:pPr>
      <w:r w:rsidRPr="00C3792D">
        <w:rPr>
          <w:rFonts w:ascii="Arial" w:hAnsi="Arial" w:cs="Arial"/>
          <w:b/>
          <w:sz w:val="24"/>
          <w:szCs w:val="24"/>
        </w:rPr>
        <w:t>S. 9 of the Constitution of South Africa (Equality):</w:t>
      </w:r>
    </w:p>
    <w:p w14:paraId="50C52DB3" w14:textId="77777777" w:rsidR="00C309B2" w:rsidRPr="00C3792D" w:rsidRDefault="00C309B2" w:rsidP="003E2EDC">
      <w:pPr>
        <w:pStyle w:val="ListParagraph"/>
        <w:numPr>
          <w:ilvl w:val="0"/>
          <w:numId w:val="32"/>
        </w:numPr>
        <w:spacing w:line="480" w:lineRule="auto"/>
        <w:jc w:val="both"/>
        <w:rPr>
          <w:rFonts w:ascii="Arial" w:hAnsi="Arial" w:cs="Arial"/>
          <w:sz w:val="24"/>
          <w:szCs w:val="24"/>
        </w:rPr>
      </w:pPr>
      <w:r w:rsidRPr="00C3792D">
        <w:rPr>
          <w:rFonts w:ascii="Arial" w:hAnsi="Arial" w:cs="Arial"/>
          <w:sz w:val="24"/>
          <w:szCs w:val="24"/>
        </w:rPr>
        <w:t>People who experience crime often turn to the criminal justice system for redress. In South Africa,</w:t>
      </w:r>
      <w:r w:rsidR="002C09A7" w:rsidRPr="00C3792D">
        <w:rPr>
          <w:rFonts w:ascii="Arial" w:hAnsi="Arial" w:cs="Arial"/>
          <w:sz w:val="24"/>
          <w:szCs w:val="24"/>
        </w:rPr>
        <w:t xml:space="preserve"> like in many democracies,</w:t>
      </w:r>
      <w:r w:rsidRPr="00C3792D">
        <w:rPr>
          <w:rFonts w:ascii="Arial" w:hAnsi="Arial" w:cs="Arial"/>
          <w:sz w:val="24"/>
          <w:szCs w:val="24"/>
        </w:rPr>
        <w:t xml:space="preserve"> this ability to turn to the law for protection and redress is a right protected and guaranteed by law. The Constitution guarantees to every citizen the right to equality before the law.</w:t>
      </w:r>
      <w:r w:rsidR="002C09A7" w:rsidRPr="00C3792D">
        <w:rPr>
          <w:rStyle w:val="FootnoteReference"/>
          <w:rFonts w:ascii="Arial" w:hAnsi="Arial" w:cs="Arial"/>
          <w:sz w:val="24"/>
          <w:szCs w:val="24"/>
        </w:rPr>
        <w:footnoteReference w:id="29"/>
      </w:r>
      <w:r w:rsidR="002C09A7" w:rsidRPr="00C3792D">
        <w:rPr>
          <w:rFonts w:ascii="Arial" w:hAnsi="Arial" w:cs="Arial"/>
          <w:sz w:val="24"/>
          <w:szCs w:val="24"/>
        </w:rPr>
        <w:t xml:space="preserve"> </w:t>
      </w:r>
      <w:r w:rsidRPr="00C3792D">
        <w:rPr>
          <w:rFonts w:ascii="Arial" w:hAnsi="Arial" w:cs="Arial"/>
          <w:sz w:val="24"/>
          <w:szCs w:val="24"/>
        </w:rPr>
        <w:t xml:space="preserve"> It states that everyone is ‘equal before the law and has the right to equal protection and benefit of the law’. </w:t>
      </w:r>
      <w:r w:rsidR="002C09A7" w:rsidRPr="00C3792D">
        <w:rPr>
          <w:rFonts w:ascii="Arial" w:hAnsi="Arial" w:cs="Arial"/>
          <w:sz w:val="24"/>
          <w:szCs w:val="24"/>
        </w:rPr>
        <w:t>S</w:t>
      </w:r>
      <w:r w:rsidRPr="00C3792D">
        <w:rPr>
          <w:rFonts w:ascii="Arial" w:hAnsi="Arial" w:cs="Arial"/>
          <w:sz w:val="24"/>
          <w:szCs w:val="24"/>
        </w:rPr>
        <w:t xml:space="preserve">ection 9(3) provides that the state may not unfairly discriminate directly or indirectly against anyone on one or more of the listed grounds, </w:t>
      </w:r>
      <w:r w:rsidRPr="00C3792D">
        <w:rPr>
          <w:rFonts w:ascii="Arial" w:hAnsi="Arial" w:cs="Arial"/>
          <w:b/>
          <w:sz w:val="24"/>
          <w:szCs w:val="24"/>
        </w:rPr>
        <w:t>including disability</w:t>
      </w:r>
      <w:r w:rsidRPr="00C3792D">
        <w:rPr>
          <w:rFonts w:ascii="Arial" w:hAnsi="Arial" w:cs="Arial"/>
          <w:sz w:val="24"/>
          <w:szCs w:val="24"/>
        </w:rPr>
        <w:t>.</w:t>
      </w:r>
      <w:r w:rsidR="002C09A7" w:rsidRPr="00C3792D">
        <w:rPr>
          <w:rStyle w:val="FootnoteReference"/>
          <w:rFonts w:ascii="Arial" w:hAnsi="Arial" w:cs="Arial"/>
          <w:sz w:val="24"/>
          <w:szCs w:val="24"/>
        </w:rPr>
        <w:footnoteReference w:id="30"/>
      </w:r>
      <w:r w:rsidRPr="00C3792D">
        <w:rPr>
          <w:rFonts w:ascii="Arial" w:hAnsi="Arial" w:cs="Arial"/>
          <w:sz w:val="24"/>
          <w:szCs w:val="24"/>
        </w:rPr>
        <w:t xml:space="preserve"> By implication, therefore, persons with disabilities are entitled to the protection and full benefit of the law on an equal basis with others. However, i</w:t>
      </w:r>
      <w:r w:rsidR="00F53AFB">
        <w:rPr>
          <w:rFonts w:ascii="Arial" w:hAnsi="Arial" w:cs="Arial"/>
          <w:sz w:val="24"/>
          <w:szCs w:val="24"/>
        </w:rPr>
        <w:t>n practice this is not the case,</w:t>
      </w:r>
      <w:r w:rsidRPr="00C3792D">
        <w:rPr>
          <w:rFonts w:ascii="Arial" w:hAnsi="Arial" w:cs="Arial"/>
          <w:sz w:val="24"/>
          <w:szCs w:val="24"/>
        </w:rPr>
        <w:t xml:space="preserve"> </w:t>
      </w:r>
      <w:r w:rsidR="00F53AFB">
        <w:rPr>
          <w:rFonts w:ascii="Arial" w:hAnsi="Arial" w:cs="Arial"/>
          <w:sz w:val="24"/>
          <w:szCs w:val="24"/>
        </w:rPr>
        <w:t>as p</w:t>
      </w:r>
      <w:r w:rsidRPr="00C3792D">
        <w:rPr>
          <w:rFonts w:ascii="Arial" w:hAnsi="Arial" w:cs="Arial"/>
          <w:sz w:val="24"/>
          <w:szCs w:val="24"/>
        </w:rPr>
        <w:t>ersons with disabilities face numerous barriers to accessing justice, such as environmental barriers, attitudinal barriers, communication barriers and legal barriers.</w:t>
      </w:r>
      <w:r w:rsidR="002C09A7" w:rsidRPr="00C3792D">
        <w:rPr>
          <w:rStyle w:val="FootnoteReference"/>
          <w:rFonts w:ascii="Arial" w:hAnsi="Arial" w:cs="Arial"/>
          <w:sz w:val="24"/>
          <w:szCs w:val="24"/>
        </w:rPr>
        <w:footnoteReference w:id="31"/>
      </w:r>
      <w:r w:rsidRPr="00C3792D">
        <w:rPr>
          <w:rFonts w:ascii="Arial" w:hAnsi="Arial" w:cs="Arial"/>
          <w:sz w:val="24"/>
          <w:szCs w:val="24"/>
        </w:rPr>
        <w:t xml:space="preserve"> </w:t>
      </w:r>
    </w:p>
    <w:p w14:paraId="37771F0B" w14:textId="77777777" w:rsidR="00FC727F" w:rsidRPr="00C3792D" w:rsidRDefault="00FC727F" w:rsidP="00D10C10">
      <w:pPr>
        <w:pStyle w:val="ListParagraph"/>
        <w:spacing w:line="480" w:lineRule="auto"/>
        <w:ind w:left="0"/>
        <w:jc w:val="both"/>
        <w:rPr>
          <w:rFonts w:ascii="Arial" w:hAnsi="Arial" w:cs="Arial"/>
          <w:sz w:val="24"/>
          <w:szCs w:val="24"/>
        </w:rPr>
      </w:pPr>
    </w:p>
    <w:p w14:paraId="6FEEBBDD" w14:textId="77777777" w:rsidR="00FC727F" w:rsidRPr="00C3792D" w:rsidRDefault="00224AA5" w:rsidP="003E2EDC">
      <w:pPr>
        <w:pStyle w:val="ListParagraph"/>
        <w:numPr>
          <w:ilvl w:val="0"/>
          <w:numId w:val="32"/>
        </w:numPr>
        <w:spacing w:line="480" w:lineRule="auto"/>
        <w:jc w:val="both"/>
        <w:rPr>
          <w:rFonts w:ascii="Arial" w:hAnsi="Arial" w:cs="Arial"/>
          <w:sz w:val="24"/>
          <w:szCs w:val="24"/>
        </w:rPr>
      </w:pPr>
      <w:r w:rsidRPr="00C3792D">
        <w:rPr>
          <w:rFonts w:ascii="Arial" w:hAnsi="Arial" w:cs="Arial"/>
          <w:sz w:val="24"/>
          <w:szCs w:val="24"/>
        </w:rPr>
        <w:t xml:space="preserve">Treating them equally as contemplated by Section 9 of the Constitution requires the court accommodate them better than the court would with a normal person. It is in doing so the court is able to balance the scales between this person and other litigants in the case. This is no new concept. For instance, when it comes to child witnesses to avoid causing undue stress to them they testify in camera, in a separate room usually adapted to be as child friendly as possible in terms of section 153 CPA, with the assistance of a trained intermediary in terms of section 170A </w:t>
      </w:r>
      <w:r w:rsidRPr="00C3792D">
        <w:rPr>
          <w:rFonts w:ascii="Arial" w:hAnsi="Arial" w:cs="Arial"/>
          <w:sz w:val="24"/>
          <w:szCs w:val="24"/>
        </w:rPr>
        <w:lastRenderedPageBreak/>
        <w:t xml:space="preserve">CPA, mostly through closed circuit television or similar electronic media in terms of section 158(2) CPA. These are necessary accommodations to bring the child witness at an equal level with his/her adult counterparts in the court matter. In the same manner, people living with disabilities, psycho-social illnesses and other limitations such as the complainant’s learning disabilities, ought to be accommodated otherwise the whole process becomes unfair and imbalanced thereby running against the spirit and purport of section 9 of the Constitution of South Africa. </w:t>
      </w:r>
    </w:p>
    <w:p w14:paraId="34AA0971" w14:textId="77777777" w:rsidR="00FC727F" w:rsidRPr="00C3792D" w:rsidRDefault="00FC727F" w:rsidP="00D10C10">
      <w:pPr>
        <w:pStyle w:val="ListParagraph"/>
        <w:spacing w:line="480" w:lineRule="auto"/>
        <w:ind w:left="60"/>
        <w:jc w:val="both"/>
        <w:rPr>
          <w:rFonts w:ascii="Arial" w:hAnsi="Arial" w:cs="Arial"/>
          <w:sz w:val="24"/>
          <w:szCs w:val="24"/>
        </w:rPr>
      </w:pPr>
    </w:p>
    <w:p w14:paraId="7A390D23" w14:textId="77777777" w:rsidR="0049664C" w:rsidRPr="00C3792D" w:rsidRDefault="00FC727F" w:rsidP="003E2EDC">
      <w:pPr>
        <w:pStyle w:val="ListParagraph"/>
        <w:numPr>
          <w:ilvl w:val="0"/>
          <w:numId w:val="32"/>
        </w:numPr>
        <w:spacing w:line="480" w:lineRule="auto"/>
        <w:jc w:val="both"/>
        <w:rPr>
          <w:rFonts w:ascii="Arial" w:hAnsi="Arial" w:cs="Arial"/>
          <w:sz w:val="24"/>
          <w:szCs w:val="24"/>
        </w:rPr>
      </w:pPr>
      <w:r w:rsidRPr="00C3792D">
        <w:rPr>
          <w:rFonts w:ascii="Arial" w:hAnsi="Arial" w:cs="Arial"/>
          <w:sz w:val="24"/>
          <w:szCs w:val="24"/>
        </w:rPr>
        <w:t>It has also been argued that section 164, through a long preliminary enquir</w:t>
      </w:r>
      <w:r w:rsidR="00910307" w:rsidRPr="00C3792D">
        <w:rPr>
          <w:rFonts w:ascii="Arial" w:hAnsi="Arial" w:cs="Arial"/>
          <w:sz w:val="24"/>
          <w:szCs w:val="24"/>
        </w:rPr>
        <w:t xml:space="preserve">y before admonishing a witness to determine if they know the difference between truth and lies amounts to unfair discrimination of those who have to be admonished, in comparison with their counterparts who are sworn in in terms of section 162 CPA or those who affirm to speak the truth in terms of section 163 CPA. The reason is that in case of the latter, they are not disqualified even before they can testify. Secondly, they just swear or affirm to speak the truth, irrespective of how much they are going to lie, and the court makes its findings as to whether they lied or spoke truth at the end of the </w:t>
      </w:r>
      <w:r w:rsidR="00DE528D" w:rsidRPr="00C3792D">
        <w:rPr>
          <w:rFonts w:ascii="Arial" w:hAnsi="Arial" w:cs="Arial"/>
          <w:sz w:val="24"/>
          <w:szCs w:val="24"/>
        </w:rPr>
        <w:t>trial</w:t>
      </w:r>
      <w:r w:rsidR="00910307" w:rsidRPr="00C3792D">
        <w:rPr>
          <w:rFonts w:ascii="Arial" w:hAnsi="Arial" w:cs="Arial"/>
          <w:sz w:val="24"/>
          <w:szCs w:val="24"/>
        </w:rPr>
        <w:t>, whereas with the admonished witness there are two determinations, one at the beginning and the other at the end together with his/her counterparts.</w:t>
      </w:r>
      <w:r w:rsidR="00322364" w:rsidRPr="00C3792D">
        <w:rPr>
          <w:rFonts w:ascii="Arial" w:hAnsi="Arial" w:cs="Arial"/>
          <w:sz w:val="24"/>
          <w:szCs w:val="24"/>
        </w:rPr>
        <w:t xml:space="preserve"> </w:t>
      </w:r>
    </w:p>
    <w:p w14:paraId="79B9F6CA" w14:textId="77777777" w:rsidR="00DE528D" w:rsidRPr="00C3792D" w:rsidRDefault="00DE528D" w:rsidP="00DE528D">
      <w:pPr>
        <w:pStyle w:val="ListParagraph"/>
        <w:rPr>
          <w:rFonts w:ascii="Arial" w:hAnsi="Arial" w:cs="Arial"/>
          <w:sz w:val="24"/>
          <w:szCs w:val="24"/>
        </w:rPr>
      </w:pPr>
    </w:p>
    <w:p w14:paraId="6E3DA5FB" w14:textId="77777777" w:rsidR="00DE528D" w:rsidRPr="00C3792D" w:rsidRDefault="00DE528D" w:rsidP="003E2EDC">
      <w:pPr>
        <w:pStyle w:val="ListParagraph"/>
        <w:numPr>
          <w:ilvl w:val="0"/>
          <w:numId w:val="32"/>
        </w:numPr>
        <w:autoSpaceDE w:val="0"/>
        <w:autoSpaceDN w:val="0"/>
        <w:adjustRightInd w:val="0"/>
        <w:spacing w:after="0" w:line="480" w:lineRule="auto"/>
        <w:jc w:val="both"/>
        <w:rPr>
          <w:rFonts w:ascii="Arial" w:hAnsi="Arial" w:cs="Arial"/>
          <w:sz w:val="24"/>
          <w:szCs w:val="24"/>
        </w:rPr>
      </w:pPr>
      <w:r w:rsidRPr="00C3792D">
        <w:rPr>
          <w:rFonts w:ascii="Arial" w:hAnsi="Arial" w:cs="Arial"/>
          <w:sz w:val="24"/>
          <w:szCs w:val="24"/>
        </w:rPr>
        <w:t>Differential treatment arises from the fact that witnesses who take the oath are not required to demonstrate that they understand the meaning of the oath;</w:t>
      </w:r>
      <w:r w:rsidR="008B4F8C" w:rsidRPr="00C3792D">
        <w:rPr>
          <w:rStyle w:val="FootnoteReference"/>
          <w:rFonts w:ascii="Arial" w:hAnsi="Arial" w:cs="Arial"/>
          <w:sz w:val="24"/>
          <w:szCs w:val="24"/>
        </w:rPr>
        <w:footnoteReference w:id="32"/>
      </w:r>
      <w:r w:rsidRPr="00C3792D">
        <w:rPr>
          <w:rFonts w:ascii="Arial" w:hAnsi="Arial" w:cs="Arial"/>
          <w:sz w:val="24"/>
          <w:szCs w:val="24"/>
        </w:rPr>
        <w:t xml:space="preserve"> whereas those testifying under admonition are required to demonstrate an </w:t>
      </w:r>
      <w:r w:rsidRPr="00C3792D">
        <w:rPr>
          <w:rFonts w:ascii="Arial" w:hAnsi="Arial" w:cs="Arial"/>
          <w:sz w:val="24"/>
          <w:szCs w:val="24"/>
        </w:rPr>
        <w:lastRenderedPageBreak/>
        <w:t>understanding of the difference between truth and falsehood.</w:t>
      </w:r>
      <w:r w:rsidR="00DD24C1" w:rsidRPr="00C3792D">
        <w:rPr>
          <w:rStyle w:val="FootnoteReference"/>
          <w:rFonts w:ascii="Arial" w:hAnsi="Arial" w:cs="Arial"/>
          <w:sz w:val="24"/>
          <w:szCs w:val="24"/>
        </w:rPr>
        <w:footnoteReference w:id="33"/>
      </w:r>
      <w:r w:rsidRPr="00C3792D">
        <w:rPr>
          <w:rFonts w:ascii="Arial" w:hAnsi="Arial" w:cs="Arial"/>
          <w:sz w:val="24"/>
          <w:szCs w:val="24"/>
        </w:rPr>
        <w:t xml:space="preserve"> All that is required of those who take the oath is that they repeat the words prescribed by the statute. Those who are admonished are, however, required to demonstrate an understanding of the difference between truth and falsehood</w:t>
      </w:r>
      <w:r w:rsidR="00DD24C1" w:rsidRPr="00C3792D">
        <w:rPr>
          <w:rFonts w:ascii="Arial" w:hAnsi="Arial" w:cs="Arial"/>
          <w:sz w:val="24"/>
          <w:szCs w:val="24"/>
        </w:rPr>
        <w:t xml:space="preserve"> through some lengthy preliminary questioning</w:t>
      </w:r>
      <w:r w:rsidRPr="00C3792D">
        <w:rPr>
          <w:rFonts w:ascii="Arial" w:hAnsi="Arial" w:cs="Arial"/>
          <w:sz w:val="24"/>
          <w:szCs w:val="24"/>
        </w:rPr>
        <w:t xml:space="preserve">. </w:t>
      </w:r>
    </w:p>
    <w:p w14:paraId="4E157F1A" w14:textId="77777777" w:rsidR="00DE528D" w:rsidRPr="00C3792D" w:rsidRDefault="00DE528D" w:rsidP="008B4F8C">
      <w:pPr>
        <w:pStyle w:val="ListParagraph"/>
        <w:spacing w:line="480" w:lineRule="auto"/>
        <w:rPr>
          <w:rFonts w:ascii="Arial" w:hAnsi="Arial" w:cs="Arial"/>
          <w:sz w:val="24"/>
          <w:szCs w:val="24"/>
        </w:rPr>
      </w:pPr>
    </w:p>
    <w:p w14:paraId="29B9D819" w14:textId="77777777" w:rsidR="00DE528D" w:rsidRPr="00C3792D" w:rsidRDefault="00DD24C1" w:rsidP="003E2EDC">
      <w:pPr>
        <w:pStyle w:val="ListParagraph"/>
        <w:numPr>
          <w:ilvl w:val="0"/>
          <w:numId w:val="32"/>
        </w:numPr>
        <w:autoSpaceDE w:val="0"/>
        <w:autoSpaceDN w:val="0"/>
        <w:adjustRightInd w:val="0"/>
        <w:spacing w:after="0" w:line="480" w:lineRule="auto"/>
        <w:jc w:val="both"/>
        <w:rPr>
          <w:rFonts w:ascii="Arial" w:hAnsi="Arial" w:cs="Arial"/>
          <w:sz w:val="24"/>
          <w:szCs w:val="24"/>
        </w:rPr>
      </w:pPr>
      <w:r w:rsidRPr="00C3792D">
        <w:rPr>
          <w:rFonts w:ascii="Arial" w:hAnsi="Arial" w:cs="Arial"/>
          <w:sz w:val="24"/>
          <w:szCs w:val="24"/>
        </w:rPr>
        <w:t>T</w:t>
      </w:r>
      <w:r w:rsidR="00DE528D" w:rsidRPr="00C3792D">
        <w:rPr>
          <w:rFonts w:ascii="Arial" w:hAnsi="Arial" w:cs="Arial"/>
          <w:sz w:val="24"/>
          <w:szCs w:val="24"/>
        </w:rPr>
        <w:t xml:space="preserve">he South African Constitutional Court case of </w:t>
      </w:r>
      <w:r w:rsidR="00DE528D" w:rsidRPr="00C3792D">
        <w:rPr>
          <w:rFonts w:ascii="Arial" w:hAnsi="Arial" w:cs="Arial"/>
          <w:b/>
          <w:i/>
          <w:iCs/>
          <w:sz w:val="24"/>
          <w:szCs w:val="24"/>
        </w:rPr>
        <w:t>DPP v Minister of Justice and Constitutional Development</w:t>
      </w:r>
      <w:r w:rsidR="0040335D" w:rsidRPr="00C3792D">
        <w:rPr>
          <w:rStyle w:val="FootnoteReference"/>
          <w:rFonts w:ascii="Arial" w:hAnsi="Arial" w:cs="Arial"/>
          <w:sz w:val="24"/>
          <w:szCs w:val="24"/>
        </w:rPr>
        <w:footnoteReference w:id="34"/>
      </w:r>
      <w:r w:rsidR="00DE528D" w:rsidRPr="00C3792D">
        <w:rPr>
          <w:rFonts w:ascii="Arial" w:hAnsi="Arial" w:cs="Arial"/>
          <w:i/>
          <w:iCs/>
          <w:sz w:val="24"/>
          <w:szCs w:val="24"/>
        </w:rPr>
        <w:t xml:space="preserve"> </w:t>
      </w:r>
      <w:r w:rsidR="00DE528D" w:rsidRPr="00C3792D">
        <w:rPr>
          <w:rFonts w:ascii="Arial" w:hAnsi="Arial" w:cs="Arial"/>
          <w:sz w:val="24"/>
          <w:szCs w:val="24"/>
        </w:rPr>
        <w:t>confirmed the position that it is a requirement for witnesses who are admonished to demonstrate an understanding of the difference between truth and falsehood</w:t>
      </w:r>
      <w:r w:rsidR="0040335D">
        <w:rPr>
          <w:rFonts w:ascii="Arial" w:hAnsi="Arial" w:cs="Arial"/>
          <w:sz w:val="24"/>
          <w:szCs w:val="24"/>
        </w:rPr>
        <w:t xml:space="preserve"> (through a preliminary)</w:t>
      </w:r>
      <w:r w:rsidR="00DE528D" w:rsidRPr="00C3792D">
        <w:rPr>
          <w:rFonts w:ascii="Arial" w:hAnsi="Arial" w:cs="Arial"/>
          <w:sz w:val="24"/>
          <w:szCs w:val="24"/>
        </w:rPr>
        <w:t>.</w:t>
      </w:r>
      <w:r w:rsidR="008B4F8C" w:rsidRPr="00C3792D">
        <w:rPr>
          <w:rFonts w:ascii="Arial" w:hAnsi="Arial" w:cs="Arial"/>
          <w:sz w:val="24"/>
          <w:szCs w:val="24"/>
        </w:rPr>
        <w:t xml:space="preserve"> </w:t>
      </w:r>
      <w:r w:rsidR="00DE528D" w:rsidRPr="00C3792D">
        <w:rPr>
          <w:rFonts w:ascii="Arial" w:hAnsi="Arial" w:cs="Arial"/>
          <w:sz w:val="24"/>
          <w:szCs w:val="24"/>
        </w:rPr>
        <w:t>The Constitutional Court stated that:</w:t>
      </w:r>
    </w:p>
    <w:p w14:paraId="59A3EDC7" w14:textId="77777777" w:rsidR="00DE528D" w:rsidRPr="00C3792D" w:rsidRDefault="00DD24C1" w:rsidP="00DD24C1">
      <w:pPr>
        <w:pStyle w:val="ListParagraph"/>
        <w:autoSpaceDE w:val="0"/>
        <w:autoSpaceDN w:val="0"/>
        <w:adjustRightInd w:val="0"/>
        <w:spacing w:after="0" w:line="360" w:lineRule="auto"/>
        <w:jc w:val="both"/>
        <w:rPr>
          <w:rFonts w:ascii="Arial" w:hAnsi="Arial" w:cs="Arial"/>
          <w:sz w:val="24"/>
          <w:szCs w:val="24"/>
        </w:rPr>
      </w:pPr>
      <w:r w:rsidRPr="00C3792D">
        <w:rPr>
          <w:rFonts w:ascii="Arial" w:hAnsi="Arial" w:cs="Arial"/>
          <w:i/>
          <w:sz w:val="24"/>
          <w:szCs w:val="24"/>
        </w:rPr>
        <w:t>“</w:t>
      </w:r>
      <w:r w:rsidR="00DE528D" w:rsidRPr="00C3792D">
        <w:rPr>
          <w:rFonts w:ascii="Arial" w:hAnsi="Arial" w:cs="Arial"/>
          <w:i/>
          <w:sz w:val="24"/>
          <w:szCs w:val="24"/>
        </w:rPr>
        <w:t>The reason for evidence to be given under oath or affirmation or for a person to be admonished to speak the truth is to ensure that the evidence given is reliable. Knowledge that a child knows and understands what it means to tell the truth gives the assurance that the evidence can be relied upon. It is in fact a precondition for admonishing a child to tell the truth that the child can comprehend what it means to tell the truth. The evidence of a child who does not understand what it means to tell the truth is not reliable. It would undermine the accused's right to a fair trial where such evidence to be admitted. To my mind, it does not amount to a violation of s 28(2) to exclude the evidence of such a child. The risk of a conviction based on unreliable evidence is too great to permit a child who does not understand what it means to speak the truth to testify. This would indeed have serious consequences for the administration of justice.”</w:t>
      </w:r>
      <w:r w:rsidR="00DE528D" w:rsidRPr="00C3792D">
        <w:rPr>
          <w:rStyle w:val="FootnoteReference"/>
          <w:rFonts w:ascii="Arial" w:hAnsi="Arial" w:cs="Arial"/>
          <w:i/>
          <w:sz w:val="24"/>
          <w:szCs w:val="24"/>
        </w:rPr>
        <w:footnoteReference w:id="35"/>
      </w:r>
    </w:p>
    <w:p w14:paraId="00E5DC10" w14:textId="77777777" w:rsidR="00DD24C1" w:rsidRPr="00C3792D" w:rsidRDefault="00DD24C1" w:rsidP="006B0630">
      <w:pPr>
        <w:pStyle w:val="ListParagraph"/>
        <w:spacing w:line="480" w:lineRule="auto"/>
        <w:ind w:left="360"/>
        <w:jc w:val="both"/>
        <w:rPr>
          <w:rFonts w:ascii="Arial" w:hAnsi="Arial" w:cs="Arial"/>
          <w:b/>
          <w:sz w:val="24"/>
          <w:szCs w:val="24"/>
        </w:rPr>
      </w:pPr>
    </w:p>
    <w:p w14:paraId="0D381374" w14:textId="77777777" w:rsidR="006F4E04" w:rsidRDefault="00DD24C1" w:rsidP="003E2EDC">
      <w:pPr>
        <w:pStyle w:val="ListParagraph"/>
        <w:numPr>
          <w:ilvl w:val="0"/>
          <w:numId w:val="32"/>
        </w:numPr>
        <w:spacing w:line="480" w:lineRule="auto"/>
        <w:jc w:val="both"/>
        <w:rPr>
          <w:rFonts w:ascii="Arial" w:hAnsi="Arial" w:cs="Arial"/>
          <w:sz w:val="24"/>
          <w:szCs w:val="24"/>
        </w:rPr>
      </w:pPr>
      <w:r w:rsidRPr="00C3792D">
        <w:rPr>
          <w:rFonts w:ascii="Arial" w:hAnsi="Arial" w:cs="Arial"/>
          <w:sz w:val="24"/>
          <w:szCs w:val="24"/>
        </w:rPr>
        <w:lastRenderedPageBreak/>
        <w:t xml:space="preserve">The trial court indeed accommodated the child witness, the complainant herein, by not asking </w:t>
      </w:r>
      <w:proofErr w:type="gramStart"/>
      <w:r w:rsidRPr="00C3792D">
        <w:rPr>
          <w:rFonts w:ascii="Arial" w:hAnsi="Arial" w:cs="Arial"/>
          <w:sz w:val="24"/>
          <w:szCs w:val="24"/>
        </w:rPr>
        <w:t>him</w:t>
      </w:r>
      <w:proofErr w:type="gramEnd"/>
      <w:r w:rsidRPr="00C3792D">
        <w:rPr>
          <w:rFonts w:ascii="Arial" w:hAnsi="Arial" w:cs="Arial"/>
          <w:sz w:val="24"/>
          <w:szCs w:val="24"/>
        </w:rPr>
        <w:t xml:space="preserve"> questions </w:t>
      </w:r>
      <w:r w:rsidRPr="00C3792D">
        <w:rPr>
          <w:rFonts w:ascii="Arial" w:hAnsi="Arial" w:cs="Arial"/>
          <w:i/>
          <w:sz w:val="24"/>
          <w:szCs w:val="24"/>
        </w:rPr>
        <w:t>ad-infinitum</w:t>
      </w:r>
      <w:r w:rsidRPr="00C3792D">
        <w:rPr>
          <w:rFonts w:ascii="Arial" w:hAnsi="Arial" w:cs="Arial"/>
          <w:sz w:val="24"/>
          <w:szCs w:val="24"/>
        </w:rPr>
        <w:t xml:space="preserve"> just to determine if he knows the difference between truth and lies in addition to the expert’s report or testimony which states the same as well. It is however, noteworthy that the court complied with the requirements of the law as it stands in that the trial court satisfied itself that the child knew the difference prior to taking his evidence, contrary to submissions by</w:t>
      </w:r>
      <w:r w:rsidR="00424B04" w:rsidRPr="00C3792D">
        <w:rPr>
          <w:rFonts w:ascii="Arial" w:hAnsi="Arial" w:cs="Arial"/>
          <w:sz w:val="24"/>
          <w:szCs w:val="24"/>
        </w:rPr>
        <w:t xml:space="preserve"> appellant’s counsel.</w:t>
      </w:r>
      <w:r w:rsidR="00F53AFB">
        <w:rPr>
          <w:rFonts w:ascii="Arial" w:hAnsi="Arial" w:cs="Arial"/>
          <w:sz w:val="24"/>
          <w:szCs w:val="24"/>
        </w:rPr>
        <w:t xml:space="preserve"> However, this position may have to be revisited by our apex court once legislation</w:t>
      </w:r>
      <w:r w:rsidR="00081C93">
        <w:rPr>
          <w:rFonts w:ascii="Arial" w:hAnsi="Arial" w:cs="Arial"/>
          <w:sz w:val="24"/>
          <w:szCs w:val="24"/>
        </w:rPr>
        <w:t xml:space="preserve"> has been passed by parliament dealing specifically with rights of people with disabilities.</w:t>
      </w:r>
      <w:r w:rsidR="00081C93" w:rsidRPr="00C3792D">
        <w:rPr>
          <w:rStyle w:val="FootnoteReference"/>
          <w:rFonts w:ascii="Arial" w:hAnsi="Arial" w:cs="Arial"/>
          <w:b/>
          <w:sz w:val="24"/>
          <w:szCs w:val="24"/>
        </w:rPr>
        <w:footnoteReference w:id="36"/>
      </w:r>
      <w:r w:rsidR="00081C93">
        <w:rPr>
          <w:rFonts w:ascii="Arial" w:hAnsi="Arial" w:cs="Arial"/>
          <w:sz w:val="24"/>
          <w:szCs w:val="24"/>
        </w:rPr>
        <w:t xml:space="preserve"> </w:t>
      </w:r>
      <w:r w:rsidR="0040335D">
        <w:rPr>
          <w:rFonts w:ascii="Arial" w:hAnsi="Arial" w:cs="Arial"/>
          <w:sz w:val="24"/>
          <w:szCs w:val="24"/>
        </w:rPr>
        <w:t xml:space="preserve"> </w:t>
      </w:r>
    </w:p>
    <w:p w14:paraId="3B4F011D" w14:textId="77777777" w:rsidR="0040335D" w:rsidRDefault="0040335D" w:rsidP="0040335D">
      <w:pPr>
        <w:pStyle w:val="ListParagraph"/>
        <w:spacing w:line="480" w:lineRule="auto"/>
        <w:ind w:left="360"/>
        <w:jc w:val="both"/>
        <w:rPr>
          <w:rFonts w:ascii="Arial" w:hAnsi="Arial" w:cs="Arial"/>
          <w:sz w:val="24"/>
          <w:szCs w:val="24"/>
        </w:rPr>
      </w:pPr>
    </w:p>
    <w:p w14:paraId="60EA8ECF" w14:textId="77777777" w:rsidR="0040335D" w:rsidRDefault="0040335D" w:rsidP="0040335D">
      <w:pPr>
        <w:pStyle w:val="ListParagraph"/>
        <w:spacing w:line="480" w:lineRule="auto"/>
        <w:ind w:left="360"/>
        <w:jc w:val="both"/>
        <w:rPr>
          <w:rFonts w:ascii="Arial" w:hAnsi="Arial" w:cs="Arial"/>
          <w:b/>
          <w:sz w:val="24"/>
          <w:szCs w:val="24"/>
        </w:rPr>
      </w:pPr>
      <w:r w:rsidRPr="008419DE">
        <w:rPr>
          <w:rFonts w:ascii="Arial" w:hAnsi="Arial" w:cs="Arial"/>
          <w:b/>
          <w:sz w:val="24"/>
          <w:szCs w:val="24"/>
        </w:rPr>
        <w:t>Other International jurisdictions</w:t>
      </w:r>
    </w:p>
    <w:p w14:paraId="2175987B" w14:textId="77777777" w:rsidR="0040335D" w:rsidRDefault="0040335D" w:rsidP="003E2EDC">
      <w:pPr>
        <w:pStyle w:val="ListParagraph"/>
        <w:numPr>
          <w:ilvl w:val="0"/>
          <w:numId w:val="32"/>
        </w:numPr>
        <w:spacing w:line="480" w:lineRule="auto"/>
        <w:jc w:val="both"/>
        <w:rPr>
          <w:rFonts w:ascii="Arial" w:hAnsi="Arial" w:cs="Arial"/>
          <w:sz w:val="24"/>
          <w:szCs w:val="24"/>
        </w:rPr>
      </w:pPr>
      <w:r w:rsidRPr="0040335D">
        <w:rPr>
          <w:rFonts w:ascii="Arial" w:hAnsi="Arial" w:cs="Arial"/>
          <w:sz w:val="24"/>
          <w:szCs w:val="24"/>
        </w:rPr>
        <w:t xml:space="preserve">In </w:t>
      </w:r>
      <w:r w:rsidRPr="0040335D">
        <w:rPr>
          <w:rFonts w:ascii="Arial" w:hAnsi="Arial" w:cs="Arial"/>
          <w:b/>
          <w:color w:val="252525"/>
          <w:sz w:val="24"/>
          <w:szCs w:val="24"/>
        </w:rPr>
        <w:t>Ruby McDonough’s case</w:t>
      </w:r>
      <w:r w:rsidRPr="00C3792D">
        <w:rPr>
          <w:rStyle w:val="FootnoteReference"/>
          <w:rFonts w:ascii="Arial" w:hAnsi="Arial" w:cs="Arial"/>
          <w:color w:val="252525"/>
          <w:sz w:val="24"/>
          <w:szCs w:val="24"/>
        </w:rPr>
        <w:footnoteReference w:id="37"/>
      </w:r>
      <w:r w:rsidRPr="0040335D">
        <w:rPr>
          <w:rFonts w:ascii="Arial" w:hAnsi="Arial" w:cs="Arial"/>
          <w:color w:val="252525"/>
          <w:sz w:val="24"/>
          <w:szCs w:val="24"/>
        </w:rPr>
        <w:t xml:space="preserve">, a petitioner, before the </w:t>
      </w:r>
      <w:r w:rsidRPr="0040335D">
        <w:rPr>
          <w:rFonts w:ascii="Arial" w:hAnsi="Arial" w:cs="Arial"/>
          <w:sz w:val="24"/>
          <w:szCs w:val="24"/>
        </w:rPr>
        <w:t>Supreme Judicial Court of Massachusetts, Suffolk</w:t>
      </w:r>
      <w:bookmarkStart w:id="8" w:name="co_synopsis_1"/>
      <w:bookmarkEnd w:id="8"/>
      <w:r w:rsidRPr="0040335D">
        <w:rPr>
          <w:rFonts w:ascii="Arial" w:hAnsi="Arial" w:cs="Arial"/>
          <w:sz w:val="24"/>
          <w:szCs w:val="24"/>
        </w:rPr>
        <w:t xml:space="preserve">, a prospective witness in criminal prosecution, who had been found not competent to testify because of her stroke-induced incapacity to communicate orally, filed petition alleging that the ruling violated her rights under the Americans with Disabilities Act (ADA), the Massachusetts Equal Rights Act (MERA), and the state constitution. Exercising its general superintendence power, the Supreme Judicial Court, </w:t>
      </w:r>
      <w:hyperlink r:id="rId9" w:history="1">
        <w:r w:rsidRPr="0040335D">
          <w:rPr>
            <w:rStyle w:val="Hyperlink"/>
            <w:rFonts w:ascii="Arial" w:hAnsi="Arial" w:cs="Arial"/>
            <w:color w:val="000000"/>
            <w:sz w:val="24"/>
            <w:szCs w:val="24"/>
          </w:rPr>
          <w:t>Marshall</w:t>
        </w:r>
      </w:hyperlink>
      <w:r w:rsidRPr="0040335D">
        <w:rPr>
          <w:rFonts w:ascii="Arial" w:hAnsi="Arial" w:cs="Arial"/>
          <w:sz w:val="24"/>
          <w:szCs w:val="24"/>
        </w:rPr>
        <w:t xml:space="preserve">, C.J., held that the prospective witness had no standing to seek appellate review of decision that prevented her from testifying at criminal trial; in the future, where a witness’s accommodation request is denied, thereby precluding the witness from testifying, interlocutory review of the order may be sought as a matter of right by the party seeking to introduce the testimony; and where there is a dispute concerning a witness’s request for accommodation, a </w:t>
      </w:r>
      <w:r w:rsidRPr="0040335D">
        <w:rPr>
          <w:rFonts w:ascii="Arial" w:hAnsi="Arial" w:cs="Arial"/>
          <w:sz w:val="24"/>
          <w:szCs w:val="24"/>
        </w:rPr>
        <w:lastRenderedPageBreak/>
        <w:t>judge should conduct a hearing to resolve the dispute, preferably before trial. Petition denied.</w:t>
      </w:r>
      <w:r w:rsidRPr="00C3792D">
        <w:rPr>
          <w:rStyle w:val="FootnoteReference"/>
          <w:rFonts w:ascii="Arial" w:hAnsi="Arial" w:cs="Arial"/>
          <w:sz w:val="24"/>
          <w:szCs w:val="24"/>
        </w:rPr>
        <w:footnoteReference w:id="38"/>
      </w:r>
    </w:p>
    <w:p w14:paraId="37677522" w14:textId="77777777" w:rsidR="0040335D" w:rsidRPr="0040335D" w:rsidRDefault="0040335D" w:rsidP="0040335D">
      <w:pPr>
        <w:pStyle w:val="ListParagraph"/>
        <w:spacing w:line="480" w:lineRule="auto"/>
        <w:ind w:left="360"/>
        <w:jc w:val="both"/>
        <w:rPr>
          <w:rFonts w:ascii="Arial" w:hAnsi="Arial" w:cs="Arial"/>
          <w:sz w:val="24"/>
          <w:szCs w:val="24"/>
        </w:rPr>
      </w:pPr>
    </w:p>
    <w:p w14:paraId="17057A03" w14:textId="77777777" w:rsidR="0040335D" w:rsidRDefault="0040335D" w:rsidP="003E2EDC">
      <w:pPr>
        <w:pStyle w:val="ListParagraph"/>
        <w:numPr>
          <w:ilvl w:val="0"/>
          <w:numId w:val="32"/>
        </w:numPr>
        <w:spacing w:line="480" w:lineRule="auto"/>
        <w:jc w:val="both"/>
        <w:rPr>
          <w:rFonts w:ascii="Arial" w:hAnsi="Arial" w:cs="Arial"/>
          <w:sz w:val="24"/>
          <w:szCs w:val="24"/>
        </w:rPr>
      </w:pPr>
      <w:r w:rsidRPr="0040335D">
        <w:rPr>
          <w:rFonts w:ascii="Arial" w:hAnsi="Arial" w:cs="Arial"/>
          <w:sz w:val="24"/>
          <w:szCs w:val="24"/>
        </w:rPr>
        <w:t xml:space="preserve">In </w:t>
      </w:r>
      <w:proofErr w:type="spellStart"/>
      <w:r w:rsidRPr="0040335D">
        <w:rPr>
          <w:rFonts w:ascii="Arial" w:hAnsi="Arial" w:cs="Arial"/>
          <w:b/>
          <w:bCs/>
          <w:sz w:val="24"/>
          <w:szCs w:val="24"/>
        </w:rPr>
        <w:t>Koali</w:t>
      </w:r>
      <w:proofErr w:type="spellEnd"/>
      <w:r w:rsidRPr="0040335D">
        <w:rPr>
          <w:rFonts w:ascii="Arial" w:hAnsi="Arial" w:cs="Arial"/>
          <w:b/>
          <w:bCs/>
          <w:sz w:val="24"/>
          <w:szCs w:val="24"/>
        </w:rPr>
        <w:t xml:space="preserve"> </w:t>
      </w:r>
      <w:proofErr w:type="spellStart"/>
      <w:r w:rsidRPr="0040335D">
        <w:rPr>
          <w:rFonts w:ascii="Arial" w:hAnsi="Arial" w:cs="Arial"/>
          <w:b/>
          <w:bCs/>
          <w:sz w:val="24"/>
          <w:szCs w:val="24"/>
        </w:rPr>
        <w:t>Moshoeshoe</w:t>
      </w:r>
      <w:proofErr w:type="spellEnd"/>
      <w:r w:rsidRPr="0040335D">
        <w:rPr>
          <w:rFonts w:ascii="Arial" w:hAnsi="Arial" w:cs="Arial"/>
          <w:b/>
          <w:bCs/>
          <w:sz w:val="24"/>
          <w:szCs w:val="24"/>
        </w:rPr>
        <w:t xml:space="preserve"> and Others v the DPP and Others</w:t>
      </w:r>
      <w:r w:rsidRPr="00C3792D">
        <w:rPr>
          <w:rStyle w:val="FootnoteReference"/>
          <w:rFonts w:ascii="Arial" w:hAnsi="Arial" w:cs="Arial"/>
          <w:b/>
          <w:bCs/>
          <w:sz w:val="24"/>
          <w:szCs w:val="24"/>
        </w:rPr>
        <w:footnoteReference w:id="39"/>
      </w:r>
      <w:r w:rsidRPr="0040335D">
        <w:rPr>
          <w:rFonts w:ascii="Arial" w:hAnsi="Arial" w:cs="Arial"/>
          <w:b/>
          <w:bCs/>
          <w:sz w:val="24"/>
          <w:szCs w:val="24"/>
        </w:rPr>
        <w:t xml:space="preserve"> </w:t>
      </w:r>
      <w:r w:rsidRPr="0040335D">
        <w:rPr>
          <w:rFonts w:ascii="Arial" w:hAnsi="Arial" w:cs="Arial"/>
          <w:bCs/>
          <w:sz w:val="24"/>
          <w:szCs w:val="24"/>
        </w:rPr>
        <w:t xml:space="preserve">section 219 of the Criminal Procedure and Evidence Act 9 of 1981 of Lesotho was declared unconstitutional and inconsistent with sections 18 and 19 of the Constitution of Lesotho by the Lesotho High Court. Also the decision by the DPP to decline to prosecute the perpetrator of a sexual offence against </w:t>
      </w:r>
      <w:proofErr w:type="spellStart"/>
      <w:r w:rsidRPr="0040335D">
        <w:rPr>
          <w:rFonts w:ascii="Arial" w:hAnsi="Arial" w:cs="Arial"/>
          <w:bCs/>
          <w:sz w:val="24"/>
          <w:szCs w:val="24"/>
        </w:rPr>
        <w:t>Koali</w:t>
      </w:r>
      <w:proofErr w:type="spellEnd"/>
      <w:r w:rsidRPr="0040335D">
        <w:rPr>
          <w:rFonts w:ascii="Arial" w:hAnsi="Arial" w:cs="Arial"/>
          <w:bCs/>
          <w:sz w:val="24"/>
          <w:szCs w:val="24"/>
        </w:rPr>
        <w:t xml:space="preserve"> </w:t>
      </w:r>
      <w:proofErr w:type="spellStart"/>
      <w:r w:rsidRPr="0040335D">
        <w:rPr>
          <w:rFonts w:ascii="Arial" w:hAnsi="Arial" w:cs="Arial"/>
          <w:bCs/>
          <w:sz w:val="24"/>
          <w:szCs w:val="24"/>
        </w:rPr>
        <w:t>Moshoeshoe</w:t>
      </w:r>
      <w:proofErr w:type="spellEnd"/>
      <w:r w:rsidRPr="0040335D">
        <w:rPr>
          <w:rFonts w:ascii="Arial" w:hAnsi="Arial" w:cs="Arial"/>
          <w:bCs/>
          <w:sz w:val="24"/>
          <w:szCs w:val="24"/>
        </w:rPr>
        <w:t xml:space="preserve">, who had a mental disability, was also declared unconstitutional. </w:t>
      </w:r>
      <w:r w:rsidRPr="0040335D">
        <w:rPr>
          <w:rFonts w:ascii="Arial" w:hAnsi="Arial" w:cs="Arial"/>
          <w:sz w:val="24"/>
          <w:szCs w:val="24"/>
        </w:rPr>
        <w:t>This is the case in which the plaintiff, a mentally disabled male challenged the constitutionality of section 219 of the Criminal Procedure and Evidence Act 1981. He contended that by restricting people with mental disabilities to adduce evidence in the courts of laws, this provision of the law, restricted a number of his human rights enshrined in the constitution of Lesotho. These include the Right to fair trial under Section 12 of the Constitution, Freedom from discrimination under section 18, the right to equality before the law under section 19 as well as the right to seek redress for human rights injustices under section 21 of the constitution. Sitting as the Constitutional Court, the High Court of Lesotho in this matter observed judicial activism and held that the contested section was indeed unconstitutional.</w:t>
      </w:r>
      <w:r>
        <w:rPr>
          <w:rFonts w:ascii="Arial" w:hAnsi="Arial" w:cs="Arial"/>
          <w:sz w:val="24"/>
          <w:szCs w:val="24"/>
        </w:rPr>
        <w:t xml:space="preserve"> </w:t>
      </w:r>
    </w:p>
    <w:p w14:paraId="482684B4" w14:textId="77777777" w:rsidR="0040335D" w:rsidRDefault="0040335D" w:rsidP="0040335D">
      <w:pPr>
        <w:pStyle w:val="ListParagraph"/>
        <w:spacing w:line="480" w:lineRule="auto"/>
        <w:ind w:left="360"/>
        <w:jc w:val="both"/>
        <w:rPr>
          <w:rFonts w:ascii="Arial" w:hAnsi="Arial" w:cs="Arial"/>
          <w:sz w:val="24"/>
          <w:szCs w:val="24"/>
        </w:rPr>
      </w:pPr>
      <w:r>
        <w:rPr>
          <w:rFonts w:ascii="Arial" w:hAnsi="Arial" w:cs="Arial"/>
          <w:sz w:val="24"/>
          <w:szCs w:val="24"/>
        </w:rPr>
        <w:t xml:space="preserve"> </w:t>
      </w:r>
    </w:p>
    <w:p w14:paraId="08BDCF67" w14:textId="77777777" w:rsidR="00FF691E" w:rsidRDefault="0040335D" w:rsidP="003E2EDC">
      <w:pPr>
        <w:pStyle w:val="ListParagraph"/>
        <w:numPr>
          <w:ilvl w:val="0"/>
          <w:numId w:val="32"/>
        </w:numPr>
        <w:spacing w:line="480" w:lineRule="auto"/>
        <w:jc w:val="both"/>
        <w:rPr>
          <w:rFonts w:ascii="Arial" w:hAnsi="Arial" w:cs="Arial"/>
          <w:sz w:val="24"/>
          <w:szCs w:val="24"/>
        </w:rPr>
      </w:pPr>
      <w:r w:rsidRPr="00C3792D">
        <w:rPr>
          <w:rFonts w:ascii="Arial" w:hAnsi="Arial" w:cs="Arial"/>
          <w:sz w:val="24"/>
          <w:szCs w:val="24"/>
        </w:rPr>
        <w:lastRenderedPageBreak/>
        <w:t xml:space="preserve">In </w:t>
      </w:r>
      <w:r w:rsidRPr="00C3792D">
        <w:rPr>
          <w:rFonts w:ascii="Arial" w:hAnsi="Arial" w:cs="Arial"/>
          <w:b/>
          <w:sz w:val="24"/>
          <w:szCs w:val="24"/>
        </w:rPr>
        <w:t>R v D.A.I</w:t>
      </w:r>
      <w:r w:rsidRPr="00C3792D">
        <w:rPr>
          <w:rFonts w:ascii="Arial" w:hAnsi="Arial" w:cs="Arial"/>
          <w:sz w:val="24"/>
          <w:szCs w:val="24"/>
        </w:rPr>
        <w:t>.</w:t>
      </w:r>
      <w:r w:rsidRPr="00C3792D">
        <w:rPr>
          <w:rStyle w:val="FootnoteReference"/>
          <w:rFonts w:ascii="Arial" w:hAnsi="Arial" w:cs="Arial"/>
          <w:sz w:val="24"/>
          <w:szCs w:val="24"/>
        </w:rPr>
        <w:footnoteReference w:id="40"/>
      </w:r>
      <w:r w:rsidRPr="00C3792D">
        <w:rPr>
          <w:rFonts w:ascii="Arial" w:hAnsi="Arial" w:cs="Arial"/>
          <w:sz w:val="24"/>
          <w:szCs w:val="24"/>
        </w:rPr>
        <w:t xml:space="preserve"> the </w:t>
      </w:r>
      <w:r w:rsidRPr="00C3792D">
        <w:rPr>
          <w:rFonts w:ascii="Arial" w:hAnsi="Arial" w:cs="Arial"/>
          <w:b/>
          <w:bCs/>
          <w:sz w:val="24"/>
          <w:szCs w:val="24"/>
        </w:rPr>
        <w:t xml:space="preserve">Supreme Court </w:t>
      </w:r>
      <w:proofErr w:type="gramStart"/>
      <w:r w:rsidRPr="00C3792D">
        <w:rPr>
          <w:rFonts w:ascii="Arial" w:hAnsi="Arial" w:cs="Arial"/>
          <w:b/>
          <w:bCs/>
          <w:sz w:val="24"/>
          <w:szCs w:val="24"/>
        </w:rPr>
        <w:t>Of</w:t>
      </w:r>
      <w:proofErr w:type="gramEnd"/>
      <w:r w:rsidRPr="00C3792D">
        <w:rPr>
          <w:rFonts w:ascii="Arial" w:hAnsi="Arial" w:cs="Arial"/>
          <w:b/>
          <w:bCs/>
          <w:sz w:val="24"/>
          <w:szCs w:val="24"/>
        </w:rPr>
        <w:t xml:space="preserve"> Canada </w:t>
      </w:r>
      <w:r w:rsidRPr="00C3792D">
        <w:rPr>
          <w:rFonts w:ascii="Arial" w:hAnsi="Arial" w:cs="Arial"/>
          <w:bCs/>
          <w:sz w:val="24"/>
          <w:szCs w:val="24"/>
        </w:rPr>
        <w:t xml:space="preserve">held that the obligation on adult witnesses </w:t>
      </w:r>
      <w:r w:rsidRPr="00C3792D">
        <w:rPr>
          <w:rFonts w:ascii="Arial" w:hAnsi="Arial" w:cs="Arial"/>
          <w:iCs/>
          <w:sz w:val="24"/>
          <w:szCs w:val="24"/>
        </w:rPr>
        <w:t xml:space="preserve">with mental disabilities to demonstrate understanding of nature of obligation to tell truth in order to be deemed competent to testify is not correct. As to whether finding of testimonial competence without demonstration of understanding of obligation to tell truth breaches accused’s right to fair trial the Highest Court of Canada held that it does not. </w:t>
      </w:r>
      <w:r w:rsidRPr="00C3792D">
        <w:rPr>
          <w:rFonts w:ascii="Arial" w:hAnsi="Arial" w:cs="Arial"/>
          <w:sz w:val="24"/>
          <w:szCs w:val="24"/>
        </w:rPr>
        <w:t>The Crown alleged that the complainant, a 26</w:t>
      </w:r>
      <w:r w:rsidRPr="00C3792D">
        <w:rPr>
          <w:rFonts w:ascii="Arial" w:hAnsi="Arial" w:cs="Arial"/>
          <w:sz w:val="24"/>
          <w:szCs w:val="24"/>
        </w:rPr>
        <w:noBreakHyphen/>
        <w:t>year</w:t>
      </w:r>
      <w:r w:rsidRPr="00C3792D">
        <w:rPr>
          <w:rFonts w:ascii="Arial" w:hAnsi="Arial" w:cs="Arial"/>
          <w:sz w:val="24"/>
          <w:szCs w:val="24"/>
        </w:rPr>
        <w:noBreakHyphen/>
        <w:t>old woman with the mental age of a three</w:t>
      </w:r>
      <w:r w:rsidRPr="00C3792D">
        <w:rPr>
          <w:rFonts w:ascii="Arial" w:hAnsi="Arial" w:cs="Arial"/>
          <w:sz w:val="24"/>
          <w:szCs w:val="24"/>
        </w:rPr>
        <w:noBreakHyphen/>
        <w:t xml:space="preserve"> six</w:t>
      </w:r>
      <w:r w:rsidRPr="00C3792D">
        <w:rPr>
          <w:rFonts w:ascii="Arial" w:hAnsi="Arial" w:cs="Arial"/>
          <w:sz w:val="24"/>
          <w:szCs w:val="24"/>
        </w:rPr>
        <w:noBreakHyphen/>
        <w:t>year</w:t>
      </w:r>
      <w:r w:rsidRPr="00C3792D">
        <w:rPr>
          <w:rFonts w:ascii="Arial" w:hAnsi="Arial" w:cs="Arial"/>
          <w:sz w:val="24"/>
          <w:szCs w:val="24"/>
        </w:rPr>
        <w:noBreakHyphen/>
        <w:t xml:space="preserve">old, was repeatedly sexually assaulted by her mother’s partner during the four years that he lived in the home. It sought to call the complainant to testify about the alleged assaults. After a </w:t>
      </w:r>
      <w:proofErr w:type="spellStart"/>
      <w:r w:rsidRPr="00C3792D">
        <w:rPr>
          <w:rFonts w:ascii="Arial" w:hAnsi="Arial" w:cs="Arial"/>
          <w:i/>
          <w:iCs/>
          <w:sz w:val="24"/>
          <w:szCs w:val="24"/>
        </w:rPr>
        <w:t>voir</w:t>
      </w:r>
      <w:proofErr w:type="spellEnd"/>
      <w:r w:rsidRPr="00C3792D">
        <w:rPr>
          <w:rFonts w:ascii="Arial" w:hAnsi="Arial" w:cs="Arial"/>
          <w:i/>
          <w:iCs/>
          <w:sz w:val="24"/>
          <w:szCs w:val="24"/>
        </w:rPr>
        <w:t xml:space="preserve"> dire </w:t>
      </w:r>
      <w:r w:rsidRPr="00C3792D">
        <w:rPr>
          <w:rFonts w:ascii="Arial" w:hAnsi="Arial" w:cs="Arial"/>
          <w:sz w:val="24"/>
          <w:szCs w:val="24"/>
        </w:rPr>
        <w:t xml:space="preserve">to determine the complainant’s capacity to testify, the trial judge found that she had failed to show that she understood the duty to speak the truth. In a separate </w:t>
      </w:r>
      <w:proofErr w:type="spellStart"/>
      <w:r w:rsidRPr="00C3792D">
        <w:rPr>
          <w:rFonts w:ascii="Arial" w:hAnsi="Arial" w:cs="Arial"/>
          <w:i/>
          <w:iCs/>
          <w:sz w:val="24"/>
          <w:szCs w:val="24"/>
        </w:rPr>
        <w:t>voir</w:t>
      </w:r>
      <w:proofErr w:type="spellEnd"/>
      <w:r w:rsidRPr="00C3792D">
        <w:rPr>
          <w:rFonts w:ascii="Arial" w:hAnsi="Arial" w:cs="Arial"/>
          <w:i/>
          <w:iCs/>
          <w:sz w:val="24"/>
          <w:szCs w:val="24"/>
        </w:rPr>
        <w:t xml:space="preserve"> dire</w:t>
      </w:r>
      <w:r w:rsidRPr="00C3792D">
        <w:rPr>
          <w:rFonts w:ascii="Arial" w:hAnsi="Arial" w:cs="Arial"/>
          <w:sz w:val="24"/>
          <w:szCs w:val="24"/>
        </w:rPr>
        <w:t>, the trial judge also excluded out</w:t>
      </w:r>
      <w:r w:rsidRPr="00C3792D">
        <w:rPr>
          <w:rFonts w:ascii="Arial" w:hAnsi="Arial" w:cs="Arial"/>
          <w:sz w:val="24"/>
          <w:szCs w:val="24"/>
        </w:rPr>
        <w:noBreakHyphen/>
        <w:t>of</w:t>
      </w:r>
      <w:r w:rsidRPr="00C3792D">
        <w:rPr>
          <w:rFonts w:ascii="Arial" w:hAnsi="Arial" w:cs="Arial"/>
          <w:sz w:val="24"/>
          <w:szCs w:val="24"/>
        </w:rPr>
        <w:noBreakHyphen/>
        <w:t>court statements made by the complainant to the police and her teacher on the grounds that the statements were unreliable and would compromise the accused’s right to a fair trial. While the remainder of the evidence raised some serious suspicions about the accused’s conduct, the case collapsed and the accused was acquitted. The Ontario Court of Appeal affirmed this result. The Supreme Court of Canada</w:t>
      </w:r>
      <w:r w:rsidRPr="00C3792D">
        <w:rPr>
          <w:rFonts w:ascii="Arial" w:hAnsi="Arial" w:cs="Arial"/>
          <w:iCs/>
          <w:sz w:val="24"/>
          <w:szCs w:val="24"/>
        </w:rPr>
        <w:t xml:space="preserve"> Held </w:t>
      </w:r>
      <w:r w:rsidRPr="00C3792D">
        <w:rPr>
          <w:rFonts w:ascii="Arial" w:hAnsi="Arial" w:cs="Arial"/>
          <w:sz w:val="24"/>
          <w:szCs w:val="24"/>
        </w:rPr>
        <w:t>that the appeal should be allowed, the acquittal set aside and a new trial ordered.</w:t>
      </w:r>
      <w:r w:rsidR="00FF691E">
        <w:rPr>
          <w:rFonts w:ascii="Arial" w:hAnsi="Arial" w:cs="Arial"/>
          <w:sz w:val="24"/>
          <w:szCs w:val="24"/>
        </w:rPr>
        <w:t xml:space="preserve"> </w:t>
      </w:r>
    </w:p>
    <w:p w14:paraId="74CA4602" w14:textId="77777777" w:rsidR="00FF691E" w:rsidRDefault="00FF691E" w:rsidP="00FF691E">
      <w:pPr>
        <w:pStyle w:val="ListParagraph"/>
        <w:spacing w:line="480" w:lineRule="auto"/>
        <w:ind w:left="360"/>
        <w:jc w:val="both"/>
        <w:rPr>
          <w:rFonts w:ascii="Arial" w:hAnsi="Arial" w:cs="Arial"/>
          <w:sz w:val="24"/>
          <w:szCs w:val="24"/>
        </w:rPr>
      </w:pPr>
    </w:p>
    <w:p w14:paraId="0EEC9F49" w14:textId="77777777" w:rsidR="0040335D" w:rsidRDefault="00FF691E" w:rsidP="003E2EDC">
      <w:pPr>
        <w:pStyle w:val="ListParagraph"/>
        <w:numPr>
          <w:ilvl w:val="0"/>
          <w:numId w:val="32"/>
        </w:numPr>
        <w:spacing w:line="480" w:lineRule="auto"/>
        <w:jc w:val="both"/>
        <w:rPr>
          <w:rFonts w:ascii="Arial" w:hAnsi="Arial" w:cs="Arial"/>
          <w:sz w:val="24"/>
          <w:szCs w:val="24"/>
        </w:rPr>
      </w:pPr>
      <w:r w:rsidRPr="00C3792D">
        <w:rPr>
          <w:rFonts w:ascii="Arial" w:hAnsi="Arial" w:cs="Arial"/>
          <w:sz w:val="24"/>
          <w:szCs w:val="24"/>
        </w:rPr>
        <w:t xml:space="preserve">In a case before the </w:t>
      </w:r>
      <w:r w:rsidRPr="00C3792D">
        <w:rPr>
          <w:rFonts w:ascii="Arial" w:hAnsi="Arial" w:cs="Arial"/>
          <w:b/>
          <w:sz w:val="24"/>
          <w:szCs w:val="24"/>
        </w:rPr>
        <w:t>United Nations Convention on the Rights of People with Disabilities</w:t>
      </w:r>
      <w:r w:rsidRPr="00C3792D">
        <w:rPr>
          <w:rFonts w:ascii="Arial" w:hAnsi="Arial" w:cs="Arial"/>
          <w:sz w:val="24"/>
          <w:szCs w:val="24"/>
        </w:rPr>
        <w:t xml:space="preserve"> (CRPD),</w:t>
      </w:r>
      <w:r w:rsidRPr="00C3792D">
        <w:rPr>
          <w:rStyle w:val="FootnoteReference"/>
          <w:rFonts w:ascii="Arial" w:hAnsi="Arial" w:cs="Arial"/>
          <w:sz w:val="24"/>
          <w:szCs w:val="24"/>
        </w:rPr>
        <w:footnoteReference w:id="41"/>
      </w:r>
      <w:r w:rsidRPr="00C3792D">
        <w:rPr>
          <w:rFonts w:ascii="Arial" w:hAnsi="Arial" w:cs="Arial"/>
          <w:sz w:val="24"/>
          <w:szCs w:val="24"/>
        </w:rPr>
        <w:t xml:space="preserve"> </w:t>
      </w:r>
      <w:r w:rsidRPr="00C3792D">
        <w:rPr>
          <w:rFonts w:ascii="Arial" w:hAnsi="Arial" w:cs="Arial"/>
          <w:b/>
          <w:sz w:val="24"/>
          <w:szCs w:val="24"/>
        </w:rPr>
        <w:t>Mr. Arturo Medina Vela</w:t>
      </w:r>
      <w:r w:rsidRPr="00C3792D">
        <w:rPr>
          <w:rFonts w:ascii="Arial" w:hAnsi="Arial" w:cs="Arial"/>
          <w:sz w:val="24"/>
          <w:szCs w:val="24"/>
        </w:rPr>
        <w:t xml:space="preserve">, a Mexican national who has </w:t>
      </w:r>
      <w:r w:rsidRPr="00C3792D">
        <w:rPr>
          <w:rFonts w:ascii="Arial" w:hAnsi="Arial" w:cs="Arial"/>
          <w:sz w:val="24"/>
          <w:szCs w:val="24"/>
        </w:rPr>
        <w:lastRenderedPageBreak/>
        <w:t xml:space="preserve">an intellectual and psychosocial disability claims that he is the victim of a violation by the State party (Mexico, his own Country) of his rights under articles 5, 9, 12, 13, 14 and 19, read in conjunction with article 4, of the Convention (CRPD). He was arrested by the police on suspicion of having stolen a vehicle. The public prosecutor notified the family of the charges against him. His mother supplied the state with all proof of his mental condition, and after taking him to psychiatric evaluation, which proved what his mother had been saying, he </w:t>
      </w:r>
      <w:r w:rsidRPr="00C3792D">
        <w:rPr>
          <w:rFonts w:ascii="Arial" w:hAnsi="Arial" w:cs="Arial"/>
          <w:b/>
          <w:sz w:val="24"/>
          <w:szCs w:val="24"/>
        </w:rPr>
        <w:t>was declared unfit to testify</w:t>
      </w:r>
      <w:r w:rsidRPr="00C3792D">
        <w:rPr>
          <w:rFonts w:ascii="Arial" w:hAnsi="Arial" w:cs="Arial"/>
          <w:sz w:val="24"/>
          <w:szCs w:val="24"/>
        </w:rPr>
        <w:t>. But the prosecution decided to proceed with the case, while he was detained in the men’s psychosocial rehabilitation centre. He was not permitted to testify and was not informed of what was happening in the proceedings or notified that he was being tried under the special procedure.</w:t>
      </w:r>
    </w:p>
    <w:p w14:paraId="26A75E01" w14:textId="77777777" w:rsidR="00F3080D" w:rsidRPr="00C3792D" w:rsidRDefault="00F3080D" w:rsidP="00F3080D">
      <w:pPr>
        <w:pStyle w:val="ListParagraph"/>
        <w:spacing w:line="480" w:lineRule="auto"/>
        <w:ind w:left="360"/>
        <w:jc w:val="both"/>
        <w:rPr>
          <w:rFonts w:ascii="Arial" w:hAnsi="Arial" w:cs="Arial"/>
          <w:sz w:val="24"/>
          <w:szCs w:val="24"/>
        </w:rPr>
      </w:pPr>
    </w:p>
    <w:p w14:paraId="7DCE25D3" w14:textId="77777777" w:rsidR="00F3080D" w:rsidRPr="00C3792D" w:rsidRDefault="00F3080D" w:rsidP="003E2EDC">
      <w:pPr>
        <w:pStyle w:val="ListParagraph"/>
        <w:numPr>
          <w:ilvl w:val="0"/>
          <w:numId w:val="32"/>
        </w:numPr>
        <w:spacing w:line="480" w:lineRule="auto"/>
        <w:jc w:val="both"/>
        <w:rPr>
          <w:rFonts w:ascii="Arial" w:hAnsi="Arial" w:cs="Arial"/>
          <w:sz w:val="24"/>
          <w:szCs w:val="24"/>
        </w:rPr>
      </w:pPr>
      <w:r w:rsidRPr="00C3792D">
        <w:rPr>
          <w:rFonts w:ascii="Arial" w:hAnsi="Arial" w:cs="Arial"/>
          <w:color w:val="000000"/>
          <w:sz w:val="24"/>
          <w:szCs w:val="24"/>
        </w:rPr>
        <w:t xml:space="preserve">Among others, he argued that by not being tried on an equal basis with others because he had been declared exempt from criminal liability and was therefore subject to the relevant special procedure, he was a victim of discrimination on grounds of disability. He further claims that the State party failed to discharge its obligation to make the necessary reasonable accommodations he requested and to amend or repeal legislation that encourages discrimination against persons with disabilities, in violation of article 5, read alone and in conjunction with article 4, of the Convention. </w:t>
      </w:r>
      <w:r w:rsidRPr="00C3792D">
        <w:rPr>
          <w:rFonts w:ascii="Arial" w:hAnsi="Arial" w:cs="Arial"/>
          <w:sz w:val="24"/>
          <w:szCs w:val="24"/>
        </w:rPr>
        <w:t>The UN Committee, acting under article 5 of the Optional Protocol, agreed with Mr. Vela that the State party had failed to fulfil its obligations under articles 5, 9, 12, 13 and 14, read in conjunction with article 4, of the Convent</w:t>
      </w:r>
      <w:r w:rsidR="00000834" w:rsidRPr="00C3792D">
        <w:rPr>
          <w:rFonts w:ascii="Arial" w:hAnsi="Arial" w:cs="Arial"/>
          <w:sz w:val="24"/>
          <w:szCs w:val="24"/>
        </w:rPr>
        <w:t xml:space="preserve">ion, and recommended that </w:t>
      </w:r>
      <w:r w:rsidRPr="00C3792D">
        <w:rPr>
          <w:rFonts w:ascii="Arial" w:hAnsi="Arial" w:cs="Arial"/>
          <w:sz w:val="24"/>
          <w:szCs w:val="24"/>
        </w:rPr>
        <w:t xml:space="preserve">the </w:t>
      </w:r>
      <w:r w:rsidRPr="00C3792D">
        <w:rPr>
          <w:rFonts w:ascii="Arial" w:hAnsi="Arial" w:cs="Arial"/>
          <w:b/>
          <w:sz w:val="24"/>
          <w:szCs w:val="24"/>
        </w:rPr>
        <w:t>State party is under an obligation to take measures to prevent similar violations</w:t>
      </w:r>
      <w:r w:rsidRPr="00C3792D">
        <w:rPr>
          <w:rFonts w:ascii="Arial" w:hAnsi="Arial" w:cs="Arial"/>
          <w:sz w:val="24"/>
          <w:szCs w:val="24"/>
        </w:rPr>
        <w:t xml:space="preserve"> in the future. In this regard, the Committee refers to </w:t>
      </w:r>
      <w:r w:rsidRPr="00C3792D">
        <w:rPr>
          <w:rFonts w:ascii="Arial" w:hAnsi="Arial" w:cs="Arial"/>
          <w:sz w:val="24"/>
          <w:szCs w:val="24"/>
        </w:rPr>
        <w:lastRenderedPageBreak/>
        <w:t xml:space="preserve">the recommendations contained in its concluding observations (CRPD/C/MEX/CO/1, paras. 28 and 30) and requires the State party to: </w:t>
      </w:r>
    </w:p>
    <w:p w14:paraId="688E0B35" w14:textId="77777777" w:rsidR="00000834" w:rsidRPr="00C3792D" w:rsidRDefault="00F3080D" w:rsidP="003E2EDC">
      <w:pPr>
        <w:pStyle w:val="ListParagraph"/>
        <w:numPr>
          <w:ilvl w:val="1"/>
          <w:numId w:val="30"/>
        </w:numPr>
        <w:spacing w:line="480" w:lineRule="auto"/>
        <w:jc w:val="both"/>
        <w:rPr>
          <w:rFonts w:ascii="Arial" w:hAnsi="Arial" w:cs="Arial"/>
          <w:sz w:val="24"/>
          <w:szCs w:val="24"/>
        </w:rPr>
      </w:pPr>
      <w:r w:rsidRPr="00C3792D">
        <w:rPr>
          <w:rFonts w:ascii="Arial" w:hAnsi="Arial" w:cs="Arial"/>
          <w:sz w:val="24"/>
          <w:szCs w:val="24"/>
        </w:rPr>
        <w:t xml:space="preserve">In close </w:t>
      </w:r>
      <w:r w:rsidRPr="00C3792D">
        <w:rPr>
          <w:rFonts w:ascii="Arial" w:hAnsi="Arial" w:cs="Arial"/>
          <w:b/>
          <w:sz w:val="24"/>
          <w:szCs w:val="24"/>
        </w:rPr>
        <w:t>consultation with persons with disabilities and the organizations that represent them, make all necessary amendments to the criminal law</w:t>
      </w:r>
      <w:r w:rsidRPr="00C3792D">
        <w:rPr>
          <w:rFonts w:ascii="Arial" w:hAnsi="Arial" w:cs="Arial"/>
          <w:sz w:val="24"/>
          <w:szCs w:val="24"/>
        </w:rPr>
        <w:t xml:space="preserve"> of the Federal District and all equivalent or related federal and state laws with regard to the “exempt from liability” concept and the special procedure for persons exempt from criminal liability, with a view to bringing them into line with the principles of the Convention and ensuring respect for due process in cases involving persons with disabilities;</w:t>
      </w:r>
    </w:p>
    <w:p w14:paraId="2C50DE53" w14:textId="77777777" w:rsidR="00F3080D" w:rsidRPr="00C3792D" w:rsidRDefault="00F3080D" w:rsidP="003E2EDC">
      <w:pPr>
        <w:pStyle w:val="ListParagraph"/>
        <w:numPr>
          <w:ilvl w:val="1"/>
          <w:numId w:val="30"/>
        </w:numPr>
        <w:spacing w:line="480" w:lineRule="auto"/>
        <w:jc w:val="both"/>
        <w:rPr>
          <w:rFonts w:ascii="Arial" w:hAnsi="Arial" w:cs="Arial"/>
          <w:sz w:val="24"/>
          <w:szCs w:val="24"/>
        </w:rPr>
      </w:pPr>
      <w:r w:rsidRPr="00C3792D">
        <w:rPr>
          <w:rFonts w:ascii="Arial" w:hAnsi="Arial" w:cs="Arial"/>
          <w:sz w:val="24"/>
          <w:szCs w:val="24"/>
        </w:rPr>
        <w:t>Review the application of security measures involving committal for the purposes of medical and psychiatric treatment and take the necessary steps to promote alternatives in line with the principles of the Convention;</w:t>
      </w:r>
    </w:p>
    <w:p w14:paraId="356DE979" w14:textId="77777777" w:rsidR="00F3080D" w:rsidRPr="00C3792D" w:rsidRDefault="00F3080D" w:rsidP="003E2EDC">
      <w:pPr>
        <w:pStyle w:val="Default"/>
        <w:numPr>
          <w:ilvl w:val="1"/>
          <w:numId w:val="30"/>
        </w:numPr>
        <w:spacing w:line="480" w:lineRule="auto"/>
        <w:jc w:val="both"/>
        <w:rPr>
          <w:rFonts w:ascii="Arial" w:hAnsi="Arial" w:cs="Arial"/>
          <w:color w:val="auto"/>
        </w:rPr>
      </w:pPr>
      <w:r w:rsidRPr="00C3792D">
        <w:rPr>
          <w:rFonts w:ascii="Arial" w:hAnsi="Arial" w:cs="Arial"/>
          <w:color w:val="auto"/>
        </w:rPr>
        <w:t xml:space="preserve">Ensure that persons with intellectual and psychosocial disabilities are provided with </w:t>
      </w:r>
      <w:r w:rsidRPr="00C3792D">
        <w:rPr>
          <w:rFonts w:ascii="Arial" w:hAnsi="Arial" w:cs="Arial"/>
          <w:b/>
          <w:color w:val="auto"/>
        </w:rPr>
        <w:t>appropriate support</w:t>
      </w:r>
      <w:r w:rsidRPr="00C3792D">
        <w:rPr>
          <w:rFonts w:ascii="Arial" w:hAnsi="Arial" w:cs="Arial"/>
          <w:color w:val="auto"/>
        </w:rPr>
        <w:t xml:space="preserve"> and</w:t>
      </w:r>
      <w:r w:rsidRPr="00C3792D">
        <w:rPr>
          <w:rFonts w:ascii="Arial" w:hAnsi="Arial" w:cs="Arial"/>
          <w:b/>
          <w:color w:val="auto"/>
        </w:rPr>
        <w:t xml:space="preserve"> reasonable accommodations </w:t>
      </w:r>
      <w:r w:rsidRPr="00C3792D">
        <w:rPr>
          <w:rFonts w:ascii="Arial" w:hAnsi="Arial" w:cs="Arial"/>
          <w:color w:val="auto"/>
        </w:rPr>
        <w:t>to enable them to exercise their legal capacity</w:t>
      </w:r>
      <w:r w:rsidRPr="00C3792D">
        <w:rPr>
          <w:rFonts w:ascii="Arial" w:hAnsi="Arial" w:cs="Arial"/>
          <w:b/>
          <w:color w:val="auto"/>
        </w:rPr>
        <w:t xml:space="preserve"> </w:t>
      </w:r>
      <w:r w:rsidRPr="00C3792D">
        <w:rPr>
          <w:rFonts w:ascii="Arial" w:hAnsi="Arial" w:cs="Arial"/>
          <w:color w:val="auto"/>
        </w:rPr>
        <w:t xml:space="preserve">before the courts;  </w:t>
      </w:r>
    </w:p>
    <w:p w14:paraId="54A2A032" w14:textId="77777777" w:rsidR="00F3080D" w:rsidRPr="00C3792D" w:rsidRDefault="00F3080D" w:rsidP="003E2EDC">
      <w:pPr>
        <w:pStyle w:val="Default"/>
        <w:numPr>
          <w:ilvl w:val="1"/>
          <w:numId w:val="30"/>
        </w:numPr>
        <w:spacing w:line="480" w:lineRule="auto"/>
        <w:jc w:val="both"/>
        <w:rPr>
          <w:rFonts w:ascii="Arial" w:hAnsi="Arial" w:cs="Arial"/>
        </w:rPr>
      </w:pPr>
      <w:r w:rsidRPr="00C3792D">
        <w:rPr>
          <w:rFonts w:ascii="Arial" w:hAnsi="Arial" w:cs="Arial"/>
          <w:color w:val="auto"/>
        </w:rPr>
        <w:t xml:space="preserve">Ensure that </w:t>
      </w:r>
      <w:r w:rsidRPr="00C3792D">
        <w:rPr>
          <w:rFonts w:ascii="Arial" w:hAnsi="Arial" w:cs="Arial"/>
          <w:b/>
          <w:color w:val="auto"/>
        </w:rPr>
        <w:t>judges, judicial officials, public prosecutors and public servants working to facilitate the work of the judiciary are provided with appropriate and regular training</w:t>
      </w:r>
      <w:r w:rsidRPr="00C3792D">
        <w:rPr>
          <w:rFonts w:ascii="Arial" w:hAnsi="Arial" w:cs="Arial"/>
          <w:color w:val="auto"/>
        </w:rPr>
        <w:t xml:space="preserve"> on the scope of the Convention and its Optional Protocol.</w:t>
      </w:r>
    </w:p>
    <w:p w14:paraId="7DE884D0" w14:textId="77777777" w:rsidR="00850FD0" w:rsidRPr="00C3792D" w:rsidRDefault="00850FD0" w:rsidP="00935616">
      <w:pPr>
        <w:pStyle w:val="ListParagraph"/>
        <w:spacing w:line="480" w:lineRule="auto"/>
        <w:ind w:left="360"/>
        <w:jc w:val="both"/>
        <w:rPr>
          <w:rFonts w:ascii="Arial" w:hAnsi="Arial" w:cs="Arial"/>
          <w:sz w:val="24"/>
          <w:szCs w:val="24"/>
        </w:rPr>
      </w:pPr>
    </w:p>
    <w:p w14:paraId="5C3C19EB" w14:textId="77777777" w:rsidR="007A5E54" w:rsidRPr="00C3792D" w:rsidRDefault="00972751" w:rsidP="003E2EDC">
      <w:pPr>
        <w:pStyle w:val="ListParagraph"/>
        <w:numPr>
          <w:ilvl w:val="0"/>
          <w:numId w:val="32"/>
        </w:numPr>
        <w:spacing w:line="480" w:lineRule="auto"/>
        <w:jc w:val="both"/>
        <w:rPr>
          <w:rFonts w:ascii="Arial" w:hAnsi="Arial" w:cs="Arial"/>
          <w:sz w:val="24"/>
          <w:szCs w:val="24"/>
        </w:rPr>
      </w:pPr>
      <w:r w:rsidRPr="00C3792D">
        <w:rPr>
          <w:rFonts w:ascii="Arial" w:hAnsi="Arial" w:cs="Arial"/>
          <w:sz w:val="24"/>
          <w:szCs w:val="24"/>
        </w:rPr>
        <w:t>South Africa</w:t>
      </w:r>
      <w:r w:rsidR="00000834" w:rsidRPr="00C3792D">
        <w:rPr>
          <w:rFonts w:ascii="Arial" w:hAnsi="Arial" w:cs="Arial"/>
          <w:sz w:val="24"/>
          <w:szCs w:val="24"/>
        </w:rPr>
        <w:t xml:space="preserve"> is also</w:t>
      </w:r>
      <w:r w:rsidRPr="00C3792D">
        <w:rPr>
          <w:rFonts w:ascii="Arial" w:hAnsi="Arial" w:cs="Arial"/>
          <w:sz w:val="24"/>
          <w:szCs w:val="24"/>
        </w:rPr>
        <w:t xml:space="preserve"> a signator</w:t>
      </w:r>
      <w:r w:rsidR="00000834" w:rsidRPr="00C3792D">
        <w:rPr>
          <w:rFonts w:ascii="Arial" w:hAnsi="Arial" w:cs="Arial"/>
          <w:sz w:val="24"/>
          <w:szCs w:val="24"/>
        </w:rPr>
        <w:t>y of CRPD. But despite that,</w:t>
      </w:r>
      <w:r w:rsidRPr="00C3792D">
        <w:rPr>
          <w:rFonts w:ascii="Arial" w:hAnsi="Arial" w:cs="Arial"/>
          <w:sz w:val="24"/>
          <w:szCs w:val="24"/>
        </w:rPr>
        <w:t xml:space="preserve"> no legislation has been passed that specifically </w:t>
      </w:r>
      <w:r w:rsidR="00000834" w:rsidRPr="00C3792D">
        <w:rPr>
          <w:rFonts w:ascii="Arial" w:hAnsi="Arial" w:cs="Arial"/>
          <w:sz w:val="24"/>
          <w:szCs w:val="24"/>
        </w:rPr>
        <w:t xml:space="preserve">addresses and </w:t>
      </w:r>
      <w:r w:rsidR="00E6584F" w:rsidRPr="00C3792D">
        <w:rPr>
          <w:rFonts w:ascii="Arial" w:hAnsi="Arial" w:cs="Arial"/>
          <w:sz w:val="24"/>
          <w:szCs w:val="24"/>
        </w:rPr>
        <w:t>protect</w:t>
      </w:r>
      <w:r w:rsidR="00000834" w:rsidRPr="00C3792D">
        <w:rPr>
          <w:rFonts w:ascii="Arial" w:hAnsi="Arial" w:cs="Arial"/>
          <w:sz w:val="24"/>
          <w:szCs w:val="24"/>
        </w:rPr>
        <w:t>s</w:t>
      </w:r>
      <w:r w:rsidRPr="00C3792D">
        <w:rPr>
          <w:rFonts w:ascii="Arial" w:hAnsi="Arial" w:cs="Arial"/>
          <w:sz w:val="24"/>
          <w:szCs w:val="24"/>
        </w:rPr>
        <w:t xml:space="preserve"> the rights of people </w:t>
      </w:r>
      <w:r w:rsidR="005A50FB" w:rsidRPr="00C3792D">
        <w:rPr>
          <w:rFonts w:ascii="Arial" w:hAnsi="Arial" w:cs="Arial"/>
          <w:sz w:val="24"/>
          <w:szCs w:val="24"/>
        </w:rPr>
        <w:t xml:space="preserve">living </w:t>
      </w:r>
      <w:r w:rsidRPr="00C3792D">
        <w:rPr>
          <w:rFonts w:ascii="Arial" w:hAnsi="Arial" w:cs="Arial"/>
          <w:sz w:val="24"/>
          <w:szCs w:val="24"/>
        </w:rPr>
        <w:t>with disabilities</w:t>
      </w:r>
      <w:r w:rsidR="00E6584F" w:rsidRPr="00C3792D">
        <w:rPr>
          <w:rFonts w:ascii="Arial" w:hAnsi="Arial" w:cs="Arial"/>
          <w:sz w:val="24"/>
          <w:szCs w:val="24"/>
        </w:rPr>
        <w:t xml:space="preserve"> and psychosocial disabilities</w:t>
      </w:r>
      <w:r w:rsidRPr="00C3792D">
        <w:rPr>
          <w:rFonts w:ascii="Arial" w:hAnsi="Arial" w:cs="Arial"/>
          <w:sz w:val="24"/>
          <w:szCs w:val="24"/>
        </w:rPr>
        <w:t xml:space="preserve"> in compliance with CRPD</w:t>
      </w:r>
      <w:r w:rsidR="00E6584F" w:rsidRPr="00C3792D">
        <w:rPr>
          <w:rFonts w:ascii="Arial" w:hAnsi="Arial" w:cs="Arial"/>
          <w:sz w:val="24"/>
          <w:szCs w:val="24"/>
        </w:rPr>
        <w:t xml:space="preserve">. This process was </w:t>
      </w:r>
      <w:r w:rsidR="00674B8E" w:rsidRPr="00C3792D">
        <w:rPr>
          <w:rFonts w:ascii="Arial" w:hAnsi="Arial" w:cs="Arial"/>
          <w:sz w:val="24"/>
          <w:szCs w:val="24"/>
        </w:rPr>
        <w:t>started</w:t>
      </w:r>
      <w:r w:rsidR="00E6584F" w:rsidRPr="00C3792D">
        <w:rPr>
          <w:rFonts w:ascii="Arial" w:hAnsi="Arial" w:cs="Arial"/>
          <w:sz w:val="24"/>
          <w:szCs w:val="24"/>
        </w:rPr>
        <w:t xml:space="preserve"> with a white </w:t>
      </w:r>
      <w:proofErr w:type="gramStart"/>
      <w:r w:rsidR="00E6584F" w:rsidRPr="00C3792D">
        <w:rPr>
          <w:rFonts w:ascii="Arial" w:hAnsi="Arial" w:cs="Arial"/>
          <w:sz w:val="24"/>
          <w:szCs w:val="24"/>
        </w:rPr>
        <w:t>paper  gazetted</w:t>
      </w:r>
      <w:proofErr w:type="gramEnd"/>
      <w:r w:rsidR="00E6584F" w:rsidRPr="00C3792D">
        <w:rPr>
          <w:rFonts w:ascii="Arial" w:hAnsi="Arial" w:cs="Arial"/>
          <w:sz w:val="24"/>
          <w:szCs w:val="24"/>
        </w:rPr>
        <w:t xml:space="preserve"> on the 9</w:t>
      </w:r>
      <w:r w:rsidR="00E6584F" w:rsidRPr="00C3792D">
        <w:rPr>
          <w:rFonts w:ascii="Arial" w:hAnsi="Arial" w:cs="Arial"/>
          <w:sz w:val="24"/>
          <w:szCs w:val="24"/>
          <w:vertAlign w:val="superscript"/>
        </w:rPr>
        <w:t>th</w:t>
      </w:r>
      <w:r w:rsidR="00E6584F" w:rsidRPr="00C3792D">
        <w:rPr>
          <w:rFonts w:ascii="Arial" w:hAnsi="Arial" w:cs="Arial"/>
          <w:sz w:val="24"/>
          <w:szCs w:val="24"/>
        </w:rPr>
        <w:t xml:space="preserve"> March 2016</w:t>
      </w:r>
      <w:r w:rsidR="00E6584F" w:rsidRPr="00C3792D">
        <w:rPr>
          <w:rStyle w:val="FootnoteReference"/>
          <w:rFonts w:ascii="Arial" w:hAnsi="Arial" w:cs="Arial"/>
          <w:sz w:val="24"/>
          <w:szCs w:val="24"/>
        </w:rPr>
        <w:footnoteReference w:id="42"/>
      </w:r>
      <w:r w:rsidR="00674B8E" w:rsidRPr="00C3792D">
        <w:rPr>
          <w:rFonts w:ascii="Arial" w:hAnsi="Arial" w:cs="Arial"/>
          <w:sz w:val="24"/>
          <w:szCs w:val="24"/>
        </w:rPr>
        <w:t xml:space="preserve">, signed </w:t>
      </w:r>
      <w:r w:rsidR="00674B8E" w:rsidRPr="00C3792D">
        <w:rPr>
          <w:rFonts w:ascii="Arial" w:hAnsi="Arial" w:cs="Arial"/>
          <w:sz w:val="24"/>
          <w:szCs w:val="24"/>
        </w:rPr>
        <w:lastRenderedPageBreak/>
        <w:t xml:space="preserve">by the then Minister of Social Development, Ms. </w:t>
      </w:r>
      <w:proofErr w:type="spellStart"/>
      <w:r w:rsidR="00674B8E" w:rsidRPr="00C3792D">
        <w:rPr>
          <w:rFonts w:ascii="Arial" w:hAnsi="Arial" w:cs="Arial"/>
          <w:sz w:val="24"/>
          <w:szCs w:val="24"/>
        </w:rPr>
        <w:t>Bathabile</w:t>
      </w:r>
      <w:proofErr w:type="spellEnd"/>
      <w:r w:rsidR="00674B8E" w:rsidRPr="00C3792D">
        <w:rPr>
          <w:rFonts w:ascii="Arial" w:hAnsi="Arial" w:cs="Arial"/>
          <w:sz w:val="24"/>
          <w:szCs w:val="24"/>
        </w:rPr>
        <w:t xml:space="preserve"> O. Dlamini MP. It would seem the process never moved forward with this </w:t>
      </w:r>
      <w:r w:rsidR="00674B8E" w:rsidRPr="00C3792D">
        <w:rPr>
          <w:rFonts w:ascii="Arial" w:hAnsi="Arial" w:cs="Arial"/>
          <w:b/>
          <w:sz w:val="24"/>
          <w:szCs w:val="24"/>
        </w:rPr>
        <w:t>“White Paper on the Rights of Persons with Disabilities”.</w:t>
      </w:r>
      <w:r w:rsidR="00674B8E" w:rsidRPr="00C3792D">
        <w:rPr>
          <w:rStyle w:val="FootnoteReference"/>
          <w:rFonts w:ascii="Arial" w:hAnsi="Arial" w:cs="Arial"/>
          <w:b/>
          <w:sz w:val="24"/>
          <w:szCs w:val="24"/>
        </w:rPr>
        <w:footnoteReference w:id="43"/>
      </w:r>
      <w:r w:rsidR="00674B8E" w:rsidRPr="00C3792D">
        <w:rPr>
          <w:rFonts w:ascii="Arial" w:hAnsi="Arial" w:cs="Arial"/>
          <w:sz w:val="24"/>
          <w:szCs w:val="24"/>
        </w:rPr>
        <w:t xml:space="preserve"> This is important legislation parliament must prioritise to ensure the rights of this minority </w:t>
      </w:r>
      <w:r w:rsidR="00000834" w:rsidRPr="00C3792D">
        <w:rPr>
          <w:rFonts w:ascii="Arial" w:hAnsi="Arial" w:cs="Arial"/>
          <w:sz w:val="24"/>
          <w:szCs w:val="24"/>
        </w:rPr>
        <w:t>group</w:t>
      </w:r>
      <w:r w:rsidR="00674B8E" w:rsidRPr="00C3792D">
        <w:rPr>
          <w:rFonts w:ascii="Arial" w:hAnsi="Arial" w:cs="Arial"/>
          <w:sz w:val="24"/>
          <w:szCs w:val="24"/>
        </w:rPr>
        <w:t xml:space="preserve"> of our socie</w:t>
      </w:r>
      <w:r w:rsidR="001B36E9" w:rsidRPr="00C3792D">
        <w:rPr>
          <w:rFonts w:ascii="Arial" w:hAnsi="Arial" w:cs="Arial"/>
          <w:sz w:val="24"/>
          <w:szCs w:val="24"/>
        </w:rPr>
        <w:t>ty are understood and protected. It is from the promulgation of this intended legislation that our legal jurisprudence may develop</w:t>
      </w:r>
      <w:r w:rsidR="00674B8E" w:rsidRPr="00C3792D">
        <w:rPr>
          <w:rFonts w:ascii="Arial" w:hAnsi="Arial" w:cs="Arial"/>
          <w:sz w:val="24"/>
          <w:szCs w:val="24"/>
        </w:rPr>
        <w:t xml:space="preserve"> in line with international standards</w:t>
      </w:r>
      <w:r w:rsidR="001B36E9" w:rsidRPr="00C3792D">
        <w:rPr>
          <w:rFonts w:ascii="Arial" w:hAnsi="Arial" w:cs="Arial"/>
          <w:sz w:val="24"/>
          <w:szCs w:val="24"/>
        </w:rPr>
        <w:t>, as envisaged in the CRPD and other international instruments</w:t>
      </w:r>
      <w:r w:rsidR="00674B8E" w:rsidRPr="00C3792D">
        <w:rPr>
          <w:rFonts w:ascii="Arial" w:hAnsi="Arial" w:cs="Arial"/>
          <w:sz w:val="24"/>
          <w:szCs w:val="24"/>
        </w:rPr>
        <w:t>. This lack of political will or snail pace</w:t>
      </w:r>
      <w:r w:rsidR="001B36E9" w:rsidRPr="00C3792D">
        <w:rPr>
          <w:rFonts w:ascii="Arial" w:hAnsi="Arial" w:cs="Arial"/>
          <w:sz w:val="24"/>
          <w:szCs w:val="24"/>
        </w:rPr>
        <w:t xml:space="preserve"> on the part of parliament in this regard</w:t>
      </w:r>
      <w:r w:rsidR="00674B8E" w:rsidRPr="00C3792D">
        <w:rPr>
          <w:rFonts w:ascii="Arial" w:hAnsi="Arial" w:cs="Arial"/>
          <w:sz w:val="24"/>
          <w:szCs w:val="24"/>
        </w:rPr>
        <w:t xml:space="preserve"> is not at all helping the vulnerable</w:t>
      </w:r>
      <w:r w:rsidR="007A5E54" w:rsidRPr="00C3792D">
        <w:rPr>
          <w:rFonts w:ascii="Arial" w:hAnsi="Arial" w:cs="Arial"/>
          <w:sz w:val="24"/>
          <w:szCs w:val="24"/>
        </w:rPr>
        <w:t xml:space="preserve"> disabled community</w:t>
      </w:r>
      <w:r w:rsidR="00674B8E" w:rsidRPr="00C3792D">
        <w:rPr>
          <w:rFonts w:ascii="Arial" w:hAnsi="Arial" w:cs="Arial"/>
          <w:sz w:val="24"/>
          <w:szCs w:val="24"/>
        </w:rPr>
        <w:t xml:space="preserve">. </w:t>
      </w:r>
      <w:r w:rsidR="001B36E9" w:rsidRPr="00C3792D">
        <w:rPr>
          <w:rFonts w:ascii="Arial" w:hAnsi="Arial" w:cs="Arial"/>
          <w:sz w:val="24"/>
          <w:szCs w:val="24"/>
        </w:rPr>
        <w:t>This cannot be tolerated.</w:t>
      </w:r>
      <w:r w:rsidR="00674B8E" w:rsidRPr="00C3792D">
        <w:rPr>
          <w:rFonts w:ascii="Arial" w:hAnsi="Arial" w:cs="Arial"/>
          <w:sz w:val="24"/>
          <w:szCs w:val="24"/>
        </w:rPr>
        <w:t xml:space="preserve"> </w:t>
      </w:r>
    </w:p>
    <w:p w14:paraId="08BB3E0A" w14:textId="77777777" w:rsidR="007A5E54" w:rsidRPr="00C3792D" w:rsidRDefault="007A5E54" w:rsidP="007A5E54">
      <w:pPr>
        <w:spacing w:line="480" w:lineRule="auto"/>
        <w:ind w:firstLine="360"/>
        <w:jc w:val="both"/>
        <w:rPr>
          <w:rFonts w:ascii="Arial" w:hAnsi="Arial" w:cs="Arial"/>
          <w:b/>
          <w:sz w:val="24"/>
          <w:szCs w:val="24"/>
        </w:rPr>
      </w:pPr>
      <w:r w:rsidRPr="00C3792D">
        <w:rPr>
          <w:rFonts w:ascii="Arial" w:hAnsi="Arial" w:cs="Arial"/>
          <w:b/>
          <w:sz w:val="24"/>
          <w:szCs w:val="24"/>
        </w:rPr>
        <w:t>Conclusion</w:t>
      </w:r>
    </w:p>
    <w:p w14:paraId="1247CE2B" w14:textId="77777777" w:rsidR="00850FD0" w:rsidRPr="00C3792D" w:rsidRDefault="007A5E54" w:rsidP="003E2EDC">
      <w:pPr>
        <w:pStyle w:val="ListParagraph"/>
        <w:numPr>
          <w:ilvl w:val="0"/>
          <w:numId w:val="32"/>
        </w:numPr>
        <w:spacing w:line="480" w:lineRule="auto"/>
        <w:jc w:val="both"/>
        <w:rPr>
          <w:rFonts w:ascii="Arial" w:hAnsi="Arial" w:cs="Arial"/>
          <w:sz w:val="24"/>
          <w:szCs w:val="24"/>
        </w:rPr>
      </w:pPr>
      <w:r w:rsidRPr="00C3792D">
        <w:rPr>
          <w:rFonts w:ascii="Arial" w:hAnsi="Arial" w:cs="Arial"/>
          <w:sz w:val="24"/>
          <w:szCs w:val="24"/>
        </w:rPr>
        <w:t xml:space="preserve">Having considered the grounds of appeal raised, alleged non-compliance with sections 162 and 164 CPA, as discussed above there is no merit for that supposition. In addition, relying on the rights in terms of the Constitution, coupled with international legal principles above, I am satisfied that the state in the Court ‘a quo’ discharged the onus to prove the case beyond reasonable doubt, and appellant’s case that is full of contradictions and inconsistencies is not reasonably possibly true. </w:t>
      </w:r>
      <w:r w:rsidR="004B4A2E" w:rsidRPr="00C3792D">
        <w:rPr>
          <w:rFonts w:ascii="Arial" w:hAnsi="Arial" w:cs="Arial"/>
          <w:sz w:val="24"/>
          <w:szCs w:val="24"/>
        </w:rPr>
        <w:t>I fully agree with the trial court in this regard.</w:t>
      </w:r>
      <w:r w:rsidRPr="00C3792D">
        <w:rPr>
          <w:rFonts w:ascii="Arial" w:hAnsi="Arial" w:cs="Arial"/>
          <w:sz w:val="24"/>
          <w:szCs w:val="24"/>
        </w:rPr>
        <w:t xml:space="preserve"> </w:t>
      </w:r>
    </w:p>
    <w:p w14:paraId="67BCF480" w14:textId="77777777" w:rsidR="00970B5C" w:rsidRPr="00C3792D" w:rsidRDefault="00970B5C" w:rsidP="004D0712">
      <w:pPr>
        <w:spacing w:line="480" w:lineRule="auto"/>
        <w:ind w:firstLine="60"/>
        <w:jc w:val="both"/>
        <w:rPr>
          <w:rFonts w:ascii="Arial" w:hAnsi="Arial" w:cs="Arial"/>
          <w:sz w:val="24"/>
          <w:szCs w:val="24"/>
        </w:rPr>
      </w:pPr>
    </w:p>
    <w:p w14:paraId="56FCCB22" w14:textId="77777777" w:rsidR="007341FF" w:rsidRPr="00C3792D" w:rsidRDefault="007341FF" w:rsidP="004D0712">
      <w:pPr>
        <w:spacing w:line="480" w:lineRule="auto"/>
        <w:ind w:firstLine="360"/>
        <w:jc w:val="both"/>
        <w:rPr>
          <w:rFonts w:ascii="Arial" w:hAnsi="Arial" w:cs="Arial"/>
          <w:b/>
          <w:sz w:val="24"/>
          <w:szCs w:val="24"/>
        </w:rPr>
      </w:pPr>
      <w:r w:rsidRPr="00C3792D">
        <w:rPr>
          <w:rFonts w:ascii="Arial" w:hAnsi="Arial" w:cs="Arial"/>
          <w:b/>
          <w:sz w:val="24"/>
          <w:szCs w:val="24"/>
        </w:rPr>
        <w:t xml:space="preserve">AD SENTENCE </w:t>
      </w:r>
    </w:p>
    <w:p w14:paraId="3B09C220" w14:textId="77777777" w:rsidR="00A70B70" w:rsidRPr="00C3792D" w:rsidRDefault="00A70B70" w:rsidP="003E2EDC">
      <w:pPr>
        <w:pStyle w:val="ListParagraph"/>
        <w:numPr>
          <w:ilvl w:val="0"/>
          <w:numId w:val="32"/>
        </w:numPr>
        <w:shd w:val="clear" w:color="auto" w:fill="FFFFFF"/>
        <w:spacing w:before="144" w:after="0" w:line="480" w:lineRule="auto"/>
        <w:jc w:val="both"/>
        <w:rPr>
          <w:rFonts w:ascii="Arial" w:eastAsia="Times New Roman" w:hAnsi="Arial" w:cs="Arial"/>
          <w:color w:val="242121"/>
          <w:sz w:val="24"/>
          <w:szCs w:val="24"/>
          <w:lang w:eastAsia="en-ZA"/>
        </w:rPr>
      </w:pPr>
      <w:r w:rsidRPr="00C3792D">
        <w:rPr>
          <w:rFonts w:ascii="Arial" w:eastAsia="Times New Roman" w:hAnsi="Arial" w:cs="Arial"/>
          <w:color w:val="000000"/>
          <w:sz w:val="24"/>
          <w:szCs w:val="24"/>
          <w:lang w:eastAsia="en-ZA"/>
        </w:rPr>
        <w:t xml:space="preserve">The essential inquiry in an appeal against sentence is not whether the sentence was right or wrong, but whether the sentencing court exercised its discretion properly and judicially. The appeal court will only interfere with the sentence of the </w:t>
      </w:r>
      <w:r w:rsidRPr="00C3792D">
        <w:rPr>
          <w:rFonts w:ascii="Arial" w:eastAsia="Times New Roman" w:hAnsi="Arial" w:cs="Arial"/>
          <w:color w:val="000000"/>
          <w:sz w:val="24"/>
          <w:szCs w:val="24"/>
          <w:lang w:eastAsia="en-ZA"/>
        </w:rPr>
        <w:lastRenderedPageBreak/>
        <w:t>trial court if the imposed sentence induces a sense of shock or manifestly inappropriate.</w:t>
      </w:r>
      <w:r w:rsidRPr="00C3792D">
        <w:rPr>
          <w:rFonts w:ascii="Arial" w:eastAsia="Times New Roman" w:hAnsi="Arial" w:cs="Arial"/>
          <w:color w:val="242121"/>
          <w:sz w:val="24"/>
          <w:szCs w:val="24"/>
          <w:lang w:eastAsia="en-ZA"/>
        </w:rPr>
        <w:t xml:space="preserve"> </w:t>
      </w:r>
    </w:p>
    <w:p w14:paraId="00691940" w14:textId="77777777" w:rsidR="00A70B70" w:rsidRPr="00C3792D" w:rsidRDefault="00A70B70" w:rsidP="00A70B70">
      <w:pPr>
        <w:pStyle w:val="ListParagraph"/>
        <w:spacing w:line="480" w:lineRule="auto"/>
        <w:ind w:left="360"/>
        <w:jc w:val="both"/>
        <w:rPr>
          <w:rFonts w:ascii="Arial" w:hAnsi="Arial" w:cs="Arial"/>
          <w:sz w:val="24"/>
          <w:szCs w:val="24"/>
        </w:rPr>
      </w:pPr>
      <w:r w:rsidRPr="00C3792D">
        <w:rPr>
          <w:rFonts w:ascii="Arial" w:hAnsi="Arial" w:cs="Arial"/>
          <w:color w:val="242121"/>
          <w:sz w:val="24"/>
          <w:szCs w:val="24"/>
        </w:rPr>
        <w:t xml:space="preserve"> </w:t>
      </w:r>
    </w:p>
    <w:p w14:paraId="5AFA54A3" w14:textId="77777777" w:rsidR="00F94523" w:rsidRPr="00C3792D" w:rsidRDefault="00F94523" w:rsidP="003E2EDC">
      <w:pPr>
        <w:pStyle w:val="ListParagraph"/>
        <w:numPr>
          <w:ilvl w:val="0"/>
          <w:numId w:val="32"/>
        </w:numPr>
        <w:spacing w:line="480" w:lineRule="auto"/>
        <w:jc w:val="both"/>
        <w:rPr>
          <w:rFonts w:ascii="Arial" w:hAnsi="Arial" w:cs="Arial"/>
          <w:sz w:val="24"/>
          <w:szCs w:val="24"/>
        </w:rPr>
      </w:pPr>
      <w:r w:rsidRPr="00C3792D">
        <w:rPr>
          <w:rFonts w:ascii="Arial" w:hAnsi="Arial" w:cs="Arial"/>
          <w:color w:val="242121"/>
          <w:sz w:val="24"/>
          <w:szCs w:val="24"/>
        </w:rPr>
        <w:t>It is trite that sentencing is a judicious exercise which lies exclusively with the discretion of a sentencing court. Regard will have to be had to all the factors relevant to sentencing, that is, the personal circumstances of the offender, the nature and circumstances of the offence, the impact of the offence on the complainant, the family a</w:t>
      </w:r>
      <w:r w:rsidR="00A70B70" w:rsidRPr="00C3792D">
        <w:rPr>
          <w:rFonts w:ascii="Arial" w:hAnsi="Arial" w:cs="Arial"/>
          <w:color w:val="242121"/>
          <w:sz w:val="24"/>
          <w:szCs w:val="24"/>
        </w:rPr>
        <w:t xml:space="preserve">s well as the society. To that </w:t>
      </w:r>
      <w:r w:rsidRPr="00C3792D">
        <w:rPr>
          <w:rFonts w:ascii="Arial" w:hAnsi="Arial" w:cs="Arial"/>
          <w:color w:val="242121"/>
          <w:sz w:val="24"/>
          <w:szCs w:val="24"/>
        </w:rPr>
        <w:t>should be included the mitigating and aggravating circumstances.</w:t>
      </w:r>
      <w:r w:rsidR="00C121B7" w:rsidRPr="00C3792D">
        <w:rPr>
          <w:rStyle w:val="FootnoteReference"/>
          <w:rFonts w:ascii="Arial" w:hAnsi="Arial" w:cs="Arial"/>
          <w:color w:val="242121"/>
          <w:sz w:val="24"/>
          <w:szCs w:val="24"/>
        </w:rPr>
        <w:footnoteReference w:id="44"/>
      </w:r>
      <w:r w:rsidRPr="00C3792D">
        <w:rPr>
          <w:rFonts w:ascii="Arial" w:hAnsi="Arial" w:cs="Arial"/>
          <w:color w:val="242121"/>
          <w:sz w:val="24"/>
          <w:szCs w:val="24"/>
        </w:rPr>
        <w:t xml:space="preserve"> </w:t>
      </w:r>
    </w:p>
    <w:p w14:paraId="508DC762" w14:textId="77777777" w:rsidR="001A522C" w:rsidRPr="00C3792D" w:rsidRDefault="001A522C" w:rsidP="001A522C">
      <w:pPr>
        <w:pStyle w:val="ListParagraph"/>
        <w:rPr>
          <w:rFonts w:ascii="Arial" w:hAnsi="Arial" w:cs="Arial"/>
          <w:sz w:val="24"/>
          <w:szCs w:val="24"/>
        </w:rPr>
      </w:pPr>
    </w:p>
    <w:p w14:paraId="6A26DE7B" w14:textId="77777777" w:rsidR="001A522C" w:rsidRPr="00C3792D" w:rsidRDefault="001A522C" w:rsidP="003E2EDC">
      <w:pPr>
        <w:pStyle w:val="ListParagraph"/>
        <w:numPr>
          <w:ilvl w:val="0"/>
          <w:numId w:val="32"/>
        </w:numPr>
        <w:shd w:val="clear" w:color="auto" w:fill="FFFFFF"/>
        <w:spacing w:before="144" w:after="0" w:line="480" w:lineRule="auto"/>
        <w:jc w:val="both"/>
        <w:rPr>
          <w:rFonts w:ascii="Arial" w:eastAsia="Times New Roman" w:hAnsi="Arial" w:cs="Arial"/>
          <w:color w:val="242121"/>
          <w:sz w:val="24"/>
          <w:szCs w:val="24"/>
          <w:lang w:eastAsia="en-ZA"/>
        </w:rPr>
      </w:pPr>
      <w:r w:rsidRPr="00C3792D">
        <w:rPr>
          <w:rFonts w:ascii="Arial" w:eastAsia="Times New Roman" w:hAnsi="Arial" w:cs="Arial"/>
          <w:color w:val="000000"/>
          <w:sz w:val="24"/>
          <w:szCs w:val="24"/>
          <w:lang w:eastAsia="en-ZA"/>
        </w:rPr>
        <w:t xml:space="preserve">Rape of a child below the age of 16 is read with the provisions of </w:t>
      </w:r>
      <w:hyperlink r:id="rId10" w:anchor="s51" w:history="1">
        <w:r w:rsidRPr="00C3792D">
          <w:rPr>
            <w:rFonts w:ascii="Arial" w:eastAsia="Times New Roman" w:hAnsi="Arial" w:cs="Arial"/>
            <w:bCs/>
            <w:sz w:val="24"/>
            <w:szCs w:val="24"/>
            <w:lang w:eastAsia="en-ZA"/>
          </w:rPr>
          <w:t>section 51(1)</w:t>
        </w:r>
      </w:hyperlink>
      <w:r w:rsidRPr="00C3792D">
        <w:rPr>
          <w:rFonts w:ascii="Arial" w:eastAsia="Times New Roman" w:hAnsi="Arial" w:cs="Arial"/>
          <w:sz w:val="24"/>
          <w:szCs w:val="24"/>
          <w:lang w:eastAsia="en-ZA"/>
        </w:rPr>
        <w:t xml:space="preserve"> of </w:t>
      </w:r>
      <w:r w:rsidRPr="00C3792D">
        <w:rPr>
          <w:rFonts w:ascii="Arial" w:eastAsia="Times New Roman" w:hAnsi="Arial" w:cs="Arial"/>
          <w:color w:val="000000"/>
          <w:sz w:val="24"/>
          <w:szCs w:val="24"/>
          <w:lang w:eastAsia="en-ZA"/>
        </w:rPr>
        <w:t xml:space="preserve">the </w:t>
      </w:r>
      <w:hyperlink r:id="rId11" w:history="1">
        <w:r w:rsidRPr="00C3792D">
          <w:rPr>
            <w:rFonts w:ascii="Arial" w:eastAsia="Times New Roman" w:hAnsi="Arial" w:cs="Arial"/>
            <w:bCs/>
            <w:sz w:val="24"/>
            <w:szCs w:val="24"/>
            <w:lang w:eastAsia="en-ZA"/>
          </w:rPr>
          <w:t>Criminal Law Amendment Act 107 of 1997, which</w:t>
        </w:r>
      </w:hyperlink>
      <w:r w:rsidRPr="00C3792D">
        <w:rPr>
          <w:rFonts w:ascii="Arial" w:eastAsia="Times New Roman" w:hAnsi="Arial" w:cs="Arial"/>
          <w:color w:val="000000"/>
          <w:sz w:val="24"/>
          <w:szCs w:val="24"/>
          <w:lang w:eastAsia="en-ZA"/>
        </w:rPr>
        <w:t xml:space="preserve"> prescribes imprisonment for life, unless the court is satisfied that substantial and compelling circumstances exist which justify the imposition of a lesser sentence than the prescribed one. And the court shall enter those circumstances on the record of the proceedings and must thereupon impose a lesser sentence.  </w:t>
      </w:r>
    </w:p>
    <w:p w14:paraId="7031F364" w14:textId="77777777" w:rsidR="00C121B7" w:rsidRPr="00C3792D" w:rsidRDefault="00C121B7" w:rsidP="00C121B7">
      <w:pPr>
        <w:pStyle w:val="ListParagraph"/>
        <w:rPr>
          <w:rFonts w:ascii="Arial" w:eastAsia="Times New Roman" w:hAnsi="Arial" w:cs="Arial"/>
          <w:color w:val="242121"/>
          <w:sz w:val="24"/>
          <w:szCs w:val="24"/>
          <w:lang w:eastAsia="en-ZA"/>
        </w:rPr>
      </w:pPr>
    </w:p>
    <w:p w14:paraId="475333F2" w14:textId="77777777" w:rsidR="00C121B7" w:rsidRPr="00C3792D" w:rsidRDefault="00C121B7" w:rsidP="003E2EDC">
      <w:pPr>
        <w:pStyle w:val="ListParagraph"/>
        <w:numPr>
          <w:ilvl w:val="0"/>
          <w:numId w:val="32"/>
        </w:numPr>
        <w:shd w:val="clear" w:color="auto" w:fill="FFFFFF"/>
        <w:spacing w:before="144" w:after="0" w:line="360" w:lineRule="auto"/>
        <w:jc w:val="both"/>
        <w:rPr>
          <w:rFonts w:ascii="Arial" w:eastAsia="Times New Roman" w:hAnsi="Arial" w:cs="Arial"/>
          <w:color w:val="242121"/>
          <w:sz w:val="24"/>
          <w:szCs w:val="24"/>
          <w:lang w:eastAsia="en-ZA"/>
        </w:rPr>
      </w:pPr>
      <w:r w:rsidRPr="00C3792D">
        <w:rPr>
          <w:rFonts w:ascii="Arial" w:eastAsia="Times New Roman" w:hAnsi="Arial" w:cs="Arial"/>
          <w:color w:val="242121"/>
          <w:sz w:val="24"/>
          <w:szCs w:val="24"/>
          <w:lang w:eastAsia="en-ZA"/>
        </w:rPr>
        <w:t xml:space="preserve">In S v </w:t>
      </w:r>
      <w:proofErr w:type="spellStart"/>
      <w:r w:rsidRPr="00C3792D">
        <w:rPr>
          <w:rFonts w:ascii="Arial" w:eastAsia="Times New Roman" w:hAnsi="Arial" w:cs="Arial"/>
          <w:color w:val="242121"/>
          <w:sz w:val="24"/>
          <w:szCs w:val="24"/>
          <w:lang w:eastAsia="en-ZA"/>
        </w:rPr>
        <w:t>Mokela</w:t>
      </w:r>
      <w:proofErr w:type="spellEnd"/>
      <w:r w:rsidRPr="00C3792D">
        <w:rPr>
          <w:rStyle w:val="FootnoteReference"/>
          <w:rFonts w:ascii="Arial" w:eastAsia="Times New Roman" w:hAnsi="Arial" w:cs="Arial"/>
          <w:color w:val="242121"/>
          <w:sz w:val="24"/>
          <w:szCs w:val="24"/>
          <w:lang w:eastAsia="en-ZA"/>
        </w:rPr>
        <w:footnoteReference w:id="45"/>
      </w:r>
      <w:r w:rsidRPr="00C3792D">
        <w:rPr>
          <w:rFonts w:ascii="Arial" w:eastAsia="Times New Roman" w:hAnsi="Arial" w:cs="Arial"/>
          <w:color w:val="242121"/>
          <w:sz w:val="24"/>
          <w:szCs w:val="24"/>
          <w:lang w:eastAsia="en-ZA"/>
        </w:rPr>
        <w:t xml:space="preserve"> </w:t>
      </w:r>
      <w:r w:rsidR="00A90F5E" w:rsidRPr="00C3792D">
        <w:rPr>
          <w:rFonts w:ascii="Arial" w:eastAsia="Times New Roman" w:hAnsi="Arial" w:cs="Arial"/>
          <w:color w:val="242121"/>
          <w:sz w:val="24"/>
          <w:szCs w:val="24"/>
          <w:lang w:eastAsia="en-ZA"/>
        </w:rPr>
        <w:t>it was held that sentencing remains pre-eminently within the discretion of the sentencing court, and the appeal court does not enjoy the privilege</w:t>
      </w:r>
      <w:r w:rsidR="004012B1" w:rsidRPr="00C3792D">
        <w:rPr>
          <w:rFonts w:ascii="Arial" w:eastAsia="Times New Roman" w:hAnsi="Arial" w:cs="Arial"/>
          <w:color w:val="242121"/>
          <w:sz w:val="24"/>
          <w:szCs w:val="24"/>
          <w:lang w:eastAsia="en-ZA"/>
        </w:rPr>
        <w:t xml:space="preserve"> to interfere with the sentence which has been properly imposed by a sentencing court.</w:t>
      </w:r>
    </w:p>
    <w:p w14:paraId="5DFCA50D" w14:textId="77777777" w:rsidR="001A522C" w:rsidRPr="00C3792D" w:rsidRDefault="001A522C" w:rsidP="001A522C">
      <w:pPr>
        <w:pStyle w:val="ListParagraph"/>
        <w:spacing w:line="480" w:lineRule="auto"/>
        <w:ind w:left="360"/>
        <w:jc w:val="both"/>
        <w:rPr>
          <w:rFonts w:ascii="Arial" w:hAnsi="Arial" w:cs="Arial"/>
          <w:sz w:val="24"/>
          <w:szCs w:val="24"/>
        </w:rPr>
      </w:pPr>
    </w:p>
    <w:p w14:paraId="4054D145" w14:textId="77777777" w:rsidR="0032735A" w:rsidRPr="00C3792D" w:rsidRDefault="00A70B70" w:rsidP="003E2EDC">
      <w:pPr>
        <w:pStyle w:val="ListParagraph"/>
        <w:numPr>
          <w:ilvl w:val="0"/>
          <w:numId w:val="32"/>
        </w:numPr>
        <w:spacing w:after="200" w:line="360" w:lineRule="auto"/>
        <w:jc w:val="both"/>
        <w:rPr>
          <w:rFonts w:ascii="Arial" w:hAnsi="Arial" w:cs="Arial"/>
          <w:sz w:val="24"/>
          <w:szCs w:val="24"/>
        </w:rPr>
      </w:pPr>
      <w:r w:rsidRPr="00C3792D">
        <w:rPr>
          <w:rFonts w:ascii="Arial" w:hAnsi="Arial" w:cs="Arial"/>
          <w:sz w:val="24"/>
          <w:szCs w:val="24"/>
        </w:rPr>
        <w:t>Appellant argues that what constitutes substantial and compelling circumstances that the trial court should have considered</w:t>
      </w:r>
      <w:r w:rsidR="001A522C" w:rsidRPr="00C3792D">
        <w:rPr>
          <w:rFonts w:ascii="Arial" w:hAnsi="Arial" w:cs="Arial"/>
          <w:sz w:val="24"/>
          <w:szCs w:val="24"/>
        </w:rPr>
        <w:t xml:space="preserve"> in order to deviate from the prescribed sentence</w:t>
      </w:r>
      <w:r w:rsidRPr="00C3792D">
        <w:rPr>
          <w:rFonts w:ascii="Arial" w:hAnsi="Arial" w:cs="Arial"/>
          <w:sz w:val="24"/>
          <w:szCs w:val="24"/>
        </w:rPr>
        <w:t xml:space="preserve"> </w:t>
      </w:r>
      <w:r w:rsidR="001A522C" w:rsidRPr="00C3792D">
        <w:rPr>
          <w:rFonts w:ascii="Arial" w:hAnsi="Arial" w:cs="Arial"/>
          <w:sz w:val="24"/>
          <w:szCs w:val="24"/>
        </w:rPr>
        <w:t>is</w:t>
      </w:r>
      <w:r w:rsidRPr="00C3792D">
        <w:rPr>
          <w:rFonts w:ascii="Arial" w:hAnsi="Arial" w:cs="Arial"/>
          <w:sz w:val="24"/>
          <w:szCs w:val="24"/>
        </w:rPr>
        <w:t xml:space="preserve"> the fact that a</w:t>
      </w:r>
      <w:r w:rsidR="001A522C" w:rsidRPr="00C3792D">
        <w:rPr>
          <w:rFonts w:ascii="Arial" w:hAnsi="Arial" w:cs="Arial"/>
          <w:sz w:val="24"/>
          <w:szCs w:val="24"/>
        </w:rPr>
        <w:t>ppellant is married, having</w:t>
      </w:r>
      <w:r w:rsidRPr="00C3792D">
        <w:rPr>
          <w:rFonts w:ascii="Arial" w:hAnsi="Arial" w:cs="Arial"/>
          <w:sz w:val="24"/>
          <w:szCs w:val="24"/>
        </w:rPr>
        <w:t xml:space="preserve"> three children minor children</w:t>
      </w:r>
      <w:r w:rsidR="001A522C" w:rsidRPr="00C3792D">
        <w:rPr>
          <w:rFonts w:ascii="Arial" w:hAnsi="Arial" w:cs="Arial"/>
          <w:sz w:val="24"/>
          <w:szCs w:val="24"/>
        </w:rPr>
        <w:t xml:space="preserve">, and a first offender. </w:t>
      </w:r>
    </w:p>
    <w:p w14:paraId="10ED0CFA" w14:textId="77777777" w:rsidR="004012B1" w:rsidRPr="00C3792D" w:rsidRDefault="004012B1" w:rsidP="004012B1">
      <w:pPr>
        <w:pStyle w:val="ListParagraph"/>
        <w:spacing w:after="200" w:line="360" w:lineRule="auto"/>
        <w:ind w:left="360"/>
        <w:jc w:val="both"/>
        <w:rPr>
          <w:rFonts w:ascii="Arial" w:hAnsi="Arial" w:cs="Arial"/>
          <w:sz w:val="24"/>
          <w:szCs w:val="24"/>
        </w:rPr>
      </w:pPr>
    </w:p>
    <w:p w14:paraId="71177C2E" w14:textId="77777777" w:rsidR="004012B1" w:rsidRPr="00C3792D" w:rsidRDefault="00F94523" w:rsidP="003E2EDC">
      <w:pPr>
        <w:pStyle w:val="ListParagraph"/>
        <w:numPr>
          <w:ilvl w:val="0"/>
          <w:numId w:val="32"/>
        </w:numPr>
        <w:shd w:val="clear" w:color="auto" w:fill="FFFFFF"/>
        <w:spacing w:before="144" w:after="0" w:line="480" w:lineRule="auto"/>
        <w:jc w:val="both"/>
        <w:rPr>
          <w:rFonts w:ascii="Arial" w:eastAsia="Times New Roman" w:hAnsi="Arial" w:cs="Arial"/>
          <w:color w:val="242121"/>
          <w:sz w:val="24"/>
          <w:szCs w:val="24"/>
          <w:lang w:eastAsia="en-ZA"/>
        </w:rPr>
      </w:pPr>
      <w:r w:rsidRPr="00C3792D">
        <w:rPr>
          <w:rFonts w:ascii="Arial" w:eastAsia="Times New Roman" w:hAnsi="Arial" w:cs="Arial"/>
          <w:color w:val="000000"/>
          <w:sz w:val="24"/>
          <w:szCs w:val="24"/>
          <w:lang w:eastAsia="en-ZA"/>
        </w:rPr>
        <w:lastRenderedPageBreak/>
        <w:t>From the reading of the record and having considered the judgment of the trial court on sentence, it is clear that the court in imposing life imprisonment, had taken into account all the relevant factors</w:t>
      </w:r>
      <w:r w:rsidR="001A522C" w:rsidRPr="00C3792D">
        <w:rPr>
          <w:rFonts w:ascii="Arial" w:eastAsia="Times New Roman" w:hAnsi="Arial" w:cs="Arial"/>
          <w:color w:val="000000"/>
          <w:sz w:val="24"/>
          <w:szCs w:val="24"/>
          <w:lang w:eastAsia="en-ZA"/>
        </w:rPr>
        <w:t>, including the probation officer’s report and the victim impact report.</w:t>
      </w:r>
      <w:r w:rsidRPr="00C3792D">
        <w:rPr>
          <w:rFonts w:ascii="Arial" w:eastAsia="Times New Roman" w:hAnsi="Arial" w:cs="Arial"/>
          <w:color w:val="000000"/>
          <w:sz w:val="24"/>
          <w:szCs w:val="24"/>
          <w:lang w:eastAsia="en-ZA"/>
        </w:rPr>
        <w:t xml:space="preserve"> </w:t>
      </w:r>
      <w:r w:rsidR="004012B1" w:rsidRPr="00C3792D">
        <w:rPr>
          <w:rFonts w:ascii="Arial" w:eastAsia="Times New Roman" w:hAnsi="Arial" w:cs="Arial"/>
          <w:color w:val="000000"/>
          <w:sz w:val="24"/>
          <w:szCs w:val="24"/>
          <w:lang w:eastAsia="en-ZA"/>
        </w:rPr>
        <w:t xml:space="preserve">After careful consideration of the trial court’s reasons on sentence, it cannot be said that there was material misdirection in the exercise of its judicial discretion. The sentencing court correctly found that there is no weighty justification for a deviation from the minimum term of imprisonment prescribed. </w:t>
      </w:r>
    </w:p>
    <w:p w14:paraId="2D03D4BE" w14:textId="77777777" w:rsidR="004012B1" w:rsidRPr="00C3792D" w:rsidRDefault="004012B1" w:rsidP="004012B1">
      <w:pPr>
        <w:pStyle w:val="ListParagraph"/>
        <w:rPr>
          <w:rFonts w:ascii="Arial" w:eastAsia="Times New Roman" w:hAnsi="Arial" w:cs="Arial"/>
          <w:color w:val="242121"/>
          <w:sz w:val="24"/>
          <w:szCs w:val="24"/>
          <w:lang w:eastAsia="en-ZA"/>
        </w:rPr>
      </w:pPr>
    </w:p>
    <w:p w14:paraId="07054363" w14:textId="77777777" w:rsidR="004012B1" w:rsidRPr="00C3792D" w:rsidRDefault="004012B1" w:rsidP="003E2EDC">
      <w:pPr>
        <w:pStyle w:val="ListParagraph"/>
        <w:numPr>
          <w:ilvl w:val="0"/>
          <w:numId w:val="32"/>
        </w:numPr>
        <w:spacing w:after="200" w:line="360" w:lineRule="auto"/>
        <w:jc w:val="both"/>
        <w:rPr>
          <w:rFonts w:ascii="Arial" w:hAnsi="Arial" w:cs="Arial"/>
          <w:sz w:val="24"/>
          <w:szCs w:val="24"/>
        </w:rPr>
      </w:pPr>
      <w:r w:rsidRPr="00C3792D">
        <w:rPr>
          <w:rFonts w:ascii="Arial" w:hAnsi="Arial" w:cs="Arial"/>
          <w:sz w:val="24"/>
          <w:szCs w:val="24"/>
        </w:rPr>
        <w:t xml:space="preserve">The views expressed by the Supreme Court of Appeal in </w:t>
      </w:r>
      <w:r w:rsidRPr="00C3792D">
        <w:rPr>
          <w:rFonts w:ascii="Arial" w:hAnsi="Arial" w:cs="Arial"/>
          <w:i/>
          <w:sz w:val="24"/>
          <w:szCs w:val="24"/>
        </w:rPr>
        <w:t>S v MM</w:t>
      </w:r>
      <w:r w:rsidRPr="00C3792D">
        <w:rPr>
          <w:rStyle w:val="FootnoteReference"/>
          <w:rFonts w:ascii="Arial" w:hAnsi="Arial" w:cs="Arial"/>
          <w:i/>
          <w:sz w:val="24"/>
          <w:szCs w:val="24"/>
        </w:rPr>
        <w:footnoteReference w:id="46"/>
      </w:r>
      <w:r w:rsidRPr="00C3792D">
        <w:rPr>
          <w:rFonts w:ascii="Arial" w:hAnsi="Arial" w:cs="Arial"/>
          <w:i/>
          <w:sz w:val="24"/>
          <w:szCs w:val="24"/>
        </w:rPr>
        <w:t xml:space="preserve"> </w:t>
      </w:r>
      <w:r w:rsidRPr="00C3792D">
        <w:rPr>
          <w:rFonts w:ascii="Arial" w:hAnsi="Arial" w:cs="Arial"/>
          <w:sz w:val="24"/>
          <w:szCs w:val="24"/>
        </w:rPr>
        <w:t>are apposite:</w:t>
      </w:r>
    </w:p>
    <w:p w14:paraId="6FF6CF94" w14:textId="77777777" w:rsidR="004012B1" w:rsidRPr="00C3792D" w:rsidRDefault="004012B1" w:rsidP="004012B1">
      <w:pPr>
        <w:pStyle w:val="ListParagraph"/>
        <w:rPr>
          <w:rFonts w:ascii="Arial" w:hAnsi="Arial" w:cs="Arial"/>
          <w:sz w:val="24"/>
          <w:szCs w:val="24"/>
        </w:rPr>
      </w:pPr>
    </w:p>
    <w:p w14:paraId="6A865DD2" w14:textId="77777777" w:rsidR="004012B1" w:rsidRPr="00C3792D" w:rsidRDefault="004012B1" w:rsidP="004012B1">
      <w:pPr>
        <w:pStyle w:val="ListParagraph"/>
        <w:spacing w:after="200" w:line="360" w:lineRule="auto"/>
        <w:jc w:val="both"/>
        <w:rPr>
          <w:rFonts w:ascii="Arial" w:hAnsi="Arial" w:cs="Arial"/>
          <w:i/>
          <w:sz w:val="24"/>
          <w:szCs w:val="24"/>
        </w:rPr>
      </w:pPr>
      <w:r w:rsidRPr="00C3792D">
        <w:rPr>
          <w:rFonts w:ascii="Arial" w:hAnsi="Arial" w:cs="Arial"/>
          <w:i/>
          <w:sz w:val="24"/>
          <w:szCs w:val="24"/>
        </w:rPr>
        <w:t>‘It is necessary to reiterate a few self-evident realities. First, rape is undeniably a degrading, humiliating and brutal invasion of a person’s most intimate, private space. The very act itself, even absent any accompanying violent assault inflicted by the perpetrator, is a violent and traumatic infringement of a person’s fundamental right to be free from all forms of violence and not to be treated in a cruel, inhumane or degrading way.’</w:t>
      </w:r>
    </w:p>
    <w:p w14:paraId="3FCA2146" w14:textId="77777777" w:rsidR="004012B1" w:rsidRPr="00C3792D" w:rsidRDefault="004012B1" w:rsidP="004012B1">
      <w:pPr>
        <w:pStyle w:val="ListParagraph"/>
        <w:rPr>
          <w:rFonts w:ascii="Arial" w:eastAsia="Times New Roman" w:hAnsi="Arial" w:cs="Arial"/>
          <w:color w:val="242121"/>
          <w:sz w:val="24"/>
          <w:szCs w:val="24"/>
          <w:lang w:eastAsia="en-ZA"/>
        </w:rPr>
      </w:pPr>
    </w:p>
    <w:p w14:paraId="486B480E" w14:textId="77777777" w:rsidR="004012B1" w:rsidRPr="00C3792D" w:rsidRDefault="004012B1" w:rsidP="003E2EDC">
      <w:pPr>
        <w:pStyle w:val="ListParagraph"/>
        <w:numPr>
          <w:ilvl w:val="0"/>
          <w:numId w:val="32"/>
        </w:numPr>
        <w:spacing w:after="200" w:line="480" w:lineRule="auto"/>
        <w:jc w:val="both"/>
        <w:rPr>
          <w:rFonts w:ascii="Arial" w:hAnsi="Arial" w:cs="Arial"/>
          <w:sz w:val="24"/>
          <w:szCs w:val="24"/>
        </w:rPr>
      </w:pPr>
      <w:r w:rsidRPr="00C3792D">
        <w:rPr>
          <w:rFonts w:ascii="Arial" w:hAnsi="Arial" w:cs="Arial"/>
          <w:i/>
          <w:sz w:val="24"/>
          <w:szCs w:val="24"/>
        </w:rPr>
        <w:t xml:space="preserve">S v </w:t>
      </w:r>
      <w:proofErr w:type="spellStart"/>
      <w:r w:rsidRPr="00C3792D">
        <w:rPr>
          <w:rFonts w:ascii="Arial" w:hAnsi="Arial" w:cs="Arial"/>
          <w:i/>
          <w:sz w:val="24"/>
          <w:szCs w:val="24"/>
        </w:rPr>
        <w:t>Malgas</w:t>
      </w:r>
      <w:proofErr w:type="spellEnd"/>
      <w:r w:rsidRPr="00C3792D">
        <w:rPr>
          <w:rStyle w:val="FootnoteReference"/>
          <w:rFonts w:ascii="Arial" w:hAnsi="Arial" w:cs="Arial"/>
          <w:i/>
          <w:sz w:val="24"/>
          <w:szCs w:val="24"/>
        </w:rPr>
        <w:footnoteReference w:id="47"/>
      </w:r>
      <w:r w:rsidRPr="00C3792D">
        <w:rPr>
          <w:rFonts w:ascii="Arial" w:hAnsi="Arial" w:cs="Arial"/>
          <w:sz w:val="24"/>
          <w:szCs w:val="24"/>
        </w:rPr>
        <w:t xml:space="preserve"> sets out clear guidelines on the consideration of the minimum sentence provisions (as the Act is often referred to) in cases where they apply. It is however unfortunate that it has often been said that courts tend to pay little more than lip service to these guidelines.</w:t>
      </w:r>
      <w:r w:rsidRPr="00C3792D">
        <w:rPr>
          <w:rStyle w:val="FootnoteReference"/>
          <w:rFonts w:ascii="Arial" w:hAnsi="Arial" w:cs="Arial"/>
          <w:sz w:val="24"/>
          <w:szCs w:val="24"/>
        </w:rPr>
        <w:footnoteReference w:id="48"/>
      </w:r>
      <w:r w:rsidRPr="00C3792D">
        <w:rPr>
          <w:rFonts w:ascii="Arial" w:hAnsi="Arial" w:cs="Arial"/>
          <w:sz w:val="24"/>
          <w:szCs w:val="24"/>
        </w:rPr>
        <w:t xml:space="preserve"> </w:t>
      </w:r>
      <w:proofErr w:type="spellStart"/>
      <w:r w:rsidRPr="00C3792D">
        <w:rPr>
          <w:rFonts w:ascii="Arial" w:hAnsi="Arial" w:cs="Arial"/>
          <w:sz w:val="24"/>
          <w:szCs w:val="24"/>
        </w:rPr>
        <w:t>Ponnan</w:t>
      </w:r>
      <w:proofErr w:type="spellEnd"/>
      <w:r w:rsidRPr="00C3792D">
        <w:rPr>
          <w:rFonts w:ascii="Arial" w:hAnsi="Arial" w:cs="Arial"/>
          <w:sz w:val="24"/>
          <w:szCs w:val="24"/>
        </w:rPr>
        <w:t xml:space="preserve"> JA states as follows in </w:t>
      </w:r>
      <w:r w:rsidRPr="00C3792D">
        <w:rPr>
          <w:rFonts w:ascii="Arial" w:hAnsi="Arial" w:cs="Arial"/>
          <w:i/>
          <w:sz w:val="24"/>
          <w:szCs w:val="24"/>
        </w:rPr>
        <w:t xml:space="preserve">S v </w:t>
      </w:r>
      <w:proofErr w:type="spellStart"/>
      <w:r w:rsidRPr="00C3792D">
        <w:rPr>
          <w:rFonts w:ascii="Arial" w:hAnsi="Arial" w:cs="Arial"/>
          <w:i/>
          <w:sz w:val="24"/>
          <w:szCs w:val="24"/>
        </w:rPr>
        <w:t>Matyityi</w:t>
      </w:r>
      <w:proofErr w:type="spellEnd"/>
      <w:r w:rsidRPr="00C3792D">
        <w:rPr>
          <w:rFonts w:ascii="Arial" w:hAnsi="Arial" w:cs="Arial"/>
          <w:sz w:val="24"/>
          <w:szCs w:val="24"/>
        </w:rPr>
        <w:t>,</w:t>
      </w:r>
      <w:r w:rsidRPr="00C3792D">
        <w:rPr>
          <w:rStyle w:val="FootnoteReference"/>
          <w:rFonts w:ascii="Arial" w:hAnsi="Arial" w:cs="Arial"/>
          <w:sz w:val="24"/>
          <w:szCs w:val="24"/>
        </w:rPr>
        <w:footnoteReference w:id="49"/>
      </w:r>
      <w:r w:rsidRPr="00C3792D">
        <w:rPr>
          <w:rFonts w:ascii="Arial" w:hAnsi="Arial" w:cs="Arial"/>
          <w:sz w:val="24"/>
          <w:szCs w:val="24"/>
        </w:rPr>
        <w:t xml:space="preserve"> a view I fully align myself with:</w:t>
      </w:r>
    </w:p>
    <w:p w14:paraId="56B821D1" w14:textId="77777777" w:rsidR="004012B1" w:rsidRPr="00C3792D" w:rsidRDefault="004012B1" w:rsidP="00953DDF">
      <w:pPr>
        <w:pStyle w:val="ListParagraph"/>
        <w:spacing w:after="0" w:line="360" w:lineRule="auto"/>
        <w:jc w:val="both"/>
        <w:rPr>
          <w:rFonts w:ascii="Arial" w:hAnsi="Arial" w:cs="Arial"/>
          <w:i/>
          <w:sz w:val="24"/>
          <w:szCs w:val="24"/>
        </w:rPr>
      </w:pPr>
      <w:r w:rsidRPr="00C3792D">
        <w:rPr>
          <w:rFonts w:ascii="Arial" w:hAnsi="Arial" w:cs="Arial"/>
          <w:i/>
          <w:sz w:val="24"/>
          <w:szCs w:val="24"/>
        </w:rPr>
        <w:t xml:space="preserve">‘As </w:t>
      </w:r>
      <w:proofErr w:type="spellStart"/>
      <w:r w:rsidRPr="00C3792D">
        <w:rPr>
          <w:rFonts w:ascii="Arial" w:hAnsi="Arial" w:cs="Arial"/>
          <w:i/>
          <w:sz w:val="24"/>
          <w:szCs w:val="24"/>
        </w:rPr>
        <w:t>Malgas</w:t>
      </w:r>
      <w:proofErr w:type="spellEnd"/>
      <w:r w:rsidRPr="00C3792D">
        <w:rPr>
          <w:rFonts w:ascii="Arial" w:hAnsi="Arial" w:cs="Arial"/>
          <w:i/>
          <w:sz w:val="24"/>
          <w:szCs w:val="24"/>
        </w:rPr>
        <w:t xml:space="preserve"> makes plain, courts have a duty, despite any personal doubts about the efficacy of the policy or personal aversion to it, to implement those sentences. Our courts derive their power from the Constitution and like other arms of state owe their fealty to it. Our constitutional order can hardly survive if </w:t>
      </w:r>
      <w:r w:rsidRPr="00C3792D">
        <w:rPr>
          <w:rFonts w:ascii="Arial" w:hAnsi="Arial" w:cs="Arial"/>
          <w:i/>
          <w:sz w:val="24"/>
          <w:szCs w:val="24"/>
        </w:rPr>
        <w:lastRenderedPageBreak/>
        <w:t>courts fail to properly patrol the boundaries of their own power by showing due deference to the legitimate domains of power of the other arms of State. Here Parliament has spoken. It has ordained minimum sentences for certain specified offences. Courts are obliged to impose those sentences unless there are truly convincing reasons for departing from them.  Courts are not free to subvert the will of the legislature by resort to vague, ill-defined concepts such as “relative youthfulness” or other equally vague and ill-founded hypotheses that appear to fit the particular sentencing officer’s personal notion of fairness. Predictable outcomes, not outcomes based on the whim of an individual judicial officer, is foundational to the rule of law which lies at the heart of our constitutional order.’</w:t>
      </w:r>
    </w:p>
    <w:p w14:paraId="70F63BDE" w14:textId="77777777" w:rsidR="00F94523" w:rsidRPr="00C3792D" w:rsidRDefault="00F94523" w:rsidP="001A522C">
      <w:pPr>
        <w:pStyle w:val="ListParagraph"/>
        <w:shd w:val="clear" w:color="auto" w:fill="FFFFFF"/>
        <w:spacing w:before="144" w:after="0" w:line="480" w:lineRule="auto"/>
        <w:ind w:left="360"/>
        <w:jc w:val="both"/>
        <w:rPr>
          <w:rFonts w:ascii="Arial" w:eastAsia="Times New Roman" w:hAnsi="Arial" w:cs="Arial"/>
          <w:color w:val="242121"/>
          <w:sz w:val="24"/>
          <w:szCs w:val="24"/>
          <w:lang w:eastAsia="en-ZA"/>
        </w:rPr>
      </w:pPr>
    </w:p>
    <w:p w14:paraId="3163B7E6" w14:textId="77777777" w:rsidR="00F94523" w:rsidRPr="00C3792D" w:rsidRDefault="00F94523" w:rsidP="003E2EDC">
      <w:pPr>
        <w:pStyle w:val="ListParagraph"/>
        <w:numPr>
          <w:ilvl w:val="0"/>
          <w:numId w:val="32"/>
        </w:numPr>
        <w:shd w:val="clear" w:color="auto" w:fill="FFFFFF"/>
        <w:spacing w:before="144" w:after="0" w:line="480" w:lineRule="auto"/>
        <w:jc w:val="both"/>
        <w:rPr>
          <w:rFonts w:ascii="Arial" w:eastAsia="Times New Roman" w:hAnsi="Arial" w:cs="Arial"/>
          <w:color w:val="242121"/>
          <w:sz w:val="24"/>
          <w:szCs w:val="24"/>
          <w:lang w:eastAsia="en-ZA"/>
        </w:rPr>
      </w:pPr>
      <w:r w:rsidRPr="00C3792D">
        <w:rPr>
          <w:rFonts w:ascii="Arial" w:eastAsia="Times New Roman" w:hAnsi="Arial" w:cs="Arial"/>
          <w:color w:val="000000"/>
          <w:sz w:val="24"/>
          <w:szCs w:val="24"/>
          <w:lang w:eastAsia="en-ZA"/>
        </w:rPr>
        <w:t>There is no basis for interfering with the sentence imposed on the appellant regarding this rape matter</w:t>
      </w:r>
      <w:r w:rsidR="004012B1" w:rsidRPr="00C3792D">
        <w:rPr>
          <w:rFonts w:ascii="Arial" w:eastAsia="Times New Roman" w:hAnsi="Arial" w:cs="Arial"/>
          <w:color w:val="000000"/>
          <w:sz w:val="24"/>
          <w:szCs w:val="24"/>
          <w:lang w:eastAsia="en-ZA"/>
        </w:rPr>
        <w:t xml:space="preserve"> inflicted on a 14 years old child</w:t>
      </w:r>
      <w:r w:rsidRPr="00C3792D">
        <w:rPr>
          <w:rFonts w:ascii="Arial" w:eastAsia="Times New Roman" w:hAnsi="Arial" w:cs="Arial"/>
          <w:color w:val="000000"/>
          <w:sz w:val="24"/>
          <w:szCs w:val="24"/>
          <w:lang w:eastAsia="en-ZA"/>
        </w:rPr>
        <w:t xml:space="preserve">. The attack on the sentencing court is unfounded. In case of serious crimes, it is permissible for the personal circumstances of the offender to recede into the background. </w:t>
      </w:r>
    </w:p>
    <w:p w14:paraId="5992BCF5" w14:textId="77777777" w:rsidR="00F94523" w:rsidRPr="00C3792D" w:rsidRDefault="00F94523" w:rsidP="00953DDF">
      <w:pPr>
        <w:pStyle w:val="ListParagraph"/>
        <w:shd w:val="clear" w:color="auto" w:fill="FFFFFF"/>
        <w:spacing w:before="144" w:after="0" w:line="480" w:lineRule="auto"/>
        <w:ind w:left="360"/>
        <w:jc w:val="both"/>
        <w:rPr>
          <w:rFonts w:ascii="Arial" w:eastAsia="Times New Roman" w:hAnsi="Arial" w:cs="Arial"/>
          <w:color w:val="242121"/>
          <w:sz w:val="24"/>
          <w:szCs w:val="24"/>
          <w:lang w:eastAsia="en-ZA"/>
        </w:rPr>
      </w:pPr>
      <w:r w:rsidRPr="00C3792D">
        <w:rPr>
          <w:rFonts w:ascii="Arial" w:eastAsia="Times New Roman" w:hAnsi="Arial" w:cs="Arial"/>
          <w:color w:val="000000"/>
          <w:sz w:val="24"/>
          <w:szCs w:val="24"/>
          <w:lang w:eastAsia="en-ZA"/>
        </w:rPr>
        <w:t xml:space="preserve">  </w:t>
      </w:r>
    </w:p>
    <w:p w14:paraId="6D67EB00" w14:textId="77777777" w:rsidR="00A303E7" w:rsidRPr="00C3792D" w:rsidRDefault="00F94523" w:rsidP="003E2EDC">
      <w:pPr>
        <w:pStyle w:val="ListParagraph"/>
        <w:numPr>
          <w:ilvl w:val="0"/>
          <w:numId w:val="32"/>
        </w:numPr>
        <w:shd w:val="clear" w:color="auto" w:fill="FFFFFF"/>
        <w:spacing w:before="144" w:after="0" w:line="480" w:lineRule="auto"/>
        <w:jc w:val="both"/>
        <w:rPr>
          <w:rFonts w:ascii="Arial" w:eastAsia="Times New Roman" w:hAnsi="Arial" w:cs="Arial"/>
          <w:color w:val="242121"/>
          <w:sz w:val="24"/>
          <w:szCs w:val="24"/>
          <w:lang w:eastAsia="en-ZA"/>
        </w:rPr>
      </w:pPr>
      <w:r w:rsidRPr="00C3792D">
        <w:rPr>
          <w:rFonts w:ascii="Arial" w:eastAsia="Times New Roman" w:hAnsi="Arial" w:cs="Arial"/>
          <w:color w:val="242121"/>
          <w:sz w:val="24"/>
          <w:szCs w:val="24"/>
          <w:lang w:eastAsia="en-ZA"/>
        </w:rPr>
        <w:t>It follows therefore that, the appeal on sentence stands to fail. </w:t>
      </w:r>
    </w:p>
    <w:p w14:paraId="46AF63B3" w14:textId="77777777" w:rsidR="00A303E7" w:rsidRPr="00C3792D" w:rsidRDefault="00A303E7" w:rsidP="00A303E7">
      <w:pPr>
        <w:pStyle w:val="ListParagraph"/>
        <w:rPr>
          <w:rFonts w:ascii="Arial" w:eastAsia="Times New Roman" w:hAnsi="Arial" w:cs="Arial"/>
          <w:color w:val="242121"/>
          <w:sz w:val="24"/>
          <w:szCs w:val="24"/>
          <w:lang w:eastAsia="en-ZA"/>
        </w:rPr>
      </w:pPr>
    </w:p>
    <w:p w14:paraId="519097E1" w14:textId="77777777" w:rsidR="00A303E7" w:rsidRDefault="00A303E7" w:rsidP="00A303E7">
      <w:pPr>
        <w:pStyle w:val="ListParagraph"/>
        <w:spacing w:line="480" w:lineRule="auto"/>
        <w:ind w:left="360"/>
        <w:jc w:val="both"/>
        <w:rPr>
          <w:rFonts w:ascii="Arial" w:hAnsi="Arial" w:cs="Arial"/>
          <w:b/>
          <w:bCs/>
          <w:sz w:val="24"/>
          <w:szCs w:val="24"/>
        </w:rPr>
      </w:pPr>
    </w:p>
    <w:p w14:paraId="331F6203" w14:textId="77777777" w:rsidR="00A303E7" w:rsidRPr="00C3792D" w:rsidRDefault="00A303E7" w:rsidP="003E2EDC">
      <w:pPr>
        <w:pStyle w:val="ListParagraph"/>
        <w:numPr>
          <w:ilvl w:val="0"/>
          <w:numId w:val="32"/>
        </w:numPr>
        <w:shd w:val="clear" w:color="auto" w:fill="FFFFFF"/>
        <w:spacing w:before="144" w:after="0" w:line="480" w:lineRule="auto"/>
        <w:jc w:val="both"/>
        <w:rPr>
          <w:rFonts w:ascii="Arial" w:hAnsi="Arial" w:cs="Arial"/>
          <w:sz w:val="24"/>
          <w:szCs w:val="24"/>
        </w:rPr>
      </w:pPr>
      <w:r w:rsidRPr="00C3792D">
        <w:rPr>
          <w:rFonts w:ascii="Arial" w:eastAsia="Times New Roman" w:hAnsi="Arial" w:cs="Arial"/>
          <w:sz w:val="24"/>
          <w:szCs w:val="24"/>
          <w:lang w:eastAsia="en-ZA"/>
        </w:rPr>
        <w:t xml:space="preserve"> In </w:t>
      </w:r>
      <w:r w:rsidR="00491A1E">
        <w:rPr>
          <w:rFonts w:ascii="Arial" w:eastAsia="Times New Roman" w:hAnsi="Arial" w:cs="Arial"/>
          <w:sz w:val="24"/>
          <w:szCs w:val="24"/>
          <w:lang w:eastAsia="en-ZA"/>
        </w:rPr>
        <w:t>my view, I would make an order as follow:</w:t>
      </w:r>
    </w:p>
    <w:p w14:paraId="55FFEDAC" w14:textId="77777777" w:rsidR="00A303E7" w:rsidRPr="00C3792D" w:rsidRDefault="00A303E7" w:rsidP="00A303E7">
      <w:pPr>
        <w:pStyle w:val="ListParagraph"/>
        <w:numPr>
          <w:ilvl w:val="0"/>
          <w:numId w:val="2"/>
        </w:numPr>
        <w:spacing w:line="480" w:lineRule="auto"/>
        <w:jc w:val="both"/>
        <w:rPr>
          <w:rFonts w:ascii="Arial" w:eastAsia="Times New Roman" w:hAnsi="Arial" w:cs="Arial"/>
          <w:sz w:val="24"/>
          <w:szCs w:val="24"/>
        </w:rPr>
      </w:pPr>
      <w:r w:rsidRPr="00C3792D">
        <w:rPr>
          <w:rFonts w:ascii="Arial" w:eastAsia="Times New Roman" w:hAnsi="Arial" w:cs="Arial"/>
          <w:sz w:val="24"/>
          <w:szCs w:val="24"/>
          <w:lang w:eastAsia="en-ZA"/>
        </w:rPr>
        <w:t>The appeal against conviction and sentence is dismissed.</w:t>
      </w:r>
    </w:p>
    <w:p w14:paraId="564DBE7E" w14:textId="77777777" w:rsidR="00A303E7" w:rsidRPr="00C3792D" w:rsidRDefault="00A303E7" w:rsidP="00A303E7">
      <w:pPr>
        <w:pStyle w:val="ListParagraph"/>
        <w:numPr>
          <w:ilvl w:val="0"/>
          <w:numId w:val="2"/>
        </w:numPr>
        <w:spacing w:line="480" w:lineRule="auto"/>
        <w:jc w:val="both"/>
        <w:rPr>
          <w:rFonts w:ascii="Arial" w:eastAsia="Times New Roman" w:hAnsi="Arial" w:cs="Arial"/>
          <w:sz w:val="24"/>
          <w:szCs w:val="24"/>
        </w:rPr>
      </w:pPr>
      <w:r w:rsidRPr="00C3792D">
        <w:rPr>
          <w:rFonts w:ascii="Arial" w:eastAsia="Times New Roman" w:hAnsi="Arial" w:cs="Arial"/>
          <w:sz w:val="24"/>
          <w:szCs w:val="24"/>
          <w:lang w:eastAsia="en-ZA"/>
        </w:rPr>
        <w:t>This sentence shall be effective from the date upon which the trial court initially</w:t>
      </w:r>
      <w:r w:rsidR="00E11632">
        <w:rPr>
          <w:rFonts w:ascii="Arial" w:eastAsia="Times New Roman" w:hAnsi="Arial" w:cs="Arial"/>
          <w:sz w:val="24"/>
          <w:szCs w:val="24"/>
          <w:lang w:eastAsia="en-ZA"/>
        </w:rPr>
        <w:t xml:space="preserve"> </w:t>
      </w:r>
      <w:r w:rsidRPr="00C3792D">
        <w:rPr>
          <w:rFonts w:ascii="Arial" w:eastAsia="Times New Roman" w:hAnsi="Arial" w:cs="Arial"/>
          <w:sz w:val="24"/>
          <w:szCs w:val="24"/>
          <w:lang w:eastAsia="en-ZA"/>
        </w:rPr>
        <w:t>sentenced the appellant on 28</w:t>
      </w:r>
      <w:r w:rsidRPr="00C3792D">
        <w:rPr>
          <w:rFonts w:ascii="Arial" w:eastAsia="Times New Roman" w:hAnsi="Arial" w:cs="Arial"/>
          <w:sz w:val="24"/>
          <w:szCs w:val="24"/>
          <w:vertAlign w:val="superscript"/>
          <w:lang w:eastAsia="en-ZA"/>
        </w:rPr>
        <w:t>th</w:t>
      </w:r>
      <w:r w:rsidRPr="00C3792D">
        <w:rPr>
          <w:rFonts w:ascii="Arial" w:eastAsia="Times New Roman" w:hAnsi="Arial" w:cs="Arial"/>
          <w:sz w:val="24"/>
          <w:szCs w:val="24"/>
          <w:lang w:eastAsia="en-ZA"/>
        </w:rPr>
        <w:t xml:space="preserve"> September 2020.</w:t>
      </w:r>
    </w:p>
    <w:p w14:paraId="7F91CDE6" w14:textId="77777777" w:rsidR="00A303E7" w:rsidRDefault="00A303E7" w:rsidP="00A303E7">
      <w:pPr>
        <w:pStyle w:val="ListParagraph"/>
        <w:shd w:val="clear" w:color="auto" w:fill="FFFFFF"/>
        <w:spacing w:before="144" w:after="0" w:line="480" w:lineRule="auto"/>
        <w:ind w:left="360"/>
        <w:jc w:val="both"/>
        <w:rPr>
          <w:rFonts w:ascii="Arial" w:eastAsia="Times New Roman" w:hAnsi="Arial" w:cs="Arial"/>
          <w:color w:val="242121"/>
          <w:sz w:val="24"/>
          <w:szCs w:val="24"/>
          <w:lang w:eastAsia="en-ZA"/>
        </w:rPr>
      </w:pPr>
    </w:p>
    <w:p w14:paraId="1794E080" w14:textId="77777777" w:rsidR="00A303E7" w:rsidRDefault="00A303E7" w:rsidP="00A303E7">
      <w:pPr>
        <w:pStyle w:val="ListParagraph"/>
        <w:shd w:val="clear" w:color="auto" w:fill="FFFFFF"/>
        <w:spacing w:before="144" w:after="0" w:line="480" w:lineRule="auto"/>
        <w:ind w:left="360"/>
        <w:jc w:val="both"/>
        <w:rPr>
          <w:rFonts w:ascii="Arial" w:hAnsi="Arial" w:cs="Arial"/>
          <w:b/>
          <w:sz w:val="24"/>
          <w:szCs w:val="24"/>
        </w:rPr>
      </w:pPr>
      <w:r w:rsidRPr="00FF691E">
        <w:rPr>
          <w:rFonts w:ascii="Arial" w:hAnsi="Arial" w:cs="Arial"/>
          <w:b/>
          <w:sz w:val="24"/>
          <w:szCs w:val="24"/>
        </w:rPr>
        <w:t>Sutherland DJP:</w:t>
      </w:r>
    </w:p>
    <w:p w14:paraId="4575505D" w14:textId="77777777" w:rsidR="00491A1E" w:rsidRPr="00FF691E" w:rsidRDefault="00491A1E" w:rsidP="00A303E7">
      <w:pPr>
        <w:pStyle w:val="ListParagraph"/>
        <w:shd w:val="clear" w:color="auto" w:fill="FFFFFF"/>
        <w:spacing w:before="144" w:after="0" w:line="480" w:lineRule="auto"/>
        <w:ind w:left="360"/>
        <w:jc w:val="both"/>
        <w:rPr>
          <w:rFonts w:ascii="Arial" w:eastAsia="Times New Roman" w:hAnsi="Arial" w:cs="Arial"/>
          <w:b/>
          <w:color w:val="242121"/>
          <w:sz w:val="24"/>
          <w:szCs w:val="24"/>
          <w:lang w:eastAsia="en-ZA"/>
        </w:rPr>
      </w:pPr>
    </w:p>
    <w:p w14:paraId="4098CCA9" w14:textId="77777777" w:rsidR="00A303E7" w:rsidRPr="00C3792D" w:rsidRDefault="00A303E7" w:rsidP="003E2EDC">
      <w:pPr>
        <w:pStyle w:val="ListParagraph"/>
        <w:numPr>
          <w:ilvl w:val="0"/>
          <w:numId w:val="32"/>
        </w:numPr>
        <w:shd w:val="clear" w:color="auto" w:fill="FFFFFF"/>
        <w:spacing w:before="144" w:after="0" w:line="480" w:lineRule="auto"/>
        <w:jc w:val="both"/>
        <w:rPr>
          <w:rFonts w:ascii="Arial" w:eastAsia="Times New Roman" w:hAnsi="Arial" w:cs="Arial"/>
          <w:color w:val="242121"/>
          <w:sz w:val="24"/>
          <w:szCs w:val="24"/>
          <w:lang w:eastAsia="en-ZA"/>
        </w:rPr>
      </w:pPr>
      <w:r w:rsidRPr="00C3792D">
        <w:rPr>
          <w:rFonts w:ascii="Arial" w:hAnsi="Arial" w:cs="Arial"/>
          <w:sz w:val="24"/>
          <w:szCs w:val="24"/>
        </w:rPr>
        <w:lastRenderedPageBreak/>
        <w:t xml:space="preserve">The appellant, Aaron </w:t>
      </w:r>
      <w:proofErr w:type="spellStart"/>
      <w:r w:rsidRPr="00C3792D">
        <w:rPr>
          <w:rFonts w:ascii="Arial" w:hAnsi="Arial" w:cs="Arial"/>
          <w:sz w:val="24"/>
          <w:szCs w:val="24"/>
        </w:rPr>
        <w:t>Chauke</w:t>
      </w:r>
      <w:proofErr w:type="spellEnd"/>
      <w:r w:rsidRPr="00C3792D">
        <w:rPr>
          <w:rFonts w:ascii="Arial" w:hAnsi="Arial" w:cs="Arial"/>
          <w:sz w:val="24"/>
          <w:szCs w:val="24"/>
        </w:rPr>
        <w:t xml:space="preserve"> was convicted of rape on a 14-year old boy and was sentenced to life imprisonment by a Regional Magistrate.  The facts and the law have been traversed in the judgment by </w:t>
      </w:r>
      <w:proofErr w:type="spellStart"/>
      <w:r w:rsidRPr="00C3792D">
        <w:rPr>
          <w:rFonts w:ascii="Arial" w:hAnsi="Arial" w:cs="Arial"/>
          <w:sz w:val="24"/>
          <w:szCs w:val="24"/>
        </w:rPr>
        <w:t>Matjele</w:t>
      </w:r>
      <w:proofErr w:type="spellEnd"/>
      <w:r w:rsidRPr="00C3792D">
        <w:rPr>
          <w:rFonts w:ascii="Arial" w:hAnsi="Arial" w:cs="Arial"/>
          <w:sz w:val="24"/>
          <w:szCs w:val="24"/>
        </w:rPr>
        <w:t xml:space="preserve"> AJ and are not rehearsed here.</w:t>
      </w:r>
      <w:r w:rsidR="00E11DCB">
        <w:rPr>
          <w:rFonts w:ascii="Arial" w:hAnsi="Arial" w:cs="Arial"/>
          <w:sz w:val="24"/>
          <w:szCs w:val="24"/>
        </w:rPr>
        <w:t xml:space="preserve"> I</w:t>
      </w:r>
      <w:r w:rsidR="00580E76">
        <w:rPr>
          <w:rFonts w:ascii="Arial" w:hAnsi="Arial" w:cs="Arial"/>
          <w:sz w:val="24"/>
          <w:szCs w:val="24"/>
        </w:rPr>
        <w:t xml:space="preserve"> take a simpler view o</w:t>
      </w:r>
      <w:r w:rsidR="00E11DCB">
        <w:rPr>
          <w:rFonts w:ascii="Arial" w:hAnsi="Arial" w:cs="Arial"/>
          <w:sz w:val="24"/>
          <w:szCs w:val="24"/>
        </w:rPr>
        <w:t xml:space="preserve">f the matter that does not require dealing with the several legal and constitutional issues addressed in the judgment of </w:t>
      </w:r>
      <w:proofErr w:type="spellStart"/>
      <w:r w:rsidR="00E11DCB">
        <w:rPr>
          <w:rFonts w:ascii="Arial" w:hAnsi="Arial" w:cs="Arial"/>
          <w:sz w:val="24"/>
          <w:szCs w:val="24"/>
        </w:rPr>
        <w:t>Matjele</w:t>
      </w:r>
      <w:proofErr w:type="spellEnd"/>
      <w:r w:rsidR="00E11DCB">
        <w:rPr>
          <w:rFonts w:ascii="Arial" w:hAnsi="Arial" w:cs="Arial"/>
          <w:sz w:val="24"/>
          <w:szCs w:val="24"/>
        </w:rPr>
        <w:t xml:space="preserve"> AJ.</w:t>
      </w:r>
    </w:p>
    <w:p w14:paraId="40F0572C" w14:textId="77777777" w:rsidR="00A303E7" w:rsidRPr="00C3792D" w:rsidRDefault="00A303E7" w:rsidP="00A303E7">
      <w:pPr>
        <w:pStyle w:val="ListParagraph"/>
        <w:shd w:val="clear" w:color="auto" w:fill="FFFFFF"/>
        <w:spacing w:before="144" w:after="0" w:line="480" w:lineRule="auto"/>
        <w:ind w:left="360"/>
        <w:jc w:val="both"/>
        <w:rPr>
          <w:rFonts w:ascii="Arial" w:eastAsia="Times New Roman" w:hAnsi="Arial" w:cs="Arial"/>
          <w:color w:val="242121"/>
          <w:sz w:val="24"/>
          <w:szCs w:val="24"/>
          <w:lang w:eastAsia="en-ZA"/>
        </w:rPr>
      </w:pPr>
      <w:r w:rsidRPr="00C3792D">
        <w:rPr>
          <w:rFonts w:ascii="Arial" w:hAnsi="Arial" w:cs="Arial"/>
          <w:sz w:val="24"/>
          <w:szCs w:val="24"/>
        </w:rPr>
        <w:t xml:space="preserve"> </w:t>
      </w:r>
    </w:p>
    <w:p w14:paraId="5F4CFC6A" w14:textId="77777777" w:rsidR="00A303E7" w:rsidRPr="00C3792D" w:rsidRDefault="00A303E7" w:rsidP="003E2EDC">
      <w:pPr>
        <w:pStyle w:val="ListParagraph"/>
        <w:numPr>
          <w:ilvl w:val="0"/>
          <w:numId w:val="32"/>
        </w:numPr>
        <w:shd w:val="clear" w:color="auto" w:fill="FFFFFF"/>
        <w:spacing w:before="144" w:after="0" w:line="480" w:lineRule="auto"/>
        <w:jc w:val="both"/>
        <w:rPr>
          <w:rFonts w:ascii="Arial" w:eastAsia="Times New Roman" w:hAnsi="Arial" w:cs="Arial"/>
          <w:color w:val="242121"/>
          <w:sz w:val="24"/>
          <w:szCs w:val="24"/>
          <w:lang w:eastAsia="en-ZA"/>
        </w:rPr>
      </w:pPr>
      <w:r w:rsidRPr="00C3792D">
        <w:rPr>
          <w:rFonts w:ascii="Arial" w:hAnsi="Arial" w:cs="Arial"/>
          <w:sz w:val="24"/>
          <w:szCs w:val="24"/>
        </w:rPr>
        <w:t>The ques</w:t>
      </w:r>
      <w:r w:rsidR="00DD0946">
        <w:rPr>
          <w:rFonts w:ascii="Arial" w:hAnsi="Arial" w:cs="Arial"/>
          <w:sz w:val="24"/>
          <w:szCs w:val="24"/>
        </w:rPr>
        <w:t>tion arose about whether the complainant’s</w:t>
      </w:r>
      <w:r w:rsidRPr="00C3792D">
        <w:rPr>
          <w:rFonts w:ascii="Arial" w:hAnsi="Arial" w:cs="Arial"/>
          <w:sz w:val="24"/>
          <w:szCs w:val="24"/>
        </w:rPr>
        <w:t xml:space="preserve"> evidence was competent when he initially appeared to show a lack of grasp about truth and falsity. The upshot was that the Magistrate called for an assessment. This was undertaken by </w:t>
      </w:r>
      <w:r w:rsidR="00DD0946">
        <w:rPr>
          <w:rFonts w:ascii="Arial" w:hAnsi="Arial" w:cs="Arial"/>
          <w:sz w:val="24"/>
          <w:szCs w:val="24"/>
        </w:rPr>
        <w:t xml:space="preserve">a Phycologist, </w:t>
      </w:r>
      <w:r w:rsidRPr="00C3792D">
        <w:rPr>
          <w:rFonts w:ascii="Arial" w:hAnsi="Arial" w:cs="Arial"/>
          <w:sz w:val="24"/>
          <w:szCs w:val="24"/>
        </w:rPr>
        <w:t>Karen Bradford, who adduced proof of her credentials to perform the enquiry into his cognitive status. Her opinion was that although the boy had learning difficulties, he was not cognitively impaired. The Magistrate took appropriate steps to reach the conclusion that his evidence was competent. In my view the Magistrate is not to be faulted in the approach he took to satisfy the prescripts of sections 162 and 164 of the Criminal Procedure Act 51 of 1977. He asked appropriate questions, sought expert evaluation, and employed an intermediary. He clearly made a justifiable finding of competence before evidence was adduced from the boy.</w:t>
      </w:r>
    </w:p>
    <w:p w14:paraId="277C48A6" w14:textId="77777777" w:rsidR="00A303E7" w:rsidRPr="00C3792D" w:rsidRDefault="00A303E7" w:rsidP="00A303E7">
      <w:pPr>
        <w:pStyle w:val="ListParagraph"/>
        <w:rPr>
          <w:rFonts w:ascii="Arial" w:hAnsi="Arial" w:cs="Arial"/>
          <w:sz w:val="24"/>
          <w:szCs w:val="24"/>
        </w:rPr>
      </w:pPr>
    </w:p>
    <w:p w14:paraId="65FBCF7C" w14:textId="77777777" w:rsidR="00A303E7" w:rsidRPr="00C3792D" w:rsidRDefault="00A303E7" w:rsidP="003E2EDC">
      <w:pPr>
        <w:pStyle w:val="ListParagraph"/>
        <w:numPr>
          <w:ilvl w:val="0"/>
          <w:numId w:val="32"/>
        </w:numPr>
        <w:shd w:val="clear" w:color="auto" w:fill="FFFFFF"/>
        <w:spacing w:before="144" w:after="0" w:line="480" w:lineRule="auto"/>
        <w:jc w:val="both"/>
        <w:rPr>
          <w:rFonts w:ascii="Arial" w:eastAsia="Times New Roman" w:hAnsi="Arial" w:cs="Arial"/>
          <w:color w:val="242121"/>
          <w:sz w:val="24"/>
          <w:szCs w:val="24"/>
          <w:lang w:eastAsia="en-ZA"/>
        </w:rPr>
      </w:pPr>
      <w:r w:rsidRPr="00C3792D">
        <w:rPr>
          <w:rFonts w:ascii="Arial" w:hAnsi="Arial" w:cs="Arial"/>
          <w:sz w:val="24"/>
          <w:szCs w:val="24"/>
        </w:rPr>
        <w:t xml:space="preserve">The two critical questions of fact in the case are whether a rape occurred at all, and if so, by whom. The point of departure for the enquiry is the objective and uncontroverted facts. </w:t>
      </w:r>
    </w:p>
    <w:p w14:paraId="0853B752" w14:textId="77777777" w:rsidR="00A303E7" w:rsidRPr="00C3792D" w:rsidRDefault="00A303E7" w:rsidP="00A303E7">
      <w:pPr>
        <w:pStyle w:val="ListParagraph"/>
        <w:rPr>
          <w:rFonts w:ascii="Arial" w:hAnsi="Arial" w:cs="Arial"/>
          <w:sz w:val="24"/>
          <w:szCs w:val="24"/>
        </w:rPr>
      </w:pPr>
    </w:p>
    <w:p w14:paraId="0EAC6E27" w14:textId="77777777" w:rsidR="00A303E7" w:rsidRPr="00C3792D" w:rsidRDefault="00A303E7" w:rsidP="003E2EDC">
      <w:pPr>
        <w:pStyle w:val="ListParagraph"/>
        <w:numPr>
          <w:ilvl w:val="0"/>
          <w:numId w:val="32"/>
        </w:numPr>
        <w:shd w:val="clear" w:color="auto" w:fill="FFFFFF"/>
        <w:spacing w:before="144" w:after="0" w:line="480" w:lineRule="auto"/>
        <w:jc w:val="both"/>
        <w:rPr>
          <w:rFonts w:ascii="Arial" w:eastAsia="Times New Roman" w:hAnsi="Arial" w:cs="Arial"/>
          <w:color w:val="242121"/>
          <w:sz w:val="24"/>
          <w:szCs w:val="24"/>
          <w:lang w:eastAsia="en-ZA"/>
        </w:rPr>
      </w:pPr>
      <w:r w:rsidRPr="00C3792D">
        <w:rPr>
          <w:rFonts w:ascii="Arial" w:hAnsi="Arial" w:cs="Arial"/>
          <w:sz w:val="24"/>
          <w:szCs w:val="24"/>
        </w:rPr>
        <w:t>The m</w:t>
      </w:r>
      <w:r w:rsidR="00753382" w:rsidRPr="00C3792D">
        <w:rPr>
          <w:rFonts w:ascii="Arial" w:hAnsi="Arial" w:cs="Arial"/>
          <w:sz w:val="24"/>
          <w:szCs w:val="24"/>
        </w:rPr>
        <w:t xml:space="preserve">edical examination by Dr </w:t>
      </w:r>
      <w:proofErr w:type="spellStart"/>
      <w:r w:rsidR="00753382" w:rsidRPr="00C3792D">
        <w:rPr>
          <w:rFonts w:ascii="Arial" w:hAnsi="Arial" w:cs="Arial"/>
          <w:sz w:val="24"/>
          <w:szCs w:val="24"/>
        </w:rPr>
        <w:t>Saida</w:t>
      </w:r>
      <w:proofErr w:type="spellEnd"/>
      <w:r w:rsidR="00753382" w:rsidRPr="00C3792D">
        <w:rPr>
          <w:rFonts w:ascii="Arial" w:hAnsi="Arial" w:cs="Arial"/>
          <w:sz w:val="24"/>
          <w:szCs w:val="24"/>
        </w:rPr>
        <w:t xml:space="preserve"> </w:t>
      </w:r>
      <w:proofErr w:type="spellStart"/>
      <w:r w:rsidR="00753382" w:rsidRPr="00C3792D">
        <w:rPr>
          <w:rFonts w:ascii="Arial" w:hAnsi="Arial" w:cs="Arial"/>
          <w:sz w:val="24"/>
          <w:szCs w:val="24"/>
        </w:rPr>
        <w:t>K</w:t>
      </w:r>
      <w:r w:rsidRPr="00C3792D">
        <w:rPr>
          <w:rFonts w:ascii="Arial" w:hAnsi="Arial" w:cs="Arial"/>
          <w:sz w:val="24"/>
          <w:szCs w:val="24"/>
        </w:rPr>
        <w:t>ashif</w:t>
      </w:r>
      <w:proofErr w:type="spellEnd"/>
      <w:r w:rsidRPr="00C3792D">
        <w:rPr>
          <w:rFonts w:ascii="Arial" w:hAnsi="Arial" w:cs="Arial"/>
          <w:sz w:val="24"/>
          <w:szCs w:val="24"/>
        </w:rPr>
        <w:t xml:space="preserve"> took place within hours of the alleged rape. Her evidence stood unchallenged. She testified that she observed redness and abrasions at the aperture of the anus which were of recent origin. </w:t>
      </w:r>
      <w:r w:rsidRPr="00C3792D">
        <w:rPr>
          <w:rFonts w:ascii="Arial" w:hAnsi="Arial" w:cs="Arial"/>
          <w:sz w:val="24"/>
          <w:szCs w:val="24"/>
        </w:rPr>
        <w:lastRenderedPageBreak/>
        <w:t xml:space="preserve">Also, she observed that the muscle tone of that area was supple and could be prised open without tension. Her opinion was that these </w:t>
      </w:r>
      <w:proofErr w:type="spellStart"/>
      <w:r w:rsidRPr="00C3792D">
        <w:rPr>
          <w:rFonts w:ascii="Arial" w:hAnsi="Arial" w:cs="Arial"/>
          <w:i/>
          <w:sz w:val="24"/>
          <w:szCs w:val="24"/>
        </w:rPr>
        <w:t>induciae</w:t>
      </w:r>
      <w:proofErr w:type="spellEnd"/>
      <w:r w:rsidRPr="00C3792D">
        <w:rPr>
          <w:rFonts w:ascii="Arial" w:hAnsi="Arial" w:cs="Arial"/>
          <w:sz w:val="24"/>
          <w:szCs w:val="24"/>
        </w:rPr>
        <w:t xml:space="preserve"> were consistent with recent penetration.  In addition, the blood test taken revealed no drugs or alcohol in the boy’s bloodstream.</w:t>
      </w:r>
    </w:p>
    <w:p w14:paraId="080A8BD6" w14:textId="77777777" w:rsidR="00A303E7" w:rsidRPr="00C3792D" w:rsidRDefault="00A303E7" w:rsidP="00A303E7">
      <w:pPr>
        <w:pStyle w:val="ListParagraph"/>
        <w:rPr>
          <w:rFonts w:ascii="Arial" w:hAnsi="Arial" w:cs="Arial"/>
          <w:sz w:val="24"/>
          <w:szCs w:val="24"/>
        </w:rPr>
      </w:pPr>
    </w:p>
    <w:p w14:paraId="17A35707" w14:textId="77777777" w:rsidR="00A303E7" w:rsidRPr="00C3792D" w:rsidRDefault="00DD0946" w:rsidP="003E2EDC">
      <w:pPr>
        <w:pStyle w:val="ListParagraph"/>
        <w:numPr>
          <w:ilvl w:val="0"/>
          <w:numId w:val="32"/>
        </w:numPr>
        <w:shd w:val="clear" w:color="auto" w:fill="FFFFFF"/>
        <w:spacing w:before="144" w:after="0" w:line="480" w:lineRule="auto"/>
        <w:jc w:val="both"/>
        <w:rPr>
          <w:rFonts w:ascii="Arial" w:eastAsia="Times New Roman" w:hAnsi="Arial" w:cs="Arial"/>
          <w:color w:val="242121"/>
          <w:sz w:val="24"/>
          <w:szCs w:val="24"/>
          <w:lang w:eastAsia="en-ZA"/>
        </w:rPr>
      </w:pPr>
      <w:r>
        <w:rPr>
          <w:rFonts w:ascii="Arial" w:hAnsi="Arial" w:cs="Arial"/>
          <w:sz w:val="24"/>
          <w:szCs w:val="24"/>
        </w:rPr>
        <w:t>The evidence of the complainant</w:t>
      </w:r>
      <w:r w:rsidR="00A303E7" w:rsidRPr="00C3792D">
        <w:rPr>
          <w:rFonts w:ascii="Arial" w:hAnsi="Arial" w:cs="Arial"/>
          <w:sz w:val="24"/>
          <w:szCs w:val="24"/>
        </w:rPr>
        <w:t xml:space="preserve"> is the only direct evidence that supports a rape. He says it hurt which is a point to be married to </w:t>
      </w:r>
      <w:proofErr w:type="spellStart"/>
      <w:r w:rsidR="00A303E7" w:rsidRPr="00C3792D">
        <w:rPr>
          <w:rFonts w:ascii="Arial" w:hAnsi="Arial" w:cs="Arial"/>
          <w:sz w:val="24"/>
          <w:szCs w:val="24"/>
        </w:rPr>
        <w:t>Rampai’s</w:t>
      </w:r>
      <w:proofErr w:type="spellEnd"/>
      <w:r w:rsidR="00A303E7" w:rsidRPr="00C3792D">
        <w:rPr>
          <w:rFonts w:ascii="Arial" w:hAnsi="Arial" w:cs="Arial"/>
          <w:sz w:val="24"/>
          <w:szCs w:val="24"/>
        </w:rPr>
        <w:t xml:space="preserve"> evidence, alluded to hereafter.  The only anomaly in the boy’s evidence is his claim that the appellant forced him to drink an alcoholic concoction, but no alcohol was found in his bloodstream. This was regrettably not explored in the trial. Because a number of possible explanations exist that could reconcile these two pieces of evidence, nothing can be made of it, save to say, on the probabilities, that either the consumption was early in that evening, or he drank very little. In addition, there is corroborative evidence from </w:t>
      </w:r>
      <w:proofErr w:type="spellStart"/>
      <w:r w:rsidR="00A303E7" w:rsidRPr="00C3792D">
        <w:rPr>
          <w:rFonts w:ascii="Arial" w:hAnsi="Arial" w:cs="Arial"/>
          <w:sz w:val="24"/>
          <w:szCs w:val="24"/>
        </w:rPr>
        <w:t>Rampai</w:t>
      </w:r>
      <w:proofErr w:type="spellEnd"/>
      <w:r w:rsidR="00A303E7" w:rsidRPr="00C3792D">
        <w:rPr>
          <w:rFonts w:ascii="Arial" w:hAnsi="Arial" w:cs="Arial"/>
          <w:sz w:val="24"/>
          <w:szCs w:val="24"/>
        </w:rPr>
        <w:t xml:space="preserve">, the neighbour. He testified that he heard crying from the appellant’s room. The boy was a frequent visitor to the appellant.  He inferred the cries were from the boy. Subsequently, when </w:t>
      </w:r>
      <w:proofErr w:type="spellStart"/>
      <w:r w:rsidR="00A303E7" w:rsidRPr="00C3792D">
        <w:rPr>
          <w:rFonts w:ascii="Arial" w:hAnsi="Arial" w:cs="Arial"/>
          <w:sz w:val="24"/>
          <w:szCs w:val="24"/>
        </w:rPr>
        <w:t>Rampai</w:t>
      </w:r>
      <w:proofErr w:type="spellEnd"/>
      <w:r w:rsidR="00A303E7" w:rsidRPr="00C3792D">
        <w:rPr>
          <w:rFonts w:ascii="Arial" w:hAnsi="Arial" w:cs="Arial"/>
          <w:sz w:val="24"/>
          <w:szCs w:val="24"/>
        </w:rPr>
        <w:t xml:space="preserve"> and the police gained entry to the room, although the exact circumstances were in dispute, the only two persons in the room were the appellant and the boy. </w:t>
      </w:r>
    </w:p>
    <w:p w14:paraId="704E698D" w14:textId="77777777" w:rsidR="00A303E7" w:rsidRPr="00C3792D" w:rsidRDefault="00A303E7" w:rsidP="00A303E7">
      <w:pPr>
        <w:pStyle w:val="ListParagraph"/>
        <w:rPr>
          <w:rFonts w:ascii="Arial" w:hAnsi="Arial" w:cs="Arial"/>
          <w:sz w:val="24"/>
          <w:szCs w:val="24"/>
        </w:rPr>
      </w:pPr>
    </w:p>
    <w:p w14:paraId="0B344767" w14:textId="77777777" w:rsidR="00A303E7" w:rsidRPr="00C3792D" w:rsidRDefault="00A303E7" w:rsidP="003E2EDC">
      <w:pPr>
        <w:pStyle w:val="ListParagraph"/>
        <w:numPr>
          <w:ilvl w:val="0"/>
          <w:numId w:val="32"/>
        </w:numPr>
        <w:shd w:val="clear" w:color="auto" w:fill="FFFFFF"/>
        <w:spacing w:before="144" w:after="0" w:line="480" w:lineRule="auto"/>
        <w:jc w:val="both"/>
        <w:rPr>
          <w:rFonts w:ascii="Arial" w:eastAsia="Times New Roman" w:hAnsi="Arial" w:cs="Arial"/>
          <w:color w:val="242121"/>
          <w:sz w:val="24"/>
          <w:szCs w:val="24"/>
          <w:lang w:eastAsia="en-ZA"/>
        </w:rPr>
      </w:pPr>
      <w:r w:rsidRPr="00C3792D">
        <w:rPr>
          <w:rFonts w:ascii="Arial" w:hAnsi="Arial" w:cs="Arial"/>
          <w:sz w:val="24"/>
          <w:szCs w:val="24"/>
        </w:rPr>
        <w:t>These pieces of evidence, cumulatively, justify the inference that a rape occurred in that room at that time and that the appellant was probably the rapist.</w:t>
      </w:r>
    </w:p>
    <w:p w14:paraId="6FA3F396" w14:textId="77777777" w:rsidR="00A303E7" w:rsidRPr="00C3792D" w:rsidRDefault="00A303E7" w:rsidP="00A303E7">
      <w:pPr>
        <w:pStyle w:val="ListParagraph"/>
        <w:rPr>
          <w:rFonts w:ascii="Arial" w:hAnsi="Arial" w:cs="Arial"/>
          <w:sz w:val="24"/>
          <w:szCs w:val="24"/>
        </w:rPr>
      </w:pPr>
    </w:p>
    <w:p w14:paraId="7FC4B208" w14:textId="77777777" w:rsidR="00A303E7" w:rsidRPr="00C3792D" w:rsidRDefault="00A303E7" w:rsidP="003E2EDC">
      <w:pPr>
        <w:pStyle w:val="ListParagraph"/>
        <w:numPr>
          <w:ilvl w:val="0"/>
          <w:numId w:val="32"/>
        </w:numPr>
        <w:shd w:val="clear" w:color="auto" w:fill="FFFFFF"/>
        <w:spacing w:before="144" w:after="0" w:line="480" w:lineRule="auto"/>
        <w:jc w:val="both"/>
        <w:rPr>
          <w:rFonts w:ascii="Arial" w:eastAsia="Times New Roman" w:hAnsi="Arial" w:cs="Arial"/>
          <w:color w:val="242121"/>
          <w:sz w:val="24"/>
          <w:szCs w:val="24"/>
          <w:lang w:eastAsia="en-ZA"/>
        </w:rPr>
      </w:pPr>
      <w:r w:rsidRPr="00C3792D">
        <w:rPr>
          <w:rFonts w:ascii="Arial" w:hAnsi="Arial" w:cs="Arial"/>
          <w:sz w:val="24"/>
          <w:szCs w:val="24"/>
        </w:rPr>
        <w:t xml:space="preserve">The evidence of what was observed when entry to the room was gained is in some degree ambivalent. The appellant was clothed only in underpants. He was in bed asleep; no adverse inference can be drawn from his semi-nakedness in those circumstances. </w:t>
      </w:r>
      <w:proofErr w:type="spellStart"/>
      <w:r w:rsidRPr="00C3792D">
        <w:rPr>
          <w:rFonts w:ascii="Arial" w:hAnsi="Arial" w:cs="Arial"/>
          <w:sz w:val="24"/>
          <w:szCs w:val="24"/>
        </w:rPr>
        <w:t>Rampai</w:t>
      </w:r>
      <w:proofErr w:type="spellEnd"/>
      <w:r w:rsidRPr="00C3792D">
        <w:rPr>
          <w:rFonts w:ascii="Arial" w:hAnsi="Arial" w:cs="Arial"/>
          <w:sz w:val="24"/>
          <w:szCs w:val="24"/>
        </w:rPr>
        <w:t xml:space="preserve"> says, at that moment, the boy had to pull up his pants. That is disputed by the appellant who says the boy was fully clothed. </w:t>
      </w:r>
      <w:r w:rsidRPr="00C3792D">
        <w:rPr>
          <w:rFonts w:ascii="Arial" w:hAnsi="Arial" w:cs="Arial"/>
          <w:sz w:val="24"/>
          <w:szCs w:val="24"/>
        </w:rPr>
        <w:lastRenderedPageBreak/>
        <w:t xml:space="preserve">Whichever is the truth on this point adds little to offering corroboration of the rape allegation as the boy, too, had been asleep. The appellant fled from an assault. No inference adverse to him can be drawn from that common cause fact either. </w:t>
      </w:r>
    </w:p>
    <w:p w14:paraId="37EED684" w14:textId="77777777" w:rsidR="00A303E7" w:rsidRPr="00C3792D" w:rsidRDefault="00A303E7" w:rsidP="00A303E7">
      <w:pPr>
        <w:pStyle w:val="ListParagraph"/>
        <w:rPr>
          <w:rFonts w:ascii="Arial" w:hAnsi="Arial" w:cs="Arial"/>
          <w:sz w:val="24"/>
          <w:szCs w:val="24"/>
        </w:rPr>
      </w:pPr>
    </w:p>
    <w:p w14:paraId="60A8584C" w14:textId="77777777" w:rsidR="00A303E7" w:rsidRPr="00C3792D" w:rsidRDefault="00A303E7" w:rsidP="003E2EDC">
      <w:pPr>
        <w:pStyle w:val="ListParagraph"/>
        <w:numPr>
          <w:ilvl w:val="0"/>
          <w:numId w:val="32"/>
        </w:numPr>
        <w:shd w:val="clear" w:color="auto" w:fill="FFFFFF"/>
        <w:spacing w:before="144" w:after="0" w:line="480" w:lineRule="auto"/>
        <w:jc w:val="both"/>
        <w:rPr>
          <w:rFonts w:ascii="Arial" w:eastAsia="Times New Roman" w:hAnsi="Arial" w:cs="Arial"/>
          <w:color w:val="242121"/>
          <w:sz w:val="24"/>
          <w:szCs w:val="24"/>
          <w:lang w:eastAsia="en-ZA"/>
        </w:rPr>
      </w:pPr>
      <w:r w:rsidRPr="00C3792D">
        <w:rPr>
          <w:rFonts w:ascii="Arial" w:hAnsi="Arial" w:cs="Arial"/>
          <w:sz w:val="24"/>
          <w:szCs w:val="24"/>
        </w:rPr>
        <w:t xml:space="preserve">The evidence of </w:t>
      </w:r>
      <w:proofErr w:type="spellStart"/>
      <w:r w:rsidRPr="00C3792D">
        <w:rPr>
          <w:rFonts w:ascii="Arial" w:hAnsi="Arial" w:cs="Arial"/>
          <w:sz w:val="24"/>
          <w:szCs w:val="24"/>
        </w:rPr>
        <w:t>Rampai</w:t>
      </w:r>
      <w:proofErr w:type="spellEnd"/>
      <w:r w:rsidRPr="00C3792D">
        <w:rPr>
          <w:rFonts w:ascii="Arial" w:hAnsi="Arial" w:cs="Arial"/>
          <w:sz w:val="24"/>
          <w:szCs w:val="24"/>
        </w:rPr>
        <w:t xml:space="preserve"> is that</w:t>
      </w:r>
      <w:r w:rsidR="009A2698">
        <w:rPr>
          <w:rFonts w:ascii="Arial" w:hAnsi="Arial" w:cs="Arial"/>
          <w:sz w:val="24"/>
          <w:szCs w:val="24"/>
        </w:rPr>
        <w:t xml:space="preserve"> he</w:t>
      </w:r>
      <w:r w:rsidRPr="00C3792D">
        <w:rPr>
          <w:rFonts w:ascii="Arial" w:hAnsi="Arial" w:cs="Arial"/>
          <w:sz w:val="24"/>
          <w:szCs w:val="24"/>
        </w:rPr>
        <w:t xml:space="preserve"> called a police patrol to come to the appellant’s room after he had heard the crying because, so says </w:t>
      </w:r>
      <w:proofErr w:type="spellStart"/>
      <w:r w:rsidRPr="00C3792D">
        <w:rPr>
          <w:rFonts w:ascii="Arial" w:hAnsi="Arial" w:cs="Arial"/>
          <w:sz w:val="24"/>
          <w:szCs w:val="24"/>
        </w:rPr>
        <w:t>Rampai</w:t>
      </w:r>
      <w:proofErr w:type="spellEnd"/>
      <w:r w:rsidRPr="00C3792D">
        <w:rPr>
          <w:rFonts w:ascii="Arial" w:hAnsi="Arial" w:cs="Arial"/>
          <w:sz w:val="24"/>
          <w:szCs w:val="24"/>
        </w:rPr>
        <w:t>, he inferred a rape was being perpetrated. The boy was removed from the scene by the police and was taken to the doctor. Ostensibly, he had minimal contact with his mother, who by all accounts was drunk.  This is an important point because the crucial evidence to prove a rape was that of the boy and the version that he gave to court was consistent with a report he made to the doctor. The opportunity for the boy to have been put up to give a false version, before he saw the doctor, as claimed by the appellant, was absent.</w:t>
      </w:r>
    </w:p>
    <w:p w14:paraId="35504D5A" w14:textId="77777777" w:rsidR="00A303E7" w:rsidRPr="00C3792D" w:rsidRDefault="00A303E7" w:rsidP="00A303E7">
      <w:pPr>
        <w:pStyle w:val="ListParagraph"/>
        <w:rPr>
          <w:rFonts w:ascii="Arial" w:hAnsi="Arial" w:cs="Arial"/>
          <w:sz w:val="24"/>
          <w:szCs w:val="24"/>
        </w:rPr>
      </w:pPr>
    </w:p>
    <w:p w14:paraId="64B44531" w14:textId="77777777" w:rsidR="00A303E7" w:rsidRPr="00C3792D" w:rsidRDefault="00A303E7" w:rsidP="003E2EDC">
      <w:pPr>
        <w:pStyle w:val="ListParagraph"/>
        <w:numPr>
          <w:ilvl w:val="0"/>
          <w:numId w:val="32"/>
        </w:numPr>
        <w:shd w:val="clear" w:color="auto" w:fill="FFFFFF"/>
        <w:spacing w:before="144" w:after="0" w:line="480" w:lineRule="auto"/>
        <w:jc w:val="both"/>
        <w:rPr>
          <w:rFonts w:ascii="Arial" w:eastAsia="Times New Roman" w:hAnsi="Arial" w:cs="Arial"/>
          <w:color w:val="242121"/>
          <w:sz w:val="24"/>
          <w:szCs w:val="24"/>
          <w:lang w:eastAsia="en-ZA"/>
        </w:rPr>
      </w:pPr>
      <w:r w:rsidRPr="00C3792D">
        <w:rPr>
          <w:rFonts w:ascii="Arial" w:hAnsi="Arial" w:cs="Arial"/>
          <w:sz w:val="24"/>
          <w:szCs w:val="24"/>
        </w:rPr>
        <w:t xml:space="preserve">The focus therefore shifts to whether the appellant’s version can displace the evidence against him.  The account given, in the main, fits in with the broad strokes of that given by the boy and by </w:t>
      </w:r>
      <w:proofErr w:type="spellStart"/>
      <w:r w:rsidRPr="00C3792D">
        <w:rPr>
          <w:rFonts w:ascii="Arial" w:hAnsi="Arial" w:cs="Arial"/>
          <w:sz w:val="24"/>
          <w:szCs w:val="24"/>
        </w:rPr>
        <w:t>Rampai</w:t>
      </w:r>
      <w:proofErr w:type="spellEnd"/>
      <w:r w:rsidRPr="00C3792D">
        <w:rPr>
          <w:rFonts w:ascii="Arial" w:hAnsi="Arial" w:cs="Arial"/>
          <w:sz w:val="24"/>
          <w:szCs w:val="24"/>
        </w:rPr>
        <w:t>. The police officers were not called to testify, which is a pity, because their evidence might have resolved some of the debate about points of dispute as to the moment of entry into the room of the appellant, but would, nevertheless, not have been crucial to the making of a safe finding on the charge.</w:t>
      </w:r>
    </w:p>
    <w:p w14:paraId="72CF5E49" w14:textId="77777777" w:rsidR="00A303E7" w:rsidRPr="00C3792D" w:rsidRDefault="00A303E7" w:rsidP="00A303E7">
      <w:pPr>
        <w:pStyle w:val="ListParagraph"/>
        <w:rPr>
          <w:rFonts w:ascii="Arial" w:hAnsi="Arial" w:cs="Arial"/>
          <w:sz w:val="24"/>
          <w:szCs w:val="24"/>
        </w:rPr>
      </w:pPr>
    </w:p>
    <w:p w14:paraId="18610F88" w14:textId="77777777" w:rsidR="00A303E7" w:rsidRPr="00C3792D" w:rsidRDefault="00A303E7" w:rsidP="003E2EDC">
      <w:pPr>
        <w:pStyle w:val="ListParagraph"/>
        <w:numPr>
          <w:ilvl w:val="0"/>
          <w:numId w:val="32"/>
        </w:numPr>
        <w:shd w:val="clear" w:color="auto" w:fill="FFFFFF"/>
        <w:spacing w:before="144" w:after="0" w:line="480" w:lineRule="auto"/>
        <w:jc w:val="both"/>
        <w:rPr>
          <w:rFonts w:ascii="Arial" w:eastAsia="Times New Roman" w:hAnsi="Arial" w:cs="Arial"/>
          <w:color w:val="242121"/>
          <w:sz w:val="24"/>
          <w:szCs w:val="24"/>
          <w:lang w:eastAsia="en-ZA"/>
        </w:rPr>
      </w:pPr>
      <w:r w:rsidRPr="00C3792D">
        <w:rPr>
          <w:rFonts w:ascii="Arial" w:hAnsi="Arial" w:cs="Arial"/>
          <w:sz w:val="24"/>
          <w:szCs w:val="24"/>
        </w:rPr>
        <w:t xml:space="preserve">The Magistrate addressed the version of the appellant and concluded that it was not reasonably possibly true. The critical aspects were the allegation of the robbery of him by </w:t>
      </w:r>
      <w:proofErr w:type="spellStart"/>
      <w:r w:rsidRPr="00C3792D">
        <w:rPr>
          <w:rFonts w:ascii="Arial" w:hAnsi="Arial" w:cs="Arial"/>
          <w:sz w:val="24"/>
          <w:szCs w:val="24"/>
        </w:rPr>
        <w:t>Rampai</w:t>
      </w:r>
      <w:proofErr w:type="spellEnd"/>
      <w:r w:rsidRPr="00C3792D">
        <w:rPr>
          <w:rFonts w:ascii="Arial" w:hAnsi="Arial" w:cs="Arial"/>
          <w:sz w:val="24"/>
          <w:szCs w:val="24"/>
        </w:rPr>
        <w:t xml:space="preserve">, his neighbour, as a motive to falsely accuse the appellant of another crime. There is nothing to corroborate this allegation. Moreover, it would require the boy to conspire to give false evidence of a rape. As </w:t>
      </w:r>
      <w:r w:rsidRPr="00C3792D">
        <w:rPr>
          <w:rFonts w:ascii="Arial" w:hAnsi="Arial" w:cs="Arial"/>
          <w:sz w:val="24"/>
          <w:szCs w:val="24"/>
        </w:rPr>
        <w:lastRenderedPageBreak/>
        <w:t xml:space="preserve">to an explanation why the boy was with him in the bed, the appellant’s version was that the boy’s mother, Cynthia also slept in the room, because her husband had locked her out of their common room. This was advanced by the appellant to suggest no opportunity for a rape existed. This claim by the appellant was flatly denied by both the boy and by Cynthia.  No rationale was unearthed why they would conspire to put forward an elaborate false claim to support </w:t>
      </w:r>
      <w:proofErr w:type="spellStart"/>
      <w:r w:rsidRPr="00C3792D">
        <w:rPr>
          <w:rFonts w:ascii="Arial" w:hAnsi="Arial" w:cs="Arial"/>
          <w:sz w:val="24"/>
          <w:szCs w:val="24"/>
        </w:rPr>
        <w:t>Rampai’s</w:t>
      </w:r>
      <w:proofErr w:type="spellEnd"/>
      <w:r w:rsidRPr="00C3792D">
        <w:rPr>
          <w:rFonts w:ascii="Arial" w:hAnsi="Arial" w:cs="Arial"/>
          <w:sz w:val="24"/>
          <w:szCs w:val="24"/>
        </w:rPr>
        <w:t xml:space="preserve"> pre-emptive strike against the appellant to divert attention from the robbery by </w:t>
      </w:r>
      <w:proofErr w:type="spellStart"/>
      <w:r w:rsidRPr="00C3792D">
        <w:rPr>
          <w:rFonts w:ascii="Arial" w:hAnsi="Arial" w:cs="Arial"/>
          <w:sz w:val="24"/>
          <w:szCs w:val="24"/>
        </w:rPr>
        <w:t>Rampai</w:t>
      </w:r>
      <w:proofErr w:type="spellEnd"/>
      <w:r w:rsidRPr="00C3792D">
        <w:rPr>
          <w:rFonts w:ascii="Arial" w:hAnsi="Arial" w:cs="Arial"/>
          <w:sz w:val="24"/>
          <w:szCs w:val="24"/>
        </w:rPr>
        <w:t xml:space="preserve"> of the appellant. Moreover, a false claim that fortuitously correlated with injuries to the boy’s anus consistent with penetration, exacerbates its improbability.</w:t>
      </w:r>
    </w:p>
    <w:p w14:paraId="5E9D955E" w14:textId="77777777" w:rsidR="00A303E7" w:rsidRPr="00C3792D" w:rsidRDefault="00A303E7" w:rsidP="00A303E7">
      <w:pPr>
        <w:pStyle w:val="ListParagraph"/>
        <w:shd w:val="clear" w:color="auto" w:fill="FFFFFF"/>
        <w:spacing w:before="144" w:after="0" w:line="480" w:lineRule="auto"/>
        <w:ind w:left="360"/>
        <w:jc w:val="both"/>
        <w:rPr>
          <w:rFonts w:ascii="Arial" w:eastAsia="Times New Roman" w:hAnsi="Arial" w:cs="Arial"/>
          <w:color w:val="242121"/>
          <w:sz w:val="24"/>
          <w:szCs w:val="24"/>
          <w:lang w:eastAsia="en-ZA"/>
        </w:rPr>
      </w:pPr>
    </w:p>
    <w:p w14:paraId="5E78237E" w14:textId="77777777" w:rsidR="00A303E7" w:rsidRPr="00C3792D" w:rsidRDefault="00A303E7" w:rsidP="003E2EDC">
      <w:pPr>
        <w:pStyle w:val="ListParagraph"/>
        <w:numPr>
          <w:ilvl w:val="0"/>
          <w:numId w:val="32"/>
        </w:numPr>
        <w:shd w:val="clear" w:color="auto" w:fill="FFFFFF"/>
        <w:spacing w:before="144" w:after="0" w:line="480" w:lineRule="auto"/>
        <w:jc w:val="both"/>
        <w:rPr>
          <w:rFonts w:ascii="Arial" w:eastAsia="Times New Roman" w:hAnsi="Arial" w:cs="Arial"/>
          <w:color w:val="242121"/>
          <w:sz w:val="24"/>
          <w:szCs w:val="24"/>
          <w:lang w:eastAsia="en-ZA"/>
        </w:rPr>
      </w:pPr>
      <w:r w:rsidRPr="00C3792D">
        <w:rPr>
          <w:rFonts w:ascii="Arial" w:hAnsi="Arial" w:cs="Arial"/>
          <w:sz w:val="24"/>
          <w:szCs w:val="24"/>
        </w:rPr>
        <w:t>The finding by the Magistrate, adverse to this tale being true, is not assailable. In the circumstances, the finding of guilty as charged is not subject to criticism.</w:t>
      </w:r>
    </w:p>
    <w:p w14:paraId="41F68BA4" w14:textId="77777777" w:rsidR="00A303E7" w:rsidRPr="00C3792D" w:rsidRDefault="00A303E7" w:rsidP="00A303E7">
      <w:pPr>
        <w:pStyle w:val="ListParagraph"/>
        <w:shd w:val="clear" w:color="auto" w:fill="FFFFFF"/>
        <w:spacing w:before="144" w:after="0" w:line="480" w:lineRule="auto"/>
        <w:ind w:left="360"/>
        <w:jc w:val="both"/>
        <w:rPr>
          <w:rFonts w:ascii="Arial" w:eastAsia="Times New Roman" w:hAnsi="Arial" w:cs="Arial"/>
          <w:color w:val="242121"/>
          <w:sz w:val="24"/>
          <w:szCs w:val="24"/>
          <w:lang w:eastAsia="en-ZA"/>
        </w:rPr>
      </w:pPr>
      <w:r w:rsidRPr="00C3792D">
        <w:rPr>
          <w:rFonts w:ascii="Arial" w:hAnsi="Arial" w:cs="Arial"/>
          <w:sz w:val="24"/>
          <w:szCs w:val="24"/>
        </w:rPr>
        <w:t xml:space="preserve"> </w:t>
      </w:r>
    </w:p>
    <w:p w14:paraId="2A57D784" w14:textId="77777777" w:rsidR="00A303E7" w:rsidRPr="00C3792D" w:rsidRDefault="00A303E7" w:rsidP="003E2EDC">
      <w:pPr>
        <w:pStyle w:val="ListParagraph"/>
        <w:numPr>
          <w:ilvl w:val="0"/>
          <w:numId w:val="32"/>
        </w:numPr>
        <w:shd w:val="clear" w:color="auto" w:fill="FFFFFF"/>
        <w:spacing w:before="144" w:after="0" w:line="480" w:lineRule="auto"/>
        <w:jc w:val="both"/>
        <w:rPr>
          <w:rFonts w:ascii="Arial" w:eastAsia="Times New Roman" w:hAnsi="Arial" w:cs="Arial"/>
          <w:color w:val="242121"/>
          <w:sz w:val="24"/>
          <w:szCs w:val="24"/>
          <w:lang w:eastAsia="en-ZA"/>
        </w:rPr>
      </w:pPr>
      <w:r w:rsidRPr="00C3792D">
        <w:rPr>
          <w:rFonts w:ascii="Arial" w:hAnsi="Arial" w:cs="Arial"/>
          <w:sz w:val="24"/>
          <w:szCs w:val="24"/>
        </w:rPr>
        <w:t xml:space="preserve">As to sentence, the Magistrate gave due consideration to the relevant facts and the law, as more fully set out in the judgment of </w:t>
      </w:r>
      <w:proofErr w:type="spellStart"/>
      <w:r w:rsidRPr="00C3792D">
        <w:rPr>
          <w:rFonts w:ascii="Arial" w:hAnsi="Arial" w:cs="Arial"/>
          <w:sz w:val="24"/>
          <w:szCs w:val="24"/>
        </w:rPr>
        <w:t>Matjele</w:t>
      </w:r>
      <w:proofErr w:type="spellEnd"/>
      <w:r w:rsidRPr="00C3792D">
        <w:rPr>
          <w:rFonts w:ascii="Arial" w:hAnsi="Arial" w:cs="Arial"/>
          <w:sz w:val="24"/>
          <w:szCs w:val="24"/>
        </w:rPr>
        <w:t xml:space="preserve"> AJ. In my view, the conclusion that the minimum sentence had to be imposed was correct. The personal circumstances of the appellant were not of the stuff that could justify a deviation from the prescribed sentence.</w:t>
      </w:r>
    </w:p>
    <w:p w14:paraId="06F39AA1" w14:textId="77777777" w:rsidR="00A303E7" w:rsidRPr="00C3792D" w:rsidRDefault="00A303E7" w:rsidP="00A303E7">
      <w:pPr>
        <w:pStyle w:val="ListParagraph"/>
        <w:rPr>
          <w:rFonts w:ascii="Arial" w:hAnsi="Arial" w:cs="Arial"/>
          <w:sz w:val="24"/>
          <w:szCs w:val="24"/>
        </w:rPr>
      </w:pPr>
    </w:p>
    <w:p w14:paraId="4A7FC464" w14:textId="77777777" w:rsidR="00A303E7" w:rsidRPr="00B85486" w:rsidRDefault="00DD0946" w:rsidP="003E2EDC">
      <w:pPr>
        <w:pStyle w:val="ListParagraph"/>
        <w:numPr>
          <w:ilvl w:val="0"/>
          <w:numId w:val="32"/>
        </w:numPr>
        <w:shd w:val="clear" w:color="auto" w:fill="FFFFFF"/>
        <w:spacing w:before="144" w:after="0" w:line="480" w:lineRule="auto"/>
        <w:jc w:val="both"/>
        <w:rPr>
          <w:rFonts w:ascii="Arial" w:eastAsia="Times New Roman" w:hAnsi="Arial" w:cs="Arial"/>
          <w:color w:val="242121"/>
          <w:sz w:val="24"/>
          <w:szCs w:val="24"/>
          <w:lang w:eastAsia="en-ZA"/>
        </w:rPr>
      </w:pPr>
      <w:r>
        <w:rPr>
          <w:rFonts w:ascii="Arial" w:hAnsi="Arial" w:cs="Arial"/>
          <w:sz w:val="24"/>
          <w:szCs w:val="24"/>
        </w:rPr>
        <w:t xml:space="preserve">In my view the appropriate order is that </w:t>
      </w:r>
      <w:r w:rsidR="00A303E7" w:rsidRPr="00C3792D">
        <w:rPr>
          <w:rFonts w:ascii="Arial" w:hAnsi="Arial" w:cs="Arial"/>
          <w:sz w:val="24"/>
          <w:szCs w:val="24"/>
        </w:rPr>
        <w:t xml:space="preserve">the appeal should be dismissed both as to conviction and the sentence. </w:t>
      </w:r>
      <w:r w:rsidRPr="00E11632">
        <w:rPr>
          <w:rFonts w:ascii="Arial" w:hAnsi="Arial" w:cs="Arial"/>
          <w:sz w:val="24"/>
          <w:szCs w:val="24"/>
        </w:rPr>
        <w:t xml:space="preserve">I do not consider it necessary to make the further order as set out in the Judgment of </w:t>
      </w:r>
      <w:proofErr w:type="spellStart"/>
      <w:r w:rsidRPr="00E11632">
        <w:rPr>
          <w:rFonts w:ascii="Arial" w:hAnsi="Arial" w:cs="Arial"/>
          <w:sz w:val="24"/>
          <w:szCs w:val="24"/>
        </w:rPr>
        <w:t>Matjele</w:t>
      </w:r>
      <w:proofErr w:type="spellEnd"/>
      <w:r w:rsidRPr="00E11632">
        <w:rPr>
          <w:rFonts w:ascii="Arial" w:hAnsi="Arial" w:cs="Arial"/>
          <w:sz w:val="24"/>
          <w:szCs w:val="24"/>
        </w:rPr>
        <w:t xml:space="preserve"> AJ.</w:t>
      </w:r>
      <w:r w:rsidR="00B85486" w:rsidRPr="00E11632">
        <w:rPr>
          <w:rFonts w:ascii="Arial" w:hAnsi="Arial" w:cs="Arial"/>
          <w:sz w:val="24"/>
          <w:szCs w:val="24"/>
        </w:rPr>
        <w:t xml:space="preserve"> </w:t>
      </w:r>
    </w:p>
    <w:p w14:paraId="229E091F" w14:textId="77777777" w:rsidR="00B85486" w:rsidRPr="00B85486" w:rsidRDefault="00B85486" w:rsidP="00B85486">
      <w:pPr>
        <w:pStyle w:val="ListParagraph"/>
        <w:rPr>
          <w:rFonts w:ascii="Arial" w:eastAsia="Times New Roman" w:hAnsi="Arial" w:cs="Arial"/>
          <w:color w:val="242121"/>
          <w:sz w:val="24"/>
          <w:szCs w:val="24"/>
          <w:lang w:eastAsia="en-ZA"/>
        </w:rPr>
      </w:pPr>
    </w:p>
    <w:p w14:paraId="23D0A71B" w14:textId="77777777" w:rsidR="00B85486" w:rsidRDefault="00B85486" w:rsidP="003E2EDC">
      <w:pPr>
        <w:pStyle w:val="ListParagraph"/>
        <w:numPr>
          <w:ilvl w:val="0"/>
          <w:numId w:val="32"/>
        </w:numPr>
        <w:shd w:val="clear" w:color="auto" w:fill="FFFFFF"/>
        <w:spacing w:before="144" w:after="0" w:line="480" w:lineRule="auto"/>
        <w:jc w:val="both"/>
        <w:rPr>
          <w:rFonts w:ascii="Arial" w:eastAsia="Times New Roman" w:hAnsi="Arial" w:cs="Arial"/>
          <w:color w:val="242121"/>
          <w:sz w:val="24"/>
          <w:szCs w:val="24"/>
          <w:lang w:eastAsia="en-ZA"/>
        </w:rPr>
      </w:pPr>
      <w:r>
        <w:rPr>
          <w:rFonts w:ascii="Arial" w:eastAsia="Times New Roman" w:hAnsi="Arial" w:cs="Arial"/>
          <w:color w:val="242121"/>
          <w:sz w:val="24"/>
          <w:szCs w:val="24"/>
          <w:lang w:eastAsia="en-ZA"/>
        </w:rPr>
        <w:t>Accordingly, the order is as follows:</w:t>
      </w:r>
    </w:p>
    <w:p w14:paraId="16A77D2B" w14:textId="77777777" w:rsidR="00B85486" w:rsidRPr="00B85486" w:rsidRDefault="00B85486" w:rsidP="00B85486">
      <w:pPr>
        <w:pStyle w:val="ListParagraph"/>
        <w:rPr>
          <w:rFonts w:ascii="Arial" w:eastAsia="Times New Roman" w:hAnsi="Arial" w:cs="Arial"/>
          <w:color w:val="242121"/>
          <w:sz w:val="24"/>
          <w:szCs w:val="24"/>
          <w:lang w:eastAsia="en-ZA"/>
        </w:rPr>
      </w:pPr>
    </w:p>
    <w:p w14:paraId="3279A39A" w14:textId="77777777" w:rsidR="00B85486" w:rsidRPr="00B85486" w:rsidRDefault="00B85486" w:rsidP="00B85486">
      <w:pPr>
        <w:shd w:val="clear" w:color="auto" w:fill="FFFFFF"/>
        <w:spacing w:before="144" w:after="0" w:line="480" w:lineRule="auto"/>
        <w:jc w:val="both"/>
        <w:rPr>
          <w:rFonts w:ascii="Arial" w:eastAsia="Times New Roman" w:hAnsi="Arial" w:cs="Arial"/>
          <w:color w:val="242121"/>
          <w:sz w:val="24"/>
          <w:szCs w:val="24"/>
          <w:lang w:eastAsia="en-ZA"/>
        </w:rPr>
      </w:pPr>
      <w:r>
        <w:rPr>
          <w:rFonts w:ascii="Arial" w:eastAsia="Times New Roman" w:hAnsi="Arial" w:cs="Arial"/>
          <w:color w:val="242121"/>
          <w:sz w:val="24"/>
          <w:szCs w:val="24"/>
          <w:lang w:eastAsia="en-ZA"/>
        </w:rPr>
        <w:t>The appeal against conviction and sentence is dismissed.</w:t>
      </w:r>
    </w:p>
    <w:p w14:paraId="7F8621A2" w14:textId="77777777" w:rsidR="00786E9D" w:rsidRPr="00786E9D" w:rsidRDefault="00786E9D" w:rsidP="00786E9D">
      <w:pPr>
        <w:pStyle w:val="ListParagraph"/>
        <w:rPr>
          <w:rFonts w:ascii="Arial" w:eastAsia="Times New Roman" w:hAnsi="Arial" w:cs="Arial"/>
          <w:color w:val="242121"/>
          <w:sz w:val="24"/>
          <w:szCs w:val="24"/>
          <w:lang w:eastAsia="en-ZA"/>
        </w:rPr>
      </w:pPr>
    </w:p>
    <w:p w14:paraId="57C54A1F" w14:textId="77777777" w:rsidR="00786E9D" w:rsidRPr="00491A1E" w:rsidRDefault="00786E9D" w:rsidP="00786E9D">
      <w:pPr>
        <w:rPr>
          <w:rFonts w:ascii="Arial" w:eastAsia="Times New Roman" w:hAnsi="Arial" w:cs="Arial"/>
          <w:b/>
          <w:color w:val="242121"/>
          <w:sz w:val="24"/>
          <w:szCs w:val="24"/>
          <w:lang w:eastAsia="en-ZA"/>
        </w:rPr>
      </w:pPr>
      <w:r w:rsidRPr="00491A1E">
        <w:rPr>
          <w:rFonts w:ascii="Arial" w:eastAsia="Times New Roman" w:hAnsi="Arial" w:cs="Arial"/>
          <w:b/>
          <w:color w:val="242121"/>
          <w:sz w:val="24"/>
          <w:szCs w:val="24"/>
          <w:lang w:eastAsia="en-ZA"/>
        </w:rPr>
        <w:t>MOILA AJ:</w:t>
      </w:r>
    </w:p>
    <w:p w14:paraId="46B97448" w14:textId="77777777" w:rsidR="00786E9D" w:rsidRPr="00786E9D" w:rsidRDefault="00786E9D" w:rsidP="00786E9D">
      <w:pPr>
        <w:rPr>
          <w:rFonts w:ascii="Arial" w:eastAsia="Times New Roman" w:hAnsi="Arial" w:cs="Arial"/>
          <w:color w:val="242121"/>
          <w:sz w:val="24"/>
          <w:szCs w:val="24"/>
          <w:lang w:eastAsia="en-ZA"/>
        </w:rPr>
      </w:pPr>
    </w:p>
    <w:p w14:paraId="53AED302" w14:textId="77777777" w:rsidR="00A303E7" w:rsidRPr="00786E9D" w:rsidRDefault="00786E9D" w:rsidP="003E2EDC">
      <w:pPr>
        <w:pStyle w:val="ListParagraph"/>
        <w:numPr>
          <w:ilvl w:val="0"/>
          <w:numId w:val="32"/>
        </w:numPr>
        <w:spacing w:line="480" w:lineRule="auto"/>
        <w:rPr>
          <w:rFonts w:ascii="Arial" w:hAnsi="Arial" w:cs="Arial"/>
          <w:sz w:val="24"/>
          <w:szCs w:val="24"/>
        </w:rPr>
      </w:pPr>
      <w:r w:rsidRPr="00786E9D">
        <w:rPr>
          <w:rFonts w:ascii="Arial" w:hAnsi="Arial" w:cs="Arial"/>
          <w:sz w:val="24"/>
          <w:szCs w:val="24"/>
        </w:rPr>
        <w:t>I have had the benefit</w:t>
      </w:r>
      <w:r w:rsidR="00491A1E">
        <w:rPr>
          <w:rFonts w:ascii="Arial" w:hAnsi="Arial" w:cs="Arial"/>
          <w:sz w:val="24"/>
          <w:szCs w:val="24"/>
        </w:rPr>
        <w:t xml:space="preserve"> of reading the judgments of</w:t>
      </w:r>
      <w:r w:rsidRPr="00786E9D">
        <w:rPr>
          <w:rFonts w:ascii="Arial" w:hAnsi="Arial" w:cs="Arial"/>
          <w:sz w:val="24"/>
          <w:szCs w:val="24"/>
        </w:rPr>
        <w:t xml:space="preserve"> Sutherland </w:t>
      </w:r>
      <w:r w:rsidR="00491A1E">
        <w:rPr>
          <w:rFonts w:ascii="Arial" w:hAnsi="Arial" w:cs="Arial"/>
          <w:sz w:val="24"/>
          <w:szCs w:val="24"/>
        </w:rPr>
        <w:t xml:space="preserve">DJP </w:t>
      </w:r>
      <w:r w:rsidRPr="00786E9D">
        <w:rPr>
          <w:rFonts w:ascii="Arial" w:hAnsi="Arial" w:cs="Arial"/>
          <w:sz w:val="24"/>
          <w:szCs w:val="24"/>
        </w:rPr>
        <w:t xml:space="preserve">and </w:t>
      </w:r>
      <w:proofErr w:type="spellStart"/>
      <w:r w:rsidRPr="00786E9D">
        <w:rPr>
          <w:rFonts w:ascii="Arial" w:hAnsi="Arial" w:cs="Arial"/>
          <w:sz w:val="24"/>
          <w:szCs w:val="24"/>
        </w:rPr>
        <w:t>Matjele</w:t>
      </w:r>
      <w:proofErr w:type="spellEnd"/>
      <w:r w:rsidRPr="00786E9D">
        <w:rPr>
          <w:rFonts w:ascii="Arial" w:hAnsi="Arial" w:cs="Arial"/>
          <w:sz w:val="24"/>
          <w:szCs w:val="24"/>
        </w:rPr>
        <w:t xml:space="preserve"> AJ.</w:t>
      </w:r>
      <w:r w:rsidR="00B85486">
        <w:rPr>
          <w:rFonts w:ascii="Arial" w:hAnsi="Arial" w:cs="Arial"/>
          <w:sz w:val="24"/>
          <w:szCs w:val="24"/>
        </w:rPr>
        <w:t xml:space="preserve"> </w:t>
      </w:r>
      <w:r w:rsidRPr="00786E9D">
        <w:rPr>
          <w:rFonts w:ascii="Arial" w:hAnsi="Arial" w:cs="Arial"/>
          <w:sz w:val="24"/>
          <w:szCs w:val="24"/>
        </w:rPr>
        <w:t>I find myself in respectful agreement with their conclusion</w:t>
      </w:r>
      <w:r w:rsidR="00491A1E">
        <w:rPr>
          <w:rFonts w:ascii="Arial" w:hAnsi="Arial" w:cs="Arial"/>
          <w:sz w:val="24"/>
          <w:szCs w:val="24"/>
        </w:rPr>
        <w:t>s</w:t>
      </w:r>
      <w:r w:rsidRPr="00786E9D">
        <w:rPr>
          <w:rFonts w:ascii="Arial" w:hAnsi="Arial" w:cs="Arial"/>
          <w:sz w:val="24"/>
          <w:szCs w:val="24"/>
        </w:rPr>
        <w:t xml:space="preserve"> that the appeal against conviction and sentence should fail.</w:t>
      </w:r>
      <w:r w:rsidR="00BF5B53">
        <w:rPr>
          <w:rFonts w:ascii="Arial" w:hAnsi="Arial" w:cs="Arial"/>
          <w:sz w:val="24"/>
          <w:szCs w:val="24"/>
        </w:rPr>
        <w:t xml:space="preserve"> </w:t>
      </w:r>
      <w:r w:rsidRPr="00786E9D">
        <w:rPr>
          <w:rFonts w:ascii="Arial" w:hAnsi="Arial" w:cs="Arial"/>
          <w:sz w:val="24"/>
          <w:szCs w:val="24"/>
        </w:rPr>
        <w:t>However,</w:t>
      </w:r>
      <w:r w:rsidR="00BF5B53">
        <w:rPr>
          <w:rFonts w:ascii="Arial" w:hAnsi="Arial" w:cs="Arial"/>
          <w:sz w:val="24"/>
          <w:szCs w:val="24"/>
        </w:rPr>
        <w:t xml:space="preserve"> </w:t>
      </w:r>
      <w:r w:rsidR="00B85486">
        <w:rPr>
          <w:rFonts w:ascii="Arial" w:hAnsi="Arial" w:cs="Arial"/>
          <w:sz w:val="24"/>
          <w:szCs w:val="24"/>
        </w:rPr>
        <w:t xml:space="preserve">in respect of </w:t>
      </w:r>
      <w:r w:rsidRPr="00786E9D">
        <w:rPr>
          <w:rFonts w:ascii="Arial" w:hAnsi="Arial" w:cs="Arial"/>
          <w:sz w:val="24"/>
          <w:szCs w:val="24"/>
        </w:rPr>
        <w:t xml:space="preserve">other issues I align myself with the judgment by DJP Sutherland. </w:t>
      </w:r>
    </w:p>
    <w:p w14:paraId="74E1E04B" w14:textId="77777777" w:rsidR="00F77E5C" w:rsidRDefault="00F77E5C" w:rsidP="00F77E5C">
      <w:pPr>
        <w:pStyle w:val="ListParagraph"/>
        <w:shd w:val="clear" w:color="auto" w:fill="FFFFFF"/>
        <w:spacing w:before="144" w:after="0" w:line="480" w:lineRule="auto"/>
        <w:ind w:left="360"/>
        <w:jc w:val="both"/>
        <w:rPr>
          <w:rFonts w:ascii="Arial" w:hAnsi="Arial" w:cs="Arial"/>
          <w:sz w:val="24"/>
          <w:szCs w:val="24"/>
        </w:rPr>
      </w:pPr>
    </w:p>
    <w:p w14:paraId="1866A505" w14:textId="77777777" w:rsidR="00F77E5C" w:rsidRDefault="00F77E5C" w:rsidP="00F77E5C">
      <w:pPr>
        <w:pStyle w:val="ListParagraph"/>
        <w:shd w:val="clear" w:color="auto" w:fill="FFFFFF"/>
        <w:spacing w:before="144" w:after="0" w:line="480" w:lineRule="auto"/>
        <w:ind w:left="360"/>
        <w:jc w:val="both"/>
        <w:rPr>
          <w:rFonts w:ascii="Arial" w:hAnsi="Arial" w:cs="Arial"/>
          <w:sz w:val="24"/>
          <w:szCs w:val="24"/>
        </w:rPr>
      </w:pPr>
    </w:p>
    <w:p w14:paraId="34D56963" w14:textId="77777777" w:rsidR="00284A9E" w:rsidRDefault="00284A9E" w:rsidP="00F77E5C">
      <w:pPr>
        <w:pStyle w:val="ListParagraph"/>
        <w:shd w:val="clear" w:color="auto" w:fill="FFFFFF"/>
        <w:spacing w:before="144" w:after="0" w:line="480" w:lineRule="auto"/>
        <w:ind w:left="360"/>
        <w:jc w:val="both"/>
        <w:rPr>
          <w:rFonts w:ascii="Arial" w:hAnsi="Arial" w:cs="Arial"/>
          <w:sz w:val="24"/>
          <w:szCs w:val="24"/>
        </w:rPr>
      </w:pPr>
    </w:p>
    <w:p w14:paraId="7A38DA1F" w14:textId="77777777" w:rsidR="00284A9E" w:rsidRDefault="00284A9E" w:rsidP="00F77E5C">
      <w:pPr>
        <w:pStyle w:val="ListParagraph"/>
        <w:shd w:val="clear" w:color="auto" w:fill="FFFFFF"/>
        <w:spacing w:before="144" w:after="0" w:line="480" w:lineRule="auto"/>
        <w:ind w:left="360"/>
        <w:jc w:val="both"/>
        <w:rPr>
          <w:rFonts w:ascii="Arial" w:hAnsi="Arial" w:cs="Arial"/>
          <w:sz w:val="24"/>
          <w:szCs w:val="24"/>
        </w:rPr>
      </w:pPr>
    </w:p>
    <w:p w14:paraId="7214CB53" w14:textId="77777777" w:rsidR="00F77E5C" w:rsidRDefault="00F77E5C" w:rsidP="00F77E5C">
      <w:pPr>
        <w:pStyle w:val="NormalWeb"/>
        <w:shd w:val="clear" w:color="auto" w:fill="FFFFFF"/>
        <w:spacing w:after="0" w:line="360" w:lineRule="auto"/>
        <w:jc w:val="right"/>
        <w:rPr>
          <w:rFonts w:ascii="Verdana" w:hAnsi="Verdana"/>
          <w:color w:val="242121"/>
        </w:rPr>
      </w:pPr>
      <w:r>
        <w:rPr>
          <w:rFonts w:ascii="Arial" w:hAnsi="Arial" w:cs="Arial"/>
          <w:b/>
          <w:bCs/>
          <w:color w:val="242121"/>
        </w:rPr>
        <w:t>_____________________</w:t>
      </w:r>
    </w:p>
    <w:p w14:paraId="22C916EE" w14:textId="77777777" w:rsidR="00A4419C" w:rsidRDefault="00F77E5C" w:rsidP="003E2EDC">
      <w:pPr>
        <w:pStyle w:val="NormalWeb"/>
        <w:shd w:val="clear" w:color="auto" w:fill="FFFFFF"/>
        <w:spacing w:after="0" w:line="360" w:lineRule="auto"/>
        <w:jc w:val="right"/>
        <w:rPr>
          <w:rFonts w:ascii="Verdana" w:hAnsi="Verdana"/>
          <w:color w:val="242121"/>
        </w:rPr>
      </w:pPr>
      <w:proofErr w:type="spellStart"/>
      <w:r>
        <w:rPr>
          <w:rFonts w:ascii="Arial" w:hAnsi="Arial" w:cs="Arial"/>
          <w:b/>
          <w:bCs/>
          <w:color w:val="242121"/>
        </w:rPr>
        <w:t>Matjele</w:t>
      </w:r>
      <w:proofErr w:type="spellEnd"/>
      <w:r w:rsidR="00DD0946">
        <w:rPr>
          <w:rFonts w:ascii="Arial" w:hAnsi="Arial" w:cs="Arial"/>
          <w:b/>
          <w:bCs/>
          <w:color w:val="242121"/>
        </w:rPr>
        <w:t xml:space="preserve"> AJ</w:t>
      </w:r>
    </w:p>
    <w:p w14:paraId="178171F8" w14:textId="77777777" w:rsidR="00F77E5C" w:rsidRDefault="00F77E5C" w:rsidP="00F77E5C">
      <w:pPr>
        <w:pStyle w:val="ListParagraph"/>
        <w:spacing w:line="480" w:lineRule="auto"/>
        <w:ind w:left="360"/>
        <w:rPr>
          <w:rFonts w:ascii="Arial" w:hAnsi="Arial" w:cs="Arial"/>
          <w:sz w:val="24"/>
          <w:szCs w:val="24"/>
        </w:rPr>
      </w:pPr>
    </w:p>
    <w:p w14:paraId="5BFDF1D6" w14:textId="77777777" w:rsidR="00F77E5C" w:rsidRDefault="00F77E5C" w:rsidP="00F77E5C">
      <w:pPr>
        <w:pStyle w:val="ListParagraph"/>
        <w:spacing w:line="480" w:lineRule="auto"/>
        <w:ind w:left="360"/>
        <w:rPr>
          <w:rFonts w:ascii="Arial" w:hAnsi="Arial" w:cs="Arial"/>
          <w:sz w:val="24"/>
          <w:szCs w:val="24"/>
        </w:rPr>
      </w:pPr>
    </w:p>
    <w:p w14:paraId="3833882B" w14:textId="77777777" w:rsidR="00F77E5C" w:rsidRDefault="00F77E5C" w:rsidP="00F77E5C">
      <w:pPr>
        <w:pStyle w:val="NormalWeb"/>
        <w:shd w:val="clear" w:color="auto" w:fill="FFFFFF"/>
        <w:spacing w:after="0" w:line="360" w:lineRule="auto"/>
        <w:jc w:val="right"/>
        <w:rPr>
          <w:rFonts w:ascii="Verdana" w:hAnsi="Verdana"/>
          <w:color w:val="242121"/>
        </w:rPr>
      </w:pPr>
      <w:r>
        <w:rPr>
          <w:rFonts w:ascii="Arial" w:hAnsi="Arial" w:cs="Arial"/>
          <w:b/>
          <w:bCs/>
          <w:color w:val="242121"/>
        </w:rPr>
        <w:t>_____________________</w:t>
      </w:r>
    </w:p>
    <w:p w14:paraId="2BFBA2E7" w14:textId="77777777" w:rsidR="00A4419C" w:rsidRDefault="00F77E5C" w:rsidP="003E2EDC">
      <w:pPr>
        <w:pStyle w:val="NormalWeb"/>
        <w:shd w:val="clear" w:color="auto" w:fill="FFFFFF"/>
        <w:spacing w:after="0" w:line="360" w:lineRule="auto"/>
        <w:jc w:val="right"/>
        <w:rPr>
          <w:rFonts w:ascii="Arial" w:hAnsi="Arial" w:cs="Arial"/>
          <w:b/>
          <w:bCs/>
          <w:color w:val="242121"/>
        </w:rPr>
      </w:pPr>
      <w:r w:rsidRPr="00A07F22">
        <w:rPr>
          <w:rFonts w:ascii="Verdana" w:hAnsi="Verdana"/>
          <w:b/>
          <w:color w:val="242121"/>
        </w:rPr>
        <w:t>Sutherland</w:t>
      </w:r>
      <w:r w:rsidR="00DD0946">
        <w:rPr>
          <w:rFonts w:ascii="Verdana" w:hAnsi="Verdana"/>
          <w:b/>
          <w:color w:val="242121"/>
        </w:rPr>
        <w:t xml:space="preserve"> DJP</w:t>
      </w:r>
    </w:p>
    <w:p w14:paraId="6FA5441E" w14:textId="77777777" w:rsidR="00817C26" w:rsidRDefault="00817C26" w:rsidP="00A4419C">
      <w:pPr>
        <w:pStyle w:val="NormalWeb"/>
        <w:shd w:val="clear" w:color="auto" w:fill="FFFFFF"/>
        <w:spacing w:after="0" w:line="360" w:lineRule="auto"/>
        <w:rPr>
          <w:rFonts w:ascii="Arial" w:hAnsi="Arial" w:cs="Arial"/>
          <w:b/>
          <w:bCs/>
          <w:color w:val="242121"/>
        </w:rPr>
      </w:pPr>
    </w:p>
    <w:p w14:paraId="323328B0" w14:textId="77777777" w:rsidR="00A4419C" w:rsidRDefault="00A4419C" w:rsidP="00A4419C">
      <w:pPr>
        <w:pStyle w:val="NormalWeb"/>
        <w:shd w:val="clear" w:color="auto" w:fill="FFFFFF"/>
        <w:spacing w:after="0" w:line="360" w:lineRule="auto"/>
        <w:rPr>
          <w:rFonts w:ascii="Verdana" w:hAnsi="Verdana"/>
          <w:color w:val="242121"/>
        </w:rPr>
      </w:pPr>
    </w:p>
    <w:p w14:paraId="6FACB017" w14:textId="77777777" w:rsidR="00A4419C" w:rsidRDefault="00A4419C" w:rsidP="00A4419C">
      <w:pPr>
        <w:pStyle w:val="NormalWeb"/>
        <w:shd w:val="clear" w:color="auto" w:fill="FFFFFF"/>
        <w:spacing w:after="0" w:line="360" w:lineRule="auto"/>
        <w:jc w:val="right"/>
        <w:rPr>
          <w:rFonts w:ascii="Verdana" w:hAnsi="Verdana"/>
          <w:color w:val="242121"/>
        </w:rPr>
      </w:pPr>
      <w:r>
        <w:rPr>
          <w:rFonts w:ascii="Arial" w:hAnsi="Arial" w:cs="Arial"/>
          <w:b/>
          <w:bCs/>
          <w:color w:val="242121"/>
        </w:rPr>
        <w:t>_____________________</w:t>
      </w:r>
    </w:p>
    <w:p w14:paraId="4EEC5F7C" w14:textId="77777777" w:rsidR="00A4419C" w:rsidRPr="00A07F22" w:rsidRDefault="00DD0946" w:rsidP="00DD0946">
      <w:pPr>
        <w:pStyle w:val="NormalWeb"/>
        <w:shd w:val="clear" w:color="auto" w:fill="FFFFFF"/>
        <w:spacing w:after="0" w:line="360" w:lineRule="auto"/>
        <w:jc w:val="center"/>
        <w:rPr>
          <w:rFonts w:ascii="Verdana" w:hAnsi="Verdana"/>
          <w:b/>
          <w:color w:val="242121"/>
        </w:rPr>
      </w:pPr>
      <w:r>
        <w:rPr>
          <w:rFonts w:ascii="Verdana" w:hAnsi="Verdana"/>
          <w:b/>
          <w:color w:val="242121"/>
        </w:rPr>
        <w:t xml:space="preserve">                                                                                           </w:t>
      </w:r>
      <w:proofErr w:type="spellStart"/>
      <w:r w:rsidR="00A4419C">
        <w:rPr>
          <w:rFonts w:ascii="Verdana" w:hAnsi="Verdana"/>
          <w:b/>
          <w:color w:val="242121"/>
        </w:rPr>
        <w:t>Moila</w:t>
      </w:r>
      <w:proofErr w:type="spellEnd"/>
      <w:r>
        <w:rPr>
          <w:rFonts w:ascii="Verdana" w:hAnsi="Verdana"/>
          <w:b/>
          <w:color w:val="242121"/>
        </w:rPr>
        <w:t xml:space="preserve"> AJ</w:t>
      </w:r>
    </w:p>
    <w:p w14:paraId="5D17FF12" w14:textId="77777777" w:rsidR="001F51FC" w:rsidRDefault="001F51FC" w:rsidP="007208D1">
      <w:pPr>
        <w:pStyle w:val="NormalWeb"/>
        <w:shd w:val="clear" w:color="auto" w:fill="FFFFFF"/>
        <w:spacing w:after="0" w:line="360" w:lineRule="auto"/>
        <w:rPr>
          <w:rFonts w:ascii="Verdana" w:hAnsi="Verdana"/>
          <w:color w:val="242121"/>
        </w:rPr>
      </w:pPr>
    </w:p>
    <w:p w14:paraId="7CA14C5F" w14:textId="77777777" w:rsidR="007B4E6E" w:rsidRDefault="007B4E6E" w:rsidP="007208D1">
      <w:pPr>
        <w:pStyle w:val="NormalWeb"/>
        <w:shd w:val="clear" w:color="auto" w:fill="FFFFFF"/>
        <w:spacing w:after="0" w:line="360" w:lineRule="auto"/>
        <w:rPr>
          <w:rFonts w:ascii="Verdana" w:hAnsi="Verdana"/>
          <w:color w:val="242121"/>
        </w:rPr>
      </w:pPr>
    </w:p>
    <w:p w14:paraId="52FBDBDC" w14:textId="77777777" w:rsidR="007B4E6E" w:rsidRDefault="007B4E6E" w:rsidP="007208D1">
      <w:pPr>
        <w:pStyle w:val="NormalWeb"/>
        <w:shd w:val="clear" w:color="auto" w:fill="FFFFFF"/>
        <w:spacing w:after="0" w:line="360" w:lineRule="auto"/>
        <w:rPr>
          <w:rFonts w:ascii="Verdana" w:hAnsi="Verdana"/>
          <w:color w:val="242121"/>
        </w:rPr>
      </w:pPr>
    </w:p>
    <w:p w14:paraId="232E70CC" w14:textId="77777777" w:rsidR="001F51FC" w:rsidRDefault="00310DEB" w:rsidP="001F51FC">
      <w:pPr>
        <w:pStyle w:val="NormalWeb"/>
        <w:shd w:val="clear" w:color="auto" w:fill="FFFFFF"/>
        <w:spacing w:after="0" w:line="360" w:lineRule="auto"/>
        <w:rPr>
          <w:rFonts w:ascii="Verdana" w:hAnsi="Verdana"/>
          <w:color w:val="242121"/>
        </w:rPr>
      </w:pPr>
      <w:r>
        <w:rPr>
          <w:rFonts w:ascii="Arial" w:hAnsi="Arial" w:cs="Arial"/>
          <w:b/>
          <w:bCs/>
          <w:color w:val="242121"/>
        </w:rPr>
        <w:t>Heads of argument prepared</w:t>
      </w:r>
      <w:r w:rsidR="007B4E6E">
        <w:rPr>
          <w:rFonts w:ascii="Arial" w:hAnsi="Arial" w:cs="Arial"/>
          <w:b/>
          <w:bCs/>
          <w:color w:val="242121"/>
        </w:rPr>
        <w:t xml:space="preserve"> by</w:t>
      </w:r>
      <w:r w:rsidR="001F51FC">
        <w:rPr>
          <w:rFonts w:ascii="Arial" w:hAnsi="Arial" w:cs="Arial"/>
          <w:b/>
          <w:bCs/>
          <w:color w:val="242121"/>
        </w:rPr>
        <w:t>:</w:t>
      </w:r>
    </w:p>
    <w:p w14:paraId="47AA0ED6" w14:textId="77777777" w:rsidR="001F51FC" w:rsidRDefault="001F51FC" w:rsidP="001F51FC">
      <w:pPr>
        <w:pStyle w:val="NormalWeb"/>
        <w:shd w:val="clear" w:color="auto" w:fill="FFFFFF"/>
        <w:spacing w:after="0" w:line="360" w:lineRule="auto"/>
        <w:rPr>
          <w:rFonts w:ascii="Verdana" w:hAnsi="Verdana"/>
          <w:color w:val="242121"/>
        </w:rPr>
      </w:pPr>
      <w:r>
        <w:rPr>
          <w:rFonts w:ascii="Arial" w:hAnsi="Arial" w:cs="Arial"/>
          <w:color w:val="242121"/>
        </w:rPr>
        <w:lastRenderedPageBreak/>
        <w:t xml:space="preserve">On behalf of the applicant: </w:t>
      </w:r>
      <w:r w:rsidR="00A07F22">
        <w:rPr>
          <w:rFonts w:ascii="Arial" w:hAnsi="Arial" w:cs="Arial"/>
          <w:color w:val="242121"/>
        </w:rPr>
        <w:t xml:space="preserve">Adv. L </w:t>
      </w:r>
      <w:proofErr w:type="spellStart"/>
      <w:r w:rsidR="00A07F22">
        <w:rPr>
          <w:rFonts w:ascii="Arial" w:hAnsi="Arial" w:cs="Arial"/>
          <w:color w:val="242121"/>
        </w:rPr>
        <w:t>Musekwa</w:t>
      </w:r>
      <w:proofErr w:type="spellEnd"/>
    </w:p>
    <w:p w14:paraId="62080194" w14:textId="77777777" w:rsidR="001F51FC" w:rsidRDefault="001F51FC" w:rsidP="001F51FC">
      <w:pPr>
        <w:pStyle w:val="NormalWeb"/>
        <w:shd w:val="clear" w:color="auto" w:fill="FFFFFF"/>
        <w:spacing w:after="0" w:line="360" w:lineRule="auto"/>
        <w:rPr>
          <w:rFonts w:ascii="Verdana" w:hAnsi="Verdana"/>
          <w:color w:val="242121"/>
        </w:rPr>
      </w:pPr>
      <w:r>
        <w:rPr>
          <w:rFonts w:ascii="Arial" w:hAnsi="Arial" w:cs="Arial"/>
          <w:color w:val="242121"/>
        </w:rPr>
        <w:t xml:space="preserve">Instructed by: Legal Aid Board </w:t>
      </w:r>
    </w:p>
    <w:p w14:paraId="683182CC" w14:textId="77777777" w:rsidR="001F51FC" w:rsidRDefault="001F51FC" w:rsidP="001F51FC">
      <w:pPr>
        <w:pStyle w:val="NormalWeb"/>
        <w:shd w:val="clear" w:color="auto" w:fill="FFFFFF"/>
        <w:spacing w:after="0" w:line="360" w:lineRule="auto"/>
        <w:rPr>
          <w:rFonts w:ascii="Verdana" w:hAnsi="Verdana"/>
          <w:color w:val="242121"/>
        </w:rPr>
      </w:pPr>
      <w:r>
        <w:rPr>
          <w:rFonts w:ascii="Arial" w:hAnsi="Arial" w:cs="Arial"/>
          <w:color w:val="242121"/>
        </w:rPr>
        <w:t xml:space="preserve">On behalf of the respondent: </w:t>
      </w:r>
      <w:r w:rsidR="00753382">
        <w:rPr>
          <w:rFonts w:ascii="Arial" w:hAnsi="Arial" w:cs="Arial"/>
          <w:color w:val="242121"/>
        </w:rPr>
        <w:t>Adv.</w:t>
      </w:r>
      <w:r>
        <w:rPr>
          <w:rFonts w:ascii="Arial" w:hAnsi="Arial" w:cs="Arial"/>
          <w:color w:val="242121"/>
        </w:rPr>
        <w:t xml:space="preserve"> </w:t>
      </w:r>
      <w:r w:rsidR="00A07F22">
        <w:rPr>
          <w:rFonts w:ascii="Arial" w:hAnsi="Arial" w:cs="Arial"/>
          <w:color w:val="242121"/>
        </w:rPr>
        <w:t>L R</w:t>
      </w:r>
      <w:r>
        <w:rPr>
          <w:rFonts w:ascii="Arial" w:hAnsi="Arial" w:cs="Arial"/>
          <w:color w:val="242121"/>
        </w:rPr>
        <w:t xml:space="preserve"> </w:t>
      </w:r>
      <w:proofErr w:type="spellStart"/>
      <w:r w:rsidR="00A07F22">
        <w:rPr>
          <w:rFonts w:ascii="Arial" w:hAnsi="Arial" w:cs="Arial"/>
          <w:color w:val="242121"/>
        </w:rPr>
        <w:t>Mashabela</w:t>
      </w:r>
      <w:proofErr w:type="spellEnd"/>
    </w:p>
    <w:p w14:paraId="4E73CBDD" w14:textId="77777777" w:rsidR="001F51FC" w:rsidRDefault="001F51FC" w:rsidP="001F51FC">
      <w:pPr>
        <w:pStyle w:val="NormalWeb"/>
        <w:shd w:val="clear" w:color="auto" w:fill="FFFFFF"/>
        <w:spacing w:after="0" w:line="360" w:lineRule="auto"/>
        <w:rPr>
          <w:rFonts w:ascii="Verdana" w:hAnsi="Verdana"/>
          <w:color w:val="242121"/>
        </w:rPr>
      </w:pPr>
      <w:r>
        <w:rPr>
          <w:rFonts w:ascii="Arial" w:hAnsi="Arial" w:cs="Arial"/>
          <w:color w:val="242121"/>
        </w:rPr>
        <w:t>Instructed by: DPP</w:t>
      </w:r>
    </w:p>
    <w:p w14:paraId="4B60AB83" w14:textId="77777777" w:rsidR="00A07F22" w:rsidRDefault="00A07F22" w:rsidP="001F51FC">
      <w:pPr>
        <w:pStyle w:val="NormalWeb"/>
        <w:shd w:val="clear" w:color="auto" w:fill="FFFFFF"/>
        <w:spacing w:after="0" w:line="360" w:lineRule="auto"/>
        <w:rPr>
          <w:rFonts w:ascii="Arial" w:hAnsi="Arial" w:cs="Arial"/>
          <w:color w:val="242121"/>
        </w:rPr>
      </w:pPr>
    </w:p>
    <w:p w14:paraId="56A08C57" w14:textId="77777777" w:rsidR="001F51FC" w:rsidRDefault="001F51FC" w:rsidP="001F51FC">
      <w:pPr>
        <w:pStyle w:val="NormalWeb"/>
        <w:shd w:val="clear" w:color="auto" w:fill="FFFFFF"/>
        <w:spacing w:after="0" w:line="360" w:lineRule="auto"/>
        <w:rPr>
          <w:rFonts w:ascii="Verdana" w:hAnsi="Verdana"/>
          <w:color w:val="242121"/>
        </w:rPr>
      </w:pPr>
      <w:r>
        <w:rPr>
          <w:rFonts w:ascii="Arial" w:hAnsi="Arial" w:cs="Arial"/>
          <w:color w:val="242121"/>
        </w:rPr>
        <w:t>Date of hearing:</w:t>
      </w:r>
      <w:r>
        <w:rPr>
          <w:rFonts w:ascii="Arial" w:hAnsi="Arial" w:cs="Arial"/>
          <w:color w:val="242121"/>
        </w:rPr>
        <w:tab/>
      </w:r>
      <w:r w:rsidR="00D45AA0">
        <w:rPr>
          <w:rFonts w:ascii="Arial" w:hAnsi="Arial" w:cs="Arial"/>
          <w:color w:val="242121"/>
        </w:rPr>
        <w:t>31</w:t>
      </w:r>
      <w:r w:rsidR="00D45AA0" w:rsidRPr="00D45AA0">
        <w:rPr>
          <w:rFonts w:ascii="Arial" w:hAnsi="Arial" w:cs="Arial"/>
          <w:color w:val="242121"/>
          <w:vertAlign w:val="superscript"/>
        </w:rPr>
        <w:t>st</w:t>
      </w:r>
      <w:r w:rsidR="00D45AA0">
        <w:rPr>
          <w:rFonts w:ascii="Arial" w:hAnsi="Arial" w:cs="Arial"/>
          <w:color w:val="242121"/>
        </w:rPr>
        <w:t xml:space="preserve"> </w:t>
      </w:r>
      <w:r>
        <w:rPr>
          <w:rFonts w:ascii="Arial" w:hAnsi="Arial" w:cs="Arial"/>
          <w:color w:val="242121"/>
        </w:rPr>
        <w:t>January 2022</w:t>
      </w:r>
    </w:p>
    <w:p w14:paraId="6834D7F2" w14:textId="77777777" w:rsidR="001F51FC" w:rsidRDefault="001F51FC" w:rsidP="001F51FC">
      <w:pPr>
        <w:pStyle w:val="NormalWeb"/>
        <w:shd w:val="clear" w:color="auto" w:fill="FFFFFF"/>
        <w:spacing w:after="0" w:line="360" w:lineRule="auto"/>
        <w:rPr>
          <w:rFonts w:ascii="Verdana" w:hAnsi="Verdana"/>
          <w:color w:val="242121"/>
        </w:rPr>
      </w:pPr>
      <w:r>
        <w:rPr>
          <w:rFonts w:ascii="Arial" w:hAnsi="Arial" w:cs="Arial"/>
          <w:color w:val="242121"/>
        </w:rPr>
        <w:t xml:space="preserve">Date of judgment: </w:t>
      </w:r>
      <w:r>
        <w:rPr>
          <w:rFonts w:ascii="Arial" w:hAnsi="Arial" w:cs="Arial"/>
          <w:color w:val="242121"/>
        </w:rPr>
        <w:tab/>
      </w:r>
      <w:r w:rsidR="00FF691E">
        <w:rPr>
          <w:rFonts w:ascii="Arial" w:hAnsi="Arial" w:cs="Arial"/>
        </w:rPr>
        <w:t>1</w:t>
      </w:r>
      <w:r w:rsidR="007B4E6E">
        <w:rPr>
          <w:rFonts w:ascii="Arial" w:hAnsi="Arial" w:cs="Arial"/>
        </w:rPr>
        <w:t>5</w:t>
      </w:r>
      <w:r w:rsidR="00BE19A0">
        <w:rPr>
          <w:rFonts w:ascii="Arial" w:hAnsi="Arial" w:cs="Arial"/>
          <w:vertAlign w:val="superscript"/>
        </w:rPr>
        <w:t>th</w:t>
      </w:r>
      <w:r w:rsidR="00A07F22" w:rsidRPr="00A07F22">
        <w:rPr>
          <w:rFonts w:ascii="Arial" w:hAnsi="Arial" w:cs="Arial"/>
        </w:rPr>
        <w:t xml:space="preserve"> March 2022</w:t>
      </w:r>
    </w:p>
    <w:p w14:paraId="4E4D3FCC" w14:textId="77777777" w:rsidR="00A80C6F" w:rsidRDefault="00A80C6F"/>
    <w:sectPr w:rsidR="00A80C6F">
      <w:headerReference w:type="even" r:id="rId1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F71DB" w14:textId="77777777" w:rsidR="007A55BA" w:rsidRDefault="007A55BA" w:rsidP="001F51FC">
      <w:pPr>
        <w:spacing w:after="0" w:line="240" w:lineRule="auto"/>
      </w:pPr>
      <w:r>
        <w:separator/>
      </w:r>
    </w:p>
  </w:endnote>
  <w:endnote w:type="continuationSeparator" w:id="0">
    <w:p w14:paraId="321A9CBE" w14:textId="77777777" w:rsidR="007A55BA" w:rsidRDefault="007A55BA" w:rsidP="001F5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770563"/>
      <w:docPartObj>
        <w:docPartGallery w:val="Page Numbers (Bottom of Page)"/>
        <w:docPartUnique/>
      </w:docPartObj>
    </w:sdtPr>
    <w:sdtEndPr>
      <w:rPr>
        <w:noProof/>
      </w:rPr>
    </w:sdtEndPr>
    <w:sdtContent>
      <w:p w14:paraId="56363108" w14:textId="60620BB7" w:rsidR="00A4419C" w:rsidRDefault="00A4419C">
        <w:pPr>
          <w:pStyle w:val="Footer"/>
          <w:jc w:val="center"/>
        </w:pPr>
        <w:r>
          <w:fldChar w:fldCharType="begin"/>
        </w:r>
        <w:r>
          <w:instrText xml:space="preserve"> PAGE   \* MERGEFORMAT </w:instrText>
        </w:r>
        <w:r>
          <w:fldChar w:fldCharType="separate"/>
        </w:r>
        <w:r w:rsidR="0026195E">
          <w:rPr>
            <w:noProof/>
          </w:rPr>
          <w:t>2</w:t>
        </w:r>
        <w:r>
          <w:rPr>
            <w:noProof/>
          </w:rPr>
          <w:fldChar w:fldCharType="end"/>
        </w:r>
      </w:p>
    </w:sdtContent>
  </w:sdt>
  <w:p w14:paraId="7803D895" w14:textId="77777777" w:rsidR="00A4419C" w:rsidRPr="00AB55C0" w:rsidRDefault="00A4419C" w:rsidP="00AB55C0">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CADCC" w14:textId="77777777" w:rsidR="007A55BA" w:rsidRDefault="007A55BA" w:rsidP="001F51FC">
      <w:pPr>
        <w:spacing w:after="0" w:line="240" w:lineRule="auto"/>
      </w:pPr>
      <w:r>
        <w:separator/>
      </w:r>
    </w:p>
  </w:footnote>
  <w:footnote w:type="continuationSeparator" w:id="0">
    <w:p w14:paraId="14FAA848" w14:textId="77777777" w:rsidR="007A55BA" w:rsidRDefault="007A55BA" w:rsidP="001F51FC">
      <w:pPr>
        <w:spacing w:after="0" w:line="240" w:lineRule="auto"/>
      </w:pPr>
      <w:r>
        <w:continuationSeparator/>
      </w:r>
    </w:p>
  </w:footnote>
  <w:footnote w:id="1">
    <w:p w14:paraId="44D78CDB" w14:textId="77777777" w:rsidR="00DE0D9A" w:rsidRPr="00DE0D9A" w:rsidRDefault="00DE0D9A">
      <w:pPr>
        <w:pStyle w:val="FootnoteText"/>
        <w:rPr>
          <w:lang w:val="en-GB"/>
        </w:rPr>
      </w:pPr>
      <w:r>
        <w:rPr>
          <w:rStyle w:val="FootnoteReference"/>
        </w:rPr>
        <w:footnoteRef/>
      </w:r>
      <w:r>
        <w:t xml:space="preserve"> </w:t>
      </w:r>
      <w:r>
        <w:rPr>
          <w:lang w:val="en-GB"/>
        </w:rPr>
        <w:t xml:space="preserve">The word ‘urinated’ is used in the testimony. However, what must be inferred that is that </w:t>
      </w:r>
      <w:proofErr w:type="spellStart"/>
      <w:r>
        <w:rPr>
          <w:lang w:val="en-GB"/>
        </w:rPr>
        <w:t>éjaculation</w:t>
      </w:r>
      <w:proofErr w:type="spellEnd"/>
      <w:r>
        <w:rPr>
          <w:lang w:val="en-GB"/>
        </w:rPr>
        <w:t>’ is what was meant.</w:t>
      </w:r>
    </w:p>
  </w:footnote>
  <w:footnote w:id="2">
    <w:p w14:paraId="1C43860D" w14:textId="77777777" w:rsidR="00A4419C" w:rsidRPr="004F3145" w:rsidRDefault="00A4419C" w:rsidP="00F1512E">
      <w:pPr>
        <w:jc w:val="both"/>
        <w:rPr>
          <w:rFonts w:ascii="Verdana" w:eastAsia="Times New Roman" w:hAnsi="Verdana" w:cs="Times New Roman"/>
          <w:b/>
          <w:bCs/>
          <w:sz w:val="20"/>
          <w:szCs w:val="20"/>
          <w:lang w:eastAsia="en-ZA"/>
        </w:rPr>
      </w:pPr>
      <w:r>
        <w:rPr>
          <w:rStyle w:val="FootnoteReference"/>
        </w:rPr>
        <w:footnoteRef/>
      </w:r>
      <w:r>
        <w:t xml:space="preserve"> </w:t>
      </w:r>
      <w:hyperlink r:id="rId1" w:tgtFrame="main" w:history="1">
        <w:r w:rsidRPr="003366AB">
          <w:rPr>
            <w:rFonts w:ascii="Arial" w:eastAsia="Times New Roman" w:hAnsi="Arial" w:cs="Arial"/>
            <w:b/>
            <w:bCs/>
            <w:sz w:val="20"/>
            <w:szCs w:val="20"/>
            <w:u w:val="single"/>
            <w:lang w:eastAsia="en-ZA"/>
          </w:rPr>
          <w:t>162</w:t>
        </w:r>
      </w:hyperlink>
      <w:r w:rsidRPr="003366AB">
        <w:rPr>
          <w:rFonts w:ascii="Arial" w:eastAsia="Times New Roman" w:hAnsi="Arial" w:cs="Arial"/>
          <w:b/>
          <w:bCs/>
          <w:sz w:val="20"/>
          <w:szCs w:val="20"/>
          <w:lang w:eastAsia="en-ZA"/>
        </w:rPr>
        <w:t xml:space="preserve">  </w:t>
      </w:r>
      <w:r w:rsidRPr="00F1512E">
        <w:rPr>
          <w:rFonts w:ascii="Arial" w:eastAsia="Times New Roman" w:hAnsi="Arial" w:cs="Arial"/>
          <w:b/>
          <w:bCs/>
          <w:sz w:val="20"/>
          <w:szCs w:val="20"/>
          <w:lang w:eastAsia="en-ZA"/>
        </w:rPr>
        <w:t xml:space="preserve">Witness to be examined under oath </w:t>
      </w:r>
      <w:r w:rsidRPr="00F1512E">
        <w:rPr>
          <w:rFonts w:ascii="Arial" w:eastAsia="Times New Roman" w:hAnsi="Arial" w:cs="Arial"/>
          <w:i/>
          <w:sz w:val="20"/>
          <w:szCs w:val="20"/>
          <w:lang w:eastAsia="en-ZA"/>
        </w:rPr>
        <w:t>“</w:t>
      </w:r>
      <w:hyperlink r:id="rId2" w:tgtFrame="main" w:history="1">
        <w:r w:rsidRPr="00F1512E">
          <w:rPr>
            <w:rFonts w:ascii="Arial" w:eastAsia="Times New Roman" w:hAnsi="Arial" w:cs="Arial"/>
            <w:i/>
            <w:sz w:val="20"/>
            <w:szCs w:val="20"/>
            <w:u w:val="single"/>
            <w:lang w:eastAsia="en-ZA"/>
          </w:rPr>
          <w:t>(1)</w:t>
        </w:r>
      </w:hyperlink>
      <w:r w:rsidRPr="00F1512E">
        <w:rPr>
          <w:rFonts w:ascii="Arial" w:eastAsia="Times New Roman" w:hAnsi="Arial" w:cs="Arial"/>
          <w:i/>
          <w:sz w:val="20"/>
          <w:szCs w:val="20"/>
          <w:lang w:eastAsia="en-ZA"/>
        </w:rPr>
        <w:t xml:space="preserve"> Subject to the provisions of sections 163 and 164, no person shall be examined as a witness in criminal proceedings unless he is under oath, which shall be administered by the presiding judicial officer or, in the case of a superior court, by the presiding judge or the registrar of the court, and which shall be in the following form:</w:t>
      </w:r>
    </w:p>
    <w:p w14:paraId="657A680D" w14:textId="77777777" w:rsidR="00A4419C" w:rsidRPr="004F3145" w:rsidRDefault="00A4419C" w:rsidP="00F1512E">
      <w:pPr>
        <w:spacing w:after="0" w:line="240" w:lineRule="auto"/>
        <w:ind w:firstLine="284"/>
        <w:jc w:val="both"/>
        <w:rPr>
          <w:rFonts w:ascii="Arial" w:eastAsia="Times New Roman" w:hAnsi="Arial" w:cs="Arial"/>
          <w:i/>
          <w:sz w:val="20"/>
          <w:szCs w:val="20"/>
          <w:lang w:eastAsia="en-ZA"/>
        </w:rPr>
      </w:pPr>
      <w:r w:rsidRPr="004F3145">
        <w:rPr>
          <w:rFonts w:ascii="Arial" w:eastAsia="Times New Roman" w:hAnsi="Arial" w:cs="Arial"/>
          <w:i/>
          <w:sz w:val="20"/>
          <w:szCs w:val="20"/>
          <w:lang w:eastAsia="en-ZA"/>
        </w:rPr>
        <w:t xml:space="preserve">'I swear that the evidence that I shall give, shall be the truth, the whole truth and nothing but the truth, so help me </w:t>
      </w:r>
      <w:proofErr w:type="gramStart"/>
      <w:r w:rsidRPr="004F3145">
        <w:rPr>
          <w:rFonts w:ascii="Arial" w:eastAsia="Times New Roman" w:hAnsi="Arial" w:cs="Arial"/>
          <w:i/>
          <w:sz w:val="20"/>
          <w:szCs w:val="20"/>
          <w:lang w:eastAsia="en-ZA"/>
        </w:rPr>
        <w:t>God.'.</w:t>
      </w:r>
      <w:proofErr w:type="gramEnd"/>
    </w:p>
    <w:p w14:paraId="23F6B7EE" w14:textId="77777777" w:rsidR="00A4419C" w:rsidRPr="004F3145" w:rsidRDefault="00A4419C" w:rsidP="00F1512E">
      <w:pPr>
        <w:spacing w:after="0" w:line="240" w:lineRule="auto"/>
        <w:ind w:firstLine="284"/>
        <w:jc w:val="both"/>
        <w:rPr>
          <w:rFonts w:ascii="Arial" w:eastAsia="Times New Roman" w:hAnsi="Arial" w:cs="Arial"/>
          <w:i/>
          <w:sz w:val="20"/>
          <w:szCs w:val="20"/>
          <w:lang w:eastAsia="en-ZA"/>
        </w:rPr>
      </w:pPr>
      <w:r w:rsidRPr="004F3145">
        <w:rPr>
          <w:rFonts w:ascii="Arial" w:eastAsia="Times New Roman" w:hAnsi="Arial" w:cs="Arial"/>
          <w:i/>
          <w:sz w:val="20"/>
          <w:szCs w:val="20"/>
          <w:lang w:eastAsia="en-ZA"/>
        </w:rPr>
        <w:t>(2) If any person to whom the oath is administered wishes to take the oath with uplifted hand, he shall be permitted to do so.”</w:t>
      </w:r>
    </w:p>
    <w:p w14:paraId="4AFAECF1" w14:textId="77777777" w:rsidR="00A4419C" w:rsidRPr="004F3145" w:rsidRDefault="00A4419C">
      <w:pPr>
        <w:pStyle w:val="FootnoteText"/>
        <w:rPr>
          <w:lang w:val="en-GB"/>
        </w:rPr>
      </w:pPr>
    </w:p>
  </w:footnote>
  <w:footnote w:id="3">
    <w:p w14:paraId="1760BE55" w14:textId="77777777" w:rsidR="00A4419C" w:rsidRDefault="00A4419C" w:rsidP="00D83844">
      <w:pPr>
        <w:spacing w:line="240" w:lineRule="auto"/>
        <w:jc w:val="both"/>
        <w:rPr>
          <w:rFonts w:ascii="Arial" w:eastAsia="Times New Roman" w:hAnsi="Arial" w:cs="Arial"/>
          <w:b/>
          <w:bCs/>
          <w:i/>
          <w:sz w:val="20"/>
          <w:szCs w:val="20"/>
          <w:lang w:eastAsia="en-ZA"/>
        </w:rPr>
      </w:pPr>
      <w:r w:rsidRPr="003366AB">
        <w:rPr>
          <w:rStyle w:val="FootnoteReference"/>
          <w:rFonts w:ascii="Arial" w:hAnsi="Arial" w:cs="Arial"/>
        </w:rPr>
        <w:footnoteRef/>
      </w:r>
      <w:r w:rsidRPr="003366AB">
        <w:rPr>
          <w:rFonts w:ascii="Arial" w:hAnsi="Arial" w:cs="Arial"/>
        </w:rPr>
        <w:t xml:space="preserve"> </w:t>
      </w:r>
      <w:bookmarkStart w:id="3" w:name="0-0-0-194153"/>
      <w:bookmarkEnd w:id="3"/>
      <w:r w:rsidRPr="003366AB">
        <w:rPr>
          <w:rFonts w:ascii="Arial" w:hAnsi="Arial" w:cs="Arial"/>
        </w:rPr>
        <w:t xml:space="preserve">Section </w:t>
      </w:r>
      <w:hyperlink r:id="rId3" w:tgtFrame="main" w:history="1">
        <w:r w:rsidRPr="003366AB">
          <w:rPr>
            <w:rFonts w:ascii="Arial" w:eastAsia="Times New Roman" w:hAnsi="Arial" w:cs="Arial"/>
            <w:b/>
            <w:bCs/>
            <w:sz w:val="20"/>
            <w:szCs w:val="20"/>
            <w:u w:val="single"/>
            <w:lang w:eastAsia="en-ZA"/>
          </w:rPr>
          <w:t>164</w:t>
        </w:r>
      </w:hyperlink>
      <w:r w:rsidRPr="003366AB">
        <w:rPr>
          <w:rFonts w:ascii="Arial" w:eastAsia="Times New Roman" w:hAnsi="Arial" w:cs="Arial"/>
          <w:b/>
          <w:bCs/>
          <w:sz w:val="20"/>
          <w:szCs w:val="20"/>
          <w:lang w:eastAsia="en-ZA"/>
        </w:rPr>
        <w:t xml:space="preserve">  </w:t>
      </w:r>
      <w:r w:rsidRPr="003366AB">
        <w:rPr>
          <w:rFonts w:ascii="Arial" w:eastAsia="Times New Roman" w:hAnsi="Arial" w:cs="Arial"/>
          <w:b/>
          <w:bCs/>
          <w:i/>
          <w:sz w:val="20"/>
          <w:szCs w:val="20"/>
          <w:lang w:eastAsia="en-ZA"/>
        </w:rPr>
        <w:t xml:space="preserve">When unsworn or </w:t>
      </w:r>
      <w:proofErr w:type="spellStart"/>
      <w:r w:rsidRPr="003366AB">
        <w:rPr>
          <w:rFonts w:ascii="Arial" w:eastAsia="Times New Roman" w:hAnsi="Arial" w:cs="Arial"/>
          <w:b/>
          <w:bCs/>
          <w:i/>
          <w:sz w:val="20"/>
          <w:szCs w:val="20"/>
          <w:lang w:eastAsia="en-ZA"/>
        </w:rPr>
        <w:t>unaffirmed</w:t>
      </w:r>
      <w:proofErr w:type="spellEnd"/>
      <w:r w:rsidRPr="003366AB">
        <w:rPr>
          <w:rFonts w:ascii="Arial" w:eastAsia="Times New Roman" w:hAnsi="Arial" w:cs="Arial"/>
          <w:b/>
          <w:bCs/>
          <w:i/>
          <w:sz w:val="20"/>
          <w:szCs w:val="20"/>
          <w:lang w:eastAsia="en-ZA"/>
        </w:rPr>
        <w:t xml:space="preserve"> evidence admissible</w:t>
      </w:r>
      <w:bookmarkStart w:id="4" w:name="0-0-0-194157"/>
      <w:bookmarkEnd w:id="4"/>
      <w:r w:rsidRPr="003366AB">
        <w:rPr>
          <w:rFonts w:ascii="Arial" w:eastAsia="Times New Roman" w:hAnsi="Arial" w:cs="Arial"/>
          <w:b/>
          <w:bCs/>
          <w:i/>
          <w:sz w:val="20"/>
          <w:szCs w:val="20"/>
          <w:lang w:eastAsia="en-ZA"/>
        </w:rPr>
        <w:t xml:space="preserve"> “</w:t>
      </w:r>
      <w:hyperlink r:id="rId4" w:tgtFrame="main" w:history="1">
        <w:r w:rsidRPr="003366AB">
          <w:rPr>
            <w:rFonts w:ascii="Arial" w:eastAsia="Times New Roman" w:hAnsi="Arial" w:cs="Arial"/>
            <w:i/>
            <w:sz w:val="20"/>
            <w:szCs w:val="20"/>
            <w:u w:val="single"/>
            <w:lang w:eastAsia="en-ZA"/>
          </w:rPr>
          <w:t>(1)</w:t>
        </w:r>
      </w:hyperlink>
      <w:r w:rsidRPr="005E53DA">
        <w:rPr>
          <w:rFonts w:ascii="Arial" w:eastAsia="Times New Roman" w:hAnsi="Arial" w:cs="Arial"/>
          <w:i/>
          <w:sz w:val="20"/>
          <w:szCs w:val="20"/>
          <w:lang w:eastAsia="en-ZA"/>
        </w:rPr>
        <w:t xml:space="preserve"> Any person, who is found not to understand the nature and import of the oath or the affirmation, may be admitted to give evidence in criminal proceedings without taking the oath or making the affirmation: Provided that such person shall, in lieu of the oath or affirmation, be admonished by the presiding judge or judicial officer to speak the truth.</w:t>
      </w:r>
      <w:bookmarkStart w:id="5" w:name="0-0-0-194161"/>
      <w:bookmarkEnd w:id="5"/>
    </w:p>
    <w:p w14:paraId="7572821E" w14:textId="77777777" w:rsidR="00A4419C" w:rsidRPr="00D83844" w:rsidRDefault="00A4419C" w:rsidP="00D83844">
      <w:pPr>
        <w:spacing w:line="240" w:lineRule="auto"/>
        <w:jc w:val="both"/>
        <w:rPr>
          <w:rFonts w:ascii="Arial" w:eastAsia="Times New Roman" w:hAnsi="Arial" w:cs="Arial"/>
          <w:b/>
          <w:bCs/>
          <w:i/>
          <w:sz w:val="20"/>
          <w:szCs w:val="20"/>
          <w:lang w:eastAsia="en-ZA"/>
        </w:rPr>
      </w:pPr>
      <w:r w:rsidRPr="005E53DA">
        <w:rPr>
          <w:rFonts w:ascii="Arial" w:eastAsia="Times New Roman" w:hAnsi="Arial" w:cs="Arial"/>
          <w:i/>
          <w:sz w:val="20"/>
          <w:szCs w:val="20"/>
          <w:lang w:eastAsia="en-ZA"/>
        </w:rPr>
        <w:t>(2) If such person wilfully and falsely states anything which, if sworn, would have amounted to the offence of perjury or any statutory offence punishable as perjury, he shall be deemed to have committed that offence, and shall, upon conviction, be liable to such punishment as is by law provided as a punishment for that offence.</w:t>
      </w:r>
      <w:r>
        <w:rPr>
          <w:rFonts w:ascii="Arial" w:eastAsia="Times New Roman" w:hAnsi="Arial" w:cs="Arial"/>
          <w:i/>
          <w:sz w:val="20"/>
          <w:szCs w:val="20"/>
          <w:lang w:eastAsia="en-ZA"/>
        </w:rPr>
        <w:t>”</w:t>
      </w:r>
    </w:p>
    <w:p w14:paraId="44F69E6D" w14:textId="77777777" w:rsidR="00A4419C" w:rsidRPr="004F3145" w:rsidRDefault="00A4419C">
      <w:pPr>
        <w:pStyle w:val="FootnoteText"/>
        <w:rPr>
          <w:lang w:val="en-GB"/>
        </w:rPr>
      </w:pPr>
    </w:p>
  </w:footnote>
  <w:footnote w:id="4">
    <w:p w14:paraId="44289A3B" w14:textId="77777777" w:rsidR="00A4419C" w:rsidRPr="0062794E" w:rsidRDefault="00A4419C">
      <w:pPr>
        <w:pStyle w:val="FootnoteText"/>
        <w:rPr>
          <w:lang w:val="en-GB"/>
        </w:rPr>
      </w:pPr>
      <w:r>
        <w:rPr>
          <w:rStyle w:val="FootnoteReference"/>
        </w:rPr>
        <w:footnoteRef/>
      </w:r>
      <w:r>
        <w:t xml:space="preserve"> </w:t>
      </w:r>
      <w:r>
        <w:rPr>
          <w:lang w:val="en-GB"/>
        </w:rPr>
        <w:t>Page 49-50 of the court record and Exhibit B.</w:t>
      </w:r>
    </w:p>
  </w:footnote>
  <w:footnote w:id="5">
    <w:p w14:paraId="64B1B315" w14:textId="77777777" w:rsidR="00A4419C" w:rsidRPr="00444AA2" w:rsidRDefault="00A4419C">
      <w:pPr>
        <w:pStyle w:val="FootnoteText"/>
        <w:rPr>
          <w:lang w:val="en-GB"/>
        </w:rPr>
      </w:pPr>
      <w:r>
        <w:rPr>
          <w:rStyle w:val="FootnoteReference"/>
        </w:rPr>
        <w:footnoteRef/>
      </w:r>
      <w:r>
        <w:t xml:space="preserve"> </w:t>
      </w:r>
      <w:r>
        <w:rPr>
          <w:lang w:val="en-GB"/>
        </w:rPr>
        <w:t>Page 51-52 of the court record.</w:t>
      </w:r>
    </w:p>
  </w:footnote>
  <w:footnote w:id="6">
    <w:p w14:paraId="10300AD1" w14:textId="77777777" w:rsidR="00A4419C" w:rsidRPr="00F11D05" w:rsidRDefault="00A4419C" w:rsidP="00F11D05">
      <w:pPr>
        <w:autoSpaceDE w:val="0"/>
        <w:autoSpaceDN w:val="0"/>
        <w:adjustRightInd w:val="0"/>
        <w:spacing w:after="0" w:line="276" w:lineRule="auto"/>
        <w:jc w:val="both"/>
        <w:rPr>
          <w:i/>
          <w:sz w:val="18"/>
          <w:szCs w:val="18"/>
          <w:lang w:val="en-GB"/>
        </w:rPr>
      </w:pPr>
      <w:r>
        <w:rPr>
          <w:rStyle w:val="FootnoteReference"/>
        </w:rPr>
        <w:footnoteRef/>
      </w:r>
      <w:r>
        <w:t xml:space="preserve"> </w:t>
      </w:r>
      <w:r w:rsidRPr="00F11D05">
        <w:rPr>
          <w:rFonts w:ascii="Arial" w:hAnsi="Arial" w:cs="Arial"/>
          <w:sz w:val="18"/>
          <w:szCs w:val="18"/>
        </w:rPr>
        <w:t xml:space="preserve">Section </w:t>
      </w:r>
      <w:r w:rsidRPr="00F11D05">
        <w:rPr>
          <w:rFonts w:ascii="Arial" w:hAnsi="Arial" w:cs="Arial"/>
          <w:bCs/>
          <w:color w:val="000000"/>
          <w:sz w:val="18"/>
          <w:szCs w:val="18"/>
        </w:rPr>
        <w:t>165 CPA:</w:t>
      </w:r>
      <w:r w:rsidRPr="00F11D05">
        <w:rPr>
          <w:rFonts w:ascii="Verdana-Bold" w:hAnsi="Verdana-Bold" w:cs="Verdana-Bold"/>
          <w:b/>
          <w:bCs/>
          <w:color w:val="000000"/>
          <w:sz w:val="18"/>
          <w:szCs w:val="18"/>
        </w:rPr>
        <w:t xml:space="preserve"> </w:t>
      </w:r>
      <w:r w:rsidRPr="00F11D05">
        <w:rPr>
          <w:rFonts w:ascii="Arial" w:hAnsi="Arial" w:cs="Arial"/>
          <w:b/>
          <w:bCs/>
          <w:i/>
          <w:color w:val="000000"/>
          <w:sz w:val="18"/>
          <w:szCs w:val="18"/>
        </w:rPr>
        <w:t>“</w:t>
      </w:r>
      <w:r w:rsidRPr="00F11D05">
        <w:rPr>
          <w:rFonts w:ascii="Arial" w:hAnsi="Arial" w:cs="Arial"/>
          <w:i/>
          <w:sz w:val="18"/>
          <w:szCs w:val="18"/>
        </w:rPr>
        <w:t xml:space="preserve">Where the person concerned is to give his evidence through an interpreter or an intermediary appointed under section 170A(1), the oath, affirmation  or admonition under section 162, 163 or 164 shall be administered by the presiding judge or judicial officer or the registrar of the court, as the case may be, through the interpreter or intermediary or by the interpreter or intermediary in the presence or under the eyes of the presiding judge or judicial </w:t>
      </w:r>
      <w:r w:rsidRPr="00F11D05">
        <w:rPr>
          <w:rFonts w:ascii="Arial" w:hAnsi="Arial" w:cs="Arial"/>
          <w:i/>
          <w:color w:val="000000"/>
          <w:sz w:val="18"/>
          <w:szCs w:val="18"/>
        </w:rPr>
        <w:t>officer, as the case may be.”</w:t>
      </w:r>
    </w:p>
  </w:footnote>
  <w:footnote w:id="7">
    <w:p w14:paraId="1E1BB3C4" w14:textId="77777777" w:rsidR="00A4419C" w:rsidRPr="00607405" w:rsidRDefault="00A4419C">
      <w:pPr>
        <w:pStyle w:val="FootnoteText"/>
        <w:rPr>
          <w:lang w:val="en-GB"/>
        </w:rPr>
      </w:pPr>
      <w:r>
        <w:rPr>
          <w:rStyle w:val="FootnoteReference"/>
        </w:rPr>
        <w:footnoteRef/>
      </w:r>
      <w:r>
        <w:t xml:space="preserve"> </w:t>
      </w:r>
      <w:r w:rsidRPr="00B300F6">
        <w:rPr>
          <w:rFonts w:ascii="Arial" w:hAnsi="Arial" w:cs="Arial"/>
          <w:i/>
          <w:iCs/>
          <w:sz w:val="18"/>
          <w:szCs w:val="18"/>
        </w:rPr>
        <w:t xml:space="preserve">S v </w:t>
      </w:r>
      <w:proofErr w:type="spellStart"/>
      <w:r w:rsidRPr="00B300F6">
        <w:rPr>
          <w:rFonts w:ascii="Arial" w:hAnsi="Arial" w:cs="Arial"/>
          <w:i/>
          <w:iCs/>
          <w:sz w:val="18"/>
          <w:szCs w:val="18"/>
        </w:rPr>
        <w:t>Matshivha</w:t>
      </w:r>
      <w:proofErr w:type="spellEnd"/>
      <w:r w:rsidRPr="00B300F6">
        <w:rPr>
          <w:rFonts w:ascii="Arial" w:hAnsi="Arial" w:cs="Arial"/>
          <w:iCs/>
          <w:sz w:val="18"/>
          <w:szCs w:val="18"/>
        </w:rPr>
        <w:t xml:space="preserve"> </w:t>
      </w:r>
      <w:r w:rsidRPr="00B300F6">
        <w:rPr>
          <w:rFonts w:ascii="Arial" w:hAnsi="Arial" w:cs="Arial"/>
          <w:sz w:val="18"/>
          <w:szCs w:val="18"/>
        </w:rPr>
        <w:t xml:space="preserve">2014 (1) SACR 29 (SCA); </w:t>
      </w:r>
      <w:proofErr w:type="spellStart"/>
      <w:r w:rsidRPr="00B300F6">
        <w:rPr>
          <w:rFonts w:ascii="Arial" w:hAnsi="Arial" w:cs="Arial"/>
          <w:i/>
          <w:sz w:val="18"/>
          <w:szCs w:val="18"/>
        </w:rPr>
        <w:t>Haarhoff</w:t>
      </w:r>
      <w:proofErr w:type="spellEnd"/>
      <w:r w:rsidRPr="00B300F6">
        <w:rPr>
          <w:rFonts w:ascii="Arial" w:hAnsi="Arial" w:cs="Arial"/>
          <w:i/>
          <w:sz w:val="18"/>
          <w:szCs w:val="18"/>
        </w:rPr>
        <w:t xml:space="preserve"> &amp; Another v DPP, Eastern Cape</w:t>
      </w:r>
      <w:r w:rsidRPr="00B300F6">
        <w:rPr>
          <w:rFonts w:ascii="Arial" w:hAnsi="Arial" w:cs="Arial"/>
          <w:sz w:val="18"/>
          <w:szCs w:val="18"/>
        </w:rPr>
        <w:t xml:space="preserve"> 2019 (1) SACR 317 (SCA); </w:t>
      </w:r>
      <w:r w:rsidRPr="00B300F6">
        <w:rPr>
          <w:rFonts w:ascii="Arial" w:hAnsi="Arial" w:cs="Arial"/>
          <w:i/>
          <w:sz w:val="18"/>
          <w:szCs w:val="18"/>
        </w:rPr>
        <w:t xml:space="preserve">S v </w:t>
      </w:r>
      <w:proofErr w:type="spellStart"/>
      <w:r w:rsidRPr="00B300F6">
        <w:rPr>
          <w:rFonts w:ascii="Arial" w:hAnsi="Arial" w:cs="Arial"/>
          <w:i/>
          <w:sz w:val="18"/>
          <w:szCs w:val="18"/>
        </w:rPr>
        <w:t>Nedzemba</w:t>
      </w:r>
      <w:proofErr w:type="spellEnd"/>
      <w:r w:rsidRPr="00B300F6">
        <w:rPr>
          <w:rFonts w:ascii="Arial" w:hAnsi="Arial" w:cs="Arial"/>
          <w:sz w:val="18"/>
          <w:szCs w:val="18"/>
        </w:rPr>
        <w:t xml:space="preserve"> 2013 (2) SACR 333 (SCA)</w:t>
      </w:r>
      <w:r>
        <w:rPr>
          <w:rFonts w:ascii="Arial" w:hAnsi="Arial" w:cs="Arial"/>
        </w:rPr>
        <w:t xml:space="preserve"> </w:t>
      </w:r>
    </w:p>
  </w:footnote>
  <w:footnote w:id="8">
    <w:p w14:paraId="27CC36C1" w14:textId="77777777" w:rsidR="00A4419C" w:rsidRPr="00C0239A" w:rsidRDefault="00A4419C" w:rsidP="000D1068">
      <w:pPr>
        <w:pStyle w:val="ListParagraph"/>
        <w:widowControl w:val="0"/>
        <w:tabs>
          <w:tab w:val="left" w:pos="1607"/>
        </w:tabs>
        <w:kinsoku w:val="0"/>
        <w:overflowPunct w:val="0"/>
        <w:autoSpaceDE w:val="0"/>
        <w:autoSpaceDN w:val="0"/>
        <w:adjustRightInd w:val="0"/>
        <w:spacing w:after="0" w:line="160" w:lineRule="exact"/>
        <w:ind w:left="0" w:right="1066"/>
        <w:contextualSpacing w:val="0"/>
        <w:jc w:val="both"/>
        <w:rPr>
          <w:rFonts w:ascii="Arial" w:hAnsi="Arial" w:cs="Arial"/>
          <w:sz w:val="20"/>
          <w:szCs w:val="20"/>
          <w:vertAlign w:val="subscript"/>
          <w:lang w:val="en-GB"/>
        </w:rPr>
      </w:pPr>
      <w:r w:rsidRPr="002C2A59">
        <w:rPr>
          <w:rStyle w:val="FootnoteReference"/>
          <w:rFonts w:ascii="Arial" w:hAnsi="Arial" w:cs="Arial"/>
          <w:sz w:val="16"/>
          <w:szCs w:val="16"/>
        </w:rPr>
        <w:footnoteRef/>
      </w:r>
      <w:r w:rsidRPr="002C2A59">
        <w:rPr>
          <w:rFonts w:ascii="Arial" w:hAnsi="Arial" w:cs="Arial"/>
          <w:sz w:val="16"/>
          <w:szCs w:val="16"/>
        </w:rPr>
        <w:t xml:space="preserve"> Botha Commission ‘Commission of Inquiry into Criminal Pro</w:t>
      </w:r>
      <w:r>
        <w:rPr>
          <w:rFonts w:ascii="Arial" w:hAnsi="Arial" w:cs="Arial"/>
          <w:sz w:val="16"/>
          <w:szCs w:val="16"/>
        </w:rPr>
        <w:t xml:space="preserve">cedure and Evidence’ RP 78/1971 </w:t>
      </w:r>
      <w:r w:rsidRPr="002C2A59">
        <w:rPr>
          <w:rFonts w:ascii="Arial" w:hAnsi="Arial" w:cs="Arial"/>
          <w:sz w:val="16"/>
          <w:szCs w:val="16"/>
        </w:rPr>
        <w:t>Government Printer,</w:t>
      </w:r>
      <w:r w:rsidRPr="002C2A59">
        <w:rPr>
          <w:rFonts w:ascii="Arial" w:hAnsi="Arial" w:cs="Arial"/>
          <w:spacing w:val="-24"/>
          <w:sz w:val="16"/>
          <w:szCs w:val="16"/>
        </w:rPr>
        <w:t xml:space="preserve"> </w:t>
      </w:r>
      <w:r w:rsidRPr="002C2A59">
        <w:rPr>
          <w:rFonts w:ascii="Arial" w:hAnsi="Arial" w:cs="Arial"/>
          <w:sz w:val="16"/>
          <w:szCs w:val="16"/>
        </w:rPr>
        <w:t>Pretoria.</w:t>
      </w:r>
      <w:r>
        <w:rPr>
          <w:rFonts w:ascii="Arial" w:hAnsi="Arial" w:cs="Arial"/>
          <w:sz w:val="16"/>
          <w:szCs w:val="16"/>
        </w:rPr>
        <w:t xml:space="preserve"> </w:t>
      </w:r>
      <w:r w:rsidRPr="002C2A59">
        <w:rPr>
          <w:rFonts w:ascii="Arial" w:hAnsi="Arial" w:cs="Arial"/>
          <w:sz w:val="16"/>
          <w:szCs w:val="16"/>
        </w:rPr>
        <w:t>The Botha Commission of Inquiry is resp</w:t>
      </w:r>
      <w:r>
        <w:rPr>
          <w:rFonts w:ascii="Arial" w:hAnsi="Arial" w:cs="Arial"/>
          <w:sz w:val="16"/>
          <w:szCs w:val="16"/>
        </w:rPr>
        <w:t xml:space="preserve">onsible for the drafting of the </w:t>
      </w:r>
      <w:r w:rsidRPr="002C2A59">
        <w:rPr>
          <w:rFonts w:ascii="Arial" w:hAnsi="Arial" w:cs="Arial"/>
          <w:sz w:val="16"/>
          <w:szCs w:val="16"/>
        </w:rPr>
        <w:t>Criminal Procedure Act 51 of 1977 that is currently in force in South</w:t>
      </w:r>
      <w:r w:rsidRPr="002C2A59">
        <w:rPr>
          <w:rFonts w:ascii="Arial" w:hAnsi="Arial" w:cs="Arial"/>
          <w:spacing w:val="-14"/>
          <w:sz w:val="16"/>
          <w:szCs w:val="16"/>
        </w:rPr>
        <w:t xml:space="preserve"> </w:t>
      </w:r>
      <w:r w:rsidRPr="002C2A59">
        <w:rPr>
          <w:rFonts w:ascii="Arial" w:hAnsi="Arial" w:cs="Arial"/>
          <w:sz w:val="16"/>
          <w:szCs w:val="16"/>
        </w:rPr>
        <w:t>Africa.</w:t>
      </w:r>
    </w:p>
  </w:footnote>
  <w:footnote w:id="9">
    <w:p w14:paraId="605D47B4" w14:textId="77777777" w:rsidR="00A4419C" w:rsidRPr="00C0239A" w:rsidRDefault="00A4419C" w:rsidP="00EF3E83">
      <w:pPr>
        <w:widowControl w:val="0"/>
        <w:tabs>
          <w:tab w:val="left" w:pos="1607"/>
        </w:tabs>
        <w:kinsoku w:val="0"/>
        <w:overflowPunct w:val="0"/>
        <w:autoSpaceDE w:val="0"/>
        <w:autoSpaceDN w:val="0"/>
        <w:adjustRightInd w:val="0"/>
        <w:spacing w:after="0" w:line="161" w:lineRule="exact"/>
        <w:jc w:val="both"/>
        <w:rPr>
          <w:sz w:val="16"/>
          <w:szCs w:val="16"/>
        </w:rPr>
      </w:pPr>
      <w:r w:rsidRPr="00C0239A">
        <w:rPr>
          <w:rStyle w:val="FootnoteReference"/>
          <w:rFonts w:ascii="Arial" w:hAnsi="Arial" w:cs="Arial"/>
          <w:sz w:val="16"/>
          <w:szCs w:val="16"/>
          <w:vertAlign w:val="subscript"/>
        </w:rPr>
        <w:footnoteRef/>
      </w:r>
      <w:r w:rsidRPr="00C0239A">
        <w:rPr>
          <w:rFonts w:ascii="Arial" w:hAnsi="Arial" w:cs="Arial"/>
          <w:sz w:val="20"/>
          <w:szCs w:val="20"/>
          <w:vertAlign w:val="subscript"/>
        </w:rPr>
        <w:t xml:space="preserve"> </w:t>
      </w:r>
      <w:r w:rsidRPr="00EF3E83">
        <w:rPr>
          <w:rFonts w:ascii="Arial" w:hAnsi="Arial" w:cs="Arial"/>
          <w:i/>
          <w:iCs/>
          <w:sz w:val="24"/>
          <w:szCs w:val="24"/>
          <w:vertAlign w:val="subscript"/>
        </w:rPr>
        <w:t xml:space="preserve">S v </w:t>
      </w:r>
      <w:proofErr w:type="spellStart"/>
      <w:r w:rsidRPr="00EF3E83">
        <w:rPr>
          <w:rFonts w:ascii="Arial" w:hAnsi="Arial" w:cs="Arial"/>
          <w:i/>
          <w:iCs/>
          <w:sz w:val="24"/>
          <w:szCs w:val="24"/>
          <w:vertAlign w:val="subscript"/>
        </w:rPr>
        <w:t>Katoo</w:t>
      </w:r>
      <w:proofErr w:type="spellEnd"/>
      <w:r w:rsidRPr="00EF3E83">
        <w:rPr>
          <w:rFonts w:ascii="Arial" w:hAnsi="Arial" w:cs="Arial"/>
          <w:i/>
          <w:iCs/>
          <w:sz w:val="24"/>
          <w:szCs w:val="24"/>
          <w:vertAlign w:val="subscript"/>
        </w:rPr>
        <w:t xml:space="preserve"> </w:t>
      </w:r>
      <w:r w:rsidRPr="00EF3E83">
        <w:rPr>
          <w:rFonts w:ascii="Arial" w:hAnsi="Arial" w:cs="Arial"/>
          <w:sz w:val="24"/>
          <w:szCs w:val="24"/>
          <w:vertAlign w:val="subscript"/>
        </w:rPr>
        <w:t>2005 (1) SACR 522</w:t>
      </w:r>
      <w:r w:rsidRPr="00EF3E83">
        <w:rPr>
          <w:rFonts w:ascii="Arial" w:hAnsi="Arial" w:cs="Arial"/>
          <w:spacing w:val="-12"/>
          <w:sz w:val="24"/>
          <w:szCs w:val="24"/>
          <w:vertAlign w:val="subscript"/>
        </w:rPr>
        <w:t xml:space="preserve"> </w:t>
      </w:r>
      <w:r w:rsidRPr="00EF3E83">
        <w:rPr>
          <w:rFonts w:ascii="Arial" w:hAnsi="Arial" w:cs="Arial"/>
          <w:sz w:val="24"/>
          <w:szCs w:val="24"/>
          <w:vertAlign w:val="subscript"/>
        </w:rPr>
        <w:t>(SCA).</w:t>
      </w:r>
    </w:p>
    <w:p w14:paraId="7594AA11" w14:textId="77777777" w:rsidR="00A4419C" w:rsidRPr="00C0239A" w:rsidRDefault="00A4419C" w:rsidP="00EF3E83">
      <w:pPr>
        <w:pStyle w:val="FootnoteText"/>
        <w:rPr>
          <w:lang w:val="en-GB"/>
        </w:rPr>
      </w:pPr>
    </w:p>
  </w:footnote>
  <w:footnote w:id="10">
    <w:p w14:paraId="634D3AAC" w14:textId="77777777" w:rsidR="00A4419C" w:rsidRPr="00385FAE" w:rsidRDefault="00A4419C">
      <w:pPr>
        <w:pStyle w:val="FootnoteText"/>
        <w:rPr>
          <w:lang w:val="en-GB"/>
        </w:rPr>
      </w:pPr>
      <w:r>
        <w:rPr>
          <w:rStyle w:val="FootnoteReference"/>
        </w:rPr>
        <w:footnoteRef/>
      </w:r>
      <w:r>
        <w:t xml:space="preserve"> Sec 194 Criminal Procedure Act</w:t>
      </w:r>
      <w:r w:rsidRPr="00385FAE">
        <w:t>.</w:t>
      </w:r>
    </w:p>
  </w:footnote>
  <w:footnote w:id="11">
    <w:p w14:paraId="24D0B2ED" w14:textId="77777777" w:rsidR="00A4419C" w:rsidRPr="00385FAE" w:rsidRDefault="00A4419C">
      <w:pPr>
        <w:pStyle w:val="FootnoteText"/>
        <w:rPr>
          <w:rFonts w:ascii="Arial" w:hAnsi="Arial" w:cs="Arial"/>
          <w:lang w:val="en-GB"/>
        </w:rPr>
      </w:pPr>
      <w:r w:rsidRPr="00385FAE">
        <w:rPr>
          <w:rFonts w:ascii="Arial" w:hAnsi="Arial" w:cs="Arial"/>
          <w:lang w:val="en-GB"/>
        </w:rPr>
        <w:t xml:space="preserve">5 </w:t>
      </w:r>
      <w:proofErr w:type="spellStart"/>
      <w:r w:rsidRPr="00385FAE">
        <w:rPr>
          <w:rFonts w:ascii="Arial" w:hAnsi="Arial" w:cs="Arial"/>
          <w:b/>
          <w:i/>
          <w:lang w:val="en-GB"/>
        </w:rPr>
        <w:t>Katoo</w:t>
      </w:r>
      <w:proofErr w:type="spellEnd"/>
      <w:r w:rsidRPr="00385FAE">
        <w:rPr>
          <w:rFonts w:ascii="Arial" w:hAnsi="Arial" w:cs="Arial"/>
          <w:lang w:val="en-GB"/>
        </w:rPr>
        <w:t xml:space="preserve"> para 12.</w:t>
      </w:r>
    </w:p>
  </w:footnote>
  <w:footnote w:id="12">
    <w:p w14:paraId="756CEAC9" w14:textId="77777777" w:rsidR="00A4419C" w:rsidRPr="000E4AC2" w:rsidRDefault="00A4419C" w:rsidP="00B300F6">
      <w:pPr>
        <w:pStyle w:val="FootnoteText"/>
        <w:rPr>
          <w:rFonts w:ascii="Arial" w:hAnsi="Arial" w:cs="Arial"/>
          <w:sz w:val="18"/>
          <w:szCs w:val="18"/>
          <w:lang w:val="en-GB"/>
        </w:rPr>
      </w:pPr>
      <w:r w:rsidRPr="000E4AC2">
        <w:rPr>
          <w:rStyle w:val="FootnoteReference"/>
          <w:rFonts w:ascii="Arial" w:hAnsi="Arial" w:cs="Arial"/>
          <w:sz w:val="18"/>
          <w:szCs w:val="18"/>
        </w:rPr>
        <w:footnoteRef/>
      </w:r>
      <w:r w:rsidRPr="000E4AC2">
        <w:rPr>
          <w:rFonts w:ascii="Arial" w:hAnsi="Arial" w:cs="Arial"/>
          <w:sz w:val="18"/>
          <w:szCs w:val="18"/>
        </w:rPr>
        <w:t xml:space="preserve"> Child Justice Act 75 of 2008, sec 37(1).</w:t>
      </w:r>
    </w:p>
  </w:footnote>
  <w:footnote w:id="13">
    <w:p w14:paraId="6E78262A" w14:textId="77777777" w:rsidR="00A4419C" w:rsidRPr="000E4AC2" w:rsidRDefault="00A4419C" w:rsidP="00B300F6">
      <w:pPr>
        <w:pStyle w:val="FootnoteText"/>
        <w:rPr>
          <w:rFonts w:ascii="Arial" w:hAnsi="Arial" w:cs="Arial"/>
          <w:sz w:val="18"/>
          <w:szCs w:val="18"/>
          <w:lang w:val="en-GB"/>
        </w:rPr>
      </w:pPr>
      <w:r w:rsidRPr="000E4AC2">
        <w:rPr>
          <w:rStyle w:val="FootnoteReference"/>
          <w:rFonts w:ascii="Arial" w:hAnsi="Arial" w:cs="Arial"/>
          <w:sz w:val="18"/>
          <w:szCs w:val="18"/>
        </w:rPr>
        <w:footnoteRef/>
      </w:r>
      <w:r w:rsidRPr="000E4AC2">
        <w:rPr>
          <w:rFonts w:ascii="Arial" w:hAnsi="Arial" w:cs="Arial"/>
          <w:sz w:val="18"/>
          <w:szCs w:val="18"/>
        </w:rPr>
        <w:t xml:space="preserve"> Sec 37(2) Child Justice Act.</w:t>
      </w:r>
    </w:p>
  </w:footnote>
  <w:footnote w:id="14">
    <w:p w14:paraId="125D10EC" w14:textId="77777777" w:rsidR="00A4419C" w:rsidRPr="0016385F" w:rsidRDefault="00A4419C" w:rsidP="00B300F6">
      <w:pPr>
        <w:pStyle w:val="FootnoteText"/>
        <w:rPr>
          <w:lang w:val="en-GB"/>
        </w:rPr>
      </w:pPr>
      <w:r w:rsidRPr="000E4AC2">
        <w:rPr>
          <w:rStyle w:val="FootnoteReference"/>
          <w:rFonts w:ascii="Arial" w:hAnsi="Arial" w:cs="Arial"/>
          <w:sz w:val="18"/>
          <w:szCs w:val="18"/>
        </w:rPr>
        <w:footnoteRef/>
      </w:r>
      <w:r w:rsidRPr="000E4AC2">
        <w:rPr>
          <w:rFonts w:ascii="Arial" w:hAnsi="Arial" w:cs="Arial"/>
          <w:sz w:val="18"/>
          <w:szCs w:val="18"/>
        </w:rPr>
        <w:t xml:space="preserve"> Sec 42(8</w:t>
      </w:r>
      <w:proofErr w:type="gramStart"/>
      <w:r w:rsidRPr="000E4AC2">
        <w:rPr>
          <w:rFonts w:ascii="Arial" w:hAnsi="Arial" w:cs="Arial"/>
          <w:sz w:val="18"/>
          <w:szCs w:val="18"/>
        </w:rPr>
        <w:t>)(</w:t>
      </w:r>
      <w:proofErr w:type="gramEnd"/>
      <w:r w:rsidRPr="000E4AC2">
        <w:rPr>
          <w:rFonts w:ascii="Arial" w:hAnsi="Arial" w:cs="Arial"/>
          <w:sz w:val="18"/>
          <w:szCs w:val="18"/>
        </w:rPr>
        <w:t>a) Children’s Act 38 of 2005.</w:t>
      </w:r>
    </w:p>
  </w:footnote>
  <w:footnote w:id="15">
    <w:p w14:paraId="175EE45C" w14:textId="77777777" w:rsidR="00A4419C" w:rsidRPr="000E4AC2" w:rsidRDefault="00A4419C" w:rsidP="00B300F6">
      <w:pPr>
        <w:autoSpaceDE w:val="0"/>
        <w:autoSpaceDN w:val="0"/>
        <w:adjustRightInd w:val="0"/>
        <w:spacing w:after="0" w:line="240" w:lineRule="auto"/>
        <w:rPr>
          <w:rFonts w:ascii="Arial" w:hAnsi="Arial" w:cs="Arial"/>
          <w:sz w:val="18"/>
          <w:szCs w:val="18"/>
          <w:lang w:val="en-GB"/>
        </w:rPr>
      </w:pPr>
      <w:r w:rsidRPr="000E4AC2">
        <w:rPr>
          <w:rStyle w:val="FootnoteReference"/>
          <w:rFonts w:ascii="Arial" w:hAnsi="Arial" w:cs="Arial"/>
          <w:sz w:val="18"/>
          <w:szCs w:val="18"/>
        </w:rPr>
        <w:footnoteRef/>
      </w:r>
      <w:r w:rsidRPr="000E4AC2">
        <w:rPr>
          <w:rFonts w:ascii="Arial" w:hAnsi="Arial" w:cs="Arial"/>
          <w:sz w:val="18"/>
          <w:szCs w:val="18"/>
        </w:rPr>
        <w:t xml:space="preserve"> Sec 42(8</w:t>
      </w:r>
      <w:proofErr w:type="gramStart"/>
      <w:r w:rsidRPr="000E4AC2">
        <w:rPr>
          <w:rFonts w:ascii="Arial" w:hAnsi="Arial" w:cs="Arial"/>
          <w:sz w:val="18"/>
          <w:szCs w:val="18"/>
        </w:rPr>
        <w:t>)(</w:t>
      </w:r>
      <w:proofErr w:type="gramEnd"/>
      <w:r w:rsidRPr="000E4AC2">
        <w:rPr>
          <w:rFonts w:ascii="Arial" w:hAnsi="Arial" w:cs="Arial"/>
          <w:sz w:val="18"/>
          <w:szCs w:val="18"/>
        </w:rPr>
        <w:t>b) Children’s Act.</w:t>
      </w:r>
    </w:p>
  </w:footnote>
  <w:footnote w:id="16">
    <w:p w14:paraId="2E6B60DC" w14:textId="77777777" w:rsidR="00A4419C" w:rsidRPr="000E4AC2" w:rsidRDefault="00A4419C" w:rsidP="00B300F6">
      <w:pPr>
        <w:pStyle w:val="FootnoteText"/>
        <w:rPr>
          <w:rFonts w:ascii="Arial" w:hAnsi="Arial" w:cs="Arial"/>
          <w:sz w:val="18"/>
          <w:szCs w:val="18"/>
          <w:lang w:val="en-GB"/>
        </w:rPr>
      </w:pPr>
      <w:r w:rsidRPr="000E4AC2">
        <w:rPr>
          <w:rStyle w:val="FootnoteReference"/>
          <w:rFonts w:ascii="Arial" w:hAnsi="Arial" w:cs="Arial"/>
          <w:sz w:val="18"/>
          <w:szCs w:val="18"/>
        </w:rPr>
        <w:footnoteRef/>
      </w:r>
      <w:r w:rsidRPr="000E4AC2">
        <w:rPr>
          <w:rFonts w:ascii="Arial" w:hAnsi="Arial" w:cs="Arial"/>
          <w:sz w:val="18"/>
          <w:szCs w:val="18"/>
        </w:rPr>
        <w:t xml:space="preserve"> Sec 60(3) Children’s Act.</w:t>
      </w:r>
    </w:p>
  </w:footnote>
  <w:footnote w:id="17">
    <w:p w14:paraId="686F9DAE" w14:textId="77777777" w:rsidR="00A4419C" w:rsidRPr="000E4AC2" w:rsidRDefault="00A4419C" w:rsidP="00B300F6">
      <w:pPr>
        <w:autoSpaceDE w:val="0"/>
        <w:autoSpaceDN w:val="0"/>
        <w:adjustRightInd w:val="0"/>
        <w:spacing w:after="0" w:line="240" w:lineRule="auto"/>
        <w:rPr>
          <w:rFonts w:ascii="Arial" w:hAnsi="Arial" w:cs="Arial"/>
          <w:sz w:val="18"/>
          <w:szCs w:val="18"/>
          <w:lang w:val="en-GB"/>
        </w:rPr>
      </w:pPr>
      <w:r w:rsidRPr="000E4AC2">
        <w:rPr>
          <w:rStyle w:val="FootnoteReference"/>
          <w:rFonts w:ascii="Arial" w:hAnsi="Arial" w:cs="Arial"/>
          <w:sz w:val="18"/>
          <w:szCs w:val="18"/>
        </w:rPr>
        <w:footnoteRef/>
      </w:r>
      <w:r w:rsidRPr="000E4AC2">
        <w:rPr>
          <w:rFonts w:ascii="Arial" w:hAnsi="Arial" w:cs="Arial"/>
          <w:sz w:val="18"/>
          <w:szCs w:val="18"/>
        </w:rPr>
        <w:t xml:space="preserve"> Sec 61(2) Children’s Act.</w:t>
      </w:r>
    </w:p>
  </w:footnote>
  <w:footnote w:id="18">
    <w:p w14:paraId="1D00FA2C" w14:textId="77777777" w:rsidR="00A4419C" w:rsidRPr="000E4AC2" w:rsidRDefault="00A4419C" w:rsidP="00B300F6">
      <w:pPr>
        <w:pStyle w:val="FootnoteText"/>
        <w:rPr>
          <w:rFonts w:ascii="Arial" w:hAnsi="Arial" w:cs="Arial"/>
          <w:sz w:val="18"/>
          <w:szCs w:val="18"/>
          <w:lang w:val="en-GB"/>
        </w:rPr>
      </w:pPr>
      <w:r w:rsidRPr="000E4AC2">
        <w:rPr>
          <w:rStyle w:val="FootnoteReference"/>
          <w:rFonts w:ascii="Arial" w:hAnsi="Arial" w:cs="Arial"/>
          <w:sz w:val="18"/>
          <w:szCs w:val="18"/>
        </w:rPr>
        <w:footnoteRef/>
      </w:r>
      <w:r w:rsidRPr="000E4AC2">
        <w:rPr>
          <w:rFonts w:ascii="Arial" w:hAnsi="Arial" w:cs="Arial"/>
          <w:sz w:val="18"/>
          <w:szCs w:val="18"/>
        </w:rPr>
        <w:t xml:space="preserve"> Sec 153(2) Criminal Procedure Act 51 of 1977.</w:t>
      </w:r>
    </w:p>
  </w:footnote>
  <w:footnote w:id="19">
    <w:p w14:paraId="498A3B48" w14:textId="77777777" w:rsidR="00A4419C" w:rsidRPr="000E4AC2" w:rsidRDefault="00A4419C" w:rsidP="00B300F6">
      <w:pPr>
        <w:pStyle w:val="FootnoteText"/>
        <w:rPr>
          <w:rFonts w:ascii="Arial" w:hAnsi="Arial" w:cs="Arial"/>
          <w:sz w:val="18"/>
          <w:szCs w:val="18"/>
          <w:lang w:val="en-GB"/>
        </w:rPr>
      </w:pPr>
      <w:r w:rsidRPr="000E4AC2">
        <w:rPr>
          <w:rStyle w:val="FootnoteReference"/>
          <w:rFonts w:ascii="Arial" w:hAnsi="Arial" w:cs="Arial"/>
          <w:sz w:val="18"/>
          <w:szCs w:val="18"/>
        </w:rPr>
        <w:footnoteRef/>
      </w:r>
      <w:r w:rsidRPr="000E4AC2">
        <w:rPr>
          <w:rFonts w:ascii="Arial" w:hAnsi="Arial" w:cs="Arial"/>
          <w:sz w:val="18"/>
          <w:szCs w:val="18"/>
        </w:rPr>
        <w:t xml:space="preserve"> Sec 158(2</w:t>
      </w:r>
      <w:proofErr w:type="gramStart"/>
      <w:r w:rsidRPr="000E4AC2">
        <w:rPr>
          <w:rFonts w:ascii="Arial" w:hAnsi="Arial" w:cs="Arial"/>
          <w:sz w:val="18"/>
          <w:szCs w:val="18"/>
        </w:rPr>
        <w:t>)(</w:t>
      </w:r>
      <w:proofErr w:type="gramEnd"/>
      <w:r w:rsidRPr="000E4AC2">
        <w:rPr>
          <w:rFonts w:ascii="Arial" w:hAnsi="Arial" w:cs="Arial"/>
          <w:sz w:val="18"/>
          <w:szCs w:val="18"/>
        </w:rPr>
        <w:t>a) Criminal Procedure Act.</w:t>
      </w:r>
    </w:p>
  </w:footnote>
  <w:footnote w:id="20">
    <w:p w14:paraId="57111611" w14:textId="77777777" w:rsidR="00A4419C" w:rsidRPr="000E4AC2" w:rsidRDefault="00A4419C" w:rsidP="00B300F6">
      <w:pPr>
        <w:pStyle w:val="FootnoteText"/>
        <w:rPr>
          <w:rFonts w:ascii="Arial" w:hAnsi="Arial" w:cs="Arial"/>
          <w:sz w:val="18"/>
          <w:szCs w:val="18"/>
          <w:lang w:val="en-GB"/>
        </w:rPr>
      </w:pPr>
      <w:r w:rsidRPr="000E4AC2">
        <w:rPr>
          <w:rStyle w:val="FootnoteReference"/>
          <w:rFonts w:ascii="Arial" w:hAnsi="Arial" w:cs="Arial"/>
          <w:sz w:val="18"/>
          <w:szCs w:val="18"/>
        </w:rPr>
        <w:footnoteRef/>
      </w:r>
      <w:r w:rsidRPr="000E4AC2">
        <w:rPr>
          <w:rFonts w:ascii="Arial" w:hAnsi="Arial" w:cs="Arial"/>
          <w:sz w:val="18"/>
          <w:szCs w:val="18"/>
        </w:rPr>
        <w:t xml:space="preserve"> Sec 170A Criminal Procedure Act.</w:t>
      </w:r>
    </w:p>
  </w:footnote>
  <w:footnote w:id="21">
    <w:p w14:paraId="45886D02" w14:textId="77777777" w:rsidR="00A4419C" w:rsidRPr="000E4AC2" w:rsidRDefault="00A4419C" w:rsidP="00B300F6">
      <w:pPr>
        <w:pStyle w:val="FootnoteText"/>
        <w:rPr>
          <w:rFonts w:ascii="Arial" w:hAnsi="Arial" w:cs="Arial"/>
          <w:sz w:val="18"/>
          <w:szCs w:val="18"/>
          <w:lang w:val="en-GB"/>
        </w:rPr>
      </w:pPr>
      <w:r w:rsidRPr="000E4AC2">
        <w:rPr>
          <w:rStyle w:val="FootnoteReference"/>
          <w:rFonts w:ascii="Arial" w:hAnsi="Arial" w:cs="Arial"/>
          <w:sz w:val="18"/>
          <w:szCs w:val="18"/>
        </w:rPr>
        <w:footnoteRef/>
      </w:r>
      <w:r w:rsidRPr="000E4AC2">
        <w:rPr>
          <w:rFonts w:ascii="Arial" w:hAnsi="Arial" w:cs="Arial"/>
          <w:sz w:val="18"/>
          <w:szCs w:val="18"/>
        </w:rPr>
        <w:t xml:space="preserve"> Sec 170A (1) Criminal Procedure Act.</w:t>
      </w:r>
    </w:p>
  </w:footnote>
  <w:footnote w:id="22">
    <w:p w14:paraId="1DCAAF9C" w14:textId="77777777" w:rsidR="00A4419C" w:rsidRPr="000E4AC2" w:rsidRDefault="00A4419C" w:rsidP="00B300F6">
      <w:pPr>
        <w:pStyle w:val="FootnoteText"/>
        <w:spacing w:line="276" w:lineRule="auto"/>
        <w:rPr>
          <w:rFonts w:ascii="Arial" w:hAnsi="Arial" w:cs="Arial"/>
          <w:sz w:val="18"/>
          <w:szCs w:val="18"/>
          <w:lang w:val="en-GB"/>
        </w:rPr>
      </w:pPr>
      <w:r w:rsidRPr="000E4AC2">
        <w:rPr>
          <w:rStyle w:val="FootnoteReference"/>
          <w:rFonts w:ascii="Arial" w:hAnsi="Arial" w:cs="Arial"/>
          <w:sz w:val="18"/>
          <w:szCs w:val="18"/>
        </w:rPr>
        <w:footnoteRef/>
      </w:r>
      <w:r w:rsidRPr="000E4AC2">
        <w:rPr>
          <w:rFonts w:ascii="Arial" w:hAnsi="Arial" w:cs="Arial"/>
          <w:sz w:val="18"/>
          <w:szCs w:val="18"/>
        </w:rPr>
        <w:t xml:space="preserve"> Sec </w:t>
      </w:r>
      <w:proofErr w:type="gramStart"/>
      <w:r w:rsidRPr="000E4AC2">
        <w:rPr>
          <w:rFonts w:ascii="Arial" w:hAnsi="Arial" w:cs="Arial"/>
          <w:sz w:val="18"/>
          <w:szCs w:val="18"/>
        </w:rPr>
        <w:t>170A(</w:t>
      </w:r>
      <w:proofErr w:type="gramEnd"/>
      <w:r w:rsidRPr="000E4AC2">
        <w:rPr>
          <w:rFonts w:ascii="Arial" w:hAnsi="Arial" w:cs="Arial"/>
          <w:sz w:val="18"/>
          <w:szCs w:val="18"/>
        </w:rPr>
        <w:t>3)(b) Criminal Procedure Act.</w:t>
      </w:r>
    </w:p>
  </w:footnote>
  <w:footnote w:id="23">
    <w:p w14:paraId="03BFAAE6" w14:textId="77777777" w:rsidR="00A4419C" w:rsidRPr="000E4AC2" w:rsidRDefault="00A4419C" w:rsidP="00B300F6">
      <w:pPr>
        <w:pStyle w:val="FootnoteText"/>
        <w:spacing w:line="276" w:lineRule="auto"/>
        <w:rPr>
          <w:rFonts w:ascii="Arial" w:hAnsi="Arial" w:cs="Arial"/>
          <w:sz w:val="18"/>
          <w:szCs w:val="18"/>
          <w:lang w:val="en-GB"/>
        </w:rPr>
      </w:pPr>
      <w:r w:rsidRPr="000E4AC2">
        <w:rPr>
          <w:rStyle w:val="FootnoteReference"/>
          <w:rFonts w:ascii="Arial" w:hAnsi="Arial" w:cs="Arial"/>
          <w:sz w:val="18"/>
          <w:szCs w:val="18"/>
        </w:rPr>
        <w:footnoteRef/>
      </w:r>
      <w:r w:rsidRPr="000E4AC2">
        <w:rPr>
          <w:rFonts w:ascii="Arial" w:hAnsi="Arial" w:cs="Arial"/>
          <w:sz w:val="18"/>
          <w:szCs w:val="18"/>
        </w:rPr>
        <w:t xml:space="preserve"> Sec </w:t>
      </w:r>
      <w:proofErr w:type="gramStart"/>
      <w:r w:rsidRPr="000E4AC2">
        <w:rPr>
          <w:rFonts w:ascii="Arial" w:hAnsi="Arial" w:cs="Arial"/>
          <w:sz w:val="18"/>
          <w:szCs w:val="18"/>
        </w:rPr>
        <w:t>170A(</w:t>
      </w:r>
      <w:proofErr w:type="gramEnd"/>
      <w:r w:rsidRPr="000E4AC2">
        <w:rPr>
          <w:rFonts w:ascii="Arial" w:hAnsi="Arial" w:cs="Arial"/>
          <w:sz w:val="18"/>
          <w:szCs w:val="18"/>
        </w:rPr>
        <w:t>3)(c) Criminal Procedure Act.</w:t>
      </w:r>
    </w:p>
  </w:footnote>
  <w:footnote w:id="24">
    <w:p w14:paraId="6B0BE802" w14:textId="77777777" w:rsidR="00A4419C" w:rsidRPr="00D47750" w:rsidRDefault="00A4419C" w:rsidP="005A3586">
      <w:pPr>
        <w:pStyle w:val="FootnoteText"/>
        <w:spacing w:line="276" w:lineRule="auto"/>
      </w:pPr>
      <w:r w:rsidRPr="00D47750">
        <w:rPr>
          <w:rStyle w:val="FootnoteReference"/>
          <w:rFonts w:ascii="Arial" w:hAnsi="Arial" w:cs="Arial"/>
          <w:sz w:val="18"/>
          <w:szCs w:val="18"/>
        </w:rPr>
        <w:footnoteRef/>
      </w:r>
      <w:r w:rsidRPr="00D47750">
        <w:rPr>
          <w:rFonts w:ascii="Arial" w:hAnsi="Arial" w:cs="Arial"/>
          <w:sz w:val="18"/>
          <w:szCs w:val="18"/>
        </w:rPr>
        <w:t xml:space="preserve"> A Nilsson ‘Who gets to decide? Right to legal capacity for persons with intellectual and psychosocial disabilities’ Commissioner for Human Rights Issue Paper (2012), at pg. 19.</w:t>
      </w:r>
      <w:r w:rsidRPr="00B955F6">
        <w:t xml:space="preserve"> </w:t>
      </w:r>
    </w:p>
  </w:footnote>
  <w:footnote w:id="25">
    <w:p w14:paraId="42D0863E" w14:textId="77777777" w:rsidR="00A4419C" w:rsidRPr="007D1BB5" w:rsidRDefault="00A4419C" w:rsidP="007D1BB5">
      <w:pPr>
        <w:pStyle w:val="FootnoteText"/>
        <w:jc w:val="both"/>
        <w:rPr>
          <w:lang w:val="en-GB"/>
        </w:rPr>
      </w:pPr>
      <w:r>
        <w:rPr>
          <w:rStyle w:val="FootnoteReference"/>
        </w:rPr>
        <w:footnoteRef/>
      </w:r>
      <w:r>
        <w:t xml:space="preserve"> </w:t>
      </w:r>
      <w:r w:rsidRPr="007D1BB5">
        <w:t xml:space="preserve">The Convention on the Rights of Persons with Disabilities entered into force on 3 May 2008. “The CRPD is an international disability treaty and strengthened legal framework that was inspired by international laws in recognising the rights of persons with disabilities (United Nations, 2006). The CRPD is also quoted as the highest international standard to promote and protect the human rights of persons with disabilities. However, the purpose of this Convention is not merely to promote and protect but also to ensure the full and equal enjoyment of all human rights and fundamental freedoms by all persons with disabilities. The CRPD has been signed and ratified by 46 African states, South Africa being one of these.” Robyn White &amp; Diana </w:t>
      </w:r>
      <w:proofErr w:type="spellStart"/>
      <w:r w:rsidRPr="007D1BB5">
        <w:t>Msipa</w:t>
      </w:r>
      <w:proofErr w:type="spellEnd"/>
      <w:r w:rsidRPr="007D1BB5">
        <w:t xml:space="preserve"> – </w:t>
      </w:r>
      <w:r w:rsidRPr="000E4AC2">
        <w:rPr>
          <w:b/>
          <w:i/>
          <w:sz w:val="18"/>
          <w:szCs w:val="18"/>
        </w:rPr>
        <w:t>“IMPLEMENTING ARTICLE 13 OF THE CONVENTION ON THE RIGHTS OF PERSONS WITH DISABILITIES IN SOUTH AFRICA: REASONABLE ACCOMMODATIONS FOR PERSONS WITH COMMUNICATION DISABILITIES”</w:t>
      </w:r>
      <w:r w:rsidRPr="000E4AC2">
        <w:rPr>
          <w:i/>
          <w:sz w:val="18"/>
          <w:szCs w:val="18"/>
        </w:rPr>
        <w:t xml:space="preserve">, </w:t>
      </w:r>
      <w:r w:rsidRPr="007D1BB5">
        <w:t>Chapter 5 of 19 Art 13(1) CRPD. 102 (2018) 6 African Disability Rights Yearbook</w:t>
      </w:r>
    </w:p>
  </w:footnote>
  <w:footnote w:id="26">
    <w:p w14:paraId="54BAD98E" w14:textId="77777777" w:rsidR="00A4419C" w:rsidRPr="00C309B2" w:rsidRDefault="00A4419C">
      <w:pPr>
        <w:pStyle w:val="FootnoteText"/>
      </w:pPr>
      <w:r>
        <w:rPr>
          <w:rStyle w:val="FootnoteReference"/>
        </w:rPr>
        <w:footnoteRef/>
      </w:r>
      <w:r>
        <w:t xml:space="preserve"> </w:t>
      </w:r>
      <w:r w:rsidRPr="00A16784">
        <w:t>International Covenant on Civil and Political Rights, 19 December 1966, 999 UNTS 171, art 2(3</w:t>
      </w:r>
      <w:proofErr w:type="gramStart"/>
      <w:r w:rsidRPr="00A16784">
        <w:t>)(</w:t>
      </w:r>
      <w:proofErr w:type="gramEnd"/>
      <w:r w:rsidRPr="00A16784">
        <w:t>a) (entered int</w:t>
      </w:r>
      <w:r>
        <w:t>o force 23 March 1976) (ICCPR).</w:t>
      </w:r>
    </w:p>
  </w:footnote>
  <w:footnote w:id="27">
    <w:p w14:paraId="1F38FF0B" w14:textId="77777777" w:rsidR="00A4419C" w:rsidRPr="00C3595D" w:rsidRDefault="00A4419C">
      <w:pPr>
        <w:pStyle w:val="FootnoteText"/>
        <w:rPr>
          <w:lang w:val="en-GB"/>
        </w:rPr>
      </w:pPr>
      <w:r>
        <w:rPr>
          <w:rStyle w:val="FootnoteReference"/>
        </w:rPr>
        <w:footnoteRef/>
      </w:r>
      <w:r>
        <w:t xml:space="preserve"> </w:t>
      </w:r>
      <w:r w:rsidRPr="00C3595D">
        <w:rPr>
          <w:rFonts w:ascii="Arial" w:hAnsi="Arial" w:cs="Arial"/>
          <w:sz w:val="18"/>
          <w:szCs w:val="18"/>
        </w:rPr>
        <w:t xml:space="preserve">F </w:t>
      </w:r>
      <w:proofErr w:type="spellStart"/>
      <w:r w:rsidRPr="00C3595D">
        <w:rPr>
          <w:rFonts w:ascii="Arial" w:hAnsi="Arial" w:cs="Arial"/>
          <w:sz w:val="18"/>
          <w:szCs w:val="18"/>
        </w:rPr>
        <w:t>Mégret</w:t>
      </w:r>
      <w:proofErr w:type="spellEnd"/>
      <w:r w:rsidRPr="00C3595D">
        <w:rPr>
          <w:rFonts w:ascii="Arial" w:hAnsi="Arial" w:cs="Arial"/>
          <w:sz w:val="18"/>
          <w:szCs w:val="18"/>
        </w:rPr>
        <w:t xml:space="preserve"> </w:t>
      </w:r>
      <w:r w:rsidRPr="00C3595D">
        <w:rPr>
          <w:rFonts w:ascii="Arial" w:hAnsi="Arial" w:cs="Arial"/>
          <w:i/>
          <w:sz w:val="18"/>
          <w:szCs w:val="18"/>
        </w:rPr>
        <w:t>‘The Disabilities Convention: Human rights of persons with disabilities or disability rights?’</w:t>
      </w:r>
      <w:r w:rsidRPr="00C3595D">
        <w:rPr>
          <w:rFonts w:ascii="Arial" w:hAnsi="Arial" w:cs="Arial"/>
          <w:sz w:val="18"/>
          <w:szCs w:val="18"/>
        </w:rPr>
        <w:t xml:space="preserve"> (2008) 30 Human Rights Quarterly 494 at 512.</w:t>
      </w:r>
    </w:p>
  </w:footnote>
  <w:footnote w:id="28">
    <w:p w14:paraId="689D1665" w14:textId="77777777" w:rsidR="00A4419C" w:rsidRPr="00201370" w:rsidRDefault="00A4419C" w:rsidP="00C309B2">
      <w:pPr>
        <w:pStyle w:val="FootnoteText"/>
        <w:rPr>
          <w:lang w:val="en-GB"/>
        </w:rPr>
      </w:pPr>
      <w:r>
        <w:rPr>
          <w:rStyle w:val="FootnoteReference"/>
        </w:rPr>
        <w:footnoteRef/>
      </w:r>
      <w:r w:rsidRPr="00201370">
        <w:t xml:space="preserve">M </w:t>
      </w:r>
      <w:proofErr w:type="spellStart"/>
      <w:r w:rsidRPr="00201370">
        <w:t>Cappelletti</w:t>
      </w:r>
      <w:proofErr w:type="spellEnd"/>
      <w:r w:rsidRPr="00201370">
        <w:t xml:space="preserve"> &amp; B Garth ‘Access to justice: The newest wave in the worldwide movement to make rights effective’ (1978) 27 Buffalo Law Review 185.</w:t>
      </w:r>
    </w:p>
  </w:footnote>
  <w:footnote w:id="29">
    <w:p w14:paraId="6D7112E1" w14:textId="77777777" w:rsidR="00A4419C" w:rsidRPr="002C09A7" w:rsidRDefault="00A4419C">
      <w:pPr>
        <w:pStyle w:val="FootnoteText"/>
        <w:rPr>
          <w:lang w:val="en-GB"/>
        </w:rPr>
      </w:pPr>
      <w:r>
        <w:rPr>
          <w:rStyle w:val="FootnoteReference"/>
        </w:rPr>
        <w:footnoteRef/>
      </w:r>
      <w:r>
        <w:t xml:space="preserve"> </w:t>
      </w:r>
      <w:r w:rsidRPr="002C09A7">
        <w:rPr>
          <w:rFonts w:ascii="Arial" w:hAnsi="Arial" w:cs="Arial"/>
          <w:sz w:val="18"/>
          <w:szCs w:val="18"/>
        </w:rPr>
        <w:t>Sec 9 of the Constitution of the Republic of South Africa, 1996.</w:t>
      </w:r>
    </w:p>
  </w:footnote>
  <w:footnote w:id="30">
    <w:p w14:paraId="25EE3B0D" w14:textId="77777777" w:rsidR="00A4419C" w:rsidRPr="002C09A7" w:rsidRDefault="00A4419C" w:rsidP="00424B04">
      <w:pPr>
        <w:pStyle w:val="FootnoteText"/>
        <w:spacing w:line="276" w:lineRule="auto"/>
        <w:jc w:val="both"/>
        <w:rPr>
          <w:rFonts w:ascii="Arial" w:hAnsi="Arial" w:cs="Arial"/>
          <w:sz w:val="18"/>
          <w:szCs w:val="18"/>
          <w:lang w:val="en-GB"/>
        </w:rPr>
      </w:pPr>
      <w:r w:rsidRPr="002C09A7">
        <w:rPr>
          <w:rStyle w:val="FootnoteReference"/>
          <w:rFonts w:ascii="Arial" w:hAnsi="Arial" w:cs="Arial"/>
          <w:sz w:val="18"/>
          <w:szCs w:val="18"/>
        </w:rPr>
        <w:footnoteRef/>
      </w:r>
      <w:r w:rsidRPr="002C09A7">
        <w:rPr>
          <w:rFonts w:ascii="Arial" w:hAnsi="Arial" w:cs="Arial"/>
          <w:sz w:val="18"/>
          <w:szCs w:val="18"/>
        </w:rPr>
        <w:t xml:space="preserve"> I </w:t>
      </w:r>
      <w:proofErr w:type="spellStart"/>
      <w:r w:rsidRPr="002C09A7">
        <w:rPr>
          <w:rFonts w:ascii="Arial" w:hAnsi="Arial" w:cs="Arial"/>
          <w:sz w:val="18"/>
          <w:szCs w:val="18"/>
        </w:rPr>
        <w:t>Grobbelaar</w:t>
      </w:r>
      <w:proofErr w:type="spellEnd"/>
      <w:r w:rsidRPr="002C09A7">
        <w:rPr>
          <w:rFonts w:ascii="Arial" w:hAnsi="Arial" w:cs="Arial"/>
          <w:sz w:val="18"/>
          <w:szCs w:val="18"/>
        </w:rPr>
        <w:t xml:space="preserve">-Du Plessis &amp; S van Eck </w:t>
      </w:r>
      <w:r w:rsidRPr="002C09A7">
        <w:rPr>
          <w:rFonts w:ascii="Arial" w:hAnsi="Arial" w:cs="Arial"/>
          <w:i/>
          <w:sz w:val="18"/>
          <w:szCs w:val="18"/>
        </w:rPr>
        <w:t>‘Protection of disabled employees in South Africa: An analysis of the Constitution and labour legislation’</w:t>
      </w:r>
      <w:r w:rsidRPr="002C09A7">
        <w:rPr>
          <w:rFonts w:ascii="Arial" w:hAnsi="Arial" w:cs="Arial"/>
          <w:sz w:val="18"/>
          <w:szCs w:val="18"/>
        </w:rPr>
        <w:t xml:space="preserve"> in I </w:t>
      </w:r>
      <w:proofErr w:type="spellStart"/>
      <w:r w:rsidRPr="002C09A7">
        <w:rPr>
          <w:rFonts w:ascii="Arial" w:hAnsi="Arial" w:cs="Arial"/>
          <w:sz w:val="18"/>
          <w:szCs w:val="18"/>
        </w:rPr>
        <w:t>Grobbelaar</w:t>
      </w:r>
      <w:proofErr w:type="spellEnd"/>
      <w:r w:rsidRPr="002C09A7">
        <w:rPr>
          <w:rFonts w:ascii="Arial" w:hAnsi="Arial" w:cs="Arial"/>
          <w:sz w:val="18"/>
          <w:szCs w:val="18"/>
        </w:rPr>
        <w:t xml:space="preserve">-Du Plessis &amp; T van </w:t>
      </w:r>
      <w:proofErr w:type="spellStart"/>
      <w:r w:rsidRPr="002C09A7">
        <w:rPr>
          <w:rFonts w:ascii="Arial" w:hAnsi="Arial" w:cs="Arial"/>
          <w:sz w:val="18"/>
          <w:szCs w:val="18"/>
        </w:rPr>
        <w:t>Reenen</w:t>
      </w:r>
      <w:proofErr w:type="spellEnd"/>
      <w:r w:rsidRPr="002C09A7">
        <w:rPr>
          <w:rFonts w:ascii="Arial" w:hAnsi="Arial" w:cs="Arial"/>
          <w:sz w:val="18"/>
          <w:szCs w:val="18"/>
        </w:rPr>
        <w:t xml:space="preserve"> (</w:t>
      </w:r>
      <w:proofErr w:type="spellStart"/>
      <w:proofErr w:type="gramStart"/>
      <w:r w:rsidRPr="002C09A7">
        <w:rPr>
          <w:rFonts w:ascii="Arial" w:hAnsi="Arial" w:cs="Arial"/>
          <w:sz w:val="18"/>
          <w:szCs w:val="18"/>
        </w:rPr>
        <w:t>eds</w:t>
      </w:r>
      <w:proofErr w:type="spellEnd"/>
      <w:proofErr w:type="gramEnd"/>
      <w:r w:rsidRPr="002C09A7">
        <w:rPr>
          <w:rFonts w:ascii="Arial" w:hAnsi="Arial" w:cs="Arial"/>
          <w:sz w:val="18"/>
          <w:szCs w:val="18"/>
        </w:rPr>
        <w:t xml:space="preserve">) </w:t>
      </w:r>
      <w:r w:rsidRPr="002C09A7">
        <w:rPr>
          <w:rFonts w:ascii="Arial" w:hAnsi="Arial" w:cs="Arial"/>
          <w:i/>
          <w:iCs/>
          <w:sz w:val="18"/>
          <w:szCs w:val="18"/>
        </w:rPr>
        <w:t xml:space="preserve">Aspects of disability law in Africa </w:t>
      </w:r>
      <w:r w:rsidRPr="002C09A7">
        <w:rPr>
          <w:rFonts w:ascii="Arial" w:hAnsi="Arial" w:cs="Arial"/>
          <w:sz w:val="18"/>
          <w:szCs w:val="18"/>
        </w:rPr>
        <w:t>(2011) 231.</w:t>
      </w:r>
    </w:p>
  </w:footnote>
  <w:footnote w:id="31">
    <w:p w14:paraId="3F5C1832" w14:textId="77777777" w:rsidR="00A4419C" w:rsidRPr="002C09A7" w:rsidRDefault="00A4419C" w:rsidP="00424B04">
      <w:pPr>
        <w:pStyle w:val="FootnoteText"/>
        <w:spacing w:line="276" w:lineRule="auto"/>
        <w:jc w:val="both"/>
        <w:rPr>
          <w:rFonts w:ascii="Arial" w:hAnsi="Arial" w:cs="Arial"/>
          <w:sz w:val="18"/>
          <w:szCs w:val="18"/>
          <w:lang w:val="en-GB"/>
        </w:rPr>
      </w:pPr>
      <w:r w:rsidRPr="002C09A7">
        <w:rPr>
          <w:rStyle w:val="FootnoteReference"/>
          <w:rFonts w:ascii="Arial" w:hAnsi="Arial" w:cs="Arial"/>
          <w:sz w:val="18"/>
          <w:szCs w:val="18"/>
        </w:rPr>
        <w:footnoteRef/>
      </w:r>
      <w:r w:rsidRPr="002C09A7">
        <w:rPr>
          <w:rFonts w:ascii="Arial" w:hAnsi="Arial" w:cs="Arial"/>
          <w:sz w:val="18"/>
          <w:szCs w:val="18"/>
        </w:rPr>
        <w:t xml:space="preserve"> J </w:t>
      </w:r>
      <w:proofErr w:type="spellStart"/>
      <w:r w:rsidRPr="002C09A7">
        <w:rPr>
          <w:rFonts w:ascii="Arial" w:hAnsi="Arial" w:cs="Arial"/>
          <w:sz w:val="18"/>
          <w:szCs w:val="18"/>
        </w:rPr>
        <w:t>Bornman</w:t>
      </w:r>
      <w:proofErr w:type="spellEnd"/>
      <w:r w:rsidRPr="002C09A7">
        <w:rPr>
          <w:rFonts w:ascii="Arial" w:hAnsi="Arial" w:cs="Arial"/>
          <w:sz w:val="18"/>
          <w:szCs w:val="18"/>
        </w:rPr>
        <w:t xml:space="preserve"> et al </w:t>
      </w:r>
      <w:r w:rsidRPr="002C09A7">
        <w:rPr>
          <w:rFonts w:ascii="Arial" w:hAnsi="Arial" w:cs="Arial"/>
          <w:i/>
          <w:sz w:val="18"/>
          <w:szCs w:val="18"/>
        </w:rPr>
        <w:t>‘Identifying barriers in the South African criminal justice system: Implications for individuals with severe communication disability’</w:t>
      </w:r>
      <w:r w:rsidRPr="002C09A7">
        <w:rPr>
          <w:rFonts w:ascii="Arial" w:hAnsi="Arial" w:cs="Arial"/>
          <w:sz w:val="18"/>
          <w:szCs w:val="18"/>
        </w:rPr>
        <w:t xml:space="preserve"> (2016) </w:t>
      </w:r>
      <w:proofErr w:type="spellStart"/>
      <w:r w:rsidRPr="002C09A7">
        <w:rPr>
          <w:rFonts w:ascii="Arial" w:hAnsi="Arial" w:cs="Arial"/>
          <w:i/>
          <w:iCs/>
          <w:sz w:val="18"/>
          <w:szCs w:val="18"/>
        </w:rPr>
        <w:t>Acta</w:t>
      </w:r>
      <w:proofErr w:type="spellEnd"/>
      <w:r w:rsidRPr="002C09A7">
        <w:rPr>
          <w:rFonts w:ascii="Arial" w:hAnsi="Arial" w:cs="Arial"/>
          <w:i/>
          <w:iCs/>
          <w:sz w:val="18"/>
          <w:szCs w:val="18"/>
        </w:rPr>
        <w:t xml:space="preserve"> </w:t>
      </w:r>
      <w:proofErr w:type="spellStart"/>
      <w:r w:rsidRPr="002C09A7">
        <w:rPr>
          <w:rFonts w:ascii="Arial" w:hAnsi="Arial" w:cs="Arial"/>
          <w:i/>
          <w:iCs/>
          <w:sz w:val="18"/>
          <w:szCs w:val="18"/>
        </w:rPr>
        <w:t>Criminologica</w:t>
      </w:r>
      <w:proofErr w:type="spellEnd"/>
      <w:r w:rsidRPr="002C09A7">
        <w:rPr>
          <w:rFonts w:ascii="Arial" w:hAnsi="Arial" w:cs="Arial"/>
          <w:i/>
          <w:iCs/>
          <w:sz w:val="18"/>
          <w:szCs w:val="18"/>
        </w:rPr>
        <w:t xml:space="preserve">: </w:t>
      </w:r>
      <w:r w:rsidRPr="00FC727F">
        <w:rPr>
          <w:rFonts w:ascii="Arial" w:hAnsi="Arial" w:cs="Arial"/>
          <w:iCs/>
          <w:sz w:val="18"/>
          <w:szCs w:val="18"/>
        </w:rPr>
        <w:t xml:space="preserve">Southern African Journal of Criminology </w:t>
      </w:r>
      <w:proofErr w:type="spellStart"/>
      <w:r w:rsidRPr="00FC727F">
        <w:rPr>
          <w:rFonts w:ascii="Arial" w:hAnsi="Arial" w:cs="Arial"/>
          <w:iCs/>
          <w:sz w:val="18"/>
          <w:szCs w:val="18"/>
        </w:rPr>
        <w:t>pg</w:t>
      </w:r>
      <w:proofErr w:type="spellEnd"/>
      <w:r>
        <w:rPr>
          <w:rFonts w:ascii="Arial" w:hAnsi="Arial" w:cs="Arial"/>
          <w:i/>
          <w:iCs/>
          <w:sz w:val="18"/>
          <w:szCs w:val="18"/>
        </w:rPr>
        <w:t xml:space="preserve"> </w:t>
      </w:r>
      <w:r w:rsidRPr="002C09A7">
        <w:rPr>
          <w:rFonts w:ascii="Arial" w:hAnsi="Arial" w:cs="Arial"/>
          <w:sz w:val="18"/>
          <w:szCs w:val="18"/>
        </w:rPr>
        <w:t>291.</w:t>
      </w:r>
    </w:p>
  </w:footnote>
  <w:footnote w:id="32">
    <w:p w14:paraId="4B191207" w14:textId="77777777" w:rsidR="00A4419C" w:rsidRPr="008B4F8C" w:rsidRDefault="00A4419C">
      <w:pPr>
        <w:pStyle w:val="FootnoteText"/>
        <w:rPr>
          <w:lang w:val="en-GB"/>
        </w:rPr>
      </w:pPr>
      <w:r>
        <w:rPr>
          <w:rStyle w:val="FootnoteReference"/>
        </w:rPr>
        <w:footnoteRef/>
      </w:r>
      <w:r>
        <w:t xml:space="preserve"> </w:t>
      </w:r>
      <w:proofErr w:type="spellStart"/>
      <w:r w:rsidRPr="008B4F8C">
        <w:rPr>
          <w:rFonts w:ascii="Arial" w:hAnsi="Arial" w:cs="Arial"/>
          <w:i/>
          <w:iCs/>
          <w:sz w:val="18"/>
          <w:szCs w:val="18"/>
        </w:rPr>
        <w:t>Sikhipha</w:t>
      </w:r>
      <w:proofErr w:type="spellEnd"/>
      <w:r w:rsidRPr="008B4F8C">
        <w:rPr>
          <w:rFonts w:ascii="Arial" w:hAnsi="Arial" w:cs="Arial"/>
          <w:i/>
          <w:iCs/>
          <w:sz w:val="18"/>
          <w:szCs w:val="18"/>
        </w:rPr>
        <w:t xml:space="preserve"> v the State </w:t>
      </w:r>
      <w:r>
        <w:rPr>
          <w:rFonts w:ascii="Arial" w:hAnsi="Arial" w:cs="Arial"/>
          <w:sz w:val="18"/>
          <w:szCs w:val="18"/>
        </w:rPr>
        <w:t>2006 SCA 71 (RSA) para 14</w:t>
      </w:r>
      <w:r w:rsidRPr="008B4F8C">
        <w:rPr>
          <w:rFonts w:ascii="Arial" w:hAnsi="Arial" w:cs="Arial"/>
          <w:sz w:val="18"/>
          <w:szCs w:val="18"/>
        </w:rPr>
        <w:t>.</w:t>
      </w:r>
    </w:p>
  </w:footnote>
  <w:footnote w:id="33">
    <w:p w14:paraId="1BD5648C" w14:textId="77777777" w:rsidR="00A4419C" w:rsidRPr="00DD24C1" w:rsidRDefault="00A4419C">
      <w:pPr>
        <w:pStyle w:val="FootnoteText"/>
        <w:rPr>
          <w:lang w:val="en-GB"/>
        </w:rPr>
      </w:pPr>
      <w:r>
        <w:rPr>
          <w:rStyle w:val="FootnoteReference"/>
        </w:rPr>
        <w:footnoteRef/>
      </w:r>
      <w:r>
        <w:t xml:space="preserve"> </w:t>
      </w:r>
      <w:proofErr w:type="spellStart"/>
      <w:r w:rsidRPr="00DD24C1">
        <w:rPr>
          <w:rFonts w:ascii="Arial" w:hAnsi="Arial" w:cs="Arial"/>
          <w:i/>
          <w:iCs/>
          <w:sz w:val="18"/>
          <w:szCs w:val="18"/>
        </w:rPr>
        <w:t>Motsisi</w:t>
      </w:r>
      <w:proofErr w:type="spellEnd"/>
      <w:r w:rsidRPr="00DD24C1">
        <w:rPr>
          <w:rFonts w:ascii="Arial" w:hAnsi="Arial" w:cs="Arial"/>
          <w:i/>
          <w:iCs/>
          <w:sz w:val="18"/>
          <w:szCs w:val="18"/>
        </w:rPr>
        <w:t xml:space="preserve"> v the State </w:t>
      </w:r>
      <w:r>
        <w:rPr>
          <w:rFonts w:ascii="Arial" w:hAnsi="Arial" w:cs="Arial"/>
          <w:sz w:val="18"/>
          <w:szCs w:val="18"/>
        </w:rPr>
        <w:t>513/11 2012 ZASCA 59</w:t>
      </w:r>
      <w:r w:rsidRPr="00DD24C1">
        <w:rPr>
          <w:rFonts w:ascii="Arial" w:hAnsi="Arial" w:cs="Arial"/>
          <w:sz w:val="18"/>
          <w:szCs w:val="18"/>
        </w:rPr>
        <w:t>.</w:t>
      </w:r>
    </w:p>
  </w:footnote>
  <w:footnote w:id="34">
    <w:p w14:paraId="647F05B4" w14:textId="77777777" w:rsidR="0040335D" w:rsidRPr="00DE528D" w:rsidRDefault="0040335D" w:rsidP="0040335D">
      <w:pPr>
        <w:pStyle w:val="FootnoteText"/>
        <w:rPr>
          <w:lang w:val="en-GB"/>
        </w:rPr>
      </w:pPr>
      <w:r>
        <w:rPr>
          <w:rStyle w:val="FootnoteReference"/>
        </w:rPr>
        <w:footnoteRef/>
      </w:r>
      <w:r>
        <w:t xml:space="preserve"> </w:t>
      </w:r>
      <w:r w:rsidRPr="00DE528D">
        <w:rPr>
          <w:rFonts w:ascii="Arial" w:hAnsi="Arial" w:cs="Arial"/>
          <w:i/>
          <w:iCs/>
          <w:sz w:val="18"/>
          <w:szCs w:val="18"/>
        </w:rPr>
        <w:t xml:space="preserve">DPP v Minister of Justice and Constitutional Development </w:t>
      </w:r>
      <w:r>
        <w:rPr>
          <w:rFonts w:ascii="Arial" w:hAnsi="Arial" w:cs="Arial"/>
          <w:sz w:val="18"/>
          <w:szCs w:val="18"/>
        </w:rPr>
        <w:t>2009 (4) SA 222 (CC).</w:t>
      </w:r>
    </w:p>
  </w:footnote>
  <w:footnote w:id="35">
    <w:p w14:paraId="780AC917" w14:textId="77777777" w:rsidR="00A4419C" w:rsidRPr="00DE528D" w:rsidRDefault="00A4419C">
      <w:pPr>
        <w:pStyle w:val="FootnoteText"/>
        <w:rPr>
          <w:lang w:val="en-GB"/>
        </w:rPr>
      </w:pPr>
      <w:r>
        <w:rPr>
          <w:rStyle w:val="FootnoteReference"/>
        </w:rPr>
        <w:footnoteRef/>
      </w:r>
      <w:r>
        <w:t xml:space="preserve"> </w:t>
      </w:r>
      <w:r w:rsidRPr="00DE528D">
        <w:rPr>
          <w:rFonts w:ascii="Arial" w:hAnsi="Arial" w:cs="Arial"/>
          <w:i/>
          <w:iCs/>
          <w:sz w:val="18"/>
          <w:szCs w:val="18"/>
        </w:rPr>
        <w:t xml:space="preserve">DPP v Minister of Justice and Constitutional Development </w:t>
      </w:r>
      <w:r w:rsidRPr="00DE528D">
        <w:rPr>
          <w:rFonts w:ascii="Arial" w:hAnsi="Arial" w:cs="Arial"/>
          <w:sz w:val="18"/>
          <w:szCs w:val="18"/>
        </w:rPr>
        <w:t xml:space="preserve">2009 </w:t>
      </w:r>
      <w:r>
        <w:rPr>
          <w:rFonts w:ascii="Arial" w:hAnsi="Arial" w:cs="Arial"/>
          <w:sz w:val="18"/>
          <w:szCs w:val="18"/>
        </w:rPr>
        <w:t>(</w:t>
      </w:r>
      <w:r w:rsidRPr="00DE528D">
        <w:rPr>
          <w:rFonts w:ascii="Arial" w:hAnsi="Arial" w:cs="Arial"/>
          <w:sz w:val="18"/>
          <w:szCs w:val="18"/>
        </w:rPr>
        <w:t>4</w:t>
      </w:r>
      <w:r>
        <w:rPr>
          <w:rFonts w:ascii="Arial" w:hAnsi="Arial" w:cs="Arial"/>
          <w:sz w:val="18"/>
          <w:szCs w:val="18"/>
        </w:rPr>
        <w:t>)</w:t>
      </w:r>
      <w:r w:rsidRPr="00DE528D">
        <w:rPr>
          <w:rFonts w:ascii="Arial" w:hAnsi="Arial" w:cs="Arial"/>
          <w:sz w:val="18"/>
          <w:szCs w:val="18"/>
        </w:rPr>
        <w:t xml:space="preserve"> SA 222 (CC) para 166.</w:t>
      </w:r>
    </w:p>
  </w:footnote>
  <w:footnote w:id="36">
    <w:p w14:paraId="50D17D7A" w14:textId="77777777" w:rsidR="00081C93" w:rsidRPr="00674B8E" w:rsidRDefault="00081C93" w:rsidP="00081C93">
      <w:pPr>
        <w:pStyle w:val="FootnoteText"/>
        <w:rPr>
          <w:lang w:val="en-GB"/>
        </w:rPr>
      </w:pPr>
      <w:r>
        <w:rPr>
          <w:rStyle w:val="FootnoteReference"/>
        </w:rPr>
        <w:footnoteRef/>
      </w:r>
      <w:r>
        <w:t xml:space="preserve"> </w:t>
      </w:r>
      <w:r w:rsidRPr="00081C93">
        <w:rPr>
          <w:rFonts w:ascii="Arial" w:hAnsi="Arial" w:cs="Arial"/>
        </w:rPr>
        <w:t>“White Paper on the Rights of Persons with Disabilities”</w:t>
      </w:r>
      <w:r>
        <w:rPr>
          <w:rFonts w:ascii="Arial" w:hAnsi="Arial" w:cs="Arial"/>
          <w:sz w:val="18"/>
          <w:szCs w:val="18"/>
          <w:lang w:val="en-GB"/>
        </w:rPr>
        <w:t xml:space="preserve"> - </w:t>
      </w:r>
      <w:r w:rsidRPr="00674B8E">
        <w:rPr>
          <w:rFonts w:ascii="Arial" w:hAnsi="Arial" w:cs="Arial"/>
          <w:sz w:val="18"/>
          <w:szCs w:val="18"/>
          <w:lang w:val="en-GB"/>
        </w:rPr>
        <w:t>Gover</w:t>
      </w:r>
      <w:r>
        <w:rPr>
          <w:rFonts w:ascii="Arial" w:hAnsi="Arial" w:cs="Arial"/>
          <w:sz w:val="18"/>
          <w:szCs w:val="18"/>
          <w:lang w:val="en-GB"/>
        </w:rPr>
        <w:t>nment Gazette, 9 March 2016 No.</w:t>
      </w:r>
      <w:r w:rsidRPr="00674B8E">
        <w:rPr>
          <w:rFonts w:ascii="Arial" w:hAnsi="Arial" w:cs="Arial"/>
          <w:sz w:val="18"/>
          <w:szCs w:val="18"/>
          <w:lang w:val="en-GB"/>
        </w:rPr>
        <w:t>39792</w:t>
      </w:r>
      <w:r>
        <w:rPr>
          <w:rFonts w:ascii="Arial" w:hAnsi="Arial" w:cs="Arial"/>
          <w:sz w:val="18"/>
          <w:szCs w:val="18"/>
          <w:lang w:val="en-GB"/>
        </w:rPr>
        <w:t>.</w:t>
      </w:r>
    </w:p>
  </w:footnote>
  <w:footnote w:id="37">
    <w:p w14:paraId="0FC7908F" w14:textId="77777777" w:rsidR="0040335D" w:rsidRPr="006F4E04" w:rsidRDefault="0040335D" w:rsidP="0040335D">
      <w:pPr>
        <w:widowControl w:val="0"/>
        <w:autoSpaceDE w:val="0"/>
        <w:autoSpaceDN w:val="0"/>
        <w:adjustRightInd w:val="0"/>
        <w:spacing w:after="0" w:line="276" w:lineRule="auto"/>
        <w:jc w:val="both"/>
        <w:rPr>
          <w:rFonts w:ascii="Arial" w:hAnsi="Arial" w:cs="Arial"/>
          <w:color w:val="000000"/>
          <w:sz w:val="18"/>
          <w:szCs w:val="18"/>
        </w:rPr>
      </w:pPr>
      <w:r w:rsidRPr="006F4E04">
        <w:rPr>
          <w:rStyle w:val="FootnoteReference"/>
          <w:rFonts w:ascii="Arial" w:hAnsi="Arial" w:cs="Arial"/>
          <w:sz w:val="18"/>
          <w:szCs w:val="18"/>
        </w:rPr>
        <w:footnoteRef/>
      </w:r>
      <w:r w:rsidRPr="006F4E04">
        <w:rPr>
          <w:rFonts w:ascii="Arial" w:hAnsi="Arial" w:cs="Arial"/>
          <w:sz w:val="18"/>
          <w:szCs w:val="18"/>
        </w:rPr>
        <w:t xml:space="preserve"> Ruby McDonough </w:t>
      </w:r>
      <w:r w:rsidRPr="006F4E04">
        <w:rPr>
          <w:rFonts w:ascii="Arial" w:hAnsi="Arial" w:cs="Arial"/>
          <w:color w:val="000000"/>
          <w:sz w:val="18"/>
          <w:szCs w:val="18"/>
        </w:rPr>
        <w:t xml:space="preserve">SJC–10609.457 Mass. 512 (Argued May 6, 2010. Decided Aug. 11, 2010.) </w:t>
      </w:r>
    </w:p>
  </w:footnote>
  <w:footnote w:id="38">
    <w:p w14:paraId="76016C40" w14:textId="77777777" w:rsidR="0040335D" w:rsidRPr="008419DE" w:rsidRDefault="0040335D" w:rsidP="0040335D">
      <w:pPr>
        <w:pStyle w:val="FootnoteText"/>
        <w:spacing w:line="276" w:lineRule="auto"/>
        <w:jc w:val="both"/>
        <w:rPr>
          <w:rFonts w:ascii="Arial" w:hAnsi="Arial" w:cs="Arial"/>
          <w:sz w:val="18"/>
          <w:szCs w:val="18"/>
          <w:lang w:val="en-GB"/>
        </w:rPr>
      </w:pPr>
      <w:r w:rsidRPr="008419DE">
        <w:rPr>
          <w:rStyle w:val="FootnoteReference"/>
          <w:rFonts w:ascii="Arial" w:hAnsi="Arial" w:cs="Arial"/>
          <w:sz w:val="18"/>
          <w:szCs w:val="18"/>
        </w:rPr>
        <w:footnoteRef/>
      </w:r>
      <w:r w:rsidRPr="008419DE">
        <w:rPr>
          <w:rFonts w:ascii="Arial" w:hAnsi="Arial" w:cs="Arial"/>
          <w:sz w:val="18"/>
          <w:szCs w:val="18"/>
        </w:rPr>
        <w:t xml:space="preserve"> At page 514: </w:t>
      </w:r>
      <w:r w:rsidRPr="008419DE">
        <w:rPr>
          <w:rFonts w:ascii="Arial" w:hAnsi="Arial" w:cs="Arial"/>
          <w:i/>
          <w:sz w:val="18"/>
          <w:szCs w:val="18"/>
        </w:rPr>
        <w:t>“</w:t>
      </w:r>
      <w:r w:rsidRPr="008419DE">
        <w:rPr>
          <w:rFonts w:ascii="Arial" w:hAnsi="Arial" w:cs="Arial"/>
          <w:i/>
          <w:color w:val="000000"/>
          <w:sz w:val="18"/>
          <w:szCs w:val="18"/>
        </w:rPr>
        <w:t xml:space="preserve">Because of the “pervasive unequal treatment” of individuals with disabilities, </w:t>
      </w:r>
      <w:hyperlink r:id="rId5" w:history="1">
        <w:r w:rsidRPr="008419DE">
          <w:rPr>
            <w:rStyle w:val="Hyperlink"/>
            <w:rFonts w:ascii="Arial" w:hAnsi="Arial" w:cs="Arial"/>
            <w:i/>
            <w:iCs/>
            <w:color w:val="000000"/>
            <w:sz w:val="18"/>
            <w:szCs w:val="18"/>
          </w:rPr>
          <w:t>Tennessee v. Lane,</w:t>
        </w:r>
        <w:r w:rsidRPr="008419DE">
          <w:rPr>
            <w:rStyle w:val="Hyperlink"/>
            <w:rFonts w:ascii="Arial" w:hAnsi="Arial" w:cs="Arial"/>
            <w:i/>
            <w:color w:val="000000"/>
            <w:sz w:val="18"/>
            <w:szCs w:val="18"/>
          </w:rPr>
          <w:t xml:space="preserve"> 541 U.S. 09, 524, 124 </w:t>
        </w:r>
        <w:proofErr w:type="spellStart"/>
        <w:r w:rsidRPr="008419DE">
          <w:rPr>
            <w:rStyle w:val="Hyperlink"/>
            <w:rFonts w:ascii="Arial" w:hAnsi="Arial" w:cs="Arial"/>
            <w:i/>
            <w:color w:val="000000"/>
            <w:sz w:val="18"/>
            <w:szCs w:val="18"/>
          </w:rPr>
          <w:t>S.Ct</w:t>
        </w:r>
        <w:proofErr w:type="spellEnd"/>
        <w:r w:rsidRPr="008419DE">
          <w:rPr>
            <w:rStyle w:val="Hyperlink"/>
            <w:rFonts w:ascii="Arial" w:hAnsi="Arial" w:cs="Arial"/>
            <w:i/>
            <w:color w:val="000000"/>
            <w:sz w:val="18"/>
            <w:szCs w:val="18"/>
          </w:rPr>
          <w:t>. 1978, 158 L.Ed.2d 820 (2004)</w:t>
        </w:r>
      </w:hyperlink>
      <w:r w:rsidRPr="008419DE">
        <w:rPr>
          <w:rFonts w:ascii="Arial" w:hAnsi="Arial" w:cs="Arial"/>
          <w:i/>
          <w:color w:val="000000"/>
          <w:sz w:val="18"/>
          <w:szCs w:val="18"/>
        </w:rPr>
        <w:t xml:space="preserve">, the Massachusetts Constitution, Massachusetts statutes, and Federal statutes now impose on State courts certain affirmative obligations to accommodate an individual with disabilities in order to provide her with access to the courts, including providing her with the “same rights as other persons” to “give evidence.” </w:t>
      </w:r>
      <w:hyperlink r:id="rId6" w:history="1">
        <w:r w:rsidRPr="008419DE">
          <w:rPr>
            <w:rStyle w:val="Hyperlink"/>
            <w:rFonts w:ascii="Arial" w:hAnsi="Arial" w:cs="Arial"/>
            <w:i/>
            <w:color w:val="000000"/>
            <w:sz w:val="18"/>
            <w:szCs w:val="18"/>
          </w:rPr>
          <w:t>G.L. c. 93, § 103</w:t>
        </w:r>
      </w:hyperlink>
      <w:r w:rsidRPr="008419DE">
        <w:rPr>
          <w:rFonts w:ascii="Arial" w:hAnsi="Arial" w:cs="Arial"/>
          <w:i/>
          <w:color w:val="000000"/>
          <w:sz w:val="18"/>
          <w:szCs w:val="18"/>
        </w:rPr>
        <w:t xml:space="preserve"> (</w:t>
      </w:r>
      <w:proofErr w:type="gramStart"/>
      <w:r w:rsidRPr="008419DE">
        <w:rPr>
          <w:rFonts w:ascii="Arial" w:hAnsi="Arial" w:cs="Arial"/>
          <w:i/>
          <w:iCs/>
          <w:color w:val="000000"/>
          <w:sz w:val="18"/>
          <w:szCs w:val="18"/>
        </w:rPr>
        <w:t>a</w:t>
      </w:r>
      <w:r w:rsidRPr="008419DE">
        <w:rPr>
          <w:rFonts w:ascii="Arial" w:hAnsi="Arial" w:cs="Arial"/>
          <w:i/>
          <w:color w:val="000000"/>
          <w:sz w:val="18"/>
          <w:szCs w:val="18"/>
        </w:rPr>
        <w:t xml:space="preserve"> )</w:t>
      </w:r>
      <w:proofErr w:type="gramEnd"/>
      <w:r w:rsidRPr="008419DE">
        <w:rPr>
          <w:rFonts w:ascii="Arial" w:hAnsi="Arial" w:cs="Arial"/>
          <w:i/>
          <w:color w:val="000000"/>
          <w:sz w:val="18"/>
          <w:szCs w:val="18"/>
        </w:rPr>
        <w:t>. Nevertheless, for the reasons we explain below, we conclude that McDonough has no standing to seek appellate review of the decision of the judge in the District Court that precluded her from testifying in the defendant’s criminal trial. Accordingly, we deny her petition.”</w:t>
      </w:r>
    </w:p>
  </w:footnote>
  <w:footnote w:id="39">
    <w:p w14:paraId="2FA2DD32" w14:textId="77777777" w:rsidR="0040335D" w:rsidRPr="00C14F41" w:rsidRDefault="0040335D" w:rsidP="0040335D">
      <w:pPr>
        <w:pStyle w:val="FootnoteText"/>
        <w:rPr>
          <w:lang w:val="en-GB"/>
        </w:rPr>
      </w:pPr>
      <w:r>
        <w:rPr>
          <w:rStyle w:val="FootnoteReference"/>
        </w:rPr>
        <w:footnoteRef/>
      </w:r>
      <w:r>
        <w:t xml:space="preserve"> </w:t>
      </w:r>
      <w:r w:rsidRPr="00C14F41">
        <w:rPr>
          <w:rFonts w:ascii="Arial" w:hAnsi="Arial" w:cs="Arial"/>
          <w:bCs/>
          <w:sz w:val="18"/>
          <w:szCs w:val="18"/>
        </w:rPr>
        <w:t>Lesotho High Court Constitutional case No. 14/2017 delivered on 16 May 2019</w:t>
      </w:r>
      <w:r>
        <w:rPr>
          <w:rFonts w:ascii="Arial" w:hAnsi="Arial" w:cs="Arial"/>
          <w:bCs/>
          <w:sz w:val="18"/>
          <w:szCs w:val="18"/>
        </w:rPr>
        <w:t>.</w:t>
      </w:r>
    </w:p>
  </w:footnote>
  <w:footnote w:id="40">
    <w:p w14:paraId="160C8A14" w14:textId="77777777" w:rsidR="0040335D" w:rsidRPr="00674B8E" w:rsidRDefault="0040335D" w:rsidP="0040335D">
      <w:pPr>
        <w:pStyle w:val="FootnoteText"/>
        <w:rPr>
          <w:rFonts w:ascii="Arial" w:hAnsi="Arial" w:cs="Arial"/>
          <w:sz w:val="18"/>
          <w:szCs w:val="18"/>
          <w:lang w:val="en-GB"/>
        </w:rPr>
      </w:pPr>
      <w:r>
        <w:rPr>
          <w:rStyle w:val="FootnoteReference"/>
        </w:rPr>
        <w:footnoteRef/>
      </w:r>
      <w:r>
        <w:t xml:space="preserve"> </w:t>
      </w:r>
      <w:r w:rsidRPr="00674B8E">
        <w:rPr>
          <w:rFonts w:ascii="Arial" w:hAnsi="Arial" w:cs="Arial"/>
          <w:sz w:val="18"/>
          <w:szCs w:val="18"/>
        </w:rPr>
        <w:t>2012 SCC 5, [2012] 1 S.C.R. 149. Canada</w:t>
      </w:r>
    </w:p>
  </w:footnote>
  <w:footnote w:id="41">
    <w:p w14:paraId="7A19DC9B" w14:textId="77777777" w:rsidR="00FF691E" w:rsidRPr="006679DF" w:rsidRDefault="00FF691E" w:rsidP="00FF691E">
      <w:pPr>
        <w:autoSpaceDE w:val="0"/>
        <w:autoSpaceDN w:val="0"/>
        <w:adjustRightInd w:val="0"/>
        <w:spacing w:after="0" w:line="240" w:lineRule="auto"/>
        <w:rPr>
          <w:rFonts w:ascii="Times New Roman" w:hAnsi="Times New Roman" w:cs="Times New Roman"/>
          <w:color w:val="000000"/>
          <w:sz w:val="20"/>
          <w:szCs w:val="20"/>
        </w:rPr>
      </w:pPr>
      <w:r>
        <w:rPr>
          <w:rStyle w:val="FootnoteReference"/>
        </w:rPr>
        <w:footnoteRef/>
      </w:r>
      <w:r w:rsidRPr="00042BF8">
        <w:rPr>
          <w:rFonts w:ascii="Arial" w:hAnsi="Arial" w:cs="Arial"/>
          <w:color w:val="000000"/>
          <w:sz w:val="18"/>
          <w:szCs w:val="18"/>
        </w:rPr>
        <w:t>CRPD/C/22/D/32/2015 Distr.: General 15 October 2019 English (Original: Spanish)</w:t>
      </w:r>
    </w:p>
    <w:p w14:paraId="4D31211E" w14:textId="77777777" w:rsidR="00FF691E" w:rsidRDefault="00FF691E" w:rsidP="00FF691E">
      <w:pPr>
        <w:pStyle w:val="FootnoteTex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82"/>
      </w:tblGrid>
      <w:tr w:rsidR="00FF691E" w:rsidRPr="006679DF" w14:paraId="01CC987A" w14:textId="77777777" w:rsidTr="0051434D">
        <w:trPr>
          <w:trHeight w:val="182"/>
        </w:trPr>
        <w:tc>
          <w:tcPr>
            <w:tcW w:w="4182" w:type="dxa"/>
          </w:tcPr>
          <w:p w14:paraId="70D04AA5" w14:textId="77777777" w:rsidR="00FF691E" w:rsidRPr="00042BF8" w:rsidRDefault="00FF691E" w:rsidP="00042BF8">
            <w:pPr>
              <w:autoSpaceDE w:val="0"/>
              <w:autoSpaceDN w:val="0"/>
              <w:adjustRightInd w:val="0"/>
              <w:spacing w:after="0" w:line="240" w:lineRule="auto"/>
              <w:rPr>
                <w:rFonts w:ascii="Times New Roman" w:hAnsi="Times New Roman" w:cs="Times New Roman"/>
                <w:color w:val="000000"/>
                <w:sz w:val="18"/>
                <w:szCs w:val="18"/>
              </w:rPr>
            </w:pPr>
          </w:p>
        </w:tc>
      </w:tr>
      <w:tr w:rsidR="00FF691E" w:rsidRPr="006679DF" w14:paraId="6BE8F206" w14:textId="77777777" w:rsidTr="0051434D">
        <w:trPr>
          <w:trHeight w:val="504"/>
        </w:trPr>
        <w:tc>
          <w:tcPr>
            <w:tcW w:w="4182" w:type="dxa"/>
          </w:tcPr>
          <w:p w14:paraId="21022F9A" w14:textId="77777777" w:rsidR="00FF691E" w:rsidRPr="006679DF" w:rsidRDefault="00FF691E" w:rsidP="00042BF8">
            <w:pPr>
              <w:autoSpaceDE w:val="0"/>
              <w:autoSpaceDN w:val="0"/>
              <w:adjustRightInd w:val="0"/>
              <w:spacing w:after="0" w:line="240" w:lineRule="auto"/>
              <w:rPr>
                <w:rFonts w:ascii="Times New Roman" w:hAnsi="Times New Roman" w:cs="Times New Roman"/>
                <w:color w:val="000000"/>
                <w:sz w:val="20"/>
                <w:szCs w:val="20"/>
              </w:rPr>
            </w:pPr>
            <w:r w:rsidRPr="006679DF">
              <w:rPr>
                <w:rFonts w:ascii="Times New Roman" w:hAnsi="Times New Roman" w:cs="Times New Roman"/>
                <w:color w:val="000000"/>
                <w:sz w:val="20"/>
                <w:szCs w:val="20"/>
              </w:rPr>
              <w:t xml:space="preserve"> </w:t>
            </w:r>
          </w:p>
        </w:tc>
      </w:tr>
    </w:tbl>
    <w:p w14:paraId="6299C12B" w14:textId="77777777" w:rsidR="00FF691E" w:rsidRPr="00042BF8" w:rsidRDefault="00FF691E" w:rsidP="00FF691E">
      <w:pPr>
        <w:pStyle w:val="FootnoteText"/>
        <w:rPr>
          <w:lang w:val="en-GB"/>
        </w:rPr>
      </w:pPr>
      <w:r>
        <w:t xml:space="preserve"> </w:t>
      </w:r>
    </w:p>
  </w:footnote>
  <w:footnote w:id="42">
    <w:p w14:paraId="3F948B87" w14:textId="77777777" w:rsidR="00A4419C" w:rsidRPr="00E6584F" w:rsidRDefault="00A4419C">
      <w:pPr>
        <w:pStyle w:val="FootnoteText"/>
        <w:rPr>
          <w:lang w:val="en-GB"/>
        </w:rPr>
      </w:pPr>
      <w:r w:rsidRPr="00674B8E">
        <w:rPr>
          <w:rStyle w:val="FootnoteReference"/>
          <w:rFonts w:ascii="Arial" w:hAnsi="Arial" w:cs="Arial"/>
          <w:sz w:val="18"/>
          <w:szCs w:val="18"/>
        </w:rPr>
        <w:footnoteRef/>
      </w:r>
      <w:r w:rsidRPr="00674B8E">
        <w:rPr>
          <w:rFonts w:ascii="Arial" w:hAnsi="Arial" w:cs="Arial"/>
          <w:sz w:val="18"/>
          <w:szCs w:val="18"/>
        </w:rPr>
        <w:t xml:space="preserve"> </w:t>
      </w:r>
      <w:r w:rsidRPr="00674B8E">
        <w:rPr>
          <w:rFonts w:ascii="Arial" w:hAnsi="Arial" w:cs="Arial"/>
          <w:sz w:val="18"/>
          <w:szCs w:val="18"/>
          <w:lang w:val="en-GB"/>
        </w:rPr>
        <w:t>Government Gazette, 9 March 2016 No. 39792</w:t>
      </w:r>
    </w:p>
  </w:footnote>
  <w:footnote w:id="43">
    <w:p w14:paraId="40B98C04" w14:textId="77777777" w:rsidR="00A4419C" w:rsidRPr="00674B8E" w:rsidRDefault="00A4419C">
      <w:pPr>
        <w:pStyle w:val="FootnoteText"/>
        <w:rPr>
          <w:lang w:val="en-GB"/>
        </w:rPr>
      </w:pPr>
      <w:r>
        <w:rPr>
          <w:rStyle w:val="FootnoteReference"/>
        </w:rPr>
        <w:footnoteRef/>
      </w:r>
      <w:r>
        <w:t xml:space="preserve"> </w:t>
      </w:r>
      <w:r w:rsidRPr="00674B8E">
        <w:rPr>
          <w:rFonts w:ascii="Arial" w:hAnsi="Arial" w:cs="Arial"/>
          <w:sz w:val="18"/>
          <w:szCs w:val="18"/>
          <w:lang w:val="en-GB"/>
        </w:rPr>
        <w:t>Government Gazette, 9 March 2016 No. 39792</w:t>
      </w:r>
    </w:p>
  </w:footnote>
  <w:footnote w:id="44">
    <w:p w14:paraId="293D445B" w14:textId="77777777" w:rsidR="00A4419C" w:rsidRPr="00C121B7" w:rsidRDefault="00A4419C">
      <w:pPr>
        <w:pStyle w:val="FootnoteText"/>
        <w:rPr>
          <w:lang w:val="en-GB"/>
        </w:rPr>
      </w:pPr>
      <w:r>
        <w:rPr>
          <w:rStyle w:val="FootnoteReference"/>
        </w:rPr>
        <w:footnoteRef/>
      </w:r>
      <w:r>
        <w:t xml:space="preserve"> </w:t>
      </w:r>
      <w:r w:rsidRPr="00C121B7">
        <w:rPr>
          <w:rFonts w:ascii="Arial" w:hAnsi="Arial" w:cs="Arial"/>
          <w:sz w:val="18"/>
          <w:szCs w:val="18"/>
          <w:lang w:val="en-GB"/>
        </w:rPr>
        <w:t>S v Zinn 1969 (2) SA 537 (A)</w:t>
      </w:r>
    </w:p>
  </w:footnote>
  <w:footnote w:id="45">
    <w:p w14:paraId="2E7414CD" w14:textId="77777777" w:rsidR="00A4419C" w:rsidRPr="00C121B7" w:rsidRDefault="00A4419C">
      <w:pPr>
        <w:pStyle w:val="FootnoteText"/>
        <w:rPr>
          <w:lang w:val="en-GB"/>
        </w:rPr>
      </w:pPr>
      <w:r>
        <w:rPr>
          <w:rStyle w:val="FootnoteReference"/>
        </w:rPr>
        <w:footnoteRef/>
      </w:r>
      <w:r>
        <w:t xml:space="preserve"> </w:t>
      </w:r>
      <w:r w:rsidRPr="00C121B7">
        <w:rPr>
          <w:rFonts w:ascii="Arial" w:eastAsia="Times New Roman" w:hAnsi="Arial" w:cs="Arial"/>
          <w:color w:val="242121"/>
          <w:sz w:val="18"/>
          <w:szCs w:val="18"/>
          <w:lang w:eastAsia="en-ZA"/>
        </w:rPr>
        <w:t>2012 (2) SACR 431 (SCA), at 435f</w:t>
      </w:r>
    </w:p>
  </w:footnote>
  <w:footnote w:id="46">
    <w:p w14:paraId="364EC9BA" w14:textId="77777777" w:rsidR="00A4419C" w:rsidRPr="00A30B71" w:rsidRDefault="00A4419C" w:rsidP="004012B1">
      <w:pPr>
        <w:pStyle w:val="FootnoteText"/>
      </w:pPr>
      <w:r>
        <w:rPr>
          <w:rStyle w:val="FootnoteReference"/>
        </w:rPr>
        <w:footnoteRef/>
      </w:r>
      <w:r>
        <w:t xml:space="preserve"> </w:t>
      </w:r>
      <w:r>
        <w:rPr>
          <w:i/>
        </w:rPr>
        <w:t>S v SMM</w:t>
      </w:r>
      <w:r>
        <w:t xml:space="preserve"> 2013 (2) SACR 292 (SCA) para 17</w:t>
      </w:r>
    </w:p>
  </w:footnote>
  <w:footnote w:id="47">
    <w:p w14:paraId="079DA277" w14:textId="77777777" w:rsidR="00A4419C" w:rsidRPr="007B015B" w:rsidRDefault="00A4419C" w:rsidP="004012B1">
      <w:pPr>
        <w:pStyle w:val="FootnoteText"/>
        <w:rPr>
          <w:rFonts w:cstheme="minorHAnsi"/>
        </w:rPr>
      </w:pPr>
      <w:r w:rsidRPr="007B015B">
        <w:rPr>
          <w:rStyle w:val="FootnoteReference"/>
          <w:rFonts w:cstheme="minorHAnsi"/>
        </w:rPr>
        <w:footnoteRef/>
      </w:r>
      <w:r w:rsidRPr="007B015B">
        <w:rPr>
          <w:rFonts w:cstheme="minorHAnsi"/>
        </w:rPr>
        <w:t xml:space="preserve"> </w:t>
      </w:r>
      <w:r w:rsidRPr="007B015B">
        <w:rPr>
          <w:rFonts w:cstheme="minorHAnsi"/>
          <w:i/>
        </w:rPr>
        <w:t xml:space="preserve">S v </w:t>
      </w:r>
      <w:proofErr w:type="spellStart"/>
      <w:r w:rsidRPr="007B015B">
        <w:rPr>
          <w:rFonts w:cstheme="minorHAnsi"/>
          <w:i/>
        </w:rPr>
        <w:t>Malgas</w:t>
      </w:r>
      <w:proofErr w:type="spellEnd"/>
      <w:r w:rsidRPr="007B015B">
        <w:rPr>
          <w:rFonts w:cstheme="minorHAnsi"/>
        </w:rPr>
        <w:t xml:space="preserve"> 2001 (1) SACR 469 (SCA);</w:t>
      </w:r>
    </w:p>
  </w:footnote>
  <w:footnote w:id="48">
    <w:p w14:paraId="456E640E" w14:textId="77777777" w:rsidR="00A4419C" w:rsidRPr="007B015B" w:rsidRDefault="00A4419C" w:rsidP="004012B1">
      <w:pPr>
        <w:pStyle w:val="FootnoteText"/>
        <w:rPr>
          <w:rFonts w:cstheme="minorHAnsi"/>
        </w:rPr>
      </w:pPr>
      <w:r w:rsidRPr="007B015B">
        <w:rPr>
          <w:rStyle w:val="FootnoteReference"/>
          <w:rFonts w:cstheme="minorHAnsi"/>
        </w:rPr>
        <w:footnoteRef/>
      </w:r>
      <w:r w:rsidRPr="007B015B">
        <w:rPr>
          <w:rFonts w:cstheme="minorHAnsi"/>
        </w:rPr>
        <w:t xml:space="preserve"> See </w:t>
      </w:r>
      <w:r w:rsidRPr="007B015B">
        <w:rPr>
          <w:rFonts w:cstheme="minorHAnsi"/>
          <w:i/>
        </w:rPr>
        <w:t>S v Dodo</w:t>
      </w:r>
      <w:r w:rsidRPr="007B015B">
        <w:rPr>
          <w:rFonts w:cstheme="minorHAnsi"/>
        </w:rPr>
        <w:t xml:space="preserve"> 2001 (1) SACR 594 (CC) at 602-603; </w:t>
      </w:r>
      <w:r w:rsidRPr="007B015B">
        <w:rPr>
          <w:rFonts w:cstheme="minorHAnsi"/>
          <w:i/>
        </w:rPr>
        <w:t xml:space="preserve">S v </w:t>
      </w:r>
      <w:proofErr w:type="spellStart"/>
      <w:r w:rsidRPr="007B015B">
        <w:rPr>
          <w:rFonts w:cstheme="minorHAnsi"/>
          <w:i/>
        </w:rPr>
        <w:t>Blignaut</w:t>
      </w:r>
      <w:proofErr w:type="spellEnd"/>
      <w:r w:rsidRPr="007B015B">
        <w:rPr>
          <w:rFonts w:cstheme="minorHAnsi"/>
        </w:rPr>
        <w:t xml:space="preserve"> 2008 (1) SACR 78 (SCA) para 3 and </w:t>
      </w:r>
      <w:r w:rsidRPr="007B015B">
        <w:rPr>
          <w:rFonts w:cstheme="minorHAnsi"/>
          <w:i/>
        </w:rPr>
        <w:t xml:space="preserve">S v </w:t>
      </w:r>
      <w:proofErr w:type="spellStart"/>
      <w:r w:rsidRPr="007B015B">
        <w:rPr>
          <w:rFonts w:cstheme="minorHAnsi"/>
          <w:i/>
        </w:rPr>
        <w:t>Nkunkuma</w:t>
      </w:r>
      <w:proofErr w:type="spellEnd"/>
      <w:r w:rsidRPr="007B015B">
        <w:rPr>
          <w:rFonts w:cstheme="minorHAnsi"/>
          <w:i/>
        </w:rPr>
        <w:t xml:space="preserve"> &amp; others</w:t>
      </w:r>
      <w:r w:rsidRPr="007B015B">
        <w:rPr>
          <w:rFonts w:cstheme="minorHAnsi"/>
        </w:rPr>
        <w:t xml:space="preserve"> 2014 (2) SACR 168 (SCA) paras 9 and 10.</w:t>
      </w:r>
    </w:p>
  </w:footnote>
  <w:footnote w:id="49">
    <w:p w14:paraId="37014919" w14:textId="77777777" w:rsidR="00A4419C" w:rsidRPr="007B015B" w:rsidRDefault="00A4419C" w:rsidP="004012B1">
      <w:pPr>
        <w:pStyle w:val="FootnoteText"/>
        <w:rPr>
          <w:rFonts w:cstheme="minorHAnsi"/>
        </w:rPr>
      </w:pPr>
      <w:r w:rsidRPr="007B015B">
        <w:rPr>
          <w:rStyle w:val="FootnoteReference"/>
          <w:rFonts w:cstheme="minorHAnsi"/>
        </w:rPr>
        <w:footnoteRef/>
      </w:r>
      <w:r w:rsidRPr="007B015B">
        <w:rPr>
          <w:rFonts w:cstheme="minorHAnsi"/>
        </w:rPr>
        <w:t xml:space="preserve"> </w:t>
      </w:r>
      <w:r w:rsidRPr="007B015B">
        <w:rPr>
          <w:rFonts w:cstheme="minorHAnsi"/>
          <w:i/>
        </w:rPr>
        <w:t xml:space="preserve">S v </w:t>
      </w:r>
      <w:proofErr w:type="spellStart"/>
      <w:r w:rsidRPr="007B015B">
        <w:rPr>
          <w:rFonts w:cstheme="minorHAnsi"/>
          <w:i/>
        </w:rPr>
        <w:t>Matyityi</w:t>
      </w:r>
      <w:proofErr w:type="spellEnd"/>
      <w:r w:rsidRPr="007B015B">
        <w:rPr>
          <w:rFonts w:cstheme="minorHAnsi"/>
        </w:rPr>
        <w:t xml:space="preserve"> 2011 (1) SACR 40 (SCA), para 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2D82" w14:textId="77777777" w:rsidR="00A4419C" w:rsidRDefault="00A4419C">
    <w:pPr>
      <w:pStyle w:val="BodyText"/>
      <w:kinsoku w:val="0"/>
      <w:overflowPunct w:val="0"/>
      <w:spacing w:line="14" w:lineRule="auto"/>
      <w:jc w:val="left"/>
      <w:rPr>
        <w:rFonts w:ascii="Times New Roman" w:hAnsi="Times New Roman" w:cs="Times New Roman"/>
      </w:rPr>
    </w:pPr>
    <w:r>
      <w:rPr>
        <w:noProof/>
      </w:rPr>
      <mc:AlternateContent>
        <mc:Choice Requires="wps">
          <w:drawing>
            <wp:anchor distT="0" distB="0" distL="114300" distR="114300" simplePos="0" relativeHeight="251659264" behindDoc="1" locked="0" layoutInCell="0" allowOverlap="1" wp14:anchorId="7288A43D" wp14:editId="7F11BA75">
              <wp:simplePos x="0" y="0"/>
              <wp:positionH relativeFrom="page">
                <wp:posOffset>1742440</wp:posOffset>
              </wp:positionH>
              <wp:positionV relativeFrom="page">
                <wp:posOffset>1593850</wp:posOffset>
              </wp:positionV>
              <wp:extent cx="1936115" cy="1492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F34CA" w14:textId="77777777" w:rsidR="00A4419C" w:rsidRDefault="00A4419C">
                          <w:pPr>
                            <w:pStyle w:val="BodyText"/>
                            <w:kinsoku w:val="0"/>
                            <w:overflowPunct w:val="0"/>
                            <w:spacing w:before="11"/>
                            <w:ind w:left="20"/>
                            <w:jc w:val="left"/>
                            <w:rPr>
                              <w:i/>
                              <w:iCs/>
                              <w:sz w:val="16"/>
                              <w:szCs w:val="16"/>
                            </w:rPr>
                          </w:pPr>
                          <w:r>
                            <w:rPr>
                              <w:b/>
                              <w:bCs/>
                              <w:sz w:val="16"/>
                              <w:szCs w:val="16"/>
                            </w:rPr>
                            <w:t>70 (</w:t>
                          </w:r>
                          <w:r>
                            <w:rPr>
                              <w:i/>
                              <w:iCs/>
                              <w:sz w:val="16"/>
                              <w:szCs w:val="16"/>
                            </w:rPr>
                            <w:t>2015) 3 African Disability Rights Yearbook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288A43D" id="_x0000_t202" coordsize="21600,21600" o:spt="202" path="m,l,21600r21600,l21600,xe">
              <v:stroke joinstyle="miter"/>
              <v:path gradientshapeok="t" o:connecttype="rect"/>
            </v:shapetype>
            <v:shape id="Text Box 3" o:spid="_x0000_s1026" type="#_x0000_t202" style="position:absolute;margin-left:137.2pt;margin-top:125.5pt;width:152.45pt;height:1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" o:allowincell="f" filled="f" stroked="f">
              <v:textbox inset="0,0,0,0">
                <w:txbxContent>
                  <w:p w14:paraId="00FF34CA" w14:textId="77777777" w:rsidR="00A4419C" w:rsidRDefault="00A4419C">
                    <w:pPr>
                      <w:pStyle w:val="BodyText"/>
                      <w:kinsoku w:val="0"/>
                      <w:overflowPunct w:val="0"/>
                      <w:spacing w:before="11"/>
                      <w:ind w:left="20"/>
                      <w:jc w:val="left"/>
                      <w:rPr>
                        <w:i/>
                        <w:iCs/>
                        <w:sz w:val="16"/>
                        <w:szCs w:val="16"/>
                      </w:rPr>
                    </w:pPr>
                    <w:r>
                      <w:rPr>
                        <w:b/>
                        <w:bCs/>
                        <w:sz w:val="16"/>
                        <w:szCs w:val="16"/>
                      </w:rPr>
                      <w:t>70 (</w:t>
                    </w:r>
                    <w:r>
                      <w:rPr>
                        <w:i/>
                        <w:iCs/>
                        <w:sz w:val="16"/>
                        <w:szCs w:val="16"/>
                      </w:rPr>
                      <w:t>2015) 3 African Disability Rights Yearbook</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FB6D" w14:textId="77777777" w:rsidR="00A4419C" w:rsidRDefault="00A4419C">
    <w:pPr>
      <w:pStyle w:val="BodyText"/>
      <w:kinsoku w:val="0"/>
      <w:overflowPunct w:val="0"/>
      <w:spacing w:line="14" w:lineRule="auto"/>
      <w:jc w:val="left"/>
      <w:rPr>
        <w:rFonts w:ascii="Times New Roman" w:hAnsi="Times New Roman" w:cs="Times New Roman"/>
      </w:rPr>
    </w:pPr>
    <w:r>
      <w:rPr>
        <w:noProof/>
      </w:rPr>
      <mc:AlternateContent>
        <mc:Choice Requires="wps">
          <w:drawing>
            <wp:anchor distT="0" distB="0" distL="114300" distR="114300" simplePos="0" relativeHeight="251660288" behindDoc="1" locked="0" layoutInCell="0" allowOverlap="1" wp14:anchorId="662B15E9" wp14:editId="1DF46BC8">
              <wp:simplePos x="0" y="0"/>
              <wp:positionH relativeFrom="page">
                <wp:posOffset>3489325</wp:posOffset>
              </wp:positionH>
              <wp:positionV relativeFrom="page">
                <wp:posOffset>1593850</wp:posOffset>
              </wp:positionV>
              <wp:extent cx="2327910" cy="149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0F6E3" w14:textId="77777777" w:rsidR="00A4419C" w:rsidRDefault="00A4419C" w:rsidP="001B45B4">
                          <w:pPr>
                            <w:pStyle w:val="BodyText"/>
                            <w:kinsoku w:val="0"/>
                            <w:overflowPunct w:val="0"/>
                            <w:spacing w:before="11"/>
                            <w:jc w:val="left"/>
                            <w:rPr>
                              <w:b/>
                              <w:bC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62B15E9" id="_x0000_t202" coordsize="21600,21600" o:spt="202" path="m,l,21600r21600,l21600,xe">
              <v:stroke joinstyle="miter"/>
              <v:path gradientshapeok="t" o:connecttype="rect"/>
            </v:shapetype>
            <v:shape id="Text Box 2" o:spid="_x0000_s1027" type="#_x0000_t202" style="position:absolute;margin-left:274.75pt;margin-top:125.5pt;width:183.3pt;height:1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" o:allowincell="f" filled="f" stroked="f">
              <v:textbox inset="0,0,0,0">
                <w:txbxContent>
                  <w:p w14:paraId="5840F6E3" w14:textId="77777777" w:rsidR="00A4419C" w:rsidRDefault="00A4419C" w:rsidP="001B45B4">
                    <w:pPr>
                      <w:pStyle w:val="BodyText"/>
                      <w:kinsoku w:val="0"/>
                      <w:overflowPunct w:val="0"/>
                      <w:spacing w:before="11"/>
                      <w:jc w:val="left"/>
                      <w:rPr>
                        <w:b/>
                        <w:bCs/>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11"/>
      <w:numFmt w:val="decimal"/>
      <w:lvlText w:val="%1"/>
      <w:lvlJc w:val="left"/>
      <w:pPr>
        <w:ind w:left="1408" w:hanging="340"/>
      </w:pPr>
      <w:rPr>
        <w:rFonts w:ascii="Calisto MT" w:hAnsi="Calisto MT" w:cs="Calisto MT"/>
        <w:b w:val="0"/>
        <w:bCs w:val="0"/>
        <w:w w:val="99"/>
        <w:sz w:val="16"/>
        <w:szCs w:val="16"/>
      </w:rPr>
    </w:lvl>
    <w:lvl w:ilvl="1">
      <w:start w:val="15"/>
      <w:numFmt w:val="decimal"/>
      <w:lvlText w:val="%2"/>
      <w:lvlJc w:val="left"/>
      <w:pPr>
        <w:ind w:left="1606" w:hanging="341"/>
      </w:pPr>
      <w:rPr>
        <w:rFonts w:ascii="Calisto MT" w:hAnsi="Calisto MT" w:cs="Calisto MT"/>
        <w:b w:val="0"/>
        <w:bCs w:val="0"/>
        <w:w w:val="99"/>
        <w:sz w:val="16"/>
        <w:szCs w:val="16"/>
      </w:rPr>
    </w:lvl>
    <w:lvl w:ilvl="2">
      <w:numFmt w:val="bullet"/>
      <w:lvlText w:val="•"/>
      <w:lvlJc w:val="left"/>
      <w:pPr>
        <w:ind w:left="2371" w:hanging="341"/>
      </w:pPr>
    </w:lvl>
    <w:lvl w:ilvl="3">
      <w:numFmt w:val="bullet"/>
      <w:lvlText w:val="•"/>
      <w:lvlJc w:val="left"/>
      <w:pPr>
        <w:ind w:left="3143" w:hanging="341"/>
      </w:pPr>
    </w:lvl>
    <w:lvl w:ilvl="4">
      <w:numFmt w:val="bullet"/>
      <w:lvlText w:val="•"/>
      <w:lvlJc w:val="left"/>
      <w:pPr>
        <w:ind w:left="3914" w:hanging="341"/>
      </w:pPr>
    </w:lvl>
    <w:lvl w:ilvl="5">
      <w:numFmt w:val="bullet"/>
      <w:lvlText w:val="•"/>
      <w:lvlJc w:val="left"/>
      <w:pPr>
        <w:ind w:left="4686" w:hanging="341"/>
      </w:pPr>
    </w:lvl>
    <w:lvl w:ilvl="6">
      <w:numFmt w:val="bullet"/>
      <w:lvlText w:val="•"/>
      <w:lvlJc w:val="left"/>
      <w:pPr>
        <w:ind w:left="5458" w:hanging="341"/>
      </w:pPr>
    </w:lvl>
    <w:lvl w:ilvl="7">
      <w:numFmt w:val="bullet"/>
      <w:lvlText w:val="•"/>
      <w:lvlJc w:val="left"/>
      <w:pPr>
        <w:ind w:left="6229" w:hanging="341"/>
      </w:pPr>
    </w:lvl>
    <w:lvl w:ilvl="8">
      <w:numFmt w:val="bullet"/>
      <w:lvlText w:val="•"/>
      <w:lvlJc w:val="left"/>
      <w:pPr>
        <w:ind w:left="7001" w:hanging="341"/>
      </w:pPr>
    </w:lvl>
  </w:abstractNum>
  <w:abstractNum w:abstractNumId="1" w15:restartNumberingAfterBreak="0">
    <w:nsid w:val="00000406"/>
    <w:multiLevelType w:val="multilevel"/>
    <w:tmpl w:val="00000889"/>
    <w:lvl w:ilvl="0">
      <w:start w:val="46"/>
      <w:numFmt w:val="decimal"/>
      <w:lvlText w:val="%1"/>
      <w:lvlJc w:val="left"/>
      <w:pPr>
        <w:ind w:left="1606" w:hanging="340"/>
      </w:pPr>
      <w:rPr>
        <w:rFonts w:ascii="Calisto MT" w:hAnsi="Calisto MT" w:cs="Calisto MT"/>
        <w:b w:val="0"/>
        <w:bCs w:val="0"/>
        <w:w w:val="99"/>
        <w:sz w:val="16"/>
        <w:szCs w:val="16"/>
      </w:rPr>
    </w:lvl>
    <w:lvl w:ilvl="1">
      <w:numFmt w:val="bullet"/>
      <w:lvlText w:val="•"/>
      <w:lvlJc w:val="left"/>
      <w:pPr>
        <w:ind w:left="2294" w:hanging="340"/>
      </w:pPr>
    </w:lvl>
    <w:lvl w:ilvl="2">
      <w:numFmt w:val="bullet"/>
      <w:lvlText w:val="•"/>
      <w:lvlJc w:val="left"/>
      <w:pPr>
        <w:ind w:left="2988" w:hanging="340"/>
      </w:pPr>
    </w:lvl>
    <w:lvl w:ilvl="3">
      <w:numFmt w:val="bullet"/>
      <w:lvlText w:val="•"/>
      <w:lvlJc w:val="left"/>
      <w:pPr>
        <w:ind w:left="3683" w:hanging="340"/>
      </w:pPr>
    </w:lvl>
    <w:lvl w:ilvl="4">
      <w:numFmt w:val="bullet"/>
      <w:lvlText w:val="•"/>
      <w:lvlJc w:val="left"/>
      <w:pPr>
        <w:ind w:left="4377" w:hanging="340"/>
      </w:pPr>
    </w:lvl>
    <w:lvl w:ilvl="5">
      <w:numFmt w:val="bullet"/>
      <w:lvlText w:val="•"/>
      <w:lvlJc w:val="left"/>
      <w:pPr>
        <w:ind w:left="5072" w:hanging="340"/>
      </w:pPr>
    </w:lvl>
    <w:lvl w:ilvl="6">
      <w:numFmt w:val="bullet"/>
      <w:lvlText w:val="•"/>
      <w:lvlJc w:val="left"/>
      <w:pPr>
        <w:ind w:left="5766" w:hanging="340"/>
      </w:pPr>
    </w:lvl>
    <w:lvl w:ilvl="7">
      <w:numFmt w:val="bullet"/>
      <w:lvlText w:val="•"/>
      <w:lvlJc w:val="left"/>
      <w:pPr>
        <w:ind w:left="6461" w:hanging="340"/>
      </w:pPr>
    </w:lvl>
    <w:lvl w:ilvl="8">
      <w:numFmt w:val="bullet"/>
      <w:lvlText w:val="•"/>
      <w:lvlJc w:val="left"/>
      <w:pPr>
        <w:ind w:left="7155" w:hanging="340"/>
      </w:pPr>
    </w:lvl>
  </w:abstractNum>
  <w:abstractNum w:abstractNumId="2" w15:restartNumberingAfterBreak="0">
    <w:nsid w:val="0000040B"/>
    <w:multiLevelType w:val="multilevel"/>
    <w:tmpl w:val="0000088E"/>
    <w:lvl w:ilvl="0">
      <w:start w:val="111"/>
      <w:numFmt w:val="decimal"/>
      <w:lvlText w:val="%1"/>
      <w:lvlJc w:val="left"/>
      <w:pPr>
        <w:ind w:left="1606" w:hanging="340"/>
      </w:pPr>
      <w:rPr>
        <w:rFonts w:ascii="Calisto MT" w:hAnsi="Calisto MT" w:cs="Calisto MT"/>
        <w:b w:val="0"/>
        <w:bCs w:val="0"/>
        <w:w w:val="99"/>
        <w:sz w:val="16"/>
        <w:szCs w:val="16"/>
      </w:rPr>
    </w:lvl>
    <w:lvl w:ilvl="1">
      <w:numFmt w:val="bullet"/>
      <w:lvlText w:val="•"/>
      <w:lvlJc w:val="left"/>
      <w:pPr>
        <w:ind w:left="2294" w:hanging="340"/>
      </w:pPr>
    </w:lvl>
    <w:lvl w:ilvl="2">
      <w:numFmt w:val="bullet"/>
      <w:lvlText w:val="•"/>
      <w:lvlJc w:val="left"/>
      <w:pPr>
        <w:ind w:left="2988" w:hanging="340"/>
      </w:pPr>
    </w:lvl>
    <w:lvl w:ilvl="3">
      <w:numFmt w:val="bullet"/>
      <w:lvlText w:val="•"/>
      <w:lvlJc w:val="left"/>
      <w:pPr>
        <w:ind w:left="3683" w:hanging="340"/>
      </w:pPr>
    </w:lvl>
    <w:lvl w:ilvl="4">
      <w:numFmt w:val="bullet"/>
      <w:lvlText w:val="•"/>
      <w:lvlJc w:val="left"/>
      <w:pPr>
        <w:ind w:left="4377" w:hanging="340"/>
      </w:pPr>
    </w:lvl>
    <w:lvl w:ilvl="5">
      <w:numFmt w:val="bullet"/>
      <w:lvlText w:val="•"/>
      <w:lvlJc w:val="left"/>
      <w:pPr>
        <w:ind w:left="5072" w:hanging="340"/>
      </w:pPr>
    </w:lvl>
    <w:lvl w:ilvl="6">
      <w:numFmt w:val="bullet"/>
      <w:lvlText w:val="•"/>
      <w:lvlJc w:val="left"/>
      <w:pPr>
        <w:ind w:left="5766" w:hanging="340"/>
      </w:pPr>
    </w:lvl>
    <w:lvl w:ilvl="7">
      <w:numFmt w:val="bullet"/>
      <w:lvlText w:val="•"/>
      <w:lvlJc w:val="left"/>
      <w:pPr>
        <w:ind w:left="6461" w:hanging="340"/>
      </w:pPr>
    </w:lvl>
    <w:lvl w:ilvl="8">
      <w:numFmt w:val="bullet"/>
      <w:lvlText w:val="•"/>
      <w:lvlJc w:val="left"/>
      <w:pPr>
        <w:ind w:left="7155" w:hanging="340"/>
      </w:pPr>
    </w:lvl>
  </w:abstractNum>
  <w:abstractNum w:abstractNumId="3" w15:restartNumberingAfterBreak="0">
    <w:nsid w:val="0000040C"/>
    <w:multiLevelType w:val="multilevel"/>
    <w:tmpl w:val="0000088F"/>
    <w:lvl w:ilvl="0">
      <w:start w:val="4"/>
      <w:numFmt w:val="decimal"/>
      <w:lvlText w:val="%1"/>
      <w:lvlJc w:val="left"/>
      <w:pPr>
        <w:ind w:left="1833" w:hanging="567"/>
      </w:pPr>
      <w:rPr>
        <w:rFonts w:cs="Times New Roman"/>
      </w:rPr>
    </w:lvl>
    <w:lvl w:ilvl="1">
      <w:start w:val="1"/>
      <w:numFmt w:val="decimal"/>
      <w:lvlText w:val="%1.%2"/>
      <w:lvlJc w:val="left"/>
      <w:pPr>
        <w:ind w:left="1833" w:hanging="567"/>
      </w:pPr>
      <w:rPr>
        <w:rFonts w:ascii="Calisto MT" w:hAnsi="Calisto MT" w:cs="Calisto MT"/>
        <w:b/>
        <w:bCs/>
        <w:w w:val="99"/>
        <w:sz w:val="22"/>
        <w:szCs w:val="22"/>
      </w:rPr>
    </w:lvl>
    <w:lvl w:ilvl="2">
      <w:start w:val="1"/>
      <w:numFmt w:val="lowerLetter"/>
      <w:lvlText w:val="(%3)"/>
      <w:lvlJc w:val="left"/>
      <w:pPr>
        <w:ind w:left="1947" w:hanging="341"/>
      </w:pPr>
      <w:rPr>
        <w:rFonts w:ascii="Calisto MT" w:hAnsi="Calisto MT" w:cs="Calisto MT"/>
        <w:b w:val="0"/>
        <w:bCs w:val="0"/>
        <w:spacing w:val="-23"/>
        <w:w w:val="100"/>
        <w:sz w:val="18"/>
        <w:szCs w:val="18"/>
      </w:rPr>
    </w:lvl>
    <w:lvl w:ilvl="3">
      <w:numFmt w:val="bullet"/>
      <w:lvlText w:val="•"/>
      <w:lvlJc w:val="left"/>
      <w:pPr>
        <w:ind w:left="3407" w:hanging="341"/>
      </w:pPr>
    </w:lvl>
    <w:lvl w:ilvl="4">
      <w:numFmt w:val="bullet"/>
      <w:lvlText w:val="•"/>
      <w:lvlJc w:val="left"/>
      <w:pPr>
        <w:ind w:left="4141" w:hanging="341"/>
      </w:pPr>
    </w:lvl>
    <w:lvl w:ilvl="5">
      <w:numFmt w:val="bullet"/>
      <w:lvlText w:val="•"/>
      <w:lvlJc w:val="left"/>
      <w:pPr>
        <w:ind w:left="4875" w:hanging="341"/>
      </w:pPr>
    </w:lvl>
    <w:lvl w:ilvl="6">
      <w:numFmt w:val="bullet"/>
      <w:lvlText w:val="•"/>
      <w:lvlJc w:val="left"/>
      <w:pPr>
        <w:ind w:left="5609" w:hanging="341"/>
      </w:pPr>
    </w:lvl>
    <w:lvl w:ilvl="7">
      <w:numFmt w:val="bullet"/>
      <w:lvlText w:val="•"/>
      <w:lvlJc w:val="left"/>
      <w:pPr>
        <w:ind w:left="6342" w:hanging="341"/>
      </w:pPr>
    </w:lvl>
    <w:lvl w:ilvl="8">
      <w:numFmt w:val="bullet"/>
      <w:lvlText w:val="•"/>
      <w:lvlJc w:val="left"/>
      <w:pPr>
        <w:ind w:left="7076" w:hanging="341"/>
      </w:pPr>
    </w:lvl>
  </w:abstractNum>
  <w:abstractNum w:abstractNumId="4" w15:restartNumberingAfterBreak="0">
    <w:nsid w:val="0000040F"/>
    <w:multiLevelType w:val="multilevel"/>
    <w:tmpl w:val="00000892"/>
    <w:lvl w:ilvl="0">
      <w:start w:val="161"/>
      <w:numFmt w:val="decimal"/>
      <w:lvlText w:val="%1"/>
      <w:lvlJc w:val="left"/>
      <w:pPr>
        <w:ind w:left="1408" w:hanging="340"/>
      </w:pPr>
      <w:rPr>
        <w:rFonts w:ascii="Calisto MT" w:hAnsi="Calisto MT" w:cs="Calisto MT"/>
        <w:b w:val="0"/>
        <w:bCs w:val="0"/>
        <w:w w:val="99"/>
        <w:sz w:val="16"/>
        <w:szCs w:val="16"/>
      </w:rPr>
    </w:lvl>
    <w:lvl w:ilvl="1">
      <w:numFmt w:val="bullet"/>
      <w:lvlText w:val="•"/>
      <w:lvlJc w:val="left"/>
      <w:pPr>
        <w:ind w:left="1840" w:hanging="340"/>
      </w:pPr>
    </w:lvl>
    <w:lvl w:ilvl="2">
      <w:numFmt w:val="bullet"/>
      <w:lvlText w:val="•"/>
      <w:lvlJc w:val="left"/>
      <w:pPr>
        <w:ind w:left="2584" w:hanging="340"/>
      </w:pPr>
    </w:lvl>
    <w:lvl w:ilvl="3">
      <w:numFmt w:val="bullet"/>
      <w:lvlText w:val="•"/>
      <w:lvlJc w:val="left"/>
      <w:pPr>
        <w:ind w:left="3329" w:hanging="340"/>
      </w:pPr>
    </w:lvl>
    <w:lvl w:ilvl="4">
      <w:numFmt w:val="bullet"/>
      <w:lvlText w:val="•"/>
      <w:lvlJc w:val="left"/>
      <w:pPr>
        <w:ind w:left="4074" w:hanging="340"/>
      </w:pPr>
    </w:lvl>
    <w:lvl w:ilvl="5">
      <w:numFmt w:val="bullet"/>
      <w:lvlText w:val="•"/>
      <w:lvlJc w:val="left"/>
      <w:pPr>
        <w:ind w:left="4819" w:hanging="340"/>
      </w:pPr>
    </w:lvl>
    <w:lvl w:ilvl="6">
      <w:numFmt w:val="bullet"/>
      <w:lvlText w:val="•"/>
      <w:lvlJc w:val="left"/>
      <w:pPr>
        <w:ind w:left="5564" w:hanging="340"/>
      </w:pPr>
    </w:lvl>
    <w:lvl w:ilvl="7">
      <w:numFmt w:val="bullet"/>
      <w:lvlText w:val="•"/>
      <w:lvlJc w:val="left"/>
      <w:pPr>
        <w:ind w:left="6309" w:hanging="340"/>
      </w:pPr>
    </w:lvl>
    <w:lvl w:ilvl="8">
      <w:numFmt w:val="bullet"/>
      <w:lvlText w:val="•"/>
      <w:lvlJc w:val="left"/>
      <w:pPr>
        <w:ind w:left="7054" w:hanging="340"/>
      </w:pPr>
    </w:lvl>
  </w:abstractNum>
  <w:abstractNum w:abstractNumId="5" w15:restartNumberingAfterBreak="0">
    <w:nsid w:val="0C5A19AA"/>
    <w:multiLevelType w:val="hybridMultilevel"/>
    <w:tmpl w:val="C52CB2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9412C4"/>
    <w:multiLevelType w:val="hybridMultilevel"/>
    <w:tmpl w:val="CE02E15E"/>
    <w:lvl w:ilvl="0" w:tplc="63A4045E">
      <w:start w:val="9"/>
      <w:numFmt w:val="lowerLetter"/>
      <w:lvlText w:val="%1."/>
      <w:lvlJc w:val="left"/>
      <w:pPr>
        <w:ind w:left="1703" w:hanging="850"/>
      </w:pPr>
      <w:rPr>
        <w:rFonts w:ascii="Arial" w:hAnsi="Arial" w:cs="Arial" w:hint="default"/>
      </w:rPr>
    </w:lvl>
    <w:lvl w:ilvl="1" w:tplc="1C090019" w:tentative="1">
      <w:start w:val="1"/>
      <w:numFmt w:val="lowerLetter"/>
      <w:lvlText w:val="%2."/>
      <w:lvlJc w:val="left"/>
      <w:pPr>
        <w:ind w:left="1933" w:hanging="360"/>
      </w:pPr>
    </w:lvl>
    <w:lvl w:ilvl="2" w:tplc="1C09001B" w:tentative="1">
      <w:start w:val="1"/>
      <w:numFmt w:val="lowerRoman"/>
      <w:lvlText w:val="%3."/>
      <w:lvlJc w:val="right"/>
      <w:pPr>
        <w:ind w:left="2653" w:hanging="180"/>
      </w:pPr>
    </w:lvl>
    <w:lvl w:ilvl="3" w:tplc="1C09000F" w:tentative="1">
      <w:start w:val="1"/>
      <w:numFmt w:val="decimal"/>
      <w:lvlText w:val="%4."/>
      <w:lvlJc w:val="left"/>
      <w:pPr>
        <w:ind w:left="3373" w:hanging="360"/>
      </w:pPr>
    </w:lvl>
    <w:lvl w:ilvl="4" w:tplc="1C090019" w:tentative="1">
      <w:start w:val="1"/>
      <w:numFmt w:val="lowerLetter"/>
      <w:lvlText w:val="%5."/>
      <w:lvlJc w:val="left"/>
      <w:pPr>
        <w:ind w:left="4093" w:hanging="360"/>
      </w:pPr>
    </w:lvl>
    <w:lvl w:ilvl="5" w:tplc="1C09001B" w:tentative="1">
      <w:start w:val="1"/>
      <w:numFmt w:val="lowerRoman"/>
      <w:lvlText w:val="%6."/>
      <w:lvlJc w:val="right"/>
      <w:pPr>
        <w:ind w:left="4813" w:hanging="180"/>
      </w:pPr>
    </w:lvl>
    <w:lvl w:ilvl="6" w:tplc="1C09000F" w:tentative="1">
      <w:start w:val="1"/>
      <w:numFmt w:val="decimal"/>
      <w:lvlText w:val="%7."/>
      <w:lvlJc w:val="left"/>
      <w:pPr>
        <w:ind w:left="5533" w:hanging="360"/>
      </w:pPr>
    </w:lvl>
    <w:lvl w:ilvl="7" w:tplc="1C090019" w:tentative="1">
      <w:start w:val="1"/>
      <w:numFmt w:val="lowerLetter"/>
      <w:lvlText w:val="%8."/>
      <w:lvlJc w:val="left"/>
      <w:pPr>
        <w:ind w:left="6253" w:hanging="360"/>
      </w:pPr>
    </w:lvl>
    <w:lvl w:ilvl="8" w:tplc="1C09001B" w:tentative="1">
      <w:start w:val="1"/>
      <w:numFmt w:val="lowerRoman"/>
      <w:lvlText w:val="%9."/>
      <w:lvlJc w:val="right"/>
      <w:pPr>
        <w:ind w:left="6973" w:hanging="180"/>
      </w:pPr>
    </w:lvl>
  </w:abstractNum>
  <w:abstractNum w:abstractNumId="7" w15:restartNumberingAfterBreak="0">
    <w:nsid w:val="2EC867AC"/>
    <w:multiLevelType w:val="hybridMultilevel"/>
    <w:tmpl w:val="D966ABE2"/>
    <w:lvl w:ilvl="0" w:tplc="3F9A73FA">
      <w:start w:val="27"/>
      <w:numFmt w:val="decimal"/>
      <w:lvlText w:val="%1"/>
      <w:lvlJc w:val="left"/>
      <w:pPr>
        <w:ind w:left="1770" w:hanging="360"/>
      </w:pPr>
      <w:rPr>
        <w:rFonts w:hint="default"/>
      </w:rPr>
    </w:lvl>
    <w:lvl w:ilvl="1" w:tplc="1C090019">
      <w:start w:val="1"/>
      <w:numFmt w:val="lowerLetter"/>
      <w:lvlText w:val="%2."/>
      <w:lvlJc w:val="left"/>
      <w:pPr>
        <w:ind w:left="2490" w:hanging="360"/>
      </w:pPr>
    </w:lvl>
    <w:lvl w:ilvl="2" w:tplc="1C09001B" w:tentative="1">
      <w:start w:val="1"/>
      <w:numFmt w:val="lowerRoman"/>
      <w:lvlText w:val="%3."/>
      <w:lvlJc w:val="right"/>
      <w:pPr>
        <w:ind w:left="3210" w:hanging="180"/>
      </w:pPr>
    </w:lvl>
    <w:lvl w:ilvl="3" w:tplc="1C09000F" w:tentative="1">
      <w:start w:val="1"/>
      <w:numFmt w:val="decimal"/>
      <w:lvlText w:val="%4."/>
      <w:lvlJc w:val="left"/>
      <w:pPr>
        <w:ind w:left="3930" w:hanging="360"/>
      </w:pPr>
    </w:lvl>
    <w:lvl w:ilvl="4" w:tplc="1C090019" w:tentative="1">
      <w:start w:val="1"/>
      <w:numFmt w:val="lowerLetter"/>
      <w:lvlText w:val="%5."/>
      <w:lvlJc w:val="left"/>
      <w:pPr>
        <w:ind w:left="4650" w:hanging="360"/>
      </w:pPr>
    </w:lvl>
    <w:lvl w:ilvl="5" w:tplc="1C09001B" w:tentative="1">
      <w:start w:val="1"/>
      <w:numFmt w:val="lowerRoman"/>
      <w:lvlText w:val="%6."/>
      <w:lvlJc w:val="right"/>
      <w:pPr>
        <w:ind w:left="5370" w:hanging="180"/>
      </w:pPr>
    </w:lvl>
    <w:lvl w:ilvl="6" w:tplc="1C09000F" w:tentative="1">
      <w:start w:val="1"/>
      <w:numFmt w:val="decimal"/>
      <w:lvlText w:val="%7."/>
      <w:lvlJc w:val="left"/>
      <w:pPr>
        <w:ind w:left="6090" w:hanging="360"/>
      </w:pPr>
    </w:lvl>
    <w:lvl w:ilvl="7" w:tplc="1C090019" w:tentative="1">
      <w:start w:val="1"/>
      <w:numFmt w:val="lowerLetter"/>
      <w:lvlText w:val="%8."/>
      <w:lvlJc w:val="left"/>
      <w:pPr>
        <w:ind w:left="6810" w:hanging="360"/>
      </w:pPr>
    </w:lvl>
    <w:lvl w:ilvl="8" w:tplc="1C09001B" w:tentative="1">
      <w:start w:val="1"/>
      <w:numFmt w:val="lowerRoman"/>
      <w:lvlText w:val="%9."/>
      <w:lvlJc w:val="right"/>
      <w:pPr>
        <w:ind w:left="7530" w:hanging="180"/>
      </w:pPr>
    </w:lvl>
  </w:abstractNum>
  <w:abstractNum w:abstractNumId="8" w15:restartNumberingAfterBreak="0">
    <w:nsid w:val="33057D64"/>
    <w:multiLevelType w:val="hybridMultilevel"/>
    <w:tmpl w:val="58DE90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3AB70F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775991"/>
    <w:multiLevelType w:val="hybridMultilevel"/>
    <w:tmpl w:val="A3A6BD3C"/>
    <w:lvl w:ilvl="0" w:tplc="26BC45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14705"/>
    <w:multiLevelType w:val="hybridMultilevel"/>
    <w:tmpl w:val="A0869B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EBD123B"/>
    <w:multiLevelType w:val="hybridMultilevel"/>
    <w:tmpl w:val="2866219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4B3485D"/>
    <w:multiLevelType w:val="hybridMultilevel"/>
    <w:tmpl w:val="AB520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D39D5"/>
    <w:multiLevelType w:val="hybridMultilevel"/>
    <w:tmpl w:val="D966ABE2"/>
    <w:lvl w:ilvl="0" w:tplc="3F9A73FA">
      <w:start w:val="27"/>
      <w:numFmt w:val="decimal"/>
      <w:lvlText w:val="%1"/>
      <w:lvlJc w:val="left"/>
      <w:pPr>
        <w:ind w:left="1770" w:hanging="360"/>
      </w:pPr>
      <w:rPr>
        <w:rFonts w:hint="default"/>
      </w:rPr>
    </w:lvl>
    <w:lvl w:ilvl="1" w:tplc="1C090019">
      <w:start w:val="1"/>
      <w:numFmt w:val="lowerLetter"/>
      <w:lvlText w:val="%2."/>
      <w:lvlJc w:val="left"/>
      <w:pPr>
        <w:ind w:left="2490" w:hanging="360"/>
      </w:pPr>
    </w:lvl>
    <w:lvl w:ilvl="2" w:tplc="1C09001B" w:tentative="1">
      <w:start w:val="1"/>
      <w:numFmt w:val="lowerRoman"/>
      <w:lvlText w:val="%3."/>
      <w:lvlJc w:val="right"/>
      <w:pPr>
        <w:ind w:left="3210" w:hanging="180"/>
      </w:pPr>
    </w:lvl>
    <w:lvl w:ilvl="3" w:tplc="1C09000F" w:tentative="1">
      <w:start w:val="1"/>
      <w:numFmt w:val="decimal"/>
      <w:lvlText w:val="%4."/>
      <w:lvlJc w:val="left"/>
      <w:pPr>
        <w:ind w:left="3930" w:hanging="360"/>
      </w:pPr>
    </w:lvl>
    <w:lvl w:ilvl="4" w:tplc="1C090019" w:tentative="1">
      <w:start w:val="1"/>
      <w:numFmt w:val="lowerLetter"/>
      <w:lvlText w:val="%5."/>
      <w:lvlJc w:val="left"/>
      <w:pPr>
        <w:ind w:left="4650" w:hanging="360"/>
      </w:pPr>
    </w:lvl>
    <w:lvl w:ilvl="5" w:tplc="1C09001B" w:tentative="1">
      <w:start w:val="1"/>
      <w:numFmt w:val="lowerRoman"/>
      <w:lvlText w:val="%6."/>
      <w:lvlJc w:val="right"/>
      <w:pPr>
        <w:ind w:left="5370" w:hanging="180"/>
      </w:pPr>
    </w:lvl>
    <w:lvl w:ilvl="6" w:tplc="1C09000F" w:tentative="1">
      <w:start w:val="1"/>
      <w:numFmt w:val="decimal"/>
      <w:lvlText w:val="%7."/>
      <w:lvlJc w:val="left"/>
      <w:pPr>
        <w:ind w:left="6090" w:hanging="360"/>
      </w:pPr>
    </w:lvl>
    <w:lvl w:ilvl="7" w:tplc="1C090019" w:tentative="1">
      <w:start w:val="1"/>
      <w:numFmt w:val="lowerLetter"/>
      <w:lvlText w:val="%8."/>
      <w:lvlJc w:val="left"/>
      <w:pPr>
        <w:ind w:left="6810" w:hanging="360"/>
      </w:pPr>
    </w:lvl>
    <w:lvl w:ilvl="8" w:tplc="1C09001B" w:tentative="1">
      <w:start w:val="1"/>
      <w:numFmt w:val="lowerRoman"/>
      <w:lvlText w:val="%9."/>
      <w:lvlJc w:val="right"/>
      <w:pPr>
        <w:ind w:left="7530" w:hanging="180"/>
      </w:pPr>
    </w:lvl>
  </w:abstractNum>
  <w:abstractNum w:abstractNumId="15" w15:restartNumberingAfterBreak="0">
    <w:nsid w:val="4DBE4985"/>
    <w:multiLevelType w:val="hybridMultilevel"/>
    <w:tmpl w:val="585E6FE6"/>
    <w:lvl w:ilvl="0" w:tplc="1C09000F">
      <w:start w:val="1"/>
      <w:numFmt w:val="decimal"/>
      <w:lvlText w:val="%1."/>
      <w:lvlJc w:val="left"/>
      <w:pPr>
        <w:ind w:left="36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1725799"/>
    <w:multiLevelType w:val="hybridMultilevel"/>
    <w:tmpl w:val="82D8127C"/>
    <w:lvl w:ilvl="0" w:tplc="1C09000F">
      <w:start w:val="1"/>
      <w:numFmt w:val="decimal"/>
      <w:lvlText w:val="%1."/>
      <w:lvlJc w:val="left"/>
      <w:pPr>
        <w:ind w:left="72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2374B8A"/>
    <w:multiLevelType w:val="hybridMultilevel"/>
    <w:tmpl w:val="5992BA5C"/>
    <w:lvl w:ilvl="0" w:tplc="1C090017">
      <w:start w:val="1"/>
      <w:numFmt w:val="lowerLetter"/>
      <w:lvlText w:val="%1)"/>
      <w:lvlJc w:val="left"/>
      <w:pPr>
        <w:ind w:left="360" w:hanging="360"/>
      </w:pPr>
      <w:rPr>
        <w:rFonts w:hint="default"/>
        <w:sz w:val="22"/>
        <w:szCs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312A8C82">
      <w:start w:val="1"/>
      <w:numFmt w:val="decimal"/>
      <w:lvlText w:val="%5)"/>
      <w:lvlJc w:val="left"/>
      <w:pPr>
        <w:ind w:left="3600" w:hanging="360"/>
      </w:pPr>
      <w:rPr>
        <w:rFonts w:hint="default"/>
      </w:rPr>
    </w:lvl>
    <w:lvl w:ilvl="5" w:tplc="D4D2FF52">
      <w:start w:val="1"/>
      <w:numFmt w:val="lowerRoman"/>
      <w:lvlText w:val="(%6)"/>
      <w:lvlJc w:val="left"/>
      <w:pPr>
        <w:ind w:left="4860" w:hanging="720"/>
      </w:pPr>
      <w:rPr>
        <w:rFonts w:hint="default"/>
      </w:r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3121DDC"/>
    <w:multiLevelType w:val="hybridMultilevel"/>
    <w:tmpl w:val="75C815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5F15643"/>
    <w:multiLevelType w:val="hybridMultilevel"/>
    <w:tmpl w:val="434C26D6"/>
    <w:lvl w:ilvl="0" w:tplc="3F9A73FA">
      <w:start w:val="27"/>
      <w:numFmt w:val="decimal"/>
      <w:lvlText w:val="%1"/>
      <w:lvlJc w:val="left"/>
      <w:pPr>
        <w:ind w:left="360" w:hanging="360"/>
      </w:pPr>
      <w:rPr>
        <w:rFonts w:hint="default"/>
      </w:rPr>
    </w:lvl>
    <w:lvl w:ilvl="1" w:tplc="1C090017">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60283573"/>
    <w:multiLevelType w:val="hybridMultilevel"/>
    <w:tmpl w:val="7E76D210"/>
    <w:lvl w:ilvl="0" w:tplc="0DAE350E">
      <w:start w:val="1"/>
      <w:numFmt w:val="decimal"/>
      <w:lvlText w:val="[%1]"/>
      <w:lvlJc w:val="left"/>
      <w:pPr>
        <w:ind w:left="360" w:hanging="360"/>
      </w:pPr>
      <w:rPr>
        <w:rFonts w:hint="default"/>
        <w:sz w:val="22"/>
        <w:szCs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63057F6C"/>
    <w:multiLevelType w:val="hybridMultilevel"/>
    <w:tmpl w:val="66AEAFCE"/>
    <w:lvl w:ilvl="0" w:tplc="1C090017">
      <w:start w:val="1"/>
      <w:numFmt w:val="lowerLetter"/>
      <w:lvlText w:val="%1)"/>
      <w:lvlJc w:val="left"/>
      <w:pPr>
        <w:ind w:left="1068" w:hanging="360"/>
      </w:pPr>
      <w:rPr>
        <w:rFonts w:hint="default"/>
      </w:rPr>
    </w:lvl>
    <w:lvl w:ilvl="1" w:tplc="1C090017">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22" w15:restartNumberingAfterBreak="0">
    <w:nsid w:val="64097FA4"/>
    <w:multiLevelType w:val="hybridMultilevel"/>
    <w:tmpl w:val="FECA3820"/>
    <w:lvl w:ilvl="0" w:tplc="929E4052">
      <w:start w:val="1"/>
      <w:numFmt w:val="decimal"/>
      <w:lvlText w:val="[%1]"/>
      <w:lvlJc w:val="left"/>
      <w:pPr>
        <w:ind w:left="360" w:hanging="360"/>
      </w:pPr>
      <w:rPr>
        <w:rFonts w:hint="default"/>
        <w:sz w:val="22"/>
        <w:szCs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312A8C82">
      <w:start w:val="1"/>
      <w:numFmt w:val="decimal"/>
      <w:lvlText w:val="%5)"/>
      <w:lvlJc w:val="left"/>
      <w:pPr>
        <w:ind w:left="3600" w:hanging="360"/>
      </w:pPr>
      <w:rPr>
        <w:rFonts w:hint="default"/>
      </w:rPr>
    </w:lvl>
    <w:lvl w:ilvl="5" w:tplc="D4D2FF52">
      <w:start w:val="1"/>
      <w:numFmt w:val="lowerRoman"/>
      <w:lvlText w:val="(%6)"/>
      <w:lvlJc w:val="left"/>
      <w:pPr>
        <w:ind w:left="4860" w:hanging="720"/>
      </w:pPr>
      <w:rPr>
        <w:rFonts w:hint="default"/>
      </w:r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43A432A"/>
    <w:multiLevelType w:val="hybridMultilevel"/>
    <w:tmpl w:val="DC4CC9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4D20DEB"/>
    <w:multiLevelType w:val="hybridMultilevel"/>
    <w:tmpl w:val="577C947A"/>
    <w:lvl w:ilvl="0" w:tplc="D6BCA79E">
      <w:start w:val="38"/>
      <w:numFmt w:val="decimal"/>
      <w:lvlText w:val="[%1]"/>
      <w:lvlJc w:val="left"/>
      <w:pPr>
        <w:ind w:left="360" w:hanging="360"/>
      </w:pPr>
      <w:rPr>
        <w:rFonts w:hint="default"/>
      </w:rPr>
    </w:lvl>
    <w:lvl w:ilvl="1" w:tplc="1C090019" w:tentative="1">
      <w:start w:val="1"/>
      <w:numFmt w:val="lowerLetter"/>
      <w:lvlText w:val="%2."/>
      <w:lvlJc w:val="left"/>
      <w:pPr>
        <w:ind w:left="732" w:hanging="360"/>
      </w:pPr>
    </w:lvl>
    <w:lvl w:ilvl="2" w:tplc="1C09001B" w:tentative="1">
      <w:start w:val="1"/>
      <w:numFmt w:val="lowerRoman"/>
      <w:lvlText w:val="%3."/>
      <w:lvlJc w:val="right"/>
      <w:pPr>
        <w:ind w:left="1452" w:hanging="180"/>
      </w:pPr>
    </w:lvl>
    <w:lvl w:ilvl="3" w:tplc="1C09000F" w:tentative="1">
      <w:start w:val="1"/>
      <w:numFmt w:val="decimal"/>
      <w:lvlText w:val="%4."/>
      <w:lvlJc w:val="left"/>
      <w:pPr>
        <w:ind w:left="2172" w:hanging="360"/>
      </w:pPr>
    </w:lvl>
    <w:lvl w:ilvl="4" w:tplc="1C090019" w:tentative="1">
      <w:start w:val="1"/>
      <w:numFmt w:val="lowerLetter"/>
      <w:lvlText w:val="%5."/>
      <w:lvlJc w:val="left"/>
      <w:pPr>
        <w:ind w:left="2892" w:hanging="360"/>
      </w:pPr>
    </w:lvl>
    <w:lvl w:ilvl="5" w:tplc="1C09001B" w:tentative="1">
      <w:start w:val="1"/>
      <w:numFmt w:val="lowerRoman"/>
      <w:lvlText w:val="%6."/>
      <w:lvlJc w:val="right"/>
      <w:pPr>
        <w:ind w:left="3612" w:hanging="180"/>
      </w:pPr>
    </w:lvl>
    <w:lvl w:ilvl="6" w:tplc="1C09000F" w:tentative="1">
      <w:start w:val="1"/>
      <w:numFmt w:val="decimal"/>
      <w:lvlText w:val="%7."/>
      <w:lvlJc w:val="left"/>
      <w:pPr>
        <w:ind w:left="4332" w:hanging="360"/>
      </w:pPr>
    </w:lvl>
    <w:lvl w:ilvl="7" w:tplc="1C090019" w:tentative="1">
      <w:start w:val="1"/>
      <w:numFmt w:val="lowerLetter"/>
      <w:lvlText w:val="%8."/>
      <w:lvlJc w:val="left"/>
      <w:pPr>
        <w:ind w:left="5052" w:hanging="360"/>
      </w:pPr>
    </w:lvl>
    <w:lvl w:ilvl="8" w:tplc="1C09001B" w:tentative="1">
      <w:start w:val="1"/>
      <w:numFmt w:val="lowerRoman"/>
      <w:lvlText w:val="%9."/>
      <w:lvlJc w:val="right"/>
      <w:pPr>
        <w:ind w:left="5772" w:hanging="180"/>
      </w:pPr>
    </w:lvl>
  </w:abstractNum>
  <w:abstractNum w:abstractNumId="25" w15:restartNumberingAfterBreak="0">
    <w:nsid w:val="676428C4"/>
    <w:multiLevelType w:val="hybridMultilevel"/>
    <w:tmpl w:val="B9B85488"/>
    <w:lvl w:ilvl="0" w:tplc="0DAE350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6A8005A3"/>
    <w:multiLevelType w:val="hybridMultilevel"/>
    <w:tmpl w:val="EFAE9DB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6E2423D9"/>
    <w:multiLevelType w:val="hybridMultilevel"/>
    <w:tmpl w:val="F80C85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3C760E1"/>
    <w:multiLevelType w:val="hybridMultilevel"/>
    <w:tmpl w:val="D966ABE2"/>
    <w:lvl w:ilvl="0" w:tplc="3F9A73FA">
      <w:start w:val="27"/>
      <w:numFmt w:val="decimal"/>
      <w:lvlText w:val="%1"/>
      <w:lvlJc w:val="left"/>
      <w:pPr>
        <w:ind w:left="1770" w:hanging="360"/>
      </w:pPr>
      <w:rPr>
        <w:rFonts w:hint="default"/>
      </w:rPr>
    </w:lvl>
    <w:lvl w:ilvl="1" w:tplc="1C090019">
      <w:start w:val="1"/>
      <w:numFmt w:val="lowerLetter"/>
      <w:lvlText w:val="%2."/>
      <w:lvlJc w:val="left"/>
      <w:pPr>
        <w:ind w:left="2490" w:hanging="360"/>
      </w:pPr>
    </w:lvl>
    <w:lvl w:ilvl="2" w:tplc="1C09001B" w:tentative="1">
      <w:start w:val="1"/>
      <w:numFmt w:val="lowerRoman"/>
      <w:lvlText w:val="%3."/>
      <w:lvlJc w:val="right"/>
      <w:pPr>
        <w:ind w:left="3210" w:hanging="180"/>
      </w:pPr>
    </w:lvl>
    <w:lvl w:ilvl="3" w:tplc="1C09000F" w:tentative="1">
      <w:start w:val="1"/>
      <w:numFmt w:val="decimal"/>
      <w:lvlText w:val="%4."/>
      <w:lvlJc w:val="left"/>
      <w:pPr>
        <w:ind w:left="3930" w:hanging="360"/>
      </w:pPr>
    </w:lvl>
    <w:lvl w:ilvl="4" w:tplc="1C090019" w:tentative="1">
      <w:start w:val="1"/>
      <w:numFmt w:val="lowerLetter"/>
      <w:lvlText w:val="%5."/>
      <w:lvlJc w:val="left"/>
      <w:pPr>
        <w:ind w:left="4650" w:hanging="360"/>
      </w:pPr>
    </w:lvl>
    <w:lvl w:ilvl="5" w:tplc="1C09001B" w:tentative="1">
      <w:start w:val="1"/>
      <w:numFmt w:val="lowerRoman"/>
      <w:lvlText w:val="%6."/>
      <w:lvlJc w:val="right"/>
      <w:pPr>
        <w:ind w:left="5370" w:hanging="180"/>
      </w:pPr>
    </w:lvl>
    <w:lvl w:ilvl="6" w:tplc="1C09000F" w:tentative="1">
      <w:start w:val="1"/>
      <w:numFmt w:val="decimal"/>
      <w:lvlText w:val="%7."/>
      <w:lvlJc w:val="left"/>
      <w:pPr>
        <w:ind w:left="6090" w:hanging="360"/>
      </w:pPr>
    </w:lvl>
    <w:lvl w:ilvl="7" w:tplc="1C090019" w:tentative="1">
      <w:start w:val="1"/>
      <w:numFmt w:val="lowerLetter"/>
      <w:lvlText w:val="%8."/>
      <w:lvlJc w:val="left"/>
      <w:pPr>
        <w:ind w:left="6810" w:hanging="360"/>
      </w:pPr>
    </w:lvl>
    <w:lvl w:ilvl="8" w:tplc="1C09001B" w:tentative="1">
      <w:start w:val="1"/>
      <w:numFmt w:val="lowerRoman"/>
      <w:lvlText w:val="%9."/>
      <w:lvlJc w:val="right"/>
      <w:pPr>
        <w:ind w:left="7530" w:hanging="180"/>
      </w:pPr>
    </w:lvl>
  </w:abstractNum>
  <w:abstractNum w:abstractNumId="29" w15:restartNumberingAfterBreak="0">
    <w:nsid w:val="76C06E4E"/>
    <w:multiLevelType w:val="hybridMultilevel"/>
    <w:tmpl w:val="D966ABE2"/>
    <w:lvl w:ilvl="0" w:tplc="3F9A73FA">
      <w:start w:val="27"/>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7A5E4D90"/>
    <w:multiLevelType w:val="hybridMultilevel"/>
    <w:tmpl w:val="AF70EE96"/>
    <w:lvl w:ilvl="0" w:tplc="1C090017">
      <w:start w:val="1"/>
      <w:numFmt w:val="lowerLetter"/>
      <w:lvlText w:val="%1)"/>
      <w:lvlJc w:val="left"/>
      <w:pPr>
        <w:ind w:left="1068" w:hanging="360"/>
      </w:pPr>
      <w:rPr>
        <w:rFonts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31" w15:restartNumberingAfterBreak="0">
    <w:nsid w:val="7DC537EC"/>
    <w:multiLevelType w:val="hybridMultilevel"/>
    <w:tmpl w:val="806640FE"/>
    <w:lvl w:ilvl="0" w:tplc="28F6B7EC">
      <w:start w:val="1"/>
      <w:numFmt w:val="lowerLetter"/>
      <w:lvlText w:val="(%1)"/>
      <w:lvlJc w:val="left"/>
      <w:pPr>
        <w:ind w:left="785"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31"/>
  </w:num>
  <w:num w:numId="3">
    <w:abstractNumId w:val="0"/>
  </w:num>
  <w:num w:numId="4">
    <w:abstractNumId w:val="14"/>
  </w:num>
  <w:num w:numId="5">
    <w:abstractNumId w:val="1"/>
  </w:num>
  <w:num w:numId="6">
    <w:abstractNumId w:val="2"/>
  </w:num>
  <w:num w:numId="7">
    <w:abstractNumId w:val="4"/>
  </w:num>
  <w:num w:numId="8">
    <w:abstractNumId w:val="3"/>
  </w:num>
  <w:num w:numId="9">
    <w:abstractNumId w:val="29"/>
  </w:num>
  <w:num w:numId="10">
    <w:abstractNumId w:val="16"/>
  </w:num>
  <w:num w:numId="11">
    <w:abstractNumId w:val="7"/>
  </w:num>
  <w:num w:numId="12">
    <w:abstractNumId w:val="28"/>
  </w:num>
  <w:num w:numId="13">
    <w:abstractNumId w:val="23"/>
  </w:num>
  <w:num w:numId="14">
    <w:abstractNumId w:val="30"/>
  </w:num>
  <w:num w:numId="15">
    <w:abstractNumId w:val="19"/>
  </w:num>
  <w:num w:numId="16">
    <w:abstractNumId w:val="21"/>
  </w:num>
  <w:num w:numId="17">
    <w:abstractNumId w:val="18"/>
  </w:num>
  <w:num w:numId="18">
    <w:abstractNumId w:val="15"/>
  </w:num>
  <w:num w:numId="19">
    <w:abstractNumId w:val="10"/>
  </w:num>
  <w:num w:numId="20">
    <w:abstractNumId w:val="13"/>
  </w:num>
  <w:num w:numId="21">
    <w:abstractNumId w:val="6"/>
  </w:num>
  <w:num w:numId="22">
    <w:abstractNumId w:val="9"/>
  </w:num>
  <w:num w:numId="23">
    <w:abstractNumId w:val="27"/>
  </w:num>
  <w:num w:numId="24">
    <w:abstractNumId w:val="11"/>
  </w:num>
  <w:num w:numId="25">
    <w:abstractNumId w:val="8"/>
  </w:num>
  <w:num w:numId="26">
    <w:abstractNumId w:val="5"/>
  </w:num>
  <w:num w:numId="27">
    <w:abstractNumId w:val="17"/>
  </w:num>
  <w:num w:numId="28">
    <w:abstractNumId w:val="26"/>
  </w:num>
  <w:num w:numId="29">
    <w:abstractNumId w:val="12"/>
  </w:num>
  <w:num w:numId="30">
    <w:abstractNumId w:val="20"/>
  </w:num>
  <w:num w:numId="31">
    <w:abstractNumId w:val="2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A5"/>
    <w:rsid w:val="00000834"/>
    <w:rsid w:val="000025EC"/>
    <w:rsid w:val="0000526C"/>
    <w:rsid w:val="00014FB7"/>
    <w:rsid w:val="00015BDE"/>
    <w:rsid w:val="00017B4F"/>
    <w:rsid w:val="0002506A"/>
    <w:rsid w:val="00042BF8"/>
    <w:rsid w:val="00063E09"/>
    <w:rsid w:val="00076202"/>
    <w:rsid w:val="00081C93"/>
    <w:rsid w:val="000A03B5"/>
    <w:rsid w:val="000A43E4"/>
    <w:rsid w:val="000B6903"/>
    <w:rsid w:val="000C09CD"/>
    <w:rsid w:val="000C6ED9"/>
    <w:rsid w:val="000D025D"/>
    <w:rsid w:val="000D1068"/>
    <w:rsid w:val="000D4D28"/>
    <w:rsid w:val="000D58E2"/>
    <w:rsid w:val="000E4AC2"/>
    <w:rsid w:val="001119A0"/>
    <w:rsid w:val="00115B3D"/>
    <w:rsid w:val="00120F38"/>
    <w:rsid w:val="00124867"/>
    <w:rsid w:val="0012730D"/>
    <w:rsid w:val="00136208"/>
    <w:rsid w:val="00146730"/>
    <w:rsid w:val="00155581"/>
    <w:rsid w:val="00161A00"/>
    <w:rsid w:val="0016385F"/>
    <w:rsid w:val="00172841"/>
    <w:rsid w:val="00183143"/>
    <w:rsid w:val="00187B8E"/>
    <w:rsid w:val="0019105B"/>
    <w:rsid w:val="00192178"/>
    <w:rsid w:val="001A034D"/>
    <w:rsid w:val="001A43FD"/>
    <w:rsid w:val="001A522C"/>
    <w:rsid w:val="001B0229"/>
    <w:rsid w:val="001B36E9"/>
    <w:rsid w:val="001B45B4"/>
    <w:rsid w:val="001C5172"/>
    <w:rsid w:val="001F40A5"/>
    <w:rsid w:val="001F51FC"/>
    <w:rsid w:val="00201370"/>
    <w:rsid w:val="00222D05"/>
    <w:rsid w:val="00223975"/>
    <w:rsid w:val="00224AA5"/>
    <w:rsid w:val="00227A0A"/>
    <w:rsid w:val="00235D6C"/>
    <w:rsid w:val="00236483"/>
    <w:rsid w:val="00244955"/>
    <w:rsid w:val="00247808"/>
    <w:rsid w:val="002541B5"/>
    <w:rsid w:val="00254A8A"/>
    <w:rsid w:val="0026195E"/>
    <w:rsid w:val="002706D2"/>
    <w:rsid w:val="00282C5B"/>
    <w:rsid w:val="00284A9E"/>
    <w:rsid w:val="002C04CF"/>
    <w:rsid w:val="002C09A7"/>
    <w:rsid w:val="002C2A59"/>
    <w:rsid w:val="002E7C74"/>
    <w:rsid w:val="0030501D"/>
    <w:rsid w:val="00306341"/>
    <w:rsid w:val="00310DEB"/>
    <w:rsid w:val="00316AA0"/>
    <w:rsid w:val="00322364"/>
    <w:rsid w:val="0032735A"/>
    <w:rsid w:val="00330184"/>
    <w:rsid w:val="003366AB"/>
    <w:rsid w:val="003439EB"/>
    <w:rsid w:val="00344801"/>
    <w:rsid w:val="00350100"/>
    <w:rsid w:val="00385FAE"/>
    <w:rsid w:val="00394ABC"/>
    <w:rsid w:val="003A6D86"/>
    <w:rsid w:val="003C4909"/>
    <w:rsid w:val="003D59E4"/>
    <w:rsid w:val="003E2EDC"/>
    <w:rsid w:val="003F44DE"/>
    <w:rsid w:val="003F4F54"/>
    <w:rsid w:val="003F79A4"/>
    <w:rsid w:val="004012B1"/>
    <w:rsid w:val="0040335D"/>
    <w:rsid w:val="00414AEF"/>
    <w:rsid w:val="00424B04"/>
    <w:rsid w:val="00425F56"/>
    <w:rsid w:val="0044087C"/>
    <w:rsid w:val="00444AA2"/>
    <w:rsid w:val="00444D82"/>
    <w:rsid w:val="004709B2"/>
    <w:rsid w:val="00472E12"/>
    <w:rsid w:val="00487EF5"/>
    <w:rsid w:val="0049120D"/>
    <w:rsid w:val="00491A1E"/>
    <w:rsid w:val="0049664C"/>
    <w:rsid w:val="004A0D43"/>
    <w:rsid w:val="004A2867"/>
    <w:rsid w:val="004A5C25"/>
    <w:rsid w:val="004B4A2E"/>
    <w:rsid w:val="004C7A36"/>
    <w:rsid w:val="004C7F1F"/>
    <w:rsid w:val="004D0712"/>
    <w:rsid w:val="004D6F67"/>
    <w:rsid w:val="004D7A3E"/>
    <w:rsid w:val="004F29BC"/>
    <w:rsid w:val="004F3145"/>
    <w:rsid w:val="004F46FC"/>
    <w:rsid w:val="005006B7"/>
    <w:rsid w:val="005053E2"/>
    <w:rsid w:val="00507B49"/>
    <w:rsid w:val="0051434D"/>
    <w:rsid w:val="00522316"/>
    <w:rsid w:val="00541927"/>
    <w:rsid w:val="00543973"/>
    <w:rsid w:val="005461A0"/>
    <w:rsid w:val="0056493C"/>
    <w:rsid w:val="00577265"/>
    <w:rsid w:val="00580E76"/>
    <w:rsid w:val="0059482A"/>
    <w:rsid w:val="005A3586"/>
    <w:rsid w:val="005A50FB"/>
    <w:rsid w:val="005B4E6A"/>
    <w:rsid w:val="005B6505"/>
    <w:rsid w:val="005C509A"/>
    <w:rsid w:val="005E53DA"/>
    <w:rsid w:val="005F274C"/>
    <w:rsid w:val="00607405"/>
    <w:rsid w:val="00625C65"/>
    <w:rsid w:val="0062794E"/>
    <w:rsid w:val="0064227C"/>
    <w:rsid w:val="00653581"/>
    <w:rsid w:val="006679DF"/>
    <w:rsid w:val="00674B8E"/>
    <w:rsid w:val="006822C3"/>
    <w:rsid w:val="00684C1D"/>
    <w:rsid w:val="0068646F"/>
    <w:rsid w:val="00690D5E"/>
    <w:rsid w:val="006929A4"/>
    <w:rsid w:val="00696D7F"/>
    <w:rsid w:val="006A5ECB"/>
    <w:rsid w:val="006A63AD"/>
    <w:rsid w:val="006B0630"/>
    <w:rsid w:val="006C58EF"/>
    <w:rsid w:val="006D06E8"/>
    <w:rsid w:val="006D5920"/>
    <w:rsid w:val="006D6C50"/>
    <w:rsid w:val="006F4470"/>
    <w:rsid w:val="006F4E04"/>
    <w:rsid w:val="006F721E"/>
    <w:rsid w:val="00707FCB"/>
    <w:rsid w:val="00715005"/>
    <w:rsid w:val="007208D1"/>
    <w:rsid w:val="0072102F"/>
    <w:rsid w:val="007341FF"/>
    <w:rsid w:val="00745AE1"/>
    <w:rsid w:val="00753382"/>
    <w:rsid w:val="00760775"/>
    <w:rsid w:val="00773A28"/>
    <w:rsid w:val="007759E8"/>
    <w:rsid w:val="00786E9D"/>
    <w:rsid w:val="00787C99"/>
    <w:rsid w:val="00793883"/>
    <w:rsid w:val="007A3D9B"/>
    <w:rsid w:val="007A55BA"/>
    <w:rsid w:val="007A5E54"/>
    <w:rsid w:val="007B4E6E"/>
    <w:rsid w:val="007B5E41"/>
    <w:rsid w:val="007B6FE0"/>
    <w:rsid w:val="007C5D68"/>
    <w:rsid w:val="007D1BB5"/>
    <w:rsid w:val="007D5F22"/>
    <w:rsid w:val="007D72CD"/>
    <w:rsid w:val="007F29E2"/>
    <w:rsid w:val="007F6C37"/>
    <w:rsid w:val="0081715C"/>
    <w:rsid w:val="00817C26"/>
    <w:rsid w:val="008360FE"/>
    <w:rsid w:val="008419DE"/>
    <w:rsid w:val="008450FF"/>
    <w:rsid w:val="00850FD0"/>
    <w:rsid w:val="0086088E"/>
    <w:rsid w:val="0086597C"/>
    <w:rsid w:val="008669AA"/>
    <w:rsid w:val="00867FC6"/>
    <w:rsid w:val="00871B04"/>
    <w:rsid w:val="0089249B"/>
    <w:rsid w:val="00894B8C"/>
    <w:rsid w:val="008A013E"/>
    <w:rsid w:val="008A3393"/>
    <w:rsid w:val="008A4D2B"/>
    <w:rsid w:val="008B22FD"/>
    <w:rsid w:val="008B4F8C"/>
    <w:rsid w:val="008C38A2"/>
    <w:rsid w:val="008D0C18"/>
    <w:rsid w:val="008E240A"/>
    <w:rsid w:val="008F07C2"/>
    <w:rsid w:val="008F3ABC"/>
    <w:rsid w:val="008F5748"/>
    <w:rsid w:val="008F6D81"/>
    <w:rsid w:val="008F73C9"/>
    <w:rsid w:val="00906A61"/>
    <w:rsid w:val="00910307"/>
    <w:rsid w:val="00911160"/>
    <w:rsid w:val="0091326D"/>
    <w:rsid w:val="009144C4"/>
    <w:rsid w:val="0091528F"/>
    <w:rsid w:val="00915ACB"/>
    <w:rsid w:val="0092260B"/>
    <w:rsid w:val="009273BC"/>
    <w:rsid w:val="00935616"/>
    <w:rsid w:val="009512CB"/>
    <w:rsid w:val="00953DDF"/>
    <w:rsid w:val="0095456B"/>
    <w:rsid w:val="00970B5C"/>
    <w:rsid w:val="00972751"/>
    <w:rsid w:val="0099372D"/>
    <w:rsid w:val="009A2698"/>
    <w:rsid w:val="009A40E9"/>
    <w:rsid w:val="009B051E"/>
    <w:rsid w:val="009C597D"/>
    <w:rsid w:val="009D7997"/>
    <w:rsid w:val="009E35E8"/>
    <w:rsid w:val="009E56E4"/>
    <w:rsid w:val="00A07F22"/>
    <w:rsid w:val="00A131CC"/>
    <w:rsid w:val="00A16784"/>
    <w:rsid w:val="00A20706"/>
    <w:rsid w:val="00A23D74"/>
    <w:rsid w:val="00A303E7"/>
    <w:rsid w:val="00A344E6"/>
    <w:rsid w:val="00A37A2C"/>
    <w:rsid w:val="00A4419C"/>
    <w:rsid w:val="00A445A4"/>
    <w:rsid w:val="00A63D7D"/>
    <w:rsid w:val="00A67BF9"/>
    <w:rsid w:val="00A70B70"/>
    <w:rsid w:val="00A80C6F"/>
    <w:rsid w:val="00A815F7"/>
    <w:rsid w:val="00A824E1"/>
    <w:rsid w:val="00A84A2A"/>
    <w:rsid w:val="00A90016"/>
    <w:rsid w:val="00A90F5E"/>
    <w:rsid w:val="00AA038C"/>
    <w:rsid w:val="00AB55C0"/>
    <w:rsid w:val="00AC5337"/>
    <w:rsid w:val="00AD18F9"/>
    <w:rsid w:val="00AE1603"/>
    <w:rsid w:val="00AF757E"/>
    <w:rsid w:val="00B16E88"/>
    <w:rsid w:val="00B300F6"/>
    <w:rsid w:val="00B51027"/>
    <w:rsid w:val="00B540DA"/>
    <w:rsid w:val="00B55CAF"/>
    <w:rsid w:val="00B85486"/>
    <w:rsid w:val="00B955F6"/>
    <w:rsid w:val="00BB4210"/>
    <w:rsid w:val="00BE0977"/>
    <w:rsid w:val="00BE19A0"/>
    <w:rsid w:val="00BF2F58"/>
    <w:rsid w:val="00BF3AB9"/>
    <w:rsid w:val="00BF5B53"/>
    <w:rsid w:val="00C00655"/>
    <w:rsid w:val="00C00E8D"/>
    <w:rsid w:val="00C0239A"/>
    <w:rsid w:val="00C07F35"/>
    <w:rsid w:val="00C121B7"/>
    <w:rsid w:val="00C1234F"/>
    <w:rsid w:val="00C14F41"/>
    <w:rsid w:val="00C22B4A"/>
    <w:rsid w:val="00C30185"/>
    <w:rsid w:val="00C309B2"/>
    <w:rsid w:val="00C32369"/>
    <w:rsid w:val="00C3595D"/>
    <w:rsid w:val="00C3792D"/>
    <w:rsid w:val="00C44FBB"/>
    <w:rsid w:val="00C47F61"/>
    <w:rsid w:val="00C509D5"/>
    <w:rsid w:val="00C67244"/>
    <w:rsid w:val="00C74E90"/>
    <w:rsid w:val="00C83CFE"/>
    <w:rsid w:val="00C84A52"/>
    <w:rsid w:val="00C96155"/>
    <w:rsid w:val="00CB2CB5"/>
    <w:rsid w:val="00CB342B"/>
    <w:rsid w:val="00CB4074"/>
    <w:rsid w:val="00CD7FFD"/>
    <w:rsid w:val="00CE4D1F"/>
    <w:rsid w:val="00D10C10"/>
    <w:rsid w:val="00D1503A"/>
    <w:rsid w:val="00D45AA0"/>
    <w:rsid w:val="00D47013"/>
    <w:rsid w:val="00D47750"/>
    <w:rsid w:val="00D57760"/>
    <w:rsid w:val="00D63D36"/>
    <w:rsid w:val="00D6456A"/>
    <w:rsid w:val="00D81836"/>
    <w:rsid w:val="00D83844"/>
    <w:rsid w:val="00DA1500"/>
    <w:rsid w:val="00DA18A5"/>
    <w:rsid w:val="00DA5786"/>
    <w:rsid w:val="00DB49CF"/>
    <w:rsid w:val="00DD0946"/>
    <w:rsid w:val="00DD24C1"/>
    <w:rsid w:val="00DE0D9A"/>
    <w:rsid w:val="00DE129F"/>
    <w:rsid w:val="00DE1450"/>
    <w:rsid w:val="00DE528D"/>
    <w:rsid w:val="00DF4B31"/>
    <w:rsid w:val="00E11632"/>
    <w:rsid w:val="00E11DCB"/>
    <w:rsid w:val="00E30131"/>
    <w:rsid w:val="00E31ABF"/>
    <w:rsid w:val="00E545E3"/>
    <w:rsid w:val="00E64CD8"/>
    <w:rsid w:val="00E6584F"/>
    <w:rsid w:val="00E664FD"/>
    <w:rsid w:val="00EA0E95"/>
    <w:rsid w:val="00EA3674"/>
    <w:rsid w:val="00EB0A23"/>
    <w:rsid w:val="00ED400E"/>
    <w:rsid w:val="00EE0A22"/>
    <w:rsid w:val="00EE246A"/>
    <w:rsid w:val="00EF3E83"/>
    <w:rsid w:val="00F00811"/>
    <w:rsid w:val="00F11D05"/>
    <w:rsid w:val="00F1512E"/>
    <w:rsid w:val="00F16D6E"/>
    <w:rsid w:val="00F261AD"/>
    <w:rsid w:val="00F3080D"/>
    <w:rsid w:val="00F35D3C"/>
    <w:rsid w:val="00F400BA"/>
    <w:rsid w:val="00F44E3A"/>
    <w:rsid w:val="00F46B5D"/>
    <w:rsid w:val="00F53AFB"/>
    <w:rsid w:val="00F77E5C"/>
    <w:rsid w:val="00F94523"/>
    <w:rsid w:val="00FA68A9"/>
    <w:rsid w:val="00FB3C80"/>
    <w:rsid w:val="00FB537D"/>
    <w:rsid w:val="00FC007A"/>
    <w:rsid w:val="00FC5C15"/>
    <w:rsid w:val="00FC727F"/>
    <w:rsid w:val="00FE49EB"/>
    <w:rsid w:val="00FF69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74EA3"/>
  <w15:chartTrackingRefBased/>
  <w15:docId w15:val="{CA6FE476-6730-4A0B-957A-6A3F11AD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1FC"/>
  </w:style>
  <w:style w:type="paragraph" w:styleId="Heading1">
    <w:name w:val="heading 1"/>
    <w:basedOn w:val="Normal"/>
    <w:next w:val="Normal"/>
    <w:link w:val="Heading1Char"/>
    <w:uiPriority w:val="9"/>
    <w:qFormat/>
    <w:rsid w:val="009545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C84A52"/>
    <w:pPr>
      <w:widowControl w:val="0"/>
      <w:autoSpaceDE w:val="0"/>
      <w:autoSpaceDN w:val="0"/>
      <w:adjustRightInd w:val="0"/>
      <w:spacing w:after="0" w:line="240" w:lineRule="auto"/>
      <w:ind w:left="1635" w:hanging="566"/>
      <w:outlineLvl w:val="1"/>
    </w:pPr>
    <w:rPr>
      <w:rFonts w:ascii="Calisto MT" w:eastAsiaTheme="minorEastAsia" w:hAnsi="Calisto MT" w:cs="Calisto MT"/>
      <w:b/>
      <w:bCs/>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1FC"/>
    <w:pPr>
      <w:ind w:left="720"/>
      <w:contextualSpacing/>
    </w:pPr>
  </w:style>
  <w:style w:type="paragraph" w:customStyle="1" w:styleId="Default">
    <w:name w:val="Default"/>
    <w:rsid w:val="001F51F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1F51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1FC"/>
    <w:rPr>
      <w:sz w:val="20"/>
      <w:szCs w:val="20"/>
    </w:rPr>
  </w:style>
  <w:style w:type="character" w:styleId="FootnoteReference">
    <w:name w:val="footnote reference"/>
    <w:basedOn w:val="DefaultParagraphFont"/>
    <w:uiPriority w:val="99"/>
    <w:semiHidden/>
    <w:unhideWhenUsed/>
    <w:rsid w:val="001F51FC"/>
    <w:rPr>
      <w:vertAlign w:val="superscript"/>
    </w:rPr>
  </w:style>
  <w:style w:type="paragraph" w:styleId="NormalWeb">
    <w:name w:val="Normal (Web)"/>
    <w:basedOn w:val="Normal"/>
    <w:uiPriority w:val="99"/>
    <w:semiHidden/>
    <w:unhideWhenUsed/>
    <w:rsid w:val="001F51FC"/>
    <w:pPr>
      <w:spacing w:before="144" w:after="288" w:line="240" w:lineRule="auto"/>
    </w:pPr>
    <w:rPr>
      <w:rFonts w:ascii="Times New Roman" w:eastAsia="Times New Roman" w:hAnsi="Times New Roman" w:cs="Times New Roman"/>
      <w:sz w:val="24"/>
      <w:szCs w:val="24"/>
      <w:lang w:eastAsia="en-ZA"/>
    </w:rPr>
  </w:style>
  <w:style w:type="paragraph" w:styleId="BodyText">
    <w:name w:val="Body Text"/>
    <w:basedOn w:val="Normal"/>
    <w:link w:val="BodyTextChar"/>
    <w:uiPriority w:val="1"/>
    <w:qFormat/>
    <w:rsid w:val="000A03B5"/>
    <w:pPr>
      <w:widowControl w:val="0"/>
      <w:autoSpaceDE w:val="0"/>
      <w:autoSpaceDN w:val="0"/>
      <w:adjustRightInd w:val="0"/>
      <w:spacing w:after="0" w:line="240" w:lineRule="auto"/>
      <w:jc w:val="both"/>
    </w:pPr>
    <w:rPr>
      <w:rFonts w:ascii="Calisto MT" w:eastAsiaTheme="minorEastAsia" w:hAnsi="Calisto MT" w:cs="Calisto MT"/>
      <w:sz w:val="20"/>
      <w:szCs w:val="20"/>
      <w:lang w:eastAsia="en-ZA"/>
    </w:rPr>
  </w:style>
  <w:style w:type="character" w:customStyle="1" w:styleId="BodyTextChar">
    <w:name w:val="Body Text Char"/>
    <w:basedOn w:val="DefaultParagraphFont"/>
    <w:link w:val="BodyText"/>
    <w:uiPriority w:val="1"/>
    <w:rsid w:val="000A03B5"/>
    <w:rPr>
      <w:rFonts w:ascii="Calisto MT" w:eastAsiaTheme="minorEastAsia" w:hAnsi="Calisto MT" w:cs="Calisto MT"/>
      <w:sz w:val="20"/>
      <w:szCs w:val="20"/>
      <w:lang w:eastAsia="en-ZA"/>
    </w:rPr>
  </w:style>
  <w:style w:type="character" w:customStyle="1" w:styleId="Heading2Char">
    <w:name w:val="Heading 2 Char"/>
    <w:basedOn w:val="DefaultParagraphFont"/>
    <w:link w:val="Heading2"/>
    <w:uiPriority w:val="1"/>
    <w:rsid w:val="00C84A52"/>
    <w:rPr>
      <w:rFonts w:ascii="Calisto MT" w:eastAsiaTheme="minorEastAsia" w:hAnsi="Calisto MT" w:cs="Calisto MT"/>
      <w:b/>
      <w:bCs/>
      <w:lang w:eastAsia="en-ZA"/>
    </w:rPr>
  </w:style>
  <w:style w:type="paragraph" w:styleId="Footer">
    <w:name w:val="footer"/>
    <w:basedOn w:val="Normal"/>
    <w:link w:val="FooterChar"/>
    <w:uiPriority w:val="99"/>
    <w:unhideWhenUsed/>
    <w:rsid w:val="001B4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5B4"/>
  </w:style>
  <w:style w:type="paragraph" w:styleId="Header">
    <w:name w:val="header"/>
    <w:basedOn w:val="Normal"/>
    <w:link w:val="HeaderChar"/>
    <w:uiPriority w:val="99"/>
    <w:unhideWhenUsed/>
    <w:rsid w:val="001B4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5B4"/>
  </w:style>
  <w:style w:type="character" w:customStyle="1" w:styleId="Heading1Char">
    <w:name w:val="Heading 1 Char"/>
    <w:basedOn w:val="DefaultParagraphFont"/>
    <w:link w:val="Heading1"/>
    <w:uiPriority w:val="9"/>
    <w:rsid w:val="0095456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F400BA"/>
    <w:rPr>
      <w:color w:val="0563C1" w:themeColor="hyperlink"/>
      <w:u w:val="single"/>
    </w:rPr>
  </w:style>
  <w:style w:type="paragraph" w:styleId="BalloonText">
    <w:name w:val="Balloon Text"/>
    <w:basedOn w:val="Normal"/>
    <w:link w:val="BalloonTextChar"/>
    <w:uiPriority w:val="99"/>
    <w:semiHidden/>
    <w:unhideWhenUsed/>
    <w:rsid w:val="007A3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D9B"/>
    <w:rPr>
      <w:rFonts w:ascii="Segoe UI" w:hAnsi="Segoe UI" w:cs="Segoe UI"/>
      <w:sz w:val="18"/>
      <w:szCs w:val="18"/>
    </w:rPr>
  </w:style>
  <w:style w:type="paragraph" w:styleId="Revision">
    <w:name w:val="Revision"/>
    <w:hidden/>
    <w:uiPriority w:val="99"/>
    <w:semiHidden/>
    <w:rsid w:val="008F57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6561">
      <w:bodyDiv w:val="1"/>
      <w:marLeft w:val="0"/>
      <w:marRight w:val="0"/>
      <w:marTop w:val="0"/>
      <w:marBottom w:val="0"/>
      <w:divBdr>
        <w:top w:val="none" w:sz="0" w:space="0" w:color="auto"/>
        <w:left w:val="none" w:sz="0" w:space="0" w:color="auto"/>
        <w:bottom w:val="none" w:sz="0" w:space="0" w:color="auto"/>
        <w:right w:val="none" w:sz="0" w:space="0" w:color="auto"/>
      </w:divBdr>
      <w:divsChild>
        <w:div w:id="53281532">
          <w:marLeft w:val="2"/>
          <w:marRight w:val="0"/>
          <w:marTop w:val="0"/>
          <w:marBottom w:val="0"/>
          <w:divBdr>
            <w:top w:val="none" w:sz="0" w:space="0" w:color="auto"/>
            <w:left w:val="none" w:sz="0" w:space="0" w:color="auto"/>
            <w:bottom w:val="none" w:sz="0" w:space="0" w:color="auto"/>
            <w:right w:val="none" w:sz="0" w:space="0" w:color="auto"/>
          </w:divBdr>
          <w:divsChild>
            <w:div w:id="1992437803">
              <w:marLeft w:val="0"/>
              <w:marRight w:val="0"/>
              <w:marTop w:val="0"/>
              <w:marBottom w:val="0"/>
              <w:divBdr>
                <w:top w:val="none" w:sz="0" w:space="0" w:color="auto"/>
                <w:left w:val="none" w:sz="0" w:space="0" w:color="auto"/>
                <w:bottom w:val="none" w:sz="0" w:space="0" w:color="auto"/>
                <w:right w:val="none" w:sz="0" w:space="0" w:color="auto"/>
              </w:divBdr>
              <w:divsChild>
                <w:div w:id="2111930210">
                  <w:marLeft w:val="0"/>
                  <w:marRight w:val="0"/>
                  <w:marTop w:val="0"/>
                  <w:marBottom w:val="0"/>
                  <w:divBdr>
                    <w:top w:val="none" w:sz="0" w:space="0" w:color="auto"/>
                    <w:left w:val="none" w:sz="0" w:space="0" w:color="auto"/>
                    <w:bottom w:val="none" w:sz="0" w:space="0" w:color="auto"/>
                    <w:right w:val="none" w:sz="0" w:space="0" w:color="auto"/>
                  </w:divBdr>
                  <w:divsChild>
                    <w:div w:id="2023168615">
                      <w:marLeft w:val="0"/>
                      <w:marRight w:val="0"/>
                      <w:marTop w:val="0"/>
                      <w:marBottom w:val="0"/>
                      <w:divBdr>
                        <w:top w:val="none" w:sz="0" w:space="0" w:color="auto"/>
                        <w:left w:val="none" w:sz="0" w:space="0" w:color="auto"/>
                        <w:bottom w:val="none" w:sz="0" w:space="0" w:color="auto"/>
                        <w:right w:val="none" w:sz="0" w:space="0" w:color="auto"/>
                      </w:divBdr>
                      <w:divsChild>
                        <w:div w:id="1537038846">
                          <w:marLeft w:val="0"/>
                          <w:marRight w:val="0"/>
                          <w:marTop w:val="0"/>
                          <w:marBottom w:val="0"/>
                          <w:divBdr>
                            <w:top w:val="none" w:sz="0" w:space="0" w:color="auto"/>
                            <w:left w:val="none" w:sz="0" w:space="0" w:color="auto"/>
                            <w:bottom w:val="none" w:sz="0" w:space="0" w:color="auto"/>
                            <w:right w:val="none" w:sz="0" w:space="0" w:color="auto"/>
                          </w:divBdr>
                          <w:divsChild>
                            <w:div w:id="13731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068131">
      <w:bodyDiv w:val="1"/>
      <w:marLeft w:val="360"/>
      <w:marRight w:val="360"/>
      <w:marTop w:val="0"/>
      <w:marBottom w:val="0"/>
      <w:divBdr>
        <w:top w:val="none" w:sz="0" w:space="0" w:color="auto"/>
        <w:left w:val="none" w:sz="0" w:space="0" w:color="auto"/>
        <w:bottom w:val="none" w:sz="0" w:space="0" w:color="auto"/>
        <w:right w:val="none" w:sz="0" w:space="0" w:color="auto"/>
      </w:divBdr>
      <w:divsChild>
        <w:div w:id="200628851">
          <w:marLeft w:val="0"/>
          <w:marRight w:val="0"/>
          <w:marTop w:val="240"/>
          <w:marBottom w:val="0"/>
          <w:divBdr>
            <w:top w:val="none" w:sz="0" w:space="0" w:color="auto"/>
            <w:left w:val="none" w:sz="0" w:space="0" w:color="auto"/>
            <w:bottom w:val="none" w:sz="0" w:space="0" w:color="auto"/>
            <w:right w:val="none" w:sz="0" w:space="0" w:color="auto"/>
          </w:divBdr>
        </w:div>
        <w:div w:id="434594831">
          <w:marLeft w:val="0"/>
          <w:marRight w:val="0"/>
          <w:marTop w:val="120"/>
          <w:marBottom w:val="0"/>
          <w:divBdr>
            <w:top w:val="none" w:sz="0" w:space="0" w:color="auto"/>
            <w:left w:val="none" w:sz="0" w:space="0" w:color="auto"/>
            <w:bottom w:val="none" w:sz="0" w:space="0" w:color="auto"/>
            <w:right w:val="none" w:sz="0" w:space="0" w:color="auto"/>
          </w:divBdr>
        </w:div>
        <w:div w:id="1210268061">
          <w:marLeft w:val="0"/>
          <w:marRight w:val="0"/>
          <w:marTop w:val="120"/>
          <w:marBottom w:val="0"/>
          <w:divBdr>
            <w:top w:val="none" w:sz="0" w:space="0" w:color="auto"/>
            <w:left w:val="none" w:sz="0" w:space="0" w:color="auto"/>
            <w:bottom w:val="none" w:sz="0" w:space="0" w:color="auto"/>
            <w:right w:val="none" w:sz="0" w:space="0" w:color="auto"/>
          </w:divBdr>
        </w:div>
        <w:div w:id="1150829053">
          <w:marLeft w:val="0"/>
          <w:marRight w:val="0"/>
          <w:marTop w:val="120"/>
          <w:marBottom w:val="0"/>
          <w:divBdr>
            <w:top w:val="none" w:sz="0" w:space="0" w:color="auto"/>
            <w:left w:val="none" w:sz="0" w:space="0" w:color="auto"/>
            <w:bottom w:val="none" w:sz="0" w:space="0" w:color="auto"/>
            <w:right w:val="none" w:sz="0" w:space="0" w:color="auto"/>
          </w:divBdr>
        </w:div>
      </w:divsChild>
    </w:div>
    <w:div w:id="959460289">
      <w:bodyDiv w:val="1"/>
      <w:marLeft w:val="360"/>
      <w:marRight w:val="360"/>
      <w:marTop w:val="0"/>
      <w:marBottom w:val="0"/>
      <w:divBdr>
        <w:top w:val="none" w:sz="0" w:space="0" w:color="auto"/>
        <w:left w:val="none" w:sz="0" w:space="0" w:color="auto"/>
        <w:bottom w:val="none" w:sz="0" w:space="0" w:color="auto"/>
        <w:right w:val="none" w:sz="0" w:space="0" w:color="auto"/>
      </w:divBdr>
      <w:divsChild>
        <w:div w:id="1725105661">
          <w:marLeft w:val="0"/>
          <w:marRight w:val="0"/>
          <w:marTop w:val="240"/>
          <w:marBottom w:val="0"/>
          <w:divBdr>
            <w:top w:val="none" w:sz="0" w:space="0" w:color="auto"/>
            <w:left w:val="none" w:sz="0" w:space="0" w:color="auto"/>
            <w:bottom w:val="none" w:sz="0" w:space="0" w:color="auto"/>
            <w:right w:val="none" w:sz="0" w:space="0" w:color="auto"/>
          </w:divBdr>
        </w:div>
        <w:div w:id="1139420034">
          <w:marLeft w:val="0"/>
          <w:marRight w:val="0"/>
          <w:marTop w:val="120"/>
          <w:marBottom w:val="0"/>
          <w:divBdr>
            <w:top w:val="none" w:sz="0" w:space="0" w:color="auto"/>
            <w:left w:val="none" w:sz="0" w:space="0" w:color="auto"/>
            <w:bottom w:val="none" w:sz="0" w:space="0" w:color="auto"/>
            <w:right w:val="none" w:sz="0" w:space="0" w:color="auto"/>
          </w:divBdr>
        </w:div>
        <w:div w:id="663050204">
          <w:marLeft w:val="0"/>
          <w:marRight w:val="0"/>
          <w:marTop w:val="120"/>
          <w:marBottom w:val="0"/>
          <w:divBdr>
            <w:top w:val="none" w:sz="0" w:space="0" w:color="auto"/>
            <w:left w:val="none" w:sz="0" w:space="0" w:color="auto"/>
            <w:bottom w:val="none" w:sz="0" w:space="0" w:color="auto"/>
            <w:right w:val="none" w:sz="0" w:space="0" w:color="auto"/>
          </w:divBdr>
        </w:div>
        <w:div w:id="1074736860">
          <w:marLeft w:val="0"/>
          <w:marRight w:val="0"/>
          <w:marTop w:val="120"/>
          <w:marBottom w:val="0"/>
          <w:divBdr>
            <w:top w:val="none" w:sz="0" w:space="0" w:color="auto"/>
            <w:left w:val="none" w:sz="0" w:space="0" w:color="auto"/>
            <w:bottom w:val="none" w:sz="0" w:space="0" w:color="auto"/>
            <w:right w:val="none" w:sz="0" w:space="0" w:color="auto"/>
          </w:divBdr>
        </w:div>
      </w:divsChild>
    </w:div>
    <w:div w:id="1000424578">
      <w:bodyDiv w:val="1"/>
      <w:marLeft w:val="0"/>
      <w:marRight w:val="0"/>
      <w:marTop w:val="0"/>
      <w:marBottom w:val="0"/>
      <w:divBdr>
        <w:top w:val="none" w:sz="0" w:space="0" w:color="auto"/>
        <w:left w:val="none" w:sz="0" w:space="0" w:color="auto"/>
        <w:bottom w:val="none" w:sz="0" w:space="0" w:color="auto"/>
        <w:right w:val="none" w:sz="0" w:space="0" w:color="auto"/>
      </w:divBdr>
      <w:divsChild>
        <w:div w:id="1744183308">
          <w:marLeft w:val="0"/>
          <w:marRight w:val="0"/>
          <w:marTop w:val="120"/>
          <w:marBottom w:val="0"/>
          <w:divBdr>
            <w:top w:val="none" w:sz="0" w:space="0" w:color="auto"/>
            <w:left w:val="none" w:sz="0" w:space="0" w:color="auto"/>
            <w:bottom w:val="none" w:sz="0" w:space="0" w:color="auto"/>
            <w:right w:val="none" w:sz="0" w:space="0" w:color="auto"/>
          </w:divBdr>
        </w:div>
        <w:div w:id="2139637633">
          <w:marLeft w:val="0"/>
          <w:marRight w:val="0"/>
          <w:marTop w:val="60"/>
          <w:marBottom w:val="0"/>
          <w:divBdr>
            <w:top w:val="none" w:sz="0" w:space="0" w:color="auto"/>
            <w:left w:val="none" w:sz="0" w:space="0" w:color="auto"/>
            <w:bottom w:val="none" w:sz="0" w:space="0" w:color="auto"/>
            <w:right w:val="none" w:sz="0" w:space="0" w:color="auto"/>
          </w:divBdr>
        </w:div>
      </w:divsChild>
    </w:div>
    <w:div w:id="1174033464">
      <w:bodyDiv w:val="1"/>
      <w:marLeft w:val="0"/>
      <w:marRight w:val="0"/>
      <w:marTop w:val="0"/>
      <w:marBottom w:val="0"/>
      <w:divBdr>
        <w:top w:val="none" w:sz="0" w:space="0" w:color="auto"/>
        <w:left w:val="none" w:sz="0" w:space="0" w:color="auto"/>
        <w:bottom w:val="none" w:sz="0" w:space="0" w:color="auto"/>
        <w:right w:val="none" w:sz="0" w:space="0" w:color="auto"/>
      </w:divBdr>
      <w:divsChild>
        <w:div w:id="1270428284">
          <w:marLeft w:val="2"/>
          <w:marRight w:val="0"/>
          <w:marTop w:val="0"/>
          <w:marBottom w:val="0"/>
          <w:divBdr>
            <w:top w:val="none" w:sz="0" w:space="0" w:color="auto"/>
            <w:left w:val="none" w:sz="0" w:space="0" w:color="auto"/>
            <w:bottom w:val="none" w:sz="0" w:space="0" w:color="auto"/>
            <w:right w:val="none" w:sz="0" w:space="0" w:color="auto"/>
          </w:divBdr>
          <w:divsChild>
            <w:div w:id="1012951620">
              <w:marLeft w:val="0"/>
              <w:marRight w:val="0"/>
              <w:marTop w:val="0"/>
              <w:marBottom w:val="0"/>
              <w:divBdr>
                <w:top w:val="none" w:sz="0" w:space="0" w:color="auto"/>
                <w:left w:val="none" w:sz="0" w:space="0" w:color="auto"/>
                <w:bottom w:val="none" w:sz="0" w:space="0" w:color="auto"/>
                <w:right w:val="none" w:sz="0" w:space="0" w:color="auto"/>
              </w:divBdr>
              <w:divsChild>
                <w:div w:id="1470636009">
                  <w:marLeft w:val="0"/>
                  <w:marRight w:val="0"/>
                  <w:marTop w:val="0"/>
                  <w:marBottom w:val="0"/>
                  <w:divBdr>
                    <w:top w:val="none" w:sz="0" w:space="0" w:color="auto"/>
                    <w:left w:val="none" w:sz="0" w:space="0" w:color="auto"/>
                    <w:bottom w:val="none" w:sz="0" w:space="0" w:color="auto"/>
                    <w:right w:val="none" w:sz="0" w:space="0" w:color="auto"/>
                  </w:divBdr>
                  <w:divsChild>
                    <w:div w:id="658922575">
                      <w:marLeft w:val="0"/>
                      <w:marRight w:val="0"/>
                      <w:marTop w:val="0"/>
                      <w:marBottom w:val="0"/>
                      <w:divBdr>
                        <w:top w:val="none" w:sz="0" w:space="0" w:color="auto"/>
                        <w:left w:val="none" w:sz="0" w:space="0" w:color="auto"/>
                        <w:bottom w:val="none" w:sz="0" w:space="0" w:color="auto"/>
                        <w:right w:val="none" w:sz="0" w:space="0" w:color="auto"/>
                      </w:divBdr>
                      <w:divsChild>
                        <w:div w:id="509686919">
                          <w:marLeft w:val="0"/>
                          <w:marRight w:val="0"/>
                          <w:marTop w:val="0"/>
                          <w:marBottom w:val="0"/>
                          <w:divBdr>
                            <w:top w:val="none" w:sz="0" w:space="0" w:color="auto"/>
                            <w:left w:val="none" w:sz="0" w:space="0" w:color="auto"/>
                            <w:bottom w:val="none" w:sz="0" w:space="0" w:color="auto"/>
                            <w:right w:val="none" w:sz="0" w:space="0" w:color="auto"/>
                          </w:divBdr>
                          <w:divsChild>
                            <w:div w:id="839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132349">
      <w:bodyDiv w:val="1"/>
      <w:marLeft w:val="0"/>
      <w:marRight w:val="0"/>
      <w:marTop w:val="0"/>
      <w:marBottom w:val="0"/>
      <w:divBdr>
        <w:top w:val="none" w:sz="0" w:space="0" w:color="auto"/>
        <w:left w:val="none" w:sz="0" w:space="0" w:color="auto"/>
        <w:bottom w:val="none" w:sz="0" w:space="0" w:color="auto"/>
        <w:right w:val="none" w:sz="0" w:space="0" w:color="auto"/>
      </w:divBdr>
    </w:div>
    <w:div w:id="2132086806">
      <w:bodyDiv w:val="1"/>
      <w:marLeft w:val="360"/>
      <w:marRight w:val="360"/>
      <w:marTop w:val="0"/>
      <w:marBottom w:val="0"/>
      <w:divBdr>
        <w:top w:val="none" w:sz="0" w:space="0" w:color="auto"/>
        <w:left w:val="none" w:sz="0" w:space="0" w:color="auto"/>
        <w:bottom w:val="none" w:sz="0" w:space="0" w:color="auto"/>
        <w:right w:val="none" w:sz="0" w:space="0" w:color="auto"/>
      </w:divBdr>
      <w:divsChild>
        <w:div w:id="1670861259">
          <w:marLeft w:val="0"/>
          <w:marRight w:val="0"/>
          <w:marTop w:val="240"/>
          <w:marBottom w:val="0"/>
          <w:divBdr>
            <w:top w:val="none" w:sz="0" w:space="0" w:color="auto"/>
            <w:left w:val="none" w:sz="0" w:space="0" w:color="auto"/>
            <w:bottom w:val="none" w:sz="0" w:space="0" w:color="auto"/>
            <w:right w:val="none" w:sz="0" w:space="0" w:color="auto"/>
          </w:divBdr>
        </w:div>
        <w:div w:id="1735809596">
          <w:marLeft w:val="0"/>
          <w:marRight w:val="0"/>
          <w:marTop w:val="120"/>
          <w:marBottom w:val="0"/>
          <w:divBdr>
            <w:top w:val="none" w:sz="0" w:space="0" w:color="auto"/>
            <w:left w:val="none" w:sz="0" w:space="0" w:color="auto"/>
            <w:bottom w:val="none" w:sz="0" w:space="0" w:color="auto"/>
            <w:right w:val="none" w:sz="0" w:space="0" w:color="auto"/>
          </w:divBdr>
        </w:div>
        <w:div w:id="1578860346">
          <w:marLeft w:val="567"/>
          <w:marRight w:val="567"/>
          <w:marTop w:val="20"/>
          <w:marBottom w:val="20"/>
          <w:divBdr>
            <w:top w:val="none" w:sz="0" w:space="0" w:color="auto"/>
            <w:left w:val="none" w:sz="0" w:space="0" w:color="auto"/>
            <w:bottom w:val="none" w:sz="0" w:space="0" w:color="auto"/>
            <w:right w:val="none" w:sz="0" w:space="0" w:color="auto"/>
          </w:divBdr>
        </w:div>
        <w:div w:id="241187137">
          <w:marLeft w:val="0"/>
          <w:marRight w:val="0"/>
          <w:marTop w:val="120"/>
          <w:marBottom w:val="0"/>
          <w:divBdr>
            <w:top w:val="none" w:sz="0" w:space="0" w:color="auto"/>
            <w:left w:val="none" w:sz="0" w:space="0" w:color="auto"/>
            <w:bottom w:val="none" w:sz="0" w:space="0" w:color="auto"/>
            <w:right w:val="none" w:sz="0" w:space="0" w:color="auto"/>
          </w:divBdr>
        </w:div>
      </w:divsChild>
    </w:div>
    <w:div w:id="214226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num_act/claa19972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flii.org/za/legis/num_act/claa1997205/index.html" TargetMode="External"/><Relationship Id="rId4" Type="http://schemas.openxmlformats.org/officeDocument/2006/relationships/settings" Target="settings.xml"/><Relationship Id="rId9" Type="http://schemas.openxmlformats.org/officeDocument/2006/relationships/hyperlink" Target="http://www.westlaw.com/Link/Document/FullText?findType=h&amp;pubNum=176284&amp;cite=0136194301&amp;originatingDoc=Ice4c9f52a49311df952a80d2993fba83&amp;refType=RQ&amp;originationContext=document&amp;vr=3.0&amp;rs=cblt1.0&amp;transitionType=DocumentItem&amp;contextData=(sc.Search)"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LJC_a51y1977s164'%5d&amp;xhitlist_md=target-id=0-0-0-194155" TargetMode="External"/><Relationship Id="rId2"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LJC_a51y1977s162(1)'%5d&amp;xhitlist_md=target-id=0-0-0-194127"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LJC_a51y1977s162'%5d&amp;xhitlist_md=target-id=0-0-0-194123" TargetMode="External"/><Relationship Id="rId6" Type="http://schemas.openxmlformats.org/officeDocument/2006/relationships/hyperlink" Target="http://www.westlaw.com/Link/Document/FullText?findType=L&amp;pubNum=1000042&amp;cite=MAST93S103&amp;originatingDoc=Ice4c9f52a49311df952a80d2993fba83&amp;refType=LQ&amp;originationContext=document&amp;vr=3.0&amp;rs=cblt1.0&amp;transitionType=DocumentItem&amp;contextData=(sc.Search)" TargetMode="External"/><Relationship Id="rId5" Type="http://schemas.openxmlformats.org/officeDocument/2006/relationships/hyperlink" Target="http://www.westlaw.com/Link/Document/FullText?findType=Y&amp;serNum=2004477048&amp;pubNum=708&amp;originatingDoc=Ice4c9f52a49311df952a80d2993fba83&amp;refType=RP&amp;originationContext=document&amp;vr=3.0&amp;rs=cblt1.0&amp;transitionType=DocumentItem&amp;contextData=(sc.Search)" TargetMode="External"/><Relationship Id="rId4"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LJC_a51y1977s164(1)'%5d&amp;xhitlist_md=target-id=0-0-0-194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60A84-41F5-44A6-AC12-34278CF0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8294</Words>
  <Characters>47282</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Matjele Lincoln</dc:creator>
  <cp:keywords/>
  <dc:description/>
  <cp:lastModifiedBy>Lazarus Rakgwale</cp:lastModifiedBy>
  <cp:revision>2</cp:revision>
  <dcterms:created xsi:type="dcterms:W3CDTF">2022-05-12T09:32:00Z</dcterms:created>
  <dcterms:modified xsi:type="dcterms:W3CDTF">2022-05-12T09:32:00Z</dcterms:modified>
</cp:coreProperties>
</file>