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595" w:rsidRPr="00D94F89" w:rsidRDefault="00654595" w:rsidP="00654595">
      <w:pPr>
        <w:spacing w:line="360" w:lineRule="auto"/>
        <w:jc w:val="center"/>
        <w:rPr>
          <w:rFonts w:ascii="Tahoma" w:eastAsia="Calibri" w:hAnsi="Tahoma" w:cs="Tahoma"/>
          <w:b/>
          <w:bCs/>
          <w:sz w:val="24"/>
          <w:szCs w:val="24"/>
        </w:rPr>
      </w:pPr>
      <w:r w:rsidRPr="00D94F89">
        <w:rPr>
          <w:rFonts w:ascii="Times New Roman" w:eastAsia="Times New Roman" w:hAnsi="Times New Roman" w:cs="Times New Roman"/>
          <w:b/>
          <w:bCs/>
          <w:noProof/>
          <w:kern w:val="36"/>
          <w:sz w:val="24"/>
          <w:szCs w:val="24"/>
          <w:lang w:eastAsia="en-ZA"/>
        </w:rPr>
        <w:drawing>
          <wp:inline distT="0" distB="0" distL="0" distR="0" wp14:anchorId="38AE8046" wp14:editId="197BD9F8">
            <wp:extent cx="143827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654595" w:rsidRPr="00D94F89" w:rsidRDefault="00654595" w:rsidP="00654595">
      <w:pPr>
        <w:spacing w:line="360" w:lineRule="auto"/>
        <w:jc w:val="center"/>
        <w:rPr>
          <w:rFonts w:ascii="Tahoma" w:eastAsia="Calibri" w:hAnsi="Tahoma" w:cs="Tahoma"/>
          <w:b/>
          <w:bCs/>
          <w:sz w:val="24"/>
          <w:szCs w:val="24"/>
        </w:rPr>
      </w:pPr>
      <w:r w:rsidRPr="00D94F89">
        <w:rPr>
          <w:rFonts w:ascii="Tahoma" w:eastAsia="Calibri" w:hAnsi="Tahoma" w:cs="Tahoma"/>
          <w:b/>
          <w:bCs/>
          <w:sz w:val="24"/>
          <w:szCs w:val="24"/>
        </w:rPr>
        <w:t>IN THE HIGH COURT OF SOUTH AFRICA</w:t>
      </w:r>
    </w:p>
    <w:p w:rsidR="00654595" w:rsidRPr="00D94F89" w:rsidRDefault="00654595" w:rsidP="00654595">
      <w:pPr>
        <w:spacing w:line="360" w:lineRule="auto"/>
        <w:jc w:val="center"/>
        <w:rPr>
          <w:rFonts w:ascii="Tahoma" w:eastAsia="Calibri" w:hAnsi="Tahoma" w:cs="Tahoma"/>
          <w:b/>
          <w:bCs/>
          <w:sz w:val="24"/>
          <w:szCs w:val="24"/>
        </w:rPr>
      </w:pPr>
      <w:r w:rsidRPr="00D94F89">
        <w:rPr>
          <w:rFonts w:ascii="Tahoma" w:eastAsia="Calibri" w:hAnsi="Tahoma" w:cs="Tahoma"/>
          <w:b/>
          <w:bCs/>
          <w:sz w:val="24"/>
          <w:szCs w:val="24"/>
        </w:rPr>
        <w:t>(GAUTENG LOCAL DIVISION, JOHANNESBURG)</w:t>
      </w:r>
    </w:p>
    <w:p w:rsidR="00654595" w:rsidRPr="00D94F89" w:rsidRDefault="00654595" w:rsidP="00654595">
      <w:pPr>
        <w:spacing w:line="360" w:lineRule="auto"/>
        <w:jc w:val="both"/>
        <w:rPr>
          <w:rFonts w:ascii="Tahoma" w:eastAsia="Calibri" w:hAnsi="Tahoma" w:cs="Tahoma"/>
          <w:b/>
          <w:bCs/>
          <w:sz w:val="24"/>
          <w:szCs w:val="24"/>
        </w:rPr>
      </w:pPr>
      <w:r w:rsidRPr="00D94F89">
        <w:rPr>
          <w:rFonts w:ascii="Tahoma" w:eastAsia="Calibri" w:hAnsi="Tahoma" w:cs="Tahoma"/>
          <w:b/>
          <w:bCs/>
          <w:sz w:val="24"/>
          <w:szCs w:val="24"/>
        </w:rPr>
        <w:tab/>
      </w:r>
      <w:r w:rsidRPr="00D94F89">
        <w:rPr>
          <w:rFonts w:ascii="Tahoma" w:eastAsia="Calibri" w:hAnsi="Tahoma" w:cs="Tahoma"/>
          <w:b/>
          <w:bCs/>
          <w:sz w:val="24"/>
          <w:szCs w:val="24"/>
        </w:rPr>
        <w:tab/>
      </w:r>
      <w:r w:rsidRPr="00D94F89">
        <w:rPr>
          <w:rFonts w:ascii="Tahoma" w:eastAsia="Calibri" w:hAnsi="Tahoma" w:cs="Tahoma"/>
          <w:b/>
          <w:bCs/>
          <w:sz w:val="24"/>
          <w:szCs w:val="24"/>
        </w:rPr>
        <w:tab/>
      </w:r>
      <w:r w:rsidRPr="00D94F89">
        <w:rPr>
          <w:rFonts w:ascii="Tahoma" w:eastAsia="Calibri" w:hAnsi="Tahoma" w:cs="Tahoma"/>
          <w:b/>
          <w:bCs/>
          <w:sz w:val="24"/>
          <w:szCs w:val="24"/>
        </w:rPr>
        <w:tab/>
      </w:r>
      <w:r w:rsidRPr="00D94F89">
        <w:rPr>
          <w:rFonts w:ascii="Tahoma" w:eastAsia="Calibri" w:hAnsi="Tahoma" w:cs="Tahoma"/>
          <w:b/>
          <w:bCs/>
          <w:sz w:val="24"/>
          <w:szCs w:val="24"/>
        </w:rPr>
        <w:tab/>
      </w:r>
      <w:r w:rsidRPr="00D94F89">
        <w:rPr>
          <w:rFonts w:ascii="Tahoma" w:eastAsia="Calibri" w:hAnsi="Tahoma" w:cs="Tahoma"/>
          <w:b/>
          <w:bCs/>
          <w:sz w:val="24"/>
          <w:szCs w:val="24"/>
        </w:rPr>
        <w:tab/>
      </w:r>
      <w:r w:rsidRPr="00D94F89">
        <w:rPr>
          <w:rFonts w:ascii="Tahoma" w:eastAsia="Calibri" w:hAnsi="Tahoma" w:cs="Tahoma"/>
          <w:b/>
          <w:bCs/>
          <w:sz w:val="24"/>
          <w:szCs w:val="24"/>
        </w:rPr>
        <w:tab/>
      </w:r>
      <w:r w:rsidRPr="00D94F89">
        <w:rPr>
          <w:rFonts w:ascii="Tahoma" w:eastAsia="Calibri" w:hAnsi="Tahoma" w:cs="Tahoma"/>
          <w:b/>
          <w:bCs/>
          <w:sz w:val="24"/>
          <w:szCs w:val="24"/>
        </w:rPr>
        <w:tab/>
        <w:t xml:space="preserve">  CASE NO: </w:t>
      </w:r>
      <w:r>
        <w:rPr>
          <w:rFonts w:ascii="Tahoma" w:eastAsia="Calibri" w:hAnsi="Tahoma" w:cs="Tahoma"/>
          <w:b/>
          <w:bCs/>
          <w:sz w:val="24"/>
          <w:szCs w:val="24"/>
        </w:rPr>
        <w:t>22/6726</w:t>
      </w:r>
    </w:p>
    <w:tbl>
      <w:tblPr>
        <w:tblStyle w:val="TableGrid"/>
        <w:tblW w:w="0" w:type="auto"/>
        <w:tblLook w:val="04A0" w:firstRow="1" w:lastRow="0" w:firstColumn="1" w:lastColumn="0" w:noHBand="0" w:noVBand="1"/>
      </w:tblPr>
      <w:tblGrid>
        <w:gridCol w:w="4283"/>
      </w:tblGrid>
      <w:tr w:rsidR="00654595" w:rsidRPr="00F006D9" w:rsidTr="001617D7">
        <w:trPr>
          <w:trHeight w:val="1684"/>
        </w:trPr>
        <w:tc>
          <w:tcPr>
            <w:tcW w:w="4283" w:type="dxa"/>
          </w:tcPr>
          <w:p w:rsidR="00654595" w:rsidRPr="00F006D9" w:rsidRDefault="00654595" w:rsidP="00654595">
            <w:pPr>
              <w:numPr>
                <w:ilvl w:val="0"/>
                <w:numId w:val="9"/>
              </w:numPr>
              <w:ind w:left="0" w:right="-2340" w:firstLine="0"/>
              <w:rPr>
                <w:rFonts w:ascii="Arial" w:hAnsi="Arial" w:cs="Arial"/>
                <w:sz w:val="16"/>
                <w:szCs w:val="16"/>
              </w:rPr>
            </w:pPr>
            <w:r w:rsidRPr="00F006D9">
              <w:rPr>
                <w:rFonts w:ascii="Arial" w:hAnsi="Arial" w:cs="Arial"/>
                <w:sz w:val="16"/>
                <w:szCs w:val="16"/>
              </w:rPr>
              <w:t xml:space="preserve">REPORTABLE: </w:t>
            </w:r>
            <w:r>
              <w:rPr>
                <w:rFonts w:ascii="Arial" w:hAnsi="Arial" w:cs="Arial"/>
                <w:sz w:val="16"/>
                <w:szCs w:val="16"/>
              </w:rPr>
              <w:t>Not/</w:t>
            </w:r>
          </w:p>
          <w:p w:rsidR="00654595" w:rsidRPr="00F006D9" w:rsidRDefault="00654595" w:rsidP="00654595">
            <w:pPr>
              <w:numPr>
                <w:ilvl w:val="0"/>
                <w:numId w:val="9"/>
              </w:numPr>
              <w:ind w:left="0" w:right="-2340" w:firstLine="0"/>
              <w:rPr>
                <w:rFonts w:ascii="Arial" w:hAnsi="Arial" w:cs="Arial"/>
                <w:sz w:val="16"/>
                <w:szCs w:val="16"/>
              </w:rPr>
            </w:pPr>
            <w:r w:rsidRPr="00F006D9">
              <w:rPr>
                <w:rFonts w:ascii="Arial" w:hAnsi="Arial" w:cs="Arial"/>
                <w:sz w:val="16"/>
                <w:szCs w:val="16"/>
              </w:rPr>
              <w:t xml:space="preserve">OF INTEREST TO OTHER JUDGES: </w:t>
            </w:r>
            <w:r>
              <w:rPr>
                <w:rFonts w:ascii="Arial" w:hAnsi="Arial" w:cs="Arial"/>
                <w:sz w:val="16"/>
                <w:szCs w:val="16"/>
              </w:rPr>
              <w:t>Not/</w:t>
            </w:r>
          </w:p>
          <w:p w:rsidR="00654595" w:rsidRPr="00F006D9" w:rsidRDefault="00654595" w:rsidP="00654595">
            <w:pPr>
              <w:numPr>
                <w:ilvl w:val="0"/>
                <w:numId w:val="9"/>
              </w:numPr>
              <w:ind w:left="0" w:right="-2340" w:firstLine="0"/>
              <w:rPr>
                <w:rFonts w:ascii="Arial" w:hAnsi="Arial" w:cs="Arial"/>
                <w:sz w:val="16"/>
                <w:szCs w:val="16"/>
              </w:rPr>
            </w:pPr>
            <w:r w:rsidRPr="00F006D9">
              <w:rPr>
                <w:rFonts w:ascii="Arial" w:hAnsi="Arial" w:cs="Arial"/>
                <w:sz w:val="16"/>
                <w:szCs w:val="16"/>
              </w:rPr>
              <w:t xml:space="preserve">REVISED. </w:t>
            </w:r>
          </w:p>
          <w:p w:rsidR="00654595" w:rsidRPr="00F006D9" w:rsidRDefault="00654595" w:rsidP="001617D7">
            <w:pPr>
              <w:ind w:right="-2340"/>
              <w:rPr>
                <w:rFonts w:ascii="Arial" w:hAnsi="Arial" w:cs="Arial"/>
                <w:sz w:val="16"/>
                <w:szCs w:val="16"/>
              </w:rPr>
            </w:pPr>
          </w:p>
          <w:p w:rsidR="00654595" w:rsidRPr="00F006D9" w:rsidRDefault="00654595" w:rsidP="001617D7">
            <w:pPr>
              <w:spacing w:line="480" w:lineRule="auto"/>
              <w:rPr>
                <w:rFonts w:ascii="Arial" w:hAnsi="Arial" w:cs="Arial"/>
                <w:sz w:val="16"/>
                <w:szCs w:val="16"/>
              </w:rPr>
            </w:pPr>
            <w:r w:rsidRPr="00F006D9">
              <w:rPr>
                <w:rFonts w:ascii="Arial" w:hAnsi="Arial" w:cs="Arial"/>
                <w:sz w:val="16"/>
                <w:szCs w:val="16"/>
              </w:rPr>
              <w:t xml:space="preserve">    </w:t>
            </w:r>
            <w:r w:rsidR="00201434">
              <w:rPr>
                <w:rFonts w:ascii="Arial" w:hAnsi="Arial" w:cs="Arial"/>
                <w:sz w:val="16"/>
                <w:szCs w:val="16"/>
              </w:rPr>
              <w:t xml:space="preserve">28 </w:t>
            </w:r>
            <w:r w:rsidRPr="00F006D9">
              <w:rPr>
                <w:rFonts w:ascii="Arial" w:hAnsi="Arial" w:cs="Arial"/>
                <w:sz w:val="16"/>
                <w:szCs w:val="16"/>
              </w:rPr>
              <w:t xml:space="preserve"> </w:t>
            </w:r>
            <w:r>
              <w:rPr>
                <w:rFonts w:ascii="Arial" w:hAnsi="Arial" w:cs="Arial"/>
                <w:sz w:val="16"/>
                <w:szCs w:val="16"/>
                <w:u w:val="single"/>
              </w:rPr>
              <w:t>APRIL 2022</w:t>
            </w:r>
            <w:r w:rsidRPr="00F006D9">
              <w:rPr>
                <w:rFonts w:ascii="Arial" w:hAnsi="Arial" w:cs="Arial"/>
                <w:sz w:val="16"/>
                <w:szCs w:val="16"/>
              </w:rPr>
              <w:t xml:space="preserve">                     </w:t>
            </w:r>
          </w:p>
          <w:p w:rsidR="00654595" w:rsidRPr="00F006D9" w:rsidRDefault="00654595" w:rsidP="001617D7">
            <w:pPr>
              <w:spacing w:line="360" w:lineRule="auto"/>
              <w:jc w:val="both"/>
              <w:rPr>
                <w:rFonts w:ascii="Tahoma" w:eastAsia="Calibri" w:hAnsi="Tahoma" w:cs="Tahoma"/>
                <w:b/>
                <w:bCs/>
                <w:sz w:val="16"/>
                <w:szCs w:val="16"/>
              </w:rPr>
            </w:pPr>
            <w:r w:rsidRPr="00F006D9">
              <w:rPr>
                <w:rFonts w:ascii="Arial" w:hAnsi="Arial" w:cs="Arial"/>
                <w:sz w:val="16"/>
                <w:szCs w:val="16"/>
              </w:rPr>
              <w:t>Date                                                  signature</w:t>
            </w:r>
          </w:p>
        </w:tc>
      </w:tr>
    </w:tbl>
    <w:p w:rsidR="00FF04C5" w:rsidRDefault="00654595" w:rsidP="00160EA4">
      <w:pPr>
        <w:spacing w:after="0" w:line="480" w:lineRule="auto"/>
        <w:ind w:left="1134" w:hanging="851"/>
        <w:rPr>
          <w:rFonts w:ascii="Tahoma" w:eastAsia="Calibri" w:hAnsi="Tahoma" w:cs="Tahoma"/>
          <w:sz w:val="24"/>
          <w:szCs w:val="24"/>
        </w:rPr>
      </w:pPr>
      <w:r w:rsidRPr="00D94F89">
        <w:rPr>
          <w:rFonts w:ascii="Tahoma" w:eastAsia="Calibri" w:hAnsi="Tahoma" w:cs="Tahoma"/>
          <w:sz w:val="24"/>
          <w:szCs w:val="24"/>
        </w:rPr>
        <w:t>In the matter between:</w:t>
      </w:r>
    </w:p>
    <w:p w:rsidR="007553F3" w:rsidRPr="007553F3" w:rsidRDefault="007553F3" w:rsidP="00160EA4">
      <w:pPr>
        <w:spacing w:after="0" w:line="480" w:lineRule="auto"/>
        <w:ind w:left="1134" w:hanging="851"/>
        <w:rPr>
          <w:rFonts w:ascii="Tahoma" w:eastAsia="Calibri" w:hAnsi="Tahoma" w:cs="Tahoma"/>
          <w:b/>
          <w:sz w:val="24"/>
          <w:szCs w:val="24"/>
        </w:rPr>
      </w:pPr>
      <w:r w:rsidRPr="007553F3">
        <w:rPr>
          <w:rFonts w:ascii="Tahoma" w:eastAsia="Calibri" w:hAnsi="Tahoma" w:cs="Tahoma"/>
          <w:b/>
          <w:sz w:val="24"/>
          <w:szCs w:val="24"/>
        </w:rPr>
        <w:t>GAUTENG BIXING PROMOTORS ASSOCIATI</w:t>
      </w:r>
      <w:r>
        <w:rPr>
          <w:rFonts w:ascii="Tahoma" w:eastAsia="Calibri" w:hAnsi="Tahoma" w:cs="Tahoma"/>
          <w:b/>
          <w:sz w:val="24"/>
          <w:szCs w:val="24"/>
        </w:rPr>
        <w:t xml:space="preserve">ON </w:t>
      </w:r>
      <w:r>
        <w:rPr>
          <w:rFonts w:ascii="Tahoma" w:eastAsia="Calibri" w:hAnsi="Tahoma" w:cs="Tahoma"/>
          <w:b/>
          <w:sz w:val="24"/>
          <w:szCs w:val="24"/>
        </w:rPr>
        <w:tab/>
      </w:r>
      <w:r w:rsidRPr="007553F3">
        <w:rPr>
          <w:rFonts w:ascii="Tahoma" w:eastAsia="Calibri" w:hAnsi="Tahoma" w:cs="Tahoma"/>
          <w:b/>
          <w:sz w:val="24"/>
          <w:szCs w:val="24"/>
        </w:rPr>
        <w:t xml:space="preserve">First Applicant </w:t>
      </w:r>
    </w:p>
    <w:p w:rsidR="007553F3" w:rsidRPr="007553F3" w:rsidRDefault="007553F3" w:rsidP="00160EA4">
      <w:pPr>
        <w:spacing w:after="0" w:line="480" w:lineRule="auto"/>
        <w:ind w:left="1134" w:hanging="851"/>
        <w:rPr>
          <w:rFonts w:ascii="Tahoma" w:eastAsia="Calibri" w:hAnsi="Tahoma" w:cs="Tahoma"/>
          <w:b/>
          <w:sz w:val="24"/>
          <w:szCs w:val="24"/>
        </w:rPr>
      </w:pPr>
      <w:r>
        <w:rPr>
          <w:rFonts w:ascii="Tahoma" w:eastAsia="Calibri" w:hAnsi="Tahoma" w:cs="Tahoma"/>
          <w:b/>
          <w:sz w:val="24"/>
          <w:szCs w:val="24"/>
        </w:rPr>
        <w:t xml:space="preserve">TSHEE KOMETSI </w:t>
      </w:r>
      <w:r>
        <w:rPr>
          <w:rFonts w:ascii="Tahoma" w:eastAsia="Calibri" w:hAnsi="Tahoma" w:cs="Tahoma"/>
          <w:b/>
          <w:sz w:val="24"/>
          <w:szCs w:val="24"/>
        </w:rPr>
        <w:tab/>
      </w:r>
      <w:r>
        <w:rPr>
          <w:rFonts w:ascii="Tahoma" w:eastAsia="Calibri" w:hAnsi="Tahoma" w:cs="Tahoma"/>
          <w:b/>
          <w:sz w:val="24"/>
          <w:szCs w:val="24"/>
        </w:rPr>
        <w:tab/>
      </w:r>
      <w:r>
        <w:rPr>
          <w:rFonts w:ascii="Tahoma" w:eastAsia="Calibri" w:hAnsi="Tahoma" w:cs="Tahoma"/>
          <w:b/>
          <w:sz w:val="24"/>
          <w:szCs w:val="24"/>
        </w:rPr>
        <w:tab/>
      </w:r>
      <w:r>
        <w:rPr>
          <w:rFonts w:ascii="Tahoma" w:eastAsia="Calibri" w:hAnsi="Tahoma" w:cs="Tahoma"/>
          <w:b/>
          <w:sz w:val="24"/>
          <w:szCs w:val="24"/>
        </w:rPr>
        <w:tab/>
      </w:r>
      <w:r>
        <w:rPr>
          <w:rFonts w:ascii="Tahoma" w:eastAsia="Calibri" w:hAnsi="Tahoma" w:cs="Tahoma"/>
          <w:b/>
          <w:sz w:val="24"/>
          <w:szCs w:val="24"/>
        </w:rPr>
        <w:tab/>
      </w:r>
      <w:r>
        <w:rPr>
          <w:rFonts w:ascii="Tahoma" w:eastAsia="Calibri" w:hAnsi="Tahoma" w:cs="Tahoma"/>
          <w:b/>
          <w:sz w:val="24"/>
          <w:szCs w:val="24"/>
        </w:rPr>
        <w:tab/>
      </w:r>
      <w:r w:rsidRPr="007553F3">
        <w:rPr>
          <w:rFonts w:ascii="Tahoma" w:eastAsia="Calibri" w:hAnsi="Tahoma" w:cs="Tahoma"/>
          <w:b/>
          <w:sz w:val="24"/>
          <w:szCs w:val="24"/>
        </w:rPr>
        <w:t xml:space="preserve">Second Applicant </w:t>
      </w:r>
    </w:p>
    <w:p w:rsidR="007553F3" w:rsidRPr="007553F3" w:rsidRDefault="007553F3" w:rsidP="00160EA4">
      <w:pPr>
        <w:spacing w:after="0" w:line="480" w:lineRule="auto"/>
        <w:ind w:left="1134" w:hanging="851"/>
        <w:rPr>
          <w:rFonts w:ascii="Tahoma" w:eastAsia="Calibri" w:hAnsi="Tahoma" w:cs="Tahoma"/>
          <w:b/>
          <w:sz w:val="24"/>
          <w:szCs w:val="24"/>
        </w:rPr>
      </w:pPr>
      <w:r w:rsidRPr="007553F3">
        <w:rPr>
          <w:rFonts w:ascii="Tahoma" w:eastAsia="Calibri" w:hAnsi="Tahoma" w:cs="Tahoma"/>
          <w:b/>
          <w:sz w:val="24"/>
          <w:szCs w:val="24"/>
        </w:rPr>
        <w:t xml:space="preserve">And </w:t>
      </w:r>
    </w:p>
    <w:p w:rsidR="007553F3" w:rsidRDefault="007553F3" w:rsidP="00160EA4">
      <w:pPr>
        <w:spacing w:after="0" w:line="480" w:lineRule="auto"/>
        <w:ind w:left="1134" w:hanging="851"/>
        <w:rPr>
          <w:rFonts w:ascii="Tahoma" w:eastAsia="Calibri" w:hAnsi="Tahoma" w:cs="Tahoma"/>
          <w:b/>
          <w:sz w:val="24"/>
          <w:szCs w:val="24"/>
        </w:rPr>
      </w:pPr>
      <w:r>
        <w:rPr>
          <w:rFonts w:ascii="Tahoma" w:eastAsia="Calibri" w:hAnsi="Tahoma" w:cs="Tahoma"/>
          <w:b/>
          <w:sz w:val="24"/>
          <w:szCs w:val="24"/>
        </w:rPr>
        <w:t xml:space="preserve">BRIAN WYSOKE </w:t>
      </w:r>
      <w:r>
        <w:rPr>
          <w:rFonts w:ascii="Tahoma" w:eastAsia="Calibri" w:hAnsi="Tahoma" w:cs="Tahoma"/>
          <w:b/>
          <w:sz w:val="24"/>
          <w:szCs w:val="24"/>
        </w:rPr>
        <w:tab/>
      </w:r>
      <w:r>
        <w:rPr>
          <w:rFonts w:ascii="Tahoma" w:eastAsia="Calibri" w:hAnsi="Tahoma" w:cs="Tahoma"/>
          <w:b/>
          <w:sz w:val="24"/>
          <w:szCs w:val="24"/>
        </w:rPr>
        <w:tab/>
      </w:r>
      <w:r>
        <w:rPr>
          <w:rFonts w:ascii="Tahoma" w:eastAsia="Calibri" w:hAnsi="Tahoma" w:cs="Tahoma"/>
          <w:b/>
          <w:sz w:val="24"/>
          <w:szCs w:val="24"/>
        </w:rPr>
        <w:tab/>
      </w:r>
      <w:r>
        <w:rPr>
          <w:rFonts w:ascii="Tahoma" w:eastAsia="Calibri" w:hAnsi="Tahoma" w:cs="Tahoma"/>
          <w:b/>
          <w:sz w:val="24"/>
          <w:szCs w:val="24"/>
        </w:rPr>
        <w:tab/>
      </w:r>
      <w:r>
        <w:rPr>
          <w:rFonts w:ascii="Tahoma" w:eastAsia="Calibri" w:hAnsi="Tahoma" w:cs="Tahoma"/>
          <w:b/>
          <w:sz w:val="24"/>
          <w:szCs w:val="24"/>
        </w:rPr>
        <w:tab/>
      </w:r>
      <w:r>
        <w:rPr>
          <w:rFonts w:ascii="Tahoma" w:eastAsia="Calibri" w:hAnsi="Tahoma" w:cs="Tahoma"/>
          <w:b/>
          <w:sz w:val="24"/>
          <w:szCs w:val="24"/>
        </w:rPr>
        <w:tab/>
      </w:r>
      <w:r w:rsidRPr="007553F3">
        <w:rPr>
          <w:rFonts w:ascii="Tahoma" w:eastAsia="Calibri" w:hAnsi="Tahoma" w:cs="Tahoma"/>
          <w:b/>
          <w:sz w:val="24"/>
          <w:szCs w:val="24"/>
        </w:rPr>
        <w:t xml:space="preserve">Respondent </w:t>
      </w:r>
    </w:p>
    <w:p w:rsidR="00201434" w:rsidRPr="00201434" w:rsidRDefault="00201434" w:rsidP="00201434">
      <w:pPr>
        <w:pStyle w:val="NormalWeb"/>
        <w:spacing w:before="0" w:beforeAutospacing="0" w:after="0" w:afterAutospacing="0" w:line="480" w:lineRule="auto"/>
        <w:ind w:left="283"/>
        <w:jc w:val="both"/>
        <w:rPr>
          <w:rFonts w:ascii="Arial" w:hAnsi="Arial" w:cs="Arial"/>
          <w:color w:val="0E101A"/>
        </w:rPr>
      </w:pPr>
      <w:r w:rsidRPr="00201434">
        <w:rPr>
          <w:rFonts w:ascii="Arial" w:hAnsi="Arial" w:cs="Arial"/>
          <w:color w:val="0E101A"/>
        </w:rPr>
        <w:t>Transmitted by email to the parties’ legal representatives. The judgment is deemed to have been delivered on 28 April 2022</w:t>
      </w:r>
    </w:p>
    <w:p w:rsidR="007553F3" w:rsidRDefault="007553F3" w:rsidP="00160EA4">
      <w:pPr>
        <w:spacing w:after="0" w:line="480" w:lineRule="auto"/>
        <w:ind w:left="1134" w:hanging="851"/>
        <w:rPr>
          <w:rFonts w:ascii="Tahoma" w:eastAsia="Calibri" w:hAnsi="Tahoma" w:cs="Tahoma"/>
          <w:b/>
          <w:sz w:val="24"/>
          <w:szCs w:val="24"/>
          <w:u w:val="single"/>
        </w:rPr>
      </w:pP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p>
    <w:p w:rsidR="007553F3" w:rsidRPr="007553F3" w:rsidRDefault="007553F3" w:rsidP="00160EA4">
      <w:pPr>
        <w:spacing w:after="0" w:line="480" w:lineRule="auto"/>
        <w:ind w:left="1134" w:hanging="851"/>
        <w:rPr>
          <w:rFonts w:ascii="Tahoma" w:eastAsia="Calibri" w:hAnsi="Tahoma" w:cs="Tahoma"/>
          <w:b/>
          <w:sz w:val="24"/>
          <w:szCs w:val="24"/>
        </w:rPr>
      </w:pPr>
      <w:r>
        <w:rPr>
          <w:rFonts w:ascii="Tahoma" w:eastAsia="Calibri" w:hAnsi="Tahoma" w:cs="Tahoma"/>
          <w:b/>
          <w:sz w:val="24"/>
          <w:szCs w:val="24"/>
        </w:rPr>
        <w:tab/>
      </w:r>
      <w:r>
        <w:rPr>
          <w:rFonts w:ascii="Tahoma" w:eastAsia="Calibri" w:hAnsi="Tahoma" w:cs="Tahoma"/>
          <w:b/>
          <w:sz w:val="24"/>
          <w:szCs w:val="24"/>
        </w:rPr>
        <w:tab/>
      </w:r>
      <w:r>
        <w:rPr>
          <w:rFonts w:ascii="Tahoma" w:eastAsia="Calibri" w:hAnsi="Tahoma" w:cs="Tahoma"/>
          <w:b/>
          <w:sz w:val="24"/>
          <w:szCs w:val="24"/>
        </w:rPr>
        <w:tab/>
      </w:r>
      <w:r>
        <w:rPr>
          <w:rFonts w:ascii="Tahoma" w:eastAsia="Calibri" w:hAnsi="Tahoma" w:cs="Tahoma"/>
          <w:b/>
          <w:sz w:val="24"/>
          <w:szCs w:val="24"/>
        </w:rPr>
        <w:tab/>
      </w:r>
      <w:r>
        <w:rPr>
          <w:rFonts w:ascii="Tahoma" w:eastAsia="Calibri" w:hAnsi="Tahoma" w:cs="Tahoma"/>
          <w:b/>
          <w:sz w:val="24"/>
          <w:szCs w:val="24"/>
        </w:rPr>
        <w:tab/>
      </w:r>
      <w:r>
        <w:rPr>
          <w:rFonts w:ascii="Tahoma" w:eastAsia="Calibri" w:hAnsi="Tahoma" w:cs="Tahoma"/>
          <w:b/>
          <w:sz w:val="24"/>
          <w:szCs w:val="24"/>
        </w:rPr>
        <w:tab/>
        <w:t xml:space="preserve">JUDGMENT </w:t>
      </w:r>
    </w:p>
    <w:p w:rsidR="007553F3" w:rsidRPr="00FF04C5" w:rsidRDefault="007553F3" w:rsidP="00160EA4">
      <w:pPr>
        <w:spacing w:after="0" w:line="480" w:lineRule="auto"/>
        <w:ind w:left="1134" w:hanging="851"/>
        <w:rPr>
          <w:rFonts w:ascii="Arial" w:eastAsia="Times New Roman" w:hAnsi="Arial" w:cs="Arial"/>
          <w:b/>
          <w:color w:val="0E101A"/>
          <w:sz w:val="28"/>
          <w:szCs w:val="28"/>
          <w:u w:val="single"/>
          <w:lang w:eastAsia="en-ZA"/>
        </w:rPr>
      </w:pP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r>
        <w:rPr>
          <w:rFonts w:ascii="Tahoma" w:eastAsia="Calibri" w:hAnsi="Tahoma" w:cs="Tahoma"/>
          <w:b/>
          <w:sz w:val="24"/>
          <w:szCs w:val="24"/>
          <w:u w:val="single"/>
        </w:rPr>
        <w:tab/>
      </w:r>
    </w:p>
    <w:p w:rsidR="00FF04C5" w:rsidRDefault="007553F3" w:rsidP="00160EA4">
      <w:pPr>
        <w:spacing w:after="0" w:line="480" w:lineRule="auto"/>
        <w:ind w:left="1134" w:hanging="851"/>
        <w:rPr>
          <w:rFonts w:ascii="Arial" w:eastAsia="Times New Roman" w:hAnsi="Arial" w:cs="Arial"/>
          <w:b/>
          <w:color w:val="0E101A"/>
          <w:sz w:val="28"/>
          <w:szCs w:val="28"/>
          <w:lang w:eastAsia="en-ZA"/>
        </w:rPr>
      </w:pPr>
      <w:r>
        <w:rPr>
          <w:rFonts w:ascii="Arial" w:eastAsia="Times New Roman" w:hAnsi="Arial" w:cs="Arial"/>
          <w:b/>
          <w:color w:val="0E101A"/>
          <w:sz w:val="28"/>
          <w:szCs w:val="28"/>
          <w:lang w:eastAsia="en-ZA"/>
        </w:rPr>
        <w:t xml:space="preserve">Molahlehi, J </w:t>
      </w:r>
    </w:p>
    <w:p w:rsidR="00201434" w:rsidRDefault="00201434" w:rsidP="00160EA4">
      <w:pPr>
        <w:spacing w:after="0" w:line="480" w:lineRule="auto"/>
        <w:ind w:left="1134" w:hanging="851"/>
        <w:rPr>
          <w:rFonts w:ascii="Arial" w:eastAsia="Times New Roman" w:hAnsi="Arial" w:cs="Arial"/>
          <w:b/>
          <w:color w:val="0E101A"/>
          <w:sz w:val="28"/>
          <w:szCs w:val="28"/>
          <w:lang w:eastAsia="en-ZA"/>
        </w:rPr>
      </w:pPr>
    </w:p>
    <w:p w:rsidR="00201434" w:rsidRDefault="00201434" w:rsidP="00160EA4">
      <w:pPr>
        <w:spacing w:after="0" w:line="480" w:lineRule="auto"/>
        <w:ind w:left="1134" w:hanging="851"/>
        <w:rPr>
          <w:rFonts w:ascii="Arial" w:eastAsia="Times New Roman" w:hAnsi="Arial" w:cs="Arial"/>
          <w:b/>
          <w:color w:val="0E101A"/>
          <w:sz w:val="28"/>
          <w:szCs w:val="28"/>
          <w:lang w:eastAsia="en-ZA"/>
        </w:rPr>
      </w:pPr>
    </w:p>
    <w:p w:rsidR="007553F3" w:rsidRPr="00FF04C5" w:rsidRDefault="007553F3" w:rsidP="00201434">
      <w:pPr>
        <w:spacing w:after="0" w:line="480" w:lineRule="auto"/>
        <w:ind w:left="1134" w:hanging="851"/>
        <w:jc w:val="both"/>
        <w:rPr>
          <w:rFonts w:ascii="Arial" w:eastAsia="Times New Roman" w:hAnsi="Arial" w:cs="Arial"/>
          <w:b/>
          <w:color w:val="0E101A"/>
          <w:sz w:val="28"/>
          <w:szCs w:val="28"/>
          <w:lang w:eastAsia="en-ZA"/>
        </w:rPr>
      </w:pPr>
      <w:r>
        <w:rPr>
          <w:rFonts w:ascii="Arial" w:eastAsia="Times New Roman" w:hAnsi="Arial" w:cs="Arial"/>
          <w:b/>
          <w:color w:val="0E101A"/>
          <w:sz w:val="28"/>
          <w:szCs w:val="28"/>
          <w:lang w:eastAsia="en-ZA"/>
        </w:rPr>
        <w:lastRenderedPageBreak/>
        <w:t xml:space="preserve">Introduction </w:t>
      </w:r>
    </w:p>
    <w:p w:rsidR="00FF04C5"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This is an urgent application in which the applicants seek an order declaring the respondent to be in contempt of the court order made by Wright, J on 1 March 2</w:t>
      </w:r>
      <w:r w:rsidR="004A4B68">
        <w:rPr>
          <w:rFonts w:ascii="Arial" w:eastAsia="Times New Roman" w:hAnsi="Arial" w:cs="Arial"/>
          <w:color w:val="0E101A"/>
          <w:sz w:val="28"/>
          <w:szCs w:val="28"/>
          <w:lang w:eastAsia="en-ZA"/>
        </w:rPr>
        <w:t xml:space="preserve">022. The applicants further request that punitive measures </w:t>
      </w:r>
      <w:r w:rsidRPr="00672618">
        <w:rPr>
          <w:rFonts w:ascii="Arial" w:eastAsia="Times New Roman" w:hAnsi="Arial" w:cs="Arial"/>
          <w:color w:val="0E101A"/>
          <w:sz w:val="28"/>
          <w:szCs w:val="28"/>
          <w:lang w:eastAsia="en-ZA"/>
        </w:rPr>
        <w:t>be imposed on the respondent for his alleged contempt of the court order.</w:t>
      </w:r>
    </w:p>
    <w:p w:rsidR="00160EA4" w:rsidRPr="00672618" w:rsidRDefault="00160EA4" w:rsidP="00201434">
      <w:pPr>
        <w:pStyle w:val="ListParagraph"/>
        <w:spacing w:after="0" w:line="480" w:lineRule="auto"/>
        <w:ind w:left="0"/>
        <w:jc w:val="both"/>
        <w:rPr>
          <w:rFonts w:ascii="Arial" w:eastAsia="Times New Roman" w:hAnsi="Arial" w:cs="Arial"/>
          <w:color w:val="0E101A"/>
          <w:sz w:val="28"/>
          <w:szCs w:val="28"/>
          <w:lang w:eastAsia="en-ZA"/>
        </w:rPr>
      </w:pPr>
    </w:p>
    <w:p w:rsidR="00FF04C5"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 xml:space="preserve">Initially, the applicants sought interim relief in Part A pending a final determination of Part B. The dispute between the parties arose from the statements that the respondent had posted on the social media platform. It is alleged that the comments posted were defamatory, racist, </w:t>
      </w:r>
      <w:r w:rsidR="004A4B68">
        <w:rPr>
          <w:rFonts w:ascii="Arial" w:eastAsia="Times New Roman" w:hAnsi="Arial" w:cs="Arial"/>
          <w:color w:val="0E101A"/>
          <w:sz w:val="28"/>
          <w:szCs w:val="28"/>
          <w:lang w:eastAsia="en-ZA"/>
        </w:rPr>
        <w:t xml:space="preserve">had </w:t>
      </w:r>
      <w:r w:rsidRPr="00672618">
        <w:rPr>
          <w:rFonts w:ascii="Arial" w:eastAsia="Times New Roman" w:hAnsi="Arial" w:cs="Arial"/>
          <w:color w:val="0E101A"/>
          <w:sz w:val="28"/>
          <w:szCs w:val="28"/>
          <w:lang w:eastAsia="en-ZA"/>
        </w:rPr>
        <w:t>sexual undertones and suggested that the applicants were involved in immoral activities. </w:t>
      </w:r>
    </w:p>
    <w:p w:rsidR="00160EA4" w:rsidRPr="00672618" w:rsidRDefault="00160EA4" w:rsidP="00201434">
      <w:pPr>
        <w:pStyle w:val="ListParagraph"/>
        <w:spacing w:after="0" w:line="480" w:lineRule="auto"/>
        <w:ind w:left="0"/>
        <w:jc w:val="both"/>
        <w:rPr>
          <w:rFonts w:ascii="Arial" w:eastAsia="Times New Roman" w:hAnsi="Arial" w:cs="Arial"/>
          <w:color w:val="0E101A"/>
          <w:sz w:val="28"/>
          <w:szCs w:val="28"/>
          <w:lang w:eastAsia="en-ZA"/>
        </w:rPr>
      </w:pP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The applicants were successful in their application, and accordingly, the following order was made against the respondent:   </w:t>
      </w:r>
    </w:p>
    <w:p w:rsidR="00FF04C5" w:rsidRPr="007553F3" w:rsidRDefault="00FF04C5" w:rsidP="00201434">
      <w:pPr>
        <w:spacing w:after="0" w:line="480" w:lineRule="auto"/>
        <w:ind w:left="851" w:hanging="425"/>
        <w:jc w:val="both"/>
        <w:rPr>
          <w:rFonts w:ascii="Arial" w:eastAsia="Times New Roman" w:hAnsi="Arial" w:cs="Arial"/>
          <w:color w:val="0E101A"/>
          <w:lang w:eastAsia="en-ZA"/>
        </w:rPr>
      </w:pPr>
      <w:r w:rsidRPr="007553F3">
        <w:rPr>
          <w:rFonts w:ascii="Arial" w:eastAsia="Times New Roman" w:hAnsi="Arial" w:cs="Arial"/>
          <w:color w:val="0E101A"/>
          <w:lang w:eastAsia="en-ZA"/>
        </w:rPr>
        <w:t>"2.</w:t>
      </w:r>
      <w:r w:rsidR="00160EA4" w:rsidRPr="007553F3">
        <w:rPr>
          <w:rFonts w:ascii="Arial" w:eastAsia="Times New Roman" w:hAnsi="Arial" w:cs="Arial"/>
          <w:color w:val="0E101A"/>
          <w:lang w:eastAsia="en-ZA"/>
        </w:rPr>
        <w:tab/>
      </w:r>
      <w:r w:rsidRPr="007553F3">
        <w:rPr>
          <w:rFonts w:ascii="Arial" w:eastAsia="Times New Roman" w:hAnsi="Arial" w:cs="Arial"/>
          <w:color w:val="0E101A"/>
          <w:lang w:eastAsia="en-ZA"/>
        </w:rPr>
        <w:t xml:space="preserve"> Pending the final determination of the relief claimed in Part B in the notice of motion on a date to be determined by this court. . . the respondent is hereby: </w:t>
      </w:r>
    </w:p>
    <w:p w:rsidR="00FF04C5" w:rsidRPr="007553F3" w:rsidRDefault="00FF04C5" w:rsidP="00201434">
      <w:pPr>
        <w:spacing w:after="0" w:line="480" w:lineRule="auto"/>
        <w:ind w:left="1440" w:hanging="640"/>
        <w:jc w:val="both"/>
        <w:rPr>
          <w:rFonts w:ascii="Arial" w:eastAsia="Times New Roman" w:hAnsi="Arial" w:cs="Arial"/>
          <w:color w:val="0E101A"/>
          <w:lang w:eastAsia="en-ZA"/>
        </w:rPr>
      </w:pPr>
      <w:r w:rsidRPr="007553F3">
        <w:rPr>
          <w:rFonts w:ascii="Arial" w:eastAsia="Times New Roman" w:hAnsi="Arial" w:cs="Arial"/>
          <w:color w:val="0E101A"/>
          <w:lang w:eastAsia="en-ZA"/>
        </w:rPr>
        <w:t xml:space="preserve">2.1. </w:t>
      </w:r>
      <w:r w:rsidR="00160EA4" w:rsidRPr="007553F3">
        <w:rPr>
          <w:rFonts w:ascii="Arial" w:eastAsia="Times New Roman" w:hAnsi="Arial" w:cs="Arial"/>
          <w:color w:val="0E101A"/>
          <w:lang w:eastAsia="en-ZA"/>
        </w:rPr>
        <w:tab/>
      </w:r>
      <w:r w:rsidRPr="007553F3">
        <w:rPr>
          <w:rFonts w:ascii="Arial" w:eastAsia="Times New Roman" w:hAnsi="Arial" w:cs="Arial"/>
          <w:color w:val="0E101A"/>
          <w:lang w:eastAsia="en-ZA"/>
        </w:rPr>
        <w:t>interdicted and restrained from defaming the applicants or either of them or injuring them in their dignity in any manner whatsoever, including but not limited to the publication . . . to any person of any statement, claim or allegation in any medium, including but not limited to Facebook or any other social media platforms or fora; </w:t>
      </w:r>
    </w:p>
    <w:p w:rsidR="00FF04C5" w:rsidRPr="007553F3" w:rsidRDefault="00FF04C5" w:rsidP="00201434">
      <w:pPr>
        <w:spacing w:after="0" w:line="480" w:lineRule="auto"/>
        <w:ind w:left="1520" w:hanging="720"/>
        <w:jc w:val="both"/>
        <w:rPr>
          <w:rFonts w:ascii="Arial" w:eastAsia="Times New Roman" w:hAnsi="Arial" w:cs="Arial"/>
          <w:color w:val="0E101A"/>
          <w:lang w:eastAsia="en-ZA"/>
        </w:rPr>
      </w:pPr>
      <w:r w:rsidRPr="007553F3">
        <w:rPr>
          <w:rFonts w:ascii="Arial" w:eastAsia="Times New Roman" w:hAnsi="Arial" w:cs="Arial"/>
          <w:color w:val="0E101A"/>
          <w:lang w:eastAsia="en-ZA"/>
        </w:rPr>
        <w:lastRenderedPageBreak/>
        <w:t>2.2.</w:t>
      </w:r>
      <w:r w:rsidR="00160EA4" w:rsidRPr="007553F3">
        <w:rPr>
          <w:rFonts w:ascii="Arial" w:eastAsia="Times New Roman" w:hAnsi="Arial" w:cs="Arial"/>
          <w:color w:val="0E101A"/>
          <w:lang w:eastAsia="en-ZA"/>
        </w:rPr>
        <w:tab/>
      </w:r>
      <w:r w:rsidRPr="007553F3">
        <w:rPr>
          <w:rFonts w:ascii="Arial" w:eastAsia="Times New Roman" w:hAnsi="Arial" w:cs="Arial"/>
          <w:color w:val="0E101A"/>
          <w:lang w:eastAsia="en-ZA"/>
        </w:rPr>
        <w:t xml:space="preserve"> interdicted and restrained from intimidating or making any threats that are violent or racial in nature, in any manner whatsoever, including but not limited to the publication . . . to any person of any in whatsoever, including but not limited to the publication . . . to any person of any statement, claim or allegation in any medium, including but not limited to Facebook or any other social media platforms or fora;</w:t>
      </w:r>
    </w:p>
    <w:p w:rsidR="00FF04C5" w:rsidRPr="007553F3" w:rsidRDefault="00FF04C5" w:rsidP="00201434">
      <w:pPr>
        <w:spacing w:after="0" w:line="480" w:lineRule="auto"/>
        <w:ind w:left="1440" w:hanging="720"/>
        <w:jc w:val="both"/>
        <w:rPr>
          <w:rFonts w:ascii="Arial" w:eastAsia="Times New Roman" w:hAnsi="Arial" w:cs="Arial"/>
          <w:color w:val="0E101A"/>
          <w:lang w:eastAsia="en-ZA"/>
        </w:rPr>
      </w:pPr>
      <w:r w:rsidRPr="007553F3">
        <w:rPr>
          <w:rFonts w:ascii="Arial" w:eastAsia="Times New Roman" w:hAnsi="Arial" w:cs="Arial"/>
          <w:color w:val="0E101A"/>
          <w:lang w:eastAsia="en-ZA"/>
        </w:rPr>
        <w:t>2.3.</w:t>
      </w:r>
      <w:r w:rsidR="00160EA4" w:rsidRPr="007553F3">
        <w:rPr>
          <w:rFonts w:ascii="Arial" w:eastAsia="Times New Roman" w:hAnsi="Arial" w:cs="Arial"/>
          <w:color w:val="0E101A"/>
          <w:lang w:eastAsia="en-ZA"/>
        </w:rPr>
        <w:tab/>
      </w:r>
      <w:r w:rsidRPr="007553F3">
        <w:rPr>
          <w:rFonts w:ascii="Arial" w:eastAsia="Times New Roman" w:hAnsi="Arial" w:cs="Arial"/>
          <w:color w:val="0E101A"/>
          <w:lang w:eastAsia="en-ZA"/>
        </w:rPr>
        <w:t xml:space="preserve"> ordered to forthwith remove and delete defamatory, intimidatory, threatening or racial posts or statements </w:t>
      </w:r>
      <w:r w:rsidRPr="007553F3">
        <w:rPr>
          <w:rFonts w:ascii="Arial" w:eastAsia="Times New Roman" w:hAnsi="Arial" w:cs="Arial"/>
          <w:color w:val="0E101A"/>
          <w:u w:val="single"/>
          <w:lang w:eastAsia="en-ZA"/>
        </w:rPr>
        <w:t>alternatively </w:t>
      </w:r>
      <w:r w:rsidRPr="007553F3">
        <w:rPr>
          <w:rFonts w:ascii="Arial" w:eastAsia="Times New Roman" w:hAnsi="Arial" w:cs="Arial"/>
          <w:color w:val="0E101A"/>
          <w:lang w:eastAsia="en-ZA"/>
        </w:rPr>
        <w:t>any and all references to the applicants therein, wheresoever and howsoever made and to remove and delete all and any posts and comments in response thereto insofar as it is within his power to do so; and/or</w:t>
      </w:r>
    </w:p>
    <w:p w:rsidR="004A4B68" w:rsidRPr="00160EA4" w:rsidRDefault="00FF04C5" w:rsidP="00201434">
      <w:pPr>
        <w:spacing w:after="0" w:line="480" w:lineRule="auto"/>
        <w:ind w:left="1520" w:hanging="800"/>
        <w:jc w:val="both"/>
        <w:rPr>
          <w:rFonts w:ascii="Arial" w:eastAsia="Times New Roman" w:hAnsi="Arial" w:cs="Arial"/>
          <w:color w:val="0E101A"/>
          <w:sz w:val="28"/>
          <w:szCs w:val="28"/>
          <w:lang w:eastAsia="en-ZA"/>
        </w:rPr>
      </w:pPr>
      <w:r w:rsidRPr="007553F3">
        <w:rPr>
          <w:rFonts w:ascii="Arial" w:eastAsia="Times New Roman" w:hAnsi="Arial" w:cs="Arial"/>
          <w:color w:val="0E101A"/>
          <w:lang w:eastAsia="en-ZA"/>
        </w:rPr>
        <w:t>24.</w:t>
      </w:r>
      <w:r w:rsidR="00160EA4" w:rsidRPr="007553F3">
        <w:rPr>
          <w:rFonts w:ascii="Arial" w:eastAsia="Times New Roman" w:hAnsi="Arial" w:cs="Arial"/>
          <w:color w:val="0E101A"/>
          <w:lang w:eastAsia="en-ZA"/>
        </w:rPr>
        <w:tab/>
      </w:r>
      <w:r w:rsidRPr="007553F3">
        <w:rPr>
          <w:rFonts w:ascii="Arial" w:eastAsia="Times New Roman" w:hAnsi="Arial" w:cs="Arial"/>
          <w:color w:val="0E101A"/>
          <w:lang w:eastAsia="en-ZA"/>
        </w:rPr>
        <w:t xml:space="preserve"> to make and publish an appropriate retraction of the relevant statements or utterances above, and to issue an apology to the applicants by name for defaming them and injuring them in their dignity and person, on all the same websites with the same prominence where such posts were published by him."</w:t>
      </w:r>
    </w:p>
    <w:p w:rsidR="00160EA4"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It is apparent that the hearing of the application in the initial interdict was conducted virtually on the electronic platform in the presence of the respondent's legal representatives. There is some suggestion in the founding affidavit that the respondent was present on the virtual platf</w:t>
      </w:r>
      <w:r w:rsidR="004A4B68">
        <w:rPr>
          <w:rFonts w:ascii="Arial" w:eastAsia="Times New Roman" w:hAnsi="Arial" w:cs="Arial"/>
          <w:color w:val="0E101A"/>
          <w:sz w:val="28"/>
          <w:szCs w:val="28"/>
          <w:lang w:eastAsia="en-ZA"/>
        </w:rPr>
        <w:t xml:space="preserve">orm when the order was made. This was </w:t>
      </w:r>
      <w:r w:rsidRPr="00672618">
        <w:rPr>
          <w:rFonts w:ascii="Arial" w:eastAsia="Times New Roman" w:hAnsi="Arial" w:cs="Arial"/>
          <w:color w:val="0E101A"/>
          <w:sz w:val="28"/>
          <w:szCs w:val="28"/>
          <w:lang w:eastAsia="en-ZA"/>
        </w:rPr>
        <w:t>not pursue</w:t>
      </w:r>
      <w:r w:rsidR="007553F3">
        <w:rPr>
          <w:rFonts w:ascii="Arial" w:eastAsia="Times New Roman" w:hAnsi="Arial" w:cs="Arial"/>
          <w:color w:val="0E101A"/>
          <w:sz w:val="28"/>
          <w:szCs w:val="28"/>
          <w:lang w:eastAsia="en-ZA"/>
        </w:rPr>
        <w:t>d</w:t>
      </w:r>
      <w:r w:rsidRPr="00672618">
        <w:rPr>
          <w:rFonts w:ascii="Arial" w:eastAsia="Times New Roman" w:hAnsi="Arial" w:cs="Arial"/>
          <w:color w:val="0E101A"/>
          <w:sz w:val="28"/>
          <w:szCs w:val="28"/>
          <w:lang w:eastAsia="en-ZA"/>
        </w:rPr>
        <w:t xml:space="preserve"> in the replying affidavit. </w:t>
      </w:r>
    </w:p>
    <w:p w:rsidR="00FF04C5" w:rsidRPr="00672618" w:rsidRDefault="00FF04C5" w:rsidP="00201434">
      <w:pPr>
        <w:pStyle w:val="ListParagraph"/>
        <w:spacing w:after="0" w:line="480" w:lineRule="auto"/>
        <w:ind w:left="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 </w:t>
      </w: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 xml:space="preserve">The order was uploaded onto caselines on 14 March 2022. Soon after that, the applicants' attorneys of record addressed a letter to the respondent's attorneys of record demanding that the respondent complies with the order within 24 hours. They further indicated in the same letter </w:t>
      </w:r>
      <w:r w:rsidRPr="00672618">
        <w:rPr>
          <w:rFonts w:ascii="Arial" w:eastAsia="Times New Roman" w:hAnsi="Arial" w:cs="Arial"/>
          <w:color w:val="0E101A"/>
          <w:sz w:val="28"/>
          <w:szCs w:val="28"/>
          <w:lang w:eastAsia="en-ZA"/>
        </w:rPr>
        <w:lastRenderedPageBreak/>
        <w:t>that failure to comply by the respondent would result in an application for contempt of court.</w:t>
      </w:r>
    </w:p>
    <w:p w:rsidR="00FF04C5" w:rsidRPr="00FF04C5" w:rsidRDefault="00FF04C5" w:rsidP="00201434">
      <w:pPr>
        <w:spacing w:after="0" w:line="480" w:lineRule="auto"/>
        <w:jc w:val="both"/>
        <w:rPr>
          <w:rFonts w:ascii="Arial" w:eastAsia="Times New Roman" w:hAnsi="Arial" w:cs="Arial"/>
          <w:color w:val="0E101A"/>
          <w:sz w:val="28"/>
          <w:szCs w:val="28"/>
          <w:lang w:eastAsia="en-ZA"/>
        </w:rPr>
      </w:pP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This application is consequent the complaint by the applicants that the respondent has refused to remove, retract and apologies for the published statements in contravention of the court order. This conduct of the respondent, according to the applicants, constitutes a breach of the court order. They further contend that the conduct constitutes: </w:t>
      </w:r>
    </w:p>
    <w:p w:rsidR="00160EA4" w:rsidRPr="007553F3" w:rsidRDefault="00160EA4" w:rsidP="00201434">
      <w:pPr>
        <w:spacing w:after="0" w:line="480" w:lineRule="auto"/>
        <w:ind w:left="2160" w:hanging="1000"/>
        <w:jc w:val="both"/>
        <w:rPr>
          <w:rFonts w:ascii="Arial" w:eastAsia="Times New Roman" w:hAnsi="Arial" w:cs="Arial"/>
          <w:color w:val="0E101A"/>
          <w:lang w:eastAsia="en-ZA"/>
        </w:rPr>
      </w:pPr>
      <w:r w:rsidRPr="007553F3">
        <w:rPr>
          <w:rFonts w:ascii="Arial" w:eastAsia="Times New Roman" w:hAnsi="Arial" w:cs="Arial"/>
          <w:color w:val="0E101A"/>
          <w:lang w:eastAsia="en-ZA"/>
        </w:rPr>
        <w:t>“(i)</w:t>
      </w:r>
      <w:r w:rsidRPr="007553F3">
        <w:rPr>
          <w:rFonts w:ascii="Arial" w:eastAsia="Times New Roman" w:hAnsi="Arial" w:cs="Arial"/>
          <w:color w:val="0E101A"/>
          <w:lang w:eastAsia="en-ZA"/>
        </w:rPr>
        <w:tab/>
      </w:r>
      <w:r w:rsidR="00FF04C5" w:rsidRPr="007553F3">
        <w:rPr>
          <w:rFonts w:ascii="Arial" w:eastAsia="Times New Roman" w:hAnsi="Arial" w:cs="Arial"/>
          <w:color w:val="0E101A"/>
          <w:lang w:eastAsia="en-ZA"/>
        </w:rPr>
        <w:t>disrespect for the authority of the court and its officers, acting in their official capacity; </w:t>
      </w:r>
    </w:p>
    <w:p w:rsidR="00160EA4" w:rsidRPr="007553F3" w:rsidRDefault="00160EA4" w:rsidP="00201434">
      <w:pPr>
        <w:spacing w:after="0" w:line="480" w:lineRule="auto"/>
        <w:ind w:left="2160" w:hanging="1000"/>
        <w:jc w:val="both"/>
        <w:rPr>
          <w:rFonts w:ascii="Arial" w:eastAsia="Times New Roman" w:hAnsi="Arial" w:cs="Arial"/>
          <w:color w:val="0E101A"/>
          <w:lang w:eastAsia="en-ZA"/>
        </w:rPr>
      </w:pPr>
      <w:r w:rsidRPr="007553F3">
        <w:rPr>
          <w:rFonts w:ascii="Arial" w:eastAsia="Times New Roman" w:hAnsi="Arial" w:cs="Arial"/>
          <w:color w:val="0E101A"/>
          <w:lang w:eastAsia="en-ZA"/>
        </w:rPr>
        <w:t>(ii)</w:t>
      </w:r>
      <w:r w:rsidRPr="007553F3">
        <w:rPr>
          <w:rFonts w:ascii="Arial" w:eastAsia="Times New Roman" w:hAnsi="Arial" w:cs="Arial"/>
          <w:color w:val="0E101A"/>
          <w:lang w:eastAsia="en-ZA"/>
        </w:rPr>
        <w:tab/>
      </w:r>
      <w:r w:rsidR="00FF04C5" w:rsidRPr="007553F3">
        <w:rPr>
          <w:rFonts w:ascii="Arial" w:eastAsia="Times New Roman" w:hAnsi="Arial" w:cs="Arial"/>
          <w:color w:val="0E101A"/>
          <w:lang w:eastAsia="en-ZA"/>
        </w:rPr>
        <w:t>willful disobedience and resistance to a lawful court order; and </w:t>
      </w:r>
    </w:p>
    <w:p w:rsidR="00FF04C5" w:rsidRPr="007553F3" w:rsidRDefault="00160EA4" w:rsidP="00201434">
      <w:pPr>
        <w:spacing w:after="0" w:line="480" w:lineRule="auto"/>
        <w:ind w:left="2160" w:hanging="1000"/>
        <w:jc w:val="both"/>
        <w:rPr>
          <w:rFonts w:ascii="Arial" w:eastAsia="Times New Roman" w:hAnsi="Arial" w:cs="Arial"/>
          <w:color w:val="0E101A"/>
          <w:lang w:eastAsia="en-ZA"/>
        </w:rPr>
      </w:pPr>
      <w:r w:rsidRPr="007553F3">
        <w:rPr>
          <w:rFonts w:ascii="Arial" w:eastAsia="Times New Roman" w:hAnsi="Arial" w:cs="Arial"/>
          <w:color w:val="0E101A"/>
          <w:lang w:eastAsia="en-ZA"/>
        </w:rPr>
        <w:t>(iii)</w:t>
      </w:r>
      <w:r w:rsidRPr="007553F3">
        <w:rPr>
          <w:rFonts w:ascii="Arial" w:eastAsia="Times New Roman" w:hAnsi="Arial" w:cs="Arial"/>
          <w:color w:val="0E101A"/>
          <w:lang w:eastAsia="en-ZA"/>
        </w:rPr>
        <w:tab/>
      </w:r>
      <w:r w:rsidR="00FF04C5" w:rsidRPr="007553F3">
        <w:rPr>
          <w:rFonts w:ascii="Arial" w:eastAsia="Times New Roman" w:hAnsi="Arial" w:cs="Arial"/>
          <w:color w:val="0E101A"/>
          <w:lang w:eastAsia="en-ZA"/>
        </w:rPr>
        <w:t>a disregard for the law."  </w:t>
      </w:r>
    </w:p>
    <w:p w:rsidR="00FF04C5" w:rsidRPr="00FF04C5" w:rsidRDefault="00FF04C5" w:rsidP="00201434">
      <w:pPr>
        <w:spacing w:after="0" w:line="480" w:lineRule="auto"/>
        <w:jc w:val="both"/>
        <w:rPr>
          <w:rFonts w:ascii="Arial" w:eastAsia="Times New Roman" w:hAnsi="Arial" w:cs="Arial"/>
          <w:color w:val="0E101A"/>
          <w:sz w:val="28"/>
          <w:szCs w:val="28"/>
          <w:lang w:eastAsia="en-ZA"/>
        </w:rPr>
      </w:pP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The applicants further contend that the respondent has exhibited both intent and malice in refusing to remove the published statements as directed by the court. According to them, the respondent's conduct has caused them serious and irreparable harm to their dignity.</w:t>
      </w:r>
    </w:p>
    <w:p w:rsidR="00FF04C5" w:rsidRPr="00FF04C5" w:rsidRDefault="00FF04C5" w:rsidP="00201434">
      <w:pPr>
        <w:spacing w:after="0" w:line="480" w:lineRule="auto"/>
        <w:jc w:val="both"/>
        <w:rPr>
          <w:rFonts w:ascii="Arial" w:eastAsia="Times New Roman" w:hAnsi="Arial" w:cs="Arial"/>
          <w:color w:val="0E101A"/>
          <w:sz w:val="28"/>
          <w:szCs w:val="28"/>
          <w:lang w:eastAsia="en-ZA"/>
        </w:rPr>
      </w:pP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The respondent opposed the application and contended that although the order was made on 1 March 2021, he only received it on 14 March 2022. After receipt of the order in the late afternoon of that day, he had to obtain legal advice from his attorneys concerning the issue of compliance with the court order.  </w:t>
      </w:r>
    </w:p>
    <w:p w:rsidR="00FF04C5" w:rsidRPr="00FF04C5" w:rsidRDefault="00FF04C5" w:rsidP="00201434">
      <w:pPr>
        <w:spacing w:after="0" w:line="480" w:lineRule="auto"/>
        <w:jc w:val="both"/>
        <w:rPr>
          <w:rFonts w:ascii="Arial" w:eastAsia="Times New Roman" w:hAnsi="Arial" w:cs="Arial"/>
          <w:color w:val="0E101A"/>
          <w:sz w:val="28"/>
          <w:szCs w:val="28"/>
          <w:lang w:eastAsia="en-ZA"/>
        </w:rPr>
      </w:pPr>
    </w:p>
    <w:p w:rsidR="00FF04C5"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Furthermore, the respondent contended that in the alternative, the order was suspended upon his application for leave to appeal of paragraphs 2.4 and 3 of the order filed on 18 March 2022. He does not deny having posted further comments on his Face Book since the issuance of the order but contends that those were not related to what was provided for in the court order. </w:t>
      </w:r>
    </w:p>
    <w:p w:rsidR="00160EA4" w:rsidRPr="00672618" w:rsidRDefault="00160EA4" w:rsidP="00201434">
      <w:pPr>
        <w:pStyle w:val="ListParagraph"/>
        <w:spacing w:after="0" w:line="480" w:lineRule="auto"/>
        <w:ind w:left="0"/>
        <w:jc w:val="both"/>
        <w:rPr>
          <w:rFonts w:ascii="Arial" w:eastAsia="Times New Roman" w:hAnsi="Arial" w:cs="Arial"/>
          <w:color w:val="0E101A"/>
          <w:sz w:val="28"/>
          <w:szCs w:val="28"/>
          <w:lang w:eastAsia="en-ZA"/>
        </w:rPr>
      </w:pP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He further contends in his answering affidavit that he had complied with the court order in that he removed from his personal Facebook and other social media all the posting he had made by 18 March 2022.</w:t>
      </w:r>
    </w:p>
    <w:p w:rsidR="00FF04C5" w:rsidRPr="00FF04C5" w:rsidRDefault="00FF04C5" w:rsidP="00201434">
      <w:pPr>
        <w:spacing w:after="0" w:line="480" w:lineRule="auto"/>
        <w:jc w:val="both"/>
        <w:rPr>
          <w:rFonts w:ascii="Arial" w:eastAsia="Times New Roman" w:hAnsi="Arial" w:cs="Arial"/>
          <w:color w:val="0E101A"/>
          <w:sz w:val="28"/>
          <w:szCs w:val="28"/>
          <w:lang w:eastAsia="en-ZA"/>
        </w:rPr>
      </w:pPr>
    </w:p>
    <w:p w:rsidR="00FF04C5"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In paragraph 19.2 of his answering affidavit, he further states that: "following the hearing, I was advised that the application was granted successfully but was unaware and uncertain in respect of the extent of the Court order itself." The respondent's case is thus not that he did not believe that the order was made in favour of the applicants but rather that he did not appreciate its full extent, having not seen the hard copy thereof.</w:t>
      </w:r>
    </w:p>
    <w:p w:rsidR="00160EA4" w:rsidRPr="00672618" w:rsidRDefault="00160EA4" w:rsidP="00201434">
      <w:pPr>
        <w:pStyle w:val="ListParagraph"/>
        <w:spacing w:after="0" w:line="480" w:lineRule="auto"/>
        <w:ind w:left="0"/>
        <w:jc w:val="both"/>
        <w:rPr>
          <w:rFonts w:ascii="Arial" w:eastAsia="Times New Roman" w:hAnsi="Arial" w:cs="Arial"/>
          <w:color w:val="0E101A"/>
          <w:sz w:val="28"/>
          <w:szCs w:val="28"/>
          <w:lang w:eastAsia="en-ZA"/>
        </w:rPr>
      </w:pPr>
    </w:p>
    <w:p w:rsidR="00FF04C5"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 xml:space="preserve">The respondent further contended that the matter was not urgent because he had removed the posting on Facebook upon receipt of the </w:t>
      </w:r>
      <w:r w:rsidRPr="00672618">
        <w:rPr>
          <w:rFonts w:ascii="Arial" w:eastAsia="Times New Roman" w:hAnsi="Arial" w:cs="Arial"/>
          <w:color w:val="0E101A"/>
          <w:sz w:val="28"/>
          <w:szCs w:val="28"/>
          <w:lang w:eastAsia="en-ZA"/>
        </w:rPr>
        <w:lastRenderedPageBreak/>
        <w:t>court order</w:t>
      </w:r>
      <w:r w:rsidR="007553F3">
        <w:rPr>
          <w:rFonts w:ascii="Arial" w:eastAsia="Times New Roman" w:hAnsi="Arial" w:cs="Arial"/>
          <w:color w:val="0E101A"/>
          <w:sz w:val="28"/>
          <w:szCs w:val="28"/>
          <w:lang w:eastAsia="en-ZA"/>
        </w:rPr>
        <w:t>. According, to the respondent he did that</w:t>
      </w:r>
      <w:r w:rsidR="004A4B68">
        <w:rPr>
          <w:rFonts w:ascii="Arial" w:eastAsia="Times New Roman" w:hAnsi="Arial" w:cs="Arial"/>
          <w:color w:val="0E101A"/>
          <w:sz w:val="28"/>
          <w:szCs w:val="28"/>
          <w:lang w:eastAsia="en-ZA"/>
        </w:rPr>
        <w:t xml:space="preserve"> after obtaining legal advice as whether or not he should to comply with the order. </w:t>
      </w:r>
      <w:r w:rsidRPr="00672618">
        <w:rPr>
          <w:rFonts w:ascii="Arial" w:eastAsia="Times New Roman" w:hAnsi="Arial" w:cs="Arial"/>
          <w:color w:val="0E101A"/>
          <w:sz w:val="28"/>
          <w:szCs w:val="28"/>
          <w:lang w:eastAsia="en-ZA"/>
        </w:rPr>
        <w:t>  </w:t>
      </w:r>
    </w:p>
    <w:p w:rsidR="00160EA4" w:rsidRPr="00672618" w:rsidRDefault="00160EA4" w:rsidP="00201434">
      <w:pPr>
        <w:pStyle w:val="ListParagraph"/>
        <w:spacing w:after="0" w:line="480" w:lineRule="auto"/>
        <w:ind w:left="0"/>
        <w:jc w:val="both"/>
        <w:rPr>
          <w:rFonts w:ascii="Arial" w:eastAsia="Times New Roman" w:hAnsi="Arial" w:cs="Arial"/>
          <w:color w:val="0E101A"/>
          <w:sz w:val="28"/>
          <w:szCs w:val="28"/>
          <w:lang w:eastAsia="en-ZA"/>
        </w:rPr>
      </w:pP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The first question to answer in the present matter is whether this matter deserves to be treated as urgent. </w:t>
      </w: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 xml:space="preserve">In my view, urgency in the present matter arises from the nature of the relief which was sought and granted in favour of the applicants. It is trite that contempt of a court order is inherently urgent. </w:t>
      </w:r>
      <w:r w:rsidR="004A4B68">
        <w:rPr>
          <w:rFonts w:ascii="Arial" w:eastAsia="Times New Roman" w:hAnsi="Arial" w:cs="Arial"/>
          <w:color w:val="0E101A"/>
          <w:sz w:val="28"/>
          <w:szCs w:val="28"/>
          <w:lang w:eastAsia="en-ZA"/>
        </w:rPr>
        <w:t>In the context of this matter, t</w:t>
      </w:r>
      <w:r w:rsidRPr="00672618">
        <w:rPr>
          <w:rFonts w:ascii="Arial" w:eastAsia="Times New Roman" w:hAnsi="Arial" w:cs="Arial"/>
          <w:color w:val="0E101A"/>
          <w:sz w:val="28"/>
          <w:szCs w:val="28"/>
          <w:lang w:eastAsia="en-ZA"/>
        </w:rPr>
        <w:t>his means</w:t>
      </w:r>
      <w:r w:rsidR="004A4B68">
        <w:rPr>
          <w:rFonts w:ascii="Arial" w:eastAsia="Times New Roman" w:hAnsi="Arial" w:cs="Arial"/>
          <w:color w:val="0E101A"/>
          <w:sz w:val="28"/>
          <w:szCs w:val="28"/>
          <w:lang w:eastAsia="en-ZA"/>
        </w:rPr>
        <w:t xml:space="preserve"> </w:t>
      </w:r>
      <w:r w:rsidRPr="00672618">
        <w:rPr>
          <w:rFonts w:ascii="Arial" w:eastAsia="Times New Roman" w:hAnsi="Arial" w:cs="Arial"/>
          <w:color w:val="0E101A"/>
          <w:sz w:val="28"/>
          <w:szCs w:val="28"/>
          <w:lang w:eastAsia="en-ZA"/>
        </w:rPr>
        <w:t>non-compliance with the court order would result in the applicants suffering ongoing prejudice against their dignity. Thus considering the nature of the relief sought and the circumstances of this matter, I find that the matter deserves to be treated as urgent. </w:t>
      </w:r>
    </w:p>
    <w:p w:rsidR="00FF04C5" w:rsidRPr="00FF04C5" w:rsidRDefault="00FF04C5" w:rsidP="00201434">
      <w:pPr>
        <w:spacing w:after="0" w:line="480" w:lineRule="auto"/>
        <w:jc w:val="both"/>
        <w:rPr>
          <w:rFonts w:ascii="Arial" w:eastAsia="Times New Roman" w:hAnsi="Arial" w:cs="Arial"/>
          <w:color w:val="0E101A"/>
          <w:sz w:val="28"/>
          <w:szCs w:val="28"/>
          <w:lang w:eastAsia="en-ZA"/>
        </w:rPr>
      </w:pPr>
    </w:p>
    <w:p w:rsidR="004A4B6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The next question is whether the respondent should be found guilty of contempt of the order made on 1 March 2022. </w:t>
      </w:r>
    </w:p>
    <w:p w:rsidR="00FF04C5" w:rsidRPr="00672618" w:rsidRDefault="00FF04C5" w:rsidP="00201434">
      <w:pPr>
        <w:pStyle w:val="ListParagraph"/>
        <w:spacing w:after="0" w:line="480" w:lineRule="auto"/>
        <w:ind w:left="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 </w:t>
      </w: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 xml:space="preserve">It is trite that the crime of contempt of court </w:t>
      </w:r>
      <w:r w:rsidR="004A4B68">
        <w:rPr>
          <w:rFonts w:ascii="Arial" w:eastAsia="Times New Roman" w:hAnsi="Arial" w:cs="Arial"/>
          <w:color w:val="0E101A"/>
          <w:sz w:val="28"/>
          <w:szCs w:val="28"/>
          <w:lang w:eastAsia="en-ZA"/>
        </w:rPr>
        <w:t xml:space="preserve">order </w:t>
      </w:r>
      <w:r w:rsidRPr="00672618">
        <w:rPr>
          <w:rFonts w:ascii="Arial" w:eastAsia="Times New Roman" w:hAnsi="Arial" w:cs="Arial"/>
          <w:color w:val="0E101A"/>
          <w:sz w:val="28"/>
          <w:szCs w:val="28"/>
          <w:lang w:eastAsia="en-ZA"/>
        </w:rPr>
        <w:t>consists of unlawfully and intentionally disobeying a court order.</w:t>
      </w:r>
      <w:r w:rsidR="004A4B68">
        <w:rPr>
          <w:rStyle w:val="FootnoteReference"/>
          <w:rFonts w:ascii="Arial" w:eastAsia="Times New Roman" w:hAnsi="Arial" w:cs="Arial"/>
          <w:color w:val="0E101A"/>
          <w:sz w:val="28"/>
          <w:szCs w:val="28"/>
          <w:lang w:eastAsia="en-ZA"/>
        </w:rPr>
        <w:footnoteReference w:id="1"/>
      </w:r>
      <w:r w:rsidRPr="00672618">
        <w:rPr>
          <w:rFonts w:ascii="Arial" w:eastAsia="Times New Roman" w:hAnsi="Arial" w:cs="Arial"/>
          <w:color w:val="0E101A"/>
          <w:sz w:val="28"/>
          <w:szCs w:val="28"/>
          <w:lang w:eastAsia="en-ZA"/>
        </w:rPr>
        <w:t xml:space="preserve"> The crime is established by showing that the respondent's conduct in not complying with the court order was deliberate and </w:t>
      </w:r>
      <w:r w:rsidRPr="004A4B68">
        <w:rPr>
          <w:rFonts w:ascii="Arial" w:eastAsia="Times New Roman" w:hAnsi="Arial" w:cs="Arial"/>
          <w:i/>
          <w:color w:val="0E101A"/>
          <w:sz w:val="28"/>
          <w:szCs w:val="28"/>
          <w:lang w:eastAsia="en-ZA"/>
        </w:rPr>
        <w:t>mala fide</w:t>
      </w:r>
      <w:r w:rsidR="00632237">
        <w:rPr>
          <w:rFonts w:ascii="Arial" w:eastAsia="Times New Roman" w:hAnsi="Arial" w:cs="Arial"/>
          <w:color w:val="0E101A"/>
          <w:sz w:val="28"/>
          <w:szCs w:val="28"/>
          <w:lang w:eastAsia="en-ZA"/>
        </w:rPr>
        <w:t>.</w:t>
      </w:r>
      <w:r w:rsidR="00632237">
        <w:rPr>
          <w:rStyle w:val="FootnoteReference"/>
          <w:rFonts w:ascii="Arial" w:eastAsia="Times New Roman" w:hAnsi="Arial" w:cs="Arial"/>
          <w:color w:val="0E101A"/>
          <w:sz w:val="28"/>
          <w:szCs w:val="28"/>
          <w:lang w:eastAsia="en-ZA"/>
        </w:rPr>
        <w:footnoteReference w:id="2"/>
      </w:r>
    </w:p>
    <w:p w:rsidR="00FF04C5" w:rsidRPr="00FF04C5" w:rsidRDefault="00FF04C5" w:rsidP="00201434">
      <w:pPr>
        <w:spacing w:after="0" w:line="480" w:lineRule="auto"/>
        <w:jc w:val="both"/>
        <w:rPr>
          <w:rFonts w:ascii="Arial" w:eastAsia="Times New Roman" w:hAnsi="Arial" w:cs="Arial"/>
          <w:color w:val="0E101A"/>
          <w:sz w:val="28"/>
          <w:szCs w:val="28"/>
          <w:lang w:eastAsia="en-ZA"/>
        </w:rPr>
      </w:pP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To succeed in establishing that the respondent is guilty of contempt of a court order, the applicant must establish the following: </w:t>
      </w:r>
    </w:p>
    <w:p w:rsidR="00FF04C5" w:rsidRPr="00672618" w:rsidRDefault="00FF04C5" w:rsidP="00201434">
      <w:pPr>
        <w:pStyle w:val="ListParagraph"/>
        <w:numPr>
          <w:ilvl w:val="2"/>
          <w:numId w:val="8"/>
        </w:numPr>
        <w:spacing w:after="0" w:line="480" w:lineRule="auto"/>
        <w:ind w:left="851" w:hanging="142"/>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That the order was made against the respondent;</w:t>
      </w:r>
    </w:p>
    <w:p w:rsidR="00FF04C5" w:rsidRPr="00672618" w:rsidRDefault="00FF04C5" w:rsidP="00201434">
      <w:pPr>
        <w:pStyle w:val="ListParagraph"/>
        <w:numPr>
          <w:ilvl w:val="2"/>
          <w:numId w:val="8"/>
        </w:numPr>
        <w:spacing w:after="0" w:line="480" w:lineRule="auto"/>
        <w:ind w:left="1418" w:hanging="709"/>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The order was served on the respondent or that he or she had knowledge or information about the order; </w:t>
      </w:r>
    </w:p>
    <w:p w:rsidR="0025247F" w:rsidRDefault="00FF04C5" w:rsidP="00201434">
      <w:pPr>
        <w:pStyle w:val="ListParagraph"/>
        <w:numPr>
          <w:ilvl w:val="2"/>
          <w:numId w:val="8"/>
        </w:numPr>
        <w:spacing w:after="0" w:line="480" w:lineRule="auto"/>
        <w:ind w:left="1418" w:hanging="567"/>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The respondent f</w:t>
      </w:r>
      <w:r w:rsidR="004A4B68">
        <w:rPr>
          <w:rFonts w:ascii="Arial" w:eastAsia="Times New Roman" w:hAnsi="Arial" w:cs="Arial"/>
          <w:color w:val="0E101A"/>
          <w:sz w:val="28"/>
          <w:szCs w:val="28"/>
          <w:lang w:eastAsia="en-ZA"/>
        </w:rPr>
        <w:t>ailed to comply with the order.</w:t>
      </w:r>
      <w:r w:rsidR="004A4B68">
        <w:rPr>
          <w:rStyle w:val="FootnoteReference"/>
          <w:rFonts w:ascii="Arial" w:eastAsia="Times New Roman" w:hAnsi="Arial" w:cs="Arial"/>
          <w:color w:val="0E101A"/>
          <w:sz w:val="28"/>
          <w:szCs w:val="28"/>
          <w:lang w:eastAsia="en-ZA"/>
        </w:rPr>
        <w:footnoteReference w:id="3"/>
      </w:r>
      <w:r w:rsidRPr="00672618">
        <w:rPr>
          <w:rFonts w:ascii="Arial" w:eastAsia="Times New Roman" w:hAnsi="Arial" w:cs="Arial"/>
          <w:color w:val="0E101A"/>
          <w:sz w:val="28"/>
          <w:szCs w:val="28"/>
          <w:lang w:eastAsia="en-ZA"/>
        </w:rPr>
        <w:t xml:space="preserve"> </w:t>
      </w:r>
    </w:p>
    <w:p w:rsidR="00E82E72" w:rsidRDefault="00632237" w:rsidP="00201434">
      <w:pPr>
        <w:pStyle w:val="ListParagraph"/>
        <w:jc w:val="both"/>
        <w:rPr>
          <w:rFonts w:ascii="Arial" w:eastAsia="Times New Roman" w:hAnsi="Arial" w:cs="Arial"/>
          <w:color w:val="0E101A"/>
          <w:sz w:val="28"/>
          <w:szCs w:val="28"/>
          <w:lang w:eastAsia="en-ZA"/>
        </w:rPr>
      </w:pPr>
      <w:r>
        <w:rPr>
          <w:rFonts w:ascii="Arial" w:eastAsia="Times New Roman" w:hAnsi="Arial" w:cs="Arial"/>
          <w:color w:val="0E101A"/>
          <w:sz w:val="28"/>
          <w:szCs w:val="28"/>
          <w:lang w:eastAsia="en-ZA"/>
        </w:rPr>
        <w:t xml:space="preserve"> </w:t>
      </w:r>
      <w:r>
        <w:rPr>
          <w:rFonts w:ascii="Verdana" w:hAnsi="Verdana"/>
          <w:color w:val="FF0000"/>
          <w:sz w:val="27"/>
          <w:szCs w:val="27"/>
          <w:shd w:val="clear" w:color="auto" w:fill="FFFFFF"/>
        </w:rPr>
        <w:t xml:space="preserve"> </w:t>
      </w: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 xml:space="preserve">It is further trite that once the above requirements have been satisfied, wilfulness and </w:t>
      </w:r>
      <w:r w:rsidRPr="00632237">
        <w:rPr>
          <w:rFonts w:ascii="Arial" w:eastAsia="Times New Roman" w:hAnsi="Arial" w:cs="Arial"/>
          <w:i/>
          <w:color w:val="0E101A"/>
          <w:sz w:val="28"/>
          <w:szCs w:val="28"/>
          <w:lang w:eastAsia="en-ZA"/>
        </w:rPr>
        <w:t>malafide</w:t>
      </w:r>
      <w:r w:rsidRPr="00672618">
        <w:rPr>
          <w:rFonts w:ascii="Arial" w:eastAsia="Times New Roman" w:hAnsi="Arial" w:cs="Arial"/>
          <w:color w:val="0E101A"/>
          <w:sz w:val="28"/>
          <w:szCs w:val="28"/>
          <w:lang w:eastAsia="en-ZA"/>
        </w:rPr>
        <w:t xml:space="preserve"> on the part of the respondent is presumed. The evidentiary burden is then on the respondent</w:t>
      </w:r>
      <w:r w:rsidR="00632237">
        <w:rPr>
          <w:rFonts w:ascii="Arial" w:eastAsia="Times New Roman" w:hAnsi="Arial" w:cs="Arial"/>
          <w:color w:val="0E101A"/>
          <w:sz w:val="28"/>
          <w:szCs w:val="28"/>
          <w:lang w:eastAsia="en-ZA"/>
        </w:rPr>
        <w:t xml:space="preserve"> to establish reasonable doubt.</w:t>
      </w:r>
      <w:r w:rsidR="00632237">
        <w:rPr>
          <w:rStyle w:val="FootnoteReference"/>
          <w:rFonts w:ascii="Arial" w:eastAsia="Times New Roman" w:hAnsi="Arial" w:cs="Arial"/>
          <w:color w:val="0E101A"/>
          <w:sz w:val="28"/>
          <w:szCs w:val="28"/>
          <w:lang w:eastAsia="en-ZA"/>
        </w:rPr>
        <w:footnoteReference w:id="4"/>
      </w:r>
      <w:r w:rsidRPr="00672618">
        <w:rPr>
          <w:rFonts w:ascii="Arial" w:eastAsia="Times New Roman" w:hAnsi="Arial" w:cs="Arial"/>
          <w:color w:val="0E101A"/>
          <w:sz w:val="28"/>
          <w:szCs w:val="28"/>
          <w:lang w:eastAsia="en-ZA"/>
        </w:rPr>
        <w:t xml:space="preserve"> Failure to discharge this burden by the respondent will result in him or</w:t>
      </w:r>
      <w:r w:rsidR="00632237">
        <w:rPr>
          <w:rFonts w:ascii="Arial" w:eastAsia="Times New Roman" w:hAnsi="Arial" w:cs="Arial"/>
          <w:color w:val="0E101A"/>
          <w:sz w:val="28"/>
          <w:szCs w:val="28"/>
          <w:lang w:eastAsia="en-ZA"/>
        </w:rPr>
        <w:t xml:space="preserve"> her being found guilty of</w:t>
      </w:r>
      <w:r w:rsidRPr="00672618">
        <w:rPr>
          <w:rFonts w:ascii="Arial" w:eastAsia="Times New Roman" w:hAnsi="Arial" w:cs="Arial"/>
          <w:color w:val="0E101A"/>
          <w:sz w:val="28"/>
          <w:szCs w:val="28"/>
          <w:lang w:eastAsia="en-ZA"/>
        </w:rPr>
        <w:t xml:space="preserve"> contempt</w:t>
      </w:r>
      <w:r w:rsidR="00632237">
        <w:rPr>
          <w:rFonts w:ascii="Arial" w:eastAsia="Times New Roman" w:hAnsi="Arial" w:cs="Arial"/>
          <w:color w:val="0E101A"/>
          <w:sz w:val="28"/>
          <w:szCs w:val="28"/>
          <w:lang w:eastAsia="en-ZA"/>
        </w:rPr>
        <w:t xml:space="preserve"> of court</w:t>
      </w:r>
      <w:r w:rsidRPr="00672618">
        <w:rPr>
          <w:rFonts w:ascii="Arial" w:eastAsia="Times New Roman" w:hAnsi="Arial" w:cs="Arial"/>
          <w:color w:val="0E101A"/>
          <w:sz w:val="28"/>
          <w:szCs w:val="28"/>
          <w:lang w:eastAsia="en-ZA"/>
        </w:rPr>
        <w:t>.</w:t>
      </w:r>
    </w:p>
    <w:p w:rsidR="00FF04C5" w:rsidRPr="00FF04C5" w:rsidRDefault="00FF04C5" w:rsidP="00201434">
      <w:pPr>
        <w:spacing w:after="0" w:line="480" w:lineRule="auto"/>
        <w:jc w:val="both"/>
        <w:rPr>
          <w:rFonts w:ascii="Arial" w:eastAsia="Times New Roman" w:hAnsi="Arial" w:cs="Arial"/>
          <w:color w:val="0E101A"/>
          <w:sz w:val="28"/>
          <w:szCs w:val="28"/>
          <w:lang w:eastAsia="en-ZA"/>
        </w:rPr>
      </w:pP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The defendant's defence is that he did not deliberately and intentionally disobey the order between 1 March 2022 and 14 March 2022, as the order was not yet released. He did not comply with the order between 14 and 18 March 2022 as he was still seeking legal advice to determine the validity or enforceability of the order.  </w:t>
      </w:r>
    </w:p>
    <w:p w:rsidR="00FF04C5" w:rsidRPr="00FF04C5" w:rsidRDefault="00FF04C5" w:rsidP="00201434">
      <w:pPr>
        <w:spacing w:after="0" w:line="480" w:lineRule="auto"/>
        <w:jc w:val="both"/>
        <w:rPr>
          <w:rFonts w:ascii="Arial" w:eastAsia="Times New Roman" w:hAnsi="Arial" w:cs="Arial"/>
          <w:color w:val="0E101A"/>
          <w:sz w:val="28"/>
          <w:szCs w:val="28"/>
          <w:lang w:eastAsia="en-ZA"/>
        </w:rPr>
      </w:pP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lastRenderedPageBreak/>
        <w:t>In my view, the respondent in the present matter failed to comply with the court order made by Wright J on 1 March 2022. The contention that he was only able to comply after receiving the</w:t>
      </w:r>
      <w:r w:rsidR="007553F3">
        <w:rPr>
          <w:rFonts w:ascii="Arial" w:eastAsia="Times New Roman" w:hAnsi="Arial" w:cs="Arial"/>
          <w:color w:val="0E101A"/>
          <w:sz w:val="28"/>
          <w:szCs w:val="28"/>
          <w:lang w:eastAsia="en-ZA"/>
        </w:rPr>
        <w:t xml:space="preserve"> stamped</w:t>
      </w:r>
      <w:r w:rsidRPr="00672618">
        <w:rPr>
          <w:rFonts w:ascii="Arial" w:eastAsia="Times New Roman" w:hAnsi="Arial" w:cs="Arial"/>
          <w:color w:val="0E101A"/>
          <w:sz w:val="28"/>
          <w:szCs w:val="28"/>
          <w:lang w:eastAsia="en-ZA"/>
        </w:rPr>
        <w:t xml:space="preserve"> order, </w:t>
      </w:r>
      <w:r w:rsidR="00632237">
        <w:rPr>
          <w:rFonts w:ascii="Arial" w:eastAsia="Times New Roman" w:hAnsi="Arial" w:cs="Arial"/>
          <w:color w:val="0E101A"/>
          <w:sz w:val="28"/>
          <w:szCs w:val="28"/>
          <w:lang w:eastAsia="en-ZA"/>
        </w:rPr>
        <w:t xml:space="preserve">and after </w:t>
      </w:r>
      <w:r w:rsidRPr="00672618">
        <w:rPr>
          <w:rFonts w:ascii="Arial" w:eastAsia="Times New Roman" w:hAnsi="Arial" w:cs="Arial"/>
          <w:color w:val="0E101A"/>
          <w:sz w:val="28"/>
          <w:szCs w:val="28"/>
          <w:lang w:eastAsia="en-ZA"/>
        </w:rPr>
        <w:t xml:space="preserve">obtaining legal advice, and properly considering the extent </w:t>
      </w:r>
      <w:r w:rsidR="00632237">
        <w:rPr>
          <w:rFonts w:ascii="Arial" w:eastAsia="Times New Roman" w:hAnsi="Arial" w:cs="Arial"/>
          <w:color w:val="0E101A"/>
          <w:sz w:val="28"/>
          <w:szCs w:val="28"/>
          <w:lang w:eastAsia="en-ZA"/>
        </w:rPr>
        <w:t xml:space="preserve">of the order has no merits. There is no </w:t>
      </w:r>
      <w:r w:rsidRPr="00672618">
        <w:rPr>
          <w:rFonts w:ascii="Arial" w:eastAsia="Times New Roman" w:hAnsi="Arial" w:cs="Arial"/>
          <w:color w:val="0E101A"/>
          <w:sz w:val="28"/>
          <w:szCs w:val="28"/>
          <w:lang w:eastAsia="en-ZA"/>
        </w:rPr>
        <w:t>principle in our law</w:t>
      </w:r>
      <w:r w:rsidR="00632237">
        <w:rPr>
          <w:rFonts w:ascii="Arial" w:eastAsia="Times New Roman" w:hAnsi="Arial" w:cs="Arial"/>
          <w:color w:val="0E101A"/>
          <w:sz w:val="28"/>
          <w:szCs w:val="28"/>
          <w:lang w:eastAsia="en-ZA"/>
        </w:rPr>
        <w:t xml:space="preserve"> that</w:t>
      </w:r>
      <w:r w:rsidRPr="00672618">
        <w:rPr>
          <w:rFonts w:ascii="Arial" w:eastAsia="Times New Roman" w:hAnsi="Arial" w:cs="Arial"/>
          <w:color w:val="0E101A"/>
          <w:sz w:val="28"/>
          <w:szCs w:val="28"/>
          <w:lang w:eastAsia="en-ZA"/>
        </w:rPr>
        <w:t xml:space="preserve"> affords a litigant a discretion whether or not to comply with an order of the court.</w:t>
      </w:r>
    </w:p>
    <w:p w:rsidR="00FF04C5" w:rsidRPr="00FF04C5" w:rsidRDefault="00FF04C5" w:rsidP="00201434">
      <w:pPr>
        <w:spacing w:after="0" w:line="480" w:lineRule="auto"/>
        <w:jc w:val="both"/>
        <w:rPr>
          <w:rFonts w:ascii="Arial" w:eastAsia="Times New Roman" w:hAnsi="Arial" w:cs="Arial"/>
          <w:color w:val="0E101A"/>
          <w:sz w:val="28"/>
          <w:szCs w:val="28"/>
          <w:lang w:eastAsia="en-ZA"/>
        </w:rPr>
      </w:pP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 xml:space="preserve">It is common cause that the court issued the order on 1 March 2022 in an open virtual court. The respondent was legally represented at the time the order was made. The draft order, which at the time was uploaded onto caselines, was made an order of the court. Although the order was only stamped on 14 March 2022, the respondent knew </w:t>
      </w:r>
      <w:r w:rsidR="009118BF">
        <w:rPr>
          <w:rFonts w:ascii="Arial" w:eastAsia="Times New Roman" w:hAnsi="Arial" w:cs="Arial"/>
          <w:color w:val="0E101A"/>
          <w:sz w:val="28"/>
          <w:szCs w:val="28"/>
          <w:lang w:eastAsia="en-ZA"/>
        </w:rPr>
        <w:t xml:space="preserve">about </w:t>
      </w:r>
      <w:r w:rsidRPr="00672618">
        <w:rPr>
          <w:rFonts w:ascii="Arial" w:eastAsia="Times New Roman" w:hAnsi="Arial" w:cs="Arial"/>
          <w:color w:val="0E101A"/>
          <w:sz w:val="28"/>
          <w:szCs w:val="28"/>
          <w:lang w:eastAsia="en-ZA"/>
        </w:rPr>
        <w:t>the order long before then. This can, therefore, not be an excuse for non-compliance with the order.</w:t>
      </w:r>
    </w:p>
    <w:p w:rsidR="00FF04C5" w:rsidRPr="00FF04C5" w:rsidRDefault="00FF04C5" w:rsidP="00201434">
      <w:pPr>
        <w:spacing w:after="0" w:line="480" w:lineRule="auto"/>
        <w:jc w:val="both"/>
        <w:rPr>
          <w:rFonts w:ascii="Arial" w:eastAsia="Times New Roman" w:hAnsi="Arial" w:cs="Arial"/>
          <w:color w:val="0E101A"/>
          <w:sz w:val="28"/>
          <w:szCs w:val="28"/>
          <w:lang w:eastAsia="en-ZA"/>
        </w:rPr>
      </w:pP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 xml:space="preserve">For the purposes of this judgment, I will accept that the respondent has filed leave to appeal against paragraphs 2.4 and 3 of the order. There is, however, non-compliance with paragraph 2.3 of the order which required the removal of the posting from Facebook "forthwith." This means that the respondent was obliged to immediately remove the posting after he was informed of the order on 1 March 2022. His duty to obey the order was immediately after the court pronounced that he draft order was made </w:t>
      </w:r>
      <w:r w:rsidRPr="00672618">
        <w:rPr>
          <w:rFonts w:ascii="Arial" w:eastAsia="Times New Roman" w:hAnsi="Arial" w:cs="Arial"/>
          <w:color w:val="0E101A"/>
          <w:sz w:val="28"/>
          <w:szCs w:val="28"/>
          <w:lang w:eastAsia="en-ZA"/>
        </w:rPr>
        <w:lastRenderedPageBreak/>
        <w:t>the order of the court. Thus, the respondent's defence that he became aware of the extent of the order when it was stamped and uploaded onto caselines is unsustainable.  </w:t>
      </w:r>
    </w:p>
    <w:p w:rsidR="00FF04C5" w:rsidRPr="00FF04C5" w:rsidRDefault="00FF04C5" w:rsidP="00201434">
      <w:pPr>
        <w:spacing w:after="0" w:line="480" w:lineRule="auto"/>
        <w:jc w:val="both"/>
        <w:rPr>
          <w:rFonts w:ascii="Arial" w:eastAsia="Times New Roman" w:hAnsi="Arial" w:cs="Arial"/>
          <w:color w:val="0E101A"/>
          <w:sz w:val="28"/>
          <w:szCs w:val="28"/>
          <w:lang w:eastAsia="en-ZA"/>
        </w:rPr>
      </w:pP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The defence that the posting constitutes fair comment is an issue to be determined at a later stage</w:t>
      </w:r>
      <w:r w:rsidR="009118BF">
        <w:rPr>
          <w:rFonts w:ascii="Arial" w:eastAsia="Times New Roman" w:hAnsi="Arial" w:cs="Arial"/>
          <w:color w:val="0E101A"/>
          <w:sz w:val="28"/>
          <w:szCs w:val="28"/>
          <w:lang w:eastAsia="en-ZA"/>
        </w:rPr>
        <w:t>, in Part B of the proceedings,</w:t>
      </w:r>
      <w:r w:rsidRPr="00672618">
        <w:rPr>
          <w:rFonts w:ascii="Arial" w:eastAsia="Times New Roman" w:hAnsi="Arial" w:cs="Arial"/>
          <w:color w:val="0E101A"/>
          <w:sz w:val="28"/>
          <w:szCs w:val="28"/>
          <w:lang w:eastAsia="en-ZA"/>
        </w:rPr>
        <w:t xml:space="preserve"> and is thus not before this court. </w:t>
      </w:r>
      <w:r w:rsidR="009118BF">
        <w:rPr>
          <w:rFonts w:ascii="Arial" w:eastAsia="Times New Roman" w:hAnsi="Arial" w:cs="Arial"/>
          <w:color w:val="0E101A"/>
          <w:sz w:val="28"/>
          <w:szCs w:val="28"/>
          <w:lang w:eastAsia="en-ZA"/>
        </w:rPr>
        <w:t>In other words, t</w:t>
      </w:r>
      <w:r w:rsidRPr="00672618">
        <w:rPr>
          <w:rFonts w:ascii="Arial" w:eastAsia="Times New Roman" w:hAnsi="Arial" w:cs="Arial"/>
          <w:color w:val="0E101A"/>
          <w:sz w:val="28"/>
          <w:szCs w:val="28"/>
          <w:lang w:eastAsia="en-ZA"/>
        </w:rPr>
        <w:t>his court is enjoined to consider whether there has been compliance wit</w:t>
      </w:r>
      <w:r w:rsidR="009118BF">
        <w:rPr>
          <w:rFonts w:ascii="Arial" w:eastAsia="Times New Roman" w:hAnsi="Arial" w:cs="Arial"/>
          <w:color w:val="0E101A"/>
          <w:sz w:val="28"/>
          <w:szCs w:val="28"/>
          <w:lang w:eastAsia="en-ZA"/>
        </w:rPr>
        <w:t>h the order and not the</w:t>
      </w:r>
      <w:r w:rsidRPr="00672618">
        <w:rPr>
          <w:rFonts w:ascii="Arial" w:eastAsia="Times New Roman" w:hAnsi="Arial" w:cs="Arial"/>
          <w:color w:val="0E101A"/>
          <w:sz w:val="28"/>
          <w:szCs w:val="28"/>
          <w:lang w:eastAsia="en-ZA"/>
        </w:rPr>
        <w:t xml:space="preserve"> merits</w:t>
      </w:r>
      <w:r w:rsidR="009118BF">
        <w:rPr>
          <w:rFonts w:ascii="Arial" w:eastAsia="Times New Roman" w:hAnsi="Arial" w:cs="Arial"/>
          <w:color w:val="0E101A"/>
          <w:sz w:val="28"/>
          <w:szCs w:val="28"/>
          <w:lang w:eastAsia="en-ZA"/>
        </w:rPr>
        <w:t xml:space="preserve"> of the dispute</w:t>
      </w:r>
      <w:r w:rsidRPr="00672618">
        <w:rPr>
          <w:rFonts w:ascii="Arial" w:eastAsia="Times New Roman" w:hAnsi="Arial" w:cs="Arial"/>
          <w:color w:val="0E101A"/>
          <w:sz w:val="28"/>
          <w:szCs w:val="28"/>
          <w:lang w:eastAsia="en-ZA"/>
        </w:rPr>
        <w:t xml:space="preserve"> between the parties. </w:t>
      </w:r>
    </w:p>
    <w:p w:rsidR="00FF04C5" w:rsidRPr="00FF04C5" w:rsidRDefault="00FF04C5" w:rsidP="00201434">
      <w:pPr>
        <w:spacing w:after="0" w:line="480" w:lineRule="auto"/>
        <w:jc w:val="both"/>
        <w:rPr>
          <w:rFonts w:ascii="Arial" w:eastAsia="Times New Roman" w:hAnsi="Arial" w:cs="Arial"/>
          <w:color w:val="0E101A"/>
          <w:sz w:val="28"/>
          <w:szCs w:val="28"/>
          <w:lang w:eastAsia="en-ZA"/>
        </w:rPr>
      </w:pP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 xml:space="preserve">For the above reasons, I find that the respondent acted </w:t>
      </w:r>
      <w:r w:rsidR="009118BF" w:rsidRPr="00672618">
        <w:rPr>
          <w:rFonts w:ascii="Arial" w:eastAsia="Times New Roman" w:hAnsi="Arial" w:cs="Arial"/>
          <w:color w:val="0E101A"/>
          <w:sz w:val="28"/>
          <w:szCs w:val="28"/>
          <w:lang w:eastAsia="en-ZA"/>
        </w:rPr>
        <w:t>wilfully</w:t>
      </w:r>
      <w:r w:rsidRPr="00672618">
        <w:rPr>
          <w:rFonts w:ascii="Arial" w:eastAsia="Times New Roman" w:hAnsi="Arial" w:cs="Arial"/>
          <w:color w:val="0E101A"/>
          <w:sz w:val="28"/>
          <w:szCs w:val="28"/>
          <w:lang w:eastAsia="en-ZA"/>
        </w:rPr>
        <w:t xml:space="preserve"> and with</w:t>
      </w:r>
      <w:r w:rsidRPr="00672618">
        <w:rPr>
          <w:rFonts w:ascii="Arial" w:eastAsia="Times New Roman" w:hAnsi="Arial" w:cs="Arial"/>
          <w:i/>
          <w:iCs/>
          <w:color w:val="0E101A"/>
          <w:sz w:val="28"/>
          <w:szCs w:val="28"/>
          <w:lang w:eastAsia="en-ZA"/>
        </w:rPr>
        <w:t> mala</w:t>
      </w:r>
      <w:r w:rsidRPr="00672618">
        <w:rPr>
          <w:rFonts w:ascii="Arial" w:eastAsia="Times New Roman" w:hAnsi="Arial" w:cs="Arial"/>
          <w:color w:val="0E101A"/>
          <w:sz w:val="28"/>
          <w:szCs w:val="28"/>
          <w:lang w:eastAsia="en-ZA"/>
        </w:rPr>
        <w:t> in disobeying the order made by this court on 1 March 2022. The respondent is accordingly found guilty of contempt of court.</w:t>
      </w:r>
    </w:p>
    <w:p w:rsidR="00E82E72" w:rsidRDefault="00E82E72" w:rsidP="00201434">
      <w:pPr>
        <w:pStyle w:val="ListParagraph"/>
        <w:spacing w:after="0" w:line="480" w:lineRule="auto"/>
        <w:ind w:left="0"/>
        <w:jc w:val="both"/>
        <w:rPr>
          <w:rFonts w:ascii="Arial" w:eastAsia="Times New Roman" w:hAnsi="Arial" w:cs="Arial"/>
          <w:color w:val="0E101A"/>
          <w:sz w:val="28"/>
          <w:szCs w:val="28"/>
          <w:lang w:eastAsia="en-ZA"/>
        </w:rPr>
      </w:pPr>
    </w:p>
    <w:p w:rsidR="00FF04C5" w:rsidRPr="00E82E72" w:rsidRDefault="00FF04C5" w:rsidP="00201434">
      <w:pPr>
        <w:pStyle w:val="ListParagraph"/>
        <w:spacing w:after="0" w:line="480" w:lineRule="auto"/>
        <w:ind w:left="0"/>
        <w:jc w:val="both"/>
        <w:rPr>
          <w:rFonts w:ascii="Arial" w:eastAsia="Times New Roman" w:hAnsi="Arial" w:cs="Arial"/>
          <w:b/>
          <w:color w:val="0E101A"/>
          <w:sz w:val="28"/>
          <w:szCs w:val="28"/>
          <w:lang w:eastAsia="en-ZA"/>
        </w:rPr>
      </w:pPr>
      <w:r w:rsidRPr="00E82E72">
        <w:rPr>
          <w:rFonts w:ascii="Arial" w:eastAsia="Times New Roman" w:hAnsi="Arial" w:cs="Arial"/>
          <w:b/>
          <w:color w:val="0E101A"/>
          <w:sz w:val="28"/>
          <w:szCs w:val="28"/>
          <w:lang w:eastAsia="en-ZA"/>
        </w:rPr>
        <w:t>Order </w:t>
      </w:r>
    </w:p>
    <w:p w:rsidR="00FF04C5" w:rsidRPr="00FF04C5" w:rsidRDefault="00FF04C5" w:rsidP="00201434">
      <w:pPr>
        <w:spacing w:after="0" w:line="480" w:lineRule="auto"/>
        <w:jc w:val="both"/>
        <w:rPr>
          <w:rFonts w:ascii="Arial" w:eastAsia="Times New Roman" w:hAnsi="Arial" w:cs="Arial"/>
          <w:color w:val="0E101A"/>
          <w:sz w:val="28"/>
          <w:szCs w:val="28"/>
          <w:lang w:eastAsia="en-ZA"/>
        </w:rPr>
      </w:pPr>
    </w:p>
    <w:p w:rsidR="00FF04C5" w:rsidRPr="00672618" w:rsidRDefault="00FF04C5" w:rsidP="00201434">
      <w:pPr>
        <w:pStyle w:val="ListParagraph"/>
        <w:numPr>
          <w:ilvl w:val="0"/>
          <w:numId w:val="8"/>
        </w:numPr>
        <w:spacing w:after="0" w:line="480" w:lineRule="auto"/>
        <w:ind w:left="0" w:firstLine="0"/>
        <w:jc w:val="both"/>
        <w:rPr>
          <w:rFonts w:ascii="Arial" w:eastAsia="Times New Roman" w:hAnsi="Arial" w:cs="Arial"/>
          <w:color w:val="0E101A"/>
          <w:sz w:val="28"/>
          <w:szCs w:val="28"/>
          <w:lang w:eastAsia="en-ZA"/>
        </w:rPr>
      </w:pPr>
      <w:r w:rsidRPr="00672618">
        <w:rPr>
          <w:rFonts w:ascii="Arial" w:eastAsia="Times New Roman" w:hAnsi="Arial" w:cs="Arial"/>
          <w:color w:val="0E101A"/>
          <w:sz w:val="28"/>
          <w:szCs w:val="28"/>
          <w:lang w:eastAsia="en-ZA"/>
        </w:rPr>
        <w:t>In the circumstances, the following order is made:</w:t>
      </w:r>
    </w:p>
    <w:p w:rsidR="009118BF" w:rsidRDefault="00FF04C5" w:rsidP="00201434">
      <w:pPr>
        <w:pStyle w:val="ListParagraph"/>
        <w:numPr>
          <w:ilvl w:val="3"/>
          <w:numId w:val="8"/>
        </w:numPr>
        <w:tabs>
          <w:tab w:val="left" w:pos="2552"/>
        </w:tabs>
        <w:spacing w:after="0" w:line="480" w:lineRule="auto"/>
        <w:ind w:left="1418" w:hanging="425"/>
        <w:jc w:val="both"/>
        <w:rPr>
          <w:rFonts w:ascii="Arial" w:eastAsia="Times New Roman" w:hAnsi="Arial" w:cs="Arial"/>
          <w:color w:val="0E101A"/>
          <w:sz w:val="28"/>
          <w:szCs w:val="28"/>
          <w:lang w:eastAsia="en-ZA"/>
        </w:rPr>
      </w:pPr>
      <w:r w:rsidRPr="009118BF">
        <w:rPr>
          <w:rFonts w:ascii="Arial" w:eastAsia="Times New Roman" w:hAnsi="Arial" w:cs="Arial"/>
          <w:color w:val="0E101A"/>
          <w:sz w:val="28"/>
          <w:szCs w:val="28"/>
          <w:lang w:eastAsia="en-ZA"/>
        </w:rPr>
        <w:t>This matter is treated as urgent in terms of rule 6 (12) of the Uniform Rules of the High Court and non-compliance with the Rules is condoned;</w:t>
      </w:r>
    </w:p>
    <w:p w:rsidR="009118BF" w:rsidRDefault="00FF04C5" w:rsidP="00201434">
      <w:pPr>
        <w:pStyle w:val="ListParagraph"/>
        <w:numPr>
          <w:ilvl w:val="3"/>
          <w:numId w:val="8"/>
        </w:numPr>
        <w:tabs>
          <w:tab w:val="left" w:pos="2552"/>
        </w:tabs>
        <w:spacing w:after="0" w:line="480" w:lineRule="auto"/>
        <w:ind w:left="1418" w:hanging="425"/>
        <w:jc w:val="both"/>
        <w:rPr>
          <w:rFonts w:ascii="Arial" w:eastAsia="Times New Roman" w:hAnsi="Arial" w:cs="Arial"/>
          <w:color w:val="0E101A"/>
          <w:sz w:val="28"/>
          <w:szCs w:val="28"/>
          <w:lang w:eastAsia="en-ZA"/>
        </w:rPr>
      </w:pPr>
      <w:r w:rsidRPr="009118BF">
        <w:rPr>
          <w:rFonts w:ascii="Arial" w:eastAsia="Times New Roman" w:hAnsi="Arial" w:cs="Arial"/>
          <w:color w:val="0E101A"/>
          <w:sz w:val="28"/>
          <w:szCs w:val="28"/>
          <w:lang w:eastAsia="en-ZA"/>
        </w:rPr>
        <w:lastRenderedPageBreak/>
        <w:t>The respondent is declared to be in contempt o</w:t>
      </w:r>
      <w:r w:rsidR="00E82E72" w:rsidRPr="009118BF">
        <w:rPr>
          <w:rFonts w:ascii="Arial" w:eastAsia="Times New Roman" w:hAnsi="Arial" w:cs="Arial"/>
          <w:color w:val="0E101A"/>
          <w:sz w:val="28"/>
          <w:szCs w:val="28"/>
          <w:lang w:eastAsia="en-ZA"/>
        </w:rPr>
        <w:t>f the Court order granted by Wi</w:t>
      </w:r>
      <w:r w:rsidRPr="009118BF">
        <w:rPr>
          <w:rFonts w:ascii="Arial" w:eastAsia="Times New Roman" w:hAnsi="Arial" w:cs="Arial"/>
          <w:color w:val="0E101A"/>
          <w:sz w:val="28"/>
          <w:szCs w:val="28"/>
          <w:lang w:eastAsia="en-ZA"/>
        </w:rPr>
        <w:t xml:space="preserve">ght J under case number 6726/2022 </w:t>
      </w:r>
      <w:r w:rsidR="00E82E72" w:rsidRPr="009118BF">
        <w:rPr>
          <w:rFonts w:ascii="Arial" w:eastAsia="Times New Roman" w:hAnsi="Arial" w:cs="Arial"/>
          <w:color w:val="0E101A"/>
          <w:sz w:val="28"/>
          <w:szCs w:val="28"/>
          <w:lang w:eastAsia="en-ZA"/>
        </w:rPr>
        <w:t xml:space="preserve">on 01 March 2022; </w:t>
      </w:r>
    </w:p>
    <w:p w:rsidR="009118BF" w:rsidRDefault="00FF04C5" w:rsidP="00201434">
      <w:pPr>
        <w:pStyle w:val="ListParagraph"/>
        <w:numPr>
          <w:ilvl w:val="3"/>
          <w:numId w:val="8"/>
        </w:numPr>
        <w:tabs>
          <w:tab w:val="left" w:pos="2552"/>
        </w:tabs>
        <w:spacing w:after="0" w:line="480" w:lineRule="auto"/>
        <w:ind w:left="1418" w:hanging="425"/>
        <w:jc w:val="both"/>
        <w:rPr>
          <w:rFonts w:ascii="Arial" w:eastAsia="Times New Roman" w:hAnsi="Arial" w:cs="Arial"/>
          <w:color w:val="0E101A"/>
          <w:sz w:val="28"/>
          <w:szCs w:val="28"/>
          <w:lang w:eastAsia="en-ZA"/>
        </w:rPr>
      </w:pPr>
      <w:r w:rsidRPr="009118BF">
        <w:rPr>
          <w:rFonts w:ascii="Arial" w:eastAsia="Times New Roman" w:hAnsi="Arial" w:cs="Arial"/>
          <w:color w:val="0E101A"/>
          <w:sz w:val="28"/>
          <w:szCs w:val="28"/>
          <w:lang w:eastAsia="en-ZA"/>
        </w:rPr>
        <w:t>The respondent is directed to show cause within a period of 14 days of the date of this order why he should not be committed to a period of thirty days imprisonment, alternatively to pay a fine of R30 000.00. </w:t>
      </w:r>
    </w:p>
    <w:p w:rsidR="00E82E72" w:rsidRPr="009118BF" w:rsidRDefault="00FF04C5" w:rsidP="00201434">
      <w:pPr>
        <w:pStyle w:val="ListParagraph"/>
        <w:numPr>
          <w:ilvl w:val="3"/>
          <w:numId w:val="8"/>
        </w:numPr>
        <w:tabs>
          <w:tab w:val="left" w:pos="2552"/>
        </w:tabs>
        <w:spacing w:after="0" w:line="480" w:lineRule="auto"/>
        <w:ind w:left="1418" w:hanging="425"/>
        <w:jc w:val="both"/>
        <w:rPr>
          <w:rFonts w:ascii="Arial" w:eastAsia="Times New Roman" w:hAnsi="Arial" w:cs="Arial"/>
          <w:color w:val="0E101A"/>
          <w:sz w:val="28"/>
          <w:szCs w:val="28"/>
          <w:lang w:eastAsia="en-ZA"/>
        </w:rPr>
      </w:pPr>
      <w:r w:rsidRPr="009118BF">
        <w:rPr>
          <w:rFonts w:ascii="Arial" w:eastAsia="Times New Roman" w:hAnsi="Arial" w:cs="Arial"/>
          <w:color w:val="0E101A"/>
          <w:sz w:val="28"/>
          <w:szCs w:val="28"/>
          <w:lang w:eastAsia="en-ZA"/>
        </w:rPr>
        <w:t>Regarding paragraph 3 above, the following shall apply: </w:t>
      </w:r>
    </w:p>
    <w:p w:rsidR="009118BF" w:rsidRDefault="00FF04C5" w:rsidP="00201434">
      <w:pPr>
        <w:pStyle w:val="ListParagraph"/>
        <w:numPr>
          <w:ilvl w:val="1"/>
          <w:numId w:val="8"/>
        </w:numPr>
        <w:spacing w:after="0" w:line="480" w:lineRule="auto"/>
        <w:jc w:val="both"/>
        <w:rPr>
          <w:rFonts w:ascii="Arial" w:eastAsia="Times New Roman" w:hAnsi="Arial" w:cs="Arial"/>
          <w:color w:val="0E101A"/>
          <w:sz w:val="28"/>
          <w:szCs w:val="28"/>
          <w:lang w:eastAsia="en-ZA"/>
        </w:rPr>
      </w:pPr>
      <w:r w:rsidRPr="009118BF">
        <w:rPr>
          <w:rFonts w:ascii="Arial" w:eastAsia="Times New Roman" w:hAnsi="Arial" w:cs="Arial"/>
          <w:color w:val="0E101A"/>
          <w:sz w:val="28"/>
          <w:szCs w:val="28"/>
          <w:lang w:eastAsia="en-ZA"/>
        </w:rPr>
        <w:t>The respondent shall serve and file his affidavit by the 18 May 2022, </w:t>
      </w:r>
    </w:p>
    <w:p w:rsidR="00E82E72" w:rsidRPr="009118BF" w:rsidRDefault="00FF04C5" w:rsidP="00201434">
      <w:pPr>
        <w:pStyle w:val="ListParagraph"/>
        <w:numPr>
          <w:ilvl w:val="1"/>
          <w:numId w:val="8"/>
        </w:numPr>
        <w:spacing w:after="0" w:line="480" w:lineRule="auto"/>
        <w:jc w:val="both"/>
        <w:rPr>
          <w:rFonts w:ascii="Arial" w:eastAsia="Times New Roman" w:hAnsi="Arial" w:cs="Arial"/>
          <w:color w:val="0E101A"/>
          <w:sz w:val="28"/>
          <w:szCs w:val="28"/>
          <w:lang w:eastAsia="en-ZA"/>
        </w:rPr>
      </w:pPr>
      <w:r w:rsidRPr="009118BF">
        <w:rPr>
          <w:rFonts w:ascii="Arial" w:eastAsia="Times New Roman" w:hAnsi="Arial" w:cs="Arial"/>
          <w:color w:val="0E101A"/>
          <w:sz w:val="28"/>
          <w:szCs w:val="28"/>
          <w:lang w:eastAsia="en-ZA"/>
        </w:rPr>
        <w:t>The applicants shall, if they so wish to file their answer within 7 days of the date of the respondent's affidavit, and </w:t>
      </w:r>
    </w:p>
    <w:p w:rsidR="00FF04C5" w:rsidRPr="00FF04C5" w:rsidRDefault="00FF04C5" w:rsidP="00201434">
      <w:pPr>
        <w:numPr>
          <w:ilvl w:val="2"/>
          <w:numId w:val="8"/>
        </w:numPr>
        <w:spacing w:after="0" w:line="480" w:lineRule="auto"/>
        <w:jc w:val="both"/>
        <w:rPr>
          <w:rFonts w:ascii="Arial" w:eastAsia="Times New Roman" w:hAnsi="Arial" w:cs="Arial"/>
          <w:color w:val="0E101A"/>
          <w:sz w:val="28"/>
          <w:szCs w:val="28"/>
          <w:lang w:eastAsia="en-ZA"/>
        </w:rPr>
      </w:pPr>
      <w:r w:rsidRPr="00FF04C5">
        <w:rPr>
          <w:rFonts w:ascii="Arial" w:eastAsia="Times New Roman" w:hAnsi="Arial" w:cs="Arial"/>
          <w:color w:val="0E101A"/>
          <w:sz w:val="28"/>
          <w:szCs w:val="28"/>
          <w:lang w:eastAsia="en-ZA"/>
        </w:rPr>
        <w:t>he respondent shall, if he so wishes, serve and file his reply within 5 days of the date. </w:t>
      </w:r>
    </w:p>
    <w:p w:rsidR="00FF04C5" w:rsidRPr="00FF04C5" w:rsidRDefault="00FF04C5" w:rsidP="00201434">
      <w:pPr>
        <w:numPr>
          <w:ilvl w:val="0"/>
          <w:numId w:val="8"/>
        </w:numPr>
        <w:spacing w:after="0" w:line="480" w:lineRule="auto"/>
        <w:ind w:left="0" w:firstLine="0"/>
        <w:jc w:val="both"/>
        <w:rPr>
          <w:rFonts w:ascii="Arial" w:eastAsia="Times New Roman" w:hAnsi="Arial" w:cs="Arial"/>
          <w:color w:val="0E101A"/>
          <w:sz w:val="28"/>
          <w:szCs w:val="28"/>
          <w:lang w:eastAsia="en-ZA"/>
        </w:rPr>
      </w:pPr>
      <w:r w:rsidRPr="00FF04C5">
        <w:rPr>
          <w:rFonts w:ascii="Arial" w:eastAsia="Times New Roman" w:hAnsi="Arial" w:cs="Arial"/>
          <w:color w:val="0E101A"/>
          <w:sz w:val="28"/>
          <w:szCs w:val="28"/>
          <w:lang w:eastAsia="en-ZA"/>
        </w:rPr>
        <w:t>The respondent shall pay the costs of this application. </w:t>
      </w:r>
    </w:p>
    <w:p w:rsidR="00654595" w:rsidRPr="00D94F89" w:rsidRDefault="00654595" w:rsidP="00201434">
      <w:pPr>
        <w:pStyle w:val="ListParagraph"/>
        <w:spacing w:line="480" w:lineRule="auto"/>
        <w:ind w:left="0"/>
        <w:jc w:val="both"/>
        <w:rPr>
          <w:rFonts w:ascii="Arial" w:hAnsi="Arial" w:cs="Arial"/>
          <w:sz w:val="24"/>
          <w:szCs w:val="24"/>
        </w:rPr>
      </w:pPr>
    </w:p>
    <w:p w:rsidR="00654595" w:rsidRPr="00D94F89" w:rsidRDefault="00654595" w:rsidP="00201434">
      <w:pPr>
        <w:spacing w:line="480" w:lineRule="auto"/>
        <w:ind w:left="5040"/>
        <w:jc w:val="both"/>
        <w:rPr>
          <w:rFonts w:ascii="Arial" w:hAnsi="Arial" w:cs="Arial"/>
          <w:sz w:val="24"/>
          <w:szCs w:val="24"/>
          <w:u w:val="single"/>
        </w:rPr>
      </w:pPr>
      <w:r>
        <w:rPr>
          <w:rFonts w:ascii="Arial" w:hAnsi="Arial" w:cs="Arial"/>
          <w:sz w:val="24"/>
          <w:szCs w:val="24"/>
          <w:u w:val="single"/>
        </w:rPr>
        <w:t xml:space="preserve"> </w:t>
      </w:r>
      <w:bookmarkStart w:id="0" w:name="_GoBack"/>
      <w:bookmarkEnd w:id="0"/>
    </w:p>
    <w:p w:rsidR="00654595" w:rsidRPr="00D94F89" w:rsidRDefault="00654595" w:rsidP="00201434">
      <w:pPr>
        <w:spacing w:line="276" w:lineRule="auto"/>
        <w:ind w:left="5040"/>
        <w:jc w:val="both"/>
        <w:rPr>
          <w:rFonts w:ascii="Arial" w:hAnsi="Arial" w:cs="Arial"/>
          <w:sz w:val="24"/>
          <w:szCs w:val="24"/>
        </w:rPr>
      </w:pPr>
      <w:r w:rsidRPr="00D94F89">
        <w:rPr>
          <w:rFonts w:ascii="Arial" w:hAnsi="Arial" w:cs="Arial"/>
          <w:sz w:val="24"/>
          <w:szCs w:val="24"/>
        </w:rPr>
        <w:t xml:space="preserve">E Molahlehi </w:t>
      </w:r>
    </w:p>
    <w:p w:rsidR="00654595" w:rsidRPr="00D94F89" w:rsidRDefault="00201434" w:rsidP="00201434">
      <w:pPr>
        <w:spacing w:line="276" w:lineRule="auto"/>
        <w:ind w:left="5040"/>
        <w:jc w:val="both"/>
        <w:rPr>
          <w:rFonts w:ascii="Arial" w:hAnsi="Arial" w:cs="Arial"/>
          <w:sz w:val="24"/>
          <w:szCs w:val="24"/>
        </w:rPr>
      </w:pPr>
      <w:r>
        <w:rPr>
          <w:rFonts w:ascii="Arial" w:hAnsi="Arial" w:cs="Arial"/>
          <w:sz w:val="24"/>
          <w:szCs w:val="24"/>
        </w:rPr>
        <w:t>Judge of the High Court</w:t>
      </w:r>
      <w:r w:rsidR="00654595" w:rsidRPr="00D94F89">
        <w:rPr>
          <w:rFonts w:ascii="Arial" w:hAnsi="Arial" w:cs="Arial"/>
          <w:sz w:val="24"/>
          <w:szCs w:val="24"/>
        </w:rPr>
        <w:t xml:space="preserve">, </w:t>
      </w:r>
    </w:p>
    <w:p w:rsidR="00654595" w:rsidRPr="00D94F89" w:rsidRDefault="00654595" w:rsidP="00201434">
      <w:pPr>
        <w:spacing w:line="276" w:lineRule="auto"/>
        <w:ind w:left="5040"/>
        <w:jc w:val="both"/>
        <w:rPr>
          <w:rFonts w:ascii="Arial" w:hAnsi="Arial" w:cs="Arial"/>
          <w:sz w:val="24"/>
          <w:szCs w:val="24"/>
        </w:rPr>
      </w:pPr>
      <w:r w:rsidRPr="00D94F89">
        <w:rPr>
          <w:rFonts w:ascii="Arial" w:hAnsi="Arial" w:cs="Arial"/>
          <w:sz w:val="24"/>
          <w:szCs w:val="24"/>
        </w:rPr>
        <w:t>Gauteng Local Division,</w:t>
      </w:r>
    </w:p>
    <w:p w:rsidR="00654595" w:rsidRPr="00D94F89" w:rsidRDefault="00654595" w:rsidP="00654595">
      <w:pPr>
        <w:spacing w:line="480" w:lineRule="auto"/>
        <w:ind w:left="5040"/>
        <w:jc w:val="both"/>
        <w:rPr>
          <w:rFonts w:ascii="Arial" w:hAnsi="Arial" w:cs="Arial"/>
          <w:sz w:val="24"/>
          <w:szCs w:val="24"/>
        </w:rPr>
      </w:pPr>
      <w:r w:rsidRPr="00D94F89">
        <w:rPr>
          <w:rFonts w:ascii="Arial" w:hAnsi="Arial" w:cs="Arial"/>
          <w:sz w:val="24"/>
          <w:szCs w:val="24"/>
        </w:rPr>
        <w:t xml:space="preserve">Johannesburg. </w:t>
      </w:r>
    </w:p>
    <w:p w:rsidR="00654595" w:rsidRPr="00D94F89" w:rsidRDefault="00654595" w:rsidP="00654595">
      <w:pPr>
        <w:spacing w:line="480" w:lineRule="auto"/>
        <w:jc w:val="both"/>
        <w:rPr>
          <w:rFonts w:ascii="Arial" w:hAnsi="Arial" w:cs="Arial"/>
          <w:b/>
          <w:sz w:val="24"/>
          <w:szCs w:val="24"/>
        </w:rPr>
      </w:pPr>
      <w:r w:rsidRPr="00D94F89">
        <w:rPr>
          <w:rFonts w:ascii="Arial" w:hAnsi="Arial" w:cs="Arial"/>
          <w:b/>
          <w:sz w:val="24"/>
          <w:szCs w:val="24"/>
        </w:rPr>
        <w:t xml:space="preserve">Representation </w:t>
      </w:r>
    </w:p>
    <w:p w:rsidR="00654595" w:rsidRPr="00627E4D" w:rsidRDefault="00654595" w:rsidP="00654595">
      <w:pPr>
        <w:spacing w:line="480" w:lineRule="auto"/>
        <w:jc w:val="both"/>
        <w:rPr>
          <w:rFonts w:ascii="Arial" w:hAnsi="Arial" w:cs="Arial"/>
          <w:sz w:val="24"/>
          <w:szCs w:val="24"/>
        </w:rPr>
      </w:pPr>
      <w:r w:rsidRPr="00627E4D">
        <w:rPr>
          <w:rFonts w:ascii="Arial" w:hAnsi="Arial" w:cs="Arial"/>
          <w:sz w:val="24"/>
          <w:szCs w:val="24"/>
        </w:rPr>
        <w:lastRenderedPageBreak/>
        <w:t>Fo</w:t>
      </w:r>
      <w:r>
        <w:rPr>
          <w:rFonts w:ascii="Arial" w:hAnsi="Arial" w:cs="Arial"/>
          <w:sz w:val="24"/>
          <w:szCs w:val="24"/>
        </w:rPr>
        <w:t>r the applicant: Adv T Mathopo</w:t>
      </w:r>
    </w:p>
    <w:p w:rsidR="00654595" w:rsidRPr="00627E4D" w:rsidRDefault="00654595" w:rsidP="00654595">
      <w:pPr>
        <w:spacing w:line="480" w:lineRule="auto"/>
        <w:jc w:val="both"/>
        <w:rPr>
          <w:rFonts w:ascii="Arial" w:hAnsi="Arial" w:cs="Arial"/>
          <w:sz w:val="24"/>
          <w:szCs w:val="24"/>
        </w:rPr>
      </w:pPr>
      <w:r>
        <w:rPr>
          <w:rFonts w:ascii="Arial" w:hAnsi="Arial" w:cs="Arial"/>
          <w:sz w:val="24"/>
          <w:szCs w:val="24"/>
        </w:rPr>
        <w:t>Briefed by:</w:t>
      </w:r>
      <w:r w:rsidR="00463322">
        <w:rPr>
          <w:rFonts w:ascii="Arial" w:hAnsi="Arial" w:cs="Arial"/>
          <w:sz w:val="24"/>
          <w:szCs w:val="24"/>
        </w:rPr>
        <w:t xml:space="preserve"> Majavu Attorneys</w:t>
      </w:r>
    </w:p>
    <w:p w:rsidR="00654595" w:rsidRPr="00627E4D" w:rsidRDefault="00654595" w:rsidP="00654595">
      <w:pPr>
        <w:spacing w:line="480" w:lineRule="auto"/>
        <w:jc w:val="both"/>
        <w:rPr>
          <w:rFonts w:ascii="Arial" w:hAnsi="Arial" w:cs="Arial"/>
          <w:sz w:val="24"/>
          <w:szCs w:val="24"/>
        </w:rPr>
      </w:pPr>
      <w:r w:rsidRPr="00627E4D">
        <w:rPr>
          <w:rFonts w:ascii="Arial" w:hAnsi="Arial" w:cs="Arial"/>
          <w:sz w:val="24"/>
          <w:szCs w:val="24"/>
        </w:rPr>
        <w:t>For the Resp</w:t>
      </w:r>
      <w:r w:rsidR="004F1891">
        <w:rPr>
          <w:rFonts w:ascii="Arial" w:hAnsi="Arial" w:cs="Arial"/>
          <w:sz w:val="24"/>
          <w:szCs w:val="24"/>
        </w:rPr>
        <w:t xml:space="preserve">ondent: Adv JNysschens </w:t>
      </w:r>
    </w:p>
    <w:p w:rsidR="00654595" w:rsidRPr="00627E4D" w:rsidRDefault="00654595" w:rsidP="00654595">
      <w:pPr>
        <w:spacing w:line="480" w:lineRule="auto"/>
        <w:jc w:val="both"/>
        <w:rPr>
          <w:rFonts w:ascii="Arial" w:hAnsi="Arial" w:cs="Arial"/>
          <w:sz w:val="24"/>
          <w:szCs w:val="24"/>
        </w:rPr>
      </w:pPr>
      <w:r>
        <w:rPr>
          <w:rFonts w:ascii="Arial" w:hAnsi="Arial" w:cs="Arial"/>
          <w:sz w:val="24"/>
          <w:szCs w:val="24"/>
        </w:rPr>
        <w:t xml:space="preserve">Briefed </w:t>
      </w:r>
      <w:r w:rsidRPr="00627E4D">
        <w:rPr>
          <w:rFonts w:ascii="Arial" w:hAnsi="Arial" w:cs="Arial"/>
          <w:sz w:val="24"/>
          <w:szCs w:val="24"/>
        </w:rPr>
        <w:t>by:</w:t>
      </w:r>
      <w:r w:rsidR="00463322">
        <w:rPr>
          <w:rFonts w:ascii="Arial" w:hAnsi="Arial" w:cs="Arial"/>
          <w:sz w:val="24"/>
          <w:szCs w:val="24"/>
        </w:rPr>
        <w:t xml:space="preserve"> Johan Nysschens Attorney.</w:t>
      </w:r>
    </w:p>
    <w:p w:rsidR="00654595" w:rsidRPr="00627E4D" w:rsidRDefault="00654595" w:rsidP="00654595">
      <w:pPr>
        <w:spacing w:line="480" w:lineRule="auto"/>
        <w:jc w:val="both"/>
        <w:rPr>
          <w:rFonts w:ascii="Arial" w:hAnsi="Arial" w:cs="Arial"/>
          <w:sz w:val="24"/>
          <w:szCs w:val="24"/>
        </w:rPr>
      </w:pPr>
      <w:r>
        <w:rPr>
          <w:rFonts w:ascii="Arial" w:hAnsi="Arial" w:cs="Arial"/>
          <w:sz w:val="24"/>
          <w:szCs w:val="24"/>
        </w:rPr>
        <w:t xml:space="preserve">Hearing date: </w:t>
      </w:r>
      <w:r w:rsidR="004F1891">
        <w:rPr>
          <w:rFonts w:ascii="Arial" w:hAnsi="Arial" w:cs="Arial"/>
          <w:sz w:val="24"/>
          <w:szCs w:val="24"/>
        </w:rPr>
        <w:t>29 March 2022</w:t>
      </w:r>
      <w:r>
        <w:rPr>
          <w:rFonts w:ascii="Arial" w:hAnsi="Arial" w:cs="Arial"/>
          <w:sz w:val="24"/>
          <w:szCs w:val="24"/>
        </w:rPr>
        <w:t xml:space="preserve"> </w:t>
      </w:r>
    </w:p>
    <w:p w:rsidR="00654595" w:rsidRPr="00627E4D" w:rsidRDefault="00654595" w:rsidP="00654595">
      <w:pPr>
        <w:spacing w:line="480" w:lineRule="auto"/>
        <w:jc w:val="both"/>
        <w:rPr>
          <w:rFonts w:ascii="Arial" w:hAnsi="Arial" w:cs="Arial"/>
          <w:sz w:val="24"/>
          <w:szCs w:val="24"/>
        </w:rPr>
      </w:pPr>
      <w:r>
        <w:rPr>
          <w:rFonts w:ascii="Arial" w:hAnsi="Arial" w:cs="Arial"/>
          <w:sz w:val="24"/>
          <w:szCs w:val="24"/>
        </w:rPr>
        <w:t xml:space="preserve">Delivered: </w:t>
      </w:r>
      <w:r w:rsidR="004F1891">
        <w:rPr>
          <w:rFonts w:ascii="Arial" w:hAnsi="Arial" w:cs="Arial"/>
          <w:sz w:val="24"/>
          <w:szCs w:val="24"/>
        </w:rPr>
        <w:t xml:space="preserve">28 April 2022. </w:t>
      </w:r>
    </w:p>
    <w:p w:rsidR="00654595" w:rsidRPr="00672618" w:rsidRDefault="00654595" w:rsidP="00160EA4">
      <w:pPr>
        <w:spacing w:line="480" w:lineRule="auto"/>
        <w:rPr>
          <w:rFonts w:ascii="Arial" w:hAnsi="Arial" w:cs="Arial"/>
          <w:sz w:val="28"/>
          <w:szCs w:val="28"/>
        </w:rPr>
      </w:pPr>
    </w:p>
    <w:sectPr w:rsidR="00654595" w:rsidRPr="006726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D1" w:rsidRDefault="008842D1" w:rsidP="004A4B68">
      <w:pPr>
        <w:spacing w:after="0" w:line="240" w:lineRule="auto"/>
      </w:pPr>
      <w:r>
        <w:separator/>
      </w:r>
    </w:p>
  </w:endnote>
  <w:endnote w:type="continuationSeparator" w:id="0">
    <w:p w:rsidR="008842D1" w:rsidRDefault="008842D1" w:rsidP="004A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D1" w:rsidRDefault="008842D1" w:rsidP="004A4B68">
      <w:pPr>
        <w:spacing w:after="0" w:line="240" w:lineRule="auto"/>
      </w:pPr>
      <w:r>
        <w:separator/>
      </w:r>
    </w:p>
  </w:footnote>
  <w:footnote w:type="continuationSeparator" w:id="0">
    <w:p w:rsidR="008842D1" w:rsidRDefault="008842D1" w:rsidP="004A4B68">
      <w:pPr>
        <w:spacing w:after="0" w:line="240" w:lineRule="auto"/>
      </w:pPr>
      <w:r>
        <w:continuationSeparator/>
      </w:r>
    </w:p>
  </w:footnote>
  <w:footnote w:id="1">
    <w:p w:rsidR="004A4B68" w:rsidRPr="004A4B68" w:rsidRDefault="004A4B68">
      <w:pPr>
        <w:pStyle w:val="FootnoteText"/>
        <w:rPr>
          <w:lang w:val="en-GB"/>
        </w:rPr>
      </w:pPr>
      <w:r>
        <w:rPr>
          <w:rStyle w:val="FootnoteReference"/>
        </w:rPr>
        <w:footnoteRef/>
      </w:r>
      <w:r>
        <w:t xml:space="preserve"> </w:t>
      </w:r>
      <w:r w:rsidRPr="004A4B68">
        <w:rPr>
          <w:rFonts w:ascii="Arial" w:eastAsia="Times New Roman" w:hAnsi="Arial" w:cs="Arial"/>
          <w:color w:val="0E101A"/>
          <w:lang w:eastAsia="en-ZA"/>
        </w:rPr>
        <w:t>See Fakie N.O. v CCII Systems (Pty) Ltd [2006] ZASCA 52; 2006 (4) SA 326 (SCA) paragraph 6.</w:t>
      </w:r>
    </w:p>
  </w:footnote>
  <w:footnote w:id="2">
    <w:p w:rsidR="00632237" w:rsidRPr="00632237" w:rsidRDefault="00632237">
      <w:pPr>
        <w:pStyle w:val="FootnoteText"/>
        <w:rPr>
          <w:lang w:val="en-GB"/>
        </w:rPr>
      </w:pPr>
      <w:r>
        <w:rPr>
          <w:rStyle w:val="FootnoteReference"/>
        </w:rPr>
        <w:footnoteRef/>
      </w:r>
      <w:r>
        <w:t xml:space="preserve"> </w:t>
      </w:r>
      <w:r>
        <w:rPr>
          <w:lang w:val="en-GB"/>
        </w:rPr>
        <w:t xml:space="preserve">Fakie supra paragraph 9. </w:t>
      </w:r>
    </w:p>
  </w:footnote>
  <w:footnote w:id="3">
    <w:p w:rsidR="004A4B68" w:rsidRPr="004A4B68" w:rsidRDefault="004A4B68" w:rsidP="004A4B68">
      <w:pPr>
        <w:pStyle w:val="FootnoteText"/>
        <w:rPr>
          <w:lang w:val="en-GB"/>
        </w:rPr>
      </w:pPr>
      <w:r>
        <w:rPr>
          <w:rStyle w:val="FootnoteReference"/>
        </w:rPr>
        <w:footnoteRef/>
      </w:r>
      <w:r>
        <w:t xml:space="preserve"> </w:t>
      </w:r>
      <w:r w:rsidRPr="004A4B68">
        <w:rPr>
          <w:rFonts w:ascii="Arial" w:eastAsia="Times New Roman" w:hAnsi="Arial" w:cs="Arial"/>
          <w:color w:val="0E101A"/>
          <w:lang w:eastAsia="en-ZA"/>
        </w:rPr>
        <w:t>Fakie</w:t>
      </w:r>
      <w:r>
        <w:rPr>
          <w:rFonts w:ascii="Arial" w:eastAsia="Times New Roman" w:hAnsi="Arial" w:cs="Arial"/>
          <w:color w:val="0E101A"/>
          <w:lang w:eastAsia="en-ZA"/>
        </w:rPr>
        <w:t xml:space="preserve"> supra </w:t>
      </w:r>
      <w:r w:rsidR="0025247F">
        <w:rPr>
          <w:rFonts w:ascii="Arial" w:eastAsia="Times New Roman" w:hAnsi="Arial" w:cs="Arial"/>
          <w:color w:val="0E101A"/>
          <w:lang w:eastAsia="en-ZA"/>
        </w:rPr>
        <w:t>at para 22, and</w:t>
      </w:r>
      <w:r w:rsidR="00632237">
        <w:rPr>
          <w:rFonts w:ascii="Arial" w:eastAsia="Times New Roman" w:hAnsi="Arial" w:cs="Arial"/>
          <w:color w:val="0E101A"/>
          <w:lang w:eastAsia="en-ZA"/>
        </w:rPr>
        <w:t xml:space="preserve"> Pheko v Ekurhuleni Metrpolitan Municipality</w:t>
      </w:r>
      <w:r w:rsidR="0025247F">
        <w:rPr>
          <w:rFonts w:ascii="Arial" w:eastAsia="Times New Roman" w:hAnsi="Arial" w:cs="Arial"/>
          <w:color w:val="0E101A"/>
          <w:lang w:eastAsia="en-ZA"/>
        </w:rPr>
        <w:t xml:space="preserve"> </w:t>
      </w:r>
      <w:r w:rsidR="0025247F" w:rsidRPr="0025247F">
        <w:rPr>
          <w:rFonts w:ascii="Arial" w:eastAsia="Times New Roman" w:hAnsi="Arial" w:cs="Arial"/>
          <w:color w:val="0E101A"/>
          <w:lang w:eastAsia="en-ZA"/>
        </w:rPr>
        <w:t>[2015] ZACC 10; 2015 (5) SA 600 (CC); 2015 (6) BCLR 711 (CC) (Pheko II) at para [32].</w:t>
      </w:r>
    </w:p>
  </w:footnote>
  <w:footnote w:id="4">
    <w:p w:rsidR="00632237" w:rsidRPr="00632237" w:rsidRDefault="00632237" w:rsidP="00632237">
      <w:pPr>
        <w:pStyle w:val="FootnoteText"/>
        <w:rPr>
          <w:lang w:val="en-GB"/>
        </w:rPr>
      </w:pPr>
      <w:r>
        <w:rPr>
          <w:rStyle w:val="FootnoteReference"/>
        </w:rPr>
        <w:footnoteRef/>
      </w:r>
      <w:r>
        <w:t xml:space="preserve"> </w:t>
      </w:r>
      <w:r w:rsidRPr="00632237">
        <w:rPr>
          <w:rFonts w:ascii="Arial" w:eastAsia="Times New Roman" w:hAnsi="Arial" w:cs="Arial"/>
          <w:color w:val="0E101A"/>
          <w:lang w:eastAsia="en-ZA"/>
        </w:rPr>
        <w:t>Fakie supra at para 41 and 42; Pheko II at 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0C6E0CD0"/>
    <w:multiLevelType w:val="hybridMultilevel"/>
    <w:tmpl w:val="41F8376A"/>
    <w:lvl w:ilvl="0" w:tplc="E78216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A3F1BFA"/>
    <w:multiLevelType w:val="hybridMultilevel"/>
    <w:tmpl w:val="CD90C090"/>
    <w:lvl w:ilvl="0" w:tplc="176E2EB8">
      <w:start w:val="1"/>
      <w:numFmt w:val="lowerLetter"/>
      <w:lvlText w:val="(%1)"/>
      <w:lvlJc w:val="left"/>
      <w:pPr>
        <w:ind w:left="720" w:hanging="360"/>
      </w:pPr>
      <w:rPr>
        <w:rFonts w:ascii="Segoe UI" w:hAnsi="Segoe UI" w:cs="Segoe UI" w:hint="default"/>
        <w:color w:val="000000"/>
        <w:sz w:val="27"/>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1A61547"/>
    <w:multiLevelType w:val="hybridMultilevel"/>
    <w:tmpl w:val="C97423AE"/>
    <w:lvl w:ilvl="0" w:tplc="5566C362">
      <w:start w:val="1"/>
      <w:numFmt w:val="decimal"/>
      <w:lvlText w:val="[%1]"/>
      <w:lvlJc w:val="left"/>
      <w:pPr>
        <w:ind w:left="720" w:hanging="360"/>
      </w:pPr>
      <w:rPr>
        <w:rFonts w:hint="default"/>
      </w:rPr>
    </w:lvl>
    <w:lvl w:ilvl="1" w:tplc="07861FD2">
      <w:start w:val="1"/>
      <w:numFmt w:val="lowerRoman"/>
      <w:lvlText w:val="(%2)"/>
      <w:lvlJc w:val="left"/>
      <w:pPr>
        <w:ind w:left="1800" w:hanging="720"/>
      </w:pPr>
      <w:rPr>
        <w:rFonts w:hint="default"/>
      </w:rPr>
    </w:lvl>
    <w:lvl w:ilvl="2" w:tplc="28AE2020">
      <w:start w:val="1"/>
      <w:numFmt w:val="lowerLetter"/>
      <w:lvlText w:val="(%3)"/>
      <w:lvlJc w:val="left"/>
      <w:pPr>
        <w:ind w:left="2400" w:hanging="420"/>
      </w:pPr>
      <w:rPr>
        <w:rFonts w:hint="default"/>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E273FDD"/>
    <w:multiLevelType w:val="hybridMultilevel"/>
    <w:tmpl w:val="B5B46362"/>
    <w:lvl w:ilvl="0" w:tplc="2BA25394">
      <w:start w:val="1"/>
      <w:numFmt w:val="lowerRoman"/>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AD9465C"/>
    <w:multiLevelType w:val="multilevel"/>
    <w:tmpl w:val="F580D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F22F18"/>
    <w:multiLevelType w:val="hybridMultilevel"/>
    <w:tmpl w:val="D3D88A98"/>
    <w:lvl w:ilvl="0" w:tplc="3AAC2536">
      <w:start w:val="1"/>
      <w:numFmt w:val="upperLetter"/>
      <w:lvlText w:val="(%1)"/>
      <w:lvlJc w:val="left"/>
      <w:pPr>
        <w:ind w:left="430" w:hanging="360"/>
      </w:pPr>
      <w:rPr>
        <w:rFonts w:ascii="Segoe UI" w:hAnsi="Segoe UI" w:cs="Segoe UI" w:hint="default"/>
        <w:color w:val="000000"/>
        <w:sz w:val="27"/>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7" w15:restartNumberingAfterBreak="0">
    <w:nsid w:val="71E660BB"/>
    <w:multiLevelType w:val="hybridMultilevel"/>
    <w:tmpl w:val="023404AC"/>
    <w:lvl w:ilvl="0" w:tplc="D85CE814">
      <w:start w:val="1"/>
      <w:numFmt w:val="decimal"/>
      <w:lvlText w:val="%1."/>
      <w:lvlJc w:val="left"/>
      <w:pPr>
        <w:ind w:left="430" w:hanging="360"/>
      </w:pPr>
      <w:rPr>
        <w:rFonts w:ascii="Segoe UI" w:hAnsi="Segoe UI" w:cs="Segoe UI" w:hint="default"/>
        <w:color w:val="000000"/>
        <w:sz w:val="27"/>
      </w:rPr>
    </w:lvl>
    <w:lvl w:ilvl="1" w:tplc="1C090019">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num w:numId="1">
    <w:abstractNumId w:val="4"/>
  </w:num>
  <w:num w:numId="2">
    <w:abstractNumId w:val="6"/>
  </w:num>
  <w:num w:numId="3">
    <w:abstractNumId w:val="2"/>
  </w:num>
  <w:num w:numId="4">
    <w:abstractNumId w:val="1"/>
  </w:num>
  <w:num w:numId="5">
    <w:abstractNumId w:val="7"/>
  </w:num>
  <w:num w:numId="6">
    <w:abstractNumId w:val="5"/>
  </w:num>
  <w:num w:numId="7">
    <w:abstractNumId w:val="5"/>
    <w:lvlOverride w:ilvl="1">
      <w:lvl w:ilvl="1">
        <w:numFmt w:val="lowerLetter"/>
        <w:lvlText w:val="%2."/>
        <w:lvlJc w:val="left"/>
      </w:lvl>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0A"/>
    <w:rsid w:val="00000FDB"/>
    <w:rsid w:val="00080530"/>
    <w:rsid w:val="000C4C74"/>
    <w:rsid w:val="0011268B"/>
    <w:rsid w:val="00130C39"/>
    <w:rsid w:val="0013169B"/>
    <w:rsid w:val="00160EA4"/>
    <w:rsid w:val="00162B3E"/>
    <w:rsid w:val="001E64F5"/>
    <w:rsid w:val="001F276A"/>
    <w:rsid w:val="00201434"/>
    <w:rsid w:val="00224178"/>
    <w:rsid w:val="0025247F"/>
    <w:rsid w:val="0039614E"/>
    <w:rsid w:val="00463322"/>
    <w:rsid w:val="004A4B68"/>
    <w:rsid w:val="004C68BF"/>
    <w:rsid w:val="004F1891"/>
    <w:rsid w:val="004F7CA8"/>
    <w:rsid w:val="005940C0"/>
    <w:rsid w:val="005F4F56"/>
    <w:rsid w:val="0060595A"/>
    <w:rsid w:val="00617CE4"/>
    <w:rsid w:val="00626534"/>
    <w:rsid w:val="00632237"/>
    <w:rsid w:val="00654595"/>
    <w:rsid w:val="00663057"/>
    <w:rsid w:val="00672618"/>
    <w:rsid w:val="00684E29"/>
    <w:rsid w:val="006C05B6"/>
    <w:rsid w:val="006E3FAB"/>
    <w:rsid w:val="0072077B"/>
    <w:rsid w:val="007553F3"/>
    <w:rsid w:val="00827FD2"/>
    <w:rsid w:val="0085499A"/>
    <w:rsid w:val="008842D1"/>
    <w:rsid w:val="008B495D"/>
    <w:rsid w:val="008D6B83"/>
    <w:rsid w:val="008F2ED0"/>
    <w:rsid w:val="009118BF"/>
    <w:rsid w:val="00962360"/>
    <w:rsid w:val="009F6586"/>
    <w:rsid w:val="00A622CF"/>
    <w:rsid w:val="00A96985"/>
    <w:rsid w:val="00B02F33"/>
    <w:rsid w:val="00BA2A60"/>
    <w:rsid w:val="00BE1404"/>
    <w:rsid w:val="00BE294B"/>
    <w:rsid w:val="00BF4BA3"/>
    <w:rsid w:val="00C43594"/>
    <w:rsid w:val="00C637C7"/>
    <w:rsid w:val="00C9296D"/>
    <w:rsid w:val="00CC2FED"/>
    <w:rsid w:val="00CF17F4"/>
    <w:rsid w:val="00CF4FF4"/>
    <w:rsid w:val="00D601E9"/>
    <w:rsid w:val="00DC140A"/>
    <w:rsid w:val="00DF48FB"/>
    <w:rsid w:val="00E82E72"/>
    <w:rsid w:val="00FA0720"/>
    <w:rsid w:val="00FF04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3DB9F-5A1C-4801-A46C-097C8479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6A"/>
    <w:pPr>
      <w:ind w:left="720"/>
      <w:contextualSpacing/>
    </w:pPr>
  </w:style>
  <w:style w:type="character" w:customStyle="1" w:styleId="mc">
    <w:name w:val="mc"/>
    <w:basedOn w:val="DefaultParagraphFont"/>
    <w:rsid w:val="00080530"/>
  </w:style>
  <w:style w:type="character" w:styleId="Hyperlink">
    <w:name w:val="Hyperlink"/>
    <w:basedOn w:val="DefaultParagraphFont"/>
    <w:uiPriority w:val="99"/>
    <w:semiHidden/>
    <w:unhideWhenUsed/>
    <w:rsid w:val="00080530"/>
    <w:rPr>
      <w:color w:val="0000FF"/>
      <w:u w:val="single"/>
    </w:rPr>
  </w:style>
  <w:style w:type="character" w:styleId="CommentReference">
    <w:name w:val="annotation reference"/>
    <w:basedOn w:val="DefaultParagraphFont"/>
    <w:uiPriority w:val="99"/>
    <w:semiHidden/>
    <w:unhideWhenUsed/>
    <w:rsid w:val="00BF4BA3"/>
    <w:rPr>
      <w:sz w:val="16"/>
      <w:szCs w:val="16"/>
    </w:rPr>
  </w:style>
  <w:style w:type="paragraph" w:styleId="CommentText">
    <w:name w:val="annotation text"/>
    <w:basedOn w:val="Normal"/>
    <w:link w:val="CommentTextChar"/>
    <w:uiPriority w:val="99"/>
    <w:semiHidden/>
    <w:unhideWhenUsed/>
    <w:rsid w:val="00BF4BA3"/>
    <w:pPr>
      <w:spacing w:line="240" w:lineRule="auto"/>
    </w:pPr>
    <w:rPr>
      <w:sz w:val="20"/>
      <w:szCs w:val="20"/>
    </w:rPr>
  </w:style>
  <w:style w:type="character" w:customStyle="1" w:styleId="CommentTextChar">
    <w:name w:val="Comment Text Char"/>
    <w:basedOn w:val="DefaultParagraphFont"/>
    <w:link w:val="CommentText"/>
    <w:uiPriority w:val="99"/>
    <w:semiHidden/>
    <w:rsid w:val="00BF4BA3"/>
    <w:rPr>
      <w:sz w:val="20"/>
      <w:szCs w:val="20"/>
    </w:rPr>
  </w:style>
  <w:style w:type="paragraph" w:styleId="CommentSubject">
    <w:name w:val="annotation subject"/>
    <w:basedOn w:val="CommentText"/>
    <w:next w:val="CommentText"/>
    <w:link w:val="CommentSubjectChar"/>
    <w:uiPriority w:val="99"/>
    <w:semiHidden/>
    <w:unhideWhenUsed/>
    <w:rsid w:val="00BF4BA3"/>
    <w:rPr>
      <w:b/>
      <w:bCs/>
    </w:rPr>
  </w:style>
  <w:style w:type="character" w:customStyle="1" w:styleId="CommentSubjectChar">
    <w:name w:val="Comment Subject Char"/>
    <w:basedOn w:val="CommentTextChar"/>
    <w:link w:val="CommentSubject"/>
    <w:uiPriority w:val="99"/>
    <w:semiHidden/>
    <w:rsid w:val="00BF4BA3"/>
    <w:rPr>
      <w:b/>
      <w:bCs/>
      <w:sz w:val="20"/>
      <w:szCs w:val="20"/>
    </w:rPr>
  </w:style>
  <w:style w:type="paragraph" w:styleId="BalloonText">
    <w:name w:val="Balloon Text"/>
    <w:basedOn w:val="Normal"/>
    <w:link w:val="BalloonTextChar"/>
    <w:uiPriority w:val="99"/>
    <w:semiHidden/>
    <w:unhideWhenUsed/>
    <w:rsid w:val="00BF4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A3"/>
    <w:rPr>
      <w:rFonts w:ascii="Segoe UI" w:hAnsi="Segoe UI" w:cs="Segoe UI"/>
      <w:sz w:val="18"/>
      <w:szCs w:val="18"/>
    </w:rPr>
  </w:style>
  <w:style w:type="paragraph" w:styleId="NormalWeb">
    <w:name w:val="Normal (Web)"/>
    <w:basedOn w:val="Normal"/>
    <w:uiPriority w:val="99"/>
    <w:unhideWhenUsed/>
    <w:rsid w:val="00FF04C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FF04C5"/>
    <w:rPr>
      <w:i/>
      <w:iCs/>
    </w:rPr>
  </w:style>
  <w:style w:type="paragraph" w:styleId="FootnoteText">
    <w:name w:val="footnote text"/>
    <w:basedOn w:val="Normal"/>
    <w:link w:val="FootnoteTextChar"/>
    <w:uiPriority w:val="99"/>
    <w:semiHidden/>
    <w:unhideWhenUsed/>
    <w:rsid w:val="004A4B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B68"/>
    <w:rPr>
      <w:sz w:val="20"/>
      <w:szCs w:val="20"/>
    </w:rPr>
  </w:style>
  <w:style w:type="character" w:styleId="FootnoteReference">
    <w:name w:val="footnote reference"/>
    <w:basedOn w:val="DefaultParagraphFont"/>
    <w:uiPriority w:val="99"/>
    <w:semiHidden/>
    <w:unhideWhenUsed/>
    <w:rsid w:val="004A4B68"/>
    <w:rPr>
      <w:vertAlign w:val="superscript"/>
    </w:rPr>
  </w:style>
  <w:style w:type="table" w:styleId="TableGrid">
    <w:name w:val="Table Grid"/>
    <w:basedOn w:val="TableNormal"/>
    <w:uiPriority w:val="39"/>
    <w:rsid w:val="00654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6479">
      <w:bodyDiv w:val="1"/>
      <w:marLeft w:val="0"/>
      <w:marRight w:val="0"/>
      <w:marTop w:val="0"/>
      <w:marBottom w:val="0"/>
      <w:divBdr>
        <w:top w:val="none" w:sz="0" w:space="0" w:color="auto"/>
        <w:left w:val="none" w:sz="0" w:space="0" w:color="auto"/>
        <w:bottom w:val="none" w:sz="0" w:space="0" w:color="auto"/>
        <w:right w:val="none" w:sz="0" w:space="0" w:color="auto"/>
      </w:divBdr>
    </w:div>
    <w:div w:id="1541017353">
      <w:bodyDiv w:val="1"/>
      <w:marLeft w:val="0"/>
      <w:marRight w:val="0"/>
      <w:marTop w:val="0"/>
      <w:marBottom w:val="0"/>
      <w:divBdr>
        <w:top w:val="none" w:sz="0" w:space="0" w:color="auto"/>
        <w:left w:val="none" w:sz="0" w:space="0" w:color="auto"/>
        <w:bottom w:val="none" w:sz="0" w:space="0" w:color="auto"/>
        <w:right w:val="none" w:sz="0" w:space="0" w:color="auto"/>
      </w:divBdr>
      <w:divsChild>
        <w:div w:id="1088575559">
          <w:marLeft w:val="0"/>
          <w:marRight w:val="0"/>
          <w:marTop w:val="120"/>
          <w:marBottom w:val="0"/>
          <w:divBdr>
            <w:top w:val="none" w:sz="0" w:space="0" w:color="auto"/>
            <w:left w:val="none" w:sz="0" w:space="0" w:color="auto"/>
            <w:bottom w:val="none" w:sz="0" w:space="0" w:color="auto"/>
            <w:right w:val="none" w:sz="0" w:space="0" w:color="auto"/>
          </w:divBdr>
        </w:div>
        <w:div w:id="1084376238">
          <w:marLeft w:val="0"/>
          <w:marRight w:val="0"/>
          <w:marTop w:val="120"/>
          <w:marBottom w:val="0"/>
          <w:divBdr>
            <w:top w:val="none" w:sz="0" w:space="0" w:color="auto"/>
            <w:left w:val="none" w:sz="0" w:space="0" w:color="auto"/>
            <w:bottom w:val="none" w:sz="0" w:space="0" w:color="auto"/>
            <w:right w:val="none" w:sz="0" w:space="0" w:color="auto"/>
          </w:divBdr>
        </w:div>
        <w:div w:id="1538397422">
          <w:marLeft w:val="1134"/>
          <w:marRight w:val="0"/>
          <w:marTop w:val="120"/>
          <w:marBottom w:val="0"/>
          <w:divBdr>
            <w:top w:val="none" w:sz="0" w:space="0" w:color="auto"/>
            <w:left w:val="none" w:sz="0" w:space="0" w:color="auto"/>
            <w:bottom w:val="none" w:sz="0" w:space="0" w:color="auto"/>
            <w:right w:val="none" w:sz="0" w:space="0" w:color="auto"/>
          </w:divBdr>
        </w:div>
        <w:div w:id="215509520">
          <w:marLeft w:val="1134"/>
          <w:marRight w:val="0"/>
          <w:marTop w:val="120"/>
          <w:marBottom w:val="0"/>
          <w:divBdr>
            <w:top w:val="none" w:sz="0" w:space="0" w:color="auto"/>
            <w:left w:val="none" w:sz="0" w:space="0" w:color="auto"/>
            <w:bottom w:val="none" w:sz="0" w:space="0" w:color="auto"/>
            <w:right w:val="none" w:sz="0" w:space="0" w:color="auto"/>
          </w:divBdr>
        </w:div>
        <w:div w:id="73550231">
          <w:marLeft w:val="1134"/>
          <w:marRight w:val="0"/>
          <w:marTop w:val="120"/>
          <w:marBottom w:val="0"/>
          <w:divBdr>
            <w:top w:val="none" w:sz="0" w:space="0" w:color="auto"/>
            <w:left w:val="none" w:sz="0" w:space="0" w:color="auto"/>
            <w:bottom w:val="none" w:sz="0" w:space="0" w:color="auto"/>
            <w:right w:val="none" w:sz="0" w:space="0" w:color="auto"/>
          </w:divBdr>
        </w:div>
        <w:div w:id="1142697615">
          <w:marLeft w:val="0"/>
          <w:marRight w:val="0"/>
          <w:marTop w:val="120"/>
          <w:marBottom w:val="0"/>
          <w:divBdr>
            <w:top w:val="none" w:sz="0" w:space="0" w:color="auto"/>
            <w:left w:val="none" w:sz="0" w:space="0" w:color="auto"/>
            <w:bottom w:val="none" w:sz="0" w:space="0" w:color="auto"/>
            <w:right w:val="none" w:sz="0" w:space="0" w:color="auto"/>
          </w:divBdr>
        </w:div>
        <w:div w:id="659237561">
          <w:marLeft w:val="0"/>
          <w:marRight w:val="0"/>
          <w:marTop w:val="120"/>
          <w:marBottom w:val="0"/>
          <w:divBdr>
            <w:top w:val="none" w:sz="0" w:space="0" w:color="auto"/>
            <w:left w:val="none" w:sz="0" w:space="0" w:color="auto"/>
            <w:bottom w:val="none" w:sz="0" w:space="0" w:color="auto"/>
            <w:right w:val="none" w:sz="0" w:space="0" w:color="auto"/>
          </w:divBdr>
        </w:div>
        <w:div w:id="231622381">
          <w:marLeft w:val="0"/>
          <w:marRight w:val="0"/>
          <w:marTop w:val="120"/>
          <w:marBottom w:val="0"/>
          <w:divBdr>
            <w:top w:val="none" w:sz="0" w:space="0" w:color="auto"/>
            <w:left w:val="none" w:sz="0" w:space="0" w:color="auto"/>
            <w:bottom w:val="none" w:sz="0" w:space="0" w:color="auto"/>
            <w:right w:val="none" w:sz="0" w:space="0" w:color="auto"/>
          </w:divBdr>
        </w:div>
        <w:div w:id="471673954">
          <w:marLeft w:val="0"/>
          <w:marRight w:val="0"/>
          <w:marTop w:val="120"/>
          <w:marBottom w:val="0"/>
          <w:divBdr>
            <w:top w:val="none" w:sz="0" w:space="0" w:color="auto"/>
            <w:left w:val="none" w:sz="0" w:space="0" w:color="auto"/>
            <w:bottom w:val="none" w:sz="0" w:space="0" w:color="auto"/>
            <w:right w:val="none" w:sz="0" w:space="0" w:color="auto"/>
          </w:divBdr>
        </w:div>
        <w:div w:id="1265117911">
          <w:marLeft w:val="0"/>
          <w:marRight w:val="0"/>
          <w:marTop w:val="120"/>
          <w:marBottom w:val="0"/>
          <w:divBdr>
            <w:top w:val="none" w:sz="0" w:space="0" w:color="auto"/>
            <w:left w:val="none" w:sz="0" w:space="0" w:color="auto"/>
            <w:bottom w:val="none" w:sz="0" w:space="0" w:color="auto"/>
            <w:right w:val="none" w:sz="0" w:space="0" w:color="auto"/>
          </w:divBdr>
        </w:div>
        <w:div w:id="63263939">
          <w:marLeft w:val="0"/>
          <w:marRight w:val="0"/>
          <w:marTop w:val="120"/>
          <w:marBottom w:val="0"/>
          <w:divBdr>
            <w:top w:val="none" w:sz="0" w:space="0" w:color="auto"/>
            <w:left w:val="none" w:sz="0" w:space="0" w:color="auto"/>
            <w:bottom w:val="none" w:sz="0" w:space="0" w:color="auto"/>
            <w:right w:val="none" w:sz="0" w:space="0" w:color="auto"/>
          </w:divBdr>
        </w:div>
        <w:div w:id="1848901808">
          <w:marLeft w:val="1134"/>
          <w:marRight w:val="0"/>
          <w:marTop w:val="120"/>
          <w:marBottom w:val="0"/>
          <w:divBdr>
            <w:top w:val="none" w:sz="0" w:space="0" w:color="auto"/>
            <w:left w:val="none" w:sz="0" w:space="0" w:color="auto"/>
            <w:bottom w:val="none" w:sz="0" w:space="0" w:color="auto"/>
            <w:right w:val="none" w:sz="0" w:space="0" w:color="auto"/>
          </w:divBdr>
        </w:div>
        <w:div w:id="1869875095">
          <w:marLeft w:val="1134"/>
          <w:marRight w:val="0"/>
          <w:marTop w:val="120"/>
          <w:marBottom w:val="0"/>
          <w:divBdr>
            <w:top w:val="none" w:sz="0" w:space="0" w:color="auto"/>
            <w:left w:val="none" w:sz="0" w:space="0" w:color="auto"/>
            <w:bottom w:val="none" w:sz="0" w:space="0" w:color="auto"/>
            <w:right w:val="none" w:sz="0" w:space="0" w:color="auto"/>
          </w:divBdr>
        </w:div>
        <w:div w:id="697047334">
          <w:marLeft w:val="1134"/>
          <w:marRight w:val="0"/>
          <w:marTop w:val="120"/>
          <w:marBottom w:val="0"/>
          <w:divBdr>
            <w:top w:val="none" w:sz="0" w:space="0" w:color="auto"/>
            <w:left w:val="none" w:sz="0" w:space="0" w:color="auto"/>
            <w:bottom w:val="none" w:sz="0" w:space="0" w:color="auto"/>
            <w:right w:val="none" w:sz="0" w:space="0" w:color="auto"/>
          </w:divBdr>
        </w:div>
        <w:div w:id="1373530757">
          <w:marLeft w:val="0"/>
          <w:marRight w:val="0"/>
          <w:marTop w:val="240"/>
          <w:marBottom w:val="24"/>
          <w:divBdr>
            <w:top w:val="single" w:sz="8" w:space="2" w:color="808080"/>
            <w:left w:val="none" w:sz="0" w:space="0" w:color="auto"/>
            <w:bottom w:val="none" w:sz="0" w:space="0" w:color="auto"/>
            <w:right w:val="none" w:sz="0" w:space="0" w:color="auto"/>
          </w:divBdr>
        </w:div>
        <w:div w:id="364452999">
          <w:marLeft w:val="0"/>
          <w:marRight w:val="0"/>
          <w:marTop w:val="120"/>
          <w:marBottom w:val="0"/>
          <w:divBdr>
            <w:top w:val="none" w:sz="0" w:space="0" w:color="auto"/>
            <w:left w:val="none" w:sz="0" w:space="0" w:color="auto"/>
            <w:bottom w:val="none" w:sz="0" w:space="0" w:color="auto"/>
            <w:right w:val="none" w:sz="0" w:space="0" w:color="auto"/>
          </w:divBdr>
        </w:div>
        <w:div w:id="1849556997">
          <w:marLeft w:val="0"/>
          <w:marRight w:val="0"/>
          <w:marTop w:val="120"/>
          <w:marBottom w:val="0"/>
          <w:divBdr>
            <w:top w:val="none" w:sz="0" w:space="0" w:color="auto"/>
            <w:left w:val="none" w:sz="0" w:space="0" w:color="auto"/>
            <w:bottom w:val="none" w:sz="0" w:space="0" w:color="auto"/>
            <w:right w:val="none" w:sz="0" w:space="0" w:color="auto"/>
          </w:divBdr>
        </w:div>
        <w:div w:id="1190752362">
          <w:marLeft w:val="0"/>
          <w:marRight w:val="0"/>
          <w:marTop w:val="120"/>
          <w:marBottom w:val="0"/>
          <w:divBdr>
            <w:top w:val="none" w:sz="0" w:space="0" w:color="auto"/>
            <w:left w:val="none" w:sz="0" w:space="0" w:color="auto"/>
            <w:bottom w:val="none" w:sz="0" w:space="0" w:color="auto"/>
            <w:right w:val="none" w:sz="0" w:space="0" w:color="auto"/>
          </w:divBdr>
        </w:div>
        <w:div w:id="1135290287">
          <w:marLeft w:val="0"/>
          <w:marRight w:val="0"/>
          <w:marTop w:val="120"/>
          <w:marBottom w:val="0"/>
          <w:divBdr>
            <w:top w:val="none" w:sz="0" w:space="0" w:color="auto"/>
            <w:left w:val="none" w:sz="0" w:space="0" w:color="auto"/>
            <w:bottom w:val="none" w:sz="0" w:space="0" w:color="auto"/>
            <w:right w:val="none" w:sz="0" w:space="0" w:color="auto"/>
          </w:divBdr>
        </w:div>
        <w:div w:id="1907642066">
          <w:marLeft w:val="0"/>
          <w:marRight w:val="0"/>
          <w:marTop w:val="120"/>
          <w:marBottom w:val="0"/>
          <w:divBdr>
            <w:top w:val="none" w:sz="0" w:space="0" w:color="auto"/>
            <w:left w:val="none" w:sz="0" w:space="0" w:color="auto"/>
            <w:bottom w:val="none" w:sz="0" w:space="0" w:color="auto"/>
            <w:right w:val="none" w:sz="0" w:space="0" w:color="auto"/>
          </w:divBdr>
        </w:div>
        <w:div w:id="1537887655">
          <w:marLeft w:val="0"/>
          <w:marRight w:val="0"/>
          <w:marTop w:val="120"/>
          <w:marBottom w:val="0"/>
          <w:divBdr>
            <w:top w:val="none" w:sz="0" w:space="0" w:color="auto"/>
            <w:left w:val="none" w:sz="0" w:space="0" w:color="auto"/>
            <w:bottom w:val="none" w:sz="0" w:space="0" w:color="auto"/>
            <w:right w:val="none" w:sz="0" w:space="0" w:color="auto"/>
          </w:divBdr>
        </w:div>
        <w:div w:id="248731107">
          <w:marLeft w:val="567"/>
          <w:marRight w:val="0"/>
          <w:marTop w:val="120"/>
          <w:marBottom w:val="0"/>
          <w:divBdr>
            <w:top w:val="none" w:sz="0" w:space="0" w:color="auto"/>
            <w:left w:val="none" w:sz="0" w:space="0" w:color="auto"/>
            <w:bottom w:val="none" w:sz="0" w:space="0" w:color="auto"/>
            <w:right w:val="none" w:sz="0" w:space="0" w:color="auto"/>
          </w:divBdr>
        </w:div>
        <w:div w:id="2510080">
          <w:marLeft w:val="0"/>
          <w:marRight w:val="0"/>
          <w:marTop w:val="120"/>
          <w:marBottom w:val="0"/>
          <w:divBdr>
            <w:top w:val="none" w:sz="0" w:space="0" w:color="auto"/>
            <w:left w:val="none" w:sz="0" w:space="0" w:color="auto"/>
            <w:bottom w:val="none" w:sz="0" w:space="0" w:color="auto"/>
            <w:right w:val="none" w:sz="0" w:space="0" w:color="auto"/>
          </w:divBdr>
        </w:div>
        <w:div w:id="722412376">
          <w:marLeft w:val="0"/>
          <w:marRight w:val="0"/>
          <w:marTop w:val="240"/>
          <w:marBottom w:val="24"/>
          <w:divBdr>
            <w:top w:val="single" w:sz="8" w:space="2" w:color="808080"/>
            <w:left w:val="none" w:sz="0" w:space="0" w:color="auto"/>
            <w:bottom w:val="none" w:sz="0" w:space="0" w:color="auto"/>
            <w:right w:val="none" w:sz="0" w:space="0" w:color="auto"/>
          </w:divBdr>
        </w:div>
        <w:div w:id="145901004">
          <w:marLeft w:val="0"/>
          <w:marRight w:val="0"/>
          <w:marTop w:val="120"/>
          <w:marBottom w:val="0"/>
          <w:divBdr>
            <w:top w:val="none" w:sz="0" w:space="0" w:color="auto"/>
            <w:left w:val="none" w:sz="0" w:space="0" w:color="auto"/>
            <w:bottom w:val="none" w:sz="0" w:space="0" w:color="auto"/>
            <w:right w:val="none" w:sz="0" w:space="0" w:color="auto"/>
          </w:divBdr>
        </w:div>
        <w:div w:id="1135103153">
          <w:marLeft w:val="0"/>
          <w:marRight w:val="0"/>
          <w:marTop w:val="120"/>
          <w:marBottom w:val="0"/>
          <w:divBdr>
            <w:top w:val="none" w:sz="0" w:space="0" w:color="auto"/>
            <w:left w:val="none" w:sz="0" w:space="0" w:color="auto"/>
            <w:bottom w:val="none" w:sz="0" w:space="0" w:color="auto"/>
            <w:right w:val="none" w:sz="0" w:space="0" w:color="auto"/>
          </w:divBdr>
        </w:div>
        <w:div w:id="1084230067">
          <w:marLeft w:val="0"/>
          <w:marRight w:val="0"/>
          <w:marTop w:val="120"/>
          <w:marBottom w:val="0"/>
          <w:divBdr>
            <w:top w:val="none" w:sz="0" w:space="0" w:color="auto"/>
            <w:left w:val="none" w:sz="0" w:space="0" w:color="auto"/>
            <w:bottom w:val="none" w:sz="0" w:space="0" w:color="auto"/>
            <w:right w:val="none" w:sz="0" w:space="0" w:color="auto"/>
          </w:divBdr>
        </w:div>
        <w:div w:id="609629571">
          <w:marLeft w:val="0"/>
          <w:marRight w:val="0"/>
          <w:marTop w:val="120"/>
          <w:marBottom w:val="0"/>
          <w:divBdr>
            <w:top w:val="none" w:sz="0" w:space="0" w:color="auto"/>
            <w:left w:val="none" w:sz="0" w:space="0" w:color="auto"/>
            <w:bottom w:val="none" w:sz="0" w:space="0" w:color="auto"/>
            <w:right w:val="none" w:sz="0" w:space="0" w:color="auto"/>
          </w:divBdr>
        </w:div>
        <w:div w:id="1744061034">
          <w:marLeft w:val="0"/>
          <w:marRight w:val="0"/>
          <w:marTop w:val="120"/>
          <w:marBottom w:val="0"/>
          <w:divBdr>
            <w:top w:val="none" w:sz="0" w:space="0" w:color="auto"/>
            <w:left w:val="none" w:sz="0" w:space="0" w:color="auto"/>
            <w:bottom w:val="none" w:sz="0" w:space="0" w:color="auto"/>
            <w:right w:val="none" w:sz="0" w:space="0" w:color="auto"/>
          </w:divBdr>
        </w:div>
        <w:div w:id="1762407847">
          <w:marLeft w:val="0"/>
          <w:marRight w:val="0"/>
          <w:marTop w:val="120"/>
          <w:marBottom w:val="0"/>
          <w:divBdr>
            <w:top w:val="none" w:sz="0" w:space="0" w:color="auto"/>
            <w:left w:val="none" w:sz="0" w:space="0" w:color="auto"/>
            <w:bottom w:val="none" w:sz="0" w:space="0" w:color="auto"/>
            <w:right w:val="none" w:sz="0" w:space="0" w:color="auto"/>
          </w:divBdr>
        </w:div>
        <w:div w:id="1546721114">
          <w:marLeft w:val="0"/>
          <w:marRight w:val="0"/>
          <w:marTop w:val="120"/>
          <w:marBottom w:val="0"/>
          <w:divBdr>
            <w:top w:val="none" w:sz="0" w:space="0" w:color="auto"/>
            <w:left w:val="none" w:sz="0" w:space="0" w:color="auto"/>
            <w:bottom w:val="none" w:sz="0" w:space="0" w:color="auto"/>
            <w:right w:val="none" w:sz="0" w:space="0" w:color="auto"/>
          </w:divBdr>
        </w:div>
        <w:div w:id="1898737781">
          <w:marLeft w:val="0"/>
          <w:marRight w:val="0"/>
          <w:marTop w:val="240"/>
          <w:marBottom w:val="24"/>
          <w:divBdr>
            <w:top w:val="single" w:sz="8" w:space="2" w:color="808080"/>
            <w:left w:val="none" w:sz="0" w:space="0" w:color="auto"/>
            <w:bottom w:val="none" w:sz="0" w:space="0" w:color="auto"/>
            <w:right w:val="none" w:sz="0" w:space="0" w:color="auto"/>
          </w:divBdr>
        </w:div>
        <w:div w:id="1730227840">
          <w:marLeft w:val="0"/>
          <w:marRight w:val="0"/>
          <w:marTop w:val="120"/>
          <w:marBottom w:val="0"/>
          <w:divBdr>
            <w:top w:val="none" w:sz="0" w:space="0" w:color="auto"/>
            <w:left w:val="none" w:sz="0" w:space="0" w:color="auto"/>
            <w:bottom w:val="none" w:sz="0" w:space="0" w:color="auto"/>
            <w:right w:val="none" w:sz="0" w:space="0" w:color="auto"/>
          </w:divBdr>
        </w:div>
        <w:div w:id="121391084">
          <w:marLeft w:val="0"/>
          <w:marRight w:val="0"/>
          <w:marTop w:val="120"/>
          <w:marBottom w:val="0"/>
          <w:divBdr>
            <w:top w:val="none" w:sz="0" w:space="0" w:color="auto"/>
            <w:left w:val="none" w:sz="0" w:space="0" w:color="auto"/>
            <w:bottom w:val="none" w:sz="0" w:space="0" w:color="auto"/>
            <w:right w:val="none" w:sz="0" w:space="0" w:color="auto"/>
          </w:divBdr>
        </w:div>
        <w:div w:id="1190027213">
          <w:marLeft w:val="0"/>
          <w:marRight w:val="0"/>
          <w:marTop w:val="120"/>
          <w:marBottom w:val="0"/>
          <w:divBdr>
            <w:top w:val="none" w:sz="0" w:space="0" w:color="auto"/>
            <w:left w:val="none" w:sz="0" w:space="0" w:color="auto"/>
            <w:bottom w:val="none" w:sz="0" w:space="0" w:color="auto"/>
            <w:right w:val="none" w:sz="0" w:space="0" w:color="auto"/>
          </w:divBdr>
        </w:div>
        <w:div w:id="1495993889">
          <w:marLeft w:val="0"/>
          <w:marRight w:val="0"/>
          <w:marTop w:val="120"/>
          <w:marBottom w:val="0"/>
          <w:divBdr>
            <w:top w:val="none" w:sz="0" w:space="0" w:color="auto"/>
            <w:left w:val="none" w:sz="0" w:space="0" w:color="auto"/>
            <w:bottom w:val="none" w:sz="0" w:space="0" w:color="auto"/>
            <w:right w:val="none" w:sz="0" w:space="0" w:color="auto"/>
          </w:divBdr>
        </w:div>
        <w:div w:id="419831868">
          <w:marLeft w:val="0"/>
          <w:marRight w:val="0"/>
          <w:marTop w:val="120"/>
          <w:marBottom w:val="0"/>
          <w:divBdr>
            <w:top w:val="none" w:sz="0" w:space="0" w:color="auto"/>
            <w:left w:val="none" w:sz="0" w:space="0" w:color="auto"/>
            <w:bottom w:val="none" w:sz="0" w:space="0" w:color="auto"/>
            <w:right w:val="none" w:sz="0" w:space="0" w:color="auto"/>
          </w:divBdr>
        </w:div>
        <w:div w:id="9471564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D4B84-73D3-4CB0-B590-C815D479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Lazarus Rakgwale</cp:lastModifiedBy>
  <cp:revision>2</cp:revision>
  <cp:lastPrinted>2022-04-28T08:06:00Z</cp:lastPrinted>
  <dcterms:created xsi:type="dcterms:W3CDTF">2022-05-13T06:35:00Z</dcterms:created>
  <dcterms:modified xsi:type="dcterms:W3CDTF">2022-05-13T06:35:00Z</dcterms:modified>
</cp:coreProperties>
</file>