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C7F4C" w14:textId="77777777" w:rsidR="00012E96" w:rsidRPr="00012E96" w:rsidRDefault="00012E96" w:rsidP="00012E96">
      <w:pPr>
        <w:spacing w:line="240" w:lineRule="auto"/>
        <w:rPr>
          <w:rFonts w:ascii="Arial" w:hAnsi="Arial" w:cs="Arial"/>
          <w:b/>
          <w:sz w:val="24"/>
          <w:szCs w:val="24"/>
        </w:rPr>
      </w:pPr>
      <w:bookmarkStart w:id="0" w:name="_GoBack"/>
      <w:bookmarkEnd w:id="0"/>
      <w:r w:rsidRPr="00012E96">
        <w:rPr>
          <w:rFonts w:ascii="Arial" w:hAnsi="Arial" w:cs="Arial"/>
          <w:b/>
          <w:sz w:val="24"/>
          <w:szCs w:val="24"/>
        </w:rPr>
        <w:t xml:space="preserve">                                          REPUBLIC OF SOUTH AFRICA</w:t>
      </w:r>
    </w:p>
    <w:p w14:paraId="143C676B" w14:textId="77777777" w:rsidR="00012E96" w:rsidRPr="00012E96" w:rsidRDefault="00012E96" w:rsidP="00012E96">
      <w:pPr>
        <w:spacing w:line="240" w:lineRule="auto"/>
        <w:jc w:val="center"/>
        <w:rPr>
          <w:rFonts w:ascii="Arial" w:hAnsi="Arial" w:cs="Arial"/>
          <w:b/>
          <w:sz w:val="24"/>
          <w:szCs w:val="24"/>
        </w:rPr>
      </w:pPr>
      <w:r w:rsidRPr="00012E96">
        <w:rPr>
          <w:rFonts w:ascii="Arial" w:hAnsi="Arial" w:cs="Arial"/>
          <w:sz w:val="24"/>
          <w:szCs w:val="24"/>
          <w:lang w:val="en-US"/>
        </w:rPr>
        <w:t xml:space="preserve">         </w:t>
      </w:r>
      <w:r w:rsidRPr="00012E96">
        <w:rPr>
          <w:rFonts w:ascii="Arial" w:hAnsi="Arial" w:cs="Arial"/>
          <w:noProof/>
          <w:sz w:val="24"/>
          <w:szCs w:val="24"/>
          <w:lang w:eastAsia="en-ZA"/>
        </w:rPr>
        <w:drawing>
          <wp:inline distT="0" distB="0" distL="0" distR="0" wp14:anchorId="7668D139" wp14:editId="2E2F66FA">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012E96">
        <w:rPr>
          <w:rFonts w:ascii="Arial" w:hAnsi="Arial" w:cs="Arial"/>
          <w:noProof/>
          <w:sz w:val="24"/>
          <w:szCs w:val="24"/>
          <w:lang w:eastAsia="en-ZA"/>
        </w:rPr>
        <mc:AlternateContent>
          <mc:Choice Requires="wpg">
            <w:drawing>
              <wp:inline distT="0" distB="0" distL="0" distR="0" wp14:anchorId="6B8E549E" wp14:editId="4E511C65">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6052A8C6"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6C58416B" w14:textId="77777777" w:rsidR="00012E96" w:rsidRPr="00012E96" w:rsidRDefault="00012E96" w:rsidP="00012E96">
      <w:pPr>
        <w:spacing w:line="240" w:lineRule="auto"/>
        <w:jc w:val="center"/>
        <w:rPr>
          <w:rFonts w:ascii="Arial" w:hAnsi="Arial" w:cs="Arial"/>
          <w:b/>
          <w:sz w:val="24"/>
          <w:szCs w:val="24"/>
        </w:rPr>
      </w:pPr>
      <w:r w:rsidRPr="00012E96">
        <w:rPr>
          <w:rFonts w:ascii="Arial" w:hAnsi="Arial" w:cs="Arial"/>
          <w:b/>
          <w:sz w:val="24"/>
          <w:szCs w:val="24"/>
        </w:rPr>
        <w:t xml:space="preserve">IN THE HIGH COURT OF SOUTH AFRICA, </w:t>
      </w:r>
    </w:p>
    <w:p w14:paraId="10D2A600" w14:textId="1F9A67ED" w:rsidR="00012E96" w:rsidRPr="00012E96" w:rsidRDefault="004755EE" w:rsidP="00012E96">
      <w:pPr>
        <w:spacing w:line="240" w:lineRule="auto"/>
        <w:jc w:val="center"/>
        <w:rPr>
          <w:rFonts w:ascii="Arial" w:hAnsi="Arial" w:cs="Arial"/>
          <w:b/>
          <w:sz w:val="24"/>
          <w:szCs w:val="24"/>
        </w:rPr>
      </w:pPr>
      <w:r>
        <w:rPr>
          <w:rFonts w:ascii="Arial" w:hAnsi="Arial" w:cs="Arial"/>
          <w:b/>
          <w:sz w:val="24"/>
          <w:szCs w:val="24"/>
        </w:rPr>
        <w:t xml:space="preserve"> </w:t>
      </w:r>
      <w:r w:rsidR="00012E96" w:rsidRPr="00012E96">
        <w:rPr>
          <w:rFonts w:ascii="Arial" w:hAnsi="Arial" w:cs="Arial"/>
          <w:b/>
          <w:sz w:val="24"/>
          <w:szCs w:val="24"/>
        </w:rPr>
        <w:t>GAUTENG  DIVISION, JOHANNESBURG</w:t>
      </w:r>
    </w:p>
    <w:p w14:paraId="7C3718DA" w14:textId="1DFBE9A3" w:rsidR="00012E96" w:rsidRPr="00012E96" w:rsidRDefault="00012E96" w:rsidP="00012E96">
      <w:pPr>
        <w:spacing w:line="360" w:lineRule="auto"/>
        <w:jc w:val="center"/>
        <w:rPr>
          <w:rFonts w:ascii="Arial" w:hAnsi="Arial" w:cs="Arial"/>
          <w:b/>
          <w:sz w:val="24"/>
          <w:szCs w:val="24"/>
        </w:rPr>
      </w:pPr>
      <w:r w:rsidRPr="00D804AB">
        <w:rPr>
          <w:rFonts w:ascii="Arial" w:hAnsi="Arial" w:cs="Arial"/>
          <w:noProof/>
          <w:sz w:val="20"/>
          <w:szCs w:val="20"/>
          <w:lang w:eastAsia="en-ZA"/>
        </w:rPr>
        <mc:AlternateContent>
          <mc:Choice Requires="wps">
            <w:drawing>
              <wp:anchor distT="0" distB="0" distL="114300" distR="114300" simplePos="0" relativeHeight="251659264" behindDoc="0" locked="0" layoutInCell="1" allowOverlap="1" wp14:anchorId="26D183C5" wp14:editId="4EB8DE6E">
                <wp:simplePos x="0" y="0"/>
                <wp:positionH relativeFrom="column">
                  <wp:posOffset>213360</wp:posOffset>
                </wp:positionH>
                <wp:positionV relativeFrom="paragraph">
                  <wp:posOffset>114300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D719E54" w14:textId="77777777" w:rsidR="00D85682" w:rsidRDefault="00D85682" w:rsidP="00012E96">
                            <w:pPr>
                              <w:jc w:val="center"/>
                              <w:rPr>
                                <w:rFonts w:ascii="Century Gothic" w:hAnsi="Century Gothic"/>
                                <w:b/>
                                <w:sz w:val="20"/>
                                <w:szCs w:val="20"/>
                              </w:rPr>
                            </w:pPr>
                          </w:p>
                          <w:p w14:paraId="6AD3EA5C" w14:textId="2D43ACA5" w:rsidR="00D85682" w:rsidRDefault="00D85682" w:rsidP="00012E96">
                            <w:pPr>
                              <w:numPr>
                                <w:ilvl w:val="0"/>
                                <w:numId w:val="1"/>
                              </w:numPr>
                              <w:spacing w:after="0" w:line="240" w:lineRule="auto"/>
                              <w:rPr>
                                <w:rFonts w:ascii="Century Gothic" w:hAnsi="Century Gothic"/>
                                <w:sz w:val="20"/>
                                <w:szCs w:val="20"/>
                              </w:rPr>
                            </w:pPr>
                            <w:r>
                              <w:rPr>
                                <w:rFonts w:ascii="Century Gothic" w:hAnsi="Century Gothic"/>
                                <w:sz w:val="20"/>
                                <w:szCs w:val="20"/>
                              </w:rPr>
                              <w:t>REPORTABLE:   YES</w:t>
                            </w:r>
                          </w:p>
                          <w:p w14:paraId="5ED2B033" w14:textId="5EF7909D" w:rsidR="00D85682" w:rsidRDefault="00D85682" w:rsidP="00012E96">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w:t>
                            </w:r>
                          </w:p>
                          <w:p w14:paraId="53BE7A34" w14:textId="7C1F8D4B" w:rsidR="00D85682" w:rsidRDefault="00D85682" w:rsidP="00175F8C">
                            <w:pPr>
                              <w:spacing w:after="0" w:line="240" w:lineRule="auto"/>
                              <w:ind w:left="180"/>
                              <w:rPr>
                                <w:rFonts w:ascii="Century Gothic" w:hAnsi="Century Gothic"/>
                                <w:sz w:val="20"/>
                                <w:szCs w:val="20"/>
                              </w:rPr>
                            </w:pPr>
                          </w:p>
                          <w:p w14:paraId="4D630963" w14:textId="77777777" w:rsidR="00D85682" w:rsidRDefault="00D85682" w:rsidP="00012E96">
                            <w:pPr>
                              <w:rPr>
                                <w:rFonts w:ascii="Century Gothic" w:hAnsi="Century Gothic"/>
                                <w:b/>
                                <w:sz w:val="18"/>
                                <w:szCs w:val="18"/>
                              </w:rPr>
                            </w:pPr>
                          </w:p>
                          <w:p w14:paraId="6B6BF567" w14:textId="77777777" w:rsidR="00D85682" w:rsidRDefault="00D85682" w:rsidP="00012E96">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27B2537A" w14:textId="77777777" w:rsidR="00D85682" w:rsidRDefault="00D85682" w:rsidP="00012E9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6D183C5" id="_x0000_t202" coordsize="21600,21600" o:spt="202" path="m,l,21600r21600,l21600,xe">
                <v:stroke joinstyle="miter"/>
                <v:path gradientshapeok="t" o:connecttype="rect"/>
              </v:shapetype>
              <v:shape id="Text Box 2" o:spid="_x0000_s1026" type="#_x0000_t202" style="position:absolute;left:0;text-align:left;margin-left:16.8pt;margin-top:9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">
                <v:textbox>
                  <w:txbxContent>
                    <w:p w14:paraId="5D719E54" w14:textId="77777777" w:rsidR="00D85682" w:rsidRDefault="00D85682" w:rsidP="00012E96">
                      <w:pPr>
                        <w:jc w:val="center"/>
                        <w:rPr>
                          <w:rFonts w:ascii="Century Gothic" w:hAnsi="Century Gothic"/>
                          <w:b/>
                          <w:sz w:val="20"/>
                          <w:szCs w:val="20"/>
                        </w:rPr>
                      </w:pPr>
                    </w:p>
                    <w:p w14:paraId="6AD3EA5C" w14:textId="2D43ACA5" w:rsidR="00D85682" w:rsidRDefault="00D85682" w:rsidP="00012E96">
                      <w:pPr>
                        <w:numPr>
                          <w:ilvl w:val="0"/>
                          <w:numId w:val="1"/>
                        </w:numPr>
                        <w:spacing w:after="0" w:line="240" w:lineRule="auto"/>
                        <w:rPr>
                          <w:rFonts w:ascii="Century Gothic" w:hAnsi="Century Gothic"/>
                          <w:sz w:val="20"/>
                          <w:szCs w:val="20"/>
                        </w:rPr>
                      </w:pPr>
                      <w:r>
                        <w:rPr>
                          <w:rFonts w:ascii="Century Gothic" w:hAnsi="Century Gothic"/>
                          <w:sz w:val="20"/>
                          <w:szCs w:val="20"/>
                        </w:rPr>
                        <w:t>REPORTABLE:   YES</w:t>
                      </w:r>
                    </w:p>
                    <w:p w14:paraId="5ED2B033" w14:textId="5EF7909D" w:rsidR="00D85682" w:rsidRDefault="00D85682" w:rsidP="00012E96">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w:t>
                      </w:r>
                    </w:p>
                    <w:p w14:paraId="53BE7A34" w14:textId="7C1F8D4B" w:rsidR="00D85682" w:rsidRDefault="00D85682" w:rsidP="00175F8C">
                      <w:pPr>
                        <w:spacing w:after="0" w:line="240" w:lineRule="auto"/>
                        <w:ind w:left="180"/>
                        <w:rPr>
                          <w:rFonts w:ascii="Century Gothic" w:hAnsi="Century Gothic"/>
                          <w:sz w:val="20"/>
                          <w:szCs w:val="20"/>
                        </w:rPr>
                      </w:pPr>
                    </w:p>
                    <w:p w14:paraId="4D630963" w14:textId="77777777" w:rsidR="00D85682" w:rsidRDefault="00D85682" w:rsidP="00012E96">
                      <w:pPr>
                        <w:rPr>
                          <w:rFonts w:ascii="Century Gothic" w:hAnsi="Century Gothic"/>
                          <w:b/>
                          <w:sz w:val="18"/>
                          <w:szCs w:val="18"/>
                        </w:rPr>
                      </w:pPr>
                    </w:p>
                    <w:p w14:paraId="6B6BF567" w14:textId="77777777" w:rsidR="00D85682" w:rsidRDefault="00D85682" w:rsidP="00012E96">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27B2537A" w14:textId="77777777" w:rsidR="00D85682" w:rsidRDefault="00D85682" w:rsidP="00012E9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D804AB">
        <w:rPr>
          <w:rFonts w:ascii="Arial" w:hAnsi="Arial" w:cs="Arial"/>
          <w:b/>
          <w:sz w:val="20"/>
          <w:szCs w:val="20"/>
        </w:rPr>
        <w:t xml:space="preserve">                                                                                       </w:t>
      </w:r>
      <w:r>
        <w:rPr>
          <w:rFonts w:ascii="Arial" w:hAnsi="Arial" w:cs="Arial"/>
          <w:b/>
          <w:sz w:val="20"/>
          <w:szCs w:val="20"/>
        </w:rPr>
        <w:t xml:space="preserve">               </w:t>
      </w:r>
      <w:r w:rsidRPr="00012E96">
        <w:rPr>
          <w:rFonts w:ascii="Arial" w:hAnsi="Arial" w:cs="Arial"/>
          <w:b/>
          <w:sz w:val="24"/>
          <w:szCs w:val="24"/>
        </w:rPr>
        <w:t xml:space="preserve">Case Number: </w:t>
      </w:r>
      <w:r w:rsidR="008D77EC">
        <w:rPr>
          <w:rFonts w:ascii="Arial" w:hAnsi="Arial" w:cs="Arial"/>
          <w:sz w:val="24"/>
          <w:szCs w:val="24"/>
        </w:rPr>
        <w:t>31329/2018</w:t>
      </w:r>
    </w:p>
    <w:p w14:paraId="68C14EA4" w14:textId="77777777" w:rsidR="00012E96" w:rsidRPr="00D804AB" w:rsidRDefault="00012E96" w:rsidP="00012E96">
      <w:pPr>
        <w:spacing w:line="360" w:lineRule="auto"/>
        <w:jc w:val="both"/>
        <w:rPr>
          <w:rFonts w:ascii="Arial" w:hAnsi="Arial" w:cs="Arial"/>
          <w:sz w:val="20"/>
          <w:szCs w:val="20"/>
        </w:rPr>
      </w:pPr>
    </w:p>
    <w:p w14:paraId="5AF2D5B3" w14:textId="77777777" w:rsidR="00012E96" w:rsidRPr="00D804AB" w:rsidRDefault="00012E96" w:rsidP="00012E96">
      <w:pPr>
        <w:spacing w:line="360" w:lineRule="auto"/>
        <w:jc w:val="both"/>
        <w:rPr>
          <w:rFonts w:ascii="Arial" w:hAnsi="Arial" w:cs="Arial"/>
          <w:sz w:val="20"/>
          <w:szCs w:val="20"/>
        </w:rPr>
      </w:pPr>
    </w:p>
    <w:p w14:paraId="30FD11FD" w14:textId="77777777" w:rsidR="00012E96" w:rsidRPr="00D804AB" w:rsidRDefault="00012E96" w:rsidP="00012E96">
      <w:pPr>
        <w:spacing w:line="360" w:lineRule="auto"/>
        <w:jc w:val="both"/>
        <w:rPr>
          <w:rFonts w:ascii="Arial" w:hAnsi="Arial" w:cs="Arial"/>
          <w:sz w:val="20"/>
          <w:szCs w:val="20"/>
        </w:rPr>
      </w:pPr>
    </w:p>
    <w:p w14:paraId="77A7E834" w14:textId="77777777" w:rsidR="00012E96" w:rsidRPr="00D804AB" w:rsidRDefault="00012E96" w:rsidP="00012E96">
      <w:pPr>
        <w:spacing w:line="360" w:lineRule="auto"/>
        <w:rPr>
          <w:rFonts w:ascii="Arial" w:hAnsi="Arial" w:cs="Arial"/>
          <w:sz w:val="20"/>
          <w:szCs w:val="20"/>
        </w:rPr>
      </w:pPr>
    </w:p>
    <w:p w14:paraId="7F841629" w14:textId="77777777" w:rsidR="00012E96" w:rsidRPr="00D804AB" w:rsidRDefault="00012E96" w:rsidP="00012E96">
      <w:pPr>
        <w:spacing w:line="360" w:lineRule="auto"/>
        <w:jc w:val="both"/>
        <w:rPr>
          <w:rFonts w:ascii="Arial" w:hAnsi="Arial" w:cs="Arial"/>
          <w:sz w:val="20"/>
          <w:szCs w:val="20"/>
          <w:lang w:val="en-GB"/>
        </w:rPr>
      </w:pPr>
    </w:p>
    <w:p w14:paraId="09532C18" w14:textId="77777777" w:rsidR="00012E96" w:rsidRPr="00E3480B" w:rsidRDefault="00012E96" w:rsidP="00012E96">
      <w:pPr>
        <w:spacing w:line="360" w:lineRule="auto"/>
        <w:rPr>
          <w:rFonts w:ascii="Arial" w:hAnsi="Arial" w:cs="Arial"/>
          <w:sz w:val="24"/>
          <w:szCs w:val="24"/>
          <w:lang w:val="en-US"/>
        </w:rPr>
      </w:pPr>
      <w:r w:rsidRPr="00E3480B">
        <w:rPr>
          <w:rFonts w:ascii="Arial" w:hAnsi="Arial" w:cs="Arial"/>
          <w:sz w:val="24"/>
          <w:szCs w:val="24"/>
          <w:lang w:val="en-US"/>
        </w:rPr>
        <w:t>In the matter between:</w:t>
      </w:r>
    </w:p>
    <w:p w14:paraId="56CF384F" w14:textId="1F2165C7" w:rsidR="00012E96" w:rsidRDefault="008D77EC" w:rsidP="00012E96">
      <w:pPr>
        <w:spacing w:line="360" w:lineRule="auto"/>
        <w:jc w:val="both"/>
        <w:rPr>
          <w:rFonts w:ascii="Arial" w:hAnsi="Arial" w:cs="Arial"/>
          <w:sz w:val="24"/>
          <w:szCs w:val="24"/>
          <w:lang w:val="en-US"/>
        </w:rPr>
      </w:pPr>
      <w:r>
        <w:rPr>
          <w:rFonts w:ascii="Arial" w:hAnsi="Arial" w:cs="Arial"/>
          <w:b/>
          <w:sz w:val="24"/>
          <w:szCs w:val="24"/>
          <w:lang w:val="en-US"/>
        </w:rPr>
        <w:t xml:space="preserve">AFRICA WIDE MINERAL PROSPECTING </w:t>
      </w:r>
      <w:r w:rsidR="00562F32">
        <w:rPr>
          <w:rFonts w:ascii="Arial" w:hAnsi="Arial" w:cs="Arial"/>
          <w:b/>
          <w:sz w:val="24"/>
          <w:szCs w:val="24"/>
          <w:lang w:val="en-US"/>
        </w:rPr>
        <w:t xml:space="preserve">  </w:t>
      </w:r>
      <w:r>
        <w:rPr>
          <w:rFonts w:ascii="Arial" w:hAnsi="Arial" w:cs="Arial"/>
          <w:b/>
          <w:sz w:val="24"/>
          <w:szCs w:val="24"/>
          <w:lang w:val="en-US"/>
        </w:rPr>
        <w:t>AND</w:t>
      </w:r>
      <w:r w:rsidR="00562F32">
        <w:rPr>
          <w:rFonts w:ascii="Arial" w:hAnsi="Arial" w:cs="Arial"/>
          <w:b/>
          <w:sz w:val="24"/>
          <w:szCs w:val="24"/>
          <w:lang w:val="en-US"/>
        </w:rPr>
        <w:t xml:space="preserve">                      </w:t>
      </w:r>
      <w:r>
        <w:rPr>
          <w:rFonts w:ascii="Arial" w:hAnsi="Arial" w:cs="Arial"/>
          <w:b/>
          <w:sz w:val="24"/>
          <w:szCs w:val="24"/>
          <w:lang w:val="en-US"/>
        </w:rPr>
        <w:t xml:space="preserve">                                </w:t>
      </w:r>
      <w:r w:rsidRPr="008D77EC">
        <w:rPr>
          <w:rFonts w:ascii="Arial" w:hAnsi="Arial" w:cs="Arial"/>
          <w:sz w:val="24"/>
          <w:szCs w:val="24"/>
          <w:lang w:val="en-US"/>
        </w:rPr>
        <w:t>Plaintiff</w:t>
      </w:r>
    </w:p>
    <w:p w14:paraId="5F4A57E3" w14:textId="67021A51" w:rsidR="008D77EC" w:rsidRPr="008D77EC" w:rsidRDefault="008D77EC" w:rsidP="00012E96">
      <w:pPr>
        <w:spacing w:line="360" w:lineRule="auto"/>
        <w:jc w:val="both"/>
        <w:rPr>
          <w:rFonts w:ascii="Arial" w:hAnsi="Arial" w:cs="Arial"/>
          <w:b/>
          <w:sz w:val="24"/>
          <w:szCs w:val="24"/>
          <w:lang w:val="en-GB"/>
        </w:rPr>
      </w:pPr>
      <w:r w:rsidRPr="008D77EC">
        <w:rPr>
          <w:rFonts w:ascii="Arial" w:hAnsi="Arial" w:cs="Arial"/>
          <w:b/>
          <w:sz w:val="24"/>
          <w:szCs w:val="24"/>
          <w:lang w:val="en-US"/>
        </w:rPr>
        <w:t>EXPLORATION (PTY) LTD</w:t>
      </w:r>
    </w:p>
    <w:p w14:paraId="7E7C8889" w14:textId="7B6F12D6" w:rsidR="00562F32" w:rsidRDefault="00175F8C" w:rsidP="00562F32">
      <w:pPr>
        <w:spacing w:line="360" w:lineRule="auto"/>
        <w:jc w:val="both"/>
        <w:rPr>
          <w:rFonts w:ascii="Arial" w:hAnsi="Arial" w:cs="Arial"/>
          <w:sz w:val="24"/>
          <w:szCs w:val="24"/>
          <w:lang w:val="en-GB"/>
        </w:rPr>
      </w:pPr>
      <w:r>
        <w:rPr>
          <w:rFonts w:ascii="Arial" w:hAnsi="Arial" w:cs="Arial"/>
          <w:sz w:val="24"/>
          <w:szCs w:val="24"/>
          <w:lang w:val="en-GB"/>
        </w:rPr>
        <w:t>a</w:t>
      </w:r>
      <w:r w:rsidR="00012E96" w:rsidRPr="00012E96">
        <w:rPr>
          <w:rFonts w:ascii="Arial" w:hAnsi="Arial" w:cs="Arial"/>
          <w:sz w:val="24"/>
          <w:szCs w:val="24"/>
          <w:lang w:val="en-GB"/>
        </w:rPr>
        <w:t>nd,</w:t>
      </w:r>
    </w:p>
    <w:p w14:paraId="0BDF7551" w14:textId="3D421B66" w:rsidR="00012E96" w:rsidRDefault="008D77EC" w:rsidP="00562F32">
      <w:pPr>
        <w:spacing w:line="360" w:lineRule="auto"/>
        <w:jc w:val="both"/>
        <w:rPr>
          <w:rFonts w:ascii="Arial" w:hAnsi="Arial" w:cs="Arial"/>
          <w:sz w:val="24"/>
          <w:szCs w:val="24"/>
          <w:lang w:val="en-US"/>
        </w:rPr>
      </w:pPr>
      <w:r>
        <w:rPr>
          <w:rFonts w:ascii="Arial" w:hAnsi="Arial" w:cs="Arial"/>
          <w:b/>
          <w:sz w:val="24"/>
          <w:szCs w:val="24"/>
          <w:lang w:val="en-GB"/>
        </w:rPr>
        <w:t>PLATINUM GROUP METALS (RSA) (PTY) LTD</w:t>
      </w:r>
      <w:r w:rsidR="00012E96" w:rsidRPr="00012E96">
        <w:rPr>
          <w:rFonts w:ascii="Arial" w:hAnsi="Arial" w:cs="Arial"/>
          <w:b/>
          <w:sz w:val="24"/>
          <w:szCs w:val="24"/>
          <w:lang w:val="en-US"/>
        </w:rPr>
        <w:t xml:space="preserve">          </w:t>
      </w:r>
      <w:r w:rsidR="00012E96" w:rsidRPr="00012E96">
        <w:rPr>
          <w:rFonts w:ascii="Arial" w:hAnsi="Arial" w:cs="Arial"/>
          <w:sz w:val="24"/>
          <w:szCs w:val="24"/>
          <w:lang w:val="en-US"/>
        </w:rPr>
        <w:t xml:space="preserve">  </w:t>
      </w:r>
      <w:r w:rsidR="00012E96">
        <w:rPr>
          <w:rFonts w:ascii="Arial" w:hAnsi="Arial" w:cs="Arial"/>
          <w:sz w:val="24"/>
          <w:szCs w:val="24"/>
          <w:lang w:val="en-US"/>
        </w:rPr>
        <w:t xml:space="preserve">     </w:t>
      </w:r>
      <w:r>
        <w:rPr>
          <w:rFonts w:ascii="Arial" w:hAnsi="Arial" w:cs="Arial"/>
          <w:sz w:val="24"/>
          <w:szCs w:val="24"/>
          <w:lang w:val="en-US"/>
        </w:rPr>
        <w:t xml:space="preserve">         </w:t>
      </w:r>
      <w:r w:rsidR="00562F32">
        <w:rPr>
          <w:rFonts w:ascii="Arial" w:hAnsi="Arial" w:cs="Arial"/>
          <w:sz w:val="24"/>
          <w:szCs w:val="24"/>
          <w:lang w:val="en-US"/>
        </w:rPr>
        <w:t xml:space="preserve">  </w:t>
      </w:r>
      <w:r w:rsidR="00012E96">
        <w:rPr>
          <w:rFonts w:ascii="Arial" w:hAnsi="Arial" w:cs="Arial"/>
          <w:sz w:val="24"/>
          <w:szCs w:val="24"/>
          <w:lang w:val="en-US"/>
        </w:rPr>
        <w:t xml:space="preserve">  </w:t>
      </w:r>
      <w:r>
        <w:rPr>
          <w:rFonts w:ascii="Arial" w:hAnsi="Arial" w:cs="Arial"/>
          <w:sz w:val="24"/>
          <w:szCs w:val="24"/>
          <w:lang w:val="en-US"/>
        </w:rPr>
        <w:t xml:space="preserve">        </w:t>
      </w:r>
      <w:r w:rsidR="00562F32">
        <w:rPr>
          <w:rFonts w:ascii="Arial" w:hAnsi="Arial" w:cs="Arial"/>
          <w:sz w:val="24"/>
          <w:szCs w:val="24"/>
          <w:lang w:val="en-US"/>
        </w:rPr>
        <w:t xml:space="preserve">First </w:t>
      </w:r>
      <w:r>
        <w:rPr>
          <w:rFonts w:ascii="Arial" w:hAnsi="Arial" w:cs="Arial"/>
          <w:sz w:val="24"/>
          <w:szCs w:val="24"/>
          <w:lang w:val="en-US"/>
        </w:rPr>
        <w:t>Defendant</w:t>
      </w:r>
    </w:p>
    <w:p w14:paraId="058465A0" w14:textId="0DE081CE" w:rsidR="00562F32" w:rsidRDefault="006F26DF" w:rsidP="00562F32">
      <w:pPr>
        <w:spacing w:line="360" w:lineRule="auto"/>
        <w:jc w:val="both"/>
        <w:rPr>
          <w:rFonts w:ascii="Arial" w:hAnsi="Arial" w:cs="Arial"/>
          <w:sz w:val="24"/>
          <w:szCs w:val="24"/>
          <w:lang w:val="en-US"/>
        </w:rPr>
      </w:pPr>
      <w:r>
        <w:rPr>
          <w:rFonts w:ascii="Arial" w:hAnsi="Arial" w:cs="Arial"/>
          <w:b/>
          <w:sz w:val="24"/>
          <w:szCs w:val="24"/>
          <w:lang w:val="en-US"/>
        </w:rPr>
        <w:t xml:space="preserve">ROYAL BAFOKENG PLATINUM LIMITED                        </w:t>
      </w:r>
      <w:r w:rsidR="00562F32" w:rsidRPr="00562F32">
        <w:rPr>
          <w:rFonts w:ascii="Arial" w:hAnsi="Arial" w:cs="Arial"/>
          <w:b/>
          <w:sz w:val="24"/>
          <w:szCs w:val="24"/>
          <w:lang w:val="en-US"/>
        </w:rPr>
        <w:t xml:space="preserve">   </w:t>
      </w:r>
      <w:r>
        <w:rPr>
          <w:rFonts w:ascii="Arial" w:hAnsi="Arial" w:cs="Arial"/>
          <w:b/>
          <w:sz w:val="24"/>
          <w:szCs w:val="24"/>
          <w:lang w:val="en-US"/>
        </w:rPr>
        <w:t xml:space="preserve">          </w:t>
      </w:r>
      <w:r w:rsidR="00562F32" w:rsidRPr="00562F32">
        <w:rPr>
          <w:rFonts w:ascii="Arial" w:hAnsi="Arial" w:cs="Arial"/>
          <w:b/>
          <w:sz w:val="24"/>
          <w:szCs w:val="24"/>
          <w:lang w:val="en-US"/>
        </w:rPr>
        <w:t xml:space="preserve"> </w:t>
      </w:r>
      <w:r>
        <w:rPr>
          <w:rFonts w:ascii="Arial" w:hAnsi="Arial" w:cs="Arial"/>
          <w:sz w:val="24"/>
          <w:szCs w:val="24"/>
          <w:lang w:val="en-US"/>
        </w:rPr>
        <w:t>Second Defendant</w:t>
      </w:r>
    </w:p>
    <w:p w14:paraId="5B0EB30C" w14:textId="2482D681" w:rsidR="00562F32" w:rsidRDefault="006F26DF" w:rsidP="00562F32">
      <w:pPr>
        <w:spacing w:line="360" w:lineRule="auto"/>
        <w:jc w:val="both"/>
        <w:rPr>
          <w:rFonts w:ascii="Arial" w:hAnsi="Arial" w:cs="Arial"/>
          <w:sz w:val="24"/>
          <w:szCs w:val="24"/>
          <w:lang w:val="en-US"/>
        </w:rPr>
      </w:pPr>
      <w:r>
        <w:rPr>
          <w:rFonts w:ascii="Arial" w:hAnsi="Arial" w:cs="Arial"/>
          <w:b/>
          <w:sz w:val="24"/>
          <w:szCs w:val="24"/>
          <w:lang w:val="en-US"/>
        </w:rPr>
        <w:t>MASEVE INVESTMENTS 11 (PTY) LTD</w:t>
      </w:r>
      <w:r w:rsidR="00562F32">
        <w:rPr>
          <w:rFonts w:ascii="Arial" w:hAnsi="Arial" w:cs="Arial"/>
          <w:sz w:val="24"/>
          <w:szCs w:val="24"/>
          <w:lang w:val="en-US"/>
        </w:rPr>
        <w:t xml:space="preserve">                         </w:t>
      </w:r>
      <w:r>
        <w:rPr>
          <w:rFonts w:ascii="Arial" w:hAnsi="Arial" w:cs="Arial"/>
          <w:sz w:val="24"/>
          <w:szCs w:val="24"/>
          <w:lang w:val="en-US"/>
        </w:rPr>
        <w:t xml:space="preserve">                      Third Defendant</w:t>
      </w:r>
    </w:p>
    <w:p w14:paraId="4A6BE895" w14:textId="254D01AE" w:rsidR="004433CB" w:rsidRDefault="004433CB" w:rsidP="00562F32">
      <w:pPr>
        <w:spacing w:line="360" w:lineRule="auto"/>
        <w:jc w:val="both"/>
        <w:rPr>
          <w:rFonts w:ascii="Arial" w:hAnsi="Arial" w:cs="Arial"/>
          <w:sz w:val="24"/>
          <w:szCs w:val="24"/>
          <w:lang w:val="en-US"/>
        </w:rPr>
      </w:pPr>
      <w:r w:rsidRPr="004433CB">
        <w:rPr>
          <w:rFonts w:ascii="Arial" w:hAnsi="Arial" w:cs="Arial"/>
          <w:b/>
          <w:sz w:val="24"/>
          <w:szCs w:val="24"/>
          <w:lang w:val="en-US"/>
        </w:rPr>
        <w:t>ROYAL BAFOKENG RESOURCES (PTY) LTD</w:t>
      </w:r>
      <w:r>
        <w:rPr>
          <w:rFonts w:ascii="Arial" w:hAnsi="Arial" w:cs="Arial"/>
          <w:sz w:val="24"/>
          <w:szCs w:val="24"/>
          <w:lang w:val="en-US"/>
        </w:rPr>
        <w:t xml:space="preserve">                                Fourth Defendant</w:t>
      </w:r>
    </w:p>
    <w:p w14:paraId="16A44998" w14:textId="77777777" w:rsidR="00012E96" w:rsidRPr="00D804AB" w:rsidRDefault="00012E96" w:rsidP="00012E96">
      <w:pPr>
        <w:spacing w:line="360" w:lineRule="auto"/>
        <w:jc w:val="both"/>
        <w:rPr>
          <w:rFonts w:ascii="Arial" w:hAnsi="Arial" w:cs="Arial"/>
          <w:sz w:val="20"/>
          <w:szCs w:val="20"/>
        </w:rPr>
      </w:pPr>
      <w:r w:rsidRPr="00D804AB">
        <w:rPr>
          <w:rFonts w:ascii="Arial" w:hAnsi="Arial" w:cs="Arial"/>
          <w:sz w:val="20"/>
          <w:szCs w:val="20"/>
          <w:lang w:val="en-GB"/>
        </w:rPr>
        <w:t>_________________________________________________________________________</w:t>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t>________</w:t>
      </w:r>
    </w:p>
    <w:p w14:paraId="37A8034B" w14:textId="01EA3208" w:rsidR="00012E96" w:rsidRDefault="00012E96" w:rsidP="00012E96">
      <w:pPr>
        <w:spacing w:line="360" w:lineRule="auto"/>
        <w:jc w:val="both"/>
        <w:rPr>
          <w:rFonts w:ascii="Arial" w:hAnsi="Arial" w:cs="Arial"/>
          <w:lang w:val="en-GB"/>
        </w:rPr>
      </w:pPr>
      <w:r w:rsidRPr="002712FE">
        <w:rPr>
          <w:rFonts w:ascii="Arial" w:hAnsi="Arial" w:cs="Arial"/>
          <w:b/>
          <w:sz w:val="28"/>
          <w:lang w:val="en-GB"/>
        </w:rPr>
        <w:t xml:space="preserve">                                              JUDGMENT </w:t>
      </w:r>
      <w:r w:rsidRPr="002712FE">
        <w:rPr>
          <w:rFonts w:ascii="Arial" w:hAnsi="Arial" w:cs="Arial"/>
          <w:lang w:val="en-GB"/>
        </w:rPr>
        <w:t>___________________________________________________________________</w:t>
      </w:r>
      <w:r>
        <w:rPr>
          <w:rFonts w:ascii="Arial" w:hAnsi="Arial" w:cs="Arial"/>
          <w:lang w:val="en-GB"/>
        </w:rPr>
        <w:t>______</w:t>
      </w:r>
    </w:p>
    <w:p w14:paraId="0EB2C9CD" w14:textId="3070E035" w:rsidR="009C66C4" w:rsidRDefault="00AA2FCB" w:rsidP="00012E96">
      <w:pPr>
        <w:spacing w:line="360" w:lineRule="auto"/>
        <w:jc w:val="both"/>
        <w:rPr>
          <w:rFonts w:ascii="Arial" w:hAnsi="Arial" w:cs="Arial"/>
          <w:b/>
          <w:lang w:val="en-GB"/>
        </w:rPr>
      </w:pPr>
      <w:r>
        <w:rPr>
          <w:rFonts w:ascii="Arial" w:hAnsi="Arial" w:cs="Arial"/>
          <w:b/>
          <w:lang w:val="en-GB"/>
        </w:rPr>
        <w:t>S</w:t>
      </w:r>
      <w:r w:rsidRPr="00AA2FCB">
        <w:rPr>
          <w:rFonts w:ascii="Arial" w:hAnsi="Arial" w:cs="Arial"/>
          <w:b/>
          <w:lang w:val="en-GB"/>
        </w:rPr>
        <w:t>ummary</w:t>
      </w:r>
      <w:r>
        <w:rPr>
          <w:rFonts w:ascii="Arial" w:hAnsi="Arial" w:cs="Arial"/>
          <w:b/>
          <w:lang w:val="en-GB"/>
        </w:rPr>
        <w:t xml:space="preserve">: </w:t>
      </w:r>
    </w:p>
    <w:p w14:paraId="755617E9" w14:textId="0CD7956E" w:rsidR="00AA2FCB" w:rsidRDefault="00AA2FCB" w:rsidP="00012E96">
      <w:pPr>
        <w:spacing w:line="360" w:lineRule="auto"/>
        <w:jc w:val="both"/>
        <w:rPr>
          <w:rFonts w:ascii="Arial" w:hAnsi="Arial" w:cs="Arial"/>
          <w:b/>
          <w:lang w:val="en-GB"/>
        </w:rPr>
      </w:pPr>
      <w:r>
        <w:rPr>
          <w:rFonts w:ascii="Arial" w:hAnsi="Arial" w:cs="Arial"/>
          <w:b/>
          <w:lang w:val="en-GB"/>
        </w:rPr>
        <w:t>Companies Act of 2008</w:t>
      </w:r>
      <w:r w:rsidR="00697483">
        <w:rPr>
          <w:rFonts w:ascii="Arial" w:hAnsi="Arial" w:cs="Arial"/>
          <w:b/>
          <w:lang w:val="en-GB"/>
        </w:rPr>
        <w:t xml:space="preserve"> – Scheme of Arrangement under sections 114 and 115</w:t>
      </w:r>
      <w:r w:rsidR="00D53C5A">
        <w:rPr>
          <w:rFonts w:ascii="Arial" w:hAnsi="Arial" w:cs="Arial"/>
          <w:b/>
          <w:lang w:val="en-GB"/>
        </w:rPr>
        <w:t>.</w:t>
      </w:r>
    </w:p>
    <w:p w14:paraId="1D5D44B2" w14:textId="4548D380" w:rsidR="00CC0214" w:rsidRPr="004E010A" w:rsidRDefault="00697483" w:rsidP="00CC0214">
      <w:pPr>
        <w:pStyle w:val="ListParagraph"/>
        <w:spacing w:line="360" w:lineRule="auto"/>
        <w:ind w:left="0"/>
        <w:jc w:val="both"/>
        <w:rPr>
          <w:rFonts w:ascii="Arial" w:hAnsi="Arial" w:cs="Arial"/>
          <w:b/>
        </w:rPr>
      </w:pPr>
      <w:r w:rsidRPr="004E010A">
        <w:rPr>
          <w:rFonts w:ascii="Arial" w:hAnsi="Arial" w:cs="Arial"/>
          <w:b/>
          <w:lang w:val="en-GB"/>
        </w:rPr>
        <w:lastRenderedPageBreak/>
        <w:t xml:space="preserve">Held </w:t>
      </w:r>
      <w:r w:rsidR="0035743A" w:rsidRPr="004E010A">
        <w:rPr>
          <w:rFonts w:ascii="Arial" w:hAnsi="Arial" w:cs="Arial"/>
          <w:b/>
          <w:lang w:val="en-GB"/>
        </w:rPr>
        <w:t>- when</w:t>
      </w:r>
      <w:r w:rsidR="00334CEB" w:rsidRPr="004E010A">
        <w:rPr>
          <w:rFonts w:ascii="Arial" w:hAnsi="Arial" w:cs="Arial"/>
          <w:b/>
          <w:lang w:val="en-GB"/>
        </w:rPr>
        <w:t xml:space="preserve"> a scheme of </w:t>
      </w:r>
      <w:r w:rsidR="00940FE9" w:rsidRPr="004E010A">
        <w:rPr>
          <w:rFonts w:ascii="Arial" w:hAnsi="Arial" w:cs="Arial"/>
          <w:b/>
          <w:lang w:val="en-GB"/>
        </w:rPr>
        <w:t xml:space="preserve">arrangement </w:t>
      </w:r>
      <w:r w:rsidR="00940FE9">
        <w:rPr>
          <w:rFonts w:ascii="Arial" w:hAnsi="Arial" w:cs="Arial"/>
          <w:b/>
          <w:lang w:val="en-GB"/>
        </w:rPr>
        <w:t>between</w:t>
      </w:r>
      <w:r w:rsidR="00241A98">
        <w:rPr>
          <w:rFonts w:ascii="Arial" w:hAnsi="Arial" w:cs="Arial"/>
          <w:b/>
          <w:lang w:val="en-GB"/>
        </w:rPr>
        <w:t xml:space="preserve"> a company and its members </w:t>
      </w:r>
      <w:r w:rsidR="00334CEB" w:rsidRPr="004E010A">
        <w:rPr>
          <w:rFonts w:ascii="Arial" w:hAnsi="Arial" w:cs="Arial"/>
          <w:b/>
          <w:lang w:val="en-GB"/>
        </w:rPr>
        <w:t>is approved under section 115(2)</w:t>
      </w:r>
      <w:r w:rsidR="00D750FB" w:rsidRPr="004E010A">
        <w:rPr>
          <w:rFonts w:ascii="Arial" w:hAnsi="Arial" w:cs="Arial"/>
          <w:b/>
          <w:lang w:val="en-GB"/>
        </w:rPr>
        <w:t>(a)</w:t>
      </w:r>
      <w:r w:rsidR="00334CEB" w:rsidRPr="004E010A">
        <w:rPr>
          <w:rFonts w:ascii="Arial" w:hAnsi="Arial" w:cs="Arial"/>
          <w:b/>
          <w:lang w:val="en-GB"/>
        </w:rPr>
        <w:t xml:space="preserve">, its legal effectiveness is derived from the terms of the </w:t>
      </w:r>
      <w:r w:rsidR="00D750FB" w:rsidRPr="004E010A">
        <w:rPr>
          <w:rFonts w:ascii="Arial" w:hAnsi="Arial" w:cs="Arial"/>
          <w:b/>
          <w:lang w:val="en-GB"/>
        </w:rPr>
        <w:t>statute</w:t>
      </w:r>
      <w:r w:rsidR="00334CEB" w:rsidRPr="004E010A">
        <w:rPr>
          <w:rFonts w:ascii="Arial" w:hAnsi="Arial" w:cs="Arial"/>
          <w:b/>
          <w:lang w:val="en-GB"/>
        </w:rPr>
        <w:t xml:space="preserve"> </w:t>
      </w:r>
      <w:r w:rsidR="00D51D12" w:rsidRPr="004E010A">
        <w:rPr>
          <w:rFonts w:ascii="Arial" w:hAnsi="Arial" w:cs="Arial"/>
          <w:b/>
          <w:lang w:val="en-GB"/>
        </w:rPr>
        <w:t xml:space="preserve">and </w:t>
      </w:r>
      <w:r w:rsidR="00D51D12">
        <w:rPr>
          <w:rFonts w:ascii="Arial" w:hAnsi="Arial" w:cs="Arial"/>
          <w:b/>
          <w:lang w:val="en-GB"/>
        </w:rPr>
        <w:t>it</w:t>
      </w:r>
      <w:r w:rsidR="002B7466">
        <w:rPr>
          <w:rFonts w:ascii="Arial" w:hAnsi="Arial" w:cs="Arial"/>
          <w:b/>
          <w:lang w:val="en-GB"/>
        </w:rPr>
        <w:t xml:space="preserve"> </w:t>
      </w:r>
      <w:r w:rsidR="00334CEB" w:rsidRPr="004E010A">
        <w:rPr>
          <w:rFonts w:ascii="Arial" w:hAnsi="Arial" w:cs="Arial"/>
          <w:b/>
          <w:lang w:val="en-GB"/>
        </w:rPr>
        <w:t xml:space="preserve">cannot be altered </w:t>
      </w:r>
      <w:r w:rsidR="002B7466" w:rsidRPr="004E010A">
        <w:rPr>
          <w:rFonts w:ascii="Arial" w:hAnsi="Arial" w:cs="Arial"/>
          <w:b/>
          <w:lang w:val="en-GB"/>
        </w:rPr>
        <w:t>or affected</w:t>
      </w:r>
      <w:r w:rsidR="00334CEB" w:rsidRPr="004E010A">
        <w:rPr>
          <w:rFonts w:ascii="Arial" w:hAnsi="Arial" w:cs="Arial"/>
          <w:b/>
          <w:lang w:val="en-GB"/>
        </w:rPr>
        <w:t xml:space="preserve"> by rights which a party may have had were it not for the statute</w:t>
      </w:r>
      <w:r w:rsidR="00E33324">
        <w:rPr>
          <w:rFonts w:ascii="Arial" w:hAnsi="Arial" w:cs="Arial"/>
          <w:b/>
          <w:lang w:val="en-GB"/>
        </w:rPr>
        <w:t>.</w:t>
      </w:r>
    </w:p>
    <w:p w14:paraId="73BA57BE" w14:textId="4F1AB50D" w:rsidR="00F97FF9" w:rsidRPr="00940FE9" w:rsidRDefault="00CC0214" w:rsidP="00F97FF9">
      <w:pPr>
        <w:pStyle w:val="ListParagraph"/>
        <w:spacing w:line="360" w:lineRule="auto"/>
        <w:ind w:left="0"/>
        <w:jc w:val="both"/>
        <w:rPr>
          <w:rFonts w:ascii="Arial" w:hAnsi="Arial" w:cs="Arial"/>
          <w:b/>
          <w:lang w:val="en-GB"/>
        </w:rPr>
      </w:pPr>
      <w:r w:rsidRPr="004E010A">
        <w:rPr>
          <w:rFonts w:ascii="Arial" w:hAnsi="Arial" w:cs="Arial"/>
          <w:b/>
          <w:lang w:val="en-GB"/>
        </w:rPr>
        <w:t xml:space="preserve">Held </w:t>
      </w:r>
      <w:r w:rsidR="006A0E2A" w:rsidRPr="004E010A">
        <w:rPr>
          <w:rFonts w:ascii="Arial" w:hAnsi="Arial" w:cs="Arial"/>
          <w:b/>
          <w:lang w:val="en-GB"/>
        </w:rPr>
        <w:t>- subject</w:t>
      </w:r>
      <w:r w:rsidR="00334CEB" w:rsidRPr="004E010A">
        <w:rPr>
          <w:rFonts w:ascii="Arial" w:hAnsi="Arial" w:cs="Arial"/>
          <w:b/>
          <w:lang w:val="en-GB"/>
        </w:rPr>
        <w:t xml:space="preserve"> only to the provisions of sections 115(3) to (6), the scheme</w:t>
      </w:r>
      <w:r w:rsidR="00241A98">
        <w:rPr>
          <w:rFonts w:ascii="Arial" w:hAnsi="Arial" w:cs="Arial"/>
          <w:b/>
          <w:lang w:val="en-GB"/>
        </w:rPr>
        <w:t xml:space="preserve"> of arrangement</w:t>
      </w:r>
      <w:r w:rsidR="00334CEB" w:rsidRPr="004E010A">
        <w:rPr>
          <w:rFonts w:ascii="Arial" w:hAnsi="Arial" w:cs="Arial"/>
          <w:b/>
          <w:lang w:val="en-GB"/>
        </w:rPr>
        <w:t xml:space="preserve"> comes into force on </w:t>
      </w:r>
      <w:r w:rsidR="006A0E2A" w:rsidRPr="004E010A">
        <w:rPr>
          <w:rFonts w:ascii="Arial" w:hAnsi="Arial" w:cs="Arial"/>
          <w:b/>
          <w:lang w:val="en-GB"/>
        </w:rPr>
        <w:t>approval and</w:t>
      </w:r>
      <w:r w:rsidR="00334CEB" w:rsidRPr="004E010A">
        <w:rPr>
          <w:rFonts w:ascii="Arial" w:hAnsi="Arial" w:cs="Arial"/>
          <w:b/>
          <w:lang w:val="en-GB"/>
        </w:rPr>
        <w:t xml:space="preserve"> may be implemented by the Board</w:t>
      </w:r>
      <w:r w:rsidR="00241A98">
        <w:rPr>
          <w:rFonts w:ascii="Arial" w:hAnsi="Arial" w:cs="Arial"/>
          <w:b/>
          <w:lang w:val="en-GB"/>
        </w:rPr>
        <w:t xml:space="preserve"> of the company.</w:t>
      </w:r>
    </w:p>
    <w:p w14:paraId="25B29812" w14:textId="75A8861E" w:rsidR="00F97FF9" w:rsidRPr="00F97FF9" w:rsidRDefault="00F97FF9" w:rsidP="00F97FF9">
      <w:pPr>
        <w:pStyle w:val="ListParagraph"/>
        <w:spacing w:line="360" w:lineRule="auto"/>
        <w:ind w:left="0"/>
        <w:jc w:val="both"/>
        <w:rPr>
          <w:rFonts w:ascii="Arial" w:hAnsi="Arial" w:cs="Arial"/>
          <w:b/>
          <w:sz w:val="22"/>
          <w:szCs w:val="22"/>
        </w:rPr>
      </w:pPr>
      <w:r w:rsidRPr="00F97FF9">
        <w:rPr>
          <w:rFonts w:ascii="Arial" w:hAnsi="Arial" w:cs="Arial"/>
          <w:b/>
        </w:rPr>
        <w:t xml:space="preserve">Held </w:t>
      </w:r>
      <w:r w:rsidR="002B7466">
        <w:rPr>
          <w:rFonts w:ascii="Arial" w:hAnsi="Arial" w:cs="Arial"/>
          <w:b/>
        </w:rPr>
        <w:t>–</w:t>
      </w:r>
      <w:r w:rsidRPr="00F97FF9">
        <w:rPr>
          <w:rFonts w:ascii="Arial" w:hAnsi="Arial" w:cs="Arial"/>
          <w:b/>
        </w:rPr>
        <w:t xml:space="preserve"> </w:t>
      </w:r>
      <w:r w:rsidR="002B7466">
        <w:rPr>
          <w:rFonts w:ascii="Arial" w:hAnsi="Arial" w:cs="Arial"/>
          <w:b/>
        </w:rPr>
        <w:t xml:space="preserve">Any challenge </w:t>
      </w:r>
      <w:r w:rsidR="00D51D12">
        <w:rPr>
          <w:rFonts w:ascii="Arial" w:hAnsi="Arial" w:cs="Arial"/>
          <w:b/>
        </w:rPr>
        <w:t xml:space="preserve">by a shareholder </w:t>
      </w:r>
      <w:r w:rsidR="002B7466">
        <w:rPr>
          <w:rFonts w:ascii="Arial" w:hAnsi="Arial" w:cs="Arial"/>
          <w:b/>
        </w:rPr>
        <w:t>which</w:t>
      </w:r>
      <w:r w:rsidRPr="00F97FF9">
        <w:rPr>
          <w:rFonts w:ascii="Arial" w:hAnsi="Arial" w:cs="Arial"/>
          <w:b/>
        </w:rPr>
        <w:t xml:space="preserve"> entails</w:t>
      </w:r>
      <w:r w:rsidR="002B7466">
        <w:rPr>
          <w:rFonts w:ascii="Arial" w:hAnsi="Arial" w:cs="Arial"/>
          <w:b/>
        </w:rPr>
        <w:t>,</w:t>
      </w:r>
      <w:r w:rsidRPr="00F97FF9">
        <w:rPr>
          <w:rFonts w:ascii="Arial" w:hAnsi="Arial" w:cs="Arial"/>
          <w:b/>
        </w:rPr>
        <w:t xml:space="preserve"> either directly or indirectly</w:t>
      </w:r>
      <w:r w:rsidR="002B7466">
        <w:rPr>
          <w:rFonts w:ascii="Arial" w:hAnsi="Arial" w:cs="Arial"/>
          <w:b/>
        </w:rPr>
        <w:t>,</w:t>
      </w:r>
      <w:r w:rsidRPr="00F97FF9">
        <w:rPr>
          <w:rFonts w:ascii="Arial" w:hAnsi="Arial" w:cs="Arial"/>
          <w:b/>
        </w:rPr>
        <w:t xml:space="preserve"> an attack against the resolution approving the scheme</w:t>
      </w:r>
      <w:r w:rsidR="002B7466">
        <w:rPr>
          <w:rFonts w:ascii="Arial" w:hAnsi="Arial" w:cs="Arial"/>
          <w:b/>
        </w:rPr>
        <w:t>,</w:t>
      </w:r>
      <w:r w:rsidRPr="00F97FF9">
        <w:rPr>
          <w:rFonts w:ascii="Arial" w:hAnsi="Arial" w:cs="Arial"/>
          <w:b/>
        </w:rPr>
        <w:t xml:space="preserve"> </w:t>
      </w:r>
      <w:r w:rsidR="002B7466">
        <w:rPr>
          <w:rFonts w:ascii="Arial" w:hAnsi="Arial" w:cs="Arial"/>
          <w:b/>
        </w:rPr>
        <w:t xml:space="preserve">regardless of the form </w:t>
      </w:r>
      <w:r w:rsidR="00D51D12">
        <w:rPr>
          <w:rFonts w:ascii="Arial" w:hAnsi="Arial" w:cs="Arial"/>
          <w:b/>
        </w:rPr>
        <w:t>of such</w:t>
      </w:r>
      <w:r w:rsidR="002B7466">
        <w:rPr>
          <w:rFonts w:ascii="Arial" w:hAnsi="Arial" w:cs="Arial"/>
          <w:b/>
        </w:rPr>
        <w:t xml:space="preserve"> </w:t>
      </w:r>
      <w:r w:rsidR="00940FE9">
        <w:rPr>
          <w:rFonts w:ascii="Arial" w:hAnsi="Arial" w:cs="Arial"/>
          <w:b/>
        </w:rPr>
        <w:t>challenge,</w:t>
      </w:r>
      <w:r w:rsidR="00940FE9" w:rsidRPr="00F97FF9">
        <w:rPr>
          <w:rFonts w:ascii="Arial" w:hAnsi="Arial" w:cs="Arial"/>
          <w:b/>
        </w:rPr>
        <w:t xml:space="preserve"> can</w:t>
      </w:r>
      <w:r w:rsidRPr="00F97FF9">
        <w:rPr>
          <w:rFonts w:ascii="Arial" w:hAnsi="Arial" w:cs="Arial"/>
          <w:b/>
        </w:rPr>
        <w:t xml:space="preserve"> be brought </w:t>
      </w:r>
      <w:r w:rsidR="00D51D12">
        <w:rPr>
          <w:rFonts w:ascii="Arial" w:hAnsi="Arial" w:cs="Arial"/>
          <w:b/>
        </w:rPr>
        <w:t xml:space="preserve">only </w:t>
      </w:r>
      <w:r w:rsidRPr="00F97FF9">
        <w:rPr>
          <w:rFonts w:ascii="Arial" w:hAnsi="Arial" w:cs="Arial"/>
          <w:b/>
        </w:rPr>
        <w:t>under section 115.</w:t>
      </w:r>
    </w:p>
    <w:p w14:paraId="105F7466" w14:textId="6F6CDF2F" w:rsidR="00E55E48" w:rsidRPr="004E010A" w:rsidRDefault="00E55E48" w:rsidP="00E55E48">
      <w:pPr>
        <w:pStyle w:val="ListParagraph"/>
        <w:spacing w:line="360" w:lineRule="auto"/>
        <w:ind w:left="0"/>
        <w:jc w:val="both"/>
        <w:rPr>
          <w:rFonts w:ascii="Arial" w:hAnsi="Arial" w:cs="Arial"/>
          <w:b/>
          <w:sz w:val="22"/>
          <w:szCs w:val="22"/>
        </w:rPr>
      </w:pPr>
    </w:p>
    <w:p w14:paraId="54D87DD0" w14:textId="77777777" w:rsidR="00E55E48" w:rsidRPr="004E010A" w:rsidRDefault="00E55E48" w:rsidP="000E1BF2">
      <w:pPr>
        <w:pStyle w:val="ListParagraph"/>
        <w:spacing w:line="360" w:lineRule="auto"/>
        <w:ind w:left="0"/>
        <w:jc w:val="both"/>
        <w:rPr>
          <w:rFonts w:ascii="Arial" w:hAnsi="Arial" w:cs="Arial"/>
          <w:b/>
          <w:lang w:val="en-GB"/>
        </w:rPr>
      </w:pPr>
    </w:p>
    <w:p w14:paraId="0AD11DC1" w14:textId="77777777" w:rsidR="000E1BF2" w:rsidRPr="00012E96" w:rsidRDefault="000E1BF2" w:rsidP="000E1BF2">
      <w:pPr>
        <w:pStyle w:val="ListParagraph"/>
        <w:spacing w:line="360" w:lineRule="auto"/>
        <w:ind w:left="0"/>
        <w:jc w:val="both"/>
        <w:rPr>
          <w:rFonts w:ascii="Arial" w:hAnsi="Arial" w:cs="Arial"/>
          <w:b/>
          <w:sz w:val="28"/>
          <w:lang w:val="en-GB"/>
        </w:rPr>
      </w:pPr>
    </w:p>
    <w:p w14:paraId="2F211A64" w14:textId="757E8D1F" w:rsidR="009C66C4" w:rsidRPr="00175F8C" w:rsidRDefault="00012E96" w:rsidP="00012E96">
      <w:pPr>
        <w:spacing w:line="360" w:lineRule="auto"/>
        <w:rPr>
          <w:rFonts w:ascii="Arial" w:hAnsi="Arial" w:cs="Arial"/>
          <w:b/>
          <w:sz w:val="24"/>
          <w:szCs w:val="24"/>
          <w:u w:val="single"/>
          <w:lang w:val="en-US"/>
        </w:rPr>
      </w:pPr>
      <w:r w:rsidRPr="00175F8C">
        <w:rPr>
          <w:rFonts w:ascii="Arial" w:hAnsi="Arial" w:cs="Arial"/>
          <w:b/>
          <w:sz w:val="24"/>
          <w:szCs w:val="24"/>
          <w:u w:val="single"/>
          <w:lang w:val="en-US"/>
        </w:rPr>
        <w:t>FISHER J</w:t>
      </w:r>
      <w:r w:rsidR="00562F32" w:rsidRPr="00175F8C">
        <w:rPr>
          <w:rFonts w:ascii="Arial" w:hAnsi="Arial" w:cs="Arial"/>
          <w:b/>
          <w:sz w:val="24"/>
          <w:szCs w:val="24"/>
          <w:u w:val="single"/>
          <w:lang w:val="en-US"/>
        </w:rPr>
        <w:t>:</w:t>
      </w:r>
    </w:p>
    <w:p w14:paraId="1A5BDDAD" w14:textId="77777777" w:rsidR="00562F32" w:rsidRDefault="00562F32" w:rsidP="009630C0">
      <w:pPr>
        <w:spacing w:line="360" w:lineRule="auto"/>
        <w:jc w:val="both"/>
        <w:rPr>
          <w:rFonts w:ascii="Arial" w:hAnsi="Arial" w:cs="Arial"/>
          <w:b/>
          <w:sz w:val="24"/>
          <w:szCs w:val="24"/>
          <w:lang w:val="en-GB"/>
        </w:rPr>
      </w:pPr>
    </w:p>
    <w:p w14:paraId="477EA834" w14:textId="2FB75880" w:rsidR="008D77EC" w:rsidRPr="008D77EC" w:rsidRDefault="00175F8C" w:rsidP="008D77EC">
      <w:pPr>
        <w:spacing w:line="360" w:lineRule="auto"/>
        <w:jc w:val="both"/>
        <w:rPr>
          <w:rFonts w:ascii="Arial" w:hAnsi="Arial" w:cs="Arial"/>
          <w:b/>
          <w:sz w:val="24"/>
          <w:szCs w:val="24"/>
          <w:lang w:val="en-GB"/>
        </w:rPr>
      </w:pPr>
      <w:r>
        <w:rPr>
          <w:rFonts w:ascii="Arial" w:hAnsi="Arial" w:cs="Arial"/>
          <w:b/>
          <w:sz w:val="24"/>
          <w:szCs w:val="24"/>
          <w:lang w:val="en-GB"/>
        </w:rPr>
        <w:t>P</w:t>
      </w:r>
      <w:r w:rsidR="00B847CB">
        <w:rPr>
          <w:rFonts w:ascii="Arial" w:hAnsi="Arial" w:cs="Arial"/>
          <w:b/>
          <w:sz w:val="24"/>
          <w:szCs w:val="24"/>
          <w:lang w:val="en-GB"/>
        </w:rPr>
        <w:t>arties</w:t>
      </w:r>
      <w:r w:rsidR="008D77EC" w:rsidRPr="008D77EC">
        <w:rPr>
          <w:rFonts w:ascii="Arial" w:hAnsi="Arial" w:cs="Arial"/>
          <w:b/>
          <w:sz w:val="24"/>
          <w:szCs w:val="24"/>
          <w:lang w:val="en-GB"/>
        </w:rPr>
        <w:t xml:space="preserve"> </w:t>
      </w:r>
      <w:r>
        <w:rPr>
          <w:rFonts w:ascii="Arial" w:hAnsi="Arial" w:cs="Arial"/>
          <w:b/>
          <w:sz w:val="24"/>
          <w:szCs w:val="24"/>
          <w:lang w:val="en-GB"/>
        </w:rPr>
        <w:t xml:space="preserve">and </w:t>
      </w:r>
      <w:r w:rsidR="00D65DD0">
        <w:rPr>
          <w:rFonts w:ascii="Arial" w:hAnsi="Arial" w:cs="Arial"/>
          <w:b/>
          <w:sz w:val="24"/>
          <w:szCs w:val="24"/>
          <w:lang w:val="en-GB"/>
        </w:rPr>
        <w:t>introduction to dispute</w:t>
      </w:r>
    </w:p>
    <w:p w14:paraId="609A6C05" w14:textId="066A485D" w:rsidR="00562F32" w:rsidRDefault="00562F32" w:rsidP="009630C0">
      <w:pPr>
        <w:spacing w:line="360" w:lineRule="auto"/>
        <w:jc w:val="both"/>
        <w:rPr>
          <w:rFonts w:ascii="Arial" w:hAnsi="Arial" w:cs="Arial"/>
          <w:b/>
          <w:sz w:val="24"/>
          <w:szCs w:val="24"/>
          <w:lang w:val="en-GB"/>
        </w:rPr>
      </w:pPr>
    </w:p>
    <w:p w14:paraId="4F1E0DF8" w14:textId="432D968C" w:rsidR="006F26DF" w:rsidRPr="006F26DF" w:rsidRDefault="008D77EC" w:rsidP="008D77EC">
      <w:pPr>
        <w:pStyle w:val="ListParagraph"/>
        <w:numPr>
          <w:ilvl w:val="0"/>
          <w:numId w:val="2"/>
        </w:numPr>
        <w:spacing w:line="360" w:lineRule="auto"/>
        <w:ind w:left="0" w:firstLine="0"/>
        <w:jc w:val="both"/>
        <w:rPr>
          <w:rFonts w:ascii="Arial" w:hAnsi="Arial" w:cs="Arial"/>
        </w:rPr>
      </w:pPr>
      <w:r w:rsidRPr="008D77EC">
        <w:rPr>
          <w:rFonts w:ascii="Arial" w:hAnsi="Arial" w:cs="Arial"/>
          <w:lang w:val="en-GB"/>
        </w:rPr>
        <w:t>The plaintiff</w:t>
      </w:r>
      <w:r w:rsidR="00C10279">
        <w:rPr>
          <w:rFonts w:ascii="Arial" w:hAnsi="Arial" w:cs="Arial"/>
          <w:lang w:val="en-GB"/>
        </w:rPr>
        <w:t xml:space="preserve"> </w:t>
      </w:r>
      <w:r w:rsidR="006F26DF">
        <w:rPr>
          <w:rFonts w:ascii="Arial" w:hAnsi="Arial" w:cs="Arial"/>
          <w:lang w:val="en-GB"/>
        </w:rPr>
        <w:t>(</w:t>
      </w:r>
      <w:r w:rsidR="009B41CE">
        <w:rPr>
          <w:rFonts w:ascii="Arial" w:hAnsi="Arial" w:cs="Arial"/>
          <w:lang w:val="en-GB"/>
        </w:rPr>
        <w:t>‘</w:t>
      </w:r>
      <w:r w:rsidR="006F26DF">
        <w:rPr>
          <w:rFonts w:ascii="Arial" w:hAnsi="Arial" w:cs="Arial"/>
          <w:lang w:val="en-GB"/>
        </w:rPr>
        <w:t>Africa Wide</w:t>
      </w:r>
      <w:r w:rsidR="009B41CE">
        <w:rPr>
          <w:rFonts w:ascii="Arial" w:hAnsi="Arial" w:cs="Arial"/>
          <w:lang w:val="en-GB"/>
        </w:rPr>
        <w:t>’</w:t>
      </w:r>
      <w:r w:rsidRPr="008D77EC">
        <w:rPr>
          <w:rFonts w:ascii="Arial" w:hAnsi="Arial" w:cs="Arial"/>
          <w:lang w:val="en-GB"/>
        </w:rPr>
        <w:t>)</w:t>
      </w:r>
      <w:r w:rsidR="00C10279">
        <w:rPr>
          <w:rFonts w:ascii="Arial" w:hAnsi="Arial" w:cs="Arial"/>
          <w:lang w:val="en-GB"/>
        </w:rPr>
        <w:t xml:space="preserve"> and</w:t>
      </w:r>
      <w:r w:rsidR="006F26DF">
        <w:rPr>
          <w:rFonts w:ascii="Arial" w:hAnsi="Arial" w:cs="Arial"/>
          <w:lang w:val="en-GB"/>
        </w:rPr>
        <w:t xml:space="preserve"> t</w:t>
      </w:r>
      <w:r w:rsidRPr="008D77EC">
        <w:rPr>
          <w:rFonts w:ascii="Arial" w:hAnsi="Arial" w:cs="Arial"/>
          <w:lang w:val="en-GB"/>
        </w:rPr>
        <w:t>he first defendant (</w:t>
      </w:r>
      <w:r w:rsidR="009B41CE">
        <w:rPr>
          <w:rFonts w:ascii="Arial" w:hAnsi="Arial" w:cs="Arial"/>
          <w:lang w:val="en-GB"/>
        </w:rPr>
        <w:t>‘</w:t>
      </w:r>
      <w:r w:rsidRPr="008D77EC">
        <w:rPr>
          <w:rFonts w:ascii="Arial" w:hAnsi="Arial" w:cs="Arial"/>
          <w:lang w:val="en-GB"/>
        </w:rPr>
        <w:t>PTM</w:t>
      </w:r>
      <w:r w:rsidR="009B41CE">
        <w:rPr>
          <w:rFonts w:ascii="Arial" w:hAnsi="Arial" w:cs="Arial"/>
          <w:lang w:val="en-GB"/>
        </w:rPr>
        <w:t>’</w:t>
      </w:r>
      <w:r w:rsidRPr="008D77EC">
        <w:rPr>
          <w:rFonts w:ascii="Arial" w:hAnsi="Arial" w:cs="Arial"/>
          <w:lang w:val="en-GB"/>
        </w:rPr>
        <w:t xml:space="preserve">) were </w:t>
      </w:r>
      <w:r w:rsidR="009B41CE">
        <w:rPr>
          <w:rFonts w:ascii="Arial" w:hAnsi="Arial" w:cs="Arial"/>
          <w:lang w:val="en-GB"/>
        </w:rPr>
        <w:t xml:space="preserve">the </w:t>
      </w:r>
      <w:r w:rsidRPr="008D77EC">
        <w:rPr>
          <w:rFonts w:ascii="Arial" w:hAnsi="Arial" w:cs="Arial"/>
          <w:lang w:val="en-GB"/>
        </w:rPr>
        <w:t xml:space="preserve">shareholders of </w:t>
      </w:r>
      <w:r w:rsidR="00791813">
        <w:rPr>
          <w:rFonts w:ascii="Arial" w:hAnsi="Arial" w:cs="Arial"/>
          <w:lang w:val="en-GB"/>
        </w:rPr>
        <w:t>the third defendant (‘Maseve</w:t>
      </w:r>
      <w:r w:rsidR="00DF29F0">
        <w:rPr>
          <w:rFonts w:ascii="Arial" w:hAnsi="Arial" w:cs="Arial"/>
          <w:lang w:val="en-GB"/>
        </w:rPr>
        <w:t>’)</w:t>
      </w:r>
      <w:r w:rsidR="00C10279">
        <w:rPr>
          <w:rFonts w:ascii="Arial" w:hAnsi="Arial" w:cs="Arial"/>
          <w:lang w:val="en-GB"/>
        </w:rPr>
        <w:t>.</w:t>
      </w:r>
      <w:r w:rsidRPr="008D77EC">
        <w:rPr>
          <w:rFonts w:ascii="Arial" w:hAnsi="Arial" w:cs="Arial"/>
          <w:lang w:val="en-GB"/>
        </w:rPr>
        <w:t xml:space="preserve"> Maseve </w:t>
      </w:r>
      <w:r w:rsidR="00DE0206">
        <w:rPr>
          <w:rFonts w:ascii="Arial" w:hAnsi="Arial" w:cs="Arial"/>
          <w:lang w:val="en-GB"/>
        </w:rPr>
        <w:t xml:space="preserve">owns the Maseve Mine, situated </w:t>
      </w:r>
      <w:r w:rsidRPr="008D77EC">
        <w:rPr>
          <w:rFonts w:ascii="Arial" w:hAnsi="Arial" w:cs="Arial"/>
          <w:lang w:val="en-GB"/>
        </w:rPr>
        <w:t>near Rustenburg, North W</w:t>
      </w:r>
      <w:r>
        <w:rPr>
          <w:rFonts w:ascii="Arial" w:hAnsi="Arial" w:cs="Arial"/>
          <w:lang w:val="en-GB"/>
        </w:rPr>
        <w:t>est Province</w:t>
      </w:r>
      <w:r w:rsidRPr="008D77EC">
        <w:rPr>
          <w:rFonts w:ascii="Arial" w:hAnsi="Arial" w:cs="Arial"/>
          <w:lang w:val="en-GB"/>
        </w:rPr>
        <w:t>.</w:t>
      </w:r>
    </w:p>
    <w:p w14:paraId="2AD94E09" w14:textId="77777777" w:rsidR="006F26DF" w:rsidRPr="006F26DF" w:rsidRDefault="006F26DF" w:rsidP="006F26DF">
      <w:pPr>
        <w:pStyle w:val="ListParagraph"/>
        <w:spacing w:line="360" w:lineRule="auto"/>
        <w:ind w:left="0"/>
        <w:jc w:val="both"/>
        <w:rPr>
          <w:rFonts w:ascii="Arial" w:hAnsi="Arial" w:cs="Arial"/>
        </w:rPr>
      </w:pPr>
    </w:p>
    <w:p w14:paraId="1F00CE3D" w14:textId="5D5BE4C2" w:rsidR="006F26DF" w:rsidRPr="006F26DF" w:rsidRDefault="008D77EC" w:rsidP="008D77EC">
      <w:pPr>
        <w:pStyle w:val="ListParagraph"/>
        <w:numPr>
          <w:ilvl w:val="0"/>
          <w:numId w:val="2"/>
        </w:numPr>
        <w:spacing w:line="360" w:lineRule="auto"/>
        <w:ind w:left="0" w:firstLine="0"/>
        <w:jc w:val="both"/>
        <w:rPr>
          <w:rFonts w:ascii="Arial" w:hAnsi="Arial" w:cs="Arial"/>
        </w:rPr>
      </w:pPr>
      <w:r w:rsidRPr="006F26DF">
        <w:rPr>
          <w:rFonts w:ascii="Arial" w:hAnsi="Arial" w:cs="Arial"/>
          <w:lang w:val="en-GB"/>
        </w:rPr>
        <w:t xml:space="preserve">Maseve was </w:t>
      </w:r>
      <w:r w:rsidR="00FA4B31">
        <w:rPr>
          <w:rFonts w:ascii="Arial" w:hAnsi="Arial" w:cs="Arial"/>
          <w:lang w:val="en-GB"/>
        </w:rPr>
        <w:t>incorporated</w:t>
      </w:r>
      <w:r w:rsidRPr="006F26DF">
        <w:rPr>
          <w:rFonts w:ascii="Arial" w:hAnsi="Arial" w:cs="Arial"/>
          <w:lang w:val="en-GB"/>
        </w:rPr>
        <w:t xml:space="preserve"> in 2008 by Africa Wide and PTM. Their respective shareholding </w:t>
      </w:r>
      <w:r w:rsidR="009B41CE">
        <w:rPr>
          <w:rFonts w:ascii="Arial" w:hAnsi="Arial" w:cs="Arial"/>
          <w:lang w:val="en-GB"/>
        </w:rPr>
        <w:t>has been</w:t>
      </w:r>
      <w:r w:rsidRPr="006F26DF">
        <w:rPr>
          <w:rFonts w:ascii="Arial" w:hAnsi="Arial" w:cs="Arial"/>
          <w:lang w:val="en-GB"/>
        </w:rPr>
        <w:t xml:space="preserve"> adjusted over time as a consequence of Africa Wide’s failure to make certain capital contributions to the joint venture. At the time of the transactions in issue</w:t>
      </w:r>
      <w:r w:rsidR="00DF29F0">
        <w:rPr>
          <w:rFonts w:ascii="Arial" w:hAnsi="Arial" w:cs="Arial"/>
          <w:lang w:val="en-GB"/>
        </w:rPr>
        <w:t xml:space="preserve"> in this case</w:t>
      </w:r>
      <w:r w:rsidRPr="006F26DF">
        <w:rPr>
          <w:rFonts w:ascii="Arial" w:hAnsi="Arial" w:cs="Arial"/>
          <w:lang w:val="en-GB"/>
        </w:rPr>
        <w:t>, PTM held 82.9% of the issued shares in Maseve and Africa Wide held 17.1%.</w:t>
      </w:r>
    </w:p>
    <w:p w14:paraId="6CDC2653" w14:textId="77777777" w:rsidR="006F26DF" w:rsidRPr="006F26DF" w:rsidRDefault="006F26DF" w:rsidP="006F26DF">
      <w:pPr>
        <w:pStyle w:val="ListParagraph"/>
        <w:rPr>
          <w:rFonts w:ascii="Arial" w:hAnsi="Arial" w:cs="Arial"/>
          <w:lang w:val="en-GB"/>
        </w:rPr>
      </w:pPr>
    </w:p>
    <w:p w14:paraId="78A2F314" w14:textId="07116847" w:rsidR="006F26DF" w:rsidRPr="006F26DF" w:rsidRDefault="008D77EC" w:rsidP="008D77EC">
      <w:pPr>
        <w:pStyle w:val="ListParagraph"/>
        <w:numPr>
          <w:ilvl w:val="0"/>
          <w:numId w:val="2"/>
        </w:numPr>
        <w:spacing w:line="360" w:lineRule="auto"/>
        <w:ind w:left="0" w:firstLine="0"/>
        <w:jc w:val="both"/>
        <w:rPr>
          <w:rFonts w:ascii="Arial" w:hAnsi="Arial" w:cs="Arial"/>
        </w:rPr>
      </w:pPr>
      <w:r w:rsidRPr="006F26DF">
        <w:rPr>
          <w:rFonts w:ascii="Arial" w:hAnsi="Arial" w:cs="Arial"/>
          <w:lang w:val="en-GB"/>
        </w:rPr>
        <w:t>Both PTM and Africa Wide are</w:t>
      </w:r>
      <w:r w:rsidR="00A72BC2">
        <w:rPr>
          <w:rFonts w:ascii="Arial" w:hAnsi="Arial" w:cs="Arial"/>
          <w:lang w:val="en-GB"/>
        </w:rPr>
        <w:t>,</w:t>
      </w:r>
      <w:r w:rsidRPr="006F26DF">
        <w:rPr>
          <w:rFonts w:ascii="Arial" w:hAnsi="Arial" w:cs="Arial"/>
          <w:lang w:val="en-GB"/>
        </w:rPr>
        <w:t xml:space="preserve"> themselves</w:t>
      </w:r>
      <w:r w:rsidR="00A72BC2">
        <w:rPr>
          <w:rFonts w:ascii="Arial" w:hAnsi="Arial" w:cs="Arial"/>
          <w:lang w:val="en-GB"/>
        </w:rPr>
        <w:t>,</w:t>
      </w:r>
      <w:r w:rsidRPr="006F26DF">
        <w:rPr>
          <w:rFonts w:ascii="Arial" w:hAnsi="Arial" w:cs="Arial"/>
          <w:lang w:val="en-GB"/>
        </w:rPr>
        <w:t xml:space="preserve"> wholly owned subsidiaries. PTM's parent-company is Platinum Group Metals Limited, r</w:t>
      </w:r>
      <w:r w:rsidR="006F26DF">
        <w:rPr>
          <w:rFonts w:ascii="Arial" w:hAnsi="Arial" w:cs="Arial"/>
          <w:lang w:val="en-GB"/>
        </w:rPr>
        <w:t>egistered in Canada (</w:t>
      </w:r>
      <w:r w:rsidR="00082452">
        <w:rPr>
          <w:rFonts w:ascii="Arial" w:hAnsi="Arial" w:cs="Arial"/>
          <w:lang w:val="en-GB"/>
        </w:rPr>
        <w:t>‘</w:t>
      </w:r>
      <w:r w:rsidR="006F26DF">
        <w:rPr>
          <w:rFonts w:ascii="Arial" w:hAnsi="Arial" w:cs="Arial"/>
          <w:lang w:val="en-GB"/>
        </w:rPr>
        <w:t>PTM Canada</w:t>
      </w:r>
      <w:r w:rsidR="00082452">
        <w:rPr>
          <w:rFonts w:ascii="Arial" w:hAnsi="Arial" w:cs="Arial"/>
          <w:lang w:val="en-GB"/>
        </w:rPr>
        <w:t>’</w:t>
      </w:r>
      <w:r w:rsidR="006F26DF">
        <w:rPr>
          <w:rFonts w:ascii="Arial" w:hAnsi="Arial" w:cs="Arial"/>
          <w:lang w:val="en-GB"/>
        </w:rPr>
        <w:t xml:space="preserve">) and </w:t>
      </w:r>
      <w:r w:rsidRPr="006F26DF">
        <w:rPr>
          <w:rFonts w:ascii="Arial" w:hAnsi="Arial" w:cs="Arial"/>
          <w:lang w:val="en-GB"/>
        </w:rPr>
        <w:t>Africa Wide's parent-company is Wesizw</w:t>
      </w:r>
      <w:r w:rsidR="006F26DF">
        <w:rPr>
          <w:rFonts w:ascii="Arial" w:hAnsi="Arial" w:cs="Arial"/>
          <w:lang w:val="en-GB"/>
        </w:rPr>
        <w:t>e Platinum Limited (‘Wesizwe’).</w:t>
      </w:r>
    </w:p>
    <w:p w14:paraId="540CB623" w14:textId="77777777" w:rsidR="006F26DF" w:rsidRPr="006F26DF" w:rsidRDefault="006F26DF" w:rsidP="006F26DF">
      <w:pPr>
        <w:pStyle w:val="ListParagraph"/>
        <w:rPr>
          <w:rFonts w:ascii="Arial" w:hAnsi="Arial" w:cs="Arial"/>
          <w:lang w:val="en-GB"/>
        </w:rPr>
      </w:pPr>
    </w:p>
    <w:p w14:paraId="52AF28CB" w14:textId="66C24826" w:rsidR="006F26DF" w:rsidRPr="006F26DF" w:rsidRDefault="008D77EC" w:rsidP="008D77EC">
      <w:pPr>
        <w:pStyle w:val="ListParagraph"/>
        <w:numPr>
          <w:ilvl w:val="0"/>
          <w:numId w:val="2"/>
        </w:numPr>
        <w:spacing w:line="360" w:lineRule="auto"/>
        <w:ind w:left="0" w:firstLine="0"/>
        <w:jc w:val="both"/>
        <w:rPr>
          <w:rFonts w:ascii="Arial" w:hAnsi="Arial" w:cs="Arial"/>
        </w:rPr>
      </w:pPr>
      <w:r w:rsidRPr="006F26DF">
        <w:rPr>
          <w:rFonts w:ascii="Arial" w:hAnsi="Arial" w:cs="Arial"/>
          <w:lang w:val="en-GB"/>
        </w:rPr>
        <w:t xml:space="preserve">Wesizwe's shareholders include a consortium </w:t>
      </w:r>
      <w:r w:rsidR="00C10279">
        <w:rPr>
          <w:rFonts w:ascii="Arial" w:hAnsi="Arial" w:cs="Arial"/>
          <w:lang w:val="en-GB"/>
        </w:rPr>
        <w:t>in which the</w:t>
      </w:r>
      <w:r w:rsidRPr="006F26DF">
        <w:rPr>
          <w:rFonts w:ascii="Arial" w:hAnsi="Arial" w:cs="Arial"/>
          <w:lang w:val="en-GB"/>
        </w:rPr>
        <w:t xml:space="preserve"> Jinchuan Group Ltd and the China-Africa Development Fund</w:t>
      </w:r>
      <w:r w:rsidR="005A541B">
        <w:rPr>
          <w:rFonts w:ascii="Arial" w:hAnsi="Arial" w:cs="Arial"/>
          <w:lang w:val="en-GB"/>
        </w:rPr>
        <w:t xml:space="preserve"> </w:t>
      </w:r>
      <w:r w:rsidR="00CD4A3E">
        <w:rPr>
          <w:rFonts w:ascii="Arial" w:hAnsi="Arial" w:cs="Arial"/>
          <w:lang w:val="en-GB"/>
        </w:rPr>
        <w:t>(‘CADF’)</w:t>
      </w:r>
      <w:r w:rsidR="00DE0206">
        <w:rPr>
          <w:rFonts w:ascii="Arial" w:hAnsi="Arial" w:cs="Arial"/>
          <w:lang w:val="en-GB"/>
        </w:rPr>
        <w:t xml:space="preserve"> </w:t>
      </w:r>
      <w:r w:rsidR="005A541B">
        <w:rPr>
          <w:rFonts w:ascii="Arial" w:hAnsi="Arial" w:cs="Arial"/>
          <w:lang w:val="en-GB"/>
        </w:rPr>
        <w:t>are involved</w:t>
      </w:r>
      <w:r w:rsidRPr="006F26DF">
        <w:rPr>
          <w:rFonts w:ascii="Arial" w:hAnsi="Arial" w:cs="Arial"/>
          <w:lang w:val="en-GB"/>
        </w:rPr>
        <w:t>.</w:t>
      </w:r>
    </w:p>
    <w:p w14:paraId="1F4DCE05" w14:textId="77777777" w:rsidR="006F26DF" w:rsidRPr="006F26DF" w:rsidRDefault="006F26DF" w:rsidP="006F26DF">
      <w:pPr>
        <w:pStyle w:val="ListParagraph"/>
        <w:rPr>
          <w:rFonts w:ascii="Arial" w:hAnsi="Arial" w:cs="Arial"/>
          <w:lang w:val="en-GB"/>
        </w:rPr>
      </w:pPr>
    </w:p>
    <w:p w14:paraId="1E8FC6E7" w14:textId="0164C2CD" w:rsidR="006F26DF" w:rsidRPr="006F26DF" w:rsidRDefault="008D77EC" w:rsidP="008D77EC">
      <w:pPr>
        <w:pStyle w:val="ListParagraph"/>
        <w:numPr>
          <w:ilvl w:val="0"/>
          <w:numId w:val="2"/>
        </w:numPr>
        <w:spacing w:line="360" w:lineRule="auto"/>
        <w:ind w:left="0" w:firstLine="0"/>
        <w:jc w:val="both"/>
        <w:rPr>
          <w:rFonts w:ascii="Arial" w:hAnsi="Arial" w:cs="Arial"/>
        </w:rPr>
      </w:pPr>
      <w:r w:rsidRPr="006F26DF">
        <w:rPr>
          <w:rFonts w:ascii="Arial" w:hAnsi="Arial" w:cs="Arial"/>
          <w:lang w:val="en-GB"/>
        </w:rPr>
        <w:t>This case deals with a scheme of arrangement</w:t>
      </w:r>
      <w:r w:rsidR="00783EED">
        <w:rPr>
          <w:rFonts w:ascii="Arial" w:hAnsi="Arial" w:cs="Arial"/>
          <w:lang w:val="en-GB"/>
        </w:rPr>
        <w:t xml:space="preserve"> under</w:t>
      </w:r>
      <w:r w:rsidRPr="006F26DF">
        <w:rPr>
          <w:rFonts w:ascii="Arial" w:hAnsi="Arial" w:cs="Arial"/>
          <w:lang w:val="en-GB"/>
        </w:rPr>
        <w:t xml:space="preserve"> section 115 of the 2008 Companies Act (</w:t>
      </w:r>
      <w:r w:rsidR="00A72BC2">
        <w:rPr>
          <w:rFonts w:ascii="Arial" w:hAnsi="Arial" w:cs="Arial"/>
          <w:lang w:val="en-GB"/>
        </w:rPr>
        <w:t>‘</w:t>
      </w:r>
      <w:r w:rsidRPr="006F26DF">
        <w:rPr>
          <w:rFonts w:ascii="Arial" w:hAnsi="Arial" w:cs="Arial"/>
          <w:lang w:val="en-GB"/>
        </w:rPr>
        <w:t>the Act’). The scheme was aimed at transferring the entire shareholding of Maseve to the Roy</w:t>
      </w:r>
      <w:r w:rsidR="006F26DF">
        <w:rPr>
          <w:rFonts w:ascii="Arial" w:hAnsi="Arial" w:cs="Arial"/>
          <w:lang w:val="en-GB"/>
        </w:rPr>
        <w:t xml:space="preserve">al Bafokeng </w:t>
      </w:r>
      <w:r w:rsidRPr="006F26DF">
        <w:rPr>
          <w:rFonts w:ascii="Arial" w:hAnsi="Arial" w:cs="Arial"/>
          <w:lang w:val="en-GB"/>
        </w:rPr>
        <w:t xml:space="preserve">and entailed the expropriation of the </w:t>
      </w:r>
      <w:r w:rsidR="006F26DF" w:rsidRPr="006F26DF">
        <w:rPr>
          <w:rFonts w:ascii="Arial" w:hAnsi="Arial" w:cs="Arial"/>
          <w:lang w:val="en-GB"/>
        </w:rPr>
        <w:t>shareholding</w:t>
      </w:r>
      <w:r w:rsidRPr="006F26DF">
        <w:rPr>
          <w:rFonts w:ascii="Arial" w:hAnsi="Arial" w:cs="Arial"/>
          <w:lang w:val="en-GB"/>
        </w:rPr>
        <w:t xml:space="preserve"> of Africa Wide.</w:t>
      </w:r>
      <w:r w:rsidR="00783EED">
        <w:rPr>
          <w:rFonts w:ascii="Arial" w:hAnsi="Arial" w:cs="Arial"/>
          <w:lang w:val="en-GB"/>
        </w:rPr>
        <w:t xml:space="preserve"> The scheme has been implemented </w:t>
      </w:r>
      <w:r w:rsidR="00FD7109">
        <w:rPr>
          <w:rFonts w:ascii="Arial" w:hAnsi="Arial" w:cs="Arial"/>
          <w:lang w:val="en-GB"/>
        </w:rPr>
        <w:t>which</w:t>
      </w:r>
      <w:r w:rsidR="00783EED">
        <w:rPr>
          <w:rFonts w:ascii="Arial" w:hAnsi="Arial" w:cs="Arial"/>
          <w:lang w:val="en-GB"/>
        </w:rPr>
        <w:t xml:space="preserve"> has </w:t>
      </w:r>
      <w:r w:rsidR="005A541B">
        <w:rPr>
          <w:rFonts w:ascii="Arial" w:hAnsi="Arial" w:cs="Arial"/>
          <w:lang w:val="en-GB"/>
        </w:rPr>
        <w:t>resulted in</w:t>
      </w:r>
      <w:r w:rsidR="00783EED">
        <w:rPr>
          <w:rFonts w:ascii="Arial" w:hAnsi="Arial" w:cs="Arial"/>
          <w:lang w:val="en-GB"/>
        </w:rPr>
        <w:t xml:space="preserve"> the transfer of the shareholding in Maseve to</w:t>
      </w:r>
      <w:r w:rsidR="00C6310A">
        <w:rPr>
          <w:rFonts w:ascii="Arial" w:hAnsi="Arial" w:cs="Arial"/>
          <w:lang w:val="en-GB"/>
        </w:rPr>
        <w:t xml:space="preserve"> the second defendant</w:t>
      </w:r>
      <w:r w:rsidR="00082452">
        <w:rPr>
          <w:rFonts w:ascii="Arial" w:hAnsi="Arial" w:cs="Arial"/>
          <w:lang w:val="en-GB"/>
        </w:rPr>
        <w:t xml:space="preserve"> </w:t>
      </w:r>
      <w:r w:rsidR="00216353">
        <w:rPr>
          <w:rFonts w:ascii="Arial" w:hAnsi="Arial" w:cs="Arial"/>
          <w:lang w:val="en-GB"/>
        </w:rPr>
        <w:t>(‘</w:t>
      </w:r>
      <w:r w:rsidR="00082452">
        <w:rPr>
          <w:rFonts w:ascii="Arial" w:hAnsi="Arial" w:cs="Arial"/>
          <w:lang w:val="en-GB"/>
        </w:rPr>
        <w:t>RB platinum</w:t>
      </w:r>
      <w:r w:rsidR="00216353">
        <w:rPr>
          <w:rFonts w:ascii="Arial" w:hAnsi="Arial" w:cs="Arial"/>
          <w:lang w:val="en-GB"/>
        </w:rPr>
        <w:t>’)</w:t>
      </w:r>
      <w:r w:rsidR="00A45F78">
        <w:rPr>
          <w:rFonts w:ascii="Arial" w:hAnsi="Arial" w:cs="Arial"/>
          <w:lang w:val="en-GB"/>
        </w:rPr>
        <w:t xml:space="preserve">. RB Platinum </w:t>
      </w:r>
      <w:r w:rsidR="00F150FA">
        <w:rPr>
          <w:rFonts w:ascii="Arial" w:hAnsi="Arial" w:cs="Arial"/>
          <w:lang w:val="en-GB"/>
        </w:rPr>
        <w:t>owns 100% of the shareholding of the fourth defendant (‘RB</w:t>
      </w:r>
      <w:r w:rsidR="008A7A66">
        <w:rPr>
          <w:rFonts w:ascii="Arial" w:hAnsi="Arial" w:cs="Arial"/>
          <w:lang w:val="en-GB"/>
        </w:rPr>
        <w:t xml:space="preserve"> Resources’) which conducts a mining business.</w:t>
      </w:r>
    </w:p>
    <w:p w14:paraId="7E48E1FC" w14:textId="47BEA536" w:rsidR="006F26DF" w:rsidRPr="006F26DF" w:rsidRDefault="006F26DF" w:rsidP="006F26DF">
      <w:pPr>
        <w:rPr>
          <w:rFonts w:ascii="Arial" w:hAnsi="Arial" w:cs="Arial"/>
          <w:lang w:val="en-GB"/>
        </w:rPr>
      </w:pPr>
    </w:p>
    <w:p w14:paraId="4EBE2759" w14:textId="0E02DBE0" w:rsidR="000B799E" w:rsidRPr="000B799E" w:rsidRDefault="008D77EC" w:rsidP="006F26DF">
      <w:pPr>
        <w:pStyle w:val="ListParagraph"/>
        <w:numPr>
          <w:ilvl w:val="0"/>
          <w:numId w:val="2"/>
        </w:numPr>
        <w:spacing w:line="360" w:lineRule="auto"/>
        <w:ind w:left="0" w:firstLine="0"/>
        <w:jc w:val="both"/>
        <w:rPr>
          <w:rFonts w:ascii="Arial" w:hAnsi="Arial" w:cs="Arial"/>
        </w:rPr>
      </w:pPr>
      <w:r w:rsidRPr="006F26DF">
        <w:rPr>
          <w:rFonts w:ascii="Arial" w:hAnsi="Arial" w:cs="Arial"/>
          <w:lang w:val="en-GB"/>
        </w:rPr>
        <w:t xml:space="preserve">The plaintiff seeks to collapse the scheme on the basis that it </w:t>
      </w:r>
      <w:r w:rsidR="00FB551B">
        <w:rPr>
          <w:rFonts w:ascii="Arial" w:hAnsi="Arial" w:cs="Arial"/>
          <w:lang w:val="en-GB"/>
        </w:rPr>
        <w:t>attacks a</w:t>
      </w:r>
      <w:r w:rsidR="00DE0206">
        <w:rPr>
          <w:rFonts w:ascii="Arial" w:hAnsi="Arial" w:cs="Arial"/>
          <w:lang w:val="en-GB"/>
        </w:rPr>
        <w:t>n</w:t>
      </w:r>
      <w:r w:rsidR="00BE5C6D">
        <w:rPr>
          <w:rFonts w:ascii="Arial" w:hAnsi="Arial" w:cs="Arial"/>
          <w:lang w:val="en-GB"/>
        </w:rPr>
        <w:t xml:space="preserve"> agreement</w:t>
      </w:r>
      <w:r w:rsidR="00CF6CD6">
        <w:rPr>
          <w:rFonts w:ascii="Arial" w:hAnsi="Arial" w:cs="Arial"/>
          <w:lang w:val="en-GB"/>
        </w:rPr>
        <w:t xml:space="preserve"> in </w:t>
      </w:r>
      <w:r w:rsidR="00A45F78">
        <w:rPr>
          <w:rFonts w:ascii="Arial" w:hAnsi="Arial" w:cs="Arial"/>
          <w:lang w:val="en-GB"/>
        </w:rPr>
        <w:t xml:space="preserve">terms of </w:t>
      </w:r>
      <w:r w:rsidR="00CF6CD6">
        <w:rPr>
          <w:rFonts w:ascii="Arial" w:hAnsi="Arial" w:cs="Arial"/>
          <w:lang w:val="en-GB"/>
        </w:rPr>
        <w:t xml:space="preserve">which Maseve sold its ore processing plant to </w:t>
      </w:r>
      <w:r w:rsidR="00371446">
        <w:rPr>
          <w:rFonts w:ascii="Arial" w:hAnsi="Arial" w:cs="Arial"/>
          <w:lang w:val="en-GB"/>
        </w:rPr>
        <w:t>RB Resources</w:t>
      </w:r>
      <w:r w:rsidR="00CF6CD6">
        <w:rPr>
          <w:rFonts w:ascii="Arial" w:hAnsi="Arial" w:cs="Arial"/>
          <w:lang w:val="en-GB"/>
        </w:rPr>
        <w:t xml:space="preserve">. This </w:t>
      </w:r>
      <w:r w:rsidR="00692540">
        <w:rPr>
          <w:rFonts w:ascii="Arial" w:hAnsi="Arial" w:cs="Arial"/>
          <w:lang w:val="en-GB"/>
        </w:rPr>
        <w:t>plant transaction</w:t>
      </w:r>
      <w:r w:rsidR="00BE5C6D">
        <w:rPr>
          <w:rFonts w:ascii="Arial" w:hAnsi="Arial" w:cs="Arial"/>
          <w:lang w:val="en-GB"/>
        </w:rPr>
        <w:t xml:space="preserve"> </w:t>
      </w:r>
      <w:r w:rsidR="0022384B">
        <w:rPr>
          <w:rFonts w:ascii="Arial" w:hAnsi="Arial" w:cs="Arial"/>
          <w:lang w:val="en-GB"/>
        </w:rPr>
        <w:t xml:space="preserve">was </w:t>
      </w:r>
      <w:r w:rsidR="00BE5C6D">
        <w:rPr>
          <w:rFonts w:ascii="Arial" w:hAnsi="Arial" w:cs="Arial"/>
          <w:lang w:val="en-GB"/>
        </w:rPr>
        <w:t xml:space="preserve">entered into simultaneously with </w:t>
      </w:r>
      <w:r w:rsidR="00692540">
        <w:rPr>
          <w:rFonts w:ascii="Arial" w:hAnsi="Arial" w:cs="Arial"/>
          <w:lang w:val="en-GB"/>
        </w:rPr>
        <w:t>a</w:t>
      </w:r>
      <w:r w:rsidR="00DE0206">
        <w:rPr>
          <w:rFonts w:ascii="Arial" w:hAnsi="Arial" w:cs="Arial"/>
          <w:lang w:val="en-GB"/>
        </w:rPr>
        <w:t xml:space="preserve"> transaction for the sale of</w:t>
      </w:r>
      <w:r w:rsidR="00F735EF">
        <w:rPr>
          <w:rFonts w:ascii="Arial" w:hAnsi="Arial" w:cs="Arial"/>
          <w:lang w:val="en-GB"/>
        </w:rPr>
        <w:t xml:space="preserve"> the shareholding of Maseve</w:t>
      </w:r>
      <w:r w:rsidR="009779BD">
        <w:rPr>
          <w:rFonts w:ascii="Arial" w:hAnsi="Arial" w:cs="Arial"/>
          <w:lang w:val="en-GB"/>
        </w:rPr>
        <w:t xml:space="preserve"> to the second defendant (</w:t>
      </w:r>
      <w:r w:rsidR="006055DE">
        <w:rPr>
          <w:rFonts w:ascii="Arial" w:hAnsi="Arial" w:cs="Arial"/>
          <w:lang w:val="en-GB"/>
        </w:rPr>
        <w:t>‘</w:t>
      </w:r>
      <w:r w:rsidR="009779BD">
        <w:rPr>
          <w:rFonts w:ascii="Arial" w:hAnsi="Arial" w:cs="Arial"/>
          <w:lang w:val="en-GB"/>
        </w:rPr>
        <w:t>RB Platinum</w:t>
      </w:r>
      <w:r w:rsidR="006055DE">
        <w:rPr>
          <w:rFonts w:ascii="Arial" w:hAnsi="Arial" w:cs="Arial"/>
          <w:lang w:val="en-GB"/>
        </w:rPr>
        <w:t>’</w:t>
      </w:r>
      <w:r w:rsidR="009779BD">
        <w:rPr>
          <w:rFonts w:ascii="Arial" w:hAnsi="Arial" w:cs="Arial"/>
          <w:lang w:val="en-GB"/>
        </w:rPr>
        <w:t>) and</w:t>
      </w:r>
      <w:r w:rsidR="00BE5C6D">
        <w:rPr>
          <w:rFonts w:ascii="Arial" w:hAnsi="Arial" w:cs="Arial"/>
          <w:lang w:val="en-GB"/>
        </w:rPr>
        <w:t xml:space="preserve"> </w:t>
      </w:r>
      <w:r w:rsidR="009779BD">
        <w:rPr>
          <w:rFonts w:ascii="Arial" w:hAnsi="Arial" w:cs="Arial"/>
          <w:lang w:val="en-GB"/>
        </w:rPr>
        <w:t xml:space="preserve">the </w:t>
      </w:r>
      <w:r w:rsidR="004E2062">
        <w:rPr>
          <w:rFonts w:ascii="Arial" w:hAnsi="Arial" w:cs="Arial"/>
          <w:lang w:val="en-GB"/>
        </w:rPr>
        <w:t xml:space="preserve">approval of the </w:t>
      </w:r>
      <w:r w:rsidR="00BE5C6D">
        <w:rPr>
          <w:rFonts w:ascii="Arial" w:hAnsi="Arial" w:cs="Arial"/>
          <w:lang w:val="en-GB"/>
        </w:rPr>
        <w:t>scheme</w:t>
      </w:r>
      <w:r w:rsidR="009779BD">
        <w:rPr>
          <w:rFonts w:ascii="Arial" w:hAnsi="Arial" w:cs="Arial"/>
          <w:lang w:val="en-GB"/>
        </w:rPr>
        <w:t xml:space="preserve">. </w:t>
      </w:r>
    </w:p>
    <w:p w14:paraId="6FF855B3" w14:textId="77777777" w:rsidR="000B799E" w:rsidRPr="000B799E" w:rsidRDefault="000B799E" w:rsidP="000B799E">
      <w:pPr>
        <w:pStyle w:val="ListParagraph"/>
        <w:rPr>
          <w:rFonts w:ascii="Arial" w:hAnsi="Arial" w:cs="Arial"/>
          <w:lang w:val="en-GB"/>
        </w:rPr>
      </w:pPr>
    </w:p>
    <w:p w14:paraId="36817ECF" w14:textId="3FC04905" w:rsidR="00A16BC1" w:rsidRPr="00A16BC1" w:rsidRDefault="00F717BA" w:rsidP="006F26DF">
      <w:pPr>
        <w:pStyle w:val="ListParagraph"/>
        <w:numPr>
          <w:ilvl w:val="0"/>
          <w:numId w:val="2"/>
        </w:numPr>
        <w:spacing w:line="360" w:lineRule="auto"/>
        <w:ind w:left="0" w:firstLine="0"/>
        <w:jc w:val="both"/>
        <w:rPr>
          <w:rFonts w:ascii="Arial" w:hAnsi="Arial" w:cs="Arial"/>
        </w:rPr>
      </w:pPr>
      <w:r>
        <w:rPr>
          <w:rFonts w:ascii="Arial" w:hAnsi="Arial" w:cs="Arial"/>
          <w:lang w:val="en-GB"/>
        </w:rPr>
        <w:t xml:space="preserve"> It is not in dispute that this plant transaction is fundamental to the scheme. The </w:t>
      </w:r>
      <w:r w:rsidR="00232F13">
        <w:rPr>
          <w:rFonts w:ascii="Arial" w:hAnsi="Arial" w:cs="Arial"/>
          <w:lang w:val="en-GB"/>
        </w:rPr>
        <w:t xml:space="preserve">defendants say that it </w:t>
      </w:r>
      <w:r w:rsidR="008A7A66">
        <w:rPr>
          <w:rFonts w:ascii="Arial" w:hAnsi="Arial" w:cs="Arial"/>
          <w:lang w:val="en-GB"/>
        </w:rPr>
        <w:t xml:space="preserve">is </w:t>
      </w:r>
      <w:r w:rsidR="00232F13">
        <w:rPr>
          <w:rFonts w:ascii="Arial" w:hAnsi="Arial" w:cs="Arial"/>
          <w:lang w:val="en-GB"/>
        </w:rPr>
        <w:t>part of the scheme; the plaintiff says it is a separate agreement.</w:t>
      </w:r>
    </w:p>
    <w:p w14:paraId="20EA92AF" w14:textId="77777777" w:rsidR="00A16BC1" w:rsidRPr="00A16BC1" w:rsidRDefault="00A16BC1" w:rsidP="00A16BC1">
      <w:pPr>
        <w:pStyle w:val="ListParagraph"/>
        <w:rPr>
          <w:rFonts w:ascii="Arial" w:hAnsi="Arial" w:cs="Arial"/>
          <w:lang w:val="en-GB"/>
        </w:rPr>
      </w:pPr>
    </w:p>
    <w:p w14:paraId="0029CF37" w14:textId="3A7246F4" w:rsidR="000C05F6" w:rsidRDefault="0022384B" w:rsidP="001B7D27">
      <w:pPr>
        <w:pStyle w:val="ListParagraph"/>
        <w:numPr>
          <w:ilvl w:val="0"/>
          <w:numId w:val="2"/>
        </w:numPr>
        <w:spacing w:line="360" w:lineRule="auto"/>
        <w:ind w:left="0" w:firstLine="0"/>
        <w:jc w:val="both"/>
        <w:rPr>
          <w:rFonts w:ascii="Arial" w:hAnsi="Arial" w:cs="Arial"/>
          <w:lang w:val="en-GB"/>
        </w:rPr>
      </w:pPr>
      <w:r w:rsidRPr="007B74F0">
        <w:rPr>
          <w:rFonts w:ascii="Arial" w:hAnsi="Arial" w:cs="Arial"/>
          <w:lang w:val="en-GB"/>
        </w:rPr>
        <w:t xml:space="preserve"> Th</w:t>
      </w:r>
      <w:r w:rsidR="006055DE">
        <w:rPr>
          <w:rFonts w:ascii="Arial" w:hAnsi="Arial" w:cs="Arial"/>
          <w:lang w:val="en-GB"/>
        </w:rPr>
        <w:t>e</w:t>
      </w:r>
      <w:r w:rsidR="00232F13">
        <w:rPr>
          <w:rFonts w:ascii="Arial" w:hAnsi="Arial" w:cs="Arial"/>
          <w:lang w:val="en-GB"/>
        </w:rPr>
        <w:t xml:space="preserve"> </w:t>
      </w:r>
      <w:r w:rsidR="00C56700">
        <w:rPr>
          <w:rFonts w:ascii="Arial" w:hAnsi="Arial" w:cs="Arial"/>
          <w:lang w:val="en-GB"/>
        </w:rPr>
        <w:t xml:space="preserve">proper </w:t>
      </w:r>
      <w:r w:rsidR="00331EC9">
        <w:rPr>
          <w:rFonts w:ascii="Arial" w:hAnsi="Arial" w:cs="Arial"/>
          <w:lang w:val="en-GB"/>
        </w:rPr>
        <w:t>characterization</w:t>
      </w:r>
      <w:r w:rsidR="00232F13">
        <w:rPr>
          <w:rFonts w:ascii="Arial" w:hAnsi="Arial" w:cs="Arial"/>
          <w:lang w:val="en-GB"/>
        </w:rPr>
        <w:t xml:space="preserve"> of the plant transaction</w:t>
      </w:r>
      <w:r w:rsidR="004E2062" w:rsidRPr="007B74F0">
        <w:rPr>
          <w:rFonts w:ascii="Arial" w:hAnsi="Arial" w:cs="Arial"/>
          <w:lang w:val="en-GB"/>
        </w:rPr>
        <w:t xml:space="preserve"> </w:t>
      </w:r>
      <w:r w:rsidR="00054398" w:rsidRPr="007B74F0">
        <w:rPr>
          <w:rFonts w:ascii="Arial" w:hAnsi="Arial" w:cs="Arial"/>
          <w:lang w:val="en-GB"/>
        </w:rPr>
        <w:t xml:space="preserve">is central to </w:t>
      </w:r>
      <w:r w:rsidR="004F0109">
        <w:rPr>
          <w:rFonts w:ascii="Arial" w:hAnsi="Arial" w:cs="Arial"/>
          <w:lang w:val="en-GB"/>
        </w:rPr>
        <w:t xml:space="preserve">both </w:t>
      </w:r>
      <w:r w:rsidR="00DD2B67" w:rsidRPr="007B74F0">
        <w:rPr>
          <w:rFonts w:ascii="Arial" w:hAnsi="Arial" w:cs="Arial"/>
          <w:lang w:val="en-GB"/>
        </w:rPr>
        <w:t xml:space="preserve">the plaintiff’s cause of action and </w:t>
      </w:r>
      <w:r w:rsidR="00134E52" w:rsidRPr="007B74F0">
        <w:rPr>
          <w:rFonts w:ascii="Arial" w:hAnsi="Arial" w:cs="Arial"/>
          <w:lang w:val="en-GB"/>
        </w:rPr>
        <w:t>a specia</w:t>
      </w:r>
      <w:r w:rsidR="006055DE">
        <w:rPr>
          <w:rFonts w:ascii="Arial" w:hAnsi="Arial" w:cs="Arial"/>
          <w:lang w:val="en-GB"/>
        </w:rPr>
        <w:t>l plea</w:t>
      </w:r>
      <w:r w:rsidR="00733014">
        <w:rPr>
          <w:rFonts w:ascii="Arial" w:hAnsi="Arial" w:cs="Arial"/>
          <w:lang w:val="en-GB"/>
        </w:rPr>
        <w:t xml:space="preserve"> raised</w:t>
      </w:r>
      <w:r w:rsidR="008754C7">
        <w:rPr>
          <w:rFonts w:ascii="Arial" w:hAnsi="Arial" w:cs="Arial"/>
          <w:lang w:val="en-GB"/>
        </w:rPr>
        <w:t xml:space="preserve"> by the defendants</w:t>
      </w:r>
      <w:r w:rsidR="00733014">
        <w:rPr>
          <w:rFonts w:ascii="Arial" w:hAnsi="Arial" w:cs="Arial"/>
          <w:lang w:val="en-GB"/>
        </w:rPr>
        <w:t xml:space="preserve"> to</w:t>
      </w:r>
      <w:r w:rsidR="007B74F0" w:rsidRPr="007B74F0">
        <w:rPr>
          <w:rFonts w:ascii="Arial" w:hAnsi="Arial" w:cs="Arial"/>
          <w:lang w:val="en-GB"/>
        </w:rPr>
        <w:t xml:space="preserve"> the effect that the plaintiff’s claim is statutorily barred by</w:t>
      </w:r>
      <w:r w:rsidR="008754C7">
        <w:rPr>
          <w:rFonts w:ascii="Arial" w:hAnsi="Arial" w:cs="Arial"/>
          <w:lang w:val="en-GB"/>
        </w:rPr>
        <w:t xml:space="preserve"> the operation of</w:t>
      </w:r>
      <w:r w:rsidR="007B74F0" w:rsidRPr="007B74F0">
        <w:rPr>
          <w:rFonts w:ascii="Arial" w:hAnsi="Arial" w:cs="Arial"/>
          <w:lang w:val="en-GB"/>
        </w:rPr>
        <w:t xml:space="preserve"> section 115 of</w:t>
      </w:r>
      <w:r w:rsidR="00733014">
        <w:rPr>
          <w:rFonts w:ascii="Arial" w:hAnsi="Arial" w:cs="Arial"/>
          <w:lang w:val="en-GB"/>
        </w:rPr>
        <w:t xml:space="preserve"> </w:t>
      </w:r>
      <w:r w:rsidR="000C05F6">
        <w:rPr>
          <w:rFonts w:ascii="Arial" w:hAnsi="Arial" w:cs="Arial"/>
          <w:lang w:val="en-GB"/>
        </w:rPr>
        <w:t>the Act.</w:t>
      </w:r>
      <w:r w:rsidR="007B74F0" w:rsidRPr="007B74F0">
        <w:rPr>
          <w:rFonts w:ascii="Arial" w:hAnsi="Arial" w:cs="Arial"/>
          <w:lang w:val="en-GB"/>
        </w:rPr>
        <w:t xml:space="preserve"> </w:t>
      </w:r>
    </w:p>
    <w:p w14:paraId="072DE084" w14:textId="77777777" w:rsidR="000C05F6" w:rsidRPr="000C05F6" w:rsidRDefault="000C05F6" w:rsidP="000C05F6">
      <w:pPr>
        <w:pStyle w:val="ListParagraph"/>
        <w:spacing w:line="360" w:lineRule="auto"/>
        <w:ind w:left="0"/>
        <w:jc w:val="both"/>
        <w:rPr>
          <w:rFonts w:ascii="Arial" w:hAnsi="Arial" w:cs="Arial"/>
        </w:rPr>
      </w:pPr>
    </w:p>
    <w:p w14:paraId="060AE420" w14:textId="77777777" w:rsidR="000C05F6" w:rsidRPr="000C05F6" w:rsidRDefault="000C05F6" w:rsidP="000C05F6">
      <w:pPr>
        <w:pStyle w:val="ListParagraph"/>
        <w:rPr>
          <w:rFonts w:ascii="Arial" w:hAnsi="Arial" w:cs="Arial"/>
          <w:lang w:val="en-GB"/>
        </w:rPr>
      </w:pPr>
    </w:p>
    <w:p w14:paraId="14D282B6" w14:textId="22309425" w:rsidR="006F26DF" w:rsidRPr="006F26DF" w:rsidRDefault="008D77EC" w:rsidP="008D77EC">
      <w:pPr>
        <w:pStyle w:val="ListParagraph"/>
        <w:numPr>
          <w:ilvl w:val="0"/>
          <w:numId w:val="2"/>
        </w:numPr>
        <w:spacing w:line="360" w:lineRule="auto"/>
        <w:ind w:left="0" w:firstLine="0"/>
        <w:jc w:val="both"/>
        <w:rPr>
          <w:rFonts w:ascii="Arial" w:hAnsi="Arial" w:cs="Arial"/>
        </w:rPr>
      </w:pPr>
      <w:r w:rsidRPr="006F26DF">
        <w:rPr>
          <w:rFonts w:ascii="Arial" w:hAnsi="Arial" w:cs="Arial"/>
          <w:lang w:val="en-GB"/>
        </w:rPr>
        <w:t>I</w:t>
      </w:r>
      <w:r w:rsidR="00E4175C">
        <w:rPr>
          <w:rFonts w:ascii="Arial" w:hAnsi="Arial" w:cs="Arial"/>
          <w:lang w:val="en-GB"/>
        </w:rPr>
        <w:t xml:space="preserve">t is </w:t>
      </w:r>
      <w:r w:rsidR="00733014">
        <w:rPr>
          <w:rFonts w:ascii="Arial" w:hAnsi="Arial" w:cs="Arial"/>
          <w:lang w:val="en-GB"/>
        </w:rPr>
        <w:t xml:space="preserve">is thus </w:t>
      </w:r>
      <w:r w:rsidR="00E4175C">
        <w:rPr>
          <w:rFonts w:ascii="Arial" w:hAnsi="Arial" w:cs="Arial"/>
          <w:lang w:val="en-GB"/>
        </w:rPr>
        <w:t xml:space="preserve">important to understand </w:t>
      </w:r>
      <w:r w:rsidR="006F26DF">
        <w:rPr>
          <w:rFonts w:ascii="Arial" w:hAnsi="Arial" w:cs="Arial"/>
          <w:lang w:val="en-GB"/>
        </w:rPr>
        <w:t>the nature</w:t>
      </w:r>
      <w:r w:rsidR="00752DCA">
        <w:rPr>
          <w:rFonts w:ascii="Arial" w:hAnsi="Arial" w:cs="Arial"/>
          <w:lang w:val="en-GB"/>
        </w:rPr>
        <w:t xml:space="preserve"> and composition</w:t>
      </w:r>
      <w:r w:rsidR="006F26DF">
        <w:rPr>
          <w:rFonts w:ascii="Arial" w:hAnsi="Arial" w:cs="Arial"/>
          <w:lang w:val="en-GB"/>
        </w:rPr>
        <w:t xml:space="preserve"> of</w:t>
      </w:r>
      <w:r w:rsidRPr="006F26DF">
        <w:rPr>
          <w:rFonts w:ascii="Arial" w:hAnsi="Arial" w:cs="Arial"/>
          <w:lang w:val="en-GB"/>
        </w:rPr>
        <w:t xml:space="preserve"> the scheme of arrangement</w:t>
      </w:r>
      <w:r w:rsidR="00E4175C">
        <w:rPr>
          <w:rFonts w:ascii="Arial" w:hAnsi="Arial" w:cs="Arial"/>
          <w:lang w:val="en-GB"/>
        </w:rPr>
        <w:t xml:space="preserve">. To do </w:t>
      </w:r>
      <w:r w:rsidR="008754C7">
        <w:rPr>
          <w:rFonts w:ascii="Arial" w:hAnsi="Arial" w:cs="Arial"/>
          <w:lang w:val="en-GB"/>
        </w:rPr>
        <w:t>so</w:t>
      </w:r>
      <w:r w:rsidR="004F0109">
        <w:rPr>
          <w:rFonts w:ascii="Arial" w:hAnsi="Arial" w:cs="Arial"/>
          <w:lang w:val="en-GB"/>
        </w:rPr>
        <w:t>,</w:t>
      </w:r>
      <w:r w:rsidRPr="006F26DF">
        <w:rPr>
          <w:rFonts w:ascii="Arial" w:hAnsi="Arial" w:cs="Arial"/>
          <w:lang w:val="en-GB"/>
        </w:rPr>
        <w:t xml:space="preserve"> it is necessary </w:t>
      </w:r>
      <w:r w:rsidR="00752DCA">
        <w:rPr>
          <w:rFonts w:ascii="Arial" w:hAnsi="Arial" w:cs="Arial"/>
          <w:lang w:val="en-GB"/>
        </w:rPr>
        <w:t xml:space="preserve">closely </w:t>
      </w:r>
      <w:r w:rsidRPr="006F26DF">
        <w:rPr>
          <w:rFonts w:ascii="Arial" w:hAnsi="Arial" w:cs="Arial"/>
          <w:lang w:val="en-GB"/>
        </w:rPr>
        <w:t xml:space="preserve">to examine the relationships between the parties and the facts leading up to </w:t>
      </w:r>
      <w:r w:rsidR="00CD26C4">
        <w:rPr>
          <w:rFonts w:ascii="Arial" w:hAnsi="Arial" w:cs="Arial"/>
          <w:lang w:val="en-GB"/>
        </w:rPr>
        <w:t xml:space="preserve">how the scheme was devised and </w:t>
      </w:r>
      <w:r w:rsidR="001E2A3A">
        <w:rPr>
          <w:rFonts w:ascii="Arial" w:hAnsi="Arial" w:cs="Arial"/>
          <w:lang w:val="en-GB"/>
        </w:rPr>
        <w:t>its approval and implementation</w:t>
      </w:r>
      <w:r w:rsidRPr="006F26DF">
        <w:rPr>
          <w:rFonts w:ascii="Arial" w:hAnsi="Arial" w:cs="Arial"/>
          <w:lang w:val="en-GB"/>
        </w:rPr>
        <w:t>.</w:t>
      </w:r>
      <w:r w:rsidR="00E4175C">
        <w:rPr>
          <w:rFonts w:ascii="Arial" w:hAnsi="Arial" w:cs="Arial"/>
          <w:lang w:val="en-GB"/>
        </w:rPr>
        <w:t xml:space="preserve">  For the most part these facts are common cause.</w:t>
      </w:r>
    </w:p>
    <w:p w14:paraId="5A222DBF" w14:textId="42A99B65" w:rsidR="006F26DF" w:rsidRDefault="006F26DF" w:rsidP="006F26DF">
      <w:pPr>
        <w:pStyle w:val="ListParagraph"/>
        <w:rPr>
          <w:rFonts w:ascii="Arial" w:hAnsi="Arial" w:cs="Arial"/>
        </w:rPr>
      </w:pPr>
    </w:p>
    <w:p w14:paraId="7FBB3BA4" w14:textId="77777777" w:rsidR="006F26DF" w:rsidRPr="006F26DF" w:rsidRDefault="006F26DF" w:rsidP="006F26DF">
      <w:pPr>
        <w:pStyle w:val="ListParagraph"/>
        <w:rPr>
          <w:rFonts w:ascii="Arial" w:hAnsi="Arial" w:cs="Arial"/>
        </w:rPr>
      </w:pPr>
    </w:p>
    <w:p w14:paraId="42665267" w14:textId="393D3083" w:rsidR="004B3F34" w:rsidRPr="00371A27" w:rsidRDefault="006F26DF" w:rsidP="00371A27">
      <w:pPr>
        <w:spacing w:line="360" w:lineRule="auto"/>
        <w:jc w:val="both"/>
        <w:rPr>
          <w:rFonts w:ascii="Arial" w:hAnsi="Arial" w:cs="Arial"/>
          <w:b/>
          <w:sz w:val="24"/>
          <w:szCs w:val="24"/>
          <w:lang w:val="en-GB"/>
        </w:rPr>
      </w:pPr>
      <w:r w:rsidRPr="008D77EC">
        <w:rPr>
          <w:rFonts w:ascii="Arial" w:hAnsi="Arial" w:cs="Arial"/>
          <w:b/>
          <w:sz w:val="24"/>
          <w:szCs w:val="24"/>
          <w:lang w:val="en-GB"/>
        </w:rPr>
        <w:t>The</w:t>
      </w:r>
      <w:r w:rsidR="00AB0391">
        <w:rPr>
          <w:rFonts w:ascii="Arial" w:hAnsi="Arial" w:cs="Arial"/>
          <w:b/>
          <w:sz w:val="24"/>
          <w:szCs w:val="24"/>
          <w:lang w:val="en-GB"/>
        </w:rPr>
        <w:t xml:space="preserve"> </w:t>
      </w:r>
      <w:r w:rsidRPr="008D77EC">
        <w:rPr>
          <w:rFonts w:ascii="Arial" w:hAnsi="Arial" w:cs="Arial"/>
          <w:b/>
          <w:sz w:val="24"/>
          <w:szCs w:val="24"/>
          <w:lang w:val="en-GB"/>
        </w:rPr>
        <w:t>scheme of arrangement</w:t>
      </w:r>
    </w:p>
    <w:p w14:paraId="3248F63C" w14:textId="77777777" w:rsidR="00D65DD0" w:rsidRPr="004B3F34" w:rsidRDefault="00D65DD0" w:rsidP="004B3F34">
      <w:pPr>
        <w:pStyle w:val="ListParagraph"/>
        <w:spacing w:line="360" w:lineRule="auto"/>
        <w:ind w:left="0"/>
        <w:jc w:val="both"/>
        <w:rPr>
          <w:rFonts w:ascii="Arial" w:hAnsi="Arial" w:cs="Arial"/>
        </w:rPr>
      </w:pPr>
    </w:p>
    <w:p w14:paraId="72DDB7B4" w14:textId="64C7DA8D" w:rsidR="004B3F34" w:rsidRPr="004B3F34" w:rsidRDefault="008D77EC" w:rsidP="008D77EC">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The Shareholders</w:t>
      </w:r>
      <w:r w:rsidR="00AB0391">
        <w:rPr>
          <w:rFonts w:ascii="Arial" w:hAnsi="Arial" w:cs="Arial"/>
          <w:lang w:val="en-GB"/>
        </w:rPr>
        <w:t>’</w:t>
      </w:r>
      <w:r w:rsidRPr="004B3F34">
        <w:rPr>
          <w:rFonts w:ascii="Arial" w:hAnsi="Arial" w:cs="Arial"/>
          <w:lang w:val="en-GB"/>
        </w:rPr>
        <w:t xml:space="preserve"> Agreement</w:t>
      </w:r>
      <w:r w:rsidR="00D65DD0">
        <w:rPr>
          <w:rFonts w:ascii="Arial" w:hAnsi="Arial" w:cs="Arial"/>
          <w:lang w:val="en-GB"/>
        </w:rPr>
        <w:t xml:space="preserve"> between PTM and Africa Wide</w:t>
      </w:r>
      <w:r w:rsidRPr="004B3F34">
        <w:rPr>
          <w:rFonts w:ascii="Arial" w:hAnsi="Arial" w:cs="Arial"/>
          <w:lang w:val="en-GB"/>
        </w:rPr>
        <w:t xml:space="preserve"> makes provision for each shareholder to appoint one director to the Board </w:t>
      </w:r>
      <w:r w:rsidR="00371A27">
        <w:rPr>
          <w:rFonts w:ascii="Arial" w:hAnsi="Arial" w:cs="Arial"/>
          <w:lang w:val="en-GB"/>
        </w:rPr>
        <w:t xml:space="preserve">of Maseve </w:t>
      </w:r>
      <w:r w:rsidRPr="004B3F34">
        <w:rPr>
          <w:rFonts w:ascii="Arial" w:hAnsi="Arial" w:cs="Arial"/>
          <w:lang w:val="en-GB"/>
        </w:rPr>
        <w:t xml:space="preserve">for every complete 10% of the </w:t>
      </w:r>
      <w:r w:rsidR="00371A27">
        <w:rPr>
          <w:rFonts w:ascii="Arial" w:hAnsi="Arial" w:cs="Arial"/>
          <w:lang w:val="en-GB"/>
        </w:rPr>
        <w:t>s</w:t>
      </w:r>
      <w:r w:rsidRPr="004B3F34">
        <w:rPr>
          <w:rFonts w:ascii="Arial" w:hAnsi="Arial" w:cs="Arial"/>
          <w:lang w:val="en-GB"/>
        </w:rPr>
        <w:t>hares held. From about December 2016, the PTM-nominat</w:t>
      </w:r>
      <w:r w:rsidR="004B3F34">
        <w:rPr>
          <w:rFonts w:ascii="Arial" w:hAnsi="Arial" w:cs="Arial"/>
          <w:lang w:val="en-GB"/>
        </w:rPr>
        <w:t xml:space="preserve">ed directors </w:t>
      </w:r>
      <w:r w:rsidR="004B3F34">
        <w:rPr>
          <w:rFonts w:ascii="Arial" w:hAnsi="Arial" w:cs="Arial"/>
          <w:lang w:val="en-GB"/>
        </w:rPr>
        <w:lastRenderedPageBreak/>
        <w:t xml:space="preserve">were, inter alia, </w:t>
      </w:r>
      <w:r w:rsidRPr="004B3F34">
        <w:rPr>
          <w:rFonts w:ascii="Arial" w:hAnsi="Arial" w:cs="Arial"/>
          <w:lang w:val="en-GB"/>
        </w:rPr>
        <w:t>Messrs</w:t>
      </w:r>
      <w:r w:rsidR="004B3F34">
        <w:rPr>
          <w:rFonts w:ascii="Arial" w:hAnsi="Arial" w:cs="Arial"/>
          <w:lang w:val="en-GB"/>
        </w:rPr>
        <w:t xml:space="preserve"> Michael Jones and Frank Hallam</w:t>
      </w:r>
      <w:r w:rsidRPr="004B3F34">
        <w:rPr>
          <w:rFonts w:ascii="Arial" w:hAnsi="Arial" w:cs="Arial"/>
          <w:lang w:val="en-GB"/>
        </w:rPr>
        <w:t>; the Africa Wide-nominated director was Mr Mogale Mothomogolo</w:t>
      </w:r>
      <w:r w:rsidR="004B3F34">
        <w:rPr>
          <w:rFonts w:ascii="Arial" w:hAnsi="Arial" w:cs="Arial"/>
          <w:lang w:val="en-GB"/>
        </w:rPr>
        <w:t>.</w:t>
      </w:r>
      <w:r w:rsidRPr="004B3F34">
        <w:rPr>
          <w:rFonts w:ascii="Arial" w:hAnsi="Arial" w:cs="Arial"/>
          <w:lang w:val="en-GB"/>
        </w:rPr>
        <w:t xml:space="preserve"> </w:t>
      </w:r>
    </w:p>
    <w:p w14:paraId="6EF99C45" w14:textId="77777777" w:rsidR="004B3F34" w:rsidRPr="004B3F34" w:rsidRDefault="004B3F34" w:rsidP="004B3F34">
      <w:pPr>
        <w:pStyle w:val="ListParagraph"/>
        <w:rPr>
          <w:rFonts w:ascii="Arial" w:hAnsi="Arial" w:cs="Arial"/>
          <w:lang w:val="en-GB"/>
        </w:rPr>
      </w:pPr>
    </w:p>
    <w:p w14:paraId="2C086752" w14:textId="6A33BC1A" w:rsidR="004B3F34" w:rsidRPr="004B3F34" w:rsidRDefault="008D77EC" w:rsidP="004B3F34">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The M</w:t>
      </w:r>
      <w:r w:rsidR="000C7ACC">
        <w:rPr>
          <w:rFonts w:ascii="Arial" w:hAnsi="Arial" w:cs="Arial"/>
          <w:lang w:val="en-GB"/>
        </w:rPr>
        <w:t>emorandum of Incorporation (MOI)</w:t>
      </w:r>
      <w:r w:rsidR="00883227">
        <w:rPr>
          <w:rFonts w:ascii="Arial" w:hAnsi="Arial" w:cs="Arial"/>
          <w:lang w:val="en-GB"/>
        </w:rPr>
        <w:t xml:space="preserve"> of Maseve</w:t>
      </w:r>
      <w:r w:rsidR="004B3F34">
        <w:rPr>
          <w:rFonts w:ascii="Arial" w:hAnsi="Arial" w:cs="Arial"/>
          <w:lang w:val="en-GB"/>
        </w:rPr>
        <w:t xml:space="preserve"> and the Shareholders Agreement</w:t>
      </w:r>
      <w:r w:rsidR="00DE0206">
        <w:rPr>
          <w:rFonts w:ascii="Arial" w:hAnsi="Arial" w:cs="Arial"/>
          <w:lang w:val="en-GB"/>
        </w:rPr>
        <w:t xml:space="preserve"> each contain similar</w:t>
      </w:r>
      <w:r w:rsidR="002525BB">
        <w:rPr>
          <w:rFonts w:ascii="Arial" w:hAnsi="Arial" w:cs="Arial"/>
          <w:lang w:val="en-GB"/>
        </w:rPr>
        <w:t xml:space="preserve"> </w:t>
      </w:r>
      <w:r w:rsidRPr="004B3F34">
        <w:rPr>
          <w:rFonts w:ascii="Arial" w:hAnsi="Arial" w:cs="Arial"/>
          <w:lang w:val="en-GB"/>
        </w:rPr>
        <w:t>provisions which have as their purpose the protection of the minority shareholder - Africa Wide.  The protections are of the usual type and relate to the following matters:</w:t>
      </w:r>
    </w:p>
    <w:p w14:paraId="59707CF2" w14:textId="77777777" w:rsidR="004B3F34" w:rsidRPr="008D77EC" w:rsidRDefault="004B3F34" w:rsidP="004B3F34">
      <w:pPr>
        <w:pStyle w:val="ListParagraph"/>
        <w:numPr>
          <w:ilvl w:val="0"/>
          <w:numId w:val="10"/>
        </w:numPr>
        <w:spacing w:line="360" w:lineRule="auto"/>
        <w:jc w:val="both"/>
        <w:rPr>
          <w:rFonts w:ascii="Arial" w:hAnsi="Arial" w:cs="Arial"/>
          <w:lang w:val="en-GB"/>
        </w:rPr>
      </w:pPr>
      <w:r w:rsidRPr="008D77EC">
        <w:rPr>
          <w:rFonts w:ascii="Arial" w:hAnsi="Arial" w:cs="Arial"/>
          <w:lang w:val="en-GB"/>
        </w:rPr>
        <w:t>the sale or disposal of substantially the whole of the assets or undertaking of Maseve;</w:t>
      </w:r>
    </w:p>
    <w:p w14:paraId="4B7626AE" w14:textId="77777777" w:rsidR="004B3F34" w:rsidRPr="008D77EC" w:rsidRDefault="004B3F34" w:rsidP="004B3F34">
      <w:pPr>
        <w:pStyle w:val="ListParagraph"/>
        <w:numPr>
          <w:ilvl w:val="0"/>
          <w:numId w:val="10"/>
        </w:numPr>
        <w:spacing w:line="360" w:lineRule="auto"/>
        <w:jc w:val="both"/>
        <w:rPr>
          <w:rFonts w:ascii="Arial" w:hAnsi="Arial" w:cs="Arial"/>
          <w:lang w:val="en-GB"/>
        </w:rPr>
      </w:pPr>
      <w:r w:rsidRPr="008D77EC">
        <w:rPr>
          <w:rFonts w:ascii="Arial" w:hAnsi="Arial" w:cs="Arial"/>
          <w:lang w:val="en-GB"/>
        </w:rPr>
        <w:t>a material change in the business or objects of Maseve;</w:t>
      </w:r>
    </w:p>
    <w:p w14:paraId="0EB6C817" w14:textId="77777777" w:rsidR="004B3F34" w:rsidRPr="008D77EC" w:rsidRDefault="004B3F34" w:rsidP="004B3F34">
      <w:pPr>
        <w:pStyle w:val="ListParagraph"/>
        <w:numPr>
          <w:ilvl w:val="0"/>
          <w:numId w:val="10"/>
        </w:numPr>
        <w:spacing w:line="360" w:lineRule="auto"/>
        <w:jc w:val="both"/>
        <w:rPr>
          <w:rFonts w:ascii="Arial" w:hAnsi="Arial" w:cs="Arial"/>
          <w:lang w:val="en-GB"/>
        </w:rPr>
      </w:pPr>
      <w:r w:rsidRPr="008D77EC">
        <w:rPr>
          <w:rFonts w:ascii="Arial" w:hAnsi="Arial" w:cs="Arial"/>
          <w:lang w:val="en-GB"/>
        </w:rPr>
        <w:t>a material transaction outside of the normal course of Maseve's business.</w:t>
      </w:r>
    </w:p>
    <w:p w14:paraId="1EBB30F7" w14:textId="4BE66A18" w:rsidR="004B3F34" w:rsidRDefault="004B3F34" w:rsidP="004B3F34">
      <w:pPr>
        <w:pStyle w:val="ListParagraph"/>
        <w:spacing w:line="360" w:lineRule="auto"/>
        <w:ind w:left="0"/>
        <w:jc w:val="both"/>
        <w:rPr>
          <w:rFonts w:ascii="Arial" w:hAnsi="Arial" w:cs="Arial"/>
        </w:rPr>
      </w:pPr>
    </w:p>
    <w:p w14:paraId="5EAC2A2B" w14:textId="77777777" w:rsidR="004B3F34" w:rsidRPr="004B3F34" w:rsidRDefault="004B3F34" w:rsidP="004B3F34">
      <w:pPr>
        <w:pStyle w:val="ListParagraph"/>
        <w:spacing w:line="360" w:lineRule="auto"/>
        <w:ind w:left="0"/>
        <w:jc w:val="both"/>
        <w:rPr>
          <w:rFonts w:ascii="Arial" w:hAnsi="Arial" w:cs="Arial"/>
        </w:rPr>
      </w:pPr>
    </w:p>
    <w:p w14:paraId="20D58301" w14:textId="77777777" w:rsidR="004B3F34" w:rsidRPr="004B3F34" w:rsidRDefault="004B3F34" w:rsidP="004B3F34">
      <w:pPr>
        <w:pStyle w:val="ListParagraph"/>
        <w:rPr>
          <w:rFonts w:ascii="Arial" w:hAnsi="Arial" w:cs="Arial"/>
          <w:lang w:val="en-GB"/>
        </w:rPr>
      </w:pPr>
    </w:p>
    <w:p w14:paraId="48B46A44" w14:textId="1179E0EB" w:rsidR="004B3F34" w:rsidRPr="004B3F34" w:rsidRDefault="004B3F34" w:rsidP="004B3F34">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 xml:space="preserve">  Article 3</w:t>
      </w:r>
      <w:r>
        <w:rPr>
          <w:rFonts w:ascii="Arial" w:hAnsi="Arial" w:cs="Arial"/>
          <w:lang w:val="en-GB"/>
        </w:rPr>
        <w:t>2</w:t>
      </w:r>
      <w:r w:rsidR="000C7ACC">
        <w:rPr>
          <w:rFonts w:ascii="Arial" w:hAnsi="Arial" w:cs="Arial"/>
          <w:lang w:val="en-GB"/>
        </w:rPr>
        <w:t xml:space="preserve"> of the MOI</w:t>
      </w:r>
      <w:r w:rsidRPr="004B3F34">
        <w:rPr>
          <w:rFonts w:ascii="Arial" w:hAnsi="Arial" w:cs="Arial"/>
          <w:lang w:val="en-GB"/>
        </w:rPr>
        <w:t xml:space="preserve"> requires </w:t>
      </w:r>
      <w:r w:rsidR="000C7ACC">
        <w:rPr>
          <w:rFonts w:ascii="Arial" w:hAnsi="Arial" w:cs="Arial"/>
          <w:lang w:val="en-GB"/>
        </w:rPr>
        <w:t>‘</w:t>
      </w:r>
      <w:r w:rsidRPr="004B3F34">
        <w:rPr>
          <w:rFonts w:ascii="Arial" w:hAnsi="Arial" w:cs="Arial"/>
          <w:lang w:val="en-GB"/>
        </w:rPr>
        <w:t>the unanimous</w:t>
      </w:r>
      <w:r>
        <w:rPr>
          <w:rFonts w:ascii="Arial" w:hAnsi="Arial" w:cs="Arial"/>
          <w:lang w:val="en-GB"/>
        </w:rPr>
        <w:t xml:space="preserve"> approval of the Shareholders</w:t>
      </w:r>
      <w:r w:rsidR="00883227">
        <w:rPr>
          <w:rFonts w:ascii="Arial" w:hAnsi="Arial" w:cs="Arial"/>
          <w:lang w:val="en-GB"/>
        </w:rPr>
        <w:t>’</w:t>
      </w:r>
      <w:r>
        <w:rPr>
          <w:rFonts w:ascii="Arial" w:hAnsi="Arial" w:cs="Arial"/>
          <w:lang w:val="en-GB"/>
        </w:rPr>
        <w:t xml:space="preserve"> </w:t>
      </w:r>
      <w:r w:rsidRPr="004B3F34">
        <w:rPr>
          <w:rFonts w:ascii="Arial" w:hAnsi="Arial" w:cs="Arial"/>
          <w:lang w:val="en-GB"/>
        </w:rPr>
        <w:t xml:space="preserve">for resolutions which relate to </w:t>
      </w:r>
      <w:r w:rsidR="00717BF5">
        <w:rPr>
          <w:rFonts w:ascii="Arial" w:hAnsi="Arial" w:cs="Arial"/>
          <w:lang w:val="en-GB"/>
        </w:rPr>
        <w:t>these</w:t>
      </w:r>
      <w:r w:rsidRPr="004B3F34">
        <w:rPr>
          <w:rFonts w:ascii="Arial" w:hAnsi="Arial" w:cs="Arial"/>
          <w:lang w:val="en-GB"/>
        </w:rPr>
        <w:t xml:space="preserve"> issues and clause 10.1</w:t>
      </w:r>
      <w:r w:rsidR="001E2A3A">
        <w:rPr>
          <w:rFonts w:ascii="Arial" w:hAnsi="Arial" w:cs="Arial"/>
          <w:lang w:val="en-GB"/>
        </w:rPr>
        <w:t xml:space="preserve"> of the Shareholders</w:t>
      </w:r>
      <w:r w:rsidR="00966422">
        <w:rPr>
          <w:rFonts w:ascii="Arial" w:hAnsi="Arial" w:cs="Arial"/>
          <w:lang w:val="en-GB"/>
        </w:rPr>
        <w:t>’ Agreement</w:t>
      </w:r>
      <w:r w:rsidRPr="004B3F34">
        <w:rPr>
          <w:rFonts w:ascii="Arial" w:hAnsi="Arial" w:cs="Arial"/>
          <w:lang w:val="en-GB"/>
        </w:rPr>
        <w:t xml:space="preserve"> provides for the unanimous </w:t>
      </w:r>
      <w:r w:rsidR="00717BF5">
        <w:rPr>
          <w:rFonts w:ascii="Arial" w:hAnsi="Arial" w:cs="Arial"/>
          <w:lang w:val="en-GB"/>
        </w:rPr>
        <w:t>‘</w:t>
      </w:r>
      <w:r w:rsidRPr="004B3F34">
        <w:rPr>
          <w:rFonts w:ascii="Arial" w:hAnsi="Arial" w:cs="Arial"/>
          <w:lang w:val="en-GB"/>
        </w:rPr>
        <w:t>prior written consent</w:t>
      </w:r>
      <w:r w:rsidR="00717BF5">
        <w:rPr>
          <w:rFonts w:ascii="Arial" w:hAnsi="Arial" w:cs="Arial"/>
          <w:lang w:val="en-GB"/>
        </w:rPr>
        <w:t>’</w:t>
      </w:r>
      <w:r w:rsidRPr="004B3F34">
        <w:rPr>
          <w:rFonts w:ascii="Arial" w:hAnsi="Arial" w:cs="Arial"/>
          <w:lang w:val="en-GB"/>
        </w:rPr>
        <w:t xml:space="preserve"> of</w:t>
      </w:r>
      <w:r w:rsidR="00470B40">
        <w:rPr>
          <w:rFonts w:ascii="Arial" w:hAnsi="Arial" w:cs="Arial"/>
          <w:lang w:val="en-GB"/>
        </w:rPr>
        <w:t xml:space="preserve"> </w:t>
      </w:r>
      <w:r w:rsidRPr="004B3F34">
        <w:rPr>
          <w:rFonts w:ascii="Arial" w:hAnsi="Arial" w:cs="Arial"/>
          <w:lang w:val="en-GB"/>
        </w:rPr>
        <w:t>shareholders</w:t>
      </w:r>
      <w:r w:rsidR="00966422">
        <w:rPr>
          <w:rFonts w:ascii="Arial" w:hAnsi="Arial" w:cs="Arial"/>
          <w:lang w:val="en-GB"/>
        </w:rPr>
        <w:t>.</w:t>
      </w:r>
    </w:p>
    <w:p w14:paraId="451C7265" w14:textId="77777777" w:rsidR="004B3F34" w:rsidRPr="004B3F34" w:rsidRDefault="004B3F34" w:rsidP="004B3F34">
      <w:pPr>
        <w:pStyle w:val="ListParagraph"/>
        <w:rPr>
          <w:rFonts w:ascii="Arial" w:hAnsi="Arial" w:cs="Arial"/>
          <w:lang w:val="en-GB"/>
        </w:rPr>
      </w:pPr>
    </w:p>
    <w:p w14:paraId="78884C0B" w14:textId="0B4842F9" w:rsidR="004B3F34" w:rsidRPr="004B3F34" w:rsidRDefault="008D77EC" w:rsidP="008D77EC">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 xml:space="preserve"> </w:t>
      </w:r>
      <w:r w:rsidR="002525BB">
        <w:rPr>
          <w:rFonts w:ascii="Arial" w:hAnsi="Arial" w:cs="Arial"/>
          <w:lang w:val="en-GB"/>
        </w:rPr>
        <w:t>From</w:t>
      </w:r>
      <w:r w:rsidRPr="004B3F34">
        <w:rPr>
          <w:rFonts w:ascii="Arial" w:hAnsi="Arial" w:cs="Arial"/>
          <w:lang w:val="en-GB"/>
        </w:rPr>
        <w:t xml:space="preserve"> about November 2016, Maseve </w:t>
      </w:r>
      <w:r w:rsidR="00AB0391">
        <w:rPr>
          <w:rFonts w:ascii="Arial" w:hAnsi="Arial" w:cs="Arial"/>
          <w:lang w:val="en-GB"/>
        </w:rPr>
        <w:t>experienced serious</w:t>
      </w:r>
      <w:r w:rsidRPr="004B3F34">
        <w:rPr>
          <w:rFonts w:ascii="Arial" w:hAnsi="Arial" w:cs="Arial"/>
          <w:lang w:val="en-GB"/>
        </w:rPr>
        <w:t xml:space="preserve"> financial </w:t>
      </w:r>
      <w:r w:rsidR="004B3F34" w:rsidRPr="004B3F34">
        <w:rPr>
          <w:rFonts w:ascii="Arial" w:hAnsi="Arial" w:cs="Arial"/>
          <w:lang w:val="en-GB"/>
        </w:rPr>
        <w:t>difficulties</w:t>
      </w:r>
      <w:r w:rsidRPr="004B3F34">
        <w:rPr>
          <w:rFonts w:ascii="Arial" w:hAnsi="Arial" w:cs="Arial"/>
          <w:lang w:val="en-GB"/>
        </w:rPr>
        <w:t xml:space="preserve">. PTM and PTM Canada had lent in excess of R4 billion to Maseve in the form of shareholder loans. PTM and PTM Canada had been compelled to secure a portion of these </w:t>
      </w:r>
      <w:r w:rsidR="00470B40">
        <w:rPr>
          <w:rFonts w:ascii="Arial" w:hAnsi="Arial" w:cs="Arial"/>
          <w:lang w:val="en-GB"/>
        </w:rPr>
        <w:t>funds</w:t>
      </w:r>
      <w:r w:rsidR="00966422">
        <w:rPr>
          <w:rFonts w:ascii="Arial" w:hAnsi="Arial" w:cs="Arial"/>
          <w:lang w:val="en-GB"/>
        </w:rPr>
        <w:t xml:space="preserve"> and</w:t>
      </w:r>
      <w:r w:rsidRPr="004B3F34">
        <w:rPr>
          <w:rFonts w:ascii="Arial" w:hAnsi="Arial" w:cs="Arial"/>
          <w:lang w:val="en-GB"/>
        </w:rPr>
        <w:t xml:space="preserve"> </w:t>
      </w:r>
      <w:r w:rsidR="002525BB">
        <w:rPr>
          <w:rFonts w:ascii="Arial" w:hAnsi="Arial" w:cs="Arial"/>
          <w:lang w:val="en-GB"/>
        </w:rPr>
        <w:t xml:space="preserve">had </w:t>
      </w:r>
      <w:r w:rsidRPr="004B3F34">
        <w:rPr>
          <w:rFonts w:ascii="Arial" w:hAnsi="Arial" w:cs="Arial"/>
          <w:lang w:val="en-GB"/>
        </w:rPr>
        <w:t xml:space="preserve">funded Maseve without any contributions from Africa Wide. The Maseve </w:t>
      </w:r>
      <w:r w:rsidR="00EF4626">
        <w:rPr>
          <w:rFonts w:ascii="Arial" w:hAnsi="Arial" w:cs="Arial"/>
          <w:lang w:val="en-GB"/>
        </w:rPr>
        <w:t>m</w:t>
      </w:r>
      <w:r w:rsidRPr="004B3F34">
        <w:rPr>
          <w:rFonts w:ascii="Arial" w:hAnsi="Arial" w:cs="Arial"/>
          <w:lang w:val="en-GB"/>
        </w:rPr>
        <w:t>ine and its assets were pledged as indirect security for a loan of US$84 million. Th</w:t>
      </w:r>
      <w:r w:rsidR="00470B40">
        <w:rPr>
          <w:rFonts w:ascii="Arial" w:hAnsi="Arial" w:cs="Arial"/>
          <w:lang w:val="en-GB"/>
        </w:rPr>
        <w:t>is</w:t>
      </w:r>
      <w:r w:rsidRPr="004B3F34">
        <w:rPr>
          <w:rFonts w:ascii="Arial" w:hAnsi="Arial" w:cs="Arial"/>
          <w:lang w:val="en-GB"/>
        </w:rPr>
        <w:t xml:space="preserve"> loan was secured by PTM Canada by way of a pledge of 100%</w:t>
      </w:r>
      <w:r w:rsidR="00470B40">
        <w:rPr>
          <w:rFonts w:ascii="Arial" w:hAnsi="Arial" w:cs="Arial"/>
          <w:lang w:val="en-GB"/>
        </w:rPr>
        <w:t xml:space="preserve"> </w:t>
      </w:r>
      <w:r w:rsidRPr="004B3F34">
        <w:rPr>
          <w:rFonts w:ascii="Arial" w:hAnsi="Arial" w:cs="Arial"/>
          <w:lang w:val="en-GB"/>
        </w:rPr>
        <w:t xml:space="preserve">of its shares in PTM. These loans and advances had to be serviced by Maseve so that PTM Canada could meet </w:t>
      </w:r>
      <w:r w:rsidR="004B3F34">
        <w:rPr>
          <w:rFonts w:ascii="Arial" w:hAnsi="Arial" w:cs="Arial"/>
          <w:lang w:val="en-GB"/>
        </w:rPr>
        <w:t>its obligations to the lenders.</w:t>
      </w:r>
      <w:r w:rsidR="00470B40">
        <w:rPr>
          <w:rFonts w:ascii="Arial" w:hAnsi="Arial" w:cs="Arial"/>
          <w:lang w:val="en-GB"/>
        </w:rPr>
        <w:t xml:space="preserve"> This led to a shortage</w:t>
      </w:r>
      <w:r w:rsidR="009D506A">
        <w:rPr>
          <w:rFonts w:ascii="Arial" w:hAnsi="Arial" w:cs="Arial"/>
          <w:lang w:val="en-GB"/>
        </w:rPr>
        <w:t xml:space="preserve"> of </w:t>
      </w:r>
      <w:r w:rsidR="009B0366">
        <w:rPr>
          <w:rFonts w:ascii="Arial" w:hAnsi="Arial" w:cs="Arial"/>
          <w:lang w:val="en-GB"/>
        </w:rPr>
        <w:t>running</w:t>
      </w:r>
      <w:r w:rsidR="00215702">
        <w:rPr>
          <w:rFonts w:ascii="Arial" w:hAnsi="Arial" w:cs="Arial"/>
          <w:lang w:val="en-GB"/>
        </w:rPr>
        <w:t xml:space="preserve"> funds.</w:t>
      </w:r>
    </w:p>
    <w:p w14:paraId="1B2B7A75" w14:textId="77777777" w:rsidR="004B3F34" w:rsidRPr="004B3F34" w:rsidRDefault="004B3F34" w:rsidP="004B3F34">
      <w:pPr>
        <w:pStyle w:val="ListParagraph"/>
        <w:rPr>
          <w:rFonts w:ascii="Arial" w:hAnsi="Arial" w:cs="Arial"/>
          <w:lang w:val="en-GB"/>
        </w:rPr>
      </w:pPr>
    </w:p>
    <w:p w14:paraId="622C924A" w14:textId="77777777" w:rsidR="00966422" w:rsidRPr="00966422" w:rsidRDefault="008D77EC" w:rsidP="008D77EC">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 xml:space="preserve">The shortage of funds meant </w:t>
      </w:r>
      <w:r w:rsidR="004B3F34">
        <w:rPr>
          <w:rFonts w:ascii="Arial" w:hAnsi="Arial" w:cs="Arial"/>
          <w:lang w:val="en-GB"/>
        </w:rPr>
        <w:t>that Maseve could not undertake</w:t>
      </w:r>
      <w:r w:rsidRPr="004B3F34">
        <w:rPr>
          <w:rFonts w:ascii="Arial" w:hAnsi="Arial" w:cs="Arial"/>
          <w:lang w:val="en-GB"/>
        </w:rPr>
        <w:t xml:space="preserve"> the substantial capital expenditure required </w:t>
      </w:r>
      <w:r w:rsidR="00966422">
        <w:rPr>
          <w:rFonts w:ascii="Arial" w:hAnsi="Arial" w:cs="Arial"/>
          <w:lang w:val="en-GB"/>
        </w:rPr>
        <w:t xml:space="preserve">for it </w:t>
      </w:r>
      <w:r w:rsidR="002525BB">
        <w:rPr>
          <w:rFonts w:ascii="Arial" w:hAnsi="Arial" w:cs="Arial"/>
          <w:lang w:val="en-GB"/>
        </w:rPr>
        <w:t>to trade</w:t>
      </w:r>
      <w:r w:rsidR="009B0366">
        <w:rPr>
          <w:rFonts w:ascii="Arial" w:hAnsi="Arial" w:cs="Arial"/>
          <w:lang w:val="en-GB"/>
        </w:rPr>
        <w:t xml:space="preserve"> in a commercially viable manner</w:t>
      </w:r>
      <w:r w:rsidRPr="004B3F34">
        <w:rPr>
          <w:rFonts w:ascii="Arial" w:hAnsi="Arial" w:cs="Arial"/>
          <w:lang w:val="en-GB"/>
        </w:rPr>
        <w:t xml:space="preserve">. </w:t>
      </w:r>
      <w:r w:rsidR="00512E89">
        <w:rPr>
          <w:rFonts w:ascii="Arial" w:hAnsi="Arial" w:cs="Arial"/>
          <w:lang w:val="en-GB"/>
        </w:rPr>
        <w:t>P</w:t>
      </w:r>
      <w:r w:rsidRPr="004B3F34">
        <w:rPr>
          <w:rFonts w:ascii="Arial" w:hAnsi="Arial" w:cs="Arial"/>
          <w:lang w:val="en-GB"/>
        </w:rPr>
        <w:t>oor production</w:t>
      </w:r>
      <w:r w:rsidR="00512E89">
        <w:rPr>
          <w:rFonts w:ascii="Arial" w:hAnsi="Arial" w:cs="Arial"/>
          <w:lang w:val="en-GB"/>
        </w:rPr>
        <w:t xml:space="preserve"> at the mine</w:t>
      </w:r>
      <w:r w:rsidRPr="004B3F34">
        <w:rPr>
          <w:rFonts w:ascii="Arial" w:hAnsi="Arial" w:cs="Arial"/>
          <w:lang w:val="en-GB"/>
        </w:rPr>
        <w:t xml:space="preserve"> meant lower than expected revenue</w:t>
      </w:r>
      <w:r w:rsidR="00E31152">
        <w:rPr>
          <w:rFonts w:ascii="Arial" w:hAnsi="Arial" w:cs="Arial"/>
          <w:lang w:val="en-GB"/>
        </w:rPr>
        <w:t xml:space="preserve"> flow</w:t>
      </w:r>
      <w:r w:rsidRPr="004B3F34">
        <w:rPr>
          <w:rFonts w:ascii="Arial" w:hAnsi="Arial" w:cs="Arial"/>
          <w:lang w:val="en-GB"/>
        </w:rPr>
        <w:t xml:space="preserve"> which</w:t>
      </w:r>
      <w:r w:rsidR="006C4815">
        <w:rPr>
          <w:rFonts w:ascii="Arial" w:hAnsi="Arial" w:cs="Arial"/>
          <w:lang w:val="en-GB"/>
        </w:rPr>
        <w:t>,</w:t>
      </w:r>
      <w:r w:rsidRPr="004B3F34">
        <w:rPr>
          <w:rFonts w:ascii="Arial" w:hAnsi="Arial" w:cs="Arial"/>
          <w:lang w:val="en-GB"/>
        </w:rPr>
        <w:t xml:space="preserve"> in turn</w:t>
      </w:r>
      <w:r w:rsidR="006C4815">
        <w:rPr>
          <w:rFonts w:ascii="Arial" w:hAnsi="Arial" w:cs="Arial"/>
          <w:lang w:val="en-GB"/>
        </w:rPr>
        <w:t>,</w:t>
      </w:r>
      <w:r w:rsidRPr="004B3F34">
        <w:rPr>
          <w:rFonts w:ascii="Arial" w:hAnsi="Arial" w:cs="Arial"/>
          <w:lang w:val="en-GB"/>
        </w:rPr>
        <w:t xml:space="preserve"> meant that Maseve was not able to service its debt obligations.</w:t>
      </w:r>
    </w:p>
    <w:p w14:paraId="62F514CC" w14:textId="77777777" w:rsidR="00966422" w:rsidRPr="00966422" w:rsidRDefault="00966422" w:rsidP="00966422">
      <w:pPr>
        <w:pStyle w:val="ListParagraph"/>
        <w:rPr>
          <w:rFonts w:ascii="Arial" w:hAnsi="Arial" w:cs="Arial"/>
          <w:lang w:val="en-GB"/>
        </w:rPr>
      </w:pPr>
    </w:p>
    <w:p w14:paraId="0449C41B" w14:textId="431FF111" w:rsidR="004B3F34" w:rsidRPr="004B3F34" w:rsidRDefault="00C71132"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 xml:space="preserve"> Essentially Maseve was commercially insolvent.</w:t>
      </w:r>
      <w:r w:rsidR="008D77EC" w:rsidRPr="004B3F34">
        <w:rPr>
          <w:rFonts w:ascii="Arial" w:hAnsi="Arial" w:cs="Arial"/>
          <w:lang w:val="en-GB"/>
        </w:rPr>
        <w:t xml:space="preserve"> PTM and PTM Canada obtained some grace from their lenders, but those lenders required</w:t>
      </w:r>
      <w:r w:rsidR="00215702">
        <w:rPr>
          <w:rFonts w:ascii="Arial" w:hAnsi="Arial" w:cs="Arial"/>
          <w:lang w:val="en-GB"/>
        </w:rPr>
        <w:t xml:space="preserve"> assurances that </w:t>
      </w:r>
      <w:r w:rsidR="00215702">
        <w:rPr>
          <w:rFonts w:ascii="Arial" w:hAnsi="Arial" w:cs="Arial"/>
          <w:lang w:val="en-GB"/>
        </w:rPr>
        <w:lastRenderedPageBreak/>
        <w:t>there would be</w:t>
      </w:r>
      <w:r w:rsidR="008D77EC" w:rsidRPr="004B3F34">
        <w:rPr>
          <w:rFonts w:ascii="Arial" w:hAnsi="Arial" w:cs="Arial"/>
          <w:lang w:val="en-GB"/>
        </w:rPr>
        <w:t xml:space="preserve"> repayment by </w:t>
      </w:r>
      <w:r w:rsidR="00215702">
        <w:rPr>
          <w:rFonts w:ascii="Arial" w:hAnsi="Arial" w:cs="Arial"/>
          <w:lang w:val="en-GB"/>
        </w:rPr>
        <w:t>31</w:t>
      </w:r>
      <w:r w:rsidR="008D77EC" w:rsidRPr="004B3F34">
        <w:rPr>
          <w:rFonts w:ascii="Arial" w:hAnsi="Arial" w:cs="Arial"/>
          <w:lang w:val="en-GB"/>
        </w:rPr>
        <w:t xml:space="preserve"> October 2017</w:t>
      </w:r>
      <w:r>
        <w:rPr>
          <w:rFonts w:ascii="Arial" w:hAnsi="Arial" w:cs="Arial"/>
          <w:lang w:val="en-GB"/>
        </w:rPr>
        <w:t>.</w:t>
      </w:r>
      <w:r w:rsidR="008D77EC" w:rsidRPr="004B3F34">
        <w:rPr>
          <w:rFonts w:ascii="Arial" w:hAnsi="Arial" w:cs="Arial"/>
          <w:lang w:val="en-GB"/>
        </w:rPr>
        <w:t xml:space="preserve"> </w:t>
      </w:r>
      <w:r>
        <w:rPr>
          <w:rFonts w:ascii="Arial" w:hAnsi="Arial" w:cs="Arial"/>
          <w:lang w:val="en-GB"/>
        </w:rPr>
        <w:t>F</w:t>
      </w:r>
      <w:r w:rsidR="008D77EC" w:rsidRPr="004B3F34">
        <w:rPr>
          <w:rFonts w:ascii="Arial" w:hAnsi="Arial" w:cs="Arial"/>
          <w:lang w:val="en-GB"/>
        </w:rPr>
        <w:t xml:space="preserve">ailing </w:t>
      </w:r>
      <w:r>
        <w:rPr>
          <w:rFonts w:ascii="Arial" w:hAnsi="Arial" w:cs="Arial"/>
          <w:lang w:val="en-GB"/>
        </w:rPr>
        <w:t>this payment</w:t>
      </w:r>
      <w:r w:rsidR="00966422">
        <w:rPr>
          <w:rFonts w:ascii="Arial" w:hAnsi="Arial" w:cs="Arial"/>
          <w:lang w:val="en-GB"/>
        </w:rPr>
        <w:t xml:space="preserve"> or</w:t>
      </w:r>
      <w:r w:rsidR="00CD4A3E">
        <w:rPr>
          <w:rFonts w:ascii="Arial" w:hAnsi="Arial" w:cs="Arial"/>
          <w:lang w:val="en-GB"/>
        </w:rPr>
        <w:t xml:space="preserve"> concrete assurances that it would be </w:t>
      </w:r>
      <w:r w:rsidR="00331EC9">
        <w:rPr>
          <w:rFonts w:ascii="Arial" w:hAnsi="Arial" w:cs="Arial"/>
          <w:lang w:val="en-GB"/>
        </w:rPr>
        <w:t xml:space="preserve">paid, </w:t>
      </w:r>
      <w:r w:rsidR="00331EC9" w:rsidRPr="004B3F34">
        <w:rPr>
          <w:rFonts w:ascii="Arial" w:hAnsi="Arial" w:cs="Arial"/>
          <w:lang w:val="en-GB"/>
        </w:rPr>
        <w:t>there</w:t>
      </w:r>
      <w:r w:rsidR="008D77EC" w:rsidRPr="004B3F34">
        <w:rPr>
          <w:rFonts w:ascii="Arial" w:hAnsi="Arial" w:cs="Arial"/>
          <w:lang w:val="en-GB"/>
        </w:rPr>
        <w:t xml:space="preserve"> was a real risk of foreclosure</w:t>
      </w:r>
      <w:r w:rsidR="00CD4A3E">
        <w:rPr>
          <w:rFonts w:ascii="Arial" w:hAnsi="Arial" w:cs="Arial"/>
          <w:lang w:val="en-GB"/>
        </w:rPr>
        <w:t xml:space="preserve"> against the security</w:t>
      </w:r>
      <w:r w:rsidR="008D77EC" w:rsidRPr="004B3F34">
        <w:rPr>
          <w:rFonts w:ascii="Arial" w:hAnsi="Arial" w:cs="Arial"/>
          <w:lang w:val="en-GB"/>
        </w:rPr>
        <w:t>.</w:t>
      </w:r>
    </w:p>
    <w:p w14:paraId="392BA277" w14:textId="77777777" w:rsidR="004B3F34" w:rsidRPr="004B3F34" w:rsidRDefault="004B3F34" w:rsidP="004B3F34">
      <w:pPr>
        <w:pStyle w:val="ListParagraph"/>
        <w:rPr>
          <w:rFonts w:ascii="Arial" w:hAnsi="Arial" w:cs="Arial"/>
          <w:lang w:val="en-GB"/>
        </w:rPr>
      </w:pPr>
    </w:p>
    <w:p w14:paraId="6E211C5C" w14:textId="74ECFF46" w:rsidR="004B3F34" w:rsidRPr="004B3F34" w:rsidRDefault="008D77EC" w:rsidP="008D77EC">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Th</w:t>
      </w:r>
      <w:r w:rsidR="00512E89">
        <w:rPr>
          <w:rFonts w:ascii="Arial" w:hAnsi="Arial" w:cs="Arial"/>
          <w:lang w:val="en-GB"/>
        </w:rPr>
        <w:t xml:space="preserve">is </w:t>
      </w:r>
      <w:r w:rsidR="00215702">
        <w:rPr>
          <w:rFonts w:ascii="Arial" w:hAnsi="Arial" w:cs="Arial"/>
          <w:lang w:val="en-GB"/>
        </w:rPr>
        <w:t xml:space="preserve">intractable </w:t>
      </w:r>
      <w:r w:rsidR="00512E89">
        <w:rPr>
          <w:rFonts w:ascii="Arial" w:hAnsi="Arial" w:cs="Arial"/>
          <w:lang w:val="en-GB"/>
        </w:rPr>
        <w:t>predicament</w:t>
      </w:r>
      <w:r w:rsidRPr="004B3F34">
        <w:rPr>
          <w:rFonts w:ascii="Arial" w:hAnsi="Arial" w:cs="Arial"/>
          <w:lang w:val="en-GB"/>
        </w:rPr>
        <w:t xml:space="preserve"> left Maseve and PTM with limited options. PTM could remain a partner in Maseve and obtain additional funding from Maseve's shareholders, includ</w:t>
      </w:r>
      <w:r w:rsidR="004B3F34">
        <w:rPr>
          <w:rFonts w:ascii="Arial" w:hAnsi="Arial" w:cs="Arial"/>
          <w:lang w:val="en-GB"/>
        </w:rPr>
        <w:t xml:space="preserve">ing Wesizwe, Jinchaun and CADF. </w:t>
      </w:r>
      <w:r w:rsidR="004B3F34" w:rsidRPr="004B3F34">
        <w:rPr>
          <w:rFonts w:ascii="Arial" w:hAnsi="Arial" w:cs="Arial"/>
          <w:lang w:val="en-GB"/>
        </w:rPr>
        <w:t>Alternatively,</w:t>
      </w:r>
      <w:r w:rsidRPr="004B3F34">
        <w:rPr>
          <w:rFonts w:ascii="Arial" w:hAnsi="Arial" w:cs="Arial"/>
          <w:lang w:val="en-GB"/>
        </w:rPr>
        <w:t xml:space="preserve"> PTM would have to dispose of its interest in Maseve </w:t>
      </w:r>
      <w:r w:rsidR="00512E89">
        <w:rPr>
          <w:rFonts w:ascii="Arial" w:hAnsi="Arial" w:cs="Arial"/>
          <w:lang w:val="en-GB"/>
        </w:rPr>
        <w:t>to</w:t>
      </w:r>
      <w:r w:rsidRPr="004B3F34">
        <w:rPr>
          <w:rFonts w:ascii="Arial" w:hAnsi="Arial" w:cs="Arial"/>
          <w:lang w:val="en-GB"/>
        </w:rPr>
        <w:t xml:space="preserve"> settle </w:t>
      </w:r>
      <w:r w:rsidR="00512E89">
        <w:rPr>
          <w:rFonts w:ascii="Arial" w:hAnsi="Arial" w:cs="Arial"/>
          <w:lang w:val="en-GB"/>
        </w:rPr>
        <w:t>the obligations to the lenders.</w:t>
      </w:r>
    </w:p>
    <w:p w14:paraId="3FAD64B7" w14:textId="77777777" w:rsidR="004B3F34" w:rsidRPr="004B3F34" w:rsidRDefault="004B3F34" w:rsidP="004B3F34">
      <w:pPr>
        <w:pStyle w:val="ListParagraph"/>
        <w:rPr>
          <w:rFonts w:ascii="Arial" w:hAnsi="Arial" w:cs="Arial"/>
          <w:lang w:val="en-GB"/>
        </w:rPr>
      </w:pPr>
    </w:p>
    <w:p w14:paraId="0D4C01F8" w14:textId="4662391F" w:rsidR="004B3F34" w:rsidRPr="004B3F34" w:rsidRDefault="008D77EC" w:rsidP="008D77EC">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From about March 2017 to about May 2017, there were extensive exchanges between PTM, Wesizwe</w:t>
      </w:r>
      <w:r w:rsidR="00C11521">
        <w:rPr>
          <w:rFonts w:ascii="Arial" w:hAnsi="Arial" w:cs="Arial"/>
          <w:lang w:val="en-GB"/>
        </w:rPr>
        <w:t>,</w:t>
      </w:r>
      <w:r w:rsidRPr="004B3F34">
        <w:rPr>
          <w:rFonts w:ascii="Arial" w:hAnsi="Arial" w:cs="Arial"/>
          <w:lang w:val="en-GB"/>
        </w:rPr>
        <w:t xml:space="preserve"> and Wesizwe's shareholders, for the purposes of discussing various funding proposals. PTM says that during this period it was apparent that Wesizwe had no serious interest in expediting or advancing the funding proposals.</w:t>
      </w:r>
    </w:p>
    <w:p w14:paraId="1E7EE561" w14:textId="77777777" w:rsidR="004B3F34" w:rsidRPr="004B3F34" w:rsidRDefault="004B3F34" w:rsidP="004B3F34">
      <w:pPr>
        <w:pStyle w:val="ListParagraph"/>
        <w:rPr>
          <w:rFonts w:ascii="Arial" w:hAnsi="Arial" w:cs="Arial"/>
          <w:lang w:val="en-GB"/>
        </w:rPr>
      </w:pPr>
    </w:p>
    <w:p w14:paraId="09B5917E" w14:textId="47640D09" w:rsidR="004B3F34" w:rsidRPr="00085987" w:rsidRDefault="008D77EC" w:rsidP="00085987">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 xml:space="preserve">In the meantime, PTM initiated steps aimed at introducing </w:t>
      </w:r>
      <w:r w:rsidR="0088623D">
        <w:rPr>
          <w:rFonts w:ascii="Arial" w:hAnsi="Arial" w:cs="Arial"/>
          <w:lang w:val="en-GB"/>
        </w:rPr>
        <w:t>an</w:t>
      </w:r>
      <w:r w:rsidRPr="004B3F34">
        <w:rPr>
          <w:rFonts w:ascii="Arial" w:hAnsi="Arial" w:cs="Arial"/>
          <w:lang w:val="en-GB"/>
        </w:rPr>
        <w:t xml:space="preserve"> amendment to Maseve's MOl to facilitate </w:t>
      </w:r>
      <w:r w:rsidR="00085987">
        <w:rPr>
          <w:rFonts w:ascii="Arial" w:hAnsi="Arial" w:cs="Arial"/>
          <w:lang w:val="en-GB"/>
        </w:rPr>
        <w:t xml:space="preserve">a </w:t>
      </w:r>
      <w:r w:rsidR="00C71132">
        <w:rPr>
          <w:rFonts w:ascii="Arial" w:hAnsi="Arial" w:cs="Arial"/>
          <w:lang w:val="en-GB"/>
        </w:rPr>
        <w:t xml:space="preserve">possible </w:t>
      </w:r>
      <w:r w:rsidR="00085987">
        <w:rPr>
          <w:rFonts w:ascii="Arial" w:hAnsi="Arial" w:cs="Arial"/>
          <w:lang w:val="en-GB"/>
        </w:rPr>
        <w:t xml:space="preserve">sale of </w:t>
      </w:r>
      <w:r w:rsidR="00C71132">
        <w:rPr>
          <w:rFonts w:ascii="Arial" w:hAnsi="Arial" w:cs="Arial"/>
          <w:lang w:val="en-GB"/>
        </w:rPr>
        <w:t xml:space="preserve">the </w:t>
      </w:r>
      <w:r w:rsidR="00085987">
        <w:rPr>
          <w:rFonts w:ascii="Arial" w:hAnsi="Arial" w:cs="Arial"/>
          <w:lang w:val="en-GB"/>
        </w:rPr>
        <w:t>shares</w:t>
      </w:r>
      <w:r w:rsidRPr="004B3F34">
        <w:rPr>
          <w:rFonts w:ascii="Arial" w:hAnsi="Arial" w:cs="Arial"/>
          <w:lang w:val="en-GB"/>
        </w:rPr>
        <w:t>.</w:t>
      </w:r>
      <w:r w:rsidR="00085987">
        <w:rPr>
          <w:rFonts w:ascii="Arial" w:hAnsi="Arial" w:cs="Arial"/>
        </w:rPr>
        <w:t xml:space="preserve"> </w:t>
      </w:r>
      <w:r w:rsidRPr="00085987">
        <w:rPr>
          <w:rFonts w:ascii="Arial" w:hAnsi="Arial" w:cs="Arial"/>
          <w:lang w:val="en-GB"/>
        </w:rPr>
        <w:t>In June 20I7</w:t>
      </w:r>
      <w:r w:rsidR="0088623D">
        <w:rPr>
          <w:rFonts w:ascii="Arial" w:hAnsi="Arial" w:cs="Arial"/>
          <w:lang w:val="en-GB"/>
        </w:rPr>
        <w:t>,</w:t>
      </w:r>
      <w:r w:rsidRPr="00085987">
        <w:rPr>
          <w:rFonts w:ascii="Arial" w:hAnsi="Arial" w:cs="Arial"/>
          <w:lang w:val="en-GB"/>
        </w:rPr>
        <w:t xml:space="preserve"> a special resolution of shareholders was adopted, amending the MOI by adding Article 10.7. </w:t>
      </w:r>
    </w:p>
    <w:p w14:paraId="6BC8B244" w14:textId="77777777" w:rsidR="004B3F34" w:rsidRPr="004B3F34" w:rsidRDefault="004B3F34" w:rsidP="004B3F34">
      <w:pPr>
        <w:pStyle w:val="ListParagraph"/>
        <w:rPr>
          <w:rFonts w:ascii="Arial" w:hAnsi="Arial" w:cs="Arial"/>
          <w:lang w:val="en-GB"/>
        </w:rPr>
      </w:pPr>
    </w:p>
    <w:p w14:paraId="22E4D251" w14:textId="485E8E66" w:rsidR="004B3F34" w:rsidRPr="004B3F34" w:rsidRDefault="008D77EC" w:rsidP="008D77EC">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The special resolution was passed by r</w:t>
      </w:r>
      <w:r w:rsidR="00DE0206">
        <w:rPr>
          <w:rFonts w:ascii="Arial" w:hAnsi="Arial" w:cs="Arial"/>
          <w:lang w:val="en-GB"/>
        </w:rPr>
        <w:t xml:space="preserve">ound robin. On 6 June 2017 PTM </w:t>
      </w:r>
      <w:r w:rsidRPr="004B3F34">
        <w:rPr>
          <w:rFonts w:ascii="Arial" w:hAnsi="Arial" w:cs="Arial"/>
          <w:lang w:val="en-GB"/>
        </w:rPr>
        <w:t>signed the special resolution. It was sent to Mr Mothomogolo on the same day. On 21 June 2021 he sent an email stating that he voted against the</w:t>
      </w:r>
      <w:r w:rsidR="009767FF">
        <w:rPr>
          <w:rFonts w:ascii="Arial" w:hAnsi="Arial" w:cs="Arial"/>
          <w:lang w:val="en-GB"/>
        </w:rPr>
        <w:t xml:space="preserve"> </w:t>
      </w:r>
      <w:r w:rsidRPr="004B3F34">
        <w:rPr>
          <w:rFonts w:ascii="Arial" w:hAnsi="Arial" w:cs="Arial"/>
          <w:lang w:val="en-GB"/>
        </w:rPr>
        <w:t>special resolution. The special resolution was, however, carried with PTM's vote, and there is no dispute that it was properly adopted.</w:t>
      </w:r>
    </w:p>
    <w:p w14:paraId="312D86D0" w14:textId="77777777" w:rsidR="004B3F34" w:rsidRPr="004B3F34" w:rsidRDefault="004B3F34" w:rsidP="004B3F34">
      <w:pPr>
        <w:pStyle w:val="ListParagraph"/>
        <w:rPr>
          <w:rFonts w:ascii="Arial" w:hAnsi="Arial" w:cs="Arial"/>
          <w:lang w:val="en-GB"/>
        </w:rPr>
      </w:pPr>
    </w:p>
    <w:p w14:paraId="20D89822" w14:textId="3AFD8F43" w:rsidR="004B3F34" w:rsidRPr="004B3F34" w:rsidRDefault="008D77EC" w:rsidP="004B3F34">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The new Article 10.7 read as follows:</w:t>
      </w:r>
    </w:p>
    <w:p w14:paraId="0DC27D49" w14:textId="77777777" w:rsidR="004B3F34" w:rsidRPr="004B3F34" w:rsidRDefault="004B3F34" w:rsidP="004B3F34">
      <w:pPr>
        <w:pStyle w:val="ListParagraph"/>
        <w:rPr>
          <w:rFonts w:ascii="Arial" w:hAnsi="Arial" w:cs="Arial"/>
          <w:lang w:val="en-GB"/>
        </w:rPr>
      </w:pPr>
    </w:p>
    <w:p w14:paraId="7D2C7BF5" w14:textId="2D7BF916" w:rsidR="004B3F34" w:rsidRPr="004B3F34" w:rsidRDefault="008D77EC" w:rsidP="004B3F34">
      <w:pPr>
        <w:pStyle w:val="ListParagraph"/>
        <w:spacing w:line="360" w:lineRule="auto"/>
        <w:ind w:left="0"/>
        <w:jc w:val="both"/>
        <w:rPr>
          <w:rFonts w:ascii="Arial" w:hAnsi="Arial" w:cs="Arial"/>
          <w:sz w:val="22"/>
          <w:szCs w:val="22"/>
        </w:rPr>
      </w:pPr>
      <w:r w:rsidRPr="004B3F34">
        <w:rPr>
          <w:rFonts w:ascii="Arial" w:hAnsi="Arial" w:cs="Arial"/>
          <w:lang w:val="en-GB"/>
        </w:rPr>
        <w:t>"</w:t>
      </w:r>
      <w:r w:rsidRPr="004B3F34">
        <w:rPr>
          <w:rFonts w:ascii="Arial" w:hAnsi="Arial" w:cs="Arial"/>
          <w:sz w:val="22"/>
          <w:szCs w:val="22"/>
          <w:lang w:val="en-GB"/>
        </w:rPr>
        <w:t xml:space="preserve">10.7 If a third party offers to purchase all (but not less than all) the </w:t>
      </w:r>
      <w:r w:rsidR="00331EC9" w:rsidRPr="004B3F34">
        <w:rPr>
          <w:rFonts w:ascii="Arial" w:hAnsi="Arial" w:cs="Arial"/>
          <w:sz w:val="22"/>
          <w:szCs w:val="22"/>
          <w:lang w:val="en-GB"/>
        </w:rPr>
        <w:t>Shareholders</w:t>
      </w:r>
      <w:r w:rsidR="00331EC9">
        <w:rPr>
          <w:rFonts w:ascii="Arial" w:hAnsi="Arial" w:cs="Arial"/>
          <w:sz w:val="22"/>
          <w:szCs w:val="22"/>
          <w:lang w:val="en-GB"/>
        </w:rPr>
        <w:t xml:space="preserve">’ </w:t>
      </w:r>
      <w:r w:rsidR="00331EC9" w:rsidRPr="004B3F34">
        <w:rPr>
          <w:rFonts w:ascii="Arial" w:hAnsi="Arial" w:cs="Arial"/>
          <w:sz w:val="22"/>
          <w:szCs w:val="22"/>
          <w:lang w:val="en-GB"/>
        </w:rPr>
        <w:t>equity</w:t>
      </w:r>
      <w:r w:rsidRPr="004B3F34">
        <w:rPr>
          <w:rFonts w:ascii="Arial" w:hAnsi="Arial" w:cs="Arial"/>
          <w:sz w:val="22"/>
          <w:szCs w:val="22"/>
          <w:lang w:val="en-GB"/>
        </w:rPr>
        <w:t xml:space="preserve"> on identical pro rata terms, and provided that Shareholders holding at least 80% (eighty percent) of such Equity accept such offer in respect of the Equity held by them, then all the Shareholders shall be obliged to and shall be deemed to have accepted the offer of the third party in respect of their Equity. Each of the Shareholders irrevocably and in rem suam appoints the other Shareholder/s as its attorney and agent to do all such things as may be necessary to comply with the provisions of this clause."</w:t>
      </w:r>
      <w:r w:rsidR="004B3F34" w:rsidRPr="004B3F34">
        <w:rPr>
          <w:rFonts w:ascii="Arial" w:hAnsi="Arial" w:cs="Arial"/>
          <w:sz w:val="22"/>
          <w:szCs w:val="22"/>
          <w:lang w:val="en-GB"/>
        </w:rPr>
        <w:t xml:space="preserve"> </w:t>
      </w:r>
    </w:p>
    <w:p w14:paraId="484D6A00" w14:textId="77777777" w:rsidR="004B3F34" w:rsidRPr="004B3F34" w:rsidRDefault="004B3F34" w:rsidP="004B3F34">
      <w:pPr>
        <w:pStyle w:val="ListParagraph"/>
        <w:rPr>
          <w:rFonts w:ascii="Arial" w:hAnsi="Arial" w:cs="Arial"/>
          <w:lang w:val="en-GB"/>
        </w:rPr>
      </w:pPr>
    </w:p>
    <w:p w14:paraId="5FC603A3" w14:textId="3BB78BD3" w:rsidR="004B3F34" w:rsidRPr="004B3F34" w:rsidRDefault="004B3F34" w:rsidP="00512E89">
      <w:pPr>
        <w:pStyle w:val="ListParagraph"/>
        <w:spacing w:line="360" w:lineRule="auto"/>
        <w:ind w:left="0"/>
        <w:jc w:val="both"/>
        <w:rPr>
          <w:rFonts w:ascii="Arial" w:hAnsi="Arial" w:cs="Arial"/>
        </w:rPr>
      </w:pPr>
      <w:r w:rsidRPr="004B3F34">
        <w:rPr>
          <w:rFonts w:ascii="Arial" w:hAnsi="Arial" w:cs="Arial"/>
          <w:lang w:val="en-GB"/>
        </w:rPr>
        <w:t>This is a type of clause commonly called a ‘drag along’ clause.</w:t>
      </w:r>
    </w:p>
    <w:p w14:paraId="0B7BFB04" w14:textId="77777777" w:rsidR="004B3F34" w:rsidRPr="004B3F34" w:rsidRDefault="004B3F34" w:rsidP="004B3F34">
      <w:pPr>
        <w:pStyle w:val="ListParagraph"/>
        <w:spacing w:line="360" w:lineRule="auto"/>
        <w:ind w:left="0"/>
        <w:jc w:val="both"/>
        <w:rPr>
          <w:rFonts w:ascii="Arial" w:hAnsi="Arial" w:cs="Arial"/>
        </w:rPr>
      </w:pPr>
    </w:p>
    <w:p w14:paraId="388B5F25" w14:textId="70DDB0A7" w:rsidR="004B3F34" w:rsidRPr="00EF4626" w:rsidRDefault="008D77EC" w:rsidP="00EF4626">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lastRenderedPageBreak/>
        <w:t>On 15 June 2017</w:t>
      </w:r>
      <w:r w:rsidR="00512E89">
        <w:rPr>
          <w:rFonts w:ascii="Arial" w:hAnsi="Arial" w:cs="Arial"/>
          <w:lang w:val="en-GB"/>
        </w:rPr>
        <w:t>,</w:t>
      </w:r>
      <w:r w:rsidRPr="004B3F34">
        <w:rPr>
          <w:rFonts w:ascii="Arial" w:hAnsi="Arial" w:cs="Arial"/>
          <w:lang w:val="en-GB"/>
        </w:rPr>
        <w:t xml:space="preserve"> PTM prepared a document headed </w:t>
      </w:r>
      <w:r w:rsidR="00512E89">
        <w:rPr>
          <w:rFonts w:ascii="Arial" w:hAnsi="Arial" w:cs="Arial"/>
          <w:lang w:val="en-GB"/>
        </w:rPr>
        <w:t>‘</w:t>
      </w:r>
      <w:r w:rsidRPr="004B3F34">
        <w:rPr>
          <w:rFonts w:ascii="Arial" w:hAnsi="Arial" w:cs="Arial"/>
          <w:lang w:val="en-GB"/>
        </w:rPr>
        <w:t>Business Outlook</w:t>
      </w:r>
      <w:r w:rsidR="00512E89">
        <w:rPr>
          <w:rFonts w:ascii="Arial" w:hAnsi="Arial" w:cs="Arial"/>
          <w:lang w:val="en-GB"/>
        </w:rPr>
        <w:t xml:space="preserve">’ </w:t>
      </w:r>
      <w:r w:rsidR="00D15CF8">
        <w:rPr>
          <w:rFonts w:ascii="Arial" w:hAnsi="Arial" w:cs="Arial"/>
          <w:lang w:val="en-GB"/>
        </w:rPr>
        <w:t>which</w:t>
      </w:r>
      <w:r w:rsidRPr="004B3F34">
        <w:rPr>
          <w:rFonts w:ascii="Arial" w:hAnsi="Arial" w:cs="Arial"/>
          <w:lang w:val="en-GB"/>
        </w:rPr>
        <w:t xml:space="preserve"> set out the </w:t>
      </w:r>
      <w:r w:rsidR="00D15CF8">
        <w:rPr>
          <w:rFonts w:ascii="Arial" w:hAnsi="Arial" w:cs="Arial"/>
          <w:lang w:val="en-GB"/>
        </w:rPr>
        <w:t>challenges for solvency</w:t>
      </w:r>
      <w:r w:rsidRPr="004B3F34">
        <w:rPr>
          <w:rFonts w:ascii="Arial" w:hAnsi="Arial" w:cs="Arial"/>
          <w:lang w:val="en-GB"/>
        </w:rPr>
        <w:t xml:space="preserve"> facing Maseve.</w:t>
      </w:r>
      <w:r w:rsidRPr="00EF4626">
        <w:rPr>
          <w:rFonts w:ascii="Arial" w:hAnsi="Arial" w:cs="Arial"/>
          <w:lang w:val="en-GB"/>
        </w:rPr>
        <w:t xml:space="preserve"> This was presented and discussed at a board meeting held on the same day. During the meeting, the Board (including Mr Mothomogolo) unanimously </w:t>
      </w:r>
      <w:r w:rsidR="0088623D">
        <w:rPr>
          <w:rFonts w:ascii="Arial" w:hAnsi="Arial" w:cs="Arial"/>
          <w:lang w:val="en-GB"/>
        </w:rPr>
        <w:t>resolved</w:t>
      </w:r>
      <w:r w:rsidRPr="00EF4626">
        <w:rPr>
          <w:rFonts w:ascii="Arial" w:hAnsi="Arial" w:cs="Arial"/>
          <w:lang w:val="en-GB"/>
        </w:rPr>
        <w:t xml:space="preserve"> that, in the event that the Maseve Mine </w:t>
      </w:r>
      <w:r w:rsidR="00EF4626">
        <w:rPr>
          <w:rFonts w:ascii="Arial" w:hAnsi="Arial" w:cs="Arial"/>
          <w:lang w:val="en-GB"/>
        </w:rPr>
        <w:t>was</w:t>
      </w:r>
      <w:r w:rsidRPr="00EF4626">
        <w:rPr>
          <w:rFonts w:ascii="Arial" w:hAnsi="Arial" w:cs="Arial"/>
          <w:lang w:val="en-GB"/>
        </w:rPr>
        <w:t xml:space="preserve"> no longer able to be funded sufficiently by PTM Canada, Maseve ‘... </w:t>
      </w:r>
      <w:r w:rsidRPr="00EF4626">
        <w:rPr>
          <w:rFonts w:ascii="Arial" w:hAnsi="Arial" w:cs="Arial"/>
          <w:sz w:val="22"/>
          <w:szCs w:val="22"/>
          <w:lang w:val="en-GB"/>
        </w:rPr>
        <w:t>is authorised to close the mine and sell assets, at management’s discretion and as might be necessary to meet obligations and manage the path towards a reasonable wind down or transaction, and if a transaction exceeds a threshold wherein shareholder approval is required, such approval will be sought</w:t>
      </w:r>
      <w:r w:rsidRPr="00EF4626">
        <w:rPr>
          <w:rFonts w:ascii="Arial" w:hAnsi="Arial" w:cs="Arial"/>
          <w:lang w:val="en-GB"/>
        </w:rPr>
        <w:t>.’</w:t>
      </w:r>
    </w:p>
    <w:p w14:paraId="5ACAFFA0" w14:textId="77777777" w:rsidR="004B3F34" w:rsidRPr="004B3F34" w:rsidRDefault="004B3F34" w:rsidP="004B3F34">
      <w:pPr>
        <w:pStyle w:val="ListParagraph"/>
        <w:rPr>
          <w:rFonts w:ascii="Arial" w:hAnsi="Arial" w:cs="Arial"/>
        </w:rPr>
      </w:pPr>
    </w:p>
    <w:p w14:paraId="20B13DD7" w14:textId="77777777" w:rsidR="004B3F34" w:rsidRPr="004B3F34" w:rsidRDefault="004B3F34" w:rsidP="004B3F34">
      <w:pPr>
        <w:pStyle w:val="ListParagraph"/>
        <w:spacing w:line="360" w:lineRule="auto"/>
        <w:ind w:left="0"/>
        <w:jc w:val="both"/>
        <w:rPr>
          <w:rFonts w:ascii="Arial" w:hAnsi="Arial" w:cs="Arial"/>
        </w:rPr>
      </w:pPr>
    </w:p>
    <w:p w14:paraId="78FF5296" w14:textId="77777777" w:rsidR="004B3F34" w:rsidRPr="004B3F34" w:rsidRDefault="004B3F34" w:rsidP="004B3F34">
      <w:pPr>
        <w:pStyle w:val="ListParagraph"/>
        <w:rPr>
          <w:rFonts w:ascii="Arial" w:hAnsi="Arial" w:cs="Arial"/>
          <w:lang w:val="en-GB"/>
        </w:rPr>
      </w:pPr>
    </w:p>
    <w:p w14:paraId="38D9674D" w14:textId="6B5B6CD9" w:rsidR="004B3F34" w:rsidRPr="004B3F34" w:rsidRDefault="004B3F34"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The Royal Bafokeng</w:t>
      </w:r>
      <w:r w:rsidR="00615789">
        <w:rPr>
          <w:rFonts w:ascii="Arial" w:hAnsi="Arial" w:cs="Arial"/>
          <w:lang w:val="en-GB"/>
        </w:rPr>
        <w:t xml:space="preserve"> </w:t>
      </w:r>
      <w:r w:rsidR="008D77EC" w:rsidRPr="004B3F34">
        <w:rPr>
          <w:rFonts w:ascii="Arial" w:hAnsi="Arial" w:cs="Arial"/>
          <w:lang w:val="en-GB"/>
        </w:rPr>
        <w:t xml:space="preserve">had </w:t>
      </w:r>
      <w:r w:rsidR="009767FF">
        <w:rPr>
          <w:rFonts w:ascii="Arial" w:hAnsi="Arial" w:cs="Arial"/>
          <w:lang w:val="en-GB"/>
        </w:rPr>
        <w:t xml:space="preserve">by this stage indicated its interest </w:t>
      </w:r>
      <w:r w:rsidR="0038277C">
        <w:rPr>
          <w:rFonts w:ascii="Arial" w:hAnsi="Arial" w:cs="Arial"/>
          <w:lang w:val="en-GB"/>
        </w:rPr>
        <w:t>in</w:t>
      </w:r>
      <w:r w:rsidR="008D77EC" w:rsidRPr="004B3F34">
        <w:rPr>
          <w:rFonts w:ascii="Arial" w:hAnsi="Arial" w:cs="Arial"/>
          <w:lang w:val="en-GB"/>
        </w:rPr>
        <w:t xml:space="preserve"> Maseve. R</w:t>
      </w:r>
      <w:r w:rsidR="0038277C">
        <w:rPr>
          <w:rFonts w:ascii="Arial" w:hAnsi="Arial" w:cs="Arial"/>
          <w:lang w:val="en-GB"/>
        </w:rPr>
        <w:t xml:space="preserve">B </w:t>
      </w:r>
      <w:r w:rsidR="00331EC9">
        <w:rPr>
          <w:rFonts w:ascii="Arial" w:hAnsi="Arial" w:cs="Arial"/>
          <w:lang w:val="en-GB"/>
        </w:rPr>
        <w:t xml:space="preserve">platinum </w:t>
      </w:r>
      <w:r w:rsidR="00331EC9" w:rsidRPr="004B3F34">
        <w:rPr>
          <w:rFonts w:ascii="Arial" w:hAnsi="Arial" w:cs="Arial"/>
          <w:lang w:val="en-GB"/>
        </w:rPr>
        <w:t>had</w:t>
      </w:r>
      <w:r w:rsidR="008D77EC" w:rsidRPr="004B3F34">
        <w:rPr>
          <w:rFonts w:ascii="Arial" w:hAnsi="Arial" w:cs="Arial"/>
          <w:lang w:val="en-GB"/>
        </w:rPr>
        <w:t xml:space="preserve"> made an initial written offer during March 2017 to acquire all of Maseve's assets. PTM rejected this offer on the basis not only of the unsatisfactory price, but also because it was not prepared to dispose of Maseve's assets in isolation</w:t>
      </w:r>
      <w:r w:rsidR="00EF4626">
        <w:rPr>
          <w:rFonts w:ascii="Arial" w:hAnsi="Arial" w:cs="Arial"/>
          <w:lang w:val="en-GB"/>
        </w:rPr>
        <w:t xml:space="preserve"> but</w:t>
      </w:r>
      <w:r w:rsidR="008D77EC" w:rsidRPr="004B3F34">
        <w:rPr>
          <w:rFonts w:ascii="Arial" w:hAnsi="Arial" w:cs="Arial"/>
          <w:lang w:val="en-GB"/>
        </w:rPr>
        <w:t xml:space="preserve"> wanted to dispose of its shareholding in Maseve.</w:t>
      </w:r>
      <w:r w:rsidR="00CD4A3E">
        <w:rPr>
          <w:rFonts w:ascii="Arial" w:hAnsi="Arial" w:cs="Arial"/>
          <w:lang w:val="en-GB"/>
        </w:rPr>
        <w:t xml:space="preserve"> This is significant as I will deal with later.</w:t>
      </w:r>
    </w:p>
    <w:p w14:paraId="0BD7785F" w14:textId="77777777" w:rsidR="004B3F34" w:rsidRPr="004B3F34" w:rsidRDefault="004B3F34" w:rsidP="004B3F34">
      <w:pPr>
        <w:pStyle w:val="ListParagraph"/>
        <w:spacing w:line="360" w:lineRule="auto"/>
        <w:ind w:left="0"/>
        <w:jc w:val="both"/>
        <w:rPr>
          <w:rFonts w:ascii="Arial" w:hAnsi="Arial" w:cs="Arial"/>
        </w:rPr>
      </w:pPr>
    </w:p>
    <w:p w14:paraId="3761C457" w14:textId="3E8214DE" w:rsidR="004B3F34" w:rsidRPr="004B3F34" w:rsidRDefault="008D77EC" w:rsidP="008D77EC">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 xml:space="preserve"> The Royal Bafokeng </w:t>
      </w:r>
      <w:r w:rsidR="00354B1B">
        <w:rPr>
          <w:rFonts w:ascii="Arial" w:hAnsi="Arial" w:cs="Arial"/>
          <w:lang w:val="en-GB"/>
        </w:rPr>
        <w:t>then</w:t>
      </w:r>
      <w:r w:rsidRPr="004B3F34">
        <w:rPr>
          <w:rFonts w:ascii="Arial" w:hAnsi="Arial" w:cs="Arial"/>
          <w:lang w:val="en-GB"/>
        </w:rPr>
        <w:t xml:space="preserve"> proposed a transaction in terms of which it offered to purchase all of the shares in Maseve. </w:t>
      </w:r>
    </w:p>
    <w:p w14:paraId="034C8388" w14:textId="77777777" w:rsidR="004B3F34" w:rsidRPr="004B3F34" w:rsidRDefault="004B3F34" w:rsidP="004B3F34">
      <w:pPr>
        <w:pStyle w:val="ListParagraph"/>
        <w:rPr>
          <w:rFonts w:ascii="Arial" w:hAnsi="Arial" w:cs="Arial"/>
          <w:lang w:val="en-GB"/>
        </w:rPr>
      </w:pPr>
    </w:p>
    <w:p w14:paraId="37B356DA" w14:textId="5C61218D" w:rsidR="004B3F34" w:rsidRPr="004B3F34" w:rsidRDefault="005A6288"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Given the drag along clause such a sale of shares</w:t>
      </w:r>
      <w:r w:rsidR="008D77EC" w:rsidRPr="004B3F34">
        <w:rPr>
          <w:rFonts w:ascii="Arial" w:hAnsi="Arial" w:cs="Arial"/>
          <w:lang w:val="en-GB"/>
        </w:rPr>
        <w:t xml:space="preserve"> </w:t>
      </w:r>
      <w:r w:rsidR="009E0560">
        <w:rPr>
          <w:rFonts w:ascii="Arial" w:hAnsi="Arial" w:cs="Arial"/>
          <w:lang w:val="en-GB"/>
        </w:rPr>
        <w:t>could not have been resisted by Africa Wide. A problem was however posed</w:t>
      </w:r>
      <w:r w:rsidR="00F97EFE">
        <w:rPr>
          <w:rFonts w:ascii="Arial" w:hAnsi="Arial" w:cs="Arial"/>
          <w:lang w:val="en-GB"/>
        </w:rPr>
        <w:t xml:space="preserve"> by the fact that</w:t>
      </w:r>
      <w:r w:rsidR="008D77EC" w:rsidRPr="004B3F34">
        <w:rPr>
          <w:rFonts w:ascii="Arial" w:hAnsi="Arial" w:cs="Arial"/>
          <w:lang w:val="en-GB"/>
        </w:rPr>
        <w:t xml:space="preserve"> the lenders were threatening imminent foreclosure on the securities. Th</w:t>
      </w:r>
      <w:r w:rsidR="00682B79">
        <w:rPr>
          <w:rFonts w:ascii="Arial" w:hAnsi="Arial" w:cs="Arial"/>
          <w:lang w:val="en-GB"/>
        </w:rPr>
        <w:t>is</w:t>
      </w:r>
      <w:r w:rsidR="008D77EC" w:rsidRPr="004B3F34">
        <w:rPr>
          <w:rFonts w:ascii="Arial" w:hAnsi="Arial" w:cs="Arial"/>
          <w:lang w:val="en-GB"/>
        </w:rPr>
        <w:t xml:space="preserve"> urgency to obtain some liquidity </w:t>
      </w:r>
      <w:r w:rsidR="00354B1B">
        <w:rPr>
          <w:rFonts w:ascii="Arial" w:hAnsi="Arial" w:cs="Arial"/>
          <w:lang w:val="en-GB"/>
        </w:rPr>
        <w:t>from</w:t>
      </w:r>
      <w:r w:rsidR="008D77EC" w:rsidRPr="004B3F34">
        <w:rPr>
          <w:rFonts w:ascii="Arial" w:hAnsi="Arial" w:cs="Arial"/>
          <w:lang w:val="en-GB"/>
        </w:rPr>
        <w:t xml:space="preserve"> the transaction led to a </w:t>
      </w:r>
      <w:r w:rsidR="00F97EFE">
        <w:rPr>
          <w:rFonts w:ascii="Arial" w:hAnsi="Arial" w:cs="Arial"/>
          <w:lang w:val="en-GB"/>
        </w:rPr>
        <w:t>reconfiguration of the original offer</w:t>
      </w:r>
      <w:r w:rsidR="00682B79">
        <w:rPr>
          <w:rFonts w:ascii="Arial" w:hAnsi="Arial" w:cs="Arial"/>
          <w:lang w:val="en-GB"/>
        </w:rPr>
        <w:t xml:space="preserve"> to buy the shares</w:t>
      </w:r>
      <w:r w:rsidR="00F97EFE">
        <w:rPr>
          <w:rFonts w:ascii="Arial" w:hAnsi="Arial" w:cs="Arial"/>
          <w:lang w:val="en-GB"/>
        </w:rPr>
        <w:t>.</w:t>
      </w:r>
      <w:r w:rsidR="008D77EC" w:rsidRPr="004B3F34">
        <w:rPr>
          <w:rFonts w:ascii="Arial" w:hAnsi="Arial" w:cs="Arial"/>
          <w:lang w:val="en-GB"/>
        </w:rPr>
        <w:t xml:space="preserve"> </w:t>
      </w:r>
    </w:p>
    <w:p w14:paraId="34E82FFE" w14:textId="77777777" w:rsidR="004B3F34" w:rsidRPr="004B3F34" w:rsidRDefault="004B3F34" w:rsidP="004B3F34">
      <w:pPr>
        <w:pStyle w:val="ListParagraph"/>
        <w:rPr>
          <w:rFonts w:ascii="Arial" w:hAnsi="Arial" w:cs="Arial"/>
          <w:lang w:val="en-GB"/>
        </w:rPr>
      </w:pPr>
    </w:p>
    <w:p w14:paraId="436F2AD5" w14:textId="112AE102" w:rsidR="009A6FA7" w:rsidRPr="00F97EFE" w:rsidRDefault="008D77EC" w:rsidP="004B3F34">
      <w:pPr>
        <w:pStyle w:val="ListParagraph"/>
        <w:numPr>
          <w:ilvl w:val="0"/>
          <w:numId w:val="2"/>
        </w:numPr>
        <w:spacing w:line="360" w:lineRule="auto"/>
        <w:ind w:left="0" w:firstLine="0"/>
        <w:jc w:val="both"/>
        <w:rPr>
          <w:rFonts w:ascii="Arial" w:hAnsi="Arial" w:cs="Arial"/>
        </w:rPr>
      </w:pPr>
      <w:r w:rsidRPr="004B3F34">
        <w:rPr>
          <w:rFonts w:ascii="Arial" w:hAnsi="Arial" w:cs="Arial"/>
          <w:lang w:val="en-GB"/>
        </w:rPr>
        <w:t xml:space="preserve">This </w:t>
      </w:r>
      <w:r w:rsidR="00682B79">
        <w:rPr>
          <w:rFonts w:ascii="Arial" w:hAnsi="Arial" w:cs="Arial"/>
          <w:lang w:val="en-GB"/>
        </w:rPr>
        <w:t>reconfigura</w:t>
      </w:r>
      <w:r w:rsidR="0020705B">
        <w:rPr>
          <w:rFonts w:ascii="Arial" w:hAnsi="Arial" w:cs="Arial"/>
          <w:lang w:val="en-GB"/>
        </w:rPr>
        <w:t>tion of the transaction</w:t>
      </w:r>
      <w:r w:rsidRPr="004B3F34">
        <w:rPr>
          <w:rFonts w:ascii="Arial" w:hAnsi="Arial" w:cs="Arial"/>
          <w:lang w:val="en-GB"/>
        </w:rPr>
        <w:t xml:space="preserve"> lies at the heart of this case. The facts surrounding the motivation for the structure</w:t>
      </w:r>
      <w:r w:rsidR="0038277C">
        <w:rPr>
          <w:rFonts w:ascii="Arial" w:hAnsi="Arial" w:cs="Arial"/>
          <w:lang w:val="en-GB"/>
        </w:rPr>
        <w:t xml:space="preserve"> ultimately agreed to</w:t>
      </w:r>
      <w:r w:rsidRPr="004B3F34">
        <w:rPr>
          <w:rFonts w:ascii="Arial" w:hAnsi="Arial" w:cs="Arial"/>
          <w:lang w:val="en-GB"/>
        </w:rPr>
        <w:t xml:space="preserve"> thus require close consideration. I move to deal with this aspect of the case.</w:t>
      </w:r>
    </w:p>
    <w:p w14:paraId="1E4D75E8" w14:textId="77777777" w:rsidR="00F97EFE" w:rsidRPr="00F97EFE" w:rsidRDefault="00F97EFE" w:rsidP="00F97EFE">
      <w:pPr>
        <w:pStyle w:val="ListParagraph"/>
        <w:rPr>
          <w:rFonts w:ascii="Arial" w:hAnsi="Arial" w:cs="Arial"/>
        </w:rPr>
      </w:pPr>
    </w:p>
    <w:p w14:paraId="523A3699" w14:textId="77777777" w:rsidR="00F97EFE" w:rsidRPr="006C4815" w:rsidRDefault="00F97EFE" w:rsidP="00F97EFE">
      <w:pPr>
        <w:pStyle w:val="ListParagraph"/>
        <w:spacing w:line="360" w:lineRule="auto"/>
        <w:ind w:left="0"/>
        <w:jc w:val="both"/>
        <w:rPr>
          <w:rFonts w:ascii="Arial" w:hAnsi="Arial" w:cs="Arial"/>
        </w:rPr>
      </w:pPr>
    </w:p>
    <w:p w14:paraId="320656A7" w14:textId="15C8B6D6" w:rsidR="004B3F34" w:rsidRPr="00713DDD" w:rsidRDefault="004B3F34" w:rsidP="009A6FA7">
      <w:pPr>
        <w:spacing w:line="360" w:lineRule="auto"/>
        <w:jc w:val="both"/>
        <w:rPr>
          <w:rFonts w:ascii="Arial" w:hAnsi="Arial" w:cs="Arial"/>
          <w:i/>
          <w:sz w:val="24"/>
          <w:szCs w:val="24"/>
          <w:lang w:val="en-GB"/>
        </w:rPr>
      </w:pPr>
      <w:r w:rsidRPr="00713DDD">
        <w:rPr>
          <w:rFonts w:ascii="Arial" w:hAnsi="Arial" w:cs="Arial"/>
          <w:i/>
          <w:sz w:val="24"/>
          <w:szCs w:val="24"/>
          <w:lang w:val="en-GB"/>
        </w:rPr>
        <w:t>The facts relating to</w:t>
      </w:r>
      <w:r w:rsidR="00F97EFE">
        <w:rPr>
          <w:rFonts w:ascii="Arial" w:hAnsi="Arial" w:cs="Arial"/>
          <w:i/>
          <w:sz w:val="24"/>
          <w:szCs w:val="24"/>
          <w:lang w:val="en-GB"/>
        </w:rPr>
        <w:t xml:space="preserve"> </w:t>
      </w:r>
      <w:r w:rsidR="00613D39">
        <w:rPr>
          <w:rFonts w:ascii="Arial" w:hAnsi="Arial" w:cs="Arial"/>
          <w:i/>
          <w:sz w:val="24"/>
          <w:szCs w:val="24"/>
          <w:lang w:val="en-GB"/>
        </w:rPr>
        <w:t xml:space="preserve">the structure </w:t>
      </w:r>
      <w:r w:rsidR="00331EC9">
        <w:rPr>
          <w:rFonts w:ascii="Arial" w:hAnsi="Arial" w:cs="Arial"/>
          <w:i/>
          <w:sz w:val="24"/>
          <w:szCs w:val="24"/>
          <w:lang w:val="en-GB"/>
        </w:rPr>
        <w:t>of the</w:t>
      </w:r>
      <w:r w:rsidR="00613D39">
        <w:rPr>
          <w:rFonts w:ascii="Arial" w:hAnsi="Arial" w:cs="Arial"/>
          <w:i/>
          <w:sz w:val="24"/>
          <w:szCs w:val="24"/>
          <w:lang w:val="en-GB"/>
        </w:rPr>
        <w:t xml:space="preserve"> transaction.</w:t>
      </w:r>
    </w:p>
    <w:p w14:paraId="5C4D121E" w14:textId="3EBB0656" w:rsidR="0038277C" w:rsidRPr="0038277C" w:rsidRDefault="0038277C" w:rsidP="0038277C">
      <w:pPr>
        <w:pStyle w:val="ListParagraph"/>
        <w:spacing w:line="360" w:lineRule="auto"/>
        <w:ind w:left="0"/>
        <w:jc w:val="both"/>
        <w:rPr>
          <w:rFonts w:ascii="Arial" w:hAnsi="Arial" w:cs="Arial"/>
        </w:rPr>
      </w:pPr>
    </w:p>
    <w:p w14:paraId="77BC5506" w14:textId="74827D31" w:rsidR="009A6FA7" w:rsidRPr="009A6FA7" w:rsidRDefault="001F52BD"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lastRenderedPageBreak/>
        <w:t>As I have said</w:t>
      </w:r>
      <w:r w:rsidR="002E4977">
        <w:rPr>
          <w:rFonts w:ascii="Arial" w:hAnsi="Arial" w:cs="Arial"/>
          <w:lang w:val="en-GB"/>
        </w:rPr>
        <w:t xml:space="preserve"> the intention</w:t>
      </w:r>
      <w:r w:rsidR="00E03A63">
        <w:rPr>
          <w:rFonts w:ascii="Arial" w:hAnsi="Arial" w:cs="Arial"/>
          <w:lang w:val="en-GB"/>
        </w:rPr>
        <w:t xml:space="preserve"> was to dispose of the shareholding.</w:t>
      </w:r>
      <w:r w:rsidR="008D77EC" w:rsidRPr="009A6FA7">
        <w:rPr>
          <w:rFonts w:ascii="Arial" w:hAnsi="Arial" w:cs="Arial"/>
          <w:lang w:val="en-GB"/>
        </w:rPr>
        <w:t xml:space="preserve"> This could have been </w:t>
      </w:r>
      <w:r w:rsidR="00E03A63">
        <w:rPr>
          <w:rFonts w:ascii="Arial" w:hAnsi="Arial" w:cs="Arial"/>
          <w:lang w:val="en-GB"/>
        </w:rPr>
        <w:t>achieved</w:t>
      </w:r>
      <w:r w:rsidR="008D77EC" w:rsidRPr="009A6FA7">
        <w:rPr>
          <w:rFonts w:ascii="Arial" w:hAnsi="Arial" w:cs="Arial"/>
          <w:lang w:val="en-GB"/>
        </w:rPr>
        <w:t xml:space="preserve"> </w:t>
      </w:r>
      <w:r w:rsidR="00F575DF">
        <w:rPr>
          <w:rFonts w:ascii="Arial" w:hAnsi="Arial" w:cs="Arial"/>
          <w:lang w:val="en-GB"/>
        </w:rPr>
        <w:t>by means of</w:t>
      </w:r>
      <w:r w:rsidR="008D77EC" w:rsidRPr="009A6FA7">
        <w:rPr>
          <w:rFonts w:ascii="Arial" w:hAnsi="Arial" w:cs="Arial"/>
          <w:lang w:val="en-GB"/>
        </w:rPr>
        <w:t xml:space="preserve"> a straightforward share purchase agreement</w:t>
      </w:r>
      <w:r>
        <w:rPr>
          <w:rFonts w:ascii="Arial" w:hAnsi="Arial" w:cs="Arial"/>
          <w:lang w:val="en-GB"/>
        </w:rPr>
        <w:t xml:space="preserve">. </w:t>
      </w:r>
      <w:r w:rsidR="00E91410">
        <w:rPr>
          <w:rFonts w:ascii="Arial" w:hAnsi="Arial" w:cs="Arial"/>
          <w:lang w:val="en-GB"/>
        </w:rPr>
        <w:t xml:space="preserve">But there was a sticking point: any sale of shares transaction would have to be </w:t>
      </w:r>
      <w:r w:rsidR="00823A4F">
        <w:rPr>
          <w:rFonts w:ascii="Arial" w:hAnsi="Arial" w:cs="Arial"/>
          <w:lang w:val="en-GB"/>
        </w:rPr>
        <w:t xml:space="preserve">made </w:t>
      </w:r>
      <w:r w:rsidR="00E91410">
        <w:rPr>
          <w:rFonts w:ascii="Arial" w:hAnsi="Arial" w:cs="Arial"/>
          <w:lang w:val="en-GB"/>
        </w:rPr>
        <w:t xml:space="preserve">subject </w:t>
      </w:r>
      <w:r w:rsidR="00331EC9">
        <w:rPr>
          <w:rFonts w:ascii="Arial" w:hAnsi="Arial" w:cs="Arial"/>
          <w:lang w:val="en-GB"/>
        </w:rPr>
        <w:t>to</w:t>
      </w:r>
      <w:r w:rsidR="00331EC9" w:rsidRPr="009A6FA7">
        <w:rPr>
          <w:rFonts w:ascii="Arial" w:hAnsi="Arial" w:cs="Arial"/>
          <w:lang w:val="en-GB"/>
        </w:rPr>
        <w:t xml:space="preserve"> ministerial</w:t>
      </w:r>
      <w:r w:rsidR="00823A4F" w:rsidRPr="009A6FA7">
        <w:rPr>
          <w:rFonts w:ascii="Arial" w:hAnsi="Arial" w:cs="Arial"/>
          <w:lang w:val="en-GB"/>
        </w:rPr>
        <w:t xml:space="preserve"> consent in terms of section 11 of the Mineral and Petroleum Resources Development Act, 2002 (</w:t>
      </w:r>
      <w:r w:rsidR="00823A4F">
        <w:rPr>
          <w:rFonts w:ascii="Arial" w:hAnsi="Arial" w:cs="Arial"/>
          <w:lang w:val="en-GB"/>
        </w:rPr>
        <w:t>‘</w:t>
      </w:r>
      <w:r w:rsidR="00823A4F" w:rsidRPr="009A6FA7">
        <w:rPr>
          <w:rFonts w:ascii="Arial" w:hAnsi="Arial" w:cs="Arial"/>
          <w:lang w:val="en-GB"/>
        </w:rPr>
        <w:t>the MPRDA</w:t>
      </w:r>
      <w:r w:rsidR="00823A4F">
        <w:rPr>
          <w:rFonts w:ascii="Arial" w:hAnsi="Arial" w:cs="Arial"/>
          <w:lang w:val="en-GB"/>
        </w:rPr>
        <w:t>’</w:t>
      </w:r>
      <w:r w:rsidR="00823A4F" w:rsidRPr="009A6FA7">
        <w:rPr>
          <w:rFonts w:ascii="Arial" w:hAnsi="Arial" w:cs="Arial"/>
          <w:lang w:val="en-GB"/>
        </w:rPr>
        <w:t>)</w:t>
      </w:r>
      <w:r w:rsidR="00891776">
        <w:rPr>
          <w:rStyle w:val="FootnoteReference"/>
          <w:rFonts w:ascii="Arial" w:hAnsi="Arial" w:cs="Arial"/>
          <w:lang w:val="en-GB"/>
        </w:rPr>
        <w:footnoteReference w:id="1"/>
      </w:r>
      <w:r w:rsidR="00823A4F" w:rsidRPr="009A6FA7">
        <w:rPr>
          <w:rFonts w:ascii="Arial" w:hAnsi="Arial" w:cs="Arial"/>
          <w:lang w:val="en-GB"/>
        </w:rPr>
        <w:t>.</w:t>
      </w:r>
      <w:r w:rsidR="00823A4F">
        <w:rPr>
          <w:rFonts w:ascii="Arial" w:hAnsi="Arial" w:cs="Arial"/>
          <w:lang w:val="en-GB"/>
        </w:rPr>
        <w:t xml:space="preserve"> It </w:t>
      </w:r>
      <w:r w:rsidR="00E03A63">
        <w:rPr>
          <w:rFonts w:ascii="Arial" w:hAnsi="Arial" w:cs="Arial"/>
          <w:lang w:val="en-GB"/>
        </w:rPr>
        <w:t>is</w:t>
      </w:r>
      <w:r w:rsidR="00823A4F">
        <w:rPr>
          <w:rFonts w:ascii="Arial" w:hAnsi="Arial" w:cs="Arial"/>
          <w:lang w:val="en-GB"/>
        </w:rPr>
        <w:t xml:space="preserve"> notorious </w:t>
      </w:r>
      <w:r w:rsidR="00331EC9">
        <w:rPr>
          <w:rFonts w:ascii="Arial" w:hAnsi="Arial" w:cs="Arial"/>
          <w:lang w:val="en-GB"/>
        </w:rPr>
        <w:t>that achieving</w:t>
      </w:r>
      <w:r w:rsidR="00E03A63">
        <w:rPr>
          <w:rFonts w:ascii="Arial" w:hAnsi="Arial" w:cs="Arial"/>
          <w:lang w:val="en-GB"/>
        </w:rPr>
        <w:t xml:space="preserve"> </w:t>
      </w:r>
      <w:r w:rsidR="00823A4F">
        <w:rPr>
          <w:rFonts w:ascii="Arial" w:hAnsi="Arial" w:cs="Arial"/>
          <w:lang w:val="en-GB"/>
        </w:rPr>
        <w:t xml:space="preserve">such consent </w:t>
      </w:r>
      <w:r w:rsidR="00F575DF">
        <w:rPr>
          <w:rFonts w:ascii="Arial" w:hAnsi="Arial" w:cs="Arial"/>
          <w:lang w:val="en-GB"/>
        </w:rPr>
        <w:t>can</w:t>
      </w:r>
      <w:r w:rsidR="00893464">
        <w:rPr>
          <w:rFonts w:ascii="Arial" w:hAnsi="Arial" w:cs="Arial"/>
          <w:lang w:val="en-GB"/>
        </w:rPr>
        <w:t xml:space="preserve"> take time.</w:t>
      </w:r>
      <w:r w:rsidR="0020705B">
        <w:rPr>
          <w:rFonts w:ascii="Arial" w:hAnsi="Arial" w:cs="Arial"/>
          <w:lang w:val="en-GB"/>
        </w:rPr>
        <w:t xml:space="preserve"> There was little or no reason to assume that the approval would </w:t>
      </w:r>
      <w:r w:rsidR="00112C26">
        <w:rPr>
          <w:rFonts w:ascii="Arial" w:hAnsi="Arial" w:cs="Arial"/>
          <w:lang w:val="en-GB"/>
        </w:rPr>
        <w:t xml:space="preserve">not </w:t>
      </w:r>
      <w:r w:rsidR="0020705B">
        <w:rPr>
          <w:rFonts w:ascii="Arial" w:hAnsi="Arial" w:cs="Arial"/>
          <w:lang w:val="en-GB"/>
        </w:rPr>
        <w:t>be forthcoming</w:t>
      </w:r>
      <w:r w:rsidR="00112C26">
        <w:rPr>
          <w:rFonts w:ascii="Arial" w:hAnsi="Arial" w:cs="Arial"/>
          <w:lang w:val="en-GB"/>
        </w:rPr>
        <w:t>;</w:t>
      </w:r>
      <w:r w:rsidR="0020705B">
        <w:rPr>
          <w:rFonts w:ascii="Arial" w:hAnsi="Arial" w:cs="Arial"/>
          <w:lang w:val="en-GB"/>
        </w:rPr>
        <w:t xml:space="preserve"> </w:t>
      </w:r>
      <w:r w:rsidR="00112C26">
        <w:rPr>
          <w:rFonts w:ascii="Arial" w:hAnsi="Arial" w:cs="Arial"/>
          <w:lang w:val="en-GB"/>
        </w:rPr>
        <w:t>the only real question was</w:t>
      </w:r>
      <w:r w:rsidR="0020705B">
        <w:rPr>
          <w:rFonts w:ascii="Arial" w:hAnsi="Arial" w:cs="Arial"/>
          <w:lang w:val="en-GB"/>
        </w:rPr>
        <w:t xml:space="preserve"> how long it would take</w:t>
      </w:r>
      <w:r w:rsidR="00112C26">
        <w:rPr>
          <w:rFonts w:ascii="Arial" w:hAnsi="Arial" w:cs="Arial"/>
          <w:lang w:val="en-GB"/>
        </w:rPr>
        <w:t>.</w:t>
      </w:r>
    </w:p>
    <w:p w14:paraId="32F11ABC" w14:textId="77777777" w:rsidR="009A6FA7" w:rsidRPr="009A6FA7" w:rsidRDefault="009A6FA7" w:rsidP="009A6FA7">
      <w:pPr>
        <w:pStyle w:val="ListParagraph"/>
        <w:rPr>
          <w:rFonts w:ascii="Arial" w:hAnsi="Arial" w:cs="Arial"/>
          <w:lang w:val="en-GB"/>
        </w:rPr>
      </w:pPr>
    </w:p>
    <w:p w14:paraId="41BA42A8" w14:textId="411BF462" w:rsidR="009A6FA7" w:rsidRPr="00B31C48" w:rsidRDefault="008D77EC" w:rsidP="00B31C48">
      <w:pPr>
        <w:pStyle w:val="ListParagraph"/>
        <w:numPr>
          <w:ilvl w:val="0"/>
          <w:numId w:val="2"/>
        </w:numPr>
        <w:spacing w:line="360" w:lineRule="auto"/>
        <w:ind w:left="0" w:firstLine="0"/>
        <w:jc w:val="both"/>
        <w:rPr>
          <w:rFonts w:ascii="Arial" w:hAnsi="Arial" w:cs="Arial"/>
        </w:rPr>
      </w:pPr>
      <w:r w:rsidRPr="009A6FA7">
        <w:rPr>
          <w:rFonts w:ascii="Arial" w:hAnsi="Arial" w:cs="Arial"/>
          <w:lang w:val="en-GB"/>
        </w:rPr>
        <w:t>The urgent flow of funds and</w:t>
      </w:r>
      <w:r w:rsidR="009A6FA7">
        <w:rPr>
          <w:rFonts w:ascii="Arial" w:hAnsi="Arial" w:cs="Arial"/>
          <w:lang w:val="en-GB"/>
        </w:rPr>
        <w:t xml:space="preserve"> access by RB Plat</w:t>
      </w:r>
      <w:r w:rsidR="00893464">
        <w:rPr>
          <w:rFonts w:ascii="Arial" w:hAnsi="Arial" w:cs="Arial"/>
          <w:lang w:val="en-GB"/>
        </w:rPr>
        <w:t>inum</w:t>
      </w:r>
      <w:r w:rsidR="009A6FA7">
        <w:rPr>
          <w:rFonts w:ascii="Arial" w:hAnsi="Arial" w:cs="Arial"/>
          <w:lang w:val="en-GB"/>
        </w:rPr>
        <w:t xml:space="preserve"> to the plant</w:t>
      </w:r>
      <w:r w:rsidRPr="009A6FA7">
        <w:rPr>
          <w:rFonts w:ascii="Arial" w:hAnsi="Arial" w:cs="Arial"/>
          <w:lang w:val="en-GB"/>
        </w:rPr>
        <w:t xml:space="preserve"> were crucial objectives in the</w:t>
      </w:r>
      <w:r w:rsidR="00F575DF">
        <w:rPr>
          <w:rFonts w:ascii="Arial" w:hAnsi="Arial" w:cs="Arial"/>
          <w:lang w:val="en-GB"/>
        </w:rPr>
        <w:t xml:space="preserve"> transaction</w:t>
      </w:r>
      <w:r w:rsidRPr="009A6FA7">
        <w:rPr>
          <w:rFonts w:ascii="Arial" w:hAnsi="Arial" w:cs="Arial"/>
          <w:lang w:val="en-GB"/>
        </w:rPr>
        <w:t xml:space="preserve">. </w:t>
      </w:r>
      <w:r w:rsidRPr="00B31C48">
        <w:rPr>
          <w:rFonts w:ascii="Arial" w:hAnsi="Arial" w:cs="Arial"/>
          <w:lang w:val="en-GB"/>
        </w:rPr>
        <w:t xml:space="preserve"> In order to speed up the process of getting as much cash up front</w:t>
      </w:r>
      <w:r w:rsidR="00112C26">
        <w:rPr>
          <w:rFonts w:ascii="Arial" w:hAnsi="Arial" w:cs="Arial"/>
          <w:lang w:val="en-GB"/>
        </w:rPr>
        <w:t xml:space="preserve"> as possible</w:t>
      </w:r>
      <w:r w:rsidRPr="00B31C48">
        <w:rPr>
          <w:rFonts w:ascii="Arial" w:hAnsi="Arial" w:cs="Arial"/>
          <w:lang w:val="en-GB"/>
        </w:rPr>
        <w:t>, it was decided to split the transaction into two</w:t>
      </w:r>
      <w:r w:rsidR="00893464">
        <w:rPr>
          <w:rFonts w:ascii="Arial" w:hAnsi="Arial" w:cs="Arial"/>
          <w:lang w:val="en-GB"/>
        </w:rPr>
        <w:t xml:space="preserve"> parts</w:t>
      </w:r>
      <w:r w:rsidRPr="00B31C48">
        <w:rPr>
          <w:rFonts w:ascii="Arial" w:hAnsi="Arial" w:cs="Arial"/>
          <w:lang w:val="en-GB"/>
        </w:rPr>
        <w:t>. The first p</w:t>
      </w:r>
      <w:r w:rsidR="00893464">
        <w:rPr>
          <w:rFonts w:ascii="Arial" w:hAnsi="Arial" w:cs="Arial"/>
          <w:lang w:val="en-GB"/>
        </w:rPr>
        <w:t>art</w:t>
      </w:r>
      <w:r w:rsidRPr="00B31C48">
        <w:rPr>
          <w:rFonts w:ascii="Arial" w:hAnsi="Arial" w:cs="Arial"/>
          <w:lang w:val="en-GB"/>
        </w:rPr>
        <w:t xml:space="preserve"> would be the sa</w:t>
      </w:r>
      <w:r w:rsidR="009A6FA7" w:rsidRPr="00B31C48">
        <w:rPr>
          <w:rFonts w:ascii="Arial" w:hAnsi="Arial" w:cs="Arial"/>
          <w:lang w:val="en-GB"/>
        </w:rPr>
        <w:t xml:space="preserve">le of the plant </w:t>
      </w:r>
      <w:r w:rsidR="00F575DF">
        <w:rPr>
          <w:rFonts w:ascii="Arial" w:hAnsi="Arial" w:cs="Arial"/>
          <w:lang w:val="en-GB"/>
        </w:rPr>
        <w:t>to</w:t>
      </w:r>
      <w:r w:rsidR="00B31C48">
        <w:rPr>
          <w:rFonts w:ascii="Arial" w:hAnsi="Arial" w:cs="Arial"/>
          <w:lang w:val="en-GB"/>
        </w:rPr>
        <w:t xml:space="preserve"> </w:t>
      </w:r>
      <w:r w:rsidR="009A6FA7" w:rsidRPr="00B31C48">
        <w:rPr>
          <w:rFonts w:ascii="Arial" w:hAnsi="Arial" w:cs="Arial"/>
          <w:lang w:val="en-GB"/>
        </w:rPr>
        <w:t xml:space="preserve">RB </w:t>
      </w:r>
      <w:r w:rsidR="005C190D">
        <w:rPr>
          <w:rFonts w:ascii="Arial" w:hAnsi="Arial" w:cs="Arial"/>
          <w:lang w:val="en-GB"/>
        </w:rPr>
        <w:t>R</w:t>
      </w:r>
      <w:r w:rsidR="009A6FA7" w:rsidRPr="00B31C48">
        <w:rPr>
          <w:rFonts w:ascii="Arial" w:hAnsi="Arial" w:cs="Arial"/>
          <w:lang w:val="en-GB"/>
        </w:rPr>
        <w:t>esources</w:t>
      </w:r>
      <w:r w:rsidR="00893464">
        <w:rPr>
          <w:rFonts w:ascii="Arial" w:hAnsi="Arial" w:cs="Arial"/>
          <w:lang w:val="en-GB"/>
        </w:rPr>
        <w:t xml:space="preserve"> which required </w:t>
      </w:r>
      <w:r w:rsidR="00112C26">
        <w:rPr>
          <w:rFonts w:ascii="Arial" w:hAnsi="Arial" w:cs="Arial"/>
          <w:lang w:val="en-GB"/>
        </w:rPr>
        <w:t xml:space="preserve">the </w:t>
      </w:r>
      <w:r w:rsidR="00893464">
        <w:rPr>
          <w:rFonts w:ascii="Arial" w:hAnsi="Arial" w:cs="Arial"/>
          <w:lang w:val="en-GB"/>
        </w:rPr>
        <w:t>use of the plant</w:t>
      </w:r>
      <w:r w:rsidR="00F575DF">
        <w:rPr>
          <w:rFonts w:ascii="Arial" w:hAnsi="Arial" w:cs="Arial"/>
          <w:lang w:val="en-GB"/>
        </w:rPr>
        <w:t xml:space="preserve"> in its </w:t>
      </w:r>
      <w:r w:rsidR="00533200">
        <w:rPr>
          <w:rFonts w:ascii="Arial" w:hAnsi="Arial" w:cs="Arial"/>
          <w:lang w:val="en-GB"/>
        </w:rPr>
        <w:t>business and the payment of funds under the plant sale</w:t>
      </w:r>
      <w:r w:rsidR="00EC2150">
        <w:rPr>
          <w:rFonts w:ascii="Arial" w:hAnsi="Arial" w:cs="Arial"/>
          <w:lang w:val="en-GB"/>
        </w:rPr>
        <w:t xml:space="preserve">; the second part would be the sale of shares </w:t>
      </w:r>
      <w:r w:rsidR="00944A81">
        <w:rPr>
          <w:rFonts w:ascii="Arial" w:hAnsi="Arial" w:cs="Arial"/>
          <w:lang w:val="en-GB"/>
        </w:rPr>
        <w:t>transaction.</w:t>
      </w:r>
      <w:r w:rsidRPr="00B31C48">
        <w:rPr>
          <w:rFonts w:ascii="Arial" w:hAnsi="Arial" w:cs="Arial"/>
          <w:lang w:val="en-GB"/>
        </w:rPr>
        <w:t xml:space="preserve"> </w:t>
      </w:r>
      <w:r w:rsidR="00533200">
        <w:rPr>
          <w:rFonts w:ascii="Arial" w:hAnsi="Arial" w:cs="Arial"/>
          <w:lang w:val="en-GB"/>
        </w:rPr>
        <w:t>This</w:t>
      </w:r>
      <w:r w:rsidRPr="00B31C48">
        <w:rPr>
          <w:rFonts w:ascii="Arial" w:hAnsi="Arial" w:cs="Arial"/>
          <w:lang w:val="en-GB"/>
        </w:rPr>
        <w:t xml:space="preserve"> structure allowed for payment up front of some o</w:t>
      </w:r>
      <w:r w:rsidR="00525FC1">
        <w:rPr>
          <w:rFonts w:ascii="Arial" w:hAnsi="Arial" w:cs="Arial"/>
          <w:lang w:val="en-GB"/>
        </w:rPr>
        <w:t>f the funds</w:t>
      </w:r>
      <w:r w:rsidRPr="00B31C48">
        <w:rPr>
          <w:rFonts w:ascii="Arial" w:hAnsi="Arial" w:cs="Arial"/>
          <w:lang w:val="en-GB"/>
        </w:rPr>
        <w:t xml:space="preserve"> </w:t>
      </w:r>
      <w:r w:rsidR="00525FC1">
        <w:rPr>
          <w:rFonts w:ascii="Arial" w:hAnsi="Arial" w:cs="Arial"/>
          <w:lang w:val="en-GB"/>
        </w:rPr>
        <w:t>wh</w:t>
      </w:r>
      <w:r w:rsidR="00EC2150">
        <w:rPr>
          <w:rFonts w:ascii="Arial" w:hAnsi="Arial" w:cs="Arial"/>
          <w:lang w:val="en-GB"/>
        </w:rPr>
        <w:t>ilst the section 11 consent was awaited on the share transaction.</w:t>
      </w:r>
    </w:p>
    <w:p w14:paraId="1ADAF772" w14:textId="77777777" w:rsidR="009A6FA7" w:rsidRPr="009A6FA7" w:rsidRDefault="009A6FA7" w:rsidP="009A6FA7">
      <w:pPr>
        <w:pStyle w:val="ListParagraph"/>
        <w:rPr>
          <w:rFonts w:ascii="Arial" w:hAnsi="Arial" w:cs="Arial"/>
          <w:lang w:val="en-GB"/>
        </w:rPr>
      </w:pPr>
    </w:p>
    <w:p w14:paraId="4720007C" w14:textId="250889DD" w:rsidR="009A6FA7" w:rsidRPr="009A6FA7" w:rsidRDefault="00FB7E1F"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Mr Hallam testified</w:t>
      </w:r>
      <w:r w:rsidR="00022157">
        <w:rPr>
          <w:rFonts w:ascii="Arial" w:hAnsi="Arial" w:cs="Arial"/>
          <w:lang w:val="en-GB"/>
        </w:rPr>
        <w:t xml:space="preserve"> for PTM</w:t>
      </w:r>
      <w:r>
        <w:rPr>
          <w:rFonts w:ascii="Arial" w:hAnsi="Arial" w:cs="Arial"/>
          <w:lang w:val="en-GB"/>
        </w:rPr>
        <w:t xml:space="preserve"> as to the </w:t>
      </w:r>
      <w:r w:rsidR="00022157">
        <w:rPr>
          <w:rFonts w:ascii="Arial" w:hAnsi="Arial" w:cs="Arial"/>
          <w:lang w:val="en-GB"/>
        </w:rPr>
        <w:t>evolution of th</w:t>
      </w:r>
      <w:r w:rsidR="00944A81">
        <w:rPr>
          <w:rFonts w:ascii="Arial" w:hAnsi="Arial" w:cs="Arial"/>
          <w:lang w:val="en-GB"/>
        </w:rPr>
        <w:t>is</w:t>
      </w:r>
      <w:r w:rsidR="00022157">
        <w:rPr>
          <w:rFonts w:ascii="Arial" w:hAnsi="Arial" w:cs="Arial"/>
          <w:lang w:val="en-GB"/>
        </w:rPr>
        <w:t xml:space="preserve"> structure</w:t>
      </w:r>
      <w:r w:rsidR="00B96937">
        <w:rPr>
          <w:rFonts w:ascii="Arial" w:hAnsi="Arial" w:cs="Arial"/>
          <w:lang w:val="en-GB"/>
        </w:rPr>
        <w:t>. His</w:t>
      </w:r>
      <w:r w:rsidR="008D77EC" w:rsidRPr="009A6FA7">
        <w:rPr>
          <w:rFonts w:ascii="Arial" w:hAnsi="Arial" w:cs="Arial"/>
          <w:lang w:val="en-GB"/>
        </w:rPr>
        <w:t xml:space="preserve"> evidence as to the progression of the transa</w:t>
      </w:r>
      <w:r w:rsidR="009A6FA7">
        <w:rPr>
          <w:rFonts w:ascii="Arial" w:hAnsi="Arial" w:cs="Arial"/>
          <w:lang w:val="en-GB"/>
        </w:rPr>
        <w:t>ction through the various draft</w:t>
      </w:r>
      <w:r w:rsidR="008D77EC" w:rsidRPr="009A6FA7">
        <w:rPr>
          <w:rFonts w:ascii="Arial" w:hAnsi="Arial" w:cs="Arial"/>
          <w:lang w:val="en-GB"/>
        </w:rPr>
        <w:t xml:space="preserve"> iterations of the term sheet</w:t>
      </w:r>
      <w:r>
        <w:rPr>
          <w:rFonts w:ascii="Arial" w:hAnsi="Arial" w:cs="Arial"/>
          <w:lang w:val="en-GB"/>
        </w:rPr>
        <w:t xml:space="preserve"> which </w:t>
      </w:r>
      <w:r w:rsidR="00022157">
        <w:rPr>
          <w:rFonts w:ascii="Arial" w:hAnsi="Arial" w:cs="Arial"/>
          <w:lang w:val="en-GB"/>
        </w:rPr>
        <w:t>ultimately described the transaction</w:t>
      </w:r>
      <w:r w:rsidR="008D77EC" w:rsidRPr="009A6FA7">
        <w:rPr>
          <w:rFonts w:ascii="Arial" w:hAnsi="Arial" w:cs="Arial"/>
          <w:lang w:val="en-GB"/>
        </w:rPr>
        <w:t xml:space="preserve"> is instructive as to the true intention behind the split transaction. </w:t>
      </w:r>
    </w:p>
    <w:p w14:paraId="7BAC594C" w14:textId="77777777" w:rsidR="009A6FA7" w:rsidRPr="009A6FA7" w:rsidRDefault="009A6FA7" w:rsidP="009A6FA7">
      <w:pPr>
        <w:pStyle w:val="ListParagraph"/>
        <w:rPr>
          <w:rFonts w:ascii="Arial" w:hAnsi="Arial" w:cs="Arial"/>
          <w:lang w:val="en-GB"/>
        </w:rPr>
      </w:pPr>
    </w:p>
    <w:p w14:paraId="46E87CB0" w14:textId="77777777" w:rsidR="00B04FDD" w:rsidRPr="00B04FDD" w:rsidRDefault="00944A81"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It</w:t>
      </w:r>
      <w:r w:rsidR="00112C26">
        <w:rPr>
          <w:rFonts w:ascii="Arial" w:hAnsi="Arial" w:cs="Arial"/>
          <w:lang w:val="en-GB"/>
        </w:rPr>
        <w:t xml:space="preserve"> is</w:t>
      </w:r>
      <w:r>
        <w:rPr>
          <w:rFonts w:ascii="Arial" w:hAnsi="Arial" w:cs="Arial"/>
          <w:lang w:val="en-GB"/>
        </w:rPr>
        <w:t xml:space="preserve"> evident from an early </w:t>
      </w:r>
      <w:r w:rsidR="008D77EC" w:rsidRPr="009A6FA7">
        <w:rPr>
          <w:rFonts w:ascii="Arial" w:hAnsi="Arial" w:cs="Arial"/>
          <w:lang w:val="en-GB"/>
        </w:rPr>
        <w:t xml:space="preserve">draft term sheet </w:t>
      </w:r>
      <w:r>
        <w:rPr>
          <w:rFonts w:ascii="Arial" w:hAnsi="Arial" w:cs="Arial"/>
          <w:lang w:val="en-GB"/>
        </w:rPr>
        <w:t>that a loan was initially contemplated to secure the flow of funds</w:t>
      </w:r>
      <w:r w:rsidR="008D77EC" w:rsidRPr="009A6FA7">
        <w:rPr>
          <w:rFonts w:ascii="Arial" w:hAnsi="Arial" w:cs="Arial"/>
          <w:lang w:val="en-GB"/>
        </w:rPr>
        <w:t>. This structure however change</w:t>
      </w:r>
      <w:r w:rsidR="00A447E7">
        <w:rPr>
          <w:rFonts w:ascii="Arial" w:hAnsi="Arial" w:cs="Arial"/>
          <w:lang w:val="en-GB"/>
        </w:rPr>
        <w:t>d</w:t>
      </w:r>
      <w:r w:rsidR="008D77EC" w:rsidRPr="009A6FA7">
        <w:rPr>
          <w:rFonts w:ascii="Arial" w:hAnsi="Arial" w:cs="Arial"/>
          <w:lang w:val="en-GB"/>
        </w:rPr>
        <w:t xml:space="preserve"> in the next draft </w:t>
      </w:r>
      <w:r w:rsidR="0026174C">
        <w:rPr>
          <w:rFonts w:ascii="Arial" w:hAnsi="Arial" w:cs="Arial"/>
          <w:lang w:val="en-GB"/>
        </w:rPr>
        <w:t>where</w:t>
      </w:r>
      <w:r w:rsidR="008D77EC" w:rsidRPr="009A6FA7">
        <w:rPr>
          <w:rFonts w:ascii="Arial" w:hAnsi="Arial" w:cs="Arial"/>
          <w:lang w:val="en-GB"/>
        </w:rPr>
        <w:t xml:space="preserve"> </w:t>
      </w:r>
      <w:r w:rsidR="00A667A0">
        <w:rPr>
          <w:rFonts w:ascii="Arial" w:hAnsi="Arial" w:cs="Arial"/>
          <w:lang w:val="en-GB"/>
        </w:rPr>
        <w:t>th</w:t>
      </w:r>
      <w:r w:rsidR="00B04FDD">
        <w:rPr>
          <w:rFonts w:ascii="Arial" w:hAnsi="Arial" w:cs="Arial"/>
          <w:lang w:val="en-GB"/>
        </w:rPr>
        <w:t xml:space="preserve">e </w:t>
      </w:r>
      <w:r w:rsidR="008D77EC" w:rsidRPr="009A6FA7">
        <w:rPr>
          <w:rFonts w:ascii="Arial" w:hAnsi="Arial" w:cs="Arial"/>
          <w:lang w:val="en-GB"/>
        </w:rPr>
        <w:t>tra</w:t>
      </w:r>
      <w:r w:rsidR="009A6FA7">
        <w:rPr>
          <w:rFonts w:ascii="Arial" w:hAnsi="Arial" w:cs="Arial"/>
          <w:lang w:val="en-GB"/>
        </w:rPr>
        <w:t>nsaction</w:t>
      </w:r>
      <w:r w:rsidR="0026174C">
        <w:rPr>
          <w:rFonts w:ascii="Arial" w:hAnsi="Arial" w:cs="Arial"/>
          <w:lang w:val="en-GB"/>
        </w:rPr>
        <w:t xml:space="preserve"> is now</w:t>
      </w:r>
      <w:r w:rsidR="008D77EC" w:rsidRPr="009A6FA7">
        <w:rPr>
          <w:rFonts w:ascii="Arial" w:hAnsi="Arial" w:cs="Arial"/>
          <w:lang w:val="en-GB"/>
        </w:rPr>
        <w:t xml:space="preserve"> reflecte</w:t>
      </w:r>
      <w:r w:rsidR="0026174C">
        <w:rPr>
          <w:rFonts w:ascii="Arial" w:hAnsi="Arial" w:cs="Arial"/>
          <w:lang w:val="en-GB"/>
        </w:rPr>
        <w:t>d</w:t>
      </w:r>
      <w:r w:rsidR="00031578">
        <w:rPr>
          <w:rFonts w:ascii="Arial" w:hAnsi="Arial" w:cs="Arial"/>
          <w:lang w:val="en-GB"/>
        </w:rPr>
        <w:t xml:space="preserve"> for the first time</w:t>
      </w:r>
      <w:r w:rsidR="008D77EC" w:rsidRPr="009A6FA7">
        <w:rPr>
          <w:rFonts w:ascii="Arial" w:hAnsi="Arial" w:cs="Arial"/>
          <w:lang w:val="en-GB"/>
        </w:rPr>
        <w:t xml:space="preserve"> as being split into the two transactions.</w:t>
      </w:r>
    </w:p>
    <w:p w14:paraId="6004451A" w14:textId="77777777" w:rsidR="00B04FDD" w:rsidRPr="00B04FDD" w:rsidRDefault="00B04FDD" w:rsidP="00B04FDD">
      <w:pPr>
        <w:pStyle w:val="ListParagraph"/>
        <w:rPr>
          <w:rFonts w:ascii="Arial" w:hAnsi="Arial" w:cs="Arial"/>
          <w:lang w:val="en-GB"/>
        </w:rPr>
      </w:pPr>
    </w:p>
    <w:p w14:paraId="1D92CFEF" w14:textId="777990AD" w:rsidR="009A6FA7" w:rsidRPr="009A6FA7" w:rsidRDefault="008D77EC" w:rsidP="008D77EC">
      <w:pPr>
        <w:pStyle w:val="ListParagraph"/>
        <w:numPr>
          <w:ilvl w:val="0"/>
          <w:numId w:val="2"/>
        </w:numPr>
        <w:spacing w:line="360" w:lineRule="auto"/>
        <w:ind w:left="0" w:firstLine="0"/>
        <w:jc w:val="both"/>
        <w:rPr>
          <w:rFonts w:ascii="Arial" w:hAnsi="Arial" w:cs="Arial"/>
        </w:rPr>
      </w:pPr>
      <w:r w:rsidRPr="009A6FA7">
        <w:rPr>
          <w:rFonts w:ascii="Arial" w:hAnsi="Arial" w:cs="Arial"/>
          <w:lang w:val="en-GB"/>
        </w:rPr>
        <w:t xml:space="preserve">  Mr Hallam</w:t>
      </w:r>
      <w:r w:rsidR="0026174C">
        <w:rPr>
          <w:rFonts w:ascii="Arial" w:hAnsi="Arial" w:cs="Arial"/>
          <w:lang w:val="en-GB"/>
        </w:rPr>
        <w:t xml:space="preserve"> explained that it had been</w:t>
      </w:r>
      <w:r w:rsidRPr="009A6FA7">
        <w:rPr>
          <w:rFonts w:ascii="Arial" w:hAnsi="Arial" w:cs="Arial"/>
          <w:lang w:val="en-GB"/>
        </w:rPr>
        <w:t xml:space="preserve"> impossible to set up the loan structure necessary to get the money to PTM</w:t>
      </w:r>
      <w:r w:rsidR="00031578">
        <w:rPr>
          <w:rFonts w:ascii="Arial" w:hAnsi="Arial" w:cs="Arial"/>
          <w:lang w:val="en-GB"/>
        </w:rPr>
        <w:t xml:space="preserve"> in time</w:t>
      </w:r>
      <w:r w:rsidR="00FF4217">
        <w:rPr>
          <w:rFonts w:ascii="Arial" w:hAnsi="Arial" w:cs="Arial"/>
          <w:lang w:val="en-GB"/>
        </w:rPr>
        <w:t>.</w:t>
      </w:r>
      <w:r w:rsidR="00A667A0">
        <w:rPr>
          <w:rFonts w:ascii="Arial" w:hAnsi="Arial" w:cs="Arial"/>
          <w:lang w:val="en-GB"/>
        </w:rPr>
        <w:t xml:space="preserve"> </w:t>
      </w:r>
      <w:r w:rsidR="00331EC9">
        <w:rPr>
          <w:rFonts w:ascii="Arial" w:hAnsi="Arial" w:cs="Arial"/>
          <w:lang w:val="en-GB"/>
        </w:rPr>
        <w:t xml:space="preserve">He </w:t>
      </w:r>
      <w:r w:rsidR="00331EC9" w:rsidRPr="009A6FA7">
        <w:rPr>
          <w:rFonts w:ascii="Arial" w:hAnsi="Arial" w:cs="Arial"/>
          <w:lang w:val="en-GB"/>
        </w:rPr>
        <w:t>explained</w:t>
      </w:r>
      <w:r w:rsidR="00FF4217" w:rsidRPr="009A6FA7">
        <w:rPr>
          <w:rFonts w:ascii="Arial" w:hAnsi="Arial" w:cs="Arial"/>
          <w:lang w:val="en-GB"/>
        </w:rPr>
        <w:t xml:space="preserve"> that when the possibility of a secured loan w</w:t>
      </w:r>
      <w:r w:rsidR="00FF4217">
        <w:rPr>
          <w:rFonts w:ascii="Arial" w:hAnsi="Arial" w:cs="Arial"/>
          <w:lang w:val="en-GB"/>
        </w:rPr>
        <w:t>as</w:t>
      </w:r>
      <w:r w:rsidR="00FF4217" w:rsidRPr="009A6FA7">
        <w:rPr>
          <w:rFonts w:ascii="Arial" w:hAnsi="Arial" w:cs="Arial"/>
          <w:lang w:val="en-GB"/>
        </w:rPr>
        <w:t xml:space="preserve"> discussed it was discovered that this was unworkable because it would require inter-creditor agreements. So a different concept structure was explored which would </w:t>
      </w:r>
      <w:r w:rsidR="00B835A6">
        <w:rPr>
          <w:rFonts w:ascii="Arial" w:hAnsi="Arial" w:cs="Arial"/>
          <w:lang w:val="en-GB"/>
        </w:rPr>
        <w:t xml:space="preserve">ultimately </w:t>
      </w:r>
      <w:r w:rsidR="00FF4217" w:rsidRPr="009A6FA7">
        <w:rPr>
          <w:rFonts w:ascii="Arial" w:hAnsi="Arial" w:cs="Arial"/>
          <w:lang w:val="en-GB"/>
        </w:rPr>
        <w:t xml:space="preserve">achieve the </w:t>
      </w:r>
      <w:r w:rsidR="004D64F7">
        <w:rPr>
          <w:rFonts w:ascii="Arial" w:hAnsi="Arial" w:cs="Arial"/>
          <w:lang w:val="en-GB"/>
        </w:rPr>
        <w:t xml:space="preserve">same </w:t>
      </w:r>
      <w:r w:rsidR="00FF4217" w:rsidRPr="009A6FA7">
        <w:rPr>
          <w:rFonts w:ascii="Arial" w:hAnsi="Arial" w:cs="Arial"/>
          <w:lang w:val="en-GB"/>
        </w:rPr>
        <w:t xml:space="preserve">end of the acquisition of shares and assets. </w:t>
      </w:r>
      <w:r w:rsidR="00FF4217" w:rsidRPr="009A6FA7">
        <w:rPr>
          <w:rFonts w:ascii="Arial" w:hAnsi="Arial" w:cs="Arial"/>
        </w:rPr>
        <w:t xml:space="preserve">It </w:t>
      </w:r>
      <w:r w:rsidR="00FF4217" w:rsidRPr="009A6FA7">
        <w:rPr>
          <w:rFonts w:ascii="Arial" w:hAnsi="Arial" w:cs="Arial"/>
          <w:lang w:val="en-GB"/>
        </w:rPr>
        <w:t>was thus agreed simply to split the transaction into two a</w:t>
      </w:r>
      <w:r w:rsidR="00FF4217">
        <w:rPr>
          <w:rFonts w:ascii="Arial" w:hAnsi="Arial" w:cs="Arial"/>
          <w:lang w:val="en-GB"/>
        </w:rPr>
        <w:t xml:space="preserve">nd pay a large amount up </w:t>
      </w:r>
      <w:r w:rsidR="00FF4217">
        <w:rPr>
          <w:rFonts w:ascii="Arial" w:hAnsi="Arial" w:cs="Arial"/>
          <w:lang w:val="en-GB"/>
        </w:rPr>
        <w:lastRenderedPageBreak/>
        <w:t>front</w:t>
      </w:r>
      <w:r w:rsidR="00FF4217" w:rsidRPr="009A6FA7">
        <w:rPr>
          <w:rFonts w:ascii="Arial" w:hAnsi="Arial" w:cs="Arial"/>
          <w:lang w:val="en-GB"/>
        </w:rPr>
        <w:t xml:space="preserve"> </w:t>
      </w:r>
      <w:r w:rsidR="004D64F7">
        <w:rPr>
          <w:rFonts w:ascii="Arial" w:hAnsi="Arial" w:cs="Arial"/>
          <w:lang w:val="en-GB"/>
        </w:rPr>
        <w:t>(</w:t>
      </w:r>
      <w:r w:rsidR="00FF4217" w:rsidRPr="009A6FA7">
        <w:rPr>
          <w:rFonts w:ascii="Arial" w:hAnsi="Arial" w:cs="Arial"/>
          <w:lang w:val="en-GB"/>
        </w:rPr>
        <w:t>reflected as being for the plant) and the rest (reflected as being for the shares) later</w:t>
      </w:r>
      <w:r w:rsidR="004D64F7">
        <w:rPr>
          <w:rFonts w:ascii="Arial" w:hAnsi="Arial" w:cs="Arial"/>
          <w:lang w:val="en-GB"/>
        </w:rPr>
        <w:t xml:space="preserve"> when the necessary section 11 approval was obtained</w:t>
      </w:r>
      <w:r w:rsidR="00FF4217" w:rsidRPr="009A6FA7">
        <w:rPr>
          <w:rFonts w:ascii="Arial" w:hAnsi="Arial" w:cs="Arial"/>
          <w:lang w:val="en-GB"/>
        </w:rPr>
        <w:t>. This was ultimately the structure adopted in the signed term sheet of 6 September 2017</w:t>
      </w:r>
      <w:r w:rsidR="006E232D">
        <w:rPr>
          <w:rFonts w:ascii="Arial" w:hAnsi="Arial" w:cs="Arial"/>
          <w:lang w:val="en-GB"/>
        </w:rPr>
        <w:t>.</w:t>
      </w:r>
    </w:p>
    <w:p w14:paraId="48A12167" w14:textId="77777777" w:rsidR="009A6FA7" w:rsidRPr="009A6FA7" w:rsidRDefault="009A6FA7" w:rsidP="009A6FA7">
      <w:pPr>
        <w:pStyle w:val="ListParagraph"/>
        <w:rPr>
          <w:rFonts w:ascii="Arial" w:hAnsi="Arial" w:cs="Arial"/>
          <w:lang w:val="en-GB"/>
        </w:rPr>
      </w:pPr>
    </w:p>
    <w:p w14:paraId="2E49F29B" w14:textId="7500EBB5" w:rsidR="009A6FA7" w:rsidRDefault="00031578" w:rsidP="006515A9">
      <w:pPr>
        <w:pStyle w:val="ListParagraph"/>
        <w:numPr>
          <w:ilvl w:val="0"/>
          <w:numId w:val="2"/>
        </w:numPr>
        <w:spacing w:line="360" w:lineRule="auto"/>
        <w:ind w:left="0" w:firstLine="0"/>
        <w:jc w:val="both"/>
        <w:rPr>
          <w:rFonts w:ascii="Arial" w:hAnsi="Arial" w:cs="Arial"/>
          <w:lang w:val="en-GB"/>
        </w:rPr>
      </w:pPr>
      <w:r w:rsidRPr="00A231CD">
        <w:rPr>
          <w:rFonts w:ascii="Arial" w:hAnsi="Arial" w:cs="Arial"/>
          <w:lang w:val="en-GB"/>
        </w:rPr>
        <w:t xml:space="preserve">Mr Hallam testified that the </w:t>
      </w:r>
      <w:r w:rsidR="00FF4217" w:rsidRPr="00A231CD">
        <w:rPr>
          <w:rFonts w:ascii="Arial" w:hAnsi="Arial" w:cs="Arial"/>
          <w:lang w:val="en-GB"/>
        </w:rPr>
        <w:t xml:space="preserve">price negotiated for Maseve was US$ 70 million. </w:t>
      </w:r>
      <w:r w:rsidR="008D77EC" w:rsidRPr="00A231CD">
        <w:rPr>
          <w:rFonts w:ascii="Arial" w:hAnsi="Arial" w:cs="Arial"/>
          <w:lang w:val="en-GB"/>
        </w:rPr>
        <w:t xml:space="preserve">Initially the plant transaction price was reflected at US$ 60 million and the share transaction consideration was pegged at US$10 million. </w:t>
      </w:r>
      <w:r w:rsidR="00A231CD">
        <w:rPr>
          <w:rFonts w:ascii="Arial" w:hAnsi="Arial" w:cs="Arial"/>
          <w:lang w:val="en-GB"/>
        </w:rPr>
        <w:t xml:space="preserve">This split later changed to </w:t>
      </w:r>
      <w:r w:rsidR="00B04FDD">
        <w:rPr>
          <w:rFonts w:ascii="Arial" w:hAnsi="Arial" w:cs="Arial"/>
          <w:lang w:val="en-GB"/>
        </w:rPr>
        <w:t xml:space="preserve">a </w:t>
      </w:r>
      <w:r w:rsidR="00A231CD">
        <w:rPr>
          <w:rFonts w:ascii="Arial" w:hAnsi="Arial" w:cs="Arial"/>
          <w:lang w:val="en-GB"/>
        </w:rPr>
        <w:t>US$ 58 million / US$ 12 million</w:t>
      </w:r>
      <w:r w:rsidR="00B04FDD">
        <w:rPr>
          <w:rFonts w:ascii="Arial" w:hAnsi="Arial" w:cs="Arial"/>
          <w:lang w:val="en-GB"/>
        </w:rPr>
        <w:t xml:space="preserve"> split.</w:t>
      </w:r>
    </w:p>
    <w:p w14:paraId="635C4D29" w14:textId="77777777" w:rsidR="00A231CD" w:rsidRPr="00A231CD" w:rsidRDefault="00A231CD" w:rsidP="00A231CD">
      <w:pPr>
        <w:pStyle w:val="ListParagraph"/>
        <w:rPr>
          <w:rFonts w:ascii="Arial" w:hAnsi="Arial" w:cs="Arial"/>
          <w:lang w:val="en-GB"/>
        </w:rPr>
      </w:pPr>
    </w:p>
    <w:p w14:paraId="4F17E941" w14:textId="77777777" w:rsidR="00A231CD" w:rsidRPr="00A231CD" w:rsidRDefault="00A231CD" w:rsidP="00A231CD">
      <w:pPr>
        <w:pStyle w:val="ListParagraph"/>
        <w:spacing w:line="360" w:lineRule="auto"/>
        <w:ind w:left="0"/>
        <w:jc w:val="both"/>
        <w:rPr>
          <w:rFonts w:ascii="Arial" w:hAnsi="Arial" w:cs="Arial"/>
          <w:lang w:val="en-GB"/>
        </w:rPr>
      </w:pPr>
    </w:p>
    <w:p w14:paraId="54B6CA8F" w14:textId="7EFCE309" w:rsidR="009A6FA7" w:rsidRPr="009A6FA7" w:rsidRDefault="00C624DD"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The structure meant that</w:t>
      </w:r>
      <w:r w:rsidR="008D77EC" w:rsidRPr="009A6FA7">
        <w:rPr>
          <w:rFonts w:ascii="Arial" w:hAnsi="Arial" w:cs="Arial"/>
          <w:lang w:val="en-GB"/>
        </w:rPr>
        <w:t xml:space="preserve"> Maseve would get the cash purchase price attributed to its assets ($58 million), and pass it on to PTM in repayment of shareholder loans</w:t>
      </w:r>
      <w:r>
        <w:rPr>
          <w:rFonts w:ascii="Arial" w:hAnsi="Arial" w:cs="Arial"/>
          <w:lang w:val="en-GB"/>
        </w:rPr>
        <w:t xml:space="preserve"> </w:t>
      </w:r>
      <w:r w:rsidR="008D77EC" w:rsidRPr="009A6FA7">
        <w:rPr>
          <w:rFonts w:ascii="Arial" w:hAnsi="Arial" w:cs="Arial"/>
          <w:lang w:val="en-GB"/>
        </w:rPr>
        <w:t>and RB</w:t>
      </w:r>
      <w:r w:rsidR="00713DDD">
        <w:rPr>
          <w:rFonts w:ascii="Arial" w:hAnsi="Arial" w:cs="Arial"/>
          <w:lang w:val="en-GB"/>
        </w:rPr>
        <w:t xml:space="preserve"> </w:t>
      </w:r>
      <w:r w:rsidR="008D77EC" w:rsidRPr="009A6FA7">
        <w:rPr>
          <w:rFonts w:ascii="Arial" w:hAnsi="Arial" w:cs="Arial"/>
          <w:lang w:val="en-GB"/>
        </w:rPr>
        <w:t>Plat</w:t>
      </w:r>
      <w:r w:rsidR="00713DDD">
        <w:rPr>
          <w:rFonts w:ascii="Arial" w:hAnsi="Arial" w:cs="Arial"/>
          <w:lang w:val="en-GB"/>
        </w:rPr>
        <w:t>inum</w:t>
      </w:r>
      <w:r w:rsidR="008D77EC" w:rsidRPr="009A6FA7">
        <w:rPr>
          <w:rFonts w:ascii="Arial" w:hAnsi="Arial" w:cs="Arial"/>
          <w:lang w:val="en-GB"/>
        </w:rPr>
        <w:t xml:space="preserve">, through </w:t>
      </w:r>
      <w:r w:rsidR="00110D52">
        <w:rPr>
          <w:rFonts w:ascii="Arial" w:hAnsi="Arial" w:cs="Arial"/>
          <w:lang w:val="en-GB"/>
        </w:rPr>
        <w:t xml:space="preserve">RB </w:t>
      </w:r>
      <w:r w:rsidR="008D77EC" w:rsidRPr="009A6FA7">
        <w:rPr>
          <w:rFonts w:ascii="Arial" w:hAnsi="Arial" w:cs="Arial"/>
          <w:lang w:val="en-GB"/>
        </w:rPr>
        <w:t>Resources, obtained the concentrator plant which it could immediately start using for its normal processing requirements.</w:t>
      </w:r>
    </w:p>
    <w:p w14:paraId="64B1883F" w14:textId="77777777" w:rsidR="009A6FA7" w:rsidRPr="009A6FA7" w:rsidRDefault="009A6FA7" w:rsidP="009A6FA7">
      <w:pPr>
        <w:pStyle w:val="ListParagraph"/>
        <w:rPr>
          <w:rFonts w:ascii="Arial" w:hAnsi="Arial" w:cs="Arial"/>
          <w:lang w:val="en-GB"/>
        </w:rPr>
      </w:pPr>
    </w:p>
    <w:p w14:paraId="500D303C" w14:textId="077F2A36" w:rsidR="003360E0" w:rsidRPr="003360E0" w:rsidRDefault="00192CFA"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 xml:space="preserve">Mr </w:t>
      </w:r>
      <w:r w:rsidR="00AF21B1">
        <w:rPr>
          <w:rFonts w:ascii="Arial" w:hAnsi="Arial" w:cs="Arial"/>
          <w:lang w:val="en-GB"/>
        </w:rPr>
        <w:t xml:space="preserve">Nicholas Stevenson who was called by </w:t>
      </w:r>
      <w:r w:rsidR="0018011D">
        <w:rPr>
          <w:rFonts w:ascii="Arial" w:hAnsi="Arial" w:cs="Arial"/>
          <w:lang w:val="en-GB"/>
        </w:rPr>
        <w:t>the second to fourth defendants</w:t>
      </w:r>
      <w:r w:rsidR="00AF21B1">
        <w:rPr>
          <w:rFonts w:ascii="Arial" w:hAnsi="Arial" w:cs="Arial"/>
          <w:lang w:val="en-GB"/>
        </w:rPr>
        <w:t>. Mr Stevenson is</w:t>
      </w:r>
      <w:r w:rsidRPr="00192CFA">
        <w:rPr>
          <w:rFonts w:ascii="Arial" w:hAnsi="Arial" w:cs="Arial"/>
          <w:lang w:val="en-GB"/>
        </w:rPr>
        <w:t xml:space="preserve"> a director of Questco (Pty) Ltd, a corporate advisory firm and</w:t>
      </w:r>
      <w:r w:rsidR="00AF21B1">
        <w:rPr>
          <w:rFonts w:ascii="Arial" w:hAnsi="Arial" w:cs="Arial"/>
          <w:lang w:val="en-GB"/>
        </w:rPr>
        <w:t xml:space="preserve"> he has</w:t>
      </w:r>
      <w:r w:rsidRPr="00192CFA">
        <w:rPr>
          <w:rFonts w:ascii="Arial" w:hAnsi="Arial" w:cs="Arial"/>
          <w:lang w:val="en-GB"/>
        </w:rPr>
        <w:t xml:space="preserve"> been a corporate advisor to </w:t>
      </w:r>
      <w:r w:rsidR="00AF21B1">
        <w:rPr>
          <w:rFonts w:ascii="Arial" w:hAnsi="Arial" w:cs="Arial"/>
          <w:lang w:val="en-GB"/>
        </w:rPr>
        <w:t>RB Platinum</w:t>
      </w:r>
      <w:r w:rsidRPr="00192CFA">
        <w:rPr>
          <w:rFonts w:ascii="Arial" w:hAnsi="Arial" w:cs="Arial"/>
          <w:lang w:val="en-GB"/>
        </w:rPr>
        <w:t xml:space="preserve"> for</w:t>
      </w:r>
      <w:r w:rsidR="00CF238F">
        <w:rPr>
          <w:rFonts w:ascii="Arial" w:hAnsi="Arial" w:cs="Arial"/>
          <w:lang w:val="en-GB"/>
        </w:rPr>
        <w:t xml:space="preserve"> in excess of</w:t>
      </w:r>
      <w:r w:rsidRPr="00192CFA">
        <w:rPr>
          <w:rFonts w:ascii="Arial" w:hAnsi="Arial" w:cs="Arial"/>
          <w:lang w:val="en-GB"/>
        </w:rPr>
        <w:t xml:space="preserve"> </w:t>
      </w:r>
      <w:r w:rsidR="0018011D">
        <w:rPr>
          <w:rFonts w:ascii="Arial" w:hAnsi="Arial" w:cs="Arial"/>
          <w:lang w:val="en-GB"/>
        </w:rPr>
        <w:t>ten years. He</w:t>
      </w:r>
      <w:r w:rsidR="00CF238F">
        <w:rPr>
          <w:rFonts w:ascii="Arial" w:hAnsi="Arial" w:cs="Arial"/>
          <w:lang w:val="en-GB"/>
        </w:rPr>
        <w:t xml:space="preserve"> advised </w:t>
      </w:r>
      <w:r w:rsidR="007B7F1E">
        <w:rPr>
          <w:rFonts w:ascii="Arial" w:hAnsi="Arial" w:cs="Arial"/>
          <w:lang w:val="en-GB"/>
        </w:rPr>
        <w:t>on the</w:t>
      </w:r>
      <w:r w:rsidRPr="00192CFA">
        <w:rPr>
          <w:rFonts w:ascii="Arial" w:hAnsi="Arial" w:cs="Arial"/>
          <w:lang w:val="en-GB"/>
        </w:rPr>
        <w:t xml:space="preserve"> </w:t>
      </w:r>
      <w:r w:rsidR="007B7F1E">
        <w:rPr>
          <w:rFonts w:ascii="Arial" w:hAnsi="Arial" w:cs="Arial"/>
          <w:lang w:val="en-GB"/>
        </w:rPr>
        <w:t>t</w:t>
      </w:r>
      <w:r w:rsidRPr="00192CFA">
        <w:rPr>
          <w:rFonts w:ascii="Arial" w:hAnsi="Arial" w:cs="Arial"/>
          <w:lang w:val="en-GB"/>
        </w:rPr>
        <w:t xml:space="preserve">ransaction </w:t>
      </w:r>
      <w:r w:rsidR="007B7F1E">
        <w:rPr>
          <w:rFonts w:ascii="Arial" w:hAnsi="Arial" w:cs="Arial"/>
          <w:lang w:val="en-GB"/>
        </w:rPr>
        <w:t>in issue.</w:t>
      </w:r>
      <w:r w:rsidR="003360E0">
        <w:rPr>
          <w:rFonts w:ascii="Arial" w:hAnsi="Arial" w:cs="Arial"/>
          <w:lang w:val="en-GB"/>
        </w:rPr>
        <w:t xml:space="preserve"> He</w:t>
      </w:r>
      <w:r w:rsidR="00CF238F">
        <w:rPr>
          <w:rFonts w:ascii="Arial" w:hAnsi="Arial" w:cs="Arial"/>
          <w:lang w:val="en-GB"/>
        </w:rPr>
        <w:t xml:space="preserve"> also</w:t>
      </w:r>
      <w:r w:rsidR="003360E0">
        <w:rPr>
          <w:rFonts w:ascii="Arial" w:hAnsi="Arial" w:cs="Arial"/>
          <w:lang w:val="en-GB"/>
        </w:rPr>
        <w:t xml:space="preserve"> testified to the evolution of the transaction from share purchase to split transaction and </w:t>
      </w:r>
      <w:r w:rsidR="00CF238F">
        <w:rPr>
          <w:rFonts w:ascii="Arial" w:hAnsi="Arial" w:cs="Arial"/>
          <w:lang w:val="en-GB"/>
        </w:rPr>
        <w:t>his evidence</w:t>
      </w:r>
      <w:r w:rsidR="003360E0">
        <w:rPr>
          <w:rFonts w:ascii="Arial" w:hAnsi="Arial" w:cs="Arial"/>
          <w:lang w:val="en-GB"/>
        </w:rPr>
        <w:t xml:space="preserve"> accorded with th</w:t>
      </w:r>
      <w:r w:rsidR="00CF238F">
        <w:rPr>
          <w:rFonts w:ascii="Arial" w:hAnsi="Arial" w:cs="Arial"/>
          <w:lang w:val="en-GB"/>
        </w:rPr>
        <w:t>at</w:t>
      </w:r>
      <w:r w:rsidR="003360E0">
        <w:rPr>
          <w:rFonts w:ascii="Arial" w:hAnsi="Arial" w:cs="Arial"/>
          <w:lang w:val="en-GB"/>
        </w:rPr>
        <w:t xml:space="preserve"> of Mr Hallam</w:t>
      </w:r>
      <w:r w:rsidR="005B6063">
        <w:rPr>
          <w:rFonts w:ascii="Arial" w:hAnsi="Arial" w:cs="Arial"/>
          <w:lang w:val="en-GB"/>
        </w:rPr>
        <w:t xml:space="preserve"> in all material respects</w:t>
      </w:r>
      <w:r w:rsidR="003360E0">
        <w:rPr>
          <w:rFonts w:ascii="Arial" w:hAnsi="Arial" w:cs="Arial"/>
          <w:lang w:val="en-GB"/>
        </w:rPr>
        <w:t>.</w:t>
      </w:r>
    </w:p>
    <w:p w14:paraId="25003E32" w14:textId="77777777" w:rsidR="003360E0" w:rsidRPr="003360E0" w:rsidRDefault="003360E0" w:rsidP="003360E0">
      <w:pPr>
        <w:pStyle w:val="ListParagraph"/>
        <w:rPr>
          <w:rFonts w:ascii="Arial" w:hAnsi="Arial" w:cs="Arial"/>
          <w:lang w:val="en-GB"/>
        </w:rPr>
      </w:pPr>
    </w:p>
    <w:p w14:paraId="24A6745C" w14:textId="0DB023E1" w:rsidR="009A6FA7" w:rsidRPr="00236139" w:rsidRDefault="008D77EC" w:rsidP="008D77EC">
      <w:pPr>
        <w:pStyle w:val="ListParagraph"/>
        <w:numPr>
          <w:ilvl w:val="0"/>
          <w:numId w:val="2"/>
        </w:numPr>
        <w:spacing w:line="360" w:lineRule="auto"/>
        <w:ind w:left="0" w:firstLine="0"/>
        <w:jc w:val="both"/>
        <w:rPr>
          <w:rFonts w:ascii="Arial" w:hAnsi="Arial" w:cs="Arial"/>
        </w:rPr>
      </w:pPr>
      <w:r w:rsidRPr="009A6FA7">
        <w:rPr>
          <w:rFonts w:ascii="Arial" w:hAnsi="Arial" w:cs="Arial"/>
          <w:lang w:val="en-GB"/>
        </w:rPr>
        <w:t xml:space="preserve"> Significantly</w:t>
      </w:r>
      <w:r w:rsidR="003360E0">
        <w:rPr>
          <w:rFonts w:ascii="Arial" w:hAnsi="Arial" w:cs="Arial"/>
          <w:lang w:val="en-GB"/>
        </w:rPr>
        <w:t xml:space="preserve"> then</w:t>
      </w:r>
      <w:r w:rsidR="00331EC9">
        <w:rPr>
          <w:rFonts w:ascii="Arial" w:hAnsi="Arial" w:cs="Arial"/>
          <w:lang w:val="en-GB"/>
        </w:rPr>
        <w:t>,</w:t>
      </w:r>
      <w:r w:rsidRPr="009A6FA7">
        <w:rPr>
          <w:rFonts w:ascii="Arial" w:hAnsi="Arial" w:cs="Arial"/>
          <w:lang w:val="en-GB"/>
        </w:rPr>
        <w:t xml:space="preserve"> the evidence redounds to the conclusion</w:t>
      </w:r>
      <w:r w:rsidR="00490605">
        <w:rPr>
          <w:rFonts w:ascii="Arial" w:hAnsi="Arial" w:cs="Arial"/>
          <w:lang w:val="en-GB"/>
        </w:rPr>
        <w:t xml:space="preserve"> that the</w:t>
      </w:r>
      <w:r w:rsidRPr="009A6FA7">
        <w:rPr>
          <w:rFonts w:ascii="Arial" w:hAnsi="Arial" w:cs="Arial"/>
          <w:lang w:val="en-GB"/>
        </w:rPr>
        <w:t xml:space="preserve"> purchase price was </w:t>
      </w:r>
      <w:r w:rsidR="008F0FAE">
        <w:rPr>
          <w:rFonts w:ascii="Arial" w:hAnsi="Arial" w:cs="Arial"/>
          <w:lang w:val="en-GB"/>
        </w:rPr>
        <w:t xml:space="preserve">actually a price </w:t>
      </w:r>
      <w:r w:rsidRPr="009A6FA7">
        <w:rPr>
          <w:rFonts w:ascii="Arial" w:hAnsi="Arial" w:cs="Arial"/>
          <w:lang w:val="en-GB"/>
        </w:rPr>
        <w:t xml:space="preserve">agreed for the shares. The split between shares and </w:t>
      </w:r>
      <w:r w:rsidR="008F0FAE">
        <w:rPr>
          <w:rFonts w:ascii="Arial" w:hAnsi="Arial" w:cs="Arial"/>
          <w:lang w:val="en-GB"/>
        </w:rPr>
        <w:t>plant</w:t>
      </w:r>
      <w:r w:rsidRPr="009A6FA7">
        <w:rPr>
          <w:rFonts w:ascii="Arial" w:hAnsi="Arial" w:cs="Arial"/>
          <w:lang w:val="en-GB"/>
        </w:rPr>
        <w:t xml:space="preserve"> was not based on true value but on a</w:t>
      </w:r>
      <w:r w:rsidR="008F0FAE">
        <w:rPr>
          <w:rFonts w:ascii="Arial" w:hAnsi="Arial" w:cs="Arial"/>
          <w:lang w:val="en-GB"/>
        </w:rPr>
        <w:t xml:space="preserve"> fictional</w:t>
      </w:r>
      <w:r w:rsidRPr="009A6FA7">
        <w:rPr>
          <w:rFonts w:ascii="Arial" w:hAnsi="Arial" w:cs="Arial"/>
          <w:lang w:val="en-GB"/>
        </w:rPr>
        <w:t xml:space="preserve"> apportionment of the purchase consideratio</w:t>
      </w:r>
      <w:r w:rsidR="006C2A23">
        <w:rPr>
          <w:rFonts w:ascii="Arial" w:hAnsi="Arial" w:cs="Arial"/>
          <w:lang w:val="en-GB"/>
        </w:rPr>
        <w:t>n</w:t>
      </w:r>
      <w:r w:rsidR="00ED0482">
        <w:rPr>
          <w:rFonts w:ascii="Arial" w:hAnsi="Arial" w:cs="Arial"/>
          <w:lang w:val="en-GB"/>
        </w:rPr>
        <w:t xml:space="preserve"> for the shares</w:t>
      </w:r>
      <w:r w:rsidRPr="009A6FA7">
        <w:rPr>
          <w:rFonts w:ascii="Arial" w:hAnsi="Arial" w:cs="Arial"/>
          <w:lang w:val="en-GB"/>
        </w:rPr>
        <w:t>. Mr Hallam testified that his object</w:t>
      </w:r>
      <w:r w:rsidR="00F432F3">
        <w:rPr>
          <w:rFonts w:ascii="Arial" w:hAnsi="Arial" w:cs="Arial"/>
          <w:lang w:val="en-GB"/>
        </w:rPr>
        <w:t>ive</w:t>
      </w:r>
      <w:r w:rsidRPr="009A6FA7">
        <w:rPr>
          <w:rFonts w:ascii="Arial" w:hAnsi="Arial" w:cs="Arial"/>
          <w:lang w:val="en-GB"/>
        </w:rPr>
        <w:t xml:space="preserve"> was</w:t>
      </w:r>
      <w:r w:rsidR="00F432F3">
        <w:rPr>
          <w:rFonts w:ascii="Arial" w:hAnsi="Arial" w:cs="Arial"/>
          <w:lang w:val="en-GB"/>
        </w:rPr>
        <w:t xml:space="preserve"> to negotiate for as</w:t>
      </w:r>
      <w:r w:rsidRPr="009A6FA7">
        <w:rPr>
          <w:rFonts w:ascii="Arial" w:hAnsi="Arial" w:cs="Arial"/>
          <w:lang w:val="en-GB"/>
        </w:rPr>
        <w:t xml:space="preserve"> much money up front</w:t>
      </w:r>
      <w:r w:rsidR="00F432F3">
        <w:rPr>
          <w:rFonts w:ascii="Arial" w:hAnsi="Arial" w:cs="Arial"/>
          <w:lang w:val="en-GB"/>
        </w:rPr>
        <w:t xml:space="preserve"> as possible</w:t>
      </w:r>
      <w:r w:rsidRPr="009A6FA7">
        <w:rPr>
          <w:rFonts w:ascii="Arial" w:hAnsi="Arial" w:cs="Arial"/>
          <w:lang w:val="en-GB"/>
        </w:rPr>
        <w:t>.</w:t>
      </w:r>
    </w:p>
    <w:p w14:paraId="3477AFA6" w14:textId="77777777" w:rsidR="00236139" w:rsidRPr="00236139" w:rsidRDefault="00236139" w:rsidP="00236139">
      <w:pPr>
        <w:pStyle w:val="ListParagraph"/>
        <w:rPr>
          <w:rFonts w:ascii="Arial" w:hAnsi="Arial" w:cs="Arial"/>
        </w:rPr>
      </w:pPr>
    </w:p>
    <w:p w14:paraId="457BABB9" w14:textId="1862CFCA" w:rsidR="00236139" w:rsidRPr="00EE25CC" w:rsidRDefault="00236139" w:rsidP="00236139">
      <w:pPr>
        <w:pStyle w:val="ListParagraph"/>
        <w:numPr>
          <w:ilvl w:val="0"/>
          <w:numId w:val="2"/>
        </w:numPr>
        <w:spacing w:line="360" w:lineRule="auto"/>
        <w:ind w:left="0" w:firstLine="0"/>
        <w:jc w:val="both"/>
        <w:rPr>
          <w:rFonts w:ascii="Arial" w:hAnsi="Arial" w:cs="Arial"/>
        </w:rPr>
      </w:pPr>
      <w:r>
        <w:rPr>
          <w:rFonts w:ascii="Arial" w:hAnsi="Arial" w:cs="Arial"/>
          <w:lang w:val="en-GB"/>
        </w:rPr>
        <w:t>O</w:t>
      </w:r>
      <w:r w:rsidRPr="006F2E26">
        <w:rPr>
          <w:rFonts w:ascii="Arial" w:hAnsi="Arial" w:cs="Arial"/>
          <w:lang w:val="en-GB"/>
        </w:rPr>
        <w:t>n 6 September 2017 PTM and RB</w:t>
      </w:r>
      <w:r>
        <w:rPr>
          <w:rFonts w:ascii="Arial" w:hAnsi="Arial" w:cs="Arial"/>
          <w:lang w:val="en-GB"/>
        </w:rPr>
        <w:t xml:space="preserve"> </w:t>
      </w:r>
      <w:r w:rsidRPr="006F2E26">
        <w:rPr>
          <w:rFonts w:ascii="Arial" w:hAnsi="Arial" w:cs="Arial"/>
          <w:lang w:val="en-GB"/>
        </w:rPr>
        <w:t>P</w:t>
      </w:r>
      <w:r>
        <w:rPr>
          <w:rFonts w:ascii="Arial" w:hAnsi="Arial" w:cs="Arial"/>
          <w:lang w:val="en-GB"/>
        </w:rPr>
        <w:t>latinum</w:t>
      </w:r>
      <w:r w:rsidRPr="006F2E26">
        <w:rPr>
          <w:rFonts w:ascii="Arial" w:hAnsi="Arial" w:cs="Arial"/>
          <w:lang w:val="en-GB"/>
        </w:rPr>
        <w:t xml:space="preserve"> signed </w:t>
      </w:r>
      <w:r w:rsidR="00655A3C">
        <w:rPr>
          <w:rFonts w:ascii="Arial" w:hAnsi="Arial" w:cs="Arial"/>
          <w:lang w:val="en-GB"/>
        </w:rPr>
        <w:t>the</w:t>
      </w:r>
      <w:r w:rsidR="00655A3C" w:rsidRPr="006F2E26">
        <w:rPr>
          <w:rFonts w:ascii="Arial" w:hAnsi="Arial" w:cs="Arial"/>
          <w:lang w:val="en-GB"/>
        </w:rPr>
        <w:t xml:space="preserve"> </w:t>
      </w:r>
      <w:r w:rsidR="00655A3C">
        <w:rPr>
          <w:rFonts w:ascii="Arial" w:hAnsi="Arial" w:cs="Arial"/>
          <w:lang w:val="en-GB"/>
        </w:rPr>
        <w:t>final</w:t>
      </w:r>
      <w:r>
        <w:rPr>
          <w:rFonts w:ascii="Arial" w:hAnsi="Arial" w:cs="Arial"/>
          <w:lang w:val="en-GB"/>
        </w:rPr>
        <w:t xml:space="preserve"> </w:t>
      </w:r>
      <w:r w:rsidRPr="006F2E26">
        <w:rPr>
          <w:rFonts w:ascii="Arial" w:hAnsi="Arial" w:cs="Arial"/>
          <w:lang w:val="en-GB"/>
        </w:rPr>
        <w:t>term sheet which outlined the proposed transaction</w:t>
      </w:r>
      <w:r>
        <w:rPr>
          <w:rFonts w:ascii="Arial" w:hAnsi="Arial" w:cs="Arial"/>
          <w:lang w:val="en-GB"/>
        </w:rPr>
        <w:t>s and how they interrelated</w:t>
      </w:r>
      <w:r w:rsidRPr="006F2E26">
        <w:rPr>
          <w:rFonts w:ascii="Arial" w:hAnsi="Arial" w:cs="Arial"/>
          <w:lang w:val="en-GB"/>
        </w:rPr>
        <w:t xml:space="preserve">. </w:t>
      </w:r>
    </w:p>
    <w:p w14:paraId="2EFA7090" w14:textId="77777777" w:rsidR="009A6FA7" w:rsidRPr="009A6FA7" w:rsidRDefault="009A6FA7" w:rsidP="009A6FA7">
      <w:pPr>
        <w:pStyle w:val="ListParagraph"/>
        <w:rPr>
          <w:rFonts w:ascii="Arial" w:hAnsi="Arial" w:cs="Arial"/>
          <w:lang w:val="en-GB"/>
        </w:rPr>
      </w:pPr>
    </w:p>
    <w:p w14:paraId="180B4963" w14:textId="705EC4FE" w:rsidR="009A6FA7" w:rsidRPr="009A6FA7" w:rsidRDefault="009A6FA7"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 xml:space="preserve"> Wesizwe and Jinchuan were</w:t>
      </w:r>
      <w:r w:rsidR="008D77EC" w:rsidRPr="009A6FA7">
        <w:rPr>
          <w:rFonts w:ascii="Arial" w:hAnsi="Arial" w:cs="Arial"/>
          <w:lang w:val="en-GB"/>
        </w:rPr>
        <w:t xml:space="preserve"> </w:t>
      </w:r>
      <w:r w:rsidR="00F432F3">
        <w:rPr>
          <w:rFonts w:ascii="Arial" w:hAnsi="Arial" w:cs="Arial"/>
          <w:lang w:val="en-GB"/>
        </w:rPr>
        <w:t xml:space="preserve">also </w:t>
      </w:r>
      <w:r w:rsidR="008D77EC" w:rsidRPr="009A6FA7">
        <w:rPr>
          <w:rFonts w:ascii="Arial" w:hAnsi="Arial" w:cs="Arial"/>
          <w:lang w:val="en-GB"/>
        </w:rPr>
        <w:t>participating in discussions</w:t>
      </w:r>
      <w:r w:rsidR="00F432F3">
        <w:rPr>
          <w:rFonts w:ascii="Arial" w:hAnsi="Arial" w:cs="Arial"/>
          <w:lang w:val="en-GB"/>
        </w:rPr>
        <w:t xml:space="preserve"> for the possible purchase of Maseve</w:t>
      </w:r>
      <w:r w:rsidR="008D77EC" w:rsidRPr="009A6FA7">
        <w:rPr>
          <w:rFonts w:ascii="Arial" w:hAnsi="Arial" w:cs="Arial"/>
          <w:lang w:val="en-GB"/>
        </w:rPr>
        <w:t xml:space="preserve">. They fully understood the urgent need for funds but were not taking the actions required. When it became clear that there was an attractive offer on the table </w:t>
      </w:r>
      <w:r w:rsidR="006C2A23">
        <w:rPr>
          <w:rFonts w:ascii="Arial" w:hAnsi="Arial" w:cs="Arial"/>
          <w:lang w:val="en-GB"/>
        </w:rPr>
        <w:t>from</w:t>
      </w:r>
      <w:r w:rsidR="008D77EC" w:rsidRPr="009A6FA7">
        <w:rPr>
          <w:rFonts w:ascii="Arial" w:hAnsi="Arial" w:cs="Arial"/>
          <w:lang w:val="en-GB"/>
        </w:rPr>
        <w:t xml:space="preserve"> the Royal Bafokeng, Wesiswe was galvanised to present its own offer. </w:t>
      </w:r>
      <w:r w:rsidR="00655A3C" w:rsidRPr="009A6FA7">
        <w:rPr>
          <w:rFonts w:ascii="Arial" w:hAnsi="Arial" w:cs="Arial"/>
          <w:lang w:val="en-GB"/>
        </w:rPr>
        <w:t>Thus,</w:t>
      </w:r>
      <w:r w:rsidR="008D77EC" w:rsidRPr="009A6FA7">
        <w:rPr>
          <w:rFonts w:ascii="Arial" w:hAnsi="Arial" w:cs="Arial"/>
          <w:lang w:val="en-GB"/>
        </w:rPr>
        <w:t xml:space="preserve"> there was competitive bidding between Wesizwe and Royal Bafokeng. Wesizwe </w:t>
      </w:r>
      <w:r w:rsidR="008D77EC" w:rsidRPr="009A6FA7">
        <w:rPr>
          <w:rFonts w:ascii="Arial" w:hAnsi="Arial" w:cs="Arial"/>
          <w:lang w:val="en-GB"/>
        </w:rPr>
        <w:lastRenderedPageBreak/>
        <w:t>was actively participating in the bidding</w:t>
      </w:r>
      <w:r w:rsidR="00217A14">
        <w:rPr>
          <w:rFonts w:ascii="Arial" w:hAnsi="Arial" w:cs="Arial"/>
          <w:lang w:val="en-GB"/>
        </w:rPr>
        <w:t xml:space="preserve"> and it was understood </w:t>
      </w:r>
      <w:r w:rsidR="00655A3C">
        <w:rPr>
          <w:rFonts w:ascii="Arial" w:hAnsi="Arial" w:cs="Arial"/>
          <w:lang w:val="en-GB"/>
        </w:rPr>
        <w:t xml:space="preserve">that </w:t>
      </w:r>
      <w:r w:rsidR="00655A3C" w:rsidRPr="009A6FA7">
        <w:rPr>
          <w:rFonts w:ascii="Arial" w:hAnsi="Arial" w:cs="Arial"/>
          <w:lang w:val="en-GB"/>
        </w:rPr>
        <w:t>any</w:t>
      </w:r>
      <w:r w:rsidR="008D77EC" w:rsidRPr="009A6FA7">
        <w:rPr>
          <w:rFonts w:ascii="Arial" w:hAnsi="Arial" w:cs="Arial"/>
          <w:lang w:val="en-GB"/>
        </w:rPr>
        <w:t xml:space="preserve"> proposed transaction was not aimed at a piecemeal disposal of </w:t>
      </w:r>
      <w:r w:rsidR="006C2A23">
        <w:rPr>
          <w:rFonts w:ascii="Arial" w:hAnsi="Arial" w:cs="Arial"/>
          <w:lang w:val="en-GB"/>
        </w:rPr>
        <w:t xml:space="preserve">some </w:t>
      </w:r>
      <w:r w:rsidR="008D77EC" w:rsidRPr="009A6FA7">
        <w:rPr>
          <w:rFonts w:ascii="Arial" w:hAnsi="Arial" w:cs="Arial"/>
          <w:lang w:val="en-GB"/>
        </w:rPr>
        <w:t>assets but at the acquisition of Maseve</w:t>
      </w:r>
      <w:r w:rsidR="006C2A23">
        <w:rPr>
          <w:rFonts w:ascii="Arial" w:hAnsi="Arial" w:cs="Arial"/>
          <w:lang w:val="en-GB"/>
        </w:rPr>
        <w:t xml:space="preserve"> in its entirety</w:t>
      </w:r>
      <w:r w:rsidR="008D77EC" w:rsidRPr="009A6FA7">
        <w:rPr>
          <w:rFonts w:ascii="Arial" w:hAnsi="Arial" w:cs="Arial"/>
          <w:lang w:val="en-GB"/>
        </w:rPr>
        <w:t xml:space="preserve">. </w:t>
      </w:r>
      <w:r w:rsidR="00084FE8">
        <w:rPr>
          <w:rFonts w:ascii="Arial" w:hAnsi="Arial" w:cs="Arial"/>
          <w:lang w:val="en-GB"/>
        </w:rPr>
        <w:t xml:space="preserve">This emerges </w:t>
      </w:r>
      <w:r w:rsidR="00217A14">
        <w:rPr>
          <w:rFonts w:ascii="Arial" w:hAnsi="Arial" w:cs="Arial"/>
          <w:lang w:val="en-GB"/>
        </w:rPr>
        <w:t xml:space="preserve">clearly </w:t>
      </w:r>
      <w:r w:rsidR="00084FE8">
        <w:rPr>
          <w:rFonts w:ascii="Arial" w:hAnsi="Arial" w:cs="Arial"/>
          <w:lang w:val="en-GB"/>
        </w:rPr>
        <w:t>from the evidence of Mr Hallam.</w:t>
      </w:r>
    </w:p>
    <w:p w14:paraId="0F525FA8" w14:textId="77777777" w:rsidR="009A6FA7" w:rsidRPr="009A6FA7" w:rsidRDefault="009A6FA7" w:rsidP="009A6FA7">
      <w:pPr>
        <w:pStyle w:val="ListParagraph"/>
        <w:rPr>
          <w:rFonts w:ascii="Arial" w:hAnsi="Arial" w:cs="Arial"/>
          <w:lang w:val="en-GB"/>
        </w:rPr>
      </w:pPr>
    </w:p>
    <w:p w14:paraId="23B256D2" w14:textId="48E22219" w:rsidR="009A6FA7" w:rsidRPr="009A6FA7" w:rsidRDefault="009A6FA7"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On 9 November 2017</w:t>
      </w:r>
      <w:r w:rsidR="005B0530">
        <w:rPr>
          <w:rFonts w:ascii="Arial" w:hAnsi="Arial" w:cs="Arial"/>
          <w:lang w:val="en-GB"/>
        </w:rPr>
        <w:t>,</w:t>
      </w:r>
      <w:r w:rsidR="008D77EC" w:rsidRPr="009A6FA7">
        <w:rPr>
          <w:rFonts w:ascii="Arial" w:hAnsi="Arial" w:cs="Arial"/>
          <w:lang w:val="en-GB"/>
        </w:rPr>
        <w:t xml:space="preserve"> a meeting of the Board of Maseve was held and offers </w:t>
      </w:r>
      <w:r w:rsidR="00655A3C" w:rsidRPr="009A6FA7">
        <w:rPr>
          <w:rFonts w:ascii="Arial" w:hAnsi="Arial" w:cs="Arial"/>
          <w:lang w:val="en-GB"/>
        </w:rPr>
        <w:t xml:space="preserve">from </w:t>
      </w:r>
      <w:r w:rsidR="00655A3C">
        <w:rPr>
          <w:rFonts w:ascii="Arial" w:hAnsi="Arial" w:cs="Arial"/>
          <w:lang w:val="en-GB"/>
        </w:rPr>
        <w:t>both</w:t>
      </w:r>
      <w:r w:rsidR="00217A14">
        <w:rPr>
          <w:rFonts w:ascii="Arial" w:hAnsi="Arial" w:cs="Arial"/>
          <w:lang w:val="en-GB"/>
        </w:rPr>
        <w:t xml:space="preserve"> </w:t>
      </w:r>
      <w:r w:rsidR="008D77EC" w:rsidRPr="009A6FA7">
        <w:rPr>
          <w:rFonts w:ascii="Arial" w:hAnsi="Arial" w:cs="Arial"/>
          <w:lang w:val="en-GB"/>
        </w:rPr>
        <w:t xml:space="preserve">Wesizwe and Royal Bafokeng were discussed. It was unanimously decided that the due to the high degree of uncertainty and conditionality of the Wesizwe offer the Board was unable responsibly to consider </w:t>
      </w:r>
      <w:r w:rsidR="00217A14">
        <w:rPr>
          <w:rFonts w:ascii="Arial" w:hAnsi="Arial" w:cs="Arial"/>
          <w:lang w:val="en-GB"/>
        </w:rPr>
        <w:t>it</w:t>
      </w:r>
      <w:r w:rsidR="008D77EC" w:rsidRPr="009A6FA7">
        <w:rPr>
          <w:rFonts w:ascii="Arial" w:hAnsi="Arial" w:cs="Arial"/>
          <w:lang w:val="en-GB"/>
        </w:rPr>
        <w:t>.</w:t>
      </w:r>
    </w:p>
    <w:p w14:paraId="07FAE75A" w14:textId="77777777" w:rsidR="009A6FA7" w:rsidRPr="009A6FA7" w:rsidRDefault="009A6FA7" w:rsidP="009A6FA7">
      <w:pPr>
        <w:pStyle w:val="ListParagraph"/>
        <w:rPr>
          <w:rFonts w:ascii="Arial" w:hAnsi="Arial" w:cs="Arial"/>
          <w:lang w:val="en-GB"/>
        </w:rPr>
      </w:pPr>
    </w:p>
    <w:p w14:paraId="54DCAF8E" w14:textId="77777777" w:rsidR="00084FE8" w:rsidRPr="00084FE8" w:rsidRDefault="008D77EC" w:rsidP="008D77EC">
      <w:pPr>
        <w:pStyle w:val="ListParagraph"/>
        <w:numPr>
          <w:ilvl w:val="0"/>
          <w:numId w:val="2"/>
        </w:numPr>
        <w:spacing w:line="360" w:lineRule="auto"/>
        <w:ind w:left="0" w:firstLine="0"/>
        <w:jc w:val="both"/>
        <w:rPr>
          <w:rFonts w:ascii="Arial" w:hAnsi="Arial" w:cs="Arial"/>
        </w:rPr>
      </w:pPr>
      <w:r w:rsidRPr="009A6FA7">
        <w:rPr>
          <w:rFonts w:ascii="Arial" w:hAnsi="Arial" w:cs="Arial"/>
          <w:lang w:val="en-GB"/>
        </w:rPr>
        <w:t>the following resolutions in relation to the R</w:t>
      </w:r>
      <w:r w:rsidR="00084FE8">
        <w:rPr>
          <w:rFonts w:ascii="Arial" w:hAnsi="Arial" w:cs="Arial"/>
          <w:lang w:val="en-GB"/>
        </w:rPr>
        <w:t>oyal Bafokeng</w:t>
      </w:r>
      <w:r w:rsidRPr="009A6FA7">
        <w:rPr>
          <w:rFonts w:ascii="Arial" w:hAnsi="Arial" w:cs="Arial"/>
          <w:lang w:val="en-GB"/>
        </w:rPr>
        <w:t xml:space="preserve"> offer were </w:t>
      </w:r>
      <w:r w:rsidR="00084FE8">
        <w:rPr>
          <w:rFonts w:ascii="Arial" w:hAnsi="Arial" w:cs="Arial"/>
          <w:lang w:val="en-GB"/>
        </w:rPr>
        <w:t xml:space="preserve">however </w:t>
      </w:r>
      <w:r w:rsidRPr="009A6FA7">
        <w:rPr>
          <w:rFonts w:ascii="Arial" w:hAnsi="Arial" w:cs="Arial"/>
          <w:lang w:val="en-GB"/>
        </w:rPr>
        <w:t>unanimously approved:</w:t>
      </w:r>
    </w:p>
    <w:p w14:paraId="3147B4F3" w14:textId="77777777" w:rsidR="00084FE8" w:rsidRPr="00084FE8" w:rsidRDefault="00084FE8" w:rsidP="00084FE8">
      <w:pPr>
        <w:pStyle w:val="ListParagraph"/>
        <w:rPr>
          <w:rFonts w:ascii="Arial" w:hAnsi="Arial" w:cs="Arial"/>
          <w:lang w:val="en-GB"/>
        </w:rPr>
      </w:pPr>
    </w:p>
    <w:p w14:paraId="64C75404" w14:textId="106C59C3" w:rsidR="00084FE8" w:rsidRDefault="00084FE8" w:rsidP="00084FE8">
      <w:pPr>
        <w:pStyle w:val="ListParagraph"/>
        <w:spacing w:line="360" w:lineRule="auto"/>
        <w:ind w:left="0"/>
        <w:jc w:val="both"/>
        <w:rPr>
          <w:rFonts w:ascii="Arial" w:hAnsi="Arial" w:cs="Arial"/>
          <w:lang w:val="en-GB"/>
        </w:rPr>
      </w:pPr>
      <w:r>
        <w:rPr>
          <w:rFonts w:ascii="Arial" w:hAnsi="Arial" w:cs="Arial"/>
          <w:lang w:val="en-GB"/>
        </w:rPr>
        <w:t>‘</w:t>
      </w:r>
      <w:r w:rsidR="008D77EC" w:rsidRPr="009A6FA7">
        <w:rPr>
          <w:rFonts w:ascii="Arial" w:hAnsi="Arial" w:cs="Arial"/>
          <w:lang w:val="en-GB"/>
        </w:rPr>
        <w:t xml:space="preserve"> </w:t>
      </w:r>
      <w:r w:rsidR="00490605">
        <w:rPr>
          <w:rFonts w:ascii="Arial" w:hAnsi="Arial" w:cs="Arial"/>
          <w:lang w:val="en-GB"/>
        </w:rPr>
        <w:t>…</w:t>
      </w:r>
      <w:r w:rsidR="008D77EC" w:rsidRPr="00084FE8">
        <w:rPr>
          <w:rFonts w:ascii="Arial" w:hAnsi="Arial" w:cs="Arial"/>
          <w:sz w:val="22"/>
          <w:szCs w:val="22"/>
          <w:lang w:val="en-GB"/>
        </w:rPr>
        <w:t>the Royal Bafokeng Platinum offer dated September 6, 2017 as described herein with Phase 2 being subject to the approval of a scheme of arrangement and further subject thereto that the Board shall be entitled to consider any better offer with equal or greater certainty, that may be made before execution of the Royal Bafokeng Platinum transaction</w:t>
      </w:r>
      <w:r w:rsidR="008D77EC" w:rsidRPr="009A6FA7">
        <w:rPr>
          <w:rFonts w:ascii="Arial" w:hAnsi="Arial" w:cs="Arial"/>
          <w:lang w:val="en-GB"/>
        </w:rPr>
        <w:t>.</w:t>
      </w:r>
      <w:r>
        <w:rPr>
          <w:rFonts w:ascii="Arial" w:hAnsi="Arial" w:cs="Arial"/>
          <w:lang w:val="en-GB"/>
        </w:rPr>
        <w:t>’</w:t>
      </w:r>
    </w:p>
    <w:p w14:paraId="3E6D57CF" w14:textId="1C578649" w:rsidR="00084FE8" w:rsidRDefault="008D77EC" w:rsidP="00084FE8">
      <w:pPr>
        <w:pStyle w:val="ListParagraph"/>
        <w:spacing w:line="360" w:lineRule="auto"/>
        <w:ind w:left="0"/>
        <w:jc w:val="both"/>
        <w:rPr>
          <w:rFonts w:ascii="Arial" w:hAnsi="Arial" w:cs="Arial"/>
          <w:lang w:val="en-GB"/>
        </w:rPr>
      </w:pPr>
      <w:r w:rsidRPr="009A6FA7">
        <w:rPr>
          <w:rFonts w:ascii="Arial" w:hAnsi="Arial" w:cs="Arial"/>
          <w:lang w:val="en-GB"/>
        </w:rPr>
        <w:t xml:space="preserve"> </w:t>
      </w:r>
    </w:p>
    <w:p w14:paraId="4AA788D8" w14:textId="32EC163A" w:rsidR="009A6FA7" w:rsidRDefault="00084FE8" w:rsidP="00084FE8">
      <w:pPr>
        <w:pStyle w:val="ListParagraph"/>
        <w:spacing w:line="360" w:lineRule="auto"/>
        <w:ind w:left="0"/>
        <w:jc w:val="both"/>
        <w:rPr>
          <w:rFonts w:ascii="Arial" w:hAnsi="Arial" w:cs="Arial"/>
          <w:u w:val="single"/>
          <w:lang w:val="en-GB"/>
        </w:rPr>
      </w:pPr>
      <w:r>
        <w:rPr>
          <w:rFonts w:ascii="Arial" w:hAnsi="Arial" w:cs="Arial"/>
          <w:lang w:val="en-GB"/>
        </w:rPr>
        <w:t>‘</w:t>
      </w:r>
      <w:r w:rsidR="008D77EC" w:rsidRPr="009A6FA7">
        <w:rPr>
          <w:rFonts w:ascii="Arial" w:hAnsi="Arial" w:cs="Arial"/>
          <w:lang w:val="en-GB"/>
        </w:rPr>
        <w:t xml:space="preserve"> </w:t>
      </w:r>
      <w:r w:rsidR="008D32A6">
        <w:rPr>
          <w:rFonts w:ascii="Arial" w:hAnsi="Arial" w:cs="Arial"/>
          <w:sz w:val="22"/>
          <w:szCs w:val="22"/>
          <w:lang w:val="en-GB"/>
        </w:rPr>
        <w:t>…</w:t>
      </w:r>
      <w:r w:rsidR="008D77EC" w:rsidRPr="00084FE8">
        <w:rPr>
          <w:rFonts w:ascii="Arial" w:hAnsi="Arial" w:cs="Arial"/>
          <w:sz w:val="22"/>
          <w:szCs w:val="22"/>
          <w:lang w:val="en-GB"/>
        </w:rPr>
        <w:t xml:space="preserve"> that R Michael Jones andlor Frank R Hallam be and are duly authorised to: ~ retain, on behalf of the Company[ Maseve], an independent expert to compile a report for the purposes of the scheme of arrangement  </w:t>
      </w:r>
      <w:r w:rsidR="008D77EC" w:rsidRPr="00217A14">
        <w:rPr>
          <w:rFonts w:ascii="Arial" w:hAnsi="Arial" w:cs="Arial"/>
          <w:sz w:val="22"/>
          <w:szCs w:val="22"/>
          <w:u w:val="single"/>
          <w:lang w:val="en-GB"/>
        </w:rPr>
        <w:t>take all steps to negotiate and finalise the Sale of Business Agreement and an agreement in regard to the implementation of Phase 2 with Royal Bafokeng Platinum on terms substantially as proposed in the term sheet and to sign all agreements and other documents as may be necessary to implement this resolution; on receipt of the independent persons' report, to convene meetings of the Board and the Shareholders to consider and vote on the scheme of arrangement</w:t>
      </w:r>
      <w:r w:rsidR="008D77EC" w:rsidRPr="00217A14">
        <w:rPr>
          <w:rFonts w:ascii="Arial" w:hAnsi="Arial" w:cs="Arial"/>
          <w:u w:val="single"/>
          <w:lang w:val="en-GB"/>
        </w:rPr>
        <w:t>.</w:t>
      </w:r>
      <w:r w:rsidRPr="00217A14">
        <w:rPr>
          <w:rFonts w:ascii="Arial" w:hAnsi="Arial" w:cs="Arial"/>
          <w:u w:val="single"/>
          <w:lang w:val="en-GB"/>
        </w:rPr>
        <w:t>’</w:t>
      </w:r>
      <w:r w:rsidR="00217A14">
        <w:rPr>
          <w:rFonts w:ascii="Arial" w:hAnsi="Arial" w:cs="Arial"/>
          <w:u w:val="single"/>
          <w:lang w:val="en-GB"/>
        </w:rPr>
        <w:t xml:space="preserve"> </w:t>
      </w:r>
      <w:r w:rsidR="00236139">
        <w:rPr>
          <w:rFonts w:ascii="Arial" w:hAnsi="Arial" w:cs="Arial"/>
          <w:u w:val="single"/>
          <w:lang w:val="en-GB"/>
        </w:rPr>
        <w:t>[ Emphasis added.]</w:t>
      </w:r>
    </w:p>
    <w:p w14:paraId="1D6C2981" w14:textId="77777777" w:rsidR="009A6FA7" w:rsidRPr="009A6FA7" w:rsidRDefault="009A6FA7" w:rsidP="009A6FA7">
      <w:pPr>
        <w:pStyle w:val="ListParagraph"/>
        <w:spacing w:line="360" w:lineRule="auto"/>
        <w:ind w:left="0"/>
        <w:jc w:val="both"/>
        <w:rPr>
          <w:rFonts w:ascii="Arial" w:hAnsi="Arial" w:cs="Arial"/>
        </w:rPr>
      </w:pPr>
    </w:p>
    <w:p w14:paraId="4BC9DB49" w14:textId="498AB687" w:rsidR="00236139" w:rsidRDefault="00236139" w:rsidP="008D77EC">
      <w:pPr>
        <w:pStyle w:val="ListParagraph"/>
        <w:numPr>
          <w:ilvl w:val="0"/>
          <w:numId w:val="2"/>
        </w:numPr>
        <w:spacing w:line="360" w:lineRule="auto"/>
        <w:ind w:left="0" w:firstLine="0"/>
        <w:jc w:val="both"/>
        <w:rPr>
          <w:rFonts w:ascii="Arial" w:hAnsi="Arial" w:cs="Arial"/>
        </w:rPr>
      </w:pPr>
      <w:r>
        <w:rPr>
          <w:rFonts w:ascii="Arial" w:hAnsi="Arial" w:cs="Arial"/>
        </w:rPr>
        <w:t>The thrust of these resolutions is a clear understanding that the agreements would be negotiated and concluded in tandem.</w:t>
      </w:r>
    </w:p>
    <w:p w14:paraId="69892EE9" w14:textId="77777777" w:rsidR="00236139" w:rsidRDefault="00236139" w:rsidP="00236139">
      <w:pPr>
        <w:pStyle w:val="ListParagraph"/>
        <w:spacing w:line="360" w:lineRule="auto"/>
        <w:ind w:left="0"/>
        <w:jc w:val="both"/>
        <w:rPr>
          <w:rFonts w:ascii="Arial" w:hAnsi="Arial" w:cs="Arial"/>
        </w:rPr>
      </w:pPr>
    </w:p>
    <w:p w14:paraId="604141D4" w14:textId="0EB24392" w:rsidR="008D32A6" w:rsidRDefault="006D7B88" w:rsidP="00DF7D1E">
      <w:pPr>
        <w:pStyle w:val="ListParagraph"/>
        <w:numPr>
          <w:ilvl w:val="0"/>
          <w:numId w:val="2"/>
        </w:numPr>
        <w:spacing w:line="360" w:lineRule="auto"/>
        <w:ind w:left="0" w:firstLine="0"/>
        <w:jc w:val="both"/>
        <w:rPr>
          <w:rFonts w:ascii="Arial" w:hAnsi="Arial" w:cs="Arial"/>
        </w:rPr>
      </w:pPr>
      <w:r w:rsidRPr="00236139">
        <w:rPr>
          <w:rFonts w:ascii="Arial" w:hAnsi="Arial" w:cs="Arial"/>
        </w:rPr>
        <w:t>The fact that th</w:t>
      </w:r>
      <w:r w:rsidR="00816A13" w:rsidRPr="00236139">
        <w:rPr>
          <w:rFonts w:ascii="Arial" w:hAnsi="Arial" w:cs="Arial"/>
        </w:rPr>
        <w:t>ese resolutions where passed unanimously by the Board</w:t>
      </w:r>
      <w:r w:rsidR="00236139" w:rsidRPr="00236139">
        <w:rPr>
          <w:rFonts w:ascii="Arial" w:hAnsi="Arial" w:cs="Arial"/>
        </w:rPr>
        <w:t>,</w:t>
      </w:r>
      <w:r w:rsidR="00816A13" w:rsidRPr="00236139">
        <w:rPr>
          <w:rFonts w:ascii="Arial" w:hAnsi="Arial" w:cs="Arial"/>
        </w:rPr>
        <w:t xml:space="preserve"> which included Mr </w:t>
      </w:r>
      <w:r w:rsidR="00137097" w:rsidRPr="00236139">
        <w:rPr>
          <w:rFonts w:ascii="Arial" w:hAnsi="Arial" w:cs="Arial"/>
          <w:lang w:val="en-GB"/>
        </w:rPr>
        <w:t>Mothomogolo</w:t>
      </w:r>
      <w:r w:rsidR="00816A13" w:rsidRPr="00236139">
        <w:rPr>
          <w:rFonts w:ascii="Arial" w:hAnsi="Arial" w:cs="Arial"/>
        </w:rPr>
        <w:t xml:space="preserve"> is important. It shows that</w:t>
      </w:r>
      <w:r w:rsidR="006F2E26" w:rsidRPr="00236139">
        <w:rPr>
          <w:rFonts w:ascii="Arial" w:hAnsi="Arial" w:cs="Arial"/>
        </w:rPr>
        <w:t>,</w:t>
      </w:r>
      <w:r w:rsidR="00816A13" w:rsidRPr="00236139">
        <w:rPr>
          <w:rFonts w:ascii="Arial" w:hAnsi="Arial" w:cs="Arial"/>
        </w:rPr>
        <w:t xml:space="preserve"> at th</w:t>
      </w:r>
      <w:r w:rsidR="00655A3C">
        <w:rPr>
          <w:rFonts w:ascii="Arial" w:hAnsi="Arial" w:cs="Arial"/>
        </w:rPr>
        <w:t>is early</w:t>
      </w:r>
      <w:r w:rsidR="00816A13" w:rsidRPr="00236139">
        <w:rPr>
          <w:rFonts w:ascii="Arial" w:hAnsi="Arial" w:cs="Arial"/>
        </w:rPr>
        <w:t xml:space="preserve"> stage</w:t>
      </w:r>
      <w:r w:rsidR="00655A3C">
        <w:rPr>
          <w:rFonts w:ascii="Arial" w:hAnsi="Arial" w:cs="Arial"/>
        </w:rPr>
        <w:t xml:space="preserve"> in the process aimed at achieving the approval of the scheme</w:t>
      </w:r>
      <w:r w:rsidR="006F2E26" w:rsidRPr="00236139">
        <w:rPr>
          <w:rFonts w:ascii="Arial" w:hAnsi="Arial" w:cs="Arial"/>
        </w:rPr>
        <w:t>,</w:t>
      </w:r>
      <w:r w:rsidR="00816A13" w:rsidRPr="00236139">
        <w:rPr>
          <w:rFonts w:ascii="Arial" w:hAnsi="Arial" w:cs="Arial"/>
        </w:rPr>
        <w:t xml:space="preserve"> the plaintiff was aware of the transaction including </w:t>
      </w:r>
      <w:r w:rsidR="006F2E26" w:rsidRPr="00236139">
        <w:rPr>
          <w:rFonts w:ascii="Arial" w:hAnsi="Arial" w:cs="Arial"/>
        </w:rPr>
        <w:t xml:space="preserve">its structure. </w:t>
      </w:r>
    </w:p>
    <w:p w14:paraId="36C6FE0C" w14:textId="77777777" w:rsidR="00236139" w:rsidRPr="00236139" w:rsidRDefault="00236139" w:rsidP="003E7F56">
      <w:pPr>
        <w:pStyle w:val="ListParagraph"/>
        <w:spacing w:line="360" w:lineRule="auto"/>
        <w:ind w:left="0"/>
        <w:jc w:val="both"/>
        <w:rPr>
          <w:rFonts w:ascii="Arial" w:hAnsi="Arial" w:cs="Arial"/>
        </w:rPr>
      </w:pPr>
    </w:p>
    <w:p w14:paraId="5305618A" w14:textId="1114FD1D" w:rsidR="00BB1B6A" w:rsidRDefault="00BB1B6A" w:rsidP="008D77EC">
      <w:pPr>
        <w:pStyle w:val="ListParagraph"/>
        <w:numPr>
          <w:ilvl w:val="0"/>
          <w:numId w:val="2"/>
        </w:numPr>
        <w:spacing w:line="360" w:lineRule="auto"/>
        <w:ind w:left="0" w:firstLine="0"/>
        <w:jc w:val="both"/>
        <w:rPr>
          <w:rFonts w:ascii="Arial" w:hAnsi="Arial" w:cs="Arial"/>
        </w:rPr>
      </w:pPr>
      <w:r>
        <w:rPr>
          <w:rFonts w:ascii="Arial" w:hAnsi="Arial" w:cs="Arial"/>
        </w:rPr>
        <w:lastRenderedPageBreak/>
        <w:t xml:space="preserve">Notwithstanding his integral involvement in relation to approval </w:t>
      </w:r>
      <w:r w:rsidR="00B50166">
        <w:rPr>
          <w:rFonts w:ascii="Arial" w:hAnsi="Arial" w:cs="Arial"/>
        </w:rPr>
        <w:t xml:space="preserve">relating to the transaction Mr </w:t>
      </w:r>
      <w:r w:rsidR="00137097" w:rsidRPr="00137097">
        <w:rPr>
          <w:rFonts w:ascii="Arial" w:hAnsi="Arial" w:cs="Arial"/>
          <w:lang w:val="en-GB"/>
        </w:rPr>
        <w:t xml:space="preserve"> </w:t>
      </w:r>
      <w:r w:rsidR="00137097" w:rsidRPr="009A6FA7">
        <w:rPr>
          <w:rFonts w:ascii="Arial" w:hAnsi="Arial" w:cs="Arial"/>
          <w:lang w:val="en-GB"/>
        </w:rPr>
        <w:t>Mothomogolo</w:t>
      </w:r>
      <w:r w:rsidR="00B50166">
        <w:rPr>
          <w:rFonts w:ascii="Arial" w:hAnsi="Arial" w:cs="Arial"/>
        </w:rPr>
        <w:t xml:space="preserve"> was not called </w:t>
      </w:r>
      <w:r w:rsidR="0075165A">
        <w:rPr>
          <w:rFonts w:ascii="Arial" w:hAnsi="Arial" w:cs="Arial"/>
        </w:rPr>
        <w:t xml:space="preserve">by the plaintiff </w:t>
      </w:r>
      <w:r w:rsidR="00B50166">
        <w:rPr>
          <w:rFonts w:ascii="Arial" w:hAnsi="Arial" w:cs="Arial"/>
        </w:rPr>
        <w:t>to give evidence.</w:t>
      </w:r>
    </w:p>
    <w:p w14:paraId="3ED5991F" w14:textId="4BB3FD2F" w:rsidR="009A6FA7" w:rsidRPr="00236139" w:rsidRDefault="009A6FA7" w:rsidP="003E7F56">
      <w:pPr>
        <w:pStyle w:val="ListParagraph"/>
        <w:spacing w:line="360" w:lineRule="auto"/>
        <w:ind w:left="0"/>
        <w:jc w:val="both"/>
        <w:rPr>
          <w:rFonts w:ascii="Arial" w:hAnsi="Arial" w:cs="Arial"/>
          <w:lang w:val="en-GB"/>
        </w:rPr>
      </w:pPr>
    </w:p>
    <w:p w14:paraId="5BB211BF" w14:textId="77777777" w:rsidR="008D32A6" w:rsidRPr="009A6FA7" w:rsidRDefault="008D32A6" w:rsidP="009A6FA7">
      <w:pPr>
        <w:pStyle w:val="ListParagraph"/>
        <w:rPr>
          <w:rFonts w:ascii="Arial" w:hAnsi="Arial" w:cs="Arial"/>
          <w:lang w:val="en-GB"/>
        </w:rPr>
      </w:pPr>
    </w:p>
    <w:p w14:paraId="2D57EDED" w14:textId="7E812FF8" w:rsidR="009A6FA7" w:rsidRPr="009A6FA7" w:rsidRDefault="009A6FA7" w:rsidP="009A6FA7">
      <w:pPr>
        <w:pStyle w:val="ListParagraph"/>
        <w:numPr>
          <w:ilvl w:val="0"/>
          <w:numId w:val="2"/>
        </w:numPr>
        <w:spacing w:line="360" w:lineRule="auto"/>
        <w:ind w:left="0" w:firstLine="0"/>
        <w:jc w:val="both"/>
        <w:rPr>
          <w:rFonts w:ascii="Arial" w:hAnsi="Arial" w:cs="Arial"/>
        </w:rPr>
      </w:pPr>
      <w:r>
        <w:rPr>
          <w:rFonts w:ascii="Arial" w:hAnsi="Arial" w:cs="Arial"/>
          <w:lang w:val="en-GB"/>
        </w:rPr>
        <w:t>On 23 November 2017 the two</w:t>
      </w:r>
      <w:r w:rsidR="008D77EC" w:rsidRPr="009A6FA7">
        <w:rPr>
          <w:rFonts w:ascii="Arial" w:hAnsi="Arial" w:cs="Arial"/>
          <w:lang w:val="en-GB"/>
        </w:rPr>
        <w:t xml:space="preserve"> agreements as envisaged in the </w:t>
      </w:r>
      <w:r w:rsidR="00B50166">
        <w:rPr>
          <w:rFonts w:ascii="Arial" w:hAnsi="Arial" w:cs="Arial"/>
          <w:lang w:val="en-GB"/>
        </w:rPr>
        <w:t>t</w:t>
      </w:r>
      <w:r w:rsidR="008D77EC" w:rsidRPr="009A6FA7">
        <w:rPr>
          <w:rFonts w:ascii="Arial" w:hAnsi="Arial" w:cs="Arial"/>
          <w:lang w:val="en-GB"/>
        </w:rPr>
        <w:t xml:space="preserve">erm </w:t>
      </w:r>
      <w:r w:rsidR="00B50166">
        <w:rPr>
          <w:rFonts w:ascii="Arial" w:hAnsi="Arial" w:cs="Arial"/>
          <w:lang w:val="en-GB"/>
        </w:rPr>
        <w:t>s</w:t>
      </w:r>
      <w:r w:rsidR="008D77EC" w:rsidRPr="009A6FA7">
        <w:rPr>
          <w:rFonts w:ascii="Arial" w:hAnsi="Arial" w:cs="Arial"/>
          <w:lang w:val="en-GB"/>
        </w:rPr>
        <w:t>heet and the resolution above were concluded to give effect to the transaction with the Royal Bafokeng</w:t>
      </w:r>
      <w:r w:rsidR="0075165A">
        <w:rPr>
          <w:rFonts w:ascii="Arial" w:hAnsi="Arial" w:cs="Arial"/>
          <w:lang w:val="en-GB"/>
        </w:rPr>
        <w:t>. T</w:t>
      </w:r>
      <w:r w:rsidR="008D77EC" w:rsidRPr="009A6FA7">
        <w:rPr>
          <w:rFonts w:ascii="Arial" w:hAnsi="Arial" w:cs="Arial"/>
          <w:lang w:val="en-GB"/>
        </w:rPr>
        <w:t>hese were:</w:t>
      </w:r>
    </w:p>
    <w:p w14:paraId="6DF64812" w14:textId="77777777" w:rsidR="009A6FA7" w:rsidRPr="009A6FA7" w:rsidRDefault="009A6FA7" w:rsidP="009A6FA7">
      <w:pPr>
        <w:pStyle w:val="ListParagraph"/>
        <w:rPr>
          <w:rFonts w:ascii="Arial" w:hAnsi="Arial" w:cs="Arial"/>
          <w:lang w:val="en-GB"/>
        </w:rPr>
      </w:pPr>
    </w:p>
    <w:p w14:paraId="5BC1C33D" w14:textId="646C0AFD" w:rsidR="009A6FA7" w:rsidRPr="009A6FA7" w:rsidRDefault="008D77EC" w:rsidP="009A6FA7">
      <w:pPr>
        <w:pStyle w:val="ListParagraph"/>
        <w:numPr>
          <w:ilvl w:val="0"/>
          <w:numId w:val="19"/>
        </w:numPr>
        <w:spacing w:line="360" w:lineRule="auto"/>
        <w:jc w:val="both"/>
        <w:rPr>
          <w:rFonts w:ascii="Arial" w:hAnsi="Arial" w:cs="Arial"/>
        </w:rPr>
      </w:pPr>
      <w:r w:rsidRPr="009A6FA7">
        <w:rPr>
          <w:rFonts w:ascii="Arial" w:hAnsi="Arial" w:cs="Arial"/>
          <w:lang w:val="en-GB"/>
        </w:rPr>
        <w:t>an agreement called a sale of business agreement between Maseve, PTM and RB Resources (</w:t>
      </w:r>
      <w:r w:rsidR="00365C41">
        <w:rPr>
          <w:rFonts w:ascii="Arial" w:hAnsi="Arial" w:cs="Arial"/>
          <w:lang w:val="en-GB"/>
        </w:rPr>
        <w:t>‘</w:t>
      </w:r>
      <w:r w:rsidRPr="009A6FA7">
        <w:rPr>
          <w:rFonts w:ascii="Arial" w:hAnsi="Arial" w:cs="Arial"/>
          <w:lang w:val="en-GB"/>
        </w:rPr>
        <w:t>the SOB Agreement</w:t>
      </w:r>
      <w:r w:rsidR="00365C41">
        <w:rPr>
          <w:rFonts w:ascii="Arial" w:hAnsi="Arial" w:cs="Arial"/>
          <w:lang w:val="en-GB"/>
        </w:rPr>
        <w:t>’</w:t>
      </w:r>
      <w:r w:rsidRPr="009A6FA7">
        <w:rPr>
          <w:rFonts w:ascii="Arial" w:hAnsi="Arial" w:cs="Arial"/>
          <w:lang w:val="en-GB"/>
        </w:rPr>
        <w:t>) which allowed for the transaction i</w:t>
      </w:r>
      <w:r w:rsidR="00DE0206">
        <w:rPr>
          <w:rFonts w:ascii="Arial" w:hAnsi="Arial" w:cs="Arial"/>
          <w:lang w:val="en-GB"/>
        </w:rPr>
        <w:t>n terms of</w:t>
      </w:r>
      <w:r w:rsidR="009A6FA7">
        <w:rPr>
          <w:rFonts w:ascii="Arial" w:hAnsi="Arial" w:cs="Arial"/>
          <w:lang w:val="en-GB"/>
        </w:rPr>
        <w:t xml:space="preserve"> which RB Resources</w:t>
      </w:r>
      <w:r w:rsidRPr="009A6FA7">
        <w:rPr>
          <w:rFonts w:ascii="Arial" w:hAnsi="Arial" w:cs="Arial"/>
          <w:lang w:val="en-GB"/>
        </w:rPr>
        <w:t xml:space="preserve"> would acquire Maseve's concentrator plant, five immovable properties and certain related assets hel</w:t>
      </w:r>
      <w:r w:rsidR="009A6FA7">
        <w:rPr>
          <w:rFonts w:ascii="Arial" w:hAnsi="Arial" w:cs="Arial"/>
          <w:lang w:val="en-GB"/>
        </w:rPr>
        <w:t>d by Maseve at a purchase price</w:t>
      </w:r>
      <w:r w:rsidRPr="009A6FA7">
        <w:rPr>
          <w:rFonts w:ascii="Arial" w:hAnsi="Arial" w:cs="Arial"/>
          <w:lang w:val="en-GB"/>
        </w:rPr>
        <w:t xml:space="preserve"> of US$58 million</w:t>
      </w:r>
      <w:r w:rsidR="001C3D3E">
        <w:rPr>
          <w:rFonts w:ascii="Arial" w:hAnsi="Arial" w:cs="Arial"/>
          <w:lang w:val="en-GB"/>
        </w:rPr>
        <w:t xml:space="preserve"> (</w:t>
      </w:r>
      <w:r w:rsidR="00137097">
        <w:rPr>
          <w:rFonts w:ascii="Arial" w:hAnsi="Arial" w:cs="Arial"/>
          <w:lang w:val="en-GB"/>
        </w:rPr>
        <w:t>‘</w:t>
      </w:r>
      <w:r w:rsidR="001C3D3E">
        <w:rPr>
          <w:rFonts w:ascii="Arial" w:hAnsi="Arial" w:cs="Arial"/>
          <w:lang w:val="en-GB"/>
        </w:rPr>
        <w:t>the plant transaction</w:t>
      </w:r>
      <w:r w:rsidR="00137097">
        <w:rPr>
          <w:rFonts w:ascii="Arial" w:hAnsi="Arial" w:cs="Arial"/>
          <w:lang w:val="en-GB"/>
        </w:rPr>
        <w:t>’</w:t>
      </w:r>
      <w:r w:rsidR="00365C41">
        <w:rPr>
          <w:rFonts w:ascii="Arial" w:hAnsi="Arial" w:cs="Arial"/>
          <w:lang w:val="en-GB"/>
        </w:rPr>
        <w:t>);</w:t>
      </w:r>
    </w:p>
    <w:p w14:paraId="196BBAC4" w14:textId="77777777" w:rsidR="009A6FA7" w:rsidRPr="009A6FA7" w:rsidRDefault="009A6FA7" w:rsidP="009A6FA7">
      <w:pPr>
        <w:pStyle w:val="ListParagraph"/>
        <w:rPr>
          <w:rFonts w:ascii="Arial" w:hAnsi="Arial" w:cs="Arial"/>
          <w:lang w:val="en-GB"/>
        </w:rPr>
      </w:pPr>
    </w:p>
    <w:p w14:paraId="4A0E3339" w14:textId="0E404F6E" w:rsidR="009A6FA7" w:rsidRPr="009A6FA7" w:rsidRDefault="009A6FA7" w:rsidP="009A6FA7">
      <w:pPr>
        <w:pStyle w:val="ListParagraph"/>
        <w:numPr>
          <w:ilvl w:val="0"/>
          <w:numId w:val="19"/>
        </w:numPr>
        <w:spacing w:line="360" w:lineRule="auto"/>
        <w:jc w:val="both"/>
        <w:rPr>
          <w:rFonts w:ascii="Arial" w:hAnsi="Arial" w:cs="Arial"/>
        </w:rPr>
      </w:pPr>
      <w:r>
        <w:rPr>
          <w:rFonts w:ascii="Arial" w:hAnsi="Arial" w:cs="Arial"/>
          <w:lang w:val="en-GB"/>
        </w:rPr>
        <w:t xml:space="preserve">an agreement called </w:t>
      </w:r>
      <w:r w:rsidR="00137097">
        <w:rPr>
          <w:rFonts w:ascii="Arial" w:hAnsi="Arial" w:cs="Arial"/>
          <w:lang w:val="en-GB"/>
        </w:rPr>
        <w:t>the S</w:t>
      </w:r>
      <w:r w:rsidR="008D77EC" w:rsidRPr="009A6FA7">
        <w:rPr>
          <w:rFonts w:ascii="Arial" w:hAnsi="Arial" w:cs="Arial"/>
          <w:lang w:val="en-GB"/>
        </w:rPr>
        <w:t xml:space="preserve">cheme </w:t>
      </w:r>
      <w:r w:rsidR="00137097">
        <w:rPr>
          <w:rFonts w:ascii="Arial" w:hAnsi="Arial" w:cs="Arial"/>
          <w:lang w:val="en-GB"/>
        </w:rPr>
        <w:t>I</w:t>
      </w:r>
      <w:r w:rsidR="008D77EC" w:rsidRPr="009A6FA7">
        <w:rPr>
          <w:rFonts w:ascii="Arial" w:hAnsi="Arial" w:cs="Arial"/>
          <w:lang w:val="en-GB"/>
        </w:rPr>
        <w:t xml:space="preserve">mplementation </w:t>
      </w:r>
      <w:r w:rsidR="00137097">
        <w:rPr>
          <w:rFonts w:ascii="Arial" w:hAnsi="Arial" w:cs="Arial"/>
          <w:lang w:val="en-GB"/>
        </w:rPr>
        <w:t>A</w:t>
      </w:r>
      <w:r w:rsidR="008D77EC" w:rsidRPr="009A6FA7">
        <w:rPr>
          <w:rFonts w:ascii="Arial" w:hAnsi="Arial" w:cs="Arial"/>
          <w:lang w:val="en-GB"/>
        </w:rPr>
        <w:t xml:space="preserve">greement between Maseve, PTM and RB </w:t>
      </w:r>
      <w:r w:rsidR="0075165A" w:rsidRPr="009A6FA7">
        <w:rPr>
          <w:rFonts w:ascii="Arial" w:hAnsi="Arial" w:cs="Arial"/>
          <w:lang w:val="en-GB"/>
        </w:rPr>
        <w:t>Pl</w:t>
      </w:r>
      <w:r w:rsidR="0075165A">
        <w:rPr>
          <w:rFonts w:ascii="Arial" w:hAnsi="Arial" w:cs="Arial"/>
          <w:lang w:val="en-GB"/>
        </w:rPr>
        <w:t>atinum</w:t>
      </w:r>
      <w:r>
        <w:rPr>
          <w:rFonts w:ascii="Arial" w:hAnsi="Arial" w:cs="Arial"/>
          <w:lang w:val="en-GB"/>
        </w:rPr>
        <w:t xml:space="preserve"> (</w:t>
      </w:r>
      <w:r w:rsidR="00365C41">
        <w:rPr>
          <w:rFonts w:ascii="Arial" w:hAnsi="Arial" w:cs="Arial"/>
          <w:lang w:val="en-GB"/>
        </w:rPr>
        <w:t>‘</w:t>
      </w:r>
      <w:r>
        <w:rPr>
          <w:rFonts w:ascii="Arial" w:hAnsi="Arial" w:cs="Arial"/>
          <w:lang w:val="en-GB"/>
        </w:rPr>
        <w:t xml:space="preserve">the Scheme </w:t>
      </w:r>
      <w:r w:rsidR="003B303C">
        <w:rPr>
          <w:rFonts w:ascii="Arial" w:hAnsi="Arial" w:cs="Arial"/>
          <w:lang w:val="en-GB"/>
        </w:rPr>
        <w:t>I</w:t>
      </w:r>
      <w:r w:rsidR="00365C41">
        <w:rPr>
          <w:rFonts w:ascii="Arial" w:hAnsi="Arial" w:cs="Arial"/>
          <w:lang w:val="en-GB"/>
        </w:rPr>
        <w:t xml:space="preserve">mplementation </w:t>
      </w:r>
      <w:r>
        <w:rPr>
          <w:rFonts w:ascii="Arial" w:hAnsi="Arial" w:cs="Arial"/>
          <w:lang w:val="en-GB"/>
        </w:rPr>
        <w:t>Agreement</w:t>
      </w:r>
      <w:r w:rsidR="00365C41">
        <w:rPr>
          <w:rFonts w:ascii="Arial" w:hAnsi="Arial" w:cs="Arial"/>
          <w:lang w:val="en-GB"/>
        </w:rPr>
        <w:t>’</w:t>
      </w:r>
      <w:r w:rsidR="008D77EC" w:rsidRPr="009A6FA7">
        <w:rPr>
          <w:rFonts w:ascii="Arial" w:hAnsi="Arial" w:cs="Arial"/>
          <w:lang w:val="en-GB"/>
        </w:rPr>
        <w:t xml:space="preserve">) which provided that, following compliance with sections 114 and 115 of </w:t>
      </w:r>
      <w:r w:rsidR="004433CB">
        <w:rPr>
          <w:rFonts w:ascii="Arial" w:hAnsi="Arial" w:cs="Arial"/>
          <w:lang w:val="en-GB"/>
        </w:rPr>
        <w:t xml:space="preserve">the Act, RB Platinum </w:t>
      </w:r>
      <w:r w:rsidR="008D77EC" w:rsidRPr="009A6FA7">
        <w:rPr>
          <w:rFonts w:ascii="Arial" w:hAnsi="Arial" w:cs="Arial"/>
          <w:lang w:val="en-GB"/>
        </w:rPr>
        <w:t>would acquire 100% of the issued shares in Maseve from PTM and Africa Wide and, in return, PTM and Africa Wide would receive shares in RB</w:t>
      </w:r>
      <w:r w:rsidR="00365C41">
        <w:rPr>
          <w:rFonts w:ascii="Arial" w:hAnsi="Arial" w:cs="Arial"/>
          <w:lang w:val="en-GB"/>
        </w:rPr>
        <w:t xml:space="preserve"> </w:t>
      </w:r>
      <w:r w:rsidR="008D77EC" w:rsidRPr="009A6FA7">
        <w:rPr>
          <w:rFonts w:ascii="Arial" w:hAnsi="Arial" w:cs="Arial"/>
          <w:lang w:val="en-GB"/>
        </w:rPr>
        <w:t>Platinum.</w:t>
      </w:r>
    </w:p>
    <w:p w14:paraId="075C6ED5" w14:textId="77777777" w:rsidR="009A6FA7" w:rsidRPr="009A6FA7" w:rsidRDefault="009A6FA7" w:rsidP="009A6FA7">
      <w:pPr>
        <w:pStyle w:val="ListParagraph"/>
        <w:rPr>
          <w:rFonts w:ascii="Arial" w:hAnsi="Arial" w:cs="Arial"/>
          <w:lang w:val="en-GB"/>
        </w:rPr>
      </w:pPr>
    </w:p>
    <w:p w14:paraId="22ECAEB4" w14:textId="66B366A6" w:rsidR="00A8473C" w:rsidRPr="00A8473C" w:rsidRDefault="008D77EC" w:rsidP="008D77EC">
      <w:pPr>
        <w:pStyle w:val="ListParagraph"/>
        <w:numPr>
          <w:ilvl w:val="0"/>
          <w:numId w:val="2"/>
        </w:numPr>
        <w:spacing w:line="360" w:lineRule="auto"/>
        <w:ind w:left="0" w:firstLine="0"/>
        <w:jc w:val="both"/>
        <w:rPr>
          <w:rFonts w:ascii="Arial" w:hAnsi="Arial" w:cs="Arial"/>
        </w:rPr>
      </w:pPr>
      <w:r w:rsidRPr="009A6FA7">
        <w:rPr>
          <w:rFonts w:ascii="Arial" w:hAnsi="Arial" w:cs="Arial"/>
          <w:lang w:val="en-GB"/>
        </w:rPr>
        <w:t>I</w:t>
      </w:r>
      <w:r w:rsidR="003E7F56">
        <w:rPr>
          <w:rFonts w:ascii="Arial" w:hAnsi="Arial" w:cs="Arial"/>
          <w:lang w:val="en-GB"/>
        </w:rPr>
        <w:t>t is significant that</w:t>
      </w:r>
      <w:r w:rsidR="00855B36">
        <w:rPr>
          <w:rFonts w:ascii="Arial" w:hAnsi="Arial" w:cs="Arial"/>
          <w:lang w:val="en-GB"/>
        </w:rPr>
        <w:t>,</w:t>
      </w:r>
      <w:r w:rsidR="003E7F56">
        <w:rPr>
          <w:rFonts w:ascii="Arial" w:hAnsi="Arial" w:cs="Arial"/>
          <w:lang w:val="en-GB"/>
        </w:rPr>
        <w:t xml:space="preserve"> </w:t>
      </w:r>
      <w:r w:rsidR="00855B36">
        <w:rPr>
          <w:rFonts w:ascii="Arial" w:hAnsi="Arial" w:cs="Arial"/>
          <w:lang w:val="en-GB"/>
        </w:rPr>
        <w:t>in line with</w:t>
      </w:r>
      <w:r w:rsidRPr="009A6FA7">
        <w:rPr>
          <w:rFonts w:ascii="Arial" w:hAnsi="Arial" w:cs="Arial"/>
          <w:lang w:val="en-GB"/>
        </w:rPr>
        <w:t xml:space="preserve"> the </w:t>
      </w:r>
      <w:r w:rsidR="0075165A" w:rsidRPr="009A6FA7">
        <w:rPr>
          <w:rFonts w:ascii="Arial" w:hAnsi="Arial" w:cs="Arial"/>
          <w:lang w:val="en-GB"/>
        </w:rPr>
        <w:t>two-phase</w:t>
      </w:r>
      <w:r w:rsidRPr="009A6FA7">
        <w:rPr>
          <w:rFonts w:ascii="Arial" w:hAnsi="Arial" w:cs="Arial"/>
          <w:lang w:val="en-GB"/>
        </w:rPr>
        <w:t xml:space="preserve"> structure</w:t>
      </w:r>
      <w:r w:rsidR="00855B36">
        <w:rPr>
          <w:rFonts w:ascii="Arial" w:hAnsi="Arial" w:cs="Arial"/>
          <w:lang w:val="en-GB"/>
        </w:rPr>
        <w:t>,</w:t>
      </w:r>
      <w:r w:rsidRPr="009A6FA7">
        <w:rPr>
          <w:rFonts w:ascii="Arial" w:hAnsi="Arial" w:cs="Arial"/>
          <w:lang w:val="en-GB"/>
        </w:rPr>
        <w:t xml:space="preserve"> the agreements are inter-related</w:t>
      </w:r>
      <w:r w:rsidR="00140A0B">
        <w:rPr>
          <w:rFonts w:ascii="Arial" w:hAnsi="Arial" w:cs="Arial"/>
          <w:lang w:val="en-GB"/>
        </w:rPr>
        <w:t xml:space="preserve"> on their terms</w:t>
      </w:r>
      <w:r w:rsidR="00A8473C">
        <w:rPr>
          <w:rFonts w:ascii="Arial" w:hAnsi="Arial" w:cs="Arial"/>
          <w:lang w:val="en-GB"/>
        </w:rPr>
        <w:t xml:space="preserve"> as follows:</w:t>
      </w:r>
    </w:p>
    <w:p w14:paraId="3E712E11" w14:textId="4FAC3C2B" w:rsidR="00A8473C" w:rsidRPr="003B303C" w:rsidRDefault="008D77EC" w:rsidP="00A8473C">
      <w:pPr>
        <w:pStyle w:val="ListParagraph"/>
        <w:numPr>
          <w:ilvl w:val="2"/>
          <w:numId w:val="2"/>
        </w:numPr>
        <w:spacing w:line="360" w:lineRule="auto"/>
        <w:jc w:val="both"/>
        <w:rPr>
          <w:rFonts w:ascii="Arial" w:hAnsi="Arial" w:cs="Arial"/>
          <w:u w:val="single"/>
        </w:rPr>
      </w:pPr>
      <w:r w:rsidRPr="00A8473C">
        <w:rPr>
          <w:rFonts w:ascii="Arial" w:hAnsi="Arial" w:cs="Arial"/>
          <w:lang w:val="en-GB"/>
        </w:rPr>
        <w:t xml:space="preserve"> It is recorded in the preamble to the SOB </w:t>
      </w:r>
      <w:r w:rsidR="00140A0B" w:rsidRPr="00A8473C">
        <w:rPr>
          <w:rFonts w:ascii="Arial" w:hAnsi="Arial" w:cs="Arial"/>
          <w:lang w:val="en-GB"/>
        </w:rPr>
        <w:t>A</w:t>
      </w:r>
      <w:r w:rsidRPr="00A8473C">
        <w:rPr>
          <w:rFonts w:ascii="Arial" w:hAnsi="Arial" w:cs="Arial"/>
          <w:lang w:val="en-GB"/>
        </w:rPr>
        <w:t>greement that RB</w:t>
      </w:r>
      <w:r w:rsidR="00140A0B" w:rsidRPr="00A8473C">
        <w:rPr>
          <w:rFonts w:ascii="Arial" w:hAnsi="Arial" w:cs="Arial"/>
          <w:lang w:val="en-GB"/>
        </w:rPr>
        <w:t xml:space="preserve"> </w:t>
      </w:r>
      <w:r w:rsidRPr="00A8473C">
        <w:rPr>
          <w:rFonts w:ascii="Arial" w:hAnsi="Arial" w:cs="Arial"/>
          <w:lang w:val="en-GB"/>
        </w:rPr>
        <w:t>P</w:t>
      </w:r>
      <w:r w:rsidR="00140A0B" w:rsidRPr="00A8473C">
        <w:rPr>
          <w:rFonts w:ascii="Arial" w:hAnsi="Arial" w:cs="Arial"/>
          <w:lang w:val="en-GB"/>
        </w:rPr>
        <w:t>latinum</w:t>
      </w:r>
      <w:r w:rsidRPr="00A8473C">
        <w:rPr>
          <w:rFonts w:ascii="Arial" w:hAnsi="Arial" w:cs="Arial"/>
          <w:lang w:val="en-GB"/>
        </w:rPr>
        <w:t xml:space="preserve"> intended to acquire PTM’s and Africa Wide’s shares in Maseve </w:t>
      </w:r>
      <w:r w:rsidR="006515A9">
        <w:rPr>
          <w:rFonts w:ascii="Arial" w:hAnsi="Arial" w:cs="Arial"/>
          <w:lang w:val="en-GB"/>
        </w:rPr>
        <w:t>‘</w:t>
      </w:r>
      <w:r w:rsidRPr="003B303C">
        <w:rPr>
          <w:rFonts w:ascii="Arial" w:hAnsi="Arial" w:cs="Arial"/>
          <w:u w:val="single"/>
          <w:lang w:val="en-GB"/>
        </w:rPr>
        <w:t>subject to and after the implementation of the plant transaction</w:t>
      </w:r>
      <w:r w:rsidR="006515A9">
        <w:rPr>
          <w:rFonts w:ascii="Arial" w:hAnsi="Arial" w:cs="Arial"/>
          <w:u w:val="single"/>
          <w:lang w:val="en-GB"/>
        </w:rPr>
        <w:t>’</w:t>
      </w:r>
      <w:r w:rsidR="00A8473C" w:rsidRPr="003B303C">
        <w:rPr>
          <w:rFonts w:ascii="Arial" w:hAnsi="Arial" w:cs="Arial"/>
          <w:u w:val="single"/>
          <w:lang w:val="en-GB"/>
        </w:rPr>
        <w:t>;</w:t>
      </w:r>
    </w:p>
    <w:p w14:paraId="54290262" w14:textId="3E268AC6" w:rsidR="00A8473C" w:rsidRPr="00A8473C" w:rsidRDefault="008D77EC" w:rsidP="00A8473C">
      <w:pPr>
        <w:pStyle w:val="ListParagraph"/>
        <w:numPr>
          <w:ilvl w:val="2"/>
          <w:numId w:val="2"/>
        </w:numPr>
        <w:spacing w:line="360" w:lineRule="auto"/>
        <w:jc w:val="both"/>
        <w:rPr>
          <w:rFonts w:ascii="Arial" w:hAnsi="Arial" w:cs="Arial"/>
        </w:rPr>
      </w:pPr>
      <w:r w:rsidRPr="00A8473C">
        <w:rPr>
          <w:rFonts w:ascii="Arial" w:hAnsi="Arial" w:cs="Arial"/>
          <w:lang w:val="en-GB"/>
        </w:rPr>
        <w:t xml:space="preserve"> it </w:t>
      </w:r>
      <w:r w:rsidR="0075165A" w:rsidRPr="00A8473C">
        <w:rPr>
          <w:rFonts w:ascii="Arial" w:hAnsi="Arial" w:cs="Arial"/>
          <w:lang w:val="en-GB"/>
        </w:rPr>
        <w:t>is a</w:t>
      </w:r>
      <w:r w:rsidRPr="00A8473C">
        <w:rPr>
          <w:rFonts w:ascii="Arial" w:hAnsi="Arial" w:cs="Arial"/>
          <w:lang w:val="en-GB"/>
        </w:rPr>
        <w:t xml:space="preserve"> suspensive condition of the SOB Agreement that Africa Wide’s shares be purchased either by agreement </w:t>
      </w:r>
      <w:r w:rsidR="0075165A" w:rsidRPr="00A8473C">
        <w:rPr>
          <w:rFonts w:ascii="Arial" w:hAnsi="Arial" w:cs="Arial"/>
          <w:lang w:val="en-GB"/>
        </w:rPr>
        <w:t>(which</w:t>
      </w:r>
      <w:r w:rsidRPr="00A8473C">
        <w:rPr>
          <w:rFonts w:ascii="Arial" w:hAnsi="Arial" w:cs="Arial"/>
          <w:lang w:val="en-GB"/>
        </w:rPr>
        <w:t xml:space="preserve"> it was anticipated would not occur) or by </w:t>
      </w:r>
      <w:r w:rsidRPr="00BE0C80">
        <w:rPr>
          <w:rFonts w:ascii="Arial" w:hAnsi="Arial" w:cs="Arial"/>
          <w:u w:val="single"/>
          <w:lang w:val="en-GB"/>
        </w:rPr>
        <w:t>a scheme of arrangement</w:t>
      </w:r>
      <w:r w:rsidR="00A8473C">
        <w:rPr>
          <w:rFonts w:ascii="Arial" w:hAnsi="Arial" w:cs="Arial"/>
          <w:lang w:val="en-GB"/>
        </w:rPr>
        <w:t>;</w:t>
      </w:r>
      <w:r w:rsidRPr="00A8473C">
        <w:rPr>
          <w:rFonts w:ascii="Arial" w:hAnsi="Arial" w:cs="Arial"/>
          <w:lang w:val="en-GB"/>
        </w:rPr>
        <w:t xml:space="preserve"> and</w:t>
      </w:r>
    </w:p>
    <w:p w14:paraId="4BBA3770" w14:textId="018FEA72" w:rsidR="009A6FA7" w:rsidRPr="006515A9" w:rsidRDefault="008D77EC" w:rsidP="00A8473C">
      <w:pPr>
        <w:pStyle w:val="ListParagraph"/>
        <w:numPr>
          <w:ilvl w:val="2"/>
          <w:numId w:val="2"/>
        </w:numPr>
        <w:spacing w:line="360" w:lineRule="auto"/>
        <w:jc w:val="both"/>
        <w:rPr>
          <w:rFonts w:ascii="Arial" w:hAnsi="Arial" w:cs="Arial"/>
          <w:u w:val="single"/>
        </w:rPr>
      </w:pPr>
      <w:r w:rsidRPr="00A8473C">
        <w:rPr>
          <w:rFonts w:ascii="Arial" w:hAnsi="Arial" w:cs="Arial"/>
          <w:lang w:val="en-GB"/>
        </w:rPr>
        <w:t xml:space="preserve"> </w:t>
      </w:r>
      <w:r w:rsidR="0075165A" w:rsidRPr="00A8473C">
        <w:rPr>
          <w:rFonts w:ascii="Arial" w:hAnsi="Arial" w:cs="Arial"/>
          <w:lang w:val="en-GB"/>
        </w:rPr>
        <w:t>the Scheme</w:t>
      </w:r>
      <w:r w:rsidRPr="00A8473C">
        <w:rPr>
          <w:rFonts w:ascii="Arial" w:hAnsi="Arial" w:cs="Arial"/>
          <w:lang w:val="en-GB"/>
        </w:rPr>
        <w:t xml:space="preserve"> Implementation Agreement expressly stated in paragraph C of its preamble that it was being concluded </w:t>
      </w:r>
      <w:r w:rsidR="00A8473C">
        <w:rPr>
          <w:rFonts w:ascii="Arial" w:hAnsi="Arial" w:cs="Arial"/>
          <w:lang w:val="en-GB"/>
        </w:rPr>
        <w:t>‘</w:t>
      </w:r>
      <w:r w:rsidRPr="003B303C">
        <w:rPr>
          <w:rFonts w:ascii="Arial" w:hAnsi="Arial" w:cs="Arial"/>
          <w:u w:val="single"/>
          <w:lang w:val="en-GB"/>
        </w:rPr>
        <w:t>subject to and following the implementation of the Plant Transaction.</w:t>
      </w:r>
      <w:r w:rsidR="00A8473C" w:rsidRPr="003B303C">
        <w:rPr>
          <w:rFonts w:ascii="Arial" w:hAnsi="Arial" w:cs="Arial"/>
          <w:u w:val="single"/>
          <w:lang w:val="en-GB"/>
        </w:rPr>
        <w:t>’</w:t>
      </w:r>
      <w:r w:rsidRPr="003B303C">
        <w:rPr>
          <w:rFonts w:ascii="Arial" w:hAnsi="Arial" w:cs="Arial"/>
          <w:u w:val="single"/>
          <w:lang w:val="en-GB"/>
        </w:rPr>
        <w:t xml:space="preserve"> </w:t>
      </w:r>
    </w:p>
    <w:p w14:paraId="46F8307D" w14:textId="50947455" w:rsidR="006515A9" w:rsidRPr="006515A9" w:rsidRDefault="0075165A" w:rsidP="006515A9">
      <w:pPr>
        <w:pStyle w:val="ListParagraph"/>
        <w:spacing w:line="360" w:lineRule="auto"/>
        <w:ind w:left="742"/>
        <w:jc w:val="both"/>
        <w:rPr>
          <w:rFonts w:ascii="Arial" w:hAnsi="Arial" w:cs="Arial"/>
        </w:rPr>
      </w:pPr>
      <w:r>
        <w:rPr>
          <w:rFonts w:ascii="Arial" w:hAnsi="Arial" w:cs="Arial"/>
        </w:rPr>
        <w:t>(E</w:t>
      </w:r>
      <w:r w:rsidR="006515A9">
        <w:rPr>
          <w:rFonts w:ascii="Arial" w:hAnsi="Arial" w:cs="Arial"/>
        </w:rPr>
        <w:t>mphasis added.</w:t>
      </w:r>
      <w:r>
        <w:rPr>
          <w:rFonts w:ascii="Arial" w:hAnsi="Arial" w:cs="Arial"/>
        </w:rPr>
        <w:t>)</w:t>
      </w:r>
    </w:p>
    <w:p w14:paraId="151B935D" w14:textId="77777777" w:rsidR="009A6FA7" w:rsidRPr="009A6FA7" w:rsidRDefault="009A6FA7" w:rsidP="009A6FA7">
      <w:pPr>
        <w:pStyle w:val="ListParagraph"/>
        <w:spacing w:line="360" w:lineRule="auto"/>
        <w:ind w:left="0"/>
        <w:jc w:val="both"/>
        <w:rPr>
          <w:rFonts w:ascii="Arial" w:hAnsi="Arial" w:cs="Arial"/>
        </w:rPr>
      </w:pPr>
    </w:p>
    <w:p w14:paraId="5ED9C3FA" w14:textId="6876E9CF" w:rsidR="009A6FA7" w:rsidRDefault="009A6FA7"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lastRenderedPageBreak/>
        <w:t>Mr Hallam</w:t>
      </w:r>
      <w:r w:rsidR="008D77EC" w:rsidRPr="009A6FA7">
        <w:rPr>
          <w:rFonts w:ascii="Arial" w:hAnsi="Arial" w:cs="Arial"/>
          <w:lang w:val="en-GB"/>
        </w:rPr>
        <w:t xml:space="preserve"> </w:t>
      </w:r>
      <w:r w:rsidR="00A0581F" w:rsidRPr="009A6FA7">
        <w:rPr>
          <w:rFonts w:ascii="Arial" w:hAnsi="Arial" w:cs="Arial"/>
          <w:lang w:val="en-GB"/>
        </w:rPr>
        <w:t>testified that</w:t>
      </w:r>
      <w:r w:rsidR="009B3E71">
        <w:rPr>
          <w:rFonts w:ascii="Arial" w:hAnsi="Arial" w:cs="Arial"/>
          <w:lang w:val="en-GB"/>
        </w:rPr>
        <w:t xml:space="preserve">, because the plant transaction was </w:t>
      </w:r>
      <w:r w:rsidR="006515A9">
        <w:rPr>
          <w:rFonts w:ascii="Arial" w:hAnsi="Arial" w:cs="Arial"/>
          <w:lang w:val="en-GB"/>
        </w:rPr>
        <w:t xml:space="preserve">merely </w:t>
      </w:r>
      <w:r w:rsidR="009B3E71">
        <w:rPr>
          <w:rFonts w:ascii="Arial" w:hAnsi="Arial" w:cs="Arial"/>
          <w:lang w:val="en-GB"/>
        </w:rPr>
        <w:t>a device</w:t>
      </w:r>
      <w:r w:rsidR="00795233">
        <w:rPr>
          <w:rFonts w:ascii="Arial" w:hAnsi="Arial" w:cs="Arial"/>
          <w:lang w:val="en-GB"/>
        </w:rPr>
        <w:t>,</w:t>
      </w:r>
      <w:r w:rsidR="008D77EC" w:rsidRPr="009A6FA7">
        <w:rPr>
          <w:rFonts w:ascii="Arial" w:hAnsi="Arial" w:cs="Arial"/>
          <w:lang w:val="en-GB"/>
        </w:rPr>
        <w:t xml:space="preserve"> the value of the </w:t>
      </w:r>
      <w:r w:rsidR="009B3E71">
        <w:rPr>
          <w:rFonts w:ascii="Arial" w:hAnsi="Arial" w:cs="Arial"/>
          <w:lang w:val="en-GB"/>
        </w:rPr>
        <w:t>p</w:t>
      </w:r>
      <w:r w:rsidR="008D77EC" w:rsidRPr="009A6FA7">
        <w:rPr>
          <w:rFonts w:ascii="Arial" w:hAnsi="Arial" w:cs="Arial"/>
          <w:lang w:val="en-GB"/>
        </w:rPr>
        <w:t xml:space="preserve">lant </w:t>
      </w:r>
      <w:r w:rsidR="009B3E71">
        <w:rPr>
          <w:rFonts w:ascii="Arial" w:hAnsi="Arial" w:cs="Arial"/>
          <w:lang w:val="en-GB"/>
        </w:rPr>
        <w:t>t</w:t>
      </w:r>
      <w:r w:rsidR="008D77EC" w:rsidRPr="009A6FA7">
        <w:rPr>
          <w:rFonts w:ascii="Arial" w:hAnsi="Arial" w:cs="Arial"/>
          <w:lang w:val="en-GB"/>
        </w:rPr>
        <w:t xml:space="preserve">ransaction (US$58 million) did not </w:t>
      </w:r>
      <w:r w:rsidR="00795233">
        <w:rPr>
          <w:rFonts w:ascii="Arial" w:hAnsi="Arial" w:cs="Arial"/>
          <w:lang w:val="en-GB"/>
        </w:rPr>
        <w:t xml:space="preserve">in any way </w:t>
      </w:r>
      <w:r w:rsidR="008D77EC" w:rsidRPr="009A6FA7">
        <w:rPr>
          <w:rFonts w:ascii="Arial" w:hAnsi="Arial" w:cs="Arial"/>
          <w:lang w:val="en-GB"/>
        </w:rPr>
        <w:t>represent the value of the plant sold</w:t>
      </w:r>
      <w:r w:rsidR="00795233">
        <w:rPr>
          <w:rFonts w:ascii="Arial" w:hAnsi="Arial" w:cs="Arial"/>
          <w:lang w:val="en-GB"/>
        </w:rPr>
        <w:t>. He explained that it</w:t>
      </w:r>
      <w:r w:rsidR="008D77EC" w:rsidRPr="009A6FA7">
        <w:rPr>
          <w:rFonts w:ascii="Arial" w:hAnsi="Arial" w:cs="Arial"/>
          <w:lang w:val="en-GB"/>
        </w:rPr>
        <w:t xml:space="preserve"> was an arbitrary figure arrived at pursuant to </w:t>
      </w:r>
      <w:r w:rsidR="00795233">
        <w:rPr>
          <w:rFonts w:ascii="Arial" w:hAnsi="Arial" w:cs="Arial"/>
          <w:lang w:val="en-GB"/>
        </w:rPr>
        <w:t>the negotiations</w:t>
      </w:r>
      <w:r w:rsidR="008D77EC" w:rsidRPr="009A6FA7">
        <w:rPr>
          <w:rFonts w:ascii="Arial" w:hAnsi="Arial" w:cs="Arial"/>
          <w:lang w:val="en-GB"/>
        </w:rPr>
        <w:t xml:space="preserve"> in terms of which Mr Hallam was trying to get as much of the overall price of US$70 million paid up-front. </w:t>
      </w:r>
      <w:r w:rsidR="00795233">
        <w:rPr>
          <w:rFonts w:ascii="Arial" w:hAnsi="Arial" w:cs="Arial"/>
          <w:lang w:val="en-GB"/>
        </w:rPr>
        <w:t>This was confirmed by the evidence of Mr Stevenson and</w:t>
      </w:r>
      <w:r w:rsidR="008D77EC" w:rsidRPr="009A6FA7">
        <w:rPr>
          <w:rFonts w:ascii="Arial" w:hAnsi="Arial" w:cs="Arial"/>
        </w:rPr>
        <w:t xml:space="preserve"> was not challenged</w:t>
      </w:r>
      <w:r w:rsidR="00795233">
        <w:rPr>
          <w:rFonts w:ascii="Arial" w:hAnsi="Arial" w:cs="Arial"/>
        </w:rPr>
        <w:t xml:space="preserve"> on behalf of the plaintiff</w:t>
      </w:r>
      <w:r>
        <w:rPr>
          <w:rFonts w:ascii="Arial" w:hAnsi="Arial" w:cs="Arial"/>
        </w:rPr>
        <w:t>.</w:t>
      </w:r>
    </w:p>
    <w:p w14:paraId="74626C32" w14:textId="77777777" w:rsidR="009A6FA7" w:rsidRPr="009A6FA7" w:rsidRDefault="009A6FA7" w:rsidP="009A6FA7">
      <w:pPr>
        <w:pStyle w:val="ListParagraph"/>
        <w:rPr>
          <w:rFonts w:ascii="Arial" w:hAnsi="Arial" w:cs="Arial"/>
          <w:lang w:val="en-GB"/>
        </w:rPr>
      </w:pPr>
    </w:p>
    <w:p w14:paraId="2B79590D" w14:textId="7A887F1A" w:rsidR="009A6FA7" w:rsidRDefault="00DE0206" w:rsidP="00DF7D1E">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 xml:space="preserve">  Professor Harvey Wainer</w:t>
      </w:r>
      <w:r w:rsidR="00EE25CC">
        <w:rPr>
          <w:rFonts w:ascii="Arial" w:hAnsi="Arial" w:cs="Arial"/>
          <w:lang w:val="en-GB"/>
        </w:rPr>
        <w:t>,</w:t>
      </w:r>
      <w:r>
        <w:rPr>
          <w:rFonts w:ascii="Arial" w:hAnsi="Arial" w:cs="Arial"/>
          <w:lang w:val="en-GB"/>
        </w:rPr>
        <w:t xml:space="preserve"> </w:t>
      </w:r>
      <w:r w:rsidR="008D77EC" w:rsidRPr="00855B36">
        <w:rPr>
          <w:rFonts w:ascii="Arial" w:hAnsi="Arial" w:cs="Arial"/>
          <w:lang w:val="en-GB"/>
        </w:rPr>
        <w:t xml:space="preserve">who was the financial expert ultimately relied on by both </w:t>
      </w:r>
      <w:r w:rsidR="00EE25CC" w:rsidRPr="00855B36">
        <w:rPr>
          <w:rFonts w:ascii="Arial" w:hAnsi="Arial" w:cs="Arial"/>
          <w:lang w:val="en-GB"/>
        </w:rPr>
        <w:t>parties</w:t>
      </w:r>
      <w:r w:rsidR="00EE25CC">
        <w:rPr>
          <w:rFonts w:ascii="Arial" w:hAnsi="Arial" w:cs="Arial"/>
          <w:lang w:val="en-GB"/>
        </w:rPr>
        <w:t>,</w:t>
      </w:r>
      <w:r w:rsidR="00EE25CC" w:rsidRPr="00855B36">
        <w:rPr>
          <w:rFonts w:ascii="Arial" w:hAnsi="Arial" w:cs="Arial"/>
          <w:lang w:val="en-GB"/>
        </w:rPr>
        <w:t xml:space="preserve"> explained</w:t>
      </w:r>
      <w:r w:rsidR="008D77EC" w:rsidRPr="00855B36">
        <w:rPr>
          <w:rFonts w:ascii="Arial" w:hAnsi="Arial" w:cs="Arial"/>
          <w:lang w:val="en-GB"/>
        </w:rPr>
        <w:t xml:space="preserve"> that the determination as to plant value was necessarily subject to substantial arbitrariness and subjectivity due to the allocation of value be</w:t>
      </w:r>
      <w:r w:rsidR="009A6FA7" w:rsidRPr="00855B36">
        <w:rPr>
          <w:rFonts w:ascii="Arial" w:hAnsi="Arial" w:cs="Arial"/>
          <w:lang w:val="en-GB"/>
        </w:rPr>
        <w:t xml:space="preserve">tween assets and mineral rights being </w:t>
      </w:r>
      <w:r w:rsidR="008D77EC" w:rsidRPr="00855B36">
        <w:rPr>
          <w:rFonts w:ascii="Arial" w:hAnsi="Arial" w:cs="Arial"/>
          <w:lang w:val="en-GB"/>
        </w:rPr>
        <w:t>set by the par</w:t>
      </w:r>
      <w:r w:rsidR="00EE25CC">
        <w:rPr>
          <w:rFonts w:ascii="Arial" w:hAnsi="Arial" w:cs="Arial"/>
          <w:lang w:val="en-GB"/>
        </w:rPr>
        <w:t>t</w:t>
      </w:r>
      <w:r w:rsidR="008D77EC" w:rsidRPr="00855B36">
        <w:rPr>
          <w:rFonts w:ascii="Arial" w:hAnsi="Arial" w:cs="Arial"/>
          <w:lang w:val="en-GB"/>
        </w:rPr>
        <w:t>ies for the purposes of convenience rather than actuality. He explained that the allocation is not a ‘measure of the true economic fai</w:t>
      </w:r>
      <w:r w:rsidR="009A6FA7" w:rsidRPr="00855B36">
        <w:rPr>
          <w:rFonts w:ascii="Arial" w:hAnsi="Arial" w:cs="Arial"/>
          <w:lang w:val="en-GB"/>
        </w:rPr>
        <w:t xml:space="preserve">r value of the two </w:t>
      </w:r>
      <w:r w:rsidR="00A0581F" w:rsidRPr="00855B36">
        <w:rPr>
          <w:rFonts w:ascii="Arial" w:hAnsi="Arial" w:cs="Arial"/>
          <w:lang w:val="en-GB"/>
        </w:rPr>
        <w:t>elements</w:t>
      </w:r>
      <w:r w:rsidR="009A6FA7" w:rsidRPr="00855B36">
        <w:rPr>
          <w:rFonts w:ascii="Arial" w:hAnsi="Arial" w:cs="Arial"/>
          <w:lang w:val="en-GB"/>
        </w:rPr>
        <w:t>.</w:t>
      </w:r>
      <w:r w:rsidR="00A0581F">
        <w:rPr>
          <w:rFonts w:ascii="Arial" w:hAnsi="Arial" w:cs="Arial"/>
          <w:lang w:val="en-GB"/>
        </w:rPr>
        <w:t>’</w:t>
      </w:r>
      <w:r w:rsidR="009A6FA7" w:rsidRPr="00855B36">
        <w:rPr>
          <w:rFonts w:ascii="Arial" w:hAnsi="Arial" w:cs="Arial"/>
          <w:lang w:val="en-GB"/>
        </w:rPr>
        <w:t xml:space="preserve"> He</w:t>
      </w:r>
      <w:r w:rsidR="008D77EC" w:rsidRPr="00855B36">
        <w:rPr>
          <w:rFonts w:ascii="Arial" w:hAnsi="Arial" w:cs="Arial"/>
          <w:lang w:val="en-GB"/>
        </w:rPr>
        <w:t xml:space="preserve"> confirmed that the arbitrariness of the allocation of values applied to both the transaction values and the financial statements. He explained that the percentages</w:t>
      </w:r>
      <w:r w:rsidR="00EE25CC">
        <w:rPr>
          <w:rFonts w:ascii="Arial" w:hAnsi="Arial" w:cs="Arial"/>
          <w:lang w:val="en-GB"/>
        </w:rPr>
        <w:t xml:space="preserve"> and values</w:t>
      </w:r>
      <w:r w:rsidR="008D77EC" w:rsidRPr="00855B36">
        <w:rPr>
          <w:rFonts w:ascii="Arial" w:hAnsi="Arial" w:cs="Arial"/>
          <w:lang w:val="en-GB"/>
        </w:rPr>
        <w:t xml:space="preserve"> set out in his report </w:t>
      </w:r>
      <w:r w:rsidR="00855B36" w:rsidRPr="00855B36">
        <w:rPr>
          <w:rFonts w:ascii="Arial" w:hAnsi="Arial" w:cs="Arial"/>
          <w:lang w:val="en-GB"/>
        </w:rPr>
        <w:t>were</w:t>
      </w:r>
      <w:r w:rsidR="008D77EC" w:rsidRPr="00855B36">
        <w:rPr>
          <w:rFonts w:ascii="Arial" w:hAnsi="Arial" w:cs="Arial"/>
          <w:lang w:val="en-GB"/>
        </w:rPr>
        <w:t xml:space="preserve"> subject to the arbitrary nature of the allocation</w:t>
      </w:r>
      <w:r w:rsidR="00855B36" w:rsidRPr="00855B36">
        <w:rPr>
          <w:rFonts w:ascii="Arial" w:hAnsi="Arial" w:cs="Arial"/>
          <w:lang w:val="en-GB"/>
        </w:rPr>
        <w:t>s</w:t>
      </w:r>
      <w:r w:rsidR="008D77EC" w:rsidRPr="00855B36">
        <w:rPr>
          <w:rFonts w:ascii="Arial" w:hAnsi="Arial" w:cs="Arial"/>
          <w:lang w:val="en-GB"/>
        </w:rPr>
        <w:t xml:space="preserve">. </w:t>
      </w:r>
    </w:p>
    <w:p w14:paraId="48A28862" w14:textId="77777777" w:rsidR="00855B36" w:rsidRPr="00855B36" w:rsidRDefault="00855B36" w:rsidP="00855B36">
      <w:pPr>
        <w:pStyle w:val="ListParagraph"/>
        <w:rPr>
          <w:rFonts w:ascii="Arial" w:hAnsi="Arial" w:cs="Arial"/>
          <w:lang w:val="en-GB"/>
        </w:rPr>
      </w:pPr>
    </w:p>
    <w:p w14:paraId="26F964F3" w14:textId="7063130A" w:rsidR="00855B36" w:rsidRDefault="0000391C" w:rsidP="00DF7D1E">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Prof Wainer’s evidence was thus to the effect that</w:t>
      </w:r>
      <w:r w:rsidR="00855B36">
        <w:rPr>
          <w:rFonts w:ascii="Arial" w:hAnsi="Arial" w:cs="Arial"/>
          <w:lang w:val="en-GB"/>
        </w:rPr>
        <w:t xml:space="preserve"> the percentages used in order to determine the </w:t>
      </w:r>
      <w:r w:rsidR="00EE25CC">
        <w:rPr>
          <w:rFonts w:ascii="Arial" w:hAnsi="Arial" w:cs="Arial"/>
          <w:lang w:val="en-GB"/>
        </w:rPr>
        <w:t>plaintiff’s</w:t>
      </w:r>
      <w:r w:rsidR="00855B36">
        <w:rPr>
          <w:rFonts w:ascii="Arial" w:hAnsi="Arial" w:cs="Arial"/>
          <w:lang w:val="en-GB"/>
        </w:rPr>
        <w:t xml:space="preserve"> case on the </w:t>
      </w:r>
      <w:r>
        <w:rPr>
          <w:rFonts w:ascii="Arial" w:hAnsi="Arial" w:cs="Arial"/>
          <w:lang w:val="en-GB"/>
        </w:rPr>
        <w:t xml:space="preserve">minority protections are unreliable and not founded in </w:t>
      </w:r>
      <w:r w:rsidR="00A0581F">
        <w:rPr>
          <w:rFonts w:ascii="Arial" w:hAnsi="Arial" w:cs="Arial"/>
          <w:lang w:val="en-GB"/>
        </w:rPr>
        <w:t>reality.</w:t>
      </w:r>
    </w:p>
    <w:p w14:paraId="1C004A77" w14:textId="77777777" w:rsidR="00855B36" w:rsidRPr="00855B36" w:rsidRDefault="00855B36" w:rsidP="00855B36">
      <w:pPr>
        <w:pStyle w:val="ListParagraph"/>
        <w:spacing w:line="360" w:lineRule="auto"/>
        <w:ind w:left="0"/>
        <w:jc w:val="both"/>
        <w:rPr>
          <w:rFonts w:ascii="Arial" w:hAnsi="Arial" w:cs="Arial"/>
          <w:lang w:val="en-GB"/>
        </w:rPr>
      </w:pPr>
    </w:p>
    <w:p w14:paraId="4FA220D7" w14:textId="1CEED9CB" w:rsidR="00D63C05" w:rsidRPr="00D63C05" w:rsidRDefault="008D77EC" w:rsidP="008D77EC">
      <w:pPr>
        <w:pStyle w:val="ListParagraph"/>
        <w:numPr>
          <w:ilvl w:val="0"/>
          <w:numId w:val="2"/>
        </w:numPr>
        <w:spacing w:line="360" w:lineRule="auto"/>
        <w:ind w:left="0" w:firstLine="0"/>
        <w:jc w:val="both"/>
        <w:rPr>
          <w:rFonts w:ascii="Arial" w:hAnsi="Arial" w:cs="Arial"/>
        </w:rPr>
      </w:pPr>
      <w:r w:rsidRPr="009A6FA7">
        <w:rPr>
          <w:rFonts w:ascii="Arial" w:hAnsi="Arial" w:cs="Arial"/>
          <w:lang w:val="en-GB"/>
        </w:rPr>
        <w:t xml:space="preserve">There is also no indication in the terms of the agreements evidencing the </w:t>
      </w:r>
      <w:r w:rsidR="00A0581F" w:rsidRPr="009A6FA7">
        <w:rPr>
          <w:rFonts w:ascii="Arial" w:hAnsi="Arial" w:cs="Arial"/>
          <w:lang w:val="en-GB"/>
        </w:rPr>
        <w:t xml:space="preserve">transaction </w:t>
      </w:r>
      <w:r w:rsidR="00A0581F">
        <w:rPr>
          <w:rFonts w:ascii="Arial" w:hAnsi="Arial" w:cs="Arial"/>
          <w:lang w:val="en-GB"/>
        </w:rPr>
        <w:t>that</w:t>
      </w:r>
      <w:r w:rsidR="009A6FA7">
        <w:rPr>
          <w:rFonts w:ascii="Arial" w:hAnsi="Arial" w:cs="Arial"/>
          <w:lang w:val="en-GB"/>
        </w:rPr>
        <w:t xml:space="preserve"> RB</w:t>
      </w:r>
      <w:r w:rsidR="006416F8">
        <w:rPr>
          <w:rFonts w:ascii="Arial" w:hAnsi="Arial" w:cs="Arial"/>
          <w:lang w:val="en-GB"/>
        </w:rPr>
        <w:t xml:space="preserve"> </w:t>
      </w:r>
      <w:r w:rsidR="009A6FA7">
        <w:rPr>
          <w:rFonts w:ascii="Arial" w:hAnsi="Arial" w:cs="Arial"/>
          <w:lang w:val="en-GB"/>
        </w:rPr>
        <w:t xml:space="preserve">Platinum </w:t>
      </w:r>
      <w:r w:rsidRPr="009A6FA7">
        <w:rPr>
          <w:rFonts w:ascii="Arial" w:hAnsi="Arial" w:cs="Arial"/>
          <w:lang w:val="en-GB"/>
        </w:rPr>
        <w:t xml:space="preserve">intended to alter Maseve's core business of mining. </w:t>
      </w:r>
    </w:p>
    <w:p w14:paraId="5840F2D9" w14:textId="6E34E3BE" w:rsidR="009A6FA7" w:rsidRPr="009A6FA7" w:rsidRDefault="009A6FA7" w:rsidP="00D63C05">
      <w:pPr>
        <w:pStyle w:val="ListParagraph"/>
        <w:spacing w:line="360" w:lineRule="auto"/>
        <w:ind w:left="0"/>
        <w:jc w:val="both"/>
        <w:rPr>
          <w:rFonts w:ascii="Arial" w:hAnsi="Arial" w:cs="Arial"/>
        </w:rPr>
      </w:pPr>
    </w:p>
    <w:p w14:paraId="2D19F7EF" w14:textId="77777777" w:rsidR="009A6FA7" w:rsidRPr="009A6FA7" w:rsidRDefault="009A6FA7" w:rsidP="009A6FA7">
      <w:pPr>
        <w:pStyle w:val="ListParagraph"/>
        <w:rPr>
          <w:rFonts w:ascii="Arial" w:hAnsi="Arial" w:cs="Arial"/>
          <w:lang w:val="en-GB"/>
        </w:rPr>
      </w:pPr>
    </w:p>
    <w:p w14:paraId="78487220" w14:textId="59DBDE15" w:rsidR="009A6FA7" w:rsidRPr="00BB2E24" w:rsidRDefault="008D77EC" w:rsidP="008D77EC">
      <w:pPr>
        <w:pStyle w:val="ListParagraph"/>
        <w:numPr>
          <w:ilvl w:val="0"/>
          <w:numId w:val="2"/>
        </w:numPr>
        <w:spacing w:line="360" w:lineRule="auto"/>
        <w:ind w:left="0" w:firstLine="0"/>
        <w:jc w:val="both"/>
        <w:rPr>
          <w:rFonts w:ascii="Arial" w:hAnsi="Arial" w:cs="Arial"/>
        </w:rPr>
      </w:pPr>
      <w:r w:rsidRPr="009A6FA7">
        <w:rPr>
          <w:rFonts w:ascii="Arial" w:hAnsi="Arial" w:cs="Arial"/>
          <w:lang w:val="en-GB"/>
        </w:rPr>
        <w:t>The plaintiff called Mr Robert Croll, a mining en</w:t>
      </w:r>
      <w:r w:rsidR="009A6FA7">
        <w:rPr>
          <w:rFonts w:ascii="Arial" w:hAnsi="Arial" w:cs="Arial"/>
          <w:lang w:val="en-GB"/>
        </w:rPr>
        <w:t xml:space="preserve">gineer of 40 years’ experience </w:t>
      </w:r>
      <w:r w:rsidRPr="009A6FA7">
        <w:rPr>
          <w:rFonts w:ascii="Arial" w:hAnsi="Arial" w:cs="Arial"/>
          <w:lang w:val="en-GB"/>
        </w:rPr>
        <w:t>to testify as to how</w:t>
      </w:r>
      <w:r w:rsidR="00BB2E24">
        <w:rPr>
          <w:rFonts w:ascii="Arial" w:hAnsi="Arial" w:cs="Arial"/>
          <w:lang w:val="en-GB"/>
        </w:rPr>
        <w:t>, in his professional opinion,</w:t>
      </w:r>
      <w:r w:rsidRPr="009A6FA7">
        <w:rPr>
          <w:rFonts w:ascii="Arial" w:hAnsi="Arial" w:cs="Arial"/>
          <w:lang w:val="en-GB"/>
        </w:rPr>
        <w:t xml:space="preserve"> the nature of the business of Maseve was </w:t>
      </w:r>
      <w:r w:rsidR="0000391C">
        <w:rPr>
          <w:rFonts w:ascii="Arial" w:hAnsi="Arial" w:cs="Arial"/>
          <w:lang w:val="en-GB"/>
        </w:rPr>
        <w:t xml:space="preserve">or </w:t>
      </w:r>
      <w:r w:rsidR="00BB2E24">
        <w:rPr>
          <w:rFonts w:ascii="Arial" w:hAnsi="Arial" w:cs="Arial"/>
          <w:lang w:val="en-GB"/>
        </w:rPr>
        <w:t>would have been affected by the</w:t>
      </w:r>
      <w:r w:rsidR="00D63C05">
        <w:rPr>
          <w:rFonts w:ascii="Arial" w:hAnsi="Arial" w:cs="Arial"/>
          <w:lang w:val="en-GB"/>
        </w:rPr>
        <w:t xml:space="preserve"> plant transaction</w:t>
      </w:r>
      <w:r w:rsidRPr="009A6FA7">
        <w:rPr>
          <w:rFonts w:ascii="Arial" w:hAnsi="Arial" w:cs="Arial"/>
          <w:lang w:val="en-GB"/>
        </w:rPr>
        <w:t xml:space="preserve">. His evidence did not add </w:t>
      </w:r>
      <w:r w:rsidR="006416F8">
        <w:rPr>
          <w:rFonts w:ascii="Arial" w:hAnsi="Arial" w:cs="Arial"/>
          <w:lang w:val="en-GB"/>
        </w:rPr>
        <w:t xml:space="preserve">much </w:t>
      </w:r>
      <w:r w:rsidRPr="009A6FA7">
        <w:rPr>
          <w:rFonts w:ascii="Arial" w:hAnsi="Arial" w:cs="Arial"/>
          <w:lang w:val="en-GB"/>
        </w:rPr>
        <w:t xml:space="preserve">to the debate. </w:t>
      </w:r>
      <w:r w:rsidR="00BB2E24">
        <w:rPr>
          <w:rFonts w:ascii="Arial" w:hAnsi="Arial" w:cs="Arial"/>
          <w:lang w:val="en-GB"/>
        </w:rPr>
        <w:t xml:space="preserve">The central inquiry raised by the evidence was whether </w:t>
      </w:r>
      <w:r w:rsidR="00AF28B1">
        <w:rPr>
          <w:rFonts w:ascii="Arial" w:hAnsi="Arial" w:cs="Arial"/>
          <w:lang w:val="en-GB"/>
        </w:rPr>
        <w:t xml:space="preserve">Maseve could be seen to be conducting the same business once it had no plant. Mr Croll said that the </w:t>
      </w:r>
      <w:r w:rsidR="00A0581F">
        <w:rPr>
          <w:rFonts w:ascii="Arial" w:hAnsi="Arial" w:cs="Arial"/>
          <w:lang w:val="en-GB"/>
        </w:rPr>
        <w:t>disposal</w:t>
      </w:r>
      <w:r w:rsidR="00AF28B1">
        <w:rPr>
          <w:rFonts w:ascii="Arial" w:hAnsi="Arial" w:cs="Arial"/>
          <w:lang w:val="en-GB"/>
        </w:rPr>
        <w:t xml:space="preserve"> of the plant profoundly altered the business; the </w:t>
      </w:r>
      <w:r w:rsidR="00EE25CC">
        <w:rPr>
          <w:rFonts w:ascii="Arial" w:hAnsi="Arial" w:cs="Arial"/>
          <w:lang w:val="en-GB"/>
        </w:rPr>
        <w:t>defendants disagreed</w:t>
      </w:r>
      <w:r w:rsidR="00747D7F">
        <w:rPr>
          <w:rFonts w:ascii="Arial" w:hAnsi="Arial" w:cs="Arial"/>
          <w:lang w:val="en-GB"/>
        </w:rPr>
        <w:t xml:space="preserve"> that the business, which was mining, had changed in a manner proscribed in the minority protection clauses.</w:t>
      </w:r>
    </w:p>
    <w:p w14:paraId="6778C632" w14:textId="77777777" w:rsidR="00BB2E24" w:rsidRPr="009A6FA7" w:rsidRDefault="00BB2E24" w:rsidP="00BB2E24">
      <w:pPr>
        <w:pStyle w:val="ListParagraph"/>
        <w:spacing w:line="360" w:lineRule="auto"/>
        <w:ind w:left="0"/>
        <w:jc w:val="both"/>
        <w:rPr>
          <w:rFonts w:ascii="Arial" w:hAnsi="Arial" w:cs="Arial"/>
        </w:rPr>
      </w:pPr>
    </w:p>
    <w:p w14:paraId="223859D2" w14:textId="77777777" w:rsidR="009A6FA7" w:rsidRPr="009A6FA7" w:rsidRDefault="009A6FA7" w:rsidP="009A6FA7">
      <w:pPr>
        <w:pStyle w:val="ListParagraph"/>
        <w:rPr>
          <w:rFonts w:ascii="Arial" w:hAnsi="Arial" w:cs="Arial"/>
          <w:lang w:val="en-GB"/>
        </w:rPr>
      </w:pPr>
    </w:p>
    <w:p w14:paraId="3C561ED6" w14:textId="30EA01CB" w:rsidR="009A6FA7" w:rsidRPr="009A6FA7" w:rsidRDefault="00747D7F"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lastRenderedPageBreak/>
        <w:t>It is not in dispute that the scheme was implemented.</w:t>
      </w:r>
      <w:r w:rsidR="008D77EC" w:rsidRPr="009A6FA7">
        <w:rPr>
          <w:rFonts w:ascii="Arial" w:hAnsi="Arial" w:cs="Arial"/>
          <w:lang w:val="en-GB"/>
        </w:rPr>
        <w:t xml:space="preserve"> On 22 December 2017 a round-robin board resolution was circulated to approve all the steps statutorily required under the Act for </w:t>
      </w:r>
      <w:r w:rsidR="004C4F34">
        <w:rPr>
          <w:rFonts w:ascii="Arial" w:hAnsi="Arial" w:cs="Arial"/>
          <w:lang w:val="en-GB"/>
        </w:rPr>
        <w:t xml:space="preserve">the coming into force of </w:t>
      </w:r>
      <w:r w:rsidR="008D77EC" w:rsidRPr="009A6FA7">
        <w:rPr>
          <w:rFonts w:ascii="Arial" w:hAnsi="Arial" w:cs="Arial"/>
          <w:lang w:val="en-GB"/>
        </w:rPr>
        <w:t>schemes of arrangement. The resolution was approved, although Mr Mothomogolo voted against it. Following this, a shareholders' meeting was held on 12 January 2018 to approve the scheme of arrangement. It was approved by special resolution in terms of the provisions of section 114(1)(c)</w:t>
      </w:r>
      <w:r w:rsidR="009A6FA7">
        <w:rPr>
          <w:rFonts w:ascii="Arial" w:hAnsi="Arial" w:cs="Arial"/>
          <w:lang w:val="en-GB"/>
        </w:rPr>
        <w:t xml:space="preserve"> </w:t>
      </w:r>
      <w:r w:rsidR="008D77EC" w:rsidRPr="009A6FA7">
        <w:rPr>
          <w:rFonts w:ascii="Arial" w:hAnsi="Arial" w:cs="Arial"/>
          <w:lang w:val="en-GB"/>
        </w:rPr>
        <w:t xml:space="preserve">and 115(2) of the Act. Consequently, all steps required by the Companies Act to implement a scheme of arrangement under sections 114 and 115 were taken. Mr Mothomogolo attended the meeting. His </w:t>
      </w:r>
      <w:r w:rsidR="005250F0">
        <w:rPr>
          <w:rFonts w:ascii="Arial" w:hAnsi="Arial" w:cs="Arial"/>
          <w:lang w:val="en-GB"/>
        </w:rPr>
        <w:t xml:space="preserve">dissenting </w:t>
      </w:r>
      <w:r w:rsidR="008D77EC" w:rsidRPr="009A6FA7">
        <w:rPr>
          <w:rFonts w:ascii="Arial" w:hAnsi="Arial" w:cs="Arial"/>
          <w:lang w:val="en-GB"/>
        </w:rPr>
        <w:t>vote, against the resolution, was recorded.</w:t>
      </w:r>
    </w:p>
    <w:p w14:paraId="4BC45F55" w14:textId="77777777" w:rsidR="009A6FA7" w:rsidRPr="009A6FA7" w:rsidRDefault="009A6FA7" w:rsidP="009A6FA7">
      <w:pPr>
        <w:pStyle w:val="ListParagraph"/>
        <w:rPr>
          <w:rFonts w:ascii="Arial" w:hAnsi="Arial" w:cs="Arial"/>
          <w:lang w:val="en-GB"/>
        </w:rPr>
      </w:pPr>
    </w:p>
    <w:p w14:paraId="11E1B425" w14:textId="0F6979CA" w:rsidR="009A6FA7" w:rsidRDefault="009A6FA7" w:rsidP="00DA6487">
      <w:pPr>
        <w:pStyle w:val="ListParagraph"/>
        <w:numPr>
          <w:ilvl w:val="0"/>
          <w:numId w:val="2"/>
        </w:numPr>
        <w:spacing w:line="360" w:lineRule="auto"/>
        <w:ind w:left="0" w:firstLine="0"/>
        <w:jc w:val="both"/>
        <w:rPr>
          <w:rFonts w:ascii="Arial" w:hAnsi="Arial" w:cs="Arial"/>
          <w:lang w:val="en-GB"/>
        </w:rPr>
      </w:pPr>
      <w:r w:rsidRPr="006218BB">
        <w:rPr>
          <w:rFonts w:ascii="Arial" w:hAnsi="Arial" w:cs="Arial"/>
          <w:lang w:val="en-GB"/>
        </w:rPr>
        <w:t xml:space="preserve"> The</w:t>
      </w:r>
      <w:r w:rsidR="008D77EC" w:rsidRPr="006218BB">
        <w:rPr>
          <w:rFonts w:ascii="Arial" w:hAnsi="Arial" w:cs="Arial"/>
          <w:lang w:val="en-GB"/>
        </w:rPr>
        <w:t xml:space="preserve"> first iteration of the SOB Agreement had contained the condition that Africa Wide approve the transaction. It was later decided that Africa Wide was unlikely to give its approval and that this condition should be removed. </w:t>
      </w:r>
    </w:p>
    <w:p w14:paraId="5C71E743" w14:textId="77777777" w:rsidR="006218BB" w:rsidRPr="006218BB" w:rsidRDefault="006218BB" w:rsidP="006218BB">
      <w:pPr>
        <w:pStyle w:val="ListParagraph"/>
        <w:spacing w:line="360" w:lineRule="auto"/>
        <w:ind w:left="0"/>
        <w:jc w:val="both"/>
        <w:rPr>
          <w:rFonts w:ascii="Arial" w:hAnsi="Arial" w:cs="Arial"/>
          <w:lang w:val="en-GB"/>
        </w:rPr>
      </w:pPr>
    </w:p>
    <w:p w14:paraId="57EB158C" w14:textId="12A80A30" w:rsidR="009A6FA7" w:rsidRPr="009A6FA7" w:rsidRDefault="008D77EC" w:rsidP="008D77EC">
      <w:pPr>
        <w:pStyle w:val="ListParagraph"/>
        <w:numPr>
          <w:ilvl w:val="0"/>
          <w:numId w:val="2"/>
        </w:numPr>
        <w:spacing w:line="360" w:lineRule="auto"/>
        <w:ind w:left="0" w:firstLine="0"/>
        <w:jc w:val="both"/>
        <w:rPr>
          <w:rFonts w:ascii="Arial" w:hAnsi="Arial" w:cs="Arial"/>
        </w:rPr>
      </w:pPr>
      <w:r w:rsidRPr="009A6FA7">
        <w:rPr>
          <w:rFonts w:ascii="Arial" w:hAnsi="Arial" w:cs="Arial"/>
          <w:lang w:val="en-GB"/>
        </w:rPr>
        <w:t xml:space="preserve">The removal was effected in February 2018. This entailed the </w:t>
      </w:r>
      <w:r w:rsidR="00EE25CC" w:rsidRPr="009A6FA7">
        <w:rPr>
          <w:rFonts w:ascii="Arial" w:hAnsi="Arial" w:cs="Arial"/>
          <w:lang w:val="en-GB"/>
        </w:rPr>
        <w:t>defendant’s</w:t>
      </w:r>
      <w:r w:rsidRPr="009A6FA7">
        <w:rPr>
          <w:rFonts w:ascii="Arial" w:hAnsi="Arial" w:cs="Arial"/>
          <w:lang w:val="en-GB"/>
        </w:rPr>
        <w:t xml:space="preserve"> removal of cla</w:t>
      </w:r>
      <w:r w:rsidR="009A6FA7">
        <w:rPr>
          <w:rFonts w:ascii="Arial" w:hAnsi="Arial" w:cs="Arial"/>
          <w:lang w:val="en-GB"/>
        </w:rPr>
        <w:t xml:space="preserve">use 3.1.5 of the SOB Agreement </w:t>
      </w:r>
      <w:r w:rsidRPr="009A6FA7">
        <w:rPr>
          <w:rFonts w:ascii="Arial" w:hAnsi="Arial" w:cs="Arial"/>
          <w:lang w:val="en-GB"/>
        </w:rPr>
        <w:t xml:space="preserve">which provided for the approval of Africa Wide and the replacement therewith of the following clause: </w:t>
      </w:r>
    </w:p>
    <w:p w14:paraId="6AC7CD30" w14:textId="77777777" w:rsidR="009A6FA7" w:rsidRPr="009A6FA7" w:rsidRDefault="009A6FA7" w:rsidP="009A6FA7">
      <w:pPr>
        <w:pStyle w:val="ListParagraph"/>
        <w:rPr>
          <w:rFonts w:ascii="Arial" w:hAnsi="Arial" w:cs="Arial"/>
          <w:lang w:val="en-GB"/>
        </w:rPr>
      </w:pPr>
    </w:p>
    <w:p w14:paraId="280B5C17" w14:textId="77777777" w:rsidR="009A6FA7" w:rsidRPr="009A6FA7" w:rsidRDefault="008D77EC" w:rsidP="009A6FA7">
      <w:pPr>
        <w:pStyle w:val="ListParagraph"/>
        <w:spacing w:line="360" w:lineRule="auto"/>
        <w:ind w:left="0"/>
        <w:jc w:val="both"/>
        <w:rPr>
          <w:rFonts w:ascii="Arial" w:hAnsi="Arial" w:cs="Arial"/>
          <w:sz w:val="22"/>
          <w:szCs w:val="22"/>
        </w:rPr>
      </w:pPr>
      <w:r w:rsidRPr="009A6FA7">
        <w:rPr>
          <w:rFonts w:ascii="Arial" w:hAnsi="Arial" w:cs="Arial"/>
          <w:sz w:val="22"/>
          <w:szCs w:val="22"/>
          <w:lang w:val="en-GB"/>
        </w:rPr>
        <w:t>"the board of directors of Maseve having convened a meeting of shareholders of Maseve to consider a proposal to implement a scheme of arrangement in terms of section 114 of the Companies Act in terms of which PTM (RSA) and Africa Wide shall sell the PTM (RSA) Sale Equity and the Africa Wide Sale Shares to RB Plat substantially on the terms proposed in the Scheme Agreement, the Maseve shareholders have approved the Scheme and if any of the Maseve shareholders voted against the resolution to approve the Scheme, such resolution not requiring court approval in terms of Section 115(3) or (4) of the Companies Act "</w:t>
      </w:r>
    </w:p>
    <w:p w14:paraId="2360725D" w14:textId="77777777" w:rsidR="009A6FA7" w:rsidRPr="009A6FA7" w:rsidRDefault="009A6FA7" w:rsidP="009A6FA7">
      <w:pPr>
        <w:pStyle w:val="ListParagraph"/>
        <w:rPr>
          <w:rFonts w:ascii="Arial" w:hAnsi="Arial" w:cs="Arial"/>
          <w:lang w:val="en-GB"/>
        </w:rPr>
      </w:pPr>
    </w:p>
    <w:p w14:paraId="692DA79B" w14:textId="615CD9E2" w:rsidR="003C681C" w:rsidRPr="00A87F80" w:rsidRDefault="003D6809"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The defendant argues that</w:t>
      </w:r>
      <w:r w:rsidR="008D77EC" w:rsidRPr="009A6FA7">
        <w:rPr>
          <w:rFonts w:ascii="Arial" w:hAnsi="Arial" w:cs="Arial"/>
          <w:lang w:val="en-GB"/>
        </w:rPr>
        <w:t xml:space="preserve"> suspensive conditions, in respect of both the SOB Agreement and the Scheme Agreement, were thus regarded as having been met and the transaction was finalised on 26 April 2018. The finalisation and uncondi</w:t>
      </w:r>
      <w:r w:rsidR="009D28DE">
        <w:rPr>
          <w:rFonts w:ascii="Arial" w:hAnsi="Arial" w:cs="Arial"/>
          <w:lang w:val="en-GB"/>
        </w:rPr>
        <w:t>tionality of each agreement was</w:t>
      </w:r>
      <w:r w:rsidR="00293C4D">
        <w:rPr>
          <w:rFonts w:ascii="Arial" w:hAnsi="Arial" w:cs="Arial"/>
          <w:lang w:val="en-GB"/>
        </w:rPr>
        <w:t xml:space="preserve"> formally </w:t>
      </w:r>
      <w:r w:rsidR="008D77EC" w:rsidRPr="009A6FA7">
        <w:rPr>
          <w:rFonts w:ascii="Arial" w:hAnsi="Arial" w:cs="Arial"/>
          <w:lang w:val="en-GB"/>
        </w:rPr>
        <w:t>agreed</w:t>
      </w:r>
      <w:r w:rsidR="003C681C">
        <w:rPr>
          <w:rFonts w:ascii="Arial" w:hAnsi="Arial" w:cs="Arial"/>
          <w:lang w:val="en-GB"/>
        </w:rPr>
        <w:t xml:space="preserve"> in separate written documents,</w:t>
      </w:r>
      <w:r w:rsidR="008D77EC" w:rsidRPr="009A6FA7">
        <w:rPr>
          <w:rFonts w:ascii="Arial" w:hAnsi="Arial" w:cs="Arial"/>
          <w:lang w:val="en-GB"/>
        </w:rPr>
        <w:t xml:space="preserve"> which </w:t>
      </w:r>
      <w:r w:rsidR="004C4F34">
        <w:rPr>
          <w:rFonts w:ascii="Arial" w:hAnsi="Arial" w:cs="Arial"/>
          <w:lang w:val="en-GB"/>
        </w:rPr>
        <w:t xml:space="preserve">were </w:t>
      </w:r>
      <w:r w:rsidR="008D77EC" w:rsidRPr="009A6FA7">
        <w:rPr>
          <w:rFonts w:ascii="Arial" w:hAnsi="Arial" w:cs="Arial"/>
          <w:lang w:val="en-GB"/>
        </w:rPr>
        <w:t>signed by the new shareholder of Maseve</w:t>
      </w:r>
      <w:r w:rsidR="00A87F80">
        <w:rPr>
          <w:rFonts w:ascii="Arial" w:hAnsi="Arial" w:cs="Arial"/>
          <w:lang w:val="en-GB"/>
        </w:rPr>
        <w:t>, RB Platinum</w:t>
      </w:r>
      <w:r w:rsidR="008D77EC" w:rsidRPr="009A6FA7">
        <w:rPr>
          <w:rFonts w:ascii="Arial" w:hAnsi="Arial" w:cs="Arial"/>
          <w:lang w:val="en-GB"/>
        </w:rPr>
        <w:t>.</w:t>
      </w:r>
    </w:p>
    <w:p w14:paraId="5463C40F" w14:textId="77777777" w:rsidR="00A87F80" w:rsidRPr="003C681C" w:rsidRDefault="00A87F80" w:rsidP="00A87F80">
      <w:pPr>
        <w:pStyle w:val="ListParagraph"/>
        <w:spacing w:line="360" w:lineRule="auto"/>
        <w:ind w:left="0"/>
        <w:jc w:val="both"/>
        <w:rPr>
          <w:rFonts w:ascii="Arial" w:hAnsi="Arial" w:cs="Arial"/>
        </w:rPr>
      </w:pPr>
    </w:p>
    <w:p w14:paraId="3855069B" w14:textId="203D3C7F" w:rsidR="003C681C" w:rsidRPr="00630F40" w:rsidRDefault="00A87F80"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 xml:space="preserve">Prior </w:t>
      </w:r>
      <w:r w:rsidR="00A531D9">
        <w:rPr>
          <w:rFonts w:ascii="Arial" w:hAnsi="Arial" w:cs="Arial"/>
          <w:lang w:val="en-GB"/>
        </w:rPr>
        <w:t xml:space="preserve">to </w:t>
      </w:r>
      <w:r>
        <w:rPr>
          <w:rFonts w:ascii="Arial" w:hAnsi="Arial" w:cs="Arial"/>
          <w:lang w:val="en-GB"/>
        </w:rPr>
        <w:t>and leading up to the</w:t>
      </w:r>
      <w:r w:rsidR="00A531D9">
        <w:rPr>
          <w:rFonts w:ascii="Arial" w:hAnsi="Arial" w:cs="Arial"/>
          <w:lang w:val="en-GB"/>
        </w:rPr>
        <w:t xml:space="preserve"> litigation</w:t>
      </w:r>
      <w:r w:rsidR="006625FC">
        <w:rPr>
          <w:rFonts w:ascii="Arial" w:hAnsi="Arial" w:cs="Arial"/>
          <w:lang w:val="en-GB"/>
        </w:rPr>
        <w:t>,</w:t>
      </w:r>
      <w:r w:rsidR="00A531D9">
        <w:rPr>
          <w:rFonts w:ascii="Arial" w:hAnsi="Arial" w:cs="Arial"/>
          <w:lang w:val="en-GB"/>
        </w:rPr>
        <w:t xml:space="preserve"> </w:t>
      </w:r>
      <w:r w:rsidR="00D53371">
        <w:rPr>
          <w:rFonts w:ascii="Arial" w:hAnsi="Arial" w:cs="Arial"/>
          <w:lang w:val="en-GB"/>
        </w:rPr>
        <w:t xml:space="preserve">valuations </w:t>
      </w:r>
      <w:r w:rsidR="00D53371" w:rsidRPr="003C681C">
        <w:rPr>
          <w:rFonts w:ascii="Arial" w:hAnsi="Arial" w:cs="Arial"/>
          <w:lang w:val="en-GB"/>
        </w:rPr>
        <w:t>were</w:t>
      </w:r>
      <w:r w:rsidR="008D77EC" w:rsidRPr="003C681C">
        <w:rPr>
          <w:rFonts w:ascii="Arial" w:hAnsi="Arial" w:cs="Arial"/>
          <w:lang w:val="en-GB"/>
        </w:rPr>
        <w:t xml:space="preserve"> obtained by all parties as to the shares and assets. The upshot of these valuations</w:t>
      </w:r>
      <w:r w:rsidR="0000391C">
        <w:rPr>
          <w:rFonts w:ascii="Arial" w:hAnsi="Arial" w:cs="Arial"/>
          <w:lang w:val="en-GB"/>
        </w:rPr>
        <w:t xml:space="preserve"> is</w:t>
      </w:r>
      <w:r w:rsidR="008D77EC" w:rsidRPr="003C681C">
        <w:rPr>
          <w:rFonts w:ascii="Arial" w:hAnsi="Arial" w:cs="Arial"/>
          <w:lang w:val="en-GB"/>
        </w:rPr>
        <w:t xml:space="preserve"> that the price ultimately</w:t>
      </w:r>
      <w:r w:rsidR="003C681C">
        <w:rPr>
          <w:rFonts w:ascii="Arial" w:hAnsi="Arial" w:cs="Arial"/>
          <w:lang w:val="en-GB"/>
        </w:rPr>
        <w:t xml:space="preserve"> </w:t>
      </w:r>
      <w:r w:rsidR="003C681C">
        <w:rPr>
          <w:rFonts w:ascii="Arial" w:hAnsi="Arial" w:cs="Arial"/>
          <w:lang w:val="en-GB"/>
        </w:rPr>
        <w:lastRenderedPageBreak/>
        <w:t xml:space="preserve">obtained for the </w:t>
      </w:r>
      <w:r w:rsidR="003B6DA3">
        <w:rPr>
          <w:rFonts w:ascii="Arial" w:hAnsi="Arial" w:cs="Arial"/>
          <w:lang w:val="en-GB"/>
        </w:rPr>
        <w:t xml:space="preserve">share </w:t>
      </w:r>
      <w:r w:rsidR="003C681C">
        <w:rPr>
          <w:rFonts w:ascii="Arial" w:hAnsi="Arial" w:cs="Arial"/>
          <w:lang w:val="en-GB"/>
        </w:rPr>
        <w:t>transaction</w:t>
      </w:r>
      <w:r w:rsidR="003B6DA3">
        <w:rPr>
          <w:rFonts w:ascii="Arial" w:hAnsi="Arial" w:cs="Arial"/>
          <w:lang w:val="en-GB"/>
        </w:rPr>
        <w:t xml:space="preserve"> as a whole</w:t>
      </w:r>
      <w:r w:rsidR="003C681C">
        <w:rPr>
          <w:rFonts w:ascii="Arial" w:hAnsi="Arial" w:cs="Arial"/>
          <w:lang w:val="en-GB"/>
        </w:rPr>
        <w:t xml:space="preserve"> </w:t>
      </w:r>
      <w:r w:rsidR="008D77EC" w:rsidRPr="003C681C">
        <w:rPr>
          <w:rFonts w:ascii="Arial" w:hAnsi="Arial" w:cs="Arial"/>
          <w:lang w:val="en-GB"/>
        </w:rPr>
        <w:t>cannot be said to be unfair</w:t>
      </w:r>
      <w:r w:rsidR="001B7D27">
        <w:rPr>
          <w:rFonts w:ascii="Arial" w:hAnsi="Arial" w:cs="Arial"/>
          <w:lang w:val="en-GB"/>
        </w:rPr>
        <w:t xml:space="preserve"> and I do not understand this to be the plaintiff’s case.</w:t>
      </w:r>
    </w:p>
    <w:p w14:paraId="48A07916" w14:textId="77777777" w:rsidR="00630F40" w:rsidRPr="00630F40" w:rsidRDefault="00630F40" w:rsidP="00630F40">
      <w:pPr>
        <w:pStyle w:val="ListParagraph"/>
        <w:rPr>
          <w:rFonts w:ascii="Arial" w:hAnsi="Arial" w:cs="Arial"/>
        </w:rPr>
      </w:pPr>
    </w:p>
    <w:p w14:paraId="7D55335D" w14:textId="77777777" w:rsidR="00630F40" w:rsidRPr="009D0F04" w:rsidRDefault="00630F40" w:rsidP="00630F40">
      <w:pPr>
        <w:pStyle w:val="ListParagraph"/>
        <w:spacing w:line="360" w:lineRule="auto"/>
        <w:ind w:left="0"/>
        <w:jc w:val="both"/>
        <w:rPr>
          <w:rFonts w:ascii="Arial" w:hAnsi="Arial" w:cs="Arial"/>
        </w:rPr>
      </w:pPr>
    </w:p>
    <w:p w14:paraId="2A057AD3" w14:textId="7FD92E8E" w:rsidR="00657510" w:rsidRPr="00657510" w:rsidRDefault="009D0F04" w:rsidP="00657510">
      <w:pPr>
        <w:pStyle w:val="ListParagraph"/>
        <w:numPr>
          <w:ilvl w:val="0"/>
          <w:numId w:val="2"/>
        </w:numPr>
        <w:spacing w:line="360" w:lineRule="auto"/>
        <w:ind w:left="0" w:firstLine="0"/>
        <w:jc w:val="both"/>
        <w:rPr>
          <w:rFonts w:ascii="Arial" w:hAnsi="Arial" w:cs="Arial"/>
        </w:rPr>
      </w:pPr>
      <w:r>
        <w:rPr>
          <w:rFonts w:ascii="Arial" w:hAnsi="Arial" w:cs="Arial"/>
        </w:rPr>
        <w:t>Against these facts</w:t>
      </w:r>
      <w:r w:rsidR="003B6DA3">
        <w:rPr>
          <w:rFonts w:ascii="Arial" w:hAnsi="Arial" w:cs="Arial"/>
        </w:rPr>
        <w:t>,</w:t>
      </w:r>
      <w:r>
        <w:rPr>
          <w:rFonts w:ascii="Arial" w:hAnsi="Arial" w:cs="Arial"/>
        </w:rPr>
        <w:t xml:space="preserve"> I move to deal </w:t>
      </w:r>
      <w:r w:rsidR="006C4815">
        <w:rPr>
          <w:rFonts w:ascii="Arial" w:hAnsi="Arial" w:cs="Arial"/>
        </w:rPr>
        <w:t xml:space="preserve"> in more detail </w:t>
      </w:r>
      <w:r>
        <w:rPr>
          <w:rFonts w:ascii="Arial" w:hAnsi="Arial" w:cs="Arial"/>
        </w:rPr>
        <w:t>with the issues</w:t>
      </w:r>
      <w:r w:rsidR="00FA3C02">
        <w:rPr>
          <w:rFonts w:ascii="Arial" w:hAnsi="Arial" w:cs="Arial"/>
        </w:rPr>
        <w:t xml:space="preserve"> to be decided</w:t>
      </w:r>
      <w:r>
        <w:rPr>
          <w:rFonts w:ascii="Arial" w:hAnsi="Arial" w:cs="Arial"/>
        </w:rPr>
        <w:t xml:space="preserve">. </w:t>
      </w:r>
    </w:p>
    <w:p w14:paraId="100B7520" w14:textId="77777777" w:rsidR="003B6DA3" w:rsidRPr="00E55E48" w:rsidRDefault="003B6DA3" w:rsidP="0035743A">
      <w:pPr>
        <w:spacing w:line="360" w:lineRule="auto"/>
        <w:jc w:val="both"/>
        <w:rPr>
          <w:rFonts w:ascii="Arial" w:hAnsi="Arial" w:cs="Arial"/>
          <w:b/>
          <w:sz w:val="24"/>
          <w:szCs w:val="24"/>
        </w:rPr>
      </w:pPr>
    </w:p>
    <w:p w14:paraId="79789D9E" w14:textId="41465842" w:rsidR="001B7D27" w:rsidRPr="00E55E48" w:rsidRDefault="009D0F04" w:rsidP="009D0F04">
      <w:pPr>
        <w:spacing w:line="360" w:lineRule="auto"/>
        <w:jc w:val="both"/>
        <w:rPr>
          <w:rFonts w:ascii="Arial" w:hAnsi="Arial" w:cs="Arial"/>
          <w:b/>
          <w:sz w:val="24"/>
          <w:szCs w:val="24"/>
        </w:rPr>
      </w:pPr>
      <w:r w:rsidRPr="00E55E48">
        <w:rPr>
          <w:rFonts w:ascii="Arial" w:hAnsi="Arial" w:cs="Arial"/>
          <w:b/>
          <w:sz w:val="24"/>
          <w:szCs w:val="24"/>
        </w:rPr>
        <w:t>Issues</w:t>
      </w:r>
    </w:p>
    <w:p w14:paraId="5588DA3C" w14:textId="77777777" w:rsidR="003C681C" w:rsidRPr="003C681C" w:rsidRDefault="003C681C" w:rsidP="003C681C">
      <w:pPr>
        <w:pStyle w:val="ListParagraph"/>
        <w:spacing w:line="360" w:lineRule="auto"/>
        <w:ind w:left="0"/>
        <w:jc w:val="both"/>
        <w:rPr>
          <w:rFonts w:ascii="Arial" w:hAnsi="Arial" w:cs="Arial"/>
        </w:rPr>
      </w:pPr>
    </w:p>
    <w:p w14:paraId="6FEC81E2" w14:textId="49DBE8BC" w:rsidR="00E01EA7" w:rsidRPr="003B6DA3"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 xml:space="preserve">The defendants </w:t>
      </w:r>
      <w:r w:rsidR="00455BBD">
        <w:rPr>
          <w:rFonts w:ascii="Arial" w:hAnsi="Arial" w:cs="Arial"/>
          <w:lang w:val="en-GB"/>
        </w:rPr>
        <w:t>raise</w:t>
      </w:r>
      <w:r w:rsidR="003B6DA3">
        <w:rPr>
          <w:rFonts w:ascii="Arial" w:hAnsi="Arial" w:cs="Arial"/>
          <w:lang w:val="en-GB"/>
        </w:rPr>
        <w:t>,</w:t>
      </w:r>
      <w:r w:rsidR="00455BBD">
        <w:rPr>
          <w:rFonts w:ascii="Arial" w:hAnsi="Arial" w:cs="Arial"/>
          <w:lang w:val="en-GB"/>
        </w:rPr>
        <w:t xml:space="preserve"> in the first instance</w:t>
      </w:r>
      <w:r w:rsidR="00657510">
        <w:rPr>
          <w:rFonts w:ascii="Arial" w:hAnsi="Arial" w:cs="Arial"/>
          <w:lang w:val="en-GB"/>
        </w:rPr>
        <w:t>,</w:t>
      </w:r>
      <w:r w:rsidR="00455BBD">
        <w:rPr>
          <w:rFonts w:ascii="Arial" w:hAnsi="Arial" w:cs="Arial"/>
          <w:lang w:val="en-GB"/>
        </w:rPr>
        <w:t xml:space="preserve"> that the plaintiff has not proved its case in that it has been unable to </w:t>
      </w:r>
      <w:r w:rsidR="00E01EA7">
        <w:rPr>
          <w:rFonts w:ascii="Arial" w:hAnsi="Arial" w:cs="Arial"/>
          <w:lang w:val="en-GB"/>
        </w:rPr>
        <w:t>show</w:t>
      </w:r>
      <w:r w:rsidR="00FC6B83">
        <w:rPr>
          <w:rFonts w:ascii="Arial" w:hAnsi="Arial" w:cs="Arial"/>
          <w:lang w:val="en-GB"/>
        </w:rPr>
        <w:t xml:space="preserve"> on the facts</w:t>
      </w:r>
      <w:r w:rsidR="00E01EA7">
        <w:rPr>
          <w:rFonts w:ascii="Arial" w:hAnsi="Arial" w:cs="Arial"/>
          <w:lang w:val="en-GB"/>
        </w:rPr>
        <w:t xml:space="preserve"> that minority protections in the MOI and the shareholder agreements have been triggered.</w:t>
      </w:r>
    </w:p>
    <w:p w14:paraId="1C094C4B" w14:textId="77777777" w:rsidR="003B6DA3" w:rsidRPr="00E01EA7" w:rsidRDefault="003B6DA3" w:rsidP="003B6DA3">
      <w:pPr>
        <w:pStyle w:val="ListParagraph"/>
        <w:spacing w:line="360" w:lineRule="auto"/>
        <w:ind w:left="0"/>
        <w:jc w:val="both"/>
        <w:rPr>
          <w:rFonts w:ascii="Arial" w:hAnsi="Arial" w:cs="Arial"/>
        </w:rPr>
      </w:pPr>
    </w:p>
    <w:p w14:paraId="1C36945E" w14:textId="41310BA3" w:rsidR="003C681C" w:rsidRDefault="008D77EC" w:rsidP="00DA6487">
      <w:pPr>
        <w:pStyle w:val="ListParagraph"/>
        <w:numPr>
          <w:ilvl w:val="0"/>
          <w:numId w:val="2"/>
        </w:numPr>
        <w:spacing w:line="360" w:lineRule="auto"/>
        <w:ind w:left="0" w:firstLine="0"/>
        <w:jc w:val="both"/>
        <w:rPr>
          <w:rFonts w:ascii="Arial" w:hAnsi="Arial" w:cs="Arial"/>
          <w:lang w:val="en-GB"/>
        </w:rPr>
      </w:pPr>
      <w:r w:rsidRPr="00FC6B83">
        <w:rPr>
          <w:rFonts w:ascii="Arial" w:hAnsi="Arial" w:cs="Arial"/>
          <w:lang w:val="en-GB"/>
        </w:rPr>
        <w:t xml:space="preserve"> </w:t>
      </w:r>
      <w:r w:rsidR="00FC6B83" w:rsidRPr="00FC6B83">
        <w:rPr>
          <w:rFonts w:ascii="Arial" w:hAnsi="Arial" w:cs="Arial"/>
          <w:lang w:val="en-GB"/>
        </w:rPr>
        <w:t>They raise further that</w:t>
      </w:r>
      <w:r w:rsidR="00FA3C02">
        <w:rPr>
          <w:rFonts w:ascii="Arial" w:hAnsi="Arial" w:cs="Arial"/>
          <w:lang w:val="en-GB"/>
        </w:rPr>
        <w:t xml:space="preserve">, </w:t>
      </w:r>
      <w:r w:rsidR="00FC6B83" w:rsidRPr="00FC6B83">
        <w:rPr>
          <w:rFonts w:ascii="Arial" w:hAnsi="Arial" w:cs="Arial"/>
          <w:lang w:val="en-GB"/>
        </w:rPr>
        <w:t>even</w:t>
      </w:r>
      <w:r w:rsidRPr="00FC6B83">
        <w:rPr>
          <w:rFonts w:ascii="Arial" w:hAnsi="Arial" w:cs="Arial"/>
          <w:lang w:val="en-GB"/>
        </w:rPr>
        <w:t xml:space="preserve"> if the plaintiff </w:t>
      </w:r>
      <w:r w:rsidR="00657510">
        <w:rPr>
          <w:rFonts w:ascii="Arial" w:hAnsi="Arial" w:cs="Arial"/>
          <w:lang w:val="en-GB"/>
        </w:rPr>
        <w:t>has</w:t>
      </w:r>
      <w:r w:rsidR="003C681C" w:rsidRPr="00FC6B83">
        <w:rPr>
          <w:rFonts w:ascii="Arial" w:hAnsi="Arial" w:cs="Arial"/>
          <w:lang w:val="en-GB"/>
        </w:rPr>
        <w:t xml:space="preserve"> show</w:t>
      </w:r>
      <w:r w:rsidR="00657510">
        <w:rPr>
          <w:rFonts w:ascii="Arial" w:hAnsi="Arial" w:cs="Arial"/>
          <w:lang w:val="en-GB"/>
        </w:rPr>
        <w:t>n</w:t>
      </w:r>
      <w:r w:rsidR="003C681C" w:rsidRPr="00FC6B83">
        <w:rPr>
          <w:rFonts w:ascii="Arial" w:hAnsi="Arial" w:cs="Arial"/>
          <w:lang w:val="en-GB"/>
        </w:rPr>
        <w:t xml:space="preserve">, on the facts, that the </w:t>
      </w:r>
      <w:r w:rsidRPr="00FC6B83">
        <w:rPr>
          <w:rFonts w:ascii="Arial" w:hAnsi="Arial" w:cs="Arial"/>
          <w:lang w:val="en-GB"/>
        </w:rPr>
        <w:t>SOB Agreement fell within any of the categories of transaction that required u</w:t>
      </w:r>
      <w:r w:rsidR="003C681C" w:rsidRPr="00FC6B83">
        <w:rPr>
          <w:rFonts w:ascii="Arial" w:hAnsi="Arial" w:cs="Arial"/>
          <w:lang w:val="en-GB"/>
        </w:rPr>
        <w:t>nanimous shareholder approval</w:t>
      </w:r>
      <w:r w:rsidR="00FA3C02">
        <w:rPr>
          <w:rFonts w:ascii="Arial" w:hAnsi="Arial" w:cs="Arial"/>
          <w:lang w:val="en-GB"/>
        </w:rPr>
        <w:t>,</w:t>
      </w:r>
      <w:r w:rsidRPr="00FC6B83">
        <w:rPr>
          <w:rFonts w:ascii="Arial" w:hAnsi="Arial" w:cs="Arial"/>
          <w:lang w:val="en-GB"/>
        </w:rPr>
        <w:t xml:space="preserve"> the approval of the scheme of arrangement carried statutory authority under section 115 of the Act</w:t>
      </w:r>
      <w:r w:rsidR="00E10D44">
        <w:rPr>
          <w:rFonts w:ascii="Arial" w:hAnsi="Arial" w:cs="Arial"/>
          <w:lang w:val="en-GB"/>
        </w:rPr>
        <w:t xml:space="preserve"> and cannot be attacked</w:t>
      </w:r>
      <w:r w:rsidR="003B6DA3">
        <w:rPr>
          <w:rFonts w:ascii="Arial" w:hAnsi="Arial" w:cs="Arial"/>
          <w:lang w:val="en-GB"/>
        </w:rPr>
        <w:t xml:space="preserve"> </w:t>
      </w:r>
      <w:r w:rsidR="00D918CD">
        <w:rPr>
          <w:rFonts w:ascii="Arial" w:hAnsi="Arial" w:cs="Arial"/>
          <w:lang w:val="en-GB"/>
        </w:rPr>
        <w:t>on the basis</w:t>
      </w:r>
      <w:r w:rsidR="003B6DA3">
        <w:rPr>
          <w:rFonts w:ascii="Arial" w:hAnsi="Arial" w:cs="Arial"/>
          <w:lang w:val="en-GB"/>
        </w:rPr>
        <w:t xml:space="preserve"> pleaded</w:t>
      </w:r>
      <w:r w:rsidR="00E10D44">
        <w:rPr>
          <w:rFonts w:ascii="Arial" w:hAnsi="Arial" w:cs="Arial"/>
          <w:lang w:val="en-GB"/>
        </w:rPr>
        <w:t>.</w:t>
      </w:r>
      <w:r w:rsidRPr="00FC6B83">
        <w:rPr>
          <w:rFonts w:ascii="Arial" w:hAnsi="Arial" w:cs="Arial"/>
          <w:lang w:val="en-GB"/>
        </w:rPr>
        <w:t xml:space="preserve"> </w:t>
      </w:r>
    </w:p>
    <w:p w14:paraId="66A0ABF7" w14:textId="77777777" w:rsidR="00FC6B83" w:rsidRPr="00FC6B83" w:rsidRDefault="00FC6B83" w:rsidP="00FC6B83">
      <w:pPr>
        <w:pStyle w:val="ListParagraph"/>
        <w:spacing w:line="360" w:lineRule="auto"/>
        <w:ind w:left="0"/>
        <w:jc w:val="both"/>
        <w:rPr>
          <w:rFonts w:ascii="Arial" w:hAnsi="Arial" w:cs="Arial"/>
          <w:lang w:val="en-GB"/>
        </w:rPr>
      </w:pPr>
    </w:p>
    <w:p w14:paraId="692C244D" w14:textId="77777777" w:rsidR="00B755FB" w:rsidRDefault="00E10D44" w:rsidP="0031258A">
      <w:pPr>
        <w:pStyle w:val="ListParagraph"/>
        <w:numPr>
          <w:ilvl w:val="0"/>
          <w:numId w:val="2"/>
        </w:numPr>
        <w:spacing w:line="360" w:lineRule="auto"/>
        <w:ind w:left="0" w:firstLine="0"/>
        <w:jc w:val="both"/>
        <w:rPr>
          <w:rFonts w:ascii="Arial" w:hAnsi="Arial" w:cs="Arial"/>
        </w:rPr>
      </w:pPr>
      <w:r>
        <w:rPr>
          <w:rFonts w:ascii="Arial" w:hAnsi="Arial" w:cs="Arial"/>
          <w:lang w:val="en-GB"/>
        </w:rPr>
        <w:t>Estoppel is also raised as an alternative defence</w:t>
      </w:r>
      <w:r w:rsidR="007E1FB3">
        <w:rPr>
          <w:rFonts w:ascii="Arial" w:hAnsi="Arial" w:cs="Arial"/>
          <w:lang w:val="en-GB"/>
        </w:rPr>
        <w:t xml:space="preserve"> on the basis that the other points fail. In light of my findings it is unnecessary to consider this defence.</w:t>
      </w:r>
    </w:p>
    <w:p w14:paraId="5D79817A" w14:textId="77777777" w:rsidR="00B755FB" w:rsidRPr="00B755FB" w:rsidRDefault="00B755FB" w:rsidP="00B755FB">
      <w:pPr>
        <w:pStyle w:val="ListParagraph"/>
        <w:rPr>
          <w:rFonts w:ascii="Arial" w:hAnsi="Arial" w:cs="Arial"/>
        </w:rPr>
      </w:pPr>
    </w:p>
    <w:p w14:paraId="6597B427" w14:textId="0EF6E9A6" w:rsidR="0031258A" w:rsidRDefault="0031258A" w:rsidP="0031258A">
      <w:pPr>
        <w:pStyle w:val="ListParagraph"/>
        <w:numPr>
          <w:ilvl w:val="0"/>
          <w:numId w:val="2"/>
        </w:numPr>
        <w:spacing w:line="360" w:lineRule="auto"/>
        <w:ind w:left="0" w:firstLine="0"/>
        <w:jc w:val="both"/>
        <w:rPr>
          <w:rFonts w:ascii="Arial" w:hAnsi="Arial" w:cs="Arial"/>
        </w:rPr>
      </w:pPr>
      <w:r w:rsidRPr="00B755FB">
        <w:rPr>
          <w:rFonts w:ascii="Arial" w:hAnsi="Arial" w:cs="Arial"/>
        </w:rPr>
        <w:t>I move to deal with the</w:t>
      </w:r>
      <w:r w:rsidR="00B755FB">
        <w:rPr>
          <w:rFonts w:ascii="Arial" w:hAnsi="Arial" w:cs="Arial"/>
        </w:rPr>
        <w:t xml:space="preserve"> first issue being </w:t>
      </w:r>
      <w:r w:rsidRPr="00B755FB">
        <w:rPr>
          <w:rFonts w:ascii="Arial" w:hAnsi="Arial" w:cs="Arial"/>
        </w:rPr>
        <w:t xml:space="preserve"> whether the plaint</w:t>
      </w:r>
      <w:r w:rsidR="00B755FB">
        <w:rPr>
          <w:rFonts w:ascii="Arial" w:hAnsi="Arial" w:cs="Arial"/>
        </w:rPr>
        <w:t>iff has proved its case.</w:t>
      </w:r>
    </w:p>
    <w:p w14:paraId="6E6AEC78" w14:textId="77777777" w:rsidR="00B755FB" w:rsidRPr="00B755FB" w:rsidRDefault="00B755FB" w:rsidP="00B755FB">
      <w:pPr>
        <w:pStyle w:val="ListParagraph"/>
        <w:rPr>
          <w:rFonts w:ascii="Arial" w:hAnsi="Arial" w:cs="Arial"/>
        </w:rPr>
      </w:pPr>
    </w:p>
    <w:p w14:paraId="316E4572" w14:textId="3047D980" w:rsidR="00B755FB" w:rsidRPr="00D918CD" w:rsidRDefault="00B755FB" w:rsidP="00B755FB">
      <w:pPr>
        <w:pStyle w:val="ListParagraph"/>
        <w:spacing w:line="360" w:lineRule="auto"/>
        <w:ind w:left="0"/>
        <w:jc w:val="both"/>
        <w:rPr>
          <w:rFonts w:ascii="Arial" w:hAnsi="Arial" w:cs="Arial"/>
          <w:b/>
        </w:rPr>
      </w:pPr>
      <w:r w:rsidRPr="00D918CD">
        <w:rPr>
          <w:rFonts w:ascii="Arial" w:hAnsi="Arial" w:cs="Arial"/>
          <w:b/>
        </w:rPr>
        <w:t>Has the plaintiff proved its case?</w:t>
      </w:r>
    </w:p>
    <w:p w14:paraId="1B90E7C3" w14:textId="77777777" w:rsidR="003C681C" w:rsidRPr="003C681C" w:rsidRDefault="003C681C" w:rsidP="003C681C">
      <w:pPr>
        <w:pStyle w:val="ListParagraph"/>
        <w:rPr>
          <w:rFonts w:ascii="Arial" w:hAnsi="Arial" w:cs="Arial"/>
          <w:lang w:val="en-GB"/>
        </w:rPr>
      </w:pPr>
    </w:p>
    <w:p w14:paraId="2970D416" w14:textId="119841A3"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The plaintiff’s case has involved the parties entering into expert and factual inquiries as to value of the plant, the nature of the business conducted by Maseve, t</w:t>
      </w:r>
      <w:r w:rsidR="003C681C">
        <w:rPr>
          <w:rFonts w:ascii="Arial" w:hAnsi="Arial" w:cs="Arial"/>
          <w:lang w:val="en-GB"/>
        </w:rPr>
        <w:t>he percentage of</w:t>
      </w:r>
      <w:r w:rsidRPr="003C681C">
        <w:rPr>
          <w:rFonts w:ascii="Arial" w:hAnsi="Arial" w:cs="Arial"/>
          <w:lang w:val="en-GB"/>
        </w:rPr>
        <w:t xml:space="preserve"> ass</w:t>
      </w:r>
      <w:r w:rsidR="003C681C">
        <w:rPr>
          <w:rFonts w:ascii="Arial" w:hAnsi="Arial" w:cs="Arial"/>
          <w:lang w:val="en-GB"/>
        </w:rPr>
        <w:t>ets or undertaking disposed of</w:t>
      </w:r>
      <w:r w:rsidR="00D918CD">
        <w:rPr>
          <w:rFonts w:ascii="Arial" w:hAnsi="Arial" w:cs="Arial"/>
          <w:lang w:val="en-GB"/>
        </w:rPr>
        <w:t>,</w:t>
      </w:r>
      <w:r w:rsidR="003C681C">
        <w:rPr>
          <w:rFonts w:ascii="Arial" w:hAnsi="Arial" w:cs="Arial"/>
          <w:lang w:val="en-GB"/>
        </w:rPr>
        <w:t xml:space="preserve"> </w:t>
      </w:r>
      <w:r w:rsidRPr="003C681C">
        <w:rPr>
          <w:rFonts w:ascii="Arial" w:hAnsi="Arial" w:cs="Arial"/>
          <w:lang w:val="en-GB"/>
        </w:rPr>
        <w:t xml:space="preserve">and whether the disposals under the SOB Agreement were such that they brought about a change in the business.  </w:t>
      </w:r>
    </w:p>
    <w:p w14:paraId="1386FC44" w14:textId="77777777" w:rsidR="003C681C" w:rsidRPr="003C681C" w:rsidRDefault="003C681C" w:rsidP="003C681C">
      <w:pPr>
        <w:pStyle w:val="ListParagraph"/>
        <w:rPr>
          <w:rFonts w:ascii="Arial" w:hAnsi="Arial" w:cs="Arial"/>
          <w:lang w:val="en-GB"/>
        </w:rPr>
      </w:pPr>
    </w:p>
    <w:p w14:paraId="056C9B5F" w14:textId="1E512470" w:rsidR="003C681C" w:rsidRPr="00B755FB" w:rsidRDefault="008D77EC" w:rsidP="003C681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In light of the unchallenged facts relating to the fact that the two part transaction was no more than a device</w:t>
      </w:r>
      <w:r w:rsidR="00D918CD">
        <w:rPr>
          <w:rFonts w:ascii="Arial" w:hAnsi="Arial" w:cs="Arial"/>
          <w:lang w:val="en-GB"/>
        </w:rPr>
        <w:t xml:space="preserve"> to achieve payment up-front</w:t>
      </w:r>
      <w:r w:rsidRPr="003C681C">
        <w:rPr>
          <w:rFonts w:ascii="Arial" w:hAnsi="Arial" w:cs="Arial"/>
          <w:lang w:val="en-GB"/>
        </w:rPr>
        <w:t xml:space="preserve">, these inquiries are, to my mind, redundant. </w:t>
      </w:r>
    </w:p>
    <w:p w14:paraId="5884FD10" w14:textId="77777777" w:rsidR="003C681C" w:rsidRPr="003C681C" w:rsidRDefault="003C681C" w:rsidP="003C681C">
      <w:pPr>
        <w:pStyle w:val="ListParagraph"/>
        <w:rPr>
          <w:rFonts w:ascii="Arial" w:hAnsi="Arial" w:cs="Arial"/>
          <w:lang w:val="en-GB"/>
        </w:rPr>
      </w:pPr>
    </w:p>
    <w:p w14:paraId="35F37884" w14:textId="0437B5A0"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The protections accorded to minority shareholders have</w:t>
      </w:r>
      <w:r w:rsidR="00B755FB">
        <w:rPr>
          <w:rFonts w:ascii="Arial" w:hAnsi="Arial" w:cs="Arial"/>
          <w:lang w:val="en-GB"/>
        </w:rPr>
        <w:t>,</w:t>
      </w:r>
      <w:r w:rsidRPr="003C681C">
        <w:rPr>
          <w:rFonts w:ascii="Arial" w:hAnsi="Arial" w:cs="Arial"/>
          <w:lang w:val="en-GB"/>
        </w:rPr>
        <w:t xml:space="preserve"> as their general purpose</w:t>
      </w:r>
      <w:r w:rsidR="00B755FB">
        <w:rPr>
          <w:rFonts w:ascii="Arial" w:hAnsi="Arial" w:cs="Arial"/>
          <w:lang w:val="en-GB"/>
        </w:rPr>
        <w:t>,</w:t>
      </w:r>
      <w:r w:rsidRPr="003C681C">
        <w:rPr>
          <w:rFonts w:ascii="Arial" w:hAnsi="Arial" w:cs="Arial"/>
          <w:lang w:val="en-GB"/>
        </w:rPr>
        <w:t xml:space="preserve"> the protection from asset stripping and the devaluing of the business of the company</w:t>
      </w:r>
      <w:r w:rsidR="006A10EF">
        <w:rPr>
          <w:rFonts w:ascii="Arial" w:hAnsi="Arial" w:cs="Arial"/>
          <w:lang w:val="en-GB"/>
        </w:rPr>
        <w:t xml:space="preserve"> in other ways</w:t>
      </w:r>
      <w:r w:rsidRPr="003C681C">
        <w:rPr>
          <w:rFonts w:ascii="Arial" w:hAnsi="Arial" w:cs="Arial"/>
          <w:lang w:val="en-GB"/>
        </w:rPr>
        <w:t xml:space="preserve">. </w:t>
      </w:r>
    </w:p>
    <w:p w14:paraId="2598A821" w14:textId="77777777" w:rsidR="003C681C" w:rsidRPr="003C681C" w:rsidRDefault="003C681C" w:rsidP="003C681C">
      <w:pPr>
        <w:pStyle w:val="ListParagraph"/>
        <w:spacing w:line="360" w:lineRule="auto"/>
        <w:ind w:left="0"/>
        <w:jc w:val="both"/>
        <w:rPr>
          <w:rFonts w:ascii="Arial" w:hAnsi="Arial" w:cs="Arial"/>
        </w:rPr>
      </w:pPr>
    </w:p>
    <w:p w14:paraId="5AD71483" w14:textId="57416CF9"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In this ca</w:t>
      </w:r>
      <w:r w:rsidR="003C681C">
        <w:rPr>
          <w:rFonts w:ascii="Arial" w:hAnsi="Arial" w:cs="Arial"/>
          <w:lang w:val="en-GB"/>
        </w:rPr>
        <w:t>se it has been established that</w:t>
      </w:r>
      <w:r w:rsidRPr="003C681C">
        <w:rPr>
          <w:rFonts w:ascii="Arial" w:hAnsi="Arial" w:cs="Arial"/>
          <w:lang w:val="en-GB"/>
        </w:rPr>
        <w:t xml:space="preserve"> the true intention of the SOB Agreement was </w:t>
      </w:r>
      <w:r w:rsidR="00D918CD">
        <w:rPr>
          <w:rFonts w:ascii="Arial" w:hAnsi="Arial" w:cs="Arial"/>
          <w:lang w:val="en-GB"/>
        </w:rPr>
        <w:t>neither</w:t>
      </w:r>
      <w:r w:rsidRPr="003C681C">
        <w:rPr>
          <w:rFonts w:ascii="Arial" w:hAnsi="Arial" w:cs="Arial"/>
          <w:lang w:val="en-GB"/>
        </w:rPr>
        <w:t xml:space="preserve"> to dispose of the plant in a vacuum </w:t>
      </w:r>
      <w:r w:rsidR="00D918CD">
        <w:rPr>
          <w:rFonts w:ascii="Arial" w:hAnsi="Arial" w:cs="Arial"/>
          <w:lang w:val="en-GB"/>
        </w:rPr>
        <w:t>nor to</w:t>
      </w:r>
      <w:r w:rsidRPr="003C681C">
        <w:rPr>
          <w:rFonts w:ascii="Arial" w:hAnsi="Arial" w:cs="Arial"/>
          <w:lang w:val="en-GB"/>
        </w:rPr>
        <w:t xml:space="preserve"> change the nature of the business of Maseve. Neither did it have </w:t>
      </w:r>
      <w:r w:rsidR="008B1D22">
        <w:rPr>
          <w:rFonts w:ascii="Arial" w:hAnsi="Arial" w:cs="Arial"/>
          <w:lang w:val="en-GB"/>
        </w:rPr>
        <w:t>either</w:t>
      </w:r>
      <w:r w:rsidRPr="003C681C">
        <w:rPr>
          <w:rFonts w:ascii="Arial" w:hAnsi="Arial" w:cs="Arial"/>
          <w:lang w:val="en-GB"/>
        </w:rPr>
        <w:t xml:space="preserve"> effect.</w:t>
      </w:r>
    </w:p>
    <w:p w14:paraId="6F366E1A" w14:textId="77777777" w:rsidR="003C681C" w:rsidRPr="003C681C" w:rsidRDefault="003C681C" w:rsidP="003C681C">
      <w:pPr>
        <w:pStyle w:val="ListParagraph"/>
        <w:rPr>
          <w:rFonts w:ascii="Arial" w:hAnsi="Arial" w:cs="Arial"/>
        </w:rPr>
      </w:pPr>
    </w:p>
    <w:p w14:paraId="28A5681D" w14:textId="77777777"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rPr>
        <w:t>A court must look at the substance and purpose of an agreement in order to determine its true nature for a particular purpose.</w:t>
      </w:r>
      <w:r w:rsidRPr="008D77EC">
        <w:rPr>
          <w:rStyle w:val="FootnoteReference"/>
          <w:rFonts w:ascii="Arial" w:hAnsi="Arial" w:cs="Arial"/>
        </w:rPr>
        <w:footnoteReference w:id="2"/>
      </w:r>
      <w:r w:rsidRPr="003C681C">
        <w:rPr>
          <w:rFonts w:ascii="Arial" w:hAnsi="Arial" w:cs="Arial"/>
        </w:rPr>
        <w:t> </w:t>
      </w:r>
      <w:r w:rsidRPr="003C681C">
        <w:rPr>
          <w:rFonts w:ascii="Arial" w:hAnsi="Arial" w:cs="Arial"/>
          <w:lang w:val="en-GB"/>
        </w:rPr>
        <w:t xml:space="preserve"> </w:t>
      </w:r>
    </w:p>
    <w:p w14:paraId="7FC8E528" w14:textId="77777777" w:rsidR="003C681C" w:rsidRPr="003C681C" w:rsidRDefault="003C681C" w:rsidP="003C681C">
      <w:pPr>
        <w:pStyle w:val="ListParagraph"/>
        <w:rPr>
          <w:rFonts w:ascii="Arial" w:hAnsi="Arial" w:cs="Arial"/>
          <w:lang w:val="en-GB"/>
        </w:rPr>
      </w:pPr>
    </w:p>
    <w:p w14:paraId="64D0D896" w14:textId="77777777"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A court will give effect to the true intention of the device and not enter into artificial inquiries as to value and purpose which have no foundation in the reality of the transaction.</w:t>
      </w:r>
    </w:p>
    <w:p w14:paraId="2F29D5C3" w14:textId="77777777" w:rsidR="003C681C" w:rsidRPr="003C681C" w:rsidRDefault="003C681C" w:rsidP="003C681C">
      <w:pPr>
        <w:pStyle w:val="ListParagraph"/>
        <w:rPr>
          <w:rFonts w:ascii="Arial" w:hAnsi="Arial" w:cs="Arial"/>
          <w:lang w:val="en-GB"/>
        </w:rPr>
      </w:pPr>
    </w:p>
    <w:p w14:paraId="4566DAF6" w14:textId="48F3BFF2"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 xml:space="preserve"> In this case it was understood that the clear intention of the parties to the SOB agreement was not the sale</w:t>
      </w:r>
      <w:r w:rsidR="007A373E">
        <w:rPr>
          <w:rFonts w:ascii="Arial" w:hAnsi="Arial" w:cs="Arial"/>
          <w:lang w:val="en-GB"/>
        </w:rPr>
        <w:t xml:space="preserve"> of</w:t>
      </w:r>
      <w:r w:rsidRPr="003C681C">
        <w:rPr>
          <w:rFonts w:ascii="Arial" w:hAnsi="Arial" w:cs="Arial"/>
          <w:lang w:val="en-GB"/>
        </w:rPr>
        <w:t xml:space="preserve"> the plant</w:t>
      </w:r>
      <w:r w:rsidR="00111C6F">
        <w:rPr>
          <w:rFonts w:ascii="Arial" w:hAnsi="Arial" w:cs="Arial"/>
          <w:lang w:val="en-GB"/>
        </w:rPr>
        <w:t>,</w:t>
      </w:r>
      <w:r w:rsidRPr="003C681C">
        <w:rPr>
          <w:rFonts w:ascii="Arial" w:hAnsi="Arial" w:cs="Arial"/>
          <w:lang w:val="en-GB"/>
        </w:rPr>
        <w:t xml:space="preserve"> leaving the plaintiff a disadvantaged minority shareholder, but the ultimate </w:t>
      </w:r>
      <w:r w:rsidR="007A373E">
        <w:rPr>
          <w:rFonts w:ascii="Arial" w:hAnsi="Arial" w:cs="Arial"/>
          <w:lang w:val="en-GB"/>
        </w:rPr>
        <w:t>and in</w:t>
      </w:r>
      <w:r w:rsidR="00D918CD">
        <w:rPr>
          <w:rFonts w:ascii="Arial" w:hAnsi="Arial" w:cs="Arial"/>
          <w:lang w:val="en-GB"/>
        </w:rPr>
        <w:t>evitable</w:t>
      </w:r>
      <w:r w:rsidR="007A373E">
        <w:rPr>
          <w:rFonts w:ascii="Arial" w:hAnsi="Arial" w:cs="Arial"/>
          <w:lang w:val="en-GB"/>
        </w:rPr>
        <w:t xml:space="preserve"> </w:t>
      </w:r>
      <w:r w:rsidRPr="003C681C">
        <w:rPr>
          <w:rFonts w:ascii="Arial" w:hAnsi="Arial" w:cs="Arial"/>
          <w:lang w:val="en-GB"/>
        </w:rPr>
        <w:t xml:space="preserve">transfer of the shares in accordance with the scheme of arrangement. </w:t>
      </w:r>
    </w:p>
    <w:p w14:paraId="06B174AF" w14:textId="77777777" w:rsidR="003C681C" w:rsidRPr="003C681C" w:rsidRDefault="003C681C" w:rsidP="003C681C">
      <w:pPr>
        <w:pStyle w:val="ListParagraph"/>
        <w:rPr>
          <w:rFonts w:ascii="Arial" w:hAnsi="Arial" w:cs="Arial"/>
          <w:lang w:val="en-GB"/>
        </w:rPr>
      </w:pPr>
    </w:p>
    <w:p w14:paraId="1EFC2F76" w14:textId="0E8B1045"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When this i</w:t>
      </w:r>
      <w:r w:rsidR="003C681C">
        <w:rPr>
          <w:rFonts w:ascii="Arial" w:hAnsi="Arial" w:cs="Arial"/>
          <w:lang w:val="en-GB"/>
        </w:rPr>
        <w:t>s accepted</w:t>
      </w:r>
      <w:r w:rsidR="00882EA3">
        <w:rPr>
          <w:rFonts w:ascii="Arial" w:hAnsi="Arial" w:cs="Arial"/>
          <w:lang w:val="en-GB"/>
        </w:rPr>
        <w:t>,</w:t>
      </w:r>
      <w:r w:rsidR="003C681C">
        <w:rPr>
          <w:rFonts w:ascii="Arial" w:hAnsi="Arial" w:cs="Arial"/>
          <w:lang w:val="en-GB"/>
        </w:rPr>
        <w:t xml:space="preserve"> it is clear that the</w:t>
      </w:r>
      <w:r w:rsidRPr="003C681C">
        <w:rPr>
          <w:rFonts w:ascii="Arial" w:hAnsi="Arial" w:cs="Arial"/>
          <w:lang w:val="en-GB"/>
        </w:rPr>
        <w:t xml:space="preserve"> plaintiff neither needed nor was it entitled to the minority protections. The fact</w:t>
      </w:r>
      <w:r w:rsidR="00882EA3">
        <w:rPr>
          <w:rFonts w:ascii="Arial" w:hAnsi="Arial" w:cs="Arial"/>
          <w:lang w:val="en-GB"/>
        </w:rPr>
        <w:t xml:space="preserve"> is</w:t>
      </w:r>
      <w:r w:rsidRPr="003C681C">
        <w:rPr>
          <w:rFonts w:ascii="Arial" w:hAnsi="Arial" w:cs="Arial"/>
          <w:lang w:val="en-GB"/>
        </w:rPr>
        <w:t xml:space="preserve"> that the sc</w:t>
      </w:r>
      <w:r w:rsidR="003C681C">
        <w:rPr>
          <w:rFonts w:ascii="Arial" w:hAnsi="Arial" w:cs="Arial"/>
          <w:lang w:val="en-GB"/>
        </w:rPr>
        <w:t>heme entailed that the existing</w:t>
      </w:r>
      <w:r w:rsidRPr="003C681C">
        <w:rPr>
          <w:rFonts w:ascii="Arial" w:hAnsi="Arial" w:cs="Arial"/>
          <w:lang w:val="en-GB"/>
        </w:rPr>
        <w:t xml:space="preserve"> shareholders would not be the shareholders when the plant transaction was </w:t>
      </w:r>
      <w:r w:rsidR="00D53371">
        <w:rPr>
          <w:rFonts w:ascii="Arial" w:hAnsi="Arial" w:cs="Arial"/>
          <w:lang w:val="en-GB"/>
        </w:rPr>
        <w:t>e</w:t>
      </w:r>
      <w:r w:rsidR="00D53371" w:rsidRPr="003C681C">
        <w:rPr>
          <w:rFonts w:ascii="Arial" w:hAnsi="Arial" w:cs="Arial"/>
          <w:lang w:val="en-GB"/>
        </w:rPr>
        <w:t>ffected</w:t>
      </w:r>
      <w:r w:rsidRPr="003C681C">
        <w:rPr>
          <w:rFonts w:ascii="Arial" w:hAnsi="Arial" w:cs="Arial"/>
          <w:lang w:val="en-GB"/>
        </w:rPr>
        <w:t xml:space="preserve">. </w:t>
      </w:r>
    </w:p>
    <w:p w14:paraId="60247ABF" w14:textId="77777777" w:rsidR="003C681C" w:rsidRPr="003C681C" w:rsidRDefault="003C681C" w:rsidP="003C681C">
      <w:pPr>
        <w:pStyle w:val="ListParagraph"/>
        <w:rPr>
          <w:rFonts w:ascii="Arial" w:hAnsi="Arial" w:cs="Arial"/>
          <w:lang w:val="en-GB"/>
        </w:rPr>
      </w:pPr>
    </w:p>
    <w:p w14:paraId="6A1341F1" w14:textId="45F7C625" w:rsidR="003C681C" w:rsidRPr="003C681C" w:rsidRDefault="003C681C"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The plaintiff’s</w:t>
      </w:r>
      <w:r w:rsidR="008D77EC" w:rsidRPr="003C681C">
        <w:rPr>
          <w:rFonts w:ascii="Arial" w:hAnsi="Arial" w:cs="Arial"/>
          <w:lang w:val="en-GB"/>
        </w:rPr>
        <w:t xml:space="preserve"> attempt at characterising the SOB Agreement as having separate force and effect has led t</w:t>
      </w:r>
      <w:r w:rsidR="00111C6F">
        <w:rPr>
          <w:rFonts w:ascii="Arial" w:hAnsi="Arial" w:cs="Arial"/>
          <w:lang w:val="en-GB"/>
        </w:rPr>
        <w:t>o</w:t>
      </w:r>
      <w:r w:rsidR="008D77EC" w:rsidRPr="003C681C">
        <w:rPr>
          <w:rFonts w:ascii="Arial" w:hAnsi="Arial" w:cs="Arial"/>
          <w:lang w:val="en-GB"/>
        </w:rPr>
        <w:t xml:space="preserve"> artificial inquiries as to value of the plant, whether the plant transaction amounted to a disposal of substantially the whole of the business, whether </w:t>
      </w:r>
      <w:r w:rsidR="008D77EC" w:rsidRPr="003C681C">
        <w:rPr>
          <w:rFonts w:ascii="Arial" w:hAnsi="Arial" w:cs="Arial"/>
          <w:lang w:val="en-GB"/>
        </w:rPr>
        <w:lastRenderedPageBreak/>
        <w:t xml:space="preserve">it amounted to a material change in the business and whether it was a material transaction outside the normal course of the mining business. </w:t>
      </w:r>
    </w:p>
    <w:p w14:paraId="26C6CF9E" w14:textId="77777777" w:rsidR="003C681C" w:rsidRPr="003C681C" w:rsidRDefault="003C681C" w:rsidP="003C681C">
      <w:pPr>
        <w:pStyle w:val="ListParagraph"/>
        <w:rPr>
          <w:rFonts w:ascii="Arial" w:hAnsi="Arial" w:cs="Arial"/>
          <w:lang w:val="en-GB"/>
        </w:rPr>
      </w:pPr>
    </w:p>
    <w:p w14:paraId="4281A955" w14:textId="7C3E3BEE"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 xml:space="preserve"> It has resulted also in semantic remonstrations as </w:t>
      </w:r>
      <w:r w:rsidR="003C681C">
        <w:rPr>
          <w:rFonts w:ascii="Arial" w:hAnsi="Arial" w:cs="Arial"/>
          <w:lang w:val="en-GB"/>
        </w:rPr>
        <w:t>to whether the new shareholders</w:t>
      </w:r>
      <w:r w:rsidRPr="003C681C">
        <w:rPr>
          <w:rFonts w:ascii="Arial" w:hAnsi="Arial" w:cs="Arial"/>
          <w:lang w:val="en-GB"/>
        </w:rPr>
        <w:t xml:space="preserve"> under the scheme could bring the agreement to force and effect by giving their subsequent approval. It led also</w:t>
      </w:r>
      <w:r w:rsidR="00652705">
        <w:rPr>
          <w:rFonts w:ascii="Arial" w:hAnsi="Arial" w:cs="Arial"/>
          <w:lang w:val="en-GB"/>
        </w:rPr>
        <w:t xml:space="preserve"> to unhelpful</w:t>
      </w:r>
      <w:r w:rsidRPr="003C681C">
        <w:rPr>
          <w:rFonts w:ascii="Arial" w:hAnsi="Arial" w:cs="Arial"/>
          <w:lang w:val="en-GB"/>
        </w:rPr>
        <w:t xml:space="preserve"> </w:t>
      </w:r>
      <w:r w:rsidR="00652705">
        <w:rPr>
          <w:rFonts w:ascii="Arial" w:hAnsi="Arial" w:cs="Arial"/>
          <w:lang w:val="en-GB"/>
        </w:rPr>
        <w:t>assertions</w:t>
      </w:r>
      <w:r w:rsidRPr="003C681C">
        <w:rPr>
          <w:rFonts w:ascii="Arial" w:hAnsi="Arial" w:cs="Arial"/>
          <w:lang w:val="en-GB"/>
        </w:rPr>
        <w:t xml:space="preserve"> as to the significance of the difference between the protection clause in the MOI (clause 32) as opposed to the equivalent clause</w:t>
      </w:r>
      <w:r w:rsidR="003C681C">
        <w:rPr>
          <w:rFonts w:ascii="Arial" w:hAnsi="Arial" w:cs="Arial"/>
          <w:lang w:val="en-GB"/>
        </w:rPr>
        <w:t xml:space="preserve"> in the shareholder’s agreement (</w:t>
      </w:r>
      <w:r w:rsidRPr="003C681C">
        <w:rPr>
          <w:rFonts w:ascii="Arial" w:hAnsi="Arial" w:cs="Arial"/>
          <w:lang w:val="en-GB"/>
        </w:rPr>
        <w:t>clause 10.1) the latter referring to ‘unanimous prior written consent’ and the former only to ‘unanimous approval’ and how this difference should be squared.</w:t>
      </w:r>
    </w:p>
    <w:p w14:paraId="30AF7FCC" w14:textId="77777777" w:rsidR="003C681C" w:rsidRPr="003C681C" w:rsidRDefault="003C681C" w:rsidP="003C681C">
      <w:pPr>
        <w:pStyle w:val="ListParagraph"/>
        <w:rPr>
          <w:rFonts w:ascii="Arial" w:hAnsi="Arial" w:cs="Arial"/>
          <w:lang w:val="en-GB"/>
        </w:rPr>
      </w:pPr>
    </w:p>
    <w:p w14:paraId="4305564D" w14:textId="77777777" w:rsidR="007A373E" w:rsidRPr="007A373E"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Much of the trial was taken up by unhelpful examinations and excursus as to the text of the agreements in issue, their date of execution and other circumstances in an attempt to discern whether they were two parts of the same ‘unitary’ transaction   or two separate transactions.</w:t>
      </w:r>
    </w:p>
    <w:p w14:paraId="3ECC8E55" w14:textId="77777777" w:rsidR="007A373E" w:rsidRPr="007A373E" w:rsidRDefault="007A373E" w:rsidP="007A373E">
      <w:pPr>
        <w:pStyle w:val="ListParagraph"/>
        <w:rPr>
          <w:rFonts w:ascii="Arial" w:hAnsi="Arial" w:cs="Arial"/>
          <w:lang w:val="en-GB"/>
        </w:rPr>
      </w:pPr>
    </w:p>
    <w:p w14:paraId="0183EFEC" w14:textId="7A8E0FFF"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 xml:space="preserve"> Th</w:t>
      </w:r>
      <w:r w:rsidR="007A373E">
        <w:rPr>
          <w:rFonts w:ascii="Arial" w:hAnsi="Arial" w:cs="Arial"/>
          <w:lang w:val="en-GB"/>
        </w:rPr>
        <w:t xml:space="preserve">ese </w:t>
      </w:r>
      <w:r w:rsidR="00644E15">
        <w:rPr>
          <w:rFonts w:ascii="Arial" w:hAnsi="Arial" w:cs="Arial"/>
          <w:lang w:val="en-GB"/>
        </w:rPr>
        <w:t xml:space="preserve">inquiries </w:t>
      </w:r>
      <w:r w:rsidR="00C54CD2">
        <w:rPr>
          <w:rFonts w:ascii="Arial" w:hAnsi="Arial" w:cs="Arial"/>
          <w:lang w:val="en-GB"/>
        </w:rPr>
        <w:t>do not serve</w:t>
      </w:r>
      <w:r w:rsidR="00644E15">
        <w:rPr>
          <w:rFonts w:ascii="Arial" w:hAnsi="Arial" w:cs="Arial"/>
          <w:lang w:val="en-GB"/>
        </w:rPr>
        <w:t xml:space="preserve"> </w:t>
      </w:r>
      <w:r w:rsidRPr="003C681C">
        <w:rPr>
          <w:rFonts w:ascii="Arial" w:hAnsi="Arial" w:cs="Arial"/>
          <w:lang w:val="en-GB"/>
        </w:rPr>
        <w:t>the point. As I have said</w:t>
      </w:r>
      <w:r w:rsidR="00652705">
        <w:rPr>
          <w:rFonts w:ascii="Arial" w:hAnsi="Arial" w:cs="Arial"/>
          <w:lang w:val="en-GB"/>
        </w:rPr>
        <w:t>,</w:t>
      </w:r>
      <w:r w:rsidRPr="003C681C">
        <w:rPr>
          <w:rFonts w:ascii="Arial" w:hAnsi="Arial" w:cs="Arial"/>
          <w:lang w:val="en-GB"/>
        </w:rPr>
        <w:t xml:space="preserve"> the question turns on the true purpose of the transaction which was ultimately an arrangement for the transfer of the shares.</w:t>
      </w:r>
    </w:p>
    <w:p w14:paraId="4D63D2A4" w14:textId="77777777" w:rsidR="003C681C" w:rsidRPr="003C681C" w:rsidRDefault="003C681C" w:rsidP="003C681C">
      <w:pPr>
        <w:pStyle w:val="ListParagraph"/>
        <w:rPr>
          <w:rFonts w:ascii="Arial" w:hAnsi="Arial" w:cs="Arial"/>
          <w:lang w:val="en-GB"/>
        </w:rPr>
      </w:pPr>
    </w:p>
    <w:p w14:paraId="3CF35E06" w14:textId="2F14AE47" w:rsidR="003C681C" w:rsidRDefault="008D77EC" w:rsidP="00DA6487">
      <w:pPr>
        <w:pStyle w:val="ListParagraph"/>
        <w:numPr>
          <w:ilvl w:val="0"/>
          <w:numId w:val="2"/>
        </w:numPr>
        <w:spacing w:line="360" w:lineRule="auto"/>
        <w:ind w:left="0" w:firstLine="0"/>
        <w:jc w:val="both"/>
        <w:rPr>
          <w:rFonts w:ascii="Arial" w:hAnsi="Arial" w:cs="Arial"/>
          <w:lang w:val="en-GB"/>
        </w:rPr>
      </w:pPr>
      <w:r w:rsidRPr="00652705">
        <w:rPr>
          <w:rFonts w:ascii="Arial" w:hAnsi="Arial" w:cs="Arial"/>
          <w:lang w:val="en-GB"/>
        </w:rPr>
        <w:t xml:space="preserve">Once it is accepted that the SOB Agreement was intended to be an integral and indivisible part of the offer and acceptance implicated in the ultimate acquisition of the shares by RB Platinum, the implication of the drag along clause is that the share transfer </w:t>
      </w:r>
      <w:r w:rsidR="00882EA3">
        <w:rPr>
          <w:rFonts w:ascii="Arial" w:hAnsi="Arial" w:cs="Arial"/>
          <w:lang w:val="en-GB"/>
        </w:rPr>
        <w:t>could</w:t>
      </w:r>
      <w:r w:rsidRPr="00652705">
        <w:rPr>
          <w:rFonts w:ascii="Arial" w:hAnsi="Arial" w:cs="Arial"/>
          <w:lang w:val="en-GB"/>
        </w:rPr>
        <w:t xml:space="preserve"> be stymied by minority dissent. The fact that the intention o</w:t>
      </w:r>
      <w:r w:rsidR="003C681C" w:rsidRPr="00652705">
        <w:rPr>
          <w:rFonts w:ascii="Arial" w:hAnsi="Arial" w:cs="Arial"/>
          <w:lang w:val="en-GB"/>
        </w:rPr>
        <w:t>f the SOB Agreement was no more</w:t>
      </w:r>
      <w:r w:rsidRPr="00652705">
        <w:rPr>
          <w:rFonts w:ascii="Arial" w:hAnsi="Arial" w:cs="Arial"/>
          <w:lang w:val="en-GB"/>
        </w:rPr>
        <w:t xml:space="preserve"> than to facilitate the </w:t>
      </w:r>
      <w:r w:rsidR="00293C4D" w:rsidRPr="00652705">
        <w:rPr>
          <w:rFonts w:ascii="Arial" w:hAnsi="Arial" w:cs="Arial"/>
          <w:lang w:val="en-GB"/>
        </w:rPr>
        <w:t>end –</w:t>
      </w:r>
      <w:r w:rsidRPr="00652705">
        <w:rPr>
          <w:rFonts w:ascii="Arial" w:hAnsi="Arial" w:cs="Arial"/>
          <w:lang w:val="en-GB"/>
        </w:rPr>
        <w:t xml:space="preserve"> which was the share transaction</w:t>
      </w:r>
      <w:r w:rsidR="00652705" w:rsidRPr="00652705">
        <w:rPr>
          <w:rFonts w:ascii="Arial" w:hAnsi="Arial" w:cs="Arial"/>
          <w:lang w:val="en-GB"/>
        </w:rPr>
        <w:t>-</w:t>
      </w:r>
      <w:r w:rsidRPr="00652705">
        <w:rPr>
          <w:rFonts w:ascii="Arial" w:hAnsi="Arial" w:cs="Arial"/>
          <w:lang w:val="en-GB"/>
        </w:rPr>
        <w:t xml:space="preserve"> means that the plaintiff </w:t>
      </w:r>
      <w:r w:rsidR="00D157CB">
        <w:rPr>
          <w:rFonts w:ascii="Arial" w:hAnsi="Arial" w:cs="Arial"/>
          <w:lang w:val="en-GB"/>
        </w:rPr>
        <w:t>was</w:t>
      </w:r>
      <w:r w:rsidRPr="00652705">
        <w:rPr>
          <w:rFonts w:ascii="Arial" w:hAnsi="Arial" w:cs="Arial"/>
          <w:lang w:val="en-GB"/>
        </w:rPr>
        <w:t xml:space="preserve"> forced thereby to go along with all of it. </w:t>
      </w:r>
    </w:p>
    <w:p w14:paraId="21BA6BE4" w14:textId="77777777" w:rsidR="00652705" w:rsidRPr="00652705" w:rsidRDefault="00652705" w:rsidP="00652705">
      <w:pPr>
        <w:pStyle w:val="ListParagraph"/>
        <w:spacing w:line="360" w:lineRule="auto"/>
        <w:ind w:left="0"/>
        <w:jc w:val="both"/>
        <w:rPr>
          <w:rFonts w:ascii="Arial" w:hAnsi="Arial" w:cs="Arial"/>
          <w:lang w:val="en-GB"/>
        </w:rPr>
      </w:pPr>
    </w:p>
    <w:p w14:paraId="091DDCE3" w14:textId="56F3B285"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Clearly</w:t>
      </w:r>
      <w:r w:rsidR="00D157CB">
        <w:rPr>
          <w:rFonts w:ascii="Arial" w:hAnsi="Arial" w:cs="Arial"/>
          <w:lang w:val="en-GB"/>
        </w:rPr>
        <w:t>,</w:t>
      </w:r>
      <w:r w:rsidRPr="003C681C">
        <w:rPr>
          <w:rFonts w:ascii="Arial" w:hAnsi="Arial" w:cs="Arial"/>
          <w:lang w:val="en-GB"/>
        </w:rPr>
        <w:t xml:space="preserve"> there may be cases where a transfer of assets tak</w:t>
      </w:r>
      <w:r w:rsidR="003C681C">
        <w:rPr>
          <w:rFonts w:ascii="Arial" w:hAnsi="Arial" w:cs="Arial"/>
          <w:lang w:val="en-GB"/>
        </w:rPr>
        <w:t>es place prior to or as part of</w:t>
      </w:r>
      <w:r w:rsidRPr="003C681C">
        <w:rPr>
          <w:rFonts w:ascii="Arial" w:hAnsi="Arial" w:cs="Arial"/>
          <w:lang w:val="en-GB"/>
        </w:rPr>
        <w:t xml:space="preserve"> a scheme </w:t>
      </w:r>
      <w:r w:rsidR="00644E15">
        <w:rPr>
          <w:rFonts w:ascii="Arial" w:hAnsi="Arial" w:cs="Arial"/>
          <w:lang w:val="en-GB"/>
        </w:rPr>
        <w:t xml:space="preserve">of </w:t>
      </w:r>
      <w:r w:rsidR="009A2690">
        <w:rPr>
          <w:rFonts w:ascii="Arial" w:hAnsi="Arial" w:cs="Arial"/>
          <w:lang w:val="en-GB"/>
        </w:rPr>
        <w:t>arrangement</w:t>
      </w:r>
      <w:r w:rsidR="00644E15">
        <w:rPr>
          <w:rFonts w:ascii="Arial" w:hAnsi="Arial" w:cs="Arial"/>
          <w:lang w:val="en-GB"/>
        </w:rPr>
        <w:t xml:space="preserve"> </w:t>
      </w:r>
      <w:r w:rsidRPr="003C681C">
        <w:rPr>
          <w:rFonts w:ascii="Arial" w:hAnsi="Arial" w:cs="Arial"/>
          <w:lang w:val="en-GB"/>
        </w:rPr>
        <w:t xml:space="preserve">where such transfer is nefarious. </w:t>
      </w:r>
      <w:r w:rsidR="00644E15">
        <w:rPr>
          <w:rFonts w:ascii="Arial" w:hAnsi="Arial" w:cs="Arial"/>
          <w:lang w:val="en-GB"/>
        </w:rPr>
        <w:t>This was not the case here.</w:t>
      </w:r>
      <w:r w:rsidR="00C13FE5">
        <w:rPr>
          <w:rFonts w:ascii="Arial" w:hAnsi="Arial" w:cs="Arial"/>
          <w:lang w:val="en-GB"/>
        </w:rPr>
        <w:t xml:space="preserve">  </w:t>
      </w:r>
    </w:p>
    <w:p w14:paraId="40B3297D" w14:textId="77777777" w:rsidR="003C681C" w:rsidRPr="003C681C" w:rsidRDefault="003C681C" w:rsidP="003C681C">
      <w:pPr>
        <w:pStyle w:val="ListParagraph"/>
        <w:rPr>
          <w:rFonts w:ascii="Arial" w:hAnsi="Arial" w:cs="Arial"/>
          <w:lang w:val="en-GB"/>
        </w:rPr>
      </w:pPr>
    </w:p>
    <w:p w14:paraId="13C42249" w14:textId="3AF85558" w:rsidR="003C681C" w:rsidRPr="00E84EAB"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The true inquiry</w:t>
      </w:r>
      <w:r w:rsidR="00BC55C6">
        <w:rPr>
          <w:rFonts w:ascii="Arial" w:hAnsi="Arial" w:cs="Arial"/>
          <w:lang w:val="en-GB"/>
        </w:rPr>
        <w:t>,</w:t>
      </w:r>
      <w:r w:rsidRPr="003C681C">
        <w:rPr>
          <w:rFonts w:ascii="Arial" w:hAnsi="Arial" w:cs="Arial"/>
          <w:lang w:val="en-GB"/>
        </w:rPr>
        <w:t xml:space="preserve"> in all instances</w:t>
      </w:r>
      <w:r w:rsidR="00BC55C6">
        <w:rPr>
          <w:rFonts w:ascii="Arial" w:hAnsi="Arial" w:cs="Arial"/>
          <w:lang w:val="en-GB"/>
        </w:rPr>
        <w:t>,</w:t>
      </w:r>
      <w:r w:rsidRPr="003C681C">
        <w:rPr>
          <w:rFonts w:ascii="Arial" w:hAnsi="Arial" w:cs="Arial"/>
          <w:lang w:val="en-GB"/>
        </w:rPr>
        <w:t xml:space="preserve"> is the intention of the parties in the context of the scheme. In this case the share transfer could have taken place as a normal share transaction aided by the drag along clause. The purpose of the resort to the separate agreement was to obtain liquidity before the share transfer. It </w:t>
      </w:r>
      <w:r w:rsidR="006218BB">
        <w:rPr>
          <w:rFonts w:ascii="Arial" w:hAnsi="Arial" w:cs="Arial"/>
          <w:lang w:val="en-GB"/>
        </w:rPr>
        <w:t>would serve</w:t>
      </w:r>
      <w:r w:rsidRPr="003C681C">
        <w:rPr>
          <w:rFonts w:ascii="Arial" w:hAnsi="Arial" w:cs="Arial"/>
          <w:lang w:val="en-GB"/>
        </w:rPr>
        <w:t xml:space="preserve"> no purpose </w:t>
      </w:r>
      <w:r w:rsidRPr="003C681C">
        <w:rPr>
          <w:rFonts w:ascii="Arial" w:hAnsi="Arial" w:cs="Arial"/>
          <w:lang w:val="en-GB"/>
        </w:rPr>
        <w:lastRenderedPageBreak/>
        <w:t xml:space="preserve">to allow </w:t>
      </w:r>
      <w:r w:rsidR="007B3104">
        <w:rPr>
          <w:rFonts w:ascii="Arial" w:hAnsi="Arial" w:cs="Arial"/>
          <w:lang w:val="en-GB"/>
        </w:rPr>
        <w:t>Africa Wide</w:t>
      </w:r>
      <w:r w:rsidRPr="003C681C">
        <w:rPr>
          <w:rFonts w:ascii="Arial" w:hAnsi="Arial" w:cs="Arial"/>
          <w:lang w:val="en-GB"/>
        </w:rPr>
        <w:t xml:space="preserve"> to invoke minority protections for the purpose only of attempting to scupper the scheme.</w:t>
      </w:r>
    </w:p>
    <w:p w14:paraId="5E9085EE" w14:textId="77777777" w:rsidR="00E84EAB" w:rsidRPr="00E84EAB" w:rsidRDefault="00E84EAB" w:rsidP="00E84EAB">
      <w:pPr>
        <w:pStyle w:val="ListParagraph"/>
        <w:rPr>
          <w:rFonts w:ascii="Arial" w:hAnsi="Arial" w:cs="Arial"/>
        </w:rPr>
      </w:pPr>
    </w:p>
    <w:p w14:paraId="63EEE33D" w14:textId="55C9BE3E" w:rsidR="00E84EAB" w:rsidRDefault="00E84EAB" w:rsidP="008D77EC">
      <w:pPr>
        <w:pStyle w:val="ListParagraph"/>
        <w:numPr>
          <w:ilvl w:val="0"/>
          <w:numId w:val="2"/>
        </w:numPr>
        <w:spacing w:line="360" w:lineRule="auto"/>
        <w:ind w:left="0" w:firstLine="0"/>
        <w:jc w:val="both"/>
        <w:rPr>
          <w:rFonts w:ascii="Arial" w:hAnsi="Arial" w:cs="Arial"/>
        </w:rPr>
      </w:pPr>
      <w:r>
        <w:rPr>
          <w:rFonts w:ascii="Arial" w:hAnsi="Arial" w:cs="Arial"/>
        </w:rPr>
        <w:t xml:space="preserve">The plaintiff’s </w:t>
      </w:r>
      <w:r w:rsidR="00D91CFD">
        <w:rPr>
          <w:rFonts w:ascii="Arial" w:hAnsi="Arial" w:cs="Arial"/>
        </w:rPr>
        <w:t xml:space="preserve">hypothetical argument to the effect that the plant transaction could not have been reversed if the </w:t>
      </w:r>
      <w:r w:rsidR="005B6FD1">
        <w:rPr>
          <w:rFonts w:ascii="Arial" w:hAnsi="Arial" w:cs="Arial"/>
        </w:rPr>
        <w:t>share transaction</w:t>
      </w:r>
      <w:r w:rsidR="00BE0C80">
        <w:rPr>
          <w:rFonts w:ascii="Arial" w:hAnsi="Arial" w:cs="Arial"/>
        </w:rPr>
        <w:t xml:space="preserve"> failed, </w:t>
      </w:r>
      <w:r w:rsidR="005B6FD1">
        <w:rPr>
          <w:rFonts w:ascii="Arial" w:hAnsi="Arial" w:cs="Arial"/>
        </w:rPr>
        <w:t xml:space="preserve"> </w:t>
      </w:r>
      <w:r w:rsidR="00BE0C80">
        <w:rPr>
          <w:rFonts w:ascii="Arial" w:hAnsi="Arial" w:cs="Arial"/>
        </w:rPr>
        <w:t>does not</w:t>
      </w:r>
      <w:r w:rsidR="005B6FD1">
        <w:rPr>
          <w:rFonts w:ascii="Arial" w:hAnsi="Arial" w:cs="Arial"/>
        </w:rPr>
        <w:t xml:space="preserve"> take account of the fact that it was never established that this was a possible outcome. In truth there was no reason for the share transaction to </w:t>
      </w:r>
      <w:r w:rsidR="005A3D4E">
        <w:rPr>
          <w:rFonts w:ascii="Arial" w:hAnsi="Arial" w:cs="Arial"/>
        </w:rPr>
        <w:t>fail</w:t>
      </w:r>
      <w:r w:rsidR="005B6FD1">
        <w:rPr>
          <w:rFonts w:ascii="Arial" w:hAnsi="Arial" w:cs="Arial"/>
        </w:rPr>
        <w:t xml:space="preserve">. </w:t>
      </w:r>
    </w:p>
    <w:p w14:paraId="2F8DF868" w14:textId="77777777" w:rsidR="00250F74" w:rsidRPr="00250F74" w:rsidRDefault="00250F74" w:rsidP="00250F74">
      <w:pPr>
        <w:pStyle w:val="ListParagraph"/>
        <w:rPr>
          <w:rFonts w:ascii="Arial" w:hAnsi="Arial" w:cs="Arial"/>
        </w:rPr>
      </w:pPr>
    </w:p>
    <w:p w14:paraId="1BEB5E51" w14:textId="3794292A" w:rsidR="00250F74" w:rsidRDefault="00250F74" w:rsidP="008D77EC">
      <w:pPr>
        <w:pStyle w:val="ListParagraph"/>
        <w:numPr>
          <w:ilvl w:val="0"/>
          <w:numId w:val="2"/>
        </w:numPr>
        <w:spacing w:line="360" w:lineRule="auto"/>
        <w:ind w:left="0" w:firstLine="0"/>
        <w:jc w:val="both"/>
        <w:rPr>
          <w:rFonts w:ascii="Arial" w:hAnsi="Arial" w:cs="Arial"/>
        </w:rPr>
      </w:pPr>
      <w:r>
        <w:rPr>
          <w:rFonts w:ascii="Arial" w:hAnsi="Arial" w:cs="Arial"/>
        </w:rPr>
        <w:t xml:space="preserve">This hypothetical approach also fails to take account of the clear intention of the parties as expressed in the term sheet and the fact that the terms of both agreements </w:t>
      </w:r>
      <w:r w:rsidR="00BE0C80">
        <w:rPr>
          <w:rFonts w:ascii="Arial" w:hAnsi="Arial" w:cs="Arial"/>
        </w:rPr>
        <w:t>are interdependent.</w:t>
      </w:r>
    </w:p>
    <w:p w14:paraId="646CDAA4" w14:textId="77777777" w:rsidR="005A3D4E" w:rsidRPr="005A3D4E" w:rsidRDefault="005A3D4E" w:rsidP="005A3D4E">
      <w:pPr>
        <w:pStyle w:val="ListParagraph"/>
        <w:rPr>
          <w:rFonts w:ascii="Arial" w:hAnsi="Arial" w:cs="Arial"/>
        </w:rPr>
      </w:pPr>
    </w:p>
    <w:p w14:paraId="360A13BF" w14:textId="742BF2EE" w:rsidR="009A14C7" w:rsidRDefault="005A3D4E" w:rsidP="002A03FA">
      <w:pPr>
        <w:pStyle w:val="ListParagraph"/>
        <w:numPr>
          <w:ilvl w:val="0"/>
          <w:numId w:val="2"/>
        </w:numPr>
        <w:spacing w:line="360" w:lineRule="auto"/>
        <w:ind w:left="0" w:firstLine="0"/>
        <w:jc w:val="both"/>
        <w:rPr>
          <w:rFonts w:ascii="Arial" w:hAnsi="Arial" w:cs="Arial"/>
        </w:rPr>
      </w:pPr>
      <w:r>
        <w:rPr>
          <w:rFonts w:ascii="Arial" w:hAnsi="Arial" w:cs="Arial"/>
        </w:rPr>
        <w:t xml:space="preserve">The </w:t>
      </w:r>
      <w:r w:rsidR="00824624">
        <w:rPr>
          <w:rFonts w:ascii="Arial" w:hAnsi="Arial" w:cs="Arial"/>
        </w:rPr>
        <w:t xml:space="preserve">plaintiff’s </w:t>
      </w:r>
      <w:r w:rsidR="001B6825">
        <w:rPr>
          <w:rFonts w:ascii="Arial" w:hAnsi="Arial" w:cs="Arial"/>
        </w:rPr>
        <w:t>also shows</w:t>
      </w:r>
      <w:r w:rsidR="00BF08A5">
        <w:rPr>
          <w:rFonts w:ascii="Arial" w:hAnsi="Arial" w:cs="Arial"/>
        </w:rPr>
        <w:t xml:space="preserve"> a</w:t>
      </w:r>
      <w:r w:rsidR="00824624">
        <w:rPr>
          <w:rFonts w:ascii="Arial" w:hAnsi="Arial" w:cs="Arial"/>
        </w:rPr>
        <w:t xml:space="preserve"> cynical disregard of the predicament of PTM as its fellow shareholder who had paid all the bills</w:t>
      </w:r>
      <w:r w:rsidR="009A14C7">
        <w:rPr>
          <w:rFonts w:ascii="Arial" w:hAnsi="Arial" w:cs="Arial"/>
        </w:rPr>
        <w:t xml:space="preserve"> of Maseve</w:t>
      </w:r>
      <w:r w:rsidR="00824624">
        <w:rPr>
          <w:rFonts w:ascii="Arial" w:hAnsi="Arial" w:cs="Arial"/>
        </w:rPr>
        <w:t xml:space="preserve"> on borrowed money.</w:t>
      </w:r>
      <w:r w:rsidR="002A03FA">
        <w:rPr>
          <w:rFonts w:ascii="Arial" w:hAnsi="Arial" w:cs="Arial"/>
        </w:rPr>
        <w:t xml:space="preserve"> </w:t>
      </w:r>
      <w:r w:rsidR="009A14C7" w:rsidRPr="002A03FA">
        <w:rPr>
          <w:rFonts w:ascii="Arial" w:hAnsi="Arial" w:cs="Arial"/>
        </w:rPr>
        <w:t>It also</w:t>
      </w:r>
      <w:r w:rsidR="00BF08A5" w:rsidRPr="002A03FA">
        <w:rPr>
          <w:rFonts w:ascii="Arial" w:hAnsi="Arial" w:cs="Arial"/>
        </w:rPr>
        <w:t xml:space="preserve"> seeks to </w:t>
      </w:r>
      <w:r w:rsidR="00F500FD">
        <w:rPr>
          <w:rFonts w:ascii="Arial" w:hAnsi="Arial" w:cs="Arial"/>
        </w:rPr>
        <w:t>ignore</w:t>
      </w:r>
      <w:r w:rsidR="00BF08A5" w:rsidRPr="002A03FA">
        <w:rPr>
          <w:rFonts w:ascii="Arial" w:hAnsi="Arial" w:cs="Arial"/>
        </w:rPr>
        <w:t xml:space="preserve"> that Maseve was commercially insolvent</w:t>
      </w:r>
      <w:r w:rsidR="002A03FA">
        <w:rPr>
          <w:rFonts w:ascii="Arial" w:hAnsi="Arial" w:cs="Arial"/>
        </w:rPr>
        <w:t xml:space="preserve">. </w:t>
      </w:r>
    </w:p>
    <w:p w14:paraId="12E7FDF3" w14:textId="77777777" w:rsidR="002A03FA" w:rsidRPr="002A03FA" w:rsidRDefault="002A03FA" w:rsidP="002A03FA">
      <w:pPr>
        <w:pStyle w:val="ListParagraph"/>
        <w:rPr>
          <w:rFonts w:ascii="Arial" w:hAnsi="Arial" w:cs="Arial"/>
        </w:rPr>
      </w:pPr>
    </w:p>
    <w:p w14:paraId="53F5AC83" w14:textId="46613AB1" w:rsidR="002A03FA" w:rsidRDefault="00BE64BE" w:rsidP="002A03FA">
      <w:pPr>
        <w:pStyle w:val="ListParagraph"/>
        <w:numPr>
          <w:ilvl w:val="0"/>
          <w:numId w:val="2"/>
        </w:numPr>
        <w:spacing w:line="360" w:lineRule="auto"/>
        <w:ind w:left="0" w:firstLine="0"/>
        <w:jc w:val="both"/>
        <w:rPr>
          <w:rFonts w:ascii="Arial" w:hAnsi="Arial" w:cs="Arial"/>
        </w:rPr>
      </w:pPr>
      <w:r>
        <w:rPr>
          <w:rFonts w:ascii="Arial" w:hAnsi="Arial" w:cs="Arial"/>
        </w:rPr>
        <w:t xml:space="preserve">The somewhat arch suggestion </w:t>
      </w:r>
      <w:r w:rsidR="00F500FD">
        <w:rPr>
          <w:rFonts w:ascii="Arial" w:hAnsi="Arial" w:cs="Arial"/>
        </w:rPr>
        <w:t xml:space="preserve">in the cross examination of Mr </w:t>
      </w:r>
      <w:r w:rsidR="00CC56DE">
        <w:rPr>
          <w:rFonts w:ascii="Arial" w:hAnsi="Arial" w:cs="Arial"/>
        </w:rPr>
        <w:t xml:space="preserve">Hallam </w:t>
      </w:r>
      <w:r>
        <w:rPr>
          <w:rFonts w:ascii="Arial" w:hAnsi="Arial" w:cs="Arial"/>
        </w:rPr>
        <w:t>that ‘</w:t>
      </w:r>
      <w:r w:rsidR="0080629E">
        <w:rPr>
          <w:rFonts w:ascii="Arial" w:hAnsi="Arial" w:cs="Arial"/>
        </w:rPr>
        <w:t xml:space="preserve"> Maseve</w:t>
      </w:r>
      <w:r>
        <w:rPr>
          <w:rFonts w:ascii="Arial" w:hAnsi="Arial" w:cs="Arial"/>
        </w:rPr>
        <w:t xml:space="preserve"> was not in the business of selling </w:t>
      </w:r>
      <w:r w:rsidR="0080629E">
        <w:rPr>
          <w:rFonts w:ascii="Arial" w:hAnsi="Arial" w:cs="Arial"/>
        </w:rPr>
        <w:t>concentrator plants</w:t>
      </w:r>
      <w:r w:rsidR="00F3531B">
        <w:rPr>
          <w:rFonts w:ascii="Arial" w:hAnsi="Arial" w:cs="Arial"/>
        </w:rPr>
        <w:t>’</w:t>
      </w:r>
      <w:r w:rsidR="0080629E">
        <w:rPr>
          <w:rFonts w:ascii="Arial" w:hAnsi="Arial" w:cs="Arial"/>
        </w:rPr>
        <w:t xml:space="preserve"> ignores the fact that </w:t>
      </w:r>
      <w:r w:rsidR="00F3531B">
        <w:rPr>
          <w:rFonts w:ascii="Arial" w:hAnsi="Arial" w:cs="Arial"/>
        </w:rPr>
        <w:t>Maseve was insolvent</w:t>
      </w:r>
      <w:r w:rsidR="00CC56DE">
        <w:rPr>
          <w:rFonts w:ascii="Arial" w:hAnsi="Arial" w:cs="Arial"/>
        </w:rPr>
        <w:t xml:space="preserve"> and needed liquid funds if it was to survive</w:t>
      </w:r>
      <w:r w:rsidR="00F3531B">
        <w:rPr>
          <w:rFonts w:ascii="Arial" w:hAnsi="Arial" w:cs="Arial"/>
        </w:rPr>
        <w:t>.</w:t>
      </w:r>
    </w:p>
    <w:p w14:paraId="6639E51A" w14:textId="77777777" w:rsidR="00F3531B" w:rsidRPr="00F3531B" w:rsidRDefault="00F3531B" w:rsidP="00F3531B">
      <w:pPr>
        <w:pStyle w:val="ListParagraph"/>
        <w:rPr>
          <w:rFonts w:ascii="Arial" w:hAnsi="Arial" w:cs="Arial"/>
        </w:rPr>
      </w:pPr>
    </w:p>
    <w:p w14:paraId="05CB604C" w14:textId="7B552215" w:rsidR="00F3531B" w:rsidRPr="002A03FA" w:rsidRDefault="00F3531B" w:rsidP="002A03FA">
      <w:pPr>
        <w:pStyle w:val="ListParagraph"/>
        <w:numPr>
          <w:ilvl w:val="0"/>
          <w:numId w:val="2"/>
        </w:numPr>
        <w:spacing w:line="360" w:lineRule="auto"/>
        <w:ind w:left="0" w:firstLine="0"/>
        <w:jc w:val="both"/>
        <w:rPr>
          <w:rFonts w:ascii="Arial" w:hAnsi="Arial" w:cs="Arial"/>
        </w:rPr>
      </w:pPr>
      <w:r>
        <w:rPr>
          <w:rFonts w:ascii="Arial" w:hAnsi="Arial" w:cs="Arial"/>
        </w:rPr>
        <w:t>To my mind, an inevitable impression of ‘sour grapes’ is created when one sees that ultimately there was a bidding war</w:t>
      </w:r>
      <w:r w:rsidR="0050776B">
        <w:rPr>
          <w:rFonts w:ascii="Arial" w:hAnsi="Arial" w:cs="Arial"/>
        </w:rPr>
        <w:t xml:space="preserve"> to buy the company by </w:t>
      </w:r>
      <w:r w:rsidR="00F500FD">
        <w:rPr>
          <w:rFonts w:ascii="Arial" w:hAnsi="Arial" w:cs="Arial"/>
        </w:rPr>
        <w:t>Wesiswe – which</w:t>
      </w:r>
      <w:r w:rsidR="00FD133B">
        <w:rPr>
          <w:rFonts w:ascii="Arial" w:hAnsi="Arial" w:cs="Arial"/>
        </w:rPr>
        <w:t xml:space="preserve">, </w:t>
      </w:r>
      <w:r w:rsidR="00F500FD">
        <w:rPr>
          <w:rFonts w:ascii="Arial" w:hAnsi="Arial" w:cs="Arial"/>
        </w:rPr>
        <w:t>on any version</w:t>
      </w:r>
      <w:r w:rsidR="00CC56DE">
        <w:rPr>
          <w:rFonts w:ascii="Arial" w:hAnsi="Arial" w:cs="Arial"/>
        </w:rPr>
        <w:t>,</w:t>
      </w:r>
      <w:r w:rsidR="00F500FD">
        <w:rPr>
          <w:rFonts w:ascii="Arial" w:hAnsi="Arial" w:cs="Arial"/>
        </w:rPr>
        <w:t xml:space="preserve"> made an offer that was ‘too little to late’.</w:t>
      </w:r>
    </w:p>
    <w:p w14:paraId="2EFF8B90" w14:textId="77777777" w:rsidR="003C681C" w:rsidRPr="003C681C" w:rsidRDefault="003C681C" w:rsidP="003C681C">
      <w:pPr>
        <w:pStyle w:val="ListParagraph"/>
        <w:rPr>
          <w:rFonts w:ascii="Arial" w:hAnsi="Arial" w:cs="Arial"/>
          <w:lang w:val="en-GB"/>
        </w:rPr>
      </w:pPr>
    </w:p>
    <w:p w14:paraId="4C069807" w14:textId="48C270CA" w:rsidR="00030BBB" w:rsidRPr="0035743A" w:rsidRDefault="008D77EC" w:rsidP="00AC3EFB">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 xml:space="preserve">I thus find that the plaintiff has failed to establish its case on the </w:t>
      </w:r>
      <w:r w:rsidR="001B6825" w:rsidRPr="003C681C">
        <w:rPr>
          <w:rFonts w:ascii="Arial" w:hAnsi="Arial" w:cs="Arial"/>
          <w:lang w:val="en-GB"/>
        </w:rPr>
        <w:t>evidence.</w:t>
      </w:r>
      <w:r w:rsidR="001B6825" w:rsidRPr="00AC3EFB">
        <w:rPr>
          <w:rFonts w:ascii="Arial" w:hAnsi="Arial" w:cs="Arial"/>
          <w:lang w:val="en-GB"/>
        </w:rPr>
        <w:t xml:space="preserve"> This</w:t>
      </w:r>
      <w:r w:rsidR="007B3104" w:rsidRPr="00AC3EFB">
        <w:rPr>
          <w:rFonts w:ascii="Arial" w:hAnsi="Arial" w:cs="Arial"/>
          <w:lang w:val="en-GB"/>
        </w:rPr>
        <w:t xml:space="preserve"> notwithstanding</w:t>
      </w:r>
      <w:r w:rsidR="00FD133B">
        <w:rPr>
          <w:rFonts w:ascii="Arial" w:hAnsi="Arial" w:cs="Arial"/>
          <w:lang w:val="en-GB"/>
        </w:rPr>
        <w:t>,</w:t>
      </w:r>
      <w:r w:rsidR="007B3104" w:rsidRPr="00AC3EFB">
        <w:rPr>
          <w:rFonts w:ascii="Arial" w:hAnsi="Arial" w:cs="Arial"/>
          <w:lang w:val="en-GB"/>
        </w:rPr>
        <w:t xml:space="preserve"> I will deal also with the </w:t>
      </w:r>
      <w:r w:rsidR="001B6825" w:rsidRPr="00AC3EFB">
        <w:rPr>
          <w:rFonts w:ascii="Arial" w:hAnsi="Arial" w:cs="Arial"/>
          <w:lang w:val="en-GB"/>
        </w:rPr>
        <w:t>statutory</w:t>
      </w:r>
      <w:r w:rsidR="007B3104" w:rsidRPr="00AC3EFB">
        <w:rPr>
          <w:rFonts w:ascii="Arial" w:hAnsi="Arial" w:cs="Arial"/>
          <w:lang w:val="en-GB"/>
        </w:rPr>
        <w:t xml:space="preserve"> plea in that it is independently </w:t>
      </w:r>
      <w:r w:rsidR="00D61A04" w:rsidRPr="00AC3EFB">
        <w:rPr>
          <w:rFonts w:ascii="Arial" w:hAnsi="Arial" w:cs="Arial"/>
          <w:lang w:val="en-GB"/>
        </w:rPr>
        <w:t>dispositive of the case.</w:t>
      </w:r>
    </w:p>
    <w:p w14:paraId="79D6430F" w14:textId="77777777" w:rsidR="00030BBB" w:rsidRPr="00AC3EFB" w:rsidRDefault="00030BBB" w:rsidP="00AC3EFB">
      <w:pPr>
        <w:spacing w:line="360" w:lineRule="auto"/>
        <w:jc w:val="both"/>
        <w:rPr>
          <w:rFonts w:ascii="Arial" w:hAnsi="Arial" w:cs="Arial"/>
        </w:rPr>
      </w:pPr>
    </w:p>
    <w:p w14:paraId="38DB9412" w14:textId="1B0F0883" w:rsidR="003C681C" w:rsidRPr="00334CEB" w:rsidRDefault="00334CEB" w:rsidP="003C681C">
      <w:pPr>
        <w:spacing w:line="360" w:lineRule="auto"/>
        <w:jc w:val="both"/>
        <w:rPr>
          <w:rFonts w:ascii="Arial" w:hAnsi="Arial" w:cs="Arial"/>
          <w:b/>
          <w:sz w:val="24"/>
          <w:szCs w:val="24"/>
          <w:lang w:val="en-GB"/>
        </w:rPr>
      </w:pPr>
      <w:r>
        <w:rPr>
          <w:rFonts w:ascii="Arial" w:hAnsi="Arial" w:cs="Arial"/>
          <w:b/>
          <w:sz w:val="24"/>
          <w:szCs w:val="24"/>
          <w:lang w:val="en-GB"/>
        </w:rPr>
        <w:t>The statutory special plea</w:t>
      </w:r>
    </w:p>
    <w:p w14:paraId="12EA9C8D" w14:textId="77777777" w:rsidR="003C681C" w:rsidRPr="003C681C" w:rsidRDefault="003C681C" w:rsidP="003C681C">
      <w:pPr>
        <w:pStyle w:val="ListParagraph"/>
        <w:rPr>
          <w:rFonts w:ascii="Arial" w:hAnsi="Arial" w:cs="Arial"/>
          <w:lang w:val="en-GB"/>
        </w:rPr>
      </w:pPr>
    </w:p>
    <w:p w14:paraId="661A904C" w14:textId="05A9A7DC"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The question posed by this plea is whether a scheme can be challenged outside of the machinery prescribed by the statute or</w:t>
      </w:r>
      <w:r w:rsidR="00AC3EFB">
        <w:rPr>
          <w:rFonts w:ascii="Arial" w:hAnsi="Arial" w:cs="Arial"/>
          <w:lang w:val="en-GB"/>
        </w:rPr>
        <w:t>,</w:t>
      </w:r>
      <w:r w:rsidRPr="003C681C">
        <w:rPr>
          <w:rFonts w:ascii="Arial" w:hAnsi="Arial" w:cs="Arial"/>
          <w:lang w:val="en-GB"/>
        </w:rPr>
        <w:t xml:space="preserve"> put differently</w:t>
      </w:r>
      <w:r w:rsidR="00AC3EFB">
        <w:rPr>
          <w:rFonts w:ascii="Arial" w:hAnsi="Arial" w:cs="Arial"/>
          <w:lang w:val="en-GB"/>
        </w:rPr>
        <w:t>,</w:t>
      </w:r>
      <w:r w:rsidRPr="003C681C">
        <w:rPr>
          <w:rFonts w:ascii="Arial" w:hAnsi="Arial" w:cs="Arial"/>
          <w:lang w:val="en-GB"/>
        </w:rPr>
        <w:t xml:space="preserve"> whether the plaintiff</w:t>
      </w:r>
      <w:r w:rsidR="00AA61E3">
        <w:rPr>
          <w:rFonts w:ascii="Arial" w:hAnsi="Arial" w:cs="Arial"/>
          <w:lang w:val="en-GB"/>
        </w:rPr>
        <w:t>’s claim which is based on comm</w:t>
      </w:r>
      <w:r w:rsidR="00AF75E7">
        <w:rPr>
          <w:rFonts w:ascii="Arial" w:hAnsi="Arial" w:cs="Arial"/>
          <w:lang w:val="en-GB"/>
        </w:rPr>
        <w:t xml:space="preserve">on law </w:t>
      </w:r>
      <w:r w:rsidR="00327280">
        <w:rPr>
          <w:rFonts w:ascii="Arial" w:hAnsi="Arial" w:cs="Arial"/>
          <w:lang w:val="en-GB"/>
        </w:rPr>
        <w:t>is</w:t>
      </w:r>
      <w:r w:rsidR="00B83D12">
        <w:rPr>
          <w:rFonts w:ascii="Arial" w:hAnsi="Arial" w:cs="Arial"/>
          <w:lang w:val="en-GB"/>
        </w:rPr>
        <w:t xml:space="preserve"> barred by the statute</w:t>
      </w:r>
    </w:p>
    <w:p w14:paraId="621858BF" w14:textId="77777777" w:rsidR="003C681C" w:rsidRPr="003C681C" w:rsidRDefault="003C681C" w:rsidP="003C681C">
      <w:pPr>
        <w:pStyle w:val="ListParagraph"/>
        <w:spacing w:line="360" w:lineRule="auto"/>
        <w:ind w:left="0"/>
        <w:jc w:val="both"/>
        <w:rPr>
          <w:rFonts w:ascii="Arial" w:hAnsi="Arial" w:cs="Arial"/>
        </w:rPr>
      </w:pPr>
    </w:p>
    <w:p w14:paraId="6DBAA5E6" w14:textId="2005DD5F"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lastRenderedPageBreak/>
        <w:t xml:space="preserve">In answering this </w:t>
      </w:r>
      <w:r w:rsidR="001B6825" w:rsidRPr="003C681C">
        <w:rPr>
          <w:rFonts w:ascii="Arial" w:hAnsi="Arial" w:cs="Arial"/>
          <w:lang w:val="en-GB"/>
        </w:rPr>
        <w:t>question,</w:t>
      </w:r>
      <w:r w:rsidRPr="003C681C">
        <w:rPr>
          <w:rFonts w:ascii="Arial" w:hAnsi="Arial" w:cs="Arial"/>
          <w:lang w:val="en-GB"/>
        </w:rPr>
        <w:t xml:space="preserve"> it is helpful to look at the purpose of schemes of arrangement</w:t>
      </w:r>
      <w:r w:rsidR="00AC3EFB">
        <w:rPr>
          <w:rFonts w:ascii="Arial" w:hAnsi="Arial" w:cs="Arial"/>
          <w:lang w:val="en-GB"/>
        </w:rPr>
        <w:t xml:space="preserve"> and the evolution of the company law relating thereto</w:t>
      </w:r>
      <w:r w:rsidRPr="003C681C">
        <w:rPr>
          <w:rFonts w:ascii="Arial" w:hAnsi="Arial" w:cs="Arial"/>
          <w:lang w:val="en-GB"/>
        </w:rPr>
        <w:t>.</w:t>
      </w:r>
    </w:p>
    <w:p w14:paraId="47F4FB4C" w14:textId="77777777" w:rsidR="003C681C" w:rsidRPr="003C681C" w:rsidRDefault="003C681C" w:rsidP="003C681C">
      <w:pPr>
        <w:pStyle w:val="ListParagraph"/>
        <w:rPr>
          <w:rFonts w:ascii="Arial" w:hAnsi="Arial" w:cs="Arial"/>
          <w:lang w:val="en-GB"/>
        </w:rPr>
      </w:pPr>
    </w:p>
    <w:p w14:paraId="264403F9" w14:textId="4BBF455E" w:rsidR="003C681C" w:rsidRPr="003C681C" w:rsidRDefault="008D77EC" w:rsidP="003C681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 xml:space="preserve">The concept of the </w:t>
      </w:r>
      <w:r w:rsidR="00AC3EFB">
        <w:rPr>
          <w:rFonts w:ascii="Arial" w:hAnsi="Arial" w:cs="Arial"/>
          <w:lang w:val="en-GB"/>
        </w:rPr>
        <w:t>‘</w:t>
      </w:r>
      <w:r w:rsidRPr="00D157CB">
        <w:rPr>
          <w:rFonts w:ascii="Arial" w:hAnsi="Arial" w:cs="Arial"/>
          <w:i/>
          <w:lang w:val="en-GB"/>
        </w:rPr>
        <w:t>Scheme of Arrangement</w:t>
      </w:r>
      <w:r w:rsidR="00AC3EFB" w:rsidRPr="00D157CB">
        <w:rPr>
          <w:rFonts w:ascii="Arial" w:hAnsi="Arial" w:cs="Arial"/>
          <w:i/>
          <w:lang w:val="en-GB"/>
        </w:rPr>
        <w:t>’</w:t>
      </w:r>
      <w:r w:rsidRPr="003C681C">
        <w:rPr>
          <w:rFonts w:ascii="Arial" w:hAnsi="Arial" w:cs="Arial"/>
          <w:lang w:val="en-GB"/>
        </w:rPr>
        <w:t xml:space="preserve"> is a feature of company law in many jurisdictions the world over. </w:t>
      </w:r>
      <w:r w:rsidR="006F5612">
        <w:rPr>
          <w:rFonts w:ascii="Arial" w:hAnsi="Arial" w:cs="Arial"/>
          <w:lang w:val="en-GB"/>
        </w:rPr>
        <w:t xml:space="preserve">The scheme of </w:t>
      </w:r>
      <w:r w:rsidR="001B6825">
        <w:rPr>
          <w:rFonts w:ascii="Arial" w:hAnsi="Arial" w:cs="Arial"/>
          <w:lang w:val="en-GB"/>
        </w:rPr>
        <w:t>arrangement</w:t>
      </w:r>
      <w:r w:rsidRPr="003C681C">
        <w:rPr>
          <w:rFonts w:ascii="Arial" w:hAnsi="Arial" w:cs="Arial"/>
          <w:lang w:val="en-GB"/>
        </w:rPr>
        <w:t xml:space="preserve"> evolved to take account of the diffic</w:t>
      </w:r>
      <w:r w:rsidR="003C681C">
        <w:rPr>
          <w:rFonts w:ascii="Arial" w:hAnsi="Arial" w:cs="Arial"/>
          <w:lang w:val="en-GB"/>
        </w:rPr>
        <w:t xml:space="preserve">ulty of minority resistance to </w:t>
      </w:r>
      <w:r w:rsidRPr="003C681C">
        <w:rPr>
          <w:rFonts w:ascii="Arial" w:hAnsi="Arial" w:cs="Arial"/>
          <w:lang w:val="en-GB"/>
        </w:rPr>
        <w:t>fundamental proposals made</w:t>
      </w:r>
      <w:r w:rsidR="003C681C">
        <w:rPr>
          <w:rFonts w:ascii="Arial" w:hAnsi="Arial" w:cs="Arial"/>
          <w:lang w:val="en-GB"/>
        </w:rPr>
        <w:t xml:space="preserve"> in the interests of a company </w:t>
      </w:r>
      <w:r w:rsidRPr="003C681C">
        <w:rPr>
          <w:rFonts w:ascii="Arial" w:hAnsi="Arial" w:cs="Arial"/>
          <w:lang w:val="en-GB"/>
        </w:rPr>
        <w:t>and</w:t>
      </w:r>
      <w:r w:rsidR="005A681B">
        <w:rPr>
          <w:rFonts w:ascii="Arial" w:hAnsi="Arial" w:cs="Arial"/>
          <w:lang w:val="en-GB"/>
        </w:rPr>
        <w:t>,</w:t>
      </w:r>
      <w:r w:rsidRPr="003C681C">
        <w:rPr>
          <w:rFonts w:ascii="Arial" w:hAnsi="Arial" w:cs="Arial"/>
          <w:lang w:val="en-GB"/>
        </w:rPr>
        <w:t xml:space="preserve"> essentially</w:t>
      </w:r>
      <w:r w:rsidR="005A681B">
        <w:rPr>
          <w:rFonts w:ascii="Arial" w:hAnsi="Arial" w:cs="Arial"/>
          <w:lang w:val="en-GB"/>
        </w:rPr>
        <w:t>,</w:t>
      </w:r>
      <w:r w:rsidRPr="003C681C">
        <w:rPr>
          <w:rFonts w:ascii="Arial" w:hAnsi="Arial" w:cs="Arial"/>
          <w:lang w:val="en-GB"/>
        </w:rPr>
        <w:t xml:space="preserve"> as a mechanism for obtaining or compelling consent of the minority where it is withheld for reasons which are irrational or </w:t>
      </w:r>
      <w:r w:rsidR="003C681C" w:rsidRPr="003C681C">
        <w:rPr>
          <w:rFonts w:ascii="Arial" w:hAnsi="Arial" w:cs="Arial"/>
          <w:lang w:val="en-GB"/>
        </w:rPr>
        <w:t>self-serving</w:t>
      </w:r>
      <w:r w:rsidRPr="003C681C">
        <w:rPr>
          <w:rFonts w:ascii="Arial" w:hAnsi="Arial" w:cs="Arial"/>
          <w:lang w:val="en-GB"/>
        </w:rPr>
        <w:t>.</w:t>
      </w:r>
    </w:p>
    <w:p w14:paraId="0B96BADB" w14:textId="77777777" w:rsidR="003C681C" w:rsidRPr="003C681C" w:rsidRDefault="003C681C" w:rsidP="003C681C">
      <w:pPr>
        <w:pStyle w:val="ListParagraph"/>
        <w:rPr>
          <w:rFonts w:ascii="Arial" w:hAnsi="Arial" w:cs="Arial"/>
          <w:lang w:val="en-GB"/>
        </w:rPr>
      </w:pPr>
    </w:p>
    <w:p w14:paraId="5FF58F37" w14:textId="4AA06B64" w:rsidR="003C681C" w:rsidRPr="005A681B" w:rsidRDefault="008D77EC" w:rsidP="005A681B">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 xml:space="preserve"> Whilst its precise nature is difficult to define because each scheme has its own identity and hallmarks, a scheme generally involves the imposition of majority rule as a way to sustain the company’s continued </w:t>
      </w:r>
      <w:r w:rsidR="00467263">
        <w:rPr>
          <w:rFonts w:ascii="Arial" w:hAnsi="Arial" w:cs="Arial"/>
          <w:lang w:val="en-GB"/>
        </w:rPr>
        <w:t>survival or assist in its profitability</w:t>
      </w:r>
      <w:r w:rsidR="00843727">
        <w:rPr>
          <w:rFonts w:ascii="Arial" w:hAnsi="Arial" w:cs="Arial"/>
          <w:lang w:val="en-GB"/>
        </w:rPr>
        <w:t>. A scheme can allow for fundamental changes, including the expropriation of shares.</w:t>
      </w:r>
    </w:p>
    <w:p w14:paraId="2D1E0857" w14:textId="77777777" w:rsidR="003C681C" w:rsidRPr="003C681C" w:rsidRDefault="003C681C" w:rsidP="003C681C">
      <w:pPr>
        <w:pStyle w:val="ListParagraph"/>
        <w:rPr>
          <w:rFonts w:ascii="Arial" w:hAnsi="Arial" w:cs="Arial"/>
          <w:lang w:val="en-GB"/>
        </w:rPr>
      </w:pPr>
    </w:p>
    <w:p w14:paraId="21170DA5" w14:textId="3E23E860" w:rsidR="0088369D" w:rsidRPr="00D157CB" w:rsidRDefault="008D77EC" w:rsidP="000F0A56">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The statutory structure under sections 114 and 115 of the Act en</w:t>
      </w:r>
      <w:r w:rsidR="003C681C">
        <w:rPr>
          <w:rFonts w:ascii="Arial" w:hAnsi="Arial" w:cs="Arial"/>
          <w:lang w:val="en-GB"/>
        </w:rPr>
        <w:t xml:space="preserve">ables the coming into force of </w:t>
      </w:r>
      <w:r w:rsidRPr="003C681C">
        <w:rPr>
          <w:rFonts w:ascii="Arial" w:hAnsi="Arial" w:cs="Arial"/>
          <w:lang w:val="en-GB"/>
        </w:rPr>
        <w:t>schemes of arrangement and, most significantly for this case, sets out</w:t>
      </w:r>
      <w:r w:rsidR="00030BBB">
        <w:rPr>
          <w:rFonts w:ascii="Arial" w:hAnsi="Arial" w:cs="Arial"/>
          <w:lang w:val="en-GB"/>
        </w:rPr>
        <w:t>,</w:t>
      </w:r>
      <w:r w:rsidRPr="003C681C">
        <w:rPr>
          <w:rFonts w:ascii="Arial" w:hAnsi="Arial" w:cs="Arial"/>
          <w:lang w:val="en-GB"/>
        </w:rPr>
        <w:t xml:space="preserve"> </w:t>
      </w:r>
      <w:r w:rsidR="0088369D">
        <w:rPr>
          <w:rFonts w:ascii="Arial" w:hAnsi="Arial" w:cs="Arial"/>
          <w:lang w:val="en-GB"/>
        </w:rPr>
        <w:t>in some detail</w:t>
      </w:r>
      <w:r w:rsidR="00030BBB">
        <w:rPr>
          <w:rFonts w:ascii="Arial" w:hAnsi="Arial" w:cs="Arial"/>
          <w:lang w:val="en-GB"/>
        </w:rPr>
        <w:t>,</w:t>
      </w:r>
      <w:r w:rsidR="0088369D">
        <w:rPr>
          <w:rFonts w:ascii="Arial" w:hAnsi="Arial" w:cs="Arial"/>
          <w:lang w:val="en-GB"/>
        </w:rPr>
        <w:t xml:space="preserve"> </w:t>
      </w:r>
      <w:r w:rsidR="00327280">
        <w:rPr>
          <w:rFonts w:ascii="Arial" w:hAnsi="Arial" w:cs="Arial"/>
          <w:lang w:val="en-GB"/>
        </w:rPr>
        <w:t xml:space="preserve">how they </w:t>
      </w:r>
      <w:r w:rsidR="00843727">
        <w:rPr>
          <w:rFonts w:ascii="Arial" w:hAnsi="Arial" w:cs="Arial"/>
          <w:lang w:val="en-GB"/>
        </w:rPr>
        <w:t>may be attacked</w:t>
      </w:r>
      <w:r w:rsidRPr="003C681C">
        <w:rPr>
          <w:rFonts w:ascii="Arial" w:hAnsi="Arial" w:cs="Arial"/>
          <w:lang w:val="en-GB"/>
        </w:rPr>
        <w:t>.</w:t>
      </w:r>
      <w:r w:rsidR="009A3FCB">
        <w:rPr>
          <w:rFonts w:ascii="Arial" w:hAnsi="Arial" w:cs="Arial"/>
          <w:lang w:val="en-GB"/>
        </w:rPr>
        <w:t xml:space="preserve"> </w:t>
      </w:r>
    </w:p>
    <w:p w14:paraId="0C73485D" w14:textId="77777777" w:rsidR="0088369D" w:rsidRPr="0088369D" w:rsidRDefault="0088369D" w:rsidP="0088369D">
      <w:pPr>
        <w:pStyle w:val="ListParagraph"/>
        <w:rPr>
          <w:rFonts w:ascii="Arial" w:hAnsi="Arial" w:cs="Arial"/>
          <w:lang w:val="en-GB"/>
        </w:rPr>
      </w:pPr>
    </w:p>
    <w:p w14:paraId="1F2D8298" w14:textId="5886A311" w:rsidR="003C681C" w:rsidRPr="003C681C" w:rsidRDefault="000F0A56" w:rsidP="003C681C">
      <w:pPr>
        <w:pStyle w:val="ListParagraph"/>
        <w:numPr>
          <w:ilvl w:val="0"/>
          <w:numId w:val="2"/>
        </w:numPr>
        <w:spacing w:line="360" w:lineRule="auto"/>
        <w:ind w:left="0" w:firstLine="0"/>
        <w:jc w:val="both"/>
        <w:rPr>
          <w:rFonts w:ascii="Arial" w:hAnsi="Arial" w:cs="Arial"/>
        </w:rPr>
      </w:pPr>
      <w:r>
        <w:rPr>
          <w:rFonts w:ascii="Arial" w:hAnsi="Arial" w:cs="Arial"/>
          <w:lang w:val="en-GB"/>
        </w:rPr>
        <w:t xml:space="preserve">The defendants </w:t>
      </w:r>
      <w:r w:rsidR="00F82E9D">
        <w:rPr>
          <w:rFonts w:ascii="Arial" w:hAnsi="Arial" w:cs="Arial"/>
          <w:lang w:val="en-GB"/>
        </w:rPr>
        <w:t>ar</w:t>
      </w:r>
      <w:r w:rsidR="00EC5642">
        <w:rPr>
          <w:rFonts w:ascii="Arial" w:hAnsi="Arial" w:cs="Arial"/>
          <w:lang w:val="en-GB"/>
        </w:rPr>
        <w:t xml:space="preserve">gue that it would be counter </w:t>
      </w:r>
      <w:r w:rsidR="001B6825">
        <w:rPr>
          <w:rFonts w:ascii="Arial" w:hAnsi="Arial" w:cs="Arial"/>
          <w:lang w:val="en-GB"/>
        </w:rPr>
        <w:t>to the</w:t>
      </w:r>
      <w:r w:rsidR="00D533AE">
        <w:rPr>
          <w:rFonts w:ascii="Arial" w:hAnsi="Arial" w:cs="Arial"/>
          <w:lang w:val="en-GB"/>
        </w:rPr>
        <w:t xml:space="preserve"> purpose of the legislation – which </w:t>
      </w:r>
      <w:r w:rsidR="007B2C11">
        <w:rPr>
          <w:rFonts w:ascii="Arial" w:hAnsi="Arial" w:cs="Arial"/>
          <w:lang w:val="en-GB"/>
        </w:rPr>
        <w:t>is driven by the need</w:t>
      </w:r>
      <w:r w:rsidR="00895670">
        <w:rPr>
          <w:rFonts w:ascii="Arial" w:hAnsi="Arial" w:cs="Arial"/>
          <w:lang w:val="en-GB"/>
        </w:rPr>
        <w:t xml:space="preserve"> for</w:t>
      </w:r>
      <w:r w:rsidR="008F7144">
        <w:rPr>
          <w:rFonts w:ascii="Arial" w:hAnsi="Arial" w:cs="Arial"/>
          <w:lang w:val="en-GB"/>
        </w:rPr>
        <w:t xml:space="preserve"> expeditio</w:t>
      </w:r>
      <w:r w:rsidR="00C55C7F">
        <w:rPr>
          <w:rFonts w:ascii="Arial" w:hAnsi="Arial" w:cs="Arial"/>
          <w:lang w:val="en-GB"/>
        </w:rPr>
        <w:t>n</w:t>
      </w:r>
      <w:r w:rsidR="008F7144">
        <w:rPr>
          <w:rFonts w:ascii="Arial" w:hAnsi="Arial" w:cs="Arial"/>
          <w:lang w:val="en-GB"/>
        </w:rPr>
        <w:t xml:space="preserve"> </w:t>
      </w:r>
      <w:r w:rsidR="001B6825">
        <w:rPr>
          <w:rFonts w:ascii="Arial" w:hAnsi="Arial" w:cs="Arial"/>
          <w:lang w:val="en-GB"/>
        </w:rPr>
        <w:t>- to</w:t>
      </w:r>
      <w:r w:rsidR="005B7684">
        <w:rPr>
          <w:rFonts w:ascii="Arial" w:hAnsi="Arial" w:cs="Arial"/>
          <w:lang w:val="en-GB"/>
        </w:rPr>
        <w:t xml:space="preserve"> allow </w:t>
      </w:r>
      <w:r w:rsidR="00F42527">
        <w:rPr>
          <w:rFonts w:ascii="Arial" w:hAnsi="Arial" w:cs="Arial"/>
          <w:lang w:val="en-GB"/>
        </w:rPr>
        <w:t xml:space="preserve">access to </w:t>
      </w:r>
      <w:r w:rsidR="00D25CE9">
        <w:rPr>
          <w:rFonts w:ascii="Arial" w:hAnsi="Arial" w:cs="Arial"/>
          <w:lang w:val="en-GB"/>
        </w:rPr>
        <w:t>the</w:t>
      </w:r>
      <w:r w:rsidR="00F42527">
        <w:rPr>
          <w:rFonts w:ascii="Arial" w:hAnsi="Arial" w:cs="Arial"/>
          <w:lang w:val="en-GB"/>
        </w:rPr>
        <w:t xml:space="preserve"> usual</w:t>
      </w:r>
      <w:r w:rsidR="005B7684">
        <w:rPr>
          <w:rFonts w:ascii="Arial" w:hAnsi="Arial" w:cs="Arial"/>
          <w:lang w:val="en-GB"/>
        </w:rPr>
        <w:t xml:space="preserve"> compendium of</w:t>
      </w:r>
      <w:r w:rsidR="00F42527">
        <w:rPr>
          <w:rFonts w:ascii="Arial" w:hAnsi="Arial" w:cs="Arial"/>
          <w:lang w:val="en-GB"/>
        </w:rPr>
        <w:t xml:space="preserve"> common law</w:t>
      </w:r>
      <w:r w:rsidR="005B7684">
        <w:rPr>
          <w:rFonts w:ascii="Arial" w:hAnsi="Arial" w:cs="Arial"/>
          <w:lang w:val="en-GB"/>
        </w:rPr>
        <w:t xml:space="preserve"> remedies</w:t>
      </w:r>
      <w:r w:rsidR="00CF37E3">
        <w:rPr>
          <w:rFonts w:ascii="Arial" w:hAnsi="Arial" w:cs="Arial"/>
          <w:lang w:val="en-GB"/>
        </w:rPr>
        <w:t xml:space="preserve"> to attack a scheme</w:t>
      </w:r>
      <w:r w:rsidR="005B7684">
        <w:rPr>
          <w:rFonts w:ascii="Arial" w:hAnsi="Arial" w:cs="Arial"/>
          <w:lang w:val="en-GB"/>
        </w:rPr>
        <w:t>. In other words, the legislation accepts that time is of the essence in these matters and that scope for</w:t>
      </w:r>
      <w:r w:rsidR="00EA119A">
        <w:rPr>
          <w:rFonts w:ascii="Arial" w:hAnsi="Arial" w:cs="Arial"/>
          <w:lang w:val="en-GB"/>
        </w:rPr>
        <w:t xml:space="preserve"> undue interference must be curtailed</w:t>
      </w:r>
      <w:r w:rsidR="00AA61E3">
        <w:rPr>
          <w:rFonts w:ascii="Arial" w:hAnsi="Arial" w:cs="Arial"/>
          <w:lang w:val="en-GB"/>
        </w:rPr>
        <w:t xml:space="preserve"> if schemes are to serve their commercial purpose</w:t>
      </w:r>
      <w:r w:rsidR="00EA119A">
        <w:rPr>
          <w:rFonts w:ascii="Arial" w:hAnsi="Arial" w:cs="Arial"/>
          <w:lang w:val="en-GB"/>
        </w:rPr>
        <w:t>.</w:t>
      </w:r>
      <w:r w:rsidR="005B7684">
        <w:rPr>
          <w:rFonts w:ascii="Arial" w:hAnsi="Arial" w:cs="Arial"/>
          <w:lang w:val="en-GB"/>
        </w:rPr>
        <w:t xml:space="preserve"> </w:t>
      </w:r>
    </w:p>
    <w:p w14:paraId="1CF67AFC" w14:textId="77777777" w:rsidR="003C681C" w:rsidRPr="003C681C" w:rsidRDefault="003C681C" w:rsidP="003C681C">
      <w:pPr>
        <w:pStyle w:val="ListParagraph"/>
        <w:rPr>
          <w:rFonts w:ascii="Arial" w:hAnsi="Arial" w:cs="Arial"/>
          <w:lang w:val="en-GB"/>
        </w:rPr>
      </w:pPr>
    </w:p>
    <w:p w14:paraId="309DC7E4" w14:textId="2D6F840D" w:rsidR="00D157CB" w:rsidRDefault="00EC5642" w:rsidP="008511A4">
      <w:pPr>
        <w:pStyle w:val="ListParagraph"/>
        <w:numPr>
          <w:ilvl w:val="0"/>
          <w:numId w:val="2"/>
        </w:numPr>
        <w:spacing w:line="360" w:lineRule="auto"/>
        <w:ind w:left="0" w:firstLine="0"/>
        <w:jc w:val="both"/>
        <w:rPr>
          <w:rFonts w:ascii="Arial" w:hAnsi="Arial" w:cs="Arial"/>
        </w:rPr>
      </w:pPr>
      <w:r>
        <w:rPr>
          <w:rFonts w:ascii="Arial" w:hAnsi="Arial" w:cs="Arial"/>
        </w:rPr>
        <w:t xml:space="preserve">A central feature of the </w:t>
      </w:r>
      <w:r w:rsidR="00FE158A">
        <w:rPr>
          <w:rFonts w:ascii="Arial" w:hAnsi="Arial" w:cs="Arial"/>
        </w:rPr>
        <w:t>process is that the scheme</w:t>
      </w:r>
      <w:r w:rsidR="00A83CE8">
        <w:rPr>
          <w:rFonts w:ascii="Arial" w:hAnsi="Arial" w:cs="Arial"/>
        </w:rPr>
        <w:t xml:space="preserve"> </w:t>
      </w:r>
      <w:r w:rsidR="00545B50">
        <w:rPr>
          <w:rFonts w:ascii="Arial" w:hAnsi="Arial" w:cs="Arial"/>
        </w:rPr>
        <w:t>becomes binding on all the members</w:t>
      </w:r>
      <w:r w:rsidR="00201989">
        <w:rPr>
          <w:rFonts w:ascii="Arial" w:hAnsi="Arial" w:cs="Arial"/>
        </w:rPr>
        <w:t xml:space="preserve"> regardless of opposition</w:t>
      </w:r>
      <w:r w:rsidR="00D157CB">
        <w:rPr>
          <w:rFonts w:ascii="Arial" w:hAnsi="Arial" w:cs="Arial"/>
        </w:rPr>
        <w:t xml:space="preserve"> thereto.</w:t>
      </w:r>
      <w:r w:rsidR="00A84CEA">
        <w:rPr>
          <w:rFonts w:ascii="Arial" w:hAnsi="Arial" w:cs="Arial"/>
        </w:rPr>
        <w:t xml:space="preserve"> Majority rule will be imposed provided there is no manifest unfairness</w:t>
      </w:r>
      <w:r w:rsidR="00CF37E3">
        <w:rPr>
          <w:rFonts w:ascii="Arial" w:hAnsi="Arial" w:cs="Arial"/>
        </w:rPr>
        <w:t>.</w:t>
      </w:r>
    </w:p>
    <w:p w14:paraId="300A34FE" w14:textId="77777777" w:rsidR="00D157CB" w:rsidRPr="00D157CB" w:rsidRDefault="00D157CB" w:rsidP="00D157CB">
      <w:pPr>
        <w:pStyle w:val="ListParagraph"/>
        <w:rPr>
          <w:rFonts w:ascii="Arial" w:hAnsi="Arial" w:cs="Arial"/>
        </w:rPr>
      </w:pPr>
    </w:p>
    <w:p w14:paraId="06B19E8A" w14:textId="4B34AA46" w:rsidR="0056415F" w:rsidRPr="0056415F" w:rsidRDefault="00246107" w:rsidP="008511A4">
      <w:pPr>
        <w:pStyle w:val="ListParagraph"/>
        <w:numPr>
          <w:ilvl w:val="0"/>
          <w:numId w:val="2"/>
        </w:numPr>
        <w:spacing w:line="360" w:lineRule="auto"/>
        <w:ind w:left="0" w:firstLine="0"/>
        <w:jc w:val="both"/>
        <w:rPr>
          <w:rFonts w:ascii="Arial" w:hAnsi="Arial" w:cs="Arial"/>
        </w:rPr>
      </w:pPr>
      <w:r>
        <w:rPr>
          <w:rFonts w:ascii="Arial" w:hAnsi="Arial" w:cs="Arial"/>
        </w:rPr>
        <w:t xml:space="preserve"> </w:t>
      </w:r>
      <w:r w:rsidR="00A83CE8" w:rsidRPr="008511A4">
        <w:rPr>
          <w:rFonts w:ascii="Arial" w:hAnsi="Arial" w:cs="Arial"/>
          <w:lang w:val="en-GB"/>
        </w:rPr>
        <w:t>In the 1973</w:t>
      </w:r>
      <w:r w:rsidR="0092700E">
        <w:rPr>
          <w:rFonts w:ascii="Arial" w:hAnsi="Arial" w:cs="Arial"/>
          <w:lang w:val="en-GB"/>
        </w:rPr>
        <w:t xml:space="preserve"> Companies</w:t>
      </w:r>
      <w:r w:rsidR="00A83CE8" w:rsidRPr="008511A4">
        <w:rPr>
          <w:rFonts w:ascii="Arial" w:hAnsi="Arial" w:cs="Arial"/>
          <w:lang w:val="en-GB"/>
        </w:rPr>
        <w:t xml:space="preserve"> </w:t>
      </w:r>
      <w:r w:rsidR="00652566" w:rsidRPr="008511A4">
        <w:rPr>
          <w:rFonts w:ascii="Arial" w:hAnsi="Arial" w:cs="Arial"/>
          <w:lang w:val="en-GB"/>
        </w:rPr>
        <w:t>Act</w:t>
      </w:r>
      <w:r w:rsidR="00652566">
        <w:rPr>
          <w:rFonts w:ascii="Arial" w:hAnsi="Arial" w:cs="Arial"/>
          <w:lang w:val="en-GB"/>
        </w:rPr>
        <w:t>,</w:t>
      </w:r>
      <w:r w:rsidR="00652566" w:rsidRPr="008511A4">
        <w:rPr>
          <w:rFonts w:ascii="Arial" w:hAnsi="Arial" w:cs="Arial"/>
          <w:lang w:val="en-GB"/>
        </w:rPr>
        <w:t xml:space="preserve"> schemes</w:t>
      </w:r>
      <w:r w:rsidR="00A83CE8" w:rsidRPr="008511A4">
        <w:rPr>
          <w:rFonts w:ascii="Arial" w:hAnsi="Arial" w:cs="Arial"/>
          <w:lang w:val="en-GB"/>
        </w:rPr>
        <w:t xml:space="preserve"> </w:t>
      </w:r>
      <w:r w:rsidR="003F548D" w:rsidRPr="008511A4">
        <w:rPr>
          <w:rFonts w:ascii="Arial" w:hAnsi="Arial" w:cs="Arial"/>
          <w:lang w:val="en-GB"/>
        </w:rPr>
        <w:t xml:space="preserve">of arrangement achieved this </w:t>
      </w:r>
      <w:r w:rsidR="008511A4">
        <w:rPr>
          <w:rFonts w:ascii="Arial" w:hAnsi="Arial" w:cs="Arial"/>
          <w:lang w:val="en-GB"/>
        </w:rPr>
        <w:t xml:space="preserve">binding </w:t>
      </w:r>
      <w:r w:rsidR="003F548D" w:rsidRPr="008511A4">
        <w:rPr>
          <w:rFonts w:ascii="Arial" w:hAnsi="Arial" w:cs="Arial"/>
          <w:lang w:val="en-GB"/>
        </w:rPr>
        <w:t>status by a process of court approval (sanctioning)</w:t>
      </w:r>
      <w:r w:rsidR="000B4CE0" w:rsidRPr="008511A4">
        <w:rPr>
          <w:rFonts w:ascii="Arial" w:hAnsi="Arial" w:cs="Arial"/>
          <w:lang w:val="en-GB"/>
        </w:rPr>
        <w:t>.</w:t>
      </w:r>
      <w:r w:rsidR="00251F23" w:rsidRPr="008511A4">
        <w:rPr>
          <w:rFonts w:ascii="Arial" w:hAnsi="Arial" w:cs="Arial"/>
          <w:lang w:val="en-GB"/>
        </w:rPr>
        <w:t xml:space="preserve"> </w:t>
      </w:r>
      <w:r w:rsidRPr="008511A4">
        <w:rPr>
          <w:rFonts w:ascii="Arial" w:hAnsi="Arial" w:cs="Arial"/>
          <w:lang w:val="en-GB"/>
        </w:rPr>
        <w:t xml:space="preserve">Sections </w:t>
      </w:r>
      <w:r w:rsidR="00251F23" w:rsidRPr="008511A4">
        <w:rPr>
          <w:rFonts w:ascii="Arial" w:hAnsi="Arial" w:cs="Arial"/>
          <w:lang w:val="en-GB"/>
        </w:rPr>
        <w:t>311 and 312 of the 1973 Act</w:t>
      </w:r>
      <w:r w:rsidRPr="008511A4">
        <w:rPr>
          <w:rFonts w:ascii="Arial" w:hAnsi="Arial" w:cs="Arial"/>
          <w:lang w:val="en-GB"/>
        </w:rPr>
        <w:t xml:space="preserve"> provided that</w:t>
      </w:r>
      <w:r w:rsidR="008D77EC" w:rsidRPr="008511A4">
        <w:rPr>
          <w:rFonts w:ascii="Arial" w:hAnsi="Arial" w:cs="Arial"/>
          <w:lang w:val="en-GB"/>
        </w:rPr>
        <w:t xml:space="preserve"> once so sanctioned schemes were </w:t>
      </w:r>
      <w:r w:rsidRPr="008511A4">
        <w:rPr>
          <w:rFonts w:ascii="Arial" w:hAnsi="Arial" w:cs="Arial"/>
          <w:lang w:val="en-GB"/>
        </w:rPr>
        <w:t>binding on the company and its members.</w:t>
      </w:r>
    </w:p>
    <w:p w14:paraId="671BCBE1" w14:textId="77777777" w:rsidR="0056415F" w:rsidRPr="0056415F" w:rsidRDefault="0056415F" w:rsidP="0056415F">
      <w:pPr>
        <w:pStyle w:val="ListParagraph"/>
        <w:rPr>
          <w:rFonts w:ascii="Arial" w:hAnsi="Arial" w:cs="Arial"/>
          <w:lang w:val="en-GB"/>
        </w:rPr>
      </w:pPr>
    </w:p>
    <w:p w14:paraId="5E850153" w14:textId="69AE4FB7" w:rsidR="0056415F" w:rsidRPr="0056415F" w:rsidRDefault="00201989" w:rsidP="008511A4">
      <w:pPr>
        <w:pStyle w:val="ListParagraph"/>
        <w:numPr>
          <w:ilvl w:val="0"/>
          <w:numId w:val="2"/>
        </w:numPr>
        <w:spacing w:line="360" w:lineRule="auto"/>
        <w:ind w:left="0" w:firstLine="0"/>
        <w:jc w:val="both"/>
        <w:rPr>
          <w:rFonts w:ascii="Arial" w:hAnsi="Arial" w:cs="Arial"/>
        </w:rPr>
      </w:pPr>
      <w:r w:rsidRPr="008511A4">
        <w:rPr>
          <w:rFonts w:ascii="Arial" w:hAnsi="Arial" w:cs="Arial"/>
          <w:lang w:val="en-GB"/>
        </w:rPr>
        <w:t xml:space="preserve"> A court </w:t>
      </w:r>
      <w:r w:rsidR="0080798E" w:rsidRPr="008511A4">
        <w:rPr>
          <w:rFonts w:ascii="Arial" w:hAnsi="Arial" w:cs="Arial"/>
          <w:lang w:val="en-GB"/>
        </w:rPr>
        <w:t>was enjoined by the provisions of section 311</w:t>
      </w:r>
      <w:r w:rsidR="00283954" w:rsidRPr="008511A4">
        <w:rPr>
          <w:rFonts w:ascii="Arial" w:hAnsi="Arial" w:cs="Arial"/>
          <w:lang w:val="en-GB"/>
        </w:rPr>
        <w:t xml:space="preserve"> to have regard to the margin of majority in the vote as well as the Master’s report</w:t>
      </w:r>
      <w:r w:rsidR="00CF37E3">
        <w:rPr>
          <w:rFonts w:ascii="Arial" w:hAnsi="Arial" w:cs="Arial"/>
          <w:lang w:val="en-GB"/>
        </w:rPr>
        <w:t xml:space="preserve"> when deciding whether to approve a scheme or not</w:t>
      </w:r>
      <w:r w:rsidR="00283954" w:rsidRPr="008511A4">
        <w:rPr>
          <w:rFonts w:ascii="Arial" w:hAnsi="Arial" w:cs="Arial"/>
          <w:lang w:val="en-GB"/>
        </w:rPr>
        <w:t>.</w:t>
      </w:r>
      <w:r w:rsidR="00C977D6" w:rsidRPr="008511A4">
        <w:rPr>
          <w:rFonts w:ascii="Arial" w:hAnsi="Arial" w:cs="Arial"/>
          <w:lang w:val="en-GB"/>
        </w:rPr>
        <w:t xml:space="preserve"> </w:t>
      </w:r>
    </w:p>
    <w:p w14:paraId="1D45ADE8" w14:textId="626E4657" w:rsidR="003C681C" w:rsidRPr="008511A4" w:rsidRDefault="003C681C" w:rsidP="00CF37E3">
      <w:pPr>
        <w:pStyle w:val="ListParagraph"/>
        <w:spacing w:line="360" w:lineRule="auto"/>
        <w:ind w:left="0"/>
        <w:jc w:val="both"/>
        <w:rPr>
          <w:rFonts w:ascii="Arial" w:hAnsi="Arial" w:cs="Arial"/>
        </w:rPr>
      </w:pPr>
    </w:p>
    <w:p w14:paraId="7A433595" w14:textId="77777777" w:rsidR="003C681C" w:rsidRPr="003C681C" w:rsidRDefault="003C681C" w:rsidP="003C681C">
      <w:pPr>
        <w:pStyle w:val="ListParagraph"/>
        <w:rPr>
          <w:rFonts w:ascii="Arial" w:hAnsi="Arial" w:cs="Arial"/>
          <w:lang w:val="en-GB"/>
        </w:rPr>
      </w:pPr>
    </w:p>
    <w:p w14:paraId="554BD5A7" w14:textId="15118074"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Under the 2008 Act</w:t>
      </w:r>
      <w:r w:rsidR="00A35915">
        <w:rPr>
          <w:rFonts w:ascii="Arial" w:hAnsi="Arial" w:cs="Arial"/>
          <w:lang w:val="en-GB"/>
        </w:rPr>
        <w:t xml:space="preserve"> </w:t>
      </w:r>
      <w:r w:rsidR="0092700E">
        <w:rPr>
          <w:rFonts w:ascii="Arial" w:hAnsi="Arial" w:cs="Arial"/>
          <w:lang w:val="en-GB"/>
        </w:rPr>
        <w:t xml:space="preserve">the Board’s right to implement the scheme </w:t>
      </w:r>
      <w:r w:rsidR="00A35915">
        <w:rPr>
          <w:rFonts w:ascii="Arial" w:hAnsi="Arial" w:cs="Arial"/>
          <w:lang w:val="en-GB"/>
        </w:rPr>
        <w:t>does not depend on court sanction.</w:t>
      </w:r>
    </w:p>
    <w:p w14:paraId="5A7ABBB4" w14:textId="77777777" w:rsidR="003C681C" w:rsidRPr="003C681C" w:rsidRDefault="003C681C" w:rsidP="003C681C">
      <w:pPr>
        <w:pStyle w:val="ListParagraph"/>
        <w:rPr>
          <w:rFonts w:ascii="Arial" w:hAnsi="Arial" w:cs="Arial"/>
          <w:lang w:val="en-GB"/>
        </w:rPr>
      </w:pPr>
    </w:p>
    <w:p w14:paraId="2719F80D" w14:textId="5B97C10C"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Section 115(1)</w:t>
      </w:r>
      <w:r w:rsidR="00A22BCA">
        <w:rPr>
          <w:rFonts w:ascii="Arial" w:hAnsi="Arial" w:cs="Arial"/>
          <w:lang w:val="en-GB"/>
        </w:rPr>
        <w:t xml:space="preserve"> </w:t>
      </w:r>
      <w:r w:rsidRPr="003C681C">
        <w:rPr>
          <w:rFonts w:ascii="Arial" w:hAnsi="Arial" w:cs="Arial"/>
          <w:lang w:val="en-GB"/>
        </w:rPr>
        <w:t>o</w:t>
      </w:r>
      <w:r w:rsidR="00A22BCA">
        <w:rPr>
          <w:rFonts w:ascii="Arial" w:hAnsi="Arial" w:cs="Arial"/>
          <w:lang w:val="en-GB"/>
        </w:rPr>
        <w:t>f the Companies Act provides in</w:t>
      </w:r>
      <w:r w:rsidRPr="003C681C">
        <w:rPr>
          <w:rFonts w:ascii="Arial" w:hAnsi="Arial" w:cs="Arial"/>
          <w:lang w:val="en-GB"/>
        </w:rPr>
        <w:t xml:space="preserve"> relevant part as follows:</w:t>
      </w:r>
    </w:p>
    <w:p w14:paraId="0CC142D5" w14:textId="77777777" w:rsidR="003C681C" w:rsidRPr="003C681C" w:rsidRDefault="003C681C" w:rsidP="003C681C">
      <w:pPr>
        <w:pStyle w:val="ListParagraph"/>
        <w:rPr>
          <w:rFonts w:ascii="Arial" w:hAnsi="Arial" w:cs="Arial"/>
          <w:lang w:val="en-GB"/>
        </w:rPr>
      </w:pPr>
    </w:p>
    <w:p w14:paraId="5AA5D51E" w14:textId="6AC013EE" w:rsidR="003C681C" w:rsidRPr="003C681C" w:rsidRDefault="00A22BCA" w:rsidP="003C681C">
      <w:pPr>
        <w:pStyle w:val="ListParagraph"/>
        <w:spacing w:line="360" w:lineRule="auto"/>
        <w:ind w:left="0"/>
        <w:jc w:val="both"/>
        <w:rPr>
          <w:rFonts w:ascii="Arial" w:hAnsi="Arial" w:cs="Arial"/>
          <w:sz w:val="22"/>
          <w:szCs w:val="22"/>
        </w:rPr>
      </w:pPr>
      <w:r>
        <w:rPr>
          <w:rFonts w:ascii="Arial" w:hAnsi="Arial" w:cs="Arial"/>
          <w:sz w:val="22"/>
          <w:szCs w:val="22"/>
          <w:lang w:val="en-GB"/>
        </w:rPr>
        <w:t>‘</w:t>
      </w:r>
      <w:r>
        <w:rPr>
          <w:rFonts w:ascii="Arial" w:hAnsi="Arial" w:cs="Arial"/>
          <w:sz w:val="22"/>
          <w:szCs w:val="22"/>
          <w:u w:val="single"/>
          <w:lang w:val="en-GB"/>
        </w:rPr>
        <w:t>115,</w:t>
      </w:r>
      <w:r w:rsidR="008D77EC" w:rsidRPr="003C681C">
        <w:rPr>
          <w:rFonts w:ascii="Arial" w:hAnsi="Arial" w:cs="Arial"/>
          <w:sz w:val="22"/>
          <w:szCs w:val="22"/>
          <w:u w:val="single"/>
          <w:lang w:val="en-GB"/>
        </w:rPr>
        <w:t xml:space="preserve"> Required approval for transactions contemplated in Part</w:t>
      </w:r>
      <w:r w:rsidR="008D77EC" w:rsidRPr="003C681C">
        <w:rPr>
          <w:rFonts w:ascii="Arial" w:hAnsi="Arial" w:cs="Arial"/>
          <w:sz w:val="22"/>
          <w:szCs w:val="22"/>
          <w:lang w:val="en-GB"/>
        </w:rPr>
        <w:t>—(I) Despite section 65, and any provision of a company's Memorandum of Incorporation, or any resolution adopted by its board or holders of its securities to the contrary, a company may not dispose of, or give effect to an agreement or series of agreements to dispose of, all or the greater part of its assets or undertaking, implement an amalgamation or a merger, or implement a scheme of arrangement, unless—</w:t>
      </w:r>
    </w:p>
    <w:p w14:paraId="4A8B9356" w14:textId="77777777" w:rsidR="003C681C" w:rsidRPr="003C681C" w:rsidRDefault="003C681C" w:rsidP="003C681C">
      <w:pPr>
        <w:pStyle w:val="ListParagraph"/>
        <w:rPr>
          <w:rFonts w:ascii="Arial" w:hAnsi="Arial" w:cs="Arial"/>
          <w:sz w:val="22"/>
          <w:szCs w:val="22"/>
          <w:lang w:val="en-GB"/>
        </w:rPr>
      </w:pPr>
    </w:p>
    <w:p w14:paraId="589F17F0" w14:textId="77777777" w:rsidR="003C681C" w:rsidRPr="003C681C" w:rsidRDefault="008D77EC" w:rsidP="003C681C">
      <w:pPr>
        <w:pStyle w:val="ListParagraph"/>
        <w:spacing w:line="360" w:lineRule="auto"/>
        <w:ind w:left="0"/>
        <w:jc w:val="both"/>
        <w:rPr>
          <w:rFonts w:ascii="Arial" w:hAnsi="Arial" w:cs="Arial"/>
          <w:sz w:val="22"/>
          <w:szCs w:val="22"/>
        </w:rPr>
      </w:pPr>
      <w:r w:rsidRPr="003C681C">
        <w:rPr>
          <w:rFonts w:ascii="Arial" w:hAnsi="Arial" w:cs="Arial"/>
          <w:sz w:val="22"/>
          <w:szCs w:val="22"/>
          <w:lang w:val="en-GB"/>
        </w:rPr>
        <w:t xml:space="preserve"> (a) the disposal, amalgamation or merger, or scheme of arrangement—</w:t>
      </w:r>
    </w:p>
    <w:p w14:paraId="66F1B750" w14:textId="77777777" w:rsidR="003C681C" w:rsidRPr="003C681C" w:rsidRDefault="003C681C" w:rsidP="003C681C">
      <w:pPr>
        <w:pStyle w:val="ListParagraph"/>
        <w:rPr>
          <w:rFonts w:ascii="Arial" w:hAnsi="Arial" w:cs="Arial"/>
          <w:sz w:val="22"/>
          <w:szCs w:val="22"/>
          <w:lang w:val="en-GB"/>
        </w:rPr>
      </w:pPr>
    </w:p>
    <w:p w14:paraId="2949ACCC" w14:textId="3B364441" w:rsidR="003C681C" w:rsidRPr="003C681C" w:rsidRDefault="008D77EC" w:rsidP="003C681C">
      <w:pPr>
        <w:pStyle w:val="ListParagraph"/>
        <w:spacing w:line="360" w:lineRule="auto"/>
        <w:ind w:left="0"/>
        <w:jc w:val="both"/>
        <w:rPr>
          <w:rFonts w:ascii="Arial" w:hAnsi="Arial" w:cs="Arial"/>
          <w:sz w:val="22"/>
          <w:szCs w:val="22"/>
        </w:rPr>
      </w:pPr>
      <w:r w:rsidRPr="003C681C">
        <w:rPr>
          <w:rFonts w:ascii="Arial" w:hAnsi="Arial" w:cs="Arial"/>
          <w:sz w:val="22"/>
          <w:szCs w:val="22"/>
          <w:lang w:val="en-GB"/>
        </w:rPr>
        <w:t xml:space="preserve"> (i) has been approved in terms of this section...</w:t>
      </w:r>
      <w:r w:rsidR="00695F62">
        <w:rPr>
          <w:rFonts w:ascii="Arial" w:hAnsi="Arial" w:cs="Arial"/>
          <w:sz w:val="22"/>
          <w:szCs w:val="22"/>
          <w:lang w:val="en-GB"/>
        </w:rPr>
        <w:t>’</w:t>
      </w:r>
      <w:r w:rsidRPr="003C681C">
        <w:rPr>
          <w:rFonts w:ascii="Arial" w:hAnsi="Arial" w:cs="Arial"/>
          <w:sz w:val="22"/>
          <w:szCs w:val="22"/>
          <w:lang w:val="en-GB"/>
        </w:rPr>
        <w:t xml:space="preserve"> </w:t>
      </w:r>
    </w:p>
    <w:p w14:paraId="28046819" w14:textId="77777777" w:rsidR="003C681C" w:rsidRPr="003C681C" w:rsidRDefault="003C681C" w:rsidP="003C681C">
      <w:pPr>
        <w:pStyle w:val="ListParagraph"/>
        <w:rPr>
          <w:rFonts w:ascii="Arial" w:hAnsi="Arial" w:cs="Arial"/>
          <w:lang w:val="en-GB"/>
        </w:rPr>
      </w:pPr>
    </w:p>
    <w:p w14:paraId="4B83EC0C" w14:textId="1375F661" w:rsidR="003C681C" w:rsidRPr="003C681C" w:rsidRDefault="008D77EC" w:rsidP="008D77EC">
      <w:pPr>
        <w:pStyle w:val="ListParagraph"/>
        <w:numPr>
          <w:ilvl w:val="0"/>
          <w:numId w:val="2"/>
        </w:numPr>
        <w:spacing w:line="360" w:lineRule="auto"/>
        <w:ind w:left="0" w:firstLine="0"/>
        <w:jc w:val="both"/>
        <w:rPr>
          <w:rFonts w:ascii="Arial" w:hAnsi="Arial" w:cs="Arial"/>
        </w:rPr>
      </w:pPr>
      <w:r w:rsidRPr="003C681C">
        <w:rPr>
          <w:rFonts w:ascii="Arial" w:hAnsi="Arial" w:cs="Arial"/>
          <w:lang w:val="en-GB"/>
        </w:rPr>
        <w:t>The section goes on</w:t>
      </w:r>
      <w:r w:rsidR="00695F62">
        <w:rPr>
          <w:rFonts w:ascii="Arial" w:hAnsi="Arial" w:cs="Arial"/>
          <w:lang w:val="en-GB"/>
        </w:rPr>
        <w:t>,</w:t>
      </w:r>
      <w:r w:rsidRPr="003C681C">
        <w:rPr>
          <w:rFonts w:ascii="Arial" w:hAnsi="Arial" w:cs="Arial"/>
          <w:lang w:val="en-GB"/>
        </w:rPr>
        <w:t xml:space="preserve"> in section 115(2)</w:t>
      </w:r>
      <w:r w:rsidR="00695F62">
        <w:rPr>
          <w:rFonts w:ascii="Arial" w:hAnsi="Arial" w:cs="Arial"/>
          <w:lang w:val="en-GB"/>
        </w:rPr>
        <w:t>,</w:t>
      </w:r>
      <w:r w:rsidRPr="003C681C">
        <w:rPr>
          <w:rFonts w:ascii="Arial" w:hAnsi="Arial" w:cs="Arial"/>
          <w:lang w:val="en-GB"/>
        </w:rPr>
        <w:t xml:space="preserve"> to describe the nature of the approval contemplated in section 115(1) as follows:</w:t>
      </w:r>
    </w:p>
    <w:p w14:paraId="573CB575" w14:textId="4FE5F56D" w:rsidR="003C681C" w:rsidRDefault="003C681C" w:rsidP="003C681C">
      <w:pPr>
        <w:pStyle w:val="ListParagraph"/>
        <w:spacing w:line="360" w:lineRule="auto"/>
        <w:ind w:left="0"/>
        <w:jc w:val="both"/>
        <w:rPr>
          <w:rFonts w:ascii="Arial" w:hAnsi="Arial" w:cs="Arial"/>
          <w:lang w:val="en-GB"/>
        </w:rPr>
      </w:pPr>
    </w:p>
    <w:p w14:paraId="0DF3D288" w14:textId="4135F866" w:rsidR="003C681C" w:rsidRPr="003C681C" w:rsidRDefault="003C681C" w:rsidP="003C681C">
      <w:pPr>
        <w:spacing w:line="360" w:lineRule="auto"/>
        <w:ind w:left="720"/>
        <w:jc w:val="both"/>
        <w:rPr>
          <w:rFonts w:ascii="Arial" w:hAnsi="Arial" w:cs="Arial"/>
          <w:lang w:val="en-GB"/>
        </w:rPr>
      </w:pPr>
      <w:r w:rsidRPr="003C681C">
        <w:rPr>
          <w:rFonts w:ascii="Arial" w:hAnsi="Arial" w:cs="Arial"/>
          <w:lang w:val="en-GB"/>
        </w:rPr>
        <w:t xml:space="preserve">‘(2) A proposed transaction contemplated in subsection (I) must be approved— </w:t>
      </w:r>
    </w:p>
    <w:p w14:paraId="40C89FC1" w14:textId="6EC3E758" w:rsidR="003C681C" w:rsidRPr="003C681C" w:rsidRDefault="003C681C" w:rsidP="003C681C">
      <w:pPr>
        <w:pStyle w:val="ListParagraph"/>
        <w:numPr>
          <w:ilvl w:val="0"/>
          <w:numId w:val="13"/>
        </w:numPr>
        <w:spacing w:line="360" w:lineRule="auto"/>
        <w:jc w:val="both"/>
        <w:rPr>
          <w:rFonts w:ascii="Arial" w:hAnsi="Arial" w:cs="Arial"/>
          <w:sz w:val="22"/>
          <w:szCs w:val="22"/>
          <w:lang w:val="en-GB"/>
        </w:rPr>
      </w:pPr>
      <w:r w:rsidRPr="0056415F">
        <w:rPr>
          <w:rFonts w:ascii="Arial" w:hAnsi="Arial" w:cs="Arial"/>
          <w:sz w:val="22"/>
          <w:szCs w:val="22"/>
          <w:u w:val="single"/>
          <w:lang w:val="en-GB"/>
        </w:rPr>
        <w:t xml:space="preserve">by a special resolution </w:t>
      </w:r>
      <w:r w:rsidRPr="003C681C">
        <w:rPr>
          <w:rFonts w:ascii="Arial" w:hAnsi="Arial" w:cs="Arial"/>
          <w:sz w:val="22"/>
          <w:szCs w:val="22"/>
          <w:lang w:val="en-GB"/>
        </w:rPr>
        <w:t>adopted by persons entitled to exercise voting rights on such a matter, at a meeting called for that purpose and at which sufficient persons are present to exercise, in aggregate, at least 25% of all of the voting rights that are entitled to be exercised on that matter, or any higher percentage as may be required by the company's Memorandum of Incorporation, as contemplated in section 64 (2).</w:t>
      </w:r>
    </w:p>
    <w:p w14:paraId="69102B07" w14:textId="78E018B8" w:rsidR="003C681C" w:rsidRPr="002D798D" w:rsidRDefault="003C681C" w:rsidP="002D798D">
      <w:pPr>
        <w:pStyle w:val="ListParagraph"/>
        <w:numPr>
          <w:ilvl w:val="0"/>
          <w:numId w:val="13"/>
        </w:numPr>
        <w:spacing w:line="360" w:lineRule="auto"/>
        <w:jc w:val="both"/>
        <w:rPr>
          <w:rFonts w:ascii="Arial" w:hAnsi="Arial" w:cs="Arial"/>
          <w:sz w:val="22"/>
          <w:szCs w:val="22"/>
          <w:u w:val="single"/>
          <w:lang w:val="en-GB"/>
        </w:rPr>
      </w:pPr>
      <w:r w:rsidRPr="003C681C">
        <w:rPr>
          <w:rFonts w:ascii="Arial" w:hAnsi="Arial" w:cs="Arial"/>
          <w:sz w:val="22"/>
          <w:szCs w:val="22"/>
          <w:lang w:val="en-GB"/>
        </w:rPr>
        <w:t xml:space="preserve">by the court, </w:t>
      </w:r>
      <w:r w:rsidRPr="003C681C">
        <w:rPr>
          <w:rFonts w:ascii="Arial" w:hAnsi="Arial" w:cs="Arial"/>
          <w:sz w:val="22"/>
          <w:szCs w:val="22"/>
          <w:u w:val="single"/>
          <w:lang w:val="en-GB"/>
        </w:rPr>
        <w:t>to the extent required in the circumstances and manner contemplated in subse</w:t>
      </w:r>
      <w:r w:rsidR="00A22BCA">
        <w:rPr>
          <w:rFonts w:ascii="Arial" w:hAnsi="Arial" w:cs="Arial"/>
          <w:sz w:val="22"/>
          <w:szCs w:val="22"/>
          <w:u w:val="single"/>
          <w:lang w:val="en-GB"/>
        </w:rPr>
        <w:t xml:space="preserve">ctions (3) to (6)" </w:t>
      </w:r>
      <w:r w:rsidR="00A22BCA" w:rsidRPr="00467263">
        <w:rPr>
          <w:rFonts w:ascii="Arial" w:hAnsi="Arial" w:cs="Arial"/>
          <w:sz w:val="22"/>
          <w:szCs w:val="22"/>
          <w:lang w:val="en-GB"/>
        </w:rPr>
        <w:t>[My emphasis</w:t>
      </w:r>
      <w:r w:rsidRPr="00467263">
        <w:rPr>
          <w:rFonts w:ascii="Arial" w:hAnsi="Arial" w:cs="Arial"/>
          <w:sz w:val="22"/>
          <w:szCs w:val="22"/>
          <w:lang w:val="en-GB"/>
        </w:rPr>
        <w:t>]’</w:t>
      </w:r>
    </w:p>
    <w:p w14:paraId="010113FB" w14:textId="7F121A77" w:rsidR="003C681C" w:rsidRPr="003C681C" w:rsidRDefault="003C681C" w:rsidP="003C681C">
      <w:pPr>
        <w:pStyle w:val="ListParagraph"/>
        <w:spacing w:line="360" w:lineRule="auto"/>
        <w:ind w:left="0"/>
        <w:jc w:val="both"/>
        <w:rPr>
          <w:rFonts w:ascii="Arial" w:hAnsi="Arial" w:cs="Arial"/>
        </w:rPr>
      </w:pPr>
    </w:p>
    <w:p w14:paraId="089E813C" w14:textId="58E11F14" w:rsidR="002D798D" w:rsidRPr="002D798D" w:rsidRDefault="00A22BCA"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 xml:space="preserve">The defendants argue </w:t>
      </w:r>
      <w:r w:rsidR="000151CC">
        <w:rPr>
          <w:rFonts w:ascii="Arial" w:hAnsi="Arial" w:cs="Arial"/>
          <w:lang w:val="en-GB"/>
        </w:rPr>
        <w:t>that the effect of subsection (b) is that</w:t>
      </w:r>
      <w:r w:rsidR="00BF3D66">
        <w:rPr>
          <w:rFonts w:ascii="Arial" w:hAnsi="Arial" w:cs="Arial"/>
          <w:lang w:val="en-GB"/>
        </w:rPr>
        <w:t>,</w:t>
      </w:r>
      <w:r w:rsidR="008D77EC" w:rsidRPr="003C681C">
        <w:rPr>
          <w:rFonts w:ascii="Arial" w:hAnsi="Arial" w:cs="Arial"/>
          <w:lang w:val="en-GB"/>
        </w:rPr>
        <w:t xml:space="preserve"> when a scheme of arrangement is approved under section 115(2), its legal effectiveness is </w:t>
      </w:r>
      <w:r w:rsidR="00BF3D66">
        <w:rPr>
          <w:rFonts w:ascii="Arial" w:hAnsi="Arial" w:cs="Arial"/>
          <w:lang w:val="en-GB"/>
        </w:rPr>
        <w:t>derived</w:t>
      </w:r>
      <w:r w:rsidR="008D77EC" w:rsidRPr="003C681C">
        <w:rPr>
          <w:rFonts w:ascii="Arial" w:hAnsi="Arial" w:cs="Arial"/>
          <w:lang w:val="en-GB"/>
        </w:rPr>
        <w:t xml:space="preserve"> </w:t>
      </w:r>
      <w:r w:rsidR="00BF3D66">
        <w:rPr>
          <w:rFonts w:ascii="Arial" w:hAnsi="Arial" w:cs="Arial"/>
          <w:lang w:val="en-GB"/>
        </w:rPr>
        <w:t>from</w:t>
      </w:r>
      <w:r w:rsidR="008D77EC" w:rsidRPr="003C681C">
        <w:rPr>
          <w:rFonts w:ascii="Arial" w:hAnsi="Arial" w:cs="Arial"/>
          <w:lang w:val="en-GB"/>
        </w:rPr>
        <w:t xml:space="preserve"> the terms of the statute and cannot be altered</w:t>
      </w:r>
      <w:r w:rsidR="0092700E">
        <w:rPr>
          <w:rFonts w:ascii="Arial" w:hAnsi="Arial" w:cs="Arial"/>
          <w:lang w:val="en-GB"/>
        </w:rPr>
        <w:t xml:space="preserve"> or</w:t>
      </w:r>
      <w:r w:rsidR="008D77EC" w:rsidRPr="003C681C">
        <w:rPr>
          <w:rFonts w:ascii="Arial" w:hAnsi="Arial" w:cs="Arial"/>
          <w:lang w:val="en-GB"/>
        </w:rPr>
        <w:t xml:space="preserve"> in any way affected by rights </w:t>
      </w:r>
      <w:r w:rsidR="00AA6946">
        <w:rPr>
          <w:rFonts w:ascii="Arial" w:hAnsi="Arial" w:cs="Arial"/>
          <w:lang w:val="en-GB"/>
        </w:rPr>
        <w:t>which a party may have had were it not for the statute</w:t>
      </w:r>
      <w:r w:rsidR="008D77EC" w:rsidRPr="003C681C">
        <w:rPr>
          <w:rFonts w:ascii="Arial" w:hAnsi="Arial" w:cs="Arial"/>
          <w:lang w:val="en-GB"/>
        </w:rPr>
        <w:t>, for example in a general meeting that has nothing to do with the scheme or</w:t>
      </w:r>
      <w:r w:rsidR="00562B59">
        <w:rPr>
          <w:rFonts w:ascii="Arial" w:hAnsi="Arial" w:cs="Arial"/>
          <w:lang w:val="en-GB"/>
        </w:rPr>
        <w:t xml:space="preserve">, </w:t>
      </w:r>
      <w:r w:rsidR="008D77EC" w:rsidRPr="003C681C">
        <w:rPr>
          <w:rFonts w:ascii="Arial" w:hAnsi="Arial" w:cs="Arial"/>
          <w:lang w:val="en-GB"/>
        </w:rPr>
        <w:t>as in this instance, by attacking another agreement that relates to the scheme.</w:t>
      </w:r>
      <w:r w:rsidR="002D798D">
        <w:rPr>
          <w:rFonts w:ascii="Arial" w:hAnsi="Arial" w:cs="Arial"/>
          <w:lang w:val="en-GB"/>
        </w:rPr>
        <w:t xml:space="preserve"> They argue that</w:t>
      </w:r>
      <w:r w:rsidR="00C30D8B">
        <w:rPr>
          <w:rFonts w:ascii="Arial" w:hAnsi="Arial" w:cs="Arial"/>
          <w:lang w:val="en-GB"/>
        </w:rPr>
        <w:t>,</w:t>
      </w:r>
      <w:r w:rsidR="002D798D">
        <w:rPr>
          <w:rFonts w:ascii="Arial" w:hAnsi="Arial" w:cs="Arial"/>
          <w:lang w:val="en-GB"/>
        </w:rPr>
        <w:t xml:space="preserve"> </w:t>
      </w:r>
      <w:r w:rsidR="008D77EC" w:rsidRPr="003C681C">
        <w:rPr>
          <w:rFonts w:ascii="Arial" w:hAnsi="Arial" w:cs="Arial"/>
          <w:lang w:val="en-GB"/>
        </w:rPr>
        <w:t xml:space="preserve">subject only to the </w:t>
      </w:r>
      <w:r w:rsidR="008D77EC" w:rsidRPr="003C681C">
        <w:rPr>
          <w:rFonts w:ascii="Arial" w:hAnsi="Arial" w:cs="Arial"/>
          <w:lang w:val="en-GB"/>
        </w:rPr>
        <w:lastRenderedPageBreak/>
        <w:t>provisions of sections 115(3)</w:t>
      </w:r>
      <w:r w:rsidR="002D798D">
        <w:rPr>
          <w:rFonts w:ascii="Arial" w:hAnsi="Arial" w:cs="Arial"/>
          <w:lang w:val="en-GB"/>
        </w:rPr>
        <w:t xml:space="preserve"> </w:t>
      </w:r>
      <w:r w:rsidR="008D77EC" w:rsidRPr="003C681C">
        <w:rPr>
          <w:rFonts w:ascii="Arial" w:hAnsi="Arial" w:cs="Arial"/>
          <w:lang w:val="en-GB"/>
        </w:rPr>
        <w:t>to (6)</w:t>
      </w:r>
      <w:r w:rsidR="00C30D8B">
        <w:rPr>
          <w:rFonts w:ascii="Arial" w:hAnsi="Arial" w:cs="Arial"/>
          <w:lang w:val="en-GB"/>
        </w:rPr>
        <w:t>,</w:t>
      </w:r>
      <w:r w:rsidR="008D77EC" w:rsidRPr="003C681C">
        <w:rPr>
          <w:rFonts w:ascii="Arial" w:hAnsi="Arial" w:cs="Arial"/>
          <w:lang w:val="en-GB"/>
        </w:rPr>
        <w:t xml:space="preserve"> the scheme</w:t>
      </w:r>
      <w:r w:rsidR="009D28DE">
        <w:rPr>
          <w:rFonts w:ascii="Arial" w:hAnsi="Arial" w:cs="Arial"/>
          <w:lang w:val="en-GB"/>
        </w:rPr>
        <w:t xml:space="preserve"> comes into force on approval</w:t>
      </w:r>
      <w:r w:rsidR="00210FE8">
        <w:rPr>
          <w:rFonts w:ascii="Arial" w:hAnsi="Arial" w:cs="Arial"/>
          <w:lang w:val="en-GB"/>
        </w:rPr>
        <w:t xml:space="preserve"> and </w:t>
      </w:r>
      <w:r w:rsidR="008D77EC" w:rsidRPr="003C681C">
        <w:rPr>
          <w:rFonts w:ascii="Arial" w:hAnsi="Arial" w:cs="Arial"/>
          <w:lang w:val="en-GB"/>
        </w:rPr>
        <w:t>may be implemented by the Board.</w:t>
      </w:r>
      <w:r w:rsidR="00AA6946">
        <w:rPr>
          <w:rFonts w:ascii="Arial" w:hAnsi="Arial" w:cs="Arial"/>
          <w:lang w:val="en-GB"/>
        </w:rPr>
        <w:t xml:space="preserve"> </w:t>
      </w:r>
      <w:r w:rsidR="00BF3D66">
        <w:rPr>
          <w:rFonts w:ascii="Arial" w:hAnsi="Arial" w:cs="Arial"/>
          <w:lang w:val="en-GB"/>
        </w:rPr>
        <w:t>Such approva</w:t>
      </w:r>
      <w:r w:rsidR="00361271">
        <w:rPr>
          <w:rFonts w:ascii="Arial" w:hAnsi="Arial" w:cs="Arial"/>
          <w:lang w:val="en-GB"/>
        </w:rPr>
        <w:t>l</w:t>
      </w:r>
      <w:r w:rsidR="00A009A4">
        <w:rPr>
          <w:rFonts w:ascii="Arial" w:hAnsi="Arial" w:cs="Arial"/>
          <w:lang w:val="en-GB"/>
        </w:rPr>
        <w:t xml:space="preserve">, they </w:t>
      </w:r>
      <w:r w:rsidR="00A129BF">
        <w:rPr>
          <w:rFonts w:ascii="Arial" w:hAnsi="Arial" w:cs="Arial"/>
          <w:lang w:val="en-GB"/>
        </w:rPr>
        <w:t>argue</w:t>
      </w:r>
      <w:r w:rsidR="007305EA">
        <w:rPr>
          <w:rFonts w:ascii="Arial" w:hAnsi="Arial" w:cs="Arial"/>
          <w:lang w:val="en-GB"/>
        </w:rPr>
        <w:t xml:space="preserve"> replaces </w:t>
      </w:r>
      <w:r w:rsidR="00C4798A">
        <w:rPr>
          <w:rFonts w:ascii="Arial" w:hAnsi="Arial" w:cs="Arial"/>
          <w:lang w:val="en-GB"/>
        </w:rPr>
        <w:t>the</w:t>
      </w:r>
      <w:r w:rsidR="007305EA">
        <w:rPr>
          <w:rFonts w:ascii="Arial" w:hAnsi="Arial" w:cs="Arial"/>
          <w:lang w:val="en-GB"/>
        </w:rPr>
        <w:t xml:space="preserve"> binding </w:t>
      </w:r>
      <w:r w:rsidR="00AA6946">
        <w:rPr>
          <w:rFonts w:ascii="Arial" w:hAnsi="Arial" w:cs="Arial"/>
          <w:lang w:val="en-GB"/>
        </w:rPr>
        <w:t xml:space="preserve">  effect the court sanction</w:t>
      </w:r>
      <w:r w:rsidR="00BB6AE2">
        <w:rPr>
          <w:rFonts w:ascii="Arial" w:hAnsi="Arial" w:cs="Arial"/>
          <w:lang w:val="en-GB"/>
        </w:rPr>
        <w:t xml:space="preserve"> required under the 1973 Act.</w:t>
      </w:r>
    </w:p>
    <w:p w14:paraId="0E709ECA" w14:textId="77777777" w:rsidR="002D798D" w:rsidRPr="002D798D" w:rsidRDefault="002D798D" w:rsidP="002D798D">
      <w:pPr>
        <w:pStyle w:val="ListParagraph"/>
        <w:spacing w:line="360" w:lineRule="auto"/>
        <w:ind w:left="0"/>
        <w:jc w:val="both"/>
        <w:rPr>
          <w:rFonts w:ascii="Arial" w:hAnsi="Arial" w:cs="Arial"/>
        </w:rPr>
      </w:pPr>
    </w:p>
    <w:p w14:paraId="24BC0B49" w14:textId="14FF1BF3" w:rsidR="002D798D" w:rsidRPr="002D798D" w:rsidRDefault="008D77EC" w:rsidP="008D77EC">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The current provision</w:t>
      </w:r>
      <w:r w:rsidR="00361271">
        <w:rPr>
          <w:rFonts w:ascii="Arial" w:hAnsi="Arial" w:cs="Arial"/>
          <w:lang w:val="en-GB"/>
        </w:rPr>
        <w:t>s</w:t>
      </w:r>
      <w:r w:rsidRPr="002D798D">
        <w:rPr>
          <w:rFonts w:ascii="Arial" w:hAnsi="Arial" w:cs="Arial"/>
          <w:lang w:val="en-GB"/>
        </w:rPr>
        <w:t xml:space="preserve"> require the approval of</w:t>
      </w:r>
      <w:r w:rsidR="007305EA">
        <w:rPr>
          <w:rFonts w:ascii="Arial" w:hAnsi="Arial" w:cs="Arial"/>
          <w:lang w:val="en-GB"/>
        </w:rPr>
        <w:t xml:space="preserve"> the court only if it is asked for</w:t>
      </w:r>
      <w:r w:rsidRPr="002D798D">
        <w:rPr>
          <w:rFonts w:ascii="Arial" w:hAnsi="Arial" w:cs="Arial"/>
          <w:lang w:val="en-GB"/>
        </w:rPr>
        <w:t xml:space="preserve"> in the </w:t>
      </w:r>
      <w:r w:rsidR="000407C5">
        <w:rPr>
          <w:rFonts w:ascii="Arial" w:hAnsi="Arial" w:cs="Arial"/>
          <w:lang w:val="en-GB"/>
        </w:rPr>
        <w:t xml:space="preserve">limited </w:t>
      </w:r>
      <w:r w:rsidRPr="002D798D">
        <w:rPr>
          <w:rFonts w:ascii="Arial" w:hAnsi="Arial" w:cs="Arial"/>
          <w:lang w:val="en-GB"/>
        </w:rPr>
        <w:t>circumstances contemplated in subsections (3) to (6).</w:t>
      </w:r>
    </w:p>
    <w:p w14:paraId="6DEA992F" w14:textId="77777777" w:rsidR="002D798D" w:rsidRPr="002D798D" w:rsidRDefault="002D798D" w:rsidP="002D798D">
      <w:pPr>
        <w:pStyle w:val="ListParagraph"/>
        <w:rPr>
          <w:rFonts w:ascii="Arial" w:hAnsi="Arial" w:cs="Arial"/>
          <w:lang w:val="en-GB"/>
        </w:rPr>
      </w:pPr>
    </w:p>
    <w:p w14:paraId="30053421" w14:textId="057301D7" w:rsidR="002D798D" w:rsidRPr="002D798D" w:rsidRDefault="002D798D" w:rsidP="008D77EC">
      <w:pPr>
        <w:pStyle w:val="ListParagraph"/>
        <w:numPr>
          <w:ilvl w:val="0"/>
          <w:numId w:val="2"/>
        </w:numPr>
        <w:spacing w:line="360" w:lineRule="auto"/>
        <w:ind w:left="0" w:firstLine="0"/>
        <w:jc w:val="both"/>
        <w:rPr>
          <w:rFonts w:ascii="Arial" w:hAnsi="Arial" w:cs="Arial"/>
        </w:rPr>
      </w:pPr>
      <w:r>
        <w:rPr>
          <w:rFonts w:ascii="Arial" w:hAnsi="Arial" w:cs="Arial"/>
          <w:lang w:val="en-GB"/>
        </w:rPr>
        <w:t xml:space="preserve"> </w:t>
      </w:r>
      <w:r w:rsidR="00CF37E3">
        <w:rPr>
          <w:rFonts w:ascii="Arial" w:hAnsi="Arial" w:cs="Arial"/>
          <w:lang w:val="en-GB"/>
        </w:rPr>
        <w:t>Under the statute</w:t>
      </w:r>
      <w:r w:rsidR="00FE0F5D">
        <w:rPr>
          <w:rFonts w:ascii="Arial" w:hAnsi="Arial" w:cs="Arial"/>
          <w:lang w:val="en-GB"/>
        </w:rPr>
        <w:t>, the</w:t>
      </w:r>
      <w:r>
        <w:rPr>
          <w:rFonts w:ascii="Arial" w:hAnsi="Arial" w:cs="Arial"/>
          <w:lang w:val="en-GB"/>
        </w:rPr>
        <w:t xml:space="preserve"> company is </w:t>
      </w:r>
      <w:r w:rsidR="008D77EC" w:rsidRPr="002D798D">
        <w:rPr>
          <w:rFonts w:ascii="Arial" w:hAnsi="Arial" w:cs="Arial"/>
          <w:lang w:val="en-GB"/>
        </w:rPr>
        <w:t>entitled, without more, to implement a</w:t>
      </w:r>
      <w:r w:rsidR="00F07AB9">
        <w:rPr>
          <w:rFonts w:ascii="Arial" w:hAnsi="Arial" w:cs="Arial"/>
          <w:lang w:val="en-GB"/>
        </w:rPr>
        <w:t xml:space="preserve"> properly approved</w:t>
      </w:r>
      <w:r w:rsidR="008D77EC" w:rsidRPr="002D798D">
        <w:rPr>
          <w:rFonts w:ascii="Arial" w:hAnsi="Arial" w:cs="Arial"/>
          <w:lang w:val="en-GB"/>
        </w:rPr>
        <w:t xml:space="preserve"> scheme of arrangement unless there is a challenge</w:t>
      </w:r>
      <w:r w:rsidR="00F07AB9">
        <w:rPr>
          <w:rFonts w:ascii="Arial" w:hAnsi="Arial" w:cs="Arial"/>
          <w:lang w:val="en-GB"/>
        </w:rPr>
        <w:t xml:space="preserve"> </w:t>
      </w:r>
      <w:r w:rsidR="00A77591">
        <w:rPr>
          <w:rFonts w:ascii="Arial" w:hAnsi="Arial" w:cs="Arial"/>
          <w:lang w:val="en-GB"/>
        </w:rPr>
        <w:t>brought under the Act.</w:t>
      </w:r>
      <w:r w:rsidR="008D77EC" w:rsidRPr="002D798D">
        <w:rPr>
          <w:rFonts w:ascii="Arial" w:hAnsi="Arial" w:cs="Arial"/>
          <w:lang w:val="en-GB"/>
        </w:rPr>
        <w:t xml:space="preserve"> Subsection (3) reads as follows:</w:t>
      </w:r>
    </w:p>
    <w:p w14:paraId="1CCB9C9C" w14:textId="393BF7EC" w:rsidR="002D798D" w:rsidRDefault="002D798D" w:rsidP="002D798D">
      <w:pPr>
        <w:pStyle w:val="ListParagraph"/>
        <w:rPr>
          <w:rFonts w:ascii="Arial" w:hAnsi="Arial" w:cs="Arial"/>
          <w:lang w:val="en-GB"/>
        </w:rPr>
      </w:pPr>
    </w:p>
    <w:p w14:paraId="7420F1E0" w14:textId="301F7FBA" w:rsidR="002D798D" w:rsidRPr="002D798D" w:rsidRDefault="002D798D" w:rsidP="002D798D">
      <w:pPr>
        <w:spacing w:line="360" w:lineRule="auto"/>
        <w:jc w:val="both"/>
        <w:rPr>
          <w:rFonts w:ascii="Arial" w:hAnsi="Arial" w:cs="Arial"/>
          <w:lang w:val="en-GB"/>
        </w:rPr>
      </w:pPr>
      <w:r w:rsidRPr="002D798D">
        <w:rPr>
          <w:rFonts w:ascii="Arial" w:hAnsi="Arial" w:cs="Arial"/>
          <w:lang w:val="en-GB"/>
        </w:rPr>
        <w:t>"(3) Despite a resolution having been adopted as contemplated</w:t>
      </w:r>
      <w:r>
        <w:rPr>
          <w:rFonts w:ascii="Arial" w:hAnsi="Arial" w:cs="Arial"/>
          <w:lang w:val="en-GB"/>
        </w:rPr>
        <w:t xml:space="preserve"> in subsections (2)(a) and (b) </w:t>
      </w:r>
      <w:r w:rsidRPr="002D798D">
        <w:rPr>
          <w:rFonts w:ascii="Arial" w:hAnsi="Arial" w:cs="Arial"/>
          <w:lang w:val="en-GB"/>
        </w:rPr>
        <w:t xml:space="preserve">a company may not proceed to implement that resolution without the approval of a court if— </w:t>
      </w:r>
    </w:p>
    <w:p w14:paraId="2EEC0462" w14:textId="77777777" w:rsidR="002D798D" w:rsidRPr="00BB6AE2" w:rsidRDefault="002D798D" w:rsidP="002D798D">
      <w:pPr>
        <w:pStyle w:val="ListParagraph"/>
        <w:numPr>
          <w:ilvl w:val="0"/>
          <w:numId w:val="14"/>
        </w:numPr>
        <w:spacing w:line="360" w:lineRule="auto"/>
        <w:jc w:val="both"/>
        <w:rPr>
          <w:rFonts w:ascii="Arial" w:hAnsi="Arial" w:cs="Arial"/>
          <w:sz w:val="22"/>
          <w:szCs w:val="22"/>
          <w:lang w:val="en-GB"/>
        </w:rPr>
      </w:pPr>
      <w:r w:rsidRPr="002D798D">
        <w:rPr>
          <w:rFonts w:ascii="Arial" w:hAnsi="Arial" w:cs="Arial"/>
          <w:sz w:val="22"/>
          <w:szCs w:val="22"/>
          <w:lang w:val="en-GB"/>
        </w:rPr>
        <w:t xml:space="preserve">the resolution was opposed by at least 15% of the voting rights that were exercised on that resolution </w:t>
      </w:r>
      <w:r w:rsidRPr="00BB6AE2">
        <w:rPr>
          <w:rFonts w:ascii="Arial" w:hAnsi="Arial" w:cs="Arial"/>
          <w:sz w:val="22"/>
          <w:szCs w:val="22"/>
          <w:lang w:val="en-GB"/>
        </w:rPr>
        <w:t>and within five business days after the vote, any person who voted against the resolution requires the company to seek court approval; or</w:t>
      </w:r>
    </w:p>
    <w:p w14:paraId="2F70E6AA" w14:textId="2C084D99" w:rsidR="002D798D" w:rsidRPr="002D798D" w:rsidRDefault="002D798D" w:rsidP="002D798D">
      <w:pPr>
        <w:pStyle w:val="ListParagraph"/>
        <w:numPr>
          <w:ilvl w:val="0"/>
          <w:numId w:val="14"/>
        </w:numPr>
        <w:spacing w:line="360" w:lineRule="auto"/>
        <w:jc w:val="both"/>
        <w:rPr>
          <w:rFonts w:ascii="Arial" w:hAnsi="Arial" w:cs="Arial"/>
          <w:sz w:val="22"/>
          <w:szCs w:val="22"/>
          <w:lang w:val="en-GB"/>
        </w:rPr>
      </w:pPr>
      <w:r w:rsidRPr="002D798D">
        <w:rPr>
          <w:rFonts w:ascii="Arial" w:hAnsi="Arial" w:cs="Arial"/>
          <w:sz w:val="22"/>
          <w:szCs w:val="22"/>
          <w:lang w:val="en-GB"/>
        </w:rPr>
        <w:t>the court, on an application within 10 business days after the vote by any person who voted against the resolution, grants that person leave, in terms of subsection (6), to apply to a court for a review of the transaction in accordance with subsection (7).</w:t>
      </w:r>
      <w:r w:rsidR="008944B1">
        <w:rPr>
          <w:rFonts w:ascii="Arial" w:hAnsi="Arial" w:cs="Arial"/>
          <w:sz w:val="22"/>
          <w:szCs w:val="22"/>
          <w:lang w:val="en-GB"/>
        </w:rPr>
        <w:t>’</w:t>
      </w:r>
    </w:p>
    <w:p w14:paraId="45850EC3" w14:textId="16D72083" w:rsidR="002D798D" w:rsidRPr="002D798D" w:rsidRDefault="002D798D" w:rsidP="002D798D">
      <w:pPr>
        <w:rPr>
          <w:rFonts w:ascii="Arial" w:hAnsi="Arial" w:cs="Arial"/>
          <w:lang w:val="en-GB"/>
        </w:rPr>
      </w:pPr>
    </w:p>
    <w:p w14:paraId="11D8B3B4" w14:textId="77777777" w:rsidR="002D798D" w:rsidRPr="002D798D" w:rsidRDefault="002D798D" w:rsidP="002D798D">
      <w:pPr>
        <w:pStyle w:val="ListParagraph"/>
        <w:rPr>
          <w:rFonts w:ascii="Arial" w:hAnsi="Arial" w:cs="Arial"/>
          <w:lang w:val="en-GB"/>
        </w:rPr>
      </w:pPr>
    </w:p>
    <w:p w14:paraId="02525503" w14:textId="32957BD9" w:rsidR="00A77591" w:rsidRPr="00A77591" w:rsidRDefault="008D77EC" w:rsidP="00F621FE">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Thus, </w:t>
      </w:r>
      <w:r w:rsidR="00361271">
        <w:rPr>
          <w:rFonts w:ascii="Arial" w:hAnsi="Arial" w:cs="Arial"/>
          <w:lang w:val="en-GB"/>
        </w:rPr>
        <w:t>in sum</w:t>
      </w:r>
      <w:r w:rsidR="00201989">
        <w:rPr>
          <w:rFonts w:ascii="Arial" w:hAnsi="Arial" w:cs="Arial"/>
          <w:lang w:val="en-GB"/>
        </w:rPr>
        <w:t xml:space="preserve"> </w:t>
      </w:r>
      <w:r w:rsidR="00652566">
        <w:rPr>
          <w:rFonts w:ascii="Arial" w:hAnsi="Arial" w:cs="Arial"/>
          <w:lang w:val="en-GB"/>
        </w:rPr>
        <w:t>- the</w:t>
      </w:r>
      <w:r w:rsidR="002D798D">
        <w:rPr>
          <w:rFonts w:ascii="Arial" w:hAnsi="Arial" w:cs="Arial"/>
          <w:lang w:val="en-GB"/>
        </w:rPr>
        <w:t xml:space="preserve"> </w:t>
      </w:r>
      <w:r w:rsidRPr="002D798D">
        <w:rPr>
          <w:rFonts w:ascii="Arial" w:hAnsi="Arial" w:cs="Arial"/>
          <w:lang w:val="en-GB"/>
        </w:rPr>
        <w:t xml:space="preserve">statute provides that </w:t>
      </w:r>
      <w:r w:rsidR="00C54CD2">
        <w:rPr>
          <w:rFonts w:ascii="Arial" w:hAnsi="Arial" w:cs="Arial"/>
          <w:lang w:val="en-GB"/>
        </w:rPr>
        <w:t>a</w:t>
      </w:r>
      <w:r w:rsidRPr="002D798D">
        <w:rPr>
          <w:rFonts w:ascii="Arial" w:hAnsi="Arial" w:cs="Arial"/>
          <w:lang w:val="en-GB"/>
        </w:rPr>
        <w:t xml:space="preserve"> scheme</w:t>
      </w:r>
      <w:r w:rsidR="006B25BF">
        <w:rPr>
          <w:rFonts w:ascii="Arial" w:hAnsi="Arial" w:cs="Arial"/>
          <w:lang w:val="en-GB"/>
        </w:rPr>
        <w:t xml:space="preserve"> </w:t>
      </w:r>
      <w:r w:rsidR="008C3B0F">
        <w:rPr>
          <w:rFonts w:ascii="Arial" w:hAnsi="Arial" w:cs="Arial"/>
          <w:lang w:val="en-GB"/>
        </w:rPr>
        <w:t>no longer</w:t>
      </w:r>
      <w:r w:rsidR="006B25BF">
        <w:rPr>
          <w:rFonts w:ascii="Arial" w:hAnsi="Arial" w:cs="Arial"/>
          <w:lang w:val="en-GB"/>
        </w:rPr>
        <w:t xml:space="preserve"> require</w:t>
      </w:r>
      <w:r w:rsidR="00CE2380">
        <w:rPr>
          <w:rFonts w:ascii="Arial" w:hAnsi="Arial" w:cs="Arial"/>
          <w:lang w:val="en-GB"/>
        </w:rPr>
        <w:t>s</w:t>
      </w:r>
      <w:r w:rsidR="006B25BF">
        <w:rPr>
          <w:rFonts w:ascii="Arial" w:hAnsi="Arial" w:cs="Arial"/>
          <w:lang w:val="en-GB"/>
        </w:rPr>
        <w:t xml:space="preserve"> court sanction</w:t>
      </w:r>
      <w:r w:rsidR="007C4A76">
        <w:rPr>
          <w:rFonts w:ascii="Arial" w:hAnsi="Arial" w:cs="Arial"/>
          <w:lang w:val="en-GB"/>
        </w:rPr>
        <w:t xml:space="preserve"> in the normal course. The company </w:t>
      </w:r>
      <w:r w:rsidR="00E514FB">
        <w:rPr>
          <w:rFonts w:ascii="Arial" w:hAnsi="Arial" w:cs="Arial"/>
          <w:lang w:val="en-GB"/>
        </w:rPr>
        <w:t xml:space="preserve">is only placed in a position </w:t>
      </w:r>
      <w:r w:rsidR="0044505E">
        <w:rPr>
          <w:rFonts w:ascii="Arial" w:hAnsi="Arial" w:cs="Arial"/>
          <w:lang w:val="en-GB"/>
        </w:rPr>
        <w:t xml:space="preserve">where </w:t>
      </w:r>
      <w:r w:rsidR="00E853BA">
        <w:rPr>
          <w:rFonts w:ascii="Arial" w:hAnsi="Arial" w:cs="Arial"/>
          <w:lang w:val="en-GB"/>
        </w:rPr>
        <w:t>it</w:t>
      </w:r>
      <w:r w:rsidR="00A84CEA">
        <w:rPr>
          <w:rFonts w:ascii="Arial" w:hAnsi="Arial" w:cs="Arial"/>
          <w:lang w:val="en-GB"/>
        </w:rPr>
        <w:t xml:space="preserve"> is</w:t>
      </w:r>
      <w:r w:rsidR="0044505E">
        <w:rPr>
          <w:rFonts w:ascii="Arial" w:hAnsi="Arial" w:cs="Arial"/>
          <w:lang w:val="en-GB"/>
        </w:rPr>
        <w:t xml:space="preserve"> forced to obtain court approval if the special resolution is </w:t>
      </w:r>
      <w:r w:rsidR="0005586B">
        <w:rPr>
          <w:rFonts w:ascii="Arial" w:hAnsi="Arial" w:cs="Arial"/>
          <w:lang w:val="en-GB"/>
        </w:rPr>
        <w:t>passed by</w:t>
      </w:r>
      <w:r w:rsidR="00EA27F7">
        <w:rPr>
          <w:rFonts w:ascii="Arial" w:hAnsi="Arial" w:cs="Arial"/>
          <w:lang w:val="en-GB"/>
        </w:rPr>
        <w:t xml:space="preserve"> </w:t>
      </w:r>
      <w:r w:rsidR="000F553B">
        <w:rPr>
          <w:rFonts w:ascii="Arial" w:hAnsi="Arial" w:cs="Arial"/>
          <w:lang w:val="en-GB"/>
        </w:rPr>
        <w:t>a margin of</w:t>
      </w:r>
      <w:r w:rsidR="0005586B">
        <w:rPr>
          <w:rFonts w:ascii="Arial" w:hAnsi="Arial" w:cs="Arial"/>
          <w:lang w:val="en-GB"/>
        </w:rPr>
        <w:t xml:space="preserve"> 85%</w:t>
      </w:r>
      <w:r w:rsidR="0044505E">
        <w:rPr>
          <w:rFonts w:ascii="Arial" w:hAnsi="Arial" w:cs="Arial"/>
          <w:lang w:val="en-GB"/>
        </w:rPr>
        <w:t xml:space="preserve"> </w:t>
      </w:r>
      <w:r w:rsidR="0005586B">
        <w:rPr>
          <w:rFonts w:ascii="Arial" w:hAnsi="Arial" w:cs="Arial"/>
          <w:lang w:val="en-GB"/>
        </w:rPr>
        <w:t>or less</w:t>
      </w:r>
      <w:r w:rsidR="000F553B">
        <w:rPr>
          <w:rFonts w:ascii="Arial" w:hAnsi="Arial" w:cs="Arial"/>
          <w:lang w:val="en-GB"/>
        </w:rPr>
        <w:t xml:space="preserve"> of the voting members. If this majority is exceeded</w:t>
      </w:r>
      <w:r w:rsidR="00E80176">
        <w:rPr>
          <w:rFonts w:ascii="Arial" w:hAnsi="Arial" w:cs="Arial"/>
          <w:lang w:val="en-GB"/>
        </w:rPr>
        <w:t xml:space="preserve"> (ie 86% or more)</w:t>
      </w:r>
      <w:r w:rsidR="000F553B">
        <w:rPr>
          <w:rFonts w:ascii="Arial" w:hAnsi="Arial" w:cs="Arial"/>
          <w:lang w:val="en-GB"/>
        </w:rPr>
        <w:t xml:space="preserve"> there is no scope for </w:t>
      </w:r>
      <w:r w:rsidR="00F621FE">
        <w:rPr>
          <w:rFonts w:ascii="Arial" w:hAnsi="Arial" w:cs="Arial"/>
          <w:lang w:val="en-GB"/>
        </w:rPr>
        <w:t>requiring the company to seek court approval.</w:t>
      </w:r>
      <w:r w:rsidR="000F553B">
        <w:rPr>
          <w:rFonts w:ascii="Arial" w:hAnsi="Arial" w:cs="Arial"/>
          <w:lang w:val="en-GB"/>
        </w:rPr>
        <w:t xml:space="preserve"> </w:t>
      </w:r>
      <w:r w:rsidR="00A84CEA">
        <w:rPr>
          <w:rFonts w:ascii="Arial" w:hAnsi="Arial" w:cs="Arial"/>
          <w:lang w:val="en-GB"/>
        </w:rPr>
        <w:t xml:space="preserve"> If the </w:t>
      </w:r>
      <w:r w:rsidR="00054498">
        <w:rPr>
          <w:rFonts w:ascii="Arial" w:hAnsi="Arial" w:cs="Arial"/>
          <w:lang w:val="en-GB"/>
        </w:rPr>
        <w:t xml:space="preserve">threshold is exceeded and the company is required to seek court approval the company has </w:t>
      </w:r>
      <w:r w:rsidR="00EF45C8">
        <w:rPr>
          <w:rFonts w:ascii="Arial" w:hAnsi="Arial" w:cs="Arial"/>
          <w:lang w:val="en-GB"/>
        </w:rPr>
        <w:t xml:space="preserve">10 days to seek court approval for which it must bear the costs or it can </w:t>
      </w:r>
      <w:r w:rsidR="00FE0F5D">
        <w:rPr>
          <w:rFonts w:ascii="Arial" w:hAnsi="Arial" w:cs="Arial"/>
          <w:lang w:val="en-GB"/>
        </w:rPr>
        <w:t xml:space="preserve"> decide to </w:t>
      </w:r>
      <w:r w:rsidR="00EF45C8">
        <w:rPr>
          <w:rFonts w:ascii="Arial" w:hAnsi="Arial" w:cs="Arial"/>
          <w:lang w:val="en-GB"/>
        </w:rPr>
        <w:t>treat the approval of the scheme as a nullity</w:t>
      </w:r>
      <w:r w:rsidR="00EF45C8">
        <w:rPr>
          <w:rStyle w:val="FootnoteReference"/>
          <w:rFonts w:ascii="Arial" w:hAnsi="Arial" w:cs="Arial"/>
          <w:lang w:val="en-GB"/>
        </w:rPr>
        <w:footnoteReference w:id="3"/>
      </w:r>
      <w:r w:rsidR="00EF45C8">
        <w:rPr>
          <w:rFonts w:ascii="Arial" w:hAnsi="Arial" w:cs="Arial"/>
          <w:lang w:val="en-GB"/>
        </w:rPr>
        <w:t>.</w:t>
      </w:r>
    </w:p>
    <w:p w14:paraId="6923F526" w14:textId="77777777" w:rsidR="00A77591" w:rsidRPr="00A77591" w:rsidRDefault="00A77591" w:rsidP="00A77591">
      <w:pPr>
        <w:pStyle w:val="ListParagraph"/>
        <w:spacing w:line="360" w:lineRule="auto"/>
        <w:ind w:left="0"/>
        <w:jc w:val="both"/>
        <w:rPr>
          <w:rFonts w:ascii="Arial" w:hAnsi="Arial" w:cs="Arial"/>
        </w:rPr>
      </w:pPr>
    </w:p>
    <w:p w14:paraId="2A0A6397" w14:textId="477108DB" w:rsidR="0004425A" w:rsidRPr="00FE0F5D" w:rsidRDefault="00CE2380" w:rsidP="00D85682">
      <w:pPr>
        <w:pStyle w:val="ListParagraph"/>
        <w:numPr>
          <w:ilvl w:val="0"/>
          <w:numId w:val="2"/>
        </w:numPr>
        <w:spacing w:line="360" w:lineRule="auto"/>
        <w:ind w:left="0" w:firstLine="0"/>
        <w:jc w:val="both"/>
        <w:rPr>
          <w:rFonts w:ascii="Arial" w:hAnsi="Arial" w:cs="Arial"/>
        </w:rPr>
      </w:pPr>
      <w:r w:rsidRPr="00FE0F5D">
        <w:rPr>
          <w:rFonts w:ascii="Arial" w:hAnsi="Arial" w:cs="Arial"/>
          <w:lang w:val="en-GB"/>
        </w:rPr>
        <w:t xml:space="preserve"> </w:t>
      </w:r>
      <w:r w:rsidR="007C4A76" w:rsidRPr="00FE0F5D">
        <w:rPr>
          <w:rFonts w:ascii="Arial" w:hAnsi="Arial" w:cs="Arial"/>
          <w:lang w:val="en-GB"/>
        </w:rPr>
        <w:t>Thus</w:t>
      </w:r>
      <w:r w:rsidR="00A77591" w:rsidRPr="00FE0F5D">
        <w:rPr>
          <w:rFonts w:ascii="Arial" w:hAnsi="Arial" w:cs="Arial"/>
          <w:lang w:val="en-GB"/>
        </w:rPr>
        <w:t>,</w:t>
      </w:r>
      <w:r w:rsidR="007C4A76" w:rsidRPr="00FE0F5D">
        <w:rPr>
          <w:rFonts w:ascii="Arial" w:hAnsi="Arial" w:cs="Arial"/>
          <w:lang w:val="en-GB"/>
        </w:rPr>
        <w:t xml:space="preserve"> in the same way </w:t>
      </w:r>
      <w:r w:rsidR="00F621FE" w:rsidRPr="00FE0F5D">
        <w:rPr>
          <w:rFonts w:ascii="Arial" w:hAnsi="Arial" w:cs="Arial"/>
          <w:lang w:val="en-GB"/>
        </w:rPr>
        <w:t>that</w:t>
      </w:r>
      <w:r w:rsidR="007C4A76" w:rsidRPr="00FE0F5D">
        <w:rPr>
          <w:rFonts w:ascii="Arial" w:hAnsi="Arial" w:cs="Arial"/>
          <w:lang w:val="en-GB"/>
        </w:rPr>
        <w:t xml:space="preserve"> the </w:t>
      </w:r>
      <w:r w:rsidR="00E55E48" w:rsidRPr="00FE0F5D">
        <w:rPr>
          <w:rFonts w:ascii="Arial" w:hAnsi="Arial" w:cs="Arial"/>
          <w:lang w:val="en-GB"/>
        </w:rPr>
        <w:t>1973</w:t>
      </w:r>
      <w:r w:rsidR="007C4A76" w:rsidRPr="00FE0F5D">
        <w:rPr>
          <w:rFonts w:ascii="Arial" w:hAnsi="Arial" w:cs="Arial"/>
          <w:lang w:val="en-GB"/>
        </w:rPr>
        <w:t xml:space="preserve"> </w:t>
      </w:r>
      <w:r w:rsidR="00E55E48" w:rsidRPr="00FE0F5D">
        <w:rPr>
          <w:rFonts w:ascii="Arial" w:hAnsi="Arial" w:cs="Arial"/>
          <w:lang w:val="en-GB"/>
        </w:rPr>
        <w:t>A</w:t>
      </w:r>
      <w:r w:rsidR="007C4A76" w:rsidRPr="00FE0F5D">
        <w:rPr>
          <w:rFonts w:ascii="Arial" w:hAnsi="Arial" w:cs="Arial"/>
          <w:lang w:val="en-GB"/>
        </w:rPr>
        <w:t>ct impose</w:t>
      </w:r>
      <w:r w:rsidR="00845EF7" w:rsidRPr="00FE0F5D">
        <w:rPr>
          <w:rFonts w:ascii="Arial" w:hAnsi="Arial" w:cs="Arial"/>
          <w:lang w:val="en-GB"/>
        </w:rPr>
        <w:t>d</w:t>
      </w:r>
      <w:r w:rsidR="007C4A76" w:rsidRPr="00FE0F5D">
        <w:rPr>
          <w:rFonts w:ascii="Arial" w:hAnsi="Arial" w:cs="Arial"/>
          <w:lang w:val="en-GB"/>
        </w:rPr>
        <w:t xml:space="preserve"> reference to </w:t>
      </w:r>
      <w:r w:rsidR="00A77591" w:rsidRPr="00FE0F5D">
        <w:rPr>
          <w:rFonts w:ascii="Arial" w:hAnsi="Arial" w:cs="Arial"/>
          <w:lang w:val="en-GB"/>
        </w:rPr>
        <w:t>majo</w:t>
      </w:r>
      <w:r w:rsidR="00EF09DE" w:rsidRPr="00FE0F5D">
        <w:rPr>
          <w:rFonts w:ascii="Arial" w:hAnsi="Arial" w:cs="Arial"/>
          <w:lang w:val="en-GB"/>
        </w:rPr>
        <w:t>rity</w:t>
      </w:r>
      <w:r w:rsidR="007C4A76" w:rsidRPr="00FE0F5D">
        <w:rPr>
          <w:rFonts w:ascii="Arial" w:hAnsi="Arial" w:cs="Arial"/>
          <w:lang w:val="en-GB"/>
        </w:rPr>
        <w:t xml:space="preserve"> </w:t>
      </w:r>
      <w:r w:rsidR="00652566" w:rsidRPr="00FE0F5D">
        <w:rPr>
          <w:rFonts w:ascii="Arial" w:hAnsi="Arial" w:cs="Arial"/>
          <w:lang w:val="en-GB"/>
        </w:rPr>
        <w:t>margins, the</w:t>
      </w:r>
      <w:r w:rsidR="007C4A76" w:rsidRPr="00FE0F5D">
        <w:rPr>
          <w:rFonts w:ascii="Arial" w:hAnsi="Arial" w:cs="Arial"/>
          <w:lang w:val="en-GB"/>
        </w:rPr>
        <w:t xml:space="preserve"> new Act </w:t>
      </w:r>
      <w:r w:rsidR="00E853BA" w:rsidRPr="00FE0F5D">
        <w:rPr>
          <w:rFonts w:ascii="Arial" w:hAnsi="Arial" w:cs="Arial"/>
          <w:lang w:val="en-GB"/>
        </w:rPr>
        <w:t>prescribes the same considerations</w:t>
      </w:r>
      <w:r w:rsidR="00E80176" w:rsidRPr="00FE0F5D">
        <w:rPr>
          <w:rFonts w:ascii="Arial" w:hAnsi="Arial" w:cs="Arial"/>
          <w:lang w:val="en-GB"/>
        </w:rPr>
        <w:t>,</w:t>
      </w:r>
      <w:r w:rsidR="00E853BA" w:rsidRPr="00FE0F5D">
        <w:rPr>
          <w:rFonts w:ascii="Arial" w:hAnsi="Arial" w:cs="Arial"/>
          <w:lang w:val="en-GB"/>
        </w:rPr>
        <w:t xml:space="preserve"> albeit in a more </w:t>
      </w:r>
      <w:r w:rsidR="00E80176" w:rsidRPr="00FE0F5D">
        <w:rPr>
          <w:rFonts w:ascii="Arial" w:hAnsi="Arial" w:cs="Arial"/>
          <w:lang w:val="en-GB"/>
        </w:rPr>
        <w:t>formulaic way</w:t>
      </w:r>
      <w:r w:rsidR="00E853BA" w:rsidRPr="00FE0F5D">
        <w:rPr>
          <w:rFonts w:ascii="Arial" w:hAnsi="Arial" w:cs="Arial"/>
          <w:lang w:val="en-GB"/>
        </w:rPr>
        <w:t>.</w:t>
      </w:r>
      <w:r w:rsidR="00E80176" w:rsidRPr="00FE0F5D">
        <w:rPr>
          <w:rFonts w:ascii="Arial" w:hAnsi="Arial" w:cs="Arial"/>
          <w:lang w:val="en-GB"/>
        </w:rPr>
        <w:t xml:space="preserve">  </w:t>
      </w:r>
    </w:p>
    <w:p w14:paraId="0912FDAD" w14:textId="77777777" w:rsidR="00FE0F5D" w:rsidRPr="00FE0F5D" w:rsidRDefault="00FE0F5D" w:rsidP="00FE0F5D">
      <w:pPr>
        <w:pStyle w:val="ListParagraph"/>
        <w:spacing w:line="360" w:lineRule="auto"/>
        <w:ind w:left="0"/>
        <w:jc w:val="both"/>
        <w:rPr>
          <w:rFonts w:ascii="Arial" w:hAnsi="Arial" w:cs="Arial"/>
        </w:rPr>
      </w:pPr>
    </w:p>
    <w:p w14:paraId="38F4FFE9" w14:textId="2A8241EB" w:rsidR="0004425A" w:rsidRPr="00E80176" w:rsidRDefault="00667566" w:rsidP="00F621FE">
      <w:pPr>
        <w:pStyle w:val="ListParagraph"/>
        <w:numPr>
          <w:ilvl w:val="0"/>
          <w:numId w:val="2"/>
        </w:numPr>
        <w:spacing w:line="360" w:lineRule="auto"/>
        <w:ind w:left="0" w:firstLine="0"/>
        <w:jc w:val="both"/>
        <w:rPr>
          <w:rFonts w:ascii="Arial" w:hAnsi="Arial" w:cs="Arial"/>
        </w:rPr>
      </w:pPr>
      <w:r>
        <w:rPr>
          <w:rFonts w:ascii="Arial" w:hAnsi="Arial" w:cs="Arial"/>
        </w:rPr>
        <w:t xml:space="preserve">An analysis of the </w:t>
      </w:r>
      <w:r w:rsidR="0004425A">
        <w:rPr>
          <w:rFonts w:ascii="Arial" w:hAnsi="Arial" w:cs="Arial"/>
        </w:rPr>
        <w:t xml:space="preserve">difference between the approval inquiry </w:t>
      </w:r>
      <w:r w:rsidR="00F4401C">
        <w:rPr>
          <w:rFonts w:ascii="Arial" w:hAnsi="Arial" w:cs="Arial"/>
        </w:rPr>
        <w:t xml:space="preserve">under </w:t>
      </w:r>
      <w:r w:rsidR="001305E6">
        <w:rPr>
          <w:rFonts w:ascii="Arial" w:hAnsi="Arial" w:cs="Arial"/>
        </w:rPr>
        <w:t xml:space="preserve">section 115(3)(a) and the review process under section 115(3)(b) is beyond the scope of this judgment </w:t>
      </w:r>
      <w:r w:rsidR="009D1ED1">
        <w:rPr>
          <w:rFonts w:ascii="Arial" w:hAnsi="Arial" w:cs="Arial"/>
        </w:rPr>
        <w:t>but it seems to that a court would not grant its approval of the scheme under section 115(3)(a) if there was any</w:t>
      </w:r>
      <w:r w:rsidR="000A7837">
        <w:rPr>
          <w:rFonts w:ascii="Arial" w:hAnsi="Arial" w:cs="Arial"/>
        </w:rPr>
        <w:t xml:space="preserve"> </w:t>
      </w:r>
      <w:r w:rsidR="009D1ED1">
        <w:rPr>
          <w:rFonts w:ascii="Arial" w:hAnsi="Arial" w:cs="Arial"/>
        </w:rPr>
        <w:t>basis for review</w:t>
      </w:r>
      <w:r w:rsidR="00845EF7">
        <w:rPr>
          <w:rFonts w:ascii="Arial" w:hAnsi="Arial" w:cs="Arial"/>
        </w:rPr>
        <w:t xml:space="preserve"> raised</w:t>
      </w:r>
      <w:r>
        <w:rPr>
          <w:rFonts w:ascii="Arial" w:hAnsi="Arial" w:cs="Arial"/>
        </w:rPr>
        <w:t>. However</w:t>
      </w:r>
      <w:r w:rsidR="00EE0AC5">
        <w:rPr>
          <w:rFonts w:ascii="Arial" w:hAnsi="Arial" w:cs="Arial"/>
        </w:rPr>
        <w:t>,</w:t>
      </w:r>
      <w:r>
        <w:rPr>
          <w:rFonts w:ascii="Arial" w:hAnsi="Arial" w:cs="Arial"/>
        </w:rPr>
        <w:t xml:space="preserve"> even if there were no grounds for review</w:t>
      </w:r>
      <w:r w:rsidR="009D1ED1">
        <w:rPr>
          <w:rFonts w:ascii="Arial" w:hAnsi="Arial" w:cs="Arial"/>
        </w:rPr>
        <w:t xml:space="preserve"> </w:t>
      </w:r>
      <w:r w:rsidR="00B17EF3">
        <w:rPr>
          <w:rFonts w:ascii="Arial" w:hAnsi="Arial" w:cs="Arial"/>
        </w:rPr>
        <w:t>made out in the context of the approval process under subsection (3)(a)</w:t>
      </w:r>
      <w:r w:rsidR="009D1ED1">
        <w:rPr>
          <w:rFonts w:ascii="Arial" w:hAnsi="Arial" w:cs="Arial"/>
        </w:rPr>
        <w:t xml:space="preserve"> the </w:t>
      </w:r>
      <w:r w:rsidR="001212A0">
        <w:rPr>
          <w:rFonts w:ascii="Arial" w:hAnsi="Arial" w:cs="Arial"/>
        </w:rPr>
        <w:t>court’s approval could still be withheld</w:t>
      </w:r>
      <w:r w:rsidR="000A7837">
        <w:rPr>
          <w:rFonts w:ascii="Arial" w:hAnsi="Arial" w:cs="Arial"/>
        </w:rPr>
        <w:t xml:space="preserve"> from the company</w:t>
      </w:r>
      <w:r w:rsidR="001212A0">
        <w:rPr>
          <w:rFonts w:ascii="Arial" w:hAnsi="Arial" w:cs="Arial"/>
        </w:rPr>
        <w:t xml:space="preserve">. </w:t>
      </w:r>
      <w:r w:rsidR="00ED18A2">
        <w:rPr>
          <w:rFonts w:ascii="Arial" w:hAnsi="Arial" w:cs="Arial"/>
        </w:rPr>
        <w:t>As I have said</w:t>
      </w:r>
      <w:r w:rsidR="00D67839">
        <w:rPr>
          <w:rFonts w:ascii="Arial" w:hAnsi="Arial" w:cs="Arial"/>
        </w:rPr>
        <w:t xml:space="preserve">, if the resolution is passed by a slim margin this will be a </w:t>
      </w:r>
      <w:r w:rsidR="000A7837">
        <w:rPr>
          <w:rFonts w:ascii="Arial" w:hAnsi="Arial" w:cs="Arial"/>
        </w:rPr>
        <w:t xml:space="preserve">relevant </w:t>
      </w:r>
      <w:r w:rsidR="00D67839">
        <w:rPr>
          <w:rFonts w:ascii="Arial" w:hAnsi="Arial" w:cs="Arial"/>
        </w:rPr>
        <w:t>factor which a court will weigh up in deciding on whether to approve</w:t>
      </w:r>
      <w:r w:rsidR="00C52F12">
        <w:rPr>
          <w:rFonts w:ascii="Arial" w:hAnsi="Arial" w:cs="Arial"/>
        </w:rPr>
        <w:t xml:space="preserve"> the scheme</w:t>
      </w:r>
      <w:r w:rsidR="00D67839">
        <w:rPr>
          <w:rFonts w:ascii="Arial" w:hAnsi="Arial" w:cs="Arial"/>
        </w:rPr>
        <w:t xml:space="preserve"> or not.</w:t>
      </w:r>
    </w:p>
    <w:p w14:paraId="1F83303E" w14:textId="77777777" w:rsidR="00E80176" w:rsidRPr="009520A8" w:rsidRDefault="00E80176" w:rsidP="00E80176">
      <w:pPr>
        <w:pStyle w:val="ListParagraph"/>
        <w:spacing w:line="360" w:lineRule="auto"/>
        <w:ind w:left="0"/>
        <w:jc w:val="both"/>
        <w:rPr>
          <w:rFonts w:ascii="Arial" w:hAnsi="Arial" w:cs="Arial"/>
        </w:rPr>
      </w:pPr>
    </w:p>
    <w:p w14:paraId="1CCDAE4A" w14:textId="4242CB4F" w:rsidR="008526D6" w:rsidRDefault="009520A8" w:rsidP="008526D6">
      <w:pPr>
        <w:pStyle w:val="ListParagraph"/>
        <w:numPr>
          <w:ilvl w:val="0"/>
          <w:numId w:val="2"/>
        </w:numPr>
        <w:spacing w:line="360" w:lineRule="auto"/>
        <w:ind w:left="0" w:firstLine="0"/>
        <w:jc w:val="both"/>
        <w:rPr>
          <w:rFonts w:ascii="Arial" w:hAnsi="Arial" w:cs="Arial"/>
        </w:rPr>
      </w:pPr>
      <w:r>
        <w:rPr>
          <w:rFonts w:ascii="Arial" w:hAnsi="Arial" w:cs="Arial"/>
        </w:rPr>
        <w:t>T</w:t>
      </w:r>
      <w:r w:rsidR="00941F80">
        <w:rPr>
          <w:rFonts w:ascii="Arial" w:hAnsi="Arial" w:cs="Arial"/>
        </w:rPr>
        <w:t xml:space="preserve">he statute </w:t>
      </w:r>
      <w:r w:rsidR="000D1074">
        <w:rPr>
          <w:rFonts w:ascii="Arial" w:hAnsi="Arial" w:cs="Arial"/>
        </w:rPr>
        <w:t xml:space="preserve"> </w:t>
      </w:r>
      <w:r w:rsidR="008944B1">
        <w:rPr>
          <w:rFonts w:ascii="Arial" w:hAnsi="Arial" w:cs="Arial"/>
        </w:rPr>
        <w:t>precludes the review of the scheme transaction without the court’s leave</w:t>
      </w:r>
      <w:r w:rsidR="003E1777">
        <w:rPr>
          <w:rFonts w:ascii="Arial" w:hAnsi="Arial" w:cs="Arial"/>
        </w:rPr>
        <w:t xml:space="preserve">. And this must be </w:t>
      </w:r>
      <w:r w:rsidR="00C4798A">
        <w:rPr>
          <w:rFonts w:ascii="Arial" w:hAnsi="Arial" w:cs="Arial"/>
        </w:rPr>
        <w:t>sought</w:t>
      </w:r>
      <w:r w:rsidR="003E1777">
        <w:rPr>
          <w:rFonts w:ascii="Arial" w:hAnsi="Arial" w:cs="Arial"/>
        </w:rPr>
        <w:t xml:space="preserve"> within 10 </w:t>
      </w:r>
      <w:r w:rsidR="00E80176">
        <w:rPr>
          <w:rFonts w:ascii="Arial" w:hAnsi="Arial" w:cs="Arial"/>
        </w:rPr>
        <w:t xml:space="preserve">business </w:t>
      </w:r>
      <w:r w:rsidR="003E1777">
        <w:rPr>
          <w:rFonts w:ascii="Arial" w:hAnsi="Arial" w:cs="Arial"/>
        </w:rPr>
        <w:t>days.</w:t>
      </w:r>
    </w:p>
    <w:p w14:paraId="4184EBB1" w14:textId="77777777" w:rsidR="00806951" w:rsidRPr="00806951" w:rsidRDefault="00806951" w:rsidP="00806951">
      <w:pPr>
        <w:pStyle w:val="ListParagraph"/>
        <w:rPr>
          <w:rFonts w:ascii="Arial" w:hAnsi="Arial" w:cs="Arial"/>
        </w:rPr>
      </w:pPr>
    </w:p>
    <w:p w14:paraId="5703A2AF" w14:textId="396AF159" w:rsidR="00806951" w:rsidRDefault="00806951" w:rsidP="008526D6">
      <w:pPr>
        <w:pStyle w:val="ListParagraph"/>
        <w:numPr>
          <w:ilvl w:val="0"/>
          <w:numId w:val="2"/>
        </w:numPr>
        <w:spacing w:line="360" w:lineRule="auto"/>
        <w:ind w:left="0" w:firstLine="0"/>
        <w:jc w:val="both"/>
        <w:rPr>
          <w:rFonts w:ascii="Arial" w:hAnsi="Arial" w:cs="Arial"/>
        </w:rPr>
      </w:pPr>
      <w:r>
        <w:rPr>
          <w:rFonts w:ascii="Arial" w:hAnsi="Arial" w:cs="Arial"/>
        </w:rPr>
        <w:t xml:space="preserve">The </w:t>
      </w:r>
      <w:r w:rsidR="009D603D">
        <w:rPr>
          <w:rFonts w:ascii="Arial" w:hAnsi="Arial" w:cs="Arial"/>
        </w:rPr>
        <w:t xml:space="preserve">respective </w:t>
      </w:r>
      <w:r>
        <w:rPr>
          <w:rFonts w:ascii="Arial" w:hAnsi="Arial" w:cs="Arial"/>
        </w:rPr>
        <w:t>five and ten day</w:t>
      </w:r>
      <w:r w:rsidR="002F304D">
        <w:rPr>
          <w:rFonts w:ascii="Arial" w:hAnsi="Arial" w:cs="Arial"/>
        </w:rPr>
        <w:t xml:space="preserve"> limit</w:t>
      </w:r>
      <w:r w:rsidR="00C52F12">
        <w:rPr>
          <w:rFonts w:ascii="Arial" w:hAnsi="Arial" w:cs="Arial"/>
        </w:rPr>
        <w:t>s</w:t>
      </w:r>
      <w:r w:rsidR="002F304D">
        <w:rPr>
          <w:rFonts w:ascii="Arial" w:hAnsi="Arial" w:cs="Arial"/>
        </w:rPr>
        <w:t xml:space="preserve"> </w:t>
      </w:r>
      <w:r>
        <w:rPr>
          <w:rFonts w:ascii="Arial" w:hAnsi="Arial" w:cs="Arial"/>
        </w:rPr>
        <w:t xml:space="preserve"> </w:t>
      </w:r>
      <w:r w:rsidR="009D603D">
        <w:rPr>
          <w:rFonts w:ascii="Arial" w:hAnsi="Arial" w:cs="Arial"/>
        </w:rPr>
        <w:t xml:space="preserve">within which court approval can be required or leave to </w:t>
      </w:r>
      <w:r w:rsidR="002F304D">
        <w:rPr>
          <w:rFonts w:ascii="Arial" w:hAnsi="Arial" w:cs="Arial"/>
        </w:rPr>
        <w:t xml:space="preserve">bring a review can be sought are </w:t>
      </w:r>
      <w:r w:rsidR="00652566">
        <w:rPr>
          <w:rFonts w:ascii="Arial" w:hAnsi="Arial" w:cs="Arial"/>
        </w:rPr>
        <w:t>peremptory</w:t>
      </w:r>
      <w:r w:rsidR="002F304D">
        <w:rPr>
          <w:rFonts w:ascii="Arial" w:hAnsi="Arial" w:cs="Arial"/>
        </w:rPr>
        <w:t xml:space="preserve"> and</w:t>
      </w:r>
      <w:r w:rsidR="00293C4D">
        <w:rPr>
          <w:rFonts w:ascii="Arial" w:hAnsi="Arial" w:cs="Arial"/>
        </w:rPr>
        <w:t xml:space="preserve"> there </w:t>
      </w:r>
      <w:r w:rsidR="00591E16">
        <w:rPr>
          <w:rFonts w:ascii="Arial" w:hAnsi="Arial" w:cs="Arial"/>
        </w:rPr>
        <w:t xml:space="preserve">is </w:t>
      </w:r>
      <w:r w:rsidR="008E772B">
        <w:rPr>
          <w:rFonts w:ascii="Arial" w:hAnsi="Arial" w:cs="Arial"/>
        </w:rPr>
        <w:t>no provision for their extension.</w:t>
      </w:r>
      <w:r w:rsidR="00293C4D">
        <w:rPr>
          <w:rFonts w:ascii="Arial" w:hAnsi="Arial" w:cs="Arial"/>
        </w:rPr>
        <w:t xml:space="preserve"> </w:t>
      </w:r>
      <w:r w:rsidR="00E45DA1">
        <w:rPr>
          <w:rFonts w:ascii="Arial" w:hAnsi="Arial" w:cs="Arial"/>
        </w:rPr>
        <w:t>The effect</w:t>
      </w:r>
      <w:r w:rsidR="00FE0F5D">
        <w:rPr>
          <w:rFonts w:ascii="Arial" w:hAnsi="Arial" w:cs="Arial"/>
        </w:rPr>
        <w:t xml:space="preserve"> of their expiration</w:t>
      </w:r>
      <w:r w:rsidR="00E45DA1">
        <w:rPr>
          <w:rFonts w:ascii="Arial" w:hAnsi="Arial" w:cs="Arial"/>
        </w:rPr>
        <w:t xml:space="preserve"> is akin to the prescription of the right to challenge the scheme. The intention of the statute </w:t>
      </w:r>
      <w:r w:rsidR="001F347E">
        <w:rPr>
          <w:rFonts w:ascii="Arial" w:hAnsi="Arial" w:cs="Arial"/>
        </w:rPr>
        <w:t>is that there be commercial certainty.</w:t>
      </w:r>
    </w:p>
    <w:p w14:paraId="19A40FDF" w14:textId="77777777" w:rsidR="008526D6" w:rsidRPr="008526D6" w:rsidRDefault="008526D6" w:rsidP="008526D6">
      <w:pPr>
        <w:pStyle w:val="ListParagraph"/>
        <w:rPr>
          <w:rFonts w:ascii="Arial" w:hAnsi="Arial" w:cs="Arial"/>
        </w:rPr>
      </w:pPr>
    </w:p>
    <w:p w14:paraId="53BBCE8E" w14:textId="72EC9491" w:rsidR="00A946B0" w:rsidRPr="008526D6" w:rsidRDefault="00132EA5" w:rsidP="008526D6">
      <w:pPr>
        <w:pStyle w:val="ListParagraph"/>
        <w:numPr>
          <w:ilvl w:val="0"/>
          <w:numId w:val="2"/>
        </w:numPr>
        <w:spacing w:line="360" w:lineRule="auto"/>
        <w:ind w:left="0" w:firstLine="0"/>
        <w:jc w:val="both"/>
        <w:rPr>
          <w:rFonts w:ascii="Arial" w:hAnsi="Arial" w:cs="Arial"/>
        </w:rPr>
      </w:pPr>
      <w:r w:rsidRPr="008526D6">
        <w:rPr>
          <w:rFonts w:ascii="Arial" w:hAnsi="Arial" w:cs="Arial"/>
        </w:rPr>
        <w:t>Section</w:t>
      </w:r>
      <w:r w:rsidR="009D25AF" w:rsidRPr="008526D6">
        <w:rPr>
          <w:rFonts w:ascii="Arial" w:hAnsi="Arial" w:cs="Arial"/>
        </w:rPr>
        <w:t>s</w:t>
      </w:r>
      <w:r w:rsidRPr="008526D6">
        <w:rPr>
          <w:rFonts w:ascii="Arial" w:hAnsi="Arial" w:cs="Arial"/>
        </w:rPr>
        <w:t xml:space="preserve"> 115(</w:t>
      </w:r>
      <w:r w:rsidR="00225930">
        <w:rPr>
          <w:rFonts w:ascii="Arial" w:hAnsi="Arial" w:cs="Arial"/>
        </w:rPr>
        <w:t>6</w:t>
      </w:r>
      <w:r w:rsidRPr="008526D6">
        <w:rPr>
          <w:rFonts w:ascii="Arial" w:hAnsi="Arial" w:cs="Arial"/>
        </w:rPr>
        <w:t>)</w:t>
      </w:r>
      <w:r w:rsidR="009D25AF" w:rsidRPr="008526D6">
        <w:rPr>
          <w:rFonts w:ascii="Arial" w:hAnsi="Arial" w:cs="Arial"/>
        </w:rPr>
        <w:t xml:space="preserve"> and (</w:t>
      </w:r>
      <w:r w:rsidR="00225930">
        <w:rPr>
          <w:rFonts w:ascii="Arial" w:hAnsi="Arial" w:cs="Arial"/>
        </w:rPr>
        <w:t>7</w:t>
      </w:r>
      <w:r w:rsidR="009D25AF" w:rsidRPr="008526D6">
        <w:rPr>
          <w:rFonts w:ascii="Arial" w:hAnsi="Arial" w:cs="Arial"/>
        </w:rPr>
        <w:t>)</w:t>
      </w:r>
      <w:r w:rsidR="00415329" w:rsidRPr="008526D6">
        <w:rPr>
          <w:rFonts w:ascii="Arial" w:hAnsi="Arial" w:cs="Arial"/>
        </w:rPr>
        <w:t xml:space="preserve"> </w:t>
      </w:r>
      <w:r w:rsidR="000D1074">
        <w:rPr>
          <w:rFonts w:ascii="Arial" w:hAnsi="Arial" w:cs="Arial"/>
        </w:rPr>
        <w:t>imposes on a</w:t>
      </w:r>
      <w:r w:rsidR="0005768B">
        <w:rPr>
          <w:rFonts w:ascii="Arial" w:hAnsi="Arial" w:cs="Arial"/>
        </w:rPr>
        <w:t xml:space="preserve"> disaffected shareholder w</w:t>
      </w:r>
      <w:r w:rsidR="00690AEA">
        <w:rPr>
          <w:rFonts w:ascii="Arial" w:hAnsi="Arial" w:cs="Arial"/>
        </w:rPr>
        <w:t>ho</w:t>
      </w:r>
      <w:r w:rsidR="0005768B">
        <w:rPr>
          <w:rFonts w:ascii="Arial" w:hAnsi="Arial" w:cs="Arial"/>
        </w:rPr>
        <w:t xml:space="preserve"> w</w:t>
      </w:r>
      <w:r w:rsidR="00690AEA">
        <w:rPr>
          <w:rFonts w:ascii="Arial" w:hAnsi="Arial" w:cs="Arial"/>
        </w:rPr>
        <w:t>ishes</w:t>
      </w:r>
      <w:r w:rsidR="0005768B">
        <w:rPr>
          <w:rFonts w:ascii="Arial" w:hAnsi="Arial" w:cs="Arial"/>
        </w:rPr>
        <w:t xml:space="preserve"> to bring a review</w:t>
      </w:r>
      <w:r w:rsidR="005D3FE3">
        <w:rPr>
          <w:rFonts w:ascii="Arial" w:hAnsi="Arial" w:cs="Arial"/>
        </w:rPr>
        <w:t xml:space="preserve"> of the approval under subsection (2)</w:t>
      </w:r>
      <w:r w:rsidR="0026272F">
        <w:rPr>
          <w:rFonts w:ascii="Arial" w:hAnsi="Arial" w:cs="Arial"/>
        </w:rPr>
        <w:t xml:space="preserve"> the burden</w:t>
      </w:r>
      <w:r w:rsidR="00C52F12">
        <w:rPr>
          <w:rFonts w:ascii="Arial" w:hAnsi="Arial" w:cs="Arial"/>
        </w:rPr>
        <w:t xml:space="preserve"> of</w:t>
      </w:r>
      <w:r w:rsidR="0026272F">
        <w:rPr>
          <w:rFonts w:ascii="Arial" w:hAnsi="Arial" w:cs="Arial"/>
        </w:rPr>
        <w:t xml:space="preserve"> first of showing</w:t>
      </w:r>
      <w:r w:rsidR="0005768B">
        <w:rPr>
          <w:rFonts w:ascii="Arial" w:hAnsi="Arial" w:cs="Arial"/>
        </w:rPr>
        <w:t xml:space="preserve"> that he is acting in good faith and that he has a cause of action</w:t>
      </w:r>
      <w:r w:rsidR="00A946B0" w:rsidRPr="008526D6">
        <w:rPr>
          <w:rFonts w:ascii="Arial" w:hAnsi="Arial" w:cs="Arial"/>
        </w:rPr>
        <w:t>.</w:t>
      </w:r>
      <w:r w:rsidR="008526D6">
        <w:rPr>
          <w:rFonts w:ascii="Arial" w:hAnsi="Arial" w:cs="Arial"/>
        </w:rPr>
        <w:t xml:space="preserve"> </w:t>
      </w:r>
      <w:r w:rsidR="00A946B0" w:rsidRPr="008526D6">
        <w:rPr>
          <w:rFonts w:ascii="Arial" w:hAnsi="Arial" w:cs="Arial"/>
        </w:rPr>
        <w:t>These constraining provisions read as follows:</w:t>
      </w:r>
    </w:p>
    <w:p w14:paraId="1D5E46B4" w14:textId="77777777" w:rsidR="009D25AF" w:rsidRPr="009D25AF" w:rsidRDefault="009D25AF" w:rsidP="009D25AF">
      <w:pPr>
        <w:pStyle w:val="ListParagraph"/>
        <w:rPr>
          <w:rFonts w:ascii="Arial" w:hAnsi="Arial" w:cs="Arial"/>
        </w:rPr>
      </w:pPr>
    </w:p>
    <w:p w14:paraId="12F1A775" w14:textId="1153859D" w:rsidR="00AC4BD1" w:rsidRPr="00B9103F" w:rsidRDefault="00AC4BD1" w:rsidP="00AC4BD1">
      <w:pPr>
        <w:pStyle w:val="ListParagraph"/>
        <w:spacing w:line="360" w:lineRule="auto"/>
        <w:ind w:left="0"/>
        <w:jc w:val="both"/>
        <w:rPr>
          <w:rFonts w:ascii="Arial" w:hAnsi="Arial" w:cs="Arial"/>
          <w:sz w:val="22"/>
          <w:szCs w:val="22"/>
        </w:rPr>
      </w:pPr>
      <w:r>
        <w:rPr>
          <w:rFonts w:ascii="Arial" w:hAnsi="Arial" w:cs="Arial"/>
        </w:rPr>
        <w:t>‘</w:t>
      </w:r>
      <w:r w:rsidRPr="00B9103F">
        <w:rPr>
          <w:rFonts w:ascii="Arial" w:hAnsi="Arial" w:cs="Arial"/>
          <w:sz w:val="22"/>
          <w:szCs w:val="22"/>
        </w:rPr>
        <w:t>1</w:t>
      </w:r>
      <w:r w:rsidR="00A946B0">
        <w:rPr>
          <w:rFonts w:ascii="Arial" w:hAnsi="Arial" w:cs="Arial"/>
          <w:sz w:val="22"/>
          <w:szCs w:val="22"/>
        </w:rPr>
        <w:t>1</w:t>
      </w:r>
      <w:r w:rsidRPr="00B9103F">
        <w:rPr>
          <w:rFonts w:ascii="Arial" w:hAnsi="Arial" w:cs="Arial"/>
          <w:sz w:val="22"/>
          <w:szCs w:val="22"/>
        </w:rPr>
        <w:t>5(6) On an application contemplated in subsection (3)(b), the court may grant leave only if it is satisfied that the applicant—</w:t>
      </w:r>
    </w:p>
    <w:p w14:paraId="5BB1E627" w14:textId="77777777" w:rsidR="00AC4BD1" w:rsidRPr="00B9103F" w:rsidRDefault="00AC4BD1" w:rsidP="00AC4BD1">
      <w:pPr>
        <w:pStyle w:val="ListParagraph"/>
        <w:spacing w:line="360" w:lineRule="auto"/>
        <w:ind w:left="0"/>
        <w:jc w:val="both"/>
        <w:rPr>
          <w:rFonts w:ascii="Arial" w:hAnsi="Arial" w:cs="Arial"/>
          <w:sz w:val="22"/>
          <w:szCs w:val="22"/>
        </w:rPr>
      </w:pPr>
      <w:r w:rsidRPr="00B9103F">
        <w:rPr>
          <w:rFonts w:ascii="Arial" w:hAnsi="Arial" w:cs="Arial"/>
          <w:sz w:val="22"/>
          <w:szCs w:val="22"/>
        </w:rPr>
        <w:t>(a) is acting in good faith;</w:t>
      </w:r>
    </w:p>
    <w:p w14:paraId="52D75E47" w14:textId="77777777" w:rsidR="00AC4BD1" w:rsidRPr="00B9103F" w:rsidRDefault="00AC4BD1" w:rsidP="00AC4BD1">
      <w:pPr>
        <w:pStyle w:val="ListParagraph"/>
        <w:spacing w:line="360" w:lineRule="auto"/>
        <w:ind w:left="0"/>
        <w:jc w:val="both"/>
        <w:rPr>
          <w:rFonts w:ascii="Arial" w:hAnsi="Arial" w:cs="Arial"/>
          <w:sz w:val="22"/>
          <w:szCs w:val="22"/>
        </w:rPr>
      </w:pPr>
      <w:r w:rsidRPr="00B9103F">
        <w:rPr>
          <w:rFonts w:ascii="Arial" w:hAnsi="Arial" w:cs="Arial"/>
          <w:sz w:val="22"/>
          <w:szCs w:val="22"/>
        </w:rPr>
        <w:t>(b) appears prepared and able to sustain the proceedings; and</w:t>
      </w:r>
    </w:p>
    <w:p w14:paraId="2B48AA27" w14:textId="49190A36" w:rsidR="00AC4BD1" w:rsidRPr="00B9103F" w:rsidRDefault="00AC4BD1" w:rsidP="00AC4BD1">
      <w:pPr>
        <w:pStyle w:val="ListParagraph"/>
        <w:spacing w:line="360" w:lineRule="auto"/>
        <w:ind w:left="0"/>
        <w:jc w:val="both"/>
        <w:rPr>
          <w:rFonts w:ascii="Arial" w:hAnsi="Arial" w:cs="Arial"/>
          <w:sz w:val="22"/>
          <w:szCs w:val="22"/>
        </w:rPr>
      </w:pPr>
      <w:r w:rsidRPr="00B9103F">
        <w:rPr>
          <w:rFonts w:ascii="Arial" w:hAnsi="Arial" w:cs="Arial"/>
          <w:sz w:val="22"/>
          <w:szCs w:val="22"/>
        </w:rPr>
        <w:t>(c) has alleged facts which, if proved, would support an order in terms of</w:t>
      </w:r>
      <w:r w:rsidR="0026272F">
        <w:rPr>
          <w:rFonts w:ascii="Arial" w:hAnsi="Arial" w:cs="Arial"/>
          <w:sz w:val="22"/>
          <w:szCs w:val="22"/>
        </w:rPr>
        <w:t xml:space="preserve"> </w:t>
      </w:r>
      <w:r w:rsidRPr="00B9103F">
        <w:rPr>
          <w:rFonts w:ascii="Arial" w:hAnsi="Arial" w:cs="Arial"/>
          <w:sz w:val="22"/>
          <w:szCs w:val="22"/>
        </w:rPr>
        <w:t xml:space="preserve">subsection </w:t>
      </w:r>
    </w:p>
    <w:p w14:paraId="5A250A2B" w14:textId="3DB2096C" w:rsidR="00A946B0" w:rsidRDefault="00AC4BD1" w:rsidP="00AC4BD1">
      <w:pPr>
        <w:pStyle w:val="ListParagraph"/>
        <w:spacing w:line="360" w:lineRule="auto"/>
        <w:ind w:left="0"/>
        <w:jc w:val="both"/>
        <w:rPr>
          <w:rFonts w:ascii="Arial" w:hAnsi="Arial" w:cs="Arial"/>
          <w:sz w:val="22"/>
          <w:szCs w:val="22"/>
        </w:rPr>
      </w:pPr>
      <w:r w:rsidRPr="00B9103F">
        <w:rPr>
          <w:rFonts w:ascii="Arial" w:hAnsi="Arial" w:cs="Arial"/>
          <w:sz w:val="22"/>
          <w:szCs w:val="22"/>
        </w:rPr>
        <w:t>(7)</w:t>
      </w:r>
    </w:p>
    <w:p w14:paraId="72204AEC" w14:textId="77777777" w:rsidR="0005768B" w:rsidRDefault="0005768B" w:rsidP="00AC4BD1">
      <w:pPr>
        <w:pStyle w:val="ListParagraph"/>
        <w:spacing w:line="360" w:lineRule="auto"/>
        <w:ind w:left="0"/>
        <w:jc w:val="both"/>
        <w:rPr>
          <w:rFonts w:ascii="Arial" w:hAnsi="Arial" w:cs="Arial"/>
          <w:sz w:val="22"/>
          <w:szCs w:val="22"/>
        </w:rPr>
      </w:pPr>
    </w:p>
    <w:p w14:paraId="1DB46446" w14:textId="17C67DE1" w:rsidR="00AC4BD1" w:rsidRPr="00B9103F" w:rsidRDefault="00AC4BD1" w:rsidP="00AC4BD1">
      <w:pPr>
        <w:pStyle w:val="ListParagraph"/>
        <w:spacing w:line="360" w:lineRule="auto"/>
        <w:ind w:left="0"/>
        <w:jc w:val="both"/>
        <w:rPr>
          <w:rFonts w:ascii="Arial" w:hAnsi="Arial" w:cs="Arial"/>
          <w:sz w:val="22"/>
          <w:szCs w:val="22"/>
        </w:rPr>
      </w:pPr>
      <w:r w:rsidRPr="00B9103F">
        <w:rPr>
          <w:rFonts w:ascii="Arial" w:hAnsi="Arial" w:cs="Arial"/>
          <w:sz w:val="22"/>
          <w:szCs w:val="22"/>
        </w:rPr>
        <w:t xml:space="preserve"> </w:t>
      </w:r>
      <w:r w:rsidR="00C459DD">
        <w:rPr>
          <w:rFonts w:ascii="Arial" w:hAnsi="Arial" w:cs="Arial"/>
          <w:sz w:val="22"/>
          <w:szCs w:val="22"/>
        </w:rPr>
        <w:t xml:space="preserve">(7) </w:t>
      </w:r>
      <w:r w:rsidRPr="00B9103F">
        <w:rPr>
          <w:rFonts w:ascii="Arial" w:hAnsi="Arial" w:cs="Arial"/>
          <w:sz w:val="22"/>
          <w:szCs w:val="22"/>
        </w:rPr>
        <w:t xml:space="preserve">On </w:t>
      </w:r>
      <w:r w:rsidRPr="00E152AE">
        <w:rPr>
          <w:rFonts w:ascii="Arial" w:hAnsi="Arial" w:cs="Arial"/>
          <w:sz w:val="22"/>
          <w:szCs w:val="22"/>
          <w:u w:val="single"/>
        </w:rPr>
        <w:t>reviewing a resolution</w:t>
      </w:r>
      <w:r w:rsidR="00432A6F" w:rsidRPr="00B9103F">
        <w:rPr>
          <w:rFonts w:ascii="Arial" w:hAnsi="Arial" w:cs="Arial"/>
          <w:sz w:val="22"/>
          <w:szCs w:val="22"/>
        </w:rPr>
        <w:t xml:space="preserve"> …</w:t>
      </w:r>
      <w:r w:rsidRPr="00B9103F">
        <w:rPr>
          <w:rFonts w:ascii="Arial" w:hAnsi="Arial" w:cs="Arial"/>
          <w:sz w:val="22"/>
          <w:szCs w:val="22"/>
        </w:rPr>
        <w:t xml:space="preserve"> the court may set aside </w:t>
      </w:r>
      <w:r w:rsidRPr="00E152AE">
        <w:rPr>
          <w:rFonts w:ascii="Arial" w:hAnsi="Arial" w:cs="Arial"/>
          <w:sz w:val="22"/>
          <w:szCs w:val="22"/>
          <w:u w:val="single"/>
        </w:rPr>
        <w:t>the resolution</w:t>
      </w:r>
      <w:r w:rsidRPr="00B9103F">
        <w:rPr>
          <w:rFonts w:ascii="Arial" w:hAnsi="Arial" w:cs="Arial"/>
          <w:sz w:val="22"/>
          <w:szCs w:val="22"/>
        </w:rPr>
        <w:t xml:space="preserve"> only if—</w:t>
      </w:r>
    </w:p>
    <w:p w14:paraId="2C779D8F" w14:textId="77777777" w:rsidR="00AC4BD1" w:rsidRPr="00B9103F" w:rsidRDefault="00AC4BD1" w:rsidP="00B9103F">
      <w:pPr>
        <w:pStyle w:val="ListParagraph"/>
        <w:spacing w:line="360" w:lineRule="auto"/>
        <w:ind w:left="0"/>
        <w:jc w:val="both"/>
        <w:rPr>
          <w:rFonts w:ascii="Arial" w:hAnsi="Arial" w:cs="Arial"/>
          <w:sz w:val="22"/>
          <w:szCs w:val="22"/>
        </w:rPr>
      </w:pPr>
      <w:r w:rsidRPr="00B9103F">
        <w:rPr>
          <w:rFonts w:ascii="Arial" w:hAnsi="Arial" w:cs="Arial"/>
          <w:sz w:val="22"/>
          <w:szCs w:val="22"/>
        </w:rPr>
        <w:t>(a</w:t>
      </w:r>
      <w:r w:rsidRPr="00E152AE">
        <w:rPr>
          <w:rFonts w:ascii="Arial" w:hAnsi="Arial" w:cs="Arial"/>
          <w:sz w:val="22"/>
          <w:szCs w:val="22"/>
          <w:u w:val="single"/>
        </w:rPr>
        <w:t>) the resolution</w:t>
      </w:r>
      <w:r w:rsidRPr="00B9103F">
        <w:rPr>
          <w:rFonts w:ascii="Arial" w:hAnsi="Arial" w:cs="Arial"/>
          <w:sz w:val="22"/>
          <w:szCs w:val="22"/>
        </w:rPr>
        <w:t xml:space="preserve"> is manifestly unfair to any class of holders of the company’s securities; or</w:t>
      </w:r>
    </w:p>
    <w:p w14:paraId="2BF5E395" w14:textId="2E0E4E81" w:rsidR="00690AEA" w:rsidRDefault="00AC4BD1" w:rsidP="00B9103F">
      <w:pPr>
        <w:pStyle w:val="ListParagraph"/>
        <w:spacing w:line="360" w:lineRule="auto"/>
        <w:ind w:left="0"/>
        <w:jc w:val="both"/>
        <w:rPr>
          <w:rFonts w:ascii="Arial" w:hAnsi="Arial" w:cs="Arial"/>
          <w:sz w:val="22"/>
          <w:szCs w:val="22"/>
        </w:rPr>
      </w:pPr>
      <w:r w:rsidRPr="00B9103F">
        <w:rPr>
          <w:rFonts w:ascii="Arial" w:hAnsi="Arial" w:cs="Arial"/>
          <w:sz w:val="22"/>
          <w:szCs w:val="22"/>
        </w:rPr>
        <w:lastRenderedPageBreak/>
        <w:t>(b) the vote was materially tainted by conflict of interest, inadequate disclosure, failure to comply with the Act, the Memorandum of Incorporation or any applicable rules of the company, or other significant and material procedural irregularity.</w:t>
      </w:r>
      <w:r w:rsidR="00B9103F" w:rsidRPr="00B9103F">
        <w:rPr>
          <w:rFonts w:ascii="Arial" w:hAnsi="Arial" w:cs="Arial"/>
          <w:sz w:val="22"/>
          <w:szCs w:val="22"/>
        </w:rPr>
        <w:t>’</w:t>
      </w:r>
      <w:r w:rsidR="001F347E">
        <w:rPr>
          <w:rFonts w:ascii="Arial" w:hAnsi="Arial" w:cs="Arial"/>
          <w:sz w:val="22"/>
          <w:szCs w:val="22"/>
        </w:rPr>
        <w:t>(Emphasis added.)</w:t>
      </w:r>
    </w:p>
    <w:p w14:paraId="354118B9" w14:textId="4218D86C" w:rsidR="009D25AF" w:rsidRPr="002D798D" w:rsidRDefault="009D25AF" w:rsidP="00B9103F">
      <w:pPr>
        <w:pStyle w:val="ListParagraph"/>
        <w:spacing w:line="360" w:lineRule="auto"/>
        <w:ind w:left="0"/>
        <w:jc w:val="both"/>
        <w:rPr>
          <w:rFonts w:ascii="Arial" w:hAnsi="Arial" w:cs="Arial"/>
        </w:rPr>
      </w:pPr>
    </w:p>
    <w:p w14:paraId="16315061" w14:textId="0322FE4B" w:rsidR="00840BF4" w:rsidRDefault="00840BF4" w:rsidP="00840BF4">
      <w:pPr>
        <w:pStyle w:val="ListParagraph"/>
        <w:spacing w:line="360" w:lineRule="auto"/>
        <w:ind w:left="0"/>
        <w:jc w:val="both"/>
        <w:rPr>
          <w:rFonts w:ascii="Arial" w:hAnsi="Arial" w:cs="Arial"/>
        </w:rPr>
      </w:pPr>
    </w:p>
    <w:p w14:paraId="4EBD4257" w14:textId="75E66B73" w:rsidR="00F36D33" w:rsidRDefault="00F36D33" w:rsidP="002D798D">
      <w:pPr>
        <w:pStyle w:val="ListParagraph"/>
        <w:numPr>
          <w:ilvl w:val="0"/>
          <w:numId w:val="2"/>
        </w:numPr>
        <w:spacing w:line="360" w:lineRule="auto"/>
        <w:ind w:left="0" w:firstLine="0"/>
        <w:jc w:val="both"/>
        <w:rPr>
          <w:rFonts w:ascii="Arial" w:hAnsi="Arial" w:cs="Arial"/>
        </w:rPr>
      </w:pPr>
      <w:r>
        <w:rPr>
          <w:rFonts w:ascii="Arial" w:hAnsi="Arial" w:cs="Arial"/>
        </w:rPr>
        <w:t xml:space="preserve">Thus </w:t>
      </w:r>
      <w:r w:rsidR="00690AEA">
        <w:rPr>
          <w:rFonts w:ascii="Arial" w:hAnsi="Arial" w:cs="Arial"/>
        </w:rPr>
        <w:t xml:space="preserve">, not only does the disaffected shareholder have to show that he does not bring the review as a delaying tactic, but </w:t>
      </w:r>
      <w:r w:rsidR="002507B3">
        <w:rPr>
          <w:rFonts w:ascii="Arial" w:hAnsi="Arial" w:cs="Arial"/>
        </w:rPr>
        <w:t>he can only succeed in the review on limited grounds being manifest unfairness or a vote which is materially tainted by</w:t>
      </w:r>
      <w:r w:rsidR="0026272F">
        <w:rPr>
          <w:rFonts w:ascii="Arial" w:hAnsi="Arial" w:cs="Arial"/>
        </w:rPr>
        <w:t xml:space="preserve"> the type of </w:t>
      </w:r>
      <w:r w:rsidR="00972C00">
        <w:rPr>
          <w:rFonts w:ascii="Arial" w:hAnsi="Arial" w:cs="Arial"/>
        </w:rPr>
        <w:t>unlawfulness</w:t>
      </w:r>
      <w:r w:rsidR="0026272F">
        <w:rPr>
          <w:rFonts w:ascii="Arial" w:hAnsi="Arial" w:cs="Arial"/>
        </w:rPr>
        <w:t xml:space="preserve"> contemplated in the section</w:t>
      </w:r>
      <w:r w:rsidR="00972C00">
        <w:rPr>
          <w:rFonts w:ascii="Arial" w:hAnsi="Arial" w:cs="Arial"/>
        </w:rPr>
        <w:t>.</w:t>
      </w:r>
    </w:p>
    <w:p w14:paraId="7A472647" w14:textId="77777777" w:rsidR="000B216D" w:rsidRDefault="000B216D" w:rsidP="000B216D">
      <w:pPr>
        <w:pStyle w:val="ListParagraph"/>
        <w:spacing w:line="360" w:lineRule="auto"/>
        <w:ind w:left="0"/>
        <w:jc w:val="both"/>
        <w:rPr>
          <w:rFonts w:ascii="Arial" w:hAnsi="Arial" w:cs="Arial"/>
        </w:rPr>
      </w:pPr>
    </w:p>
    <w:p w14:paraId="2C64F016" w14:textId="357ED16E" w:rsidR="00B9103F" w:rsidRDefault="00B9103F" w:rsidP="002D798D">
      <w:pPr>
        <w:pStyle w:val="ListParagraph"/>
        <w:numPr>
          <w:ilvl w:val="0"/>
          <w:numId w:val="2"/>
        </w:numPr>
        <w:spacing w:line="360" w:lineRule="auto"/>
        <w:ind w:left="0" w:firstLine="0"/>
        <w:jc w:val="both"/>
        <w:rPr>
          <w:rFonts w:ascii="Arial" w:hAnsi="Arial" w:cs="Arial"/>
        </w:rPr>
      </w:pPr>
      <w:r>
        <w:rPr>
          <w:rFonts w:ascii="Arial" w:hAnsi="Arial" w:cs="Arial"/>
        </w:rPr>
        <w:t xml:space="preserve">Clearly the intention of this legislative </w:t>
      </w:r>
      <w:r w:rsidR="000B0B42">
        <w:rPr>
          <w:rFonts w:ascii="Arial" w:hAnsi="Arial" w:cs="Arial"/>
        </w:rPr>
        <w:t xml:space="preserve">structure is to weed out unjustified obstruction to the scheme and to do </w:t>
      </w:r>
      <w:r w:rsidR="000B216D">
        <w:rPr>
          <w:rFonts w:ascii="Arial" w:hAnsi="Arial" w:cs="Arial"/>
        </w:rPr>
        <w:t>this</w:t>
      </w:r>
      <w:r w:rsidR="000B0B42">
        <w:rPr>
          <w:rFonts w:ascii="Arial" w:hAnsi="Arial" w:cs="Arial"/>
        </w:rPr>
        <w:t xml:space="preserve"> at an early stage.</w:t>
      </w:r>
    </w:p>
    <w:p w14:paraId="46B66866" w14:textId="77777777" w:rsidR="000B0B42" w:rsidRPr="00B9103F" w:rsidRDefault="000B0B42" w:rsidP="000B0B42">
      <w:pPr>
        <w:pStyle w:val="ListParagraph"/>
        <w:spacing w:line="360" w:lineRule="auto"/>
        <w:ind w:left="0"/>
        <w:jc w:val="both"/>
        <w:rPr>
          <w:rFonts w:ascii="Arial" w:hAnsi="Arial" w:cs="Arial"/>
        </w:rPr>
      </w:pPr>
    </w:p>
    <w:p w14:paraId="32C0B24B" w14:textId="0114CD66" w:rsidR="00B168D3" w:rsidRDefault="008D77EC" w:rsidP="00DA6487">
      <w:pPr>
        <w:pStyle w:val="ListParagraph"/>
        <w:numPr>
          <w:ilvl w:val="0"/>
          <w:numId w:val="2"/>
        </w:numPr>
        <w:spacing w:line="360" w:lineRule="auto"/>
        <w:ind w:left="0" w:firstLine="0"/>
        <w:jc w:val="both"/>
        <w:rPr>
          <w:rFonts w:ascii="Arial" w:hAnsi="Arial" w:cs="Arial"/>
          <w:lang w:val="en-GB"/>
        </w:rPr>
      </w:pPr>
      <w:r w:rsidRPr="00B12684">
        <w:rPr>
          <w:rFonts w:ascii="Arial" w:hAnsi="Arial" w:cs="Arial"/>
          <w:lang w:val="en-GB"/>
        </w:rPr>
        <w:t>The defendants submit that</w:t>
      </w:r>
      <w:r w:rsidR="00EB6430">
        <w:rPr>
          <w:rFonts w:ascii="Arial" w:hAnsi="Arial" w:cs="Arial"/>
          <w:lang w:val="en-GB"/>
        </w:rPr>
        <w:t>,</w:t>
      </w:r>
      <w:r w:rsidRPr="00B12684">
        <w:rPr>
          <w:rFonts w:ascii="Arial" w:hAnsi="Arial" w:cs="Arial"/>
          <w:lang w:val="en-GB"/>
        </w:rPr>
        <w:t xml:space="preserve"> </w:t>
      </w:r>
      <w:r w:rsidR="001D77A3" w:rsidRPr="00B12684">
        <w:rPr>
          <w:rFonts w:ascii="Arial" w:hAnsi="Arial" w:cs="Arial"/>
          <w:lang w:val="en-GB"/>
        </w:rPr>
        <w:t>on the clear language of section 115,</w:t>
      </w:r>
      <w:r w:rsidRPr="00B12684">
        <w:rPr>
          <w:rFonts w:ascii="Arial" w:hAnsi="Arial" w:cs="Arial"/>
          <w:lang w:val="en-GB"/>
        </w:rPr>
        <w:t xml:space="preserve"> there is no remedy </w:t>
      </w:r>
      <w:r w:rsidR="00EB6430">
        <w:rPr>
          <w:rFonts w:ascii="Arial" w:hAnsi="Arial" w:cs="Arial"/>
          <w:lang w:val="en-GB"/>
        </w:rPr>
        <w:t xml:space="preserve">for a dissenting shareholder </w:t>
      </w:r>
      <w:r w:rsidR="0048682B">
        <w:rPr>
          <w:rFonts w:ascii="Arial" w:hAnsi="Arial" w:cs="Arial"/>
          <w:lang w:val="en-GB"/>
        </w:rPr>
        <w:t>other than these limited challenges.</w:t>
      </w:r>
    </w:p>
    <w:p w14:paraId="79F164C7" w14:textId="77777777" w:rsidR="00B12684" w:rsidRPr="00B12684" w:rsidRDefault="00B12684" w:rsidP="00B12684">
      <w:pPr>
        <w:pStyle w:val="ListParagraph"/>
        <w:spacing w:line="360" w:lineRule="auto"/>
        <w:ind w:left="0"/>
        <w:jc w:val="both"/>
        <w:rPr>
          <w:rFonts w:ascii="Arial" w:hAnsi="Arial" w:cs="Arial"/>
          <w:lang w:val="en-GB"/>
        </w:rPr>
      </w:pPr>
    </w:p>
    <w:p w14:paraId="1607127F" w14:textId="6D236CFF" w:rsidR="004B5A9A" w:rsidRDefault="00723E24" w:rsidP="00CE7B46">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The plaintiff submits </w:t>
      </w:r>
      <w:r w:rsidR="00BE785A">
        <w:rPr>
          <w:rFonts w:ascii="Arial" w:hAnsi="Arial" w:cs="Arial"/>
          <w:lang w:val="en-GB"/>
        </w:rPr>
        <w:t xml:space="preserve">that section 115 does not expressly exclude reliance </w:t>
      </w:r>
      <w:r w:rsidR="00652566">
        <w:rPr>
          <w:rFonts w:ascii="Arial" w:hAnsi="Arial" w:cs="Arial"/>
          <w:lang w:val="en-GB"/>
        </w:rPr>
        <w:t>on existing</w:t>
      </w:r>
      <w:r w:rsidR="00BE785A">
        <w:rPr>
          <w:rFonts w:ascii="Arial" w:hAnsi="Arial" w:cs="Arial"/>
          <w:lang w:val="en-GB"/>
        </w:rPr>
        <w:t xml:space="preserve"> common law rights and that any</w:t>
      </w:r>
      <w:r w:rsidRPr="002D798D">
        <w:rPr>
          <w:rFonts w:ascii="Arial" w:hAnsi="Arial" w:cs="Arial"/>
          <w:lang w:val="en-GB"/>
        </w:rPr>
        <w:t xml:space="preserve"> interpretation of </w:t>
      </w:r>
      <w:r w:rsidR="00BE785A">
        <w:rPr>
          <w:rFonts w:ascii="Arial" w:hAnsi="Arial" w:cs="Arial"/>
          <w:lang w:val="en-GB"/>
        </w:rPr>
        <w:t xml:space="preserve">section 115 </w:t>
      </w:r>
      <w:r w:rsidRPr="002D798D">
        <w:rPr>
          <w:rFonts w:ascii="Arial" w:hAnsi="Arial" w:cs="Arial"/>
          <w:lang w:val="en-GB"/>
        </w:rPr>
        <w:t xml:space="preserve">such as to exclude any extra-statutory relief should be rejected on the basis of the </w:t>
      </w:r>
      <w:r w:rsidR="00F17C90">
        <w:rPr>
          <w:rFonts w:ascii="Arial" w:hAnsi="Arial" w:cs="Arial"/>
          <w:lang w:val="en-GB"/>
        </w:rPr>
        <w:t>presumption</w:t>
      </w:r>
      <w:r w:rsidR="001F1405">
        <w:rPr>
          <w:rFonts w:ascii="Arial" w:hAnsi="Arial" w:cs="Arial"/>
          <w:lang w:val="en-GB"/>
        </w:rPr>
        <w:t>s</w:t>
      </w:r>
      <w:r w:rsidR="00F17C90">
        <w:rPr>
          <w:rFonts w:ascii="Arial" w:hAnsi="Arial" w:cs="Arial"/>
          <w:lang w:val="en-GB"/>
        </w:rPr>
        <w:t xml:space="preserve"> against alteration of existing law</w:t>
      </w:r>
      <w:r w:rsidR="001D77A3">
        <w:rPr>
          <w:rFonts w:ascii="Arial" w:hAnsi="Arial" w:cs="Arial"/>
          <w:lang w:val="en-GB"/>
        </w:rPr>
        <w:t xml:space="preserve"> and deprivation of existing rights.</w:t>
      </w:r>
    </w:p>
    <w:p w14:paraId="285D3FB2" w14:textId="77777777" w:rsidR="004B5A9A" w:rsidRPr="004B5A9A" w:rsidRDefault="004B5A9A" w:rsidP="004B5A9A">
      <w:pPr>
        <w:pStyle w:val="ListParagraph"/>
        <w:rPr>
          <w:rFonts w:ascii="Arial" w:hAnsi="Arial" w:cs="Arial"/>
          <w:lang w:val="en-GB"/>
        </w:rPr>
      </w:pPr>
    </w:p>
    <w:p w14:paraId="57592B3E" w14:textId="68138C4D" w:rsidR="009D6F97" w:rsidRPr="000B216D" w:rsidRDefault="000B216D" w:rsidP="004B5A9A">
      <w:pPr>
        <w:pStyle w:val="ListParagraph"/>
        <w:numPr>
          <w:ilvl w:val="0"/>
          <w:numId w:val="2"/>
        </w:numPr>
        <w:spacing w:line="360" w:lineRule="auto"/>
        <w:ind w:left="0" w:firstLine="0"/>
        <w:jc w:val="both"/>
        <w:rPr>
          <w:rFonts w:ascii="Arial" w:hAnsi="Arial" w:cs="Arial"/>
        </w:rPr>
      </w:pPr>
      <w:r>
        <w:rPr>
          <w:rFonts w:ascii="Arial" w:hAnsi="Arial" w:cs="Arial"/>
          <w:lang w:val="en-GB"/>
        </w:rPr>
        <w:t xml:space="preserve">The plaintiff </w:t>
      </w:r>
      <w:r w:rsidR="00BE785A" w:rsidRPr="004B5A9A">
        <w:rPr>
          <w:rFonts w:ascii="Arial" w:hAnsi="Arial" w:cs="Arial"/>
          <w:lang w:val="en-GB"/>
        </w:rPr>
        <w:t>places reliance on</w:t>
      </w:r>
      <w:r w:rsidR="0048682B" w:rsidRPr="004B5A9A">
        <w:rPr>
          <w:rFonts w:ascii="Arial" w:hAnsi="Arial" w:cs="Arial"/>
          <w:lang w:val="en-GB"/>
        </w:rPr>
        <w:t xml:space="preserve"> the case of </w:t>
      </w:r>
      <w:r w:rsidR="009D6F97" w:rsidRPr="004B5A9A">
        <w:rPr>
          <w:rFonts w:ascii="Arial" w:hAnsi="Arial" w:cs="Arial"/>
          <w:i/>
        </w:rPr>
        <w:t>Fedlife Assurance Ltd v Wolfaardt</w:t>
      </w:r>
      <w:r w:rsidR="00CE7B46">
        <w:rPr>
          <w:rStyle w:val="FootnoteReference"/>
          <w:rFonts w:ascii="Arial" w:hAnsi="Arial" w:cs="Arial"/>
        </w:rPr>
        <w:footnoteReference w:id="4"/>
      </w:r>
      <w:r w:rsidR="009D6F97" w:rsidRPr="004B5A9A">
        <w:rPr>
          <w:rFonts w:ascii="Arial" w:hAnsi="Arial" w:cs="Arial"/>
        </w:rPr>
        <w:t xml:space="preserve"> </w:t>
      </w:r>
      <w:r w:rsidR="00CE7B46" w:rsidRPr="004B5A9A">
        <w:rPr>
          <w:rFonts w:ascii="Arial" w:hAnsi="Arial" w:cs="Arial"/>
        </w:rPr>
        <w:t xml:space="preserve">which </w:t>
      </w:r>
      <w:r w:rsidR="00CE7B46" w:rsidRPr="004B5A9A">
        <w:rPr>
          <w:rFonts w:ascii="Arial" w:hAnsi="Arial" w:cs="Arial"/>
          <w:lang w:val="en-GB"/>
        </w:rPr>
        <w:t xml:space="preserve">involved a determination of whether the legislative scheme in the Labour Relations Act of 1995 precluded a common law claim for damages for breach of an employment contract. The </w:t>
      </w:r>
      <w:r w:rsidR="00C763CE" w:rsidRPr="004B5A9A">
        <w:rPr>
          <w:rFonts w:ascii="Arial" w:hAnsi="Arial" w:cs="Arial"/>
          <w:lang w:val="en-GB"/>
        </w:rPr>
        <w:t>court applied</w:t>
      </w:r>
      <w:r w:rsidR="00CE7B46" w:rsidRPr="004B5A9A">
        <w:rPr>
          <w:rFonts w:ascii="Arial" w:hAnsi="Arial" w:cs="Arial"/>
          <w:lang w:val="en-GB"/>
        </w:rPr>
        <w:t xml:space="preserve"> the presumption against legislative alteration of existing law and held that a</w:t>
      </w:r>
      <w:r w:rsidR="00CE7B46" w:rsidRPr="004B5A9A">
        <w:rPr>
          <w:rFonts w:ascii="Arial" w:hAnsi="Arial" w:cs="Arial"/>
          <w:lang w:val="en-US"/>
        </w:rPr>
        <w:t xml:space="preserve"> statute will be construed as limiting existing rights only if that appears expressly or by necessary implication.</w:t>
      </w:r>
      <w:r w:rsidR="00CE7B46">
        <w:rPr>
          <w:rStyle w:val="FootnoteReference"/>
          <w:rFonts w:ascii="Arial" w:hAnsi="Arial" w:cs="Arial"/>
          <w:lang w:val="en-US"/>
        </w:rPr>
        <w:footnoteReference w:id="5"/>
      </w:r>
      <w:r w:rsidR="00CE7B46" w:rsidRPr="004B5A9A">
        <w:rPr>
          <w:rFonts w:ascii="Arial" w:hAnsi="Arial" w:cs="Arial"/>
          <w:lang w:val="en-US"/>
        </w:rPr>
        <w:t xml:space="preserve"> </w:t>
      </w:r>
    </w:p>
    <w:tbl>
      <w:tblPr>
        <w:tblW w:w="15518" w:type="dxa"/>
        <w:tblCellSpacing w:w="15" w:type="dxa"/>
        <w:tblCellMar>
          <w:top w:w="15" w:type="dxa"/>
          <w:left w:w="15" w:type="dxa"/>
          <w:bottom w:w="15" w:type="dxa"/>
          <w:right w:w="15" w:type="dxa"/>
        </w:tblCellMar>
        <w:tblLook w:val="04A0" w:firstRow="1" w:lastRow="0" w:firstColumn="1" w:lastColumn="0" w:noHBand="0" w:noVBand="1"/>
      </w:tblPr>
      <w:tblGrid>
        <w:gridCol w:w="15518"/>
      </w:tblGrid>
      <w:tr w:rsidR="009D6F97" w:rsidRPr="009D6F97" w14:paraId="50BAF879" w14:textId="77777777" w:rsidTr="009D6F97">
        <w:trPr>
          <w:tblCellSpacing w:w="15" w:type="dxa"/>
        </w:trPr>
        <w:tc>
          <w:tcPr>
            <w:tcW w:w="0" w:type="auto"/>
            <w:shd w:val="clear" w:color="auto" w:fill="FFFFFF"/>
            <w:tcMar>
              <w:top w:w="72" w:type="dxa"/>
              <w:left w:w="120" w:type="dxa"/>
              <w:bottom w:w="72" w:type="dxa"/>
              <w:right w:w="120" w:type="dxa"/>
            </w:tcMar>
            <w:hideMark/>
          </w:tcPr>
          <w:p w14:paraId="12DCC4DD" w14:textId="3F6C99F1" w:rsidR="009D6F97" w:rsidRPr="009D6F97" w:rsidRDefault="009D6F97" w:rsidP="009D6F97">
            <w:pPr>
              <w:pStyle w:val="ListParagraph"/>
              <w:spacing w:line="360" w:lineRule="auto"/>
              <w:ind w:left="0"/>
              <w:jc w:val="both"/>
              <w:rPr>
                <w:rFonts w:ascii="Arial" w:hAnsi="Arial" w:cs="Arial"/>
              </w:rPr>
            </w:pPr>
          </w:p>
          <w:p w14:paraId="5248DFB5" w14:textId="0C9AB43B" w:rsidR="009D6F97" w:rsidRPr="009D6F97" w:rsidRDefault="009D6F97" w:rsidP="009D6F97">
            <w:pPr>
              <w:pStyle w:val="ListParagraph"/>
              <w:spacing w:line="360" w:lineRule="auto"/>
              <w:ind w:left="0"/>
              <w:jc w:val="both"/>
              <w:rPr>
                <w:rFonts w:ascii="Arial" w:hAnsi="Arial" w:cs="Arial"/>
              </w:rPr>
            </w:pPr>
          </w:p>
        </w:tc>
      </w:tr>
    </w:tbl>
    <w:p w14:paraId="511B2F95" w14:textId="77777777" w:rsidR="001F1405" w:rsidRPr="00F17C90" w:rsidRDefault="001F1405" w:rsidP="001F1405">
      <w:pPr>
        <w:pStyle w:val="ListParagraph"/>
        <w:rPr>
          <w:rFonts w:ascii="Arial" w:hAnsi="Arial" w:cs="Arial"/>
          <w:lang w:val="en-US"/>
        </w:rPr>
      </w:pPr>
    </w:p>
    <w:p w14:paraId="240991E2" w14:textId="6E1CB79B" w:rsidR="00817AF5" w:rsidRDefault="001F1405" w:rsidP="00817AF5">
      <w:pPr>
        <w:pStyle w:val="ListParagraph"/>
        <w:numPr>
          <w:ilvl w:val="0"/>
          <w:numId w:val="2"/>
        </w:numPr>
        <w:spacing w:line="360" w:lineRule="auto"/>
        <w:ind w:left="0" w:firstLine="0"/>
        <w:jc w:val="both"/>
        <w:rPr>
          <w:rFonts w:ascii="Arial" w:hAnsi="Arial" w:cs="Arial"/>
          <w:lang w:val="en-US"/>
        </w:rPr>
      </w:pPr>
      <w:r w:rsidRPr="000728AC">
        <w:rPr>
          <w:rFonts w:ascii="Arial" w:hAnsi="Arial" w:cs="Arial"/>
          <w:lang w:val="en-US"/>
        </w:rPr>
        <w:t xml:space="preserve"> The plaintiff argues that there </w:t>
      </w:r>
      <w:r w:rsidR="00C763CE">
        <w:rPr>
          <w:rFonts w:ascii="Arial" w:hAnsi="Arial" w:cs="Arial"/>
          <w:lang w:val="en-US"/>
        </w:rPr>
        <w:t xml:space="preserve">is </w:t>
      </w:r>
      <w:r w:rsidRPr="000728AC">
        <w:rPr>
          <w:rFonts w:ascii="Arial" w:hAnsi="Arial" w:cs="Arial"/>
          <w:lang w:val="en-US"/>
        </w:rPr>
        <w:t>no such express exclusion or implication</w:t>
      </w:r>
      <w:r w:rsidR="00223F6B" w:rsidRPr="000728AC">
        <w:rPr>
          <w:rFonts w:ascii="Arial" w:hAnsi="Arial" w:cs="Arial"/>
          <w:lang w:val="en-US"/>
        </w:rPr>
        <w:t xml:space="preserve"> in the statutory scheme in section 115 and that such an </w:t>
      </w:r>
      <w:r w:rsidR="00C763CE" w:rsidRPr="000728AC">
        <w:rPr>
          <w:rFonts w:ascii="Arial" w:hAnsi="Arial" w:cs="Arial"/>
          <w:lang w:val="en-US"/>
        </w:rPr>
        <w:t>exclu</w:t>
      </w:r>
      <w:r w:rsidR="00C763CE">
        <w:rPr>
          <w:rFonts w:ascii="Arial" w:hAnsi="Arial" w:cs="Arial"/>
          <w:lang w:val="en-US"/>
        </w:rPr>
        <w:t xml:space="preserve">sion </w:t>
      </w:r>
      <w:r w:rsidR="00C763CE" w:rsidRPr="000728AC">
        <w:rPr>
          <w:rFonts w:ascii="Arial" w:hAnsi="Arial" w:cs="Arial"/>
          <w:lang w:val="en-US"/>
        </w:rPr>
        <w:t>cannot</w:t>
      </w:r>
      <w:r w:rsidR="00223F6B" w:rsidRPr="000728AC">
        <w:rPr>
          <w:rFonts w:ascii="Arial" w:hAnsi="Arial" w:cs="Arial"/>
          <w:lang w:val="en-US"/>
        </w:rPr>
        <w:t xml:space="preserve"> be read into </w:t>
      </w:r>
      <w:r w:rsidR="00223F6B" w:rsidRPr="000728AC">
        <w:rPr>
          <w:rFonts w:ascii="Arial" w:hAnsi="Arial" w:cs="Arial"/>
          <w:lang w:val="en-US"/>
        </w:rPr>
        <w:lastRenderedPageBreak/>
        <w:t>the statute</w:t>
      </w:r>
      <w:r w:rsidRPr="000728AC">
        <w:rPr>
          <w:rFonts w:ascii="Arial" w:hAnsi="Arial" w:cs="Arial"/>
          <w:lang w:val="en-US"/>
        </w:rPr>
        <w:t xml:space="preserve">. </w:t>
      </w:r>
      <w:r w:rsidR="00C763CE">
        <w:rPr>
          <w:rFonts w:ascii="Arial" w:hAnsi="Arial" w:cs="Arial"/>
          <w:lang w:val="en-US"/>
        </w:rPr>
        <w:t>I disagree.</w:t>
      </w:r>
      <w:r w:rsidR="00EB0C6F">
        <w:rPr>
          <w:rFonts w:ascii="Arial" w:hAnsi="Arial" w:cs="Arial"/>
          <w:lang w:val="en-US"/>
        </w:rPr>
        <w:t xml:space="preserve"> </w:t>
      </w:r>
      <w:r w:rsidR="00817AF5">
        <w:rPr>
          <w:rFonts w:ascii="Arial" w:hAnsi="Arial" w:cs="Arial"/>
          <w:lang w:val="en-US"/>
        </w:rPr>
        <w:t>In my</w:t>
      </w:r>
      <w:r w:rsidR="00DE0206">
        <w:rPr>
          <w:rFonts w:ascii="Arial" w:hAnsi="Arial" w:cs="Arial"/>
          <w:lang w:val="en-US"/>
        </w:rPr>
        <w:t xml:space="preserve"> </w:t>
      </w:r>
      <w:r w:rsidR="00817AF5">
        <w:rPr>
          <w:rFonts w:ascii="Arial" w:hAnsi="Arial" w:cs="Arial"/>
          <w:lang w:val="en-US"/>
        </w:rPr>
        <w:t xml:space="preserve">view, the </w:t>
      </w:r>
      <w:r w:rsidR="00816404">
        <w:rPr>
          <w:rFonts w:ascii="Arial" w:hAnsi="Arial" w:cs="Arial"/>
          <w:lang w:val="en-US"/>
        </w:rPr>
        <w:t>legislative</w:t>
      </w:r>
      <w:r w:rsidR="00817AF5">
        <w:rPr>
          <w:rFonts w:ascii="Arial" w:hAnsi="Arial" w:cs="Arial"/>
          <w:lang w:val="en-US"/>
        </w:rPr>
        <w:t xml:space="preserve"> scheme</w:t>
      </w:r>
      <w:r w:rsidR="00816404">
        <w:rPr>
          <w:rFonts w:ascii="Arial" w:hAnsi="Arial" w:cs="Arial"/>
          <w:lang w:val="en-US"/>
        </w:rPr>
        <w:t xml:space="preserve"> which emerges from section</w:t>
      </w:r>
      <w:r w:rsidR="00B359A7">
        <w:rPr>
          <w:rFonts w:ascii="Arial" w:hAnsi="Arial" w:cs="Arial"/>
          <w:lang w:val="en-US"/>
        </w:rPr>
        <w:t>s</w:t>
      </w:r>
      <w:r w:rsidR="00816404">
        <w:rPr>
          <w:rFonts w:ascii="Arial" w:hAnsi="Arial" w:cs="Arial"/>
          <w:lang w:val="en-US"/>
        </w:rPr>
        <w:t xml:space="preserve"> 114 and 115</w:t>
      </w:r>
      <w:r w:rsidR="00817AF5">
        <w:rPr>
          <w:rFonts w:ascii="Arial" w:hAnsi="Arial" w:cs="Arial"/>
          <w:lang w:val="en-US"/>
        </w:rPr>
        <w:t xml:space="preserve"> is such that</w:t>
      </w:r>
      <w:r w:rsidR="00576BC3">
        <w:rPr>
          <w:rFonts w:ascii="Arial" w:hAnsi="Arial" w:cs="Arial"/>
          <w:lang w:val="en-US"/>
        </w:rPr>
        <w:t xml:space="preserve"> </w:t>
      </w:r>
      <w:r w:rsidR="00C763CE">
        <w:rPr>
          <w:rFonts w:ascii="Arial" w:hAnsi="Arial" w:cs="Arial"/>
          <w:lang w:val="en-US"/>
        </w:rPr>
        <w:t>its purpose</w:t>
      </w:r>
      <w:r w:rsidR="00576BC3">
        <w:rPr>
          <w:rFonts w:ascii="Arial" w:hAnsi="Arial" w:cs="Arial"/>
          <w:lang w:val="en-US"/>
        </w:rPr>
        <w:t xml:space="preserve"> appears exclusionary of </w:t>
      </w:r>
      <w:r w:rsidR="00816404">
        <w:rPr>
          <w:rFonts w:ascii="Arial" w:hAnsi="Arial" w:cs="Arial"/>
          <w:lang w:val="en-US"/>
        </w:rPr>
        <w:t xml:space="preserve">alternative </w:t>
      </w:r>
      <w:r w:rsidR="00576BC3">
        <w:rPr>
          <w:rFonts w:ascii="Arial" w:hAnsi="Arial" w:cs="Arial"/>
          <w:lang w:val="en-US"/>
        </w:rPr>
        <w:t>process</w:t>
      </w:r>
      <w:r w:rsidR="00B359A7">
        <w:rPr>
          <w:rFonts w:ascii="Arial" w:hAnsi="Arial" w:cs="Arial"/>
          <w:lang w:val="en-US"/>
        </w:rPr>
        <w:t>.</w:t>
      </w:r>
    </w:p>
    <w:p w14:paraId="25154290" w14:textId="77777777" w:rsidR="00B359A7" w:rsidRPr="00817AF5" w:rsidRDefault="00B359A7" w:rsidP="00B359A7">
      <w:pPr>
        <w:pStyle w:val="ListParagraph"/>
        <w:spacing w:line="360" w:lineRule="auto"/>
        <w:ind w:left="0"/>
        <w:jc w:val="both"/>
        <w:rPr>
          <w:rFonts w:ascii="Arial" w:hAnsi="Arial" w:cs="Arial"/>
          <w:lang w:val="en-US"/>
        </w:rPr>
      </w:pPr>
    </w:p>
    <w:p w14:paraId="04E3A942" w14:textId="2DEA1C7B" w:rsidR="00DF7D1E" w:rsidRPr="00DF7D1E" w:rsidRDefault="001F1405" w:rsidP="00DA6487">
      <w:pPr>
        <w:pStyle w:val="ListParagraph"/>
        <w:numPr>
          <w:ilvl w:val="0"/>
          <w:numId w:val="2"/>
        </w:numPr>
        <w:spacing w:line="360" w:lineRule="auto"/>
        <w:ind w:left="0" w:firstLine="0"/>
        <w:jc w:val="both"/>
        <w:rPr>
          <w:rFonts w:ascii="Arial" w:hAnsi="Arial" w:cs="Arial"/>
        </w:rPr>
      </w:pPr>
      <w:r w:rsidRPr="00C01899">
        <w:rPr>
          <w:rFonts w:ascii="Arial" w:hAnsi="Arial" w:cs="Arial"/>
          <w:lang w:val="en-US"/>
        </w:rPr>
        <w:t xml:space="preserve"> </w:t>
      </w:r>
      <w:r w:rsidR="000728AC">
        <w:rPr>
          <w:rFonts w:ascii="Arial" w:hAnsi="Arial" w:cs="Arial"/>
          <w:lang w:val="en-US"/>
        </w:rPr>
        <w:t xml:space="preserve">Like all modes </w:t>
      </w:r>
      <w:r w:rsidR="00C763CE">
        <w:rPr>
          <w:rFonts w:ascii="Arial" w:hAnsi="Arial" w:cs="Arial"/>
          <w:lang w:val="en-US"/>
        </w:rPr>
        <w:t xml:space="preserve">of </w:t>
      </w:r>
      <w:r w:rsidR="00C763CE" w:rsidRPr="00C01899">
        <w:rPr>
          <w:rFonts w:ascii="Arial" w:hAnsi="Arial" w:cs="Arial"/>
          <w:lang w:val="en-US"/>
        </w:rPr>
        <w:t>interpretation</w:t>
      </w:r>
      <w:r w:rsidR="00C01899" w:rsidRPr="00C01899">
        <w:rPr>
          <w:rFonts w:ascii="Arial" w:hAnsi="Arial" w:cs="Arial"/>
          <w:lang w:val="en-US"/>
        </w:rPr>
        <w:t>,</w:t>
      </w:r>
      <w:r w:rsidRPr="00C01899">
        <w:rPr>
          <w:rFonts w:ascii="Arial" w:hAnsi="Arial" w:cs="Arial"/>
          <w:lang w:val="en-US"/>
        </w:rPr>
        <w:t xml:space="preserve"> </w:t>
      </w:r>
      <w:r w:rsidR="00C763CE" w:rsidRPr="00C01899">
        <w:rPr>
          <w:rFonts w:ascii="Arial" w:hAnsi="Arial" w:cs="Arial"/>
          <w:lang w:val="en-US"/>
        </w:rPr>
        <w:t>th</w:t>
      </w:r>
      <w:r w:rsidR="00C763CE">
        <w:rPr>
          <w:rFonts w:ascii="Arial" w:hAnsi="Arial" w:cs="Arial"/>
          <w:lang w:val="en-US"/>
        </w:rPr>
        <w:t>e application</w:t>
      </w:r>
      <w:r w:rsidR="00D85682">
        <w:rPr>
          <w:rFonts w:ascii="Arial" w:hAnsi="Arial" w:cs="Arial"/>
          <w:lang w:val="en-US"/>
        </w:rPr>
        <w:t xml:space="preserve"> of </w:t>
      </w:r>
      <w:r w:rsidR="0035743A">
        <w:rPr>
          <w:rFonts w:ascii="Arial" w:hAnsi="Arial" w:cs="Arial"/>
          <w:lang w:val="en-US"/>
        </w:rPr>
        <w:t xml:space="preserve">the </w:t>
      </w:r>
      <w:r w:rsidR="0035743A" w:rsidRPr="00C01899">
        <w:rPr>
          <w:rFonts w:ascii="Arial" w:hAnsi="Arial" w:cs="Arial"/>
          <w:lang w:val="en-US"/>
        </w:rPr>
        <w:t>presumption</w:t>
      </w:r>
      <w:r w:rsidR="00B359A7">
        <w:rPr>
          <w:rFonts w:ascii="Arial" w:hAnsi="Arial" w:cs="Arial"/>
          <w:lang w:val="en-US"/>
        </w:rPr>
        <w:t xml:space="preserve"> </w:t>
      </w:r>
      <w:r w:rsidR="00D85682">
        <w:rPr>
          <w:rFonts w:ascii="Arial" w:hAnsi="Arial" w:cs="Arial"/>
          <w:lang w:val="en-US"/>
        </w:rPr>
        <w:t xml:space="preserve">on </w:t>
      </w:r>
      <w:r w:rsidR="00B359A7">
        <w:rPr>
          <w:rFonts w:ascii="Arial" w:hAnsi="Arial" w:cs="Arial"/>
          <w:lang w:val="en-US"/>
        </w:rPr>
        <w:t xml:space="preserve">which the plaintiff </w:t>
      </w:r>
      <w:r w:rsidR="00C763CE">
        <w:rPr>
          <w:rFonts w:ascii="Arial" w:hAnsi="Arial" w:cs="Arial"/>
          <w:lang w:val="en-US"/>
        </w:rPr>
        <w:t>seeks</w:t>
      </w:r>
      <w:r w:rsidR="00DE0206">
        <w:rPr>
          <w:rFonts w:ascii="Arial" w:hAnsi="Arial" w:cs="Arial"/>
          <w:lang w:val="en-US"/>
        </w:rPr>
        <w:t xml:space="preserve"> to rely</w:t>
      </w:r>
      <w:r w:rsidRPr="00C01899">
        <w:rPr>
          <w:rFonts w:ascii="Arial" w:hAnsi="Arial" w:cs="Arial"/>
          <w:lang w:val="en-US"/>
        </w:rPr>
        <w:t xml:space="preserve"> is now informed by the </w:t>
      </w:r>
      <w:r w:rsidR="00C763CE" w:rsidRPr="00C01899">
        <w:rPr>
          <w:rFonts w:ascii="Arial" w:hAnsi="Arial" w:cs="Arial"/>
          <w:lang w:val="en-US"/>
        </w:rPr>
        <w:t>Constitution</w:t>
      </w:r>
      <w:r w:rsidRPr="00C01899">
        <w:rPr>
          <w:rFonts w:ascii="Arial" w:hAnsi="Arial" w:cs="Arial"/>
          <w:lang w:val="en-US"/>
        </w:rPr>
        <w:t xml:space="preserve">. The question thus is whether the </w:t>
      </w:r>
      <w:r w:rsidR="00C763CE" w:rsidRPr="00C01899">
        <w:rPr>
          <w:rFonts w:ascii="Arial" w:hAnsi="Arial" w:cs="Arial"/>
          <w:lang w:val="en-US"/>
        </w:rPr>
        <w:t>statutory</w:t>
      </w:r>
      <w:r w:rsidRPr="00C01899">
        <w:rPr>
          <w:rFonts w:ascii="Arial" w:hAnsi="Arial" w:cs="Arial"/>
          <w:lang w:val="en-US"/>
        </w:rPr>
        <w:t xml:space="preserve"> </w:t>
      </w:r>
      <w:r w:rsidR="00C763CE">
        <w:rPr>
          <w:rFonts w:ascii="Arial" w:hAnsi="Arial" w:cs="Arial"/>
          <w:lang w:val="en-US"/>
        </w:rPr>
        <w:t>structure</w:t>
      </w:r>
      <w:r w:rsidRPr="00C01899">
        <w:rPr>
          <w:rFonts w:ascii="Arial" w:hAnsi="Arial" w:cs="Arial"/>
          <w:lang w:val="en-US"/>
        </w:rPr>
        <w:t xml:space="preserve"> </w:t>
      </w:r>
      <w:r w:rsidR="00223F6B" w:rsidRPr="00C01899">
        <w:rPr>
          <w:rFonts w:ascii="Arial" w:hAnsi="Arial" w:cs="Arial"/>
          <w:lang w:val="en-US"/>
        </w:rPr>
        <w:t>is</w:t>
      </w:r>
      <w:r w:rsidRPr="00C01899">
        <w:rPr>
          <w:rFonts w:ascii="Arial" w:hAnsi="Arial" w:cs="Arial"/>
          <w:lang w:val="en-US"/>
        </w:rPr>
        <w:t xml:space="preserve"> </w:t>
      </w:r>
      <w:r w:rsidR="00223F6B" w:rsidRPr="00C01899">
        <w:rPr>
          <w:rFonts w:ascii="Arial" w:hAnsi="Arial" w:cs="Arial"/>
          <w:lang w:val="en-US"/>
        </w:rPr>
        <w:t>consistent</w:t>
      </w:r>
      <w:r w:rsidRPr="00C01899">
        <w:rPr>
          <w:rFonts w:ascii="Arial" w:hAnsi="Arial" w:cs="Arial"/>
          <w:lang w:val="en-US"/>
        </w:rPr>
        <w:t xml:space="preserve"> with the spirit, purport and objects of the Bill of Rights</w:t>
      </w:r>
      <w:r w:rsidR="00C01899">
        <w:rPr>
          <w:rFonts w:ascii="Arial" w:hAnsi="Arial" w:cs="Arial"/>
          <w:lang w:val="en-US"/>
        </w:rPr>
        <w:t>.</w:t>
      </w:r>
    </w:p>
    <w:p w14:paraId="4F305514" w14:textId="77777777" w:rsidR="00DF7D1E" w:rsidRPr="00DF7D1E" w:rsidRDefault="00DF7D1E" w:rsidP="00DF7D1E">
      <w:pPr>
        <w:pStyle w:val="ListParagraph"/>
        <w:spacing w:line="360" w:lineRule="auto"/>
        <w:ind w:left="0"/>
        <w:jc w:val="both"/>
        <w:rPr>
          <w:rFonts w:ascii="Arial" w:hAnsi="Arial" w:cs="Arial"/>
        </w:rPr>
      </w:pPr>
    </w:p>
    <w:p w14:paraId="62B25F4D" w14:textId="76F615E0" w:rsidR="001F1405" w:rsidRPr="00B01EA4" w:rsidRDefault="001F1405" w:rsidP="00DA6487">
      <w:pPr>
        <w:pStyle w:val="ListParagraph"/>
        <w:numPr>
          <w:ilvl w:val="0"/>
          <w:numId w:val="2"/>
        </w:numPr>
        <w:spacing w:line="360" w:lineRule="auto"/>
        <w:ind w:left="0" w:firstLine="0"/>
        <w:jc w:val="both"/>
        <w:rPr>
          <w:rFonts w:ascii="Arial" w:hAnsi="Arial" w:cs="Arial"/>
        </w:rPr>
      </w:pPr>
      <w:r w:rsidRPr="00C01899">
        <w:rPr>
          <w:rFonts w:ascii="Arial" w:hAnsi="Arial" w:cs="Arial"/>
          <w:lang w:val="en-US"/>
        </w:rPr>
        <w:t xml:space="preserve"> </w:t>
      </w:r>
      <w:r w:rsidR="00CC0C82">
        <w:rPr>
          <w:rFonts w:ascii="Arial" w:hAnsi="Arial" w:cs="Arial"/>
          <w:lang w:val="en-US"/>
        </w:rPr>
        <w:t xml:space="preserve"> </w:t>
      </w:r>
      <w:r w:rsidR="00DF7D1E">
        <w:rPr>
          <w:rFonts w:ascii="Arial" w:hAnsi="Arial" w:cs="Arial"/>
          <w:lang w:val="en-US"/>
        </w:rPr>
        <w:t>T</w:t>
      </w:r>
      <w:r w:rsidR="00CC0C82">
        <w:rPr>
          <w:rFonts w:ascii="Arial" w:hAnsi="Arial" w:cs="Arial"/>
          <w:lang w:val="en-US"/>
        </w:rPr>
        <w:t>he need for</w:t>
      </w:r>
      <w:r w:rsidR="00C01899">
        <w:rPr>
          <w:rFonts w:ascii="Arial" w:hAnsi="Arial" w:cs="Arial"/>
          <w:lang w:val="en-US"/>
        </w:rPr>
        <w:t xml:space="preserve"> schemes of arrangement</w:t>
      </w:r>
      <w:r w:rsidR="00CC0C82">
        <w:rPr>
          <w:rFonts w:ascii="Arial" w:hAnsi="Arial" w:cs="Arial"/>
          <w:lang w:val="en-US"/>
        </w:rPr>
        <w:t xml:space="preserve"> in company law is well established. Such schemes </w:t>
      </w:r>
      <w:r w:rsidR="00DF7D1E">
        <w:rPr>
          <w:rFonts w:ascii="Arial" w:hAnsi="Arial" w:cs="Arial"/>
          <w:lang w:val="en-US"/>
        </w:rPr>
        <w:t>are widely recognized as being necessary to</w:t>
      </w:r>
      <w:r w:rsidR="00CC0C82">
        <w:rPr>
          <w:rFonts w:ascii="Arial" w:hAnsi="Arial" w:cs="Arial"/>
          <w:lang w:val="en-US"/>
        </w:rPr>
        <w:t xml:space="preserve"> protect commercial rights.</w:t>
      </w:r>
      <w:r w:rsidR="00B359A7">
        <w:rPr>
          <w:rFonts w:ascii="Arial" w:hAnsi="Arial" w:cs="Arial"/>
          <w:lang w:val="en-US"/>
        </w:rPr>
        <w:t xml:space="preserve"> It seems to me that if </w:t>
      </w:r>
      <w:r w:rsidR="00B46412">
        <w:rPr>
          <w:rFonts w:ascii="Arial" w:hAnsi="Arial" w:cs="Arial"/>
          <w:lang w:val="en-US"/>
        </w:rPr>
        <w:t xml:space="preserve">schemes of arrangement were susceptible to the unconstrained vagaries of review </w:t>
      </w:r>
      <w:r w:rsidR="00517EE0">
        <w:rPr>
          <w:rFonts w:ascii="Arial" w:hAnsi="Arial" w:cs="Arial"/>
          <w:lang w:val="en-US"/>
        </w:rPr>
        <w:t>litigation</w:t>
      </w:r>
      <w:r w:rsidR="00D85682">
        <w:rPr>
          <w:rFonts w:ascii="Arial" w:hAnsi="Arial" w:cs="Arial"/>
          <w:lang w:val="en-US"/>
        </w:rPr>
        <w:t>,</w:t>
      </w:r>
      <w:r w:rsidR="00517EE0">
        <w:rPr>
          <w:rFonts w:ascii="Arial" w:hAnsi="Arial" w:cs="Arial"/>
          <w:lang w:val="en-US"/>
        </w:rPr>
        <w:t xml:space="preserve"> its purpose – which is, at its core to preclude, minority interference – </w:t>
      </w:r>
      <w:r w:rsidR="00C763CE">
        <w:rPr>
          <w:rFonts w:ascii="Arial" w:hAnsi="Arial" w:cs="Arial"/>
          <w:lang w:val="en-US"/>
        </w:rPr>
        <w:t>would not</w:t>
      </w:r>
      <w:r w:rsidR="00517EE0">
        <w:rPr>
          <w:rFonts w:ascii="Arial" w:hAnsi="Arial" w:cs="Arial"/>
          <w:lang w:val="en-US"/>
        </w:rPr>
        <w:t xml:space="preserve"> be achieved.</w:t>
      </w:r>
      <w:r w:rsidR="00543EDE">
        <w:rPr>
          <w:rFonts w:ascii="Arial" w:hAnsi="Arial" w:cs="Arial"/>
          <w:lang w:val="en-US"/>
        </w:rPr>
        <w:t xml:space="preserve"> By analogy with the </w:t>
      </w:r>
      <w:r w:rsidR="00B134AA">
        <w:rPr>
          <w:rFonts w:ascii="Arial" w:hAnsi="Arial" w:cs="Arial"/>
          <w:lang w:val="en-US"/>
        </w:rPr>
        <w:t xml:space="preserve">position in the </w:t>
      </w:r>
      <w:r w:rsidR="00543EDE">
        <w:rPr>
          <w:rFonts w:ascii="Arial" w:hAnsi="Arial" w:cs="Arial"/>
          <w:lang w:val="en-US"/>
        </w:rPr>
        <w:t>1973 Act, once the</w:t>
      </w:r>
      <w:r w:rsidR="008A775A">
        <w:rPr>
          <w:rFonts w:ascii="Arial" w:hAnsi="Arial" w:cs="Arial"/>
          <w:lang w:val="en-US"/>
        </w:rPr>
        <w:t xml:space="preserve"> resolution has been taken and a review of the resolution is not brought in terms of section 115, the </w:t>
      </w:r>
      <w:r w:rsidR="00B134AA">
        <w:rPr>
          <w:rFonts w:ascii="Arial" w:hAnsi="Arial" w:cs="Arial"/>
          <w:lang w:val="en-US"/>
        </w:rPr>
        <w:t>resolution cannot be</w:t>
      </w:r>
      <w:r w:rsidR="003B429F">
        <w:rPr>
          <w:rFonts w:ascii="Arial" w:hAnsi="Arial" w:cs="Arial"/>
          <w:lang w:val="en-US"/>
        </w:rPr>
        <w:t xml:space="preserve"> reviewed</w:t>
      </w:r>
      <w:r w:rsidR="00B134AA">
        <w:rPr>
          <w:rFonts w:ascii="Arial" w:hAnsi="Arial" w:cs="Arial"/>
          <w:lang w:val="en-US"/>
        </w:rPr>
        <w:t xml:space="preserve"> in the same way as court approval under the 1973 </w:t>
      </w:r>
      <w:r w:rsidR="00C763CE">
        <w:rPr>
          <w:rFonts w:ascii="Arial" w:hAnsi="Arial" w:cs="Arial"/>
          <w:lang w:val="en-US"/>
        </w:rPr>
        <w:t>Act could</w:t>
      </w:r>
      <w:r w:rsidR="003B429F">
        <w:rPr>
          <w:rFonts w:ascii="Arial" w:hAnsi="Arial" w:cs="Arial"/>
          <w:lang w:val="en-US"/>
        </w:rPr>
        <w:t xml:space="preserve"> not later be attacked on the basis of an illegality which was not raised during the approval process. </w:t>
      </w:r>
      <w:r w:rsidR="00543EDE">
        <w:rPr>
          <w:rFonts w:ascii="Arial" w:hAnsi="Arial" w:cs="Arial"/>
          <w:lang w:val="en-US"/>
        </w:rPr>
        <w:t xml:space="preserve"> </w:t>
      </w:r>
    </w:p>
    <w:p w14:paraId="4B908F4B" w14:textId="77777777" w:rsidR="00B01EA4" w:rsidRPr="00B01EA4" w:rsidRDefault="00B01EA4" w:rsidP="00B01EA4">
      <w:pPr>
        <w:pStyle w:val="ListParagraph"/>
        <w:rPr>
          <w:rFonts w:ascii="Arial" w:hAnsi="Arial" w:cs="Arial"/>
        </w:rPr>
      </w:pPr>
    </w:p>
    <w:p w14:paraId="57329BD1" w14:textId="40BE64FE" w:rsidR="00B01EA4" w:rsidRPr="00D202CA" w:rsidRDefault="00B01EA4" w:rsidP="00D202CA">
      <w:pPr>
        <w:pStyle w:val="ListParagraph"/>
        <w:numPr>
          <w:ilvl w:val="0"/>
          <w:numId w:val="2"/>
        </w:numPr>
        <w:spacing w:line="360" w:lineRule="auto"/>
        <w:ind w:left="0" w:firstLine="0"/>
        <w:jc w:val="both"/>
        <w:rPr>
          <w:rFonts w:ascii="Arial" w:hAnsi="Arial" w:cs="Arial"/>
          <w:i/>
        </w:rPr>
      </w:pPr>
      <w:r>
        <w:rPr>
          <w:rFonts w:ascii="Arial" w:hAnsi="Arial" w:cs="Arial"/>
        </w:rPr>
        <w:t>In any event</w:t>
      </w:r>
      <w:r>
        <w:rPr>
          <w:rFonts w:ascii="Arial" w:hAnsi="Arial" w:cs="Arial"/>
          <w:lang w:val="en-GB"/>
        </w:rPr>
        <w:t xml:space="preserve">, </w:t>
      </w:r>
      <w:r w:rsidR="00D202CA">
        <w:rPr>
          <w:rFonts w:ascii="Arial" w:hAnsi="Arial" w:cs="Arial"/>
          <w:lang w:val="en-GB"/>
        </w:rPr>
        <w:t>this</w:t>
      </w:r>
      <w:r w:rsidRPr="00B01EA4">
        <w:rPr>
          <w:rFonts w:ascii="Arial" w:hAnsi="Arial" w:cs="Arial"/>
          <w:lang w:val="en-GB"/>
        </w:rPr>
        <w:t xml:space="preserve"> is not, as it was in </w:t>
      </w:r>
      <w:r w:rsidRPr="00B01EA4">
        <w:rPr>
          <w:rFonts w:ascii="Arial" w:hAnsi="Arial" w:cs="Arial"/>
          <w:i/>
          <w:lang w:val="en-GB"/>
        </w:rPr>
        <w:t>Fedlife,</w:t>
      </w:r>
      <w:r w:rsidRPr="00B01EA4">
        <w:rPr>
          <w:rFonts w:ascii="Arial" w:hAnsi="Arial" w:cs="Arial"/>
          <w:lang w:val="en-GB"/>
        </w:rPr>
        <w:t xml:space="preserve"> a case where the section provides a remedy, leaving open the question whether other remedies remain. It is a case where the section authorises the implementation of the scheme unless the specified remedy is followed. </w:t>
      </w:r>
      <w:r w:rsidR="00D202CA">
        <w:rPr>
          <w:rFonts w:ascii="Arial" w:hAnsi="Arial" w:cs="Arial"/>
        </w:rPr>
        <w:t xml:space="preserve"> Thus the position here is distinguishable from </w:t>
      </w:r>
      <w:r w:rsidR="00D202CA" w:rsidRPr="00D202CA">
        <w:rPr>
          <w:rFonts w:ascii="Arial" w:hAnsi="Arial" w:cs="Arial"/>
          <w:i/>
        </w:rPr>
        <w:t>Fedlife.</w:t>
      </w:r>
    </w:p>
    <w:p w14:paraId="0FF8B024" w14:textId="184F88F9" w:rsidR="002D798D" w:rsidRPr="002D798D" w:rsidRDefault="002D798D" w:rsidP="00723E24">
      <w:pPr>
        <w:pStyle w:val="ListParagraph"/>
        <w:spacing w:line="360" w:lineRule="auto"/>
        <w:ind w:left="0"/>
        <w:jc w:val="both"/>
        <w:rPr>
          <w:rFonts w:ascii="Arial" w:hAnsi="Arial" w:cs="Arial"/>
        </w:rPr>
      </w:pPr>
    </w:p>
    <w:p w14:paraId="5F762EAE" w14:textId="77777777" w:rsidR="002D798D" w:rsidRPr="002D798D" w:rsidRDefault="002D798D" w:rsidP="002D798D">
      <w:pPr>
        <w:pStyle w:val="ListParagraph"/>
        <w:rPr>
          <w:rFonts w:ascii="Arial" w:hAnsi="Arial" w:cs="Arial"/>
          <w:lang w:val="en-GB"/>
        </w:rPr>
      </w:pPr>
    </w:p>
    <w:p w14:paraId="31418CC7" w14:textId="048061A3" w:rsidR="004035F1" w:rsidRPr="004035F1" w:rsidRDefault="008D77EC" w:rsidP="002D798D">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Th</w:t>
      </w:r>
      <w:r w:rsidR="00723E24">
        <w:rPr>
          <w:rFonts w:ascii="Arial" w:hAnsi="Arial" w:cs="Arial"/>
          <w:lang w:val="en-GB"/>
        </w:rPr>
        <w:t>e</w:t>
      </w:r>
      <w:r w:rsidRPr="002D798D">
        <w:rPr>
          <w:rFonts w:ascii="Arial" w:hAnsi="Arial" w:cs="Arial"/>
          <w:lang w:val="en-GB"/>
        </w:rPr>
        <w:t xml:space="preserve"> q</w:t>
      </w:r>
      <w:r w:rsidR="002D798D">
        <w:rPr>
          <w:rFonts w:ascii="Arial" w:hAnsi="Arial" w:cs="Arial"/>
          <w:lang w:val="en-GB"/>
        </w:rPr>
        <w:t>uestion</w:t>
      </w:r>
      <w:r w:rsidR="00723E24">
        <w:rPr>
          <w:rFonts w:ascii="Arial" w:hAnsi="Arial" w:cs="Arial"/>
          <w:lang w:val="en-GB"/>
        </w:rPr>
        <w:t xml:space="preserve"> of whether the statute precludes </w:t>
      </w:r>
      <w:r w:rsidR="00FB2A50">
        <w:rPr>
          <w:rFonts w:ascii="Arial" w:hAnsi="Arial" w:cs="Arial"/>
          <w:lang w:val="en-GB"/>
        </w:rPr>
        <w:t>extra-statutory</w:t>
      </w:r>
      <w:r w:rsidR="00723E24">
        <w:rPr>
          <w:rFonts w:ascii="Arial" w:hAnsi="Arial" w:cs="Arial"/>
          <w:lang w:val="en-GB"/>
        </w:rPr>
        <w:t xml:space="preserve"> forms of attack on an approved scheme</w:t>
      </w:r>
      <w:r w:rsidR="002D798D">
        <w:rPr>
          <w:rFonts w:ascii="Arial" w:hAnsi="Arial" w:cs="Arial"/>
          <w:lang w:val="en-GB"/>
        </w:rPr>
        <w:t xml:space="preserve"> </w:t>
      </w:r>
      <w:r w:rsidR="00D61A04">
        <w:rPr>
          <w:rFonts w:ascii="Arial" w:hAnsi="Arial" w:cs="Arial"/>
          <w:lang w:val="en-GB"/>
        </w:rPr>
        <w:t>has</w:t>
      </w:r>
      <w:r w:rsidR="002D798D">
        <w:rPr>
          <w:rFonts w:ascii="Arial" w:hAnsi="Arial" w:cs="Arial"/>
          <w:lang w:val="en-GB"/>
        </w:rPr>
        <w:t xml:space="preserve"> recently </w:t>
      </w:r>
      <w:r w:rsidR="00D61A04">
        <w:rPr>
          <w:rFonts w:ascii="Arial" w:hAnsi="Arial" w:cs="Arial"/>
          <w:lang w:val="en-GB"/>
        </w:rPr>
        <w:t xml:space="preserve">been </w:t>
      </w:r>
      <w:r w:rsidR="00C54CD2">
        <w:rPr>
          <w:rFonts w:ascii="Arial" w:hAnsi="Arial" w:cs="Arial"/>
          <w:lang w:val="en-GB"/>
        </w:rPr>
        <w:t xml:space="preserve">comprehensively </w:t>
      </w:r>
      <w:r w:rsidR="002D798D">
        <w:rPr>
          <w:rFonts w:ascii="Arial" w:hAnsi="Arial" w:cs="Arial"/>
          <w:lang w:val="en-GB"/>
        </w:rPr>
        <w:t>considered</w:t>
      </w:r>
      <w:r w:rsidRPr="002D798D">
        <w:rPr>
          <w:rFonts w:ascii="Arial" w:hAnsi="Arial" w:cs="Arial"/>
          <w:lang w:val="en-GB"/>
        </w:rPr>
        <w:t xml:space="preserve"> by the Western Cape Division of the High Court (per</w:t>
      </w:r>
      <w:r w:rsidR="002D798D">
        <w:rPr>
          <w:rFonts w:ascii="Arial" w:hAnsi="Arial" w:cs="Arial"/>
          <w:lang w:val="en-GB"/>
        </w:rPr>
        <w:t xml:space="preserve"> Binns-Ward J</w:t>
      </w:r>
      <w:r w:rsidR="00D61A04">
        <w:rPr>
          <w:rFonts w:ascii="Arial" w:hAnsi="Arial" w:cs="Arial"/>
          <w:lang w:val="en-GB"/>
        </w:rPr>
        <w:t>)</w:t>
      </w:r>
      <w:r w:rsidR="002D798D">
        <w:rPr>
          <w:rFonts w:ascii="Arial" w:hAnsi="Arial" w:cs="Arial"/>
          <w:lang w:val="en-GB"/>
        </w:rPr>
        <w:t xml:space="preserve"> in the matter of </w:t>
      </w:r>
      <w:r w:rsidRPr="002D798D">
        <w:rPr>
          <w:rFonts w:ascii="Arial" w:hAnsi="Arial" w:cs="Arial"/>
          <w:i/>
          <w:lang w:val="en-GB"/>
        </w:rPr>
        <w:t>Sand Grove Opportunities Master Fund Ltd and Others v Distell Group Holdings Ltd and Others</w:t>
      </w:r>
      <w:r w:rsidR="006342AA">
        <w:rPr>
          <w:rStyle w:val="FootnoteReference"/>
          <w:rFonts w:ascii="Arial" w:hAnsi="Arial" w:cs="Arial"/>
          <w:i/>
          <w:lang w:val="en-GB"/>
        </w:rPr>
        <w:footnoteReference w:id="6"/>
      </w:r>
      <w:r w:rsidRPr="002D798D">
        <w:rPr>
          <w:rFonts w:ascii="Arial" w:hAnsi="Arial" w:cs="Arial"/>
          <w:i/>
          <w:lang w:val="en-GB"/>
        </w:rPr>
        <w:t xml:space="preserve"> </w:t>
      </w:r>
      <w:r w:rsidR="00A22BCA">
        <w:rPr>
          <w:rFonts w:ascii="Arial" w:hAnsi="Arial" w:cs="Arial"/>
          <w:lang w:val="en-GB"/>
        </w:rPr>
        <w:t>(</w:t>
      </w:r>
      <w:r w:rsidR="00275113">
        <w:rPr>
          <w:rFonts w:ascii="Arial" w:hAnsi="Arial" w:cs="Arial"/>
          <w:lang w:val="en-GB"/>
        </w:rPr>
        <w:t>‘</w:t>
      </w:r>
      <w:r w:rsidR="00A22BCA">
        <w:rPr>
          <w:rFonts w:ascii="Arial" w:hAnsi="Arial" w:cs="Arial"/>
          <w:lang w:val="en-GB"/>
        </w:rPr>
        <w:t xml:space="preserve"> </w:t>
      </w:r>
      <w:r w:rsidR="00A22BCA" w:rsidRPr="00D61A04">
        <w:rPr>
          <w:rFonts w:ascii="Arial" w:hAnsi="Arial" w:cs="Arial"/>
          <w:i/>
          <w:lang w:val="en-GB"/>
        </w:rPr>
        <w:t>Sand Grove</w:t>
      </w:r>
      <w:r w:rsidR="00275113">
        <w:rPr>
          <w:rFonts w:ascii="Arial" w:hAnsi="Arial" w:cs="Arial"/>
          <w:lang w:val="en-GB"/>
        </w:rPr>
        <w:t>’</w:t>
      </w:r>
      <w:r w:rsidRPr="002D798D">
        <w:rPr>
          <w:rFonts w:ascii="Arial" w:hAnsi="Arial" w:cs="Arial"/>
          <w:lang w:val="en-GB"/>
        </w:rPr>
        <w:t>).</w:t>
      </w:r>
      <w:r w:rsidR="002D798D">
        <w:rPr>
          <w:rFonts w:ascii="Arial" w:hAnsi="Arial" w:cs="Arial"/>
          <w:lang w:val="en-GB"/>
        </w:rPr>
        <w:t xml:space="preserve"> </w:t>
      </w:r>
    </w:p>
    <w:p w14:paraId="3AC28848" w14:textId="77777777" w:rsidR="004035F1" w:rsidRPr="004035F1" w:rsidRDefault="004035F1" w:rsidP="004035F1">
      <w:pPr>
        <w:pStyle w:val="ListParagraph"/>
        <w:rPr>
          <w:rFonts w:ascii="Arial" w:hAnsi="Arial" w:cs="Arial"/>
          <w:lang w:val="en-GB"/>
        </w:rPr>
      </w:pPr>
    </w:p>
    <w:p w14:paraId="59F9B417" w14:textId="146EC0B6" w:rsidR="002D798D" w:rsidRPr="002D798D" w:rsidRDefault="008D77EC" w:rsidP="002D798D">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lastRenderedPageBreak/>
        <w:t xml:space="preserve"> In refusing an application for the amendment of </w:t>
      </w:r>
      <w:r w:rsidR="006342AA">
        <w:rPr>
          <w:rFonts w:ascii="Arial" w:hAnsi="Arial" w:cs="Arial"/>
          <w:lang w:val="en-GB"/>
        </w:rPr>
        <w:t>a</w:t>
      </w:r>
      <w:r w:rsidRPr="002D798D">
        <w:rPr>
          <w:rFonts w:ascii="Arial" w:hAnsi="Arial" w:cs="Arial"/>
          <w:lang w:val="en-GB"/>
        </w:rPr>
        <w:t xml:space="preserve"> case</w:t>
      </w:r>
      <w:r w:rsidR="006342AA">
        <w:rPr>
          <w:rFonts w:ascii="Arial" w:hAnsi="Arial" w:cs="Arial"/>
          <w:lang w:val="en-GB"/>
        </w:rPr>
        <w:t xml:space="preserve"> involving</w:t>
      </w:r>
      <w:r w:rsidR="000700B7">
        <w:rPr>
          <w:rFonts w:ascii="Arial" w:hAnsi="Arial" w:cs="Arial"/>
          <w:lang w:val="en-GB"/>
        </w:rPr>
        <w:t xml:space="preserve"> a scheme of arrangement </w:t>
      </w:r>
      <w:r w:rsidR="00275113">
        <w:rPr>
          <w:rFonts w:ascii="Arial" w:hAnsi="Arial" w:cs="Arial"/>
          <w:lang w:val="en-GB"/>
        </w:rPr>
        <w:t>which amendment sought to</w:t>
      </w:r>
      <w:r w:rsidRPr="002D798D">
        <w:rPr>
          <w:rFonts w:ascii="Arial" w:hAnsi="Arial" w:cs="Arial"/>
          <w:lang w:val="en-GB"/>
        </w:rPr>
        <w:t xml:space="preserve"> </w:t>
      </w:r>
      <w:r w:rsidR="000700B7">
        <w:rPr>
          <w:rFonts w:ascii="Arial" w:hAnsi="Arial" w:cs="Arial"/>
          <w:lang w:val="en-GB"/>
        </w:rPr>
        <w:t>introduc</w:t>
      </w:r>
      <w:r w:rsidR="00275113">
        <w:rPr>
          <w:rFonts w:ascii="Arial" w:hAnsi="Arial" w:cs="Arial"/>
          <w:lang w:val="en-GB"/>
        </w:rPr>
        <w:t>e</w:t>
      </w:r>
      <w:r w:rsidR="000700B7">
        <w:rPr>
          <w:rFonts w:ascii="Arial" w:hAnsi="Arial" w:cs="Arial"/>
          <w:lang w:val="en-GB"/>
        </w:rPr>
        <w:t xml:space="preserve"> a challeng</w:t>
      </w:r>
      <w:r w:rsidR="00840BF4">
        <w:rPr>
          <w:rFonts w:ascii="Arial" w:hAnsi="Arial" w:cs="Arial"/>
          <w:lang w:val="en-GB"/>
        </w:rPr>
        <w:t>e</w:t>
      </w:r>
      <w:r w:rsidRPr="002D798D">
        <w:rPr>
          <w:rFonts w:ascii="Arial" w:hAnsi="Arial" w:cs="Arial"/>
          <w:lang w:val="en-GB"/>
        </w:rPr>
        <w:t xml:space="preserve"> </w:t>
      </w:r>
      <w:r w:rsidR="00CC0C82">
        <w:rPr>
          <w:rFonts w:ascii="Arial" w:hAnsi="Arial" w:cs="Arial"/>
          <w:lang w:val="en-GB"/>
        </w:rPr>
        <w:t xml:space="preserve">to </w:t>
      </w:r>
      <w:r w:rsidRPr="002D798D">
        <w:rPr>
          <w:rFonts w:ascii="Arial" w:hAnsi="Arial" w:cs="Arial"/>
          <w:lang w:val="en-GB"/>
        </w:rPr>
        <w:t>the resolution approving the scheme</w:t>
      </w:r>
      <w:r w:rsidR="00132EA5">
        <w:rPr>
          <w:rFonts w:ascii="Arial" w:hAnsi="Arial" w:cs="Arial"/>
          <w:lang w:val="en-GB"/>
        </w:rPr>
        <w:t>, the learned</w:t>
      </w:r>
      <w:r w:rsidR="000407C5">
        <w:rPr>
          <w:rFonts w:ascii="Arial" w:hAnsi="Arial" w:cs="Arial"/>
          <w:lang w:val="en-GB"/>
        </w:rPr>
        <w:t xml:space="preserve"> Judge</w:t>
      </w:r>
      <w:r w:rsidRPr="002D798D">
        <w:rPr>
          <w:rFonts w:ascii="Arial" w:hAnsi="Arial" w:cs="Arial"/>
          <w:lang w:val="en-GB"/>
        </w:rPr>
        <w:t xml:space="preserve"> said the following:</w:t>
      </w:r>
    </w:p>
    <w:p w14:paraId="75E061D8" w14:textId="77777777" w:rsidR="002D798D" w:rsidRPr="002D798D" w:rsidRDefault="002D798D" w:rsidP="002D798D">
      <w:pPr>
        <w:pStyle w:val="ListParagraph"/>
        <w:rPr>
          <w:rFonts w:ascii="Arial" w:hAnsi="Arial" w:cs="Arial"/>
          <w:sz w:val="22"/>
          <w:szCs w:val="22"/>
          <w:lang w:val="en-GB"/>
        </w:rPr>
      </w:pPr>
    </w:p>
    <w:p w14:paraId="09B2AF6B" w14:textId="6079420B" w:rsidR="002D798D" w:rsidRPr="00345504" w:rsidRDefault="002D798D" w:rsidP="002D798D">
      <w:pPr>
        <w:pStyle w:val="ListParagraph"/>
        <w:spacing w:line="360" w:lineRule="auto"/>
        <w:ind w:left="0"/>
        <w:jc w:val="both"/>
        <w:rPr>
          <w:rFonts w:ascii="Arial" w:hAnsi="Arial" w:cs="Arial"/>
          <w:sz w:val="22"/>
          <w:szCs w:val="22"/>
        </w:rPr>
      </w:pPr>
      <w:r>
        <w:rPr>
          <w:rFonts w:ascii="Arial" w:hAnsi="Arial" w:cs="Arial"/>
          <w:sz w:val="22"/>
          <w:szCs w:val="22"/>
          <w:lang w:val="en-GB"/>
        </w:rPr>
        <w:t>‘</w:t>
      </w:r>
      <w:r w:rsidRPr="002D798D">
        <w:rPr>
          <w:rFonts w:ascii="Arial" w:hAnsi="Arial" w:cs="Arial"/>
          <w:sz w:val="22"/>
          <w:szCs w:val="22"/>
          <w:lang w:val="en-GB"/>
        </w:rPr>
        <w:t>The terms of s 115(7)(b) give as two of the grounds on which a court can review and set aside a resolution in terms of s 115(2)(a) its having been 'materially tainted' by (i) 'failure to comply with the Act (ii) any 'other significant and material irregularity'. Those grounds broadly encapsulate the very bases upon which the applicants seek to apply for declarator</w:t>
      </w:r>
      <w:r w:rsidR="00A230D5">
        <w:rPr>
          <w:rFonts w:ascii="Arial" w:hAnsi="Arial" w:cs="Arial"/>
          <w:sz w:val="22"/>
          <w:szCs w:val="22"/>
          <w:lang w:val="en-GB"/>
        </w:rPr>
        <w:t>s</w:t>
      </w:r>
      <w:r w:rsidRPr="002D798D">
        <w:rPr>
          <w:rFonts w:ascii="Arial" w:hAnsi="Arial" w:cs="Arial"/>
          <w:sz w:val="22"/>
          <w:szCs w:val="22"/>
          <w:lang w:val="en-GB"/>
        </w:rPr>
        <w:t xml:space="preserve"> that the meeting was unlawfully constituted, and the decision taken at it accordingly void. </w:t>
      </w:r>
      <w:r w:rsidRPr="00345504">
        <w:rPr>
          <w:rFonts w:ascii="Arial" w:hAnsi="Arial" w:cs="Arial"/>
          <w:sz w:val="22"/>
          <w:szCs w:val="22"/>
          <w:u w:val="single"/>
          <w:lang w:val="en-GB"/>
        </w:rPr>
        <w:t>It would defeat the purpose of the carefully framed restrictions subject to which a review challenge can be mounted under s 115 of the Act were the courts to entertain such challenges brought in a different format outside the limitations of the provision.</w:t>
      </w:r>
      <w:r w:rsidR="002C60DE">
        <w:rPr>
          <w:rStyle w:val="FootnoteReference"/>
          <w:rFonts w:ascii="Arial" w:hAnsi="Arial" w:cs="Arial"/>
          <w:sz w:val="22"/>
          <w:szCs w:val="22"/>
          <w:u w:val="single"/>
          <w:lang w:val="en-GB"/>
        </w:rPr>
        <w:footnoteReference w:id="7"/>
      </w:r>
      <w:r w:rsidR="00345504">
        <w:rPr>
          <w:rFonts w:ascii="Arial" w:hAnsi="Arial" w:cs="Arial"/>
          <w:sz w:val="22"/>
          <w:szCs w:val="22"/>
          <w:u w:val="single"/>
          <w:lang w:val="en-GB"/>
        </w:rPr>
        <w:t xml:space="preserve"> </w:t>
      </w:r>
      <w:r w:rsidR="00345504" w:rsidRPr="00345504">
        <w:rPr>
          <w:rFonts w:ascii="Arial" w:hAnsi="Arial" w:cs="Arial"/>
          <w:sz w:val="22"/>
          <w:szCs w:val="22"/>
          <w:lang w:val="en-GB"/>
        </w:rPr>
        <w:t>[ Emphasis added]</w:t>
      </w:r>
    </w:p>
    <w:p w14:paraId="0098CA6F" w14:textId="77777777" w:rsidR="002D798D" w:rsidRPr="002D798D" w:rsidRDefault="002D798D" w:rsidP="002D798D">
      <w:pPr>
        <w:pStyle w:val="ListParagraph"/>
        <w:spacing w:line="360" w:lineRule="auto"/>
        <w:ind w:left="0"/>
        <w:jc w:val="both"/>
        <w:rPr>
          <w:rFonts w:ascii="Arial" w:hAnsi="Arial" w:cs="Arial"/>
        </w:rPr>
      </w:pPr>
    </w:p>
    <w:p w14:paraId="1C13F420" w14:textId="77777777" w:rsidR="002D798D" w:rsidRPr="002D798D" w:rsidRDefault="002D798D" w:rsidP="002D798D">
      <w:pPr>
        <w:pStyle w:val="ListParagraph"/>
        <w:rPr>
          <w:rFonts w:ascii="Arial" w:hAnsi="Arial" w:cs="Arial"/>
          <w:lang w:val="en-GB"/>
        </w:rPr>
      </w:pPr>
    </w:p>
    <w:p w14:paraId="68494D3E" w14:textId="4E829591" w:rsidR="000407C5" w:rsidRDefault="000407C5" w:rsidP="008D77EC">
      <w:pPr>
        <w:pStyle w:val="ListParagraph"/>
        <w:numPr>
          <w:ilvl w:val="0"/>
          <w:numId w:val="2"/>
        </w:numPr>
        <w:spacing w:line="360" w:lineRule="auto"/>
        <w:ind w:left="0" w:firstLine="0"/>
        <w:jc w:val="both"/>
        <w:rPr>
          <w:rFonts w:ascii="Arial" w:hAnsi="Arial" w:cs="Arial"/>
        </w:rPr>
      </w:pPr>
      <w:r>
        <w:rPr>
          <w:rFonts w:ascii="Arial" w:hAnsi="Arial" w:cs="Arial"/>
        </w:rPr>
        <w:t>With respect</w:t>
      </w:r>
      <w:r w:rsidR="00804F01">
        <w:rPr>
          <w:rFonts w:ascii="Arial" w:hAnsi="Arial" w:cs="Arial"/>
        </w:rPr>
        <w:t>,</w:t>
      </w:r>
      <w:r>
        <w:rPr>
          <w:rFonts w:ascii="Arial" w:hAnsi="Arial" w:cs="Arial"/>
        </w:rPr>
        <w:t xml:space="preserve"> I agree with </w:t>
      </w:r>
      <w:r w:rsidR="00804F01">
        <w:rPr>
          <w:rFonts w:ascii="Arial" w:hAnsi="Arial" w:cs="Arial"/>
        </w:rPr>
        <w:t>these findings and I align myself with the careful reasoning adopted by the learned Judge in relation to this question.</w:t>
      </w:r>
    </w:p>
    <w:p w14:paraId="02B0B9DD" w14:textId="77777777" w:rsidR="00591F92" w:rsidRDefault="00591F92" w:rsidP="00591F92">
      <w:pPr>
        <w:pStyle w:val="ListParagraph"/>
        <w:spacing w:line="360" w:lineRule="auto"/>
        <w:ind w:left="0"/>
        <w:jc w:val="both"/>
        <w:rPr>
          <w:rFonts w:ascii="Arial" w:hAnsi="Arial" w:cs="Arial"/>
        </w:rPr>
      </w:pPr>
    </w:p>
    <w:p w14:paraId="17D67466" w14:textId="2B9361F6" w:rsidR="00A230D5" w:rsidRPr="00591F92" w:rsidRDefault="00345504" w:rsidP="00345504">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The </w:t>
      </w:r>
      <w:r w:rsidR="00D85682">
        <w:rPr>
          <w:rFonts w:ascii="Arial" w:hAnsi="Arial" w:cs="Arial"/>
          <w:lang w:val="en-GB"/>
        </w:rPr>
        <w:t xml:space="preserve">statutory </w:t>
      </w:r>
      <w:r w:rsidRPr="002D798D">
        <w:rPr>
          <w:rFonts w:ascii="Arial" w:hAnsi="Arial" w:cs="Arial"/>
          <w:lang w:val="en-GB"/>
        </w:rPr>
        <w:t xml:space="preserve">machinery </w:t>
      </w:r>
      <w:r w:rsidR="00D85682">
        <w:rPr>
          <w:rFonts w:ascii="Arial" w:hAnsi="Arial" w:cs="Arial"/>
          <w:lang w:val="en-GB"/>
        </w:rPr>
        <w:t xml:space="preserve">which brings </w:t>
      </w:r>
      <w:r w:rsidRPr="002D798D">
        <w:rPr>
          <w:rFonts w:ascii="Arial" w:hAnsi="Arial" w:cs="Arial"/>
          <w:lang w:val="en-GB"/>
        </w:rPr>
        <w:t>a scheme</w:t>
      </w:r>
      <w:r w:rsidR="00D85682">
        <w:rPr>
          <w:rFonts w:ascii="Arial" w:hAnsi="Arial" w:cs="Arial"/>
          <w:lang w:val="en-GB"/>
        </w:rPr>
        <w:t xml:space="preserve"> into effect</w:t>
      </w:r>
      <w:r w:rsidRPr="002D798D">
        <w:rPr>
          <w:rFonts w:ascii="Arial" w:hAnsi="Arial" w:cs="Arial"/>
          <w:lang w:val="en-GB"/>
        </w:rPr>
        <w:t xml:space="preserve"> would be rendered unworkable if a court challenge could be brought</w:t>
      </w:r>
      <w:r w:rsidR="00FB2A50">
        <w:rPr>
          <w:rFonts w:ascii="Arial" w:hAnsi="Arial" w:cs="Arial"/>
          <w:lang w:val="en-GB"/>
        </w:rPr>
        <w:t>,</w:t>
      </w:r>
      <w:r w:rsidRPr="002D798D">
        <w:rPr>
          <w:rFonts w:ascii="Arial" w:hAnsi="Arial" w:cs="Arial"/>
          <w:lang w:val="en-GB"/>
        </w:rPr>
        <w:t xml:space="preserve"> at any time</w:t>
      </w:r>
      <w:r w:rsidR="00FB2A50">
        <w:rPr>
          <w:rFonts w:ascii="Arial" w:hAnsi="Arial" w:cs="Arial"/>
          <w:lang w:val="en-GB"/>
        </w:rPr>
        <w:t>,</w:t>
      </w:r>
      <w:r w:rsidRPr="002D798D">
        <w:rPr>
          <w:rFonts w:ascii="Arial" w:hAnsi="Arial" w:cs="Arial"/>
          <w:lang w:val="en-GB"/>
        </w:rPr>
        <w:t xml:space="preserve"> outside of the statutory machinery. The scheme would be implemented and rights flowing from that implementation brought into force. The question of how to reverse a transaction where rights had vested in the company and in third parties could prove </w:t>
      </w:r>
      <w:r w:rsidR="00591F92">
        <w:rPr>
          <w:rFonts w:ascii="Arial" w:hAnsi="Arial" w:cs="Arial"/>
          <w:lang w:val="en-GB"/>
        </w:rPr>
        <w:t>intractable</w:t>
      </w:r>
      <w:r w:rsidRPr="002D798D">
        <w:rPr>
          <w:rFonts w:ascii="Arial" w:hAnsi="Arial" w:cs="Arial"/>
          <w:lang w:val="en-GB"/>
        </w:rPr>
        <w:t xml:space="preserve"> or even impossible.</w:t>
      </w:r>
    </w:p>
    <w:p w14:paraId="72F99449" w14:textId="77777777" w:rsidR="00591F92" w:rsidRPr="00591F92" w:rsidRDefault="00591F92" w:rsidP="00591F92">
      <w:pPr>
        <w:pStyle w:val="ListParagraph"/>
        <w:rPr>
          <w:rFonts w:ascii="Arial" w:hAnsi="Arial" w:cs="Arial"/>
        </w:rPr>
      </w:pPr>
    </w:p>
    <w:p w14:paraId="579B1175" w14:textId="77777777" w:rsidR="00591F92" w:rsidRPr="00A230D5" w:rsidRDefault="00591F92" w:rsidP="00591F92">
      <w:pPr>
        <w:pStyle w:val="ListParagraph"/>
        <w:spacing w:line="360" w:lineRule="auto"/>
        <w:ind w:left="0"/>
        <w:jc w:val="both"/>
        <w:rPr>
          <w:rFonts w:ascii="Arial" w:hAnsi="Arial" w:cs="Arial"/>
        </w:rPr>
      </w:pPr>
    </w:p>
    <w:p w14:paraId="46D7DA94" w14:textId="5F2F0F81" w:rsidR="00345504" w:rsidRPr="002D798D" w:rsidRDefault="00345504" w:rsidP="00345504">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 I am persuaded that the Legislature</w:t>
      </w:r>
      <w:r w:rsidR="00A230D5">
        <w:rPr>
          <w:rFonts w:ascii="Arial" w:hAnsi="Arial" w:cs="Arial"/>
          <w:lang w:val="en-GB"/>
        </w:rPr>
        <w:t>,</w:t>
      </w:r>
      <w:r w:rsidRPr="002D798D">
        <w:rPr>
          <w:rFonts w:ascii="Arial" w:hAnsi="Arial" w:cs="Arial"/>
          <w:lang w:val="en-GB"/>
        </w:rPr>
        <w:t xml:space="preserve"> in formulating the machinery to bring into force and effect a scheme of arrangement</w:t>
      </w:r>
      <w:r w:rsidR="00A230D5">
        <w:rPr>
          <w:rFonts w:ascii="Arial" w:hAnsi="Arial" w:cs="Arial"/>
          <w:lang w:val="en-GB"/>
        </w:rPr>
        <w:t>,</w:t>
      </w:r>
      <w:r w:rsidRPr="002D798D">
        <w:rPr>
          <w:rFonts w:ascii="Arial" w:hAnsi="Arial" w:cs="Arial"/>
          <w:lang w:val="en-GB"/>
        </w:rPr>
        <w:t xml:space="preserve"> decided to forgo the court sanction provided for in the 1973 Act in favour of a less cumbersome and expensive process which allowed for the scheme to have force and effect unless challenged within the periods allowed and in accordance with the prescripts of </w:t>
      </w:r>
      <w:r w:rsidR="00591F92">
        <w:rPr>
          <w:rFonts w:ascii="Arial" w:hAnsi="Arial" w:cs="Arial"/>
          <w:lang w:val="en-GB"/>
        </w:rPr>
        <w:t>the section</w:t>
      </w:r>
      <w:r w:rsidR="00BE440F">
        <w:rPr>
          <w:rFonts w:ascii="Arial" w:hAnsi="Arial" w:cs="Arial"/>
          <w:lang w:val="en-GB"/>
        </w:rPr>
        <w:t>.</w:t>
      </w:r>
      <w:r w:rsidRPr="002D798D">
        <w:rPr>
          <w:rFonts w:ascii="Arial" w:hAnsi="Arial" w:cs="Arial"/>
          <w:lang w:val="en-GB"/>
        </w:rPr>
        <w:t xml:space="preserve"> </w:t>
      </w:r>
    </w:p>
    <w:p w14:paraId="61E928BE" w14:textId="77777777" w:rsidR="00345504" w:rsidRPr="002D798D" w:rsidRDefault="00345504" w:rsidP="00345504">
      <w:pPr>
        <w:pStyle w:val="ListParagraph"/>
        <w:rPr>
          <w:rFonts w:ascii="Arial" w:hAnsi="Arial" w:cs="Arial"/>
          <w:lang w:val="en-GB"/>
        </w:rPr>
      </w:pPr>
    </w:p>
    <w:p w14:paraId="48CCFE14" w14:textId="6B108D47" w:rsidR="00345504" w:rsidRPr="002D798D" w:rsidRDefault="00345504" w:rsidP="00345504">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The plaintiff submits </w:t>
      </w:r>
      <w:r w:rsidRPr="002D798D">
        <w:rPr>
          <w:rFonts w:ascii="Arial" w:hAnsi="Arial" w:cs="Arial"/>
          <w:i/>
          <w:lang w:val="en-GB"/>
        </w:rPr>
        <w:t>Sand Grove</w:t>
      </w:r>
      <w:r w:rsidRPr="002D798D">
        <w:rPr>
          <w:rFonts w:ascii="Arial" w:hAnsi="Arial" w:cs="Arial"/>
          <w:lang w:val="en-GB"/>
        </w:rPr>
        <w:t xml:space="preserve"> is wrong.</w:t>
      </w:r>
      <w:r>
        <w:rPr>
          <w:rFonts w:ascii="Arial" w:hAnsi="Arial" w:cs="Arial"/>
          <w:lang w:val="en-GB"/>
        </w:rPr>
        <w:t xml:space="preserve"> It submits that this cannot be</w:t>
      </w:r>
      <w:r w:rsidRPr="002D798D">
        <w:rPr>
          <w:rFonts w:ascii="Arial" w:hAnsi="Arial" w:cs="Arial"/>
          <w:lang w:val="en-GB"/>
        </w:rPr>
        <w:t xml:space="preserve"> a correct interpretation of the section because that would mean that i</w:t>
      </w:r>
      <w:r>
        <w:rPr>
          <w:rFonts w:ascii="Arial" w:hAnsi="Arial" w:cs="Arial"/>
          <w:lang w:val="en-GB"/>
        </w:rPr>
        <w:t>f fraud was later discovered in relation to a resolution</w:t>
      </w:r>
      <w:r w:rsidRPr="002D798D">
        <w:rPr>
          <w:rFonts w:ascii="Arial" w:hAnsi="Arial" w:cs="Arial"/>
          <w:lang w:val="en-GB"/>
        </w:rPr>
        <w:t xml:space="preserve">, this fraud would not be actionable to set aside </w:t>
      </w:r>
      <w:r w:rsidRPr="002D798D">
        <w:rPr>
          <w:rFonts w:ascii="Arial" w:hAnsi="Arial" w:cs="Arial"/>
          <w:lang w:val="en-GB"/>
        </w:rPr>
        <w:lastRenderedPageBreak/>
        <w:t>the scheme</w:t>
      </w:r>
      <w:r w:rsidR="00A230D5">
        <w:rPr>
          <w:rFonts w:ascii="Arial" w:hAnsi="Arial" w:cs="Arial"/>
          <w:lang w:val="en-GB"/>
        </w:rPr>
        <w:t>. This submission</w:t>
      </w:r>
      <w:r w:rsidRPr="002D798D">
        <w:rPr>
          <w:rFonts w:ascii="Arial" w:hAnsi="Arial" w:cs="Arial"/>
          <w:lang w:val="en-GB"/>
        </w:rPr>
        <w:t xml:space="preserve"> is akin to an exception proving the rule.  A fraud would, of necessity, entail a breach of the Act. It seems also that such a fraud would involve the culprit acting </w:t>
      </w:r>
      <w:r w:rsidRPr="00D345FE">
        <w:rPr>
          <w:rFonts w:ascii="Arial" w:hAnsi="Arial" w:cs="Arial"/>
          <w:i/>
          <w:lang w:val="en-GB"/>
        </w:rPr>
        <w:t>in fraudem legis</w:t>
      </w:r>
      <w:r w:rsidRPr="002D798D">
        <w:rPr>
          <w:rFonts w:ascii="Arial" w:hAnsi="Arial" w:cs="Arial"/>
          <w:lang w:val="en-GB"/>
        </w:rPr>
        <w:t xml:space="preserve"> – which comes with its </w:t>
      </w:r>
      <w:r w:rsidR="0035743A" w:rsidRPr="002D798D">
        <w:rPr>
          <w:rFonts w:ascii="Arial" w:hAnsi="Arial" w:cs="Arial"/>
          <w:lang w:val="en-GB"/>
        </w:rPr>
        <w:t xml:space="preserve">own </w:t>
      </w:r>
      <w:r w:rsidR="0035743A">
        <w:rPr>
          <w:rFonts w:ascii="Arial" w:hAnsi="Arial" w:cs="Arial"/>
          <w:lang w:val="en-GB"/>
        </w:rPr>
        <w:t>set</w:t>
      </w:r>
      <w:r w:rsidR="00FB2A50">
        <w:rPr>
          <w:rFonts w:ascii="Arial" w:hAnsi="Arial" w:cs="Arial"/>
          <w:lang w:val="en-GB"/>
        </w:rPr>
        <w:t xml:space="preserve"> of </w:t>
      </w:r>
      <w:r w:rsidRPr="002D798D">
        <w:rPr>
          <w:rFonts w:ascii="Arial" w:hAnsi="Arial" w:cs="Arial"/>
          <w:lang w:val="en-GB"/>
        </w:rPr>
        <w:t xml:space="preserve">principles. </w:t>
      </w:r>
      <w:r w:rsidR="008559CF">
        <w:rPr>
          <w:rFonts w:ascii="Arial" w:hAnsi="Arial" w:cs="Arial"/>
          <w:lang w:val="en-GB"/>
        </w:rPr>
        <w:t>It is furthermore unhelpful</w:t>
      </w:r>
      <w:r w:rsidRPr="002D798D">
        <w:rPr>
          <w:rFonts w:ascii="Arial" w:hAnsi="Arial" w:cs="Arial"/>
          <w:lang w:val="en-GB"/>
        </w:rPr>
        <w:t xml:space="preserve"> to speculate on hypothetical scenarios involving fraud which are not in issue here.</w:t>
      </w:r>
    </w:p>
    <w:p w14:paraId="7B3C252C" w14:textId="77777777" w:rsidR="00345504" w:rsidRPr="002D798D" w:rsidRDefault="00345504" w:rsidP="00345504">
      <w:pPr>
        <w:pStyle w:val="ListParagraph"/>
        <w:rPr>
          <w:rFonts w:ascii="Arial" w:hAnsi="Arial" w:cs="Arial"/>
          <w:lang w:val="en-GB"/>
        </w:rPr>
      </w:pPr>
    </w:p>
    <w:p w14:paraId="6CF81F85" w14:textId="77777777" w:rsidR="00345504" w:rsidRPr="002D798D" w:rsidRDefault="00345504" w:rsidP="00345504">
      <w:pPr>
        <w:pStyle w:val="ListParagraph"/>
        <w:rPr>
          <w:rFonts w:ascii="Arial" w:hAnsi="Arial" w:cs="Arial"/>
          <w:lang w:val="en-GB"/>
        </w:rPr>
      </w:pPr>
    </w:p>
    <w:p w14:paraId="32C2D54A" w14:textId="77777777" w:rsidR="002C7759" w:rsidRPr="002C7759" w:rsidRDefault="002C7759" w:rsidP="002C7759">
      <w:pPr>
        <w:pStyle w:val="ListParagraph"/>
        <w:spacing w:line="360" w:lineRule="auto"/>
        <w:ind w:left="0"/>
        <w:jc w:val="both"/>
        <w:rPr>
          <w:rFonts w:ascii="Arial" w:hAnsi="Arial" w:cs="Arial"/>
        </w:rPr>
      </w:pPr>
    </w:p>
    <w:p w14:paraId="05DE10A1" w14:textId="50D71BA9" w:rsidR="00345504" w:rsidRPr="002D798D" w:rsidRDefault="00345504" w:rsidP="00345504">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 A challenge, which </w:t>
      </w:r>
      <w:r w:rsidR="002C7759">
        <w:rPr>
          <w:rFonts w:ascii="Arial" w:hAnsi="Arial" w:cs="Arial"/>
          <w:lang w:val="en-GB"/>
        </w:rPr>
        <w:t>could have been brought under</w:t>
      </w:r>
      <w:r w:rsidRPr="002D798D">
        <w:rPr>
          <w:rFonts w:ascii="Arial" w:hAnsi="Arial" w:cs="Arial"/>
          <w:lang w:val="en-GB"/>
        </w:rPr>
        <w:t xml:space="preserve"> section 115, but is not brought under that section because there has been a delay in bringing it, </w:t>
      </w:r>
      <w:r w:rsidR="0035743A" w:rsidRPr="002D798D">
        <w:rPr>
          <w:rFonts w:ascii="Arial" w:hAnsi="Arial" w:cs="Arial"/>
          <w:lang w:val="en-GB"/>
        </w:rPr>
        <w:t>cannot be</w:t>
      </w:r>
      <w:r w:rsidRPr="002D798D">
        <w:rPr>
          <w:rFonts w:ascii="Arial" w:hAnsi="Arial" w:cs="Arial"/>
          <w:lang w:val="en-GB"/>
        </w:rPr>
        <w:t xml:space="preserve"> permissible because it is</w:t>
      </w:r>
      <w:r w:rsidR="00130012">
        <w:rPr>
          <w:rFonts w:ascii="Arial" w:hAnsi="Arial" w:cs="Arial"/>
          <w:lang w:val="en-GB"/>
        </w:rPr>
        <w:t xml:space="preserve"> framed as a </w:t>
      </w:r>
      <w:r w:rsidRPr="002D798D">
        <w:rPr>
          <w:rFonts w:ascii="Arial" w:hAnsi="Arial" w:cs="Arial"/>
          <w:lang w:val="en-GB"/>
        </w:rPr>
        <w:t>common law challenge, when in substance it is a late challenge under section 115.</w:t>
      </w:r>
    </w:p>
    <w:p w14:paraId="3330A5C3" w14:textId="77777777" w:rsidR="00345504" w:rsidRPr="002D798D" w:rsidRDefault="00345504" w:rsidP="00345504">
      <w:pPr>
        <w:pStyle w:val="ListParagraph"/>
        <w:rPr>
          <w:rFonts w:ascii="Arial" w:hAnsi="Arial" w:cs="Arial"/>
        </w:rPr>
      </w:pPr>
    </w:p>
    <w:p w14:paraId="4519CE19" w14:textId="77777777" w:rsidR="00804F01" w:rsidRPr="00BE785A" w:rsidRDefault="00804F01" w:rsidP="00BE785A">
      <w:pPr>
        <w:pStyle w:val="ListParagraph"/>
        <w:spacing w:line="360" w:lineRule="auto"/>
        <w:ind w:left="0"/>
        <w:jc w:val="both"/>
        <w:rPr>
          <w:rFonts w:ascii="Arial" w:hAnsi="Arial" w:cs="Arial"/>
        </w:rPr>
      </w:pPr>
    </w:p>
    <w:p w14:paraId="0922C448" w14:textId="183ECD38" w:rsidR="00755047" w:rsidRPr="00755047" w:rsidRDefault="008D77EC" w:rsidP="008D77EC">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The plaintiff has attempted to escape the </w:t>
      </w:r>
      <w:r w:rsidR="004035F1">
        <w:rPr>
          <w:rFonts w:ascii="Arial" w:hAnsi="Arial" w:cs="Arial"/>
          <w:lang w:val="en-GB"/>
        </w:rPr>
        <w:t xml:space="preserve">statutory </w:t>
      </w:r>
      <w:r w:rsidRPr="002D798D">
        <w:rPr>
          <w:rFonts w:ascii="Arial" w:hAnsi="Arial" w:cs="Arial"/>
          <w:lang w:val="en-GB"/>
        </w:rPr>
        <w:t xml:space="preserve">stranglehold imposed by subsection 115(3) by </w:t>
      </w:r>
      <w:r w:rsidR="00D61A04">
        <w:rPr>
          <w:rFonts w:ascii="Arial" w:hAnsi="Arial" w:cs="Arial"/>
          <w:lang w:val="en-GB"/>
        </w:rPr>
        <w:t xml:space="preserve">attempting to </w:t>
      </w:r>
      <w:r w:rsidRPr="002D798D">
        <w:rPr>
          <w:rFonts w:ascii="Arial" w:hAnsi="Arial" w:cs="Arial"/>
          <w:lang w:val="en-GB"/>
        </w:rPr>
        <w:t xml:space="preserve">cast its attack </w:t>
      </w:r>
      <w:r w:rsidR="004035F1">
        <w:rPr>
          <w:rFonts w:ascii="Arial" w:hAnsi="Arial" w:cs="Arial"/>
          <w:lang w:val="en-GB"/>
        </w:rPr>
        <w:t>as</w:t>
      </w:r>
      <w:r w:rsidRPr="002D798D">
        <w:rPr>
          <w:rFonts w:ascii="Arial" w:hAnsi="Arial" w:cs="Arial"/>
          <w:lang w:val="en-GB"/>
        </w:rPr>
        <w:t xml:space="preserve"> being</w:t>
      </w:r>
      <w:r w:rsidR="00F25ABA">
        <w:rPr>
          <w:rFonts w:ascii="Arial" w:hAnsi="Arial" w:cs="Arial"/>
          <w:lang w:val="en-GB"/>
        </w:rPr>
        <w:t>,</w:t>
      </w:r>
      <w:r w:rsidR="00E97F52">
        <w:rPr>
          <w:rFonts w:ascii="Arial" w:hAnsi="Arial" w:cs="Arial"/>
          <w:lang w:val="en-GB"/>
        </w:rPr>
        <w:t xml:space="preserve"> not against the scheme but against the SOB Agreement</w:t>
      </w:r>
      <w:r w:rsidR="00F25ABA">
        <w:rPr>
          <w:rFonts w:ascii="Arial" w:hAnsi="Arial" w:cs="Arial"/>
          <w:lang w:val="en-GB"/>
        </w:rPr>
        <w:t>,</w:t>
      </w:r>
      <w:r w:rsidR="00E97F52">
        <w:rPr>
          <w:rFonts w:ascii="Arial" w:hAnsi="Arial" w:cs="Arial"/>
          <w:lang w:val="en-GB"/>
        </w:rPr>
        <w:t xml:space="preserve"> which brings it back to its argument that the SOB Agreement</w:t>
      </w:r>
      <w:r w:rsidRPr="002D798D">
        <w:rPr>
          <w:rFonts w:ascii="Arial" w:hAnsi="Arial" w:cs="Arial"/>
          <w:lang w:val="en-GB"/>
        </w:rPr>
        <w:t xml:space="preserve"> is not part of the scheme</w:t>
      </w:r>
      <w:r w:rsidR="00E97F52">
        <w:rPr>
          <w:rFonts w:ascii="Arial" w:hAnsi="Arial" w:cs="Arial"/>
          <w:lang w:val="en-GB"/>
        </w:rPr>
        <w:t>.</w:t>
      </w:r>
    </w:p>
    <w:p w14:paraId="15D0ACFD" w14:textId="77777777" w:rsidR="00755047" w:rsidRPr="00755047" w:rsidRDefault="00755047" w:rsidP="00755047">
      <w:pPr>
        <w:pStyle w:val="ListParagraph"/>
        <w:rPr>
          <w:rFonts w:ascii="Arial" w:hAnsi="Arial" w:cs="Arial"/>
          <w:lang w:val="en-GB"/>
        </w:rPr>
      </w:pPr>
    </w:p>
    <w:p w14:paraId="33B58BAF" w14:textId="3FC80361" w:rsidR="00E308FA" w:rsidRPr="00DE1280" w:rsidRDefault="008D77EC" w:rsidP="008D77EC">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 The </w:t>
      </w:r>
      <w:r w:rsidR="00E97F52">
        <w:rPr>
          <w:rFonts w:ascii="Arial" w:hAnsi="Arial" w:cs="Arial"/>
          <w:lang w:val="en-GB"/>
        </w:rPr>
        <w:t>arg</w:t>
      </w:r>
      <w:r w:rsidR="00E308FA">
        <w:rPr>
          <w:rFonts w:ascii="Arial" w:hAnsi="Arial" w:cs="Arial"/>
          <w:lang w:val="en-GB"/>
        </w:rPr>
        <w:t>ument goes</w:t>
      </w:r>
      <w:r w:rsidR="002D798D">
        <w:rPr>
          <w:rFonts w:ascii="Arial" w:hAnsi="Arial" w:cs="Arial"/>
          <w:lang w:val="en-GB"/>
        </w:rPr>
        <w:t xml:space="preserve"> that</w:t>
      </w:r>
      <w:r w:rsidR="00E308FA">
        <w:rPr>
          <w:rFonts w:ascii="Arial" w:hAnsi="Arial" w:cs="Arial"/>
          <w:lang w:val="en-GB"/>
        </w:rPr>
        <w:t>,</w:t>
      </w:r>
      <w:r w:rsidR="002D798D">
        <w:rPr>
          <w:rFonts w:ascii="Arial" w:hAnsi="Arial" w:cs="Arial"/>
          <w:lang w:val="en-GB"/>
        </w:rPr>
        <w:t xml:space="preserve"> because</w:t>
      </w:r>
      <w:r w:rsidRPr="002D798D">
        <w:rPr>
          <w:rFonts w:ascii="Arial" w:hAnsi="Arial" w:cs="Arial"/>
          <w:lang w:val="en-GB"/>
        </w:rPr>
        <w:t xml:space="preserve"> the SOB Agreement was not between Maseve and its shareholders it cannot be interpreted as part of the scheme. The consequence of this</w:t>
      </w:r>
      <w:r w:rsidR="00755047">
        <w:rPr>
          <w:rFonts w:ascii="Arial" w:hAnsi="Arial" w:cs="Arial"/>
          <w:lang w:val="en-GB"/>
        </w:rPr>
        <w:t>,</w:t>
      </w:r>
      <w:r w:rsidRPr="002D798D">
        <w:rPr>
          <w:rFonts w:ascii="Arial" w:hAnsi="Arial" w:cs="Arial"/>
          <w:lang w:val="en-GB"/>
        </w:rPr>
        <w:t xml:space="preserve"> says the plaintiff, is that the SOB Agreement cannot be dealt with under the Act and thus must be dealt with as a separate challenge </w:t>
      </w:r>
      <w:r w:rsidR="00755047">
        <w:rPr>
          <w:rFonts w:ascii="Arial" w:hAnsi="Arial" w:cs="Arial"/>
          <w:lang w:val="en-GB"/>
        </w:rPr>
        <w:t>to</w:t>
      </w:r>
      <w:r w:rsidRPr="002D798D">
        <w:rPr>
          <w:rFonts w:ascii="Arial" w:hAnsi="Arial" w:cs="Arial"/>
          <w:lang w:val="en-GB"/>
        </w:rPr>
        <w:t xml:space="preserve"> what it refers to as ‘the substantive invalidity of the scheme’. It contends that it does not seek to impugn the scheme on any of the grounds available under section 115 of the Act. But, it argues, if the SOB Agreement is set aside this will have the consequence that the scheme fails. </w:t>
      </w:r>
      <w:r w:rsidR="008F4C6C">
        <w:rPr>
          <w:rFonts w:ascii="Arial" w:hAnsi="Arial" w:cs="Arial"/>
          <w:lang w:val="en-GB"/>
        </w:rPr>
        <w:t>It is this consequence that it ultimately seeks.</w:t>
      </w:r>
    </w:p>
    <w:p w14:paraId="28914570" w14:textId="77777777" w:rsidR="00DE1280" w:rsidRPr="00E308FA" w:rsidRDefault="00DE1280" w:rsidP="00BE440F">
      <w:pPr>
        <w:pStyle w:val="ListParagraph"/>
        <w:spacing w:line="360" w:lineRule="auto"/>
        <w:ind w:left="0"/>
        <w:jc w:val="both"/>
        <w:rPr>
          <w:rFonts w:ascii="Arial" w:hAnsi="Arial" w:cs="Arial"/>
        </w:rPr>
      </w:pPr>
    </w:p>
    <w:p w14:paraId="56BC9689" w14:textId="77777777" w:rsidR="00E308FA" w:rsidRPr="00E308FA" w:rsidRDefault="00E308FA" w:rsidP="00E308FA">
      <w:pPr>
        <w:pStyle w:val="ListParagraph"/>
        <w:rPr>
          <w:rFonts w:ascii="Arial" w:hAnsi="Arial" w:cs="Arial"/>
          <w:lang w:val="en-GB"/>
        </w:rPr>
      </w:pPr>
    </w:p>
    <w:p w14:paraId="78B39115" w14:textId="73081A02" w:rsidR="00BE785A" w:rsidRPr="00F1558B" w:rsidRDefault="008D77EC" w:rsidP="00BE785A">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This is a semantic argument</w:t>
      </w:r>
      <w:r w:rsidR="00755047">
        <w:rPr>
          <w:rFonts w:ascii="Arial" w:hAnsi="Arial" w:cs="Arial"/>
          <w:lang w:val="en-GB"/>
        </w:rPr>
        <w:t xml:space="preserve"> which pays no heed to the</w:t>
      </w:r>
      <w:r w:rsidR="009E7C26">
        <w:rPr>
          <w:rFonts w:ascii="Arial" w:hAnsi="Arial" w:cs="Arial"/>
          <w:lang w:val="en-GB"/>
        </w:rPr>
        <w:t xml:space="preserve"> versatile nature of the concept of a scheme of arrangement</w:t>
      </w:r>
      <w:r w:rsidR="00F1558B">
        <w:rPr>
          <w:rFonts w:ascii="Arial" w:hAnsi="Arial" w:cs="Arial"/>
          <w:lang w:val="en-GB"/>
        </w:rPr>
        <w:t>.</w:t>
      </w:r>
    </w:p>
    <w:p w14:paraId="18DAAADA" w14:textId="77777777" w:rsidR="00F1558B" w:rsidRPr="00F1558B" w:rsidRDefault="00F1558B" w:rsidP="00F1558B">
      <w:pPr>
        <w:pStyle w:val="ListParagraph"/>
        <w:spacing w:line="360" w:lineRule="auto"/>
        <w:ind w:left="0"/>
        <w:jc w:val="both"/>
        <w:rPr>
          <w:rFonts w:ascii="Arial" w:hAnsi="Arial" w:cs="Arial"/>
        </w:rPr>
      </w:pPr>
    </w:p>
    <w:p w14:paraId="1A83A58A" w14:textId="3CF3F2A7" w:rsidR="002D798D" w:rsidRPr="002D798D" w:rsidRDefault="008D77EC" w:rsidP="002D798D">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In terms of section 114(1) the board may propose any </w:t>
      </w:r>
      <w:r w:rsidR="00E308FA">
        <w:rPr>
          <w:rFonts w:ascii="Arial" w:hAnsi="Arial" w:cs="Arial"/>
          <w:lang w:val="en-GB"/>
        </w:rPr>
        <w:t>‘</w:t>
      </w:r>
      <w:r w:rsidRPr="002D798D">
        <w:rPr>
          <w:rFonts w:ascii="Arial" w:hAnsi="Arial" w:cs="Arial"/>
          <w:lang w:val="en-GB"/>
        </w:rPr>
        <w:t>any arrangement between the company and holders of any class of its securities</w:t>
      </w:r>
      <w:r w:rsidR="00E308FA">
        <w:rPr>
          <w:rFonts w:ascii="Arial" w:hAnsi="Arial" w:cs="Arial"/>
          <w:lang w:val="en-GB"/>
        </w:rPr>
        <w:t>’.</w:t>
      </w:r>
      <w:r w:rsidRPr="002D798D">
        <w:rPr>
          <w:rFonts w:ascii="Arial" w:hAnsi="Arial" w:cs="Arial"/>
          <w:lang w:val="en-GB"/>
        </w:rPr>
        <w:t xml:space="preserve"> </w:t>
      </w:r>
      <w:r w:rsidR="00F1558B">
        <w:rPr>
          <w:rFonts w:ascii="Arial" w:hAnsi="Arial" w:cs="Arial"/>
          <w:lang w:val="en-GB"/>
        </w:rPr>
        <w:t>T</w:t>
      </w:r>
      <w:r w:rsidRPr="002D798D">
        <w:rPr>
          <w:rFonts w:ascii="Arial" w:hAnsi="Arial" w:cs="Arial"/>
          <w:lang w:val="en-GB"/>
        </w:rPr>
        <w:t xml:space="preserve">here is nothing in the section which prevents </w:t>
      </w:r>
      <w:r w:rsidR="00DA6487">
        <w:rPr>
          <w:rFonts w:ascii="Arial" w:hAnsi="Arial" w:cs="Arial"/>
          <w:lang w:val="en-GB"/>
        </w:rPr>
        <w:t>a</w:t>
      </w:r>
      <w:r w:rsidR="000B2CE2">
        <w:rPr>
          <w:rFonts w:ascii="Arial" w:hAnsi="Arial" w:cs="Arial"/>
          <w:lang w:val="en-GB"/>
        </w:rPr>
        <w:t xml:space="preserve"> proposed </w:t>
      </w:r>
      <w:r w:rsidRPr="002D798D">
        <w:rPr>
          <w:rFonts w:ascii="Arial" w:hAnsi="Arial" w:cs="Arial"/>
          <w:lang w:val="en-GB"/>
        </w:rPr>
        <w:t xml:space="preserve">scheme being made conditional on an </w:t>
      </w:r>
      <w:r w:rsidRPr="002D798D">
        <w:rPr>
          <w:rFonts w:ascii="Arial" w:hAnsi="Arial" w:cs="Arial"/>
          <w:lang w:val="en-GB"/>
        </w:rPr>
        <w:lastRenderedPageBreak/>
        <w:t>agreement entered into by the company</w:t>
      </w:r>
      <w:r w:rsidR="00E308FA">
        <w:rPr>
          <w:rFonts w:ascii="Arial" w:hAnsi="Arial" w:cs="Arial"/>
          <w:lang w:val="en-GB"/>
        </w:rPr>
        <w:t xml:space="preserve"> with a third part</w:t>
      </w:r>
      <w:r w:rsidR="00130012">
        <w:rPr>
          <w:rFonts w:ascii="Arial" w:hAnsi="Arial" w:cs="Arial"/>
          <w:lang w:val="en-GB"/>
        </w:rPr>
        <w:t>y</w:t>
      </w:r>
      <w:r w:rsidR="009E7C26">
        <w:rPr>
          <w:rFonts w:ascii="Arial" w:hAnsi="Arial" w:cs="Arial"/>
          <w:lang w:val="en-GB"/>
        </w:rPr>
        <w:t xml:space="preserve"> or</w:t>
      </w:r>
      <w:r w:rsidR="00E308FA">
        <w:rPr>
          <w:rFonts w:ascii="Arial" w:hAnsi="Arial" w:cs="Arial"/>
          <w:lang w:val="en-GB"/>
        </w:rPr>
        <w:t>,</w:t>
      </w:r>
      <w:r w:rsidR="009E7C26">
        <w:rPr>
          <w:rFonts w:ascii="Arial" w:hAnsi="Arial" w:cs="Arial"/>
          <w:lang w:val="en-GB"/>
        </w:rPr>
        <w:t xml:space="preserve"> for that matter</w:t>
      </w:r>
      <w:r w:rsidR="00E308FA">
        <w:rPr>
          <w:rFonts w:ascii="Arial" w:hAnsi="Arial" w:cs="Arial"/>
          <w:lang w:val="en-GB"/>
        </w:rPr>
        <w:t>,</w:t>
      </w:r>
      <w:r w:rsidR="009E7C26">
        <w:rPr>
          <w:rFonts w:ascii="Arial" w:hAnsi="Arial" w:cs="Arial"/>
          <w:lang w:val="en-GB"/>
        </w:rPr>
        <w:t xml:space="preserve"> </w:t>
      </w:r>
      <w:r w:rsidR="00C96538">
        <w:rPr>
          <w:rFonts w:ascii="Arial" w:hAnsi="Arial" w:cs="Arial"/>
          <w:lang w:val="en-GB"/>
        </w:rPr>
        <w:t>any other agreement</w:t>
      </w:r>
      <w:r w:rsidR="000B2CE2">
        <w:rPr>
          <w:rFonts w:ascii="Arial" w:hAnsi="Arial" w:cs="Arial"/>
          <w:lang w:val="en-GB"/>
        </w:rPr>
        <w:t xml:space="preserve"> or event</w:t>
      </w:r>
      <w:r w:rsidR="00C96538">
        <w:rPr>
          <w:rFonts w:ascii="Arial" w:hAnsi="Arial" w:cs="Arial"/>
          <w:lang w:val="en-GB"/>
        </w:rPr>
        <w:t xml:space="preserve"> which lends functionality</w:t>
      </w:r>
      <w:r w:rsidR="000B2CE2">
        <w:rPr>
          <w:rFonts w:ascii="Arial" w:hAnsi="Arial" w:cs="Arial"/>
          <w:lang w:val="en-GB"/>
        </w:rPr>
        <w:t xml:space="preserve"> to the scheme</w:t>
      </w:r>
      <w:r w:rsidR="00E308FA">
        <w:rPr>
          <w:rFonts w:ascii="Arial" w:hAnsi="Arial" w:cs="Arial"/>
          <w:lang w:val="en-GB"/>
        </w:rPr>
        <w:t>.</w:t>
      </w:r>
    </w:p>
    <w:p w14:paraId="4DFE069D" w14:textId="13EA31C2" w:rsidR="002D798D" w:rsidRPr="002D798D" w:rsidRDefault="008D77EC" w:rsidP="002D798D">
      <w:pPr>
        <w:pStyle w:val="ListParagraph"/>
        <w:spacing w:line="360" w:lineRule="auto"/>
        <w:ind w:left="0"/>
        <w:jc w:val="both"/>
        <w:rPr>
          <w:rFonts w:ascii="Arial" w:hAnsi="Arial" w:cs="Arial"/>
        </w:rPr>
      </w:pPr>
      <w:r w:rsidRPr="002D798D">
        <w:rPr>
          <w:rFonts w:ascii="Arial" w:hAnsi="Arial" w:cs="Arial"/>
          <w:lang w:val="en-GB"/>
        </w:rPr>
        <w:t xml:space="preserve"> </w:t>
      </w:r>
    </w:p>
    <w:p w14:paraId="387DB95D" w14:textId="7F771FC4" w:rsidR="00D1214D" w:rsidRDefault="00E55E48" w:rsidP="00D1214D">
      <w:pPr>
        <w:pStyle w:val="ListParagraph"/>
        <w:numPr>
          <w:ilvl w:val="0"/>
          <w:numId w:val="2"/>
        </w:numPr>
        <w:spacing w:line="360" w:lineRule="auto"/>
        <w:ind w:left="0" w:firstLine="0"/>
        <w:jc w:val="both"/>
        <w:rPr>
          <w:rFonts w:ascii="Arial" w:hAnsi="Arial" w:cs="Arial"/>
          <w:lang w:val="en-GB"/>
        </w:rPr>
      </w:pPr>
      <w:r w:rsidRPr="00D1214D">
        <w:rPr>
          <w:rFonts w:ascii="Arial" w:hAnsi="Arial" w:cs="Arial"/>
          <w:lang w:val="en-GB"/>
        </w:rPr>
        <w:t>The Act</w:t>
      </w:r>
      <w:r w:rsidR="008D77EC" w:rsidRPr="00D1214D">
        <w:rPr>
          <w:rFonts w:ascii="Arial" w:hAnsi="Arial" w:cs="Arial"/>
          <w:lang w:val="en-GB"/>
        </w:rPr>
        <w:t xml:space="preserve"> does not </w:t>
      </w:r>
      <w:r w:rsidR="00D1214D" w:rsidRPr="00D1214D">
        <w:rPr>
          <w:rFonts w:ascii="Arial" w:hAnsi="Arial" w:cs="Arial"/>
          <w:lang w:val="en-GB"/>
        </w:rPr>
        <w:t>provide</w:t>
      </w:r>
      <w:r w:rsidR="008D77EC" w:rsidRPr="00D1214D">
        <w:rPr>
          <w:rFonts w:ascii="Arial" w:hAnsi="Arial" w:cs="Arial"/>
          <w:lang w:val="en-GB"/>
        </w:rPr>
        <w:t xml:space="preserve"> a definition of a </w:t>
      </w:r>
      <w:r w:rsidR="000B2CE2" w:rsidRPr="00D1214D">
        <w:rPr>
          <w:rFonts w:ascii="Arial" w:hAnsi="Arial" w:cs="Arial"/>
          <w:lang w:val="en-GB"/>
        </w:rPr>
        <w:t>‘</w:t>
      </w:r>
      <w:r w:rsidR="008D77EC" w:rsidRPr="00D1214D">
        <w:rPr>
          <w:rFonts w:ascii="Arial" w:hAnsi="Arial" w:cs="Arial"/>
          <w:lang w:val="en-GB"/>
        </w:rPr>
        <w:t xml:space="preserve">scheme of arrangement'. The only element that is required to make a scheme a </w:t>
      </w:r>
      <w:r w:rsidR="00DA6487" w:rsidRPr="00D1214D">
        <w:rPr>
          <w:rFonts w:ascii="Arial" w:hAnsi="Arial" w:cs="Arial"/>
          <w:lang w:val="en-GB"/>
        </w:rPr>
        <w:t>‘</w:t>
      </w:r>
      <w:r w:rsidR="008D77EC" w:rsidRPr="00D1214D">
        <w:rPr>
          <w:rFonts w:ascii="Arial" w:hAnsi="Arial" w:cs="Arial"/>
          <w:lang w:val="en-GB"/>
        </w:rPr>
        <w:t>scheme of arrangement</w:t>
      </w:r>
      <w:r w:rsidR="00DA6487" w:rsidRPr="00D1214D">
        <w:rPr>
          <w:rFonts w:ascii="Arial" w:hAnsi="Arial" w:cs="Arial"/>
          <w:lang w:val="en-GB"/>
        </w:rPr>
        <w:t>’</w:t>
      </w:r>
      <w:r w:rsidR="008D77EC" w:rsidRPr="00D1214D">
        <w:rPr>
          <w:rFonts w:ascii="Arial" w:hAnsi="Arial" w:cs="Arial"/>
          <w:lang w:val="en-GB"/>
        </w:rPr>
        <w:t xml:space="preserve"> under section 114 is that it must be</w:t>
      </w:r>
      <w:r w:rsidR="00DA6487" w:rsidRPr="00D1214D">
        <w:rPr>
          <w:rFonts w:ascii="Arial" w:hAnsi="Arial" w:cs="Arial"/>
          <w:lang w:val="en-GB"/>
        </w:rPr>
        <w:t xml:space="preserve"> ‘</w:t>
      </w:r>
      <w:r w:rsidR="008D77EC" w:rsidRPr="00D1214D">
        <w:rPr>
          <w:rFonts w:ascii="Arial" w:hAnsi="Arial" w:cs="Arial"/>
          <w:lang w:val="en-GB"/>
        </w:rPr>
        <w:t>any arrangement between the company and holders…of its securities’.</w:t>
      </w:r>
      <w:r w:rsidR="002D798D" w:rsidRPr="00D1214D">
        <w:rPr>
          <w:rFonts w:ascii="Arial" w:hAnsi="Arial" w:cs="Arial"/>
          <w:lang w:val="en-GB"/>
        </w:rPr>
        <w:t xml:space="preserve"> </w:t>
      </w:r>
    </w:p>
    <w:p w14:paraId="6A10EC98" w14:textId="77777777" w:rsidR="008B1A3D" w:rsidRPr="008B1A3D" w:rsidRDefault="008B1A3D" w:rsidP="008B1A3D">
      <w:pPr>
        <w:pStyle w:val="ListParagraph"/>
        <w:rPr>
          <w:rFonts w:ascii="Arial" w:hAnsi="Arial" w:cs="Arial"/>
          <w:lang w:val="en-GB"/>
        </w:rPr>
      </w:pPr>
    </w:p>
    <w:p w14:paraId="180A9C0A" w14:textId="77777777" w:rsidR="008B1A3D" w:rsidRPr="00D1214D" w:rsidRDefault="008B1A3D" w:rsidP="008B1A3D">
      <w:pPr>
        <w:pStyle w:val="ListParagraph"/>
        <w:spacing w:line="360" w:lineRule="auto"/>
        <w:ind w:left="0"/>
        <w:jc w:val="both"/>
        <w:rPr>
          <w:rFonts w:ascii="Arial" w:hAnsi="Arial" w:cs="Arial"/>
          <w:lang w:val="en-GB"/>
        </w:rPr>
      </w:pPr>
    </w:p>
    <w:p w14:paraId="49DC6676" w14:textId="60CFEAB8" w:rsidR="0081558A" w:rsidRPr="0081558A" w:rsidRDefault="008D77EC" w:rsidP="0081558A">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 The versatility of schemes of arrangement under section 311 of the </w:t>
      </w:r>
      <w:r w:rsidR="00DA6487">
        <w:rPr>
          <w:rFonts w:ascii="Arial" w:hAnsi="Arial" w:cs="Arial"/>
          <w:lang w:val="en-GB"/>
        </w:rPr>
        <w:t>1973</w:t>
      </w:r>
      <w:r w:rsidRPr="002D798D">
        <w:rPr>
          <w:rFonts w:ascii="Arial" w:hAnsi="Arial" w:cs="Arial"/>
          <w:lang w:val="en-GB"/>
        </w:rPr>
        <w:t xml:space="preserve"> Act received the approval of the Appellate Division (as it then was) in </w:t>
      </w:r>
      <w:r w:rsidRPr="002D798D">
        <w:rPr>
          <w:rFonts w:ascii="Arial" w:hAnsi="Arial" w:cs="Arial"/>
          <w:i/>
          <w:lang w:val="en-GB"/>
        </w:rPr>
        <w:t>Namex (Edms) Bpk v Kommissaris van Binnelandse Inkomste</w:t>
      </w:r>
      <w:r w:rsidR="0081558A">
        <w:rPr>
          <w:rFonts w:ascii="Arial" w:hAnsi="Arial" w:cs="Arial"/>
          <w:i/>
          <w:lang w:val="en-GB"/>
        </w:rPr>
        <w:t>.</w:t>
      </w:r>
      <w:r w:rsidR="00DA6487">
        <w:rPr>
          <w:rStyle w:val="FootnoteReference"/>
          <w:rFonts w:ascii="Arial" w:hAnsi="Arial" w:cs="Arial"/>
          <w:i/>
          <w:lang w:val="en-GB"/>
        </w:rPr>
        <w:footnoteReference w:id="8"/>
      </w:r>
      <w:r w:rsidRPr="002D798D">
        <w:rPr>
          <w:rFonts w:ascii="Arial" w:hAnsi="Arial" w:cs="Arial"/>
          <w:lang w:val="en-GB"/>
        </w:rPr>
        <w:t xml:space="preserve"> </w:t>
      </w:r>
      <w:r w:rsidR="0081558A">
        <w:rPr>
          <w:rFonts w:ascii="Arial" w:hAnsi="Arial" w:cs="Arial"/>
        </w:rPr>
        <w:t>This case involved a</w:t>
      </w:r>
      <w:r w:rsidRPr="0081558A">
        <w:rPr>
          <w:rFonts w:ascii="Arial" w:hAnsi="Arial" w:cs="Arial"/>
          <w:lang w:val="en-GB"/>
        </w:rPr>
        <w:t xml:space="preserve"> scheme of arrangement  entered into by the liquidators of an insolvent company. The Court noted:</w:t>
      </w:r>
    </w:p>
    <w:p w14:paraId="2753AA0A" w14:textId="77777777" w:rsidR="0081558A" w:rsidRPr="0081558A" w:rsidRDefault="0081558A" w:rsidP="0081558A">
      <w:pPr>
        <w:pStyle w:val="ListParagraph"/>
        <w:rPr>
          <w:rFonts w:ascii="Arial" w:hAnsi="Arial" w:cs="Arial"/>
          <w:lang w:val="en-GB"/>
        </w:rPr>
      </w:pPr>
    </w:p>
    <w:p w14:paraId="7053C208" w14:textId="06E63DC5" w:rsidR="002D798D" w:rsidRPr="0081558A" w:rsidRDefault="008D77EC" w:rsidP="0081558A">
      <w:pPr>
        <w:pStyle w:val="ListParagraph"/>
        <w:spacing w:line="360" w:lineRule="auto"/>
        <w:ind w:left="0"/>
        <w:jc w:val="both"/>
        <w:rPr>
          <w:rFonts w:ascii="Arial" w:hAnsi="Arial" w:cs="Arial"/>
        </w:rPr>
      </w:pPr>
      <w:r w:rsidRPr="0081558A">
        <w:rPr>
          <w:rFonts w:ascii="Arial" w:hAnsi="Arial" w:cs="Arial"/>
          <w:lang w:val="en-GB"/>
        </w:rPr>
        <w:t xml:space="preserve"> </w:t>
      </w:r>
      <w:r w:rsidR="0081558A">
        <w:rPr>
          <w:rFonts w:ascii="Arial" w:hAnsi="Arial" w:cs="Arial"/>
          <w:lang w:val="en-GB"/>
        </w:rPr>
        <w:t>‘</w:t>
      </w:r>
      <w:r w:rsidRPr="0081558A">
        <w:rPr>
          <w:rFonts w:ascii="Arial" w:hAnsi="Arial" w:cs="Arial"/>
          <w:sz w:val="22"/>
          <w:szCs w:val="22"/>
          <w:lang w:val="en-GB"/>
        </w:rPr>
        <w:t>ln die sakewereld het art 311 skemas veel nut en waarde en met die oog daarop behoort ons howe nie 'n enge vertolking aan die bepalings van die artikel te gee nie.</w:t>
      </w:r>
      <w:r w:rsidRPr="008D77EC">
        <w:rPr>
          <w:rStyle w:val="FootnoteReference"/>
          <w:rFonts w:ascii="Arial" w:hAnsi="Arial" w:cs="Arial"/>
          <w:lang w:val="en-GB"/>
        </w:rPr>
        <w:footnoteReference w:id="9"/>
      </w:r>
    </w:p>
    <w:p w14:paraId="3BE27ED0" w14:textId="77777777" w:rsidR="002D798D" w:rsidRPr="002D798D" w:rsidRDefault="002D798D" w:rsidP="002D798D">
      <w:pPr>
        <w:pStyle w:val="ListParagraph"/>
        <w:rPr>
          <w:rFonts w:ascii="Arial" w:hAnsi="Arial" w:cs="Arial"/>
          <w:lang w:val="en-GB"/>
        </w:rPr>
      </w:pPr>
    </w:p>
    <w:p w14:paraId="209AFC24" w14:textId="06309675" w:rsidR="002D798D" w:rsidRPr="002D798D" w:rsidRDefault="008D77EC" w:rsidP="008D77EC">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It is clear from th</w:t>
      </w:r>
      <w:r w:rsidR="0081558A">
        <w:rPr>
          <w:rFonts w:ascii="Arial" w:hAnsi="Arial" w:cs="Arial"/>
          <w:lang w:val="en-GB"/>
        </w:rPr>
        <w:t>is</w:t>
      </w:r>
      <w:r w:rsidRPr="002D798D">
        <w:rPr>
          <w:rFonts w:ascii="Arial" w:hAnsi="Arial" w:cs="Arial"/>
          <w:lang w:val="en-GB"/>
        </w:rPr>
        <w:t xml:space="preserve"> decision that the Court regarded schemes of </w:t>
      </w:r>
      <w:r w:rsidR="0035743A" w:rsidRPr="002D798D">
        <w:rPr>
          <w:rFonts w:ascii="Arial" w:hAnsi="Arial" w:cs="Arial"/>
          <w:lang w:val="en-GB"/>
        </w:rPr>
        <w:t>arrangement as</w:t>
      </w:r>
      <w:r w:rsidRPr="002D798D">
        <w:rPr>
          <w:rFonts w:ascii="Arial" w:hAnsi="Arial" w:cs="Arial"/>
          <w:lang w:val="en-GB"/>
        </w:rPr>
        <w:t xml:space="preserve"> versatile commercial vehicles for a variety of transactions, and the Court cautioned against limiting their scope.</w:t>
      </w:r>
    </w:p>
    <w:p w14:paraId="31877911" w14:textId="77777777" w:rsidR="00B14FE8" w:rsidRPr="00E55E48" w:rsidRDefault="00B14FE8" w:rsidP="00E55E48">
      <w:pPr>
        <w:rPr>
          <w:rFonts w:ascii="Arial" w:hAnsi="Arial" w:cs="Arial"/>
          <w:lang w:val="en-GB"/>
        </w:rPr>
      </w:pPr>
    </w:p>
    <w:p w14:paraId="67DC8F4F" w14:textId="4C4FB246" w:rsidR="00130012" w:rsidRPr="00EF2A50" w:rsidRDefault="008D77EC" w:rsidP="00293A72">
      <w:pPr>
        <w:pStyle w:val="ListParagraph"/>
        <w:numPr>
          <w:ilvl w:val="0"/>
          <w:numId w:val="2"/>
        </w:numPr>
        <w:spacing w:line="360" w:lineRule="auto"/>
        <w:ind w:left="0" w:firstLine="0"/>
        <w:jc w:val="both"/>
        <w:rPr>
          <w:rFonts w:ascii="Arial" w:hAnsi="Arial" w:cs="Arial"/>
        </w:rPr>
      </w:pPr>
      <w:r w:rsidRPr="00CB217A">
        <w:rPr>
          <w:rFonts w:ascii="Arial" w:hAnsi="Arial" w:cs="Arial"/>
          <w:lang w:val="en-GB"/>
        </w:rPr>
        <w:t xml:space="preserve">A scheme of arrangement may contain reference to a variety of conditions which fall outside the scope of </w:t>
      </w:r>
      <w:r w:rsidR="006C5318">
        <w:rPr>
          <w:rFonts w:ascii="Arial" w:hAnsi="Arial" w:cs="Arial"/>
          <w:lang w:val="en-GB"/>
        </w:rPr>
        <w:t>the actual agreement</w:t>
      </w:r>
      <w:r w:rsidRPr="00CB217A">
        <w:rPr>
          <w:rFonts w:ascii="Arial" w:hAnsi="Arial" w:cs="Arial"/>
          <w:lang w:val="en-GB"/>
        </w:rPr>
        <w:t xml:space="preserve"> between the company and </w:t>
      </w:r>
      <w:r w:rsidR="00CB217A">
        <w:rPr>
          <w:rFonts w:ascii="Arial" w:hAnsi="Arial" w:cs="Arial"/>
          <w:lang w:val="en-GB"/>
        </w:rPr>
        <w:t>its</w:t>
      </w:r>
      <w:r w:rsidRPr="00CB217A">
        <w:rPr>
          <w:rFonts w:ascii="Arial" w:hAnsi="Arial" w:cs="Arial"/>
          <w:lang w:val="en-GB"/>
        </w:rPr>
        <w:t xml:space="preserve"> shareholders as contemplated by the scheme. Whether this is the</w:t>
      </w:r>
      <w:r w:rsidR="00CB217A">
        <w:rPr>
          <w:rFonts w:ascii="Arial" w:hAnsi="Arial" w:cs="Arial"/>
          <w:lang w:val="en-GB"/>
        </w:rPr>
        <w:t xml:space="preserve"> </w:t>
      </w:r>
      <w:r w:rsidR="0035743A">
        <w:rPr>
          <w:rFonts w:ascii="Arial" w:hAnsi="Arial" w:cs="Arial"/>
          <w:lang w:val="en-GB"/>
        </w:rPr>
        <w:t>occurrence</w:t>
      </w:r>
      <w:r w:rsidRPr="00CB217A">
        <w:rPr>
          <w:rFonts w:ascii="Arial" w:hAnsi="Arial" w:cs="Arial"/>
          <w:lang w:val="en-GB"/>
        </w:rPr>
        <w:t xml:space="preserve"> of an event or the conclusion of an agreement by strangers to the scheme</w:t>
      </w:r>
      <w:r w:rsidR="00CB217A">
        <w:rPr>
          <w:rFonts w:ascii="Arial" w:hAnsi="Arial" w:cs="Arial"/>
          <w:lang w:val="en-GB"/>
        </w:rPr>
        <w:t>,</w:t>
      </w:r>
      <w:r w:rsidRPr="00CB217A">
        <w:rPr>
          <w:rFonts w:ascii="Arial" w:hAnsi="Arial" w:cs="Arial"/>
          <w:lang w:val="en-GB"/>
        </w:rPr>
        <w:t xml:space="preserve"> is irrelevant.</w:t>
      </w:r>
    </w:p>
    <w:p w14:paraId="6ADD70D5" w14:textId="77777777" w:rsidR="00EF2A50" w:rsidRPr="00EF2A50" w:rsidRDefault="00EF2A50" w:rsidP="00EF2A50">
      <w:pPr>
        <w:pStyle w:val="ListParagraph"/>
        <w:rPr>
          <w:rFonts w:ascii="Arial" w:hAnsi="Arial" w:cs="Arial"/>
        </w:rPr>
      </w:pPr>
    </w:p>
    <w:p w14:paraId="54757EE0" w14:textId="0EECFC67" w:rsidR="006C0737" w:rsidRDefault="00AC4DC1" w:rsidP="006C0737">
      <w:pPr>
        <w:pStyle w:val="ListParagraph"/>
        <w:numPr>
          <w:ilvl w:val="0"/>
          <w:numId w:val="2"/>
        </w:numPr>
        <w:spacing w:line="360" w:lineRule="auto"/>
        <w:ind w:left="0" w:firstLine="0"/>
        <w:jc w:val="both"/>
        <w:rPr>
          <w:rFonts w:ascii="Arial" w:hAnsi="Arial" w:cs="Arial"/>
        </w:rPr>
      </w:pPr>
      <w:r>
        <w:rPr>
          <w:rFonts w:ascii="Arial" w:hAnsi="Arial" w:cs="Arial"/>
        </w:rPr>
        <w:t>The argument also fails to take account of the fact of the approval</w:t>
      </w:r>
      <w:r w:rsidR="006C0737">
        <w:rPr>
          <w:rFonts w:ascii="Arial" w:hAnsi="Arial" w:cs="Arial"/>
        </w:rPr>
        <w:t xml:space="preserve"> under the statute</w:t>
      </w:r>
      <w:r>
        <w:rPr>
          <w:rFonts w:ascii="Arial" w:hAnsi="Arial" w:cs="Arial"/>
        </w:rPr>
        <w:t>.</w:t>
      </w:r>
      <w:r w:rsidR="0021170B">
        <w:rPr>
          <w:rFonts w:ascii="Arial" w:hAnsi="Arial" w:cs="Arial"/>
        </w:rPr>
        <w:t xml:space="preserve"> </w:t>
      </w:r>
      <w:r w:rsidRPr="006C0737">
        <w:rPr>
          <w:rFonts w:ascii="Arial" w:hAnsi="Arial" w:cs="Arial"/>
        </w:rPr>
        <w:t>Even on the approach of the plaintiff, the scheme was approved in purported compliance with the legislative requirements and it is accordingly enforceable by and against the scheme participants in terms of s 115(9)</w:t>
      </w:r>
      <w:r w:rsidR="006C0737" w:rsidRPr="006C0737">
        <w:rPr>
          <w:rFonts w:ascii="Arial" w:hAnsi="Arial" w:cs="Arial"/>
        </w:rPr>
        <w:t xml:space="preserve"> unless reviewed and set aside</w:t>
      </w:r>
      <w:r w:rsidRPr="006C0737">
        <w:rPr>
          <w:rFonts w:ascii="Arial" w:hAnsi="Arial" w:cs="Arial"/>
        </w:rPr>
        <w:t xml:space="preserve">.  </w:t>
      </w:r>
    </w:p>
    <w:p w14:paraId="3A9134F6" w14:textId="77777777" w:rsidR="006C0737" w:rsidRPr="006C0737" w:rsidRDefault="006C0737" w:rsidP="006C0737">
      <w:pPr>
        <w:pStyle w:val="ListParagraph"/>
        <w:rPr>
          <w:rFonts w:ascii="Arial" w:hAnsi="Arial" w:cs="Arial"/>
        </w:rPr>
      </w:pPr>
    </w:p>
    <w:p w14:paraId="2465A7A7" w14:textId="281AC293" w:rsidR="00EF2A50" w:rsidRDefault="00FC0E44" w:rsidP="00736F5C">
      <w:pPr>
        <w:pStyle w:val="ListParagraph"/>
        <w:numPr>
          <w:ilvl w:val="0"/>
          <w:numId w:val="2"/>
        </w:numPr>
        <w:spacing w:line="360" w:lineRule="auto"/>
        <w:ind w:left="0" w:firstLine="0"/>
        <w:jc w:val="both"/>
        <w:rPr>
          <w:rFonts w:ascii="Arial" w:hAnsi="Arial" w:cs="Arial"/>
          <w:sz w:val="22"/>
          <w:szCs w:val="22"/>
        </w:rPr>
      </w:pPr>
      <w:r w:rsidRPr="006C0737">
        <w:rPr>
          <w:rFonts w:ascii="Arial" w:hAnsi="Arial" w:cs="Arial"/>
        </w:rPr>
        <w:lastRenderedPageBreak/>
        <w:t>As Binns-Ward</w:t>
      </w:r>
      <w:r w:rsidR="00A000A6">
        <w:rPr>
          <w:rFonts w:ascii="Arial" w:hAnsi="Arial" w:cs="Arial"/>
        </w:rPr>
        <w:t xml:space="preserve"> J</w:t>
      </w:r>
      <w:r w:rsidRPr="006C0737">
        <w:rPr>
          <w:rFonts w:ascii="Arial" w:hAnsi="Arial" w:cs="Arial"/>
        </w:rPr>
        <w:t xml:space="preserve"> aptly put the position</w:t>
      </w:r>
      <w:r w:rsidR="00C4048A">
        <w:rPr>
          <w:rFonts w:ascii="Arial" w:hAnsi="Arial" w:cs="Arial"/>
        </w:rPr>
        <w:t xml:space="preserve"> in </w:t>
      </w:r>
      <w:r w:rsidR="00C4048A" w:rsidRPr="00C4048A">
        <w:rPr>
          <w:rFonts w:ascii="Arial" w:hAnsi="Arial" w:cs="Arial"/>
          <w:i/>
        </w:rPr>
        <w:t>Sand Grove</w:t>
      </w:r>
      <w:r w:rsidR="006C0737" w:rsidRPr="006C0737">
        <w:rPr>
          <w:rFonts w:ascii="Arial" w:hAnsi="Arial" w:cs="Arial"/>
        </w:rPr>
        <w:t xml:space="preserve"> when making an analogy with an administrative review</w:t>
      </w:r>
      <w:r w:rsidR="00736F5C">
        <w:rPr>
          <w:rFonts w:ascii="Arial" w:hAnsi="Arial" w:cs="Arial"/>
        </w:rPr>
        <w:t xml:space="preserve"> -</w:t>
      </w:r>
      <w:r w:rsidRPr="006C0737">
        <w:rPr>
          <w:rFonts w:ascii="Arial" w:hAnsi="Arial" w:cs="Arial"/>
        </w:rPr>
        <w:t xml:space="preserve"> </w:t>
      </w:r>
      <w:r w:rsidR="006C0737" w:rsidRPr="006C0737">
        <w:rPr>
          <w:rFonts w:ascii="Arial" w:hAnsi="Arial" w:cs="Arial"/>
        </w:rPr>
        <w:t>‘</w:t>
      </w:r>
      <w:r w:rsidR="006C0737" w:rsidRPr="006C0737">
        <w:rPr>
          <w:rFonts w:ascii="Arial" w:hAnsi="Arial" w:cs="Arial"/>
          <w:lang w:val="en-GB"/>
        </w:rPr>
        <w:t xml:space="preserve"> </w:t>
      </w:r>
      <w:r w:rsidR="00C4048A">
        <w:rPr>
          <w:rFonts w:ascii="Arial" w:hAnsi="Arial" w:cs="Arial"/>
          <w:lang w:val="en-GB"/>
        </w:rPr>
        <w:t>…</w:t>
      </w:r>
      <w:r w:rsidR="006C0737" w:rsidRPr="00736F5C">
        <w:rPr>
          <w:rFonts w:ascii="Arial" w:hAnsi="Arial" w:cs="Arial"/>
          <w:sz w:val="22"/>
          <w:szCs w:val="22"/>
          <w:lang w:val="en-GB"/>
        </w:rPr>
        <w:t>the point is that the forms in which challenges to reviewable decisions can be brought are manifold.  Whatever the form, in essence it remains an application for review</w:t>
      </w:r>
      <w:r w:rsidR="008E6C5F">
        <w:rPr>
          <w:rFonts w:ascii="Arial" w:hAnsi="Arial" w:cs="Arial"/>
          <w:sz w:val="22"/>
          <w:szCs w:val="22"/>
          <w:lang w:val="en-GB"/>
        </w:rPr>
        <w:t>.</w:t>
      </w:r>
      <w:r w:rsidR="00736F5C">
        <w:rPr>
          <w:rStyle w:val="FootnoteReference"/>
          <w:rFonts w:ascii="Arial" w:hAnsi="Arial" w:cs="Arial"/>
          <w:sz w:val="22"/>
          <w:szCs w:val="22"/>
          <w:lang w:val="en-GB"/>
        </w:rPr>
        <w:footnoteReference w:id="10"/>
      </w:r>
    </w:p>
    <w:p w14:paraId="4E4A9FD4" w14:textId="77777777" w:rsidR="00736F5C" w:rsidRPr="00736F5C" w:rsidRDefault="00736F5C" w:rsidP="00736F5C">
      <w:pPr>
        <w:pStyle w:val="ListParagraph"/>
        <w:rPr>
          <w:rFonts w:ascii="Arial" w:hAnsi="Arial" w:cs="Arial"/>
          <w:sz w:val="22"/>
          <w:szCs w:val="22"/>
        </w:rPr>
      </w:pPr>
    </w:p>
    <w:p w14:paraId="28DAEB0B" w14:textId="48A08466" w:rsidR="00723F09" w:rsidRDefault="00A000A6" w:rsidP="00723F09">
      <w:pPr>
        <w:pStyle w:val="ListParagraph"/>
        <w:numPr>
          <w:ilvl w:val="0"/>
          <w:numId w:val="2"/>
        </w:numPr>
        <w:spacing w:line="360" w:lineRule="auto"/>
        <w:ind w:left="0" w:firstLine="0"/>
        <w:jc w:val="both"/>
        <w:rPr>
          <w:rFonts w:ascii="Arial" w:hAnsi="Arial" w:cs="Arial"/>
          <w:sz w:val="22"/>
          <w:szCs w:val="22"/>
        </w:rPr>
      </w:pPr>
      <w:r>
        <w:rPr>
          <w:rFonts w:ascii="Arial" w:hAnsi="Arial" w:cs="Arial"/>
        </w:rPr>
        <w:t xml:space="preserve"> regardless of how a </w:t>
      </w:r>
      <w:r w:rsidR="007F7163">
        <w:rPr>
          <w:rFonts w:ascii="Arial" w:hAnsi="Arial" w:cs="Arial"/>
        </w:rPr>
        <w:t>challenge</w:t>
      </w:r>
      <w:r>
        <w:rPr>
          <w:rFonts w:ascii="Arial" w:hAnsi="Arial" w:cs="Arial"/>
        </w:rPr>
        <w:t xml:space="preserve"> is cast</w:t>
      </w:r>
      <w:r w:rsidR="007F7163">
        <w:rPr>
          <w:rFonts w:ascii="Arial" w:hAnsi="Arial" w:cs="Arial"/>
        </w:rPr>
        <w:t>,</w:t>
      </w:r>
      <w:r>
        <w:rPr>
          <w:rFonts w:ascii="Arial" w:hAnsi="Arial" w:cs="Arial"/>
        </w:rPr>
        <w:t xml:space="preserve"> i</w:t>
      </w:r>
      <w:r w:rsidR="006C5318">
        <w:rPr>
          <w:rFonts w:ascii="Arial" w:hAnsi="Arial" w:cs="Arial"/>
        </w:rPr>
        <w:t xml:space="preserve">f it </w:t>
      </w:r>
      <w:r w:rsidR="007F7163">
        <w:rPr>
          <w:rFonts w:ascii="Arial" w:hAnsi="Arial" w:cs="Arial"/>
        </w:rPr>
        <w:t>entails either directly or indirectly an attack against</w:t>
      </w:r>
      <w:r>
        <w:rPr>
          <w:rFonts w:ascii="Arial" w:hAnsi="Arial" w:cs="Arial"/>
        </w:rPr>
        <w:t xml:space="preserve">  </w:t>
      </w:r>
      <w:r w:rsidRPr="00F04142">
        <w:rPr>
          <w:rFonts w:ascii="Arial" w:hAnsi="Arial" w:cs="Arial"/>
          <w:u w:val="single"/>
        </w:rPr>
        <w:t xml:space="preserve">the </w:t>
      </w:r>
      <w:r w:rsidR="00E777C4" w:rsidRPr="00F04142">
        <w:rPr>
          <w:rFonts w:ascii="Arial" w:hAnsi="Arial" w:cs="Arial"/>
          <w:u w:val="single"/>
        </w:rPr>
        <w:t>resolution</w:t>
      </w:r>
      <w:r w:rsidR="00E777C4">
        <w:rPr>
          <w:rFonts w:ascii="Arial" w:hAnsi="Arial" w:cs="Arial"/>
        </w:rPr>
        <w:t xml:space="preserve"> approving the scheme</w:t>
      </w:r>
      <w:r w:rsidR="007F7163">
        <w:rPr>
          <w:rFonts w:ascii="Arial" w:hAnsi="Arial" w:cs="Arial"/>
        </w:rPr>
        <w:t xml:space="preserve"> then it can only be brought </w:t>
      </w:r>
      <w:r w:rsidR="00F97FF9">
        <w:rPr>
          <w:rFonts w:ascii="Arial" w:hAnsi="Arial" w:cs="Arial"/>
        </w:rPr>
        <w:t xml:space="preserve"> under section 115.</w:t>
      </w:r>
    </w:p>
    <w:p w14:paraId="7177CE80" w14:textId="77777777" w:rsidR="00723F09" w:rsidRPr="00723F09" w:rsidRDefault="00723F09" w:rsidP="00723F09">
      <w:pPr>
        <w:pStyle w:val="ListParagraph"/>
        <w:rPr>
          <w:rFonts w:ascii="Arial" w:hAnsi="Arial" w:cs="Arial"/>
          <w:sz w:val="22"/>
          <w:szCs w:val="22"/>
        </w:rPr>
      </w:pPr>
    </w:p>
    <w:p w14:paraId="338CF0A9" w14:textId="5F2837E4" w:rsidR="00A128E3" w:rsidRPr="00723F09" w:rsidRDefault="00A128E3" w:rsidP="00723F09">
      <w:pPr>
        <w:pStyle w:val="ListParagraph"/>
        <w:numPr>
          <w:ilvl w:val="0"/>
          <w:numId w:val="2"/>
        </w:numPr>
        <w:spacing w:line="360" w:lineRule="auto"/>
        <w:ind w:left="0" w:firstLine="0"/>
        <w:jc w:val="both"/>
        <w:rPr>
          <w:rFonts w:ascii="Arial" w:hAnsi="Arial" w:cs="Arial"/>
        </w:rPr>
      </w:pPr>
      <w:r w:rsidRPr="00723F09">
        <w:rPr>
          <w:rFonts w:ascii="Arial" w:hAnsi="Arial" w:cs="Arial"/>
        </w:rPr>
        <w:t>The corollary</w:t>
      </w:r>
      <w:r w:rsidR="00723F09">
        <w:rPr>
          <w:rFonts w:ascii="Arial" w:hAnsi="Arial" w:cs="Arial"/>
        </w:rPr>
        <w:t xml:space="preserve"> to the argument that the action is not </w:t>
      </w:r>
      <w:r w:rsidRPr="00723F09">
        <w:rPr>
          <w:rFonts w:ascii="Arial" w:hAnsi="Arial" w:cs="Arial"/>
        </w:rPr>
        <w:t xml:space="preserve"> a review of the resolution </w:t>
      </w:r>
      <w:r w:rsidR="00723F09">
        <w:rPr>
          <w:rFonts w:ascii="Arial" w:hAnsi="Arial" w:cs="Arial"/>
        </w:rPr>
        <w:t>is that the</w:t>
      </w:r>
      <w:r w:rsidRPr="00723F09">
        <w:rPr>
          <w:rFonts w:ascii="Arial" w:hAnsi="Arial" w:cs="Arial"/>
        </w:rPr>
        <w:t xml:space="preserve"> resolution stands.</w:t>
      </w:r>
    </w:p>
    <w:p w14:paraId="62F0AA39" w14:textId="19C3456B" w:rsidR="00522131" w:rsidRPr="00736F5C" w:rsidRDefault="00522131" w:rsidP="00C11CBE">
      <w:pPr>
        <w:pStyle w:val="ListParagraph"/>
        <w:spacing w:line="360" w:lineRule="auto"/>
        <w:ind w:left="0"/>
        <w:jc w:val="both"/>
        <w:rPr>
          <w:rFonts w:ascii="Arial" w:hAnsi="Arial" w:cs="Arial"/>
          <w:sz w:val="22"/>
          <w:szCs w:val="22"/>
        </w:rPr>
      </w:pPr>
    </w:p>
    <w:p w14:paraId="2F51F799" w14:textId="77777777" w:rsidR="00724C54" w:rsidRPr="00724C54" w:rsidRDefault="00724C54" w:rsidP="00724C54">
      <w:pPr>
        <w:pStyle w:val="ListParagraph"/>
        <w:rPr>
          <w:rFonts w:ascii="Arial" w:hAnsi="Arial" w:cs="Arial"/>
        </w:rPr>
      </w:pPr>
    </w:p>
    <w:p w14:paraId="19035148" w14:textId="01680361" w:rsidR="00724C54" w:rsidRPr="00724C54" w:rsidRDefault="00724C54" w:rsidP="00724C54">
      <w:pPr>
        <w:spacing w:line="360" w:lineRule="auto"/>
        <w:jc w:val="both"/>
        <w:rPr>
          <w:rFonts w:ascii="Arial" w:hAnsi="Arial" w:cs="Arial"/>
          <w:b/>
        </w:rPr>
      </w:pPr>
      <w:r w:rsidRPr="00724C54">
        <w:rPr>
          <w:rFonts w:ascii="Arial" w:hAnsi="Arial" w:cs="Arial"/>
          <w:b/>
        </w:rPr>
        <w:t>Conclusion</w:t>
      </w:r>
    </w:p>
    <w:p w14:paraId="57CD5F07" w14:textId="77777777" w:rsidR="00DE1280" w:rsidRPr="00DE1280" w:rsidRDefault="00DE1280" w:rsidP="00DE1280">
      <w:pPr>
        <w:pStyle w:val="ListParagraph"/>
        <w:rPr>
          <w:rFonts w:ascii="Arial" w:hAnsi="Arial" w:cs="Arial"/>
        </w:rPr>
      </w:pPr>
    </w:p>
    <w:p w14:paraId="10C70099" w14:textId="5595A9AE" w:rsidR="00673D9F" w:rsidRPr="00522131" w:rsidRDefault="00DE1280" w:rsidP="00522131">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I agree with</w:t>
      </w:r>
      <w:r w:rsidR="0035743A">
        <w:rPr>
          <w:rFonts w:ascii="Arial" w:hAnsi="Arial" w:cs="Arial"/>
          <w:lang w:val="en-GB"/>
        </w:rPr>
        <w:t xml:space="preserve"> the defendants</w:t>
      </w:r>
      <w:r w:rsidRPr="002D798D">
        <w:rPr>
          <w:rFonts w:ascii="Arial" w:hAnsi="Arial" w:cs="Arial"/>
          <w:lang w:val="en-GB"/>
        </w:rPr>
        <w:t xml:space="preserve"> that the plaintiff’s case</w:t>
      </w:r>
      <w:r>
        <w:rPr>
          <w:rFonts w:ascii="Arial" w:hAnsi="Arial" w:cs="Arial"/>
          <w:lang w:val="en-GB"/>
        </w:rPr>
        <w:t>, properly stated, is</w:t>
      </w:r>
      <w:r w:rsidRPr="002D798D">
        <w:rPr>
          <w:rFonts w:ascii="Arial" w:hAnsi="Arial" w:cs="Arial"/>
          <w:lang w:val="en-GB"/>
        </w:rPr>
        <w:t xml:space="preserve"> that the resolution was wrongly adopted because it was ‘materially tainted</w:t>
      </w:r>
      <w:r>
        <w:rPr>
          <w:rFonts w:ascii="Arial" w:hAnsi="Arial" w:cs="Arial"/>
          <w:lang w:val="en-GB"/>
        </w:rPr>
        <w:t>’</w:t>
      </w:r>
      <w:r w:rsidRPr="002D798D">
        <w:rPr>
          <w:rFonts w:ascii="Arial" w:hAnsi="Arial" w:cs="Arial"/>
          <w:lang w:val="en-GB"/>
        </w:rPr>
        <w:t xml:space="preserve"> by a failure to </w:t>
      </w:r>
      <w:r>
        <w:rPr>
          <w:rFonts w:ascii="Arial" w:hAnsi="Arial" w:cs="Arial"/>
          <w:lang w:val="en-GB"/>
        </w:rPr>
        <w:t>‘</w:t>
      </w:r>
      <w:r w:rsidRPr="002D798D">
        <w:rPr>
          <w:rFonts w:ascii="Arial" w:hAnsi="Arial" w:cs="Arial"/>
          <w:lang w:val="en-GB"/>
        </w:rPr>
        <w:t>comply with the Memorandum of Incorporation or any applicable rules of the company</w:t>
      </w:r>
      <w:r w:rsidR="00DF0CD0">
        <w:rPr>
          <w:rFonts w:ascii="Arial" w:hAnsi="Arial" w:cs="Arial"/>
          <w:lang w:val="en-GB"/>
        </w:rPr>
        <w:t>.</w:t>
      </w:r>
      <w:r w:rsidR="00A6460E">
        <w:rPr>
          <w:rFonts w:ascii="Arial" w:hAnsi="Arial" w:cs="Arial"/>
          <w:lang w:val="en-GB"/>
        </w:rPr>
        <w:t>’</w:t>
      </w:r>
    </w:p>
    <w:p w14:paraId="7F3DC8EB" w14:textId="77777777" w:rsidR="0021170B" w:rsidRPr="0021170B" w:rsidRDefault="0021170B" w:rsidP="0021170B">
      <w:pPr>
        <w:spacing w:line="360" w:lineRule="auto"/>
        <w:ind w:left="3970"/>
        <w:jc w:val="both"/>
        <w:rPr>
          <w:rFonts w:ascii="Arial" w:hAnsi="Arial" w:cs="Arial"/>
        </w:rPr>
      </w:pPr>
    </w:p>
    <w:p w14:paraId="4712E3F3" w14:textId="5425950F" w:rsidR="00DE1280" w:rsidRPr="00C31835" w:rsidRDefault="00DE1280" w:rsidP="00DE1280">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 xml:space="preserve"> </w:t>
      </w:r>
      <w:r w:rsidR="0021170B">
        <w:rPr>
          <w:rFonts w:ascii="Arial" w:hAnsi="Arial" w:cs="Arial"/>
          <w:lang w:val="en-GB"/>
        </w:rPr>
        <w:t>The attack on the</w:t>
      </w:r>
      <w:r w:rsidR="008E6C5F">
        <w:rPr>
          <w:rFonts w:ascii="Arial" w:hAnsi="Arial" w:cs="Arial"/>
          <w:lang w:val="en-GB"/>
        </w:rPr>
        <w:t xml:space="preserve"> resolution</w:t>
      </w:r>
      <w:r w:rsidRPr="002D798D">
        <w:rPr>
          <w:rFonts w:ascii="Arial" w:hAnsi="Arial" w:cs="Arial"/>
          <w:lang w:val="en-GB"/>
        </w:rPr>
        <w:t xml:space="preserve"> falls squarely within the </w:t>
      </w:r>
      <w:r>
        <w:rPr>
          <w:rFonts w:ascii="Arial" w:hAnsi="Arial" w:cs="Arial"/>
          <w:lang w:val="en-GB"/>
        </w:rPr>
        <w:t>type of</w:t>
      </w:r>
      <w:r w:rsidRPr="002D798D">
        <w:rPr>
          <w:rFonts w:ascii="Arial" w:hAnsi="Arial" w:cs="Arial"/>
          <w:lang w:val="en-GB"/>
        </w:rPr>
        <w:t xml:space="preserve"> challenge contemplated in section 115(7)(b).</w:t>
      </w:r>
    </w:p>
    <w:p w14:paraId="2EE19FE0" w14:textId="77777777" w:rsidR="00C31835" w:rsidRPr="00C31835" w:rsidRDefault="00C31835" w:rsidP="00C31835">
      <w:pPr>
        <w:pStyle w:val="ListParagraph"/>
        <w:rPr>
          <w:rFonts w:ascii="Arial" w:hAnsi="Arial" w:cs="Arial"/>
        </w:rPr>
      </w:pPr>
    </w:p>
    <w:p w14:paraId="1CB6E0FA" w14:textId="5B3B1D3C" w:rsidR="00C31835" w:rsidRDefault="00C31835" w:rsidP="00DE1280">
      <w:pPr>
        <w:pStyle w:val="ListParagraph"/>
        <w:numPr>
          <w:ilvl w:val="0"/>
          <w:numId w:val="2"/>
        </w:numPr>
        <w:spacing w:line="360" w:lineRule="auto"/>
        <w:ind w:left="0" w:firstLine="0"/>
        <w:jc w:val="both"/>
        <w:rPr>
          <w:rFonts w:ascii="Arial" w:hAnsi="Arial" w:cs="Arial"/>
        </w:rPr>
      </w:pPr>
      <w:r>
        <w:rPr>
          <w:rFonts w:ascii="Arial" w:hAnsi="Arial" w:cs="Arial"/>
        </w:rPr>
        <w:t xml:space="preserve">The only avenue of </w:t>
      </w:r>
      <w:r w:rsidR="00724C54">
        <w:rPr>
          <w:rFonts w:ascii="Arial" w:hAnsi="Arial" w:cs="Arial"/>
        </w:rPr>
        <w:t>review was under section 115(7)(b). The fact that such review was not brought means that it cannot be brought and is thus statutorily barred.</w:t>
      </w:r>
    </w:p>
    <w:p w14:paraId="16F3950C" w14:textId="77777777" w:rsidR="00724C54" w:rsidRPr="00724C54" w:rsidRDefault="00724C54" w:rsidP="00724C54">
      <w:pPr>
        <w:pStyle w:val="ListParagraph"/>
        <w:rPr>
          <w:rFonts w:ascii="Arial" w:hAnsi="Arial" w:cs="Arial"/>
        </w:rPr>
      </w:pPr>
    </w:p>
    <w:p w14:paraId="649A852A" w14:textId="5021D21D" w:rsidR="00724C54" w:rsidRPr="002D798D" w:rsidRDefault="000B4120" w:rsidP="00DE1280">
      <w:pPr>
        <w:pStyle w:val="ListParagraph"/>
        <w:numPr>
          <w:ilvl w:val="0"/>
          <w:numId w:val="2"/>
        </w:numPr>
        <w:spacing w:line="360" w:lineRule="auto"/>
        <w:ind w:left="0" w:firstLine="0"/>
        <w:jc w:val="both"/>
        <w:rPr>
          <w:rFonts w:ascii="Arial" w:hAnsi="Arial" w:cs="Arial"/>
        </w:rPr>
      </w:pPr>
      <w:r>
        <w:rPr>
          <w:rFonts w:ascii="Arial" w:hAnsi="Arial" w:cs="Arial"/>
        </w:rPr>
        <w:t>In any event</w:t>
      </w:r>
      <w:r w:rsidR="0021170B">
        <w:rPr>
          <w:rFonts w:ascii="Arial" w:hAnsi="Arial" w:cs="Arial"/>
        </w:rPr>
        <w:t>,</w:t>
      </w:r>
      <w:r>
        <w:rPr>
          <w:rFonts w:ascii="Arial" w:hAnsi="Arial" w:cs="Arial"/>
        </w:rPr>
        <w:t xml:space="preserve"> and even if this were not the case</w:t>
      </w:r>
      <w:r w:rsidR="0021170B">
        <w:rPr>
          <w:rFonts w:ascii="Arial" w:hAnsi="Arial" w:cs="Arial"/>
        </w:rPr>
        <w:t>,</w:t>
      </w:r>
      <w:r>
        <w:rPr>
          <w:rFonts w:ascii="Arial" w:hAnsi="Arial" w:cs="Arial"/>
        </w:rPr>
        <w:t xml:space="preserve"> the plaintiff has not shown, on the facts</w:t>
      </w:r>
      <w:r w:rsidR="006A0E2A">
        <w:rPr>
          <w:rFonts w:ascii="Arial" w:hAnsi="Arial" w:cs="Arial"/>
        </w:rPr>
        <w:t>,</w:t>
      </w:r>
      <w:r>
        <w:rPr>
          <w:rFonts w:ascii="Arial" w:hAnsi="Arial" w:cs="Arial"/>
        </w:rPr>
        <w:t xml:space="preserve"> that the minority protections in the MOI and the Shareholders agreement are implicated</w:t>
      </w:r>
      <w:r w:rsidR="005E57D0">
        <w:rPr>
          <w:rFonts w:ascii="Arial" w:hAnsi="Arial" w:cs="Arial"/>
        </w:rPr>
        <w:t xml:space="preserve"> by the transaction.</w:t>
      </w:r>
    </w:p>
    <w:p w14:paraId="6F8188FA" w14:textId="77777777" w:rsidR="007535DA" w:rsidRDefault="007535DA" w:rsidP="007535DA">
      <w:pPr>
        <w:spacing w:line="360" w:lineRule="auto"/>
        <w:jc w:val="both"/>
        <w:rPr>
          <w:rFonts w:ascii="Arial" w:hAnsi="Arial" w:cs="Arial"/>
          <w:b/>
          <w:sz w:val="24"/>
          <w:szCs w:val="24"/>
          <w:lang w:val="en-GB"/>
        </w:rPr>
      </w:pPr>
    </w:p>
    <w:p w14:paraId="274B5D62" w14:textId="4CF1B38A" w:rsidR="002D798D" w:rsidRPr="002D798D" w:rsidRDefault="007535DA" w:rsidP="007535DA">
      <w:pPr>
        <w:spacing w:line="360" w:lineRule="auto"/>
        <w:jc w:val="both"/>
        <w:rPr>
          <w:rFonts w:ascii="Arial" w:hAnsi="Arial" w:cs="Arial"/>
          <w:b/>
          <w:sz w:val="24"/>
          <w:szCs w:val="24"/>
          <w:lang w:val="en-GB"/>
        </w:rPr>
      </w:pPr>
      <w:r>
        <w:rPr>
          <w:rFonts w:ascii="Arial" w:hAnsi="Arial" w:cs="Arial"/>
          <w:b/>
          <w:sz w:val="24"/>
          <w:szCs w:val="24"/>
          <w:lang w:val="en-GB"/>
        </w:rPr>
        <w:t xml:space="preserve">Costs </w:t>
      </w:r>
    </w:p>
    <w:p w14:paraId="26DBC2C0" w14:textId="77777777" w:rsidR="002D798D" w:rsidRPr="002D798D" w:rsidRDefault="002D798D" w:rsidP="002D798D">
      <w:pPr>
        <w:pStyle w:val="ListParagraph"/>
        <w:rPr>
          <w:rFonts w:ascii="Arial" w:hAnsi="Arial" w:cs="Arial"/>
          <w:lang w:val="en-GB"/>
        </w:rPr>
      </w:pPr>
    </w:p>
    <w:p w14:paraId="3B10F737" w14:textId="00D3B514" w:rsidR="007535DA" w:rsidRPr="00293A72" w:rsidRDefault="008D77EC" w:rsidP="002D798D">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There is no reason why the costs should not follow the result</w:t>
      </w:r>
    </w:p>
    <w:p w14:paraId="65F8F223" w14:textId="77777777" w:rsidR="002D798D" w:rsidRDefault="002D798D" w:rsidP="002D798D">
      <w:pPr>
        <w:pStyle w:val="ListParagraph"/>
        <w:spacing w:line="360" w:lineRule="auto"/>
        <w:ind w:left="0"/>
        <w:jc w:val="both"/>
        <w:rPr>
          <w:rFonts w:ascii="Arial" w:hAnsi="Arial" w:cs="Arial"/>
          <w:lang w:val="en-GB"/>
        </w:rPr>
      </w:pPr>
    </w:p>
    <w:p w14:paraId="1A6E2446" w14:textId="77777777" w:rsidR="002D798D" w:rsidRPr="002D798D" w:rsidRDefault="002D798D" w:rsidP="002D798D">
      <w:pPr>
        <w:pStyle w:val="ListParagraph"/>
        <w:spacing w:line="360" w:lineRule="auto"/>
        <w:ind w:left="0"/>
        <w:jc w:val="both"/>
        <w:rPr>
          <w:rFonts w:ascii="Arial" w:hAnsi="Arial" w:cs="Arial"/>
        </w:rPr>
      </w:pPr>
      <w:r w:rsidRPr="002D798D">
        <w:rPr>
          <w:rFonts w:ascii="Arial" w:hAnsi="Arial" w:cs="Arial"/>
          <w:b/>
          <w:lang w:val="en-GB"/>
        </w:rPr>
        <w:t>Order</w:t>
      </w:r>
    </w:p>
    <w:p w14:paraId="1AB05975" w14:textId="00C6FB29" w:rsidR="002D798D" w:rsidRPr="002D798D" w:rsidRDefault="002D798D" w:rsidP="002D798D">
      <w:pPr>
        <w:pStyle w:val="ListParagraph"/>
        <w:spacing w:line="360" w:lineRule="auto"/>
        <w:ind w:left="0"/>
        <w:jc w:val="both"/>
        <w:rPr>
          <w:rFonts w:ascii="Arial" w:hAnsi="Arial" w:cs="Arial"/>
        </w:rPr>
      </w:pPr>
    </w:p>
    <w:p w14:paraId="4F2242D8" w14:textId="1FB388A1" w:rsidR="008D77EC" w:rsidRPr="002D798D" w:rsidRDefault="008D77EC" w:rsidP="002D798D">
      <w:pPr>
        <w:pStyle w:val="ListParagraph"/>
        <w:numPr>
          <w:ilvl w:val="0"/>
          <w:numId w:val="2"/>
        </w:numPr>
        <w:spacing w:line="360" w:lineRule="auto"/>
        <w:ind w:left="0" w:firstLine="0"/>
        <w:jc w:val="both"/>
        <w:rPr>
          <w:rFonts w:ascii="Arial" w:hAnsi="Arial" w:cs="Arial"/>
        </w:rPr>
      </w:pPr>
      <w:r w:rsidRPr="002D798D">
        <w:rPr>
          <w:rFonts w:ascii="Arial" w:hAnsi="Arial" w:cs="Arial"/>
          <w:lang w:val="en-GB"/>
        </w:rPr>
        <w:t>I thus make the following order:</w:t>
      </w:r>
    </w:p>
    <w:p w14:paraId="706B3860" w14:textId="77AA660E" w:rsidR="008D77EC" w:rsidRPr="008D77EC" w:rsidRDefault="008D77EC" w:rsidP="008D77EC">
      <w:pPr>
        <w:pBdr>
          <w:bottom w:val="single" w:sz="12" w:space="31" w:color="auto"/>
        </w:pBdr>
        <w:spacing w:line="360" w:lineRule="auto"/>
        <w:jc w:val="both"/>
        <w:rPr>
          <w:rFonts w:ascii="Arial" w:hAnsi="Arial" w:cs="Arial"/>
          <w:sz w:val="24"/>
          <w:szCs w:val="24"/>
          <w:lang w:val="en-GB"/>
        </w:rPr>
      </w:pPr>
    </w:p>
    <w:p w14:paraId="290E7419" w14:textId="6E51AD26" w:rsidR="00D45CD3" w:rsidRDefault="00D45CD3" w:rsidP="008D77EC">
      <w:pPr>
        <w:pBdr>
          <w:bottom w:val="single" w:sz="12" w:space="31" w:color="auto"/>
        </w:pBdr>
        <w:spacing w:line="360" w:lineRule="auto"/>
        <w:jc w:val="both"/>
        <w:rPr>
          <w:rFonts w:ascii="Arial" w:hAnsi="Arial" w:cs="Arial"/>
          <w:sz w:val="24"/>
          <w:szCs w:val="24"/>
          <w:lang w:val="en-GB"/>
        </w:rPr>
      </w:pPr>
      <w:r>
        <w:rPr>
          <w:rFonts w:ascii="Arial" w:hAnsi="Arial" w:cs="Arial"/>
          <w:sz w:val="24"/>
          <w:szCs w:val="24"/>
          <w:lang w:val="en-GB"/>
        </w:rPr>
        <w:t xml:space="preserve">1. </w:t>
      </w:r>
      <w:r w:rsidR="008D77EC" w:rsidRPr="008D77EC">
        <w:rPr>
          <w:rFonts w:ascii="Arial" w:hAnsi="Arial" w:cs="Arial"/>
          <w:sz w:val="24"/>
          <w:szCs w:val="24"/>
          <w:lang w:val="en-GB"/>
        </w:rPr>
        <w:t>The plaintiff</w:t>
      </w:r>
      <w:r w:rsidR="005E57D0">
        <w:rPr>
          <w:rFonts w:ascii="Arial" w:hAnsi="Arial" w:cs="Arial"/>
          <w:sz w:val="24"/>
          <w:szCs w:val="24"/>
          <w:lang w:val="en-GB"/>
        </w:rPr>
        <w:t>’</w:t>
      </w:r>
      <w:r w:rsidR="008D77EC" w:rsidRPr="008D77EC">
        <w:rPr>
          <w:rFonts w:ascii="Arial" w:hAnsi="Arial" w:cs="Arial"/>
          <w:sz w:val="24"/>
          <w:szCs w:val="24"/>
          <w:lang w:val="en-GB"/>
        </w:rPr>
        <w:t>s claim is dismissed.</w:t>
      </w:r>
    </w:p>
    <w:p w14:paraId="7DD82F6F" w14:textId="44B57809" w:rsidR="008D77EC" w:rsidRPr="008D77EC" w:rsidRDefault="00D45CD3" w:rsidP="008D77EC">
      <w:pPr>
        <w:pBdr>
          <w:bottom w:val="single" w:sz="12" w:space="31" w:color="auto"/>
        </w:pBdr>
        <w:spacing w:line="360" w:lineRule="auto"/>
        <w:jc w:val="both"/>
        <w:rPr>
          <w:rFonts w:ascii="Arial" w:hAnsi="Arial" w:cs="Arial"/>
          <w:sz w:val="24"/>
          <w:szCs w:val="24"/>
          <w:lang w:val="en-GB"/>
        </w:rPr>
      </w:pPr>
      <w:r>
        <w:rPr>
          <w:rFonts w:ascii="Arial" w:hAnsi="Arial" w:cs="Arial"/>
          <w:sz w:val="24"/>
          <w:szCs w:val="24"/>
          <w:lang w:val="en-GB"/>
        </w:rPr>
        <w:t xml:space="preserve">2. </w:t>
      </w:r>
      <w:r w:rsidR="008D77EC" w:rsidRPr="008D77EC">
        <w:rPr>
          <w:rFonts w:ascii="Arial" w:hAnsi="Arial" w:cs="Arial"/>
          <w:sz w:val="24"/>
          <w:szCs w:val="24"/>
          <w:lang w:val="en-GB"/>
        </w:rPr>
        <w:t>The plaintiff is to pay the costs of the first defendant and the second to fourth defendants</w:t>
      </w:r>
      <w:r w:rsidR="005E57D0">
        <w:rPr>
          <w:rFonts w:ascii="Arial" w:hAnsi="Arial" w:cs="Arial"/>
          <w:sz w:val="24"/>
          <w:szCs w:val="24"/>
          <w:lang w:val="en-GB"/>
        </w:rPr>
        <w:t>,</w:t>
      </w:r>
      <w:r w:rsidR="008D77EC" w:rsidRPr="008D77EC">
        <w:rPr>
          <w:rFonts w:ascii="Arial" w:hAnsi="Arial" w:cs="Arial"/>
          <w:sz w:val="24"/>
          <w:szCs w:val="24"/>
          <w:lang w:val="en-GB"/>
        </w:rPr>
        <w:t xml:space="preserve"> such costs to include the costs of two counsel</w:t>
      </w:r>
      <w:r w:rsidR="005E57D0">
        <w:rPr>
          <w:rFonts w:ascii="Arial" w:hAnsi="Arial" w:cs="Arial"/>
          <w:sz w:val="24"/>
          <w:szCs w:val="24"/>
          <w:lang w:val="en-GB"/>
        </w:rPr>
        <w:t>,</w:t>
      </w:r>
      <w:r w:rsidR="008D77EC" w:rsidRPr="008D77EC">
        <w:rPr>
          <w:rFonts w:ascii="Arial" w:hAnsi="Arial" w:cs="Arial"/>
          <w:sz w:val="24"/>
          <w:szCs w:val="24"/>
          <w:lang w:val="en-GB"/>
        </w:rPr>
        <w:t xml:space="preserve"> where employed</w:t>
      </w:r>
      <w:r w:rsidR="005E57D0">
        <w:rPr>
          <w:rFonts w:ascii="Arial" w:hAnsi="Arial" w:cs="Arial"/>
          <w:sz w:val="24"/>
          <w:szCs w:val="24"/>
          <w:lang w:val="en-GB"/>
        </w:rPr>
        <w:t>,</w:t>
      </w:r>
      <w:r w:rsidR="008D77EC" w:rsidRPr="008D77EC">
        <w:rPr>
          <w:rFonts w:ascii="Arial" w:hAnsi="Arial" w:cs="Arial"/>
          <w:sz w:val="24"/>
          <w:szCs w:val="24"/>
          <w:lang w:val="en-GB"/>
        </w:rPr>
        <w:t xml:space="preserve"> and the costs of qualifying prof Wainer</w:t>
      </w:r>
      <w:r w:rsidR="0048682B">
        <w:rPr>
          <w:rFonts w:ascii="Arial" w:hAnsi="Arial" w:cs="Arial"/>
          <w:sz w:val="24"/>
          <w:szCs w:val="24"/>
          <w:lang w:val="en-GB"/>
        </w:rPr>
        <w:t xml:space="preserve"> and leading his evidence.</w:t>
      </w:r>
    </w:p>
    <w:p w14:paraId="55E507D7" w14:textId="3AC496FE" w:rsidR="008D77EC" w:rsidRPr="008D77EC" w:rsidRDefault="008D77EC" w:rsidP="008D77EC">
      <w:pPr>
        <w:spacing w:line="360" w:lineRule="auto"/>
        <w:jc w:val="both"/>
        <w:rPr>
          <w:rFonts w:ascii="Arial" w:hAnsi="Arial" w:cs="Arial"/>
          <w:sz w:val="24"/>
          <w:szCs w:val="24"/>
          <w:lang w:val="en-GB"/>
        </w:rPr>
      </w:pPr>
    </w:p>
    <w:p w14:paraId="32E57F92" w14:textId="452AD49A" w:rsidR="00BF2986" w:rsidRDefault="007535DA" w:rsidP="007535DA">
      <w:pPr>
        <w:rPr>
          <w:lang w:val="en-GB"/>
        </w:rPr>
      </w:pPr>
      <w:r>
        <w:rPr>
          <w:lang w:val="en-GB"/>
        </w:rPr>
        <w:t xml:space="preserve"> </w:t>
      </w:r>
    </w:p>
    <w:p w14:paraId="1FBD8C86" w14:textId="22E17381" w:rsidR="007535DA" w:rsidRDefault="007535DA" w:rsidP="007535DA">
      <w:pPr>
        <w:rPr>
          <w:lang w:val="en-GB"/>
        </w:rPr>
      </w:pPr>
    </w:p>
    <w:p w14:paraId="3E18DE8D" w14:textId="77777777" w:rsidR="007659AF" w:rsidRPr="007535DA" w:rsidRDefault="007659AF" w:rsidP="007535DA">
      <w:pPr>
        <w:rPr>
          <w:lang w:val="en-GB"/>
        </w:rPr>
      </w:pPr>
    </w:p>
    <w:p w14:paraId="7BBCFE7A" w14:textId="77777777" w:rsidR="00012E96" w:rsidRPr="002712FE" w:rsidRDefault="00012E96" w:rsidP="00012E96">
      <w:pPr>
        <w:widowControl w:val="0"/>
        <w:spacing w:before="120"/>
        <w:jc w:val="both"/>
        <w:rPr>
          <w:rFonts w:ascii="Arial" w:hAnsi="Arial" w:cs="Arial"/>
        </w:rPr>
      </w:pPr>
      <w:r>
        <w:rPr>
          <w:rFonts w:ascii="Arial" w:hAnsi="Arial" w:cs="Arial"/>
        </w:rPr>
        <w:t xml:space="preserve">                            _______________</w:t>
      </w:r>
      <w:r w:rsidRPr="002712FE">
        <w:rPr>
          <w:rFonts w:ascii="Arial" w:hAnsi="Arial" w:cs="Arial"/>
        </w:rPr>
        <w:t>______________</w:t>
      </w:r>
    </w:p>
    <w:p w14:paraId="1C7B877B" w14:textId="77777777" w:rsidR="00012E96" w:rsidRPr="002712FE" w:rsidRDefault="00012E96" w:rsidP="00012E96">
      <w:pPr>
        <w:widowControl w:val="0"/>
        <w:spacing w:before="120"/>
        <w:jc w:val="both"/>
        <w:rPr>
          <w:rFonts w:ascii="Arial" w:hAnsi="Arial" w:cs="Arial"/>
        </w:rPr>
      </w:pPr>
      <w:r w:rsidRPr="002712FE">
        <w:rPr>
          <w:rFonts w:ascii="Arial" w:hAnsi="Arial" w:cs="Arial"/>
        </w:rPr>
        <w:t xml:space="preserve">                                       </w:t>
      </w:r>
      <w:r w:rsidRPr="002712FE">
        <w:rPr>
          <w:rFonts w:ascii="Arial" w:hAnsi="Arial" w:cs="Arial"/>
          <w:b/>
          <w:bCs/>
        </w:rPr>
        <w:t xml:space="preserve">          FISHER J</w:t>
      </w:r>
    </w:p>
    <w:p w14:paraId="4A094895" w14:textId="77777777" w:rsidR="00012E96" w:rsidRPr="002712FE" w:rsidRDefault="00012E96" w:rsidP="00012E96">
      <w:pPr>
        <w:jc w:val="both"/>
        <w:rPr>
          <w:rFonts w:ascii="Arial" w:hAnsi="Arial" w:cs="Arial"/>
          <w:b/>
          <w:bCs/>
        </w:rPr>
      </w:pPr>
    </w:p>
    <w:p w14:paraId="6132603B" w14:textId="04DDD977" w:rsidR="00012E96" w:rsidRPr="002712FE" w:rsidRDefault="00012E96" w:rsidP="00012E96">
      <w:pPr>
        <w:tabs>
          <w:tab w:val="right" w:pos="0"/>
        </w:tabs>
        <w:spacing w:after="200" w:line="276" w:lineRule="auto"/>
        <w:jc w:val="both"/>
        <w:rPr>
          <w:rFonts w:ascii="Arial" w:hAnsi="Arial" w:cs="Arial"/>
          <w:b/>
        </w:rPr>
      </w:pPr>
      <w:r w:rsidRPr="002712FE">
        <w:rPr>
          <w:rFonts w:ascii="Arial" w:hAnsi="Arial" w:cs="Arial"/>
          <w:b/>
        </w:rPr>
        <w:t xml:space="preserve">                                           HIGH COURT JUDGE </w:t>
      </w:r>
    </w:p>
    <w:p w14:paraId="64A2AB0C" w14:textId="7BFA1B15" w:rsidR="00012E96" w:rsidRPr="002712FE" w:rsidRDefault="00012E96" w:rsidP="00012E96">
      <w:pPr>
        <w:tabs>
          <w:tab w:val="right" w:pos="0"/>
        </w:tabs>
        <w:spacing w:after="200" w:line="276" w:lineRule="auto"/>
        <w:jc w:val="both"/>
        <w:rPr>
          <w:rFonts w:ascii="Arial" w:hAnsi="Arial" w:cs="Arial"/>
          <w:b/>
        </w:rPr>
      </w:pPr>
      <w:r w:rsidRPr="002712FE">
        <w:rPr>
          <w:rFonts w:ascii="Arial" w:hAnsi="Arial" w:cs="Arial"/>
        </w:rPr>
        <w:tab/>
      </w:r>
      <w:r w:rsidR="007659AF">
        <w:rPr>
          <w:rFonts w:ascii="Arial" w:hAnsi="Arial" w:cs="Arial"/>
        </w:rPr>
        <w:t xml:space="preserve">              </w:t>
      </w:r>
      <w:r w:rsidRPr="002712FE">
        <w:rPr>
          <w:rFonts w:ascii="Arial" w:hAnsi="Arial" w:cs="Arial"/>
        </w:rPr>
        <w:t xml:space="preserve"> </w:t>
      </w:r>
      <w:r w:rsidRPr="002712FE">
        <w:rPr>
          <w:rFonts w:ascii="Arial" w:hAnsi="Arial" w:cs="Arial"/>
          <w:b/>
        </w:rPr>
        <w:t>GAUTENG DIVISION, JOHANNESBURG</w:t>
      </w:r>
      <w:r w:rsidRPr="002712FE">
        <w:rPr>
          <w:rFonts w:ascii="Arial" w:hAnsi="Arial" w:cs="Arial"/>
        </w:rPr>
        <w:t xml:space="preserve">                  </w:t>
      </w:r>
    </w:p>
    <w:p w14:paraId="48A18BDB" w14:textId="44CA297E" w:rsidR="00E3480B" w:rsidRDefault="001A5DFF" w:rsidP="00E3480B">
      <w:pPr>
        <w:widowControl w:val="0"/>
        <w:spacing w:before="120"/>
        <w:jc w:val="both"/>
        <w:rPr>
          <w:rFonts w:ascii="Arial" w:hAnsi="Arial" w:cs="Arial"/>
        </w:rPr>
      </w:pPr>
      <w:r>
        <w:rPr>
          <w:rFonts w:ascii="Arial" w:hAnsi="Arial" w:cs="Arial"/>
        </w:rPr>
        <w:t xml:space="preserve">  </w:t>
      </w:r>
    </w:p>
    <w:p w14:paraId="1AA69719" w14:textId="452D3820" w:rsidR="001A5DFF" w:rsidRDefault="001A5DFF" w:rsidP="00E3480B">
      <w:pPr>
        <w:widowControl w:val="0"/>
        <w:spacing w:before="120"/>
        <w:jc w:val="both"/>
        <w:rPr>
          <w:rFonts w:ascii="Arial" w:hAnsi="Arial" w:cs="Arial"/>
        </w:rPr>
      </w:pPr>
    </w:p>
    <w:p w14:paraId="72CF0973" w14:textId="2F3F13D1" w:rsidR="001A5DFF" w:rsidRDefault="001A5DFF" w:rsidP="00E3480B">
      <w:pPr>
        <w:widowControl w:val="0"/>
        <w:spacing w:before="120"/>
        <w:jc w:val="both"/>
        <w:rPr>
          <w:rFonts w:ascii="Arial" w:hAnsi="Arial" w:cs="Arial"/>
        </w:rPr>
      </w:pPr>
    </w:p>
    <w:p w14:paraId="797F3B4D" w14:textId="6E82D5F8" w:rsidR="001A5DFF" w:rsidRDefault="001A5DFF" w:rsidP="00E3480B">
      <w:pPr>
        <w:widowControl w:val="0"/>
        <w:spacing w:before="120"/>
        <w:jc w:val="both"/>
        <w:rPr>
          <w:rFonts w:ascii="Arial" w:hAnsi="Arial" w:cs="Arial"/>
        </w:rPr>
      </w:pPr>
    </w:p>
    <w:p w14:paraId="787F20A7" w14:textId="77777777" w:rsidR="003F037E" w:rsidRPr="00E3480B" w:rsidRDefault="00E3480B" w:rsidP="00E3480B">
      <w:pPr>
        <w:widowControl w:val="0"/>
        <w:spacing w:before="120"/>
        <w:jc w:val="both"/>
        <w:rPr>
          <w:rFonts w:ascii="Arial" w:hAnsi="Arial" w:cs="Arial"/>
        </w:rPr>
      </w:pPr>
      <w:r>
        <w:rPr>
          <w:rFonts w:ascii="Arial" w:hAnsi="Arial" w:cs="Arial"/>
        </w:rPr>
        <w:t xml:space="preserve">            </w:t>
      </w:r>
    </w:p>
    <w:p w14:paraId="4014AD8A" w14:textId="0BA09D4B" w:rsidR="00012E96" w:rsidRDefault="00012E96" w:rsidP="00012E96">
      <w:pPr>
        <w:tabs>
          <w:tab w:val="right" w:pos="0"/>
        </w:tabs>
        <w:spacing w:after="200" w:line="480" w:lineRule="auto"/>
        <w:jc w:val="both"/>
        <w:outlineLvl w:val="0"/>
        <w:rPr>
          <w:rFonts w:ascii="Arial" w:hAnsi="Arial" w:cs="Arial"/>
          <w:sz w:val="24"/>
          <w:szCs w:val="24"/>
        </w:rPr>
      </w:pPr>
      <w:r w:rsidRPr="002712FE">
        <w:rPr>
          <w:rFonts w:ascii="Arial" w:hAnsi="Arial" w:cs="Arial"/>
          <w:b/>
          <w:sz w:val="24"/>
          <w:szCs w:val="24"/>
        </w:rPr>
        <w:t xml:space="preserve">Date of </w:t>
      </w:r>
      <w:r w:rsidR="007B2E6A">
        <w:rPr>
          <w:rFonts w:ascii="Arial" w:hAnsi="Arial" w:cs="Arial"/>
          <w:b/>
          <w:sz w:val="24"/>
          <w:szCs w:val="24"/>
        </w:rPr>
        <w:t>h</w:t>
      </w:r>
      <w:r w:rsidRPr="002712FE">
        <w:rPr>
          <w:rFonts w:ascii="Arial" w:hAnsi="Arial" w:cs="Arial"/>
          <w:b/>
          <w:sz w:val="24"/>
          <w:szCs w:val="24"/>
        </w:rPr>
        <w:t xml:space="preserve">earing:  </w:t>
      </w:r>
      <w:r w:rsidR="007535DA">
        <w:rPr>
          <w:rFonts w:ascii="Arial" w:hAnsi="Arial" w:cs="Arial"/>
          <w:sz w:val="24"/>
          <w:szCs w:val="24"/>
        </w:rPr>
        <w:t>1- 2 March 2022</w:t>
      </w:r>
    </w:p>
    <w:p w14:paraId="3AC6564E" w14:textId="021A4F19" w:rsidR="007B2E6A" w:rsidRPr="002712FE" w:rsidRDefault="007B2E6A" w:rsidP="00012E96">
      <w:pPr>
        <w:tabs>
          <w:tab w:val="right" w:pos="0"/>
        </w:tabs>
        <w:spacing w:after="200" w:line="480" w:lineRule="auto"/>
        <w:jc w:val="both"/>
        <w:outlineLvl w:val="0"/>
        <w:rPr>
          <w:rFonts w:ascii="Arial" w:hAnsi="Arial" w:cs="Arial"/>
          <w:sz w:val="24"/>
          <w:szCs w:val="24"/>
        </w:rPr>
      </w:pPr>
      <w:r w:rsidRPr="007B2E6A">
        <w:rPr>
          <w:rFonts w:ascii="Arial" w:hAnsi="Arial" w:cs="Arial"/>
          <w:b/>
          <w:sz w:val="24"/>
          <w:szCs w:val="24"/>
        </w:rPr>
        <w:t>Supplementary Heads delivered</w:t>
      </w:r>
      <w:r>
        <w:rPr>
          <w:rFonts w:ascii="Arial" w:hAnsi="Arial" w:cs="Arial"/>
          <w:sz w:val="24"/>
          <w:szCs w:val="24"/>
        </w:rPr>
        <w:t>:</w:t>
      </w:r>
      <w:r w:rsidR="00193A5B">
        <w:rPr>
          <w:rFonts w:ascii="Arial" w:hAnsi="Arial" w:cs="Arial"/>
          <w:sz w:val="24"/>
          <w:szCs w:val="24"/>
        </w:rPr>
        <w:t xml:space="preserve"> 29 April </w:t>
      </w:r>
      <w:r w:rsidR="00175F8C">
        <w:rPr>
          <w:rFonts w:ascii="Arial" w:hAnsi="Arial" w:cs="Arial"/>
          <w:sz w:val="24"/>
          <w:szCs w:val="24"/>
        </w:rPr>
        <w:t>and</w:t>
      </w:r>
      <w:r w:rsidR="00193A5B">
        <w:rPr>
          <w:rFonts w:ascii="Arial" w:hAnsi="Arial" w:cs="Arial"/>
          <w:sz w:val="24"/>
          <w:szCs w:val="24"/>
        </w:rPr>
        <w:t xml:space="preserve"> 03 May 2022</w:t>
      </w:r>
    </w:p>
    <w:p w14:paraId="74525F2C" w14:textId="18302622" w:rsidR="00012E96" w:rsidRPr="00E3480B" w:rsidRDefault="007535DA" w:rsidP="00012E96">
      <w:pPr>
        <w:tabs>
          <w:tab w:val="right" w:pos="0"/>
        </w:tabs>
        <w:spacing w:after="200" w:line="480" w:lineRule="auto"/>
        <w:jc w:val="both"/>
        <w:outlineLvl w:val="0"/>
        <w:rPr>
          <w:rFonts w:ascii="Arial" w:hAnsi="Arial" w:cs="Arial"/>
          <w:sz w:val="24"/>
          <w:szCs w:val="24"/>
        </w:rPr>
      </w:pPr>
      <w:r>
        <w:rPr>
          <w:rFonts w:ascii="Arial" w:hAnsi="Arial" w:cs="Arial"/>
          <w:b/>
          <w:sz w:val="24"/>
          <w:szCs w:val="24"/>
        </w:rPr>
        <w:t xml:space="preserve">Judgment </w:t>
      </w:r>
      <w:r w:rsidR="007B2E6A">
        <w:rPr>
          <w:rFonts w:ascii="Arial" w:hAnsi="Arial" w:cs="Arial"/>
          <w:b/>
          <w:sz w:val="24"/>
          <w:szCs w:val="24"/>
        </w:rPr>
        <w:t>d</w:t>
      </w:r>
      <w:r>
        <w:rPr>
          <w:rFonts w:ascii="Arial" w:hAnsi="Arial" w:cs="Arial"/>
          <w:b/>
          <w:sz w:val="24"/>
          <w:szCs w:val="24"/>
        </w:rPr>
        <w:t xml:space="preserve">elivered:      </w:t>
      </w:r>
      <w:r w:rsidR="00724C54">
        <w:rPr>
          <w:rFonts w:ascii="Arial" w:hAnsi="Arial" w:cs="Arial"/>
          <w:sz w:val="24"/>
          <w:szCs w:val="24"/>
        </w:rPr>
        <w:t>1</w:t>
      </w:r>
      <w:r w:rsidR="001309ED">
        <w:rPr>
          <w:rFonts w:ascii="Arial" w:hAnsi="Arial" w:cs="Arial"/>
          <w:sz w:val="24"/>
          <w:szCs w:val="24"/>
        </w:rPr>
        <w:t>4</w:t>
      </w:r>
      <w:r w:rsidR="00193A5B">
        <w:rPr>
          <w:rFonts w:ascii="Arial" w:hAnsi="Arial" w:cs="Arial"/>
          <w:sz w:val="24"/>
          <w:szCs w:val="24"/>
        </w:rPr>
        <w:t xml:space="preserve"> </w:t>
      </w:r>
      <w:r w:rsidRPr="007535DA">
        <w:rPr>
          <w:rFonts w:ascii="Arial" w:hAnsi="Arial" w:cs="Arial"/>
          <w:sz w:val="24"/>
          <w:szCs w:val="24"/>
        </w:rPr>
        <w:t>June 2022</w:t>
      </w:r>
      <w:r w:rsidR="001A5DFF">
        <w:rPr>
          <w:rFonts w:ascii="Arial" w:hAnsi="Arial" w:cs="Arial"/>
          <w:sz w:val="24"/>
          <w:szCs w:val="24"/>
        </w:rPr>
        <w:t>.</w:t>
      </w:r>
    </w:p>
    <w:p w14:paraId="171A053C" w14:textId="77777777" w:rsidR="00012E96" w:rsidRPr="002712FE" w:rsidRDefault="00012E96" w:rsidP="00012E96">
      <w:pPr>
        <w:tabs>
          <w:tab w:val="right" w:pos="0"/>
        </w:tabs>
        <w:spacing w:after="200" w:line="480" w:lineRule="auto"/>
        <w:jc w:val="both"/>
        <w:outlineLvl w:val="0"/>
        <w:rPr>
          <w:rFonts w:ascii="Arial" w:hAnsi="Arial" w:cs="Arial"/>
          <w:b/>
          <w:sz w:val="24"/>
          <w:szCs w:val="24"/>
        </w:rPr>
      </w:pPr>
      <w:r w:rsidRPr="002712FE">
        <w:rPr>
          <w:rFonts w:ascii="Arial" w:hAnsi="Arial" w:cs="Arial"/>
          <w:b/>
          <w:sz w:val="24"/>
          <w:szCs w:val="24"/>
        </w:rPr>
        <w:t>APPEARANCES:</w:t>
      </w:r>
    </w:p>
    <w:p w14:paraId="5C479826" w14:textId="38519199" w:rsidR="00012E96" w:rsidRDefault="007535DA" w:rsidP="00012E96">
      <w:pPr>
        <w:spacing w:before="120" w:line="360" w:lineRule="auto"/>
        <w:rPr>
          <w:rFonts w:ascii="Arial" w:eastAsia="Calibri" w:hAnsi="Arial" w:cs="Arial"/>
          <w:bCs/>
          <w:sz w:val="24"/>
          <w:szCs w:val="24"/>
        </w:rPr>
      </w:pPr>
      <w:r>
        <w:rPr>
          <w:rFonts w:ascii="Arial" w:hAnsi="Arial" w:cs="Arial"/>
          <w:b/>
          <w:sz w:val="24"/>
          <w:szCs w:val="24"/>
        </w:rPr>
        <w:lastRenderedPageBreak/>
        <w:t>For the plaintiff</w:t>
      </w:r>
      <w:r w:rsidR="0003660F">
        <w:rPr>
          <w:rFonts w:ascii="Arial" w:hAnsi="Arial" w:cs="Arial"/>
          <w:b/>
          <w:sz w:val="24"/>
          <w:szCs w:val="24"/>
        </w:rPr>
        <w:t>:</w:t>
      </w:r>
      <w:r w:rsidR="00012E96" w:rsidRPr="002712FE">
        <w:rPr>
          <w:rFonts w:ascii="Arial" w:eastAsia="Calibri" w:hAnsi="Arial" w:cs="Arial"/>
          <w:b/>
          <w:bCs/>
          <w:sz w:val="24"/>
          <w:szCs w:val="24"/>
        </w:rPr>
        <w:tab/>
      </w:r>
      <w:r w:rsidR="00012E96" w:rsidRPr="002712FE">
        <w:rPr>
          <w:rFonts w:ascii="Arial" w:eastAsia="Calibri" w:hAnsi="Arial" w:cs="Arial"/>
          <w:b/>
          <w:bCs/>
          <w:sz w:val="24"/>
          <w:szCs w:val="24"/>
        </w:rPr>
        <w:tab/>
        <w:t xml:space="preserve">           </w:t>
      </w:r>
      <w:r>
        <w:rPr>
          <w:rFonts w:ascii="Arial" w:eastAsia="Calibri" w:hAnsi="Arial" w:cs="Arial"/>
          <w:b/>
          <w:bCs/>
          <w:sz w:val="24"/>
          <w:szCs w:val="24"/>
        </w:rPr>
        <w:t xml:space="preserve">            </w:t>
      </w:r>
      <w:r w:rsidR="00012E96" w:rsidRPr="002712FE">
        <w:rPr>
          <w:rFonts w:ascii="Arial" w:eastAsia="Calibri" w:hAnsi="Arial" w:cs="Arial"/>
          <w:b/>
          <w:bCs/>
          <w:sz w:val="24"/>
          <w:szCs w:val="24"/>
        </w:rPr>
        <w:t xml:space="preserve"> </w:t>
      </w:r>
      <w:r w:rsidR="0003660F">
        <w:rPr>
          <w:rFonts w:ascii="Arial" w:eastAsia="Calibri" w:hAnsi="Arial" w:cs="Arial"/>
          <w:b/>
          <w:bCs/>
          <w:sz w:val="24"/>
          <w:szCs w:val="24"/>
        </w:rPr>
        <w:t xml:space="preserve">            </w:t>
      </w:r>
      <w:r w:rsidR="0003660F">
        <w:rPr>
          <w:rFonts w:ascii="Arial" w:eastAsia="Calibri" w:hAnsi="Arial" w:cs="Arial"/>
          <w:bCs/>
          <w:sz w:val="24"/>
          <w:szCs w:val="24"/>
        </w:rPr>
        <w:t xml:space="preserve">         </w:t>
      </w:r>
      <w:r w:rsidR="00012E96">
        <w:rPr>
          <w:rFonts w:ascii="Arial" w:eastAsia="Calibri" w:hAnsi="Arial" w:cs="Arial"/>
          <w:bCs/>
          <w:sz w:val="24"/>
          <w:szCs w:val="24"/>
        </w:rPr>
        <w:t xml:space="preserve"> </w:t>
      </w:r>
      <w:r w:rsidR="0003660F">
        <w:rPr>
          <w:rFonts w:ascii="Arial" w:eastAsia="Calibri" w:hAnsi="Arial" w:cs="Arial"/>
          <w:bCs/>
          <w:sz w:val="24"/>
          <w:szCs w:val="24"/>
        </w:rPr>
        <w:t>Adv</w:t>
      </w:r>
      <w:r w:rsidR="00FC4A26">
        <w:rPr>
          <w:rFonts w:ascii="Arial" w:eastAsia="Calibri" w:hAnsi="Arial" w:cs="Arial"/>
          <w:bCs/>
          <w:sz w:val="24"/>
          <w:szCs w:val="24"/>
        </w:rPr>
        <w:t xml:space="preserve"> M M Antonie SC</w:t>
      </w:r>
      <w:r w:rsidR="001A5DFF">
        <w:rPr>
          <w:rFonts w:ascii="Arial" w:eastAsia="Calibri" w:hAnsi="Arial" w:cs="Arial"/>
          <w:bCs/>
          <w:sz w:val="24"/>
          <w:szCs w:val="24"/>
        </w:rPr>
        <w:t>.</w:t>
      </w:r>
    </w:p>
    <w:p w14:paraId="56944C5E" w14:textId="7D5617A2" w:rsidR="001A5DFF" w:rsidRPr="002712FE" w:rsidRDefault="001A5DFF" w:rsidP="00012E96">
      <w:pPr>
        <w:spacing w:before="120" w:line="360" w:lineRule="auto"/>
        <w:rPr>
          <w:rFonts w:ascii="Arial" w:eastAsia="Calibri" w:hAnsi="Arial" w:cs="Times New Roman"/>
          <w:sz w:val="24"/>
          <w:szCs w:val="24"/>
          <w:lang w:val="en-US"/>
        </w:rPr>
      </w:pPr>
      <w:r>
        <w:rPr>
          <w:rFonts w:ascii="Arial" w:eastAsia="Calibri" w:hAnsi="Arial" w:cs="Arial"/>
          <w:bCs/>
          <w:sz w:val="24"/>
          <w:szCs w:val="24"/>
        </w:rPr>
        <w:t xml:space="preserve">                                                                  </w:t>
      </w:r>
      <w:r w:rsidR="007535DA">
        <w:rPr>
          <w:rFonts w:ascii="Arial" w:eastAsia="Calibri" w:hAnsi="Arial" w:cs="Arial"/>
          <w:bCs/>
          <w:sz w:val="24"/>
          <w:szCs w:val="24"/>
        </w:rPr>
        <w:t xml:space="preserve"> </w:t>
      </w:r>
      <w:r w:rsidR="00FC4A26">
        <w:rPr>
          <w:rFonts w:ascii="Arial" w:eastAsia="Calibri" w:hAnsi="Arial" w:cs="Arial"/>
          <w:bCs/>
          <w:sz w:val="24"/>
          <w:szCs w:val="24"/>
        </w:rPr>
        <w:t xml:space="preserve">  </w:t>
      </w:r>
      <w:r w:rsidR="0003660F">
        <w:rPr>
          <w:rFonts w:ascii="Arial" w:eastAsia="Calibri" w:hAnsi="Arial" w:cs="Arial"/>
          <w:bCs/>
          <w:sz w:val="24"/>
          <w:szCs w:val="24"/>
        </w:rPr>
        <w:t xml:space="preserve">                   </w:t>
      </w:r>
      <w:r w:rsidR="00FC4A26">
        <w:rPr>
          <w:rFonts w:ascii="Arial" w:eastAsia="Calibri" w:hAnsi="Arial" w:cs="Arial"/>
          <w:bCs/>
          <w:sz w:val="24"/>
          <w:szCs w:val="24"/>
        </w:rPr>
        <w:t xml:space="preserve"> Adv M J Cooke.</w:t>
      </w:r>
    </w:p>
    <w:p w14:paraId="41A4E357" w14:textId="77777777" w:rsidR="00012E96" w:rsidRPr="002712FE" w:rsidRDefault="00012E96" w:rsidP="00012E96">
      <w:pPr>
        <w:spacing w:after="0" w:line="276" w:lineRule="auto"/>
        <w:ind w:left="3600" w:hanging="3600"/>
        <w:jc w:val="both"/>
        <w:outlineLvl w:val="0"/>
        <w:rPr>
          <w:rFonts w:ascii="Arial" w:hAnsi="Arial" w:cs="Arial"/>
          <w:sz w:val="24"/>
          <w:szCs w:val="24"/>
        </w:rPr>
      </w:pPr>
    </w:p>
    <w:p w14:paraId="6DB24BE8" w14:textId="4A372D77" w:rsidR="00012E96" w:rsidRDefault="0003660F" w:rsidP="00012E96">
      <w:pPr>
        <w:spacing w:after="0" w:line="276" w:lineRule="auto"/>
        <w:ind w:left="3600" w:hanging="3600"/>
        <w:jc w:val="both"/>
        <w:outlineLvl w:val="0"/>
        <w:rPr>
          <w:rFonts w:ascii="Arial" w:hAnsi="Arial" w:cs="Arial"/>
          <w:sz w:val="24"/>
          <w:szCs w:val="24"/>
        </w:rPr>
      </w:pPr>
      <w:r>
        <w:rPr>
          <w:rFonts w:ascii="Arial" w:hAnsi="Arial" w:cs="Arial"/>
          <w:b/>
          <w:sz w:val="24"/>
          <w:szCs w:val="24"/>
        </w:rPr>
        <w:t>Instructed by</w:t>
      </w:r>
      <w:r w:rsidRPr="0003660F">
        <w:rPr>
          <w:rFonts w:ascii="Arial" w:hAnsi="Arial" w:cs="Arial"/>
          <w:b/>
          <w:sz w:val="24"/>
          <w:szCs w:val="24"/>
        </w:rPr>
        <w:t>:</w:t>
      </w:r>
      <w:r w:rsidR="00012E96" w:rsidRPr="0003660F">
        <w:rPr>
          <w:rFonts w:ascii="Arial" w:hAnsi="Arial" w:cs="Arial"/>
          <w:b/>
          <w:sz w:val="24"/>
          <w:szCs w:val="24"/>
        </w:rPr>
        <w:t xml:space="preserve">        </w:t>
      </w:r>
      <w:r>
        <w:rPr>
          <w:rFonts w:ascii="Arial" w:hAnsi="Arial" w:cs="Arial"/>
          <w:b/>
          <w:sz w:val="24"/>
          <w:szCs w:val="24"/>
        </w:rPr>
        <w:t xml:space="preserve">                                                          </w:t>
      </w:r>
      <w:r w:rsidRPr="0003660F">
        <w:rPr>
          <w:rFonts w:ascii="Arial" w:hAnsi="Arial" w:cs="Arial"/>
          <w:sz w:val="24"/>
          <w:szCs w:val="24"/>
        </w:rPr>
        <w:t>Werksmans Attorneys</w:t>
      </w:r>
      <w:r>
        <w:rPr>
          <w:rFonts w:ascii="Arial" w:hAnsi="Arial" w:cs="Arial"/>
          <w:sz w:val="24"/>
          <w:szCs w:val="24"/>
        </w:rPr>
        <w:t>.</w:t>
      </w:r>
      <w:r w:rsidR="00012E96" w:rsidRPr="0003660F">
        <w:rPr>
          <w:rFonts w:ascii="Arial" w:hAnsi="Arial" w:cs="Arial"/>
          <w:sz w:val="24"/>
          <w:szCs w:val="24"/>
        </w:rPr>
        <w:t xml:space="preserve">            </w:t>
      </w:r>
      <w:r w:rsidR="00012E96" w:rsidRPr="002712FE">
        <w:rPr>
          <w:rFonts w:ascii="Arial" w:hAnsi="Arial" w:cs="Arial"/>
          <w:b/>
          <w:sz w:val="24"/>
          <w:szCs w:val="24"/>
        </w:rPr>
        <w:tab/>
      </w:r>
      <w:r w:rsidR="00012E96" w:rsidRPr="002712FE">
        <w:rPr>
          <w:rFonts w:ascii="Arial" w:hAnsi="Arial" w:cs="Arial"/>
          <w:b/>
          <w:sz w:val="24"/>
          <w:szCs w:val="24"/>
        </w:rPr>
        <w:tab/>
      </w:r>
      <w:r>
        <w:rPr>
          <w:rFonts w:ascii="Arial" w:hAnsi="Arial" w:cs="Arial"/>
          <w:b/>
          <w:sz w:val="24"/>
          <w:szCs w:val="24"/>
        </w:rPr>
        <w:t xml:space="preserve">                 </w:t>
      </w:r>
      <w:r w:rsidR="00012E96" w:rsidRPr="002712FE">
        <w:rPr>
          <w:rFonts w:ascii="Arial" w:hAnsi="Arial" w:cs="Arial"/>
          <w:b/>
          <w:sz w:val="24"/>
          <w:szCs w:val="24"/>
        </w:rPr>
        <w:t xml:space="preserve"> </w:t>
      </w:r>
      <w:r>
        <w:rPr>
          <w:rFonts w:ascii="Arial" w:hAnsi="Arial" w:cs="Arial"/>
          <w:b/>
          <w:sz w:val="24"/>
          <w:szCs w:val="24"/>
        </w:rPr>
        <w:t xml:space="preserve">     </w:t>
      </w:r>
      <w:r w:rsidR="001A5DFF">
        <w:rPr>
          <w:rFonts w:ascii="Arial" w:hAnsi="Arial" w:cs="Arial"/>
          <w:sz w:val="24"/>
          <w:szCs w:val="24"/>
        </w:rPr>
        <w:t xml:space="preserve"> </w:t>
      </w:r>
    </w:p>
    <w:p w14:paraId="14A9B26F" w14:textId="781E318F" w:rsidR="00FC4A26" w:rsidRDefault="00FC4A26" w:rsidP="00012E96">
      <w:pPr>
        <w:spacing w:after="0" w:line="276" w:lineRule="auto"/>
        <w:ind w:left="3600" w:hanging="3600"/>
        <w:jc w:val="both"/>
        <w:outlineLvl w:val="0"/>
        <w:rPr>
          <w:rFonts w:ascii="Arial" w:hAnsi="Arial" w:cs="Arial"/>
          <w:sz w:val="24"/>
          <w:szCs w:val="24"/>
        </w:rPr>
      </w:pPr>
    </w:p>
    <w:p w14:paraId="39604172" w14:textId="77777777" w:rsidR="00FC4A26" w:rsidRPr="002712FE" w:rsidRDefault="00FC4A26" w:rsidP="00012E96">
      <w:pPr>
        <w:spacing w:after="0" w:line="276" w:lineRule="auto"/>
        <w:ind w:left="3600" w:hanging="3600"/>
        <w:jc w:val="both"/>
        <w:outlineLvl w:val="0"/>
        <w:rPr>
          <w:rFonts w:ascii="Arial" w:hAnsi="Arial" w:cs="Arial"/>
          <w:sz w:val="24"/>
          <w:szCs w:val="24"/>
        </w:rPr>
      </w:pPr>
    </w:p>
    <w:p w14:paraId="6C16F22C" w14:textId="77777777" w:rsidR="00012E96" w:rsidRPr="002712FE" w:rsidRDefault="00012E96" w:rsidP="00012E96">
      <w:pPr>
        <w:spacing w:after="0" w:line="276" w:lineRule="auto"/>
        <w:ind w:left="3600" w:hanging="3600"/>
        <w:jc w:val="both"/>
        <w:outlineLvl w:val="0"/>
        <w:rPr>
          <w:rFonts w:ascii="Arial" w:hAnsi="Arial" w:cs="Arial"/>
          <w:sz w:val="24"/>
          <w:szCs w:val="24"/>
        </w:rPr>
      </w:pPr>
    </w:p>
    <w:p w14:paraId="47557B98" w14:textId="38C08B26" w:rsidR="00012E96" w:rsidRDefault="00012E96" w:rsidP="00012E96">
      <w:pPr>
        <w:spacing w:after="0" w:line="276" w:lineRule="auto"/>
        <w:jc w:val="both"/>
        <w:outlineLvl w:val="0"/>
        <w:rPr>
          <w:rFonts w:ascii="Arial" w:hAnsi="Arial" w:cs="Arial"/>
          <w:sz w:val="24"/>
          <w:szCs w:val="24"/>
        </w:rPr>
      </w:pPr>
      <w:r>
        <w:rPr>
          <w:rFonts w:ascii="Arial" w:hAnsi="Arial" w:cs="Arial"/>
          <w:b/>
          <w:sz w:val="24"/>
          <w:szCs w:val="24"/>
        </w:rPr>
        <w:t>For the</w:t>
      </w:r>
      <w:r w:rsidR="00FC4A26">
        <w:rPr>
          <w:rFonts w:ascii="Arial" w:hAnsi="Arial" w:cs="Arial"/>
          <w:b/>
          <w:sz w:val="24"/>
          <w:szCs w:val="24"/>
        </w:rPr>
        <w:t xml:space="preserve"> 1</w:t>
      </w:r>
      <w:r w:rsidR="00FC4A26" w:rsidRPr="00FC4A26">
        <w:rPr>
          <w:rFonts w:ascii="Arial" w:hAnsi="Arial" w:cs="Arial"/>
          <w:b/>
          <w:sz w:val="24"/>
          <w:szCs w:val="24"/>
          <w:vertAlign w:val="superscript"/>
        </w:rPr>
        <w:t>st</w:t>
      </w:r>
      <w:r w:rsidR="00FC4A26">
        <w:rPr>
          <w:rFonts w:ascii="Arial" w:hAnsi="Arial" w:cs="Arial"/>
          <w:b/>
          <w:sz w:val="24"/>
          <w:szCs w:val="24"/>
        </w:rPr>
        <w:t xml:space="preserve"> Defendant</w:t>
      </w:r>
      <w:r w:rsidR="0003660F">
        <w:rPr>
          <w:rFonts w:ascii="Arial" w:hAnsi="Arial" w:cs="Arial"/>
          <w:b/>
          <w:sz w:val="24"/>
          <w:szCs w:val="24"/>
        </w:rPr>
        <w:t>:</w:t>
      </w:r>
      <w:r w:rsidRPr="002712FE">
        <w:rPr>
          <w:rFonts w:ascii="Arial" w:hAnsi="Arial" w:cs="Arial"/>
          <w:b/>
          <w:sz w:val="24"/>
          <w:szCs w:val="24"/>
        </w:rPr>
        <w:tab/>
      </w:r>
      <w:r w:rsidRPr="002712FE">
        <w:rPr>
          <w:rFonts w:ascii="Arial" w:hAnsi="Arial" w:cs="Arial"/>
          <w:b/>
          <w:sz w:val="24"/>
          <w:szCs w:val="24"/>
        </w:rPr>
        <w:tab/>
        <w:t xml:space="preserve">        </w:t>
      </w:r>
      <w:r w:rsidR="0003660F">
        <w:rPr>
          <w:rFonts w:ascii="Arial" w:hAnsi="Arial" w:cs="Arial"/>
          <w:b/>
          <w:sz w:val="24"/>
          <w:szCs w:val="24"/>
        </w:rPr>
        <w:t xml:space="preserve">                </w:t>
      </w:r>
      <w:r w:rsidRPr="002712FE">
        <w:rPr>
          <w:rFonts w:ascii="Arial" w:hAnsi="Arial" w:cs="Arial"/>
          <w:b/>
          <w:sz w:val="24"/>
          <w:szCs w:val="24"/>
        </w:rPr>
        <w:t xml:space="preserve">   </w:t>
      </w:r>
      <w:r w:rsidR="0003660F">
        <w:rPr>
          <w:rFonts w:ascii="Arial" w:hAnsi="Arial" w:cs="Arial"/>
          <w:b/>
          <w:sz w:val="24"/>
          <w:szCs w:val="24"/>
        </w:rPr>
        <w:t xml:space="preserve">   </w:t>
      </w:r>
      <w:r w:rsidRPr="002712FE">
        <w:rPr>
          <w:rFonts w:ascii="Arial" w:hAnsi="Arial" w:cs="Arial"/>
          <w:b/>
          <w:sz w:val="24"/>
          <w:szCs w:val="24"/>
        </w:rPr>
        <w:t xml:space="preserve"> </w:t>
      </w:r>
      <w:r w:rsidR="0003660F">
        <w:rPr>
          <w:rFonts w:ascii="Arial" w:hAnsi="Arial" w:cs="Arial"/>
          <w:b/>
          <w:sz w:val="24"/>
          <w:szCs w:val="24"/>
        </w:rPr>
        <w:t xml:space="preserve">    </w:t>
      </w:r>
      <w:r w:rsidR="0003660F">
        <w:rPr>
          <w:rFonts w:ascii="Arial" w:hAnsi="Arial" w:cs="Arial"/>
          <w:sz w:val="24"/>
          <w:szCs w:val="24"/>
        </w:rPr>
        <w:t>Adv</w:t>
      </w:r>
      <w:r w:rsidR="00FC4A26">
        <w:rPr>
          <w:rFonts w:ascii="Arial" w:hAnsi="Arial" w:cs="Arial"/>
          <w:sz w:val="24"/>
          <w:szCs w:val="24"/>
        </w:rPr>
        <w:t xml:space="preserve"> J P V McNally SC.</w:t>
      </w:r>
    </w:p>
    <w:p w14:paraId="1116A2AC" w14:textId="5963E93C" w:rsidR="001A5DFF" w:rsidRPr="002712FE" w:rsidRDefault="001A5DFF" w:rsidP="00012E96">
      <w:pPr>
        <w:spacing w:after="0" w:line="276"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C4A26">
        <w:rPr>
          <w:rFonts w:ascii="Arial" w:hAnsi="Arial" w:cs="Arial"/>
          <w:sz w:val="24"/>
          <w:szCs w:val="24"/>
        </w:rPr>
        <w:tab/>
      </w:r>
      <w:r w:rsidR="00FC4A26">
        <w:rPr>
          <w:rFonts w:ascii="Arial" w:hAnsi="Arial" w:cs="Arial"/>
          <w:sz w:val="24"/>
          <w:szCs w:val="24"/>
        </w:rPr>
        <w:tab/>
      </w:r>
      <w:r w:rsidR="00FC4A26">
        <w:rPr>
          <w:rFonts w:ascii="Arial" w:hAnsi="Arial" w:cs="Arial"/>
          <w:sz w:val="24"/>
          <w:szCs w:val="24"/>
        </w:rPr>
        <w:tab/>
      </w:r>
      <w:r w:rsidR="00FC4A26">
        <w:rPr>
          <w:rFonts w:ascii="Arial" w:hAnsi="Arial" w:cs="Arial"/>
          <w:sz w:val="24"/>
          <w:szCs w:val="24"/>
        </w:rPr>
        <w:tab/>
      </w:r>
      <w:r w:rsidR="00FC4A26">
        <w:rPr>
          <w:rFonts w:ascii="Arial" w:hAnsi="Arial" w:cs="Arial"/>
          <w:sz w:val="24"/>
          <w:szCs w:val="24"/>
        </w:rPr>
        <w:tab/>
        <w:t xml:space="preserve"> </w:t>
      </w:r>
      <w:r w:rsidR="0003660F">
        <w:rPr>
          <w:rFonts w:ascii="Arial" w:hAnsi="Arial" w:cs="Arial"/>
          <w:sz w:val="24"/>
          <w:szCs w:val="24"/>
        </w:rPr>
        <w:t xml:space="preserve">                </w:t>
      </w:r>
      <w:r w:rsidR="00FC4A26">
        <w:rPr>
          <w:rFonts w:ascii="Arial" w:hAnsi="Arial" w:cs="Arial"/>
          <w:sz w:val="24"/>
          <w:szCs w:val="24"/>
        </w:rPr>
        <w:t xml:space="preserve"> </w:t>
      </w:r>
      <w:r w:rsidR="0003660F">
        <w:rPr>
          <w:rFonts w:ascii="Arial" w:hAnsi="Arial" w:cs="Arial"/>
          <w:sz w:val="24"/>
          <w:szCs w:val="24"/>
        </w:rPr>
        <w:t xml:space="preserve">      Adv</w:t>
      </w:r>
      <w:r w:rsidR="00FC4A26">
        <w:rPr>
          <w:rFonts w:ascii="Arial" w:hAnsi="Arial" w:cs="Arial"/>
          <w:sz w:val="24"/>
          <w:szCs w:val="24"/>
        </w:rPr>
        <w:t xml:space="preserve"> A W T Rowan.</w:t>
      </w:r>
    </w:p>
    <w:p w14:paraId="35734891" w14:textId="77777777" w:rsidR="00012E96" w:rsidRPr="002712FE" w:rsidRDefault="00012E96" w:rsidP="00012E96">
      <w:pPr>
        <w:spacing w:after="0" w:line="276" w:lineRule="auto"/>
        <w:jc w:val="both"/>
        <w:outlineLvl w:val="0"/>
        <w:rPr>
          <w:rFonts w:ascii="Arial" w:hAnsi="Arial" w:cs="Arial"/>
          <w:sz w:val="24"/>
          <w:szCs w:val="24"/>
        </w:rPr>
      </w:pPr>
    </w:p>
    <w:p w14:paraId="22B3AE0E" w14:textId="69529BB0" w:rsidR="00012E96" w:rsidRPr="002712FE" w:rsidRDefault="00012E96" w:rsidP="00012E96">
      <w:pPr>
        <w:spacing w:before="120" w:line="360" w:lineRule="auto"/>
        <w:ind w:left="720" w:hanging="720"/>
        <w:rPr>
          <w:rFonts w:ascii="Arial" w:hAnsi="Arial" w:cs="Arial"/>
          <w:b/>
          <w:sz w:val="24"/>
          <w:szCs w:val="24"/>
        </w:rPr>
      </w:pPr>
      <w:r w:rsidRPr="002712FE">
        <w:rPr>
          <w:rFonts w:ascii="Arial" w:hAnsi="Arial" w:cs="Arial"/>
          <w:b/>
          <w:sz w:val="24"/>
          <w:szCs w:val="24"/>
        </w:rPr>
        <w:t>Instructed by</w:t>
      </w:r>
      <w:r w:rsidR="0003660F">
        <w:rPr>
          <w:rFonts w:ascii="Arial" w:hAnsi="Arial" w:cs="Arial"/>
          <w:b/>
          <w:sz w:val="24"/>
          <w:szCs w:val="24"/>
        </w:rPr>
        <w:t>:</w:t>
      </w:r>
      <w:r w:rsidRPr="002712FE">
        <w:rPr>
          <w:rFonts w:ascii="Arial" w:hAnsi="Arial" w:cs="Arial"/>
          <w:b/>
          <w:sz w:val="24"/>
          <w:szCs w:val="24"/>
        </w:rPr>
        <w:tab/>
      </w:r>
      <w:r w:rsidRPr="002712FE">
        <w:rPr>
          <w:rFonts w:ascii="Arial" w:hAnsi="Arial" w:cs="Arial"/>
          <w:b/>
          <w:sz w:val="24"/>
          <w:szCs w:val="24"/>
        </w:rPr>
        <w:tab/>
      </w:r>
      <w:r w:rsidRPr="002712FE">
        <w:rPr>
          <w:rFonts w:ascii="Arial" w:hAnsi="Arial" w:cs="Arial"/>
          <w:b/>
          <w:sz w:val="24"/>
          <w:szCs w:val="24"/>
        </w:rPr>
        <w:tab/>
      </w:r>
      <w:r w:rsidRPr="002712FE">
        <w:rPr>
          <w:rFonts w:ascii="Arial" w:hAnsi="Arial" w:cs="Arial"/>
          <w:b/>
          <w:sz w:val="24"/>
          <w:szCs w:val="24"/>
        </w:rPr>
        <w:tab/>
      </w:r>
      <w:r w:rsidR="0003660F">
        <w:rPr>
          <w:rFonts w:ascii="Arial" w:hAnsi="Arial" w:cs="Arial"/>
          <w:b/>
          <w:sz w:val="24"/>
          <w:szCs w:val="24"/>
        </w:rPr>
        <w:t xml:space="preserve">                        </w:t>
      </w:r>
      <w:r w:rsidR="0003660F">
        <w:rPr>
          <w:rFonts w:ascii="Arial" w:hAnsi="Arial" w:cs="Arial"/>
          <w:sz w:val="24"/>
          <w:szCs w:val="24"/>
        </w:rPr>
        <w:t>Cliffe Dekker Hofmeyr Inc.</w:t>
      </w:r>
    </w:p>
    <w:p w14:paraId="62291E95" w14:textId="77777777" w:rsidR="00012E96" w:rsidRPr="002712FE" w:rsidRDefault="00012E96" w:rsidP="00012E96">
      <w:pPr>
        <w:tabs>
          <w:tab w:val="left" w:pos="6026"/>
        </w:tabs>
        <w:spacing w:before="120" w:line="360" w:lineRule="auto"/>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r>
    </w:p>
    <w:p w14:paraId="11935341" w14:textId="76ED46EB" w:rsidR="00FC4A26" w:rsidRDefault="00FC4A26" w:rsidP="00FC4A26">
      <w:pPr>
        <w:spacing w:after="0" w:line="276" w:lineRule="auto"/>
        <w:jc w:val="both"/>
        <w:outlineLvl w:val="0"/>
        <w:rPr>
          <w:rFonts w:ascii="Arial" w:hAnsi="Arial" w:cs="Arial"/>
          <w:sz w:val="24"/>
          <w:szCs w:val="24"/>
        </w:rPr>
      </w:pPr>
      <w:r>
        <w:rPr>
          <w:rFonts w:ascii="Arial" w:hAnsi="Arial" w:cs="Arial"/>
          <w:b/>
          <w:sz w:val="24"/>
          <w:szCs w:val="24"/>
        </w:rPr>
        <w:t>For the 2</w:t>
      </w:r>
      <w:r w:rsidRPr="00FC4A26">
        <w:rPr>
          <w:rFonts w:ascii="Arial" w:hAnsi="Arial" w:cs="Arial"/>
          <w:b/>
          <w:sz w:val="24"/>
          <w:szCs w:val="24"/>
          <w:vertAlign w:val="superscript"/>
        </w:rPr>
        <w:t>nd</w:t>
      </w:r>
      <w:r>
        <w:rPr>
          <w:rFonts w:ascii="Arial" w:hAnsi="Arial" w:cs="Arial"/>
          <w:b/>
          <w:sz w:val="24"/>
          <w:szCs w:val="24"/>
        </w:rPr>
        <w:t>, 3</w:t>
      </w:r>
      <w:r w:rsidRPr="00FC4A26">
        <w:rPr>
          <w:rFonts w:ascii="Arial" w:hAnsi="Arial" w:cs="Arial"/>
          <w:b/>
          <w:sz w:val="24"/>
          <w:szCs w:val="24"/>
          <w:vertAlign w:val="superscript"/>
        </w:rPr>
        <w:t>rd</w:t>
      </w:r>
      <w:r>
        <w:rPr>
          <w:rFonts w:ascii="Arial" w:hAnsi="Arial" w:cs="Arial"/>
          <w:b/>
          <w:sz w:val="24"/>
          <w:szCs w:val="24"/>
        </w:rPr>
        <w:t xml:space="preserve"> &amp; 4</w:t>
      </w:r>
      <w:r w:rsidRPr="00FC4A26">
        <w:rPr>
          <w:rFonts w:ascii="Arial" w:hAnsi="Arial" w:cs="Arial"/>
          <w:b/>
          <w:sz w:val="24"/>
          <w:szCs w:val="24"/>
          <w:vertAlign w:val="superscript"/>
        </w:rPr>
        <w:t>th</w:t>
      </w:r>
      <w:r>
        <w:rPr>
          <w:rFonts w:ascii="Arial" w:hAnsi="Arial" w:cs="Arial"/>
          <w:b/>
          <w:sz w:val="24"/>
          <w:szCs w:val="24"/>
        </w:rPr>
        <w:t xml:space="preserve"> Defendants</w:t>
      </w:r>
      <w:r w:rsidR="0003660F">
        <w:rPr>
          <w:rFonts w:ascii="Arial" w:hAnsi="Arial" w:cs="Arial"/>
          <w:b/>
          <w:sz w:val="24"/>
          <w:szCs w:val="24"/>
        </w:rPr>
        <w:t>:</w:t>
      </w:r>
      <w:r w:rsidRPr="002712FE">
        <w:rPr>
          <w:rFonts w:ascii="Arial" w:hAnsi="Arial" w:cs="Arial"/>
          <w:b/>
          <w:sz w:val="24"/>
          <w:szCs w:val="24"/>
        </w:rPr>
        <w:tab/>
      </w:r>
      <w:r w:rsidRPr="002712FE">
        <w:rPr>
          <w:rFonts w:ascii="Arial" w:hAnsi="Arial" w:cs="Arial"/>
          <w:b/>
          <w:sz w:val="24"/>
          <w:szCs w:val="24"/>
        </w:rPr>
        <w:tab/>
        <w:t xml:space="preserve">         </w:t>
      </w:r>
      <w:r w:rsidR="0003660F">
        <w:rPr>
          <w:rFonts w:ascii="Arial" w:hAnsi="Arial" w:cs="Arial"/>
          <w:b/>
          <w:sz w:val="24"/>
          <w:szCs w:val="24"/>
        </w:rPr>
        <w:t xml:space="preserve">    </w:t>
      </w:r>
      <w:r w:rsidR="0003660F">
        <w:rPr>
          <w:rFonts w:ascii="Arial" w:hAnsi="Arial" w:cs="Arial"/>
          <w:sz w:val="24"/>
          <w:szCs w:val="24"/>
        </w:rPr>
        <w:t>Adv</w:t>
      </w:r>
      <w:r>
        <w:rPr>
          <w:rFonts w:ascii="Arial" w:hAnsi="Arial" w:cs="Arial"/>
          <w:sz w:val="24"/>
          <w:szCs w:val="24"/>
        </w:rPr>
        <w:t xml:space="preserve"> F A Snyckers SC.</w:t>
      </w:r>
    </w:p>
    <w:p w14:paraId="5BEDAF3E" w14:textId="044E0961" w:rsidR="00FC4A26" w:rsidRPr="002712FE" w:rsidRDefault="00FC4A26" w:rsidP="00FC4A26">
      <w:pPr>
        <w:spacing w:after="0" w:line="276"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Adv L Sisilanna</w:t>
      </w:r>
      <w:r w:rsidR="0003660F">
        <w:rPr>
          <w:rFonts w:ascii="Arial" w:hAnsi="Arial" w:cs="Arial"/>
          <w:sz w:val="24"/>
          <w:szCs w:val="24"/>
        </w:rPr>
        <w:t>.</w:t>
      </w:r>
    </w:p>
    <w:p w14:paraId="4868B411" w14:textId="77777777" w:rsidR="00FC4A26" w:rsidRPr="002712FE" w:rsidRDefault="00FC4A26" w:rsidP="00FC4A26">
      <w:pPr>
        <w:spacing w:after="0" w:line="276" w:lineRule="auto"/>
        <w:jc w:val="both"/>
        <w:outlineLvl w:val="0"/>
        <w:rPr>
          <w:rFonts w:ascii="Arial" w:hAnsi="Arial" w:cs="Arial"/>
          <w:sz w:val="24"/>
          <w:szCs w:val="24"/>
        </w:rPr>
      </w:pPr>
    </w:p>
    <w:p w14:paraId="73D0C225" w14:textId="037D7443" w:rsidR="00FC4A26" w:rsidRPr="002712FE" w:rsidRDefault="00FC4A26" w:rsidP="00FC4A26">
      <w:pPr>
        <w:spacing w:before="120" w:line="360" w:lineRule="auto"/>
        <w:ind w:left="720" w:hanging="720"/>
        <w:rPr>
          <w:rFonts w:ascii="Arial" w:hAnsi="Arial" w:cs="Arial"/>
          <w:b/>
          <w:sz w:val="24"/>
          <w:szCs w:val="24"/>
        </w:rPr>
      </w:pPr>
      <w:r w:rsidRPr="002712FE">
        <w:rPr>
          <w:rFonts w:ascii="Arial" w:hAnsi="Arial" w:cs="Arial"/>
          <w:b/>
          <w:sz w:val="24"/>
          <w:szCs w:val="24"/>
        </w:rPr>
        <w:t>Instructed by</w:t>
      </w:r>
      <w:r w:rsidR="0003660F">
        <w:rPr>
          <w:rFonts w:ascii="Arial" w:hAnsi="Arial" w:cs="Arial"/>
          <w:b/>
          <w:sz w:val="24"/>
          <w:szCs w:val="24"/>
        </w:rPr>
        <w:t>:</w:t>
      </w:r>
      <w:r w:rsidRPr="002712FE">
        <w:rPr>
          <w:rFonts w:ascii="Arial" w:hAnsi="Arial" w:cs="Arial"/>
          <w:b/>
          <w:sz w:val="24"/>
          <w:szCs w:val="24"/>
        </w:rPr>
        <w:tab/>
      </w:r>
      <w:r w:rsidRPr="002712FE">
        <w:rPr>
          <w:rFonts w:ascii="Arial" w:hAnsi="Arial" w:cs="Arial"/>
          <w:b/>
          <w:sz w:val="24"/>
          <w:szCs w:val="24"/>
        </w:rPr>
        <w:tab/>
      </w:r>
      <w:r w:rsidRPr="002712FE">
        <w:rPr>
          <w:rFonts w:ascii="Arial" w:hAnsi="Arial" w:cs="Arial"/>
          <w:b/>
          <w:sz w:val="24"/>
          <w:szCs w:val="24"/>
        </w:rPr>
        <w:tab/>
      </w:r>
      <w:r w:rsidRPr="002712FE">
        <w:rPr>
          <w:rFonts w:ascii="Arial" w:hAnsi="Arial" w:cs="Arial"/>
          <w:b/>
          <w:sz w:val="24"/>
          <w:szCs w:val="24"/>
        </w:rPr>
        <w:tab/>
      </w:r>
      <w:r>
        <w:rPr>
          <w:rFonts w:ascii="Arial" w:hAnsi="Arial" w:cs="Arial"/>
          <w:b/>
          <w:sz w:val="24"/>
          <w:szCs w:val="24"/>
        </w:rPr>
        <w:t xml:space="preserve">                      </w:t>
      </w:r>
      <w:r w:rsidRPr="002712FE">
        <w:rPr>
          <w:rFonts w:ascii="Arial" w:hAnsi="Arial" w:cs="Arial"/>
          <w:b/>
          <w:sz w:val="24"/>
          <w:szCs w:val="24"/>
        </w:rPr>
        <w:t xml:space="preserve"> </w:t>
      </w:r>
      <w:r w:rsidR="0003660F">
        <w:rPr>
          <w:rFonts w:ascii="Arial" w:hAnsi="Arial" w:cs="Arial"/>
          <w:bCs/>
          <w:sz w:val="24"/>
          <w:szCs w:val="24"/>
          <w:lang w:eastAsia="en-ZA"/>
        </w:rPr>
        <w:t>Bowman Gilfillan Inc.</w:t>
      </w:r>
    </w:p>
    <w:p w14:paraId="5E872F9D" w14:textId="77777777" w:rsidR="002D42AF" w:rsidRDefault="002D42AF"/>
    <w:sectPr w:rsidR="002D42AF" w:rsidSect="00DC2E5D">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10366" w14:textId="77777777" w:rsidR="00E73119" w:rsidRDefault="00E73119" w:rsidP="00012E96">
      <w:pPr>
        <w:spacing w:after="0" w:line="240" w:lineRule="auto"/>
      </w:pPr>
      <w:r>
        <w:separator/>
      </w:r>
    </w:p>
  </w:endnote>
  <w:endnote w:type="continuationSeparator" w:id="0">
    <w:p w14:paraId="591CB178" w14:textId="77777777" w:rsidR="00E73119" w:rsidRDefault="00E73119" w:rsidP="0001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88C6" w14:textId="77777777" w:rsidR="00E73119" w:rsidRDefault="00E73119" w:rsidP="00012E96">
      <w:pPr>
        <w:spacing w:after="0" w:line="240" w:lineRule="auto"/>
      </w:pPr>
      <w:r>
        <w:separator/>
      </w:r>
    </w:p>
  </w:footnote>
  <w:footnote w:type="continuationSeparator" w:id="0">
    <w:p w14:paraId="0E0ACA7A" w14:textId="77777777" w:rsidR="00E73119" w:rsidRDefault="00E73119" w:rsidP="00012E96">
      <w:pPr>
        <w:spacing w:after="0" w:line="240" w:lineRule="auto"/>
      </w:pPr>
      <w:r>
        <w:continuationSeparator/>
      </w:r>
    </w:p>
  </w:footnote>
  <w:footnote w:id="1">
    <w:p w14:paraId="52499EB3" w14:textId="77777777" w:rsidR="00D85682" w:rsidRDefault="00D85682">
      <w:pPr>
        <w:pStyle w:val="FootnoteText"/>
      </w:pPr>
      <w:r>
        <w:rPr>
          <w:rStyle w:val="FootnoteReference"/>
        </w:rPr>
        <w:footnoteRef/>
      </w:r>
      <w:r>
        <w:t xml:space="preserve"> </w:t>
      </w:r>
      <w:r w:rsidRPr="00891776">
        <w:t xml:space="preserve">Section 11 reads as follows: </w:t>
      </w:r>
    </w:p>
    <w:p w14:paraId="36D96A9D" w14:textId="63A7A2AF" w:rsidR="00D85682" w:rsidRPr="00891776" w:rsidRDefault="00D85682" w:rsidP="00DE0206">
      <w:pPr>
        <w:pStyle w:val="FootnoteText"/>
        <w:jc w:val="both"/>
        <w:rPr>
          <w:lang w:val="en-GB"/>
        </w:rPr>
      </w:pPr>
      <w:r w:rsidRPr="00891776">
        <w:t>"11. Transferability and encumbrance of prospecting rights and mining rights.—(1) A prospecting right or mining right or an interest in any such right, or a controlling interest in a company or close corporation, may not be ceded, transferred, let, sublet, assigned, alienated or otherwise disposed of</w:t>
      </w:r>
      <w:r w:rsidR="00DE0206">
        <w:t xml:space="preserve"> </w:t>
      </w:r>
      <w:r w:rsidRPr="00891776">
        <w:t>without the written consent of the Minister, except in the case of change of controlling interest in listed companies."</w:t>
      </w:r>
    </w:p>
  </w:footnote>
  <w:footnote w:id="2">
    <w:p w14:paraId="263B911A" w14:textId="1D194F1F" w:rsidR="00D85682" w:rsidRPr="003C681C" w:rsidRDefault="00D85682" w:rsidP="008D77EC">
      <w:pPr>
        <w:rPr>
          <w:rFonts w:ascii="Arial" w:hAnsi="Arial" w:cs="Arial"/>
          <w:sz w:val="20"/>
          <w:szCs w:val="20"/>
        </w:rPr>
      </w:pPr>
      <w:r>
        <w:rPr>
          <w:rStyle w:val="FootnoteReference"/>
        </w:rPr>
        <w:footnoteRef/>
      </w:r>
      <w:r>
        <w:t xml:space="preserve"> See:</w:t>
      </w:r>
      <w:r w:rsidRPr="003C681C">
        <w:rPr>
          <w:rFonts w:ascii="Arial" w:hAnsi="Arial" w:cs="Arial"/>
          <w:i/>
          <w:iCs/>
          <w:sz w:val="20"/>
          <w:szCs w:val="20"/>
        </w:rPr>
        <w:t>Roshcon v Anchor Auto Body Builders and Others</w:t>
      </w:r>
      <w:r w:rsidRPr="003C681C">
        <w:rPr>
          <w:rFonts w:ascii="Arial" w:hAnsi="Arial" w:cs="Arial"/>
          <w:sz w:val="20"/>
          <w:szCs w:val="20"/>
        </w:rPr>
        <w:t> </w:t>
      </w:r>
      <w:hyperlink r:id="rId1" w:tooltip="View LawCiteRecord" w:history="1">
        <w:r w:rsidRPr="003C681C">
          <w:rPr>
            <w:rStyle w:val="Hyperlink"/>
            <w:rFonts w:ascii="Arial" w:hAnsi="Arial" w:cs="Arial"/>
            <w:bCs/>
            <w:color w:val="auto"/>
            <w:sz w:val="20"/>
            <w:szCs w:val="20"/>
            <w:u w:val="none"/>
          </w:rPr>
          <w:t>2014 (4) SA 319</w:t>
        </w:r>
      </w:hyperlink>
      <w:r w:rsidRPr="003C681C">
        <w:rPr>
          <w:rFonts w:ascii="Arial" w:hAnsi="Arial" w:cs="Arial"/>
          <w:sz w:val="20"/>
          <w:szCs w:val="20"/>
        </w:rPr>
        <w:t xml:space="preserve"> (SCA) at 332-334; </w:t>
      </w:r>
      <w:r w:rsidRPr="003C681C">
        <w:rPr>
          <w:rFonts w:ascii="Arial" w:hAnsi="Arial" w:cs="Arial"/>
          <w:i/>
          <w:sz w:val="20"/>
          <w:szCs w:val="20"/>
        </w:rPr>
        <w:t>Atlas</w:t>
      </w:r>
      <w:r w:rsidRPr="003C681C">
        <w:rPr>
          <w:rFonts w:ascii="Arial" w:hAnsi="Arial" w:cs="Arial"/>
          <w:sz w:val="20"/>
          <w:szCs w:val="20"/>
        </w:rPr>
        <w:t xml:space="preserve"> </w:t>
      </w:r>
      <w:r w:rsidRPr="003C681C">
        <w:rPr>
          <w:rFonts w:ascii="Arial" w:hAnsi="Arial" w:cs="Arial"/>
          <w:i/>
          <w:sz w:val="20"/>
          <w:szCs w:val="20"/>
        </w:rPr>
        <w:t>Packaging v Palierakis</w:t>
      </w:r>
      <w:r w:rsidRPr="003C681C">
        <w:rPr>
          <w:rFonts w:ascii="Arial" w:hAnsi="Arial" w:cs="Arial"/>
          <w:sz w:val="20"/>
          <w:szCs w:val="20"/>
        </w:rPr>
        <w:t xml:space="preserve"> (JA108/14) [2015] ZALAC 97 (21 October 2015)</w:t>
      </w:r>
      <w:r>
        <w:rPr>
          <w:rFonts w:ascii="Arial" w:hAnsi="Arial" w:cs="Arial"/>
          <w:sz w:val="20"/>
          <w:szCs w:val="20"/>
        </w:rPr>
        <w:t>.</w:t>
      </w:r>
    </w:p>
    <w:p w14:paraId="563A50C9" w14:textId="77777777" w:rsidR="00D85682" w:rsidRPr="003C681C" w:rsidRDefault="00D85682" w:rsidP="008D77EC">
      <w:pPr>
        <w:rPr>
          <w:rFonts w:ascii="Arial" w:hAnsi="Arial" w:cs="Arial"/>
          <w:sz w:val="20"/>
          <w:szCs w:val="20"/>
        </w:rPr>
      </w:pPr>
    </w:p>
    <w:p w14:paraId="163A0DA8" w14:textId="77777777" w:rsidR="00D85682" w:rsidRDefault="00D85682" w:rsidP="008D77EC">
      <w:pPr>
        <w:rPr>
          <w:lang w:val="en-GB"/>
        </w:rPr>
      </w:pPr>
    </w:p>
    <w:p w14:paraId="4C2AA951" w14:textId="77777777" w:rsidR="00D85682" w:rsidRDefault="00D85682" w:rsidP="008D77EC">
      <w:pPr>
        <w:pStyle w:val="FootnoteText"/>
        <w:rPr>
          <w:lang w:val="en-GB"/>
        </w:rPr>
      </w:pPr>
    </w:p>
  </w:footnote>
  <w:footnote w:id="3">
    <w:p w14:paraId="16DAB638" w14:textId="6B8B224E" w:rsidR="00D85682" w:rsidRPr="00EF45C8" w:rsidRDefault="00D85682">
      <w:pPr>
        <w:pStyle w:val="FootnoteText"/>
        <w:rPr>
          <w:lang w:val="en-GB"/>
        </w:rPr>
      </w:pPr>
      <w:r>
        <w:rPr>
          <w:rStyle w:val="FootnoteReference"/>
        </w:rPr>
        <w:footnoteRef/>
      </w:r>
      <w:r>
        <w:t xml:space="preserve"> </w:t>
      </w:r>
      <w:r>
        <w:rPr>
          <w:lang w:val="en-GB"/>
        </w:rPr>
        <w:t>Section 115(5).</w:t>
      </w:r>
    </w:p>
  </w:footnote>
  <w:footnote w:id="4">
    <w:p w14:paraId="10FAC4B6" w14:textId="4BE71A9B" w:rsidR="00D85682" w:rsidRPr="00DE0206" w:rsidRDefault="00D85682">
      <w:pPr>
        <w:pStyle w:val="FootnoteText"/>
        <w:rPr>
          <w:rFonts w:ascii="Arial" w:hAnsi="Arial" w:cs="Arial"/>
          <w:lang w:val="en-GB"/>
        </w:rPr>
      </w:pPr>
      <w:r w:rsidRPr="00DE0206">
        <w:rPr>
          <w:rStyle w:val="FootnoteReference"/>
          <w:rFonts w:ascii="Arial" w:hAnsi="Arial" w:cs="Arial"/>
        </w:rPr>
        <w:footnoteRef/>
      </w:r>
      <w:r w:rsidRPr="00DE0206">
        <w:rPr>
          <w:rFonts w:ascii="Arial" w:hAnsi="Arial" w:cs="Arial"/>
        </w:rPr>
        <w:t xml:space="preserve">  [2001] ZASCA 91</w:t>
      </w:r>
    </w:p>
  </w:footnote>
  <w:footnote w:id="5">
    <w:p w14:paraId="00C4ED92" w14:textId="045C6347" w:rsidR="00D85682" w:rsidRPr="00B527CA" w:rsidRDefault="00D85682" w:rsidP="00CE7B46">
      <w:pPr>
        <w:pStyle w:val="FootnoteText"/>
        <w:rPr>
          <w:lang w:val="en-GB"/>
        </w:rPr>
      </w:pPr>
      <w:r w:rsidRPr="00DE0206">
        <w:rPr>
          <w:rStyle w:val="FootnoteReference"/>
          <w:rFonts w:ascii="Arial" w:hAnsi="Arial" w:cs="Arial"/>
        </w:rPr>
        <w:footnoteRef/>
      </w:r>
      <w:r w:rsidRPr="00DE0206">
        <w:rPr>
          <w:rFonts w:ascii="Arial" w:hAnsi="Arial" w:cs="Arial"/>
        </w:rPr>
        <w:t xml:space="preserve"> At para 16. </w:t>
      </w:r>
      <w:r w:rsidRPr="00DE0206">
        <w:rPr>
          <w:rFonts w:ascii="Arial" w:hAnsi="Arial" w:cs="Arial"/>
          <w:lang w:val="en-GB"/>
        </w:rPr>
        <w:t>See also</w:t>
      </w:r>
      <w:r w:rsidRPr="00DE0206">
        <w:rPr>
          <w:rFonts w:ascii="Arial" w:hAnsi="Arial" w:cs="Arial"/>
          <w:i/>
          <w:iCs/>
          <w:sz w:val="24"/>
          <w:szCs w:val="24"/>
          <w:lang w:val="en-US"/>
        </w:rPr>
        <w:t xml:space="preserve"> </w:t>
      </w:r>
      <w:r w:rsidRPr="00DE0206">
        <w:rPr>
          <w:rFonts w:ascii="Arial" w:hAnsi="Arial" w:cs="Arial"/>
          <w:i/>
          <w:iCs/>
          <w:lang w:val="en-US"/>
        </w:rPr>
        <w:t>Stadsraad van Pretoria v Van Wyk</w:t>
      </w:r>
      <w:r w:rsidRPr="00DE0206">
        <w:rPr>
          <w:rFonts w:ascii="Arial" w:hAnsi="Arial" w:cs="Arial"/>
          <w:lang w:val="en-US"/>
        </w:rPr>
        <w:t> </w:t>
      </w:r>
      <w:hyperlink r:id="rId2" w:tooltip="View LawCiteRecord" w:history="1">
        <w:r w:rsidRPr="00DE0206">
          <w:rPr>
            <w:rStyle w:val="Hyperlink"/>
            <w:rFonts w:ascii="Arial" w:hAnsi="Arial" w:cs="Arial"/>
            <w:bCs/>
            <w:color w:val="auto"/>
            <w:u w:val="none"/>
            <w:lang w:val="en-US"/>
          </w:rPr>
          <w:t>1973 (2) SA 779</w:t>
        </w:r>
      </w:hyperlink>
      <w:r w:rsidRPr="00DE0206">
        <w:rPr>
          <w:rFonts w:ascii="Arial" w:hAnsi="Arial" w:cs="Arial"/>
          <w:lang w:val="en-US"/>
        </w:rPr>
        <w:t> (A) at 784 D-H)</w:t>
      </w:r>
    </w:p>
  </w:footnote>
  <w:footnote w:id="6">
    <w:p w14:paraId="799AF483" w14:textId="68ACF615" w:rsidR="00D85682" w:rsidRPr="00DE0206" w:rsidRDefault="00D85682">
      <w:pPr>
        <w:pStyle w:val="FootnoteText"/>
        <w:rPr>
          <w:rFonts w:ascii="Arial" w:hAnsi="Arial" w:cs="Arial"/>
          <w:lang w:val="en-GB"/>
        </w:rPr>
      </w:pPr>
      <w:r>
        <w:rPr>
          <w:rStyle w:val="FootnoteReference"/>
        </w:rPr>
        <w:footnoteRef/>
      </w:r>
      <w:r>
        <w:t xml:space="preserve"> </w:t>
      </w:r>
      <w:r w:rsidRPr="00DE0206">
        <w:rPr>
          <w:rFonts w:ascii="Arial" w:hAnsi="Arial" w:cs="Arial"/>
          <w:i/>
          <w:lang w:val="en-GB"/>
        </w:rPr>
        <w:t>(6378/2022) [2022] ZAWCHC 46 (13 April 2022</w:t>
      </w:r>
      <w:r w:rsidRPr="00DE0206">
        <w:rPr>
          <w:rFonts w:ascii="Arial" w:hAnsi="Arial" w:cs="Arial"/>
          <w:lang w:val="en-GB"/>
        </w:rPr>
        <w:t>)</w:t>
      </w:r>
      <w:r w:rsidR="009D28DE">
        <w:rPr>
          <w:rFonts w:ascii="Arial" w:hAnsi="Arial" w:cs="Arial"/>
          <w:lang w:val="en-GB"/>
        </w:rPr>
        <w:t>.</w:t>
      </w:r>
    </w:p>
  </w:footnote>
  <w:footnote w:id="7">
    <w:p w14:paraId="084FCFA7" w14:textId="78BC04E4" w:rsidR="00D85682" w:rsidRPr="002C60DE" w:rsidRDefault="00D85682">
      <w:pPr>
        <w:pStyle w:val="FootnoteText"/>
        <w:rPr>
          <w:lang w:val="en-GB"/>
        </w:rPr>
      </w:pPr>
      <w:r>
        <w:rPr>
          <w:rStyle w:val="FootnoteReference"/>
        </w:rPr>
        <w:footnoteRef/>
      </w:r>
      <w:r>
        <w:t xml:space="preserve"> </w:t>
      </w:r>
      <w:r>
        <w:rPr>
          <w:lang w:val="en-GB"/>
        </w:rPr>
        <w:t>Id at para 94.</w:t>
      </w:r>
    </w:p>
  </w:footnote>
  <w:footnote w:id="8">
    <w:p w14:paraId="63A5B21A" w14:textId="398A2E0F" w:rsidR="00D85682" w:rsidRPr="00DA6487" w:rsidRDefault="00D85682">
      <w:pPr>
        <w:pStyle w:val="FootnoteText"/>
        <w:rPr>
          <w:lang w:val="en-GB"/>
        </w:rPr>
      </w:pPr>
      <w:r>
        <w:rPr>
          <w:rStyle w:val="FootnoteReference"/>
        </w:rPr>
        <w:footnoteRef/>
      </w:r>
      <w:r>
        <w:t xml:space="preserve"> </w:t>
      </w:r>
      <w:r w:rsidRPr="0081558A">
        <w:rPr>
          <w:i/>
          <w:lang w:val="en-GB"/>
        </w:rPr>
        <w:t>1994 (2) SA 265 (A).</w:t>
      </w:r>
    </w:p>
  </w:footnote>
  <w:footnote w:id="9">
    <w:p w14:paraId="1BAE669D" w14:textId="365C0C35" w:rsidR="00D85682" w:rsidRDefault="00D85682" w:rsidP="002D798D">
      <w:pPr>
        <w:pStyle w:val="FootnoteText"/>
        <w:jc w:val="both"/>
        <w:rPr>
          <w:lang w:val="en-GB"/>
        </w:rPr>
      </w:pPr>
      <w:r>
        <w:rPr>
          <w:rStyle w:val="FootnoteReference"/>
        </w:rPr>
        <w:footnoteRef/>
      </w:r>
      <w:r>
        <w:t xml:space="preserve"> </w:t>
      </w:r>
      <w:r w:rsidRPr="002D798D">
        <w:rPr>
          <w:rFonts w:ascii="Arial" w:hAnsi="Arial" w:cs="Arial"/>
        </w:rPr>
        <w:t xml:space="preserve">See Namex at 294E — F per Goldstone JA; Smalberger JA and Nicholas AJA concurring. Translated: </w:t>
      </w:r>
      <w:r>
        <w:rPr>
          <w:rFonts w:ascii="Arial" w:hAnsi="Arial" w:cs="Arial"/>
        </w:rPr>
        <w:t>‘</w:t>
      </w:r>
      <w:r w:rsidRPr="002D798D">
        <w:rPr>
          <w:rFonts w:ascii="Arial" w:hAnsi="Arial" w:cs="Arial"/>
        </w:rPr>
        <w:t>in the business world, section 311 schemes have much utility and value and in view of this, our Courts should not give a narrow interpretation to the provisions of the section.</w:t>
      </w:r>
      <w:r>
        <w:rPr>
          <w:rFonts w:ascii="Arial" w:hAnsi="Arial" w:cs="Arial"/>
        </w:rPr>
        <w:t>’</w:t>
      </w:r>
    </w:p>
  </w:footnote>
  <w:footnote w:id="10">
    <w:p w14:paraId="304CF5A5" w14:textId="12F518DE" w:rsidR="00D85682" w:rsidRPr="008754C1" w:rsidRDefault="00D85682">
      <w:pPr>
        <w:pStyle w:val="FootnoteText"/>
        <w:rPr>
          <w:i/>
          <w:lang w:val="en-GB"/>
        </w:rPr>
      </w:pPr>
      <w:r>
        <w:rPr>
          <w:rStyle w:val="FootnoteReference"/>
        </w:rPr>
        <w:footnoteRef/>
      </w:r>
      <w:r>
        <w:t xml:space="preserve"> </w:t>
      </w:r>
      <w:r w:rsidRPr="008754C1">
        <w:rPr>
          <w:i/>
        </w:rPr>
        <w:t>Sand Grove -n 5 -para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722575"/>
      <w:docPartObj>
        <w:docPartGallery w:val="Page Numbers (Top of Page)"/>
        <w:docPartUnique/>
      </w:docPartObj>
    </w:sdtPr>
    <w:sdtEndPr>
      <w:rPr>
        <w:noProof/>
      </w:rPr>
    </w:sdtEndPr>
    <w:sdtContent>
      <w:p w14:paraId="4626E5E4" w14:textId="44033660" w:rsidR="00D85682" w:rsidRDefault="00D85682">
        <w:pPr>
          <w:pStyle w:val="Header"/>
          <w:jc w:val="right"/>
        </w:pPr>
        <w:r>
          <w:fldChar w:fldCharType="begin"/>
        </w:r>
        <w:r>
          <w:instrText xml:space="preserve"> PAGE   \* MERGEFORMAT </w:instrText>
        </w:r>
        <w:r>
          <w:fldChar w:fldCharType="separate"/>
        </w:r>
        <w:r w:rsidR="00970D7B">
          <w:rPr>
            <w:noProof/>
          </w:rPr>
          <w:t>2</w:t>
        </w:r>
        <w:r>
          <w:rPr>
            <w:noProof/>
          </w:rPr>
          <w:fldChar w:fldCharType="end"/>
        </w:r>
      </w:p>
    </w:sdtContent>
  </w:sdt>
  <w:p w14:paraId="5D4E300C" w14:textId="77777777" w:rsidR="00D85682" w:rsidRDefault="00D85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C32"/>
    <w:multiLevelType w:val="hybridMultilevel"/>
    <w:tmpl w:val="1EA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03FC"/>
    <w:multiLevelType w:val="hybridMultilevel"/>
    <w:tmpl w:val="270E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2033"/>
    <w:multiLevelType w:val="hybridMultilevel"/>
    <w:tmpl w:val="DAC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0B671A3B"/>
    <w:multiLevelType w:val="hybridMultilevel"/>
    <w:tmpl w:val="1F485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3D495E"/>
    <w:multiLevelType w:val="hybridMultilevel"/>
    <w:tmpl w:val="E0E8A2D6"/>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6" w15:restartNumberingAfterBreak="0">
    <w:nsid w:val="1E347640"/>
    <w:multiLevelType w:val="hybridMultilevel"/>
    <w:tmpl w:val="65668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C61969"/>
    <w:multiLevelType w:val="hybridMultilevel"/>
    <w:tmpl w:val="00EE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E289D"/>
    <w:multiLevelType w:val="hybridMultilevel"/>
    <w:tmpl w:val="A328B4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3443380F"/>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4665F37"/>
    <w:multiLevelType w:val="hybridMultilevel"/>
    <w:tmpl w:val="FC8C1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F4E31B8"/>
    <w:multiLevelType w:val="hybridMultilevel"/>
    <w:tmpl w:val="5936E1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FD845E7"/>
    <w:multiLevelType w:val="hybridMultilevel"/>
    <w:tmpl w:val="F89623F6"/>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13" w15:restartNumberingAfterBreak="0">
    <w:nsid w:val="5A4D026F"/>
    <w:multiLevelType w:val="hybridMultilevel"/>
    <w:tmpl w:val="00BA1EDC"/>
    <w:lvl w:ilvl="0" w:tplc="57C2151A">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434F6B"/>
    <w:multiLevelType w:val="hybridMultilevel"/>
    <w:tmpl w:val="999C7DE4"/>
    <w:lvl w:ilvl="0" w:tplc="9E7EC3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53561B1"/>
    <w:multiLevelType w:val="hybridMultilevel"/>
    <w:tmpl w:val="E550F286"/>
    <w:lvl w:ilvl="0" w:tplc="66CE4E48">
      <w:start w:val="1"/>
      <w:numFmt w:val="decimal"/>
      <w:lvlText w:val="[%1] "/>
      <w:lvlJc w:val="left"/>
      <w:pPr>
        <w:ind w:left="4330" w:hanging="360"/>
      </w:pPr>
      <w:rPr>
        <w:rFonts w:hint="default"/>
        <w:b w:val="0"/>
        <w:i w:val="0"/>
      </w:rPr>
    </w:lvl>
    <w:lvl w:ilvl="1" w:tplc="1C090019">
      <w:start w:val="1"/>
      <w:numFmt w:val="lowerLetter"/>
      <w:lvlText w:val="%2."/>
      <w:lvlJc w:val="left"/>
      <w:pPr>
        <w:ind w:left="22" w:hanging="360"/>
      </w:pPr>
    </w:lvl>
    <w:lvl w:ilvl="2" w:tplc="1C09001B">
      <w:start w:val="1"/>
      <w:numFmt w:val="lowerRoman"/>
      <w:lvlText w:val="%3."/>
      <w:lvlJc w:val="right"/>
      <w:pPr>
        <w:ind w:left="742" w:hanging="180"/>
      </w:pPr>
    </w:lvl>
    <w:lvl w:ilvl="3" w:tplc="1C09000F" w:tentative="1">
      <w:start w:val="1"/>
      <w:numFmt w:val="decimal"/>
      <w:lvlText w:val="%4."/>
      <w:lvlJc w:val="left"/>
      <w:pPr>
        <w:ind w:left="1462" w:hanging="360"/>
      </w:pPr>
    </w:lvl>
    <w:lvl w:ilvl="4" w:tplc="1C090019" w:tentative="1">
      <w:start w:val="1"/>
      <w:numFmt w:val="lowerLetter"/>
      <w:lvlText w:val="%5."/>
      <w:lvlJc w:val="left"/>
      <w:pPr>
        <w:ind w:left="2182" w:hanging="360"/>
      </w:pPr>
    </w:lvl>
    <w:lvl w:ilvl="5" w:tplc="1C09001B" w:tentative="1">
      <w:start w:val="1"/>
      <w:numFmt w:val="lowerRoman"/>
      <w:lvlText w:val="%6."/>
      <w:lvlJc w:val="right"/>
      <w:pPr>
        <w:ind w:left="2902" w:hanging="180"/>
      </w:pPr>
    </w:lvl>
    <w:lvl w:ilvl="6" w:tplc="1C09000F" w:tentative="1">
      <w:start w:val="1"/>
      <w:numFmt w:val="decimal"/>
      <w:lvlText w:val="%7."/>
      <w:lvlJc w:val="left"/>
      <w:pPr>
        <w:ind w:left="3622" w:hanging="360"/>
      </w:pPr>
    </w:lvl>
    <w:lvl w:ilvl="7" w:tplc="1C090019" w:tentative="1">
      <w:start w:val="1"/>
      <w:numFmt w:val="lowerLetter"/>
      <w:lvlText w:val="%8."/>
      <w:lvlJc w:val="left"/>
      <w:pPr>
        <w:ind w:left="4342" w:hanging="360"/>
      </w:pPr>
    </w:lvl>
    <w:lvl w:ilvl="8" w:tplc="1C09001B" w:tentative="1">
      <w:start w:val="1"/>
      <w:numFmt w:val="lowerRoman"/>
      <w:lvlText w:val="%9."/>
      <w:lvlJc w:val="right"/>
      <w:pPr>
        <w:ind w:left="5062" w:hanging="180"/>
      </w:pPr>
    </w:lvl>
  </w:abstractNum>
  <w:abstractNum w:abstractNumId="16" w15:restartNumberingAfterBreak="0">
    <w:nsid w:val="681779B1"/>
    <w:multiLevelType w:val="hybridMultilevel"/>
    <w:tmpl w:val="93D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86851"/>
    <w:multiLevelType w:val="hybridMultilevel"/>
    <w:tmpl w:val="534E57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73CF2A35"/>
    <w:multiLevelType w:val="hybridMultilevel"/>
    <w:tmpl w:val="EEAE3A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8"/>
  </w:num>
  <w:num w:numId="5">
    <w:abstractNumId w:val="10"/>
  </w:num>
  <w:num w:numId="6">
    <w:abstractNumId w:val="16"/>
  </w:num>
  <w:num w:numId="7">
    <w:abstractNumId w:val="5"/>
  </w:num>
  <w:num w:numId="8">
    <w:abstractNumId w:val="2"/>
  </w:num>
  <w:num w:numId="9">
    <w:abstractNumId w:val="1"/>
  </w:num>
  <w:num w:numId="10">
    <w:abstractNumId w:val="7"/>
  </w:num>
  <w:num w:numId="11">
    <w:abstractNumId w:val="4"/>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1"/>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96"/>
    <w:rsid w:val="0000391C"/>
    <w:rsid w:val="000068B9"/>
    <w:rsid w:val="00012BC7"/>
    <w:rsid w:val="00012E96"/>
    <w:rsid w:val="00014483"/>
    <w:rsid w:val="000151CC"/>
    <w:rsid w:val="0001793C"/>
    <w:rsid w:val="00022157"/>
    <w:rsid w:val="00022ABD"/>
    <w:rsid w:val="00030BBB"/>
    <w:rsid w:val="00030F7A"/>
    <w:rsid w:val="00031578"/>
    <w:rsid w:val="00033059"/>
    <w:rsid w:val="00033FDC"/>
    <w:rsid w:val="0003660F"/>
    <w:rsid w:val="000407C5"/>
    <w:rsid w:val="0004289F"/>
    <w:rsid w:val="0004425A"/>
    <w:rsid w:val="00045C37"/>
    <w:rsid w:val="00054398"/>
    <w:rsid w:val="00054498"/>
    <w:rsid w:val="0005586B"/>
    <w:rsid w:val="0005768B"/>
    <w:rsid w:val="0006245B"/>
    <w:rsid w:val="00065D2B"/>
    <w:rsid w:val="000700B7"/>
    <w:rsid w:val="000728AC"/>
    <w:rsid w:val="00075201"/>
    <w:rsid w:val="00082452"/>
    <w:rsid w:val="00082E02"/>
    <w:rsid w:val="00084FE8"/>
    <w:rsid w:val="00085987"/>
    <w:rsid w:val="000943DB"/>
    <w:rsid w:val="000A2B3C"/>
    <w:rsid w:val="000A7837"/>
    <w:rsid w:val="000B0B42"/>
    <w:rsid w:val="000B216D"/>
    <w:rsid w:val="000B2CE2"/>
    <w:rsid w:val="000B4120"/>
    <w:rsid w:val="000B4322"/>
    <w:rsid w:val="000B4CE0"/>
    <w:rsid w:val="000B799E"/>
    <w:rsid w:val="000C05F6"/>
    <w:rsid w:val="000C7ACC"/>
    <w:rsid w:val="000D0EEB"/>
    <w:rsid w:val="000D1074"/>
    <w:rsid w:val="000E1BF2"/>
    <w:rsid w:val="000E3218"/>
    <w:rsid w:val="000E4F28"/>
    <w:rsid w:val="000F0A56"/>
    <w:rsid w:val="000F4206"/>
    <w:rsid w:val="000F553B"/>
    <w:rsid w:val="00110D52"/>
    <w:rsid w:val="00111C6F"/>
    <w:rsid w:val="00112C26"/>
    <w:rsid w:val="001212A0"/>
    <w:rsid w:val="00126CDA"/>
    <w:rsid w:val="00130012"/>
    <w:rsid w:val="001305E6"/>
    <w:rsid w:val="001309ED"/>
    <w:rsid w:val="00130E36"/>
    <w:rsid w:val="001317DD"/>
    <w:rsid w:val="00132EA5"/>
    <w:rsid w:val="00134E52"/>
    <w:rsid w:val="00137097"/>
    <w:rsid w:val="00140A0B"/>
    <w:rsid w:val="00151659"/>
    <w:rsid w:val="00162297"/>
    <w:rsid w:val="00175F8C"/>
    <w:rsid w:val="0018011D"/>
    <w:rsid w:val="00185227"/>
    <w:rsid w:val="001905B4"/>
    <w:rsid w:val="00192CFA"/>
    <w:rsid w:val="00193A5B"/>
    <w:rsid w:val="001A3A31"/>
    <w:rsid w:val="001A5DFF"/>
    <w:rsid w:val="001B6825"/>
    <w:rsid w:val="001B7D27"/>
    <w:rsid w:val="001C0964"/>
    <w:rsid w:val="001C3D3E"/>
    <w:rsid w:val="001C507E"/>
    <w:rsid w:val="001D77A3"/>
    <w:rsid w:val="001E1113"/>
    <w:rsid w:val="001E2A3A"/>
    <w:rsid w:val="001F00E6"/>
    <w:rsid w:val="001F1405"/>
    <w:rsid w:val="001F347E"/>
    <w:rsid w:val="001F52BD"/>
    <w:rsid w:val="00201989"/>
    <w:rsid w:val="0020705B"/>
    <w:rsid w:val="00210FE8"/>
    <w:rsid w:val="0021170B"/>
    <w:rsid w:val="00212BB3"/>
    <w:rsid w:val="00215702"/>
    <w:rsid w:val="00215BDB"/>
    <w:rsid w:val="00216353"/>
    <w:rsid w:val="0021758B"/>
    <w:rsid w:val="00217A14"/>
    <w:rsid w:val="0022384B"/>
    <w:rsid w:val="00223F6B"/>
    <w:rsid w:val="00225770"/>
    <w:rsid w:val="00225930"/>
    <w:rsid w:val="00225B34"/>
    <w:rsid w:val="0023073C"/>
    <w:rsid w:val="00232F13"/>
    <w:rsid w:val="00236139"/>
    <w:rsid w:val="00241A98"/>
    <w:rsid w:val="0024246F"/>
    <w:rsid w:val="00246107"/>
    <w:rsid w:val="0024759B"/>
    <w:rsid w:val="002507B3"/>
    <w:rsid w:val="00250F74"/>
    <w:rsid w:val="00251F23"/>
    <w:rsid w:val="002525BB"/>
    <w:rsid w:val="002611AD"/>
    <w:rsid w:val="0026174C"/>
    <w:rsid w:val="0026272F"/>
    <w:rsid w:val="00273F50"/>
    <w:rsid w:val="00274524"/>
    <w:rsid w:val="00275113"/>
    <w:rsid w:val="00275EC3"/>
    <w:rsid w:val="00283954"/>
    <w:rsid w:val="00293A72"/>
    <w:rsid w:val="00293C4D"/>
    <w:rsid w:val="002949E0"/>
    <w:rsid w:val="00294CA7"/>
    <w:rsid w:val="002962A6"/>
    <w:rsid w:val="002A03FA"/>
    <w:rsid w:val="002A24F9"/>
    <w:rsid w:val="002A3644"/>
    <w:rsid w:val="002B03E3"/>
    <w:rsid w:val="002B09B5"/>
    <w:rsid w:val="002B7466"/>
    <w:rsid w:val="002C60DE"/>
    <w:rsid w:val="002C7759"/>
    <w:rsid w:val="002D42AF"/>
    <w:rsid w:val="002D798D"/>
    <w:rsid w:val="002E4272"/>
    <w:rsid w:val="002E4977"/>
    <w:rsid w:val="002E7FE4"/>
    <w:rsid w:val="002F177F"/>
    <w:rsid w:val="002F304D"/>
    <w:rsid w:val="003007A3"/>
    <w:rsid w:val="0031258A"/>
    <w:rsid w:val="00327280"/>
    <w:rsid w:val="00331EC9"/>
    <w:rsid w:val="00333780"/>
    <w:rsid w:val="00334CEB"/>
    <w:rsid w:val="003360E0"/>
    <w:rsid w:val="00345504"/>
    <w:rsid w:val="003478C8"/>
    <w:rsid w:val="00354B1B"/>
    <w:rsid w:val="00354E9A"/>
    <w:rsid w:val="0035743A"/>
    <w:rsid w:val="00361271"/>
    <w:rsid w:val="003657AE"/>
    <w:rsid w:val="00365C41"/>
    <w:rsid w:val="00371446"/>
    <w:rsid w:val="003719AF"/>
    <w:rsid w:val="00371A27"/>
    <w:rsid w:val="0038277C"/>
    <w:rsid w:val="0038389D"/>
    <w:rsid w:val="003924C5"/>
    <w:rsid w:val="003B303C"/>
    <w:rsid w:val="003B429F"/>
    <w:rsid w:val="003B5103"/>
    <w:rsid w:val="003B6DA3"/>
    <w:rsid w:val="003C681C"/>
    <w:rsid w:val="003D6809"/>
    <w:rsid w:val="003D712B"/>
    <w:rsid w:val="003D7F8C"/>
    <w:rsid w:val="003E1777"/>
    <w:rsid w:val="003E6B26"/>
    <w:rsid w:val="003E7F56"/>
    <w:rsid w:val="003F037E"/>
    <w:rsid w:val="003F1A3C"/>
    <w:rsid w:val="003F4E81"/>
    <w:rsid w:val="003F548D"/>
    <w:rsid w:val="003F73A9"/>
    <w:rsid w:val="004035F1"/>
    <w:rsid w:val="00404745"/>
    <w:rsid w:val="00415132"/>
    <w:rsid w:val="00415329"/>
    <w:rsid w:val="00430959"/>
    <w:rsid w:val="00432A6F"/>
    <w:rsid w:val="0043327C"/>
    <w:rsid w:val="00436041"/>
    <w:rsid w:val="00442218"/>
    <w:rsid w:val="004433CB"/>
    <w:rsid w:val="0044505E"/>
    <w:rsid w:val="00446986"/>
    <w:rsid w:val="00455BBD"/>
    <w:rsid w:val="00462C5E"/>
    <w:rsid w:val="00465843"/>
    <w:rsid w:val="00467263"/>
    <w:rsid w:val="00467377"/>
    <w:rsid w:val="00470B40"/>
    <w:rsid w:val="00473299"/>
    <w:rsid w:val="004755EE"/>
    <w:rsid w:val="0048682B"/>
    <w:rsid w:val="00490605"/>
    <w:rsid w:val="004972E6"/>
    <w:rsid w:val="004A0B88"/>
    <w:rsid w:val="004A4B49"/>
    <w:rsid w:val="004B3F34"/>
    <w:rsid w:val="004B5A9A"/>
    <w:rsid w:val="004C290F"/>
    <w:rsid w:val="004C4F34"/>
    <w:rsid w:val="004C77EE"/>
    <w:rsid w:val="004D64F7"/>
    <w:rsid w:val="004E010A"/>
    <w:rsid w:val="004E2062"/>
    <w:rsid w:val="004E319F"/>
    <w:rsid w:val="004E6C2B"/>
    <w:rsid w:val="004E6D9B"/>
    <w:rsid w:val="004F0109"/>
    <w:rsid w:val="004F1FDA"/>
    <w:rsid w:val="004F2AF1"/>
    <w:rsid w:val="004F3D18"/>
    <w:rsid w:val="00503B8D"/>
    <w:rsid w:val="00506D0D"/>
    <w:rsid w:val="0050776B"/>
    <w:rsid w:val="00512E89"/>
    <w:rsid w:val="00517EE0"/>
    <w:rsid w:val="00520972"/>
    <w:rsid w:val="00522131"/>
    <w:rsid w:val="005230F2"/>
    <w:rsid w:val="00523676"/>
    <w:rsid w:val="005250F0"/>
    <w:rsid w:val="0052568E"/>
    <w:rsid w:val="00525FC1"/>
    <w:rsid w:val="00533200"/>
    <w:rsid w:val="005407BF"/>
    <w:rsid w:val="00541498"/>
    <w:rsid w:val="00541D7E"/>
    <w:rsid w:val="00543EDE"/>
    <w:rsid w:val="00545B50"/>
    <w:rsid w:val="00547D55"/>
    <w:rsid w:val="00551897"/>
    <w:rsid w:val="00555453"/>
    <w:rsid w:val="00556F97"/>
    <w:rsid w:val="00562B59"/>
    <w:rsid w:val="00562F32"/>
    <w:rsid w:val="0056415F"/>
    <w:rsid w:val="00565B1D"/>
    <w:rsid w:val="00576BC3"/>
    <w:rsid w:val="0058417D"/>
    <w:rsid w:val="00590C67"/>
    <w:rsid w:val="00591E16"/>
    <w:rsid w:val="00591F92"/>
    <w:rsid w:val="005A3349"/>
    <w:rsid w:val="005A3D4E"/>
    <w:rsid w:val="005A541B"/>
    <w:rsid w:val="005A6288"/>
    <w:rsid w:val="005A681B"/>
    <w:rsid w:val="005A7EFF"/>
    <w:rsid w:val="005B0530"/>
    <w:rsid w:val="005B11C4"/>
    <w:rsid w:val="005B6063"/>
    <w:rsid w:val="005B6FD1"/>
    <w:rsid w:val="005B7684"/>
    <w:rsid w:val="005C190D"/>
    <w:rsid w:val="005C513C"/>
    <w:rsid w:val="005C59B4"/>
    <w:rsid w:val="005C6F49"/>
    <w:rsid w:val="005D3FE3"/>
    <w:rsid w:val="005E2BBB"/>
    <w:rsid w:val="005E57D0"/>
    <w:rsid w:val="005E5C75"/>
    <w:rsid w:val="005F6C88"/>
    <w:rsid w:val="00604A62"/>
    <w:rsid w:val="006055DE"/>
    <w:rsid w:val="00613D39"/>
    <w:rsid w:val="00615789"/>
    <w:rsid w:val="006218BB"/>
    <w:rsid w:val="00630F40"/>
    <w:rsid w:val="006342AA"/>
    <w:rsid w:val="0064011E"/>
    <w:rsid w:val="006416F8"/>
    <w:rsid w:val="006437A7"/>
    <w:rsid w:val="00644E15"/>
    <w:rsid w:val="00650A16"/>
    <w:rsid w:val="006515A9"/>
    <w:rsid w:val="00652566"/>
    <w:rsid w:val="00652705"/>
    <w:rsid w:val="00653076"/>
    <w:rsid w:val="00654BF1"/>
    <w:rsid w:val="00654C29"/>
    <w:rsid w:val="00655A3C"/>
    <w:rsid w:val="00657510"/>
    <w:rsid w:val="006625FC"/>
    <w:rsid w:val="00667459"/>
    <w:rsid w:val="00667566"/>
    <w:rsid w:val="00673D9F"/>
    <w:rsid w:val="00674F8A"/>
    <w:rsid w:val="00675C0B"/>
    <w:rsid w:val="00676F46"/>
    <w:rsid w:val="0068170F"/>
    <w:rsid w:val="00682B79"/>
    <w:rsid w:val="00690AEA"/>
    <w:rsid w:val="00692540"/>
    <w:rsid w:val="00694515"/>
    <w:rsid w:val="00695F62"/>
    <w:rsid w:val="0069652A"/>
    <w:rsid w:val="00697483"/>
    <w:rsid w:val="006A0E2A"/>
    <w:rsid w:val="006A10EF"/>
    <w:rsid w:val="006A3C7F"/>
    <w:rsid w:val="006B25BF"/>
    <w:rsid w:val="006C0737"/>
    <w:rsid w:val="006C2A23"/>
    <w:rsid w:val="006C4815"/>
    <w:rsid w:val="006C4B1C"/>
    <w:rsid w:val="006C5318"/>
    <w:rsid w:val="006C763C"/>
    <w:rsid w:val="006D4311"/>
    <w:rsid w:val="006D6F18"/>
    <w:rsid w:val="006D7B88"/>
    <w:rsid w:val="006E0E41"/>
    <w:rsid w:val="006E232D"/>
    <w:rsid w:val="006E476E"/>
    <w:rsid w:val="006F26DF"/>
    <w:rsid w:val="006F2E26"/>
    <w:rsid w:val="006F5612"/>
    <w:rsid w:val="006F735F"/>
    <w:rsid w:val="00713DDD"/>
    <w:rsid w:val="00717BF5"/>
    <w:rsid w:val="00721F04"/>
    <w:rsid w:val="00723E24"/>
    <w:rsid w:val="00723F09"/>
    <w:rsid w:val="00724C54"/>
    <w:rsid w:val="00726179"/>
    <w:rsid w:val="007268DB"/>
    <w:rsid w:val="007305EA"/>
    <w:rsid w:val="00733014"/>
    <w:rsid w:val="00736F5C"/>
    <w:rsid w:val="007435BB"/>
    <w:rsid w:val="00747D7F"/>
    <w:rsid w:val="0075165A"/>
    <w:rsid w:val="00752DCA"/>
    <w:rsid w:val="00752FD5"/>
    <w:rsid w:val="007535DA"/>
    <w:rsid w:val="00755047"/>
    <w:rsid w:val="0076245E"/>
    <w:rsid w:val="007659AF"/>
    <w:rsid w:val="007729C2"/>
    <w:rsid w:val="007814B0"/>
    <w:rsid w:val="00783EED"/>
    <w:rsid w:val="00791813"/>
    <w:rsid w:val="00792B4C"/>
    <w:rsid w:val="00795233"/>
    <w:rsid w:val="00797E46"/>
    <w:rsid w:val="007A22FC"/>
    <w:rsid w:val="007A373E"/>
    <w:rsid w:val="007B0676"/>
    <w:rsid w:val="007B2C11"/>
    <w:rsid w:val="007B2E6A"/>
    <w:rsid w:val="007B3104"/>
    <w:rsid w:val="007B74F0"/>
    <w:rsid w:val="007B7F1E"/>
    <w:rsid w:val="007C4A76"/>
    <w:rsid w:val="007C5D6D"/>
    <w:rsid w:val="007D5AA8"/>
    <w:rsid w:val="007E1FB3"/>
    <w:rsid w:val="007E42BA"/>
    <w:rsid w:val="007E607B"/>
    <w:rsid w:val="007F7163"/>
    <w:rsid w:val="00801BA6"/>
    <w:rsid w:val="008035FA"/>
    <w:rsid w:val="00804F01"/>
    <w:rsid w:val="0080629E"/>
    <w:rsid w:val="00806951"/>
    <w:rsid w:val="0080798E"/>
    <w:rsid w:val="0081558A"/>
    <w:rsid w:val="00816404"/>
    <w:rsid w:val="00816A13"/>
    <w:rsid w:val="0081768D"/>
    <w:rsid w:val="00817AF5"/>
    <w:rsid w:val="00823A4F"/>
    <w:rsid w:val="00824624"/>
    <w:rsid w:val="00833B10"/>
    <w:rsid w:val="00840706"/>
    <w:rsid w:val="00840BF4"/>
    <w:rsid w:val="00843727"/>
    <w:rsid w:val="00845EF7"/>
    <w:rsid w:val="008460E0"/>
    <w:rsid w:val="008463DD"/>
    <w:rsid w:val="00846B9F"/>
    <w:rsid w:val="008511A4"/>
    <w:rsid w:val="008526D6"/>
    <w:rsid w:val="008559CF"/>
    <w:rsid w:val="00855B36"/>
    <w:rsid w:val="00867FC8"/>
    <w:rsid w:val="008754C1"/>
    <w:rsid w:val="008754C7"/>
    <w:rsid w:val="00882EA3"/>
    <w:rsid w:val="00882FF4"/>
    <w:rsid w:val="00883227"/>
    <w:rsid w:val="0088369D"/>
    <w:rsid w:val="0088623D"/>
    <w:rsid w:val="00886F6A"/>
    <w:rsid w:val="00891776"/>
    <w:rsid w:val="00893464"/>
    <w:rsid w:val="008944B1"/>
    <w:rsid w:val="00895670"/>
    <w:rsid w:val="008A3BDF"/>
    <w:rsid w:val="008A58A5"/>
    <w:rsid w:val="008A6123"/>
    <w:rsid w:val="008A775A"/>
    <w:rsid w:val="008A7A66"/>
    <w:rsid w:val="008B1A3D"/>
    <w:rsid w:val="008B1D22"/>
    <w:rsid w:val="008B42A0"/>
    <w:rsid w:val="008C3B0F"/>
    <w:rsid w:val="008D236E"/>
    <w:rsid w:val="008D32A6"/>
    <w:rsid w:val="008D77EC"/>
    <w:rsid w:val="008E46EF"/>
    <w:rsid w:val="008E631C"/>
    <w:rsid w:val="008E6C5F"/>
    <w:rsid w:val="008E772B"/>
    <w:rsid w:val="008F0FAE"/>
    <w:rsid w:val="008F27A3"/>
    <w:rsid w:val="008F4C6C"/>
    <w:rsid w:val="008F5CD5"/>
    <w:rsid w:val="008F6F0B"/>
    <w:rsid w:val="008F7144"/>
    <w:rsid w:val="0091592A"/>
    <w:rsid w:val="009203CE"/>
    <w:rsid w:val="009237CF"/>
    <w:rsid w:val="009239FA"/>
    <w:rsid w:val="0092700E"/>
    <w:rsid w:val="00940FE9"/>
    <w:rsid w:val="00941F80"/>
    <w:rsid w:val="00944A81"/>
    <w:rsid w:val="009520A8"/>
    <w:rsid w:val="00952D1A"/>
    <w:rsid w:val="009630C0"/>
    <w:rsid w:val="00966422"/>
    <w:rsid w:val="00967C35"/>
    <w:rsid w:val="00970D7B"/>
    <w:rsid w:val="00972644"/>
    <w:rsid w:val="00972C00"/>
    <w:rsid w:val="009767FF"/>
    <w:rsid w:val="009779BD"/>
    <w:rsid w:val="009870B5"/>
    <w:rsid w:val="009902A2"/>
    <w:rsid w:val="00996C35"/>
    <w:rsid w:val="009A14C7"/>
    <w:rsid w:val="009A2690"/>
    <w:rsid w:val="009A3FCB"/>
    <w:rsid w:val="009A6FA7"/>
    <w:rsid w:val="009B0366"/>
    <w:rsid w:val="009B3E71"/>
    <w:rsid w:val="009B41CE"/>
    <w:rsid w:val="009C66C4"/>
    <w:rsid w:val="009D0F04"/>
    <w:rsid w:val="009D1ED1"/>
    <w:rsid w:val="009D25AF"/>
    <w:rsid w:val="009D28DE"/>
    <w:rsid w:val="009D40D0"/>
    <w:rsid w:val="009D506A"/>
    <w:rsid w:val="009D603D"/>
    <w:rsid w:val="009D6F97"/>
    <w:rsid w:val="009E0560"/>
    <w:rsid w:val="009E1325"/>
    <w:rsid w:val="009E1884"/>
    <w:rsid w:val="009E7C26"/>
    <w:rsid w:val="009F2379"/>
    <w:rsid w:val="009F5A4D"/>
    <w:rsid w:val="00A000A6"/>
    <w:rsid w:val="00A009A4"/>
    <w:rsid w:val="00A01461"/>
    <w:rsid w:val="00A0581F"/>
    <w:rsid w:val="00A07E23"/>
    <w:rsid w:val="00A11495"/>
    <w:rsid w:val="00A128E3"/>
    <w:rsid w:val="00A129BF"/>
    <w:rsid w:val="00A16BC1"/>
    <w:rsid w:val="00A22BCA"/>
    <w:rsid w:val="00A230D5"/>
    <w:rsid w:val="00A231CD"/>
    <w:rsid w:val="00A25C1D"/>
    <w:rsid w:val="00A30350"/>
    <w:rsid w:val="00A30899"/>
    <w:rsid w:val="00A32DCD"/>
    <w:rsid w:val="00A35915"/>
    <w:rsid w:val="00A40474"/>
    <w:rsid w:val="00A447E7"/>
    <w:rsid w:val="00A45F78"/>
    <w:rsid w:val="00A4701E"/>
    <w:rsid w:val="00A531D9"/>
    <w:rsid w:val="00A63A72"/>
    <w:rsid w:val="00A6460E"/>
    <w:rsid w:val="00A667A0"/>
    <w:rsid w:val="00A72BC2"/>
    <w:rsid w:val="00A7540F"/>
    <w:rsid w:val="00A77591"/>
    <w:rsid w:val="00A83CE8"/>
    <w:rsid w:val="00A8473C"/>
    <w:rsid w:val="00A84CEA"/>
    <w:rsid w:val="00A87F80"/>
    <w:rsid w:val="00A946B0"/>
    <w:rsid w:val="00AA2FCB"/>
    <w:rsid w:val="00AA49D2"/>
    <w:rsid w:val="00AA61E3"/>
    <w:rsid w:val="00AA6946"/>
    <w:rsid w:val="00AB0391"/>
    <w:rsid w:val="00AC2AA8"/>
    <w:rsid w:val="00AC37B1"/>
    <w:rsid w:val="00AC3EFB"/>
    <w:rsid w:val="00AC4BD1"/>
    <w:rsid w:val="00AC4DC1"/>
    <w:rsid w:val="00AD2CE5"/>
    <w:rsid w:val="00AE03F8"/>
    <w:rsid w:val="00AF21B1"/>
    <w:rsid w:val="00AF28B1"/>
    <w:rsid w:val="00AF53AD"/>
    <w:rsid w:val="00AF75E7"/>
    <w:rsid w:val="00B01EA4"/>
    <w:rsid w:val="00B049B4"/>
    <w:rsid w:val="00B04FDD"/>
    <w:rsid w:val="00B05248"/>
    <w:rsid w:val="00B05C9B"/>
    <w:rsid w:val="00B12684"/>
    <w:rsid w:val="00B134AA"/>
    <w:rsid w:val="00B14FE8"/>
    <w:rsid w:val="00B15736"/>
    <w:rsid w:val="00B168D3"/>
    <w:rsid w:val="00B17EF3"/>
    <w:rsid w:val="00B26916"/>
    <w:rsid w:val="00B31220"/>
    <w:rsid w:val="00B31C48"/>
    <w:rsid w:val="00B3558E"/>
    <w:rsid w:val="00B359A7"/>
    <w:rsid w:val="00B36763"/>
    <w:rsid w:val="00B374E0"/>
    <w:rsid w:val="00B4135B"/>
    <w:rsid w:val="00B46412"/>
    <w:rsid w:val="00B50166"/>
    <w:rsid w:val="00B527CA"/>
    <w:rsid w:val="00B74759"/>
    <w:rsid w:val="00B755FB"/>
    <w:rsid w:val="00B80E38"/>
    <w:rsid w:val="00B835A6"/>
    <w:rsid w:val="00B83D12"/>
    <w:rsid w:val="00B847CB"/>
    <w:rsid w:val="00B9103F"/>
    <w:rsid w:val="00B96937"/>
    <w:rsid w:val="00B96A2E"/>
    <w:rsid w:val="00BA0896"/>
    <w:rsid w:val="00BA1A30"/>
    <w:rsid w:val="00BB1B6A"/>
    <w:rsid w:val="00BB2666"/>
    <w:rsid w:val="00BB2E24"/>
    <w:rsid w:val="00BB6AE2"/>
    <w:rsid w:val="00BC1F4C"/>
    <w:rsid w:val="00BC55C6"/>
    <w:rsid w:val="00BD0FE7"/>
    <w:rsid w:val="00BD472A"/>
    <w:rsid w:val="00BE0C80"/>
    <w:rsid w:val="00BE3486"/>
    <w:rsid w:val="00BE440F"/>
    <w:rsid w:val="00BE5C6D"/>
    <w:rsid w:val="00BE64BE"/>
    <w:rsid w:val="00BE785A"/>
    <w:rsid w:val="00BF08A5"/>
    <w:rsid w:val="00BF17A9"/>
    <w:rsid w:val="00BF1B12"/>
    <w:rsid w:val="00BF2986"/>
    <w:rsid w:val="00BF2DEA"/>
    <w:rsid w:val="00BF3D66"/>
    <w:rsid w:val="00C01899"/>
    <w:rsid w:val="00C01D9F"/>
    <w:rsid w:val="00C079A2"/>
    <w:rsid w:val="00C10279"/>
    <w:rsid w:val="00C10649"/>
    <w:rsid w:val="00C11521"/>
    <w:rsid w:val="00C11CBE"/>
    <w:rsid w:val="00C13FE5"/>
    <w:rsid w:val="00C165BA"/>
    <w:rsid w:val="00C225B6"/>
    <w:rsid w:val="00C30D8B"/>
    <w:rsid w:val="00C31835"/>
    <w:rsid w:val="00C31DF8"/>
    <w:rsid w:val="00C35A3F"/>
    <w:rsid w:val="00C4048A"/>
    <w:rsid w:val="00C40672"/>
    <w:rsid w:val="00C4115B"/>
    <w:rsid w:val="00C43350"/>
    <w:rsid w:val="00C459DD"/>
    <w:rsid w:val="00C4798A"/>
    <w:rsid w:val="00C5127B"/>
    <w:rsid w:val="00C51C86"/>
    <w:rsid w:val="00C52F12"/>
    <w:rsid w:val="00C54978"/>
    <w:rsid w:val="00C54CD2"/>
    <w:rsid w:val="00C55A11"/>
    <w:rsid w:val="00C55C7F"/>
    <w:rsid w:val="00C56700"/>
    <w:rsid w:val="00C624DD"/>
    <w:rsid w:val="00C6310A"/>
    <w:rsid w:val="00C6637A"/>
    <w:rsid w:val="00C66BF8"/>
    <w:rsid w:val="00C71132"/>
    <w:rsid w:val="00C763CE"/>
    <w:rsid w:val="00C92E93"/>
    <w:rsid w:val="00C96538"/>
    <w:rsid w:val="00C977D6"/>
    <w:rsid w:val="00CA0EB4"/>
    <w:rsid w:val="00CA5DD3"/>
    <w:rsid w:val="00CB217A"/>
    <w:rsid w:val="00CB4768"/>
    <w:rsid w:val="00CB6712"/>
    <w:rsid w:val="00CC0214"/>
    <w:rsid w:val="00CC0C82"/>
    <w:rsid w:val="00CC1AB7"/>
    <w:rsid w:val="00CC312E"/>
    <w:rsid w:val="00CC56DE"/>
    <w:rsid w:val="00CC5CDF"/>
    <w:rsid w:val="00CD26C4"/>
    <w:rsid w:val="00CD472F"/>
    <w:rsid w:val="00CD4A3E"/>
    <w:rsid w:val="00CE129A"/>
    <w:rsid w:val="00CE2380"/>
    <w:rsid w:val="00CE5189"/>
    <w:rsid w:val="00CE5663"/>
    <w:rsid w:val="00CE7B46"/>
    <w:rsid w:val="00CF1569"/>
    <w:rsid w:val="00CF238F"/>
    <w:rsid w:val="00CF37E3"/>
    <w:rsid w:val="00CF6CD6"/>
    <w:rsid w:val="00D027FB"/>
    <w:rsid w:val="00D1214D"/>
    <w:rsid w:val="00D157CB"/>
    <w:rsid w:val="00D15CF8"/>
    <w:rsid w:val="00D202CA"/>
    <w:rsid w:val="00D25CE9"/>
    <w:rsid w:val="00D30814"/>
    <w:rsid w:val="00D345FE"/>
    <w:rsid w:val="00D42188"/>
    <w:rsid w:val="00D45CD3"/>
    <w:rsid w:val="00D51D12"/>
    <w:rsid w:val="00D53371"/>
    <w:rsid w:val="00D533AE"/>
    <w:rsid w:val="00D53C5A"/>
    <w:rsid w:val="00D617DE"/>
    <w:rsid w:val="00D61A04"/>
    <w:rsid w:val="00D63C05"/>
    <w:rsid w:val="00D63D05"/>
    <w:rsid w:val="00D65DD0"/>
    <w:rsid w:val="00D661B4"/>
    <w:rsid w:val="00D66F96"/>
    <w:rsid w:val="00D67839"/>
    <w:rsid w:val="00D750FB"/>
    <w:rsid w:val="00D752DB"/>
    <w:rsid w:val="00D84E12"/>
    <w:rsid w:val="00D85682"/>
    <w:rsid w:val="00D918CD"/>
    <w:rsid w:val="00D91CFD"/>
    <w:rsid w:val="00D93300"/>
    <w:rsid w:val="00DA2C72"/>
    <w:rsid w:val="00DA6487"/>
    <w:rsid w:val="00DB3E59"/>
    <w:rsid w:val="00DC2E5D"/>
    <w:rsid w:val="00DD2B67"/>
    <w:rsid w:val="00DE0206"/>
    <w:rsid w:val="00DE1280"/>
    <w:rsid w:val="00DE3DC0"/>
    <w:rsid w:val="00DE64CA"/>
    <w:rsid w:val="00DF0CD0"/>
    <w:rsid w:val="00DF29F0"/>
    <w:rsid w:val="00DF6C51"/>
    <w:rsid w:val="00DF7D1E"/>
    <w:rsid w:val="00E01EA7"/>
    <w:rsid w:val="00E03590"/>
    <w:rsid w:val="00E03A63"/>
    <w:rsid w:val="00E04FFF"/>
    <w:rsid w:val="00E05092"/>
    <w:rsid w:val="00E10D44"/>
    <w:rsid w:val="00E152AE"/>
    <w:rsid w:val="00E237EC"/>
    <w:rsid w:val="00E308FA"/>
    <w:rsid w:val="00E31152"/>
    <w:rsid w:val="00E32DE3"/>
    <w:rsid w:val="00E33324"/>
    <w:rsid w:val="00E333E5"/>
    <w:rsid w:val="00E3480B"/>
    <w:rsid w:val="00E372CF"/>
    <w:rsid w:val="00E37DCB"/>
    <w:rsid w:val="00E4175C"/>
    <w:rsid w:val="00E45325"/>
    <w:rsid w:val="00E45DA1"/>
    <w:rsid w:val="00E47626"/>
    <w:rsid w:val="00E514FB"/>
    <w:rsid w:val="00E55E48"/>
    <w:rsid w:val="00E637BE"/>
    <w:rsid w:val="00E71AF8"/>
    <w:rsid w:val="00E72BD5"/>
    <w:rsid w:val="00E73119"/>
    <w:rsid w:val="00E777C4"/>
    <w:rsid w:val="00E80176"/>
    <w:rsid w:val="00E84EAB"/>
    <w:rsid w:val="00E853BA"/>
    <w:rsid w:val="00E91410"/>
    <w:rsid w:val="00E9366C"/>
    <w:rsid w:val="00E94D19"/>
    <w:rsid w:val="00E97F52"/>
    <w:rsid w:val="00EA119A"/>
    <w:rsid w:val="00EA20BF"/>
    <w:rsid w:val="00EA27F7"/>
    <w:rsid w:val="00EA4625"/>
    <w:rsid w:val="00EB0C6F"/>
    <w:rsid w:val="00EB6430"/>
    <w:rsid w:val="00EC2150"/>
    <w:rsid w:val="00EC46E7"/>
    <w:rsid w:val="00EC5642"/>
    <w:rsid w:val="00EC5A2C"/>
    <w:rsid w:val="00ED0482"/>
    <w:rsid w:val="00ED18A2"/>
    <w:rsid w:val="00ED485B"/>
    <w:rsid w:val="00ED7809"/>
    <w:rsid w:val="00EE0AC5"/>
    <w:rsid w:val="00EE25CC"/>
    <w:rsid w:val="00EF09DE"/>
    <w:rsid w:val="00EF0A0A"/>
    <w:rsid w:val="00EF2A50"/>
    <w:rsid w:val="00EF45C8"/>
    <w:rsid w:val="00EF4626"/>
    <w:rsid w:val="00F0086E"/>
    <w:rsid w:val="00F04142"/>
    <w:rsid w:val="00F04A55"/>
    <w:rsid w:val="00F07AB9"/>
    <w:rsid w:val="00F1282F"/>
    <w:rsid w:val="00F150FA"/>
    <w:rsid w:val="00F1558B"/>
    <w:rsid w:val="00F17994"/>
    <w:rsid w:val="00F17C90"/>
    <w:rsid w:val="00F25ABA"/>
    <w:rsid w:val="00F314D3"/>
    <w:rsid w:val="00F3531B"/>
    <w:rsid w:val="00F36D33"/>
    <w:rsid w:val="00F42527"/>
    <w:rsid w:val="00F432F3"/>
    <w:rsid w:val="00F4401C"/>
    <w:rsid w:val="00F500FD"/>
    <w:rsid w:val="00F575DF"/>
    <w:rsid w:val="00F60669"/>
    <w:rsid w:val="00F621FE"/>
    <w:rsid w:val="00F717BA"/>
    <w:rsid w:val="00F72EFA"/>
    <w:rsid w:val="00F735EF"/>
    <w:rsid w:val="00F82E9D"/>
    <w:rsid w:val="00F873F6"/>
    <w:rsid w:val="00F87886"/>
    <w:rsid w:val="00F97EFE"/>
    <w:rsid w:val="00F97FF9"/>
    <w:rsid w:val="00FA3C02"/>
    <w:rsid w:val="00FA4B31"/>
    <w:rsid w:val="00FB2A50"/>
    <w:rsid w:val="00FB551B"/>
    <w:rsid w:val="00FB71C3"/>
    <w:rsid w:val="00FB7E1F"/>
    <w:rsid w:val="00FC0E44"/>
    <w:rsid w:val="00FC35C7"/>
    <w:rsid w:val="00FC436E"/>
    <w:rsid w:val="00FC4468"/>
    <w:rsid w:val="00FC4A26"/>
    <w:rsid w:val="00FC6B83"/>
    <w:rsid w:val="00FD133B"/>
    <w:rsid w:val="00FD66D7"/>
    <w:rsid w:val="00FD7109"/>
    <w:rsid w:val="00FE0F5D"/>
    <w:rsid w:val="00FE158A"/>
    <w:rsid w:val="00FE5ADC"/>
    <w:rsid w:val="00FF4217"/>
    <w:rsid w:val="00FF63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3FD3"/>
  <w15:chartTrackingRefBased/>
  <w15:docId w15:val="{0303F5D3-4053-44A3-93F5-521FF10F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96"/>
  </w:style>
  <w:style w:type="paragraph" w:styleId="Heading2">
    <w:name w:val="heading 2"/>
    <w:basedOn w:val="Normal"/>
    <w:next w:val="Normal"/>
    <w:link w:val="Heading2Char"/>
    <w:uiPriority w:val="9"/>
    <w:semiHidden/>
    <w:unhideWhenUsed/>
    <w:qFormat/>
    <w:rsid w:val="009D6F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96"/>
  </w:style>
  <w:style w:type="paragraph" w:styleId="FootnoteText">
    <w:name w:val="footnote text"/>
    <w:basedOn w:val="Normal"/>
    <w:link w:val="FootnoteTextChar"/>
    <w:uiPriority w:val="99"/>
    <w:semiHidden/>
    <w:unhideWhenUsed/>
    <w:rsid w:val="00012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E96"/>
    <w:rPr>
      <w:sz w:val="20"/>
      <w:szCs w:val="20"/>
    </w:rPr>
  </w:style>
  <w:style w:type="character" w:styleId="FootnoteReference">
    <w:name w:val="footnote reference"/>
    <w:basedOn w:val="DefaultParagraphFont"/>
    <w:uiPriority w:val="99"/>
    <w:semiHidden/>
    <w:unhideWhenUsed/>
    <w:rsid w:val="00012E96"/>
    <w:rPr>
      <w:vertAlign w:val="superscript"/>
    </w:rPr>
  </w:style>
  <w:style w:type="paragraph" w:styleId="ListParagraph">
    <w:name w:val="List Paragraph"/>
    <w:basedOn w:val="Normal"/>
    <w:uiPriority w:val="34"/>
    <w:qFormat/>
    <w:rsid w:val="00012E96"/>
    <w:pPr>
      <w:spacing w:after="0" w:line="240" w:lineRule="auto"/>
      <w:ind w:left="720"/>
      <w:contextualSpacing/>
    </w:pPr>
    <w:rPr>
      <w:sz w:val="24"/>
      <w:szCs w:val="24"/>
    </w:rPr>
  </w:style>
  <w:style w:type="paragraph" w:styleId="Footer">
    <w:name w:val="footer"/>
    <w:basedOn w:val="Normal"/>
    <w:link w:val="FooterChar"/>
    <w:uiPriority w:val="99"/>
    <w:unhideWhenUsed/>
    <w:rsid w:val="008F6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F0B"/>
  </w:style>
  <w:style w:type="character" w:styleId="CommentReference">
    <w:name w:val="annotation reference"/>
    <w:basedOn w:val="DefaultParagraphFont"/>
    <w:uiPriority w:val="99"/>
    <w:semiHidden/>
    <w:unhideWhenUsed/>
    <w:rsid w:val="00CC1AB7"/>
    <w:rPr>
      <w:sz w:val="16"/>
      <w:szCs w:val="16"/>
    </w:rPr>
  </w:style>
  <w:style w:type="paragraph" w:styleId="CommentText">
    <w:name w:val="annotation text"/>
    <w:basedOn w:val="Normal"/>
    <w:link w:val="CommentTextChar"/>
    <w:uiPriority w:val="99"/>
    <w:semiHidden/>
    <w:unhideWhenUsed/>
    <w:rsid w:val="00CC1AB7"/>
    <w:pPr>
      <w:spacing w:line="240" w:lineRule="auto"/>
    </w:pPr>
    <w:rPr>
      <w:sz w:val="20"/>
      <w:szCs w:val="20"/>
    </w:rPr>
  </w:style>
  <w:style w:type="character" w:customStyle="1" w:styleId="CommentTextChar">
    <w:name w:val="Comment Text Char"/>
    <w:basedOn w:val="DefaultParagraphFont"/>
    <w:link w:val="CommentText"/>
    <w:uiPriority w:val="99"/>
    <w:semiHidden/>
    <w:rsid w:val="00CC1AB7"/>
    <w:rPr>
      <w:sz w:val="20"/>
      <w:szCs w:val="20"/>
    </w:rPr>
  </w:style>
  <w:style w:type="paragraph" w:styleId="CommentSubject">
    <w:name w:val="annotation subject"/>
    <w:basedOn w:val="CommentText"/>
    <w:next w:val="CommentText"/>
    <w:link w:val="CommentSubjectChar"/>
    <w:uiPriority w:val="99"/>
    <w:semiHidden/>
    <w:unhideWhenUsed/>
    <w:rsid w:val="00CC1AB7"/>
    <w:rPr>
      <w:b/>
      <w:bCs/>
    </w:rPr>
  </w:style>
  <w:style w:type="character" w:customStyle="1" w:styleId="CommentSubjectChar">
    <w:name w:val="Comment Subject Char"/>
    <w:basedOn w:val="CommentTextChar"/>
    <w:link w:val="CommentSubject"/>
    <w:uiPriority w:val="99"/>
    <w:semiHidden/>
    <w:rsid w:val="00CC1AB7"/>
    <w:rPr>
      <w:b/>
      <w:bCs/>
      <w:sz w:val="20"/>
      <w:szCs w:val="20"/>
    </w:rPr>
  </w:style>
  <w:style w:type="paragraph" w:styleId="BalloonText">
    <w:name w:val="Balloon Text"/>
    <w:basedOn w:val="Normal"/>
    <w:link w:val="BalloonTextChar"/>
    <w:uiPriority w:val="99"/>
    <w:semiHidden/>
    <w:unhideWhenUsed/>
    <w:rsid w:val="00CC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B7"/>
    <w:rPr>
      <w:rFonts w:ascii="Segoe UI" w:hAnsi="Segoe UI" w:cs="Segoe UI"/>
      <w:sz w:val="18"/>
      <w:szCs w:val="18"/>
    </w:rPr>
  </w:style>
  <w:style w:type="paragraph" w:styleId="NormalWeb">
    <w:name w:val="Normal (Web)"/>
    <w:basedOn w:val="Normal"/>
    <w:uiPriority w:val="99"/>
    <w:semiHidden/>
    <w:unhideWhenUsed/>
    <w:rsid w:val="00C6637A"/>
    <w:rPr>
      <w:rFonts w:ascii="Times New Roman" w:hAnsi="Times New Roman" w:cs="Times New Roman"/>
      <w:sz w:val="24"/>
      <w:szCs w:val="24"/>
    </w:rPr>
  </w:style>
  <w:style w:type="character" w:styleId="Hyperlink">
    <w:name w:val="Hyperlink"/>
    <w:basedOn w:val="DefaultParagraphFont"/>
    <w:uiPriority w:val="99"/>
    <w:unhideWhenUsed/>
    <w:rsid w:val="008D77EC"/>
    <w:rPr>
      <w:color w:val="0563C1" w:themeColor="hyperlink"/>
      <w:u w:val="single"/>
    </w:rPr>
  </w:style>
  <w:style w:type="character" w:customStyle="1" w:styleId="UnresolvedMention">
    <w:name w:val="Unresolved Mention"/>
    <w:basedOn w:val="DefaultParagraphFont"/>
    <w:uiPriority w:val="99"/>
    <w:semiHidden/>
    <w:unhideWhenUsed/>
    <w:rsid w:val="00AC37B1"/>
    <w:rPr>
      <w:color w:val="605E5C"/>
      <w:shd w:val="clear" w:color="auto" w:fill="E1DFDD"/>
    </w:rPr>
  </w:style>
  <w:style w:type="character" w:customStyle="1" w:styleId="Heading2Char">
    <w:name w:val="Heading 2 Char"/>
    <w:basedOn w:val="DefaultParagraphFont"/>
    <w:link w:val="Heading2"/>
    <w:uiPriority w:val="9"/>
    <w:semiHidden/>
    <w:rsid w:val="009D6F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5032">
      <w:bodyDiv w:val="1"/>
      <w:marLeft w:val="0"/>
      <w:marRight w:val="0"/>
      <w:marTop w:val="0"/>
      <w:marBottom w:val="0"/>
      <w:divBdr>
        <w:top w:val="none" w:sz="0" w:space="0" w:color="auto"/>
        <w:left w:val="none" w:sz="0" w:space="0" w:color="auto"/>
        <w:bottom w:val="none" w:sz="0" w:space="0" w:color="auto"/>
        <w:right w:val="none" w:sz="0" w:space="0" w:color="auto"/>
      </w:divBdr>
    </w:div>
    <w:div w:id="699941163">
      <w:bodyDiv w:val="1"/>
      <w:marLeft w:val="0"/>
      <w:marRight w:val="0"/>
      <w:marTop w:val="0"/>
      <w:marBottom w:val="0"/>
      <w:divBdr>
        <w:top w:val="none" w:sz="0" w:space="0" w:color="auto"/>
        <w:left w:val="none" w:sz="0" w:space="0" w:color="auto"/>
        <w:bottom w:val="none" w:sz="0" w:space="0" w:color="auto"/>
        <w:right w:val="none" w:sz="0" w:space="0" w:color="auto"/>
      </w:divBdr>
    </w:div>
    <w:div w:id="764498152">
      <w:bodyDiv w:val="1"/>
      <w:marLeft w:val="0"/>
      <w:marRight w:val="0"/>
      <w:marTop w:val="0"/>
      <w:marBottom w:val="0"/>
      <w:divBdr>
        <w:top w:val="none" w:sz="0" w:space="0" w:color="auto"/>
        <w:left w:val="none" w:sz="0" w:space="0" w:color="auto"/>
        <w:bottom w:val="none" w:sz="0" w:space="0" w:color="auto"/>
        <w:right w:val="none" w:sz="0" w:space="0" w:color="auto"/>
      </w:divBdr>
    </w:div>
    <w:div w:id="913667887">
      <w:bodyDiv w:val="1"/>
      <w:marLeft w:val="0"/>
      <w:marRight w:val="0"/>
      <w:marTop w:val="0"/>
      <w:marBottom w:val="0"/>
      <w:divBdr>
        <w:top w:val="none" w:sz="0" w:space="0" w:color="auto"/>
        <w:left w:val="none" w:sz="0" w:space="0" w:color="auto"/>
        <w:bottom w:val="none" w:sz="0" w:space="0" w:color="auto"/>
        <w:right w:val="none" w:sz="0" w:space="0" w:color="auto"/>
      </w:divBdr>
    </w:div>
    <w:div w:id="934554084">
      <w:bodyDiv w:val="1"/>
      <w:marLeft w:val="0"/>
      <w:marRight w:val="0"/>
      <w:marTop w:val="0"/>
      <w:marBottom w:val="0"/>
      <w:divBdr>
        <w:top w:val="none" w:sz="0" w:space="0" w:color="auto"/>
        <w:left w:val="none" w:sz="0" w:space="0" w:color="auto"/>
        <w:bottom w:val="none" w:sz="0" w:space="0" w:color="auto"/>
        <w:right w:val="none" w:sz="0" w:space="0" w:color="auto"/>
      </w:divBdr>
    </w:div>
    <w:div w:id="1297024931">
      <w:bodyDiv w:val="1"/>
      <w:marLeft w:val="0"/>
      <w:marRight w:val="0"/>
      <w:marTop w:val="0"/>
      <w:marBottom w:val="0"/>
      <w:divBdr>
        <w:top w:val="none" w:sz="0" w:space="0" w:color="auto"/>
        <w:left w:val="none" w:sz="0" w:space="0" w:color="auto"/>
        <w:bottom w:val="none" w:sz="0" w:space="0" w:color="auto"/>
        <w:right w:val="none" w:sz="0" w:space="0" w:color="auto"/>
      </w:divBdr>
    </w:div>
    <w:div w:id="1300721804">
      <w:bodyDiv w:val="1"/>
      <w:marLeft w:val="0"/>
      <w:marRight w:val="0"/>
      <w:marTop w:val="0"/>
      <w:marBottom w:val="0"/>
      <w:divBdr>
        <w:top w:val="none" w:sz="0" w:space="0" w:color="auto"/>
        <w:left w:val="none" w:sz="0" w:space="0" w:color="auto"/>
        <w:bottom w:val="none" w:sz="0" w:space="0" w:color="auto"/>
        <w:right w:val="none" w:sz="0" w:space="0" w:color="auto"/>
      </w:divBdr>
    </w:div>
    <w:div w:id="1683438070">
      <w:bodyDiv w:val="1"/>
      <w:marLeft w:val="0"/>
      <w:marRight w:val="0"/>
      <w:marTop w:val="0"/>
      <w:marBottom w:val="0"/>
      <w:divBdr>
        <w:top w:val="none" w:sz="0" w:space="0" w:color="auto"/>
        <w:left w:val="none" w:sz="0" w:space="0" w:color="auto"/>
        <w:bottom w:val="none" w:sz="0" w:space="0" w:color="auto"/>
        <w:right w:val="none" w:sz="0" w:space="0" w:color="auto"/>
      </w:divBdr>
    </w:div>
    <w:div w:id="1813131797">
      <w:bodyDiv w:val="1"/>
      <w:marLeft w:val="0"/>
      <w:marRight w:val="0"/>
      <w:marTop w:val="0"/>
      <w:marBottom w:val="0"/>
      <w:divBdr>
        <w:top w:val="none" w:sz="0" w:space="0" w:color="auto"/>
        <w:left w:val="none" w:sz="0" w:space="0" w:color="auto"/>
        <w:bottom w:val="none" w:sz="0" w:space="0" w:color="auto"/>
        <w:right w:val="none" w:sz="0" w:space="0" w:color="auto"/>
      </w:divBdr>
    </w:div>
    <w:div w:id="1862206977">
      <w:bodyDiv w:val="1"/>
      <w:marLeft w:val="0"/>
      <w:marRight w:val="0"/>
      <w:marTop w:val="0"/>
      <w:marBottom w:val="0"/>
      <w:divBdr>
        <w:top w:val="none" w:sz="0" w:space="0" w:color="auto"/>
        <w:left w:val="none" w:sz="0" w:space="0" w:color="auto"/>
        <w:bottom w:val="none" w:sz="0" w:space="0" w:color="auto"/>
        <w:right w:val="none" w:sz="0" w:space="0" w:color="auto"/>
      </w:divBdr>
    </w:div>
    <w:div w:id="1876699488">
      <w:bodyDiv w:val="1"/>
      <w:marLeft w:val="0"/>
      <w:marRight w:val="0"/>
      <w:marTop w:val="0"/>
      <w:marBottom w:val="0"/>
      <w:divBdr>
        <w:top w:val="none" w:sz="0" w:space="0" w:color="auto"/>
        <w:left w:val="none" w:sz="0" w:space="0" w:color="auto"/>
        <w:bottom w:val="none" w:sz="0" w:space="0" w:color="auto"/>
        <w:right w:val="none" w:sz="0" w:space="0" w:color="auto"/>
      </w:divBdr>
    </w:div>
    <w:div w:id="1905483964">
      <w:bodyDiv w:val="1"/>
      <w:marLeft w:val="0"/>
      <w:marRight w:val="0"/>
      <w:marTop w:val="0"/>
      <w:marBottom w:val="0"/>
      <w:divBdr>
        <w:top w:val="none" w:sz="0" w:space="0" w:color="auto"/>
        <w:left w:val="none" w:sz="0" w:space="0" w:color="auto"/>
        <w:bottom w:val="none" w:sz="0" w:space="0" w:color="auto"/>
        <w:right w:val="none" w:sz="0" w:space="0" w:color="auto"/>
      </w:divBdr>
    </w:div>
    <w:div w:id="20303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73%20%282%29%20SA%20779" TargetMode="External"/><Relationship Id="rId1" Type="http://schemas.openxmlformats.org/officeDocument/2006/relationships/hyperlink" Target="http://www.saflii.org/cgi-bin/LawCite?cit=2014%20%284%29%20SA%20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5006D9-5D67-BE4C-9FEA-E275310DE6D1}">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A54A-63B3-4FA6-B33A-344E689F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7582</Words>
  <Characters>43224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HOME</cp:lastModifiedBy>
  <cp:revision>2</cp:revision>
  <dcterms:created xsi:type="dcterms:W3CDTF">2022-06-25T14:58:00Z</dcterms:created>
  <dcterms:modified xsi:type="dcterms:W3CDTF">2022-06-25T14:58:00Z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-734836852</vt:i4>
  </property>
</Properties>
</file>