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3B6C" w14:textId="77777777" w:rsidR="00EC4C36" w:rsidRPr="00AC68AC" w:rsidRDefault="00EC4C36" w:rsidP="00EC4C36">
      <w:pPr>
        <w:spacing w:after="0" w:line="240" w:lineRule="auto"/>
        <w:rPr>
          <w:rFonts w:ascii="Arial" w:hAnsi="Arial" w:cs="Arial"/>
          <w:b/>
          <w:sz w:val="24"/>
          <w:szCs w:val="24"/>
        </w:rPr>
      </w:pPr>
    </w:p>
    <w:p w14:paraId="6A17784C" w14:textId="77777777" w:rsidR="00EC4C36" w:rsidRPr="00AC68AC" w:rsidRDefault="00EC4C36" w:rsidP="00EC4C36">
      <w:pPr>
        <w:jc w:val="center"/>
        <w:rPr>
          <w:rFonts w:ascii="Arial" w:hAnsi="Arial" w:cs="Arial"/>
          <w:b/>
          <w:sz w:val="24"/>
          <w:szCs w:val="24"/>
        </w:rPr>
      </w:pPr>
      <w:r w:rsidRPr="00AC68AC">
        <w:rPr>
          <w:rFonts w:ascii="Arial" w:hAnsi="Arial" w:cs="Arial"/>
          <w:noProof/>
          <w:sz w:val="24"/>
          <w:szCs w:val="24"/>
          <w:lang w:val="en-ZA" w:eastAsia="en-ZA"/>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Pr="00AC68AC" w:rsidRDefault="00EC4C36" w:rsidP="00EC4C36">
      <w:pPr>
        <w:spacing w:after="0"/>
        <w:jc w:val="center"/>
        <w:rPr>
          <w:rFonts w:ascii="Arial" w:hAnsi="Arial" w:cs="Arial"/>
          <w:b/>
          <w:sz w:val="24"/>
          <w:szCs w:val="24"/>
          <w:lang w:val="en-ZA"/>
        </w:rPr>
      </w:pPr>
      <w:r w:rsidRPr="00AC68AC">
        <w:rPr>
          <w:rFonts w:ascii="Arial" w:hAnsi="Arial" w:cs="Arial"/>
          <w:b/>
          <w:sz w:val="24"/>
          <w:szCs w:val="24"/>
        </w:rPr>
        <w:t>HIGH COURT OF SOUTH AFRICA</w:t>
      </w:r>
    </w:p>
    <w:p w14:paraId="35E81877" w14:textId="77777777" w:rsidR="00EC4C36" w:rsidRPr="00AC68AC" w:rsidRDefault="00EC4C36" w:rsidP="00EC4C36">
      <w:pPr>
        <w:jc w:val="center"/>
        <w:rPr>
          <w:rFonts w:ascii="Arial" w:hAnsi="Arial" w:cs="Arial"/>
          <w:b/>
          <w:sz w:val="24"/>
          <w:szCs w:val="24"/>
        </w:rPr>
      </w:pPr>
      <w:r w:rsidRPr="00AC68AC">
        <w:rPr>
          <w:rFonts w:ascii="Arial" w:hAnsi="Arial" w:cs="Arial"/>
          <w:b/>
          <w:sz w:val="24"/>
          <w:szCs w:val="24"/>
        </w:rPr>
        <w:t>(GAUTENG DIVISION, JOHANNESBURG)</w:t>
      </w:r>
    </w:p>
    <w:p w14:paraId="23FF5C95" w14:textId="77777777" w:rsidR="00EC4C36" w:rsidRPr="00AC68AC" w:rsidRDefault="00EC4C36" w:rsidP="00EC4C36">
      <w:pPr>
        <w:spacing w:line="480" w:lineRule="auto"/>
        <w:jc w:val="both"/>
        <w:rPr>
          <w:rFonts w:ascii="Arial" w:hAnsi="Arial" w:cs="Arial"/>
          <w:sz w:val="24"/>
          <w:szCs w:val="24"/>
        </w:rPr>
      </w:pPr>
      <w:r w:rsidRPr="00AC68AC">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7A3CF63B" wp14:editId="3C892D58">
                <wp:simplePos x="0" y="0"/>
                <wp:positionH relativeFrom="margin">
                  <wp:align>left</wp:align>
                </wp:positionH>
                <wp:positionV relativeFrom="paragraph">
                  <wp:posOffset>29845</wp:posOffset>
                </wp:positionV>
                <wp:extent cx="3505200" cy="18986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98650"/>
                        </a:xfrm>
                        <a:prstGeom prst="rect">
                          <a:avLst/>
                        </a:prstGeom>
                        <a:solidFill>
                          <a:srgbClr val="FFFFFF"/>
                        </a:solidFill>
                        <a:ln w="9525">
                          <a:solidFill>
                            <a:srgbClr val="000000"/>
                          </a:solidFill>
                          <a:miter lim="800000"/>
                          <a:headEnd/>
                          <a:tailEnd/>
                        </a:ln>
                      </wps:spPr>
                      <wps:txbx>
                        <w:txbxContent>
                          <w:p w14:paraId="6A4057DF" w14:textId="77777777" w:rsidR="00E92619" w:rsidRDefault="00E92619" w:rsidP="00EC4C36">
                            <w:pPr>
                              <w:jc w:val="center"/>
                              <w:rPr>
                                <w:rFonts w:ascii="Century Gothic" w:hAnsi="Century Gothic"/>
                                <w:b/>
                                <w:sz w:val="20"/>
                                <w:szCs w:val="20"/>
                              </w:rPr>
                            </w:pPr>
                          </w:p>
                          <w:p w14:paraId="417807F0" w14:textId="48AB6486" w:rsidR="00E92619" w:rsidRDefault="00E067B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REPORTABLE: </w:t>
                            </w:r>
                            <w:r w:rsidR="00E92619">
                              <w:rPr>
                                <w:rFonts w:ascii="Century Gothic" w:hAnsi="Century Gothic"/>
                                <w:sz w:val="20"/>
                                <w:szCs w:val="20"/>
                              </w:rPr>
                              <w:t xml:space="preserve"> No</w:t>
                            </w:r>
                          </w:p>
                          <w:p w14:paraId="34D55AAE" w14:textId="45C90F38" w:rsidR="00E92619" w:rsidRDefault="00E9261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w:t>
                            </w:r>
                            <w:r w:rsidR="00E067BD">
                              <w:rPr>
                                <w:rFonts w:ascii="Century Gothic" w:hAnsi="Century Gothic"/>
                                <w:sz w:val="20"/>
                                <w:szCs w:val="20"/>
                              </w:rPr>
                              <w:t xml:space="preserve"> INTEREST TO OTHER JUDGES: </w:t>
                            </w:r>
                            <w:r>
                              <w:rPr>
                                <w:rFonts w:ascii="Century Gothic" w:hAnsi="Century Gothic"/>
                                <w:sz w:val="20"/>
                                <w:szCs w:val="20"/>
                              </w:rPr>
                              <w:t xml:space="preserve"> No</w:t>
                            </w:r>
                          </w:p>
                          <w:p w14:paraId="78048C8A" w14:textId="77777777" w:rsidR="00E92619" w:rsidRDefault="00E9261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E92619" w:rsidRDefault="00E92619" w:rsidP="00EC4C36">
                            <w:pPr>
                              <w:rPr>
                                <w:rFonts w:ascii="Century Gothic" w:hAnsi="Century Gothic"/>
                                <w:b/>
                                <w:sz w:val="18"/>
                                <w:szCs w:val="18"/>
                              </w:rPr>
                            </w:pPr>
                          </w:p>
                          <w:p w14:paraId="00A4DC2B" w14:textId="5157796E" w:rsidR="00E92619" w:rsidRDefault="00E92619" w:rsidP="00EC4C36">
                            <w:pPr>
                              <w:spacing w:after="0"/>
                              <w:rPr>
                                <w:rFonts w:ascii="Century Gothic" w:hAnsi="Century Gothic"/>
                                <w:b/>
                                <w:sz w:val="18"/>
                                <w:szCs w:val="18"/>
                              </w:rPr>
                            </w:pPr>
                            <w:r>
                              <w:rPr>
                                <w:rFonts w:ascii="Century Gothic" w:hAnsi="Century Gothic"/>
                                <w:b/>
                                <w:sz w:val="18"/>
                                <w:szCs w:val="18"/>
                              </w:rPr>
                              <w:t xml:space="preserve">       </w:t>
                            </w:r>
                            <w:r w:rsidR="00257C9C">
                              <w:rPr>
                                <w:rFonts w:ascii="Century Gothic" w:hAnsi="Century Gothic"/>
                                <w:b/>
                                <w:sz w:val="18"/>
                                <w:szCs w:val="18"/>
                              </w:rPr>
                              <w:t>24 May 2022</w:t>
                            </w:r>
                            <w:r w:rsidR="00257C9C">
                              <w:rPr>
                                <w:rFonts w:ascii="Century Gothic" w:hAnsi="Century Gothic"/>
                                <w:b/>
                                <w:sz w:val="18"/>
                                <w:szCs w:val="18"/>
                              </w:rPr>
                              <w:tab/>
                            </w:r>
                            <w:r w:rsidR="00257C9C">
                              <w:rPr>
                                <w:rFonts w:ascii="Century Gothic" w:hAnsi="Century Gothic"/>
                                <w:b/>
                                <w:sz w:val="18"/>
                                <w:szCs w:val="18"/>
                              </w:rPr>
                              <w:tab/>
                              <w:t xml:space="preserve">  </w:t>
                            </w:r>
                          </w:p>
                          <w:p w14:paraId="4F9EFCA4" w14:textId="253F0BC1" w:rsidR="00E92619" w:rsidRDefault="00E92619"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257C9C">
                              <w:rPr>
                                <w:rFonts w:ascii="Century Gothic" w:hAnsi="Century Gothic"/>
                                <w:sz w:val="18"/>
                                <w:szCs w:val="18"/>
                              </w:rPr>
                              <w:t xml:space="preserve">          </w:t>
                            </w:r>
                            <w:r>
                              <w:rPr>
                                <w:rFonts w:ascii="Century Gothic" w:hAnsi="Century Gothic"/>
                                <w:sz w:val="18"/>
                                <w:szCs w:val="18"/>
                              </w:rPr>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0;margin-top:2.35pt;width:276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Aq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">
                <v:textbox>
                  <w:txbxContent>
                    <w:p w14:paraId="6A4057DF" w14:textId="77777777" w:rsidR="00E92619" w:rsidRDefault="00E92619" w:rsidP="00EC4C36">
                      <w:pPr>
                        <w:jc w:val="center"/>
                        <w:rPr>
                          <w:rFonts w:ascii="Century Gothic" w:hAnsi="Century Gothic"/>
                          <w:b/>
                          <w:sz w:val="20"/>
                          <w:szCs w:val="20"/>
                        </w:rPr>
                      </w:pPr>
                    </w:p>
                    <w:p w14:paraId="417807F0" w14:textId="48AB6486" w:rsidR="00E92619" w:rsidRDefault="00E067B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REPORTABLE: </w:t>
                      </w:r>
                      <w:r w:rsidR="00E92619">
                        <w:rPr>
                          <w:rFonts w:ascii="Century Gothic" w:hAnsi="Century Gothic"/>
                          <w:sz w:val="20"/>
                          <w:szCs w:val="20"/>
                        </w:rPr>
                        <w:t xml:space="preserve"> No</w:t>
                      </w:r>
                    </w:p>
                    <w:p w14:paraId="34D55AAE" w14:textId="45C90F38" w:rsidR="00E92619" w:rsidRDefault="00E9261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OF</w:t>
                      </w:r>
                      <w:r w:rsidR="00E067BD">
                        <w:rPr>
                          <w:rFonts w:ascii="Century Gothic" w:hAnsi="Century Gothic"/>
                          <w:sz w:val="20"/>
                          <w:szCs w:val="20"/>
                        </w:rPr>
                        <w:t xml:space="preserve"> INTEREST TO OTHER JUDGES: </w:t>
                      </w:r>
                      <w:r>
                        <w:rPr>
                          <w:rFonts w:ascii="Century Gothic" w:hAnsi="Century Gothic"/>
                          <w:sz w:val="20"/>
                          <w:szCs w:val="20"/>
                        </w:rPr>
                        <w:t xml:space="preserve"> No</w:t>
                      </w:r>
                    </w:p>
                    <w:p w14:paraId="78048C8A" w14:textId="77777777" w:rsidR="00E92619" w:rsidRDefault="00E92619"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E92619" w:rsidRDefault="00E92619" w:rsidP="00EC4C36">
                      <w:pPr>
                        <w:rPr>
                          <w:rFonts w:ascii="Century Gothic" w:hAnsi="Century Gothic"/>
                          <w:b/>
                          <w:sz w:val="18"/>
                          <w:szCs w:val="18"/>
                        </w:rPr>
                      </w:pPr>
                    </w:p>
                    <w:p w14:paraId="00A4DC2B" w14:textId="5157796E" w:rsidR="00E92619" w:rsidRDefault="00E92619" w:rsidP="00EC4C36">
                      <w:pPr>
                        <w:spacing w:after="0"/>
                        <w:rPr>
                          <w:rFonts w:ascii="Century Gothic" w:hAnsi="Century Gothic"/>
                          <w:b/>
                          <w:sz w:val="18"/>
                          <w:szCs w:val="18"/>
                        </w:rPr>
                      </w:pPr>
                      <w:r>
                        <w:rPr>
                          <w:rFonts w:ascii="Century Gothic" w:hAnsi="Century Gothic"/>
                          <w:b/>
                          <w:sz w:val="18"/>
                          <w:szCs w:val="18"/>
                        </w:rPr>
                        <w:t xml:space="preserve">       </w:t>
                      </w:r>
                      <w:r w:rsidR="00257C9C">
                        <w:rPr>
                          <w:rFonts w:ascii="Century Gothic" w:hAnsi="Century Gothic"/>
                          <w:b/>
                          <w:sz w:val="18"/>
                          <w:szCs w:val="18"/>
                        </w:rPr>
                        <w:t>24 May 2022</w:t>
                      </w:r>
                      <w:r w:rsidR="00257C9C">
                        <w:rPr>
                          <w:rFonts w:ascii="Century Gothic" w:hAnsi="Century Gothic"/>
                          <w:b/>
                          <w:sz w:val="18"/>
                          <w:szCs w:val="18"/>
                        </w:rPr>
                        <w:tab/>
                      </w:r>
                      <w:r w:rsidR="00257C9C">
                        <w:rPr>
                          <w:rFonts w:ascii="Century Gothic" w:hAnsi="Century Gothic"/>
                          <w:b/>
                          <w:sz w:val="18"/>
                          <w:szCs w:val="18"/>
                        </w:rPr>
                        <w:tab/>
                      </w:r>
                      <w:bookmarkStart w:id="1" w:name="_GoBack"/>
                      <w:bookmarkEnd w:id="1"/>
                      <w:r w:rsidR="00257C9C">
                        <w:rPr>
                          <w:rFonts w:ascii="Century Gothic" w:hAnsi="Century Gothic"/>
                          <w:b/>
                          <w:sz w:val="18"/>
                          <w:szCs w:val="18"/>
                        </w:rPr>
                        <w:t xml:space="preserve">  </w:t>
                      </w:r>
                    </w:p>
                    <w:p w14:paraId="4F9EFCA4" w14:textId="253F0BC1" w:rsidR="00E92619" w:rsidRDefault="00E92619"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257C9C">
                        <w:rPr>
                          <w:rFonts w:ascii="Century Gothic" w:hAnsi="Century Gothic"/>
                          <w:sz w:val="18"/>
                          <w:szCs w:val="18"/>
                        </w:rPr>
                        <w:t xml:space="preserve">          </w:t>
                      </w:r>
                      <w:r>
                        <w:rPr>
                          <w:rFonts w:ascii="Century Gothic" w:hAnsi="Century Gothic"/>
                          <w:sz w:val="18"/>
                          <w:szCs w:val="18"/>
                        </w:rPr>
                        <w:t>Judge M.L. Senyatsi</w:t>
                      </w:r>
                    </w:p>
                  </w:txbxContent>
                </v:textbox>
                <w10:wrap anchorx="margin"/>
              </v:shape>
            </w:pict>
          </mc:Fallback>
        </mc:AlternateContent>
      </w:r>
    </w:p>
    <w:p w14:paraId="168F8152" w14:textId="77777777" w:rsidR="00EC4C36" w:rsidRPr="00AC68AC" w:rsidRDefault="00EC4C36" w:rsidP="00EC4C36">
      <w:pPr>
        <w:spacing w:line="480" w:lineRule="auto"/>
        <w:jc w:val="both"/>
        <w:rPr>
          <w:rFonts w:ascii="Arial" w:hAnsi="Arial" w:cs="Arial"/>
          <w:sz w:val="24"/>
          <w:szCs w:val="24"/>
        </w:rPr>
      </w:pPr>
    </w:p>
    <w:p w14:paraId="1A60DB51" w14:textId="77777777" w:rsidR="00EC4C36" w:rsidRPr="00AC68AC" w:rsidRDefault="00EC4C36" w:rsidP="00EC4C36">
      <w:pPr>
        <w:autoSpaceDE w:val="0"/>
        <w:autoSpaceDN w:val="0"/>
        <w:adjustRightInd w:val="0"/>
        <w:spacing w:line="480" w:lineRule="auto"/>
        <w:jc w:val="center"/>
        <w:rPr>
          <w:rFonts w:ascii="Arial" w:hAnsi="Arial" w:cs="Arial"/>
          <w:b/>
          <w:bCs/>
          <w:sz w:val="24"/>
          <w:szCs w:val="24"/>
        </w:rPr>
      </w:pPr>
    </w:p>
    <w:p w14:paraId="10CA7291" w14:textId="77777777" w:rsidR="00EC4C36" w:rsidRPr="00AC68AC" w:rsidRDefault="00EC4C36" w:rsidP="00EC4C36">
      <w:pPr>
        <w:spacing w:line="360" w:lineRule="auto"/>
        <w:rPr>
          <w:rFonts w:ascii="Arial" w:hAnsi="Arial" w:cs="Arial"/>
          <w:b/>
          <w:sz w:val="24"/>
          <w:szCs w:val="24"/>
        </w:rPr>
      </w:pPr>
    </w:p>
    <w:p w14:paraId="4199EABC" w14:textId="395B4600" w:rsidR="00EC4C36" w:rsidRPr="00AC68AC" w:rsidRDefault="006A4FAB" w:rsidP="00EC4C36">
      <w:pPr>
        <w:spacing w:line="240" w:lineRule="auto"/>
        <w:jc w:val="right"/>
        <w:rPr>
          <w:rFonts w:ascii="Arial" w:hAnsi="Arial" w:cs="Arial"/>
          <w:sz w:val="24"/>
          <w:szCs w:val="24"/>
        </w:rPr>
      </w:pPr>
      <w:r>
        <w:rPr>
          <w:rFonts w:ascii="Arial" w:hAnsi="Arial" w:cs="Arial"/>
          <w:sz w:val="24"/>
          <w:szCs w:val="24"/>
        </w:rPr>
        <w:t>Case no: 13909/21</w:t>
      </w:r>
    </w:p>
    <w:p w14:paraId="48CF01C4" w14:textId="77777777" w:rsidR="00070805" w:rsidRPr="00AC68AC" w:rsidRDefault="00EC4C36" w:rsidP="00EC4C36">
      <w:pPr>
        <w:spacing w:line="360" w:lineRule="auto"/>
        <w:rPr>
          <w:rFonts w:ascii="Arial" w:hAnsi="Arial" w:cs="Arial"/>
          <w:sz w:val="24"/>
          <w:szCs w:val="24"/>
        </w:rPr>
      </w:pPr>
      <w:r w:rsidRPr="00AC68AC">
        <w:rPr>
          <w:rFonts w:ascii="Arial" w:hAnsi="Arial" w:cs="Arial"/>
          <w:sz w:val="24"/>
          <w:szCs w:val="24"/>
        </w:rPr>
        <w:t>In the matter between:</w:t>
      </w:r>
    </w:p>
    <w:p w14:paraId="081885FC" w14:textId="3FFD84B7" w:rsidR="00EC4C36" w:rsidRDefault="006A4FAB" w:rsidP="00EC4C36">
      <w:pPr>
        <w:spacing w:after="0" w:line="240" w:lineRule="auto"/>
        <w:rPr>
          <w:rFonts w:ascii="Arial" w:hAnsi="Arial" w:cs="Arial"/>
          <w:sz w:val="24"/>
          <w:szCs w:val="24"/>
        </w:rPr>
      </w:pPr>
      <w:r>
        <w:rPr>
          <w:rFonts w:ascii="Arial" w:hAnsi="Arial" w:cs="Arial"/>
          <w:b/>
          <w:bCs/>
          <w:sz w:val="24"/>
          <w:szCs w:val="24"/>
        </w:rPr>
        <w:t>AVENG AFRICA (PTY) LTD</w:t>
      </w:r>
      <w:r w:rsidR="00355D4F">
        <w:rPr>
          <w:rFonts w:ascii="Arial" w:hAnsi="Arial" w:cs="Arial"/>
          <w:b/>
          <w:bCs/>
          <w:sz w:val="24"/>
          <w:szCs w:val="24"/>
        </w:rPr>
        <w:tab/>
      </w:r>
      <w:r w:rsidR="00355D4F">
        <w:rPr>
          <w:rFonts w:ascii="Arial" w:hAnsi="Arial" w:cs="Arial"/>
          <w:b/>
          <w:bCs/>
          <w:sz w:val="24"/>
          <w:szCs w:val="24"/>
        </w:rPr>
        <w:tab/>
      </w:r>
      <w:r w:rsidR="00A00E40">
        <w:rPr>
          <w:rFonts w:ascii="Arial" w:hAnsi="Arial" w:cs="Arial"/>
          <w:b/>
          <w:bCs/>
          <w:sz w:val="24"/>
          <w:szCs w:val="24"/>
        </w:rPr>
        <w:t xml:space="preserve"> </w:t>
      </w:r>
      <w:r w:rsidR="00A00E40">
        <w:rPr>
          <w:rFonts w:ascii="Arial" w:hAnsi="Arial" w:cs="Arial"/>
          <w:b/>
          <w:bCs/>
          <w:sz w:val="24"/>
          <w:szCs w:val="24"/>
        </w:rPr>
        <w:tab/>
      </w:r>
      <w:r w:rsidR="00A00E40">
        <w:rPr>
          <w:rFonts w:ascii="Arial" w:hAnsi="Arial" w:cs="Arial"/>
          <w:b/>
          <w:bCs/>
          <w:sz w:val="24"/>
          <w:szCs w:val="24"/>
        </w:rPr>
        <w:tab/>
      </w:r>
      <w:r w:rsidR="00AC68AC"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D75E50"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A00E40">
        <w:rPr>
          <w:rFonts w:ascii="Arial" w:hAnsi="Arial" w:cs="Arial"/>
          <w:b/>
          <w:bCs/>
          <w:sz w:val="24"/>
          <w:szCs w:val="24"/>
        </w:rPr>
        <w:t xml:space="preserve">  </w:t>
      </w:r>
      <w:r>
        <w:rPr>
          <w:rFonts w:ascii="Arial" w:hAnsi="Arial" w:cs="Arial"/>
          <w:bCs/>
          <w:sz w:val="24"/>
          <w:szCs w:val="24"/>
        </w:rPr>
        <w:tab/>
        <w:t xml:space="preserve">     </w:t>
      </w:r>
      <w:r w:rsidR="00433359">
        <w:rPr>
          <w:rFonts w:ascii="Arial" w:hAnsi="Arial" w:cs="Arial"/>
          <w:b/>
          <w:bCs/>
          <w:sz w:val="24"/>
          <w:szCs w:val="24"/>
        </w:rPr>
        <w:t xml:space="preserve"> </w:t>
      </w:r>
      <w:r w:rsidR="00BB77A6">
        <w:rPr>
          <w:rFonts w:ascii="Arial" w:hAnsi="Arial" w:cs="Arial"/>
          <w:sz w:val="24"/>
          <w:szCs w:val="24"/>
        </w:rPr>
        <w:t>Applicant</w:t>
      </w:r>
    </w:p>
    <w:p w14:paraId="1554EA45" w14:textId="3BB2ED9F" w:rsidR="00A00E40" w:rsidRPr="00A00E40" w:rsidRDefault="00A00E40" w:rsidP="00EC4C36">
      <w:pPr>
        <w:spacing w:after="0" w:line="240" w:lineRule="auto"/>
        <w:rPr>
          <w:rFonts w:ascii="Arial" w:hAnsi="Arial" w:cs="Arial"/>
          <w:sz w:val="24"/>
          <w:szCs w:val="24"/>
        </w:rPr>
      </w:pPr>
    </w:p>
    <w:p w14:paraId="6928A325" w14:textId="77777777" w:rsidR="00AC68AC" w:rsidRPr="00AC68AC" w:rsidRDefault="00AC68AC" w:rsidP="00EC4C36">
      <w:pPr>
        <w:spacing w:after="0" w:line="240" w:lineRule="auto"/>
        <w:rPr>
          <w:rFonts w:ascii="Arial" w:hAnsi="Arial" w:cs="Arial"/>
          <w:sz w:val="24"/>
          <w:szCs w:val="24"/>
        </w:rPr>
      </w:pPr>
    </w:p>
    <w:p w14:paraId="2FD8DA3B" w14:textId="77777777" w:rsidR="006D28DB" w:rsidRPr="00AC68AC" w:rsidRDefault="006D28DB" w:rsidP="00EC4C36">
      <w:pPr>
        <w:spacing w:after="0" w:line="480" w:lineRule="auto"/>
        <w:rPr>
          <w:rFonts w:ascii="Arial" w:hAnsi="Arial" w:cs="Arial"/>
          <w:sz w:val="24"/>
          <w:szCs w:val="24"/>
        </w:rPr>
      </w:pPr>
      <w:r w:rsidRPr="00AC68AC">
        <w:rPr>
          <w:rFonts w:ascii="Arial" w:hAnsi="Arial" w:cs="Arial"/>
          <w:sz w:val="24"/>
          <w:szCs w:val="24"/>
        </w:rPr>
        <w:t>and</w:t>
      </w:r>
      <w:bookmarkStart w:id="0" w:name="_GoBack"/>
      <w:bookmarkEnd w:id="0"/>
    </w:p>
    <w:p w14:paraId="7A068B03" w14:textId="1613C914" w:rsidR="006D28DB" w:rsidRDefault="006A4FAB" w:rsidP="0057338B">
      <w:pPr>
        <w:pBdr>
          <w:bottom w:val="single" w:sz="12" w:space="1" w:color="auto"/>
        </w:pBdr>
        <w:spacing w:line="360" w:lineRule="auto"/>
        <w:rPr>
          <w:rFonts w:ascii="Arial" w:hAnsi="Arial" w:cs="Arial"/>
          <w:sz w:val="24"/>
          <w:szCs w:val="24"/>
        </w:rPr>
      </w:pPr>
      <w:r>
        <w:rPr>
          <w:rFonts w:ascii="Arial" w:hAnsi="Arial" w:cs="Arial"/>
          <w:b/>
          <w:bCs/>
          <w:sz w:val="24"/>
          <w:szCs w:val="24"/>
        </w:rPr>
        <w:t xml:space="preserve">SEVENTY FIVE </w:t>
      </w:r>
      <w:r w:rsidR="005F66EB">
        <w:rPr>
          <w:rFonts w:ascii="Arial" w:hAnsi="Arial" w:cs="Arial"/>
          <w:b/>
          <w:bCs/>
          <w:sz w:val="24"/>
          <w:szCs w:val="24"/>
        </w:rPr>
        <w:t xml:space="preserve">ON </w:t>
      </w:r>
      <w:r w:rsidR="005A0677">
        <w:rPr>
          <w:rFonts w:ascii="Arial" w:hAnsi="Arial" w:cs="Arial"/>
          <w:b/>
          <w:bCs/>
          <w:sz w:val="24"/>
          <w:szCs w:val="24"/>
        </w:rPr>
        <w:t xml:space="preserve">MAUDE (PTY) LTD </w:t>
      </w:r>
      <w:r w:rsidR="005A0677">
        <w:rPr>
          <w:rFonts w:ascii="Arial" w:hAnsi="Arial" w:cs="Arial"/>
          <w:b/>
          <w:bCs/>
          <w:sz w:val="24"/>
          <w:szCs w:val="24"/>
        </w:rPr>
        <w:tab/>
      </w:r>
      <w:r w:rsidR="005A0677">
        <w:rPr>
          <w:rFonts w:ascii="Arial" w:hAnsi="Arial" w:cs="Arial"/>
          <w:b/>
          <w:bCs/>
          <w:sz w:val="24"/>
          <w:szCs w:val="24"/>
        </w:rPr>
        <w:tab/>
        <w:t xml:space="preserve">      </w:t>
      </w:r>
      <w:r w:rsidR="005F66EB">
        <w:rPr>
          <w:rFonts w:ascii="Arial" w:hAnsi="Arial" w:cs="Arial"/>
          <w:b/>
          <w:bCs/>
          <w:sz w:val="24"/>
          <w:szCs w:val="24"/>
        </w:rPr>
        <w:t xml:space="preserve">                    </w:t>
      </w:r>
      <w:r w:rsidR="005F66EB">
        <w:rPr>
          <w:rFonts w:ascii="Arial" w:hAnsi="Arial" w:cs="Arial"/>
          <w:bCs/>
          <w:sz w:val="24"/>
          <w:szCs w:val="24"/>
        </w:rPr>
        <w:t xml:space="preserve">First </w:t>
      </w:r>
      <w:r w:rsidR="00082668" w:rsidRPr="00AC68AC">
        <w:rPr>
          <w:rFonts w:ascii="Arial" w:hAnsi="Arial" w:cs="Arial"/>
          <w:sz w:val="24"/>
          <w:szCs w:val="24"/>
        </w:rPr>
        <w:t>Respondent</w:t>
      </w:r>
    </w:p>
    <w:p w14:paraId="641A165B" w14:textId="0888D2AC" w:rsidR="005F66EB" w:rsidRPr="005F66EB" w:rsidRDefault="005F66EB" w:rsidP="0057338B">
      <w:pPr>
        <w:pBdr>
          <w:bottom w:val="single" w:sz="12" w:space="1" w:color="auto"/>
        </w:pBdr>
        <w:spacing w:line="360" w:lineRule="auto"/>
        <w:rPr>
          <w:rFonts w:ascii="Arial" w:hAnsi="Arial" w:cs="Arial"/>
          <w:b/>
          <w:sz w:val="24"/>
          <w:szCs w:val="24"/>
        </w:rPr>
      </w:pPr>
      <w:r>
        <w:rPr>
          <w:rFonts w:ascii="Arial" w:hAnsi="Arial" w:cs="Arial"/>
          <w:b/>
          <w:sz w:val="24"/>
          <w:szCs w:val="24"/>
        </w:rPr>
        <w:t>NUGENT, R.W.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Cs/>
          <w:sz w:val="24"/>
          <w:szCs w:val="24"/>
        </w:rPr>
        <w:t xml:space="preserve">Second </w:t>
      </w:r>
      <w:r w:rsidRPr="00AC68AC">
        <w:rPr>
          <w:rFonts w:ascii="Arial" w:hAnsi="Arial" w:cs="Arial"/>
          <w:sz w:val="24"/>
          <w:szCs w:val="24"/>
        </w:rPr>
        <w:t>Respondent</w:t>
      </w:r>
    </w:p>
    <w:p w14:paraId="680FF4FD" w14:textId="06D1A996" w:rsidR="0057338B" w:rsidRPr="00AC68AC" w:rsidRDefault="002851D1" w:rsidP="00FF61A8">
      <w:pPr>
        <w:pBdr>
          <w:bottom w:val="single" w:sz="12" w:space="1" w:color="auto"/>
        </w:pBdr>
        <w:spacing w:after="0" w:line="240" w:lineRule="auto"/>
        <w:jc w:val="both"/>
        <w:rPr>
          <w:rFonts w:ascii="Arial" w:hAnsi="Arial" w:cs="Arial"/>
          <w:b/>
          <w:bCs/>
          <w:sz w:val="24"/>
          <w:szCs w:val="24"/>
        </w:rPr>
      </w:pPr>
      <w:r w:rsidRPr="00AC68AC">
        <w:rPr>
          <w:rFonts w:ascii="Arial" w:hAnsi="Arial" w:cs="Arial"/>
          <w:b/>
          <w:bCs/>
          <w:i/>
          <w:iCs/>
          <w:sz w:val="24"/>
          <w:szCs w:val="24"/>
        </w:rPr>
        <w:t>Case Summary</w:t>
      </w:r>
      <w:r w:rsidRPr="00AC68AC">
        <w:rPr>
          <w:rFonts w:ascii="Arial" w:hAnsi="Arial" w:cs="Arial"/>
          <w:b/>
          <w:bCs/>
          <w:sz w:val="24"/>
          <w:szCs w:val="24"/>
        </w:rPr>
        <w:t>:</w:t>
      </w:r>
      <w:r w:rsidR="00AA4E18">
        <w:rPr>
          <w:rFonts w:ascii="Arial" w:hAnsi="Arial" w:cs="Arial"/>
          <w:b/>
          <w:bCs/>
          <w:sz w:val="24"/>
          <w:szCs w:val="24"/>
        </w:rPr>
        <w:t xml:space="preserve"> </w:t>
      </w:r>
      <w:r w:rsidR="00FF61A8">
        <w:rPr>
          <w:rFonts w:ascii="Arial" w:hAnsi="Arial" w:cs="Arial"/>
          <w:b/>
          <w:bCs/>
          <w:sz w:val="24"/>
          <w:szCs w:val="24"/>
        </w:rPr>
        <w:t xml:space="preserve">APPLICATION </w:t>
      </w:r>
      <w:r w:rsidR="006A4FAB">
        <w:rPr>
          <w:rFonts w:ascii="Arial" w:hAnsi="Arial" w:cs="Arial"/>
          <w:b/>
          <w:bCs/>
          <w:sz w:val="24"/>
          <w:szCs w:val="24"/>
        </w:rPr>
        <w:t>–</w:t>
      </w:r>
      <w:r w:rsidR="00FF61A8">
        <w:rPr>
          <w:rFonts w:ascii="Arial" w:hAnsi="Arial" w:cs="Arial"/>
          <w:b/>
          <w:bCs/>
          <w:sz w:val="24"/>
          <w:szCs w:val="24"/>
        </w:rPr>
        <w:t xml:space="preserve"> </w:t>
      </w:r>
      <w:r w:rsidR="006A4FAB">
        <w:rPr>
          <w:rFonts w:ascii="Arial" w:hAnsi="Arial" w:cs="Arial"/>
          <w:b/>
          <w:sz w:val="24"/>
          <w:szCs w:val="24"/>
        </w:rPr>
        <w:t>REVIEW AND SETTING ASIDE OF ARBITRAL AWARD IN TERMS OF SECTION 33(1) OF THE ARBITRATION ACT 42 OF 1965</w:t>
      </w:r>
    </w:p>
    <w:p w14:paraId="47367456" w14:textId="77777777" w:rsidR="009B712E" w:rsidRPr="00AC68AC" w:rsidRDefault="009B712E" w:rsidP="005568C9">
      <w:pPr>
        <w:pBdr>
          <w:bottom w:val="single" w:sz="12" w:space="1" w:color="auto"/>
        </w:pBdr>
        <w:spacing w:after="0"/>
        <w:jc w:val="center"/>
        <w:rPr>
          <w:rFonts w:ascii="Arial" w:hAnsi="Arial" w:cs="Arial"/>
          <w:sz w:val="24"/>
          <w:szCs w:val="24"/>
        </w:rPr>
      </w:pPr>
    </w:p>
    <w:p w14:paraId="0F19ECB3" w14:textId="4B794654" w:rsidR="00C27042" w:rsidRPr="00AC68AC" w:rsidRDefault="00AC68AC" w:rsidP="00EC4C36">
      <w:pPr>
        <w:spacing w:before="240" w:after="0" w:line="240" w:lineRule="auto"/>
        <w:jc w:val="center"/>
        <w:rPr>
          <w:rFonts w:ascii="Arial" w:hAnsi="Arial" w:cs="Arial"/>
          <w:b/>
          <w:bCs/>
          <w:sz w:val="24"/>
          <w:szCs w:val="24"/>
        </w:rPr>
      </w:pPr>
      <w:r w:rsidRPr="00AC68AC">
        <w:rPr>
          <w:rFonts w:ascii="Arial" w:hAnsi="Arial" w:cs="Arial"/>
          <w:b/>
          <w:bCs/>
          <w:sz w:val="24"/>
          <w:szCs w:val="24"/>
        </w:rPr>
        <w:t>JUDGMENT</w:t>
      </w:r>
    </w:p>
    <w:p w14:paraId="709A4041" w14:textId="77777777" w:rsidR="00EC4C36" w:rsidRPr="00AC68AC" w:rsidRDefault="00EC4C36" w:rsidP="00EC4C36">
      <w:pPr>
        <w:spacing w:after="0" w:line="360" w:lineRule="auto"/>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6E5EAB86" w14:textId="00992044" w:rsidR="00FF61A8" w:rsidRDefault="000C73BA" w:rsidP="00EC4C36">
      <w:pPr>
        <w:spacing w:before="240" w:after="120" w:line="360" w:lineRule="auto"/>
        <w:jc w:val="both"/>
        <w:rPr>
          <w:rFonts w:ascii="Arial" w:hAnsi="Arial" w:cs="Arial"/>
          <w:b/>
          <w:bCs/>
          <w:sz w:val="24"/>
          <w:szCs w:val="24"/>
        </w:rPr>
      </w:pPr>
      <w:r w:rsidRPr="00AC68AC">
        <w:rPr>
          <w:rFonts w:ascii="Arial" w:hAnsi="Arial" w:cs="Arial"/>
          <w:b/>
          <w:bCs/>
          <w:sz w:val="24"/>
          <w:szCs w:val="24"/>
        </w:rPr>
        <w:t>SENYATSI</w:t>
      </w:r>
      <w:r w:rsidR="00727499">
        <w:rPr>
          <w:rFonts w:ascii="Arial" w:hAnsi="Arial" w:cs="Arial"/>
          <w:b/>
          <w:bCs/>
          <w:sz w:val="24"/>
          <w:szCs w:val="24"/>
        </w:rPr>
        <w:t xml:space="preserve"> J</w:t>
      </w:r>
    </w:p>
    <w:p w14:paraId="4F8B7FDC" w14:textId="58AA816F" w:rsidR="00AC68AC" w:rsidRPr="00AC68AC" w:rsidRDefault="00FE3076" w:rsidP="003F0D2B">
      <w:pPr>
        <w:pStyle w:val="WerksmansStyle1"/>
        <w:tabs>
          <w:tab w:val="clear" w:pos="720"/>
        </w:tabs>
        <w:spacing w:after="240" w:line="360" w:lineRule="auto"/>
        <w:ind w:left="0" w:firstLine="0"/>
        <w:rPr>
          <w:rFonts w:cs="Arial"/>
          <w:sz w:val="24"/>
          <w:szCs w:val="24"/>
          <w:lang w:val="en-US"/>
        </w:rPr>
      </w:pPr>
      <w:r w:rsidRPr="00AC68AC">
        <w:rPr>
          <w:rFonts w:cs="Arial"/>
          <w:sz w:val="24"/>
          <w:szCs w:val="24"/>
          <w:lang w:val="en-US"/>
        </w:rPr>
        <w:t>[1]</w:t>
      </w:r>
      <w:r w:rsidR="00942258" w:rsidRPr="00AC68AC">
        <w:rPr>
          <w:rFonts w:cs="Arial"/>
          <w:sz w:val="24"/>
          <w:szCs w:val="24"/>
          <w:lang w:val="en-US"/>
        </w:rPr>
        <w:tab/>
      </w:r>
      <w:r w:rsidR="00E50A16">
        <w:rPr>
          <w:rFonts w:cs="Arial"/>
          <w:sz w:val="24"/>
          <w:szCs w:val="24"/>
          <w:lang w:val="en-US"/>
        </w:rPr>
        <w:t xml:space="preserve">In this application, the </w:t>
      </w:r>
      <w:r w:rsidR="00BB77A6">
        <w:rPr>
          <w:rFonts w:cs="Arial"/>
          <w:sz w:val="24"/>
          <w:szCs w:val="24"/>
          <w:lang w:val="en-US"/>
        </w:rPr>
        <w:t>Applicant</w:t>
      </w:r>
      <w:r w:rsidR="00E50A16">
        <w:rPr>
          <w:rFonts w:cs="Arial"/>
          <w:sz w:val="24"/>
          <w:szCs w:val="24"/>
          <w:lang w:val="en-US"/>
        </w:rPr>
        <w:t xml:space="preserve"> seeks the review and setting aside of an arbitral award in terms of section 33(1) of the Arbitration Act, 42 of 1965 (“the Act”) given by the Second Respondent, the arbitrator on 8 February 2021.</w:t>
      </w:r>
    </w:p>
    <w:p w14:paraId="143577BB" w14:textId="4DFD42C9" w:rsidR="006A4FAB" w:rsidRDefault="00AC68AC" w:rsidP="003F0D2B">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50A16">
        <w:rPr>
          <w:rFonts w:ascii="Arial" w:hAnsi="Arial" w:cs="Arial"/>
          <w:sz w:val="24"/>
          <w:szCs w:val="24"/>
        </w:rPr>
        <w:t>The basis of the Application is that the arbitrator exceeded his powers and committed a gross irregularity in the conduct of the arbitration proceedings.</w:t>
      </w:r>
    </w:p>
    <w:p w14:paraId="71521A46" w14:textId="134D71EF" w:rsidR="00B70F1F" w:rsidRPr="00594268" w:rsidRDefault="00B70F1F" w:rsidP="003F0D2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50A16">
        <w:rPr>
          <w:rFonts w:ascii="Arial" w:hAnsi="Arial" w:cs="Arial"/>
          <w:sz w:val="24"/>
          <w:szCs w:val="24"/>
        </w:rPr>
        <w:t xml:space="preserve">The </w:t>
      </w:r>
      <w:r w:rsidR="00BB77A6">
        <w:rPr>
          <w:rFonts w:ascii="Arial" w:hAnsi="Arial" w:cs="Arial"/>
          <w:sz w:val="24"/>
          <w:szCs w:val="24"/>
        </w:rPr>
        <w:t>Applicant</w:t>
      </w:r>
      <w:r w:rsidR="00E50A16">
        <w:rPr>
          <w:rFonts w:ascii="Arial" w:hAnsi="Arial" w:cs="Arial"/>
          <w:sz w:val="24"/>
          <w:szCs w:val="24"/>
        </w:rPr>
        <w:t xml:space="preserve"> is a private company incorporated with limited liability in accordance with the laws of South Africa with its primary principal place of business at the High Street, Melrose Arch, Johannesburg.</w:t>
      </w:r>
    </w:p>
    <w:p w14:paraId="758AD8BC" w14:textId="2B04404C" w:rsidR="00B70F1F" w:rsidRDefault="00B70F1F" w:rsidP="003F0D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50A16">
        <w:rPr>
          <w:rFonts w:ascii="Arial" w:hAnsi="Arial" w:cs="Arial"/>
          <w:sz w:val="24"/>
          <w:szCs w:val="24"/>
        </w:rPr>
        <w:t xml:space="preserve">The </w:t>
      </w:r>
      <w:r w:rsidR="00BB77A6">
        <w:rPr>
          <w:rFonts w:ascii="Arial" w:hAnsi="Arial" w:cs="Arial"/>
          <w:sz w:val="24"/>
          <w:szCs w:val="24"/>
        </w:rPr>
        <w:t>First respondent</w:t>
      </w:r>
      <w:r w:rsidR="00E50A16">
        <w:rPr>
          <w:rFonts w:ascii="Arial" w:hAnsi="Arial" w:cs="Arial"/>
          <w:sz w:val="24"/>
          <w:szCs w:val="24"/>
        </w:rPr>
        <w:t xml:space="preserve"> is also a private company incorporated with limited liability in accordance</w:t>
      </w:r>
      <w:r w:rsidR="001F416C">
        <w:rPr>
          <w:rFonts w:ascii="Arial" w:hAnsi="Arial" w:cs="Arial"/>
          <w:sz w:val="24"/>
          <w:szCs w:val="24"/>
        </w:rPr>
        <w:t xml:space="preserve"> with the company laws of South Africa and with its principal place of business at Baobab House, 5 Autum Road, Rivonia, Johannesburg.</w:t>
      </w:r>
    </w:p>
    <w:p w14:paraId="1B119BCC" w14:textId="310CEA70" w:rsidR="004B227C" w:rsidRDefault="004B227C" w:rsidP="003F0D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255D">
        <w:rPr>
          <w:rFonts w:ascii="Arial" w:hAnsi="Arial" w:cs="Arial"/>
          <w:sz w:val="24"/>
          <w:szCs w:val="24"/>
        </w:rPr>
        <w:t xml:space="preserve"> </w:t>
      </w:r>
      <w:r w:rsidR="001F416C">
        <w:rPr>
          <w:rFonts w:ascii="Arial" w:hAnsi="Arial" w:cs="Arial"/>
          <w:sz w:val="24"/>
          <w:szCs w:val="24"/>
        </w:rPr>
        <w:t xml:space="preserve">The Second Respondent is a retired Justice of the Supreme Court of Appeal and is cited in his capacity as the appointed arbitrator in arbitration conducted between the </w:t>
      </w:r>
      <w:r w:rsidR="00BB77A6">
        <w:rPr>
          <w:rFonts w:ascii="Arial" w:hAnsi="Arial" w:cs="Arial"/>
          <w:sz w:val="24"/>
          <w:szCs w:val="24"/>
        </w:rPr>
        <w:t>Applicant</w:t>
      </w:r>
      <w:r w:rsidR="001F416C">
        <w:rPr>
          <w:rFonts w:ascii="Arial" w:hAnsi="Arial" w:cs="Arial"/>
          <w:sz w:val="24"/>
          <w:szCs w:val="24"/>
        </w:rPr>
        <w:t xml:space="preserve"> and the </w:t>
      </w:r>
      <w:r w:rsidR="00BB77A6">
        <w:rPr>
          <w:rFonts w:ascii="Arial" w:hAnsi="Arial" w:cs="Arial"/>
          <w:sz w:val="24"/>
          <w:szCs w:val="24"/>
        </w:rPr>
        <w:t>First respondent</w:t>
      </w:r>
      <w:r w:rsidR="001F416C">
        <w:rPr>
          <w:rFonts w:ascii="Arial" w:hAnsi="Arial" w:cs="Arial"/>
          <w:sz w:val="24"/>
          <w:szCs w:val="24"/>
        </w:rPr>
        <w:t xml:space="preserve"> (“the arbitrator”).</w:t>
      </w:r>
    </w:p>
    <w:p w14:paraId="513AFE33" w14:textId="19915DAA" w:rsidR="002F255D" w:rsidRDefault="002F255D" w:rsidP="003F0D2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F416C">
        <w:rPr>
          <w:rFonts w:ascii="Arial" w:hAnsi="Arial" w:cs="Arial"/>
          <w:sz w:val="24"/>
          <w:szCs w:val="24"/>
        </w:rPr>
        <w:t xml:space="preserve">The </w:t>
      </w:r>
      <w:r w:rsidR="00BB77A6">
        <w:rPr>
          <w:rFonts w:ascii="Arial" w:hAnsi="Arial" w:cs="Arial"/>
          <w:sz w:val="24"/>
          <w:szCs w:val="24"/>
        </w:rPr>
        <w:t>First respondent</w:t>
      </w:r>
      <w:r w:rsidR="001F416C">
        <w:rPr>
          <w:rFonts w:ascii="Arial" w:hAnsi="Arial" w:cs="Arial"/>
          <w:sz w:val="24"/>
          <w:szCs w:val="24"/>
        </w:rPr>
        <w:t xml:space="preserve"> and the </w:t>
      </w:r>
      <w:r w:rsidR="00BB77A6">
        <w:rPr>
          <w:rFonts w:ascii="Arial" w:hAnsi="Arial" w:cs="Arial"/>
          <w:sz w:val="24"/>
          <w:szCs w:val="24"/>
        </w:rPr>
        <w:t>Applicant</w:t>
      </w:r>
      <w:r w:rsidR="001F416C">
        <w:rPr>
          <w:rFonts w:ascii="Arial" w:hAnsi="Arial" w:cs="Arial"/>
          <w:sz w:val="24"/>
          <w:szCs w:val="24"/>
        </w:rPr>
        <w:t xml:space="preserve"> concluded a building contract</w:t>
      </w:r>
      <w:r w:rsidR="00E067BD">
        <w:rPr>
          <w:rFonts w:ascii="Arial" w:hAnsi="Arial" w:cs="Arial"/>
          <w:sz w:val="24"/>
          <w:szCs w:val="24"/>
        </w:rPr>
        <w:t xml:space="preserve"> on</w:t>
      </w:r>
      <w:r w:rsidR="001F416C">
        <w:rPr>
          <w:rFonts w:ascii="Arial" w:hAnsi="Arial" w:cs="Arial"/>
          <w:sz w:val="24"/>
          <w:szCs w:val="24"/>
        </w:rPr>
        <w:t xml:space="preserve"> 25 October 2015 in terms of which the </w:t>
      </w:r>
      <w:r w:rsidR="00BB77A6">
        <w:rPr>
          <w:rFonts w:ascii="Arial" w:hAnsi="Arial" w:cs="Arial"/>
          <w:sz w:val="24"/>
          <w:szCs w:val="24"/>
        </w:rPr>
        <w:t>Applicant</w:t>
      </w:r>
      <w:r w:rsidR="001F416C">
        <w:rPr>
          <w:rFonts w:ascii="Arial" w:hAnsi="Arial" w:cs="Arial"/>
          <w:sz w:val="24"/>
          <w:szCs w:val="24"/>
        </w:rPr>
        <w:t xml:space="preserve"> was appointed to construct Phase 1 of the basement of the </w:t>
      </w:r>
      <w:r w:rsidR="00E067BD">
        <w:rPr>
          <w:rFonts w:ascii="Arial" w:hAnsi="Arial" w:cs="Arial"/>
          <w:sz w:val="24"/>
          <w:szCs w:val="24"/>
        </w:rPr>
        <w:t>mixed</w:t>
      </w:r>
      <w:r w:rsidR="001F416C">
        <w:rPr>
          <w:rFonts w:ascii="Arial" w:hAnsi="Arial" w:cs="Arial"/>
          <w:sz w:val="24"/>
          <w:szCs w:val="24"/>
        </w:rPr>
        <w:t xml:space="preserve"> use high rise building called Leonardo in Sandton (“the Works”).  Phase 2 of the project consisted of Podium and Tower po</w:t>
      </w:r>
      <w:r w:rsidR="00E067BD">
        <w:rPr>
          <w:rFonts w:ascii="Arial" w:hAnsi="Arial" w:cs="Arial"/>
          <w:sz w:val="24"/>
          <w:szCs w:val="24"/>
        </w:rPr>
        <w:t>rtion</w:t>
      </w:r>
      <w:r w:rsidR="001F416C">
        <w:rPr>
          <w:rFonts w:ascii="Arial" w:hAnsi="Arial" w:cs="Arial"/>
          <w:sz w:val="24"/>
          <w:szCs w:val="24"/>
        </w:rPr>
        <w:t xml:space="preserve"> of the Leonardo.</w:t>
      </w:r>
    </w:p>
    <w:p w14:paraId="50B22138" w14:textId="0AECCE43" w:rsidR="007F69B2" w:rsidRDefault="00227C4A" w:rsidP="003F0D2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40A73">
        <w:rPr>
          <w:rFonts w:ascii="Arial" w:hAnsi="Arial" w:cs="Arial"/>
          <w:sz w:val="24"/>
          <w:szCs w:val="24"/>
        </w:rPr>
        <w:t xml:space="preserve">On 21 September 2016 the </w:t>
      </w:r>
      <w:r w:rsidR="00BB77A6">
        <w:rPr>
          <w:rFonts w:ascii="Arial" w:hAnsi="Arial" w:cs="Arial"/>
          <w:sz w:val="24"/>
          <w:szCs w:val="24"/>
        </w:rPr>
        <w:t>Applicant</w:t>
      </w:r>
      <w:r w:rsidR="00740A73">
        <w:rPr>
          <w:rFonts w:ascii="Arial" w:hAnsi="Arial" w:cs="Arial"/>
          <w:sz w:val="24"/>
          <w:szCs w:val="24"/>
        </w:rPr>
        <w:t xml:space="preserve"> was appointed to do Phase 2 of the works.  The contract between the parties consisted of the Principal Building Agreement JBCC Edition 6.1 (March 2014) which contained general conditions as amended by the priced bills of quantities, the Preliminaries (“the Preliminaries”) and the contract data (“the Contract Data”).</w:t>
      </w:r>
    </w:p>
    <w:p w14:paraId="0CEF6E53" w14:textId="044DED70" w:rsidR="001E528D" w:rsidRDefault="001E528D" w:rsidP="003F0D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E6979">
        <w:rPr>
          <w:rFonts w:ascii="Arial" w:hAnsi="Arial" w:cs="Arial"/>
          <w:sz w:val="24"/>
          <w:szCs w:val="24"/>
        </w:rPr>
        <w:t>The letter of appointment date</w:t>
      </w:r>
      <w:r w:rsidR="00E067BD">
        <w:rPr>
          <w:rFonts w:ascii="Arial" w:hAnsi="Arial" w:cs="Arial"/>
          <w:sz w:val="24"/>
          <w:szCs w:val="24"/>
        </w:rPr>
        <w:t>d</w:t>
      </w:r>
      <w:r w:rsidR="001E6979">
        <w:rPr>
          <w:rFonts w:ascii="Arial" w:hAnsi="Arial" w:cs="Arial"/>
          <w:sz w:val="24"/>
          <w:szCs w:val="24"/>
        </w:rPr>
        <w:t xml:space="preserve"> 25 October 2015 states that the </w:t>
      </w:r>
      <w:r w:rsidR="00E067BD">
        <w:rPr>
          <w:rFonts w:ascii="Arial" w:hAnsi="Arial" w:cs="Arial"/>
          <w:sz w:val="24"/>
          <w:szCs w:val="24"/>
        </w:rPr>
        <w:t xml:space="preserve">Program </w:t>
      </w:r>
      <w:r w:rsidR="001E6979">
        <w:rPr>
          <w:rFonts w:ascii="Arial" w:hAnsi="Arial" w:cs="Arial"/>
          <w:sz w:val="24"/>
          <w:szCs w:val="24"/>
        </w:rPr>
        <w:t>for the Works would be as follows:</w:t>
      </w:r>
    </w:p>
    <w:p w14:paraId="1E8CB76C" w14:textId="1FDB9270" w:rsidR="001E6979" w:rsidRDefault="001E6979" w:rsidP="003F0D2B">
      <w:pPr>
        <w:spacing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t xml:space="preserve">for the Basement - 8 months and </w:t>
      </w:r>
    </w:p>
    <w:p w14:paraId="3F46FA8C" w14:textId="269675E0" w:rsidR="001E6979" w:rsidRDefault="001E6979" w:rsidP="003F0D2B">
      <w:pPr>
        <w:spacing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t>for the Podium and Tower Black structure up to the date of practical completion – 22 months</w:t>
      </w:r>
      <w:r w:rsidR="00E067BD">
        <w:rPr>
          <w:rFonts w:ascii="Arial" w:hAnsi="Arial" w:cs="Arial"/>
          <w:sz w:val="24"/>
          <w:szCs w:val="24"/>
        </w:rPr>
        <w:t xml:space="preserve"> making the total construction period 30 months</w:t>
      </w:r>
    </w:p>
    <w:p w14:paraId="0B627538" w14:textId="7E5ECC94" w:rsidR="001E528D" w:rsidRDefault="001E528D" w:rsidP="003F0D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E6979">
        <w:rPr>
          <w:rFonts w:ascii="Arial" w:hAnsi="Arial" w:cs="Arial"/>
          <w:sz w:val="24"/>
          <w:szCs w:val="24"/>
        </w:rPr>
        <w:t>The standard terms of the JBCC agreement provides for a “defects liability period” of 90 days which commences after the achievement of Practical Completion within which period the contractor may be instructed by the principal agent to attend to such defects.</w:t>
      </w:r>
    </w:p>
    <w:p w14:paraId="51E8B6EB" w14:textId="26A1619E" w:rsidR="001E528D" w:rsidRDefault="001E528D" w:rsidP="003F0D2B">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1E6979">
        <w:rPr>
          <w:rFonts w:ascii="Arial" w:hAnsi="Arial" w:cs="Arial"/>
          <w:sz w:val="24"/>
          <w:szCs w:val="24"/>
        </w:rPr>
        <w:t xml:space="preserve">The defects liability period was done away with by the </w:t>
      </w:r>
      <w:r w:rsidR="00BB77A6">
        <w:rPr>
          <w:rFonts w:ascii="Arial" w:hAnsi="Arial" w:cs="Arial"/>
          <w:sz w:val="24"/>
          <w:szCs w:val="24"/>
        </w:rPr>
        <w:t>Applicant</w:t>
      </w:r>
      <w:r w:rsidR="001E6979">
        <w:rPr>
          <w:rFonts w:ascii="Arial" w:hAnsi="Arial" w:cs="Arial"/>
          <w:sz w:val="24"/>
          <w:szCs w:val="24"/>
        </w:rPr>
        <w:t xml:space="preserve"> and </w:t>
      </w:r>
      <w:r w:rsidR="00BB77A6">
        <w:rPr>
          <w:rFonts w:ascii="Arial" w:hAnsi="Arial" w:cs="Arial"/>
          <w:sz w:val="24"/>
          <w:szCs w:val="24"/>
        </w:rPr>
        <w:t>First respondent</w:t>
      </w:r>
      <w:r w:rsidR="001E6979">
        <w:rPr>
          <w:rFonts w:ascii="Arial" w:hAnsi="Arial" w:cs="Arial"/>
          <w:sz w:val="24"/>
          <w:szCs w:val="24"/>
        </w:rPr>
        <w:t xml:space="preserve"> (“the parties”) and replaced with a “Snagging Period” of 2 months after the achievement of practical completion</w:t>
      </w:r>
      <w:r w:rsidR="00E067BD">
        <w:rPr>
          <w:rFonts w:ascii="Arial" w:hAnsi="Arial" w:cs="Arial"/>
          <w:sz w:val="24"/>
          <w:szCs w:val="24"/>
        </w:rPr>
        <w:t xml:space="preserve"> date, bringing the total construction period</w:t>
      </w:r>
      <w:r w:rsidR="000C69C2">
        <w:rPr>
          <w:rFonts w:ascii="Arial" w:hAnsi="Arial" w:cs="Arial"/>
          <w:sz w:val="24"/>
          <w:szCs w:val="24"/>
        </w:rPr>
        <w:t xml:space="preserve"> to 32 months</w:t>
      </w:r>
    </w:p>
    <w:p w14:paraId="162719A0" w14:textId="448F92CD" w:rsidR="00C661EA" w:rsidRDefault="00980463" w:rsidP="003F0D2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661EA">
        <w:rPr>
          <w:rFonts w:ascii="Arial" w:hAnsi="Arial" w:cs="Arial"/>
          <w:sz w:val="24"/>
          <w:szCs w:val="24"/>
        </w:rPr>
        <w:t xml:space="preserve"> </w:t>
      </w:r>
      <w:r w:rsidR="0035629A">
        <w:rPr>
          <w:rFonts w:ascii="Arial" w:hAnsi="Arial" w:cs="Arial"/>
          <w:sz w:val="24"/>
          <w:szCs w:val="24"/>
        </w:rPr>
        <w:t>The clause related to the penalties was also amended by the parties.  Clause 24.1 of the standard JBCC agreement provides that should a contractor fail to bring the works to practical completion by the date for practical completion or the revised date for practical completion, then the contractor would be liable for a penalty.</w:t>
      </w:r>
    </w:p>
    <w:p w14:paraId="11A513AF" w14:textId="6C804C86" w:rsidR="00C661EA" w:rsidRDefault="006650B3" w:rsidP="003F0D2B">
      <w:pPr>
        <w:spacing w:line="360" w:lineRule="auto"/>
        <w:jc w:val="both"/>
        <w:rPr>
          <w:rFonts w:ascii="Arial" w:hAnsi="Arial" w:cs="Arial"/>
          <w:sz w:val="24"/>
          <w:szCs w:val="24"/>
        </w:rPr>
      </w:pPr>
      <w:r>
        <w:rPr>
          <w:rFonts w:ascii="Arial" w:hAnsi="Arial" w:cs="Arial"/>
          <w:sz w:val="24"/>
          <w:szCs w:val="24"/>
        </w:rPr>
        <w:t>[12</w:t>
      </w:r>
      <w:r w:rsidR="00C661EA">
        <w:rPr>
          <w:rFonts w:ascii="Arial" w:hAnsi="Arial" w:cs="Arial"/>
          <w:sz w:val="24"/>
          <w:szCs w:val="24"/>
        </w:rPr>
        <w:t>]</w:t>
      </w:r>
      <w:r w:rsidR="00C661EA">
        <w:rPr>
          <w:rFonts w:ascii="Arial" w:hAnsi="Arial" w:cs="Arial"/>
          <w:sz w:val="24"/>
          <w:szCs w:val="24"/>
        </w:rPr>
        <w:tab/>
      </w:r>
      <w:r w:rsidR="00581001">
        <w:rPr>
          <w:rFonts w:ascii="Arial" w:hAnsi="Arial" w:cs="Arial"/>
          <w:sz w:val="24"/>
          <w:szCs w:val="24"/>
        </w:rPr>
        <w:t xml:space="preserve">The parties agreed that the penalty would be R450 000 </w:t>
      </w:r>
      <w:r w:rsidR="000C69C2">
        <w:rPr>
          <w:rFonts w:ascii="Arial" w:hAnsi="Arial" w:cs="Arial"/>
          <w:sz w:val="24"/>
          <w:szCs w:val="24"/>
        </w:rPr>
        <w:t xml:space="preserve">(four hundred and fifty thousand rand) </w:t>
      </w:r>
      <w:r w:rsidR="00581001">
        <w:rPr>
          <w:rFonts w:ascii="Arial" w:hAnsi="Arial" w:cs="Arial"/>
          <w:sz w:val="24"/>
          <w:szCs w:val="24"/>
        </w:rPr>
        <w:t xml:space="preserve">per day after the practical completion date that has not been achieved.  The parties </w:t>
      </w:r>
      <w:r w:rsidR="000C69C2">
        <w:rPr>
          <w:rFonts w:ascii="Arial" w:hAnsi="Arial" w:cs="Arial"/>
          <w:sz w:val="24"/>
          <w:szCs w:val="24"/>
        </w:rPr>
        <w:t xml:space="preserve">also agreed that no penalties </w:t>
      </w:r>
      <w:r w:rsidR="00581001">
        <w:rPr>
          <w:rFonts w:ascii="Arial" w:hAnsi="Arial" w:cs="Arial"/>
          <w:sz w:val="24"/>
          <w:szCs w:val="24"/>
        </w:rPr>
        <w:t>would be imposed on the Tower Block for the first 60 days of any delay to the overall completion date of the works.</w:t>
      </w:r>
    </w:p>
    <w:p w14:paraId="44400770" w14:textId="200C8CA2" w:rsidR="00DD4B83" w:rsidRPr="00DD4B83" w:rsidRDefault="006650B3" w:rsidP="006A4FAB">
      <w:pPr>
        <w:spacing w:line="360" w:lineRule="auto"/>
        <w:jc w:val="both"/>
        <w:rPr>
          <w:rFonts w:ascii="Arial" w:hAnsi="Arial" w:cs="Arial"/>
          <w:b/>
          <w:sz w:val="24"/>
          <w:szCs w:val="24"/>
          <w:u w:val="single"/>
        </w:rPr>
      </w:pPr>
      <w:r>
        <w:rPr>
          <w:rFonts w:ascii="Arial" w:hAnsi="Arial" w:cs="Arial"/>
          <w:sz w:val="24"/>
          <w:szCs w:val="24"/>
        </w:rPr>
        <w:t>[13</w:t>
      </w:r>
      <w:r w:rsidR="00CE5415">
        <w:rPr>
          <w:rFonts w:ascii="Arial" w:hAnsi="Arial" w:cs="Arial"/>
          <w:sz w:val="24"/>
          <w:szCs w:val="24"/>
        </w:rPr>
        <w:t>]</w:t>
      </w:r>
      <w:r w:rsidR="00CE5415">
        <w:rPr>
          <w:rFonts w:ascii="Arial" w:hAnsi="Arial" w:cs="Arial"/>
          <w:sz w:val="24"/>
          <w:szCs w:val="24"/>
        </w:rPr>
        <w:tab/>
      </w:r>
      <w:r w:rsidR="00581001">
        <w:rPr>
          <w:rFonts w:ascii="Arial" w:hAnsi="Arial" w:cs="Arial"/>
          <w:sz w:val="24"/>
          <w:szCs w:val="24"/>
        </w:rPr>
        <w:t>The work</w:t>
      </w:r>
      <w:r w:rsidR="000C69C2">
        <w:rPr>
          <w:rFonts w:ascii="Arial" w:hAnsi="Arial" w:cs="Arial"/>
          <w:sz w:val="24"/>
          <w:szCs w:val="24"/>
        </w:rPr>
        <w:t>s</w:t>
      </w:r>
      <w:r w:rsidR="00581001">
        <w:rPr>
          <w:rFonts w:ascii="Arial" w:hAnsi="Arial" w:cs="Arial"/>
          <w:sz w:val="24"/>
          <w:szCs w:val="24"/>
        </w:rPr>
        <w:t xml:space="preserve"> on Phase 1</w:t>
      </w:r>
      <w:r w:rsidR="000C69C2">
        <w:rPr>
          <w:rFonts w:ascii="Arial" w:hAnsi="Arial" w:cs="Arial"/>
          <w:sz w:val="24"/>
          <w:szCs w:val="24"/>
        </w:rPr>
        <w:t xml:space="preserve"> commenced</w:t>
      </w:r>
      <w:r w:rsidR="00581001">
        <w:rPr>
          <w:rFonts w:ascii="Arial" w:hAnsi="Arial" w:cs="Arial"/>
          <w:sz w:val="24"/>
          <w:szCs w:val="24"/>
        </w:rPr>
        <w:t xml:space="preserve"> on 15 November 2015 and on 21 September 2016 the </w:t>
      </w:r>
      <w:r w:rsidR="00BB77A6">
        <w:rPr>
          <w:rFonts w:ascii="Arial" w:hAnsi="Arial" w:cs="Arial"/>
          <w:sz w:val="24"/>
          <w:szCs w:val="24"/>
        </w:rPr>
        <w:t>First respondent</w:t>
      </w:r>
      <w:r w:rsidR="00581001">
        <w:rPr>
          <w:rFonts w:ascii="Arial" w:hAnsi="Arial" w:cs="Arial"/>
          <w:sz w:val="24"/>
          <w:szCs w:val="24"/>
        </w:rPr>
        <w:t xml:space="preserve"> exercised its option to extend the contract to Phase 2.  The initial agreed date for practical completion of Phase 1 and 2 was 14 May 2018. </w:t>
      </w:r>
    </w:p>
    <w:p w14:paraId="01093B30" w14:textId="07999E16" w:rsidR="009251D5" w:rsidRDefault="006650B3" w:rsidP="003F0D2B">
      <w:pPr>
        <w:spacing w:line="360" w:lineRule="auto"/>
        <w:jc w:val="both"/>
        <w:rPr>
          <w:rFonts w:ascii="Arial" w:hAnsi="Arial" w:cs="Arial"/>
          <w:sz w:val="24"/>
          <w:szCs w:val="24"/>
        </w:rPr>
      </w:pPr>
      <w:r>
        <w:rPr>
          <w:rFonts w:ascii="Arial" w:hAnsi="Arial" w:cs="Arial"/>
          <w:sz w:val="24"/>
          <w:szCs w:val="24"/>
        </w:rPr>
        <w:t>[14</w:t>
      </w:r>
      <w:r w:rsidR="009251D5">
        <w:rPr>
          <w:rFonts w:ascii="Arial" w:hAnsi="Arial" w:cs="Arial"/>
          <w:sz w:val="24"/>
          <w:szCs w:val="24"/>
        </w:rPr>
        <w:t>]</w:t>
      </w:r>
      <w:r w:rsidR="009251D5">
        <w:rPr>
          <w:rFonts w:ascii="Arial" w:hAnsi="Arial" w:cs="Arial"/>
          <w:sz w:val="24"/>
          <w:szCs w:val="24"/>
        </w:rPr>
        <w:tab/>
      </w:r>
      <w:r w:rsidR="00477C7C">
        <w:rPr>
          <w:rFonts w:ascii="Arial" w:hAnsi="Arial" w:cs="Arial"/>
          <w:sz w:val="24"/>
          <w:szCs w:val="24"/>
        </w:rPr>
        <w:t xml:space="preserve">A number of extensions of the time to the stipulated date for practical completion were granted by the </w:t>
      </w:r>
      <w:r w:rsidR="00BB77A6">
        <w:rPr>
          <w:rFonts w:ascii="Arial" w:hAnsi="Arial" w:cs="Arial"/>
          <w:sz w:val="24"/>
          <w:szCs w:val="24"/>
        </w:rPr>
        <w:t>First respondent</w:t>
      </w:r>
      <w:r w:rsidR="00477C7C">
        <w:rPr>
          <w:rFonts w:ascii="Arial" w:hAnsi="Arial" w:cs="Arial"/>
          <w:sz w:val="24"/>
          <w:szCs w:val="24"/>
        </w:rPr>
        <w:t xml:space="preserve"> to the </w:t>
      </w:r>
      <w:r w:rsidR="00BB77A6">
        <w:rPr>
          <w:rFonts w:ascii="Arial" w:hAnsi="Arial" w:cs="Arial"/>
          <w:sz w:val="24"/>
          <w:szCs w:val="24"/>
        </w:rPr>
        <w:t>Applicant</w:t>
      </w:r>
      <w:r w:rsidR="00477C7C">
        <w:rPr>
          <w:rFonts w:ascii="Arial" w:hAnsi="Arial" w:cs="Arial"/>
          <w:sz w:val="24"/>
          <w:szCs w:val="24"/>
        </w:rPr>
        <w:t xml:space="preserve"> as follows: </w:t>
      </w:r>
    </w:p>
    <w:p w14:paraId="042F8A9A" w14:textId="2D119314" w:rsidR="00477C7C" w:rsidRDefault="00477C7C" w:rsidP="003F0D2B">
      <w:pPr>
        <w:spacing w:line="360" w:lineRule="auto"/>
        <w:jc w:val="both"/>
        <w:rPr>
          <w:rFonts w:ascii="Arial" w:hAnsi="Arial" w:cs="Arial"/>
          <w:sz w:val="24"/>
          <w:szCs w:val="24"/>
        </w:rPr>
      </w:pPr>
      <w:r>
        <w:rPr>
          <w:rFonts w:ascii="Arial" w:hAnsi="Arial" w:cs="Arial"/>
          <w:sz w:val="24"/>
          <w:szCs w:val="24"/>
        </w:rPr>
        <w:t>14.1</w:t>
      </w:r>
      <w:r>
        <w:rPr>
          <w:rFonts w:ascii="Arial" w:hAnsi="Arial" w:cs="Arial"/>
          <w:sz w:val="24"/>
          <w:szCs w:val="24"/>
        </w:rPr>
        <w:tab/>
        <w:t>the initial date for practical completion 14 May 2018;</w:t>
      </w:r>
    </w:p>
    <w:p w14:paraId="16443CF6" w14:textId="6DC0562B" w:rsidR="00477C7C" w:rsidRDefault="00477C7C" w:rsidP="003F0D2B">
      <w:pPr>
        <w:spacing w:line="360" w:lineRule="auto"/>
        <w:jc w:val="both"/>
        <w:rPr>
          <w:rFonts w:ascii="Arial" w:hAnsi="Arial" w:cs="Arial"/>
          <w:sz w:val="24"/>
          <w:szCs w:val="24"/>
        </w:rPr>
      </w:pPr>
      <w:r>
        <w:rPr>
          <w:rFonts w:ascii="Arial" w:hAnsi="Arial" w:cs="Arial"/>
          <w:sz w:val="24"/>
          <w:szCs w:val="24"/>
        </w:rPr>
        <w:t>14.2</w:t>
      </w:r>
      <w:r>
        <w:rPr>
          <w:rFonts w:ascii="Arial" w:hAnsi="Arial" w:cs="Arial"/>
          <w:sz w:val="24"/>
          <w:szCs w:val="24"/>
        </w:rPr>
        <w:tab/>
        <w:t>20 working days for excessive ground works 12 June 2018;</w:t>
      </w:r>
    </w:p>
    <w:p w14:paraId="5AF724F6" w14:textId="0F21E34F" w:rsidR="00477C7C" w:rsidRDefault="00477C7C" w:rsidP="003F0D2B">
      <w:pPr>
        <w:spacing w:line="360" w:lineRule="auto"/>
        <w:jc w:val="both"/>
        <w:rPr>
          <w:rFonts w:ascii="Arial" w:hAnsi="Arial" w:cs="Arial"/>
          <w:sz w:val="24"/>
          <w:szCs w:val="24"/>
        </w:rPr>
      </w:pPr>
      <w:r>
        <w:rPr>
          <w:rFonts w:ascii="Arial" w:hAnsi="Arial" w:cs="Arial"/>
          <w:sz w:val="24"/>
          <w:szCs w:val="24"/>
        </w:rPr>
        <w:t>14.3</w:t>
      </w:r>
      <w:r>
        <w:rPr>
          <w:rFonts w:ascii="Arial" w:hAnsi="Arial" w:cs="Arial"/>
          <w:sz w:val="24"/>
          <w:szCs w:val="24"/>
        </w:rPr>
        <w:tab/>
        <w:t>2 weeks due to column demolition 30 June 2018;</w:t>
      </w:r>
    </w:p>
    <w:p w14:paraId="2219F8C9" w14:textId="6F989D78" w:rsidR="00477C7C" w:rsidRDefault="00477C7C" w:rsidP="003F0D2B">
      <w:pPr>
        <w:spacing w:line="360" w:lineRule="auto"/>
        <w:jc w:val="both"/>
        <w:rPr>
          <w:rFonts w:ascii="Arial" w:hAnsi="Arial" w:cs="Arial"/>
          <w:sz w:val="24"/>
          <w:szCs w:val="24"/>
        </w:rPr>
      </w:pPr>
      <w:r>
        <w:rPr>
          <w:rFonts w:ascii="Arial" w:hAnsi="Arial" w:cs="Arial"/>
          <w:sz w:val="24"/>
          <w:szCs w:val="24"/>
        </w:rPr>
        <w:t>14.4</w:t>
      </w:r>
      <w:r>
        <w:rPr>
          <w:rFonts w:ascii="Arial" w:hAnsi="Arial" w:cs="Arial"/>
          <w:sz w:val="24"/>
          <w:szCs w:val="24"/>
        </w:rPr>
        <w:tab/>
      </w:r>
      <w:r w:rsidR="00A41BB1">
        <w:rPr>
          <w:rFonts w:ascii="Arial" w:hAnsi="Arial" w:cs="Arial"/>
          <w:sz w:val="24"/>
          <w:szCs w:val="24"/>
        </w:rPr>
        <w:t>1 month for complexity of the floors between level 5 and 6, 30 July 2018;</w:t>
      </w:r>
    </w:p>
    <w:p w14:paraId="4CDE0A57" w14:textId="5F9CDB7A" w:rsidR="00A41BB1" w:rsidRDefault="00A41BB1" w:rsidP="00A41BB1">
      <w:pPr>
        <w:spacing w:line="360" w:lineRule="auto"/>
        <w:ind w:left="720" w:hanging="720"/>
        <w:jc w:val="both"/>
        <w:rPr>
          <w:rFonts w:ascii="Arial" w:hAnsi="Arial" w:cs="Arial"/>
          <w:sz w:val="24"/>
          <w:szCs w:val="24"/>
        </w:rPr>
      </w:pPr>
      <w:r>
        <w:rPr>
          <w:rFonts w:ascii="Arial" w:hAnsi="Arial" w:cs="Arial"/>
          <w:sz w:val="24"/>
          <w:szCs w:val="24"/>
        </w:rPr>
        <w:t>14.5</w:t>
      </w:r>
      <w:r>
        <w:rPr>
          <w:rFonts w:ascii="Arial" w:hAnsi="Arial" w:cs="Arial"/>
          <w:sz w:val="24"/>
          <w:szCs w:val="24"/>
        </w:rPr>
        <w:tab/>
        <w:t>2 months in terms of the agreement concluded between the parties during May 2017, 30 September 2018</w:t>
      </w:r>
    </w:p>
    <w:p w14:paraId="1F9CBFB3" w14:textId="04902FEC" w:rsidR="00A41BB1" w:rsidRDefault="00A41BB1" w:rsidP="003F0D2B">
      <w:pPr>
        <w:spacing w:line="360" w:lineRule="auto"/>
        <w:jc w:val="both"/>
        <w:rPr>
          <w:rFonts w:ascii="Arial" w:hAnsi="Arial" w:cs="Arial"/>
          <w:sz w:val="24"/>
          <w:szCs w:val="24"/>
        </w:rPr>
      </w:pPr>
      <w:r>
        <w:rPr>
          <w:rFonts w:ascii="Arial" w:hAnsi="Arial" w:cs="Arial"/>
          <w:sz w:val="24"/>
          <w:szCs w:val="24"/>
        </w:rPr>
        <w:t>14.6</w:t>
      </w:r>
      <w:r>
        <w:rPr>
          <w:rFonts w:ascii="Arial" w:hAnsi="Arial" w:cs="Arial"/>
          <w:sz w:val="24"/>
          <w:szCs w:val="24"/>
        </w:rPr>
        <w:tab/>
        <w:t>3 weeks due to an additional floor (42 to 43 floors), 19 October 2018</w:t>
      </w:r>
    </w:p>
    <w:p w14:paraId="2A8B1E98" w14:textId="4147161A" w:rsidR="00A41BB1" w:rsidRDefault="00A41BB1" w:rsidP="003F0D2B">
      <w:pPr>
        <w:spacing w:line="360" w:lineRule="auto"/>
        <w:jc w:val="both"/>
        <w:rPr>
          <w:rFonts w:ascii="Arial" w:hAnsi="Arial" w:cs="Arial"/>
          <w:sz w:val="24"/>
          <w:szCs w:val="24"/>
        </w:rPr>
      </w:pPr>
      <w:r>
        <w:rPr>
          <w:rFonts w:ascii="Arial" w:hAnsi="Arial" w:cs="Arial"/>
          <w:sz w:val="24"/>
          <w:szCs w:val="24"/>
        </w:rPr>
        <w:t>14.7</w:t>
      </w:r>
      <w:r>
        <w:rPr>
          <w:rFonts w:ascii="Arial" w:hAnsi="Arial" w:cs="Arial"/>
          <w:sz w:val="24"/>
          <w:szCs w:val="24"/>
        </w:rPr>
        <w:tab/>
        <w:t>13 calendar days for one duplex flooring, 3 November 2018</w:t>
      </w:r>
    </w:p>
    <w:p w14:paraId="7795B4D3" w14:textId="35FC0E4D" w:rsidR="00A41BB1" w:rsidRDefault="00A41BB1" w:rsidP="003F0D2B">
      <w:pPr>
        <w:spacing w:line="360" w:lineRule="auto"/>
        <w:jc w:val="both"/>
        <w:rPr>
          <w:rFonts w:ascii="Arial" w:hAnsi="Arial" w:cs="Arial"/>
          <w:sz w:val="24"/>
          <w:szCs w:val="24"/>
        </w:rPr>
      </w:pPr>
      <w:r>
        <w:rPr>
          <w:rFonts w:ascii="Arial" w:hAnsi="Arial" w:cs="Arial"/>
          <w:sz w:val="24"/>
          <w:szCs w:val="24"/>
        </w:rPr>
        <w:t>14.8</w:t>
      </w:r>
      <w:r>
        <w:rPr>
          <w:rFonts w:ascii="Arial" w:hAnsi="Arial" w:cs="Arial"/>
          <w:sz w:val="24"/>
          <w:szCs w:val="24"/>
        </w:rPr>
        <w:tab/>
        <w:t>3 weeks for the complexity of all duplex floors, 23 November 2018</w:t>
      </w:r>
    </w:p>
    <w:p w14:paraId="64538666" w14:textId="16EAF1FB" w:rsidR="00A41BB1" w:rsidRPr="00DD4B83" w:rsidRDefault="00A41BB1" w:rsidP="003F0D2B">
      <w:pPr>
        <w:spacing w:line="360" w:lineRule="auto"/>
        <w:jc w:val="both"/>
        <w:rPr>
          <w:rFonts w:ascii="Arial" w:hAnsi="Arial" w:cs="Arial"/>
          <w:sz w:val="24"/>
          <w:szCs w:val="24"/>
        </w:rPr>
      </w:pPr>
      <w:r>
        <w:rPr>
          <w:rFonts w:ascii="Arial" w:hAnsi="Arial" w:cs="Arial"/>
          <w:sz w:val="24"/>
          <w:szCs w:val="24"/>
        </w:rPr>
        <w:lastRenderedPageBreak/>
        <w:t>14.9</w:t>
      </w:r>
      <w:r>
        <w:rPr>
          <w:rFonts w:ascii="Arial" w:hAnsi="Arial" w:cs="Arial"/>
          <w:sz w:val="24"/>
          <w:szCs w:val="24"/>
        </w:rPr>
        <w:tab/>
        <w:t>21 days for i</w:t>
      </w:r>
      <w:r w:rsidR="00367FDC">
        <w:rPr>
          <w:rFonts w:ascii="Arial" w:hAnsi="Arial" w:cs="Arial"/>
          <w:sz w:val="24"/>
          <w:szCs w:val="24"/>
        </w:rPr>
        <w:t>nc</w:t>
      </w:r>
      <w:r>
        <w:rPr>
          <w:rFonts w:ascii="Arial" w:hAnsi="Arial" w:cs="Arial"/>
          <w:sz w:val="24"/>
          <w:szCs w:val="24"/>
        </w:rPr>
        <w:t xml:space="preserve">lement weather, 15 December 2018 </w:t>
      </w:r>
    </w:p>
    <w:p w14:paraId="52915AC5" w14:textId="1330DC96" w:rsidR="00677359" w:rsidRPr="006650B3" w:rsidRDefault="006650B3" w:rsidP="006A4FAB">
      <w:pPr>
        <w:spacing w:line="360" w:lineRule="auto"/>
        <w:jc w:val="both"/>
        <w:rPr>
          <w:rFonts w:ascii="Arial" w:hAnsi="Arial" w:cs="Arial"/>
          <w:color w:val="FF0000"/>
          <w:sz w:val="24"/>
          <w:szCs w:val="24"/>
        </w:rPr>
      </w:pPr>
      <w:r>
        <w:rPr>
          <w:rFonts w:ascii="Arial" w:hAnsi="Arial" w:cs="Arial"/>
          <w:sz w:val="24"/>
          <w:szCs w:val="24"/>
        </w:rPr>
        <w:t>[15</w:t>
      </w:r>
      <w:r w:rsidR="009E219F">
        <w:rPr>
          <w:rFonts w:ascii="Arial" w:hAnsi="Arial" w:cs="Arial"/>
          <w:sz w:val="24"/>
          <w:szCs w:val="24"/>
        </w:rPr>
        <w:t>]</w:t>
      </w:r>
      <w:r w:rsidR="009E219F">
        <w:rPr>
          <w:rFonts w:ascii="Arial" w:hAnsi="Arial" w:cs="Arial"/>
          <w:sz w:val="24"/>
          <w:szCs w:val="24"/>
        </w:rPr>
        <w:tab/>
      </w:r>
      <w:r w:rsidR="00367FDC">
        <w:rPr>
          <w:rFonts w:ascii="Arial" w:hAnsi="Arial" w:cs="Arial"/>
          <w:sz w:val="24"/>
          <w:szCs w:val="24"/>
        </w:rPr>
        <w:t xml:space="preserve">On or about 27 August 2018 the </w:t>
      </w:r>
      <w:r w:rsidR="00BB77A6">
        <w:rPr>
          <w:rFonts w:ascii="Arial" w:hAnsi="Arial" w:cs="Arial"/>
          <w:sz w:val="24"/>
          <w:szCs w:val="24"/>
        </w:rPr>
        <w:t>First respondent</w:t>
      </w:r>
      <w:r w:rsidR="00367FDC">
        <w:rPr>
          <w:rFonts w:ascii="Arial" w:hAnsi="Arial" w:cs="Arial"/>
          <w:sz w:val="24"/>
          <w:szCs w:val="24"/>
        </w:rPr>
        <w:t xml:space="preserve"> advised the </w:t>
      </w:r>
      <w:r w:rsidR="00BB77A6">
        <w:rPr>
          <w:rFonts w:ascii="Arial" w:hAnsi="Arial" w:cs="Arial"/>
          <w:sz w:val="24"/>
          <w:szCs w:val="24"/>
        </w:rPr>
        <w:t>Applicant</w:t>
      </w:r>
      <w:r w:rsidR="00367FDC">
        <w:rPr>
          <w:rFonts w:ascii="Arial" w:hAnsi="Arial" w:cs="Arial"/>
          <w:sz w:val="24"/>
          <w:szCs w:val="24"/>
        </w:rPr>
        <w:t xml:space="preserve"> that it was considering extending the works up to 51 floors and proposed that an extension of time of 3 and a half months be granted for this purpose along with a 3-week provision for inclement weather and a builder’s holiday.  The </w:t>
      </w:r>
      <w:r w:rsidR="00BB77A6">
        <w:rPr>
          <w:rFonts w:ascii="Arial" w:hAnsi="Arial" w:cs="Arial"/>
          <w:sz w:val="24"/>
          <w:szCs w:val="24"/>
        </w:rPr>
        <w:t>Applicant</w:t>
      </w:r>
      <w:r w:rsidR="00367FDC">
        <w:rPr>
          <w:rFonts w:ascii="Arial" w:hAnsi="Arial" w:cs="Arial"/>
          <w:sz w:val="24"/>
          <w:szCs w:val="24"/>
        </w:rPr>
        <w:t xml:space="preserve"> states that the new date for practical completion was therefore 30 April 2019.  It contends that the parties are ad idem that at the very least, the stipulated date for practical completion is no earlier than 30 April 2019.</w:t>
      </w:r>
    </w:p>
    <w:p w14:paraId="00C08FD2" w14:textId="7AD70994" w:rsidR="00677359" w:rsidRPr="003E6E55" w:rsidRDefault="006650B3" w:rsidP="00677359">
      <w:pPr>
        <w:spacing w:line="360" w:lineRule="auto"/>
        <w:jc w:val="both"/>
        <w:rPr>
          <w:rFonts w:ascii="Arial" w:hAnsi="Arial" w:cs="Arial"/>
          <w:sz w:val="24"/>
          <w:szCs w:val="24"/>
        </w:rPr>
      </w:pPr>
      <w:r>
        <w:rPr>
          <w:rFonts w:ascii="Arial" w:hAnsi="Arial" w:cs="Arial"/>
          <w:sz w:val="24"/>
          <w:szCs w:val="24"/>
        </w:rPr>
        <w:t>[16</w:t>
      </w:r>
      <w:r w:rsidR="00677359">
        <w:rPr>
          <w:rFonts w:ascii="Arial" w:hAnsi="Arial" w:cs="Arial"/>
          <w:sz w:val="24"/>
          <w:szCs w:val="24"/>
        </w:rPr>
        <w:t>]</w:t>
      </w:r>
      <w:r w:rsidR="00677359">
        <w:rPr>
          <w:rFonts w:ascii="Arial" w:hAnsi="Arial" w:cs="Arial"/>
          <w:sz w:val="24"/>
          <w:szCs w:val="24"/>
        </w:rPr>
        <w:tab/>
      </w:r>
      <w:r w:rsidR="00367FDC">
        <w:rPr>
          <w:rFonts w:ascii="Arial" w:hAnsi="Arial" w:cs="Arial"/>
          <w:sz w:val="24"/>
          <w:szCs w:val="24"/>
        </w:rPr>
        <w:t xml:space="preserve">The </w:t>
      </w:r>
      <w:r w:rsidR="00BB77A6">
        <w:rPr>
          <w:rFonts w:ascii="Arial" w:hAnsi="Arial" w:cs="Arial"/>
          <w:sz w:val="24"/>
          <w:szCs w:val="24"/>
        </w:rPr>
        <w:t>Applicant</w:t>
      </w:r>
      <w:r w:rsidR="00367FDC">
        <w:rPr>
          <w:rFonts w:ascii="Arial" w:hAnsi="Arial" w:cs="Arial"/>
          <w:sz w:val="24"/>
          <w:szCs w:val="24"/>
        </w:rPr>
        <w:t xml:space="preserve"> contends that contrary to the 60 day </w:t>
      </w:r>
      <w:r w:rsidR="00FD1C9F">
        <w:rPr>
          <w:rFonts w:ascii="Arial" w:hAnsi="Arial" w:cs="Arial"/>
          <w:sz w:val="24"/>
          <w:szCs w:val="24"/>
        </w:rPr>
        <w:t xml:space="preserve">moratorium on penalties, the </w:t>
      </w:r>
      <w:r w:rsidR="00BB77A6">
        <w:rPr>
          <w:rFonts w:ascii="Arial" w:hAnsi="Arial" w:cs="Arial"/>
          <w:sz w:val="24"/>
          <w:szCs w:val="24"/>
        </w:rPr>
        <w:t>First respondent</w:t>
      </w:r>
      <w:r w:rsidR="00FD1C9F">
        <w:rPr>
          <w:rFonts w:ascii="Arial" w:hAnsi="Arial" w:cs="Arial"/>
          <w:sz w:val="24"/>
          <w:szCs w:val="24"/>
        </w:rPr>
        <w:t xml:space="preserve"> levied penalties from 1 May 2019 to 29 June 2019 at R450 000 per day.  In continued to levy the penalty until 6 January 2020 and purported to terminate the agreement.  The termination is the subject of a further dispute between the parties.</w:t>
      </w:r>
    </w:p>
    <w:p w14:paraId="43E49F0B" w14:textId="569A8A7F" w:rsidR="00DD4B83" w:rsidRPr="00DD4B83" w:rsidRDefault="006650B3" w:rsidP="00677359">
      <w:pPr>
        <w:spacing w:line="360" w:lineRule="auto"/>
        <w:jc w:val="both"/>
        <w:rPr>
          <w:rFonts w:ascii="Arial" w:hAnsi="Arial" w:cs="Arial"/>
          <w:sz w:val="24"/>
          <w:szCs w:val="24"/>
        </w:rPr>
      </w:pPr>
      <w:r>
        <w:rPr>
          <w:rFonts w:ascii="Arial" w:hAnsi="Arial" w:cs="Arial"/>
          <w:sz w:val="24"/>
          <w:szCs w:val="24"/>
        </w:rPr>
        <w:t>[17</w:t>
      </w:r>
      <w:r w:rsidR="00677359">
        <w:rPr>
          <w:rFonts w:ascii="Arial" w:hAnsi="Arial" w:cs="Arial"/>
          <w:sz w:val="24"/>
          <w:szCs w:val="24"/>
        </w:rPr>
        <w:t>]</w:t>
      </w:r>
      <w:r w:rsidR="00677359">
        <w:rPr>
          <w:rFonts w:ascii="Arial" w:hAnsi="Arial" w:cs="Arial"/>
          <w:sz w:val="24"/>
          <w:szCs w:val="24"/>
        </w:rPr>
        <w:tab/>
      </w:r>
      <w:r w:rsidR="00582AD7">
        <w:rPr>
          <w:rFonts w:ascii="Arial" w:hAnsi="Arial" w:cs="Arial"/>
          <w:sz w:val="24"/>
          <w:szCs w:val="24"/>
        </w:rPr>
        <w:t>However, in the statement of defence as appearing from the record</w:t>
      </w:r>
      <w:r w:rsidR="000C69C2">
        <w:rPr>
          <w:rFonts w:ascii="Arial" w:hAnsi="Arial" w:cs="Arial"/>
          <w:sz w:val="24"/>
          <w:szCs w:val="24"/>
        </w:rPr>
        <w:t xml:space="preserve"> and the First Respondent’s evidence</w:t>
      </w:r>
      <w:r w:rsidR="00582AD7">
        <w:rPr>
          <w:rFonts w:ascii="Arial" w:hAnsi="Arial" w:cs="Arial"/>
          <w:sz w:val="24"/>
          <w:szCs w:val="24"/>
        </w:rPr>
        <w:t xml:space="preserve">, the parties are not ad idem that 30 </w:t>
      </w:r>
      <w:r w:rsidR="000C69C2">
        <w:rPr>
          <w:rFonts w:ascii="Arial" w:hAnsi="Arial" w:cs="Arial"/>
          <w:sz w:val="24"/>
          <w:szCs w:val="24"/>
        </w:rPr>
        <w:t>April 2019</w:t>
      </w:r>
      <w:r w:rsidR="00582AD7">
        <w:rPr>
          <w:rFonts w:ascii="Arial" w:hAnsi="Arial" w:cs="Arial"/>
          <w:sz w:val="24"/>
          <w:szCs w:val="24"/>
        </w:rPr>
        <w:t xml:space="preserve"> was to be the date of practical completion.  It is alleged in the statement of defence that it was to be the date for practical completion with qualifications.  The </w:t>
      </w:r>
      <w:r w:rsidR="00BB77A6">
        <w:rPr>
          <w:rFonts w:ascii="Arial" w:hAnsi="Arial" w:cs="Arial"/>
          <w:sz w:val="24"/>
          <w:szCs w:val="24"/>
        </w:rPr>
        <w:t>First respondent</w:t>
      </w:r>
      <w:r w:rsidR="00582AD7">
        <w:rPr>
          <w:rFonts w:ascii="Arial" w:hAnsi="Arial" w:cs="Arial"/>
          <w:sz w:val="24"/>
          <w:szCs w:val="24"/>
        </w:rPr>
        <w:t xml:space="preserve"> contends that the issue in the arbitration did not relate to what was “given up or abandoned” by the </w:t>
      </w:r>
      <w:r w:rsidR="00BB77A6">
        <w:rPr>
          <w:rFonts w:ascii="Arial" w:hAnsi="Arial" w:cs="Arial"/>
          <w:sz w:val="24"/>
          <w:szCs w:val="24"/>
        </w:rPr>
        <w:t>Applicant</w:t>
      </w:r>
      <w:r w:rsidR="00582AD7">
        <w:rPr>
          <w:rFonts w:ascii="Arial" w:hAnsi="Arial" w:cs="Arial"/>
          <w:sz w:val="24"/>
          <w:szCs w:val="24"/>
        </w:rPr>
        <w:t>.  This is also apparent from the opposing affidavit as amplified in the heads of arguments.</w:t>
      </w:r>
    </w:p>
    <w:p w14:paraId="1AECFF58" w14:textId="2738C293" w:rsidR="009E219F" w:rsidRDefault="006650B3" w:rsidP="003F0D2B">
      <w:pPr>
        <w:spacing w:line="360" w:lineRule="auto"/>
        <w:jc w:val="both"/>
        <w:rPr>
          <w:rFonts w:ascii="Arial" w:hAnsi="Arial" w:cs="Arial"/>
          <w:sz w:val="24"/>
          <w:szCs w:val="24"/>
        </w:rPr>
      </w:pPr>
      <w:r>
        <w:rPr>
          <w:rFonts w:ascii="Arial" w:hAnsi="Arial" w:cs="Arial"/>
          <w:sz w:val="24"/>
          <w:szCs w:val="24"/>
        </w:rPr>
        <w:t>[18</w:t>
      </w:r>
      <w:r w:rsidR="009E219F">
        <w:rPr>
          <w:rFonts w:ascii="Arial" w:hAnsi="Arial" w:cs="Arial"/>
          <w:sz w:val="24"/>
          <w:szCs w:val="24"/>
        </w:rPr>
        <w:t>]</w:t>
      </w:r>
      <w:r w:rsidR="009E219F">
        <w:rPr>
          <w:rFonts w:ascii="Arial" w:hAnsi="Arial" w:cs="Arial"/>
          <w:sz w:val="24"/>
          <w:szCs w:val="24"/>
        </w:rPr>
        <w:tab/>
      </w:r>
      <w:r w:rsidR="00582AD7">
        <w:rPr>
          <w:rFonts w:ascii="Arial" w:hAnsi="Arial" w:cs="Arial"/>
          <w:sz w:val="24"/>
          <w:szCs w:val="24"/>
        </w:rPr>
        <w:t xml:space="preserve">The issues for determination is whether the arbitrator exceeded his powers in making the award that the </w:t>
      </w:r>
      <w:r w:rsidR="00BB77A6">
        <w:rPr>
          <w:rFonts w:ascii="Arial" w:hAnsi="Arial" w:cs="Arial"/>
          <w:sz w:val="24"/>
          <w:szCs w:val="24"/>
        </w:rPr>
        <w:t>First respondent</w:t>
      </w:r>
      <w:r w:rsidR="00582AD7">
        <w:rPr>
          <w:rFonts w:ascii="Arial" w:hAnsi="Arial" w:cs="Arial"/>
          <w:sz w:val="24"/>
          <w:szCs w:val="24"/>
        </w:rPr>
        <w:t xml:space="preserve"> was entitled to levy the agreed penalty from 1 May 2019 and whether as contended by the </w:t>
      </w:r>
      <w:r w:rsidR="00BB77A6">
        <w:rPr>
          <w:rFonts w:ascii="Arial" w:hAnsi="Arial" w:cs="Arial"/>
          <w:sz w:val="24"/>
          <w:szCs w:val="24"/>
        </w:rPr>
        <w:t>Applicant</w:t>
      </w:r>
      <w:r w:rsidR="00582AD7">
        <w:rPr>
          <w:rFonts w:ascii="Arial" w:hAnsi="Arial" w:cs="Arial"/>
          <w:sz w:val="24"/>
          <w:szCs w:val="24"/>
        </w:rPr>
        <w:t xml:space="preserve">, the </w:t>
      </w:r>
      <w:r w:rsidR="00BB77A6">
        <w:rPr>
          <w:rFonts w:ascii="Arial" w:hAnsi="Arial" w:cs="Arial"/>
          <w:sz w:val="24"/>
          <w:szCs w:val="24"/>
        </w:rPr>
        <w:t>First respondent</w:t>
      </w:r>
      <w:r w:rsidR="00582AD7">
        <w:rPr>
          <w:rFonts w:ascii="Arial" w:hAnsi="Arial" w:cs="Arial"/>
          <w:sz w:val="24"/>
          <w:szCs w:val="24"/>
        </w:rPr>
        <w:t xml:space="preserve"> committed serious irregularity during the arbitration proceedings regarding cross-examination of Mr Dorre</w:t>
      </w:r>
      <w:r w:rsidR="00257C9C">
        <w:rPr>
          <w:rFonts w:ascii="Arial" w:hAnsi="Arial" w:cs="Arial"/>
          <w:sz w:val="24"/>
          <w:szCs w:val="24"/>
        </w:rPr>
        <w:t>n</w:t>
      </w:r>
      <w:r w:rsidR="00582AD7">
        <w:rPr>
          <w:rFonts w:ascii="Arial" w:hAnsi="Arial" w:cs="Arial"/>
          <w:sz w:val="24"/>
          <w:szCs w:val="24"/>
        </w:rPr>
        <w:t>stei</w:t>
      </w:r>
      <w:r w:rsidR="000C69C2">
        <w:rPr>
          <w:rFonts w:ascii="Arial" w:hAnsi="Arial" w:cs="Arial"/>
          <w:sz w:val="24"/>
          <w:szCs w:val="24"/>
        </w:rPr>
        <w:t>n and by finding the that the 28 February 2019 was the</w:t>
      </w:r>
      <w:r w:rsidR="00660663">
        <w:rPr>
          <w:rFonts w:ascii="Arial" w:hAnsi="Arial" w:cs="Arial"/>
          <w:sz w:val="24"/>
          <w:szCs w:val="24"/>
        </w:rPr>
        <w:t xml:space="preserve"> date of </w:t>
      </w:r>
      <w:r w:rsidR="000C69C2">
        <w:rPr>
          <w:rFonts w:ascii="Arial" w:hAnsi="Arial" w:cs="Arial"/>
          <w:sz w:val="24"/>
          <w:szCs w:val="24"/>
        </w:rPr>
        <w:t>practical</w:t>
      </w:r>
      <w:r w:rsidR="00660663">
        <w:rPr>
          <w:rFonts w:ascii="Arial" w:hAnsi="Arial" w:cs="Arial"/>
          <w:sz w:val="24"/>
          <w:szCs w:val="24"/>
        </w:rPr>
        <w:t xml:space="preserve"> completion</w:t>
      </w:r>
      <w:r w:rsidR="000C69C2">
        <w:rPr>
          <w:rFonts w:ascii="Arial" w:hAnsi="Arial" w:cs="Arial"/>
          <w:sz w:val="24"/>
          <w:szCs w:val="24"/>
        </w:rPr>
        <w:t xml:space="preserve"> </w:t>
      </w:r>
    </w:p>
    <w:p w14:paraId="3DF7E05A" w14:textId="4DBE72AF" w:rsidR="00A55D23" w:rsidRDefault="006650B3" w:rsidP="003F0D2B">
      <w:pPr>
        <w:spacing w:line="360" w:lineRule="auto"/>
        <w:jc w:val="both"/>
        <w:rPr>
          <w:rFonts w:ascii="Arial" w:hAnsi="Arial" w:cs="Arial"/>
          <w:sz w:val="24"/>
          <w:szCs w:val="24"/>
        </w:rPr>
      </w:pPr>
      <w:r>
        <w:rPr>
          <w:rFonts w:ascii="Arial" w:hAnsi="Arial" w:cs="Arial"/>
          <w:sz w:val="24"/>
          <w:szCs w:val="24"/>
        </w:rPr>
        <w:t>[19</w:t>
      </w:r>
      <w:r w:rsidR="00A55D23">
        <w:rPr>
          <w:rFonts w:ascii="Arial" w:hAnsi="Arial" w:cs="Arial"/>
          <w:sz w:val="24"/>
          <w:szCs w:val="24"/>
        </w:rPr>
        <w:t>]</w:t>
      </w:r>
      <w:r w:rsidR="00A55D23">
        <w:rPr>
          <w:rFonts w:ascii="Arial" w:hAnsi="Arial" w:cs="Arial"/>
          <w:sz w:val="24"/>
          <w:szCs w:val="24"/>
        </w:rPr>
        <w:tab/>
      </w:r>
      <w:r w:rsidR="00541093">
        <w:rPr>
          <w:rFonts w:ascii="Arial" w:hAnsi="Arial" w:cs="Arial"/>
          <w:sz w:val="24"/>
          <w:szCs w:val="24"/>
        </w:rPr>
        <w:t>Arbitration reviews are regulated by the Arbitration Act 42 of 1965 and section 33 (1)(b) provides re</w:t>
      </w:r>
      <w:r w:rsidR="00660663">
        <w:rPr>
          <w:rFonts w:ascii="Arial" w:hAnsi="Arial" w:cs="Arial"/>
          <w:sz w:val="24"/>
          <w:szCs w:val="24"/>
        </w:rPr>
        <w:t>c</w:t>
      </w:r>
      <w:r w:rsidR="00541093">
        <w:rPr>
          <w:rFonts w:ascii="Arial" w:hAnsi="Arial" w:cs="Arial"/>
          <w:sz w:val="24"/>
          <w:szCs w:val="24"/>
        </w:rPr>
        <w:t>our</w:t>
      </w:r>
      <w:r w:rsidR="00660663">
        <w:rPr>
          <w:rFonts w:ascii="Arial" w:hAnsi="Arial" w:cs="Arial"/>
          <w:sz w:val="24"/>
          <w:szCs w:val="24"/>
        </w:rPr>
        <w:t>s</w:t>
      </w:r>
      <w:r w:rsidR="00541093">
        <w:rPr>
          <w:rFonts w:ascii="Arial" w:hAnsi="Arial" w:cs="Arial"/>
          <w:sz w:val="24"/>
          <w:szCs w:val="24"/>
        </w:rPr>
        <w:t>e to courts to a party</w:t>
      </w:r>
      <w:r w:rsidR="00634C59">
        <w:rPr>
          <w:rFonts w:ascii="Arial" w:hAnsi="Arial" w:cs="Arial"/>
          <w:sz w:val="24"/>
          <w:szCs w:val="24"/>
        </w:rPr>
        <w:t xml:space="preserve"> not satisfied with the award. (“the Act”).  Section 33 (1)(b) of the Act provides as follows:</w:t>
      </w:r>
    </w:p>
    <w:p w14:paraId="70E416B0" w14:textId="1A9BA3C9" w:rsidR="00634C59" w:rsidRPr="00B646B8" w:rsidRDefault="00634C59" w:rsidP="003F0D2B">
      <w:pPr>
        <w:spacing w:line="360" w:lineRule="auto"/>
        <w:jc w:val="both"/>
        <w:rPr>
          <w:rFonts w:ascii="Arial" w:hAnsi="Arial" w:cs="Arial"/>
          <w:i/>
          <w:sz w:val="24"/>
          <w:szCs w:val="24"/>
        </w:rPr>
      </w:pPr>
      <w:r w:rsidRPr="00B646B8">
        <w:rPr>
          <w:rFonts w:ascii="Arial" w:hAnsi="Arial" w:cs="Arial"/>
          <w:i/>
          <w:sz w:val="24"/>
          <w:szCs w:val="24"/>
        </w:rPr>
        <w:t>“(1)</w:t>
      </w:r>
      <w:r w:rsidRPr="00B646B8">
        <w:rPr>
          <w:rFonts w:ascii="Arial" w:hAnsi="Arial" w:cs="Arial"/>
          <w:i/>
          <w:sz w:val="24"/>
          <w:szCs w:val="24"/>
        </w:rPr>
        <w:tab/>
        <w:t xml:space="preserve">Where an arbitration tribunal has committed any gross irregularity in the conduct of the arbitration proceedings or has exceeded its powers, the court may, on the </w:t>
      </w:r>
      <w:r w:rsidRPr="00B646B8">
        <w:rPr>
          <w:rFonts w:ascii="Arial" w:hAnsi="Arial" w:cs="Arial"/>
          <w:i/>
          <w:sz w:val="24"/>
          <w:szCs w:val="24"/>
        </w:rPr>
        <w:lastRenderedPageBreak/>
        <w:t>Application of any party to the reference after due notice to the other party or parties, make an order setting the award aside.”</w:t>
      </w:r>
    </w:p>
    <w:p w14:paraId="0CE3A853" w14:textId="5DEB1AE5" w:rsidR="00C648F7" w:rsidRDefault="006650B3" w:rsidP="00355D4F">
      <w:pPr>
        <w:spacing w:line="360" w:lineRule="auto"/>
        <w:jc w:val="both"/>
        <w:rPr>
          <w:rFonts w:ascii="Arial" w:hAnsi="Arial" w:cs="Arial"/>
          <w:sz w:val="24"/>
          <w:szCs w:val="24"/>
        </w:rPr>
      </w:pPr>
      <w:r>
        <w:rPr>
          <w:rFonts w:ascii="Arial" w:hAnsi="Arial" w:cs="Arial"/>
          <w:sz w:val="24"/>
          <w:szCs w:val="24"/>
        </w:rPr>
        <w:t>[20</w:t>
      </w:r>
      <w:r w:rsidR="00C648F7">
        <w:rPr>
          <w:rFonts w:ascii="Arial" w:hAnsi="Arial" w:cs="Arial"/>
          <w:sz w:val="24"/>
          <w:szCs w:val="24"/>
        </w:rPr>
        <w:t>]</w:t>
      </w:r>
      <w:r w:rsidR="00C648F7">
        <w:rPr>
          <w:rFonts w:ascii="Arial" w:hAnsi="Arial" w:cs="Arial"/>
          <w:sz w:val="24"/>
          <w:szCs w:val="24"/>
        </w:rPr>
        <w:tab/>
      </w:r>
      <w:r w:rsidR="00EC6C29">
        <w:rPr>
          <w:rFonts w:ascii="Arial" w:hAnsi="Arial" w:cs="Arial"/>
          <w:sz w:val="24"/>
          <w:szCs w:val="24"/>
        </w:rPr>
        <w:t xml:space="preserve">In </w:t>
      </w:r>
      <w:r w:rsidR="00EC6C29">
        <w:rPr>
          <w:rFonts w:ascii="Arial" w:hAnsi="Arial" w:cs="Arial"/>
          <w:i/>
          <w:sz w:val="24"/>
          <w:szCs w:val="24"/>
        </w:rPr>
        <w:t>Eskom Holdings Limited v Joint Venture of Edison Jelano (Pty) Ltd and Others</w:t>
      </w:r>
      <w:r w:rsidR="00EC6C29">
        <w:rPr>
          <w:rStyle w:val="FootnoteReference"/>
          <w:rFonts w:ascii="Arial" w:hAnsi="Arial" w:cs="Arial"/>
          <w:i/>
          <w:sz w:val="24"/>
          <w:szCs w:val="24"/>
        </w:rPr>
        <w:footnoteReference w:id="1"/>
      </w:r>
      <w:r w:rsidR="00EC6C29">
        <w:rPr>
          <w:rFonts w:ascii="Arial" w:hAnsi="Arial" w:cs="Arial"/>
          <w:sz w:val="24"/>
          <w:szCs w:val="24"/>
        </w:rPr>
        <w:t xml:space="preserve"> the court in restating the legal framework of the review of arbitration tribunal award said the following:</w:t>
      </w:r>
    </w:p>
    <w:p w14:paraId="1F73B576" w14:textId="69B7AD8C" w:rsidR="00EC6C29" w:rsidRPr="00EC6C29" w:rsidRDefault="00EC6C29" w:rsidP="00355D4F">
      <w:pPr>
        <w:spacing w:line="360" w:lineRule="auto"/>
        <w:jc w:val="both"/>
        <w:rPr>
          <w:rFonts w:ascii="Arial" w:hAnsi="Arial" w:cs="Arial"/>
          <w:i/>
          <w:sz w:val="24"/>
          <w:szCs w:val="24"/>
        </w:rPr>
      </w:pPr>
      <w:r w:rsidRPr="00EC6C29">
        <w:rPr>
          <w:rFonts w:ascii="Arial" w:hAnsi="Arial" w:cs="Arial"/>
          <w:i/>
          <w:sz w:val="24"/>
          <w:szCs w:val="24"/>
        </w:rPr>
        <w:t>“[21]</w:t>
      </w:r>
      <w:r w:rsidRPr="00EC6C29">
        <w:rPr>
          <w:rFonts w:ascii="Arial" w:hAnsi="Arial" w:cs="Arial"/>
          <w:i/>
          <w:sz w:val="24"/>
          <w:szCs w:val="24"/>
        </w:rPr>
        <w:tab/>
        <w:t>Section 33(1) of the Arbitration Act 42 of 1965 regulates the review of arbitral awards as follows:</w:t>
      </w:r>
    </w:p>
    <w:p w14:paraId="4689CBAB" w14:textId="4F8878DB" w:rsidR="00EC6C29" w:rsidRPr="00EC6C29" w:rsidRDefault="00EC6C29" w:rsidP="00355D4F">
      <w:pPr>
        <w:spacing w:line="360" w:lineRule="auto"/>
        <w:jc w:val="both"/>
        <w:rPr>
          <w:rFonts w:ascii="Arial" w:hAnsi="Arial" w:cs="Arial"/>
          <w:i/>
          <w:sz w:val="24"/>
          <w:szCs w:val="24"/>
        </w:rPr>
      </w:pPr>
      <w:r w:rsidRPr="00EC6C29">
        <w:rPr>
          <w:rFonts w:ascii="Arial" w:hAnsi="Arial" w:cs="Arial"/>
          <w:i/>
          <w:sz w:val="24"/>
          <w:szCs w:val="24"/>
        </w:rPr>
        <w:t>(1)</w:t>
      </w:r>
      <w:r w:rsidRPr="00EC6C29">
        <w:rPr>
          <w:rFonts w:ascii="Arial" w:hAnsi="Arial" w:cs="Arial"/>
          <w:i/>
          <w:sz w:val="24"/>
          <w:szCs w:val="24"/>
        </w:rPr>
        <w:tab/>
        <w:t>Where-</w:t>
      </w:r>
    </w:p>
    <w:p w14:paraId="419138AF" w14:textId="0D920716" w:rsidR="00EC6C29" w:rsidRPr="00EC6C29" w:rsidRDefault="00EC6C29" w:rsidP="00355D4F">
      <w:pPr>
        <w:spacing w:line="360" w:lineRule="auto"/>
        <w:jc w:val="both"/>
        <w:rPr>
          <w:rFonts w:ascii="Arial" w:hAnsi="Arial" w:cs="Arial"/>
          <w:i/>
          <w:sz w:val="24"/>
          <w:szCs w:val="24"/>
        </w:rPr>
      </w:pPr>
      <w:r w:rsidRPr="00EC6C29">
        <w:rPr>
          <w:rFonts w:ascii="Arial" w:hAnsi="Arial" w:cs="Arial"/>
          <w:i/>
          <w:sz w:val="24"/>
          <w:szCs w:val="24"/>
        </w:rPr>
        <w:t>(a)</w:t>
      </w:r>
      <w:r w:rsidRPr="00EC6C29">
        <w:rPr>
          <w:rFonts w:ascii="Arial" w:hAnsi="Arial" w:cs="Arial"/>
          <w:i/>
          <w:sz w:val="24"/>
          <w:szCs w:val="24"/>
        </w:rPr>
        <w:tab/>
        <w:t>any member of the arbitration tribunal has misconducted himself in relation to his duties as arbitrator or umpire; or</w:t>
      </w:r>
    </w:p>
    <w:p w14:paraId="636EA065" w14:textId="77777777" w:rsidR="00932C44" w:rsidRDefault="00EC6C29" w:rsidP="00355D4F">
      <w:pPr>
        <w:spacing w:line="360" w:lineRule="auto"/>
        <w:jc w:val="both"/>
        <w:rPr>
          <w:rFonts w:ascii="Arial" w:hAnsi="Arial" w:cs="Arial"/>
          <w:i/>
          <w:sz w:val="24"/>
          <w:szCs w:val="24"/>
        </w:rPr>
      </w:pPr>
      <w:r w:rsidRPr="00EC6C29">
        <w:rPr>
          <w:rFonts w:ascii="Arial" w:hAnsi="Arial" w:cs="Arial"/>
          <w:i/>
          <w:sz w:val="24"/>
          <w:szCs w:val="24"/>
        </w:rPr>
        <w:t>(b)</w:t>
      </w:r>
      <w:r w:rsidRPr="00EC6C29">
        <w:rPr>
          <w:rFonts w:ascii="Arial" w:hAnsi="Arial" w:cs="Arial"/>
          <w:i/>
          <w:sz w:val="24"/>
          <w:szCs w:val="24"/>
        </w:rPr>
        <w:tab/>
        <w:t>an arbitration tribunal has committed any gross irregularity in the conduct of the arbitration proceedings or exceeded</w:t>
      </w:r>
      <w:r>
        <w:rPr>
          <w:rFonts w:ascii="Arial" w:hAnsi="Arial" w:cs="Arial"/>
          <w:i/>
          <w:sz w:val="24"/>
          <w:szCs w:val="24"/>
        </w:rPr>
        <w:t xml:space="preserve"> </w:t>
      </w:r>
      <w:r w:rsidR="00932C44">
        <w:rPr>
          <w:rFonts w:ascii="Arial" w:hAnsi="Arial" w:cs="Arial"/>
          <w:i/>
          <w:sz w:val="24"/>
          <w:szCs w:val="24"/>
        </w:rPr>
        <w:t>his powers; or</w:t>
      </w:r>
    </w:p>
    <w:p w14:paraId="6326911F" w14:textId="77777777" w:rsidR="00932C44" w:rsidRDefault="00932C44" w:rsidP="00355D4F">
      <w:pPr>
        <w:spacing w:line="360" w:lineRule="auto"/>
        <w:jc w:val="both"/>
        <w:rPr>
          <w:rFonts w:ascii="Arial" w:hAnsi="Arial" w:cs="Arial"/>
          <w:i/>
          <w:sz w:val="24"/>
          <w:szCs w:val="24"/>
        </w:rPr>
      </w:pPr>
      <w:r>
        <w:rPr>
          <w:rFonts w:ascii="Arial" w:hAnsi="Arial" w:cs="Arial"/>
          <w:i/>
          <w:sz w:val="24"/>
          <w:szCs w:val="24"/>
        </w:rPr>
        <w:t>(c)</w:t>
      </w:r>
      <w:r>
        <w:rPr>
          <w:rFonts w:ascii="Arial" w:hAnsi="Arial" w:cs="Arial"/>
          <w:i/>
          <w:sz w:val="24"/>
          <w:szCs w:val="24"/>
        </w:rPr>
        <w:tab/>
        <w:t>an award has been improperly obtained,</w:t>
      </w:r>
    </w:p>
    <w:p w14:paraId="12FDDCA7" w14:textId="762128FD" w:rsidR="00E92619" w:rsidRDefault="00932C44" w:rsidP="00355D4F">
      <w:pPr>
        <w:spacing w:line="360" w:lineRule="auto"/>
        <w:jc w:val="both"/>
        <w:rPr>
          <w:rFonts w:ascii="Arial" w:hAnsi="Arial" w:cs="Arial"/>
          <w:i/>
          <w:sz w:val="24"/>
          <w:szCs w:val="24"/>
        </w:rPr>
      </w:pPr>
      <w:r>
        <w:rPr>
          <w:rFonts w:ascii="Arial" w:hAnsi="Arial" w:cs="Arial"/>
          <w:i/>
          <w:sz w:val="24"/>
          <w:szCs w:val="24"/>
        </w:rPr>
        <w:t>the court</w:t>
      </w:r>
      <w:r w:rsidR="00E92619">
        <w:rPr>
          <w:rFonts w:ascii="Arial" w:hAnsi="Arial" w:cs="Arial"/>
          <w:i/>
          <w:sz w:val="24"/>
          <w:szCs w:val="24"/>
        </w:rPr>
        <w:t xml:space="preserve"> may, on the application of any party to the reference after one notice to the other party or parties, make an order setting the award aside.</w:t>
      </w:r>
    </w:p>
    <w:p w14:paraId="564F8CB6" w14:textId="11541E90" w:rsidR="00932C44" w:rsidRDefault="00E92619" w:rsidP="00355D4F">
      <w:pPr>
        <w:spacing w:line="360" w:lineRule="auto"/>
        <w:jc w:val="both"/>
        <w:rPr>
          <w:rFonts w:ascii="Arial" w:hAnsi="Arial" w:cs="Arial"/>
          <w:i/>
          <w:sz w:val="24"/>
          <w:szCs w:val="24"/>
        </w:rPr>
      </w:pPr>
      <w:r>
        <w:rPr>
          <w:rFonts w:ascii="Arial" w:hAnsi="Arial" w:cs="Arial"/>
          <w:i/>
          <w:sz w:val="24"/>
          <w:szCs w:val="24"/>
        </w:rPr>
        <w:t>[22]</w:t>
      </w:r>
      <w:r>
        <w:rPr>
          <w:rFonts w:ascii="Arial" w:hAnsi="Arial" w:cs="Arial"/>
          <w:i/>
          <w:sz w:val="24"/>
          <w:szCs w:val="24"/>
        </w:rPr>
        <w:tab/>
        <w:t>Speed, efficiency, flexibility and finality of the arbitration process are the reasons that the parties opt to select their own dispute resolution method.  Admission of evidence which is not strictly necessary or beneficial to resolution of a dispute detracts of these advantages</w:t>
      </w:r>
      <w:r w:rsidRPr="00E92619">
        <w:rPr>
          <w:rFonts w:ascii="Arial" w:hAnsi="Arial" w:cs="Arial"/>
          <w:i/>
          <w:sz w:val="24"/>
          <w:szCs w:val="24"/>
        </w:rPr>
        <w:t>.</w:t>
      </w:r>
      <w:r w:rsidR="00932C44" w:rsidRPr="00E92619">
        <w:rPr>
          <w:rFonts w:ascii="Arial" w:hAnsi="Arial" w:cs="Arial"/>
          <w:i/>
          <w:sz w:val="24"/>
          <w:szCs w:val="24"/>
        </w:rPr>
        <w:t xml:space="preserve"> </w:t>
      </w:r>
      <w:r w:rsidR="00A70530" w:rsidRPr="00E92619">
        <w:rPr>
          <w:rStyle w:val="FootnoteReference"/>
          <w:rFonts w:ascii="Arial" w:hAnsi="Arial" w:cs="Arial"/>
          <w:i/>
          <w:sz w:val="24"/>
          <w:szCs w:val="24"/>
        </w:rPr>
        <w:footnoteReference w:id="2"/>
      </w:r>
      <w:r w:rsidR="00A70530" w:rsidRPr="00E92619">
        <w:rPr>
          <w:rFonts w:ascii="Arial" w:hAnsi="Arial" w:cs="Arial"/>
          <w:i/>
          <w:sz w:val="24"/>
          <w:szCs w:val="24"/>
        </w:rPr>
        <w:t xml:space="preserve"> </w:t>
      </w:r>
      <w:r>
        <w:rPr>
          <w:rFonts w:ascii="Arial" w:hAnsi="Arial" w:cs="Arial"/>
          <w:i/>
          <w:sz w:val="24"/>
          <w:szCs w:val="24"/>
        </w:rPr>
        <w:t>However, the rules of natural justice remain applicable.”</w:t>
      </w:r>
    </w:p>
    <w:p w14:paraId="362688AC" w14:textId="0E160CBA" w:rsidR="00EC6C29" w:rsidRPr="00553467" w:rsidRDefault="00E92619" w:rsidP="00355D4F">
      <w:pPr>
        <w:spacing w:line="360" w:lineRule="auto"/>
        <w:jc w:val="both"/>
        <w:rPr>
          <w:rFonts w:ascii="Arial" w:hAnsi="Arial" w:cs="Arial"/>
          <w:color w:val="FF0000"/>
          <w:sz w:val="24"/>
          <w:szCs w:val="24"/>
        </w:rPr>
      </w:pPr>
      <w:r>
        <w:rPr>
          <w:rFonts w:ascii="Arial" w:hAnsi="Arial" w:cs="Arial"/>
          <w:sz w:val="24"/>
          <w:szCs w:val="24"/>
        </w:rPr>
        <w:t>[21]</w:t>
      </w:r>
      <w:r>
        <w:rPr>
          <w:rFonts w:ascii="Arial" w:hAnsi="Arial" w:cs="Arial"/>
          <w:sz w:val="24"/>
          <w:szCs w:val="24"/>
        </w:rPr>
        <w:tab/>
        <w:t xml:space="preserve">In </w:t>
      </w:r>
      <w:r>
        <w:rPr>
          <w:rFonts w:ascii="Arial" w:hAnsi="Arial" w:cs="Arial"/>
          <w:i/>
          <w:sz w:val="24"/>
          <w:szCs w:val="24"/>
        </w:rPr>
        <w:t>Telecordia Technologies Inc</w:t>
      </w:r>
      <w:r w:rsidR="00553467">
        <w:rPr>
          <w:rFonts w:ascii="Arial" w:hAnsi="Arial" w:cs="Arial"/>
          <w:i/>
          <w:sz w:val="24"/>
          <w:szCs w:val="24"/>
        </w:rPr>
        <w:t xml:space="preserve"> v Telkom SA Ltd</w:t>
      </w:r>
      <w:r w:rsidR="00553467">
        <w:rPr>
          <w:rStyle w:val="FootnoteReference"/>
          <w:rFonts w:ascii="Arial" w:hAnsi="Arial" w:cs="Arial"/>
          <w:i/>
          <w:sz w:val="24"/>
          <w:szCs w:val="24"/>
        </w:rPr>
        <w:footnoteReference w:id="3"/>
      </w:r>
      <w:r w:rsidR="00553467">
        <w:rPr>
          <w:rFonts w:ascii="Arial" w:hAnsi="Arial" w:cs="Arial"/>
          <w:sz w:val="24"/>
          <w:szCs w:val="24"/>
        </w:rPr>
        <w:t xml:space="preserve"> the court was concerned with the interpretation of the terms “gross irregularity” and “exceeding its </w:t>
      </w:r>
      <w:r w:rsidR="00EC6C29" w:rsidRPr="00553467">
        <w:rPr>
          <w:rFonts w:ascii="Arial" w:hAnsi="Arial" w:cs="Arial"/>
          <w:sz w:val="24"/>
          <w:szCs w:val="24"/>
        </w:rPr>
        <w:t>power</w:t>
      </w:r>
      <w:r w:rsidR="00660663">
        <w:rPr>
          <w:rFonts w:ascii="Arial" w:hAnsi="Arial" w:cs="Arial"/>
          <w:sz w:val="24"/>
          <w:szCs w:val="24"/>
        </w:rPr>
        <w:t>”</w:t>
      </w:r>
      <w:r w:rsidR="00EC6C29" w:rsidRPr="00553467">
        <w:rPr>
          <w:rFonts w:ascii="Arial" w:hAnsi="Arial" w:cs="Arial"/>
          <w:sz w:val="24"/>
          <w:szCs w:val="24"/>
        </w:rPr>
        <w:t xml:space="preserve"> </w:t>
      </w:r>
      <w:r w:rsidR="00A70530" w:rsidRPr="00553467">
        <w:rPr>
          <w:rFonts w:ascii="Arial" w:hAnsi="Arial" w:cs="Arial"/>
          <w:sz w:val="24"/>
          <w:szCs w:val="24"/>
        </w:rPr>
        <w:t xml:space="preserve">which justify interference by courts with arbitral awards as provided in section 33(1)(b) of the Act.  The court reaffirmed the principle of </w:t>
      </w:r>
      <w:r w:rsidR="00660663">
        <w:rPr>
          <w:rFonts w:ascii="Arial" w:hAnsi="Arial" w:cs="Arial"/>
          <w:sz w:val="24"/>
          <w:szCs w:val="24"/>
        </w:rPr>
        <w:t>autonomy</w:t>
      </w:r>
      <w:r w:rsidR="00A70530" w:rsidRPr="00553467">
        <w:rPr>
          <w:rFonts w:ascii="Arial" w:hAnsi="Arial" w:cs="Arial"/>
          <w:sz w:val="24"/>
          <w:szCs w:val="24"/>
        </w:rPr>
        <w:t xml:space="preserve"> – a realization of freedom enjoyed by the parties to execute arbitration agreements</w:t>
      </w:r>
      <w:r w:rsidR="00660663">
        <w:rPr>
          <w:rFonts w:ascii="Arial" w:hAnsi="Arial" w:cs="Arial"/>
          <w:sz w:val="24"/>
          <w:szCs w:val="24"/>
        </w:rPr>
        <w:t xml:space="preserve"> and that the courts will interfere only in limited cases as provided for in the Act</w:t>
      </w:r>
      <w:r w:rsidR="00FE4EBC">
        <w:rPr>
          <w:rFonts w:ascii="Arial" w:hAnsi="Arial" w:cs="Arial"/>
          <w:sz w:val="24"/>
          <w:szCs w:val="24"/>
        </w:rPr>
        <w:t>.</w:t>
      </w:r>
      <w:r w:rsidR="00A70530" w:rsidRPr="00553467">
        <w:rPr>
          <w:rFonts w:ascii="Arial" w:hAnsi="Arial" w:cs="Arial"/>
          <w:sz w:val="24"/>
          <w:szCs w:val="24"/>
        </w:rPr>
        <w:t xml:space="preserve">  The court defined gross misconduct as a “process </w:t>
      </w:r>
      <w:r w:rsidR="00A70530" w:rsidRPr="00553467">
        <w:rPr>
          <w:rFonts w:ascii="Arial" w:hAnsi="Arial" w:cs="Arial"/>
          <w:sz w:val="24"/>
          <w:szCs w:val="24"/>
        </w:rPr>
        <w:lastRenderedPageBreak/>
        <w:t xml:space="preserve">standard which is to all intents and purposes identical to a ground of </w:t>
      </w:r>
      <w:r w:rsidR="00FE4EBC" w:rsidRPr="00553467">
        <w:rPr>
          <w:rFonts w:ascii="Arial" w:hAnsi="Arial" w:cs="Arial"/>
          <w:sz w:val="24"/>
          <w:szCs w:val="24"/>
        </w:rPr>
        <w:t>review</w:t>
      </w:r>
      <w:r w:rsidR="00FE4EBC">
        <w:rPr>
          <w:rFonts w:ascii="Arial" w:hAnsi="Arial" w:cs="Arial"/>
          <w:sz w:val="24"/>
          <w:szCs w:val="24"/>
        </w:rPr>
        <w:t>”</w:t>
      </w:r>
      <w:r w:rsidR="00FE4EBC" w:rsidRPr="00553467">
        <w:rPr>
          <w:rFonts w:ascii="Arial" w:hAnsi="Arial" w:cs="Arial"/>
          <w:sz w:val="24"/>
          <w:szCs w:val="24"/>
        </w:rPr>
        <w:t xml:space="preserve"> available</w:t>
      </w:r>
      <w:r w:rsidR="00A70530" w:rsidRPr="00553467">
        <w:rPr>
          <w:rFonts w:ascii="Arial" w:hAnsi="Arial" w:cs="Arial"/>
          <w:sz w:val="24"/>
          <w:szCs w:val="24"/>
        </w:rPr>
        <w:t xml:space="preserve"> in relation to proceedings in judicial proceedings.  The ultimate test of whether an arbitrator’s conduct constituted gross irregularity is whether the conduct of the arbitrator or arbitral</w:t>
      </w:r>
      <w:r w:rsidR="00A70530">
        <w:rPr>
          <w:rFonts w:ascii="Arial" w:hAnsi="Arial" w:cs="Arial"/>
          <w:i/>
          <w:sz w:val="24"/>
          <w:szCs w:val="24"/>
        </w:rPr>
        <w:t xml:space="preserve"> </w:t>
      </w:r>
      <w:r w:rsidR="00A70530" w:rsidRPr="00553467">
        <w:rPr>
          <w:rFonts w:ascii="Arial" w:hAnsi="Arial" w:cs="Arial"/>
          <w:sz w:val="24"/>
          <w:szCs w:val="24"/>
        </w:rPr>
        <w:t>tribunal prevented a fair trial of the issues</w:t>
      </w:r>
      <w:r w:rsidR="00A70530" w:rsidRPr="00553467">
        <w:rPr>
          <w:rStyle w:val="FootnoteReference"/>
          <w:rFonts w:ascii="Arial" w:hAnsi="Arial" w:cs="Arial"/>
          <w:sz w:val="24"/>
          <w:szCs w:val="24"/>
        </w:rPr>
        <w:footnoteReference w:id="4"/>
      </w:r>
      <w:r w:rsidR="00A70530" w:rsidRPr="00553467">
        <w:rPr>
          <w:rFonts w:ascii="Arial" w:hAnsi="Arial" w:cs="Arial"/>
          <w:sz w:val="24"/>
          <w:szCs w:val="24"/>
        </w:rPr>
        <w:t>.  The common law grounds of review are excluded.</w:t>
      </w:r>
      <w:r w:rsidR="00A70530" w:rsidRPr="00553467">
        <w:rPr>
          <w:rStyle w:val="FootnoteReference"/>
          <w:rFonts w:ascii="Arial" w:hAnsi="Arial" w:cs="Arial"/>
          <w:sz w:val="24"/>
          <w:szCs w:val="24"/>
        </w:rPr>
        <w:footnoteReference w:id="5"/>
      </w:r>
    </w:p>
    <w:p w14:paraId="66137126" w14:textId="57C86DA6" w:rsidR="00553467" w:rsidRDefault="00553467" w:rsidP="003F0D2B">
      <w:pPr>
        <w:spacing w:line="360" w:lineRule="auto"/>
        <w:jc w:val="both"/>
        <w:rPr>
          <w:rFonts w:ascii="Arial" w:hAnsi="Arial" w:cs="Arial"/>
          <w:color w:val="FF0000"/>
          <w:sz w:val="24"/>
          <w:szCs w:val="24"/>
        </w:rPr>
      </w:pPr>
      <w:r>
        <w:rPr>
          <w:rFonts w:ascii="Arial" w:hAnsi="Arial" w:cs="Arial"/>
          <w:sz w:val="24"/>
          <w:szCs w:val="24"/>
        </w:rPr>
        <w:t>[22</w:t>
      </w:r>
      <w:r w:rsidR="00C648F7">
        <w:rPr>
          <w:rFonts w:ascii="Arial" w:hAnsi="Arial" w:cs="Arial"/>
          <w:sz w:val="24"/>
          <w:szCs w:val="24"/>
        </w:rPr>
        <w:t>]</w:t>
      </w:r>
      <w:r w:rsidR="00C648F7">
        <w:rPr>
          <w:rFonts w:ascii="Arial" w:hAnsi="Arial" w:cs="Arial"/>
          <w:sz w:val="24"/>
          <w:szCs w:val="24"/>
        </w:rPr>
        <w:tab/>
      </w:r>
      <w:r w:rsidR="00A70530">
        <w:rPr>
          <w:rFonts w:ascii="Arial" w:hAnsi="Arial" w:cs="Arial"/>
          <w:sz w:val="24"/>
          <w:szCs w:val="24"/>
        </w:rPr>
        <w:t>The principle of party autonomy in arbitral awards was also appro</w:t>
      </w:r>
      <w:r w:rsidR="00660663">
        <w:rPr>
          <w:rFonts w:ascii="Arial" w:hAnsi="Arial" w:cs="Arial"/>
          <w:sz w:val="24"/>
          <w:szCs w:val="24"/>
        </w:rPr>
        <w:t>ved</w:t>
      </w:r>
      <w:r w:rsidR="00A70530">
        <w:rPr>
          <w:rFonts w:ascii="Arial" w:hAnsi="Arial" w:cs="Arial"/>
          <w:sz w:val="24"/>
          <w:szCs w:val="24"/>
        </w:rPr>
        <w:t xml:space="preserve"> by </w:t>
      </w:r>
      <w:r>
        <w:rPr>
          <w:rFonts w:ascii="Arial" w:hAnsi="Arial" w:cs="Arial"/>
          <w:sz w:val="24"/>
          <w:szCs w:val="24"/>
        </w:rPr>
        <w:t xml:space="preserve">the Constitutional Court in </w:t>
      </w:r>
      <w:r>
        <w:rPr>
          <w:rFonts w:ascii="Arial" w:hAnsi="Arial" w:cs="Arial"/>
          <w:i/>
          <w:sz w:val="24"/>
          <w:szCs w:val="24"/>
        </w:rPr>
        <w:t>Lufuno Mphaphul</w:t>
      </w:r>
      <w:r w:rsidR="004B2E8A">
        <w:rPr>
          <w:rFonts w:ascii="Arial" w:hAnsi="Arial" w:cs="Arial"/>
          <w:i/>
          <w:sz w:val="24"/>
          <w:szCs w:val="24"/>
        </w:rPr>
        <w:t>i</w:t>
      </w:r>
      <w:r>
        <w:rPr>
          <w:rFonts w:ascii="Arial" w:hAnsi="Arial" w:cs="Arial"/>
          <w:i/>
          <w:sz w:val="24"/>
          <w:szCs w:val="24"/>
        </w:rPr>
        <w:t xml:space="preserve"> and Associates (Pty) Ltd v Andrews and another</w:t>
      </w:r>
      <w:r w:rsidR="00A70530" w:rsidRPr="00553467">
        <w:rPr>
          <w:rStyle w:val="FootnoteReference"/>
          <w:rFonts w:ascii="Arial" w:hAnsi="Arial" w:cs="Arial"/>
          <w:sz w:val="24"/>
          <w:szCs w:val="24"/>
        </w:rPr>
        <w:footnoteReference w:id="6"/>
      </w:r>
      <w:r w:rsidR="00A70530" w:rsidRPr="00553467">
        <w:rPr>
          <w:rFonts w:ascii="Arial" w:hAnsi="Arial" w:cs="Arial"/>
          <w:sz w:val="24"/>
          <w:szCs w:val="24"/>
        </w:rPr>
        <w:t xml:space="preserve"> </w:t>
      </w:r>
      <w:r>
        <w:rPr>
          <w:rFonts w:ascii="Arial" w:hAnsi="Arial" w:cs="Arial"/>
          <w:sz w:val="24"/>
          <w:szCs w:val="24"/>
        </w:rPr>
        <w:t>the court held that section 34 of the Constitution which provides for a right to a fair public hearing, did not apply to private arbitrators.</w:t>
      </w:r>
    </w:p>
    <w:p w14:paraId="4AEF5982" w14:textId="45B5A287" w:rsidR="00521E42" w:rsidRPr="00024B9F" w:rsidRDefault="00553467" w:rsidP="003F0D2B">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w:t>
      </w:r>
      <w:r w:rsidRPr="00553467">
        <w:rPr>
          <w:rFonts w:ascii="Arial" w:hAnsi="Arial" w:cs="Arial"/>
          <w:i/>
          <w:sz w:val="24"/>
          <w:szCs w:val="24"/>
        </w:rPr>
        <w:t xml:space="preserve">Dexgroup (Pty) Ltd v Trustco Group International (Pty) Ltd and </w:t>
      </w:r>
      <w:r w:rsidR="004B2E8A">
        <w:rPr>
          <w:rFonts w:ascii="Arial" w:hAnsi="Arial" w:cs="Arial"/>
          <w:i/>
          <w:sz w:val="24"/>
          <w:szCs w:val="24"/>
        </w:rPr>
        <w:t>O</w:t>
      </w:r>
      <w:r w:rsidRPr="00553467">
        <w:rPr>
          <w:rFonts w:ascii="Arial" w:hAnsi="Arial" w:cs="Arial"/>
          <w:i/>
          <w:sz w:val="24"/>
          <w:szCs w:val="24"/>
        </w:rPr>
        <w:t>thers</w:t>
      </w:r>
      <w:r w:rsidR="00A70530" w:rsidRPr="00553467">
        <w:rPr>
          <w:rStyle w:val="FootnoteReference"/>
          <w:rFonts w:ascii="Arial" w:hAnsi="Arial" w:cs="Arial"/>
          <w:sz w:val="24"/>
          <w:szCs w:val="24"/>
        </w:rPr>
        <w:footnoteReference w:id="7"/>
      </w:r>
      <w:r>
        <w:rPr>
          <w:rFonts w:ascii="Arial" w:hAnsi="Arial" w:cs="Arial"/>
          <w:i/>
          <w:sz w:val="24"/>
          <w:szCs w:val="24"/>
        </w:rPr>
        <w:t xml:space="preserve">, </w:t>
      </w:r>
      <w:r>
        <w:rPr>
          <w:rFonts w:ascii="Arial" w:hAnsi="Arial" w:cs="Arial"/>
          <w:sz w:val="24"/>
          <w:szCs w:val="24"/>
        </w:rPr>
        <w:t xml:space="preserve"> </w:t>
      </w:r>
      <w:r w:rsidR="004B2E8A">
        <w:rPr>
          <w:rFonts w:ascii="Arial" w:hAnsi="Arial" w:cs="Arial"/>
          <w:sz w:val="24"/>
          <w:szCs w:val="24"/>
        </w:rPr>
        <w:t>it was</w:t>
      </w:r>
      <w:r>
        <w:rPr>
          <w:rFonts w:ascii="Arial" w:hAnsi="Arial" w:cs="Arial"/>
          <w:sz w:val="24"/>
          <w:szCs w:val="24"/>
        </w:rPr>
        <w:t xml:space="preserve"> held that in modern arbitral practice</w:t>
      </w:r>
      <w:r w:rsidR="004B2E8A">
        <w:rPr>
          <w:rFonts w:ascii="Arial" w:hAnsi="Arial" w:cs="Arial"/>
          <w:sz w:val="24"/>
          <w:szCs w:val="24"/>
        </w:rPr>
        <w:t>,</w:t>
      </w:r>
      <w:r>
        <w:rPr>
          <w:rFonts w:ascii="Arial" w:hAnsi="Arial" w:cs="Arial"/>
          <w:sz w:val="24"/>
          <w:szCs w:val="24"/>
        </w:rPr>
        <w:t xml:space="preserve"> fairness goes beyond strict observation of the rules of evidence provided that the procedure adopted is fair to both parties and conforms to the rules of natural justice.</w:t>
      </w:r>
    </w:p>
    <w:p w14:paraId="5A995ADD" w14:textId="5C331371" w:rsidR="009C6E1B" w:rsidRPr="00A63F0A" w:rsidRDefault="00553467" w:rsidP="003F0D2B">
      <w:pPr>
        <w:spacing w:line="360" w:lineRule="auto"/>
        <w:jc w:val="both"/>
        <w:rPr>
          <w:rFonts w:ascii="Arial" w:hAnsi="Arial" w:cs="Arial"/>
          <w:sz w:val="24"/>
          <w:szCs w:val="24"/>
        </w:rPr>
      </w:pPr>
      <w:r>
        <w:rPr>
          <w:rFonts w:ascii="Arial" w:hAnsi="Arial" w:cs="Arial"/>
          <w:sz w:val="24"/>
          <w:szCs w:val="24"/>
        </w:rPr>
        <w:t>[24</w:t>
      </w:r>
      <w:r w:rsidR="009C6E1B">
        <w:rPr>
          <w:rFonts w:ascii="Arial" w:hAnsi="Arial" w:cs="Arial"/>
          <w:sz w:val="24"/>
          <w:szCs w:val="24"/>
        </w:rPr>
        <w:t>]</w:t>
      </w:r>
      <w:r w:rsidR="00024B9F">
        <w:rPr>
          <w:rFonts w:ascii="Arial" w:hAnsi="Arial" w:cs="Arial"/>
          <w:sz w:val="24"/>
          <w:szCs w:val="24"/>
        </w:rPr>
        <w:tab/>
        <w:t xml:space="preserve">As regards the legal frame work relating to the alleged lack of jurisdiction or exceeding </w:t>
      </w:r>
      <w:r w:rsidR="00A70530">
        <w:rPr>
          <w:rFonts w:ascii="Arial" w:hAnsi="Arial" w:cs="Arial"/>
          <w:sz w:val="24"/>
          <w:szCs w:val="24"/>
        </w:rPr>
        <w:t xml:space="preserve">powers by the arbitrator, the court in </w:t>
      </w:r>
      <w:r w:rsidR="00A70530">
        <w:rPr>
          <w:rFonts w:ascii="Arial" w:hAnsi="Arial" w:cs="Arial"/>
          <w:i/>
          <w:sz w:val="24"/>
          <w:szCs w:val="24"/>
        </w:rPr>
        <w:t>Telcordia Technologies Inc v Telkom SA Ltd</w:t>
      </w:r>
      <w:r w:rsidR="00A70530" w:rsidRPr="00A70530">
        <w:rPr>
          <w:rStyle w:val="FootnoteReference"/>
          <w:rFonts w:ascii="Arial" w:hAnsi="Arial" w:cs="Arial"/>
          <w:sz w:val="24"/>
          <w:szCs w:val="24"/>
        </w:rPr>
        <w:footnoteReference w:id="8"/>
      </w:r>
      <w:r w:rsidR="00A70530">
        <w:rPr>
          <w:rFonts w:ascii="Arial" w:hAnsi="Arial" w:cs="Arial"/>
          <w:sz w:val="24"/>
          <w:szCs w:val="24"/>
        </w:rPr>
        <w:t xml:space="preserve"> referred to a distinction made by Lord Steyn in </w:t>
      </w:r>
      <w:r w:rsidR="00A70530" w:rsidRPr="00A63F0A">
        <w:rPr>
          <w:rFonts w:ascii="Arial" w:hAnsi="Arial" w:cs="Arial"/>
          <w:i/>
          <w:sz w:val="24"/>
          <w:szCs w:val="24"/>
        </w:rPr>
        <w:t xml:space="preserve">Lesotho Highlands Development Authority v Impregilo SPA and </w:t>
      </w:r>
      <w:r w:rsidR="004B2E8A">
        <w:rPr>
          <w:rFonts w:ascii="Arial" w:hAnsi="Arial" w:cs="Arial"/>
          <w:i/>
          <w:sz w:val="24"/>
          <w:szCs w:val="24"/>
        </w:rPr>
        <w:t>O</w:t>
      </w:r>
      <w:r w:rsidR="00A70530" w:rsidRPr="00A63F0A">
        <w:rPr>
          <w:rFonts w:ascii="Arial" w:hAnsi="Arial" w:cs="Arial"/>
          <w:i/>
          <w:sz w:val="24"/>
          <w:szCs w:val="24"/>
        </w:rPr>
        <w:t>thers</w:t>
      </w:r>
      <w:r w:rsidR="00A70530" w:rsidRPr="00A63F0A">
        <w:rPr>
          <w:rStyle w:val="FootnoteReference"/>
          <w:rFonts w:ascii="Arial" w:hAnsi="Arial" w:cs="Arial"/>
          <w:i/>
          <w:sz w:val="24"/>
          <w:szCs w:val="24"/>
        </w:rPr>
        <w:footnoteReference w:id="9"/>
      </w:r>
      <w:r w:rsidR="00A63F0A">
        <w:rPr>
          <w:rFonts w:ascii="Arial" w:hAnsi="Arial" w:cs="Arial"/>
          <w:sz w:val="24"/>
          <w:szCs w:val="24"/>
        </w:rPr>
        <w:t xml:space="preserve"> between a tribunal purpo</w:t>
      </w:r>
      <w:r w:rsidR="004B2E8A">
        <w:rPr>
          <w:rFonts w:ascii="Arial" w:hAnsi="Arial" w:cs="Arial"/>
          <w:sz w:val="24"/>
          <w:szCs w:val="24"/>
        </w:rPr>
        <w:t>rt</w:t>
      </w:r>
      <w:r w:rsidR="00A63F0A">
        <w:rPr>
          <w:rFonts w:ascii="Arial" w:hAnsi="Arial" w:cs="Arial"/>
          <w:sz w:val="24"/>
          <w:szCs w:val="24"/>
        </w:rPr>
        <w:t xml:space="preserve">ing to exercise a power or jurisdiction which it does not have and erroneous exercise a power that it has.  The court held in Lesotho Highlands Development Authority case that it is merely a case of erroneous exercise of power vesting in the tribunal no excess of power can exist. </w:t>
      </w:r>
    </w:p>
    <w:p w14:paraId="2BD1B596" w14:textId="0C35925F" w:rsidR="009C6E1B" w:rsidRPr="005C3DB0" w:rsidRDefault="00024B9F" w:rsidP="003F0D2B">
      <w:pPr>
        <w:spacing w:line="360" w:lineRule="auto"/>
        <w:jc w:val="both"/>
        <w:rPr>
          <w:rFonts w:ascii="Arial" w:hAnsi="Arial" w:cs="Arial"/>
          <w:color w:val="FF0000"/>
          <w:sz w:val="24"/>
          <w:szCs w:val="24"/>
        </w:rPr>
      </w:pPr>
      <w:r>
        <w:rPr>
          <w:rFonts w:ascii="Arial" w:hAnsi="Arial" w:cs="Arial"/>
          <w:sz w:val="24"/>
          <w:szCs w:val="24"/>
        </w:rPr>
        <w:t>[25</w:t>
      </w:r>
      <w:r w:rsidR="009C6E1B">
        <w:rPr>
          <w:rFonts w:ascii="Arial" w:hAnsi="Arial" w:cs="Arial"/>
          <w:sz w:val="24"/>
          <w:szCs w:val="24"/>
        </w:rPr>
        <w:t>]</w:t>
      </w:r>
      <w:r w:rsidR="009C6E1B">
        <w:rPr>
          <w:rFonts w:ascii="Arial" w:hAnsi="Arial" w:cs="Arial"/>
          <w:sz w:val="24"/>
          <w:szCs w:val="24"/>
        </w:rPr>
        <w:tab/>
      </w:r>
      <w:r w:rsidR="005C3DB0">
        <w:rPr>
          <w:rFonts w:ascii="Arial" w:hAnsi="Arial" w:cs="Arial"/>
          <w:sz w:val="24"/>
          <w:szCs w:val="24"/>
        </w:rPr>
        <w:t xml:space="preserve">The powers given to an arbitration tribunal in each case are regulated by the Act, the arbitration agreement, the pleadings (or statements of case) and any other document prepared by the parties for that purpose.  In the instant case, the parties </w:t>
      </w:r>
      <w:r>
        <w:rPr>
          <w:rFonts w:ascii="Arial" w:hAnsi="Arial" w:cs="Arial"/>
          <w:sz w:val="24"/>
          <w:szCs w:val="24"/>
        </w:rPr>
        <w:t xml:space="preserve">agreed that the pleadings that had been served before the </w:t>
      </w:r>
      <w:r w:rsidR="004B2E8A">
        <w:rPr>
          <w:rFonts w:ascii="Arial" w:hAnsi="Arial" w:cs="Arial"/>
          <w:sz w:val="24"/>
          <w:szCs w:val="24"/>
        </w:rPr>
        <w:t>arbitrator</w:t>
      </w:r>
      <w:r>
        <w:rPr>
          <w:rFonts w:ascii="Arial" w:hAnsi="Arial" w:cs="Arial"/>
          <w:sz w:val="24"/>
          <w:szCs w:val="24"/>
        </w:rPr>
        <w:t xml:space="preserve"> would stand in relation to the </w:t>
      </w:r>
      <w:r>
        <w:rPr>
          <w:rFonts w:ascii="Arial" w:hAnsi="Arial" w:cs="Arial"/>
          <w:sz w:val="24"/>
          <w:szCs w:val="24"/>
        </w:rPr>
        <w:lastRenderedPageBreak/>
        <w:t>arbitration proceedings.</w:t>
      </w:r>
      <w:r w:rsidR="00257C9C">
        <w:rPr>
          <w:rFonts w:ascii="Arial" w:hAnsi="Arial" w:cs="Arial"/>
          <w:sz w:val="24"/>
          <w:szCs w:val="24"/>
        </w:rPr>
        <w:t xml:space="preserve"> </w:t>
      </w:r>
      <w:r w:rsidR="004B2E8A">
        <w:rPr>
          <w:rFonts w:ascii="Arial" w:hAnsi="Arial" w:cs="Arial"/>
          <w:sz w:val="24"/>
          <w:szCs w:val="24"/>
        </w:rPr>
        <w:t>These included letters of extension of the date of practical completion as filed by the parties.</w:t>
      </w:r>
    </w:p>
    <w:p w14:paraId="529A4176" w14:textId="1711BA92" w:rsidR="009C6E1B" w:rsidRDefault="00024B9F" w:rsidP="003F0D2B">
      <w:pPr>
        <w:spacing w:line="360" w:lineRule="auto"/>
        <w:jc w:val="both"/>
        <w:rPr>
          <w:rFonts w:ascii="Arial" w:hAnsi="Arial" w:cs="Arial"/>
          <w:sz w:val="24"/>
          <w:szCs w:val="24"/>
        </w:rPr>
      </w:pPr>
      <w:r>
        <w:rPr>
          <w:rFonts w:ascii="Arial" w:hAnsi="Arial" w:cs="Arial"/>
          <w:sz w:val="24"/>
          <w:szCs w:val="24"/>
        </w:rPr>
        <w:t>[26</w:t>
      </w:r>
      <w:r w:rsidR="009C6E1B">
        <w:rPr>
          <w:rFonts w:ascii="Arial" w:hAnsi="Arial" w:cs="Arial"/>
          <w:sz w:val="24"/>
          <w:szCs w:val="24"/>
        </w:rPr>
        <w:t>]</w:t>
      </w:r>
      <w:r w:rsidR="009C6E1B">
        <w:rPr>
          <w:rFonts w:ascii="Arial" w:hAnsi="Arial" w:cs="Arial"/>
          <w:sz w:val="24"/>
          <w:szCs w:val="24"/>
        </w:rPr>
        <w:tab/>
      </w:r>
      <w:r>
        <w:rPr>
          <w:rFonts w:ascii="Arial" w:hAnsi="Arial" w:cs="Arial"/>
          <w:sz w:val="24"/>
          <w:szCs w:val="24"/>
        </w:rPr>
        <w:t>During the oral evidence adduced by the parties, and in particular Mr Do</w:t>
      </w:r>
      <w:r w:rsidR="00257C9C">
        <w:rPr>
          <w:rFonts w:ascii="Arial" w:hAnsi="Arial" w:cs="Arial"/>
          <w:sz w:val="24"/>
          <w:szCs w:val="24"/>
        </w:rPr>
        <w:t>r</w:t>
      </w:r>
      <w:r>
        <w:rPr>
          <w:rFonts w:ascii="Arial" w:hAnsi="Arial" w:cs="Arial"/>
          <w:sz w:val="24"/>
          <w:szCs w:val="24"/>
        </w:rPr>
        <w:t xml:space="preserve">renstein for </w:t>
      </w:r>
      <w:r w:rsidR="00BB77A6">
        <w:rPr>
          <w:rFonts w:ascii="Arial" w:hAnsi="Arial" w:cs="Arial"/>
          <w:sz w:val="24"/>
          <w:szCs w:val="24"/>
        </w:rPr>
        <w:t>first respondent</w:t>
      </w:r>
      <w:r>
        <w:rPr>
          <w:rFonts w:ascii="Arial" w:hAnsi="Arial" w:cs="Arial"/>
          <w:sz w:val="24"/>
          <w:szCs w:val="24"/>
        </w:rPr>
        <w:t xml:space="preserve"> and Mr Maire for the </w:t>
      </w:r>
      <w:r w:rsidR="00BB77A6">
        <w:rPr>
          <w:rFonts w:ascii="Arial" w:hAnsi="Arial" w:cs="Arial"/>
          <w:sz w:val="24"/>
          <w:szCs w:val="24"/>
        </w:rPr>
        <w:t>applicant</w:t>
      </w:r>
      <w:r>
        <w:rPr>
          <w:rFonts w:ascii="Arial" w:hAnsi="Arial" w:cs="Arial"/>
          <w:sz w:val="24"/>
          <w:szCs w:val="24"/>
        </w:rPr>
        <w:t>, it is without clear that all parties understood the contract term in terms of the JBCC to put 30 months plus 2 months.  In other words, the building works had to be completed within 32 months.  The innovation agreed to by the parties as to the 60 days’ penalty free period was always determinable from the contract end period, which they either called it Practical Completion Date or simply completion date of the works.</w:t>
      </w:r>
    </w:p>
    <w:p w14:paraId="03B2737A" w14:textId="58DF8585" w:rsidR="009C6E1B" w:rsidRDefault="00024B9F" w:rsidP="003F0D2B">
      <w:pPr>
        <w:spacing w:line="360" w:lineRule="auto"/>
        <w:jc w:val="both"/>
        <w:rPr>
          <w:rFonts w:ascii="Arial" w:hAnsi="Arial" w:cs="Arial"/>
          <w:sz w:val="24"/>
          <w:szCs w:val="24"/>
        </w:rPr>
      </w:pPr>
      <w:r>
        <w:rPr>
          <w:rFonts w:ascii="Arial" w:hAnsi="Arial" w:cs="Arial"/>
          <w:sz w:val="24"/>
          <w:szCs w:val="24"/>
        </w:rPr>
        <w:t>[27</w:t>
      </w:r>
      <w:r w:rsidR="009C6E1B">
        <w:rPr>
          <w:rFonts w:ascii="Arial" w:hAnsi="Arial" w:cs="Arial"/>
          <w:sz w:val="24"/>
          <w:szCs w:val="24"/>
        </w:rPr>
        <w:t>]</w:t>
      </w:r>
      <w:r>
        <w:rPr>
          <w:rFonts w:ascii="Arial" w:hAnsi="Arial" w:cs="Arial"/>
          <w:sz w:val="24"/>
          <w:szCs w:val="24"/>
        </w:rPr>
        <w:tab/>
        <w:t xml:space="preserve">As I understand it, the end of the contract terms as evidenced by the JBCC agreement </w:t>
      </w:r>
      <w:r w:rsidR="005C3DB0">
        <w:rPr>
          <w:rFonts w:ascii="Arial" w:hAnsi="Arial" w:cs="Arial"/>
          <w:sz w:val="24"/>
          <w:szCs w:val="24"/>
        </w:rPr>
        <w:t xml:space="preserve">and supplemented by the various extensions, would be the time at which the works would be fully completed and ready for use.  </w:t>
      </w:r>
      <w:r w:rsidR="00FE4EBC">
        <w:rPr>
          <w:rFonts w:ascii="Arial" w:hAnsi="Arial" w:cs="Arial"/>
          <w:sz w:val="24"/>
          <w:szCs w:val="24"/>
        </w:rPr>
        <w:t>The Applicant</w:t>
      </w:r>
      <w:r w:rsidR="005C3DB0">
        <w:rPr>
          <w:rFonts w:ascii="Arial" w:hAnsi="Arial" w:cs="Arial"/>
          <w:sz w:val="24"/>
          <w:szCs w:val="24"/>
        </w:rPr>
        <w:t xml:space="preserve"> would then be afforded the opportunity to attend to the minor defects and these, in my respectful view, were to be done during the construction period including the penalty free period.</w:t>
      </w:r>
    </w:p>
    <w:p w14:paraId="0658C069" w14:textId="03420A61" w:rsidR="00E05125" w:rsidRDefault="00024B9F" w:rsidP="00355D4F">
      <w:pPr>
        <w:spacing w:line="360" w:lineRule="auto"/>
        <w:jc w:val="both"/>
        <w:rPr>
          <w:rFonts w:ascii="Arial" w:hAnsi="Arial" w:cs="Arial"/>
          <w:sz w:val="24"/>
          <w:szCs w:val="24"/>
        </w:rPr>
      </w:pPr>
      <w:r>
        <w:rPr>
          <w:rFonts w:ascii="Arial" w:hAnsi="Arial" w:cs="Arial"/>
          <w:sz w:val="24"/>
          <w:szCs w:val="24"/>
        </w:rPr>
        <w:t>[28</w:t>
      </w:r>
      <w:r w:rsidR="0074273F">
        <w:rPr>
          <w:rFonts w:ascii="Arial" w:hAnsi="Arial" w:cs="Arial"/>
          <w:sz w:val="24"/>
          <w:szCs w:val="24"/>
        </w:rPr>
        <w:t>]</w:t>
      </w:r>
      <w:r w:rsidR="0074273F">
        <w:rPr>
          <w:rFonts w:ascii="Arial" w:hAnsi="Arial" w:cs="Arial"/>
          <w:sz w:val="24"/>
          <w:szCs w:val="24"/>
        </w:rPr>
        <w:tab/>
      </w:r>
      <w:r w:rsidR="00676E34">
        <w:rPr>
          <w:rFonts w:ascii="Arial" w:hAnsi="Arial" w:cs="Arial"/>
          <w:sz w:val="24"/>
          <w:szCs w:val="24"/>
        </w:rPr>
        <w:t>The analysis of the record of the arbitral proceedings indicate</w:t>
      </w:r>
      <w:r w:rsidR="001B2B13">
        <w:rPr>
          <w:rFonts w:ascii="Arial" w:hAnsi="Arial" w:cs="Arial"/>
          <w:sz w:val="24"/>
          <w:szCs w:val="24"/>
        </w:rPr>
        <w:t>s</w:t>
      </w:r>
      <w:r w:rsidR="00676E34">
        <w:rPr>
          <w:rFonts w:ascii="Arial" w:hAnsi="Arial" w:cs="Arial"/>
          <w:sz w:val="24"/>
          <w:szCs w:val="24"/>
        </w:rPr>
        <w:t xml:space="preserve"> that, during the exchange of pleadings, the parties especially </w:t>
      </w:r>
      <w:r w:rsidR="00BB77A6">
        <w:rPr>
          <w:rFonts w:ascii="Arial" w:hAnsi="Arial" w:cs="Arial"/>
          <w:sz w:val="24"/>
          <w:szCs w:val="24"/>
        </w:rPr>
        <w:t>First respondent</w:t>
      </w:r>
      <w:r w:rsidR="00676E34">
        <w:rPr>
          <w:rFonts w:ascii="Arial" w:hAnsi="Arial" w:cs="Arial"/>
          <w:sz w:val="24"/>
          <w:szCs w:val="24"/>
        </w:rPr>
        <w:t xml:space="preserve"> categorically stated that the Practical Completion date would be 30 April 2019 subject to </w:t>
      </w:r>
      <w:r w:rsidR="001B2B13">
        <w:rPr>
          <w:rFonts w:ascii="Arial" w:hAnsi="Arial" w:cs="Arial"/>
          <w:sz w:val="24"/>
          <w:szCs w:val="24"/>
        </w:rPr>
        <w:t>certain conditions or agreement</w:t>
      </w:r>
      <w:r w:rsidR="00676E34">
        <w:rPr>
          <w:rFonts w:ascii="Arial" w:hAnsi="Arial" w:cs="Arial"/>
          <w:sz w:val="24"/>
          <w:szCs w:val="24"/>
        </w:rPr>
        <w:t xml:space="preserve"> and absent such agreement, then 28 February 2019.  This was the state of the pleadings as exchanged between the parties.</w:t>
      </w:r>
      <w:r w:rsidR="001B2B13">
        <w:rPr>
          <w:rFonts w:ascii="Arial" w:hAnsi="Arial" w:cs="Arial"/>
          <w:sz w:val="24"/>
          <w:szCs w:val="24"/>
        </w:rPr>
        <w:t xml:space="preserve"> </w:t>
      </w:r>
    </w:p>
    <w:p w14:paraId="3139EC7B" w14:textId="6B42F026" w:rsidR="002820EC" w:rsidRDefault="00024B9F" w:rsidP="00355D4F">
      <w:pPr>
        <w:spacing w:line="360" w:lineRule="auto"/>
        <w:jc w:val="both"/>
        <w:rPr>
          <w:rFonts w:ascii="Arial" w:hAnsi="Arial" w:cs="Arial"/>
          <w:sz w:val="24"/>
          <w:szCs w:val="24"/>
        </w:rPr>
      </w:pPr>
      <w:r>
        <w:rPr>
          <w:rFonts w:ascii="Arial" w:hAnsi="Arial" w:cs="Arial"/>
          <w:sz w:val="24"/>
          <w:szCs w:val="24"/>
        </w:rPr>
        <w:t>[29</w:t>
      </w:r>
      <w:r w:rsidR="00E05125">
        <w:rPr>
          <w:rFonts w:ascii="Arial" w:hAnsi="Arial" w:cs="Arial"/>
          <w:sz w:val="24"/>
          <w:szCs w:val="24"/>
        </w:rPr>
        <w:t>]</w:t>
      </w:r>
      <w:r w:rsidR="00E05125">
        <w:rPr>
          <w:rFonts w:ascii="Arial" w:hAnsi="Arial" w:cs="Arial"/>
          <w:sz w:val="24"/>
          <w:szCs w:val="24"/>
        </w:rPr>
        <w:tab/>
      </w:r>
      <w:r w:rsidR="00217E6E">
        <w:rPr>
          <w:rFonts w:ascii="Arial" w:hAnsi="Arial" w:cs="Arial"/>
          <w:sz w:val="24"/>
          <w:szCs w:val="24"/>
        </w:rPr>
        <w:t>A further analysis of the record of proceedings at the arbitration tribunal proceedings, reveals that no agreement was reached that in fact the 30 April 2019 was the Practical Completion Date.</w:t>
      </w:r>
      <w:r w:rsidR="001B2B13">
        <w:rPr>
          <w:rFonts w:ascii="Arial" w:hAnsi="Arial" w:cs="Arial"/>
          <w:sz w:val="24"/>
          <w:szCs w:val="24"/>
        </w:rPr>
        <w:t xml:space="preserve"> </w:t>
      </w:r>
    </w:p>
    <w:p w14:paraId="21D68254" w14:textId="5355B5D4" w:rsidR="002820EC" w:rsidRDefault="00024B9F" w:rsidP="003F0D2B">
      <w:pPr>
        <w:spacing w:line="360" w:lineRule="auto"/>
        <w:jc w:val="both"/>
        <w:rPr>
          <w:rFonts w:ascii="Arial" w:hAnsi="Arial" w:cs="Arial"/>
          <w:sz w:val="24"/>
          <w:szCs w:val="24"/>
        </w:rPr>
      </w:pPr>
      <w:r>
        <w:rPr>
          <w:rFonts w:ascii="Arial" w:hAnsi="Arial" w:cs="Arial"/>
          <w:sz w:val="24"/>
          <w:szCs w:val="24"/>
        </w:rPr>
        <w:t>[30</w:t>
      </w:r>
      <w:r w:rsidR="002820EC">
        <w:rPr>
          <w:rFonts w:ascii="Arial" w:hAnsi="Arial" w:cs="Arial"/>
          <w:sz w:val="24"/>
          <w:szCs w:val="24"/>
        </w:rPr>
        <w:t>]</w:t>
      </w:r>
      <w:r w:rsidR="002820EC">
        <w:rPr>
          <w:rFonts w:ascii="Arial" w:hAnsi="Arial" w:cs="Arial"/>
          <w:sz w:val="24"/>
          <w:szCs w:val="24"/>
        </w:rPr>
        <w:tab/>
      </w:r>
      <w:r w:rsidR="00217E6E">
        <w:rPr>
          <w:rFonts w:ascii="Arial" w:hAnsi="Arial" w:cs="Arial"/>
          <w:sz w:val="24"/>
          <w:szCs w:val="24"/>
        </w:rPr>
        <w:t xml:space="preserve">The </w:t>
      </w:r>
      <w:r w:rsidR="00BB77A6">
        <w:rPr>
          <w:rFonts w:ascii="Arial" w:hAnsi="Arial" w:cs="Arial"/>
          <w:sz w:val="24"/>
          <w:szCs w:val="24"/>
        </w:rPr>
        <w:t>Applicant</w:t>
      </w:r>
      <w:r w:rsidR="00217E6E">
        <w:rPr>
          <w:rFonts w:ascii="Arial" w:hAnsi="Arial" w:cs="Arial"/>
          <w:sz w:val="24"/>
          <w:szCs w:val="24"/>
        </w:rPr>
        <w:t xml:space="preserve"> challenged the award the award on the basis that he was never asked to make a determination of the practical completion date as parties were ad idem that 30 April 2019 was the Practical Completion Date was beyond his jurisdiction.  This contention is without any factual basis as I will set down below.</w:t>
      </w:r>
    </w:p>
    <w:p w14:paraId="0DEB28F4" w14:textId="236F0827" w:rsidR="002820EC" w:rsidRDefault="00024B9F" w:rsidP="003F0D2B">
      <w:pPr>
        <w:spacing w:line="360" w:lineRule="auto"/>
        <w:jc w:val="both"/>
        <w:rPr>
          <w:rFonts w:ascii="Arial" w:hAnsi="Arial" w:cs="Arial"/>
          <w:sz w:val="24"/>
          <w:szCs w:val="24"/>
        </w:rPr>
      </w:pPr>
      <w:r>
        <w:rPr>
          <w:rFonts w:ascii="Arial" w:hAnsi="Arial" w:cs="Arial"/>
          <w:sz w:val="24"/>
          <w:szCs w:val="24"/>
        </w:rPr>
        <w:t>[31</w:t>
      </w:r>
      <w:r w:rsidR="002820EC">
        <w:rPr>
          <w:rFonts w:ascii="Arial" w:hAnsi="Arial" w:cs="Arial"/>
          <w:sz w:val="24"/>
          <w:szCs w:val="24"/>
        </w:rPr>
        <w:t>]</w:t>
      </w:r>
      <w:r w:rsidR="00217E6E">
        <w:rPr>
          <w:rFonts w:ascii="Arial" w:hAnsi="Arial" w:cs="Arial"/>
          <w:sz w:val="24"/>
          <w:szCs w:val="24"/>
        </w:rPr>
        <w:tab/>
        <w:t xml:space="preserve">When the </w:t>
      </w:r>
      <w:r w:rsidR="00BB77A6">
        <w:rPr>
          <w:rFonts w:ascii="Arial" w:hAnsi="Arial" w:cs="Arial"/>
          <w:sz w:val="24"/>
          <w:szCs w:val="24"/>
        </w:rPr>
        <w:t>Applicant</w:t>
      </w:r>
      <w:r w:rsidR="00217E6E">
        <w:rPr>
          <w:rFonts w:ascii="Arial" w:hAnsi="Arial" w:cs="Arial"/>
          <w:sz w:val="24"/>
          <w:szCs w:val="24"/>
        </w:rPr>
        <w:t xml:space="preserve"> declared a dispute and referral thereof to the arbitration tribunal, its case was that the </w:t>
      </w:r>
      <w:r w:rsidR="00BB77A6">
        <w:rPr>
          <w:rFonts w:ascii="Arial" w:hAnsi="Arial" w:cs="Arial"/>
          <w:sz w:val="24"/>
          <w:szCs w:val="24"/>
        </w:rPr>
        <w:t>First respondent</w:t>
      </w:r>
      <w:r w:rsidR="00217E6E">
        <w:rPr>
          <w:rFonts w:ascii="Arial" w:hAnsi="Arial" w:cs="Arial"/>
          <w:sz w:val="24"/>
          <w:szCs w:val="24"/>
        </w:rPr>
        <w:t xml:space="preserve"> had levied penalties from 1 May 2019 </w:t>
      </w:r>
      <w:r w:rsidR="00217E6E">
        <w:rPr>
          <w:rFonts w:ascii="Arial" w:hAnsi="Arial" w:cs="Arial"/>
          <w:sz w:val="24"/>
          <w:szCs w:val="24"/>
        </w:rPr>
        <w:lastRenderedPageBreak/>
        <w:t xml:space="preserve">when it was not entitled to do so.  It also contended by the </w:t>
      </w:r>
      <w:r w:rsidR="00BB77A6">
        <w:rPr>
          <w:rFonts w:ascii="Arial" w:hAnsi="Arial" w:cs="Arial"/>
          <w:sz w:val="24"/>
          <w:szCs w:val="24"/>
        </w:rPr>
        <w:t>Applicant</w:t>
      </w:r>
      <w:r w:rsidR="00217E6E">
        <w:rPr>
          <w:rFonts w:ascii="Arial" w:hAnsi="Arial" w:cs="Arial"/>
          <w:sz w:val="24"/>
          <w:szCs w:val="24"/>
        </w:rPr>
        <w:t xml:space="preserve"> before the arbitrator that it was agreed that only the snagging period had been brought forward.</w:t>
      </w:r>
      <w:r w:rsidR="002820EC">
        <w:rPr>
          <w:rFonts w:ascii="Arial" w:hAnsi="Arial" w:cs="Arial"/>
          <w:sz w:val="24"/>
          <w:szCs w:val="24"/>
        </w:rPr>
        <w:tab/>
      </w:r>
      <w:r w:rsidR="002C0CD1">
        <w:rPr>
          <w:rFonts w:ascii="Arial" w:hAnsi="Arial" w:cs="Arial"/>
          <w:sz w:val="24"/>
          <w:szCs w:val="24"/>
        </w:rPr>
        <w:t xml:space="preserve"> </w:t>
      </w:r>
    </w:p>
    <w:p w14:paraId="383908EB" w14:textId="3B94E69B" w:rsidR="000A36CF" w:rsidRDefault="00024B9F" w:rsidP="006A4FAB">
      <w:pPr>
        <w:spacing w:line="360" w:lineRule="auto"/>
        <w:jc w:val="both"/>
        <w:rPr>
          <w:rFonts w:ascii="Arial" w:hAnsi="Arial" w:cs="Arial"/>
          <w:sz w:val="24"/>
          <w:szCs w:val="24"/>
        </w:rPr>
      </w:pPr>
      <w:r>
        <w:rPr>
          <w:rFonts w:ascii="Arial" w:hAnsi="Arial" w:cs="Arial"/>
          <w:sz w:val="24"/>
          <w:szCs w:val="24"/>
        </w:rPr>
        <w:t>[32</w:t>
      </w:r>
      <w:r w:rsidR="000B5B77">
        <w:rPr>
          <w:rFonts w:ascii="Arial" w:hAnsi="Arial" w:cs="Arial"/>
          <w:sz w:val="24"/>
          <w:szCs w:val="24"/>
        </w:rPr>
        <w:t>]</w:t>
      </w:r>
      <w:r w:rsidR="000B5B77">
        <w:rPr>
          <w:rFonts w:ascii="Arial" w:hAnsi="Arial" w:cs="Arial"/>
          <w:sz w:val="24"/>
          <w:szCs w:val="24"/>
        </w:rPr>
        <w:tab/>
      </w:r>
      <w:r w:rsidR="005A630A">
        <w:rPr>
          <w:rFonts w:ascii="Arial" w:hAnsi="Arial" w:cs="Arial"/>
          <w:sz w:val="24"/>
          <w:szCs w:val="24"/>
        </w:rPr>
        <w:t xml:space="preserve">The dispute referred to adjudication by the </w:t>
      </w:r>
      <w:r w:rsidR="00BB77A6">
        <w:rPr>
          <w:rFonts w:ascii="Arial" w:hAnsi="Arial" w:cs="Arial"/>
          <w:sz w:val="24"/>
          <w:szCs w:val="24"/>
        </w:rPr>
        <w:t>Applicant</w:t>
      </w:r>
      <w:r w:rsidR="005A630A">
        <w:rPr>
          <w:rFonts w:ascii="Arial" w:hAnsi="Arial" w:cs="Arial"/>
          <w:sz w:val="24"/>
          <w:szCs w:val="24"/>
        </w:rPr>
        <w:t xml:space="preserve"> was:</w:t>
      </w:r>
    </w:p>
    <w:p w14:paraId="1C7AF870" w14:textId="76B38A27" w:rsidR="005A630A" w:rsidRPr="005A630A" w:rsidRDefault="005A630A" w:rsidP="006A4FAB">
      <w:pPr>
        <w:spacing w:line="360" w:lineRule="auto"/>
        <w:jc w:val="both"/>
        <w:rPr>
          <w:rFonts w:ascii="Arial" w:hAnsi="Arial" w:cs="Arial"/>
          <w:i/>
          <w:sz w:val="24"/>
          <w:szCs w:val="24"/>
        </w:rPr>
      </w:pPr>
      <w:r w:rsidRPr="005A630A">
        <w:rPr>
          <w:rFonts w:ascii="Arial" w:hAnsi="Arial" w:cs="Arial"/>
          <w:i/>
          <w:sz w:val="24"/>
          <w:szCs w:val="24"/>
        </w:rPr>
        <w:t>“9.1</w:t>
      </w:r>
      <w:r w:rsidRPr="005A630A">
        <w:rPr>
          <w:rFonts w:ascii="Arial" w:hAnsi="Arial" w:cs="Arial"/>
          <w:i/>
          <w:sz w:val="24"/>
          <w:szCs w:val="24"/>
        </w:rPr>
        <w:tab/>
        <w:t>Whether, on a proper interpretation of the Contract, there is a 60 day</w:t>
      </w:r>
      <w:r w:rsidR="001B2B13">
        <w:rPr>
          <w:rFonts w:ascii="Arial" w:hAnsi="Arial" w:cs="Arial"/>
          <w:i/>
          <w:sz w:val="24"/>
          <w:szCs w:val="24"/>
        </w:rPr>
        <w:t>s</w:t>
      </w:r>
      <w:r w:rsidRPr="005A630A">
        <w:rPr>
          <w:rFonts w:ascii="Arial" w:hAnsi="Arial" w:cs="Arial"/>
          <w:i/>
          <w:sz w:val="24"/>
          <w:szCs w:val="24"/>
        </w:rPr>
        <w:t xml:space="preserve"> penalty free period which runs from the then current date for practical completion which prohibits the [</w:t>
      </w:r>
      <w:r w:rsidR="00BB77A6">
        <w:rPr>
          <w:rFonts w:ascii="Arial" w:hAnsi="Arial" w:cs="Arial"/>
          <w:i/>
          <w:sz w:val="24"/>
          <w:szCs w:val="24"/>
        </w:rPr>
        <w:t>first respondent</w:t>
      </w:r>
      <w:r w:rsidRPr="005A630A">
        <w:rPr>
          <w:rFonts w:ascii="Arial" w:hAnsi="Arial" w:cs="Arial"/>
          <w:i/>
          <w:sz w:val="24"/>
          <w:szCs w:val="24"/>
        </w:rPr>
        <w:t>] from levying penalties against the [</w:t>
      </w:r>
      <w:r w:rsidR="00BB77A6">
        <w:rPr>
          <w:rFonts w:ascii="Arial" w:hAnsi="Arial" w:cs="Arial"/>
          <w:i/>
          <w:sz w:val="24"/>
          <w:szCs w:val="24"/>
        </w:rPr>
        <w:t>applicant</w:t>
      </w:r>
      <w:r w:rsidRPr="005A630A">
        <w:rPr>
          <w:rFonts w:ascii="Arial" w:hAnsi="Arial" w:cs="Arial"/>
          <w:i/>
          <w:sz w:val="24"/>
          <w:szCs w:val="24"/>
        </w:rPr>
        <w:t>] for the first 60 days of any delay to the then agreed date of practical completion.</w:t>
      </w:r>
    </w:p>
    <w:p w14:paraId="290B0549" w14:textId="12FE0898" w:rsidR="005A630A" w:rsidRPr="005A630A" w:rsidRDefault="005A630A" w:rsidP="006A4FAB">
      <w:pPr>
        <w:spacing w:line="360" w:lineRule="auto"/>
        <w:jc w:val="both"/>
        <w:rPr>
          <w:rFonts w:ascii="Arial" w:hAnsi="Arial" w:cs="Arial"/>
          <w:i/>
          <w:sz w:val="24"/>
          <w:szCs w:val="24"/>
        </w:rPr>
      </w:pPr>
      <w:r w:rsidRPr="005A630A">
        <w:rPr>
          <w:rFonts w:ascii="Arial" w:hAnsi="Arial" w:cs="Arial"/>
          <w:i/>
          <w:sz w:val="24"/>
          <w:szCs w:val="24"/>
        </w:rPr>
        <w:t>9.2</w:t>
      </w:r>
      <w:r w:rsidRPr="005A630A">
        <w:rPr>
          <w:rFonts w:ascii="Arial" w:hAnsi="Arial" w:cs="Arial"/>
          <w:i/>
          <w:sz w:val="24"/>
          <w:szCs w:val="24"/>
        </w:rPr>
        <w:tab/>
        <w:t>Whether the [</w:t>
      </w:r>
      <w:r w:rsidR="00BB77A6">
        <w:rPr>
          <w:rFonts w:ascii="Arial" w:hAnsi="Arial" w:cs="Arial"/>
          <w:i/>
          <w:sz w:val="24"/>
          <w:szCs w:val="24"/>
        </w:rPr>
        <w:t>first respondent</w:t>
      </w:r>
      <w:r w:rsidRPr="005A630A">
        <w:rPr>
          <w:rFonts w:ascii="Arial" w:hAnsi="Arial" w:cs="Arial"/>
          <w:i/>
          <w:sz w:val="24"/>
          <w:szCs w:val="24"/>
        </w:rPr>
        <w:t xml:space="preserve">] was entitled to levy penalties from 1 May 2019 or not (in the light of the penalty free period); </w:t>
      </w:r>
    </w:p>
    <w:p w14:paraId="569936A4" w14:textId="2763A545" w:rsidR="005A630A" w:rsidRPr="005A630A" w:rsidRDefault="005A630A" w:rsidP="006A4FAB">
      <w:pPr>
        <w:spacing w:line="360" w:lineRule="auto"/>
        <w:jc w:val="both"/>
        <w:rPr>
          <w:rFonts w:ascii="Arial" w:hAnsi="Arial" w:cs="Arial"/>
          <w:i/>
          <w:sz w:val="24"/>
          <w:szCs w:val="24"/>
        </w:rPr>
      </w:pPr>
      <w:r w:rsidRPr="005A630A">
        <w:rPr>
          <w:rFonts w:ascii="Arial" w:hAnsi="Arial" w:cs="Arial"/>
          <w:i/>
          <w:sz w:val="24"/>
          <w:szCs w:val="24"/>
        </w:rPr>
        <w:t>9.3</w:t>
      </w:r>
      <w:r w:rsidRPr="005A630A">
        <w:rPr>
          <w:rFonts w:ascii="Arial" w:hAnsi="Arial" w:cs="Arial"/>
          <w:i/>
          <w:sz w:val="24"/>
          <w:szCs w:val="24"/>
        </w:rPr>
        <w:tab/>
        <w:t>Whether there has been an amendment / variation / waiver of the penalty free period as alleged by the [</w:t>
      </w:r>
      <w:r w:rsidR="00BB77A6">
        <w:rPr>
          <w:rFonts w:ascii="Arial" w:hAnsi="Arial" w:cs="Arial"/>
          <w:i/>
          <w:sz w:val="24"/>
          <w:szCs w:val="24"/>
        </w:rPr>
        <w:t>first respondent</w:t>
      </w:r>
      <w:r w:rsidRPr="005A630A">
        <w:rPr>
          <w:rFonts w:ascii="Arial" w:hAnsi="Arial" w:cs="Arial"/>
          <w:i/>
          <w:sz w:val="24"/>
          <w:szCs w:val="24"/>
        </w:rPr>
        <w:t>].”</w:t>
      </w:r>
    </w:p>
    <w:p w14:paraId="2ACAFADD" w14:textId="7B3CE4CC" w:rsidR="000B5B77" w:rsidRPr="00D94FBD" w:rsidRDefault="00024B9F" w:rsidP="00355D4F">
      <w:pPr>
        <w:spacing w:line="360" w:lineRule="auto"/>
        <w:jc w:val="both"/>
        <w:rPr>
          <w:rFonts w:ascii="Arial" w:hAnsi="Arial" w:cs="Arial"/>
          <w:color w:val="FF0000"/>
          <w:sz w:val="24"/>
          <w:szCs w:val="24"/>
        </w:rPr>
      </w:pPr>
      <w:r>
        <w:rPr>
          <w:rFonts w:ascii="Arial" w:hAnsi="Arial" w:cs="Arial"/>
          <w:sz w:val="24"/>
          <w:szCs w:val="24"/>
        </w:rPr>
        <w:t>[33</w:t>
      </w:r>
      <w:r w:rsidR="000B5B77">
        <w:rPr>
          <w:rFonts w:ascii="Arial" w:hAnsi="Arial" w:cs="Arial"/>
          <w:sz w:val="24"/>
          <w:szCs w:val="24"/>
        </w:rPr>
        <w:t>]</w:t>
      </w:r>
      <w:r w:rsidR="000B5B77">
        <w:rPr>
          <w:rFonts w:ascii="Arial" w:hAnsi="Arial" w:cs="Arial"/>
          <w:sz w:val="24"/>
          <w:szCs w:val="24"/>
        </w:rPr>
        <w:tab/>
      </w:r>
      <w:r w:rsidR="004E09D0">
        <w:rPr>
          <w:rFonts w:ascii="Arial" w:hAnsi="Arial" w:cs="Arial"/>
          <w:sz w:val="24"/>
          <w:szCs w:val="24"/>
        </w:rPr>
        <w:t xml:space="preserve">It is clear from the record that the issue in 9.1 was accepted by </w:t>
      </w:r>
      <w:r w:rsidR="00BB77A6">
        <w:rPr>
          <w:rFonts w:ascii="Arial" w:hAnsi="Arial" w:cs="Arial"/>
          <w:sz w:val="24"/>
          <w:szCs w:val="24"/>
        </w:rPr>
        <w:t>first respondent</w:t>
      </w:r>
      <w:r w:rsidR="004E09D0">
        <w:rPr>
          <w:rFonts w:ascii="Arial" w:hAnsi="Arial" w:cs="Arial"/>
          <w:sz w:val="24"/>
          <w:szCs w:val="24"/>
        </w:rPr>
        <w:t xml:space="preserve"> and was not in dispute in the adjudication and arbitration.</w:t>
      </w:r>
    </w:p>
    <w:p w14:paraId="2C366958" w14:textId="319C6F06" w:rsidR="00767717" w:rsidRDefault="00024B9F" w:rsidP="00355D4F">
      <w:pPr>
        <w:spacing w:line="360" w:lineRule="auto"/>
        <w:jc w:val="both"/>
        <w:rPr>
          <w:rFonts w:ascii="Arial" w:hAnsi="Arial" w:cs="Arial"/>
          <w:sz w:val="24"/>
          <w:szCs w:val="24"/>
        </w:rPr>
      </w:pPr>
      <w:r>
        <w:rPr>
          <w:rFonts w:ascii="Arial" w:hAnsi="Arial" w:cs="Arial"/>
          <w:sz w:val="24"/>
          <w:szCs w:val="24"/>
        </w:rPr>
        <w:t>[34</w:t>
      </w:r>
      <w:r w:rsidR="00040F8E">
        <w:rPr>
          <w:rFonts w:ascii="Arial" w:hAnsi="Arial" w:cs="Arial"/>
          <w:sz w:val="24"/>
          <w:szCs w:val="24"/>
        </w:rPr>
        <w:t>]</w:t>
      </w:r>
      <w:r w:rsidR="00040F8E">
        <w:rPr>
          <w:rFonts w:ascii="Arial" w:hAnsi="Arial" w:cs="Arial"/>
          <w:sz w:val="24"/>
          <w:szCs w:val="24"/>
        </w:rPr>
        <w:tab/>
      </w:r>
      <w:r w:rsidR="004E09D0">
        <w:rPr>
          <w:rFonts w:ascii="Arial" w:hAnsi="Arial" w:cs="Arial"/>
          <w:sz w:val="24"/>
          <w:szCs w:val="24"/>
        </w:rPr>
        <w:t xml:space="preserve">It appears without doubt that paragraph 9.2 was indeed in dispute which is whether </w:t>
      </w:r>
      <w:r w:rsidR="00BB77A6">
        <w:rPr>
          <w:rFonts w:ascii="Arial" w:hAnsi="Arial" w:cs="Arial"/>
          <w:sz w:val="24"/>
          <w:szCs w:val="24"/>
        </w:rPr>
        <w:t>first respondent</w:t>
      </w:r>
      <w:r w:rsidR="004E09D0">
        <w:rPr>
          <w:rFonts w:ascii="Arial" w:hAnsi="Arial" w:cs="Arial"/>
          <w:sz w:val="24"/>
          <w:szCs w:val="24"/>
        </w:rPr>
        <w:t xml:space="preserve"> was entitled to levy penalties from 1 May 2019 or not.  It is for the reason in my respectful view, that </w:t>
      </w:r>
      <w:r w:rsidR="001B2B13">
        <w:rPr>
          <w:rFonts w:ascii="Arial" w:hAnsi="Arial" w:cs="Arial"/>
          <w:sz w:val="24"/>
          <w:szCs w:val="24"/>
        </w:rPr>
        <w:t>in order to</w:t>
      </w:r>
      <w:r w:rsidR="004E09D0">
        <w:rPr>
          <w:rFonts w:ascii="Arial" w:hAnsi="Arial" w:cs="Arial"/>
          <w:sz w:val="24"/>
          <w:szCs w:val="24"/>
        </w:rPr>
        <w:t xml:space="preserve"> adjudicate on the issue</w:t>
      </w:r>
      <w:r w:rsidR="001B2B13">
        <w:rPr>
          <w:rFonts w:ascii="Arial" w:hAnsi="Arial" w:cs="Arial"/>
          <w:sz w:val="24"/>
          <w:szCs w:val="24"/>
        </w:rPr>
        <w:t>,</w:t>
      </w:r>
      <w:r w:rsidR="004E09D0">
        <w:rPr>
          <w:rFonts w:ascii="Arial" w:hAnsi="Arial" w:cs="Arial"/>
          <w:sz w:val="24"/>
          <w:szCs w:val="24"/>
        </w:rPr>
        <w:t xml:space="preserve"> the arbitration tribunal had to rely on the pleadings exchanged, documents in support of the exchanged pleadings and the evidence adjuced by the parties</w:t>
      </w:r>
      <w:r w:rsidR="001B2B13">
        <w:rPr>
          <w:rFonts w:ascii="Arial" w:hAnsi="Arial" w:cs="Arial"/>
          <w:sz w:val="24"/>
          <w:szCs w:val="24"/>
        </w:rPr>
        <w:t>. It was therefore within the arbitration tribunal to make a determination of the date of practical complication and give effect to the 60 days penalty free period to give effect to what the parties had agreed to in terms of the extensions.</w:t>
      </w:r>
    </w:p>
    <w:p w14:paraId="764D0897" w14:textId="21764F3D" w:rsidR="00767717" w:rsidRDefault="00024B9F" w:rsidP="003F0D2B">
      <w:pPr>
        <w:spacing w:line="360" w:lineRule="auto"/>
        <w:jc w:val="both"/>
        <w:rPr>
          <w:rFonts w:ascii="Arial" w:hAnsi="Arial" w:cs="Arial"/>
          <w:sz w:val="24"/>
          <w:szCs w:val="24"/>
        </w:rPr>
      </w:pPr>
      <w:r>
        <w:rPr>
          <w:rFonts w:ascii="Arial" w:hAnsi="Arial" w:cs="Arial"/>
          <w:sz w:val="24"/>
          <w:szCs w:val="24"/>
        </w:rPr>
        <w:t>[35</w:t>
      </w:r>
      <w:r w:rsidR="00767717">
        <w:rPr>
          <w:rFonts w:ascii="Arial" w:hAnsi="Arial" w:cs="Arial"/>
          <w:sz w:val="24"/>
          <w:szCs w:val="24"/>
        </w:rPr>
        <w:t>]</w:t>
      </w:r>
      <w:r w:rsidR="00767717">
        <w:rPr>
          <w:rFonts w:ascii="Arial" w:hAnsi="Arial" w:cs="Arial"/>
          <w:sz w:val="24"/>
          <w:szCs w:val="24"/>
        </w:rPr>
        <w:tab/>
      </w:r>
      <w:r w:rsidR="004E09D0">
        <w:rPr>
          <w:rFonts w:ascii="Arial" w:hAnsi="Arial" w:cs="Arial"/>
          <w:sz w:val="24"/>
          <w:szCs w:val="24"/>
        </w:rPr>
        <w:t xml:space="preserve">In repeat that </w:t>
      </w:r>
      <w:r w:rsidR="00BB77A6">
        <w:rPr>
          <w:rFonts w:ascii="Arial" w:hAnsi="Arial" w:cs="Arial"/>
          <w:sz w:val="24"/>
          <w:szCs w:val="24"/>
        </w:rPr>
        <w:t>first respondent</w:t>
      </w:r>
      <w:r w:rsidR="004E09D0">
        <w:rPr>
          <w:rFonts w:ascii="Arial" w:hAnsi="Arial" w:cs="Arial"/>
          <w:sz w:val="24"/>
          <w:szCs w:val="24"/>
        </w:rPr>
        <w:t xml:space="preserve"> had accepted 30 April 2019 as practical completion date with conditions and </w:t>
      </w:r>
      <w:r w:rsidR="00DC554E">
        <w:rPr>
          <w:rFonts w:ascii="Arial" w:hAnsi="Arial" w:cs="Arial"/>
          <w:sz w:val="24"/>
          <w:szCs w:val="24"/>
        </w:rPr>
        <w:t xml:space="preserve">absent such conditions, the practical completion date was clearly set out by the </w:t>
      </w:r>
      <w:r w:rsidR="00BB77A6">
        <w:rPr>
          <w:rFonts w:ascii="Arial" w:hAnsi="Arial" w:cs="Arial"/>
          <w:sz w:val="24"/>
          <w:szCs w:val="24"/>
        </w:rPr>
        <w:t>first respondent</w:t>
      </w:r>
      <w:r w:rsidR="00DC554E">
        <w:rPr>
          <w:rFonts w:ascii="Arial" w:hAnsi="Arial" w:cs="Arial"/>
          <w:sz w:val="24"/>
          <w:szCs w:val="24"/>
        </w:rPr>
        <w:t xml:space="preserve"> to be 28 February 2019</w:t>
      </w:r>
      <w:r w:rsidR="001B2B13">
        <w:rPr>
          <w:rFonts w:ascii="Arial" w:hAnsi="Arial" w:cs="Arial"/>
          <w:sz w:val="24"/>
          <w:szCs w:val="24"/>
        </w:rPr>
        <w:t xml:space="preserve"> which was supported by evidence before the arbitration tribunal</w:t>
      </w:r>
      <w:r w:rsidR="00DC554E">
        <w:rPr>
          <w:rFonts w:ascii="Arial" w:hAnsi="Arial" w:cs="Arial"/>
          <w:sz w:val="24"/>
          <w:szCs w:val="24"/>
        </w:rPr>
        <w:t>.</w:t>
      </w:r>
    </w:p>
    <w:p w14:paraId="7B3810E2" w14:textId="21970EA2" w:rsidR="00767717" w:rsidRDefault="00024B9F" w:rsidP="003F0D2B">
      <w:pPr>
        <w:spacing w:line="360" w:lineRule="auto"/>
        <w:jc w:val="both"/>
        <w:rPr>
          <w:rFonts w:ascii="Arial" w:hAnsi="Arial" w:cs="Arial"/>
          <w:sz w:val="24"/>
          <w:szCs w:val="24"/>
        </w:rPr>
      </w:pPr>
      <w:r>
        <w:rPr>
          <w:rFonts w:ascii="Arial" w:hAnsi="Arial" w:cs="Arial"/>
          <w:sz w:val="24"/>
          <w:szCs w:val="24"/>
        </w:rPr>
        <w:t>[36</w:t>
      </w:r>
      <w:r w:rsidR="00767717">
        <w:rPr>
          <w:rFonts w:ascii="Arial" w:hAnsi="Arial" w:cs="Arial"/>
          <w:sz w:val="24"/>
          <w:szCs w:val="24"/>
        </w:rPr>
        <w:t>]</w:t>
      </w:r>
      <w:r w:rsidR="00767717">
        <w:rPr>
          <w:rFonts w:ascii="Arial" w:hAnsi="Arial" w:cs="Arial"/>
          <w:sz w:val="24"/>
          <w:szCs w:val="24"/>
        </w:rPr>
        <w:tab/>
      </w:r>
      <w:r w:rsidR="00852311">
        <w:rPr>
          <w:rFonts w:ascii="Arial" w:hAnsi="Arial" w:cs="Arial"/>
          <w:sz w:val="24"/>
          <w:szCs w:val="24"/>
        </w:rPr>
        <w:t xml:space="preserve"> </w:t>
      </w:r>
      <w:r w:rsidR="00726DBF">
        <w:rPr>
          <w:rFonts w:ascii="Arial" w:hAnsi="Arial" w:cs="Arial"/>
          <w:sz w:val="24"/>
          <w:szCs w:val="24"/>
        </w:rPr>
        <w:t xml:space="preserve">The </w:t>
      </w:r>
      <w:r w:rsidR="00BB77A6">
        <w:rPr>
          <w:rFonts w:ascii="Arial" w:hAnsi="Arial" w:cs="Arial"/>
          <w:sz w:val="24"/>
          <w:szCs w:val="24"/>
        </w:rPr>
        <w:t>applicant</w:t>
      </w:r>
      <w:r w:rsidR="001B2B13">
        <w:rPr>
          <w:rFonts w:ascii="Arial" w:hAnsi="Arial" w:cs="Arial"/>
          <w:sz w:val="24"/>
          <w:szCs w:val="24"/>
        </w:rPr>
        <w:t xml:space="preserve"> in my respectful view,</w:t>
      </w:r>
      <w:r w:rsidR="00726DBF">
        <w:rPr>
          <w:rFonts w:ascii="Arial" w:hAnsi="Arial" w:cs="Arial"/>
          <w:sz w:val="24"/>
          <w:szCs w:val="24"/>
        </w:rPr>
        <w:t xml:space="preserve"> failed to discharge the burden of proof that in </w:t>
      </w:r>
      <w:r w:rsidR="00694308">
        <w:rPr>
          <w:rFonts w:ascii="Arial" w:hAnsi="Arial" w:cs="Arial"/>
          <w:sz w:val="24"/>
          <w:szCs w:val="24"/>
        </w:rPr>
        <w:t>fact</w:t>
      </w:r>
      <w:r w:rsidR="00726DBF">
        <w:rPr>
          <w:rFonts w:ascii="Arial" w:hAnsi="Arial" w:cs="Arial"/>
          <w:sz w:val="24"/>
          <w:szCs w:val="24"/>
        </w:rPr>
        <w:t xml:space="preserve"> the conditions stated by Mr </w:t>
      </w:r>
      <w:r w:rsidR="00FE4EBC">
        <w:rPr>
          <w:rFonts w:ascii="Arial" w:hAnsi="Arial" w:cs="Arial"/>
          <w:sz w:val="24"/>
          <w:szCs w:val="24"/>
        </w:rPr>
        <w:t xml:space="preserve">Dorrenstein </w:t>
      </w:r>
      <w:r w:rsidR="00726DBF">
        <w:rPr>
          <w:rFonts w:ascii="Arial" w:hAnsi="Arial" w:cs="Arial"/>
          <w:sz w:val="24"/>
          <w:szCs w:val="24"/>
        </w:rPr>
        <w:t xml:space="preserve">of the </w:t>
      </w:r>
      <w:r w:rsidR="00BB77A6">
        <w:rPr>
          <w:rFonts w:ascii="Arial" w:hAnsi="Arial" w:cs="Arial"/>
          <w:sz w:val="24"/>
          <w:szCs w:val="24"/>
        </w:rPr>
        <w:t>first respondent</w:t>
      </w:r>
      <w:r w:rsidR="00726DBF">
        <w:rPr>
          <w:rFonts w:ascii="Arial" w:hAnsi="Arial" w:cs="Arial"/>
          <w:sz w:val="24"/>
          <w:szCs w:val="24"/>
        </w:rPr>
        <w:t xml:space="preserve"> in the exchange of correspondences had been m</w:t>
      </w:r>
      <w:r w:rsidR="00694308">
        <w:rPr>
          <w:rFonts w:ascii="Arial" w:hAnsi="Arial" w:cs="Arial"/>
          <w:sz w:val="24"/>
          <w:szCs w:val="24"/>
        </w:rPr>
        <w:t>et</w:t>
      </w:r>
      <w:r w:rsidR="00726DBF">
        <w:rPr>
          <w:rFonts w:ascii="Arial" w:hAnsi="Arial" w:cs="Arial"/>
          <w:sz w:val="24"/>
          <w:szCs w:val="24"/>
        </w:rPr>
        <w:t>.  On the contrary, Mr Do</w:t>
      </w:r>
      <w:r w:rsidR="00694308">
        <w:rPr>
          <w:rFonts w:ascii="Arial" w:hAnsi="Arial" w:cs="Arial"/>
          <w:sz w:val="24"/>
          <w:szCs w:val="24"/>
        </w:rPr>
        <w:t>r</w:t>
      </w:r>
      <w:r w:rsidR="00726DBF">
        <w:rPr>
          <w:rFonts w:ascii="Arial" w:hAnsi="Arial" w:cs="Arial"/>
          <w:sz w:val="24"/>
          <w:szCs w:val="24"/>
        </w:rPr>
        <w:t>renstein in his testimony led evidence, which was unchallenged that no agreement had been reached to give effect to 30 April 2019 and the Practical Completion Date.  The arbitration tribunal, correctly in my view, made an award that the 28 February 2019 was the Practical Completion Date the effect of which is that the penalties agreed stated to and from 1 May 2019.</w:t>
      </w:r>
    </w:p>
    <w:p w14:paraId="57A99830" w14:textId="0B9FDAC1" w:rsidR="0007687D" w:rsidRDefault="00024B9F" w:rsidP="00355D4F">
      <w:pPr>
        <w:spacing w:line="360" w:lineRule="auto"/>
        <w:jc w:val="both"/>
        <w:rPr>
          <w:rFonts w:ascii="Arial" w:hAnsi="Arial" w:cs="Arial"/>
          <w:sz w:val="24"/>
          <w:szCs w:val="24"/>
        </w:rPr>
      </w:pPr>
      <w:r>
        <w:rPr>
          <w:rFonts w:ascii="Arial" w:hAnsi="Arial" w:cs="Arial"/>
          <w:sz w:val="24"/>
          <w:szCs w:val="24"/>
        </w:rPr>
        <w:t>[37</w:t>
      </w:r>
      <w:r w:rsidR="00E634D2">
        <w:rPr>
          <w:rFonts w:ascii="Arial" w:hAnsi="Arial" w:cs="Arial"/>
          <w:sz w:val="24"/>
          <w:szCs w:val="24"/>
        </w:rPr>
        <w:t>]</w:t>
      </w:r>
      <w:r w:rsidR="00E634D2">
        <w:rPr>
          <w:rFonts w:ascii="Arial" w:hAnsi="Arial" w:cs="Arial"/>
          <w:sz w:val="24"/>
          <w:szCs w:val="24"/>
        </w:rPr>
        <w:tab/>
      </w:r>
      <w:r w:rsidR="00726DBF">
        <w:rPr>
          <w:rFonts w:ascii="Arial" w:hAnsi="Arial" w:cs="Arial"/>
          <w:sz w:val="24"/>
          <w:szCs w:val="24"/>
        </w:rPr>
        <w:t>It follows therefore that the arbitration tribunal did not exceed the scope of its authority when it gave the award that 28 February 2019 was the Practical Completion Date.</w:t>
      </w:r>
    </w:p>
    <w:p w14:paraId="35E7EA8F" w14:textId="094B99A6" w:rsidR="00040F8E" w:rsidRDefault="00024B9F" w:rsidP="003F0D2B">
      <w:pPr>
        <w:spacing w:line="360" w:lineRule="auto"/>
        <w:jc w:val="both"/>
        <w:rPr>
          <w:rFonts w:ascii="Arial" w:hAnsi="Arial" w:cs="Arial"/>
          <w:sz w:val="24"/>
          <w:szCs w:val="24"/>
        </w:rPr>
      </w:pPr>
      <w:r>
        <w:rPr>
          <w:rFonts w:ascii="Arial" w:hAnsi="Arial" w:cs="Arial"/>
          <w:sz w:val="24"/>
          <w:szCs w:val="24"/>
        </w:rPr>
        <w:t>[38</w:t>
      </w:r>
      <w:r w:rsidR="0007687D">
        <w:rPr>
          <w:rFonts w:ascii="Arial" w:hAnsi="Arial" w:cs="Arial"/>
          <w:sz w:val="24"/>
          <w:szCs w:val="24"/>
        </w:rPr>
        <w:t>]</w:t>
      </w:r>
      <w:r w:rsidR="0007687D">
        <w:rPr>
          <w:rFonts w:ascii="Arial" w:hAnsi="Arial" w:cs="Arial"/>
          <w:sz w:val="24"/>
          <w:szCs w:val="24"/>
        </w:rPr>
        <w:tab/>
      </w:r>
      <w:r w:rsidR="00726DBF">
        <w:rPr>
          <w:rFonts w:ascii="Arial" w:hAnsi="Arial" w:cs="Arial"/>
          <w:sz w:val="24"/>
          <w:szCs w:val="24"/>
        </w:rPr>
        <w:t xml:space="preserve">On the issue of gross irregularity, I have perused the record of the proceedings of the arbitration tribunal.  Counsel for the </w:t>
      </w:r>
      <w:r w:rsidR="00BB77A6">
        <w:rPr>
          <w:rFonts w:ascii="Arial" w:hAnsi="Arial" w:cs="Arial"/>
          <w:sz w:val="24"/>
          <w:szCs w:val="24"/>
        </w:rPr>
        <w:t>Applicant</w:t>
      </w:r>
      <w:r w:rsidR="00726DBF">
        <w:rPr>
          <w:rFonts w:ascii="Arial" w:hAnsi="Arial" w:cs="Arial"/>
          <w:sz w:val="24"/>
          <w:szCs w:val="24"/>
        </w:rPr>
        <w:t xml:space="preserve"> was allowed to cross-examine the witnesses of the </w:t>
      </w:r>
      <w:r w:rsidR="00BB77A6">
        <w:rPr>
          <w:rFonts w:ascii="Arial" w:hAnsi="Arial" w:cs="Arial"/>
          <w:sz w:val="24"/>
          <w:szCs w:val="24"/>
        </w:rPr>
        <w:t>first respondent</w:t>
      </w:r>
      <w:r w:rsidR="00726DBF">
        <w:rPr>
          <w:rFonts w:ascii="Arial" w:hAnsi="Arial" w:cs="Arial"/>
          <w:sz w:val="24"/>
          <w:szCs w:val="24"/>
        </w:rPr>
        <w:t xml:space="preserve">.  It appears from the record that the cross-examination did not focus on challenging the evidence led by </w:t>
      </w:r>
      <w:r w:rsidR="00BB77A6">
        <w:rPr>
          <w:rFonts w:ascii="Arial" w:hAnsi="Arial" w:cs="Arial"/>
          <w:sz w:val="24"/>
          <w:szCs w:val="24"/>
        </w:rPr>
        <w:t>first respondent</w:t>
      </w:r>
      <w:r w:rsidR="00726DBF">
        <w:rPr>
          <w:rFonts w:ascii="Arial" w:hAnsi="Arial" w:cs="Arial"/>
          <w:sz w:val="24"/>
          <w:szCs w:val="24"/>
        </w:rPr>
        <w:t xml:space="preserve"> on substantive issues.  I say so because it was for instance, </w:t>
      </w:r>
      <w:r w:rsidR="00694308">
        <w:rPr>
          <w:rFonts w:ascii="Arial" w:hAnsi="Arial" w:cs="Arial"/>
          <w:sz w:val="24"/>
          <w:szCs w:val="24"/>
        </w:rPr>
        <w:t xml:space="preserve">it was </w:t>
      </w:r>
      <w:r w:rsidR="00726DBF">
        <w:rPr>
          <w:rFonts w:ascii="Arial" w:hAnsi="Arial" w:cs="Arial"/>
          <w:sz w:val="24"/>
          <w:szCs w:val="24"/>
        </w:rPr>
        <w:t>never put to Mr Do</w:t>
      </w:r>
      <w:r w:rsidR="00694308">
        <w:rPr>
          <w:rFonts w:ascii="Arial" w:hAnsi="Arial" w:cs="Arial"/>
          <w:sz w:val="24"/>
          <w:szCs w:val="24"/>
        </w:rPr>
        <w:t>r</w:t>
      </w:r>
      <w:r w:rsidR="00726DBF">
        <w:rPr>
          <w:rFonts w:ascii="Arial" w:hAnsi="Arial" w:cs="Arial"/>
          <w:sz w:val="24"/>
          <w:szCs w:val="24"/>
        </w:rPr>
        <w:t xml:space="preserve">renstein that acceptance of 30 April 2019 as a Practical Completion Date </w:t>
      </w:r>
      <w:r w:rsidR="00694308">
        <w:rPr>
          <w:rFonts w:ascii="Arial" w:hAnsi="Arial" w:cs="Arial"/>
          <w:sz w:val="24"/>
          <w:szCs w:val="24"/>
        </w:rPr>
        <w:t>was subject to</w:t>
      </w:r>
      <w:r w:rsidR="00726DBF">
        <w:rPr>
          <w:rFonts w:ascii="Arial" w:hAnsi="Arial" w:cs="Arial"/>
          <w:sz w:val="24"/>
          <w:szCs w:val="24"/>
        </w:rPr>
        <w:t xml:space="preserve"> conditions that had been met.  This was completely ignored and the evidence that the conditions were never met as stated in the correspondence remained unchallenged.</w:t>
      </w:r>
    </w:p>
    <w:p w14:paraId="3F915844" w14:textId="55BE75E0" w:rsidR="00AA402A" w:rsidRPr="00C33874" w:rsidRDefault="00024B9F" w:rsidP="003F0D2B">
      <w:pPr>
        <w:spacing w:line="360" w:lineRule="auto"/>
        <w:jc w:val="both"/>
        <w:rPr>
          <w:rFonts w:ascii="Arial" w:hAnsi="Arial" w:cs="Arial"/>
          <w:color w:val="FF0000"/>
          <w:sz w:val="24"/>
          <w:szCs w:val="24"/>
        </w:rPr>
      </w:pPr>
      <w:r>
        <w:rPr>
          <w:rFonts w:ascii="Arial" w:hAnsi="Arial" w:cs="Arial"/>
          <w:sz w:val="24"/>
          <w:szCs w:val="24"/>
        </w:rPr>
        <w:t>[39</w:t>
      </w:r>
      <w:r w:rsidR="00AA402A">
        <w:rPr>
          <w:rFonts w:ascii="Arial" w:hAnsi="Arial" w:cs="Arial"/>
          <w:sz w:val="24"/>
          <w:szCs w:val="24"/>
        </w:rPr>
        <w:t>]</w:t>
      </w:r>
      <w:r w:rsidR="00AA402A">
        <w:rPr>
          <w:rFonts w:ascii="Arial" w:hAnsi="Arial" w:cs="Arial"/>
          <w:sz w:val="24"/>
          <w:szCs w:val="24"/>
        </w:rPr>
        <w:tab/>
      </w:r>
      <w:r w:rsidR="00726DBF">
        <w:rPr>
          <w:rFonts w:ascii="Arial" w:hAnsi="Arial" w:cs="Arial"/>
          <w:sz w:val="24"/>
          <w:szCs w:val="24"/>
        </w:rPr>
        <w:t xml:space="preserve">I </w:t>
      </w:r>
      <w:r w:rsidR="00694308">
        <w:rPr>
          <w:rFonts w:ascii="Arial" w:hAnsi="Arial" w:cs="Arial"/>
          <w:sz w:val="24"/>
          <w:szCs w:val="24"/>
        </w:rPr>
        <w:t xml:space="preserve">noted </w:t>
      </w:r>
      <w:r w:rsidR="00726DBF">
        <w:rPr>
          <w:rFonts w:ascii="Arial" w:hAnsi="Arial" w:cs="Arial"/>
          <w:sz w:val="24"/>
          <w:szCs w:val="24"/>
        </w:rPr>
        <w:t>that the second respondent intervened when he felt that the cross-examination did not deal with facts</w:t>
      </w:r>
      <w:r w:rsidR="00694308">
        <w:rPr>
          <w:rFonts w:ascii="Arial" w:hAnsi="Arial" w:cs="Arial"/>
          <w:sz w:val="24"/>
          <w:szCs w:val="24"/>
        </w:rPr>
        <w:t xml:space="preserve"> and issues before the tribunal</w:t>
      </w:r>
      <w:r w:rsidR="00726DBF">
        <w:rPr>
          <w:rFonts w:ascii="Arial" w:hAnsi="Arial" w:cs="Arial"/>
          <w:sz w:val="24"/>
          <w:szCs w:val="24"/>
        </w:rPr>
        <w:t xml:space="preserve"> but simply a proposition by counsel for the </w:t>
      </w:r>
      <w:r w:rsidR="00BB77A6">
        <w:rPr>
          <w:rFonts w:ascii="Arial" w:hAnsi="Arial" w:cs="Arial"/>
          <w:sz w:val="24"/>
          <w:szCs w:val="24"/>
        </w:rPr>
        <w:t>applicant</w:t>
      </w:r>
      <w:r w:rsidR="00726DBF">
        <w:rPr>
          <w:rFonts w:ascii="Arial" w:hAnsi="Arial" w:cs="Arial"/>
          <w:sz w:val="24"/>
          <w:szCs w:val="24"/>
        </w:rPr>
        <w:t xml:space="preserve"> which was not supported by facts.</w:t>
      </w:r>
      <w:r w:rsidR="00694308">
        <w:rPr>
          <w:rFonts w:ascii="Arial" w:hAnsi="Arial" w:cs="Arial"/>
          <w:sz w:val="24"/>
          <w:szCs w:val="24"/>
        </w:rPr>
        <w:t xml:space="preserve"> Such intervention was done in the normal course and s part of managing the arbitration process. It does not amount to gross irregularity as averred by the Applicant.</w:t>
      </w:r>
    </w:p>
    <w:p w14:paraId="24593DAF" w14:textId="2DD6751E" w:rsidR="0023529D" w:rsidRPr="00932C44" w:rsidRDefault="00024B9F" w:rsidP="003F0D2B">
      <w:pPr>
        <w:spacing w:line="360" w:lineRule="auto"/>
        <w:jc w:val="both"/>
        <w:rPr>
          <w:rFonts w:ascii="Arial" w:hAnsi="Arial" w:cs="Arial"/>
          <w:color w:val="FF0000"/>
          <w:sz w:val="24"/>
          <w:szCs w:val="24"/>
        </w:rPr>
      </w:pPr>
      <w:r>
        <w:rPr>
          <w:rFonts w:ascii="Arial" w:hAnsi="Arial" w:cs="Arial"/>
          <w:sz w:val="24"/>
          <w:szCs w:val="24"/>
        </w:rPr>
        <w:t>[40</w:t>
      </w:r>
      <w:r w:rsidR="00AA402A">
        <w:rPr>
          <w:rFonts w:ascii="Arial" w:hAnsi="Arial" w:cs="Arial"/>
          <w:sz w:val="24"/>
          <w:szCs w:val="24"/>
        </w:rPr>
        <w:t>]</w:t>
      </w:r>
      <w:r w:rsidR="00AA402A">
        <w:rPr>
          <w:rFonts w:ascii="Arial" w:hAnsi="Arial" w:cs="Arial"/>
          <w:sz w:val="24"/>
          <w:szCs w:val="24"/>
        </w:rPr>
        <w:tab/>
      </w:r>
      <w:r w:rsidR="00932C44">
        <w:rPr>
          <w:rFonts w:ascii="Arial" w:hAnsi="Arial" w:cs="Arial"/>
          <w:sz w:val="24"/>
          <w:szCs w:val="24"/>
        </w:rPr>
        <w:t xml:space="preserve">Accordingly, I </w:t>
      </w:r>
      <w:r w:rsidR="00694308">
        <w:rPr>
          <w:rFonts w:ascii="Arial" w:hAnsi="Arial" w:cs="Arial"/>
          <w:sz w:val="24"/>
          <w:szCs w:val="24"/>
        </w:rPr>
        <w:t>find</w:t>
      </w:r>
      <w:r w:rsidR="00932C44">
        <w:rPr>
          <w:rFonts w:ascii="Arial" w:hAnsi="Arial" w:cs="Arial"/>
          <w:sz w:val="24"/>
          <w:szCs w:val="24"/>
        </w:rPr>
        <w:t xml:space="preserve"> no basis that the arbitration tribunal has committed gross irregularity justifying interference of the award by this court.  It follows therefore that this ground must </w:t>
      </w:r>
      <w:r w:rsidR="00694308">
        <w:rPr>
          <w:rFonts w:ascii="Arial" w:hAnsi="Arial" w:cs="Arial"/>
          <w:sz w:val="24"/>
          <w:szCs w:val="24"/>
        </w:rPr>
        <w:t xml:space="preserve">also </w:t>
      </w:r>
      <w:r w:rsidR="00932C44">
        <w:rPr>
          <w:rFonts w:ascii="Arial" w:hAnsi="Arial" w:cs="Arial"/>
          <w:sz w:val="24"/>
          <w:szCs w:val="24"/>
        </w:rPr>
        <w:t>fail.</w:t>
      </w:r>
      <w:r w:rsidR="0023529D">
        <w:rPr>
          <w:rFonts w:ascii="Arial" w:hAnsi="Arial" w:cs="Arial"/>
          <w:sz w:val="24"/>
          <w:szCs w:val="24"/>
        </w:rPr>
        <w:tab/>
      </w:r>
      <w:r w:rsidR="00FF5DA2">
        <w:rPr>
          <w:rFonts w:ascii="Arial" w:hAnsi="Arial" w:cs="Arial"/>
          <w:sz w:val="24"/>
          <w:szCs w:val="24"/>
        </w:rPr>
        <w:t xml:space="preserve"> </w:t>
      </w:r>
    </w:p>
    <w:p w14:paraId="7E3FEF0B" w14:textId="45A3390A" w:rsidR="00935AC6" w:rsidRPr="00935AC6" w:rsidRDefault="00935AC6" w:rsidP="003F0D2B">
      <w:pPr>
        <w:spacing w:line="360" w:lineRule="auto"/>
        <w:jc w:val="both"/>
        <w:rPr>
          <w:rFonts w:ascii="Arial" w:hAnsi="Arial" w:cs="Arial"/>
          <w:b/>
          <w:sz w:val="24"/>
          <w:szCs w:val="24"/>
          <w:u w:val="single"/>
        </w:rPr>
      </w:pPr>
      <w:r>
        <w:rPr>
          <w:rFonts w:ascii="Arial" w:hAnsi="Arial" w:cs="Arial"/>
          <w:b/>
          <w:sz w:val="24"/>
          <w:szCs w:val="24"/>
          <w:u w:val="single"/>
        </w:rPr>
        <w:t xml:space="preserve">ORDER </w:t>
      </w:r>
    </w:p>
    <w:p w14:paraId="0C68B252" w14:textId="1A73D7CE" w:rsidR="009C13B4" w:rsidRDefault="00024B9F" w:rsidP="003F0D2B">
      <w:pPr>
        <w:spacing w:line="360" w:lineRule="auto"/>
        <w:jc w:val="both"/>
        <w:rPr>
          <w:rFonts w:ascii="Arial" w:hAnsi="Arial" w:cs="Arial"/>
          <w:sz w:val="24"/>
          <w:szCs w:val="24"/>
        </w:rPr>
      </w:pPr>
      <w:r>
        <w:rPr>
          <w:rFonts w:ascii="Arial" w:hAnsi="Arial" w:cs="Arial"/>
          <w:sz w:val="24"/>
          <w:szCs w:val="24"/>
        </w:rPr>
        <w:t>[41</w:t>
      </w:r>
      <w:r w:rsidR="00577CFD">
        <w:rPr>
          <w:rFonts w:ascii="Arial" w:hAnsi="Arial" w:cs="Arial"/>
          <w:sz w:val="24"/>
          <w:szCs w:val="24"/>
        </w:rPr>
        <w:t>]</w:t>
      </w:r>
      <w:r w:rsidR="00577CFD">
        <w:rPr>
          <w:rFonts w:ascii="Arial" w:hAnsi="Arial" w:cs="Arial"/>
          <w:sz w:val="24"/>
          <w:szCs w:val="24"/>
        </w:rPr>
        <w:tab/>
      </w:r>
      <w:r w:rsidR="00935AC6">
        <w:rPr>
          <w:rFonts w:ascii="Arial" w:hAnsi="Arial" w:cs="Arial"/>
          <w:sz w:val="24"/>
          <w:szCs w:val="24"/>
        </w:rPr>
        <w:t>The following order is made:</w:t>
      </w:r>
    </w:p>
    <w:p w14:paraId="00249C6E" w14:textId="0571EDD3" w:rsidR="00932C44" w:rsidRDefault="00932C44"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application for review of the award made by the </w:t>
      </w:r>
      <w:r w:rsidR="00BB77A6">
        <w:rPr>
          <w:rFonts w:ascii="Arial" w:hAnsi="Arial" w:cs="Arial"/>
          <w:sz w:val="24"/>
          <w:szCs w:val="24"/>
        </w:rPr>
        <w:t>first respondent</w:t>
      </w:r>
      <w:r>
        <w:rPr>
          <w:rFonts w:ascii="Arial" w:hAnsi="Arial" w:cs="Arial"/>
          <w:sz w:val="24"/>
          <w:szCs w:val="24"/>
        </w:rPr>
        <w:t xml:space="preserve"> is dismissed with costs.</w:t>
      </w:r>
    </w:p>
    <w:p w14:paraId="0C5B69FA" w14:textId="35AEE17C" w:rsidR="007F28E5" w:rsidRPr="007F28E5" w:rsidRDefault="007F28E5" w:rsidP="00355D4F">
      <w:pPr>
        <w:spacing w:line="360" w:lineRule="auto"/>
        <w:jc w:val="both"/>
        <w:rPr>
          <w:rFonts w:ascii="Arial" w:hAnsi="Arial" w:cs="Arial"/>
          <w:sz w:val="24"/>
          <w:szCs w:val="24"/>
        </w:rPr>
      </w:pPr>
    </w:p>
    <w:p w14:paraId="51CFC02F" w14:textId="77777777" w:rsidR="007F28E5" w:rsidRPr="007F28E5" w:rsidRDefault="007F28E5" w:rsidP="003F0D2B">
      <w:pPr>
        <w:spacing w:line="360" w:lineRule="auto"/>
        <w:jc w:val="both"/>
        <w:rPr>
          <w:rFonts w:ascii="Arial" w:hAnsi="Arial" w:cs="Arial"/>
          <w:b/>
          <w:sz w:val="24"/>
          <w:szCs w:val="24"/>
          <w:u w:val="single"/>
        </w:rPr>
      </w:pPr>
    </w:p>
    <w:p w14:paraId="07D3B0E2" w14:textId="7EEC5666" w:rsidR="0035010D" w:rsidRPr="00AC68AC" w:rsidRDefault="00257C9C" w:rsidP="00752D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043D09" w14:textId="77777777" w:rsidR="00752D47" w:rsidRPr="00AC68AC" w:rsidRDefault="00752D47" w:rsidP="00752D47">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31A63DFD" w14:textId="7AB5812E" w:rsidR="00752D47" w:rsidRPr="00AC68AC" w:rsidRDefault="000C73BA" w:rsidP="00752D47">
      <w:pPr>
        <w:spacing w:after="0" w:line="240" w:lineRule="auto"/>
        <w:jc w:val="right"/>
        <w:rPr>
          <w:rFonts w:ascii="Arial" w:hAnsi="Arial" w:cs="Arial"/>
          <w:b/>
          <w:bCs/>
          <w:sz w:val="24"/>
          <w:szCs w:val="24"/>
        </w:rPr>
      </w:pPr>
      <w:r w:rsidRPr="00AC68AC">
        <w:rPr>
          <w:rFonts w:ascii="Arial" w:hAnsi="Arial" w:cs="Arial"/>
          <w:b/>
          <w:bCs/>
          <w:sz w:val="24"/>
          <w:szCs w:val="24"/>
        </w:rPr>
        <w:t>M.</w:t>
      </w:r>
      <w:r w:rsidR="00EF677C">
        <w:rPr>
          <w:rFonts w:ascii="Arial" w:hAnsi="Arial" w:cs="Arial"/>
          <w:b/>
          <w:bCs/>
          <w:sz w:val="24"/>
          <w:szCs w:val="24"/>
        </w:rPr>
        <w:t>L.</w:t>
      </w:r>
      <w:r w:rsidRPr="00AC68AC">
        <w:rPr>
          <w:rFonts w:ascii="Arial" w:hAnsi="Arial" w:cs="Arial"/>
          <w:b/>
          <w:bCs/>
          <w:sz w:val="24"/>
          <w:szCs w:val="24"/>
        </w:rPr>
        <w:t xml:space="preserve"> SENYATSI</w:t>
      </w:r>
    </w:p>
    <w:p w14:paraId="51A4E3D5" w14:textId="77777777" w:rsidR="00752D47" w:rsidRPr="00AC68AC" w:rsidRDefault="00752D47" w:rsidP="00752D47">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3DC542D0" w14:textId="77777777" w:rsidR="00752D47" w:rsidRPr="00AC68AC" w:rsidRDefault="00752D47" w:rsidP="00752D47">
      <w:pPr>
        <w:spacing w:after="0" w:line="240" w:lineRule="auto"/>
        <w:jc w:val="both"/>
        <w:rPr>
          <w:rFonts w:ascii="Arial" w:hAnsi="Arial" w:cs="Arial"/>
          <w:sz w:val="24"/>
          <w:szCs w:val="24"/>
        </w:rPr>
      </w:pPr>
    </w:p>
    <w:p w14:paraId="53A0F6A2" w14:textId="1254406C" w:rsidR="00752D47" w:rsidRDefault="00752D47" w:rsidP="00752D47">
      <w:pPr>
        <w:spacing w:after="0" w:line="240" w:lineRule="auto"/>
        <w:jc w:val="both"/>
        <w:rPr>
          <w:rFonts w:ascii="Arial" w:hAnsi="Arial" w:cs="Arial"/>
          <w:sz w:val="24"/>
          <w:szCs w:val="24"/>
        </w:rPr>
      </w:pPr>
    </w:p>
    <w:p w14:paraId="453824CF" w14:textId="45B54C47" w:rsidR="00024B9F" w:rsidRDefault="00024B9F" w:rsidP="00752D47">
      <w:pPr>
        <w:spacing w:after="0" w:line="240" w:lineRule="auto"/>
        <w:jc w:val="both"/>
        <w:rPr>
          <w:rFonts w:ascii="Arial" w:hAnsi="Arial" w:cs="Arial"/>
          <w:sz w:val="24"/>
          <w:szCs w:val="24"/>
        </w:rPr>
      </w:pPr>
    </w:p>
    <w:p w14:paraId="573C2C4A" w14:textId="3BEEEB28" w:rsidR="00024B9F" w:rsidRDefault="00024B9F" w:rsidP="00752D47">
      <w:pPr>
        <w:spacing w:after="0" w:line="240" w:lineRule="auto"/>
        <w:jc w:val="both"/>
        <w:rPr>
          <w:rFonts w:ascii="Arial" w:hAnsi="Arial" w:cs="Arial"/>
          <w:sz w:val="24"/>
          <w:szCs w:val="24"/>
        </w:rPr>
      </w:pPr>
    </w:p>
    <w:p w14:paraId="57C026CF" w14:textId="692BE89C" w:rsidR="00024B9F" w:rsidRDefault="00024B9F" w:rsidP="00752D47">
      <w:pPr>
        <w:spacing w:after="0" w:line="240" w:lineRule="auto"/>
        <w:jc w:val="both"/>
        <w:rPr>
          <w:rFonts w:ascii="Arial" w:hAnsi="Arial" w:cs="Arial"/>
          <w:sz w:val="24"/>
          <w:szCs w:val="24"/>
        </w:rPr>
      </w:pPr>
    </w:p>
    <w:p w14:paraId="54879012" w14:textId="77777777" w:rsidR="00024B9F" w:rsidRPr="00AC68AC" w:rsidRDefault="00024B9F" w:rsidP="00752D47">
      <w:pPr>
        <w:spacing w:after="0" w:line="240" w:lineRule="auto"/>
        <w:jc w:val="both"/>
        <w:rPr>
          <w:rFonts w:ascii="Arial" w:hAnsi="Arial" w:cs="Arial"/>
          <w:sz w:val="24"/>
          <w:szCs w:val="24"/>
        </w:rPr>
      </w:pPr>
    </w:p>
    <w:p w14:paraId="2A5DE96E" w14:textId="77777777" w:rsidR="002419FE" w:rsidRPr="00AC68AC" w:rsidRDefault="002419FE" w:rsidP="00752D47">
      <w:pPr>
        <w:spacing w:after="0" w:line="240" w:lineRule="auto"/>
        <w:jc w:val="both"/>
        <w:rPr>
          <w:rFonts w:ascii="Arial" w:hAnsi="Arial" w:cs="Arial"/>
          <w:sz w:val="24"/>
          <w:szCs w:val="24"/>
        </w:rPr>
      </w:pPr>
    </w:p>
    <w:p w14:paraId="2A16D74F" w14:textId="2B07D79E"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Heard:</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F531F3">
        <w:rPr>
          <w:rFonts w:ascii="Arial" w:hAnsi="Arial" w:cs="Arial"/>
          <w:sz w:val="24"/>
          <w:szCs w:val="24"/>
        </w:rPr>
        <w:t>25 October 2021</w:t>
      </w:r>
      <w:r w:rsidRPr="00AC68AC">
        <w:rPr>
          <w:rFonts w:ascii="Arial" w:hAnsi="Arial" w:cs="Arial"/>
          <w:sz w:val="24"/>
          <w:szCs w:val="24"/>
        </w:rPr>
        <w:tab/>
        <w:t xml:space="preserve"> </w:t>
      </w:r>
      <w:r w:rsidRPr="00AC68AC">
        <w:rPr>
          <w:rFonts w:ascii="Arial" w:hAnsi="Arial" w:cs="Arial"/>
          <w:sz w:val="24"/>
          <w:szCs w:val="24"/>
        </w:rPr>
        <w:tab/>
      </w:r>
      <w:r w:rsidRPr="00AC68AC">
        <w:rPr>
          <w:rFonts w:ascii="Arial" w:hAnsi="Arial" w:cs="Arial"/>
          <w:sz w:val="24"/>
          <w:szCs w:val="24"/>
        </w:rPr>
        <w:tab/>
      </w:r>
    </w:p>
    <w:p w14:paraId="494EC1B9" w14:textId="0721261A"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Judgment:</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DD0C6E">
        <w:rPr>
          <w:rFonts w:ascii="Arial" w:hAnsi="Arial" w:cs="Arial"/>
          <w:sz w:val="24"/>
          <w:szCs w:val="24"/>
        </w:rPr>
        <w:t>24</w:t>
      </w:r>
      <w:r w:rsidR="00031D0F">
        <w:rPr>
          <w:rFonts w:ascii="Arial" w:hAnsi="Arial" w:cs="Arial"/>
          <w:sz w:val="24"/>
          <w:szCs w:val="24"/>
        </w:rPr>
        <w:t xml:space="preserve"> </w:t>
      </w:r>
      <w:r w:rsidR="005F66EB">
        <w:rPr>
          <w:rFonts w:ascii="Arial" w:hAnsi="Arial" w:cs="Arial"/>
          <w:sz w:val="24"/>
          <w:szCs w:val="24"/>
        </w:rPr>
        <w:t>May 2022</w:t>
      </w:r>
      <w:r w:rsidR="00AA0FE9">
        <w:rPr>
          <w:rFonts w:ascii="Arial" w:hAnsi="Arial" w:cs="Arial"/>
          <w:sz w:val="24"/>
          <w:szCs w:val="24"/>
        </w:rPr>
        <w:tab/>
      </w:r>
      <w:r w:rsidRPr="00AC68AC">
        <w:rPr>
          <w:rFonts w:ascii="Arial" w:hAnsi="Arial" w:cs="Arial"/>
          <w:sz w:val="24"/>
          <w:szCs w:val="24"/>
        </w:rPr>
        <w:tab/>
      </w:r>
      <w:r w:rsidRPr="00AC68AC">
        <w:rPr>
          <w:rFonts w:ascii="Arial" w:hAnsi="Arial" w:cs="Arial"/>
          <w:sz w:val="24"/>
          <w:szCs w:val="24"/>
        </w:rPr>
        <w:tab/>
      </w:r>
    </w:p>
    <w:p w14:paraId="6D6AAFBE" w14:textId="662BEFE0"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 </w:t>
      </w:r>
      <w:r w:rsidR="005F66EB">
        <w:rPr>
          <w:rFonts w:ascii="Arial" w:hAnsi="Arial" w:cs="Arial"/>
          <w:sz w:val="24"/>
          <w:szCs w:val="24"/>
        </w:rPr>
        <w:t>Applicant</w:t>
      </w:r>
      <w:r w:rsidR="00752D47" w:rsidRPr="00AC68AC">
        <w:rPr>
          <w:rFonts w:ascii="Arial" w:hAnsi="Arial" w:cs="Arial"/>
          <w:sz w:val="24"/>
          <w:szCs w:val="24"/>
        </w:rPr>
        <w:t>:</w:t>
      </w:r>
      <w:r w:rsidR="005F66EB">
        <w:rPr>
          <w:rFonts w:ascii="Arial" w:hAnsi="Arial" w:cs="Arial"/>
          <w:sz w:val="24"/>
          <w:szCs w:val="24"/>
        </w:rPr>
        <w:t xml:space="preserve">  </w:t>
      </w:r>
      <w:r w:rsidR="005F66EB">
        <w:rPr>
          <w:rFonts w:ascii="Arial" w:hAnsi="Arial" w:cs="Arial"/>
          <w:sz w:val="24"/>
          <w:szCs w:val="24"/>
        </w:rPr>
        <w:tab/>
      </w:r>
      <w:r w:rsidR="005F66EB">
        <w:rPr>
          <w:rFonts w:ascii="Arial" w:hAnsi="Arial" w:cs="Arial"/>
          <w:sz w:val="24"/>
          <w:szCs w:val="24"/>
        </w:rPr>
        <w:tab/>
        <w:t>Adv A. Subel SC</w:t>
      </w:r>
      <w:r w:rsidR="00935AC6">
        <w:rPr>
          <w:rFonts w:ascii="Arial" w:hAnsi="Arial" w:cs="Arial"/>
          <w:sz w:val="24"/>
          <w:szCs w:val="24"/>
        </w:rPr>
        <w:tab/>
      </w:r>
      <w:r w:rsidR="00935AC6">
        <w:rPr>
          <w:rFonts w:ascii="Arial" w:hAnsi="Arial" w:cs="Arial"/>
          <w:sz w:val="24"/>
          <w:szCs w:val="24"/>
        </w:rPr>
        <w:tab/>
      </w:r>
      <w:r w:rsidR="00752D47" w:rsidRPr="00AC68AC">
        <w:rPr>
          <w:rFonts w:ascii="Arial" w:hAnsi="Arial" w:cs="Arial"/>
          <w:sz w:val="24"/>
          <w:szCs w:val="24"/>
        </w:rPr>
        <w:tab/>
      </w:r>
      <w:r w:rsidR="00752D47" w:rsidRPr="00AC68AC">
        <w:rPr>
          <w:rFonts w:ascii="Arial" w:hAnsi="Arial" w:cs="Arial"/>
          <w:sz w:val="24"/>
          <w:szCs w:val="24"/>
        </w:rPr>
        <w:tab/>
      </w:r>
    </w:p>
    <w:p w14:paraId="30E50E8D" w14:textId="7916A452" w:rsidR="00752D47" w:rsidRPr="00AC68AC" w:rsidRDefault="00752D47" w:rsidP="00752D47">
      <w:pPr>
        <w:spacing w:after="0" w:line="240" w:lineRule="auto"/>
        <w:ind w:left="2880" w:hanging="2880"/>
        <w:jc w:val="both"/>
        <w:rPr>
          <w:rFonts w:ascii="Arial" w:hAnsi="Arial" w:cs="Arial"/>
          <w:sz w:val="24"/>
          <w:szCs w:val="24"/>
        </w:rPr>
      </w:pPr>
      <w:r w:rsidRPr="00AC68AC">
        <w:rPr>
          <w:rFonts w:ascii="Arial" w:hAnsi="Arial" w:cs="Arial"/>
          <w:sz w:val="24"/>
          <w:szCs w:val="24"/>
        </w:rPr>
        <w:t xml:space="preserve">Instructed by:              </w:t>
      </w:r>
      <w:r w:rsidRPr="00AC68AC">
        <w:rPr>
          <w:rFonts w:ascii="Arial" w:hAnsi="Arial" w:cs="Arial"/>
          <w:sz w:val="24"/>
          <w:szCs w:val="24"/>
        </w:rPr>
        <w:tab/>
      </w:r>
      <w:r w:rsidR="00401E39">
        <w:rPr>
          <w:rFonts w:ascii="Arial" w:hAnsi="Arial" w:cs="Arial"/>
          <w:sz w:val="24"/>
          <w:szCs w:val="24"/>
        </w:rPr>
        <w:tab/>
      </w:r>
      <w:r w:rsidR="001D621D">
        <w:rPr>
          <w:rFonts w:ascii="Arial" w:hAnsi="Arial" w:cs="Arial"/>
          <w:sz w:val="24"/>
          <w:szCs w:val="24"/>
        </w:rPr>
        <w:t xml:space="preserve">Pinsent Masons Inc. Sandton </w:t>
      </w:r>
    </w:p>
    <w:p w14:paraId="5E6BFAE2" w14:textId="47694707"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w:t>
      </w:r>
      <w:r w:rsidR="00401E39">
        <w:rPr>
          <w:rFonts w:ascii="Arial" w:hAnsi="Arial" w:cs="Arial"/>
          <w:sz w:val="24"/>
          <w:szCs w:val="24"/>
        </w:rPr>
        <w:t xml:space="preserve"> </w:t>
      </w:r>
      <w:r w:rsidR="00BB77A6">
        <w:rPr>
          <w:rFonts w:ascii="Arial" w:hAnsi="Arial" w:cs="Arial"/>
          <w:sz w:val="24"/>
          <w:szCs w:val="24"/>
        </w:rPr>
        <w:t>First Respondent</w:t>
      </w:r>
      <w:r w:rsidR="00752D47" w:rsidRPr="00AC68AC">
        <w:rPr>
          <w:rFonts w:ascii="Arial" w:hAnsi="Arial" w:cs="Arial"/>
          <w:sz w:val="24"/>
          <w:szCs w:val="24"/>
        </w:rPr>
        <w:t>:</w:t>
      </w:r>
      <w:r w:rsidR="00752D47" w:rsidRPr="00AC68AC">
        <w:rPr>
          <w:rFonts w:ascii="Arial" w:hAnsi="Arial" w:cs="Arial"/>
          <w:sz w:val="24"/>
          <w:szCs w:val="24"/>
        </w:rPr>
        <w:tab/>
      </w:r>
      <w:r w:rsidR="005F66EB">
        <w:rPr>
          <w:rFonts w:ascii="Arial" w:hAnsi="Arial" w:cs="Arial"/>
          <w:sz w:val="24"/>
          <w:szCs w:val="24"/>
        </w:rPr>
        <w:t>Adv B.W. Burman SC</w:t>
      </w:r>
      <w:r w:rsidR="00752D47" w:rsidRPr="00AC68AC">
        <w:rPr>
          <w:rFonts w:ascii="Arial" w:hAnsi="Arial" w:cs="Arial"/>
          <w:sz w:val="24"/>
          <w:szCs w:val="24"/>
        </w:rPr>
        <w:tab/>
      </w:r>
    </w:p>
    <w:p w14:paraId="5F3AF9C2" w14:textId="1714D37C" w:rsidR="00752D47" w:rsidRDefault="00752D47" w:rsidP="00401E39">
      <w:pPr>
        <w:spacing w:after="0" w:line="240" w:lineRule="auto"/>
        <w:ind w:left="3600" w:hanging="3600"/>
        <w:jc w:val="both"/>
        <w:rPr>
          <w:rFonts w:ascii="Arial" w:hAnsi="Arial" w:cs="Arial"/>
          <w:sz w:val="24"/>
          <w:szCs w:val="24"/>
        </w:rPr>
      </w:pPr>
      <w:r w:rsidRPr="00AC68AC">
        <w:rPr>
          <w:rFonts w:ascii="Arial" w:hAnsi="Arial" w:cs="Arial"/>
          <w:sz w:val="24"/>
          <w:szCs w:val="24"/>
        </w:rPr>
        <w:t>Instructed by:</w:t>
      </w:r>
      <w:r w:rsidRPr="00AC68AC">
        <w:rPr>
          <w:rFonts w:ascii="Arial" w:hAnsi="Arial" w:cs="Arial"/>
          <w:sz w:val="24"/>
          <w:szCs w:val="24"/>
        </w:rPr>
        <w:tab/>
      </w:r>
      <w:r w:rsidR="00002810">
        <w:rPr>
          <w:rFonts w:ascii="Arial" w:hAnsi="Arial" w:cs="Arial"/>
          <w:sz w:val="24"/>
          <w:szCs w:val="24"/>
        </w:rPr>
        <w:t>Tiefenthaler Attorneys Inc. Dunkeld</w:t>
      </w:r>
    </w:p>
    <w:p w14:paraId="1501F2D3" w14:textId="4D4FAE64" w:rsidR="00031D0F" w:rsidRPr="00AC68AC" w:rsidRDefault="00031D0F" w:rsidP="00401E39">
      <w:pPr>
        <w:spacing w:after="0" w:line="240" w:lineRule="auto"/>
        <w:ind w:left="3600" w:hanging="3600"/>
        <w:jc w:val="both"/>
        <w:rPr>
          <w:rFonts w:ascii="Arial" w:hAnsi="Arial" w:cs="Arial"/>
          <w:sz w:val="24"/>
          <w:szCs w:val="24"/>
        </w:rPr>
      </w:pPr>
    </w:p>
    <w:sectPr w:rsidR="00031D0F" w:rsidRPr="00AC68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BC34" w14:textId="77777777" w:rsidR="007E1591" w:rsidRDefault="007E1591" w:rsidP="00BF1D23">
      <w:pPr>
        <w:spacing w:after="0" w:line="240" w:lineRule="auto"/>
      </w:pPr>
      <w:r>
        <w:separator/>
      </w:r>
    </w:p>
  </w:endnote>
  <w:endnote w:type="continuationSeparator" w:id="0">
    <w:p w14:paraId="3183229F" w14:textId="77777777" w:rsidR="007E1591" w:rsidRDefault="007E1591"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35021"/>
      <w:docPartObj>
        <w:docPartGallery w:val="Page Numbers (Bottom of Page)"/>
        <w:docPartUnique/>
      </w:docPartObj>
    </w:sdtPr>
    <w:sdtEndPr>
      <w:rPr>
        <w:noProof/>
      </w:rPr>
    </w:sdtEndPr>
    <w:sdtContent>
      <w:p w14:paraId="25AE743B" w14:textId="6BD62FD1" w:rsidR="00E92619" w:rsidRDefault="00E92619">
        <w:pPr>
          <w:pStyle w:val="Footer"/>
          <w:jc w:val="right"/>
        </w:pPr>
        <w:r>
          <w:fldChar w:fldCharType="begin"/>
        </w:r>
        <w:r>
          <w:instrText xml:space="preserve"> PAGE   \* MERGEFORMAT </w:instrText>
        </w:r>
        <w:r>
          <w:fldChar w:fldCharType="separate"/>
        </w:r>
        <w:r w:rsidR="0032502A">
          <w:rPr>
            <w:noProof/>
          </w:rPr>
          <w:t>7</w:t>
        </w:r>
        <w:r>
          <w:rPr>
            <w:noProof/>
          </w:rPr>
          <w:fldChar w:fldCharType="end"/>
        </w:r>
      </w:p>
    </w:sdtContent>
  </w:sdt>
  <w:p w14:paraId="25BCCCAD" w14:textId="77777777" w:rsidR="00E92619" w:rsidRDefault="00E9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38F6" w14:textId="77777777" w:rsidR="007E1591" w:rsidRDefault="007E1591" w:rsidP="00BF1D23">
      <w:pPr>
        <w:spacing w:after="0" w:line="240" w:lineRule="auto"/>
      </w:pPr>
      <w:r>
        <w:separator/>
      </w:r>
    </w:p>
  </w:footnote>
  <w:footnote w:type="continuationSeparator" w:id="0">
    <w:p w14:paraId="0EE77F63" w14:textId="77777777" w:rsidR="007E1591" w:rsidRDefault="007E1591" w:rsidP="00BF1D23">
      <w:pPr>
        <w:spacing w:after="0" w:line="240" w:lineRule="auto"/>
      </w:pPr>
      <w:r>
        <w:continuationSeparator/>
      </w:r>
    </w:p>
  </w:footnote>
  <w:footnote w:id="1">
    <w:p w14:paraId="7059C767" w14:textId="1A724ED7" w:rsidR="00E92619" w:rsidRPr="00EC6C29" w:rsidRDefault="00E92619">
      <w:pPr>
        <w:pStyle w:val="FootnoteText"/>
        <w:rPr>
          <w:lang w:val="en-GB"/>
        </w:rPr>
      </w:pPr>
      <w:r>
        <w:rPr>
          <w:rStyle w:val="FootnoteReference"/>
        </w:rPr>
        <w:footnoteRef/>
      </w:r>
      <w:r>
        <w:t xml:space="preserve"> [2021] ZASCA 138</w:t>
      </w:r>
    </w:p>
  </w:footnote>
  <w:footnote w:id="2">
    <w:p w14:paraId="57F6DB19" w14:textId="3F658E74" w:rsidR="00E92619" w:rsidRPr="00A70530" w:rsidRDefault="00E92619">
      <w:pPr>
        <w:pStyle w:val="FootnoteText"/>
        <w:rPr>
          <w:lang w:val="en-GB"/>
        </w:rPr>
      </w:pPr>
      <w:r>
        <w:rPr>
          <w:rStyle w:val="FootnoteReference"/>
        </w:rPr>
        <w:footnoteRef/>
      </w:r>
      <w:r>
        <w:t xml:space="preserve"> See 2 LAWSA 3</w:t>
      </w:r>
      <w:r w:rsidRPr="00E92619">
        <w:rPr>
          <w:vertAlign w:val="superscript"/>
        </w:rPr>
        <w:t>rd</w:t>
      </w:r>
      <w:r>
        <w:t xml:space="preserve"> Ed at paras 80 and 122</w:t>
      </w:r>
    </w:p>
  </w:footnote>
  <w:footnote w:id="3">
    <w:p w14:paraId="0105CBFE" w14:textId="202B03F0" w:rsidR="00553467" w:rsidRPr="00553467" w:rsidRDefault="00553467">
      <w:pPr>
        <w:pStyle w:val="FootnoteText"/>
        <w:rPr>
          <w:lang w:val="en-GB"/>
        </w:rPr>
      </w:pPr>
      <w:r>
        <w:rPr>
          <w:rStyle w:val="FootnoteReference"/>
        </w:rPr>
        <w:footnoteRef/>
      </w:r>
      <w:r>
        <w:t xml:space="preserve"> </w:t>
      </w:r>
      <w:r>
        <w:rPr>
          <w:lang w:val="en-GB"/>
        </w:rPr>
        <w:t>2007 (3) SA 266 (SCA)</w:t>
      </w:r>
    </w:p>
  </w:footnote>
  <w:footnote w:id="4">
    <w:p w14:paraId="536D3BA5" w14:textId="22BB3AF6" w:rsidR="00E92619" w:rsidRPr="00A70530" w:rsidRDefault="00E92619">
      <w:pPr>
        <w:pStyle w:val="FootnoteText"/>
        <w:rPr>
          <w:lang w:val="en-GB"/>
        </w:rPr>
      </w:pPr>
      <w:r>
        <w:rPr>
          <w:rStyle w:val="FootnoteReference"/>
        </w:rPr>
        <w:footnoteRef/>
      </w:r>
      <w:r>
        <w:t xml:space="preserve"> </w:t>
      </w:r>
      <w:r>
        <w:rPr>
          <w:i/>
        </w:rPr>
        <w:t xml:space="preserve">Ellis v Morgan; Ellis v Dessai </w:t>
      </w:r>
      <w:r>
        <w:t>1909 TS 576 at 581.</w:t>
      </w:r>
    </w:p>
  </w:footnote>
  <w:footnote w:id="5">
    <w:p w14:paraId="01A45F55" w14:textId="12EDF95B" w:rsidR="00E92619" w:rsidRPr="00A70530" w:rsidRDefault="00E92619">
      <w:pPr>
        <w:pStyle w:val="FootnoteText"/>
        <w:rPr>
          <w:i/>
          <w:lang w:val="en-GB"/>
        </w:rPr>
      </w:pPr>
      <w:r>
        <w:rPr>
          <w:rStyle w:val="FootnoteReference"/>
        </w:rPr>
        <w:footnoteRef/>
      </w:r>
      <w:r>
        <w:t xml:space="preserve"> See </w:t>
      </w:r>
      <w:r>
        <w:rPr>
          <w:i/>
        </w:rPr>
        <w:t>Telkordia Technologies Inc v Telkom SA Ltd supra at para 51</w:t>
      </w:r>
    </w:p>
  </w:footnote>
  <w:footnote w:id="6">
    <w:p w14:paraId="77FAA45E" w14:textId="212295AD" w:rsidR="00E92619" w:rsidRPr="00A70530" w:rsidRDefault="00E92619">
      <w:pPr>
        <w:pStyle w:val="FootnoteText"/>
        <w:rPr>
          <w:lang w:val="en-GB"/>
        </w:rPr>
      </w:pPr>
      <w:r>
        <w:rPr>
          <w:rStyle w:val="FootnoteReference"/>
        </w:rPr>
        <w:footnoteRef/>
      </w:r>
      <w:r>
        <w:t xml:space="preserve"> </w:t>
      </w:r>
      <w:r w:rsidR="00024B9F">
        <w:t>2009 (4) SA 529 (CC</w:t>
      </w:r>
    </w:p>
  </w:footnote>
  <w:footnote w:id="7">
    <w:p w14:paraId="52AEBBD3" w14:textId="33299E05" w:rsidR="00E92619" w:rsidRPr="00A70530" w:rsidRDefault="00E92619">
      <w:pPr>
        <w:pStyle w:val="FootnoteText"/>
        <w:rPr>
          <w:lang w:val="en-GB"/>
        </w:rPr>
      </w:pPr>
      <w:r>
        <w:rPr>
          <w:rStyle w:val="FootnoteReference"/>
        </w:rPr>
        <w:footnoteRef/>
      </w:r>
      <w:r>
        <w:t xml:space="preserve"> </w:t>
      </w:r>
      <w:r w:rsidR="00024B9F">
        <w:t>2013 (6) SA 520 (SCA)</w:t>
      </w:r>
    </w:p>
  </w:footnote>
  <w:footnote w:id="8">
    <w:p w14:paraId="1CE87661" w14:textId="086F563C" w:rsidR="00E92619" w:rsidRPr="00A70530" w:rsidRDefault="00E92619">
      <w:pPr>
        <w:pStyle w:val="FootnoteText"/>
        <w:rPr>
          <w:lang w:val="en-GB"/>
        </w:rPr>
      </w:pPr>
      <w:r>
        <w:rPr>
          <w:rStyle w:val="FootnoteReference"/>
        </w:rPr>
        <w:footnoteRef/>
      </w:r>
      <w:r>
        <w:t xml:space="preserve"> Supra</w:t>
      </w:r>
    </w:p>
  </w:footnote>
  <w:footnote w:id="9">
    <w:p w14:paraId="7423AC12" w14:textId="61D1B205" w:rsidR="00E92619" w:rsidRPr="00A70530" w:rsidRDefault="00E92619">
      <w:pPr>
        <w:pStyle w:val="FootnoteText"/>
        <w:rPr>
          <w:lang w:val="en-GB"/>
        </w:rPr>
      </w:pPr>
      <w:r>
        <w:rPr>
          <w:rStyle w:val="FootnoteReference"/>
        </w:rPr>
        <w:footnoteRef/>
      </w:r>
      <w:r>
        <w:t xml:space="preserve"> [2005] UKHL 43 at para 24 where the court was considering the meaning of “exceeding its powers” within section 68 (2) of the English Arbitration Act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3F7"/>
    <w:multiLevelType w:val="multilevel"/>
    <w:tmpl w:val="58A887FE"/>
    <w:lvl w:ilvl="0">
      <w:start w:val="7"/>
      <w:numFmt w:val="decimal"/>
      <w:lvlText w:val="%1."/>
      <w:lvlJc w:val="left"/>
      <w:pPr>
        <w:ind w:left="390" w:hanging="39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 w15:restartNumberingAfterBreak="0">
    <w:nsid w:val="0759002A"/>
    <w:multiLevelType w:val="hybridMultilevel"/>
    <w:tmpl w:val="B3F42FB2"/>
    <w:lvl w:ilvl="0" w:tplc="BE7E69DC">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013CE5"/>
    <w:multiLevelType w:val="multilevel"/>
    <w:tmpl w:val="B33452E0"/>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D7E06"/>
    <w:multiLevelType w:val="hybridMultilevel"/>
    <w:tmpl w:val="327AC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08726A"/>
    <w:multiLevelType w:val="hybridMultilevel"/>
    <w:tmpl w:val="1562D26E"/>
    <w:lvl w:ilvl="0" w:tplc="9C6A20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4A567E"/>
    <w:multiLevelType w:val="multilevel"/>
    <w:tmpl w:val="908CDEE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51DD6"/>
    <w:multiLevelType w:val="hybridMultilevel"/>
    <w:tmpl w:val="7CFEC014"/>
    <w:lvl w:ilvl="0" w:tplc="3BDE385C">
      <w:start w:val="7"/>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33800B1"/>
    <w:multiLevelType w:val="multilevel"/>
    <w:tmpl w:val="6B309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121FD"/>
    <w:multiLevelType w:val="hybridMultilevel"/>
    <w:tmpl w:val="861666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3073CA"/>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9727B"/>
    <w:multiLevelType w:val="hybridMultilevel"/>
    <w:tmpl w:val="C8367524"/>
    <w:lvl w:ilvl="0" w:tplc="02107528">
      <w:numFmt w:val="bullet"/>
      <w:lvlText w:val="•"/>
      <w:lvlJc w:val="left"/>
      <w:pPr>
        <w:ind w:left="1440" w:hanging="360"/>
      </w:pPr>
      <w:rPr>
        <w:rFonts w:hint="default"/>
        <w:lang w:val="en-ZA"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2559AC"/>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63E87"/>
    <w:multiLevelType w:val="hybridMultilevel"/>
    <w:tmpl w:val="5CA8FA7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BA77AF"/>
    <w:multiLevelType w:val="hybridMultilevel"/>
    <w:tmpl w:val="5650C2E6"/>
    <w:lvl w:ilvl="0" w:tplc="F23475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2F12F9"/>
    <w:multiLevelType w:val="multilevel"/>
    <w:tmpl w:val="0D9A293A"/>
    <w:lvl w:ilvl="0">
      <w:start w:val="1"/>
      <w:numFmt w:val="decimal"/>
      <w:lvlText w:val="%1."/>
      <w:lvlJc w:val="left"/>
      <w:pPr>
        <w:tabs>
          <w:tab w:val="num" w:pos="567"/>
        </w:tabs>
        <w:ind w:left="567" w:hanging="567"/>
      </w:pPr>
      <w:rPr>
        <w:b w:val="0"/>
        <w:color w:val="auto"/>
      </w:rPr>
    </w:lvl>
    <w:lvl w:ilvl="1">
      <w:start w:val="1"/>
      <w:numFmt w:val="decimal"/>
      <w:lvlText w:val="%1.%2."/>
      <w:lvlJc w:val="left"/>
      <w:pPr>
        <w:tabs>
          <w:tab w:val="num" w:pos="1418"/>
        </w:tabs>
        <w:ind w:left="1418" w:hanging="851"/>
      </w:pPr>
      <w:rPr>
        <w:b w:val="0"/>
        <w:bCs/>
        <w:i w:val="0"/>
      </w:rPr>
    </w:lvl>
    <w:lvl w:ilvl="2">
      <w:start w:val="1"/>
      <w:numFmt w:val="decimal"/>
      <w:lvlText w:val="%1.%2.%3."/>
      <w:lvlJc w:val="left"/>
      <w:pPr>
        <w:tabs>
          <w:tab w:val="num" w:pos="2552"/>
        </w:tabs>
        <w:ind w:left="2552" w:hanging="113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0014F"/>
    <w:multiLevelType w:val="hybridMultilevel"/>
    <w:tmpl w:val="6A9682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1B19D2"/>
    <w:multiLevelType w:val="hybridMultilevel"/>
    <w:tmpl w:val="6C3CA472"/>
    <w:lvl w:ilvl="0" w:tplc="C682FD06">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811F28"/>
    <w:multiLevelType w:val="hybridMultilevel"/>
    <w:tmpl w:val="C1C08724"/>
    <w:lvl w:ilvl="0" w:tplc="05BEC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721913"/>
    <w:multiLevelType w:val="hybridMultilevel"/>
    <w:tmpl w:val="3A066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B04B5A"/>
    <w:multiLevelType w:val="hybridMultilevel"/>
    <w:tmpl w:val="9926B5B6"/>
    <w:lvl w:ilvl="0" w:tplc="C8366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A74C1C"/>
    <w:multiLevelType w:val="hybridMultilevel"/>
    <w:tmpl w:val="0644C984"/>
    <w:lvl w:ilvl="0" w:tplc="51B28D64">
      <w:start w:val="1"/>
      <w:numFmt w:val="decimal"/>
      <w:lvlText w:val="%1."/>
      <w:lvlJc w:val="left"/>
      <w:pPr>
        <w:ind w:left="820" w:hanging="360"/>
      </w:pPr>
      <w:rPr>
        <w:rFonts w:ascii="Arial" w:eastAsia="Arial" w:hAnsi="Arial" w:cs="Arial" w:hint="default"/>
        <w:spacing w:val="-2"/>
        <w:w w:val="100"/>
        <w:sz w:val="24"/>
        <w:szCs w:val="24"/>
        <w:lang w:val="en-ZA" w:eastAsia="en-US" w:bidi="ar-SA"/>
      </w:rPr>
    </w:lvl>
    <w:lvl w:ilvl="1" w:tplc="D0E20848">
      <w:numFmt w:val="bullet"/>
      <w:lvlText w:val=""/>
      <w:lvlJc w:val="left"/>
      <w:pPr>
        <w:ind w:left="1637" w:hanging="360"/>
      </w:pPr>
      <w:rPr>
        <w:rFonts w:ascii="Symbol" w:eastAsia="Symbol" w:hAnsi="Symbol" w:cs="Symbol" w:hint="default"/>
        <w:w w:val="100"/>
        <w:sz w:val="24"/>
        <w:szCs w:val="24"/>
        <w:lang w:val="en-ZA" w:eastAsia="en-US" w:bidi="ar-SA"/>
      </w:rPr>
    </w:lvl>
    <w:lvl w:ilvl="2" w:tplc="02107528">
      <w:numFmt w:val="bullet"/>
      <w:lvlText w:val="•"/>
      <w:lvlJc w:val="left"/>
      <w:pPr>
        <w:ind w:left="2460" w:hanging="360"/>
      </w:pPr>
      <w:rPr>
        <w:rFonts w:hint="default"/>
        <w:lang w:val="en-ZA" w:eastAsia="en-US" w:bidi="ar-SA"/>
      </w:rPr>
    </w:lvl>
    <w:lvl w:ilvl="3" w:tplc="24AC5C20">
      <w:numFmt w:val="bullet"/>
      <w:lvlText w:val="•"/>
      <w:lvlJc w:val="left"/>
      <w:pPr>
        <w:ind w:left="3381" w:hanging="360"/>
      </w:pPr>
      <w:rPr>
        <w:rFonts w:hint="default"/>
        <w:lang w:val="en-ZA" w:eastAsia="en-US" w:bidi="ar-SA"/>
      </w:rPr>
    </w:lvl>
    <w:lvl w:ilvl="4" w:tplc="9E9445C6">
      <w:numFmt w:val="bullet"/>
      <w:lvlText w:val="•"/>
      <w:lvlJc w:val="left"/>
      <w:pPr>
        <w:ind w:left="4302" w:hanging="360"/>
      </w:pPr>
      <w:rPr>
        <w:rFonts w:hint="default"/>
        <w:lang w:val="en-ZA" w:eastAsia="en-US" w:bidi="ar-SA"/>
      </w:rPr>
    </w:lvl>
    <w:lvl w:ilvl="5" w:tplc="1D5CCBA2">
      <w:numFmt w:val="bullet"/>
      <w:lvlText w:val="•"/>
      <w:lvlJc w:val="left"/>
      <w:pPr>
        <w:ind w:left="5223" w:hanging="360"/>
      </w:pPr>
      <w:rPr>
        <w:rFonts w:hint="default"/>
        <w:lang w:val="en-ZA" w:eastAsia="en-US" w:bidi="ar-SA"/>
      </w:rPr>
    </w:lvl>
    <w:lvl w:ilvl="6" w:tplc="C4EC3984">
      <w:numFmt w:val="bullet"/>
      <w:lvlText w:val="•"/>
      <w:lvlJc w:val="left"/>
      <w:pPr>
        <w:ind w:left="6144" w:hanging="360"/>
      </w:pPr>
      <w:rPr>
        <w:rFonts w:hint="default"/>
        <w:lang w:val="en-ZA" w:eastAsia="en-US" w:bidi="ar-SA"/>
      </w:rPr>
    </w:lvl>
    <w:lvl w:ilvl="7" w:tplc="EEF007A0">
      <w:numFmt w:val="bullet"/>
      <w:lvlText w:val="•"/>
      <w:lvlJc w:val="left"/>
      <w:pPr>
        <w:ind w:left="7065" w:hanging="360"/>
      </w:pPr>
      <w:rPr>
        <w:rFonts w:hint="default"/>
        <w:lang w:val="en-ZA" w:eastAsia="en-US" w:bidi="ar-SA"/>
      </w:rPr>
    </w:lvl>
    <w:lvl w:ilvl="8" w:tplc="CC9C0094">
      <w:numFmt w:val="bullet"/>
      <w:lvlText w:val="•"/>
      <w:lvlJc w:val="left"/>
      <w:pPr>
        <w:ind w:left="7986" w:hanging="360"/>
      </w:pPr>
      <w:rPr>
        <w:rFonts w:hint="default"/>
        <w:lang w:val="en-ZA" w:eastAsia="en-US" w:bidi="ar-SA"/>
      </w:rPr>
    </w:lvl>
  </w:abstractNum>
  <w:abstractNum w:abstractNumId="22" w15:restartNumberingAfterBreak="0">
    <w:nsid w:val="312C28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3723FF"/>
    <w:multiLevelType w:val="multilevel"/>
    <w:tmpl w:val="58A887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BEB601F"/>
    <w:multiLevelType w:val="multilevel"/>
    <w:tmpl w:val="58A887FE"/>
    <w:lvl w:ilvl="0">
      <w:start w:val="5"/>
      <w:numFmt w:val="decimal"/>
      <w:lvlText w:val="%1."/>
      <w:lvlJc w:val="left"/>
      <w:pPr>
        <w:ind w:left="390" w:hanging="390"/>
      </w:pPr>
      <w:rPr>
        <w:rFonts w:hint="default"/>
        <w:b w:val="0"/>
        <w:i w:val="0"/>
      </w:rPr>
    </w:lvl>
    <w:lvl w:ilvl="1">
      <w:start w:val="2"/>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25" w15:restartNumberingAfterBreak="0">
    <w:nsid w:val="434622E3"/>
    <w:multiLevelType w:val="multilevel"/>
    <w:tmpl w:val="331E8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D7231"/>
    <w:multiLevelType w:val="multilevel"/>
    <w:tmpl w:val="E9C0EABE"/>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4E71C22"/>
    <w:multiLevelType w:val="multilevel"/>
    <w:tmpl w:val="106AF102"/>
    <w:lvl w:ilvl="0">
      <w:start w:val="28"/>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B55DE5"/>
    <w:multiLevelType w:val="multilevel"/>
    <w:tmpl w:val="A98A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051A76"/>
    <w:multiLevelType w:val="multilevel"/>
    <w:tmpl w:val="8CB0B4AC"/>
    <w:lvl w:ilvl="0">
      <w:start w:val="1"/>
      <w:numFmt w:val="decimal"/>
      <w:lvlText w:val="%1."/>
      <w:lvlJc w:val="left"/>
      <w:pPr>
        <w:ind w:left="720" w:hanging="360"/>
      </w:pPr>
      <w:rPr>
        <w:b w:val="0"/>
        <w:i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0" w15:restartNumberingAfterBreak="0">
    <w:nsid w:val="528911B5"/>
    <w:multiLevelType w:val="hybridMultilevel"/>
    <w:tmpl w:val="FB02327C"/>
    <w:lvl w:ilvl="0" w:tplc="5F7A6A64">
      <w:start w:val="14"/>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073D25"/>
    <w:multiLevelType w:val="hybridMultilevel"/>
    <w:tmpl w:val="35E62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8C293D"/>
    <w:multiLevelType w:val="multilevel"/>
    <w:tmpl w:val="7988D62E"/>
    <w:lvl w:ilvl="0">
      <w:start w:val="1"/>
      <w:numFmt w:val="lowerLetter"/>
      <w:lvlText w:val="(%1)"/>
      <w:lvlJc w:val="left"/>
      <w:pPr>
        <w:tabs>
          <w:tab w:val="num" w:pos="851"/>
        </w:tabs>
        <w:ind w:left="851" w:hanging="851"/>
      </w:pPr>
      <w:rPr>
        <w:rFonts w:ascii="Arial" w:eastAsiaTheme="minorHAnsi" w:hAnsi="Arial" w:cs="Arial"/>
        <w:b w:val="0"/>
        <w:bCs w:val="0"/>
      </w:rPr>
    </w:lvl>
    <w:lvl w:ilvl="1">
      <w:start w:val="1"/>
      <w:numFmt w:val="lowerRoman"/>
      <w:lvlText w:val="(%2)"/>
      <w:lvlJc w:val="left"/>
      <w:pPr>
        <w:tabs>
          <w:tab w:val="num" w:pos="1701"/>
        </w:tabs>
        <w:ind w:left="1701" w:hanging="850"/>
      </w:pPr>
      <w:rPr>
        <w:rFonts w:ascii="Arial" w:eastAsia="Arial" w:hAnsi="Arial" w:cs="Arial"/>
        <w:b w:val="0"/>
        <w:bCs w:val="0"/>
        <w:i w:val="0"/>
        <w:iCs w:val="0"/>
      </w:rPr>
    </w:lvl>
    <w:lvl w:ilvl="2">
      <w:start w:val="1"/>
      <w:numFmt w:val="decimal"/>
      <w:lvlText w:val="%1.%2.%3."/>
      <w:lvlJc w:val="left"/>
      <w:pPr>
        <w:tabs>
          <w:tab w:val="num" w:pos="2835"/>
        </w:tabs>
        <w:ind w:left="2835" w:hanging="1134"/>
      </w:pPr>
      <w:rPr>
        <w:color w:val="000000" w:themeColor="text1"/>
      </w:rPr>
    </w:lvl>
    <w:lvl w:ilvl="3">
      <w:start w:val="1"/>
      <w:numFmt w:val="decimal"/>
      <w:lvlText w:val="%1.%2.%3.%4."/>
      <w:lvlJc w:val="left"/>
      <w:pPr>
        <w:tabs>
          <w:tab w:val="num" w:pos="3969"/>
        </w:tabs>
        <w:ind w:left="3969"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AD378F"/>
    <w:multiLevelType w:val="multilevel"/>
    <w:tmpl w:val="817CE2D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EC3AD4"/>
    <w:multiLevelType w:val="hybridMultilevel"/>
    <w:tmpl w:val="0CA2E45C"/>
    <w:lvl w:ilvl="0" w:tplc="3BDE385C">
      <w:start w:val="7"/>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254972"/>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33A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6DAC2703"/>
    <w:multiLevelType w:val="hybridMultilevel"/>
    <w:tmpl w:val="2B1ACA1E"/>
    <w:lvl w:ilvl="0" w:tplc="3056BD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B74F21"/>
    <w:multiLevelType w:val="multilevel"/>
    <w:tmpl w:val="7CFEC014"/>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79449E5"/>
    <w:multiLevelType w:val="hybridMultilevel"/>
    <w:tmpl w:val="7A36D128"/>
    <w:lvl w:ilvl="0" w:tplc="194E0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AE6097A"/>
    <w:multiLevelType w:val="multilevel"/>
    <w:tmpl w:val="6F8CBD84"/>
    <w:lvl w:ilvl="0">
      <w:start w:val="9"/>
      <w:numFmt w:val="decimal"/>
      <w:lvlText w:val="%1."/>
      <w:lvlJc w:val="left"/>
      <w:pPr>
        <w:ind w:left="78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190"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450" w:hanging="1800"/>
      </w:pPr>
      <w:rPr>
        <w:rFonts w:hint="default"/>
      </w:rPr>
    </w:lvl>
    <w:lvl w:ilvl="8">
      <w:start w:val="1"/>
      <w:numFmt w:val="decimal"/>
      <w:lvlText w:val="%1.%2.%3.%4.%5.%6.%7.%8.%9."/>
      <w:lvlJc w:val="left"/>
      <w:pPr>
        <w:ind w:left="3990" w:hanging="2160"/>
      </w:pPr>
      <w:rPr>
        <w:rFonts w:hint="default"/>
      </w:rPr>
    </w:lvl>
  </w:abstractNum>
  <w:abstractNum w:abstractNumId="42" w15:restartNumberingAfterBreak="0">
    <w:nsid w:val="7B2D5106"/>
    <w:multiLevelType w:val="hybridMultilevel"/>
    <w:tmpl w:val="3BCAF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3B6958"/>
    <w:multiLevelType w:val="multilevel"/>
    <w:tmpl w:val="3420372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2"/>
  </w:num>
  <w:num w:numId="3">
    <w:abstractNumId w:val="10"/>
  </w:num>
  <w:num w:numId="4">
    <w:abstractNumId w:val="1"/>
  </w:num>
  <w:num w:numId="5">
    <w:abstractNumId w:val="30"/>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7"/>
  </w:num>
  <w:num w:numId="12">
    <w:abstractNumId w:val="41"/>
  </w:num>
  <w:num w:numId="13">
    <w:abstractNumId w:val="7"/>
  </w:num>
  <w:num w:numId="14">
    <w:abstractNumId w:val="34"/>
  </w:num>
  <w:num w:numId="15">
    <w:abstractNumId w:val="27"/>
  </w:num>
  <w:num w:numId="16">
    <w:abstractNumId w:val="12"/>
  </w:num>
  <w:num w:numId="17">
    <w:abstractNumId w:val="39"/>
  </w:num>
  <w:num w:numId="18">
    <w:abstractNumId w:val="23"/>
  </w:num>
  <w:num w:numId="19">
    <w:abstractNumId w:val="24"/>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5"/>
  </w:num>
  <w:num w:numId="25">
    <w:abstractNumId w:val="37"/>
  </w:num>
  <w:num w:numId="26">
    <w:abstractNumId w:val="37"/>
  </w:num>
  <w:num w:numId="27">
    <w:abstractNumId w:val="37"/>
  </w:num>
  <w:num w:numId="28">
    <w:abstractNumId w:val="37"/>
  </w:num>
  <w:num w:numId="29">
    <w:abstractNumId w:val="43"/>
  </w:num>
  <w:num w:numId="30">
    <w:abstractNumId w:val="6"/>
  </w:num>
  <w:num w:numId="31">
    <w:abstractNumId w:val="3"/>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
  </w:num>
  <w:num w:numId="38">
    <w:abstractNumId w:val="22"/>
  </w:num>
  <w:num w:numId="39">
    <w:abstractNumId w:val="18"/>
  </w:num>
  <w:num w:numId="40">
    <w:abstractNumId w:val="36"/>
  </w:num>
  <w:num w:numId="41">
    <w:abstractNumId w:val="40"/>
  </w:num>
  <w:num w:numId="42">
    <w:abstractNumId w:val="20"/>
  </w:num>
  <w:num w:numId="43">
    <w:abstractNumId w:val="38"/>
  </w:num>
  <w:num w:numId="44">
    <w:abstractNumId w:val="17"/>
  </w:num>
  <w:num w:numId="45">
    <w:abstractNumId w:val="13"/>
  </w:num>
  <w:num w:numId="46">
    <w:abstractNumId w:val="16"/>
  </w:num>
  <w:num w:numId="47">
    <w:abstractNumId w:val="5"/>
  </w:num>
  <w:num w:numId="48">
    <w:abstractNumId w:val="9"/>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2810"/>
    <w:rsid w:val="00002E08"/>
    <w:rsid w:val="000051C1"/>
    <w:rsid w:val="000064CB"/>
    <w:rsid w:val="000152EB"/>
    <w:rsid w:val="00017608"/>
    <w:rsid w:val="0002190A"/>
    <w:rsid w:val="00024B9F"/>
    <w:rsid w:val="00031D0F"/>
    <w:rsid w:val="0003655F"/>
    <w:rsid w:val="000378BE"/>
    <w:rsid w:val="00040F8E"/>
    <w:rsid w:val="00042DB7"/>
    <w:rsid w:val="00042E5C"/>
    <w:rsid w:val="00042FB9"/>
    <w:rsid w:val="0006290C"/>
    <w:rsid w:val="00070805"/>
    <w:rsid w:val="0007687D"/>
    <w:rsid w:val="00081FA8"/>
    <w:rsid w:val="0008226F"/>
    <w:rsid w:val="00082668"/>
    <w:rsid w:val="00084F3D"/>
    <w:rsid w:val="0009018D"/>
    <w:rsid w:val="000A0FD0"/>
    <w:rsid w:val="000A36CF"/>
    <w:rsid w:val="000A3932"/>
    <w:rsid w:val="000A4FE7"/>
    <w:rsid w:val="000A7955"/>
    <w:rsid w:val="000B3588"/>
    <w:rsid w:val="000B5145"/>
    <w:rsid w:val="000B5B77"/>
    <w:rsid w:val="000B5FE5"/>
    <w:rsid w:val="000B79F6"/>
    <w:rsid w:val="000C4C1B"/>
    <w:rsid w:val="000C61F1"/>
    <w:rsid w:val="000C69C2"/>
    <w:rsid w:val="000C73BA"/>
    <w:rsid w:val="000D2C08"/>
    <w:rsid w:val="000D650A"/>
    <w:rsid w:val="000D7461"/>
    <w:rsid w:val="000E255B"/>
    <w:rsid w:val="000E59C3"/>
    <w:rsid w:val="000E6B2A"/>
    <w:rsid w:val="000F14B9"/>
    <w:rsid w:val="000F346E"/>
    <w:rsid w:val="000F637D"/>
    <w:rsid w:val="00106D47"/>
    <w:rsid w:val="00107FE3"/>
    <w:rsid w:val="00110838"/>
    <w:rsid w:val="0011133B"/>
    <w:rsid w:val="0011375F"/>
    <w:rsid w:val="001163F8"/>
    <w:rsid w:val="00116608"/>
    <w:rsid w:val="00122412"/>
    <w:rsid w:val="00126247"/>
    <w:rsid w:val="00132153"/>
    <w:rsid w:val="001338B0"/>
    <w:rsid w:val="00134725"/>
    <w:rsid w:val="00135B7E"/>
    <w:rsid w:val="00143946"/>
    <w:rsid w:val="00145C33"/>
    <w:rsid w:val="00146421"/>
    <w:rsid w:val="0015303D"/>
    <w:rsid w:val="001542B5"/>
    <w:rsid w:val="001564DE"/>
    <w:rsid w:val="00157B45"/>
    <w:rsid w:val="00157CE8"/>
    <w:rsid w:val="00160742"/>
    <w:rsid w:val="00166F0E"/>
    <w:rsid w:val="00176520"/>
    <w:rsid w:val="00183D92"/>
    <w:rsid w:val="00185826"/>
    <w:rsid w:val="001868BF"/>
    <w:rsid w:val="0018745B"/>
    <w:rsid w:val="0019040C"/>
    <w:rsid w:val="0019182A"/>
    <w:rsid w:val="001A367D"/>
    <w:rsid w:val="001A491C"/>
    <w:rsid w:val="001A5406"/>
    <w:rsid w:val="001A672B"/>
    <w:rsid w:val="001A79C4"/>
    <w:rsid w:val="001B2B13"/>
    <w:rsid w:val="001B5BE6"/>
    <w:rsid w:val="001C23A5"/>
    <w:rsid w:val="001D3EA9"/>
    <w:rsid w:val="001D584D"/>
    <w:rsid w:val="001D621D"/>
    <w:rsid w:val="001D6A59"/>
    <w:rsid w:val="001E02AD"/>
    <w:rsid w:val="001E1070"/>
    <w:rsid w:val="001E14D0"/>
    <w:rsid w:val="001E528D"/>
    <w:rsid w:val="001E6979"/>
    <w:rsid w:val="001F18B8"/>
    <w:rsid w:val="001F416C"/>
    <w:rsid w:val="002106D2"/>
    <w:rsid w:val="002129B9"/>
    <w:rsid w:val="00213925"/>
    <w:rsid w:val="00217E6E"/>
    <w:rsid w:val="00221330"/>
    <w:rsid w:val="00225079"/>
    <w:rsid w:val="00227C4A"/>
    <w:rsid w:val="00232B30"/>
    <w:rsid w:val="0023529D"/>
    <w:rsid w:val="00235DEC"/>
    <w:rsid w:val="002419FE"/>
    <w:rsid w:val="002474CA"/>
    <w:rsid w:val="00254592"/>
    <w:rsid w:val="00257C9C"/>
    <w:rsid w:val="00263A34"/>
    <w:rsid w:val="002820EC"/>
    <w:rsid w:val="00284662"/>
    <w:rsid w:val="002851D1"/>
    <w:rsid w:val="0028635F"/>
    <w:rsid w:val="002A0B9D"/>
    <w:rsid w:val="002B1E85"/>
    <w:rsid w:val="002B41BF"/>
    <w:rsid w:val="002B42BA"/>
    <w:rsid w:val="002B55BC"/>
    <w:rsid w:val="002B6F3E"/>
    <w:rsid w:val="002C0A73"/>
    <w:rsid w:val="002C0CD1"/>
    <w:rsid w:val="002C27B8"/>
    <w:rsid w:val="002C40D6"/>
    <w:rsid w:val="002C541F"/>
    <w:rsid w:val="002D2866"/>
    <w:rsid w:val="002D47BE"/>
    <w:rsid w:val="002D501D"/>
    <w:rsid w:val="002D6FAC"/>
    <w:rsid w:val="002E1236"/>
    <w:rsid w:val="002E4E40"/>
    <w:rsid w:val="002E74C6"/>
    <w:rsid w:val="002F07AD"/>
    <w:rsid w:val="002F16FF"/>
    <w:rsid w:val="002F255D"/>
    <w:rsid w:val="002F4177"/>
    <w:rsid w:val="002F47A7"/>
    <w:rsid w:val="00310530"/>
    <w:rsid w:val="003115A1"/>
    <w:rsid w:val="00317C2A"/>
    <w:rsid w:val="0032502A"/>
    <w:rsid w:val="003259B9"/>
    <w:rsid w:val="00331252"/>
    <w:rsid w:val="00331BD1"/>
    <w:rsid w:val="003331B2"/>
    <w:rsid w:val="00334C95"/>
    <w:rsid w:val="00335876"/>
    <w:rsid w:val="00337C87"/>
    <w:rsid w:val="00344127"/>
    <w:rsid w:val="0035010D"/>
    <w:rsid w:val="00354480"/>
    <w:rsid w:val="00355D4F"/>
    <w:rsid w:val="0035629A"/>
    <w:rsid w:val="00365813"/>
    <w:rsid w:val="0036600A"/>
    <w:rsid w:val="00367FDC"/>
    <w:rsid w:val="00377C39"/>
    <w:rsid w:val="003827A0"/>
    <w:rsid w:val="00384B46"/>
    <w:rsid w:val="003876CF"/>
    <w:rsid w:val="00387A6C"/>
    <w:rsid w:val="003912D9"/>
    <w:rsid w:val="003949CC"/>
    <w:rsid w:val="003957AA"/>
    <w:rsid w:val="003A3159"/>
    <w:rsid w:val="003B224D"/>
    <w:rsid w:val="003B6BC7"/>
    <w:rsid w:val="003C01FC"/>
    <w:rsid w:val="003C2158"/>
    <w:rsid w:val="003C3BFA"/>
    <w:rsid w:val="003C3ECB"/>
    <w:rsid w:val="003C46A9"/>
    <w:rsid w:val="003C516A"/>
    <w:rsid w:val="003C764F"/>
    <w:rsid w:val="003C777E"/>
    <w:rsid w:val="003D1D60"/>
    <w:rsid w:val="003D215B"/>
    <w:rsid w:val="003D6849"/>
    <w:rsid w:val="003D7896"/>
    <w:rsid w:val="003D7D0C"/>
    <w:rsid w:val="003E0760"/>
    <w:rsid w:val="003E086C"/>
    <w:rsid w:val="003E1A89"/>
    <w:rsid w:val="003E23FC"/>
    <w:rsid w:val="003E4E07"/>
    <w:rsid w:val="003E57F8"/>
    <w:rsid w:val="003E6688"/>
    <w:rsid w:val="003E6E55"/>
    <w:rsid w:val="003F0D2B"/>
    <w:rsid w:val="003F0D98"/>
    <w:rsid w:val="003F547F"/>
    <w:rsid w:val="003F5E1E"/>
    <w:rsid w:val="00401E39"/>
    <w:rsid w:val="004054BD"/>
    <w:rsid w:val="0040614A"/>
    <w:rsid w:val="004178C6"/>
    <w:rsid w:val="00433359"/>
    <w:rsid w:val="00436103"/>
    <w:rsid w:val="00441E7B"/>
    <w:rsid w:val="004428AC"/>
    <w:rsid w:val="0044565B"/>
    <w:rsid w:val="00446BA9"/>
    <w:rsid w:val="00451D64"/>
    <w:rsid w:val="00454097"/>
    <w:rsid w:val="00454DA7"/>
    <w:rsid w:val="0045707A"/>
    <w:rsid w:val="00460C9F"/>
    <w:rsid w:val="00466DBC"/>
    <w:rsid w:val="0047698F"/>
    <w:rsid w:val="00477C7C"/>
    <w:rsid w:val="00484851"/>
    <w:rsid w:val="004856B6"/>
    <w:rsid w:val="004A0EDB"/>
    <w:rsid w:val="004A40B1"/>
    <w:rsid w:val="004A62D5"/>
    <w:rsid w:val="004A77B9"/>
    <w:rsid w:val="004B227C"/>
    <w:rsid w:val="004B2E8A"/>
    <w:rsid w:val="004B3C8F"/>
    <w:rsid w:val="004C0662"/>
    <w:rsid w:val="004C4C42"/>
    <w:rsid w:val="004C5B89"/>
    <w:rsid w:val="004D07D6"/>
    <w:rsid w:val="004D638E"/>
    <w:rsid w:val="004D6996"/>
    <w:rsid w:val="004E09D0"/>
    <w:rsid w:val="004E10FC"/>
    <w:rsid w:val="004E3010"/>
    <w:rsid w:val="004F435E"/>
    <w:rsid w:val="004F77ED"/>
    <w:rsid w:val="0051334B"/>
    <w:rsid w:val="00520ADD"/>
    <w:rsid w:val="00521E42"/>
    <w:rsid w:val="00524B04"/>
    <w:rsid w:val="0052537B"/>
    <w:rsid w:val="00530238"/>
    <w:rsid w:val="00541093"/>
    <w:rsid w:val="0054518D"/>
    <w:rsid w:val="00553467"/>
    <w:rsid w:val="00554386"/>
    <w:rsid w:val="005543A4"/>
    <w:rsid w:val="00554E5A"/>
    <w:rsid w:val="00555DCA"/>
    <w:rsid w:val="00556712"/>
    <w:rsid w:val="005568C9"/>
    <w:rsid w:val="00560F8A"/>
    <w:rsid w:val="00565F1F"/>
    <w:rsid w:val="00572E3F"/>
    <w:rsid w:val="0057338B"/>
    <w:rsid w:val="00575D36"/>
    <w:rsid w:val="005761EE"/>
    <w:rsid w:val="00577173"/>
    <w:rsid w:val="00577CFD"/>
    <w:rsid w:val="00581001"/>
    <w:rsid w:val="00582AD7"/>
    <w:rsid w:val="00584101"/>
    <w:rsid w:val="00594268"/>
    <w:rsid w:val="00597D47"/>
    <w:rsid w:val="005A0677"/>
    <w:rsid w:val="005A2277"/>
    <w:rsid w:val="005A32FE"/>
    <w:rsid w:val="005A6148"/>
    <w:rsid w:val="005A630A"/>
    <w:rsid w:val="005A6AE2"/>
    <w:rsid w:val="005B7AD3"/>
    <w:rsid w:val="005C3DB0"/>
    <w:rsid w:val="005C5498"/>
    <w:rsid w:val="005C5DFD"/>
    <w:rsid w:val="005E40BF"/>
    <w:rsid w:val="005E423E"/>
    <w:rsid w:val="005F3799"/>
    <w:rsid w:val="005F3B34"/>
    <w:rsid w:val="005F66EB"/>
    <w:rsid w:val="005F7123"/>
    <w:rsid w:val="006024F3"/>
    <w:rsid w:val="00607AE9"/>
    <w:rsid w:val="00613579"/>
    <w:rsid w:val="00616593"/>
    <w:rsid w:val="00623E01"/>
    <w:rsid w:val="00624045"/>
    <w:rsid w:val="00624361"/>
    <w:rsid w:val="00634C59"/>
    <w:rsid w:val="0063505F"/>
    <w:rsid w:val="006352B1"/>
    <w:rsid w:val="00635ABF"/>
    <w:rsid w:val="00637166"/>
    <w:rsid w:val="00644808"/>
    <w:rsid w:val="006508E5"/>
    <w:rsid w:val="00660663"/>
    <w:rsid w:val="00660890"/>
    <w:rsid w:val="006639D9"/>
    <w:rsid w:val="00664D29"/>
    <w:rsid w:val="006650B3"/>
    <w:rsid w:val="006662CA"/>
    <w:rsid w:val="006663FE"/>
    <w:rsid w:val="00666C13"/>
    <w:rsid w:val="0067684C"/>
    <w:rsid w:val="00676E34"/>
    <w:rsid w:val="00677359"/>
    <w:rsid w:val="0068001D"/>
    <w:rsid w:val="006817D2"/>
    <w:rsid w:val="00682B84"/>
    <w:rsid w:val="0068303B"/>
    <w:rsid w:val="00687F47"/>
    <w:rsid w:val="006912E0"/>
    <w:rsid w:val="00692FDA"/>
    <w:rsid w:val="00694308"/>
    <w:rsid w:val="00696D1B"/>
    <w:rsid w:val="006A09E5"/>
    <w:rsid w:val="006A18DD"/>
    <w:rsid w:val="006A1BE8"/>
    <w:rsid w:val="006A3DEE"/>
    <w:rsid w:val="006A4FAB"/>
    <w:rsid w:val="006B3940"/>
    <w:rsid w:val="006B4C83"/>
    <w:rsid w:val="006B5381"/>
    <w:rsid w:val="006C1123"/>
    <w:rsid w:val="006C3921"/>
    <w:rsid w:val="006C5EE2"/>
    <w:rsid w:val="006C63A4"/>
    <w:rsid w:val="006C6897"/>
    <w:rsid w:val="006D28DB"/>
    <w:rsid w:val="006D40A9"/>
    <w:rsid w:val="006D6573"/>
    <w:rsid w:val="006E2168"/>
    <w:rsid w:val="006E2385"/>
    <w:rsid w:val="006F278E"/>
    <w:rsid w:val="006F31B2"/>
    <w:rsid w:val="006F4E4F"/>
    <w:rsid w:val="007065B6"/>
    <w:rsid w:val="00711B2C"/>
    <w:rsid w:val="00721CEE"/>
    <w:rsid w:val="00723156"/>
    <w:rsid w:val="00723999"/>
    <w:rsid w:val="00726DBF"/>
    <w:rsid w:val="00727499"/>
    <w:rsid w:val="007318AA"/>
    <w:rsid w:val="00736740"/>
    <w:rsid w:val="00736FA5"/>
    <w:rsid w:val="0073730B"/>
    <w:rsid w:val="00740A73"/>
    <w:rsid w:val="0074273F"/>
    <w:rsid w:val="00752D47"/>
    <w:rsid w:val="00754F1D"/>
    <w:rsid w:val="007564C3"/>
    <w:rsid w:val="00761BA8"/>
    <w:rsid w:val="007655D0"/>
    <w:rsid w:val="00767717"/>
    <w:rsid w:val="007721C6"/>
    <w:rsid w:val="00772FBF"/>
    <w:rsid w:val="00774918"/>
    <w:rsid w:val="0077491F"/>
    <w:rsid w:val="007765EA"/>
    <w:rsid w:val="0078025B"/>
    <w:rsid w:val="00791098"/>
    <w:rsid w:val="00791EA8"/>
    <w:rsid w:val="007A272E"/>
    <w:rsid w:val="007A673D"/>
    <w:rsid w:val="007A7281"/>
    <w:rsid w:val="007A734B"/>
    <w:rsid w:val="007B4281"/>
    <w:rsid w:val="007B59F5"/>
    <w:rsid w:val="007B6421"/>
    <w:rsid w:val="007C0D98"/>
    <w:rsid w:val="007C5F73"/>
    <w:rsid w:val="007D1895"/>
    <w:rsid w:val="007D4A4C"/>
    <w:rsid w:val="007E14AD"/>
    <w:rsid w:val="007E1591"/>
    <w:rsid w:val="007E29D5"/>
    <w:rsid w:val="007E3CE3"/>
    <w:rsid w:val="007E423C"/>
    <w:rsid w:val="007E5EC7"/>
    <w:rsid w:val="007E7B6E"/>
    <w:rsid w:val="007F14C3"/>
    <w:rsid w:val="007F28E5"/>
    <w:rsid w:val="007F2E20"/>
    <w:rsid w:val="007F526A"/>
    <w:rsid w:val="007F69B2"/>
    <w:rsid w:val="00802D83"/>
    <w:rsid w:val="00810C25"/>
    <w:rsid w:val="008153AF"/>
    <w:rsid w:val="00816CEF"/>
    <w:rsid w:val="00817004"/>
    <w:rsid w:val="00817CE3"/>
    <w:rsid w:val="00821805"/>
    <w:rsid w:val="00823EA2"/>
    <w:rsid w:val="0083146C"/>
    <w:rsid w:val="00840770"/>
    <w:rsid w:val="00840EF3"/>
    <w:rsid w:val="008449E4"/>
    <w:rsid w:val="00845A8D"/>
    <w:rsid w:val="00851E5A"/>
    <w:rsid w:val="00852311"/>
    <w:rsid w:val="0085261E"/>
    <w:rsid w:val="008546FB"/>
    <w:rsid w:val="008579F2"/>
    <w:rsid w:val="0086742B"/>
    <w:rsid w:val="008676AB"/>
    <w:rsid w:val="00873981"/>
    <w:rsid w:val="008767E9"/>
    <w:rsid w:val="00877FFE"/>
    <w:rsid w:val="00887168"/>
    <w:rsid w:val="00895EC6"/>
    <w:rsid w:val="008A1FC2"/>
    <w:rsid w:val="008A394A"/>
    <w:rsid w:val="008A42DA"/>
    <w:rsid w:val="008B28DD"/>
    <w:rsid w:val="008B2B92"/>
    <w:rsid w:val="008B760D"/>
    <w:rsid w:val="008C000A"/>
    <w:rsid w:val="008C135B"/>
    <w:rsid w:val="008D0A81"/>
    <w:rsid w:val="008D6D91"/>
    <w:rsid w:val="008E6316"/>
    <w:rsid w:val="008E7E7E"/>
    <w:rsid w:val="008F3A26"/>
    <w:rsid w:val="008F4C36"/>
    <w:rsid w:val="008F53BB"/>
    <w:rsid w:val="00900496"/>
    <w:rsid w:val="00902A88"/>
    <w:rsid w:val="00903B9B"/>
    <w:rsid w:val="00912901"/>
    <w:rsid w:val="0091338B"/>
    <w:rsid w:val="00920E47"/>
    <w:rsid w:val="009218F9"/>
    <w:rsid w:val="0092342B"/>
    <w:rsid w:val="009247C8"/>
    <w:rsid w:val="009251D5"/>
    <w:rsid w:val="00926F2C"/>
    <w:rsid w:val="00932C44"/>
    <w:rsid w:val="00935AC6"/>
    <w:rsid w:val="00935ECF"/>
    <w:rsid w:val="00942258"/>
    <w:rsid w:val="00942379"/>
    <w:rsid w:val="0094347F"/>
    <w:rsid w:val="009477FC"/>
    <w:rsid w:val="009517CB"/>
    <w:rsid w:val="0095297C"/>
    <w:rsid w:val="00952BFD"/>
    <w:rsid w:val="0095328A"/>
    <w:rsid w:val="00954AAE"/>
    <w:rsid w:val="009660C7"/>
    <w:rsid w:val="00974995"/>
    <w:rsid w:val="0097499A"/>
    <w:rsid w:val="009771C9"/>
    <w:rsid w:val="00980463"/>
    <w:rsid w:val="00984F9A"/>
    <w:rsid w:val="009856D9"/>
    <w:rsid w:val="00992631"/>
    <w:rsid w:val="0099573F"/>
    <w:rsid w:val="009A3DD6"/>
    <w:rsid w:val="009A48EC"/>
    <w:rsid w:val="009A67A5"/>
    <w:rsid w:val="009B1052"/>
    <w:rsid w:val="009B65F0"/>
    <w:rsid w:val="009B6DB2"/>
    <w:rsid w:val="009B712E"/>
    <w:rsid w:val="009B7742"/>
    <w:rsid w:val="009C13B4"/>
    <w:rsid w:val="009C2451"/>
    <w:rsid w:val="009C6E1B"/>
    <w:rsid w:val="009D522A"/>
    <w:rsid w:val="009D6817"/>
    <w:rsid w:val="009D73B3"/>
    <w:rsid w:val="009D74FE"/>
    <w:rsid w:val="009E07EC"/>
    <w:rsid w:val="009E12F9"/>
    <w:rsid w:val="009E219F"/>
    <w:rsid w:val="009E23FB"/>
    <w:rsid w:val="009F0F42"/>
    <w:rsid w:val="009F4070"/>
    <w:rsid w:val="009F64A2"/>
    <w:rsid w:val="00A00E40"/>
    <w:rsid w:val="00A020ED"/>
    <w:rsid w:val="00A257AF"/>
    <w:rsid w:val="00A30AE5"/>
    <w:rsid w:val="00A37A26"/>
    <w:rsid w:val="00A41B1B"/>
    <w:rsid w:val="00A41BB1"/>
    <w:rsid w:val="00A50570"/>
    <w:rsid w:val="00A50FBC"/>
    <w:rsid w:val="00A52204"/>
    <w:rsid w:val="00A55D23"/>
    <w:rsid w:val="00A613FA"/>
    <w:rsid w:val="00A621FB"/>
    <w:rsid w:val="00A63F0A"/>
    <w:rsid w:val="00A670D8"/>
    <w:rsid w:val="00A70530"/>
    <w:rsid w:val="00A70770"/>
    <w:rsid w:val="00A71B15"/>
    <w:rsid w:val="00A80405"/>
    <w:rsid w:val="00A8151A"/>
    <w:rsid w:val="00A83C62"/>
    <w:rsid w:val="00A902E8"/>
    <w:rsid w:val="00A9457A"/>
    <w:rsid w:val="00AA0FE9"/>
    <w:rsid w:val="00AA16CC"/>
    <w:rsid w:val="00AA319D"/>
    <w:rsid w:val="00AA402A"/>
    <w:rsid w:val="00AA4E18"/>
    <w:rsid w:val="00AA7F75"/>
    <w:rsid w:val="00AB37AE"/>
    <w:rsid w:val="00AB3843"/>
    <w:rsid w:val="00AB5DCC"/>
    <w:rsid w:val="00AB76D9"/>
    <w:rsid w:val="00AC192F"/>
    <w:rsid w:val="00AC68AC"/>
    <w:rsid w:val="00AC714E"/>
    <w:rsid w:val="00AE1C6E"/>
    <w:rsid w:val="00AE6F50"/>
    <w:rsid w:val="00AE6FAC"/>
    <w:rsid w:val="00AE7635"/>
    <w:rsid w:val="00AF47A0"/>
    <w:rsid w:val="00AF5C0D"/>
    <w:rsid w:val="00B10665"/>
    <w:rsid w:val="00B11B5A"/>
    <w:rsid w:val="00B14DF2"/>
    <w:rsid w:val="00B16B44"/>
    <w:rsid w:val="00B21083"/>
    <w:rsid w:val="00B21B11"/>
    <w:rsid w:val="00B32C1A"/>
    <w:rsid w:val="00B356C9"/>
    <w:rsid w:val="00B368E2"/>
    <w:rsid w:val="00B404CF"/>
    <w:rsid w:val="00B457D9"/>
    <w:rsid w:val="00B62033"/>
    <w:rsid w:val="00B6245E"/>
    <w:rsid w:val="00B62477"/>
    <w:rsid w:val="00B646B8"/>
    <w:rsid w:val="00B70F1F"/>
    <w:rsid w:val="00B818D3"/>
    <w:rsid w:val="00B84349"/>
    <w:rsid w:val="00B87EE3"/>
    <w:rsid w:val="00BA14D1"/>
    <w:rsid w:val="00BA4A24"/>
    <w:rsid w:val="00BA56AD"/>
    <w:rsid w:val="00BB2D91"/>
    <w:rsid w:val="00BB395B"/>
    <w:rsid w:val="00BB694E"/>
    <w:rsid w:val="00BB72FB"/>
    <w:rsid w:val="00BB77A6"/>
    <w:rsid w:val="00BC3000"/>
    <w:rsid w:val="00BC5599"/>
    <w:rsid w:val="00BC6073"/>
    <w:rsid w:val="00BC6B01"/>
    <w:rsid w:val="00BD00BB"/>
    <w:rsid w:val="00BD06D9"/>
    <w:rsid w:val="00BD660F"/>
    <w:rsid w:val="00BE3BCC"/>
    <w:rsid w:val="00BF1D23"/>
    <w:rsid w:val="00BF208C"/>
    <w:rsid w:val="00BF2B02"/>
    <w:rsid w:val="00BF7AB5"/>
    <w:rsid w:val="00BF7B28"/>
    <w:rsid w:val="00C015CD"/>
    <w:rsid w:val="00C020BB"/>
    <w:rsid w:val="00C14927"/>
    <w:rsid w:val="00C162CE"/>
    <w:rsid w:val="00C2054D"/>
    <w:rsid w:val="00C20914"/>
    <w:rsid w:val="00C26A20"/>
    <w:rsid w:val="00C27042"/>
    <w:rsid w:val="00C31967"/>
    <w:rsid w:val="00C33874"/>
    <w:rsid w:val="00C34557"/>
    <w:rsid w:val="00C37811"/>
    <w:rsid w:val="00C37896"/>
    <w:rsid w:val="00C40443"/>
    <w:rsid w:val="00C50334"/>
    <w:rsid w:val="00C50EDA"/>
    <w:rsid w:val="00C5318D"/>
    <w:rsid w:val="00C53D34"/>
    <w:rsid w:val="00C6127D"/>
    <w:rsid w:val="00C648F7"/>
    <w:rsid w:val="00C661EA"/>
    <w:rsid w:val="00C700A0"/>
    <w:rsid w:val="00C74487"/>
    <w:rsid w:val="00C766DC"/>
    <w:rsid w:val="00C80712"/>
    <w:rsid w:val="00C82888"/>
    <w:rsid w:val="00C91E24"/>
    <w:rsid w:val="00CA0210"/>
    <w:rsid w:val="00CB4400"/>
    <w:rsid w:val="00CC099D"/>
    <w:rsid w:val="00CC123F"/>
    <w:rsid w:val="00CC5303"/>
    <w:rsid w:val="00CD1997"/>
    <w:rsid w:val="00CD271D"/>
    <w:rsid w:val="00CD495C"/>
    <w:rsid w:val="00CD6673"/>
    <w:rsid w:val="00CE11B0"/>
    <w:rsid w:val="00CE25C5"/>
    <w:rsid w:val="00CE5415"/>
    <w:rsid w:val="00CE6B18"/>
    <w:rsid w:val="00CF282E"/>
    <w:rsid w:val="00CF2CA7"/>
    <w:rsid w:val="00CF4169"/>
    <w:rsid w:val="00CF512F"/>
    <w:rsid w:val="00CF573D"/>
    <w:rsid w:val="00CF664A"/>
    <w:rsid w:val="00CF746D"/>
    <w:rsid w:val="00D000CB"/>
    <w:rsid w:val="00D032A0"/>
    <w:rsid w:val="00D03FB4"/>
    <w:rsid w:val="00D1462F"/>
    <w:rsid w:val="00D22E5C"/>
    <w:rsid w:val="00D325BD"/>
    <w:rsid w:val="00D33EC3"/>
    <w:rsid w:val="00D40FEF"/>
    <w:rsid w:val="00D4213E"/>
    <w:rsid w:val="00D43B37"/>
    <w:rsid w:val="00D444E7"/>
    <w:rsid w:val="00D44C56"/>
    <w:rsid w:val="00D45FE0"/>
    <w:rsid w:val="00D462AA"/>
    <w:rsid w:val="00D51AA4"/>
    <w:rsid w:val="00D5368D"/>
    <w:rsid w:val="00D55A3D"/>
    <w:rsid w:val="00D55EBA"/>
    <w:rsid w:val="00D61C59"/>
    <w:rsid w:val="00D65572"/>
    <w:rsid w:val="00D72AD0"/>
    <w:rsid w:val="00D74C91"/>
    <w:rsid w:val="00D75E50"/>
    <w:rsid w:val="00D83A9D"/>
    <w:rsid w:val="00D8638A"/>
    <w:rsid w:val="00D87A5C"/>
    <w:rsid w:val="00D91E7B"/>
    <w:rsid w:val="00D9215E"/>
    <w:rsid w:val="00D94FBD"/>
    <w:rsid w:val="00D953D5"/>
    <w:rsid w:val="00D973F2"/>
    <w:rsid w:val="00DA175E"/>
    <w:rsid w:val="00DA4748"/>
    <w:rsid w:val="00DB26E8"/>
    <w:rsid w:val="00DB2D4D"/>
    <w:rsid w:val="00DB474B"/>
    <w:rsid w:val="00DB6CDA"/>
    <w:rsid w:val="00DC554E"/>
    <w:rsid w:val="00DD0C6E"/>
    <w:rsid w:val="00DD10FE"/>
    <w:rsid w:val="00DD1CF0"/>
    <w:rsid w:val="00DD1D86"/>
    <w:rsid w:val="00DD4B83"/>
    <w:rsid w:val="00DE40E6"/>
    <w:rsid w:val="00DF12E3"/>
    <w:rsid w:val="00DF2FFB"/>
    <w:rsid w:val="00E030AC"/>
    <w:rsid w:val="00E05125"/>
    <w:rsid w:val="00E067BD"/>
    <w:rsid w:val="00E14AD9"/>
    <w:rsid w:val="00E21F9D"/>
    <w:rsid w:val="00E249EE"/>
    <w:rsid w:val="00E24D04"/>
    <w:rsid w:val="00E31DF7"/>
    <w:rsid w:val="00E3520A"/>
    <w:rsid w:val="00E36B2F"/>
    <w:rsid w:val="00E37FE0"/>
    <w:rsid w:val="00E471B2"/>
    <w:rsid w:val="00E47451"/>
    <w:rsid w:val="00E50A16"/>
    <w:rsid w:val="00E525B8"/>
    <w:rsid w:val="00E5279C"/>
    <w:rsid w:val="00E53BFB"/>
    <w:rsid w:val="00E634D2"/>
    <w:rsid w:val="00E63B85"/>
    <w:rsid w:val="00E66C25"/>
    <w:rsid w:val="00E707C0"/>
    <w:rsid w:val="00E70D05"/>
    <w:rsid w:val="00E90E3E"/>
    <w:rsid w:val="00E92619"/>
    <w:rsid w:val="00E951DA"/>
    <w:rsid w:val="00EA02BF"/>
    <w:rsid w:val="00EA461E"/>
    <w:rsid w:val="00EC46CB"/>
    <w:rsid w:val="00EC4C36"/>
    <w:rsid w:val="00EC6C29"/>
    <w:rsid w:val="00ED0F54"/>
    <w:rsid w:val="00ED2AF9"/>
    <w:rsid w:val="00EE2072"/>
    <w:rsid w:val="00EE5E29"/>
    <w:rsid w:val="00EF5B61"/>
    <w:rsid w:val="00EF677C"/>
    <w:rsid w:val="00EF67A1"/>
    <w:rsid w:val="00F00354"/>
    <w:rsid w:val="00F005D7"/>
    <w:rsid w:val="00F01B35"/>
    <w:rsid w:val="00F111F3"/>
    <w:rsid w:val="00F169BC"/>
    <w:rsid w:val="00F2197F"/>
    <w:rsid w:val="00F2212F"/>
    <w:rsid w:val="00F27F10"/>
    <w:rsid w:val="00F31326"/>
    <w:rsid w:val="00F31626"/>
    <w:rsid w:val="00F331D9"/>
    <w:rsid w:val="00F36A00"/>
    <w:rsid w:val="00F4232F"/>
    <w:rsid w:val="00F43275"/>
    <w:rsid w:val="00F43471"/>
    <w:rsid w:val="00F45C48"/>
    <w:rsid w:val="00F506B1"/>
    <w:rsid w:val="00F531F3"/>
    <w:rsid w:val="00F5523B"/>
    <w:rsid w:val="00F557F7"/>
    <w:rsid w:val="00F7137D"/>
    <w:rsid w:val="00F717C0"/>
    <w:rsid w:val="00F7337E"/>
    <w:rsid w:val="00F73729"/>
    <w:rsid w:val="00F753D1"/>
    <w:rsid w:val="00F759E6"/>
    <w:rsid w:val="00F83DE1"/>
    <w:rsid w:val="00F85486"/>
    <w:rsid w:val="00F85F6D"/>
    <w:rsid w:val="00F9366F"/>
    <w:rsid w:val="00F940E2"/>
    <w:rsid w:val="00F94B73"/>
    <w:rsid w:val="00FA1520"/>
    <w:rsid w:val="00FA55E4"/>
    <w:rsid w:val="00FA5B3C"/>
    <w:rsid w:val="00FB0801"/>
    <w:rsid w:val="00FB3351"/>
    <w:rsid w:val="00FC47BF"/>
    <w:rsid w:val="00FC715E"/>
    <w:rsid w:val="00FC7CE9"/>
    <w:rsid w:val="00FD0C5A"/>
    <w:rsid w:val="00FD1C9F"/>
    <w:rsid w:val="00FE16AC"/>
    <w:rsid w:val="00FE1BB7"/>
    <w:rsid w:val="00FE3076"/>
    <w:rsid w:val="00FE3871"/>
    <w:rsid w:val="00FE4EBC"/>
    <w:rsid w:val="00FE56B2"/>
    <w:rsid w:val="00FE6C8C"/>
    <w:rsid w:val="00FF13A2"/>
    <w:rsid w:val="00FF36BC"/>
    <w:rsid w:val="00FF5DA2"/>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chartTrackingRefBased/>
  <w15:docId w15:val="{B10B7D91-3E2D-4F68-A67A-60E06BE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 w:type="character" w:styleId="CommentReference">
    <w:name w:val="annotation reference"/>
    <w:basedOn w:val="DefaultParagraphFont"/>
    <w:uiPriority w:val="99"/>
    <w:semiHidden/>
    <w:unhideWhenUsed/>
    <w:rsid w:val="00227C4A"/>
    <w:rPr>
      <w:sz w:val="16"/>
      <w:szCs w:val="16"/>
    </w:rPr>
  </w:style>
  <w:style w:type="paragraph" w:styleId="CommentText">
    <w:name w:val="annotation text"/>
    <w:basedOn w:val="Normal"/>
    <w:link w:val="CommentTextChar"/>
    <w:uiPriority w:val="99"/>
    <w:semiHidden/>
    <w:unhideWhenUsed/>
    <w:rsid w:val="00227C4A"/>
    <w:pPr>
      <w:spacing w:line="240" w:lineRule="auto"/>
    </w:pPr>
    <w:rPr>
      <w:sz w:val="20"/>
      <w:szCs w:val="20"/>
    </w:rPr>
  </w:style>
  <w:style w:type="character" w:customStyle="1" w:styleId="CommentTextChar">
    <w:name w:val="Comment Text Char"/>
    <w:basedOn w:val="DefaultParagraphFont"/>
    <w:link w:val="CommentText"/>
    <w:uiPriority w:val="99"/>
    <w:semiHidden/>
    <w:rsid w:val="00227C4A"/>
    <w:rPr>
      <w:sz w:val="20"/>
      <w:szCs w:val="20"/>
    </w:rPr>
  </w:style>
  <w:style w:type="paragraph" w:styleId="CommentSubject">
    <w:name w:val="annotation subject"/>
    <w:basedOn w:val="CommentText"/>
    <w:next w:val="CommentText"/>
    <w:link w:val="CommentSubjectChar"/>
    <w:uiPriority w:val="99"/>
    <w:semiHidden/>
    <w:unhideWhenUsed/>
    <w:rsid w:val="00227C4A"/>
    <w:rPr>
      <w:b/>
      <w:bCs/>
    </w:rPr>
  </w:style>
  <w:style w:type="character" w:customStyle="1" w:styleId="CommentSubjectChar">
    <w:name w:val="Comment Subject Char"/>
    <w:basedOn w:val="CommentTextChar"/>
    <w:link w:val="CommentSubject"/>
    <w:uiPriority w:val="99"/>
    <w:semiHidden/>
    <w:rsid w:val="00227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FB75-CC91-4B39-AD26-71F43564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Jager</dc:creator>
  <cp:keywords/>
  <dc:description/>
  <cp:lastModifiedBy>Lazarus Rakgwale</cp:lastModifiedBy>
  <cp:revision>2</cp:revision>
  <cp:lastPrinted>2022-05-24T08:21:00Z</cp:lastPrinted>
  <dcterms:created xsi:type="dcterms:W3CDTF">2022-05-25T08:13:00Z</dcterms:created>
  <dcterms:modified xsi:type="dcterms:W3CDTF">2022-05-25T08:13:00Z</dcterms:modified>
</cp:coreProperties>
</file>