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1EEE8" w14:textId="77777777" w:rsidR="008906F4" w:rsidRPr="008906F4" w:rsidRDefault="008906F4" w:rsidP="009D710B">
      <w:pPr>
        <w:spacing w:after="0" w:line="240" w:lineRule="auto"/>
        <w:jc w:val="center"/>
        <w:rPr>
          <w:b/>
          <w:sz w:val="26"/>
          <w:szCs w:val="26"/>
        </w:rPr>
      </w:pPr>
      <w:bookmarkStart w:id="0" w:name="_GoBack"/>
      <w:bookmarkEnd w:id="0"/>
      <w:r w:rsidRPr="008906F4">
        <w:rPr>
          <w:b/>
          <w:sz w:val="26"/>
          <w:szCs w:val="26"/>
        </w:rPr>
        <w:t>REPUBLIC OF SOUTH AFRICA</w:t>
      </w:r>
    </w:p>
    <w:p w14:paraId="452CDF04" w14:textId="77777777" w:rsidR="008906F4" w:rsidRDefault="008906F4" w:rsidP="009D710B">
      <w:pPr>
        <w:spacing w:after="0" w:line="240" w:lineRule="auto"/>
        <w:jc w:val="center"/>
        <w:rPr>
          <w:b/>
          <w:sz w:val="26"/>
          <w:szCs w:val="26"/>
        </w:rPr>
      </w:pPr>
    </w:p>
    <w:p w14:paraId="205715CA" w14:textId="5C070E20" w:rsidR="00BD6237" w:rsidRDefault="00BD6237" w:rsidP="00AF090B">
      <w:pPr>
        <w:spacing w:after="0" w:line="240" w:lineRule="auto"/>
        <w:jc w:val="center"/>
        <w:rPr>
          <w:b/>
          <w:sz w:val="26"/>
          <w:szCs w:val="26"/>
        </w:rPr>
      </w:pPr>
      <w:r>
        <w:rPr>
          <w:noProof/>
          <w:lang w:eastAsia="en-ZA"/>
        </w:rPr>
        <w:drawing>
          <wp:inline distT="0" distB="0" distL="0" distR="0" wp14:anchorId="0E109D9D" wp14:editId="2E7B51D3">
            <wp:extent cx="1352550" cy="1019175"/>
            <wp:effectExtent l="0" t="0" r="0" b="9525"/>
            <wp:docPr id="2" name="Picture 2" descr="Description: cid:image001.png@01D076AF.8E67B520"/>
            <wp:cNvGraphicFramePr/>
            <a:graphic xmlns:a="http://schemas.openxmlformats.org/drawingml/2006/main">
              <a:graphicData uri="http://schemas.openxmlformats.org/drawingml/2006/picture">
                <pic:pic xmlns:pic="http://schemas.openxmlformats.org/drawingml/2006/picture">
                  <pic:nvPicPr>
                    <pic:cNvPr id="2" name="Picture 2" descr="Description: cid:image001.png@01D076AF.8E67B52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2550" cy="1019175"/>
                    </a:xfrm>
                    <a:prstGeom prst="rect">
                      <a:avLst/>
                    </a:prstGeom>
                    <a:noFill/>
                    <a:ln>
                      <a:noFill/>
                    </a:ln>
                  </pic:spPr>
                </pic:pic>
              </a:graphicData>
            </a:graphic>
          </wp:inline>
        </w:drawing>
      </w:r>
    </w:p>
    <w:p w14:paraId="15B5C548" w14:textId="77777777" w:rsidR="008906F4" w:rsidRDefault="008906F4" w:rsidP="00AF090B">
      <w:pPr>
        <w:spacing w:after="0" w:line="240" w:lineRule="auto"/>
        <w:jc w:val="center"/>
        <w:rPr>
          <w:b/>
          <w:sz w:val="26"/>
          <w:szCs w:val="26"/>
        </w:rPr>
      </w:pPr>
    </w:p>
    <w:p w14:paraId="513BAFD3" w14:textId="4DD5DB9E" w:rsidR="0031154F" w:rsidRDefault="00AF090B" w:rsidP="00AF090B">
      <w:pPr>
        <w:spacing w:after="0" w:line="240" w:lineRule="auto"/>
        <w:jc w:val="center"/>
        <w:rPr>
          <w:b/>
          <w:sz w:val="26"/>
          <w:szCs w:val="26"/>
        </w:rPr>
      </w:pPr>
      <w:r>
        <w:rPr>
          <w:b/>
          <w:sz w:val="26"/>
          <w:szCs w:val="26"/>
        </w:rPr>
        <w:t>IN THE HIGH COURT OF SOUTH AFRICA</w:t>
      </w:r>
    </w:p>
    <w:p w14:paraId="0247D657" w14:textId="2D9FD0FC" w:rsidR="00AF090B" w:rsidRDefault="00AF090B" w:rsidP="00637DE0">
      <w:pPr>
        <w:spacing w:line="240" w:lineRule="auto"/>
        <w:jc w:val="center"/>
        <w:rPr>
          <w:sz w:val="26"/>
          <w:szCs w:val="26"/>
        </w:rPr>
      </w:pPr>
      <w:r>
        <w:rPr>
          <w:b/>
          <w:sz w:val="26"/>
          <w:szCs w:val="26"/>
        </w:rPr>
        <w:t>GAUTENG LOCAL DIVISION, JOHANNESBURG</w:t>
      </w:r>
    </w:p>
    <w:p w14:paraId="25F5F92F" w14:textId="64A5AFD8" w:rsidR="006E1088" w:rsidRPr="006E1088" w:rsidRDefault="000F7E69" w:rsidP="006E1088">
      <w:pPr>
        <w:spacing w:after="0" w:line="240" w:lineRule="auto"/>
        <w:jc w:val="right"/>
        <w:rPr>
          <w:b/>
          <w:sz w:val="26"/>
          <w:szCs w:val="26"/>
        </w:rPr>
      </w:pPr>
      <w:r>
        <w:rPr>
          <w:b/>
          <w:sz w:val="26"/>
          <w:szCs w:val="26"/>
        </w:rPr>
        <w:t>C</w:t>
      </w:r>
      <w:r w:rsidR="006E1088" w:rsidRPr="006E1088">
        <w:rPr>
          <w:b/>
          <w:sz w:val="26"/>
          <w:szCs w:val="26"/>
        </w:rPr>
        <w:t xml:space="preserve">ASE NO:  </w:t>
      </w:r>
      <w:r w:rsidR="000E4A53">
        <w:rPr>
          <w:b/>
          <w:sz w:val="26"/>
          <w:szCs w:val="26"/>
        </w:rPr>
        <w:t>2020/23294</w:t>
      </w:r>
    </w:p>
    <w:p w14:paraId="1F7542A6" w14:textId="5BFF99DA" w:rsidR="00AF090B" w:rsidRDefault="00AF090B" w:rsidP="006E1088">
      <w:pPr>
        <w:spacing w:line="240" w:lineRule="auto"/>
        <w:jc w:val="right"/>
        <w:rPr>
          <w:sz w:val="26"/>
          <w:szCs w:val="26"/>
        </w:rPr>
      </w:pPr>
    </w:p>
    <w:tbl>
      <w:tblPr>
        <w:tblStyle w:val="TableGrid"/>
        <w:tblW w:w="921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1"/>
        <w:gridCol w:w="977"/>
        <w:gridCol w:w="2110"/>
        <w:gridCol w:w="31"/>
      </w:tblGrid>
      <w:tr w:rsidR="003800C4" w14:paraId="39714E44" w14:textId="77777777" w:rsidTr="00F62EA4">
        <w:trPr>
          <w:gridAfter w:val="1"/>
          <w:wAfter w:w="31" w:type="dxa"/>
          <w:trHeight w:val="20"/>
        </w:trPr>
        <w:tc>
          <w:tcPr>
            <w:tcW w:w="7078" w:type="dxa"/>
            <w:gridSpan w:val="2"/>
          </w:tcPr>
          <w:p w14:paraId="4087A5F4" w14:textId="77777777" w:rsidR="003800C4" w:rsidRDefault="003800C4" w:rsidP="00AF090B">
            <w:pPr>
              <w:rPr>
                <w:sz w:val="26"/>
                <w:szCs w:val="26"/>
              </w:rPr>
            </w:pPr>
          </w:p>
        </w:tc>
        <w:tc>
          <w:tcPr>
            <w:tcW w:w="2110" w:type="dxa"/>
          </w:tcPr>
          <w:p w14:paraId="5D94F3D3" w14:textId="77777777" w:rsidR="003800C4" w:rsidRDefault="003800C4" w:rsidP="003943A1">
            <w:pPr>
              <w:jc w:val="right"/>
              <w:rPr>
                <w:sz w:val="26"/>
                <w:szCs w:val="26"/>
              </w:rPr>
            </w:pPr>
          </w:p>
          <w:p w14:paraId="2EF64993" w14:textId="7B0A84C8" w:rsidR="00122A1A" w:rsidRDefault="00122A1A" w:rsidP="003943A1">
            <w:pPr>
              <w:jc w:val="right"/>
              <w:rPr>
                <w:sz w:val="26"/>
                <w:szCs w:val="26"/>
              </w:rPr>
            </w:pPr>
          </w:p>
        </w:tc>
      </w:tr>
      <w:tr w:rsidR="002146DE" w14:paraId="6C17C19F" w14:textId="77777777" w:rsidTr="00F62EA4">
        <w:trPr>
          <w:gridAfter w:val="1"/>
          <w:wAfter w:w="31" w:type="dxa"/>
          <w:trHeight w:val="826"/>
        </w:trPr>
        <w:tc>
          <w:tcPr>
            <w:tcW w:w="7078" w:type="dxa"/>
            <w:gridSpan w:val="2"/>
          </w:tcPr>
          <w:p w14:paraId="26903488" w14:textId="5A9121BE" w:rsidR="002146DE" w:rsidRDefault="00122A1A" w:rsidP="00AF090B">
            <w:pPr>
              <w:rPr>
                <w:sz w:val="26"/>
                <w:szCs w:val="26"/>
              </w:rPr>
            </w:pPr>
            <w:r w:rsidRPr="00B46AC7">
              <w:rPr>
                <w:noProof/>
                <w:sz w:val="26"/>
                <w:szCs w:val="26"/>
                <w:lang w:eastAsia="en-ZA"/>
              </w:rPr>
              <mc:AlternateContent>
                <mc:Choice Requires="wps">
                  <w:drawing>
                    <wp:anchor distT="0" distB="0" distL="114300" distR="114300" simplePos="0" relativeHeight="251658240" behindDoc="0" locked="0" layoutInCell="1" allowOverlap="1" wp14:anchorId="0CC85EDA" wp14:editId="451D6847">
                      <wp:simplePos x="0" y="0"/>
                      <wp:positionH relativeFrom="column">
                        <wp:posOffset>-1905</wp:posOffset>
                      </wp:positionH>
                      <wp:positionV relativeFrom="paragraph">
                        <wp:posOffset>-127635</wp:posOffset>
                      </wp:positionV>
                      <wp:extent cx="2809875" cy="13430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809875" cy="1343025"/>
                              </a:xfrm>
                              <a:prstGeom prst="rect">
                                <a:avLst/>
                              </a:prstGeom>
                              <a:solidFill>
                                <a:sysClr val="window" lastClr="FFFFFF"/>
                              </a:solidFill>
                              <a:ln w="12700" cap="flat" cmpd="sng" algn="ctr">
                                <a:solidFill>
                                  <a:srgbClr val="70AD47"/>
                                </a:solidFill>
                                <a:prstDash val="solid"/>
                                <a:miter lim="800000"/>
                              </a:ln>
                              <a:effectLst/>
                            </wps:spPr>
                            <wps:txbx>
                              <w:txbxContent>
                                <w:p w14:paraId="2067C656" w14:textId="77777777" w:rsidR="00C23151" w:rsidRPr="00790F96" w:rsidRDefault="00C23151" w:rsidP="00C23151">
                                  <w:pPr>
                                    <w:pStyle w:val="ListParagraph"/>
                                    <w:numPr>
                                      <w:ilvl w:val="0"/>
                                      <w:numId w:val="4"/>
                                    </w:numPr>
                                    <w:spacing w:line="240" w:lineRule="auto"/>
                                    <w:ind w:left="567" w:hanging="567"/>
                                    <w:jc w:val="left"/>
                                  </w:pPr>
                                  <w:r w:rsidRPr="00790F96">
                                    <w:t>REPORTABLE:</w:t>
                                  </w:r>
                                  <w:r w:rsidRPr="00315C05">
                                    <w:rPr>
                                      <w:b/>
                                    </w:rPr>
                                    <w:t xml:space="preserve"> </w:t>
                                  </w:r>
                                  <w:r w:rsidRPr="00831C60">
                                    <w:t>NO</w:t>
                                  </w:r>
                                </w:p>
                                <w:p w14:paraId="48309B92" w14:textId="77777777" w:rsidR="00C23151" w:rsidRDefault="00C23151" w:rsidP="00C23151">
                                  <w:pPr>
                                    <w:pStyle w:val="ListParagraph"/>
                                    <w:numPr>
                                      <w:ilvl w:val="0"/>
                                      <w:numId w:val="4"/>
                                    </w:numPr>
                                    <w:spacing w:line="240" w:lineRule="auto"/>
                                    <w:ind w:left="567" w:hanging="567"/>
                                    <w:jc w:val="left"/>
                                  </w:pPr>
                                  <w:r w:rsidRPr="00790F96">
                                    <w:t>OF INTEREST TO OTHER JUDGES:</w:t>
                                  </w:r>
                                  <w:r>
                                    <w:t xml:space="preserve"> </w:t>
                                  </w:r>
                                  <w:r w:rsidRPr="00831C60">
                                    <w:t>NO</w:t>
                                  </w:r>
                                </w:p>
                                <w:p w14:paraId="0BCD1113" w14:textId="77777777" w:rsidR="00C23151" w:rsidRDefault="00C23151" w:rsidP="00C23151">
                                  <w:pPr>
                                    <w:pStyle w:val="ListParagraph"/>
                                    <w:numPr>
                                      <w:ilvl w:val="0"/>
                                      <w:numId w:val="4"/>
                                    </w:numPr>
                                    <w:spacing w:line="240" w:lineRule="auto"/>
                                    <w:ind w:left="567" w:hanging="567"/>
                                    <w:jc w:val="left"/>
                                  </w:pPr>
                                  <w:r>
                                    <w:t>REVISED</w:t>
                                  </w:r>
                                </w:p>
                                <w:p w14:paraId="5514C1FE" w14:textId="77777777" w:rsidR="00C23151" w:rsidRDefault="00C23151" w:rsidP="00C23151">
                                  <w:pPr>
                                    <w:spacing w:after="0" w:line="240" w:lineRule="auto"/>
                                    <w:jc w:val="left"/>
                                  </w:pPr>
                                  <w:r>
                                    <w:t>…………………………</w:t>
                                  </w:r>
                                  <w:r>
                                    <w:tab/>
                                    <w:t xml:space="preserve">          ……………………………….</w:t>
                                  </w:r>
                                </w:p>
                                <w:p w14:paraId="1863210A" w14:textId="77777777" w:rsidR="00C23151" w:rsidRPr="00790F96" w:rsidRDefault="00C23151" w:rsidP="00C23151">
                                  <w:pPr>
                                    <w:spacing w:line="240" w:lineRule="auto"/>
                                    <w:jc w:val="left"/>
                                  </w:pPr>
                                  <w:r>
                                    <w:t xml:space="preserve">DATE                     </w:t>
                                  </w:r>
                                  <w:r>
                                    <w:tab/>
                                    <w:t xml:space="preserve">           SIGNATURE</w:t>
                                  </w:r>
                                </w:p>
                                <w:p w14:paraId="18F82FE4" w14:textId="30BEBD0F" w:rsidR="00122A1A" w:rsidRPr="00790F96" w:rsidRDefault="00122A1A" w:rsidP="00122A1A">
                                  <w:pPr>
                                    <w:spacing w:line="240" w:lineRule="auto"/>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CC85EDA" id="Rectangle 3" o:spid="_x0000_s1026" style="position:absolute;left:0;text-align:left;margin-left:-.15pt;margin-top:-10.05pt;width:221.25pt;height:10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" fillcolor="window" strokecolor="#70ad47" strokeweight="1pt">
                      <v:textbox>
                        <w:txbxContent>
                          <w:p w14:paraId="2067C656" w14:textId="77777777" w:rsidR="00C23151" w:rsidRPr="00790F96" w:rsidRDefault="00C23151" w:rsidP="00C23151">
                            <w:pPr>
                              <w:pStyle w:val="ListParagraph"/>
                              <w:numPr>
                                <w:ilvl w:val="0"/>
                                <w:numId w:val="4"/>
                              </w:numPr>
                              <w:spacing w:line="240" w:lineRule="auto"/>
                              <w:ind w:left="567" w:hanging="567"/>
                              <w:jc w:val="left"/>
                            </w:pPr>
                            <w:r w:rsidRPr="00790F96">
                              <w:t>REPORTABLE:</w:t>
                            </w:r>
                            <w:r w:rsidRPr="00315C05">
                              <w:rPr>
                                <w:b/>
                              </w:rPr>
                              <w:t xml:space="preserve"> </w:t>
                            </w:r>
                            <w:r w:rsidRPr="00831C60">
                              <w:t>NO</w:t>
                            </w:r>
                          </w:p>
                          <w:p w14:paraId="48309B92" w14:textId="77777777" w:rsidR="00C23151" w:rsidRDefault="00C23151" w:rsidP="00C23151">
                            <w:pPr>
                              <w:pStyle w:val="ListParagraph"/>
                              <w:numPr>
                                <w:ilvl w:val="0"/>
                                <w:numId w:val="4"/>
                              </w:numPr>
                              <w:spacing w:line="240" w:lineRule="auto"/>
                              <w:ind w:left="567" w:hanging="567"/>
                              <w:jc w:val="left"/>
                            </w:pPr>
                            <w:r w:rsidRPr="00790F96">
                              <w:t>OF INTEREST TO OTHER JUDGES:</w:t>
                            </w:r>
                            <w:r>
                              <w:t xml:space="preserve"> </w:t>
                            </w:r>
                            <w:r w:rsidRPr="00831C60">
                              <w:t>NO</w:t>
                            </w:r>
                          </w:p>
                          <w:p w14:paraId="0BCD1113" w14:textId="77777777" w:rsidR="00C23151" w:rsidRDefault="00C23151" w:rsidP="00C23151">
                            <w:pPr>
                              <w:pStyle w:val="ListParagraph"/>
                              <w:numPr>
                                <w:ilvl w:val="0"/>
                                <w:numId w:val="4"/>
                              </w:numPr>
                              <w:spacing w:line="240" w:lineRule="auto"/>
                              <w:ind w:left="567" w:hanging="567"/>
                              <w:jc w:val="left"/>
                            </w:pPr>
                            <w:r>
                              <w:t>REVISED</w:t>
                            </w:r>
                          </w:p>
                          <w:p w14:paraId="5514C1FE" w14:textId="77777777" w:rsidR="00C23151" w:rsidRDefault="00C23151" w:rsidP="00C23151">
                            <w:pPr>
                              <w:spacing w:after="0" w:line="240" w:lineRule="auto"/>
                              <w:jc w:val="left"/>
                            </w:pPr>
                            <w:r>
                              <w:t>…………………………</w:t>
                            </w:r>
                            <w:r>
                              <w:tab/>
                              <w:t xml:space="preserve">          ……………………………….</w:t>
                            </w:r>
                          </w:p>
                          <w:p w14:paraId="1863210A" w14:textId="77777777" w:rsidR="00C23151" w:rsidRPr="00790F96" w:rsidRDefault="00C23151" w:rsidP="00C23151">
                            <w:pPr>
                              <w:spacing w:line="240" w:lineRule="auto"/>
                              <w:jc w:val="left"/>
                            </w:pPr>
                            <w:r>
                              <w:t xml:space="preserve">DATE                     </w:t>
                            </w:r>
                            <w:r>
                              <w:tab/>
                              <w:t xml:space="preserve">           SIGNATURE</w:t>
                            </w:r>
                          </w:p>
                          <w:p w14:paraId="18F82FE4" w14:textId="30BEBD0F" w:rsidR="00122A1A" w:rsidRPr="00790F96" w:rsidRDefault="00122A1A" w:rsidP="00122A1A">
                            <w:pPr>
                              <w:spacing w:line="240" w:lineRule="auto"/>
                              <w:jc w:val="left"/>
                            </w:pPr>
                          </w:p>
                        </w:txbxContent>
                      </v:textbox>
                    </v:rect>
                  </w:pict>
                </mc:Fallback>
              </mc:AlternateContent>
            </w:r>
          </w:p>
        </w:tc>
        <w:tc>
          <w:tcPr>
            <w:tcW w:w="2110" w:type="dxa"/>
          </w:tcPr>
          <w:p w14:paraId="053C0EFD" w14:textId="77777777" w:rsidR="002146DE" w:rsidRDefault="002146DE" w:rsidP="003943A1">
            <w:pPr>
              <w:jc w:val="right"/>
              <w:rPr>
                <w:sz w:val="26"/>
                <w:szCs w:val="26"/>
              </w:rPr>
            </w:pPr>
          </w:p>
        </w:tc>
      </w:tr>
      <w:tr w:rsidR="003800C4" w14:paraId="173E32E0" w14:textId="77777777" w:rsidTr="00F62EA4">
        <w:trPr>
          <w:gridAfter w:val="1"/>
          <w:wAfter w:w="31" w:type="dxa"/>
          <w:trHeight w:val="567"/>
        </w:trPr>
        <w:tc>
          <w:tcPr>
            <w:tcW w:w="7078" w:type="dxa"/>
            <w:gridSpan w:val="2"/>
          </w:tcPr>
          <w:p w14:paraId="157C5901" w14:textId="77777777" w:rsidR="00D62F57" w:rsidRDefault="00D62F57" w:rsidP="00AF090B">
            <w:pPr>
              <w:rPr>
                <w:sz w:val="26"/>
                <w:szCs w:val="26"/>
              </w:rPr>
            </w:pPr>
          </w:p>
          <w:p w14:paraId="6A1FC2E1" w14:textId="77777777" w:rsidR="00D62F57" w:rsidRDefault="00D62F57" w:rsidP="00AF090B">
            <w:pPr>
              <w:rPr>
                <w:sz w:val="26"/>
                <w:szCs w:val="26"/>
              </w:rPr>
            </w:pPr>
          </w:p>
          <w:p w14:paraId="79CF74BB" w14:textId="77777777" w:rsidR="00122A1A" w:rsidRDefault="00122A1A" w:rsidP="006E1088">
            <w:pPr>
              <w:spacing w:line="480" w:lineRule="auto"/>
              <w:rPr>
                <w:sz w:val="26"/>
                <w:szCs w:val="26"/>
              </w:rPr>
            </w:pPr>
          </w:p>
          <w:p w14:paraId="13BE833D" w14:textId="26BE2F62" w:rsidR="003800C4" w:rsidRDefault="00453A82" w:rsidP="006E1088">
            <w:pPr>
              <w:spacing w:line="480" w:lineRule="auto"/>
              <w:rPr>
                <w:sz w:val="26"/>
                <w:szCs w:val="26"/>
              </w:rPr>
            </w:pPr>
            <w:r>
              <w:rPr>
                <w:sz w:val="26"/>
                <w:szCs w:val="26"/>
              </w:rPr>
              <w:t>In the matter of:</w:t>
            </w:r>
          </w:p>
        </w:tc>
        <w:tc>
          <w:tcPr>
            <w:tcW w:w="2110" w:type="dxa"/>
          </w:tcPr>
          <w:p w14:paraId="56596970" w14:textId="77777777" w:rsidR="003800C4" w:rsidRDefault="003800C4" w:rsidP="003943A1">
            <w:pPr>
              <w:jc w:val="right"/>
              <w:rPr>
                <w:sz w:val="26"/>
                <w:szCs w:val="26"/>
              </w:rPr>
            </w:pPr>
          </w:p>
          <w:p w14:paraId="04246FA1" w14:textId="77777777" w:rsidR="00122A1A" w:rsidRDefault="00122A1A" w:rsidP="003943A1">
            <w:pPr>
              <w:jc w:val="right"/>
              <w:rPr>
                <w:sz w:val="26"/>
                <w:szCs w:val="26"/>
              </w:rPr>
            </w:pPr>
          </w:p>
          <w:p w14:paraId="0EBD8258" w14:textId="21C5E450" w:rsidR="00122A1A" w:rsidRDefault="00122A1A" w:rsidP="00122A1A">
            <w:pPr>
              <w:rPr>
                <w:sz w:val="26"/>
                <w:szCs w:val="26"/>
              </w:rPr>
            </w:pPr>
          </w:p>
        </w:tc>
      </w:tr>
      <w:tr w:rsidR="00774574" w14:paraId="173A52C6" w14:textId="77777777" w:rsidTr="00F62EA4">
        <w:trPr>
          <w:gridAfter w:val="1"/>
          <w:wAfter w:w="31" w:type="dxa"/>
          <w:trHeight w:val="439"/>
        </w:trPr>
        <w:tc>
          <w:tcPr>
            <w:tcW w:w="7078" w:type="dxa"/>
            <w:gridSpan w:val="2"/>
          </w:tcPr>
          <w:p w14:paraId="4F58773C" w14:textId="609DD2A1" w:rsidR="00774574" w:rsidRDefault="000E4A53" w:rsidP="00774574">
            <w:pPr>
              <w:rPr>
                <w:b/>
                <w:sz w:val="26"/>
                <w:szCs w:val="26"/>
              </w:rPr>
            </w:pPr>
            <w:r>
              <w:rPr>
                <w:b/>
                <w:sz w:val="26"/>
                <w:szCs w:val="26"/>
              </w:rPr>
              <w:t>SUHAIL ESSACK</w:t>
            </w:r>
          </w:p>
        </w:tc>
        <w:tc>
          <w:tcPr>
            <w:tcW w:w="2110" w:type="dxa"/>
          </w:tcPr>
          <w:p w14:paraId="0FE31F74" w14:textId="5F3A94FF" w:rsidR="00774574" w:rsidRDefault="00774574" w:rsidP="00774574">
            <w:pPr>
              <w:jc w:val="right"/>
              <w:rPr>
                <w:sz w:val="26"/>
                <w:szCs w:val="26"/>
              </w:rPr>
            </w:pPr>
            <w:r>
              <w:rPr>
                <w:sz w:val="26"/>
                <w:szCs w:val="26"/>
              </w:rPr>
              <w:t xml:space="preserve">First </w:t>
            </w:r>
            <w:r w:rsidR="00D90AE2">
              <w:rPr>
                <w:sz w:val="26"/>
                <w:szCs w:val="26"/>
              </w:rPr>
              <w:t xml:space="preserve">Plaintiff </w:t>
            </w:r>
            <w:r>
              <w:rPr>
                <w:sz w:val="26"/>
                <w:szCs w:val="26"/>
              </w:rPr>
              <w:t xml:space="preserve"> </w:t>
            </w:r>
          </w:p>
        </w:tc>
      </w:tr>
      <w:tr w:rsidR="00774574" w14:paraId="17FF8883" w14:textId="77777777" w:rsidTr="00F62EA4">
        <w:trPr>
          <w:gridAfter w:val="1"/>
          <w:wAfter w:w="31" w:type="dxa"/>
          <w:trHeight w:val="709"/>
        </w:trPr>
        <w:tc>
          <w:tcPr>
            <w:tcW w:w="7078" w:type="dxa"/>
            <w:gridSpan w:val="2"/>
          </w:tcPr>
          <w:p w14:paraId="224B8710" w14:textId="4217F751" w:rsidR="00774574" w:rsidRDefault="000E4A53" w:rsidP="00774574">
            <w:pPr>
              <w:rPr>
                <w:b/>
                <w:sz w:val="26"/>
                <w:szCs w:val="26"/>
              </w:rPr>
            </w:pPr>
            <w:r>
              <w:rPr>
                <w:b/>
                <w:sz w:val="26"/>
                <w:szCs w:val="26"/>
              </w:rPr>
              <w:t>NASEERA CASSIM</w:t>
            </w:r>
          </w:p>
        </w:tc>
        <w:tc>
          <w:tcPr>
            <w:tcW w:w="2110" w:type="dxa"/>
          </w:tcPr>
          <w:p w14:paraId="46892FE7" w14:textId="1B32D19F" w:rsidR="00774574" w:rsidRDefault="00774574" w:rsidP="00774574">
            <w:pPr>
              <w:jc w:val="right"/>
              <w:rPr>
                <w:sz w:val="26"/>
                <w:szCs w:val="26"/>
              </w:rPr>
            </w:pPr>
            <w:r>
              <w:rPr>
                <w:sz w:val="26"/>
                <w:szCs w:val="26"/>
              </w:rPr>
              <w:t xml:space="preserve">Second </w:t>
            </w:r>
            <w:r w:rsidR="00021E58">
              <w:rPr>
                <w:sz w:val="26"/>
                <w:szCs w:val="26"/>
              </w:rPr>
              <w:t xml:space="preserve">Plaintiff </w:t>
            </w:r>
          </w:p>
        </w:tc>
      </w:tr>
      <w:tr w:rsidR="00774574" w14:paraId="159F5576" w14:textId="77777777" w:rsidTr="00F62EA4">
        <w:trPr>
          <w:gridAfter w:val="1"/>
          <w:wAfter w:w="31" w:type="dxa"/>
          <w:trHeight w:val="712"/>
        </w:trPr>
        <w:tc>
          <w:tcPr>
            <w:tcW w:w="7078" w:type="dxa"/>
            <w:gridSpan w:val="2"/>
          </w:tcPr>
          <w:p w14:paraId="0A9BA4D0" w14:textId="0CB6AACA" w:rsidR="00774574" w:rsidRPr="00D03C5E" w:rsidRDefault="00BB04BE" w:rsidP="00774574">
            <w:pPr>
              <w:rPr>
                <w:sz w:val="26"/>
                <w:szCs w:val="26"/>
              </w:rPr>
            </w:pPr>
            <w:r>
              <w:rPr>
                <w:sz w:val="26"/>
                <w:szCs w:val="26"/>
              </w:rPr>
              <w:t>A</w:t>
            </w:r>
            <w:r w:rsidR="00774574">
              <w:rPr>
                <w:sz w:val="26"/>
                <w:szCs w:val="26"/>
              </w:rPr>
              <w:t>nd</w:t>
            </w:r>
          </w:p>
        </w:tc>
        <w:tc>
          <w:tcPr>
            <w:tcW w:w="2110" w:type="dxa"/>
          </w:tcPr>
          <w:p w14:paraId="100E74B1" w14:textId="77777777" w:rsidR="00774574" w:rsidRDefault="00774574" w:rsidP="00774574">
            <w:pPr>
              <w:jc w:val="right"/>
              <w:rPr>
                <w:sz w:val="26"/>
                <w:szCs w:val="26"/>
              </w:rPr>
            </w:pPr>
          </w:p>
        </w:tc>
      </w:tr>
      <w:tr w:rsidR="00DC51FF" w14:paraId="2DCA910A" w14:textId="77777777" w:rsidTr="00F62EA4">
        <w:trPr>
          <w:trHeight w:val="541"/>
        </w:trPr>
        <w:tc>
          <w:tcPr>
            <w:tcW w:w="6101" w:type="dxa"/>
          </w:tcPr>
          <w:p w14:paraId="622681E3" w14:textId="225A626E" w:rsidR="00DC51FF" w:rsidRPr="00DC51FF" w:rsidRDefault="000E4A53" w:rsidP="00E270D9">
            <w:pPr>
              <w:rPr>
                <w:b/>
                <w:sz w:val="26"/>
                <w:szCs w:val="26"/>
              </w:rPr>
            </w:pPr>
            <w:r>
              <w:rPr>
                <w:b/>
                <w:sz w:val="26"/>
                <w:szCs w:val="26"/>
              </w:rPr>
              <w:t>SUN INTERNATIONAL SOUTH AFRICA (PTY</w:t>
            </w:r>
            <w:r w:rsidR="00634C41">
              <w:rPr>
                <w:b/>
                <w:sz w:val="26"/>
                <w:szCs w:val="26"/>
              </w:rPr>
              <w:t>) LTD</w:t>
            </w:r>
          </w:p>
        </w:tc>
        <w:tc>
          <w:tcPr>
            <w:tcW w:w="3118" w:type="dxa"/>
            <w:gridSpan w:val="3"/>
          </w:tcPr>
          <w:p w14:paraId="7A51C39E" w14:textId="6B386BBE" w:rsidR="00DC51FF" w:rsidRDefault="00DC51FF" w:rsidP="00DC51FF">
            <w:pPr>
              <w:jc w:val="right"/>
              <w:rPr>
                <w:sz w:val="26"/>
                <w:szCs w:val="26"/>
              </w:rPr>
            </w:pPr>
            <w:r>
              <w:rPr>
                <w:sz w:val="26"/>
                <w:szCs w:val="26"/>
              </w:rPr>
              <w:t>First Defendant</w:t>
            </w:r>
          </w:p>
        </w:tc>
      </w:tr>
      <w:tr w:rsidR="00DC51FF" w14:paraId="16B215E7" w14:textId="77777777" w:rsidTr="00F62EA4">
        <w:trPr>
          <w:trHeight w:val="600"/>
        </w:trPr>
        <w:tc>
          <w:tcPr>
            <w:tcW w:w="6101" w:type="dxa"/>
          </w:tcPr>
          <w:p w14:paraId="04D2CFC4" w14:textId="24D0405B" w:rsidR="00DC51FF" w:rsidRDefault="00634C41" w:rsidP="00E270D9">
            <w:pPr>
              <w:rPr>
                <w:b/>
                <w:sz w:val="26"/>
                <w:szCs w:val="26"/>
              </w:rPr>
            </w:pPr>
            <w:r>
              <w:rPr>
                <w:b/>
                <w:sz w:val="26"/>
                <w:szCs w:val="26"/>
              </w:rPr>
              <w:t>NORTH WEST GAMBLING BOARD</w:t>
            </w:r>
            <w:r w:rsidR="00021E58">
              <w:rPr>
                <w:b/>
                <w:sz w:val="26"/>
                <w:szCs w:val="26"/>
              </w:rPr>
              <w:t xml:space="preserve"> </w:t>
            </w:r>
          </w:p>
        </w:tc>
        <w:tc>
          <w:tcPr>
            <w:tcW w:w="3118" w:type="dxa"/>
            <w:gridSpan w:val="3"/>
          </w:tcPr>
          <w:p w14:paraId="26794E00" w14:textId="091169AB" w:rsidR="00DC51FF" w:rsidRDefault="00DC51FF" w:rsidP="00DC51FF">
            <w:pPr>
              <w:jc w:val="right"/>
              <w:rPr>
                <w:sz w:val="26"/>
                <w:szCs w:val="26"/>
              </w:rPr>
            </w:pPr>
            <w:r>
              <w:rPr>
                <w:sz w:val="26"/>
                <w:szCs w:val="26"/>
              </w:rPr>
              <w:t>Second Defendant</w:t>
            </w:r>
          </w:p>
        </w:tc>
      </w:tr>
      <w:tr w:rsidR="00634C41" w14:paraId="58530248" w14:textId="77777777" w:rsidTr="00F62EA4">
        <w:tc>
          <w:tcPr>
            <w:tcW w:w="6101" w:type="dxa"/>
          </w:tcPr>
          <w:p w14:paraId="533AB739" w14:textId="3E02C11F" w:rsidR="00634C41" w:rsidRDefault="00B950FB" w:rsidP="00E270D9">
            <w:pPr>
              <w:rPr>
                <w:b/>
                <w:sz w:val="26"/>
                <w:szCs w:val="26"/>
              </w:rPr>
            </w:pPr>
            <w:r>
              <w:rPr>
                <w:b/>
                <w:sz w:val="26"/>
                <w:szCs w:val="26"/>
              </w:rPr>
              <w:t>NATIONAL GAMBLING BOARD</w:t>
            </w:r>
          </w:p>
        </w:tc>
        <w:tc>
          <w:tcPr>
            <w:tcW w:w="3118" w:type="dxa"/>
            <w:gridSpan w:val="3"/>
          </w:tcPr>
          <w:p w14:paraId="4C2DCDB6" w14:textId="77777777" w:rsidR="00634C41" w:rsidRDefault="00B950FB" w:rsidP="00DC51FF">
            <w:pPr>
              <w:jc w:val="right"/>
              <w:rPr>
                <w:sz w:val="26"/>
                <w:szCs w:val="26"/>
              </w:rPr>
            </w:pPr>
            <w:r>
              <w:rPr>
                <w:sz w:val="26"/>
                <w:szCs w:val="26"/>
              </w:rPr>
              <w:t>Third Defendant</w:t>
            </w:r>
          </w:p>
          <w:p w14:paraId="0E93D4AF" w14:textId="45183172" w:rsidR="00B950FB" w:rsidRDefault="00B950FB" w:rsidP="00DC51FF">
            <w:pPr>
              <w:jc w:val="right"/>
              <w:rPr>
                <w:sz w:val="26"/>
                <w:szCs w:val="26"/>
              </w:rPr>
            </w:pPr>
          </w:p>
        </w:tc>
      </w:tr>
    </w:tbl>
    <w:p w14:paraId="22822D57" w14:textId="77123613" w:rsidR="002979D9" w:rsidRDefault="006C7185" w:rsidP="002979D9">
      <w:pPr>
        <w:spacing w:after="0" w:line="240" w:lineRule="auto"/>
        <w:rPr>
          <w:sz w:val="26"/>
          <w:szCs w:val="26"/>
        </w:rPr>
      </w:pPr>
      <w:r>
        <w:rPr>
          <w:sz w:val="26"/>
          <w:szCs w:val="26"/>
        </w:rPr>
        <w:pict w14:anchorId="10B15E15">
          <v:rect id="_x0000_i1025" style="width:0;height:1.5pt" o:hralign="center" o:hrstd="t" o:hr="t" fillcolor="#a0a0a0" stroked="f"/>
        </w:pict>
      </w:r>
    </w:p>
    <w:p w14:paraId="389970D2" w14:textId="7E75BBC5" w:rsidR="008348DA" w:rsidRDefault="008348DA" w:rsidP="002979D9">
      <w:pPr>
        <w:spacing w:after="0" w:line="240" w:lineRule="auto"/>
        <w:rPr>
          <w:b/>
          <w:sz w:val="26"/>
          <w:szCs w:val="26"/>
        </w:rPr>
      </w:pPr>
    </w:p>
    <w:p w14:paraId="05B1797E" w14:textId="26950B8F" w:rsidR="002979D9" w:rsidRDefault="002979D9" w:rsidP="002979D9">
      <w:pPr>
        <w:spacing w:after="0" w:line="240" w:lineRule="auto"/>
        <w:jc w:val="center"/>
        <w:rPr>
          <w:b/>
          <w:sz w:val="26"/>
          <w:szCs w:val="26"/>
        </w:rPr>
      </w:pPr>
      <w:r>
        <w:rPr>
          <w:b/>
          <w:sz w:val="26"/>
          <w:szCs w:val="26"/>
        </w:rPr>
        <w:t>JUDGMENT</w:t>
      </w:r>
    </w:p>
    <w:p w14:paraId="5B7F9BBF" w14:textId="1A48A166" w:rsidR="002979D9" w:rsidRDefault="006C7185" w:rsidP="002979D9">
      <w:pPr>
        <w:spacing w:after="0" w:line="240" w:lineRule="auto"/>
        <w:rPr>
          <w:sz w:val="26"/>
          <w:szCs w:val="26"/>
        </w:rPr>
      </w:pPr>
      <w:r>
        <w:rPr>
          <w:sz w:val="26"/>
          <w:szCs w:val="26"/>
        </w:rPr>
        <w:pict w14:anchorId="1483AB20">
          <v:rect id="_x0000_i1026" style="width:0;height:1.5pt" o:hralign="center" o:hrstd="t" o:hr="t" fillcolor="#a0a0a0" stroked="f"/>
        </w:pict>
      </w:r>
    </w:p>
    <w:p w14:paraId="3EE939E7" w14:textId="0112147B" w:rsidR="002979D9" w:rsidRDefault="002979D9" w:rsidP="002979D9">
      <w:pPr>
        <w:spacing w:after="0" w:line="240" w:lineRule="auto"/>
        <w:rPr>
          <w:sz w:val="26"/>
          <w:szCs w:val="26"/>
        </w:rPr>
      </w:pPr>
    </w:p>
    <w:p w14:paraId="2DA86B1B" w14:textId="2A448AF3" w:rsidR="002979D9" w:rsidRPr="007E201B" w:rsidRDefault="007E201B" w:rsidP="00271C78">
      <w:pPr>
        <w:tabs>
          <w:tab w:val="left" w:pos="851"/>
        </w:tabs>
        <w:rPr>
          <w:sz w:val="26"/>
          <w:szCs w:val="26"/>
          <w:u w:val="single"/>
        </w:rPr>
      </w:pPr>
      <w:r>
        <w:rPr>
          <w:sz w:val="26"/>
          <w:szCs w:val="26"/>
          <w:u w:val="single"/>
        </w:rPr>
        <w:t>BESTER AJ</w:t>
      </w:r>
    </w:p>
    <w:p w14:paraId="293BE6C7" w14:textId="74ACC412" w:rsidR="008B76C1" w:rsidRDefault="00533258" w:rsidP="008F1877">
      <w:pPr>
        <w:pStyle w:val="ListParagraph"/>
        <w:numPr>
          <w:ilvl w:val="0"/>
          <w:numId w:val="3"/>
        </w:numPr>
        <w:contextualSpacing w:val="0"/>
        <w:rPr>
          <w:sz w:val="26"/>
          <w:szCs w:val="26"/>
        </w:rPr>
      </w:pPr>
      <w:r w:rsidRPr="003240B1">
        <w:rPr>
          <w:sz w:val="26"/>
          <w:szCs w:val="26"/>
        </w:rPr>
        <w:lastRenderedPageBreak/>
        <w:t xml:space="preserve">The plaintiffs sue the first defendant for losses incurred by the </w:t>
      </w:r>
      <w:r w:rsidR="00EF3D78" w:rsidRPr="003240B1">
        <w:rPr>
          <w:sz w:val="26"/>
          <w:szCs w:val="26"/>
        </w:rPr>
        <w:t xml:space="preserve">first </w:t>
      </w:r>
      <w:r w:rsidR="00BB11E3" w:rsidRPr="003240B1">
        <w:rPr>
          <w:sz w:val="26"/>
          <w:szCs w:val="26"/>
        </w:rPr>
        <w:t xml:space="preserve">plaintiff </w:t>
      </w:r>
      <w:r w:rsidR="00EF3D78" w:rsidRPr="003240B1">
        <w:rPr>
          <w:sz w:val="26"/>
          <w:szCs w:val="26"/>
        </w:rPr>
        <w:t xml:space="preserve">gambling at Sun City, a casino owned by the first defendant.  </w:t>
      </w:r>
      <w:r w:rsidR="00902EFD" w:rsidRPr="003240B1">
        <w:rPr>
          <w:sz w:val="26"/>
          <w:szCs w:val="26"/>
        </w:rPr>
        <w:t xml:space="preserve">The first defendant delivered an exception to the particulars of claim.  </w:t>
      </w:r>
    </w:p>
    <w:p w14:paraId="7C51D34B" w14:textId="31AB8913" w:rsidR="004C046F" w:rsidRDefault="004C046F" w:rsidP="004C046F">
      <w:pPr>
        <w:pStyle w:val="Heading1"/>
      </w:pPr>
      <w:r>
        <w:t>The claim</w:t>
      </w:r>
    </w:p>
    <w:p w14:paraId="1B04BAC9" w14:textId="54132785" w:rsidR="006B0F3A" w:rsidRPr="008879DA" w:rsidRDefault="002E3464" w:rsidP="00833066">
      <w:pPr>
        <w:pStyle w:val="ListParagraph"/>
        <w:numPr>
          <w:ilvl w:val="0"/>
          <w:numId w:val="3"/>
        </w:numPr>
        <w:contextualSpacing w:val="0"/>
        <w:rPr>
          <w:sz w:val="26"/>
          <w:szCs w:val="26"/>
        </w:rPr>
      </w:pPr>
      <w:r w:rsidRPr="008879DA">
        <w:rPr>
          <w:sz w:val="26"/>
          <w:szCs w:val="26"/>
        </w:rPr>
        <w:t>The plaintiffs plead that t</w:t>
      </w:r>
      <w:r w:rsidR="003D1F16" w:rsidRPr="008879DA">
        <w:rPr>
          <w:sz w:val="26"/>
          <w:szCs w:val="26"/>
        </w:rPr>
        <w:t>he first plaintiff is a businessman, who is married to the second plaintiff under Islamic rit</w:t>
      </w:r>
      <w:r w:rsidR="00EC1A8F" w:rsidRPr="008879DA">
        <w:rPr>
          <w:sz w:val="26"/>
          <w:szCs w:val="26"/>
        </w:rPr>
        <w:t>e</w:t>
      </w:r>
      <w:r w:rsidR="003D1F16" w:rsidRPr="008879DA">
        <w:rPr>
          <w:sz w:val="26"/>
          <w:szCs w:val="26"/>
        </w:rPr>
        <w:t xml:space="preserve">s.  </w:t>
      </w:r>
      <w:r w:rsidR="00FF1CC2" w:rsidRPr="008879DA">
        <w:rPr>
          <w:sz w:val="26"/>
          <w:szCs w:val="26"/>
        </w:rPr>
        <w:t>He</w:t>
      </w:r>
      <w:r w:rsidR="006B0F3A" w:rsidRPr="008879DA">
        <w:rPr>
          <w:sz w:val="26"/>
          <w:szCs w:val="26"/>
        </w:rPr>
        <w:t xml:space="preserve"> was designated as an excluded person for all gaming entities in Gauteng and nationally, as from 6 November 2017.  </w:t>
      </w:r>
      <w:r w:rsidR="000F750F" w:rsidRPr="008879DA">
        <w:rPr>
          <w:sz w:val="26"/>
          <w:szCs w:val="26"/>
        </w:rPr>
        <w:t xml:space="preserve">Although not specifically pleaded, it appears from the </w:t>
      </w:r>
      <w:r w:rsidR="00C63B97" w:rsidRPr="008879DA">
        <w:rPr>
          <w:sz w:val="26"/>
          <w:szCs w:val="26"/>
        </w:rPr>
        <w:t>notice attached to the particulars of claim that</w:t>
      </w:r>
      <w:r w:rsidR="00872688" w:rsidRPr="008879DA">
        <w:rPr>
          <w:sz w:val="26"/>
          <w:szCs w:val="26"/>
        </w:rPr>
        <w:t xml:space="preserve"> the exclusion was done at his own request</w:t>
      </w:r>
      <w:r w:rsidR="008A6101" w:rsidRPr="008879DA">
        <w:rPr>
          <w:sz w:val="26"/>
          <w:szCs w:val="26"/>
        </w:rPr>
        <w:t>, in Gauteng</w:t>
      </w:r>
      <w:r w:rsidR="00872688" w:rsidRPr="008879DA">
        <w:rPr>
          <w:sz w:val="26"/>
          <w:szCs w:val="26"/>
        </w:rPr>
        <w:t>.</w:t>
      </w:r>
      <w:r w:rsidR="008879DA" w:rsidRPr="008879DA">
        <w:rPr>
          <w:sz w:val="26"/>
          <w:szCs w:val="26"/>
        </w:rPr>
        <w:t xml:space="preserve"> </w:t>
      </w:r>
      <w:r w:rsidR="006B0F3A" w:rsidRPr="008879DA">
        <w:rPr>
          <w:sz w:val="26"/>
          <w:szCs w:val="26"/>
        </w:rPr>
        <w:t>The first defendant</w:t>
      </w:r>
      <w:r w:rsidR="008879DA" w:rsidRPr="008879DA">
        <w:rPr>
          <w:sz w:val="26"/>
          <w:szCs w:val="26"/>
        </w:rPr>
        <w:t xml:space="preserve"> op</w:t>
      </w:r>
      <w:r w:rsidR="00A447DE" w:rsidRPr="008879DA">
        <w:rPr>
          <w:sz w:val="26"/>
          <w:szCs w:val="26"/>
        </w:rPr>
        <w:t>erates a casino at Sun City, is a licensee in respect thereof, and is subject to the North</w:t>
      </w:r>
      <w:r w:rsidR="002B59D7" w:rsidRPr="008879DA">
        <w:rPr>
          <w:sz w:val="26"/>
          <w:szCs w:val="26"/>
        </w:rPr>
        <w:t xml:space="preserve"> </w:t>
      </w:r>
      <w:r w:rsidR="00A447DE" w:rsidRPr="008879DA">
        <w:rPr>
          <w:sz w:val="26"/>
          <w:szCs w:val="26"/>
        </w:rPr>
        <w:t>West Gam</w:t>
      </w:r>
      <w:r w:rsidR="00EC1A8F" w:rsidRPr="008879DA">
        <w:rPr>
          <w:sz w:val="26"/>
          <w:szCs w:val="26"/>
        </w:rPr>
        <w:t>bl</w:t>
      </w:r>
      <w:r w:rsidR="00A447DE" w:rsidRPr="008879DA">
        <w:rPr>
          <w:sz w:val="26"/>
          <w:szCs w:val="26"/>
        </w:rPr>
        <w:t xml:space="preserve">ing Act, 2 of 2001.  </w:t>
      </w:r>
    </w:p>
    <w:p w14:paraId="44F1A659" w14:textId="21983497" w:rsidR="00AC4BE9" w:rsidRDefault="003E04C8" w:rsidP="00833066">
      <w:pPr>
        <w:pStyle w:val="ListParagraph"/>
        <w:numPr>
          <w:ilvl w:val="0"/>
          <w:numId w:val="3"/>
        </w:numPr>
        <w:contextualSpacing w:val="0"/>
        <w:rPr>
          <w:sz w:val="26"/>
          <w:szCs w:val="26"/>
        </w:rPr>
      </w:pPr>
      <w:r>
        <w:rPr>
          <w:sz w:val="26"/>
          <w:szCs w:val="26"/>
        </w:rPr>
        <w:t>As to the conduct complained of, the plaintiffs plead that t</w:t>
      </w:r>
      <w:r w:rsidR="00AC4BE9">
        <w:rPr>
          <w:sz w:val="26"/>
          <w:szCs w:val="26"/>
        </w:rPr>
        <w:t xml:space="preserve">he first plaintiff obtained free and unfettered access to the </w:t>
      </w:r>
      <w:r w:rsidR="00B13272">
        <w:rPr>
          <w:sz w:val="26"/>
          <w:szCs w:val="26"/>
        </w:rPr>
        <w:t>c</w:t>
      </w:r>
      <w:r w:rsidR="00AC4BE9">
        <w:rPr>
          <w:sz w:val="26"/>
          <w:szCs w:val="26"/>
        </w:rPr>
        <w:t xml:space="preserve">asino, remained on the premises freely and unhindered, was permitted </w:t>
      </w:r>
      <w:r w:rsidR="002B59D7">
        <w:rPr>
          <w:sz w:val="26"/>
          <w:szCs w:val="26"/>
        </w:rPr>
        <w:t xml:space="preserve">by the first defendant </w:t>
      </w:r>
      <w:r w:rsidR="00AC4BE9">
        <w:rPr>
          <w:sz w:val="26"/>
          <w:szCs w:val="26"/>
        </w:rPr>
        <w:t xml:space="preserve">to </w:t>
      </w:r>
      <w:r w:rsidR="00AC4BE9" w:rsidRPr="00B13272">
        <w:rPr>
          <w:i/>
          <w:iCs/>
          <w:sz w:val="26"/>
          <w:szCs w:val="26"/>
        </w:rPr>
        <w:t>“use the second plaintiff’s card on the basis that his own card was banned and/or despite knowing that he was not the owner of the card”</w:t>
      </w:r>
      <w:r w:rsidR="00026BFB">
        <w:rPr>
          <w:i/>
          <w:iCs/>
          <w:sz w:val="26"/>
          <w:szCs w:val="26"/>
        </w:rPr>
        <w:t xml:space="preserve"> </w:t>
      </w:r>
      <w:r w:rsidR="00026BFB" w:rsidRPr="004B6A0E">
        <w:rPr>
          <w:sz w:val="26"/>
          <w:szCs w:val="26"/>
        </w:rPr>
        <w:t xml:space="preserve">and allowed to </w:t>
      </w:r>
      <w:r w:rsidR="004B6A0E">
        <w:rPr>
          <w:sz w:val="26"/>
          <w:szCs w:val="26"/>
        </w:rPr>
        <w:t>“</w:t>
      </w:r>
      <w:r w:rsidR="00026BFB" w:rsidRPr="004B6A0E">
        <w:rPr>
          <w:i/>
          <w:iCs/>
          <w:sz w:val="26"/>
          <w:szCs w:val="26"/>
        </w:rPr>
        <w:t>draw money</w:t>
      </w:r>
      <w:r w:rsidR="004B6A0E">
        <w:rPr>
          <w:sz w:val="26"/>
          <w:szCs w:val="26"/>
        </w:rPr>
        <w:t>”</w:t>
      </w:r>
      <w:r w:rsidR="00026BFB" w:rsidRPr="004B6A0E">
        <w:rPr>
          <w:sz w:val="26"/>
          <w:szCs w:val="26"/>
        </w:rPr>
        <w:t xml:space="preserve"> on the card</w:t>
      </w:r>
      <w:r w:rsidR="00AC4BE9" w:rsidRPr="004B6A0E">
        <w:rPr>
          <w:sz w:val="26"/>
          <w:szCs w:val="26"/>
        </w:rPr>
        <w:t xml:space="preserve">, </w:t>
      </w:r>
      <w:r w:rsidR="005705AD">
        <w:rPr>
          <w:sz w:val="26"/>
          <w:szCs w:val="26"/>
        </w:rPr>
        <w:t>was encouraged and permitted to gamble</w:t>
      </w:r>
      <w:r w:rsidR="00630FE2">
        <w:rPr>
          <w:sz w:val="26"/>
          <w:szCs w:val="26"/>
        </w:rPr>
        <w:t xml:space="preserve"> by the first defendant</w:t>
      </w:r>
      <w:r w:rsidR="005705AD">
        <w:rPr>
          <w:sz w:val="26"/>
          <w:szCs w:val="26"/>
        </w:rPr>
        <w:t xml:space="preserve">, and lost the sum of R5.2 million. </w:t>
      </w:r>
    </w:p>
    <w:p w14:paraId="7683604D" w14:textId="3D0EB35B" w:rsidR="002931F7" w:rsidRDefault="002931F7" w:rsidP="008F1877">
      <w:pPr>
        <w:pStyle w:val="ListParagraph"/>
        <w:numPr>
          <w:ilvl w:val="0"/>
          <w:numId w:val="3"/>
        </w:numPr>
        <w:contextualSpacing w:val="0"/>
        <w:rPr>
          <w:sz w:val="26"/>
          <w:szCs w:val="26"/>
        </w:rPr>
      </w:pPr>
      <w:r>
        <w:rPr>
          <w:sz w:val="26"/>
          <w:szCs w:val="26"/>
        </w:rPr>
        <w:t xml:space="preserve">On the basis on these allegations, the plaintiffs advance two causes of action, </w:t>
      </w:r>
      <w:r w:rsidR="00B13272">
        <w:rPr>
          <w:sz w:val="26"/>
          <w:szCs w:val="26"/>
        </w:rPr>
        <w:t>a</w:t>
      </w:r>
      <w:r>
        <w:rPr>
          <w:sz w:val="26"/>
          <w:szCs w:val="26"/>
        </w:rPr>
        <w:t xml:space="preserve"> claim </w:t>
      </w:r>
      <w:r w:rsidR="00BD5BCF">
        <w:rPr>
          <w:sz w:val="26"/>
          <w:szCs w:val="26"/>
        </w:rPr>
        <w:t>relying</w:t>
      </w:r>
      <w:r>
        <w:rPr>
          <w:sz w:val="26"/>
          <w:szCs w:val="26"/>
        </w:rPr>
        <w:t xml:space="preserve"> </w:t>
      </w:r>
      <w:r w:rsidR="00BD5BCF">
        <w:rPr>
          <w:sz w:val="26"/>
          <w:szCs w:val="26"/>
        </w:rPr>
        <w:t xml:space="preserve">on </w:t>
      </w:r>
      <w:r>
        <w:rPr>
          <w:sz w:val="26"/>
          <w:szCs w:val="26"/>
        </w:rPr>
        <w:t xml:space="preserve">the breach of a statutory duty and Aquilian </w:t>
      </w:r>
      <w:r w:rsidR="00B13272">
        <w:rPr>
          <w:sz w:val="26"/>
          <w:szCs w:val="26"/>
        </w:rPr>
        <w:t>liability</w:t>
      </w:r>
      <w:r>
        <w:rPr>
          <w:sz w:val="26"/>
          <w:szCs w:val="26"/>
        </w:rPr>
        <w:t xml:space="preserve">.  </w:t>
      </w:r>
    </w:p>
    <w:p w14:paraId="0AC8DF57" w14:textId="46F53D73" w:rsidR="00483D59" w:rsidRPr="00EA335B" w:rsidRDefault="001208F1" w:rsidP="00EA335B">
      <w:pPr>
        <w:pStyle w:val="ListParagraph"/>
        <w:numPr>
          <w:ilvl w:val="0"/>
          <w:numId w:val="3"/>
        </w:numPr>
        <w:contextualSpacing w:val="0"/>
        <w:rPr>
          <w:sz w:val="26"/>
          <w:szCs w:val="26"/>
        </w:rPr>
      </w:pPr>
      <w:r>
        <w:rPr>
          <w:sz w:val="26"/>
          <w:szCs w:val="26"/>
        </w:rPr>
        <w:lastRenderedPageBreak/>
        <w:t xml:space="preserve">For the statutory claim, </w:t>
      </w:r>
      <w:r w:rsidR="00483D59">
        <w:rPr>
          <w:sz w:val="26"/>
          <w:szCs w:val="26"/>
        </w:rPr>
        <w:t xml:space="preserve">the plaintiffs </w:t>
      </w:r>
      <w:r w:rsidR="0037678A">
        <w:rPr>
          <w:sz w:val="26"/>
          <w:szCs w:val="26"/>
        </w:rPr>
        <w:t>aver that</w:t>
      </w:r>
      <w:r w:rsidR="00EA335B">
        <w:rPr>
          <w:sz w:val="26"/>
          <w:szCs w:val="26"/>
        </w:rPr>
        <w:t xml:space="preserve"> t</w:t>
      </w:r>
      <w:r w:rsidR="00483D59" w:rsidRPr="00EA335B">
        <w:rPr>
          <w:sz w:val="26"/>
          <w:szCs w:val="26"/>
        </w:rPr>
        <w:t>he National Gambling Act</w:t>
      </w:r>
      <w:r w:rsidR="002336AD">
        <w:rPr>
          <w:sz w:val="26"/>
          <w:szCs w:val="26"/>
        </w:rPr>
        <w:t xml:space="preserve"> 7 of 2004</w:t>
      </w:r>
      <w:r w:rsidR="00483D59" w:rsidRPr="00EA335B">
        <w:rPr>
          <w:sz w:val="26"/>
          <w:szCs w:val="26"/>
        </w:rPr>
        <w:t xml:space="preserve">, the North West Gambling Act </w:t>
      </w:r>
      <w:r w:rsidR="008772F4">
        <w:rPr>
          <w:sz w:val="26"/>
          <w:szCs w:val="26"/>
        </w:rPr>
        <w:t xml:space="preserve">2 of 2001 </w:t>
      </w:r>
      <w:r w:rsidR="00483D59" w:rsidRPr="00EA335B">
        <w:rPr>
          <w:sz w:val="26"/>
          <w:szCs w:val="26"/>
        </w:rPr>
        <w:t xml:space="preserve">and the North West Gambling Regulations impose obligations on the part of the first defendant with </w:t>
      </w:r>
      <w:r w:rsidR="00483D59" w:rsidRPr="00EA335B">
        <w:rPr>
          <w:i/>
          <w:iCs/>
          <w:sz w:val="26"/>
          <w:szCs w:val="26"/>
        </w:rPr>
        <w:t>“the benefits flowing from the non-observance of the duties imposed are for the benefit of the plaintiffs alternatively the first plaintiff</w:t>
      </w:r>
      <w:r w:rsidR="00483D59" w:rsidRPr="00EA335B">
        <w:rPr>
          <w:sz w:val="26"/>
          <w:szCs w:val="26"/>
        </w:rPr>
        <w:t>”.</w:t>
      </w:r>
      <w:r w:rsidR="007A4AA9" w:rsidRPr="00EA335B">
        <w:rPr>
          <w:sz w:val="26"/>
          <w:szCs w:val="26"/>
        </w:rPr>
        <w:t xml:space="preserve"> The only provisions </w:t>
      </w:r>
      <w:r w:rsidR="003E04C8" w:rsidRPr="00EA335B">
        <w:rPr>
          <w:sz w:val="26"/>
          <w:szCs w:val="26"/>
        </w:rPr>
        <w:t>specifically pleaded</w:t>
      </w:r>
      <w:r w:rsidR="007A4AA9" w:rsidRPr="00EA335B">
        <w:rPr>
          <w:sz w:val="26"/>
          <w:szCs w:val="26"/>
        </w:rPr>
        <w:t xml:space="preserve"> are regulations 22</w:t>
      </w:r>
      <w:r w:rsidR="00260B4E">
        <w:rPr>
          <w:sz w:val="26"/>
          <w:szCs w:val="26"/>
        </w:rPr>
        <w:t>(</w:t>
      </w:r>
      <w:r w:rsidR="009D7863">
        <w:rPr>
          <w:sz w:val="26"/>
          <w:szCs w:val="26"/>
        </w:rPr>
        <w:t>2</w:t>
      </w:r>
      <w:r w:rsidR="00260B4E">
        <w:rPr>
          <w:sz w:val="26"/>
          <w:szCs w:val="26"/>
        </w:rPr>
        <w:t>)</w:t>
      </w:r>
      <w:r w:rsidR="007A4AA9" w:rsidRPr="00EA335B">
        <w:rPr>
          <w:sz w:val="26"/>
          <w:szCs w:val="26"/>
        </w:rPr>
        <w:t xml:space="preserve"> and 23 under the North West Gambling Regulations</w:t>
      </w:r>
      <w:r w:rsidR="003E04C8" w:rsidRPr="00EA335B">
        <w:rPr>
          <w:sz w:val="26"/>
          <w:szCs w:val="26"/>
        </w:rPr>
        <w:t>.</w:t>
      </w:r>
      <w:r w:rsidR="004A677F">
        <w:rPr>
          <w:sz w:val="26"/>
          <w:szCs w:val="26"/>
        </w:rPr>
        <w:t xml:space="preserve"> The ‘benefits’ are not identified in the pleading.</w:t>
      </w:r>
    </w:p>
    <w:p w14:paraId="02F42447" w14:textId="77777777" w:rsidR="00CF2B61" w:rsidRDefault="00CF2B61" w:rsidP="00CF2B61">
      <w:pPr>
        <w:pStyle w:val="ListParagraph"/>
        <w:numPr>
          <w:ilvl w:val="0"/>
          <w:numId w:val="3"/>
        </w:numPr>
        <w:contextualSpacing w:val="0"/>
        <w:rPr>
          <w:sz w:val="26"/>
          <w:szCs w:val="26"/>
        </w:rPr>
      </w:pPr>
      <w:r>
        <w:rPr>
          <w:sz w:val="26"/>
          <w:szCs w:val="26"/>
        </w:rPr>
        <w:t>Regulation 22 provides:</w:t>
      </w:r>
    </w:p>
    <w:p w14:paraId="6B20662C" w14:textId="77777777" w:rsidR="00CF2B61" w:rsidRDefault="00CF2B61" w:rsidP="00CF2B61">
      <w:pPr>
        <w:pStyle w:val="ListParagraph"/>
        <w:spacing w:line="360" w:lineRule="auto"/>
        <w:ind w:left="2268" w:right="521" w:hanging="567"/>
        <w:contextualSpacing w:val="0"/>
      </w:pPr>
      <w:r w:rsidRPr="00271400">
        <w:t>“(1)</w:t>
      </w:r>
      <w:r w:rsidRPr="00271400">
        <w:tab/>
      </w:r>
      <w:r>
        <w:t>An excluded person who enters licenced premises from which he or she is excluded or partakes in any gaming from which he or she is excluded, shall be guilty of an offence.</w:t>
      </w:r>
    </w:p>
    <w:p w14:paraId="54FC9089" w14:textId="242057D0" w:rsidR="00CF2B61" w:rsidRPr="00271400" w:rsidRDefault="00CF2B61" w:rsidP="00CF2B61">
      <w:pPr>
        <w:pStyle w:val="ListParagraph"/>
        <w:spacing w:line="360" w:lineRule="auto"/>
        <w:ind w:left="2268" w:right="521" w:hanging="567"/>
        <w:contextualSpacing w:val="0"/>
      </w:pPr>
      <w:r>
        <w:t>(2)</w:t>
      </w:r>
      <w:r>
        <w:tab/>
        <w:t xml:space="preserve">A person excluded from premises in another province shall not partake </w:t>
      </w:r>
      <w:r w:rsidR="00917E72">
        <w:t xml:space="preserve">in </w:t>
      </w:r>
      <w:r>
        <w:t xml:space="preserve">gambling activities in the Province.” </w:t>
      </w:r>
    </w:p>
    <w:p w14:paraId="7841AD8F" w14:textId="77777777" w:rsidR="00CF2B61" w:rsidRDefault="00CF2B61" w:rsidP="00CF2B61">
      <w:pPr>
        <w:pStyle w:val="ListParagraph"/>
        <w:numPr>
          <w:ilvl w:val="0"/>
          <w:numId w:val="3"/>
        </w:numPr>
        <w:contextualSpacing w:val="0"/>
        <w:rPr>
          <w:sz w:val="26"/>
          <w:szCs w:val="26"/>
        </w:rPr>
      </w:pPr>
      <w:r>
        <w:rPr>
          <w:sz w:val="26"/>
          <w:szCs w:val="26"/>
        </w:rPr>
        <w:t>Regulation 23 imposes duties upon the licensee as follows:</w:t>
      </w:r>
    </w:p>
    <w:p w14:paraId="0AAC4655" w14:textId="77777777" w:rsidR="00CF2B61" w:rsidRDefault="00CF2B61" w:rsidP="00CF2B61">
      <w:pPr>
        <w:pStyle w:val="ListParagraph"/>
        <w:spacing w:line="360" w:lineRule="auto"/>
        <w:ind w:left="2268" w:right="521" w:hanging="567"/>
        <w:contextualSpacing w:val="0"/>
      </w:pPr>
      <w:r>
        <w:t>“(1)</w:t>
      </w:r>
      <w:r>
        <w:tab/>
        <w:t xml:space="preserve">Whenever an identified excluded person enters or attempts to enter or is upon licenced premises from which he or she is excluded, the licensee and its agents or employees shall – </w:t>
      </w:r>
    </w:p>
    <w:p w14:paraId="0E12D644" w14:textId="77777777" w:rsidR="00CF2B61" w:rsidRDefault="00CF2B61" w:rsidP="00CF2B61">
      <w:pPr>
        <w:pStyle w:val="ListParagraph"/>
        <w:numPr>
          <w:ilvl w:val="4"/>
          <w:numId w:val="3"/>
        </w:numPr>
        <w:spacing w:line="360" w:lineRule="auto"/>
        <w:ind w:left="2835" w:right="521" w:hanging="567"/>
        <w:contextualSpacing w:val="0"/>
      </w:pPr>
      <w:r>
        <w:t>request such excluded person not to enter, or if on the premises, to immediately leave;</w:t>
      </w:r>
    </w:p>
    <w:p w14:paraId="03B2A8B4" w14:textId="77777777" w:rsidR="00CF2B61" w:rsidRDefault="00CF2B61" w:rsidP="00CF2B61">
      <w:pPr>
        <w:pStyle w:val="ListParagraph"/>
        <w:numPr>
          <w:ilvl w:val="4"/>
          <w:numId w:val="3"/>
        </w:numPr>
        <w:spacing w:line="360" w:lineRule="auto"/>
        <w:ind w:left="2835" w:right="521" w:hanging="567"/>
        <w:contextualSpacing w:val="0"/>
      </w:pPr>
      <w:r>
        <w:t>notify the South African Police Service to evict such person if such excluded person fails to comply with the request of the licensee, its agents or employees; and</w:t>
      </w:r>
    </w:p>
    <w:p w14:paraId="77FEA521" w14:textId="77777777" w:rsidR="00CF2B61" w:rsidRDefault="00CF2B61" w:rsidP="00CF2B61">
      <w:pPr>
        <w:pStyle w:val="ListParagraph"/>
        <w:numPr>
          <w:ilvl w:val="4"/>
          <w:numId w:val="3"/>
        </w:numPr>
        <w:spacing w:line="360" w:lineRule="auto"/>
        <w:ind w:left="2835" w:right="521" w:hanging="567"/>
        <w:contextualSpacing w:val="0"/>
      </w:pPr>
      <w:r>
        <w:lastRenderedPageBreak/>
        <w:t>notify the Board of the presence of any excluded person on the licenced premises.</w:t>
      </w:r>
    </w:p>
    <w:p w14:paraId="7F11D57A" w14:textId="77777777" w:rsidR="00CF2B61" w:rsidRPr="007C7B9D" w:rsidRDefault="00CF2B61" w:rsidP="00CF2B61">
      <w:pPr>
        <w:pStyle w:val="ListParagraph"/>
        <w:numPr>
          <w:ilvl w:val="3"/>
          <w:numId w:val="3"/>
        </w:numPr>
        <w:spacing w:line="360" w:lineRule="auto"/>
        <w:ind w:left="2268" w:right="521" w:hanging="567"/>
        <w:contextualSpacing w:val="0"/>
      </w:pPr>
      <w:r>
        <w:t xml:space="preserve">A licensee shall not knowingly allow an excluded person to partake in any gambling from which such person is excluded.” </w:t>
      </w:r>
    </w:p>
    <w:p w14:paraId="01C3FF35" w14:textId="77777777" w:rsidR="008E3928" w:rsidRDefault="008E3928" w:rsidP="008E3928">
      <w:pPr>
        <w:pStyle w:val="ListParagraph"/>
        <w:numPr>
          <w:ilvl w:val="0"/>
          <w:numId w:val="3"/>
        </w:numPr>
        <w:contextualSpacing w:val="0"/>
        <w:rPr>
          <w:sz w:val="26"/>
          <w:szCs w:val="26"/>
        </w:rPr>
      </w:pPr>
      <w:r>
        <w:rPr>
          <w:sz w:val="26"/>
          <w:szCs w:val="26"/>
        </w:rPr>
        <w:t>The plaintiffs plead the following allegations regarding the first defendant’s alleged breach of statutory duties:</w:t>
      </w:r>
    </w:p>
    <w:p w14:paraId="57223A8B" w14:textId="0CA8432D" w:rsidR="008E3928" w:rsidRDefault="008E3928" w:rsidP="00183E64">
      <w:pPr>
        <w:pStyle w:val="ListParagraph"/>
        <w:spacing w:line="360" w:lineRule="auto"/>
        <w:ind w:left="2268" w:right="521" w:hanging="567"/>
        <w:contextualSpacing w:val="0"/>
      </w:pPr>
      <w:r>
        <w:t>“</w:t>
      </w:r>
      <w:r w:rsidR="00183E64">
        <w:t>12.</w:t>
      </w:r>
      <w:r w:rsidR="00183E64">
        <w:tab/>
      </w:r>
      <w:r>
        <w:t xml:space="preserve">The first defendant’s conduct … constituted a breach/es of its statutory duty/duties and caused the plaintiffs, alternatively the first plaintiff to suffer damages in that: </w:t>
      </w:r>
    </w:p>
    <w:p w14:paraId="572CB95E" w14:textId="77777777" w:rsidR="008E3928" w:rsidRDefault="008E3928" w:rsidP="00183E64">
      <w:pPr>
        <w:pStyle w:val="ListParagraph"/>
        <w:spacing w:line="360" w:lineRule="auto"/>
        <w:ind w:left="2694" w:right="521" w:hanging="426"/>
        <w:contextualSpacing w:val="0"/>
      </w:pPr>
      <w:r>
        <w:t>a.</w:t>
      </w:r>
      <w:r>
        <w:tab/>
        <w:t xml:space="preserve">the plaintiff was an excluded person; </w:t>
      </w:r>
    </w:p>
    <w:p w14:paraId="69D037F1" w14:textId="77777777" w:rsidR="008E3928" w:rsidRDefault="008E3928" w:rsidP="00183E64">
      <w:pPr>
        <w:pStyle w:val="ListParagraph"/>
        <w:spacing w:line="360" w:lineRule="auto"/>
        <w:ind w:left="2694" w:right="521" w:hanging="426"/>
        <w:contextualSpacing w:val="0"/>
      </w:pPr>
      <w:r>
        <w:t>b.</w:t>
      </w:r>
      <w:r>
        <w:tab/>
        <w:t>the first defendant allowed the first plaintiff to enter upon and/or to remain on its premises;</w:t>
      </w:r>
    </w:p>
    <w:p w14:paraId="73FF0EDC" w14:textId="77777777" w:rsidR="008E3928" w:rsidRDefault="008E3928" w:rsidP="00183E64">
      <w:pPr>
        <w:pStyle w:val="ListParagraph"/>
        <w:spacing w:line="360" w:lineRule="auto"/>
        <w:ind w:left="2694" w:right="521" w:hanging="426"/>
        <w:contextualSpacing w:val="0"/>
      </w:pPr>
      <w:r>
        <w:t>c.</w:t>
      </w:r>
      <w:r>
        <w:tab/>
        <w:t>the first defendant did not take the prescribed measures as contemplated in the NWGR</w:t>
      </w:r>
      <w:r>
        <w:rPr>
          <w:rStyle w:val="FootnoteReference"/>
        </w:rPr>
        <w:footnoteReference w:id="2"/>
      </w:r>
      <w:r>
        <w:t xml:space="preserve"> to refrain the first defendant from entering upon its premises or to remove him therefrom;</w:t>
      </w:r>
    </w:p>
    <w:p w14:paraId="1AEA06DC" w14:textId="77777777" w:rsidR="008E3928" w:rsidRDefault="008E3928" w:rsidP="00183E64">
      <w:pPr>
        <w:pStyle w:val="ListParagraph"/>
        <w:spacing w:line="360" w:lineRule="auto"/>
        <w:ind w:left="2694" w:right="521" w:hanging="426"/>
        <w:contextualSpacing w:val="0"/>
      </w:pPr>
      <w:r>
        <w:t>d.</w:t>
      </w:r>
      <w:r>
        <w:tab/>
        <w:t>the first defendant facilitated the first plaintiff in gaming at its premises; and</w:t>
      </w:r>
    </w:p>
    <w:p w14:paraId="1F15DFFE" w14:textId="77777777" w:rsidR="008E3928" w:rsidRPr="0042642F" w:rsidRDefault="008E3928" w:rsidP="00183E64">
      <w:pPr>
        <w:pStyle w:val="ListParagraph"/>
        <w:spacing w:line="360" w:lineRule="auto"/>
        <w:ind w:left="2694" w:right="521" w:hanging="426"/>
        <w:contextualSpacing w:val="0"/>
      </w:pPr>
      <w:r>
        <w:t>e.</w:t>
      </w:r>
      <w:r>
        <w:tab/>
        <w:t>the first defendant did not take any steps to prevent the first plaintiff from gaming at its premises.”</w:t>
      </w:r>
    </w:p>
    <w:p w14:paraId="5AE0EEB0" w14:textId="57732B74" w:rsidR="00483D59" w:rsidRDefault="00183E64" w:rsidP="00483D59">
      <w:pPr>
        <w:pStyle w:val="ListParagraph"/>
        <w:numPr>
          <w:ilvl w:val="0"/>
          <w:numId w:val="3"/>
        </w:numPr>
        <w:contextualSpacing w:val="0"/>
        <w:rPr>
          <w:sz w:val="26"/>
          <w:szCs w:val="26"/>
        </w:rPr>
      </w:pPr>
      <w:r>
        <w:rPr>
          <w:sz w:val="26"/>
          <w:szCs w:val="26"/>
        </w:rPr>
        <w:t>In the</w:t>
      </w:r>
      <w:r w:rsidR="00483D59">
        <w:rPr>
          <w:sz w:val="26"/>
          <w:szCs w:val="26"/>
        </w:rPr>
        <w:t xml:space="preserve"> alternative, the plaintiffs plead that the first defendant </w:t>
      </w:r>
      <w:r w:rsidR="00483D59">
        <w:rPr>
          <w:i/>
          <w:iCs/>
          <w:sz w:val="26"/>
          <w:szCs w:val="26"/>
        </w:rPr>
        <w:t xml:space="preserve">“owed the plaintiffs, alternatively the first plaintiff a duty of care to ensure that the first plaintiff does not obtain access to the first defendant’s casino for purposes of </w:t>
      </w:r>
      <w:r w:rsidR="00483D59">
        <w:rPr>
          <w:i/>
          <w:iCs/>
          <w:sz w:val="26"/>
          <w:szCs w:val="26"/>
        </w:rPr>
        <w:lastRenderedPageBreak/>
        <w:t>engaging in gambling activities.</w:t>
      </w:r>
      <w:r w:rsidR="00483D59">
        <w:rPr>
          <w:sz w:val="26"/>
          <w:szCs w:val="26"/>
        </w:rPr>
        <w:t>” The plaintiffs plead that this duty arises from the following facts:</w:t>
      </w:r>
    </w:p>
    <w:p w14:paraId="0231C8A8" w14:textId="77777777" w:rsidR="00483D59" w:rsidRDefault="00483D59" w:rsidP="00483D59">
      <w:pPr>
        <w:pStyle w:val="ListParagraph"/>
        <w:spacing w:line="360" w:lineRule="auto"/>
        <w:ind w:left="2268" w:right="521" w:hanging="567"/>
        <w:contextualSpacing w:val="0"/>
      </w:pPr>
      <w:r>
        <w:t>“16.1</w:t>
      </w:r>
      <w:r>
        <w:tab/>
        <w:t xml:space="preserve">By engaging in the business of facilitating gaming and becoming a licensee, the first defendant took on the obligation to ensure that it conducts its business responsibly and reasonably and in particular; </w:t>
      </w:r>
    </w:p>
    <w:p w14:paraId="4AEB8C07" w14:textId="77777777" w:rsidR="00483D59" w:rsidRDefault="00483D59" w:rsidP="00483D59">
      <w:pPr>
        <w:pStyle w:val="ListParagraph"/>
        <w:spacing w:line="360" w:lineRule="auto"/>
        <w:ind w:left="3119" w:right="521" w:hanging="851"/>
        <w:contextualSpacing w:val="0"/>
      </w:pPr>
      <w:r>
        <w:t>16.1.1.</w:t>
      </w:r>
      <w:r>
        <w:tab/>
        <w:t>to prevent an excluded person from entering or remaining on its premises;</w:t>
      </w:r>
    </w:p>
    <w:p w14:paraId="4967CED2" w14:textId="77777777" w:rsidR="00483D59" w:rsidRDefault="00483D59" w:rsidP="00483D59">
      <w:pPr>
        <w:pStyle w:val="ListParagraph"/>
        <w:spacing w:line="360" w:lineRule="auto"/>
        <w:ind w:left="3119" w:right="521" w:hanging="851"/>
        <w:contextualSpacing w:val="0"/>
      </w:pPr>
      <w:r>
        <w:t>16.1.2.</w:t>
      </w:r>
      <w:r>
        <w:tab/>
        <w:t xml:space="preserve">to not facilitate or allow an excluded person to engage in gaming activities; and </w:t>
      </w:r>
    </w:p>
    <w:p w14:paraId="2E763CCF" w14:textId="77777777" w:rsidR="00483D59" w:rsidRDefault="00483D59" w:rsidP="00483D59">
      <w:pPr>
        <w:pStyle w:val="ListParagraph"/>
        <w:spacing w:line="360" w:lineRule="auto"/>
        <w:ind w:left="3119" w:right="521" w:hanging="851"/>
        <w:contextualSpacing w:val="0"/>
      </w:pPr>
      <w:r>
        <w:t xml:space="preserve">16.1.3. </w:t>
      </w:r>
      <w:r>
        <w:tab/>
        <w:t>to safeguard the use of the second plaintiff’s card by a third party.</w:t>
      </w:r>
    </w:p>
    <w:p w14:paraId="0907A7F8" w14:textId="77777777" w:rsidR="00483D59" w:rsidRDefault="00483D59" w:rsidP="00483D59">
      <w:pPr>
        <w:pStyle w:val="ListParagraph"/>
        <w:spacing w:line="360" w:lineRule="auto"/>
        <w:ind w:left="2268" w:right="521" w:hanging="567"/>
        <w:contextualSpacing w:val="0"/>
      </w:pPr>
      <w:r>
        <w:t>16.2</w:t>
      </w:r>
      <w:r>
        <w:tab/>
        <w:t xml:space="preserve">The plaintiffs aver that the first defendant was negligent in the conduct of its business in permitting or bringing about a situation whereby the first plaintiff engaged in gambling activities at its premises, and for the reasons more fully set out in paragraph 8 above.  </w:t>
      </w:r>
    </w:p>
    <w:p w14:paraId="05C3959C" w14:textId="77777777" w:rsidR="00483D59" w:rsidRDefault="00483D59" w:rsidP="00483D59">
      <w:pPr>
        <w:pStyle w:val="ListParagraph"/>
        <w:spacing w:line="360" w:lineRule="auto"/>
        <w:ind w:left="2268" w:right="521" w:hanging="567"/>
        <w:contextualSpacing w:val="0"/>
      </w:pPr>
      <w:r>
        <w:t>16.3</w:t>
      </w:r>
      <w:r>
        <w:tab/>
        <w:t xml:space="preserve">The first defendant knew or reasonably ought to have known that by allowing the first plaintiff access to and/or permitting him to remain on the licenced premises and/or facilitating and/or permitting him to engage in gaming, the first plaintiff could suffer harm.  </w:t>
      </w:r>
    </w:p>
    <w:p w14:paraId="3B4F4435" w14:textId="77777777" w:rsidR="00483D59" w:rsidRDefault="00483D59" w:rsidP="00483D59">
      <w:pPr>
        <w:pStyle w:val="ListParagraph"/>
        <w:spacing w:line="360" w:lineRule="auto"/>
        <w:ind w:left="2268" w:right="521" w:hanging="567"/>
        <w:contextualSpacing w:val="0"/>
      </w:pPr>
      <w:r>
        <w:t>16.4</w:t>
      </w:r>
      <w:r>
        <w:tab/>
        <w:t xml:space="preserve">The first defendant knew or reasonably should have known that the first plaintiff was not the authorised holder of the second plaintiff’s card and that the use of the second plaintiff’s card by the first plaintiff could result in harm to the second plaintiff.  </w:t>
      </w:r>
    </w:p>
    <w:p w14:paraId="6AF88A7B" w14:textId="77777777" w:rsidR="00483D59" w:rsidRDefault="00483D59" w:rsidP="00483D59">
      <w:pPr>
        <w:pStyle w:val="ListParagraph"/>
        <w:spacing w:line="360" w:lineRule="auto"/>
        <w:ind w:left="2268" w:right="521" w:hanging="567"/>
        <w:contextualSpacing w:val="0"/>
      </w:pPr>
      <w:r>
        <w:t>16.5</w:t>
      </w:r>
      <w:r>
        <w:tab/>
        <w:t xml:space="preserve">The first defendant was negligent in that it failed to take steps to prevent the first plaintiff from using the second plaintiff’s card, </w:t>
      </w:r>
      <w:r>
        <w:lastRenderedPageBreak/>
        <w:t xml:space="preserve">alternatively the first defendant was grossly negligent in that it facilitated such use.  </w:t>
      </w:r>
    </w:p>
    <w:p w14:paraId="5BE579BB" w14:textId="77777777" w:rsidR="00483D59" w:rsidRDefault="00483D59" w:rsidP="00483D59">
      <w:pPr>
        <w:pStyle w:val="ListParagraph"/>
        <w:spacing w:line="360" w:lineRule="auto"/>
        <w:ind w:left="2268" w:right="521" w:hanging="567"/>
        <w:contextualSpacing w:val="0"/>
      </w:pPr>
      <w:r>
        <w:t>16.6</w:t>
      </w:r>
      <w:r>
        <w:tab/>
        <w:t xml:space="preserve">The first defendant was negligent in that it failed to take measures to prevent the first plaintiff from entering upon and/or remaining on the licenced premises.  </w:t>
      </w:r>
    </w:p>
    <w:p w14:paraId="0D7BEE40" w14:textId="77777777" w:rsidR="00483D59" w:rsidRDefault="00483D59" w:rsidP="00483D59">
      <w:pPr>
        <w:pStyle w:val="ListParagraph"/>
        <w:spacing w:line="360" w:lineRule="auto"/>
        <w:ind w:left="2268" w:right="521" w:hanging="567"/>
        <w:contextualSpacing w:val="0"/>
      </w:pPr>
      <w:r>
        <w:t>16.7</w:t>
      </w:r>
      <w:r>
        <w:tab/>
        <w:t>The first defendant was negligent in that it failed to prevent the first plaintiff from participating in gaming activities, alternatively facilitated such gaming activities.</w:t>
      </w:r>
    </w:p>
    <w:p w14:paraId="23C1A8C0" w14:textId="5C6C0645" w:rsidR="00483D59" w:rsidRPr="000673D1" w:rsidRDefault="00483D59" w:rsidP="000673D1">
      <w:pPr>
        <w:pStyle w:val="ListParagraph"/>
        <w:spacing w:line="360" w:lineRule="auto"/>
        <w:ind w:left="2268" w:right="521" w:hanging="567"/>
        <w:contextualSpacing w:val="0"/>
      </w:pPr>
      <w:r>
        <w:t>16.8</w:t>
      </w:r>
      <w:r>
        <w:tab/>
        <w:t>As a result of the aforesaid the first plaintiff suffered harm.”</w:t>
      </w:r>
    </w:p>
    <w:p w14:paraId="2503AC1D" w14:textId="1F102A58" w:rsidR="005A727E" w:rsidRDefault="005A727E" w:rsidP="005A727E">
      <w:pPr>
        <w:pStyle w:val="Heading1"/>
      </w:pPr>
      <w:r>
        <w:t>The exception</w:t>
      </w:r>
    </w:p>
    <w:p w14:paraId="5EDDA1C4" w14:textId="45643FD4" w:rsidR="005A727E" w:rsidRDefault="00C90C8F" w:rsidP="008F1877">
      <w:pPr>
        <w:pStyle w:val="ListParagraph"/>
        <w:numPr>
          <w:ilvl w:val="0"/>
          <w:numId w:val="3"/>
        </w:numPr>
        <w:contextualSpacing w:val="0"/>
        <w:rPr>
          <w:sz w:val="26"/>
          <w:szCs w:val="26"/>
        </w:rPr>
      </w:pPr>
      <w:r>
        <w:rPr>
          <w:sz w:val="26"/>
          <w:szCs w:val="26"/>
        </w:rPr>
        <w:t>The first defendant advanced four grounds of exception</w:t>
      </w:r>
      <w:r w:rsidR="007522D4">
        <w:rPr>
          <w:sz w:val="26"/>
          <w:szCs w:val="26"/>
        </w:rPr>
        <w:t>.  I</w:t>
      </w:r>
      <w:r>
        <w:rPr>
          <w:sz w:val="26"/>
          <w:szCs w:val="26"/>
        </w:rPr>
        <w:t>t contends that the particulars of claim d</w:t>
      </w:r>
      <w:r w:rsidR="007522D4">
        <w:rPr>
          <w:sz w:val="26"/>
          <w:szCs w:val="26"/>
        </w:rPr>
        <w:t xml:space="preserve">o </w:t>
      </w:r>
      <w:r>
        <w:rPr>
          <w:sz w:val="26"/>
          <w:szCs w:val="26"/>
        </w:rPr>
        <w:t>not disclose a cause of action</w:t>
      </w:r>
      <w:r w:rsidR="007522D4">
        <w:rPr>
          <w:sz w:val="26"/>
          <w:szCs w:val="26"/>
        </w:rPr>
        <w:t xml:space="preserve"> b</w:t>
      </w:r>
      <w:r>
        <w:rPr>
          <w:sz w:val="26"/>
          <w:szCs w:val="26"/>
        </w:rPr>
        <w:t>ased on</w:t>
      </w:r>
      <w:r w:rsidR="00094852">
        <w:rPr>
          <w:sz w:val="26"/>
          <w:szCs w:val="26"/>
        </w:rPr>
        <w:t xml:space="preserve"> regulations </w:t>
      </w:r>
      <w:r w:rsidR="000E57AA">
        <w:rPr>
          <w:sz w:val="26"/>
          <w:szCs w:val="26"/>
        </w:rPr>
        <w:t>22 and 23 of</w:t>
      </w:r>
      <w:r>
        <w:rPr>
          <w:sz w:val="26"/>
          <w:szCs w:val="26"/>
        </w:rPr>
        <w:t xml:space="preserve"> the North</w:t>
      </w:r>
      <w:r w:rsidR="00183E64">
        <w:rPr>
          <w:sz w:val="26"/>
          <w:szCs w:val="26"/>
        </w:rPr>
        <w:t xml:space="preserve"> </w:t>
      </w:r>
      <w:r>
        <w:rPr>
          <w:sz w:val="26"/>
          <w:szCs w:val="26"/>
        </w:rPr>
        <w:t>West Gambling Regulations, or otherwise in terms of the National Gambling Act, the North</w:t>
      </w:r>
      <w:r w:rsidR="00B95562">
        <w:rPr>
          <w:sz w:val="26"/>
          <w:szCs w:val="26"/>
        </w:rPr>
        <w:t xml:space="preserve"> </w:t>
      </w:r>
      <w:r>
        <w:rPr>
          <w:sz w:val="26"/>
          <w:szCs w:val="26"/>
        </w:rPr>
        <w:t>West Gambling Act or the North</w:t>
      </w:r>
      <w:r w:rsidR="00B95562">
        <w:rPr>
          <w:sz w:val="26"/>
          <w:szCs w:val="26"/>
        </w:rPr>
        <w:t xml:space="preserve"> </w:t>
      </w:r>
      <w:r>
        <w:rPr>
          <w:sz w:val="26"/>
          <w:szCs w:val="26"/>
        </w:rPr>
        <w:t>West Gambling Regulations.  The plaintiffs’ failure to refer to any specific provisions in the National Act</w:t>
      </w:r>
      <w:r w:rsidR="00CB29CC">
        <w:rPr>
          <w:sz w:val="26"/>
          <w:szCs w:val="26"/>
        </w:rPr>
        <w:t xml:space="preserve"> or</w:t>
      </w:r>
      <w:r>
        <w:rPr>
          <w:sz w:val="26"/>
          <w:szCs w:val="26"/>
        </w:rPr>
        <w:t xml:space="preserve"> the North</w:t>
      </w:r>
      <w:r w:rsidR="00183E64">
        <w:rPr>
          <w:sz w:val="26"/>
          <w:szCs w:val="26"/>
        </w:rPr>
        <w:t xml:space="preserve"> </w:t>
      </w:r>
      <w:r>
        <w:rPr>
          <w:sz w:val="26"/>
          <w:szCs w:val="26"/>
        </w:rPr>
        <w:t xml:space="preserve">West Act gave rise to a separate ground, namely that the </w:t>
      </w:r>
      <w:r w:rsidR="00651DC7">
        <w:rPr>
          <w:sz w:val="26"/>
          <w:szCs w:val="26"/>
        </w:rPr>
        <w:t xml:space="preserve">particulars of claim are vague and embarrassing.  </w:t>
      </w:r>
    </w:p>
    <w:p w14:paraId="1D74CCC8" w14:textId="1B20A931" w:rsidR="0089546F" w:rsidRDefault="00651DC7" w:rsidP="0089546F">
      <w:pPr>
        <w:pStyle w:val="ListParagraph"/>
        <w:numPr>
          <w:ilvl w:val="0"/>
          <w:numId w:val="3"/>
        </w:numPr>
        <w:contextualSpacing w:val="0"/>
        <w:rPr>
          <w:sz w:val="26"/>
          <w:szCs w:val="26"/>
        </w:rPr>
      </w:pPr>
      <w:r>
        <w:rPr>
          <w:sz w:val="26"/>
          <w:szCs w:val="26"/>
        </w:rPr>
        <w:t xml:space="preserve">The first defendant also contends that the particulars of claim do not disclose a cause of action under the </w:t>
      </w:r>
      <w:r w:rsidR="000E57AA">
        <w:rPr>
          <w:i/>
          <w:iCs/>
          <w:sz w:val="26"/>
          <w:szCs w:val="26"/>
        </w:rPr>
        <w:t>L</w:t>
      </w:r>
      <w:r>
        <w:rPr>
          <w:i/>
          <w:iCs/>
          <w:sz w:val="26"/>
          <w:szCs w:val="26"/>
        </w:rPr>
        <w:t>ex Aquilia</w:t>
      </w:r>
      <w:r>
        <w:rPr>
          <w:sz w:val="26"/>
          <w:szCs w:val="26"/>
        </w:rPr>
        <w:t xml:space="preserve"> on the basis that the facts pleaded do not give rise to a common law duty</w:t>
      </w:r>
      <w:r w:rsidR="0089546F">
        <w:rPr>
          <w:sz w:val="26"/>
          <w:szCs w:val="26"/>
        </w:rPr>
        <w:t xml:space="preserve"> on the part of the first defendant to the plaintiffs.  As a result, it argues, the particulars of claim lack the necessary </w:t>
      </w:r>
      <w:r w:rsidR="0089546F">
        <w:rPr>
          <w:sz w:val="26"/>
          <w:szCs w:val="26"/>
        </w:rPr>
        <w:lastRenderedPageBreak/>
        <w:t>averment that the first defendant’s conduct towards the</w:t>
      </w:r>
      <w:r w:rsidR="00183E64">
        <w:rPr>
          <w:sz w:val="26"/>
          <w:szCs w:val="26"/>
        </w:rPr>
        <w:t xml:space="preserve"> first</w:t>
      </w:r>
      <w:r w:rsidR="0089546F">
        <w:rPr>
          <w:sz w:val="26"/>
          <w:szCs w:val="26"/>
        </w:rPr>
        <w:t xml:space="preserve"> plaintiff was wrongful.  </w:t>
      </w:r>
    </w:p>
    <w:p w14:paraId="3CFC7083" w14:textId="69C29454" w:rsidR="0089546F" w:rsidRDefault="0089546F" w:rsidP="0089546F">
      <w:pPr>
        <w:pStyle w:val="ListParagraph"/>
        <w:numPr>
          <w:ilvl w:val="0"/>
          <w:numId w:val="3"/>
        </w:numPr>
        <w:contextualSpacing w:val="0"/>
        <w:rPr>
          <w:sz w:val="26"/>
          <w:szCs w:val="26"/>
        </w:rPr>
      </w:pPr>
      <w:r>
        <w:rPr>
          <w:sz w:val="26"/>
          <w:szCs w:val="26"/>
        </w:rPr>
        <w:t xml:space="preserve">Lastly, the </w:t>
      </w:r>
      <w:r w:rsidR="00EF7C28">
        <w:rPr>
          <w:sz w:val="26"/>
          <w:szCs w:val="26"/>
        </w:rPr>
        <w:t xml:space="preserve">first </w:t>
      </w:r>
      <w:r w:rsidR="000B5C43">
        <w:rPr>
          <w:sz w:val="26"/>
          <w:szCs w:val="26"/>
        </w:rPr>
        <w:t>defendant</w:t>
      </w:r>
      <w:r w:rsidR="00EF7C28">
        <w:rPr>
          <w:sz w:val="26"/>
          <w:szCs w:val="26"/>
        </w:rPr>
        <w:t xml:space="preserve"> contends</w:t>
      </w:r>
      <w:r>
        <w:rPr>
          <w:sz w:val="26"/>
          <w:szCs w:val="26"/>
        </w:rPr>
        <w:t xml:space="preserve"> that the particulars of claim do not </w:t>
      </w:r>
      <w:r w:rsidR="00C42A38">
        <w:rPr>
          <w:sz w:val="26"/>
          <w:szCs w:val="26"/>
        </w:rPr>
        <w:t>disclose a cause of action in favour of the second plaintiff at all.</w:t>
      </w:r>
      <w:r w:rsidR="004238A5">
        <w:rPr>
          <w:sz w:val="26"/>
          <w:szCs w:val="26"/>
        </w:rPr>
        <w:t xml:space="preserve"> </w:t>
      </w:r>
      <w:r w:rsidR="006D27AC">
        <w:rPr>
          <w:sz w:val="26"/>
          <w:szCs w:val="26"/>
        </w:rPr>
        <w:t xml:space="preserve">Ms Bismilla, for the plaintiffs, </w:t>
      </w:r>
      <w:r w:rsidR="00FE64EA">
        <w:rPr>
          <w:sz w:val="26"/>
          <w:szCs w:val="26"/>
        </w:rPr>
        <w:t xml:space="preserve">indicated that the second plaintiff does not rely on regulation 23, and that her </w:t>
      </w:r>
      <w:r w:rsidR="00307EE5">
        <w:rPr>
          <w:sz w:val="26"/>
          <w:szCs w:val="26"/>
        </w:rPr>
        <w:t xml:space="preserve">Aquilian </w:t>
      </w:r>
      <w:r w:rsidR="00FE64EA">
        <w:rPr>
          <w:sz w:val="26"/>
          <w:szCs w:val="26"/>
        </w:rPr>
        <w:t xml:space="preserve">claim is limited to an alleged duty on the part of the first </w:t>
      </w:r>
      <w:r w:rsidR="000B5C43">
        <w:rPr>
          <w:sz w:val="26"/>
          <w:szCs w:val="26"/>
        </w:rPr>
        <w:t>defendant</w:t>
      </w:r>
      <w:r w:rsidR="00FE64EA">
        <w:rPr>
          <w:sz w:val="26"/>
          <w:szCs w:val="26"/>
        </w:rPr>
        <w:t xml:space="preserve"> to have</w:t>
      </w:r>
      <w:r w:rsidR="0047593F">
        <w:rPr>
          <w:sz w:val="26"/>
          <w:szCs w:val="26"/>
        </w:rPr>
        <w:t xml:space="preserve"> </w:t>
      </w:r>
      <w:r w:rsidR="00307EE5">
        <w:rPr>
          <w:sz w:val="26"/>
          <w:szCs w:val="26"/>
        </w:rPr>
        <w:t>safeguarded</w:t>
      </w:r>
      <w:r w:rsidR="0047593F">
        <w:rPr>
          <w:sz w:val="26"/>
          <w:szCs w:val="26"/>
        </w:rPr>
        <w:t xml:space="preserve"> </w:t>
      </w:r>
      <w:r w:rsidR="000B5C43">
        <w:rPr>
          <w:sz w:val="26"/>
          <w:szCs w:val="26"/>
        </w:rPr>
        <w:t>the second plaintiff’s</w:t>
      </w:r>
      <w:r w:rsidR="0047593F">
        <w:rPr>
          <w:sz w:val="26"/>
          <w:szCs w:val="26"/>
        </w:rPr>
        <w:t xml:space="preserve"> </w:t>
      </w:r>
      <w:r w:rsidR="00011D8D">
        <w:rPr>
          <w:sz w:val="26"/>
          <w:szCs w:val="26"/>
        </w:rPr>
        <w:t>‘</w:t>
      </w:r>
      <w:r w:rsidR="0047593F">
        <w:rPr>
          <w:sz w:val="26"/>
          <w:szCs w:val="26"/>
        </w:rPr>
        <w:t>card</w:t>
      </w:r>
      <w:r w:rsidR="00011D8D">
        <w:rPr>
          <w:sz w:val="26"/>
          <w:szCs w:val="26"/>
        </w:rPr>
        <w:t>’</w:t>
      </w:r>
      <w:r w:rsidR="00307EE5">
        <w:rPr>
          <w:sz w:val="26"/>
          <w:szCs w:val="26"/>
        </w:rPr>
        <w:t xml:space="preserve"> against abuse by the first </w:t>
      </w:r>
      <w:r w:rsidR="000B5C43">
        <w:rPr>
          <w:sz w:val="26"/>
          <w:szCs w:val="26"/>
        </w:rPr>
        <w:t>defendant</w:t>
      </w:r>
      <w:r w:rsidR="0047593F">
        <w:rPr>
          <w:sz w:val="26"/>
          <w:szCs w:val="26"/>
        </w:rPr>
        <w:t>.</w:t>
      </w:r>
      <w:r w:rsidR="00FE64EA">
        <w:rPr>
          <w:sz w:val="26"/>
          <w:szCs w:val="26"/>
        </w:rPr>
        <w:t xml:space="preserve"> </w:t>
      </w:r>
      <w:r w:rsidR="006D27AC">
        <w:rPr>
          <w:sz w:val="26"/>
          <w:szCs w:val="26"/>
        </w:rPr>
        <w:t xml:space="preserve"> </w:t>
      </w:r>
      <w:r w:rsidR="006937D2">
        <w:rPr>
          <w:sz w:val="26"/>
          <w:szCs w:val="26"/>
        </w:rPr>
        <w:t xml:space="preserve">The first plaintiff does not rely on the </w:t>
      </w:r>
      <w:r w:rsidR="006E6085">
        <w:rPr>
          <w:sz w:val="26"/>
          <w:szCs w:val="26"/>
        </w:rPr>
        <w:t xml:space="preserve">allegations regarding the card for his claims. </w:t>
      </w:r>
      <w:r w:rsidR="00D366D9">
        <w:rPr>
          <w:sz w:val="26"/>
          <w:szCs w:val="26"/>
        </w:rPr>
        <w:t>Ms Bismilla</w:t>
      </w:r>
      <w:r w:rsidR="00AB384D">
        <w:rPr>
          <w:sz w:val="26"/>
          <w:szCs w:val="26"/>
        </w:rPr>
        <w:t xml:space="preserve"> conceded</w:t>
      </w:r>
      <w:r w:rsidR="00723E05">
        <w:rPr>
          <w:sz w:val="26"/>
          <w:szCs w:val="26"/>
        </w:rPr>
        <w:t>, correctly in my view,</w:t>
      </w:r>
      <w:r w:rsidR="00AB384D">
        <w:rPr>
          <w:sz w:val="26"/>
          <w:szCs w:val="26"/>
        </w:rPr>
        <w:t xml:space="preserve"> that </w:t>
      </w:r>
      <w:r w:rsidR="00A64393">
        <w:rPr>
          <w:sz w:val="26"/>
          <w:szCs w:val="26"/>
        </w:rPr>
        <w:t xml:space="preserve">insufficient </w:t>
      </w:r>
      <w:r w:rsidR="00EE3B18">
        <w:rPr>
          <w:sz w:val="26"/>
          <w:szCs w:val="26"/>
        </w:rPr>
        <w:t>allegations</w:t>
      </w:r>
      <w:r w:rsidR="00710368">
        <w:rPr>
          <w:sz w:val="26"/>
          <w:szCs w:val="26"/>
        </w:rPr>
        <w:t xml:space="preserve"> have been made </w:t>
      </w:r>
      <w:r w:rsidR="007A0777">
        <w:rPr>
          <w:sz w:val="26"/>
          <w:szCs w:val="26"/>
        </w:rPr>
        <w:t xml:space="preserve">to </w:t>
      </w:r>
      <w:r w:rsidR="00011D8D">
        <w:rPr>
          <w:sz w:val="26"/>
          <w:szCs w:val="26"/>
        </w:rPr>
        <w:t>establish</w:t>
      </w:r>
      <w:r w:rsidR="007A0777">
        <w:rPr>
          <w:sz w:val="26"/>
          <w:szCs w:val="26"/>
        </w:rPr>
        <w:t xml:space="preserve"> a claim</w:t>
      </w:r>
      <w:r w:rsidR="00EE3B18">
        <w:rPr>
          <w:sz w:val="26"/>
          <w:szCs w:val="26"/>
        </w:rPr>
        <w:t xml:space="preserve"> in favour of the second </w:t>
      </w:r>
      <w:r w:rsidR="000B5C43">
        <w:rPr>
          <w:sz w:val="26"/>
          <w:szCs w:val="26"/>
        </w:rPr>
        <w:t>plaintiff</w:t>
      </w:r>
      <w:r w:rsidR="00EE3B18">
        <w:rPr>
          <w:sz w:val="26"/>
          <w:szCs w:val="26"/>
        </w:rPr>
        <w:t>.</w:t>
      </w:r>
      <w:r w:rsidR="00307EE5">
        <w:rPr>
          <w:sz w:val="26"/>
          <w:szCs w:val="26"/>
        </w:rPr>
        <w:t xml:space="preserve"> The fourth ground of exception </w:t>
      </w:r>
      <w:r w:rsidR="00072644">
        <w:rPr>
          <w:sz w:val="26"/>
          <w:szCs w:val="26"/>
        </w:rPr>
        <w:t>was</w:t>
      </w:r>
      <w:r w:rsidR="00307EE5">
        <w:rPr>
          <w:sz w:val="26"/>
          <w:szCs w:val="26"/>
        </w:rPr>
        <w:t xml:space="preserve"> thus conceded. </w:t>
      </w:r>
    </w:p>
    <w:p w14:paraId="413D7640" w14:textId="1AF1A705" w:rsidR="00004E48" w:rsidRPr="00540138" w:rsidRDefault="00004E48" w:rsidP="00004E48">
      <w:pPr>
        <w:pStyle w:val="ListParagraph"/>
        <w:numPr>
          <w:ilvl w:val="0"/>
          <w:numId w:val="3"/>
        </w:numPr>
        <w:contextualSpacing w:val="0"/>
        <w:rPr>
          <w:sz w:val="26"/>
          <w:szCs w:val="26"/>
        </w:rPr>
      </w:pPr>
      <w:r>
        <w:rPr>
          <w:sz w:val="26"/>
          <w:szCs w:val="26"/>
        </w:rPr>
        <w:t>In</w:t>
      </w:r>
      <w:r w:rsidRPr="00C20394">
        <w:rPr>
          <w:b/>
          <w:sz w:val="26"/>
          <w:szCs w:val="26"/>
        </w:rPr>
        <w:t xml:space="preserve"> </w:t>
      </w:r>
      <w:r>
        <w:rPr>
          <w:b/>
          <w:sz w:val="26"/>
          <w:szCs w:val="26"/>
        </w:rPr>
        <w:t>Pretorius</w:t>
      </w:r>
      <w:r>
        <w:rPr>
          <w:sz w:val="26"/>
          <w:szCs w:val="26"/>
        </w:rPr>
        <w:t xml:space="preserve"> the Constitutional Court summarised the principles pertaining to exceptions: </w:t>
      </w:r>
    </w:p>
    <w:p w14:paraId="380209C4" w14:textId="3C74F143" w:rsidR="00004E48" w:rsidRPr="00004E48" w:rsidRDefault="00004E48" w:rsidP="00004E48">
      <w:pPr>
        <w:pStyle w:val="ListParagraph"/>
        <w:spacing w:line="360" w:lineRule="auto"/>
        <w:ind w:left="1701" w:right="521"/>
        <w:contextualSpacing w:val="0"/>
      </w:pPr>
      <w:r>
        <w:rPr>
          <w:bCs/>
        </w:rPr>
        <w:t xml:space="preserve">“In deciding an exception a court must accept all allegations of facts made in the particulars of claim as true; may not have regard to any other extraneous facts or documents; and may uphold the exception to the pleading only when the excipient has satisfied the court that the cause of action or conclusion of law in the pleading cannot be supported on every interpretation that can be put on the facts.  The purpose of an exception is to protect litigants against claims that are bad in law or against an embarrassment which is so serious as to merit the costs even of an exception.  It is a useful procedural tool to </w:t>
      </w:r>
      <w:r>
        <w:rPr>
          <w:bCs/>
        </w:rPr>
        <w:lastRenderedPageBreak/>
        <w:t>weed out bad claims at an early stage, but an overly technical approach must be avoided.”</w:t>
      </w:r>
      <w:r w:rsidR="00EB4121" w:rsidRPr="00EB4121">
        <w:rPr>
          <w:rStyle w:val="FootnoteReference"/>
          <w:sz w:val="26"/>
          <w:szCs w:val="26"/>
        </w:rPr>
        <w:t xml:space="preserve"> </w:t>
      </w:r>
      <w:r w:rsidR="00EB4121">
        <w:rPr>
          <w:rStyle w:val="FootnoteReference"/>
          <w:sz w:val="26"/>
          <w:szCs w:val="26"/>
        </w:rPr>
        <w:footnoteReference w:id="3"/>
      </w:r>
      <w:r>
        <w:rPr>
          <w:bCs/>
        </w:rPr>
        <w:t xml:space="preserve"> </w:t>
      </w:r>
    </w:p>
    <w:p w14:paraId="1670558F" w14:textId="77777777" w:rsidR="00222F3E" w:rsidRDefault="00222F3E" w:rsidP="00222F3E">
      <w:pPr>
        <w:pStyle w:val="Heading1"/>
      </w:pPr>
      <w:r>
        <w:t>The statutory claim</w:t>
      </w:r>
    </w:p>
    <w:p w14:paraId="186BF633" w14:textId="0B4DA1BA" w:rsidR="00180395" w:rsidRDefault="00FE0631" w:rsidP="00FE0631">
      <w:pPr>
        <w:pStyle w:val="ListParagraph"/>
        <w:numPr>
          <w:ilvl w:val="0"/>
          <w:numId w:val="3"/>
        </w:numPr>
        <w:contextualSpacing w:val="0"/>
        <w:rPr>
          <w:sz w:val="26"/>
          <w:szCs w:val="26"/>
        </w:rPr>
      </w:pPr>
      <w:r>
        <w:rPr>
          <w:sz w:val="26"/>
          <w:szCs w:val="26"/>
        </w:rPr>
        <w:t>The</w:t>
      </w:r>
      <w:r w:rsidR="00F570B0">
        <w:rPr>
          <w:sz w:val="26"/>
          <w:szCs w:val="26"/>
        </w:rPr>
        <w:t xml:space="preserve"> particulars</w:t>
      </w:r>
      <w:r>
        <w:rPr>
          <w:sz w:val="26"/>
          <w:szCs w:val="26"/>
        </w:rPr>
        <w:t xml:space="preserve"> of </w:t>
      </w:r>
      <w:r w:rsidR="00F570B0">
        <w:rPr>
          <w:sz w:val="26"/>
          <w:szCs w:val="26"/>
        </w:rPr>
        <w:t>claim identif</w:t>
      </w:r>
      <w:r w:rsidR="00392C73">
        <w:rPr>
          <w:sz w:val="26"/>
          <w:szCs w:val="26"/>
        </w:rPr>
        <w:t>y</w:t>
      </w:r>
      <w:r w:rsidR="00F570B0">
        <w:rPr>
          <w:sz w:val="26"/>
          <w:szCs w:val="26"/>
        </w:rPr>
        <w:t xml:space="preserve"> only </w:t>
      </w:r>
      <w:r>
        <w:rPr>
          <w:sz w:val="26"/>
          <w:szCs w:val="26"/>
        </w:rPr>
        <w:t xml:space="preserve">regulations 22 and 23. </w:t>
      </w:r>
      <w:r w:rsidR="00C90C06" w:rsidRPr="003A5FCF">
        <w:rPr>
          <w:sz w:val="26"/>
          <w:szCs w:val="26"/>
        </w:rPr>
        <w:t xml:space="preserve"> The relevance of regulation 22 </w:t>
      </w:r>
      <w:r w:rsidR="00EA3629">
        <w:rPr>
          <w:sz w:val="26"/>
          <w:szCs w:val="26"/>
        </w:rPr>
        <w:t>i</w:t>
      </w:r>
      <w:r w:rsidR="00C90C06" w:rsidRPr="003A5FCF">
        <w:rPr>
          <w:sz w:val="26"/>
          <w:szCs w:val="26"/>
        </w:rPr>
        <w:t>s clear – it provides that the first plaintiff, who w</w:t>
      </w:r>
      <w:r w:rsidR="00392C73">
        <w:rPr>
          <w:sz w:val="26"/>
          <w:szCs w:val="26"/>
        </w:rPr>
        <w:t>as</w:t>
      </w:r>
      <w:r w:rsidR="00C90C06" w:rsidRPr="003A5FCF">
        <w:rPr>
          <w:sz w:val="26"/>
          <w:szCs w:val="26"/>
        </w:rPr>
        <w:t xml:space="preserve"> listed as an excluded person in Gauteng, is also an excluded person in the North West Province.  </w:t>
      </w:r>
      <w:r w:rsidR="00AC418D">
        <w:rPr>
          <w:sz w:val="26"/>
          <w:szCs w:val="26"/>
        </w:rPr>
        <w:t>T</w:t>
      </w:r>
      <w:r w:rsidR="00C90C06" w:rsidRPr="003A5FCF">
        <w:rPr>
          <w:sz w:val="26"/>
          <w:szCs w:val="26"/>
        </w:rPr>
        <w:t>he duties relied upon by the plaintiffs, are those contained in regulation 23</w:t>
      </w:r>
      <w:r w:rsidR="000D60B9">
        <w:rPr>
          <w:sz w:val="26"/>
          <w:szCs w:val="26"/>
        </w:rPr>
        <w:t xml:space="preserve">, and </w:t>
      </w:r>
      <w:r w:rsidR="00C90C06" w:rsidRPr="003A5FCF">
        <w:rPr>
          <w:sz w:val="26"/>
          <w:szCs w:val="26"/>
        </w:rPr>
        <w:t>Ms B</w:t>
      </w:r>
      <w:r w:rsidR="003A5FCF">
        <w:rPr>
          <w:sz w:val="26"/>
          <w:szCs w:val="26"/>
        </w:rPr>
        <w:t xml:space="preserve">ismilla’s argument on behalf of the plaintiffs was appropriately limited to reliance </w:t>
      </w:r>
      <w:r w:rsidR="00180395">
        <w:rPr>
          <w:sz w:val="26"/>
          <w:szCs w:val="26"/>
        </w:rPr>
        <w:t>thereon</w:t>
      </w:r>
      <w:r w:rsidR="003A5FCF">
        <w:rPr>
          <w:sz w:val="26"/>
          <w:szCs w:val="26"/>
        </w:rPr>
        <w:t xml:space="preserve">. </w:t>
      </w:r>
    </w:p>
    <w:p w14:paraId="414CC187" w14:textId="5AA5AED4" w:rsidR="00FE0631" w:rsidRDefault="00FE0631" w:rsidP="00FE0631">
      <w:pPr>
        <w:pStyle w:val="ListParagraph"/>
        <w:numPr>
          <w:ilvl w:val="0"/>
          <w:numId w:val="3"/>
        </w:numPr>
        <w:contextualSpacing w:val="0"/>
        <w:rPr>
          <w:sz w:val="26"/>
          <w:szCs w:val="26"/>
        </w:rPr>
      </w:pPr>
      <w:r>
        <w:rPr>
          <w:sz w:val="26"/>
          <w:szCs w:val="26"/>
        </w:rPr>
        <w:t>Although the plaintiffs need not necessarily specify a statutory provision, it must be clear from the pleading that a particular provision is relevant and operative.</w:t>
      </w:r>
      <w:r>
        <w:rPr>
          <w:rStyle w:val="FootnoteReference"/>
        </w:rPr>
        <w:footnoteReference w:id="4"/>
      </w:r>
      <w:r>
        <w:t xml:space="preserve"> </w:t>
      </w:r>
      <w:r w:rsidRPr="00176D8E">
        <w:rPr>
          <w:sz w:val="26"/>
          <w:szCs w:val="26"/>
        </w:rPr>
        <w:t>The plaintiffs do not identify any provisions in the National Gambling A</w:t>
      </w:r>
      <w:r>
        <w:rPr>
          <w:sz w:val="26"/>
          <w:szCs w:val="26"/>
        </w:rPr>
        <w:t>c</w:t>
      </w:r>
      <w:r w:rsidRPr="00176D8E">
        <w:rPr>
          <w:sz w:val="26"/>
          <w:szCs w:val="26"/>
        </w:rPr>
        <w:t xml:space="preserve">t or the North West Gambling Act, and the only </w:t>
      </w:r>
      <w:r>
        <w:rPr>
          <w:sz w:val="26"/>
          <w:szCs w:val="26"/>
        </w:rPr>
        <w:t xml:space="preserve">reasonable </w:t>
      </w:r>
      <w:r w:rsidRPr="00176D8E">
        <w:rPr>
          <w:sz w:val="26"/>
          <w:szCs w:val="26"/>
        </w:rPr>
        <w:t>reading of the particulars of claim is that the statutory claim is limited to reliance on regulations 22 and 23</w:t>
      </w:r>
      <w:r w:rsidR="00180395">
        <w:rPr>
          <w:sz w:val="26"/>
          <w:szCs w:val="26"/>
        </w:rPr>
        <w:t>, with the sta</w:t>
      </w:r>
      <w:r w:rsidR="00BD04FC">
        <w:rPr>
          <w:sz w:val="26"/>
          <w:szCs w:val="26"/>
        </w:rPr>
        <w:t>t</w:t>
      </w:r>
      <w:r w:rsidR="00180395">
        <w:rPr>
          <w:sz w:val="26"/>
          <w:szCs w:val="26"/>
        </w:rPr>
        <w:t xml:space="preserve">utes referred to forming part of the </w:t>
      </w:r>
      <w:r w:rsidR="00BD04FC">
        <w:rPr>
          <w:sz w:val="26"/>
          <w:szCs w:val="26"/>
        </w:rPr>
        <w:t>legislative framework within which the regulation</w:t>
      </w:r>
      <w:r w:rsidR="00D366D9">
        <w:rPr>
          <w:sz w:val="26"/>
          <w:szCs w:val="26"/>
        </w:rPr>
        <w:t>s</w:t>
      </w:r>
      <w:r w:rsidR="00BD04FC">
        <w:rPr>
          <w:sz w:val="26"/>
          <w:szCs w:val="26"/>
        </w:rPr>
        <w:t xml:space="preserve"> find application</w:t>
      </w:r>
      <w:r w:rsidRPr="00176D8E">
        <w:rPr>
          <w:sz w:val="26"/>
          <w:szCs w:val="26"/>
        </w:rPr>
        <w:t>.</w:t>
      </w:r>
      <w:r>
        <w:rPr>
          <w:sz w:val="26"/>
          <w:szCs w:val="26"/>
        </w:rPr>
        <w:t xml:space="preserve"> In </w:t>
      </w:r>
      <w:r>
        <w:rPr>
          <w:sz w:val="26"/>
          <w:szCs w:val="26"/>
        </w:rPr>
        <w:lastRenderedPageBreak/>
        <w:t xml:space="preserve">the circumstances I do not agree </w:t>
      </w:r>
      <w:r w:rsidR="005A7208">
        <w:rPr>
          <w:sz w:val="26"/>
          <w:szCs w:val="26"/>
        </w:rPr>
        <w:t xml:space="preserve">with the first </w:t>
      </w:r>
      <w:r w:rsidR="000B5C43">
        <w:rPr>
          <w:sz w:val="26"/>
          <w:szCs w:val="26"/>
        </w:rPr>
        <w:t>defendant</w:t>
      </w:r>
      <w:r w:rsidR="005A7208">
        <w:rPr>
          <w:sz w:val="26"/>
          <w:szCs w:val="26"/>
        </w:rPr>
        <w:t xml:space="preserve"> </w:t>
      </w:r>
      <w:r>
        <w:rPr>
          <w:sz w:val="26"/>
          <w:szCs w:val="26"/>
        </w:rPr>
        <w:t>that the pleading is vague and embarrassing.</w:t>
      </w:r>
      <w:r>
        <w:rPr>
          <w:rStyle w:val="FootnoteReference"/>
        </w:rPr>
        <w:footnoteReference w:id="5"/>
      </w:r>
    </w:p>
    <w:p w14:paraId="5270BE5F" w14:textId="1CBC267A" w:rsidR="003E2852" w:rsidRDefault="003E2852" w:rsidP="00625B3E">
      <w:pPr>
        <w:pStyle w:val="ListParagraph"/>
        <w:numPr>
          <w:ilvl w:val="0"/>
          <w:numId w:val="3"/>
        </w:numPr>
        <w:contextualSpacing w:val="0"/>
        <w:rPr>
          <w:sz w:val="26"/>
          <w:szCs w:val="26"/>
        </w:rPr>
      </w:pPr>
      <w:r>
        <w:rPr>
          <w:sz w:val="26"/>
          <w:szCs w:val="26"/>
        </w:rPr>
        <w:t xml:space="preserve">In </w:t>
      </w:r>
      <w:r>
        <w:rPr>
          <w:b/>
          <w:bCs/>
          <w:sz w:val="26"/>
          <w:szCs w:val="26"/>
        </w:rPr>
        <w:t xml:space="preserve">Olitzki </w:t>
      </w:r>
      <w:r>
        <w:rPr>
          <w:sz w:val="26"/>
          <w:szCs w:val="26"/>
        </w:rPr>
        <w:t xml:space="preserve">the Supreme Court of Appeal </w:t>
      </w:r>
      <w:r w:rsidR="0008635B">
        <w:rPr>
          <w:sz w:val="26"/>
          <w:szCs w:val="26"/>
        </w:rPr>
        <w:t>explained</w:t>
      </w:r>
      <w:r w:rsidR="00447D02">
        <w:rPr>
          <w:sz w:val="26"/>
          <w:szCs w:val="26"/>
        </w:rPr>
        <w:t xml:space="preserve"> the </w:t>
      </w:r>
      <w:r w:rsidR="007A6AEE">
        <w:rPr>
          <w:sz w:val="26"/>
          <w:szCs w:val="26"/>
        </w:rPr>
        <w:t>place</w:t>
      </w:r>
      <w:r w:rsidR="00447D02">
        <w:rPr>
          <w:sz w:val="26"/>
          <w:szCs w:val="26"/>
        </w:rPr>
        <w:t xml:space="preserve"> of statutory</w:t>
      </w:r>
      <w:r w:rsidR="007A6AEE">
        <w:rPr>
          <w:sz w:val="26"/>
          <w:szCs w:val="26"/>
        </w:rPr>
        <w:t xml:space="preserve"> </w:t>
      </w:r>
      <w:r w:rsidR="00447D02">
        <w:rPr>
          <w:sz w:val="26"/>
          <w:szCs w:val="26"/>
        </w:rPr>
        <w:t>provisions in damages claims</w:t>
      </w:r>
      <w:r w:rsidR="007A6AEE">
        <w:rPr>
          <w:sz w:val="26"/>
          <w:szCs w:val="26"/>
        </w:rPr>
        <w:t xml:space="preserve"> as follows</w:t>
      </w:r>
      <w:r>
        <w:rPr>
          <w:sz w:val="26"/>
          <w:szCs w:val="26"/>
        </w:rPr>
        <w:t xml:space="preserve">: </w:t>
      </w:r>
    </w:p>
    <w:p w14:paraId="194306CA" w14:textId="7B4EE457" w:rsidR="003E2852" w:rsidRPr="006F0C68" w:rsidRDefault="003E2852" w:rsidP="003E2852">
      <w:pPr>
        <w:pStyle w:val="ListParagraph"/>
        <w:spacing w:line="360" w:lineRule="auto"/>
        <w:ind w:left="1701" w:right="521"/>
        <w:contextualSpacing w:val="0"/>
      </w:pPr>
      <w:r>
        <w:t xml:space="preserve">“Where the legal duty the plaintiff invokes derives from breach of a statutory provision .... The focal </w:t>
      </w:r>
      <w:r w:rsidR="008C700C">
        <w:t>question remains one of statutory interpretation, since the statute may on a proper construction by implication itself confer right of action, or alternatively provide the basis for inferring that a legal duty exists at common law.  The process in either case requires a consideration of the statute as a whole, its objects and provisions, the circumstances in which it was enacted, and the kind of mischief it was designed to prevent.</w:t>
      </w:r>
      <w:r w:rsidR="0064515F">
        <w:t xml:space="preserve">  But where a common-law duty is at issue, the answer now depends less on the application of </w:t>
      </w:r>
      <w:r w:rsidR="00862C76">
        <w:t>formulaic approaches to statutory construction than on a broad assessment by the Court whether it is ‘just and reasonable’</w:t>
      </w:r>
      <w:r w:rsidR="006F0C68">
        <w:t xml:space="preserve"> that a civil claim for damages should be accorded.  </w:t>
      </w:r>
      <w:r w:rsidR="001F225D">
        <w:t>‘</w:t>
      </w:r>
      <w:r w:rsidR="006F0C68">
        <w:t xml:space="preserve">The conduct is wrongful, not because of the breach of the statutory duty </w:t>
      </w:r>
      <w:r w:rsidR="006F0C68" w:rsidRPr="00CA57F7">
        <w:t>per</w:t>
      </w:r>
      <w:r w:rsidR="001F225D" w:rsidRPr="00CA57F7">
        <w:t xml:space="preserve"> </w:t>
      </w:r>
      <w:r w:rsidR="006F0C68" w:rsidRPr="00CA57F7">
        <w:t>se</w:t>
      </w:r>
      <w:r w:rsidR="001F225D" w:rsidRPr="00CA57F7">
        <w:t>,</w:t>
      </w:r>
      <w:r w:rsidR="001F225D">
        <w:t xml:space="preserve"> but because it is reasonable in the circumstances to compensate the plaintiff for the infringement of his</w:t>
      </w:r>
      <w:r w:rsidR="006F0C68">
        <w:t xml:space="preserve"> </w:t>
      </w:r>
      <w:r w:rsidR="001F225D">
        <w:t xml:space="preserve">legal right’.  The determination of reasonableness here in turn depends on whether affording the plaintiff a remedy is congruent with the court’s appreciation of the sense of justice of the community.  This appreciation must unavoidably include the application of broad considerations of public policy determined also in the light of the Constitution and the impact upon them that the grant or refusal of the remedy the plaintiff seeks will </w:t>
      </w:r>
      <w:r w:rsidR="00CA57F7">
        <w:t>en</w:t>
      </w:r>
      <w:r w:rsidR="001F225D">
        <w:t>tail.”</w:t>
      </w:r>
      <w:r w:rsidR="00CA57F7" w:rsidRPr="00CA57F7">
        <w:rPr>
          <w:rStyle w:val="FootnoteReference"/>
        </w:rPr>
        <w:t xml:space="preserve"> </w:t>
      </w:r>
      <w:r w:rsidR="00CA57F7">
        <w:rPr>
          <w:rStyle w:val="FootnoteReference"/>
        </w:rPr>
        <w:footnoteReference w:id="6"/>
      </w:r>
    </w:p>
    <w:p w14:paraId="22EFE9EB" w14:textId="77777777" w:rsidR="00756564" w:rsidRDefault="00756564" w:rsidP="00756564">
      <w:pPr>
        <w:pStyle w:val="ListParagraph"/>
        <w:numPr>
          <w:ilvl w:val="0"/>
          <w:numId w:val="3"/>
        </w:numPr>
        <w:contextualSpacing w:val="0"/>
        <w:rPr>
          <w:sz w:val="26"/>
          <w:szCs w:val="26"/>
        </w:rPr>
      </w:pPr>
      <w:r>
        <w:rPr>
          <w:sz w:val="26"/>
          <w:szCs w:val="26"/>
        </w:rPr>
        <w:lastRenderedPageBreak/>
        <w:t xml:space="preserve">Gambling in South Africa is regulated at both national and provincial level, it being an area of concurrent legislative competence in terms of Schedule 4 to the Constitution.  The National Gambling Act provides the overarching framework for the regulation of gambling, including establishing uniform rules and standards and national regulatory institutions, whilst much of the detail is addressed in provincial legislation, which also allows for the establishment of provincial institutions.  </w:t>
      </w:r>
    </w:p>
    <w:p w14:paraId="1591C281" w14:textId="77777777" w:rsidR="00620EA8" w:rsidRDefault="00620EA8" w:rsidP="00620EA8">
      <w:pPr>
        <w:pStyle w:val="ListParagraph"/>
        <w:numPr>
          <w:ilvl w:val="0"/>
          <w:numId w:val="3"/>
        </w:numPr>
        <w:contextualSpacing w:val="0"/>
        <w:rPr>
          <w:sz w:val="26"/>
          <w:szCs w:val="26"/>
        </w:rPr>
      </w:pPr>
      <w:r>
        <w:rPr>
          <w:sz w:val="26"/>
          <w:szCs w:val="26"/>
        </w:rPr>
        <w:t>The National Gambling Act, in its preamble, as follows:</w:t>
      </w:r>
    </w:p>
    <w:p w14:paraId="13DF985F" w14:textId="77777777" w:rsidR="00620EA8" w:rsidRDefault="00620EA8" w:rsidP="00620EA8">
      <w:pPr>
        <w:pStyle w:val="ListParagraph"/>
        <w:spacing w:line="360" w:lineRule="auto"/>
        <w:ind w:left="1701" w:right="521"/>
        <w:contextualSpacing w:val="0"/>
      </w:pPr>
      <w:r>
        <w:t xml:space="preserve">“It is desirable to establish a certain uniform rules and standards, which will safeguard people participating in gambling and their communities against the adverse effect of gambling, applying generally throughout the Republic with regard to casinos, racing, gambling and wagering, so that – </w:t>
      </w:r>
    </w:p>
    <w:p w14:paraId="03E52F42" w14:textId="77777777" w:rsidR="00620EA8" w:rsidRDefault="00620EA8" w:rsidP="00620EA8">
      <w:pPr>
        <w:pStyle w:val="ListParagraph"/>
        <w:spacing w:line="360" w:lineRule="auto"/>
        <w:ind w:left="1701" w:right="521"/>
        <w:contextualSpacing w:val="0"/>
      </w:pPr>
      <w:r>
        <w:t xml:space="preserve">*gambling activities are effectively regulated, licenced, controlled and policed; </w:t>
      </w:r>
    </w:p>
    <w:p w14:paraId="0A52BA0A" w14:textId="77777777" w:rsidR="00620EA8" w:rsidRDefault="00620EA8" w:rsidP="00620EA8">
      <w:pPr>
        <w:spacing w:line="360" w:lineRule="auto"/>
        <w:ind w:left="1701" w:right="521"/>
      </w:pPr>
      <w:r>
        <w:t xml:space="preserve">*members of the public who participate in any licenced gambling activity are protected; </w:t>
      </w:r>
    </w:p>
    <w:p w14:paraId="22B7DAEA" w14:textId="77777777" w:rsidR="00620EA8" w:rsidRDefault="00620EA8" w:rsidP="00620EA8">
      <w:pPr>
        <w:spacing w:line="360" w:lineRule="auto"/>
        <w:ind w:left="1701" w:right="521"/>
      </w:pPr>
      <w:r>
        <w:t xml:space="preserve">*society and the economy are protected against over-stimulation of the latent demand for gambling; and </w:t>
      </w:r>
    </w:p>
    <w:p w14:paraId="02560F37" w14:textId="77777777" w:rsidR="00620EA8" w:rsidRPr="00544027" w:rsidRDefault="00620EA8" w:rsidP="00620EA8">
      <w:pPr>
        <w:spacing w:line="360" w:lineRule="auto"/>
        <w:ind w:left="1701" w:right="521"/>
      </w:pPr>
      <w:r>
        <w:t>*the licensing of gambling activities is transparent, fair and equitable;”</w:t>
      </w:r>
    </w:p>
    <w:p w14:paraId="68ED935E" w14:textId="77777777" w:rsidR="00756564" w:rsidRDefault="00756564" w:rsidP="00756564">
      <w:pPr>
        <w:pStyle w:val="ListParagraph"/>
        <w:numPr>
          <w:ilvl w:val="0"/>
          <w:numId w:val="3"/>
        </w:numPr>
        <w:contextualSpacing w:val="0"/>
        <w:rPr>
          <w:sz w:val="26"/>
          <w:szCs w:val="26"/>
        </w:rPr>
      </w:pPr>
      <w:r>
        <w:rPr>
          <w:sz w:val="26"/>
          <w:szCs w:val="26"/>
        </w:rPr>
        <w:t xml:space="preserve">Section 14 of the National Gambling Act deals with excluded persons.  Sub-sections (1) to (6) provide for persons to register themselves for exclusion </w:t>
      </w:r>
      <w:r>
        <w:rPr>
          <w:sz w:val="26"/>
          <w:szCs w:val="26"/>
        </w:rPr>
        <w:lastRenderedPageBreak/>
        <w:t>from gambling activities, and for circumscribed interested parties to apply to a competent court for a person’s exclusion.</w:t>
      </w:r>
    </w:p>
    <w:p w14:paraId="7D3B636C" w14:textId="77777777" w:rsidR="00756564" w:rsidRDefault="00756564" w:rsidP="00756564">
      <w:pPr>
        <w:pStyle w:val="ListParagraph"/>
        <w:numPr>
          <w:ilvl w:val="0"/>
          <w:numId w:val="3"/>
        </w:numPr>
        <w:contextualSpacing w:val="0"/>
        <w:rPr>
          <w:sz w:val="26"/>
          <w:szCs w:val="26"/>
        </w:rPr>
      </w:pPr>
      <w:r>
        <w:rPr>
          <w:sz w:val="26"/>
          <w:szCs w:val="26"/>
        </w:rPr>
        <w:t xml:space="preserve">Section 14(7) requires the National Gambling Board to establish and maintain a national register of excluded persons, and to make the information in the register continuously available to each provincial licensing authority and every person who is licensed to make a gambling activity available to the public.  </w:t>
      </w:r>
    </w:p>
    <w:p w14:paraId="6A62241D" w14:textId="77777777" w:rsidR="00756564" w:rsidRDefault="00756564" w:rsidP="00756564">
      <w:pPr>
        <w:pStyle w:val="ListParagraph"/>
        <w:numPr>
          <w:ilvl w:val="0"/>
          <w:numId w:val="3"/>
        </w:numPr>
        <w:contextualSpacing w:val="0"/>
        <w:rPr>
          <w:sz w:val="26"/>
          <w:szCs w:val="26"/>
        </w:rPr>
      </w:pPr>
      <w:r>
        <w:rPr>
          <w:sz w:val="26"/>
          <w:szCs w:val="26"/>
        </w:rPr>
        <w:t>Subsections (10) and (11) sets out the duties of gambling licensees in respect of taking steps to prevent excluded persons to participate in gambling.</w:t>
      </w:r>
    </w:p>
    <w:p w14:paraId="52104C5E" w14:textId="77777777" w:rsidR="00756564" w:rsidRPr="00F07556" w:rsidRDefault="00756564" w:rsidP="00756564">
      <w:pPr>
        <w:pStyle w:val="ListParagraph"/>
        <w:numPr>
          <w:ilvl w:val="0"/>
          <w:numId w:val="3"/>
        </w:numPr>
        <w:contextualSpacing w:val="0"/>
        <w:rPr>
          <w:sz w:val="26"/>
          <w:szCs w:val="26"/>
        </w:rPr>
      </w:pPr>
      <w:r w:rsidRPr="00F07556">
        <w:rPr>
          <w:sz w:val="26"/>
          <w:szCs w:val="26"/>
        </w:rPr>
        <w:t xml:space="preserve">Item 7 of the Schedule of Transitional Provisions to the National Gambling Act provides that, despite the coming into operation of section 14, sub-sections (1) to (6) remain inoperative until a day declared by the responsible Minister by notice in the Gazette, after the National Gambling Board has established the National Register of excluded persons required by section 14(7).  It also provides that sub-sections (10) to (12) remain inoperative with respect to any gambling activity other than the use of limited pay out machines, until the date declared by the responsible Minister. The Minister has not </w:t>
      </w:r>
      <w:r>
        <w:rPr>
          <w:sz w:val="26"/>
          <w:szCs w:val="26"/>
        </w:rPr>
        <w:t xml:space="preserve">yet </w:t>
      </w:r>
      <w:r w:rsidRPr="00F07556">
        <w:rPr>
          <w:sz w:val="26"/>
          <w:szCs w:val="26"/>
        </w:rPr>
        <w:t xml:space="preserve">published notice of this date.  </w:t>
      </w:r>
    </w:p>
    <w:p w14:paraId="337EB4E8" w14:textId="02D30DA3" w:rsidR="00740DA2" w:rsidRDefault="00756564" w:rsidP="00740DA2">
      <w:pPr>
        <w:pStyle w:val="ListParagraph"/>
        <w:numPr>
          <w:ilvl w:val="0"/>
          <w:numId w:val="3"/>
        </w:numPr>
        <w:contextualSpacing w:val="0"/>
        <w:rPr>
          <w:sz w:val="26"/>
          <w:szCs w:val="26"/>
        </w:rPr>
      </w:pPr>
      <w:r w:rsidRPr="008052AC">
        <w:rPr>
          <w:sz w:val="26"/>
          <w:szCs w:val="26"/>
        </w:rPr>
        <w:t xml:space="preserve">Sun City is in the North West Province, where gambling is regulated at provincial level by the North West Gambling Act 2 of 2001. </w:t>
      </w:r>
      <w:r w:rsidR="00740DA2">
        <w:rPr>
          <w:sz w:val="26"/>
          <w:szCs w:val="26"/>
        </w:rPr>
        <w:t>The preamble to the Act recognises, amongst others: -</w:t>
      </w:r>
    </w:p>
    <w:p w14:paraId="1EEF0831" w14:textId="53FEF9FF" w:rsidR="00740DA2" w:rsidRPr="00C9788F" w:rsidRDefault="00740DA2" w:rsidP="00740DA2">
      <w:pPr>
        <w:pStyle w:val="ListParagraph"/>
        <w:spacing w:line="360" w:lineRule="auto"/>
        <w:ind w:left="1701" w:right="521"/>
        <w:contextualSpacing w:val="0"/>
      </w:pPr>
      <w:r>
        <w:lastRenderedPageBreak/>
        <w:t xml:space="preserve">“AND WHEREAS it is recognised that public confidence and </w:t>
      </w:r>
      <w:r w:rsidR="00BF7890">
        <w:t xml:space="preserve">trust and the </w:t>
      </w:r>
      <w:r>
        <w:t>health, safety, general welfare and good order of inhabitants of the Province are dependent upon the strict regulation of all persons, premises, practices, associations and activities relating to gambling.”</w:t>
      </w:r>
    </w:p>
    <w:p w14:paraId="2031C581" w14:textId="2A63FAC8" w:rsidR="00756564" w:rsidRPr="008052AC" w:rsidRDefault="00756564" w:rsidP="00756564">
      <w:pPr>
        <w:pStyle w:val="ListParagraph"/>
        <w:numPr>
          <w:ilvl w:val="0"/>
          <w:numId w:val="3"/>
        </w:numPr>
        <w:contextualSpacing w:val="0"/>
        <w:rPr>
          <w:sz w:val="26"/>
          <w:szCs w:val="26"/>
        </w:rPr>
      </w:pPr>
      <w:r w:rsidRPr="008052AC">
        <w:rPr>
          <w:sz w:val="26"/>
          <w:szCs w:val="26"/>
        </w:rPr>
        <w:t>This Act does not contain provisions similar to those contained in the National Act regarding prohibited persons. However, Chapter 4 of the North West Gambling Regulations</w:t>
      </w:r>
      <w:r>
        <w:rPr>
          <w:rStyle w:val="FootnoteReference"/>
          <w:sz w:val="26"/>
          <w:szCs w:val="26"/>
        </w:rPr>
        <w:footnoteReference w:id="7"/>
      </w:r>
      <w:r w:rsidRPr="008052AC">
        <w:rPr>
          <w:sz w:val="26"/>
          <w:szCs w:val="26"/>
        </w:rPr>
        <w:t xml:space="preserve"> deals with excluded persons.  Regulation 16 empowers the North West Gambling Board to establish a list of persons to be excluded from premises licenced under the Act and the </w:t>
      </w:r>
      <w:r w:rsidR="007F351C" w:rsidRPr="008052AC">
        <w:rPr>
          <w:sz w:val="26"/>
          <w:szCs w:val="26"/>
        </w:rPr>
        <w:t>regulations and</w:t>
      </w:r>
      <w:r w:rsidRPr="008052AC">
        <w:rPr>
          <w:sz w:val="26"/>
          <w:szCs w:val="26"/>
        </w:rPr>
        <w:t xml:space="preserve"> provides the criteria to be applied for inclusion on that list.  This includes self-exclusion.  Various provisions, set out in Regulations 17 to 21, seek to give effect to the need to ensure publicity and fairness in the exclusion process.</w:t>
      </w:r>
    </w:p>
    <w:p w14:paraId="3072ABB3" w14:textId="64BB07DA" w:rsidR="00756564" w:rsidRPr="008C2D19" w:rsidRDefault="00756564" w:rsidP="00756564">
      <w:pPr>
        <w:pStyle w:val="ListParagraph"/>
        <w:numPr>
          <w:ilvl w:val="0"/>
          <w:numId w:val="3"/>
        </w:numPr>
        <w:contextualSpacing w:val="0"/>
        <w:rPr>
          <w:sz w:val="26"/>
          <w:szCs w:val="26"/>
        </w:rPr>
      </w:pPr>
      <w:r>
        <w:rPr>
          <w:sz w:val="26"/>
          <w:szCs w:val="26"/>
        </w:rPr>
        <w:t>Regulation 22 prohibits a person excluded in another province (such as the first plaintiff) from</w:t>
      </w:r>
      <w:r w:rsidRPr="008C2D19">
        <w:rPr>
          <w:sz w:val="26"/>
          <w:szCs w:val="26"/>
        </w:rPr>
        <w:t xml:space="preserve"> </w:t>
      </w:r>
      <w:r>
        <w:rPr>
          <w:sz w:val="26"/>
          <w:szCs w:val="26"/>
        </w:rPr>
        <w:t>partaking in gambling activities in the North West Province</w:t>
      </w:r>
      <w:r w:rsidR="00DB7601">
        <w:rPr>
          <w:sz w:val="26"/>
          <w:szCs w:val="26"/>
        </w:rPr>
        <w:t>.</w:t>
      </w:r>
    </w:p>
    <w:p w14:paraId="584A1248" w14:textId="6A4E27A4" w:rsidR="00177507" w:rsidRDefault="00177507" w:rsidP="00177507">
      <w:pPr>
        <w:pStyle w:val="ListParagraph"/>
        <w:numPr>
          <w:ilvl w:val="0"/>
          <w:numId w:val="3"/>
        </w:numPr>
        <w:contextualSpacing w:val="0"/>
        <w:rPr>
          <w:sz w:val="26"/>
          <w:szCs w:val="26"/>
        </w:rPr>
      </w:pPr>
      <w:r>
        <w:rPr>
          <w:sz w:val="26"/>
          <w:szCs w:val="26"/>
        </w:rPr>
        <w:t>Regulation 23 imposes a duty upon a licensee to not knowingly allow an excluded person to partake in any gaming from which such person is excluded.  It also must request an excluded person not to enter, or if on the premises, to immediately leave</w:t>
      </w:r>
      <w:r w:rsidR="00E94135">
        <w:rPr>
          <w:sz w:val="26"/>
          <w:szCs w:val="26"/>
        </w:rPr>
        <w:t>,</w:t>
      </w:r>
      <w:r>
        <w:rPr>
          <w:sz w:val="26"/>
          <w:szCs w:val="26"/>
        </w:rPr>
        <w:t xml:space="preserve"> it must notify the South African Police Service to evict such </w:t>
      </w:r>
      <w:r>
        <w:rPr>
          <w:sz w:val="26"/>
          <w:szCs w:val="26"/>
        </w:rPr>
        <w:lastRenderedPageBreak/>
        <w:t xml:space="preserve">a person if he fails to comply with the request, and it must notify the Provincial Gambling Board of the person’s presence on the licensed premises.  </w:t>
      </w:r>
    </w:p>
    <w:p w14:paraId="16177A44" w14:textId="48D9B278" w:rsidR="00FE7CF6" w:rsidRPr="00B42300" w:rsidRDefault="00606C01" w:rsidP="00177507">
      <w:pPr>
        <w:pStyle w:val="ListParagraph"/>
        <w:numPr>
          <w:ilvl w:val="0"/>
          <w:numId w:val="3"/>
        </w:numPr>
        <w:contextualSpacing w:val="0"/>
        <w:rPr>
          <w:sz w:val="26"/>
          <w:szCs w:val="26"/>
        </w:rPr>
      </w:pPr>
      <w:r>
        <w:rPr>
          <w:sz w:val="26"/>
          <w:szCs w:val="26"/>
        </w:rPr>
        <w:t>The statutory regime overseeing gambling activities has, as one of its functions, the protection of participants in gambling activities</w:t>
      </w:r>
      <w:r w:rsidR="003A06BA">
        <w:rPr>
          <w:sz w:val="26"/>
          <w:szCs w:val="26"/>
        </w:rPr>
        <w:t xml:space="preserve"> and protecting their communities against the adverse effects thereof.</w:t>
      </w:r>
    </w:p>
    <w:p w14:paraId="521446C2" w14:textId="5C297505" w:rsidR="00693565" w:rsidRPr="00417588" w:rsidRDefault="002F3615" w:rsidP="00693565">
      <w:pPr>
        <w:pStyle w:val="ListParagraph"/>
        <w:numPr>
          <w:ilvl w:val="0"/>
          <w:numId w:val="3"/>
        </w:numPr>
        <w:contextualSpacing w:val="0"/>
        <w:rPr>
          <w:sz w:val="26"/>
          <w:szCs w:val="26"/>
        </w:rPr>
      </w:pPr>
      <w:r>
        <w:rPr>
          <w:sz w:val="26"/>
          <w:szCs w:val="26"/>
        </w:rPr>
        <w:t>R</w:t>
      </w:r>
      <w:r w:rsidR="00693565">
        <w:rPr>
          <w:sz w:val="26"/>
          <w:szCs w:val="26"/>
        </w:rPr>
        <w:t>egulation 22</w:t>
      </w:r>
      <w:r w:rsidR="00932222">
        <w:rPr>
          <w:sz w:val="26"/>
          <w:szCs w:val="26"/>
        </w:rPr>
        <w:t>(1)</w:t>
      </w:r>
      <w:r w:rsidR="00693565">
        <w:rPr>
          <w:sz w:val="26"/>
          <w:szCs w:val="26"/>
        </w:rPr>
        <w:t xml:space="preserve"> stipulat</w:t>
      </w:r>
      <w:r>
        <w:rPr>
          <w:sz w:val="26"/>
          <w:szCs w:val="26"/>
        </w:rPr>
        <w:t>es</w:t>
      </w:r>
      <w:r w:rsidR="00693565">
        <w:rPr>
          <w:sz w:val="26"/>
          <w:szCs w:val="26"/>
        </w:rPr>
        <w:t xml:space="preserve"> that it is an offence for an excluded person to enter licenced premises and to partake in any gaming from which he is excluded</w:t>
      </w:r>
      <w:r w:rsidR="00554C2D">
        <w:rPr>
          <w:sz w:val="26"/>
          <w:szCs w:val="26"/>
        </w:rPr>
        <w:t>.</w:t>
      </w:r>
      <w:r w:rsidR="00554C2D" w:rsidRPr="00554C2D">
        <w:rPr>
          <w:b/>
          <w:bCs/>
          <w:sz w:val="26"/>
          <w:szCs w:val="26"/>
        </w:rPr>
        <w:t xml:space="preserve"> </w:t>
      </w:r>
      <w:r w:rsidR="007151F0">
        <w:rPr>
          <w:sz w:val="26"/>
          <w:szCs w:val="26"/>
        </w:rPr>
        <w:t xml:space="preserve">Mr Friedman, appearing for the first </w:t>
      </w:r>
      <w:r w:rsidR="000B5C43">
        <w:rPr>
          <w:sz w:val="26"/>
          <w:szCs w:val="26"/>
        </w:rPr>
        <w:t>defendant</w:t>
      </w:r>
      <w:r w:rsidR="007151F0">
        <w:rPr>
          <w:sz w:val="26"/>
          <w:szCs w:val="26"/>
        </w:rPr>
        <w:t xml:space="preserve">, submitted that, as the regulation does not make it an offence to not adhere to regulation 23, </w:t>
      </w:r>
      <w:r w:rsidR="007752F2">
        <w:rPr>
          <w:sz w:val="26"/>
          <w:szCs w:val="26"/>
        </w:rPr>
        <w:t xml:space="preserve">this is indicative that the legislation does not impose a duty on the first </w:t>
      </w:r>
      <w:r w:rsidR="000B5C43">
        <w:rPr>
          <w:sz w:val="26"/>
          <w:szCs w:val="26"/>
        </w:rPr>
        <w:t>defendant</w:t>
      </w:r>
      <w:r w:rsidR="007752F2">
        <w:rPr>
          <w:sz w:val="26"/>
          <w:szCs w:val="26"/>
        </w:rPr>
        <w:t xml:space="preserve">.  </w:t>
      </w:r>
      <w:r w:rsidR="00554C2D">
        <w:rPr>
          <w:sz w:val="26"/>
          <w:szCs w:val="26"/>
        </w:rPr>
        <w:t xml:space="preserve"> </w:t>
      </w:r>
      <w:r w:rsidR="00693565">
        <w:rPr>
          <w:sz w:val="26"/>
          <w:szCs w:val="26"/>
        </w:rPr>
        <w:t xml:space="preserve">However, </w:t>
      </w:r>
      <w:r w:rsidR="007752F2">
        <w:rPr>
          <w:sz w:val="26"/>
          <w:szCs w:val="26"/>
        </w:rPr>
        <w:t xml:space="preserve">this loses sight of </w:t>
      </w:r>
      <w:r w:rsidR="00693565">
        <w:rPr>
          <w:sz w:val="26"/>
          <w:szCs w:val="26"/>
        </w:rPr>
        <w:t>section 82(1)(i)</w:t>
      </w:r>
      <w:r w:rsidR="0070345E">
        <w:rPr>
          <w:sz w:val="26"/>
          <w:szCs w:val="26"/>
        </w:rPr>
        <w:t xml:space="preserve"> of the North West Gambling Act</w:t>
      </w:r>
      <w:r w:rsidR="007752F2">
        <w:rPr>
          <w:sz w:val="26"/>
          <w:szCs w:val="26"/>
        </w:rPr>
        <w:t>, which</w:t>
      </w:r>
      <w:r w:rsidR="00693565">
        <w:rPr>
          <w:sz w:val="26"/>
          <w:szCs w:val="26"/>
        </w:rPr>
        <w:t xml:space="preserve"> stipulates that a person who contravenes or fails to comply with any provision of the Act or any regulation made under section 84 is guilty of an offence.  </w:t>
      </w:r>
    </w:p>
    <w:p w14:paraId="4ADAD562" w14:textId="76565917" w:rsidR="002F57A2" w:rsidRPr="007752F2" w:rsidRDefault="009619AC" w:rsidP="001159B3">
      <w:pPr>
        <w:pStyle w:val="ListParagraph"/>
        <w:numPr>
          <w:ilvl w:val="0"/>
          <w:numId w:val="3"/>
        </w:numPr>
        <w:contextualSpacing w:val="0"/>
        <w:rPr>
          <w:sz w:val="26"/>
          <w:szCs w:val="26"/>
        </w:rPr>
      </w:pPr>
      <w:r>
        <w:rPr>
          <w:sz w:val="26"/>
          <w:szCs w:val="26"/>
        </w:rPr>
        <w:t>In my view, the significance of the</w:t>
      </w:r>
      <w:r w:rsidR="00E45E4F">
        <w:rPr>
          <w:sz w:val="26"/>
          <w:szCs w:val="26"/>
        </w:rPr>
        <w:t xml:space="preserve"> transgressions being</w:t>
      </w:r>
      <w:r>
        <w:rPr>
          <w:sz w:val="26"/>
          <w:szCs w:val="26"/>
        </w:rPr>
        <w:t xml:space="preserve"> offences is rather that </w:t>
      </w:r>
      <w:r w:rsidR="00986768">
        <w:rPr>
          <w:sz w:val="26"/>
          <w:szCs w:val="26"/>
        </w:rPr>
        <w:t xml:space="preserve">they </w:t>
      </w:r>
      <w:r w:rsidR="00E45E4F">
        <w:rPr>
          <w:sz w:val="26"/>
          <w:szCs w:val="26"/>
        </w:rPr>
        <w:t xml:space="preserve">indicate that </w:t>
      </w:r>
      <w:r>
        <w:rPr>
          <w:sz w:val="26"/>
          <w:szCs w:val="26"/>
        </w:rPr>
        <w:t xml:space="preserve">the obligations of both the excluded person and the licensee </w:t>
      </w:r>
      <w:r w:rsidR="00E45E4F">
        <w:rPr>
          <w:sz w:val="26"/>
          <w:szCs w:val="26"/>
        </w:rPr>
        <w:t>are</w:t>
      </w:r>
      <w:r>
        <w:rPr>
          <w:sz w:val="26"/>
          <w:szCs w:val="26"/>
        </w:rPr>
        <w:t xml:space="preserve"> owed to </w:t>
      </w:r>
      <w:r w:rsidR="00797333">
        <w:rPr>
          <w:sz w:val="26"/>
          <w:szCs w:val="26"/>
        </w:rPr>
        <w:t>S</w:t>
      </w:r>
      <w:r>
        <w:rPr>
          <w:sz w:val="26"/>
          <w:szCs w:val="26"/>
        </w:rPr>
        <w:t>ociety, which the legislation seeks to protect</w:t>
      </w:r>
      <w:r w:rsidR="00E66BE9">
        <w:rPr>
          <w:sz w:val="26"/>
          <w:szCs w:val="26"/>
        </w:rPr>
        <w:t>, through the State</w:t>
      </w:r>
      <w:r>
        <w:rPr>
          <w:sz w:val="26"/>
          <w:szCs w:val="26"/>
        </w:rPr>
        <w:t xml:space="preserve">.  </w:t>
      </w:r>
      <w:r w:rsidR="00797333">
        <w:rPr>
          <w:sz w:val="26"/>
          <w:szCs w:val="26"/>
        </w:rPr>
        <w:t>Thus,</w:t>
      </w:r>
      <w:r>
        <w:rPr>
          <w:sz w:val="26"/>
          <w:szCs w:val="26"/>
        </w:rPr>
        <w:t xml:space="preserve"> the licensee must notify the South African Police Service if a person refuses to leave licenced </w:t>
      </w:r>
      <w:r w:rsidR="00E66BE9">
        <w:rPr>
          <w:sz w:val="26"/>
          <w:szCs w:val="26"/>
        </w:rPr>
        <w:t>premises and</w:t>
      </w:r>
      <w:r>
        <w:rPr>
          <w:sz w:val="26"/>
          <w:szCs w:val="26"/>
        </w:rPr>
        <w:t xml:space="preserve"> notify the Provincial Gambling Board of the presence of an excluded person on the licenced premises.</w:t>
      </w:r>
    </w:p>
    <w:p w14:paraId="51403205" w14:textId="5EDC2921" w:rsidR="009C5256" w:rsidRDefault="009C5256" w:rsidP="009C5256">
      <w:pPr>
        <w:pStyle w:val="ListParagraph"/>
        <w:numPr>
          <w:ilvl w:val="0"/>
          <w:numId w:val="3"/>
        </w:numPr>
        <w:contextualSpacing w:val="0"/>
        <w:rPr>
          <w:sz w:val="26"/>
          <w:szCs w:val="26"/>
        </w:rPr>
      </w:pPr>
      <w:r>
        <w:rPr>
          <w:sz w:val="26"/>
          <w:szCs w:val="26"/>
        </w:rPr>
        <w:lastRenderedPageBreak/>
        <w:t xml:space="preserve">In </w:t>
      </w:r>
      <w:r>
        <w:rPr>
          <w:b/>
          <w:bCs/>
          <w:sz w:val="26"/>
          <w:szCs w:val="26"/>
        </w:rPr>
        <w:t>Junmao</w:t>
      </w:r>
      <w:r w:rsidRPr="006878A5">
        <w:rPr>
          <w:rStyle w:val="FootnoteReference"/>
          <w:sz w:val="26"/>
          <w:szCs w:val="26"/>
        </w:rPr>
        <w:footnoteReference w:id="8"/>
      </w:r>
      <w:r>
        <w:rPr>
          <w:sz w:val="26"/>
          <w:szCs w:val="26"/>
        </w:rPr>
        <w:t xml:space="preserve"> Blieden J considered an exception to a similar claim under the Gauteng Gambling Act 4 of 1995 and regulations</w:t>
      </w:r>
      <w:r w:rsidR="00C27712">
        <w:rPr>
          <w:sz w:val="26"/>
          <w:szCs w:val="26"/>
        </w:rPr>
        <w:t xml:space="preserve">, which </w:t>
      </w:r>
      <w:r>
        <w:rPr>
          <w:sz w:val="26"/>
          <w:szCs w:val="26"/>
        </w:rPr>
        <w:t xml:space="preserve">are </w:t>
      </w:r>
      <w:r w:rsidR="00DF7211">
        <w:rPr>
          <w:sz w:val="26"/>
          <w:szCs w:val="26"/>
        </w:rPr>
        <w:t>identical to</w:t>
      </w:r>
      <w:r>
        <w:rPr>
          <w:sz w:val="26"/>
          <w:szCs w:val="26"/>
        </w:rPr>
        <w:t xml:space="preserve"> the </w:t>
      </w:r>
      <w:r w:rsidR="006F56DD">
        <w:rPr>
          <w:sz w:val="26"/>
          <w:szCs w:val="26"/>
        </w:rPr>
        <w:t xml:space="preserve">North West </w:t>
      </w:r>
      <w:r>
        <w:rPr>
          <w:sz w:val="26"/>
          <w:szCs w:val="26"/>
        </w:rPr>
        <w:t>regulations</w:t>
      </w:r>
      <w:r w:rsidR="0041619B">
        <w:rPr>
          <w:sz w:val="26"/>
          <w:szCs w:val="26"/>
        </w:rPr>
        <w:t xml:space="preserve"> </w:t>
      </w:r>
      <w:r w:rsidR="00A14F8B">
        <w:rPr>
          <w:sz w:val="26"/>
          <w:szCs w:val="26"/>
        </w:rPr>
        <w:t>considered here</w:t>
      </w:r>
      <w:r>
        <w:rPr>
          <w:sz w:val="26"/>
          <w:szCs w:val="26"/>
        </w:rPr>
        <w:t xml:space="preserve">.  </w:t>
      </w:r>
      <w:r w:rsidR="003224F0">
        <w:rPr>
          <w:sz w:val="26"/>
          <w:szCs w:val="26"/>
        </w:rPr>
        <w:t>He concluded that the duties imposed by the regulations upon the licensee are not to assist a compulsive gambler who requested to be evicted, but a duty to the Province or State, through the Gambling Board.</w:t>
      </w:r>
      <w:r w:rsidR="00735611">
        <w:rPr>
          <w:rStyle w:val="FootnoteReference"/>
          <w:sz w:val="26"/>
          <w:szCs w:val="26"/>
        </w:rPr>
        <w:footnoteReference w:id="9"/>
      </w:r>
      <w:r w:rsidR="003224F0">
        <w:rPr>
          <w:sz w:val="26"/>
          <w:szCs w:val="26"/>
        </w:rPr>
        <w:t xml:space="preserve">  </w:t>
      </w:r>
      <w:r w:rsidR="00A5062A">
        <w:rPr>
          <w:sz w:val="26"/>
          <w:szCs w:val="26"/>
        </w:rPr>
        <w:t>My</w:t>
      </w:r>
      <w:r w:rsidR="003224F0">
        <w:rPr>
          <w:sz w:val="26"/>
          <w:szCs w:val="26"/>
        </w:rPr>
        <w:t xml:space="preserve"> conclusion </w:t>
      </w:r>
      <w:r w:rsidR="00A5062A">
        <w:rPr>
          <w:sz w:val="26"/>
          <w:szCs w:val="26"/>
        </w:rPr>
        <w:t xml:space="preserve">that the duties are for the benefit of the Community </w:t>
      </w:r>
      <w:r w:rsidR="003224F0">
        <w:rPr>
          <w:sz w:val="26"/>
          <w:szCs w:val="26"/>
        </w:rPr>
        <w:t xml:space="preserve">seems to me to be in line with </w:t>
      </w:r>
      <w:r w:rsidR="00C11D46">
        <w:rPr>
          <w:sz w:val="26"/>
          <w:szCs w:val="26"/>
        </w:rPr>
        <w:t>t</w:t>
      </w:r>
      <w:r w:rsidR="00A5062A">
        <w:rPr>
          <w:sz w:val="26"/>
          <w:szCs w:val="26"/>
        </w:rPr>
        <w:t>his</w:t>
      </w:r>
      <w:r w:rsidR="003224F0">
        <w:rPr>
          <w:sz w:val="26"/>
          <w:szCs w:val="26"/>
        </w:rPr>
        <w:t xml:space="preserve"> conclusion. The regulatory framework establishes institutions to protect the interests of the </w:t>
      </w:r>
      <w:r w:rsidR="00A5062A">
        <w:rPr>
          <w:sz w:val="26"/>
          <w:szCs w:val="26"/>
        </w:rPr>
        <w:t>C</w:t>
      </w:r>
      <w:r w:rsidR="003224F0">
        <w:rPr>
          <w:sz w:val="26"/>
          <w:szCs w:val="26"/>
        </w:rPr>
        <w:t>ommunit</w:t>
      </w:r>
      <w:r w:rsidR="00853B31">
        <w:rPr>
          <w:sz w:val="26"/>
          <w:szCs w:val="26"/>
        </w:rPr>
        <w:t>y</w:t>
      </w:r>
      <w:r w:rsidR="003224F0">
        <w:rPr>
          <w:sz w:val="26"/>
          <w:szCs w:val="26"/>
        </w:rPr>
        <w:t>.</w:t>
      </w:r>
    </w:p>
    <w:p w14:paraId="1EDF78BA" w14:textId="15A331F2" w:rsidR="00693565" w:rsidRDefault="000D62C9" w:rsidP="00F17592">
      <w:pPr>
        <w:pStyle w:val="ListParagraph"/>
        <w:numPr>
          <w:ilvl w:val="0"/>
          <w:numId w:val="3"/>
        </w:numPr>
        <w:contextualSpacing w:val="0"/>
        <w:rPr>
          <w:sz w:val="26"/>
          <w:szCs w:val="26"/>
        </w:rPr>
      </w:pPr>
      <w:r>
        <w:rPr>
          <w:sz w:val="26"/>
          <w:szCs w:val="26"/>
        </w:rPr>
        <w:t>Sight should not be lost of the fact that t</w:t>
      </w:r>
      <w:r w:rsidR="00844890">
        <w:rPr>
          <w:sz w:val="26"/>
          <w:szCs w:val="26"/>
        </w:rPr>
        <w:t>he first plaintiff is the author of his own misfortune.  Having voluntarily placed himself on the list of people excluded from gambling, he nonetheless went to the Sun City Casino and, on his own version, lost a substantial amount</w:t>
      </w:r>
      <w:r w:rsidR="00853B31">
        <w:rPr>
          <w:sz w:val="26"/>
          <w:szCs w:val="26"/>
        </w:rPr>
        <w:t xml:space="preserve"> of money</w:t>
      </w:r>
      <w:r w:rsidR="00844890">
        <w:rPr>
          <w:sz w:val="26"/>
          <w:szCs w:val="26"/>
        </w:rPr>
        <w:t xml:space="preserve">.  </w:t>
      </w:r>
    </w:p>
    <w:p w14:paraId="04A270CF" w14:textId="278CB53E" w:rsidR="009520F1" w:rsidRPr="004758B4" w:rsidRDefault="00D43F50" w:rsidP="004758B4">
      <w:pPr>
        <w:pStyle w:val="ListParagraph"/>
        <w:numPr>
          <w:ilvl w:val="0"/>
          <w:numId w:val="3"/>
        </w:numPr>
        <w:contextualSpacing w:val="0"/>
        <w:rPr>
          <w:sz w:val="26"/>
          <w:szCs w:val="26"/>
        </w:rPr>
      </w:pPr>
      <w:r w:rsidRPr="004758B4">
        <w:rPr>
          <w:sz w:val="26"/>
          <w:szCs w:val="26"/>
        </w:rPr>
        <w:t xml:space="preserve">The plaintiffs’ </w:t>
      </w:r>
      <w:r w:rsidR="00DF7766" w:rsidRPr="004758B4">
        <w:rPr>
          <w:sz w:val="26"/>
          <w:szCs w:val="26"/>
        </w:rPr>
        <w:t xml:space="preserve">proposition implies that a compulsive gambler may </w:t>
      </w:r>
      <w:r w:rsidR="00771DCC" w:rsidRPr="004758B4">
        <w:rPr>
          <w:sz w:val="26"/>
          <w:szCs w:val="26"/>
        </w:rPr>
        <w:t xml:space="preserve">retain </w:t>
      </w:r>
      <w:r w:rsidR="00D96B59">
        <w:rPr>
          <w:sz w:val="26"/>
          <w:szCs w:val="26"/>
        </w:rPr>
        <w:t>his</w:t>
      </w:r>
      <w:r w:rsidR="00771DCC" w:rsidRPr="004758B4">
        <w:rPr>
          <w:sz w:val="26"/>
          <w:szCs w:val="26"/>
        </w:rPr>
        <w:t xml:space="preserve"> winnings when transgressing the </w:t>
      </w:r>
      <w:r w:rsidR="00BA3E7D" w:rsidRPr="004758B4">
        <w:rPr>
          <w:sz w:val="26"/>
          <w:szCs w:val="26"/>
        </w:rPr>
        <w:t>regulations but</w:t>
      </w:r>
      <w:r w:rsidR="008F61EC" w:rsidRPr="004758B4">
        <w:rPr>
          <w:sz w:val="26"/>
          <w:szCs w:val="26"/>
        </w:rPr>
        <w:t xml:space="preserve"> hold the licensee of the gambling establishment </w:t>
      </w:r>
      <w:r w:rsidR="00BA3E7D" w:rsidRPr="004758B4">
        <w:rPr>
          <w:sz w:val="26"/>
          <w:szCs w:val="26"/>
        </w:rPr>
        <w:t>liable</w:t>
      </w:r>
      <w:r w:rsidR="008F61EC" w:rsidRPr="004758B4">
        <w:rPr>
          <w:sz w:val="26"/>
          <w:szCs w:val="26"/>
        </w:rPr>
        <w:t xml:space="preserve"> for his losses. Such a lopsided approach </w:t>
      </w:r>
      <w:r w:rsidR="00E64864" w:rsidRPr="004758B4">
        <w:rPr>
          <w:sz w:val="26"/>
          <w:szCs w:val="26"/>
        </w:rPr>
        <w:t>does not serve the purpose of the provision</w:t>
      </w:r>
      <w:r w:rsidR="00BA3E7D" w:rsidRPr="004758B4">
        <w:rPr>
          <w:sz w:val="26"/>
          <w:szCs w:val="26"/>
        </w:rPr>
        <w:t xml:space="preserve">, and </w:t>
      </w:r>
      <w:r w:rsidR="005D4EDE">
        <w:rPr>
          <w:sz w:val="26"/>
          <w:szCs w:val="26"/>
        </w:rPr>
        <w:t xml:space="preserve">is </w:t>
      </w:r>
      <w:r w:rsidR="00542B93" w:rsidRPr="004758B4">
        <w:rPr>
          <w:sz w:val="26"/>
          <w:szCs w:val="26"/>
        </w:rPr>
        <w:t>not in the public interest</w:t>
      </w:r>
      <w:r w:rsidR="00E64864" w:rsidRPr="004758B4">
        <w:rPr>
          <w:sz w:val="26"/>
          <w:szCs w:val="26"/>
        </w:rPr>
        <w:t>.</w:t>
      </w:r>
      <w:r w:rsidR="00633854">
        <w:rPr>
          <w:rStyle w:val="FootnoteReference"/>
          <w:sz w:val="26"/>
          <w:szCs w:val="26"/>
        </w:rPr>
        <w:footnoteReference w:id="10"/>
      </w:r>
    </w:p>
    <w:p w14:paraId="10B272D6" w14:textId="36AEF139" w:rsidR="005477B2" w:rsidRDefault="00214FC5" w:rsidP="004D1AF9">
      <w:pPr>
        <w:pStyle w:val="ListParagraph"/>
        <w:numPr>
          <w:ilvl w:val="0"/>
          <w:numId w:val="3"/>
        </w:numPr>
        <w:contextualSpacing w:val="0"/>
        <w:rPr>
          <w:sz w:val="26"/>
          <w:szCs w:val="26"/>
        </w:rPr>
      </w:pPr>
      <w:r>
        <w:rPr>
          <w:sz w:val="26"/>
          <w:szCs w:val="26"/>
        </w:rPr>
        <w:lastRenderedPageBreak/>
        <w:t>In my view, t</w:t>
      </w:r>
      <w:r w:rsidR="00CD6A3B">
        <w:rPr>
          <w:sz w:val="26"/>
          <w:szCs w:val="26"/>
        </w:rPr>
        <w:t xml:space="preserve">he regulations, considered as a whole and in the context of the </w:t>
      </w:r>
      <w:r w:rsidR="00A559EB">
        <w:rPr>
          <w:sz w:val="26"/>
          <w:szCs w:val="26"/>
        </w:rPr>
        <w:t xml:space="preserve">regulation of gambling </w:t>
      </w:r>
      <w:r w:rsidR="001A23B7">
        <w:rPr>
          <w:sz w:val="26"/>
          <w:szCs w:val="26"/>
        </w:rPr>
        <w:t xml:space="preserve">overall, </w:t>
      </w:r>
      <w:r w:rsidR="00EC5A30">
        <w:rPr>
          <w:sz w:val="26"/>
          <w:szCs w:val="26"/>
        </w:rPr>
        <w:t xml:space="preserve">do not </w:t>
      </w:r>
      <w:r>
        <w:rPr>
          <w:sz w:val="26"/>
          <w:szCs w:val="26"/>
        </w:rPr>
        <w:t>provide</w:t>
      </w:r>
      <w:r w:rsidR="001A23B7">
        <w:rPr>
          <w:sz w:val="26"/>
          <w:szCs w:val="26"/>
        </w:rPr>
        <w:t xml:space="preserve"> </w:t>
      </w:r>
      <w:r w:rsidR="00FF5907">
        <w:rPr>
          <w:sz w:val="26"/>
          <w:szCs w:val="26"/>
        </w:rPr>
        <w:t xml:space="preserve">that the </w:t>
      </w:r>
      <w:r w:rsidR="00A4247B">
        <w:rPr>
          <w:sz w:val="26"/>
          <w:szCs w:val="26"/>
        </w:rPr>
        <w:t>first</w:t>
      </w:r>
      <w:r w:rsidR="00FF5907">
        <w:rPr>
          <w:sz w:val="26"/>
          <w:szCs w:val="26"/>
        </w:rPr>
        <w:t xml:space="preserve"> plaintiff should be afforded a civil remedy </w:t>
      </w:r>
      <w:r w:rsidR="00A4247B">
        <w:rPr>
          <w:sz w:val="26"/>
          <w:szCs w:val="26"/>
        </w:rPr>
        <w:t xml:space="preserve">where </w:t>
      </w:r>
      <w:r w:rsidR="003033C5">
        <w:rPr>
          <w:sz w:val="26"/>
          <w:szCs w:val="26"/>
        </w:rPr>
        <w:t xml:space="preserve">a licensee such as the </w:t>
      </w:r>
      <w:r w:rsidR="00474B07">
        <w:rPr>
          <w:sz w:val="26"/>
          <w:szCs w:val="26"/>
        </w:rPr>
        <w:t xml:space="preserve">first </w:t>
      </w:r>
      <w:r w:rsidR="000B5C43">
        <w:rPr>
          <w:sz w:val="26"/>
          <w:szCs w:val="26"/>
        </w:rPr>
        <w:t>defendant</w:t>
      </w:r>
      <w:r w:rsidR="00474B07">
        <w:rPr>
          <w:sz w:val="26"/>
          <w:szCs w:val="26"/>
        </w:rPr>
        <w:t xml:space="preserve"> does not adhere to the prescripts of regulation 23.</w:t>
      </w:r>
    </w:p>
    <w:p w14:paraId="5AF42E79" w14:textId="50940F10" w:rsidR="00DF44B4" w:rsidRDefault="00211D80" w:rsidP="008D51B0">
      <w:pPr>
        <w:pStyle w:val="ListParagraph"/>
        <w:numPr>
          <w:ilvl w:val="0"/>
          <w:numId w:val="3"/>
        </w:numPr>
        <w:contextualSpacing w:val="0"/>
        <w:rPr>
          <w:sz w:val="26"/>
          <w:szCs w:val="26"/>
        </w:rPr>
      </w:pPr>
      <w:r>
        <w:rPr>
          <w:sz w:val="26"/>
          <w:szCs w:val="26"/>
        </w:rPr>
        <w:t>T</w:t>
      </w:r>
      <w:r w:rsidR="00515F33">
        <w:rPr>
          <w:sz w:val="26"/>
          <w:szCs w:val="26"/>
        </w:rPr>
        <w:t xml:space="preserve">here is a further reason why the claim does not withstand scrutiny at the exception stage. </w:t>
      </w:r>
      <w:r w:rsidR="005A3B65">
        <w:rPr>
          <w:sz w:val="26"/>
          <w:szCs w:val="26"/>
        </w:rPr>
        <w:t xml:space="preserve">The plaintiffs do not rely on knowledge of the first plaintiff’s identity on the part of the first defendant.  This cannot be </w:t>
      </w:r>
      <w:r w:rsidR="00A77BB2">
        <w:rPr>
          <w:sz w:val="26"/>
          <w:szCs w:val="26"/>
        </w:rPr>
        <w:t xml:space="preserve">a </w:t>
      </w:r>
      <w:r w:rsidR="005A3B65">
        <w:rPr>
          <w:sz w:val="26"/>
          <w:szCs w:val="26"/>
        </w:rPr>
        <w:t xml:space="preserve">requirement, they submit, because any licensee could simply evade its responsibilities by choosing not to identify patrons and rely on their lack of knowledge as a defence.  However, as the first </w:t>
      </w:r>
      <w:r w:rsidR="000B5C43">
        <w:rPr>
          <w:sz w:val="26"/>
          <w:szCs w:val="26"/>
        </w:rPr>
        <w:t>defendant</w:t>
      </w:r>
      <w:r w:rsidR="005A3B65">
        <w:rPr>
          <w:sz w:val="26"/>
          <w:szCs w:val="26"/>
        </w:rPr>
        <w:t xml:space="preserve"> point</w:t>
      </w:r>
      <w:r w:rsidR="00741DCE">
        <w:rPr>
          <w:sz w:val="26"/>
          <w:szCs w:val="26"/>
        </w:rPr>
        <w:t>s</w:t>
      </w:r>
      <w:r w:rsidR="005A3B65">
        <w:rPr>
          <w:sz w:val="26"/>
          <w:szCs w:val="26"/>
        </w:rPr>
        <w:t xml:space="preserve"> out, regulation 23 expressly prohibits a licensee from not </w:t>
      </w:r>
      <w:r w:rsidR="005A3B65" w:rsidRPr="00741DCE">
        <w:rPr>
          <w:sz w:val="26"/>
          <w:szCs w:val="26"/>
          <w:u w:val="single"/>
        </w:rPr>
        <w:t>knowingly</w:t>
      </w:r>
      <w:r w:rsidR="005A3B65">
        <w:rPr>
          <w:sz w:val="26"/>
          <w:szCs w:val="26"/>
        </w:rPr>
        <w:t xml:space="preserve"> allow</w:t>
      </w:r>
      <w:r w:rsidR="00741DCE">
        <w:rPr>
          <w:sz w:val="26"/>
          <w:szCs w:val="26"/>
        </w:rPr>
        <w:t>ing</w:t>
      </w:r>
      <w:r w:rsidR="005A3B65">
        <w:rPr>
          <w:sz w:val="26"/>
          <w:szCs w:val="26"/>
        </w:rPr>
        <w:t xml:space="preserve"> an excluded person to partake in any gambling.  </w:t>
      </w:r>
    </w:p>
    <w:p w14:paraId="7840B1C0" w14:textId="0DC928A0" w:rsidR="006E639B" w:rsidRDefault="003320A4" w:rsidP="00625B3E">
      <w:pPr>
        <w:pStyle w:val="ListParagraph"/>
        <w:numPr>
          <w:ilvl w:val="0"/>
          <w:numId w:val="3"/>
        </w:numPr>
        <w:contextualSpacing w:val="0"/>
        <w:rPr>
          <w:sz w:val="26"/>
          <w:szCs w:val="26"/>
        </w:rPr>
      </w:pPr>
      <w:r>
        <w:rPr>
          <w:sz w:val="26"/>
          <w:szCs w:val="26"/>
        </w:rPr>
        <w:t xml:space="preserve">It follows that the allegations contained in the particulars of claim are not sufficient to establish a </w:t>
      </w:r>
      <w:r w:rsidR="006E6A9B">
        <w:rPr>
          <w:sz w:val="26"/>
          <w:szCs w:val="26"/>
        </w:rPr>
        <w:t xml:space="preserve">claim based </w:t>
      </w:r>
      <w:r w:rsidR="00041D72">
        <w:rPr>
          <w:sz w:val="26"/>
          <w:szCs w:val="26"/>
        </w:rPr>
        <w:t xml:space="preserve">on a </w:t>
      </w:r>
      <w:r>
        <w:rPr>
          <w:sz w:val="26"/>
          <w:szCs w:val="26"/>
        </w:rPr>
        <w:t>breach of a statutory duty contained in the North West Gambling Regulations.</w:t>
      </w:r>
      <w:r w:rsidR="00041D72">
        <w:rPr>
          <w:sz w:val="26"/>
          <w:szCs w:val="26"/>
        </w:rPr>
        <w:t xml:space="preserve"> </w:t>
      </w:r>
      <w:r w:rsidR="00E6153C">
        <w:rPr>
          <w:sz w:val="26"/>
          <w:szCs w:val="26"/>
        </w:rPr>
        <w:t xml:space="preserve"> In the result, the first defendant’s </w:t>
      </w:r>
      <w:r w:rsidR="00E6153C">
        <w:rPr>
          <w:sz w:val="26"/>
          <w:szCs w:val="26"/>
        </w:rPr>
        <w:lastRenderedPageBreak/>
        <w:t>exception that the particulars of claim do not disclose a cause of action on the basis of the breach of a statutory claim, must be upheld.</w:t>
      </w:r>
    </w:p>
    <w:p w14:paraId="720CCE09" w14:textId="0E54B579" w:rsidR="005A727E" w:rsidRDefault="005A727E" w:rsidP="005A727E">
      <w:pPr>
        <w:pStyle w:val="Heading1"/>
      </w:pPr>
      <w:r>
        <w:t>The A</w:t>
      </w:r>
      <w:r w:rsidR="00704390">
        <w:t>quilian claim</w:t>
      </w:r>
    </w:p>
    <w:p w14:paraId="63625C30" w14:textId="77777777" w:rsidR="00021BD6" w:rsidRPr="004758B4" w:rsidRDefault="00021BD6" w:rsidP="00021BD6">
      <w:pPr>
        <w:pStyle w:val="ListParagraph"/>
        <w:numPr>
          <w:ilvl w:val="0"/>
          <w:numId w:val="3"/>
        </w:numPr>
        <w:contextualSpacing w:val="0"/>
        <w:rPr>
          <w:sz w:val="26"/>
          <w:szCs w:val="26"/>
        </w:rPr>
      </w:pPr>
      <w:r>
        <w:rPr>
          <w:sz w:val="26"/>
          <w:szCs w:val="26"/>
        </w:rPr>
        <w:t xml:space="preserve">The first principle of the law of delict is that everyone must bear the loss he or she suffers, and </w:t>
      </w:r>
      <w:r>
        <w:rPr>
          <w:i/>
          <w:iCs/>
          <w:sz w:val="26"/>
          <w:szCs w:val="26"/>
        </w:rPr>
        <w:t xml:space="preserve">Aquilian </w:t>
      </w:r>
      <w:r>
        <w:rPr>
          <w:sz w:val="26"/>
          <w:szCs w:val="26"/>
        </w:rPr>
        <w:t>liability provides for an exception to the rule.</w:t>
      </w:r>
      <w:r>
        <w:rPr>
          <w:rStyle w:val="FootnoteReference"/>
          <w:sz w:val="26"/>
          <w:szCs w:val="26"/>
        </w:rPr>
        <w:footnoteReference w:id="11"/>
      </w:r>
      <w:r>
        <w:rPr>
          <w:sz w:val="26"/>
          <w:szCs w:val="26"/>
        </w:rPr>
        <w:t xml:space="preserve"> An act or omission causing pure economic loss, such as is claimed by the plaintiffs, is also not </w:t>
      </w:r>
      <w:r>
        <w:rPr>
          <w:i/>
          <w:iCs/>
          <w:sz w:val="26"/>
          <w:szCs w:val="26"/>
        </w:rPr>
        <w:t>prima facie</w:t>
      </w:r>
      <w:r>
        <w:rPr>
          <w:sz w:val="26"/>
          <w:szCs w:val="26"/>
        </w:rPr>
        <w:t xml:space="preserve"> wrongful.</w:t>
      </w:r>
      <w:r>
        <w:rPr>
          <w:rStyle w:val="FootnoteReference"/>
          <w:sz w:val="26"/>
          <w:szCs w:val="26"/>
        </w:rPr>
        <w:footnoteReference w:id="12"/>
      </w:r>
      <w:r>
        <w:rPr>
          <w:sz w:val="26"/>
          <w:szCs w:val="26"/>
        </w:rPr>
        <w:t xml:space="preserve"> This accords with the central constitutional values of freedom and dignity. As Ngcobo J remarked in</w:t>
      </w:r>
      <w:r w:rsidRPr="001463FF">
        <w:rPr>
          <w:b/>
          <w:bCs/>
          <w:sz w:val="26"/>
          <w:szCs w:val="26"/>
        </w:rPr>
        <w:t xml:space="preserve"> Barkhuizen</w:t>
      </w:r>
      <w:r>
        <w:rPr>
          <w:sz w:val="26"/>
          <w:szCs w:val="26"/>
        </w:rPr>
        <w:t xml:space="preserve">, albeit in the context of contractual freedom, </w:t>
      </w:r>
      <w:r w:rsidRPr="003A78A0">
        <w:rPr>
          <w:sz w:val="26"/>
          <w:szCs w:val="26"/>
        </w:rPr>
        <w:t>“</w:t>
      </w:r>
      <w:r w:rsidRPr="003A78A0">
        <w:rPr>
          <w:i/>
          <w:iCs/>
          <w:sz w:val="26"/>
          <w:szCs w:val="26"/>
        </w:rPr>
        <w:t>Self-autonomy, or the ability to regulate one’s own affairs, even to one’s own detriment, is the very essence of freedom and a vital part of dignity”</w:t>
      </w:r>
      <w:r>
        <w:rPr>
          <w:i/>
          <w:iCs/>
          <w:sz w:val="26"/>
          <w:szCs w:val="26"/>
        </w:rPr>
        <w:t>.</w:t>
      </w:r>
      <w:r>
        <w:rPr>
          <w:rStyle w:val="FootnoteReference"/>
          <w:sz w:val="26"/>
          <w:szCs w:val="26"/>
        </w:rPr>
        <w:footnoteReference w:id="13"/>
      </w:r>
    </w:p>
    <w:p w14:paraId="6011D082" w14:textId="1736B2B2" w:rsidR="00942C87" w:rsidRDefault="00942C87" w:rsidP="00942C87">
      <w:pPr>
        <w:pStyle w:val="ListParagraph"/>
        <w:numPr>
          <w:ilvl w:val="0"/>
          <w:numId w:val="3"/>
        </w:numPr>
        <w:contextualSpacing w:val="0"/>
        <w:rPr>
          <w:sz w:val="26"/>
          <w:szCs w:val="26"/>
        </w:rPr>
      </w:pPr>
      <w:r>
        <w:rPr>
          <w:sz w:val="26"/>
          <w:szCs w:val="26"/>
        </w:rPr>
        <w:t xml:space="preserve">In </w:t>
      </w:r>
      <w:r>
        <w:rPr>
          <w:b/>
          <w:bCs/>
          <w:sz w:val="26"/>
          <w:szCs w:val="26"/>
        </w:rPr>
        <w:t>Steenkamp N.O.</w:t>
      </w:r>
      <w:r>
        <w:rPr>
          <w:sz w:val="26"/>
          <w:szCs w:val="26"/>
        </w:rPr>
        <w:t xml:space="preserve"> the Constitutional Court </w:t>
      </w:r>
      <w:r w:rsidR="007735D7">
        <w:rPr>
          <w:sz w:val="26"/>
          <w:szCs w:val="26"/>
        </w:rPr>
        <w:t>considered</w:t>
      </w:r>
      <w:r>
        <w:rPr>
          <w:sz w:val="26"/>
          <w:szCs w:val="26"/>
        </w:rPr>
        <w:t xml:space="preserve"> the following as relevant factors to be considered when determining wrongfulness:</w:t>
      </w:r>
    </w:p>
    <w:p w14:paraId="2678E268" w14:textId="77777777" w:rsidR="00942C87" w:rsidRPr="0020408A" w:rsidRDefault="00942C87" w:rsidP="00942C87">
      <w:pPr>
        <w:pStyle w:val="ListParagraph"/>
        <w:spacing w:line="360" w:lineRule="auto"/>
        <w:ind w:left="1701" w:right="521"/>
        <w:contextualSpacing w:val="0"/>
      </w:pPr>
      <w:r>
        <w:t xml:space="preserve">“Our courts … and courts in other common-law jurisdictions readily recognise that factors that go to wrongfulness would include whether the operative statute anticipates, directly or by inference, compensation of damages for the aggrieved party; whether there are alternative remedies such as an interdict, the review or appeal; whether the object of the statutory scheme is mainly to protect individuals or advance public good; whether the statutory power conferred grants the public functionary a discretion in </w:t>
      </w:r>
      <w:r>
        <w:lastRenderedPageBreak/>
        <w:t>decision making; whether an imposition of liability for damages is likely to have a ‘chilling effect’ on performance of administrative or statutory function; whether the party bearing the loss is the author of its misfortune; whether the harm that ensued was foreseeable.  It should be kept in mind that in the determination of wrongfulness, foreseeability of harm, although ordinarily a standard for negligence, is not irrelevant.  The ultimate question is whether on a conspectus of all relevant facts and considerations, public policy and public interest favour holding the conduct unlawful and susceptible to a remedy in damages.”</w:t>
      </w:r>
      <w:bookmarkStart w:id="1" w:name="_Hlk104129134"/>
      <w:r>
        <w:rPr>
          <w:rStyle w:val="FootnoteReference"/>
        </w:rPr>
        <w:footnoteReference w:id="14"/>
      </w:r>
      <w:bookmarkEnd w:id="1"/>
    </w:p>
    <w:p w14:paraId="73D8C72B" w14:textId="49E04586" w:rsidR="00052612" w:rsidRPr="00052612" w:rsidRDefault="002C47AF" w:rsidP="0003521D">
      <w:pPr>
        <w:pStyle w:val="ListParagraph"/>
        <w:numPr>
          <w:ilvl w:val="0"/>
          <w:numId w:val="3"/>
        </w:numPr>
        <w:contextualSpacing w:val="0"/>
        <w:rPr>
          <w:b/>
          <w:sz w:val="26"/>
          <w:szCs w:val="26"/>
        </w:rPr>
      </w:pPr>
      <w:r>
        <w:rPr>
          <w:b/>
          <w:bCs/>
          <w:sz w:val="26"/>
          <w:szCs w:val="26"/>
        </w:rPr>
        <w:t>J</w:t>
      </w:r>
      <w:r w:rsidR="0004557E">
        <w:rPr>
          <w:b/>
          <w:bCs/>
          <w:sz w:val="26"/>
          <w:szCs w:val="26"/>
        </w:rPr>
        <w:t>u</w:t>
      </w:r>
      <w:r w:rsidR="00A36F3C">
        <w:rPr>
          <w:b/>
          <w:bCs/>
          <w:sz w:val="26"/>
          <w:szCs w:val="26"/>
        </w:rPr>
        <w:t>n</w:t>
      </w:r>
      <w:r w:rsidR="007A5115">
        <w:rPr>
          <w:b/>
          <w:bCs/>
          <w:sz w:val="26"/>
          <w:szCs w:val="26"/>
        </w:rPr>
        <w:t>ma</w:t>
      </w:r>
      <w:r w:rsidR="00A36F3C">
        <w:rPr>
          <w:b/>
          <w:bCs/>
          <w:sz w:val="26"/>
          <w:szCs w:val="26"/>
        </w:rPr>
        <w:t>o</w:t>
      </w:r>
      <w:r w:rsidR="007A5115">
        <w:rPr>
          <w:rStyle w:val="FootnoteReference"/>
          <w:sz w:val="26"/>
          <w:szCs w:val="26"/>
        </w:rPr>
        <w:footnoteReference w:id="15"/>
      </w:r>
      <w:r w:rsidR="0065040F">
        <w:rPr>
          <w:sz w:val="26"/>
          <w:szCs w:val="26"/>
        </w:rPr>
        <w:t xml:space="preserve"> </w:t>
      </w:r>
      <w:r w:rsidR="000D3663">
        <w:rPr>
          <w:sz w:val="26"/>
          <w:szCs w:val="26"/>
        </w:rPr>
        <w:t>concluded that an excluded person</w:t>
      </w:r>
      <w:r w:rsidR="00D1178B">
        <w:rPr>
          <w:sz w:val="26"/>
          <w:szCs w:val="26"/>
        </w:rPr>
        <w:t xml:space="preserve"> </w:t>
      </w:r>
      <w:r w:rsidR="000D3663">
        <w:rPr>
          <w:sz w:val="26"/>
          <w:szCs w:val="26"/>
        </w:rPr>
        <w:t>does not have a common law delictual claim flowing from the equivalent Gauteng statutory provisions</w:t>
      </w:r>
      <w:r w:rsidR="00F95C8D">
        <w:rPr>
          <w:sz w:val="26"/>
          <w:szCs w:val="26"/>
        </w:rPr>
        <w:t xml:space="preserve">.  The plaintiffs accepted in argument that this was the status of the law </w:t>
      </w:r>
      <w:r w:rsidR="005707B6">
        <w:rPr>
          <w:sz w:val="26"/>
          <w:szCs w:val="26"/>
        </w:rPr>
        <w:t>in</w:t>
      </w:r>
      <w:r w:rsidR="003108A8">
        <w:rPr>
          <w:sz w:val="26"/>
          <w:szCs w:val="26"/>
        </w:rPr>
        <w:t xml:space="preserve"> 2004.  They argued, however, that it should be </w:t>
      </w:r>
      <w:r w:rsidR="009857BB">
        <w:rPr>
          <w:sz w:val="26"/>
          <w:szCs w:val="26"/>
        </w:rPr>
        <w:t>re</w:t>
      </w:r>
      <w:r w:rsidR="00BF148F">
        <w:rPr>
          <w:sz w:val="26"/>
          <w:szCs w:val="26"/>
        </w:rPr>
        <w:t>-e</w:t>
      </w:r>
      <w:r w:rsidR="009857BB">
        <w:rPr>
          <w:sz w:val="26"/>
          <w:szCs w:val="26"/>
        </w:rPr>
        <w:t xml:space="preserve">valuated </w:t>
      </w:r>
      <w:r w:rsidR="00C95CEC">
        <w:rPr>
          <w:sz w:val="26"/>
          <w:szCs w:val="26"/>
        </w:rPr>
        <w:t xml:space="preserve">because there has been a change in the </w:t>
      </w:r>
      <w:r w:rsidR="00C95CEC" w:rsidRPr="007B4B1E">
        <w:rPr>
          <w:i/>
          <w:iCs/>
          <w:sz w:val="26"/>
          <w:szCs w:val="26"/>
        </w:rPr>
        <w:t>b</w:t>
      </w:r>
      <w:r w:rsidR="003F2E3B" w:rsidRPr="007B4B1E">
        <w:rPr>
          <w:i/>
          <w:iCs/>
          <w:sz w:val="26"/>
          <w:szCs w:val="26"/>
        </w:rPr>
        <w:t>on</w:t>
      </w:r>
      <w:r w:rsidR="007B4B1E">
        <w:rPr>
          <w:i/>
          <w:iCs/>
          <w:sz w:val="26"/>
          <w:szCs w:val="26"/>
        </w:rPr>
        <w:t>i</w:t>
      </w:r>
      <w:r w:rsidR="007B4B1E" w:rsidRPr="007B4B1E">
        <w:rPr>
          <w:i/>
          <w:iCs/>
          <w:sz w:val="26"/>
          <w:szCs w:val="26"/>
        </w:rPr>
        <w:t xml:space="preserve"> mores</w:t>
      </w:r>
      <w:r w:rsidR="007B4B1E">
        <w:rPr>
          <w:sz w:val="26"/>
          <w:szCs w:val="26"/>
        </w:rPr>
        <w:t xml:space="preserve"> of</w:t>
      </w:r>
      <w:r w:rsidR="00A578B2">
        <w:rPr>
          <w:sz w:val="26"/>
          <w:szCs w:val="26"/>
        </w:rPr>
        <w:t xml:space="preserve"> </w:t>
      </w:r>
      <w:r w:rsidR="00A72493">
        <w:rPr>
          <w:sz w:val="26"/>
          <w:szCs w:val="26"/>
        </w:rPr>
        <w:t>s</w:t>
      </w:r>
      <w:r w:rsidR="007B4B1E">
        <w:rPr>
          <w:sz w:val="26"/>
          <w:szCs w:val="26"/>
        </w:rPr>
        <w:t xml:space="preserve">ociety, and that current legal convictions favour a delictual claim in these circumstances.  </w:t>
      </w:r>
    </w:p>
    <w:p w14:paraId="73F1D3D6" w14:textId="2109585F" w:rsidR="005A49F3" w:rsidRPr="002C47AF" w:rsidRDefault="007B4B1E" w:rsidP="0003521D">
      <w:pPr>
        <w:pStyle w:val="ListParagraph"/>
        <w:numPr>
          <w:ilvl w:val="0"/>
          <w:numId w:val="3"/>
        </w:numPr>
        <w:contextualSpacing w:val="0"/>
        <w:rPr>
          <w:b/>
          <w:sz w:val="26"/>
          <w:szCs w:val="26"/>
        </w:rPr>
      </w:pPr>
      <w:r>
        <w:rPr>
          <w:sz w:val="26"/>
          <w:szCs w:val="26"/>
        </w:rPr>
        <w:t xml:space="preserve">They were, however, unable to point to any </w:t>
      </w:r>
      <w:r w:rsidR="00C40A1D">
        <w:rPr>
          <w:sz w:val="26"/>
          <w:szCs w:val="26"/>
        </w:rPr>
        <w:t xml:space="preserve">South African </w:t>
      </w:r>
      <w:r>
        <w:rPr>
          <w:sz w:val="26"/>
          <w:szCs w:val="26"/>
        </w:rPr>
        <w:t>cases or academic articles in support of this contention.  They relied on a 2010 report by the Gambling Review Commission</w:t>
      </w:r>
      <w:r>
        <w:rPr>
          <w:rStyle w:val="FootnoteReference"/>
          <w:sz w:val="26"/>
          <w:szCs w:val="26"/>
        </w:rPr>
        <w:footnoteReference w:id="16"/>
      </w:r>
      <w:r w:rsidR="003449AE">
        <w:rPr>
          <w:sz w:val="26"/>
          <w:szCs w:val="26"/>
        </w:rPr>
        <w:t xml:space="preserve"> as illustrating that </w:t>
      </w:r>
      <w:r w:rsidR="008C396A">
        <w:rPr>
          <w:sz w:val="26"/>
          <w:szCs w:val="26"/>
        </w:rPr>
        <w:t>provisions regarding the exclusion of persons from gambling are for their personal protection.  Signi</w:t>
      </w:r>
      <w:r w:rsidR="003C68B5">
        <w:rPr>
          <w:sz w:val="26"/>
          <w:szCs w:val="26"/>
        </w:rPr>
        <w:t xml:space="preserve">ficantly, </w:t>
      </w:r>
      <w:r w:rsidR="006359D2">
        <w:rPr>
          <w:sz w:val="26"/>
          <w:szCs w:val="26"/>
        </w:rPr>
        <w:t xml:space="preserve">however, the </w:t>
      </w:r>
      <w:r w:rsidR="00371A20">
        <w:rPr>
          <w:sz w:val="26"/>
          <w:szCs w:val="26"/>
        </w:rPr>
        <w:t xml:space="preserve">portion referred to, appears in the section under the heading “The social impact of gambling”, and merely states, with reference to the National Gambling Act, that it contains a range of measures </w:t>
      </w:r>
      <w:r w:rsidR="00371A20">
        <w:rPr>
          <w:sz w:val="26"/>
          <w:szCs w:val="26"/>
        </w:rPr>
        <w:lastRenderedPageBreak/>
        <w:t xml:space="preserve">to protect the vulnerable and </w:t>
      </w:r>
      <w:r w:rsidR="00E13A98">
        <w:rPr>
          <w:sz w:val="26"/>
          <w:szCs w:val="26"/>
        </w:rPr>
        <w:t>minimise the potential negative socio-economic impact of gambling.  It takes the matter no further than what we have seen from the preamble of that Act</w:t>
      </w:r>
      <w:r w:rsidR="003606B5">
        <w:rPr>
          <w:sz w:val="26"/>
          <w:szCs w:val="26"/>
        </w:rPr>
        <w:t xml:space="preserve">, </w:t>
      </w:r>
      <w:r w:rsidR="00DF69DC">
        <w:rPr>
          <w:sz w:val="26"/>
          <w:szCs w:val="26"/>
        </w:rPr>
        <w:t>which commenced in 2004</w:t>
      </w:r>
      <w:r w:rsidR="00E13A98">
        <w:rPr>
          <w:sz w:val="26"/>
          <w:szCs w:val="26"/>
        </w:rPr>
        <w:t xml:space="preserve">.  </w:t>
      </w:r>
    </w:p>
    <w:p w14:paraId="5EE741F3" w14:textId="014126FE" w:rsidR="00E13A98" w:rsidRPr="002C47AF" w:rsidRDefault="000D32EC" w:rsidP="0003521D">
      <w:pPr>
        <w:pStyle w:val="ListParagraph"/>
        <w:numPr>
          <w:ilvl w:val="0"/>
          <w:numId w:val="3"/>
        </w:numPr>
        <w:contextualSpacing w:val="0"/>
        <w:rPr>
          <w:b/>
          <w:bCs/>
          <w:sz w:val="26"/>
          <w:szCs w:val="26"/>
        </w:rPr>
      </w:pPr>
      <w:r>
        <w:rPr>
          <w:sz w:val="26"/>
          <w:szCs w:val="26"/>
        </w:rPr>
        <w:t xml:space="preserve">The first </w:t>
      </w:r>
      <w:r w:rsidR="000B5C43">
        <w:rPr>
          <w:sz w:val="26"/>
          <w:szCs w:val="26"/>
        </w:rPr>
        <w:t>defendant</w:t>
      </w:r>
      <w:r>
        <w:rPr>
          <w:sz w:val="26"/>
          <w:szCs w:val="26"/>
        </w:rPr>
        <w:t xml:space="preserve"> </w:t>
      </w:r>
      <w:r w:rsidR="00485783">
        <w:rPr>
          <w:sz w:val="26"/>
          <w:szCs w:val="26"/>
        </w:rPr>
        <w:t xml:space="preserve">pointed to the foreign cases supporting the conclusions reached in </w:t>
      </w:r>
      <w:r w:rsidR="00766561" w:rsidRPr="00D12091">
        <w:rPr>
          <w:b/>
          <w:bCs/>
          <w:sz w:val="26"/>
          <w:szCs w:val="26"/>
        </w:rPr>
        <w:t>Junmao</w:t>
      </w:r>
      <w:r w:rsidR="00766561">
        <w:rPr>
          <w:sz w:val="26"/>
          <w:szCs w:val="26"/>
        </w:rPr>
        <w:t>, referred to in th</w:t>
      </w:r>
      <w:r w:rsidR="00D142DE">
        <w:rPr>
          <w:sz w:val="26"/>
          <w:szCs w:val="26"/>
        </w:rPr>
        <w:t>at</w:t>
      </w:r>
      <w:r w:rsidR="00766561">
        <w:rPr>
          <w:sz w:val="26"/>
          <w:szCs w:val="26"/>
        </w:rPr>
        <w:t xml:space="preserve"> judgment, as showing that in common law jurisdictions, such claims are not recognised.  The Court referred</w:t>
      </w:r>
      <w:r w:rsidR="00B60C6D">
        <w:rPr>
          <w:sz w:val="26"/>
          <w:szCs w:val="26"/>
        </w:rPr>
        <w:t xml:space="preserve"> to </w:t>
      </w:r>
      <w:r w:rsidR="00B60C6D" w:rsidRPr="00A95589">
        <w:rPr>
          <w:b/>
          <w:sz w:val="26"/>
          <w:szCs w:val="26"/>
        </w:rPr>
        <w:t>Merrill v Trump Indiana</w:t>
      </w:r>
      <w:r w:rsidR="002B6885">
        <w:rPr>
          <w:rStyle w:val="FootnoteReference"/>
          <w:sz w:val="26"/>
          <w:szCs w:val="26"/>
        </w:rPr>
        <w:footnoteReference w:id="17"/>
      </w:r>
      <w:r w:rsidR="00A95589">
        <w:rPr>
          <w:sz w:val="26"/>
          <w:szCs w:val="26"/>
        </w:rPr>
        <w:t xml:space="preserve">, a case from the United States </w:t>
      </w:r>
      <w:r w:rsidR="00ED1FF9">
        <w:rPr>
          <w:sz w:val="26"/>
          <w:szCs w:val="26"/>
        </w:rPr>
        <w:t>Court of Appeals for the Seventh Circuit.  The plaintiff requested to be placed on an exclusion list, but the casino failed to do so, whereafter he gambled and suffered losses.  The court concluded that the casino should not be held responsible for the destructive effects of his relapse into gambling.</w:t>
      </w:r>
    </w:p>
    <w:p w14:paraId="71485710" w14:textId="3B819DE3" w:rsidR="00ED1FF9" w:rsidRPr="002C47AF" w:rsidRDefault="008A457D" w:rsidP="0003521D">
      <w:pPr>
        <w:pStyle w:val="ListParagraph"/>
        <w:numPr>
          <w:ilvl w:val="0"/>
          <w:numId w:val="3"/>
        </w:numPr>
        <w:contextualSpacing w:val="0"/>
        <w:rPr>
          <w:b/>
          <w:bCs/>
          <w:sz w:val="26"/>
          <w:szCs w:val="26"/>
        </w:rPr>
      </w:pPr>
      <w:r>
        <w:rPr>
          <w:sz w:val="26"/>
          <w:szCs w:val="26"/>
        </w:rPr>
        <w:t xml:space="preserve">The next case considered was </w:t>
      </w:r>
      <w:r w:rsidRPr="00C6257B">
        <w:rPr>
          <w:b/>
          <w:bCs/>
          <w:sz w:val="26"/>
          <w:szCs w:val="26"/>
        </w:rPr>
        <w:t>Reynolds v Katoomba</w:t>
      </w:r>
      <w:r w:rsidR="00C6257B">
        <w:rPr>
          <w:rStyle w:val="FootnoteReference"/>
          <w:sz w:val="26"/>
          <w:szCs w:val="26"/>
        </w:rPr>
        <w:footnoteReference w:id="18"/>
      </w:r>
      <w:r w:rsidR="00C6257B">
        <w:rPr>
          <w:sz w:val="26"/>
          <w:szCs w:val="26"/>
        </w:rPr>
        <w:t xml:space="preserve">, a judgment in the Court of Appeal of the Supreme Court of New South Wales.  </w:t>
      </w:r>
      <w:r w:rsidR="003734F9">
        <w:rPr>
          <w:sz w:val="26"/>
          <w:szCs w:val="26"/>
        </w:rPr>
        <w:t>The plaintiff claimed damages on the basis that the club knew that he was a gambling addict and that it failed to take adequate steps to sto</w:t>
      </w:r>
      <w:r w:rsidR="000E3545">
        <w:rPr>
          <w:sz w:val="26"/>
          <w:szCs w:val="26"/>
        </w:rPr>
        <w:t xml:space="preserve">p or discourage him from gambling, after having undertaken and agreed to </w:t>
      </w:r>
      <w:r w:rsidR="008902BA">
        <w:rPr>
          <w:sz w:val="26"/>
          <w:szCs w:val="26"/>
        </w:rPr>
        <w:t>ensure</w:t>
      </w:r>
      <w:r w:rsidR="000E3545">
        <w:rPr>
          <w:sz w:val="26"/>
          <w:szCs w:val="26"/>
        </w:rPr>
        <w:t xml:space="preserve"> that he does not continue to gamble.  The Court rejected his argument that the club owed him </w:t>
      </w:r>
      <w:r w:rsidR="000E3545">
        <w:rPr>
          <w:sz w:val="26"/>
          <w:szCs w:val="26"/>
        </w:rPr>
        <w:lastRenderedPageBreak/>
        <w:t xml:space="preserve">a duty of care.  The Court referred to </w:t>
      </w:r>
      <w:r w:rsidR="000E3545" w:rsidRPr="00EC0037">
        <w:rPr>
          <w:b/>
          <w:sz w:val="26"/>
          <w:szCs w:val="26"/>
        </w:rPr>
        <w:t>Reeves v Commissioner of Police</w:t>
      </w:r>
      <w:r w:rsidR="000E3545">
        <w:rPr>
          <w:rStyle w:val="FootnoteReference"/>
          <w:sz w:val="26"/>
          <w:szCs w:val="26"/>
        </w:rPr>
        <w:footnoteReference w:id="19"/>
      </w:r>
      <w:r w:rsidR="00EC0037">
        <w:rPr>
          <w:sz w:val="26"/>
          <w:szCs w:val="26"/>
        </w:rPr>
        <w:t xml:space="preserve"> where Lord Hoffmann said:</w:t>
      </w:r>
    </w:p>
    <w:p w14:paraId="2E32B41C" w14:textId="5BBA8464" w:rsidR="00EC0037" w:rsidRPr="00CE09BB" w:rsidRDefault="00CE09BB" w:rsidP="001E320E">
      <w:pPr>
        <w:pStyle w:val="ListParagraph"/>
        <w:spacing w:line="360" w:lineRule="auto"/>
        <w:ind w:left="1701" w:right="521"/>
        <w:contextualSpacing w:val="0"/>
      </w:pPr>
      <w:r>
        <w:t xml:space="preserve">“… there is a </w:t>
      </w:r>
      <w:r w:rsidR="00B13784">
        <w:t xml:space="preserve">difference between protecting people against harm caused to them by third parties and protecting them against </w:t>
      </w:r>
      <w:r w:rsidR="00EE231D">
        <w:t xml:space="preserve">harm </w:t>
      </w:r>
      <w:r w:rsidR="005D4D3A">
        <w:t xml:space="preserve">which they </w:t>
      </w:r>
      <w:r w:rsidR="00EE231D">
        <w:t>inflict upon themselves.  It reflects the individualist philosophy of the common law.  People of full age and sound understanding must look after themselves and take responsibility for their actions.  This philosophy expresses itself in the fact that dut</w:t>
      </w:r>
      <w:r w:rsidR="005D4D3A">
        <w:t>ies</w:t>
      </w:r>
      <w:r w:rsidR="00EE231D">
        <w:t xml:space="preserve"> to safeguard from harm deliberately caused by others are unusual and </w:t>
      </w:r>
      <w:r w:rsidR="00C9325B">
        <w:t>a</w:t>
      </w:r>
      <w:r w:rsidR="00EE231D">
        <w:t xml:space="preserve"> duty </w:t>
      </w:r>
      <w:r w:rsidR="00D142DE">
        <w:t xml:space="preserve">to </w:t>
      </w:r>
      <w:r w:rsidR="00EE231D">
        <w:t xml:space="preserve">protect a person </w:t>
      </w:r>
      <w:r w:rsidR="005D4D3A">
        <w:t>of</w:t>
      </w:r>
      <w:r w:rsidR="00EE231D">
        <w:t xml:space="preserve"> full understanding from causing harm to himself is very rare indeed.”</w:t>
      </w:r>
    </w:p>
    <w:p w14:paraId="2DC04DF6" w14:textId="1024CDC3" w:rsidR="00240ECE" w:rsidRDefault="007F0891" w:rsidP="00240ECE">
      <w:pPr>
        <w:pStyle w:val="ListParagraph"/>
        <w:numPr>
          <w:ilvl w:val="0"/>
          <w:numId w:val="3"/>
        </w:numPr>
        <w:contextualSpacing w:val="0"/>
        <w:rPr>
          <w:sz w:val="26"/>
          <w:szCs w:val="26"/>
        </w:rPr>
      </w:pPr>
      <w:r>
        <w:rPr>
          <w:sz w:val="26"/>
          <w:szCs w:val="26"/>
        </w:rPr>
        <w:t xml:space="preserve">The plaintiffs </w:t>
      </w:r>
      <w:r w:rsidR="001505E2">
        <w:rPr>
          <w:sz w:val="26"/>
          <w:szCs w:val="26"/>
        </w:rPr>
        <w:t xml:space="preserve">however </w:t>
      </w:r>
      <w:r>
        <w:rPr>
          <w:sz w:val="26"/>
          <w:szCs w:val="26"/>
        </w:rPr>
        <w:t xml:space="preserve">contend that, in the light of developments in foreign </w:t>
      </w:r>
      <w:r w:rsidR="005D4D3A" w:rsidRPr="005D4D3A">
        <w:rPr>
          <w:sz w:val="26"/>
          <w:szCs w:val="26"/>
        </w:rPr>
        <w:t>jurisprudence</w:t>
      </w:r>
      <w:r>
        <w:rPr>
          <w:sz w:val="26"/>
          <w:szCs w:val="26"/>
        </w:rPr>
        <w:t xml:space="preserve">, the conclusion reached in </w:t>
      </w:r>
      <w:r w:rsidRPr="007F0891">
        <w:rPr>
          <w:b/>
          <w:bCs/>
          <w:sz w:val="26"/>
          <w:szCs w:val="26"/>
        </w:rPr>
        <w:t>Junmao</w:t>
      </w:r>
      <w:r>
        <w:rPr>
          <w:sz w:val="26"/>
          <w:szCs w:val="26"/>
        </w:rPr>
        <w:t xml:space="preserve"> that no cause of action under the common law exists on these facts, should be reconsidered.  They accepted that </w:t>
      </w:r>
      <w:r w:rsidR="00B167F6">
        <w:rPr>
          <w:sz w:val="26"/>
          <w:szCs w:val="26"/>
        </w:rPr>
        <w:t>all</w:t>
      </w:r>
      <w:r>
        <w:rPr>
          <w:sz w:val="26"/>
          <w:szCs w:val="26"/>
        </w:rPr>
        <w:t xml:space="preserve"> the cases relied upon </w:t>
      </w:r>
      <w:r w:rsidR="00B167F6">
        <w:rPr>
          <w:sz w:val="26"/>
          <w:szCs w:val="26"/>
        </w:rPr>
        <w:t>are</w:t>
      </w:r>
      <w:r>
        <w:rPr>
          <w:sz w:val="26"/>
          <w:szCs w:val="26"/>
        </w:rPr>
        <w:t xml:space="preserve"> distinguishable</w:t>
      </w:r>
      <w:r w:rsidR="00B167F6">
        <w:rPr>
          <w:sz w:val="26"/>
          <w:szCs w:val="26"/>
        </w:rPr>
        <w:t xml:space="preserve"> on the facts</w:t>
      </w:r>
      <w:r>
        <w:rPr>
          <w:sz w:val="26"/>
          <w:szCs w:val="26"/>
        </w:rPr>
        <w:t xml:space="preserve">.  They submitted, however, that </w:t>
      </w:r>
      <w:r w:rsidR="00EC57F8">
        <w:rPr>
          <w:sz w:val="26"/>
          <w:szCs w:val="26"/>
        </w:rPr>
        <w:t>the approaches followed in these cases are relevant, and shou</w:t>
      </w:r>
      <w:r w:rsidR="00A17115">
        <w:rPr>
          <w:sz w:val="26"/>
          <w:szCs w:val="26"/>
        </w:rPr>
        <w:t xml:space="preserve">ld sway this </w:t>
      </w:r>
      <w:r w:rsidR="00C9325B">
        <w:rPr>
          <w:sz w:val="26"/>
          <w:szCs w:val="26"/>
        </w:rPr>
        <w:t>C</w:t>
      </w:r>
      <w:r w:rsidR="00A17115">
        <w:rPr>
          <w:sz w:val="26"/>
          <w:szCs w:val="26"/>
        </w:rPr>
        <w:t xml:space="preserve">ourt to conclude that the common law should be developed to recognise </w:t>
      </w:r>
      <w:r w:rsidR="00A07A6E">
        <w:rPr>
          <w:sz w:val="26"/>
          <w:szCs w:val="26"/>
        </w:rPr>
        <w:t>a claim</w:t>
      </w:r>
      <w:r w:rsidR="00240ECE">
        <w:rPr>
          <w:sz w:val="26"/>
          <w:szCs w:val="26"/>
        </w:rPr>
        <w:t xml:space="preserve"> in the current circumstances.</w:t>
      </w:r>
      <w:r w:rsidR="001505E2">
        <w:rPr>
          <w:sz w:val="26"/>
          <w:szCs w:val="26"/>
        </w:rPr>
        <w:t xml:space="preserve"> The first </w:t>
      </w:r>
      <w:r w:rsidR="000B5C43">
        <w:rPr>
          <w:sz w:val="26"/>
          <w:szCs w:val="26"/>
        </w:rPr>
        <w:t>defendant</w:t>
      </w:r>
      <w:r w:rsidR="001505E2">
        <w:rPr>
          <w:sz w:val="26"/>
          <w:szCs w:val="26"/>
        </w:rPr>
        <w:t xml:space="preserve">, on the other hand, pointed out that </w:t>
      </w:r>
      <w:r w:rsidR="00673275">
        <w:rPr>
          <w:sz w:val="26"/>
          <w:szCs w:val="26"/>
        </w:rPr>
        <w:t>the facts of these cases are critically important</w:t>
      </w:r>
      <w:r w:rsidR="0052609D">
        <w:rPr>
          <w:sz w:val="26"/>
          <w:szCs w:val="26"/>
        </w:rPr>
        <w:t xml:space="preserve"> if they are to be of any value to this </w:t>
      </w:r>
      <w:r w:rsidR="00C9325B">
        <w:rPr>
          <w:sz w:val="26"/>
          <w:szCs w:val="26"/>
        </w:rPr>
        <w:t>C</w:t>
      </w:r>
      <w:r w:rsidR="0052609D">
        <w:rPr>
          <w:sz w:val="26"/>
          <w:szCs w:val="26"/>
        </w:rPr>
        <w:t>ourt.</w:t>
      </w:r>
    </w:p>
    <w:p w14:paraId="4BFDE21E" w14:textId="2601FC61" w:rsidR="00240ECE" w:rsidRPr="00240ECE" w:rsidRDefault="00240ECE" w:rsidP="00240ECE">
      <w:pPr>
        <w:pStyle w:val="ListParagraph"/>
        <w:numPr>
          <w:ilvl w:val="0"/>
          <w:numId w:val="3"/>
        </w:numPr>
        <w:contextualSpacing w:val="0"/>
        <w:rPr>
          <w:sz w:val="26"/>
          <w:szCs w:val="26"/>
        </w:rPr>
      </w:pPr>
      <w:r>
        <w:rPr>
          <w:sz w:val="26"/>
          <w:szCs w:val="26"/>
        </w:rPr>
        <w:t xml:space="preserve">In </w:t>
      </w:r>
      <w:r w:rsidR="00D51395" w:rsidRPr="00C7728C">
        <w:rPr>
          <w:b/>
          <w:bCs/>
          <w:sz w:val="26"/>
          <w:szCs w:val="26"/>
        </w:rPr>
        <w:t>Paton Estate v Ontario Lottery and Gaming Corporation</w:t>
      </w:r>
      <w:r w:rsidR="00D51395">
        <w:rPr>
          <w:rStyle w:val="FootnoteReference"/>
          <w:sz w:val="26"/>
          <w:szCs w:val="26"/>
        </w:rPr>
        <w:footnoteReference w:id="20"/>
      </w:r>
      <w:r w:rsidR="00C7728C">
        <w:rPr>
          <w:sz w:val="26"/>
          <w:szCs w:val="26"/>
        </w:rPr>
        <w:t xml:space="preserve"> the Ontario Court of Appeal stated that</w:t>
      </w:r>
      <w:r w:rsidR="00C7728C">
        <w:rPr>
          <w:i/>
          <w:iCs/>
          <w:sz w:val="26"/>
          <w:szCs w:val="26"/>
        </w:rPr>
        <w:t xml:space="preserve"> “more may be expected when an individual is </w:t>
      </w:r>
      <w:r w:rsidR="00C7728C">
        <w:rPr>
          <w:i/>
          <w:iCs/>
          <w:sz w:val="26"/>
          <w:szCs w:val="26"/>
        </w:rPr>
        <w:lastRenderedPageBreak/>
        <w:t>obviously addicted to gambling and out of control</w:t>
      </w:r>
      <w:r w:rsidR="00C7728C">
        <w:rPr>
          <w:sz w:val="26"/>
          <w:szCs w:val="26"/>
        </w:rPr>
        <w:t>”.  However, such a broad statement is of little if any value in considering this exception.  Regulation 23 already stipulates what is expected of the licensee.  The question is whether a failure to adhere to those requirements establishes wrongfulness for purposes of a delictual cla</w:t>
      </w:r>
      <w:r w:rsidR="00543586">
        <w:rPr>
          <w:sz w:val="26"/>
          <w:szCs w:val="26"/>
        </w:rPr>
        <w:t>im</w:t>
      </w:r>
      <w:r w:rsidR="008B1777">
        <w:rPr>
          <w:sz w:val="26"/>
          <w:szCs w:val="26"/>
        </w:rPr>
        <w:t xml:space="preserve">, which the reference to the statement does not address.  </w:t>
      </w:r>
    </w:p>
    <w:p w14:paraId="1A9A864D" w14:textId="20B4185E" w:rsidR="008B1777" w:rsidRPr="00240ECE" w:rsidRDefault="008B1777" w:rsidP="00240ECE">
      <w:pPr>
        <w:pStyle w:val="ListParagraph"/>
        <w:numPr>
          <w:ilvl w:val="0"/>
          <w:numId w:val="3"/>
        </w:numPr>
        <w:contextualSpacing w:val="0"/>
        <w:rPr>
          <w:sz w:val="26"/>
          <w:szCs w:val="26"/>
        </w:rPr>
      </w:pPr>
      <w:r>
        <w:rPr>
          <w:sz w:val="26"/>
          <w:szCs w:val="26"/>
        </w:rPr>
        <w:t xml:space="preserve">In </w:t>
      </w:r>
      <w:r w:rsidRPr="00C930A8">
        <w:rPr>
          <w:b/>
          <w:bCs/>
          <w:sz w:val="26"/>
          <w:szCs w:val="26"/>
        </w:rPr>
        <w:t xml:space="preserve">Calvert v William Hill Credit </w:t>
      </w:r>
      <w:r w:rsidR="004409F8" w:rsidRPr="00C930A8">
        <w:rPr>
          <w:b/>
          <w:bCs/>
          <w:sz w:val="26"/>
          <w:szCs w:val="26"/>
        </w:rPr>
        <w:t>Limited</w:t>
      </w:r>
      <w:r w:rsidR="004409F8">
        <w:rPr>
          <w:rStyle w:val="FootnoteReference"/>
          <w:sz w:val="26"/>
          <w:szCs w:val="26"/>
        </w:rPr>
        <w:footnoteReference w:id="21"/>
      </w:r>
      <w:r w:rsidR="00C930A8">
        <w:rPr>
          <w:sz w:val="26"/>
          <w:szCs w:val="26"/>
        </w:rPr>
        <w:t xml:space="preserve">, bookmakers introduced a voluntary arrangement for self-exclusion by the closure of accounts.  The plaintiff followed the system but for procedural failures was able to continue gambling, following which he lost </w:t>
      </w:r>
      <w:r w:rsidR="000D7481">
        <w:rPr>
          <w:sz w:val="26"/>
          <w:szCs w:val="26"/>
        </w:rPr>
        <w:t xml:space="preserve">a </w:t>
      </w:r>
      <w:r w:rsidR="00C930A8">
        <w:rPr>
          <w:sz w:val="26"/>
          <w:szCs w:val="26"/>
        </w:rPr>
        <w:t>substantial amount</w:t>
      </w:r>
      <w:r w:rsidR="000D7481">
        <w:rPr>
          <w:sz w:val="26"/>
          <w:szCs w:val="26"/>
        </w:rPr>
        <w:t xml:space="preserve"> of money.  The court rejected his argument that there was a duty of care on the bookmakers to prevent or mitigate the consequences of his self-inflicted harm in those circumstances.  On appeal, he argued for a specific duty arising from particular undertakings given to him that would not allow him to make a telephonic bet.  This was not adhered to.  The Appeal Court, for procedural reasons, was willing to accept </w:t>
      </w:r>
      <w:r w:rsidR="00AF2843">
        <w:rPr>
          <w:sz w:val="26"/>
          <w:szCs w:val="26"/>
        </w:rPr>
        <w:t>the</w:t>
      </w:r>
      <w:r w:rsidR="000D7481">
        <w:rPr>
          <w:sz w:val="26"/>
          <w:szCs w:val="26"/>
        </w:rPr>
        <w:t xml:space="preserve"> finding </w:t>
      </w:r>
      <w:r w:rsidR="00AF2843">
        <w:rPr>
          <w:sz w:val="26"/>
          <w:szCs w:val="26"/>
        </w:rPr>
        <w:t xml:space="preserve">of the court </w:t>
      </w:r>
      <w:r w:rsidR="008914DD">
        <w:rPr>
          <w:sz w:val="26"/>
          <w:szCs w:val="26"/>
        </w:rPr>
        <w:t>of first instance</w:t>
      </w:r>
      <w:r w:rsidR="00AF2843">
        <w:rPr>
          <w:sz w:val="26"/>
          <w:szCs w:val="26"/>
        </w:rPr>
        <w:t xml:space="preserve"> </w:t>
      </w:r>
      <w:r w:rsidR="000D7481">
        <w:rPr>
          <w:sz w:val="26"/>
          <w:szCs w:val="26"/>
        </w:rPr>
        <w:t xml:space="preserve">that on the special facts of the case there was a duty to implement the assurances but did not determine the point.  The appeal </w:t>
      </w:r>
      <w:r w:rsidR="00C01BF5">
        <w:rPr>
          <w:sz w:val="26"/>
          <w:szCs w:val="26"/>
        </w:rPr>
        <w:t xml:space="preserve">ultimately </w:t>
      </w:r>
      <w:r w:rsidR="000D7481">
        <w:rPr>
          <w:sz w:val="26"/>
          <w:szCs w:val="26"/>
        </w:rPr>
        <w:t>failed on a causation</w:t>
      </w:r>
      <w:r w:rsidR="00C01BF5">
        <w:rPr>
          <w:sz w:val="26"/>
          <w:szCs w:val="26"/>
        </w:rPr>
        <w:t xml:space="preserve"> point.  This case is thus not of assistance to the plaintiffs.</w:t>
      </w:r>
    </w:p>
    <w:p w14:paraId="2DC8D9B1" w14:textId="1CC5CBE2" w:rsidR="008906CA" w:rsidRDefault="00C01BF5" w:rsidP="00BC6DF7">
      <w:pPr>
        <w:pStyle w:val="ListParagraph"/>
        <w:numPr>
          <w:ilvl w:val="0"/>
          <w:numId w:val="3"/>
        </w:numPr>
        <w:contextualSpacing w:val="0"/>
        <w:rPr>
          <w:sz w:val="26"/>
          <w:szCs w:val="26"/>
        </w:rPr>
      </w:pPr>
      <w:r>
        <w:rPr>
          <w:b/>
          <w:bCs/>
          <w:sz w:val="26"/>
          <w:szCs w:val="26"/>
        </w:rPr>
        <w:lastRenderedPageBreak/>
        <w:t>Dennis v Ontario Lottery and Gaming Corporation</w:t>
      </w:r>
      <w:r w:rsidRPr="0057272C">
        <w:rPr>
          <w:rStyle w:val="FootnoteReference"/>
          <w:sz w:val="26"/>
          <w:szCs w:val="26"/>
        </w:rPr>
        <w:footnoteReference w:id="22"/>
      </w:r>
      <w:r w:rsidR="0057272C">
        <w:rPr>
          <w:b/>
          <w:bCs/>
          <w:sz w:val="26"/>
          <w:szCs w:val="26"/>
        </w:rPr>
        <w:t xml:space="preserve"> </w:t>
      </w:r>
      <w:r w:rsidR="0057272C">
        <w:rPr>
          <w:sz w:val="26"/>
          <w:szCs w:val="26"/>
        </w:rPr>
        <w:t xml:space="preserve">concerned a request to certify a class action under section 5(1) of the Class Proceedings Act, 1992, which sets out requirements to be fulfilled in order for a class to be certified.  One of those requirements is that the pleadings must disclose a cause of action.  However, </w:t>
      </w:r>
      <w:r w:rsidR="00BC6DF7">
        <w:rPr>
          <w:sz w:val="26"/>
          <w:szCs w:val="26"/>
        </w:rPr>
        <w:t>the relevant statutory provision set a very low bar, and a claim would only fail at the certification stage if it is plain and obvious that it cannot succeed.  Contrary to the South African approach, Canadian law adopts a principle that novel claims should almost never be excluded at the exception phase.</w:t>
      </w:r>
      <w:r w:rsidR="00BC6DF7">
        <w:rPr>
          <w:rStyle w:val="FootnoteReference"/>
          <w:sz w:val="26"/>
          <w:szCs w:val="26"/>
        </w:rPr>
        <w:footnoteReference w:id="23"/>
      </w:r>
      <w:r w:rsidR="00F83B7C">
        <w:rPr>
          <w:sz w:val="26"/>
          <w:szCs w:val="26"/>
        </w:rPr>
        <w:t xml:space="preserve">  The application was dismissed on the basis that a class action was not appropriate as individualised </w:t>
      </w:r>
      <w:r w:rsidR="00711275">
        <w:rPr>
          <w:sz w:val="26"/>
          <w:szCs w:val="26"/>
        </w:rPr>
        <w:t xml:space="preserve">inquiries were needed into the nature, degree and consequences of each proposed class member’s gambling propensity.  </w:t>
      </w:r>
    </w:p>
    <w:p w14:paraId="07195C70" w14:textId="4781A580" w:rsidR="00BC6DF7" w:rsidRPr="00BC6DF7" w:rsidRDefault="00D51BB5" w:rsidP="00BC6DF7">
      <w:pPr>
        <w:pStyle w:val="ListParagraph"/>
        <w:numPr>
          <w:ilvl w:val="0"/>
          <w:numId w:val="3"/>
        </w:numPr>
        <w:contextualSpacing w:val="0"/>
        <w:rPr>
          <w:sz w:val="26"/>
          <w:szCs w:val="26"/>
        </w:rPr>
      </w:pPr>
      <w:r>
        <w:rPr>
          <w:sz w:val="26"/>
          <w:szCs w:val="26"/>
        </w:rPr>
        <w:t xml:space="preserve">The passage relied upon by the plaintiff appears in the judgment in the context of the appropriateness of a class action, and lists factors to be considered in individualised claims.  It seems to me </w:t>
      </w:r>
      <w:r w:rsidR="00405169">
        <w:rPr>
          <w:sz w:val="26"/>
          <w:szCs w:val="26"/>
        </w:rPr>
        <w:t xml:space="preserve">a different inquiry from whether a cause of action is disclosed.  Neither the court of first instance, nor the Appeal Courts </w:t>
      </w:r>
      <w:r w:rsidR="00612C3A">
        <w:rPr>
          <w:sz w:val="26"/>
          <w:szCs w:val="26"/>
        </w:rPr>
        <w:t xml:space="preserve">were willing to recognise a general duty of care by the </w:t>
      </w:r>
      <w:r w:rsidR="00C425D9">
        <w:rPr>
          <w:sz w:val="26"/>
          <w:szCs w:val="26"/>
        </w:rPr>
        <w:t>Ontario Lottery and Gaming Corporation to</w:t>
      </w:r>
      <w:r w:rsidR="008906CA">
        <w:rPr>
          <w:sz w:val="26"/>
          <w:szCs w:val="26"/>
        </w:rPr>
        <w:t xml:space="preserve"> self-excluded</w:t>
      </w:r>
      <w:r w:rsidR="00740FAD">
        <w:rPr>
          <w:sz w:val="26"/>
          <w:szCs w:val="26"/>
        </w:rPr>
        <w:t xml:space="preserve"> gamblers</w:t>
      </w:r>
      <w:r w:rsidR="00D4547B">
        <w:rPr>
          <w:sz w:val="26"/>
          <w:szCs w:val="26"/>
        </w:rPr>
        <w:t>.  At best, the court</w:t>
      </w:r>
      <w:r w:rsidR="00D2761D">
        <w:rPr>
          <w:sz w:val="26"/>
          <w:szCs w:val="26"/>
        </w:rPr>
        <w:t xml:space="preserve"> was</w:t>
      </w:r>
      <w:r w:rsidR="00D4547B">
        <w:rPr>
          <w:sz w:val="26"/>
          <w:szCs w:val="26"/>
        </w:rPr>
        <w:t xml:space="preserve"> willing to accept that the plaintiffs might succeed </w:t>
      </w:r>
      <w:r w:rsidR="00E14C33">
        <w:rPr>
          <w:sz w:val="26"/>
          <w:szCs w:val="26"/>
        </w:rPr>
        <w:t>but</w:t>
      </w:r>
      <w:r w:rsidR="00D4547B">
        <w:rPr>
          <w:sz w:val="26"/>
          <w:szCs w:val="26"/>
        </w:rPr>
        <w:t xml:space="preserve"> there were </w:t>
      </w:r>
      <w:r w:rsidR="00D4547B">
        <w:rPr>
          <w:i/>
          <w:iCs/>
          <w:sz w:val="26"/>
          <w:szCs w:val="26"/>
        </w:rPr>
        <w:t>“</w:t>
      </w:r>
      <w:r w:rsidR="00DA19E8">
        <w:rPr>
          <w:i/>
          <w:iCs/>
          <w:sz w:val="26"/>
          <w:szCs w:val="26"/>
        </w:rPr>
        <w:t xml:space="preserve">many significant </w:t>
      </w:r>
      <w:r w:rsidR="00DA19E8">
        <w:rPr>
          <w:i/>
          <w:iCs/>
          <w:sz w:val="26"/>
          <w:szCs w:val="26"/>
        </w:rPr>
        <w:lastRenderedPageBreak/>
        <w:t xml:space="preserve">legal hurdles for the appellants to overcome in making out a claim, in particular, the exclusion of liability clause and the release in the self-exclusion form as well as the difficult issue of proximity and duty of care </w:t>
      </w:r>
      <w:r w:rsidR="006D6EAE">
        <w:rPr>
          <w:i/>
          <w:iCs/>
          <w:sz w:val="26"/>
          <w:szCs w:val="26"/>
        </w:rPr>
        <w:t>and negligence.”</w:t>
      </w:r>
      <w:r w:rsidR="006D6EAE" w:rsidRPr="002F2EE5">
        <w:rPr>
          <w:rStyle w:val="FootnoteReference"/>
          <w:sz w:val="26"/>
          <w:szCs w:val="26"/>
        </w:rPr>
        <w:footnoteReference w:id="24"/>
      </w:r>
      <w:r w:rsidR="002F2EE5">
        <w:rPr>
          <w:sz w:val="26"/>
          <w:szCs w:val="26"/>
        </w:rPr>
        <w:t xml:space="preserve">  The case does not assist the plaintiffs</w:t>
      </w:r>
      <w:r w:rsidR="00D2761D">
        <w:rPr>
          <w:sz w:val="26"/>
          <w:szCs w:val="26"/>
        </w:rPr>
        <w:t xml:space="preserve"> either</w:t>
      </w:r>
      <w:r w:rsidR="002F2EE5">
        <w:rPr>
          <w:sz w:val="26"/>
          <w:szCs w:val="26"/>
        </w:rPr>
        <w:t>.</w:t>
      </w:r>
    </w:p>
    <w:p w14:paraId="63E5D253" w14:textId="77777777" w:rsidR="009F07E8" w:rsidRDefault="002F2EE5" w:rsidP="00BC6DF7">
      <w:pPr>
        <w:pStyle w:val="ListParagraph"/>
        <w:numPr>
          <w:ilvl w:val="0"/>
          <w:numId w:val="3"/>
        </w:numPr>
        <w:contextualSpacing w:val="0"/>
        <w:rPr>
          <w:sz w:val="26"/>
          <w:szCs w:val="26"/>
        </w:rPr>
      </w:pPr>
      <w:r>
        <w:rPr>
          <w:sz w:val="26"/>
          <w:szCs w:val="26"/>
        </w:rPr>
        <w:t xml:space="preserve">In </w:t>
      </w:r>
      <w:r>
        <w:rPr>
          <w:b/>
          <w:bCs/>
          <w:sz w:val="26"/>
          <w:szCs w:val="26"/>
        </w:rPr>
        <w:t>Ross v British Columbia Lottery Corporation</w:t>
      </w:r>
      <w:r w:rsidRPr="002F2EE5">
        <w:rPr>
          <w:rStyle w:val="FootnoteReference"/>
          <w:sz w:val="26"/>
          <w:szCs w:val="26"/>
        </w:rPr>
        <w:footnoteReference w:id="25"/>
      </w:r>
      <w:r>
        <w:rPr>
          <w:sz w:val="26"/>
          <w:szCs w:val="26"/>
        </w:rPr>
        <w:t xml:space="preserve"> </w:t>
      </w:r>
      <w:r w:rsidR="00266331">
        <w:rPr>
          <w:sz w:val="26"/>
          <w:szCs w:val="26"/>
        </w:rPr>
        <w:t xml:space="preserve">the plaintiff brought an unjustified enrichment claim based on the notion that her gambling contracts with the casinos were unenforceable because she was self-excluded at the time of her gambling.  She also brought a negligent misstatement claim.  </w:t>
      </w:r>
      <w:r w:rsidR="00BC1E84">
        <w:rPr>
          <w:sz w:val="26"/>
          <w:szCs w:val="26"/>
        </w:rPr>
        <w:t xml:space="preserve">This, it seems, was based on an alleged promise by casino employees that the plaintiff would be ejected from the casino if she tried to gamble and suffer a loss, and that this promise turned out to be untrue.  Neither of these two causes of actions are of assistance in the current matter.  </w:t>
      </w:r>
    </w:p>
    <w:p w14:paraId="7E9D93D3" w14:textId="7C6519E5" w:rsidR="002F2EE5" w:rsidRPr="00BC6DF7" w:rsidRDefault="00BC1E84" w:rsidP="00BC6DF7">
      <w:pPr>
        <w:pStyle w:val="ListParagraph"/>
        <w:numPr>
          <w:ilvl w:val="0"/>
          <w:numId w:val="3"/>
        </w:numPr>
        <w:contextualSpacing w:val="0"/>
        <w:rPr>
          <w:sz w:val="26"/>
          <w:szCs w:val="26"/>
        </w:rPr>
      </w:pPr>
      <w:r>
        <w:rPr>
          <w:sz w:val="26"/>
          <w:szCs w:val="26"/>
        </w:rPr>
        <w:t>The plaintiff also brought a negligence claim</w:t>
      </w:r>
      <w:r w:rsidR="009F07E8">
        <w:rPr>
          <w:sz w:val="26"/>
          <w:szCs w:val="26"/>
        </w:rPr>
        <w:t xml:space="preserve"> w</w:t>
      </w:r>
      <w:r>
        <w:rPr>
          <w:sz w:val="26"/>
          <w:szCs w:val="26"/>
        </w:rPr>
        <w:t xml:space="preserve">hich was rejected by the </w:t>
      </w:r>
      <w:r w:rsidR="0022421F">
        <w:rPr>
          <w:sz w:val="26"/>
          <w:szCs w:val="26"/>
        </w:rPr>
        <w:t>court</w:t>
      </w:r>
      <w:r>
        <w:rPr>
          <w:sz w:val="26"/>
          <w:szCs w:val="26"/>
        </w:rPr>
        <w:t>.</w:t>
      </w:r>
      <w:r w:rsidR="00B274CF">
        <w:rPr>
          <w:sz w:val="26"/>
          <w:szCs w:val="26"/>
        </w:rPr>
        <w:t xml:space="preserve">  It held that the defence did not owe her a duty of care to prevent gambling losses, although they did have a duty to introduce and implement a self-exclusion programme.  The programme had as one of its core components the requirement that the problem gambler had a primary obligation to control her gambling by enrolling in the programme.  Again, I find no support in this case for the plaintiffs’ contention that there are developments in other jurisdictions </w:t>
      </w:r>
      <w:r w:rsidR="00B274CF">
        <w:rPr>
          <w:sz w:val="26"/>
          <w:szCs w:val="26"/>
        </w:rPr>
        <w:lastRenderedPageBreak/>
        <w:t xml:space="preserve">suggesting that a change in South African convictions of the community have taken place over </w:t>
      </w:r>
      <w:r w:rsidR="008914DD">
        <w:rPr>
          <w:sz w:val="26"/>
          <w:szCs w:val="26"/>
        </w:rPr>
        <w:t>the past</w:t>
      </w:r>
      <w:r w:rsidR="00B274CF">
        <w:rPr>
          <w:sz w:val="26"/>
          <w:szCs w:val="26"/>
        </w:rPr>
        <w:t xml:space="preserve"> 17 years.  </w:t>
      </w:r>
    </w:p>
    <w:p w14:paraId="6525993C" w14:textId="024BC0D2" w:rsidR="00B274CF" w:rsidRPr="00BC6DF7" w:rsidRDefault="00B274CF" w:rsidP="00BC6DF7">
      <w:pPr>
        <w:pStyle w:val="ListParagraph"/>
        <w:numPr>
          <w:ilvl w:val="0"/>
          <w:numId w:val="3"/>
        </w:numPr>
        <w:contextualSpacing w:val="0"/>
        <w:rPr>
          <w:sz w:val="26"/>
          <w:szCs w:val="26"/>
        </w:rPr>
      </w:pPr>
      <w:r w:rsidRPr="00B274CF">
        <w:rPr>
          <w:b/>
          <w:bCs/>
          <w:sz w:val="26"/>
          <w:szCs w:val="26"/>
        </w:rPr>
        <w:t>Burrell v Metropolitan Entertainment Group</w:t>
      </w:r>
      <w:r>
        <w:rPr>
          <w:rStyle w:val="FootnoteReference"/>
          <w:sz w:val="26"/>
          <w:szCs w:val="26"/>
        </w:rPr>
        <w:footnoteReference w:id="26"/>
      </w:r>
      <w:r>
        <w:rPr>
          <w:sz w:val="26"/>
          <w:szCs w:val="26"/>
        </w:rPr>
        <w:t xml:space="preserve"> was considered at the exception stage, on the assumption </w:t>
      </w:r>
      <w:r w:rsidR="008914DD">
        <w:rPr>
          <w:sz w:val="26"/>
          <w:szCs w:val="26"/>
        </w:rPr>
        <w:t>that</w:t>
      </w:r>
      <w:r>
        <w:rPr>
          <w:sz w:val="26"/>
          <w:szCs w:val="26"/>
        </w:rPr>
        <w:t xml:space="preserve"> the pleaded facts would be established at trial, similar to </w:t>
      </w:r>
      <w:r w:rsidR="002A654F">
        <w:rPr>
          <w:sz w:val="26"/>
          <w:szCs w:val="26"/>
        </w:rPr>
        <w:t xml:space="preserve">the approach followed in our courts.  This claim was also in the context of a self-exclusion programme.  The relevant regulations made it an offence both for an excluded person to enter and gamble at a casino and for the casino to allow the excluded person to gamble.  The Court saw this as evidence of a regulatory scheme in which there were reciprocal obligations on both the problem gambler and the casino to protect the gambler from himself.  The court acknowledged a starting point of the enquiry as personal </w:t>
      </w:r>
      <w:r w:rsidR="00897220">
        <w:rPr>
          <w:sz w:val="26"/>
          <w:szCs w:val="26"/>
        </w:rPr>
        <w:t>autonomy but</w:t>
      </w:r>
      <w:r w:rsidR="002A654F">
        <w:rPr>
          <w:sz w:val="26"/>
          <w:szCs w:val="26"/>
        </w:rPr>
        <w:t xml:space="preserve"> concluded that the legislature had struck a rational balance between the personal autonomy of gamblers and the duties of the licensee, which included the promotion of gambling, so that it would be inappropriate to acknowledge a delictual duty of care on top of this structure.  The Court found that it could not be entertained that a problem gambler may </w:t>
      </w:r>
      <w:r w:rsidR="002A654F">
        <w:rPr>
          <w:i/>
          <w:iCs/>
          <w:sz w:val="26"/>
          <w:szCs w:val="26"/>
        </w:rPr>
        <w:t>“test the tables and keep his winnings, if any, but recover any deficit in a tort claim akin to gambling loss insurance.”</w:t>
      </w:r>
      <w:r w:rsidR="002A654F">
        <w:rPr>
          <w:rStyle w:val="FootnoteReference"/>
          <w:sz w:val="26"/>
          <w:szCs w:val="26"/>
        </w:rPr>
        <w:footnoteReference w:id="27"/>
      </w:r>
      <w:r w:rsidR="008A0E64">
        <w:rPr>
          <w:sz w:val="26"/>
          <w:szCs w:val="26"/>
        </w:rPr>
        <w:t xml:space="preserve">  If anything, this case, of which, of all th</w:t>
      </w:r>
      <w:r w:rsidR="0092216D">
        <w:rPr>
          <w:sz w:val="26"/>
          <w:szCs w:val="26"/>
        </w:rPr>
        <w:t xml:space="preserve">e foreign cases referred to, is the closest to the current matter of the facts </w:t>
      </w:r>
      <w:r w:rsidR="0092216D">
        <w:rPr>
          <w:sz w:val="26"/>
          <w:szCs w:val="26"/>
        </w:rPr>
        <w:lastRenderedPageBreak/>
        <w:t xml:space="preserve">and </w:t>
      </w:r>
      <w:r w:rsidR="008F50D9">
        <w:rPr>
          <w:sz w:val="26"/>
          <w:szCs w:val="26"/>
        </w:rPr>
        <w:t xml:space="preserve">the legislation, speaks against the plaintiffs and is very much in line with the exception raised by the first defendant. </w:t>
      </w:r>
    </w:p>
    <w:p w14:paraId="67FD5D3C" w14:textId="5CC5492B" w:rsidR="008F50D9" w:rsidRPr="00BC6DF7" w:rsidRDefault="008F50D9" w:rsidP="00BC6DF7">
      <w:pPr>
        <w:pStyle w:val="ListParagraph"/>
        <w:numPr>
          <w:ilvl w:val="0"/>
          <w:numId w:val="3"/>
        </w:numPr>
        <w:contextualSpacing w:val="0"/>
        <w:rPr>
          <w:sz w:val="26"/>
          <w:szCs w:val="26"/>
        </w:rPr>
      </w:pPr>
      <w:r w:rsidRPr="009044E4">
        <w:rPr>
          <w:b/>
          <w:bCs/>
          <w:sz w:val="26"/>
          <w:szCs w:val="26"/>
        </w:rPr>
        <w:t>Sinclair</w:t>
      </w:r>
      <w:r w:rsidR="005E4670" w:rsidRPr="009044E4">
        <w:rPr>
          <w:b/>
          <w:bCs/>
          <w:sz w:val="26"/>
          <w:szCs w:val="26"/>
        </w:rPr>
        <w:t xml:space="preserve"> v New Zealand Racing Board</w:t>
      </w:r>
      <w:r w:rsidR="009044E4">
        <w:rPr>
          <w:rStyle w:val="FootnoteReference"/>
          <w:sz w:val="26"/>
          <w:szCs w:val="26"/>
        </w:rPr>
        <w:footnoteReference w:id="28"/>
      </w:r>
      <w:r w:rsidR="009044E4">
        <w:rPr>
          <w:sz w:val="26"/>
          <w:szCs w:val="26"/>
        </w:rPr>
        <w:t xml:space="preserve"> </w:t>
      </w:r>
      <w:r w:rsidR="005E4670">
        <w:rPr>
          <w:sz w:val="26"/>
          <w:szCs w:val="26"/>
        </w:rPr>
        <w:t xml:space="preserve"> involved a claim brought by the victim of problem gambling – the plaintiff was defrauded by a problem gambler who enticed her through a romantic relationship to lend him large sums of money to fuel his gambling.  </w:t>
      </w:r>
      <w:r w:rsidR="0000013C">
        <w:rPr>
          <w:sz w:val="26"/>
          <w:szCs w:val="26"/>
        </w:rPr>
        <w:t>T</w:t>
      </w:r>
      <w:r w:rsidR="005E4670">
        <w:rPr>
          <w:sz w:val="26"/>
          <w:szCs w:val="26"/>
        </w:rPr>
        <w:t>he court upheld the objection to the claim on the basis that the plaintiff was not</w:t>
      </w:r>
      <w:r w:rsidR="00B578A3">
        <w:rPr>
          <w:sz w:val="26"/>
          <w:szCs w:val="26"/>
        </w:rPr>
        <w:t xml:space="preserve"> part of an identifiable class to whom the defendants could be said to owe a duty of care</w:t>
      </w:r>
      <w:r w:rsidR="00DC5DE6">
        <w:rPr>
          <w:sz w:val="26"/>
          <w:szCs w:val="26"/>
        </w:rPr>
        <w:t>, which would</w:t>
      </w:r>
      <w:r w:rsidR="00B578A3">
        <w:rPr>
          <w:sz w:val="26"/>
          <w:szCs w:val="26"/>
        </w:rPr>
        <w:t xml:space="preserve"> imply </w:t>
      </w:r>
      <w:r w:rsidR="00EE0FEC">
        <w:rPr>
          <w:sz w:val="26"/>
          <w:szCs w:val="26"/>
        </w:rPr>
        <w:t>an extensive duty of indeterminate liability.</w:t>
      </w:r>
    </w:p>
    <w:p w14:paraId="12587E02" w14:textId="2101A598" w:rsidR="005A727E" w:rsidRDefault="00935C51" w:rsidP="008F1877">
      <w:pPr>
        <w:pStyle w:val="ListParagraph"/>
        <w:numPr>
          <w:ilvl w:val="0"/>
          <w:numId w:val="3"/>
        </w:numPr>
        <w:contextualSpacing w:val="0"/>
        <w:rPr>
          <w:sz w:val="26"/>
          <w:szCs w:val="26"/>
        </w:rPr>
      </w:pPr>
      <w:r>
        <w:rPr>
          <w:sz w:val="26"/>
          <w:szCs w:val="26"/>
        </w:rPr>
        <w:t>I conclude that none of the foreign decision</w:t>
      </w:r>
      <w:r w:rsidR="003A7106">
        <w:rPr>
          <w:sz w:val="26"/>
          <w:szCs w:val="26"/>
        </w:rPr>
        <w:t>s</w:t>
      </w:r>
      <w:r>
        <w:rPr>
          <w:sz w:val="26"/>
          <w:szCs w:val="26"/>
        </w:rPr>
        <w:t xml:space="preserve"> relied upon by the plaintiffs support their proposition that th</w:t>
      </w:r>
      <w:r w:rsidR="00474FA6">
        <w:rPr>
          <w:sz w:val="26"/>
          <w:szCs w:val="26"/>
        </w:rPr>
        <w:t xml:space="preserve">ere has been a shift in the </w:t>
      </w:r>
      <w:r w:rsidR="00474FA6" w:rsidRPr="003A7106">
        <w:rPr>
          <w:i/>
          <w:iCs/>
          <w:sz w:val="26"/>
          <w:szCs w:val="26"/>
        </w:rPr>
        <w:t>boni mores</w:t>
      </w:r>
      <w:r w:rsidR="00474FA6">
        <w:rPr>
          <w:sz w:val="26"/>
          <w:szCs w:val="26"/>
        </w:rPr>
        <w:t xml:space="preserve"> in common law jurisdictions</w:t>
      </w:r>
      <w:r w:rsidR="003A7106">
        <w:rPr>
          <w:sz w:val="26"/>
          <w:szCs w:val="26"/>
        </w:rPr>
        <w:t xml:space="preserve"> in favour of </w:t>
      </w:r>
      <w:r w:rsidR="006C0205">
        <w:rPr>
          <w:sz w:val="26"/>
          <w:szCs w:val="26"/>
        </w:rPr>
        <w:t>recognizing</w:t>
      </w:r>
      <w:r w:rsidR="003A7106">
        <w:rPr>
          <w:sz w:val="26"/>
          <w:szCs w:val="26"/>
        </w:rPr>
        <w:t xml:space="preserve"> a claim as </w:t>
      </w:r>
      <w:r w:rsidR="006C0205">
        <w:rPr>
          <w:sz w:val="26"/>
          <w:szCs w:val="26"/>
        </w:rPr>
        <w:t>pleaded by the plaintiffs</w:t>
      </w:r>
      <w:r w:rsidR="00474FA6">
        <w:rPr>
          <w:sz w:val="26"/>
          <w:szCs w:val="26"/>
        </w:rPr>
        <w:t xml:space="preserve">. </w:t>
      </w:r>
      <w:r w:rsidR="008F18A7">
        <w:rPr>
          <w:sz w:val="26"/>
          <w:szCs w:val="26"/>
        </w:rPr>
        <w:t xml:space="preserve">There is </w:t>
      </w:r>
      <w:r w:rsidR="00B9451D">
        <w:rPr>
          <w:sz w:val="26"/>
          <w:szCs w:val="26"/>
        </w:rPr>
        <w:t xml:space="preserve">thus </w:t>
      </w:r>
      <w:r w:rsidR="008F18A7">
        <w:rPr>
          <w:sz w:val="26"/>
          <w:szCs w:val="26"/>
        </w:rPr>
        <w:t xml:space="preserve">no support for the proposition that this Court should </w:t>
      </w:r>
      <w:r w:rsidR="007E15A0">
        <w:rPr>
          <w:sz w:val="26"/>
          <w:szCs w:val="26"/>
        </w:rPr>
        <w:t xml:space="preserve">conclude that the </w:t>
      </w:r>
      <w:r w:rsidR="007E15A0" w:rsidRPr="00B9451D">
        <w:rPr>
          <w:i/>
          <w:iCs/>
          <w:sz w:val="26"/>
          <w:szCs w:val="26"/>
        </w:rPr>
        <w:t>boni mores</w:t>
      </w:r>
      <w:r w:rsidR="007E15A0">
        <w:rPr>
          <w:sz w:val="26"/>
          <w:szCs w:val="26"/>
        </w:rPr>
        <w:t xml:space="preserve"> of our </w:t>
      </w:r>
      <w:r w:rsidR="00B9451D">
        <w:rPr>
          <w:sz w:val="26"/>
          <w:szCs w:val="26"/>
        </w:rPr>
        <w:t>s</w:t>
      </w:r>
      <w:r w:rsidR="007E15A0">
        <w:rPr>
          <w:sz w:val="26"/>
          <w:szCs w:val="26"/>
        </w:rPr>
        <w:t>ociety has shifted in favour of recognising a claim such as that proposed by the first plaintiff.</w:t>
      </w:r>
    </w:p>
    <w:p w14:paraId="6BB0FA8D" w14:textId="18BF9265" w:rsidR="00474FA6" w:rsidRDefault="00474FA6" w:rsidP="008F1877">
      <w:pPr>
        <w:pStyle w:val="ListParagraph"/>
        <w:numPr>
          <w:ilvl w:val="0"/>
          <w:numId w:val="3"/>
        </w:numPr>
        <w:contextualSpacing w:val="0"/>
        <w:rPr>
          <w:sz w:val="26"/>
          <w:szCs w:val="26"/>
        </w:rPr>
      </w:pPr>
      <w:r>
        <w:rPr>
          <w:sz w:val="26"/>
          <w:szCs w:val="26"/>
        </w:rPr>
        <w:t xml:space="preserve">I am satisfied that </w:t>
      </w:r>
      <w:r w:rsidR="005A7254">
        <w:rPr>
          <w:sz w:val="26"/>
          <w:szCs w:val="26"/>
        </w:rPr>
        <w:t xml:space="preserve">the legal position as stated in </w:t>
      </w:r>
      <w:r w:rsidR="005A7254" w:rsidRPr="005C1917">
        <w:rPr>
          <w:b/>
          <w:bCs/>
          <w:sz w:val="26"/>
          <w:szCs w:val="26"/>
        </w:rPr>
        <w:t>Junmao</w:t>
      </w:r>
      <w:r w:rsidR="005A7254">
        <w:rPr>
          <w:sz w:val="26"/>
          <w:szCs w:val="26"/>
        </w:rPr>
        <w:t xml:space="preserve"> is</w:t>
      </w:r>
      <w:r w:rsidR="003C219F">
        <w:rPr>
          <w:sz w:val="26"/>
          <w:szCs w:val="26"/>
        </w:rPr>
        <w:t xml:space="preserve"> still a correct statement of the legal convictions of the community</w:t>
      </w:r>
      <w:r w:rsidR="00747DB3">
        <w:rPr>
          <w:sz w:val="26"/>
          <w:szCs w:val="26"/>
        </w:rPr>
        <w:t>. T</w:t>
      </w:r>
      <w:r w:rsidR="003A564E">
        <w:rPr>
          <w:sz w:val="26"/>
          <w:szCs w:val="26"/>
        </w:rPr>
        <w:t xml:space="preserve">he first plaintiff has </w:t>
      </w:r>
      <w:r w:rsidR="00164215">
        <w:rPr>
          <w:sz w:val="26"/>
          <w:szCs w:val="26"/>
        </w:rPr>
        <w:t xml:space="preserve">also </w:t>
      </w:r>
      <w:r w:rsidR="00747DB3">
        <w:rPr>
          <w:sz w:val="26"/>
          <w:szCs w:val="26"/>
        </w:rPr>
        <w:lastRenderedPageBreak/>
        <w:t>for</w:t>
      </w:r>
      <w:r w:rsidR="00164215">
        <w:rPr>
          <w:sz w:val="26"/>
          <w:szCs w:val="26"/>
        </w:rPr>
        <w:t xml:space="preserve"> the alternative claim </w:t>
      </w:r>
      <w:r w:rsidR="003A564E">
        <w:rPr>
          <w:sz w:val="26"/>
          <w:szCs w:val="26"/>
        </w:rPr>
        <w:t>not pleaded sufficient allegations to sustain a cause of action</w:t>
      </w:r>
      <w:r w:rsidR="00164215">
        <w:rPr>
          <w:sz w:val="26"/>
          <w:szCs w:val="26"/>
        </w:rPr>
        <w:t xml:space="preserve"> against the first defendant.</w:t>
      </w:r>
      <w:r w:rsidR="005A7254">
        <w:rPr>
          <w:sz w:val="26"/>
          <w:szCs w:val="26"/>
        </w:rPr>
        <w:t xml:space="preserve"> </w:t>
      </w:r>
    </w:p>
    <w:p w14:paraId="69DD1A95" w14:textId="1791C79F" w:rsidR="00704390" w:rsidRDefault="00704390" w:rsidP="00704390">
      <w:pPr>
        <w:pStyle w:val="Heading1"/>
      </w:pPr>
      <w:r>
        <w:t xml:space="preserve">Conclusion </w:t>
      </w:r>
    </w:p>
    <w:p w14:paraId="1CCCEC8B" w14:textId="2C1021BE" w:rsidR="00D073A2" w:rsidRDefault="006B7D45" w:rsidP="00BB04BE">
      <w:pPr>
        <w:pStyle w:val="ListParagraph"/>
        <w:numPr>
          <w:ilvl w:val="0"/>
          <w:numId w:val="3"/>
        </w:numPr>
        <w:contextualSpacing w:val="0"/>
        <w:rPr>
          <w:sz w:val="26"/>
          <w:szCs w:val="26"/>
        </w:rPr>
      </w:pPr>
      <w:r>
        <w:rPr>
          <w:sz w:val="26"/>
          <w:szCs w:val="26"/>
        </w:rPr>
        <w:t xml:space="preserve">For the above reasons I </w:t>
      </w:r>
      <w:r w:rsidR="008009D8">
        <w:rPr>
          <w:sz w:val="26"/>
          <w:szCs w:val="26"/>
        </w:rPr>
        <w:t>conclude</w:t>
      </w:r>
      <w:r>
        <w:rPr>
          <w:sz w:val="26"/>
          <w:szCs w:val="26"/>
        </w:rPr>
        <w:t xml:space="preserve"> </w:t>
      </w:r>
      <w:r w:rsidR="008009D8">
        <w:rPr>
          <w:sz w:val="26"/>
          <w:szCs w:val="26"/>
        </w:rPr>
        <w:t xml:space="preserve">that </w:t>
      </w:r>
      <w:r>
        <w:rPr>
          <w:sz w:val="26"/>
          <w:szCs w:val="26"/>
        </w:rPr>
        <w:t xml:space="preserve">the </w:t>
      </w:r>
      <w:r w:rsidR="002F10B2">
        <w:rPr>
          <w:sz w:val="26"/>
          <w:szCs w:val="26"/>
        </w:rPr>
        <w:t xml:space="preserve">particulars of claim do not disclose a cause of action against the first defendant. </w:t>
      </w:r>
      <w:r w:rsidR="00D073A2">
        <w:rPr>
          <w:sz w:val="26"/>
          <w:szCs w:val="26"/>
        </w:rPr>
        <w:t xml:space="preserve">The exception was conceded in respect of the second defendant. The exception should thus be upheld, with costs. This should include the costs </w:t>
      </w:r>
      <w:r w:rsidR="003E671F">
        <w:rPr>
          <w:sz w:val="26"/>
          <w:szCs w:val="26"/>
        </w:rPr>
        <w:t>occasioned by the delivery of additional submissions after the hearing</w:t>
      </w:r>
      <w:r w:rsidR="00D073A2">
        <w:rPr>
          <w:sz w:val="26"/>
          <w:szCs w:val="26"/>
        </w:rPr>
        <w:t>.</w:t>
      </w:r>
    </w:p>
    <w:p w14:paraId="3395AB1B" w14:textId="5CF7783F" w:rsidR="00BB04BE" w:rsidRPr="003240B1" w:rsidRDefault="006B7D45" w:rsidP="00BB04BE">
      <w:pPr>
        <w:pStyle w:val="ListParagraph"/>
        <w:numPr>
          <w:ilvl w:val="0"/>
          <w:numId w:val="3"/>
        </w:numPr>
        <w:contextualSpacing w:val="0"/>
        <w:rPr>
          <w:sz w:val="26"/>
          <w:szCs w:val="26"/>
        </w:rPr>
      </w:pPr>
      <w:r>
        <w:rPr>
          <w:sz w:val="26"/>
          <w:szCs w:val="26"/>
        </w:rPr>
        <w:t>A</w:t>
      </w:r>
      <w:r w:rsidR="008009D8">
        <w:rPr>
          <w:sz w:val="26"/>
          <w:szCs w:val="26"/>
        </w:rPr>
        <w:t>n earlier exception was met with an amendment that gave rise to the particulars of claim in their current form. The first defendant</w:t>
      </w:r>
      <w:r w:rsidR="00A971C6">
        <w:rPr>
          <w:sz w:val="26"/>
          <w:szCs w:val="26"/>
        </w:rPr>
        <w:t xml:space="preserve">, correctly in my view, seeks the costs </w:t>
      </w:r>
      <w:r w:rsidR="006D74A9">
        <w:rPr>
          <w:sz w:val="26"/>
          <w:szCs w:val="26"/>
        </w:rPr>
        <w:t>of</w:t>
      </w:r>
      <w:r w:rsidR="00A971C6">
        <w:rPr>
          <w:sz w:val="26"/>
          <w:szCs w:val="26"/>
        </w:rPr>
        <w:t xml:space="preserve"> the previous exception, including the preparation of heads of argument in respect hereof</w:t>
      </w:r>
      <w:r w:rsidR="006D74A9">
        <w:rPr>
          <w:sz w:val="26"/>
          <w:szCs w:val="26"/>
        </w:rPr>
        <w:t>.</w:t>
      </w:r>
    </w:p>
    <w:p w14:paraId="40B935F3" w14:textId="1F8D7392" w:rsidR="001A2F75" w:rsidRDefault="001A2F75" w:rsidP="008F1877">
      <w:pPr>
        <w:pStyle w:val="ListParagraph"/>
        <w:numPr>
          <w:ilvl w:val="0"/>
          <w:numId w:val="3"/>
        </w:numPr>
        <w:contextualSpacing w:val="0"/>
        <w:rPr>
          <w:sz w:val="26"/>
          <w:szCs w:val="26"/>
        </w:rPr>
      </w:pPr>
      <w:r>
        <w:rPr>
          <w:sz w:val="26"/>
          <w:szCs w:val="26"/>
        </w:rPr>
        <w:t xml:space="preserve">In the circumstances </w:t>
      </w:r>
      <w:r w:rsidR="006D74A9">
        <w:rPr>
          <w:sz w:val="26"/>
          <w:szCs w:val="26"/>
        </w:rPr>
        <w:t>I make the following order</w:t>
      </w:r>
      <w:r>
        <w:rPr>
          <w:sz w:val="26"/>
          <w:szCs w:val="26"/>
        </w:rPr>
        <w:t xml:space="preserve">: </w:t>
      </w:r>
    </w:p>
    <w:p w14:paraId="5B90CBC3" w14:textId="37B614DA" w:rsidR="00F27F72" w:rsidRDefault="00F27F72" w:rsidP="00F27F72">
      <w:pPr>
        <w:pStyle w:val="ListParagraph"/>
        <w:numPr>
          <w:ilvl w:val="0"/>
          <w:numId w:val="5"/>
        </w:numPr>
        <w:ind w:left="1418" w:hanging="567"/>
        <w:contextualSpacing w:val="0"/>
        <w:rPr>
          <w:sz w:val="26"/>
          <w:szCs w:val="26"/>
        </w:rPr>
      </w:pPr>
      <w:r>
        <w:rPr>
          <w:sz w:val="26"/>
          <w:szCs w:val="26"/>
        </w:rPr>
        <w:t>The first defendant’s exception to the plaintiffs’ amended particulars of claim is upheld with costs</w:t>
      </w:r>
      <w:r w:rsidR="004F0136">
        <w:rPr>
          <w:sz w:val="26"/>
          <w:szCs w:val="26"/>
        </w:rPr>
        <w:t>, including the costs of the additional submissions</w:t>
      </w:r>
      <w:r w:rsidR="001660A8">
        <w:rPr>
          <w:sz w:val="26"/>
          <w:szCs w:val="26"/>
        </w:rPr>
        <w:t>.</w:t>
      </w:r>
    </w:p>
    <w:p w14:paraId="3EAE5057" w14:textId="01FD209A" w:rsidR="00BB0FA2" w:rsidRDefault="00F27F72" w:rsidP="00F27F72">
      <w:pPr>
        <w:pStyle w:val="ListParagraph"/>
        <w:numPr>
          <w:ilvl w:val="0"/>
          <w:numId w:val="5"/>
        </w:numPr>
        <w:ind w:left="1418" w:hanging="567"/>
        <w:contextualSpacing w:val="0"/>
        <w:rPr>
          <w:sz w:val="26"/>
          <w:szCs w:val="26"/>
        </w:rPr>
      </w:pPr>
      <w:r>
        <w:rPr>
          <w:sz w:val="26"/>
          <w:szCs w:val="26"/>
        </w:rPr>
        <w:t xml:space="preserve">The plaintiffs are liable for the first defendant’s wasted costs in respect of its first exception </w:t>
      </w:r>
      <w:r w:rsidR="0027015E">
        <w:rPr>
          <w:sz w:val="26"/>
          <w:szCs w:val="26"/>
        </w:rPr>
        <w:t>dated 14 December 2020</w:t>
      </w:r>
      <w:r>
        <w:rPr>
          <w:sz w:val="26"/>
          <w:szCs w:val="26"/>
        </w:rPr>
        <w:t xml:space="preserve"> and </w:t>
      </w:r>
      <w:r w:rsidR="00BB0FA2">
        <w:rPr>
          <w:sz w:val="26"/>
          <w:szCs w:val="26"/>
        </w:rPr>
        <w:t xml:space="preserve">the preparation of the heads of argument in respect thereof filed on 10 February 2021.  </w:t>
      </w:r>
    </w:p>
    <w:p w14:paraId="2ACEF1A0" w14:textId="7FE116BB" w:rsidR="00EE6ABC" w:rsidRDefault="00BB0FA2" w:rsidP="00F27F72">
      <w:pPr>
        <w:pStyle w:val="ListParagraph"/>
        <w:numPr>
          <w:ilvl w:val="0"/>
          <w:numId w:val="5"/>
        </w:numPr>
        <w:ind w:left="1418" w:hanging="567"/>
        <w:contextualSpacing w:val="0"/>
        <w:rPr>
          <w:sz w:val="26"/>
          <w:szCs w:val="26"/>
        </w:rPr>
      </w:pPr>
      <w:r>
        <w:rPr>
          <w:sz w:val="26"/>
          <w:szCs w:val="26"/>
        </w:rPr>
        <w:lastRenderedPageBreak/>
        <w:t xml:space="preserve">The plaintiffs are granted leave </w:t>
      </w:r>
      <w:r w:rsidR="00EE6ABC">
        <w:rPr>
          <w:sz w:val="26"/>
          <w:szCs w:val="26"/>
        </w:rPr>
        <w:t xml:space="preserve">to </w:t>
      </w:r>
      <w:r w:rsidR="004F0136">
        <w:rPr>
          <w:sz w:val="26"/>
          <w:szCs w:val="26"/>
        </w:rPr>
        <w:t>amend</w:t>
      </w:r>
      <w:r w:rsidR="00EE6ABC">
        <w:rPr>
          <w:sz w:val="26"/>
          <w:szCs w:val="26"/>
        </w:rPr>
        <w:t xml:space="preserve"> their particulars of claim by notice of amendment given within 20 days from the date of this order.  </w:t>
      </w:r>
    </w:p>
    <w:p w14:paraId="1B122E26" w14:textId="0E89FA88" w:rsidR="00A54A21" w:rsidRPr="00A54A21" w:rsidRDefault="00EE6ABC" w:rsidP="00A54A21">
      <w:pPr>
        <w:pStyle w:val="ListParagraph"/>
        <w:numPr>
          <w:ilvl w:val="0"/>
          <w:numId w:val="5"/>
        </w:numPr>
        <w:ind w:left="1418" w:hanging="567"/>
        <w:contextualSpacing w:val="0"/>
        <w:rPr>
          <w:sz w:val="26"/>
          <w:szCs w:val="26"/>
        </w:rPr>
      </w:pPr>
      <w:r>
        <w:rPr>
          <w:sz w:val="26"/>
          <w:szCs w:val="26"/>
        </w:rPr>
        <w:t>If the plaintiffs fail to give such notice of amendment their claim is dismissed with costs.</w:t>
      </w:r>
      <w:r w:rsidR="001660A8">
        <w:rPr>
          <w:sz w:val="26"/>
          <w:szCs w:val="26"/>
        </w:rPr>
        <w:t xml:space="preserve">  </w:t>
      </w:r>
    </w:p>
    <w:p w14:paraId="778C9F38" w14:textId="77777777" w:rsidR="000B48F5" w:rsidRDefault="000B48F5" w:rsidP="000B48F5">
      <w:pPr>
        <w:spacing w:after="0" w:line="240" w:lineRule="auto"/>
        <w:rPr>
          <w:sz w:val="26"/>
          <w:szCs w:val="26"/>
        </w:rPr>
      </w:pPr>
      <w:r>
        <w:rPr>
          <w:sz w:val="26"/>
          <w:szCs w:val="26"/>
        </w:rPr>
        <w:t>______________________________________</w:t>
      </w:r>
    </w:p>
    <w:p w14:paraId="68C51962" w14:textId="77777777" w:rsidR="000B48F5" w:rsidRPr="002653D6" w:rsidRDefault="000B48F5" w:rsidP="000B48F5">
      <w:pPr>
        <w:spacing w:after="0" w:line="240" w:lineRule="auto"/>
        <w:rPr>
          <w:b/>
          <w:sz w:val="26"/>
          <w:szCs w:val="26"/>
        </w:rPr>
      </w:pPr>
      <w:r>
        <w:rPr>
          <w:b/>
          <w:sz w:val="26"/>
          <w:szCs w:val="26"/>
        </w:rPr>
        <w:t>A Bester</w:t>
      </w:r>
    </w:p>
    <w:p w14:paraId="6C6BB01F" w14:textId="77777777" w:rsidR="000B48F5" w:rsidRDefault="000B48F5" w:rsidP="000B48F5">
      <w:pPr>
        <w:spacing w:after="0" w:line="240" w:lineRule="auto"/>
        <w:rPr>
          <w:b/>
          <w:sz w:val="26"/>
          <w:szCs w:val="26"/>
        </w:rPr>
      </w:pPr>
      <w:r w:rsidRPr="006B2625">
        <w:rPr>
          <w:b/>
          <w:sz w:val="26"/>
          <w:szCs w:val="26"/>
        </w:rPr>
        <w:t xml:space="preserve">Acting Judge </w:t>
      </w:r>
      <w:r>
        <w:rPr>
          <w:b/>
          <w:sz w:val="26"/>
          <w:szCs w:val="26"/>
        </w:rPr>
        <w:t>o</w:t>
      </w:r>
      <w:r w:rsidRPr="006B2625">
        <w:rPr>
          <w:b/>
          <w:sz w:val="26"/>
          <w:szCs w:val="26"/>
        </w:rPr>
        <w:t xml:space="preserve">f </w:t>
      </w:r>
      <w:r>
        <w:rPr>
          <w:b/>
          <w:sz w:val="26"/>
          <w:szCs w:val="26"/>
        </w:rPr>
        <w:t>t</w:t>
      </w:r>
      <w:r w:rsidRPr="006B2625">
        <w:rPr>
          <w:b/>
          <w:sz w:val="26"/>
          <w:szCs w:val="26"/>
        </w:rPr>
        <w:t>he High Court</w:t>
      </w:r>
      <w:r>
        <w:rPr>
          <w:b/>
          <w:sz w:val="26"/>
          <w:szCs w:val="26"/>
        </w:rPr>
        <w:t xml:space="preserve"> of South Africa</w:t>
      </w:r>
    </w:p>
    <w:p w14:paraId="7A508833" w14:textId="77777777" w:rsidR="000B48F5" w:rsidRDefault="000B48F5" w:rsidP="000B48F5">
      <w:pPr>
        <w:spacing w:after="0" w:line="240" w:lineRule="auto"/>
        <w:rPr>
          <w:b/>
          <w:sz w:val="26"/>
          <w:szCs w:val="26"/>
        </w:rPr>
      </w:pPr>
      <w:r>
        <w:rPr>
          <w:b/>
          <w:sz w:val="26"/>
          <w:szCs w:val="26"/>
        </w:rPr>
        <w:t>Gauteng Local Division, Johannesburg</w:t>
      </w:r>
    </w:p>
    <w:p w14:paraId="7E85FEF0" w14:textId="77777777" w:rsidR="000B48F5" w:rsidRDefault="000B48F5" w:rsidP="000B48F5">
      <w:pPr>
        <w:spacing w:after="0" w:line="240" w:lineRule="auto"/>
        <w:rPr>
          <w:sz w:val="26"/>
          <w:szCs w:val="26"/>
        </w:rPr>
      </w:pPr>
    </w:p>
    <w:p w14:paraId="75924B79" w14:textId="77777777" w:rsidR="000B48F5" w:rsidRDefault="000B48F5" w:rsidP="000B48F5">
      <w:pPr>
        <w:spacing w:after="0" w:line="240" w:lineRule="auto"/>
        <w:rPr>
          <w:sz w:val="26"/>
          <w:szCs w:val="26"/>
        </w:rPr>
      </w:pPr>
    </w:p>
    <w:p w14:paraId="10F9DF24" w14:textId="29A3D7A8" w:rsidR="000B48F5" w:rsidRPr="00770055" w:rsidRDefault="000B48F5" w:rsidP="000B48F5">
      <w:pPr>
        <w:spacing w:after="0" w:line="240" w:lineRule="auto"/>
        <w:rPr>
          <w:sz w:val="26"/>
          <w:szCs w:val="26"/>
        </w:rPr>
      </w:pPr>
      <w:r w:rsidRPr="00770055">
        <w:rPr>
          <w:sz w:val="26"/>
          <w:szCs w:val="26"/>
        </w:rPr>
        <w:t>Heard:</w:t>
      </w:r>
      <w:r w:rsidRPr="00770055">
        <w:rPr>
          <w:sz w:val="26"/>
          <w:szCs w:val="26"/>
        </w:rPr>
        <w:tab/>
      </w:r>
      <w:r w:rsidRPr="00770055">
        <w:rPr>
          <w:sz w:val="26"/>
          <w:szCs w:val="26"/>
        </w:rPr>
        <w:tab/>
      </w:r>
      <w:r>
        <w:rPr>
          <w:sz w:val="26"/>
          <w:szCs w:val="26"/>
        </w:rPr>
        <w:tab/>
      </w:r>
      <w:r>
        <w:rPr>
          <w:sz w:val="26"/>
          <w:szCs w:val="26"/>
        </w:rPr>
        <w:tab/>
      </w:r>
      <w:r>
        <w:rPr>
          <w:sz w:val="26"/>
          <w:szCs w:val="26"/>
        </w:rPr>
        <w:tab/>
      </w:r>
      <w:r>
        <w:rPr>
          <w:sz w:val="26"/>
          <w:szCs w:val="26"/>
        </w:rPr>
        <w:tab/>
      </w:r>
      <w:r w:rsidR="00C52483">
        <w:rPr>
          <w:sz w:val="26"/>
          <w:szCs w:val="26"/>
        </w:rPr>
        <w:t>22 November</w:t>
      </w:r>
      <w:r w:rsidR="00F62EA4">
        <w:rPr>
          <w:sz w:val="26"/>
          <w:szCs w:val="26"/>
        </w:rPr>
        <w:t xml:space="preserve"> </w:t>
      </w:r>
      <w:r w:rsidR="002D585E">
        <w:rPr>
          <w:sz w:val="26"/>
          <w:szCs w:val="26"/>
        </w:rPr>
        <w:t>2021</w:t>
      </w:r>
    </w:p>
    <w:p w14:paraId="5CF219D4" w14:textId="4EB39B3E" w:rsidR="000B48F5" w:rsidRPr="00770055" w:rsidRDefault="000B48F5" w:rsidP="000B48F5">
      <w:pPr>
        <w:spacing w:after="0" w:line="240" w:lineRule="auto"/>
        <w:rPr>
          <w:sz w:val="26"/>
          <w:szCs w:val="26"/>
        </w:rPr>
      </w:pPr>
      <w:r w:rsidRPr="00770055">
        <w:rPr>
          <w:sz w:val="26"/>
          <w:szCs w:val="26"/>
        </w:rPr>
        <w:t>Judgment:</w:t>
      </w:r>
      <w:r w:rsidRPr="00770055">
        <w:rPr>
          <w:sz w:val="26"/>
          <w:szCs w:val="26"/>
        </w:rPr>
        <w:tab/>
      </w:r>
      <w:r>
        <w:rPr>
          <w:sz w:val="26"/>
          <w:szCs w:val="26"/>
        </w:rPr>
        <w:tab/>
      </w:r>
      <w:r>
        <w:rPr>
          <w:sz w:val="26"/>
          <w:szCs w:val="26"/>
        </w:rPr>
        <w:tab/>
      </w:r>
      <w:r>
        <w:rPr>
          <w:sz w:val="26"/>
          <w:szCs w:val="26"/>
        </w:rPr>
        <w:tab/>
      </w:r>
      <w:r>
        <w:rPr>
          <w:sz w:val="26"/>
          <w:szCs w:val="26"/>
        </w:rPr>
        <w:tab/>
      </w:r>
      <w:r w:rsidR="00930708">
        <w:rPr>
          <w:sz w:val="26"/>
          <w:szCs w:val="26"/>
        </w:rPr>
        <w:t>24 May 2022</w:t>
      </w:r>
      <w:r w:rsidR="00F62EA4">
        <w:rPr>
          <w:sz w:val="26"/>
          <w:szCs w:val="26"/>
        </w:rPr>
        <w:t xml:space="preserve"> </w:t>
      </w:r>
    </w:p>
    <w:p w14:paraId="4ED5CB3B" w14:textId="77777777" w:rsidR="000B48F5" w:rsidRDefault="000B48F5" w:rsidP="000B48F5">
      <w:pPr>
        <w:spacing w:after="0" w:line="240" w:lineRule="auto"/>
        <w:rPr>
          <w:sz w:val="26"/>
          <w:szCs w:val="26"/>
        </w:rPr>
      </w:pPr>
    </w:p>
    <w:p w14:paraId="7AE281E1" w14:textId="77777777" w:rsidR="000B48F5" w:rsidRDefault="000B48F5" w:rsidP="000B48F5">
      <w:pPr>
        <w:spacing w:after="0" w:line="240" w:lineRule="auto"/>
        <w:rPr>
          <w:sz w:val="26"/>
          <w:szCs w:val="26"/>
        </w:rPr>
      </w:pPr>
    </w:p>
    <w:p w14:paraId="630A3D36" w14:textId="77777777" w:rsidR="00812672" w:rsidRDefault="00812672" w:rsidP="00812672">
      <w:pPr>
        <w:spacing w:after="0" w:line="240" w:lineRule="auto"/>
        <w:rPr>
          <w:sz w:val="26"/>
          <w:szCs w:val="26"/>
        </w:rPr>
      </w:pPr>
    </w:p>
    <w:p w14:paraId="567E2BCA" w14:textId="03B57305" w:rsidR="00812672" w:rsidRPr="00770055" w:rsidRDefault="00812672" w:rsidP="00812672">
      <w:pPr>
        <w:spacing w:after="0" w:line="240" w:lineRule="auto"/>
        <w:rPr>
          <w:sz w:val="26"/>
          <w:szCs w:val="26"/>
        </w:rPr>
      </w:pPr>
      <w:r>
        <w:rPr>
          <w:sz w:val="26"/>
          <w:szCs w:val="26"/>
        </w:rPr>
        <w:t>Counsel f</w:t>
      </w:r>
      <w:r w:rsidRPr="00770055">
        <w:rPr>
          <w:sz w:val="26"/>
          <w:szCs w:val="26"/>
        </w:rPr>
        <w:t xml:space="preserve">or the </w:t>
      </w:r>
      <w:r>
        <w:rPr>
          <w:sz w:val="26"/>
          <w:szCs w:val="26"/>
        </w:rPr>
        <w:t>Plaintiffs</w:t>
      </w:r>
      <w:r w:rsidRPr="00770055">
        <w:rPr>
          <w:sz w:val="26"/>
          <w:szCs w:val="26"/>
        </w:rPr>
        <w:t>:</w:t>
      </w:r>
      <w:r>
        <w:rPr>
          <w:sz w:val="26"/>
          <w:szCs w:val="26"/>
        </w:rPr>
        <w:tab/>
      </w:r>
      <w:r>
        <w:rPr>
          <w:sz w:val="26"/>
          <w:szCs w:val="26"/>
        </w:rPr>
        <w:tab/>
      </w:r>
      <w:r>
        <w:rPr>
          <w:sz w:val="26"/>
          <w:szCs w:val="26"/>
        </w:rPr>
        <w:tab/>
      </w:r>
      <w:r w:rsidRPr="00770055">
        <w:rPr>
          <w:sz w:val="26"/>
          <w:szCs w:val="26"/>
        </w:rPr>
        <w:t xml:space="preserve">Adv </w:t>
      </w:r>
      <w:r>
        <w:rPr>
          <w:sz w:val="26"/>
          <w:szCs w:val="26"/>
        </w:rPr>
        <w:t>S Bismilla</w:t>
      </w:r>
    </w:p>
    <w:p w14:paraId="4162BB3A" w14:textId="77777777" w:rsidR="00812672" w:rsidRPr="006B2625" w:rsidRDefault="00812672" w:rsidP="00812672">
      <w:pPr>
        <w:spacing w:after="0" w:line="240" w:lineRule="auto"/>
        <w:rPr>
          <w:b/>
          <w:sz w:val="26"/>
          <w:szCs w:val="26"/>
        </w:rPr>
      </w:pPr>
      <w:r>
        <w:rPr>
          <w:sz w:val="26"/>
          <w:szCs w:val="26"/>
        </w:rPr>
        <w:t>I</w:t>
      </w:r>
      <w:r w:rsidRPr="00770055">
        <w:rPr>
          <w:sz w:val="26"/>
          <w:szCs w:val="26"/>
        </w:rPr>
        <w:t>nstructed by</w:t>
      </w:r>
      <w:r>
        <w:rPr>
          <w:sz w:val="26"/>
          <w:szCs w:val="26"/>
        </w:rPr>
        <w:t>:</w:t>
      </w:r>
      <w:r>
        <w:rPr>
          <w:sz w:val="26"/>
          <w:szCs w:val="26"/>
        </w:rPr>
        <w:tab/>
      </w:r>
      <w:r>
        <w:rPr>
          <w:sz w:val="26"/>
          <w:szCs w:val="26"/>
        </w:rPr>
        <w:tab/>
      </w:r>
      <w:r>
        <w:rPr>
          <w:sz w:val="26"/>
          <w:szCs w:val="26"/>
        </w:rPr>
        <w:tab/>
      </w:r>
      <w:r>
        <w:rPr>
          <w:sz w:val="26"/>
          <w:szCs w:val="26"/>
        </w:rPr>
        <w:tab/>
      </w:r>
      <w:r>
        <w:rPr>
          <w:sz w:val="26"/>
          <w:szCs w:val="26"/>
        </w:rPr>
        <w:tab/>
        <w:t>Hajibey-Bhyat Inc</w:t>
      </w:r>
    </w:p>
    <w:p w14:paraId="5E9D80B5" w14:textId="77777777" w:rsidR="000B48F5" w:rsidRPr="00770055" w:rsidRDefault="000B48F5" w:rsidP="000B48F5">
      <w:pPr>
        <w:spacing w:after="0" w:line="240" w:lineRule="auto"/>
        <w:rPr>
          <w:sz w:val="26"/>
          <w:szCs w:val="26"/>
        </w:rPr>
      </w:pPr>
    </w:p>
    <w:p w14:paraId="42901953" w14:textId="77777777" w:rsidR="00812672" w:rsidRDefault="00812672" w:rsidP="000B48F5">
      <w:pPr>
        <w:spacing w:after="0" w:line="240" w:lineRule="auto"/>
        <w:rPr>
          <w:sz w:val="26"/>
          <w:szCs w:val="26"/>
        </w:rPr>
      </w:pPr>
    </w:p>
    <w:p w14:paraId="011324FA" w14:textId="77777777" w:rsidR="00812672" w:rsidRDefault="00812672" w:rsidP="000B48F5">
      <w:pPr>
        <w:spacing w:after="0" w:line="240" w:lineRule="auto"/>
        <w:rPr>
          <w:sz w:val="26"/>
          <w:szCs w:val="26"/>
        </w:rPr>
      </w:pPr>
    </w:p>
    <w:p w14:paraId="5B5F9637" w14:textId="69953462" w:rsidR="000B48F5" w:rsidRPr="00770055" w:rsidRDefault="000B48F5" w:rsidP="000B48F5">
      <w:pPr>
        <w:spacing w:after="0" w:line="240" w:lineRule="auto"/>
        <w:rPr>
          <w:sz w:val="26"/>
          <w:szCs w:val="26"/>
        </w:rPr>
      </w:pPr>
      <w:r>
        <w:rPr>
          <w:sz w:val="26"/>
          <w:szCs w:val="26"/>
        </w:rPr>
        <w:t>Counsel f</w:t>
      </w:r>
      <w:r w:rsidRPr="00770055">
        <w:rPr>
          <w:sz w:val="26"/>
          <w:szCs w:val="26"/>
        </w:rPr>
        <w:t xml:space="preserve">or the </w:t>
      </w:r>
      <w:r w:rsidR="005F72B7">
        <w:rPr>
          <w:sz w:val="26"/>
          <w:szCs w:val="26"/>
        </w:rPr>
        <w:t>F</w:t>
      </w:r>
      <w:r w:rsidR="00800A68">
        <w:rPr>
          <w:sz w:val="26"/>
          <w:szCs w:val="26"/>
        </w:rPr>
        <w:t xml:space="preserve">irst </w:t>
      </w:r>
      <w:r w:rsidR="00C52483">
        <w:rPr>
          <w:sz w:val="26"/>
          <w:szCs w:val="26"/>
        </w:rPr>
        <w:t>Excipient</w:t>
      </w:r>
      <w:r>
        <w:rPr>
          <w:sz w:val="26"/>
          <w:szCs w:val="26"/>
        </w:rPr>
        <w:t>:</w:t>
      </w:r>
      <w:r>
        <w:rPr>
          <w:sz w:val="26"/>
          <w:szCs w:val="26"/>
        </w:rPr>
        <w:tab/>
      </w:r>
      <w:r>
        <w:rPr>
          <w:sz w:val="26"/>
          <w:szCs w:val="26"/>
        </w:rPr>
        <w:tab/>
      </w:r>
      <w:r>
        <w:rPr>
          <w:sz w:val="26"/>
          <w:szCs w:val="26"/>
        </w:rPr>
        <w:tab/>
      </w:r>
      <w:r w:rsidR="00C52483" w:rsidRPr="00770055">
        <w:rPr>
          <w:sz w:val="26"/>
          <w:szCs w:val="26"/>
        </w:rPr>
        <w:t xml:space="preserve">Adv </w:t>
      </w:r>
      <w:r w:rsidR="00C52483">
        <w:rPr>
          <w:sz w:val="26"/>
          <w:szCs w:val="26"/>
        </w:rPr>
        <w:t>A Friedman</w:t>
      </w:r>
      <w:r w:rsidR="00C52483" w:rsidRPr="00770055">
        <w:rPr>
          <w:sz w:val="26"/>
          <w:szCs w:val="26"/>
        </w:rPr>
        <w:t xml:space="preserve"> </w:t>
      </w:r>
    </w:p>
    <w:p w14:paraId="6C5A6F2B" w14:textId="2E5FC1C1" w:rsidR="006B2625" w:rsidRPr="006B2625" w:rsidRDefault="000B48F5" w:rsidP="00930708">
      <w:pPr>
        <w:spacing w:after="0" w:line="240" w:lineRule="auto"/>
        <w:ind w:left="5103" w:hanging="5103"/>
        <w:rPr>
          <w:b/>
          <w:sz w:val="26"/>
          <w:szCs w:val="26"/>
        </w:rPr>
      </w:pPr>
      <w:r>
        <w:rPr>
          <w:sz w:val="26"/>
          <w:szCs w:val="26"/>
        </w:rPr>
        <w:t>I</w:t>
      </w:r>
      <w:r w:rsidRPr="00770055">
        <w:rPr>
          <w:sz w:val="26"/>
          <w:szCs w:val="26"/>
        </w:rPr>
        <w:t>nstructed by</w:t>
      </w:r>
      <w:r>
        <w:rPr>
          <w:sz w:val="26"/>
          <w:szCs w:val="26"/>
        </w:rPr>
        <w:t>:</w:t>
      </w:r>
      <w:r>
        <w:rPr>
          <w:sz w:val="26"/>
          <w:szCs w:val="26"/>
        </w:rPr>
        <w:tab/>
      </w:r>
      <w:r>
        <w:rPr>
          <w:sz w:val="26"/>
          <w:szCs w:val="26"/>
        </w:rPr>
        <w:tab/>
      </w:r>
      <w:r w:rsidR="00115B42">
        <w:rPr>
          <w:sz w:val="26"/>
          <w:szCs w:val="26"/>
        </w:rPr>
        <w:t>Herbert Smith Free Hills South Africa Attorneys Inc</w:t>
      </w:r>
    </w:p>
    <w:sectPr w:rsidR="006B2625" w:rsidRPr="006B2625" w:rsidSect="00453AE9">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618544" w14:textId="77777777" w:rsidR="006C7185" w:rsidRDefault="006C7185" w:rsidP="00A47B82">
      <w:pPr>
        <w:spacing w:after="0" w:line="240" w:lineRule="auto"/>
      </w:pPr>
      <w:r>
        <w:separator/>
      </w:r>
    </w:p>
  </w:endnote>
  <w:endnote w:type="continuationSeparator" w:id="0">
    <w:p w14:paraId="36EB2F4F" w14:textId="77777777" w:rsidR="006C7185" w:rsidRDefault="006C7185" w:rsidP="00A47B82">
      <w:pPr>
        <w:spacing w:after="0" w:line="240" w:lineRule="auto"/>
      </w:pPr>
      <w:r>
        <w:continuationSeparator/>
      </w:r>
    </w:p>
  </w:endnote>
  <w:endnote w:type="continuationNotice" w:id="1">
    <w:p w14:paraId="6DC83FFC" w14:textId="77777777" w:rsidR="006C7185" w:rsidRDefault="006C71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78A7EE" w14:textId="77777777" w:rsidR="006C7185" w:rsidRDefault="006C7185" w:rsidP="00A47B82">
      <w:pPr>
        <w:spacing w:after="0" w:line="240" w:lineRule="auto"/>
      </w:pPr>
      <w:r>
        <w:separator/>
      </w:r>
    </w:p>
  </w:footnote>
  <w:footnote w:type="continuationSeparator" w:id="0">
    <w:p w14:paraId="308CE0AE" w14:textId="77777777" w:rsidR="006C7185" w:rsidRDefault="006C7185" w:rsidP="00A47B82">
      <w:pPr>
        <w:spacing w:after="0" w:line="240" w:lineRule="auto"/>
      </w:pPr>
      <w:r>
        <w:continuationSeparator/>
      </w:r>
    </w:p>
  </w:footnote>
  <w:footnote w:type="continuationNotice" w:id="1">
    <w:p w14:paraId="7BD62600" w14:textId="77777777" w:rsidR="006C7185" w:rsidRDefault="006C7185">
      <w:pPr>
        <w:spacing w:after="0" w:line="240" w:lineRule="auto"/>
      </w:pPr>
    </w:p>
  </w:footnote>
  <w:footnote w:id="2">
    <w:p w14:paraId="253EE459" w14:textId="77777777" w:rsidR="008E3928" w:rsidRDefault="008E3928" w:rsidP="008E3928">
      <w:pPr>
        <w:pStyle w:val="FootnoteText"/>
        <w:ind w:left="284" w:hanging="284"/>
      </w:pPr>
      <w:r>
        <w:rPr>
          <w:rStyle w:val="FootnoteReference"/>
        </w:rPr>
        <w:footnoteRef/>
      </w:r>
      <w:r>
        <w:t xml:space="preserve"> </w:t>
      </w:r>
      <w:r>
        <w:tab/>
        <w:t>North West Gambling Regulations.</w:t>
      </w:r>
    </w:p>
  </w:footnote>
  <w:footnote w:id="3">
    <w:p w14:paraId="176FF0C8" w14:textId="76977F27" w:rsidR="00EB4121" w:rsidRPr="00AA0F00" w:rsidRDefault="00EB4121" w:rsidP="00EB4121">
      <w:pPr>
        <w:pStyle w:val="FootnoteText"/>
        <w:spacing w:before="120" w:after="120"/>
        <w:ind w:left="284" w:hanging="284"/>
        <w:rPr>
          <w:lang w:val="en-GB"/>
        </w:rPr>
      </w:pPr>
      <w:r>
        <w:rPr>
          <w:rStyle w:val="FootnoteReference"/>
        </w:rPr>
        <w:footnoteRef/>
      </w:r>
      <w:r>
        <w:t xml:space="preserve"> </w:t>
      </w:r>
      <w:r>
        <w:rPr>
          <w:lang w:val="en-GB"/>
        </w:rPr>
        <w:tab/>
      </w:r>
      <w:r>
        <w:rPr>
          <w:b/>
          <w:bCs/>
          <w:lang w:val="en-GB"/>
        </w:rPr>
        <w:t>Pretorius and Another v Transport Pension Fund and Others</w:t>
      </w:r>
      <w:r>
        <w:rPr>
          <w:lang w:val="en-GB"/>
        </w:rPr>
        <w:t xml:space="preserve"> 2019 (2) SA 37 (CC) in [15]</w:t>
      </w:r>
      <w:r w:rsidR="00183E64">
        <w:rPr>
          <w:lang w:val="en-GB"/>
        </w:rPr>
        <w:t>.</w:t>
      </w:r>
      <w:r w:rsidR="00095277">
        <w:rPr>
          <w:lang w:val="en-GB"/>
        </w:rPr>
        <w:t xml:space="preserve">  F</w:t>
      </w:r>
      <w:r>
        <w:rPr>
          <w:lang w:val="en-GB"/>
        </w:rPr>
        <w:t>ootnotes have been omitted.</w:t>
      </w:r>
    </w:p>
  </w:footnote>
  <w:footnote w:id="4">
    <w:p w14:paraId="38A93029" w14:textId="77777777" w:rsidR="00FE0631" w:rsidRPr="007A0676" w:rsidRDefault="00FE0631" w:rsidP="00FE0631">
      <w:pPr>
        <w:pStyle w:val="FootnoteText"/>
        <w:ind w:left="284" w:hanging="284"/>
      </w:pPr>
      <w:r>
        <w:rPr>
          <w:rStyle w:val="FootnoteReference"/>
        </w:rPr>
        <w:footnoteRef/>
      </w:r>
      <w:r>
        <w:t xml:space="preserve"> </w:t>
      </w:r>
      <w:r>
        <w:tab/>
      </w:r>
      <w:r>
        <w:rPr>
          <w:b/>
          <w:bCs/>
        </w:rPr>
        <w:t xml:space="preserve">Bato Star Fishing (Pty) Ltd v Minister of Environmental Affairs and Tourism and Others </w:t>
      </w:r>
      <w:r>
        <w:t xml:space="preserve">2004 (4) SA 490 (CC) in [27].  </w:t>
      </w:r>
    </w:p>
  </w:footnote>
  <w:footnote w:id="5">
    <w:p w14:paraId="4DA95FBF" w14:textId="2E4403C5" w:rsidR="00FE0631" w:rsidRPr="007A0676" w:rsidRDefault="00FE0631" w:rsidP="00FE0631">
      <w:pPr>
        <w:pStyle w:val="FootnoteText"/>
        <w:ind w:left="284" w:hanging="284"/>
      </w:pPr>
      <w:r>
        <w:rPr>
          <w:rStyle w:val="FootnoteReference"/>
        </w:rPr>
        <w:footnoteRef/>
      </w:r>
      <w:r>
        <w:t xml:space="preserve"> </w:t>
      </w:r>
      <w:r>
        <w:tab/>
      </w:r>
      <w:r w:rsidR="00622022">
        <w:t xml:space="preserve">See  </w:t>
      </w:r>
      <w:r>
        <w:rPr>
          <w:b/>
          <w:bCs/>
        </w:rPr>
        <w:t xml:space="preserve">Jowell v Bramwell-Jones and Others  </w:t>
      </w:r>
      <w:r>
        <w:t>1998 (1) SA 836 (W) at 899B/C – 900A</w:t>
      </w:r>
      <w:r w:rsidR="00622022">
        <w:t xml:space="preserve"> </w:t>
      </w:r>
      <w:r w:rsidR="00631616">
        <w:t>on t</w:t>
      </w:r>
      <w:r w:rsidR="00E64176">
        <w:t xml:space="preserve">he </w:t>
      </w:r>
      <w:r w:rsidR="003843EA">
        <w:t>approach to an exception that a pleading is vague and embarrassing.</w:t>
      </w:r>
      <w:r>
        <w:t xml:space="preserve">  </w:t>
      </w:r>
    </w:p>
  </w:footnote>
  <w:footnote w:id="6">
    <w:p w14:paraId="66CA1BD9" w14:textId="77777777" w:rsidR="00CA57F7" w:rsidRPr="008C700C" w:rsidRDefault="00CA57F7" w:rsidP="00CA57F7">
      <w:pPr>
        <w:pStyle w:val="FootnoteText"/>
        <w:ind w:left="284" w:hanging="284"/>
      </w:pPr>
      <w:r>
        <w:rPr>
          <w:rStyle w:val="FootnoteReference"/>
        </w:rPr>
        <w:footnoteRef/>
      </w:r>
      <w:r>
        <w:t xml:space="preserve"> </w:t>
      </w:r>
      <w:r>
        <w:tab/>
      </w:r>
      <w:r>
        <w:rPr>
          <w:b/>
          <w:bCs/>
        </w:rPr>
        <w:t>Olitzki Property Holdings v State Tender Board and Another</w:t>
      </w:r>
      <w:r>
        <w:t xml:space="preserve"> 2001 (3) SA 1247 (SCA) in [12]. Footnotes omitted. The passage was endorsed in </w:t>
      </w:r>
      <w:r w:rsidRPr="008F7EFE">
        <w:rPr>
          <w:b/>
          <w:bCs/>
        </w:rPr>
        <w:t>BE obo JE v MEC for Social Development</w:t>
      </w:r>
      <w:r>
        <w:rPr>
          <w:b/>
          <w:bCs/>
        </w:rPr>
        <w:t>, Western Cape</w:t>
      </w:r>
      <w:r>
        <w:t xml:space="preserve"> 2022 (1) SA 1 (CC) in [11]. </w:t>
      </w:r>
    </w:p>
  </w:footnote>
  <w:footnote w:id="7">
    <w:p w14:paraId="3A31B098" w14:textId="77777777" w:rsidR="00756564" w:rsidRPr="00F220AE" w:rsidRDefault="00756564" w:rsidP="00756564">
      <w:pPr>
        <w:pStyle w:val="FootnoteText"/>
        <w:spacing w:before="120" w:after="120"/>
        <w:ind w:left="284" w:hanging="284"/>
        <w:rPr>
          <w:lang w:val="en-GB"/>
        </w:rPr>
      </w:pPr>
      <w:r>
        <w:rPr>
          <w:rStyle w:val="FootnoteReference"/>
        </w:rPr>
        <w:footnoteRef/>
      </w:r>
      <w:r>
        <w:t xml:space="preserve"> </w:t>
      </w:r>
      <w:r>
        <w:rPr>
          <w:lang w:val="en-GB"/>
        </w:rPr>
        <w:tab/>
        <w:t>North-West Gambling Regulations, 2002 published under GN353 of 2002 in pg5823 of 25 November 2002, as amended.</w:t>
      </w:r>
    </w:p>
  </w:footnote>
  <w:footnote w:id="8">
    <w:p w14:paraId="26CBD7E3" w14:textId="77777777" w:rsidR="009C5256" w:rsidRPr="00DC23DF" w:rsidRDefault="009C5256" w:rsidP="009C5256">
      <w:pPr>
        <w:pStyle w:val="FootnoteText"/>
        <w:ind w:left="284" w:hanging="284"/>
        <w:rPr>
          <w:lang w:val="en-GB"/>
        </w:rPr>
      </w:pPr>
      <w:r>
        <w:rPr>
          <w:rStyle w:val="FootnoteReference"/>
        </w:rPr>
        <w:footnoteRef/>
      </w:r>
      <w:r>
        <w:t xml:space="preserve"> </w:t>
      </w:r>
      <w:r>
        <w:rPr>
          <w:lang w:val="en-GB"/>
        </w:rPr>
        <w:tab/>
      </w:r>
      <w:r>
        <w:rPr>
          <w:b/>
          <w:bCs/>
          <w:lang w:val="en-GB"/>
        </w:rPr>
        <w:t>Junmao v Akani-Egoli (Pty) Ltd t/a Gold Reef City Casino and Theme Park</w:t>
      </w:r>
      <w:r>
        <w:rPr>
          <w:lang w:val="en-GB"/>
        </w:rPr>
        <w:t xml:space="preserve"> 2004 JER 0665 (W).</w:t>
      </w:r>
    </w:p>
  </w:footnote>
  <w:footnote w:id="9">
    <w:p w14:paraId="525BE071" w14:textId="77777777" w:rsidR="00735611" w:rsidRPr="003224F0" w:rsidRDefault="00735611" w:rsidP="00735611">
      <w:pPr>
        <w:pStyle w:val="FootnoteText"/>
        <w:ind w:left="284" w:hanging="284"/>
        <w:rPr>
          <w:lang w:val="en-GB"/>
        </w:rPr>
      </w:pPr>
      <w:r>
        <w:rPr>
          <w:rStyle w:val="FootnoteReference"/>
        </w:rPr>
        <w:footnoteRef/>
      </w:r>
      <w:r>
        <w:t xml:space="preserve"> </w:t>
      </w:r>
      <w:r>
        <w:rPr>
          <w:b/>
          <w:bCs/>
          <w:lang w:val="en-GB"/>
        </w:rPr>
        <w:tab/>
        <w:t>Junmao</w:t>
      </w:r>
      <w:r>
        <w:rPr>
          <w:lang w:val="en-GB"/>
        </w:rPr>
        <w:t xml:space="preserve"> </w:t>
      </w:r>
      <w:r>
        <w:rPr>
          <w:i/>
          <w:iCs/>
          <w:lang w:val="en-GB"/>
        </w:rPr>
        <w:t>supra</w:t>
      </w:r>
      <w:r>
        <w:rPr>
          <w:lang w:val="en-GB"/>
        </w:rPr>
        <w:t xml:space="preserve"> at p 16.</w:t>
      </w:r>
    </w:p>
  </w:footnote>
  <w:footnote w:id="10">
    <w:p w14:paraId="2B188F15" w14:textId="3DD6CC75" w:rsidR="00633854" w:rsidRDefault="00633854" w:rsidP="002B1147">
      <w:pPr>
        <w:pStyle w:val="FootnoteText"/>
        <w:ind w:left="-57" w:right="-57" w:firstLine="57"/>
        <w:rPr>
          <w:lang w:val="en-GB"/>
        </w:rPr>
      </w:pPr>
      <w:r>
        <w:rPr>
          <w:rStyle w:val="FootnoteReference"/>
        </w:rPr>
        <w:footnoteRef/>
      </w:r>
      <w:r>
        <w:t xml:space="preserve"> </w:t>
      </w:r>
      <w:r w:rsidR="002B1147">
        <w:rPr>
          <w:lang w:val="en-GB"/>
        </w:rPr>
        <w:t xml:space="preserve">  </w:t>
      </w:r>
      <w:r w:rsidRPr="00FF1D15">
        <w:t xml:space="preserve">See </w:t>
      </w:r>
      <w:r w:rsidRPr="00FF1D15">
        <w:rPr>
          <w:b/>
        </w:rPr>
        <w:t>Cool Ideas v Hubbard</w:t>
      </w:r>
      <w:r w:rsidRPr="00FF1D15">
        <w:rPr>
          <w:i/>
        </w:rPr>
        <w:t xml:space="preserve"> </w:t>
      </w:r>
      <w:r w:rsidRPr="00FF1D15">
        <w:t>2014 (4) SA 474 (CC</w:t>
      </w:r>
      <w:r w:rsidRPr="00FF1D15">
        <w:rPr>
          <w:sz w:val="24"/>
          <w:szCs w:val="24"/>
        </w:rPr>
        <w:t xml:space="preserve">) in </w:t>
      </w:r>
      <w:r w:rsidRPr="00FF1D15">
        <w:t>[28</w:t>
      </w:r>
      <w:r>
        <w:rPr>
          <w:lang w:val="en-GB"/>
        </w:rPr>
        <w:t>]:</w:t>
      </w:r>
    </w:p>
    <w:p w14:paraId="21B4427A" w14:textId="77777777" w:rsidR="005F55B1" w:rsidRDefault="005F55B1" w:rsidP="005F55B1">
      <w:pPr>
        <w:pStyle w:val="ListParagraph"/>
        <w:spacing w:after="0" w:line="240" w:lineRule="auto"/>
        <w:ind w:left="284" w:right="522"/>
        <w:contextualSpacing w:val="0"/>
        <w:rPr>
          <w:sz w:val="20"/>
          <w:szCs w:val="20"/>
        </w:rPr>
      </w:pPr>
      <w:r>
        <w:rPr>
          <w:sz w:val="20"/>
          <w:szCs w:val="20"/>
        </w:rPr>
        <w:t>“A fundamental tenet of statutory interpretation is that the words in a Statute must be given their ordinary grammatical meaning, unless to do so would result in an absurdity.  There are three important interrelated riders to this general principle, namely:</w:t>
      </w:r>
    </w:p>
    <w:p w14:paraId="1B6703A9" w14:textId="77777777" w:rsidR="005F55B1" w:rsidRDefault="005F55B1" w:rsidP="005F55B1">
      <w:pPr>
        <w:pStyle w:val="ListParagraph"/>
        <w:spacing w:after="120" w:line="240" w:lineRule="auto"/>
        <w:ind w:left="284" w:right="522"/>
        <w:contextualSpacing w:val="0"/>
        <w:rPr>
          <w:sz w:val="20"/>
          <w:szCs w:val="20"/>
        </w:rPr>
      </w:pPr>
      <w:r>
        <w:rPr>
          <w:sz w:val="20"/>
          <w:szCs w:val="20"/>
        </w:rPr>
        <w:t>[a]</w:t>
      </w:r>
      <w:r>
        <w:rPr>
          <w:sz w:val="20"/>
          <w:szCs w:val="20"/>
        </w:rPr>
        <w:tab/>
        <w:t>that statutory provisions should always be interpreted purposively;</w:t>
      </w:r>
    </w:p>
    <w:p w14:paraId="5A042CDB" w14:textId="77777777" w:rsidR="005F55B1" w:rsidRDefault="005F55B1" w:rsidP="005F55B1">
      <w:pPr>
        <w:pStyle w:val="ListParagraph"/>
        <w:spacing w:after="120" w:line="240" w:lineRule="auto"/>
        <w:ind w:left="284" w:right="522"/>
        <w:contextualSpacing w:val="0"/>
        <w:rPr>
          <w:sz w:val="20"/>
          <w:szCs w:val="20"/>
        </w:rPr>
      </w:pPr>
      <w:r>
        <w:rPr>
          <w:sz w:val="20"/>
          <w:szCs w:val="20"/>
        </w:rPr>
        <w:t>[b]</w:t>
      </w:r>
      <w:r>
        <w:rPr>
          <w:sz w:val="20"/>
          <w:szCs w:val="20"/>
        </w:rPr>
        <w:tab/>
        <w:t>the relevant statutory provision must be properly contextualised; and</w:t>
      </w:r>
    </w:p>
    <w:p w14:paraId="6D39ABD1" w14:textId="77777777" w:rsidR="005F55B1" w:rsidRDefault="005F55B1" w:rsidP="005F55B1">
      <w:pPr>
        <w:pStyle w:val="ListParagraph"/>
        <w:spacing w:after="120" w:line="240" w:lineRule="auto"/>
        <w:ind w:left="284" w:right="522"/>
        <w:contextualSpacing w:val="0"/>
        <w:rPr>
          <w:sz w:val="20"/>
          <w:szCs w:val="20"/>
        </w:rPr>
      </w:pPr>
      <w:r>
        <w:rPr>
          <w:sz w:val="20"/>
          <w:szCs w:val="20"/>
        </w:rPr>
        <w:t>[c]</w:t>
      </w:r>
      <w:r>
        <w:rPr>
          <w:sz w:val="20"/>
          <w:szCs w:val="20"/>
        </w:rPr>
        <w:tab/>
        <w:t>all statutes must be construed consistently with the constitution, that is, where reasonably possible, legislative provisions ought to be interpreted to preserve their constitutional validity.  This proviso to the general principle is closely related to the purpose of approach referred to in [a].”</w:t>
      </w:r>
    </w:p>
    <w:p w14:paraId="1FB36188" w14:textId="77777777" w:rsidR="005F55B1" w:rsidRPr="00D44D54" w:rsidRDefault="005F55B1" w:rsidP="00633854">
      <w:pPr>
        <w:pStyle w:val="FootnoteText"/>
        <w:ind w:left="-57" w:right="-57" w:hanging="284"/>
        <w:rPr>
          <w:lang w:val="en-GB"/>
        </w:rPr>
      </w:pPr>
    </w:p>
  </w:footnote>
  <w:footnote w:id="11">
    <w:p w14:paraId="4F778211" w14:textId="77777777" w:rsidR="00021BD6" w:rsidRPr="003E2852" w:rsidRDefault="00021BD6" w:rsidP="00021BD6">
      <w:pPr>
        <w:pStyle w:val="FootnoteText"/>
        <w:ind w:left="284" w:hanging="284"/>
      </w:pPr>
      <w:r>
        <w:rPr>
          <w:rStyle w:val="FootnoteReference"/>
        </w:rPr>
        <w:footnoteRef/>
      </w:r>
      <w:r>
        <w:t xml:space="preserve"> </w:t>
      </w:r>
      <w:r>
        <w:tab/>
      </w:r>
      <w:r>
        <w:rPr>
          <w:b/>
          <w:bCs/>
        </w:rPr>
        <w:t>Telematrix (Pty) Ltd t/a Matrix Vehicle Tracking v Advertising Standards Authority SA</w:t>
      </w:r>
      <w:r>
        <w:t xml:space="preserve"> 2006 (1) SA 461 (SCA) in [12].</w:t>
      </w:r>
    </w:p>
  </w:footnote>
  <w:footnote w:id="12">
    <w:p w14:paraId="36C59DD8" w14:textId="77777777" w:rsidR="00021BD6" w:rsidRPr="00D44D54" w:rsidRDefault="00021BD6" w:rsidP="00021BD6">
      <w:pPr>
        <w:pStyle w:val="FootnoteText"/>
        <w:ind w:right="-57"/>
        <w:rPr>
          <w:lang w:val="en-GB"/>
        </w:rPr>
      </w:pPr>
      <w:r>
        <w:rPr>
          <w:rStyle w:val="FootnoteReference"/>
        </w:rPr>
        <w:footnoteRef/>
      </w:r>
      <w:r>
        <w:t xml:space="preserve"> </w:t>
      </w:r>
      <w:r>
        <w:rPr>
          <w:lang w:val="en-GB"/>
        </w:rPr>
        <w:t xml:space="preserve">  </w:t>
      </w:r>
      <w:r>
        <w:rPr>
          <w:b/>
          <w:bCs/>
          <w:lang w:val="en-GB"/>
        </w:rPr>
        <w:t>Telematrix</w:t>
      </w:r>
      <w:r>
        <w:rPr>
          <w:lang w:val="en-GB"/>
        </w:rPr>
        <w:t xml:space="preserve"> </w:t>
      </w:r>
      <w:r>
        <w:rPr>
          <w:i/>
          <w:iCs/>
          <w:lang w:val="en-GB"/>
        </w:rPr>
        <w:t>supra</w:t>
      </w:r>
      <w:r>
        <w:rPr>
          <w:lang w:val="en-GB"/>
        </w:rPr>
        <w:t xml:space="preserve"> in [13].</w:t>
      </w:r>
    </w:p>
  </w:footnote>
  <w:footnote w:id="13">
    <w:p w14:paraId="56452EE0" w14:textId="77777777" w:rsidR="00021BD6" w:rsidRPr="00D44D54" w:rsidRDefault="00021BD6" w:rsidP="00021BD6">
      <w:pPr>
        <w:pStyle w:val="FootnoteText"/>
        <w:ind w:left="-57" w:right="-57" w:firstLine="57"/>
        <w:rPr>
          <w:lang w:val="en-GB"/>
        </w:rPr>
      </w:pPr>
      <w:r>
        <w:rPr>
          <w:rStyle w:val="FootnoteReference"/>
        </w:rPr>
        <w:footnoteRef/>
      </w:r>
      <w:r>
        <w:t xml:space="preserve"> </w:t>
      </w:r>
      <w:r>
        <w:rPr>
          <w:lang w:val="en-GB"/>
        </w:rPr>
        <w:t xml:space="preserve">  </w:t>
      </w:r>
      <w:r>
        <w:rPr>
          <w:b/>
          <w:bCs/>
          <w:lang w:val="en-GB"/>
        </w:rPr>
        <w:t xml:space="preserve">Barkhuizen v Napier </w:t>
      </w:r>
      <w:r>
        <w:rPr>
          <w:lang w:val="en-GB"/>
        </w:rPr>
        <w:t>2007 (5) SA 323 (CC) in [57].</w:t>
      </w:r>
    </w:p>
  </w:footnote>
  <w:footnote w:id="14">
    <w:p w14:paraId="06928368" w14:textId="77777777" w:rsidR="00942C87" w:rsidRPr="007A0676" w:rsidRDefault="00942C87" w:rsidP="00942C87">
      <w:pPr>
        <w:pStyle w:val="FootnoteText"/>
        <w:ind w:left="284" w:hanging="284"/>
      </w:pPr>
      <w:r>
        <w:rPr>
          <w:rStyle w:val="FootnoteReference"/>
        </w:rPr>
        <w:footnoteRef/>
      </w:r>
      <w:r>
        <w:t xml:space="preserve"> </w:t>
      </w:r>
      <w:r>
        <w:tab/>
      </w:r>
      <w:r>
        <w:rPr>
          <w:b/>
          <w:bCs/>
        </w:rPr>
        <w:t xml:space="preserve">Steenkamp N.O. v Provincial Tender Board, Eastern Cape </w:t>
      </w:r>
      <w:r>
        <w:t xml:space="preserve">2007 (3) SA 121 (CC) in [42]. Footnotes omitted.  </w:t>
      </w:r>
    </w:p>
  </w:footnote>
  <w:footnote w:id="15">
    <w:p w14:paraId="750C3600" w14:textId="3433F28C" w:rsidR="007A5115" w:rsidRPr="000D3663" w:rsidRDefault="007A5115" w:rsidP="002F345B">
      <w:pPr>
        <w:pStyle w:val="FootnoteText"/>
        <w:ind w:left="284" w:hanging="284"/>
        <w:rPr>
          <w:lang w:val="en-GB"/>
        </w:rPr>
      </w:pPr>
      <w:r>
        <w:rPr>
          <w:rStyle w:val="FootnoteReference"/>
        </w:rPr>
        <w:footnoteRef/>
      </w:r>
      <w:r>
        <w:t xml:space="preserve"> </w:t>
      </w:r>
      <w:r w:rsidR="002F345B">
        <w:rPr>
          <w:lang w:val="en-GB"/>
        </w:rPr>
        <w:tab/>
      </w:r>
      <w:r w:rsidR="002F345B">
        <w:rPr>
          <w:b/>
          <w:bCs/>
          <w:lang w:val="en-GB"/>
        </w:rPr>
        <w:t>J</w:t>
      </w:r>
      <w:r w:rsidR="00627F57">
        <w:rPr>
          <w:b/>
          <w:bCs/>
          <w:lang w:val="en-GB"/>
        </w:rPr>
        <w:t>u</w:t>
      </w:r>
      <w:r w:rsidR="002F345B">
        <w:rPr>
          <w:b/>
          <w:bCs/>
          <w:lang w:val="en-GB"/>
        </w:rPr>
        <w:t>nm</w:t>
      </w:r>
      <w:r w:rsidR="0065040F">
        <w:rPr>
          <w:b/>
          <w:bCs/>
          <w:lang w:val="en-GB"/>
        </w:rPr>
        <w:t>a</w:t>
      </w:r>
      <w:r w:rsidR="002849B9">
        <w:rPr>
          <w:b/>
          <w:bCs/>
          <w:lang w:val="en-GB"/>
        </w:rPr>
        <w:t>o</w:t>
      </w:r>
      <w:r w:rsidR="000D3663">
        <w:rPr>
          <w:lang w:val="en-GB"/>
        </w:rPr>
        <w:t xml:space="preserve"> </w:t>
      </w:r>
      <w:r w:rsidR="000D3663">
        <w:rPr>
          <w:i/>
          <w:iCs/>
          <w:lang w:val="en-GB"/>
        </w:rPr>
        <w:t>supra.</w:t>
      </w:r>
    </w:p>
  </w:footnote>
  <w:footnote w:id="16">
    <w:p w14:paraId="1D16B57E" w14:textId="63A679DD" w:rsidR="007B4B1E" w:rsidRPr="007B4B1E" w:rsidRDefault="007B4B1E" w:rsidP="007B4B1E">
      <w:pPr>
        <w:pStyle w:val="FootnoteText"/>
        <w:ind w:left="284" w:hanging="284"/>
        <w:rPr>
          <w:lang w:val="en-GB"/>
        </w:rPr>
      </w:pPr>
      <w:r>
        <w:rPr>
          <w:rStyle w:val="FootnoteReference"/>
        </w:rPr>
        <w:footnoteRef/>
      </w:r>
      <w:r>
        <w:t xml:space="preserve"> </w:t>
      </w:r>
      <w:r w:rsidRPr="003443C1">
        <w:rPr>
          <w:i/>
          <w:iCs/>
          <w:lang w:val="en-GB"/>
        </w:rPr>
        <w:tab/>
      </w:r>
      <w:r w:rsidR="008E1D8D" w:rsidRPr="003443C1">
        <w:rPr>
          <w:i/>
          <w:iCs/>
          <w:lang w:val="en-GB"/>
        </w:rPr>
        <w:t>Review of the South African Industry and its Regulation,</w:t>
      </w:r>
      <w:r w:rsidR="008E1D8D">
        <w:rPr>
          <w:lang w:val="en-GB"/>
        </w:rPr>
        <w:t xml:space="preserve"> a report prepared by the Gambling Review Commission, September 2010.  </w:t>
      </w:r>
    </w:p>
  </w:footnote>
  <w:footnote w:id="17">
    <w:p w14:paraId="6D78CE35" w14:textId="60329794" w:rsidR="002B6885" w:rsidRPr="002B6885" w:rsidRDefault="002B6885" w:rsidP="002B6885">
      <w:pPr>
        <w:pStyle w:val="FootnoteText"/>
        <w:ind w:left="284" w:hanging="284"/>
        <w:rPr>
          <w:lang w:val="en-GB"/>
        </w:rPr>
      </w:pPr>
      <w:r>
        <w:rPr>
          <w:rStyle w:val="FootnoteReference"/>
        </w:rPr>
        <w:footnoteRef/>
      </w:r>
      <w:r>
        <w:t xml:space="preserve"> </w:t>
      </w:r>
      <w:r>
        <w:rPr>
          <w:lang w:val="en-GB"/>
        </w:rPr>
        <w:tab/>
      </w:r>
      <w:r>
        <w:rPr>
          <w:b/>
          <w:bCs/>
          <w:lang w:val="en-GB"/>
        </w:rPr>
        <w:t>Merrill v Trump Indiana Inc.</w:t>
      </w:r>
      <w:r>
        <w:rPr>
          <w:lang w:val="en-GB"/>
        </w:rPr>
        <w:t xml:space="preserve"> 320 F</w:t>
      </w:r>
      <w:r w:rsidR="00D1202B">
        <w:rPr>
          <w:lang w:val="en-GB"/>
        </w:rPr>
        <w:t>.3d</w:t>
      </w:r>
      <w:r w:rsidR="00305888">
        <w:rPr>
          <w:lang w:val="en-GB"/>
        </w:rPr>
        <w:t xml:space="preserve"> 729; 2003 US</w:t>
      </w:r>
      <w:r w:rsidR="00182043">
        <w:rPr>
          <w:lang w:val="en-GB"/>
        </w:rPr>
        <w:t xml:space="preserve"> App Lexis </w:t>
      </w:r>
      <w:r w:rsidR="009100EE">
        <w:rPr>
          <w:lang w:val="en-GB"/>
        </w:rPr>
        <w:t xml:space="preserve">3507; </w:t>
      </w:r>
      <w:r w:rsidR="00F26EDC">
        <w:rPr>
          <w:lang w:val="en-GB"/>
        </w:rPr>
        <w:t>7 Gaming Law Review 305</w:t>
      </w:r>
      <w:r w:rsidR="00345F75">
        <w:rPr>
          <w:lang w:val="en-GB"/>
        </w:rPr>
        <w:t>.</w:t>
      </w:r>
    </w:p>
  </w:footnote>
  <w:footnote w:id="18">
    <w:p w14:paraId="57C54AB4" w14:textId="4BEC5577" w:rsidR="00C6257B" w:rsidRPr="00C6257B" w:rsidRDefault="00C6257B" w:rsidP="00C6257B">
      <w:pPr>
        <w:pStyle w:val="FootnoteText"/>
        <w:ind w:left="284" w:hanging="284"/>
        <w:rPr>
          <w:lang w:val="en-GB"/>
        </w:rPr>
      </w:pPr>
      <w:r>
        <w:rPr>
          <w:rStyle w:val="FootnoteReference"/>
        </w:rPr>
        <w:footnoteRef/>
      </w:r>
      <w:r>
        <w:t xml:space="preserve"> </w:t>
      </w:r>
      <w:r>
        <w:rPr>
          <w:lang w:val="en-GB"/>
        </w:rPr>
        <w:tab/>
      </w:r>
      <w:r>
        <w:rPr>
          <w:b/>
          <w:bCs/>
          <w:lang w:val="en-GB"/>
        </w:rPr>
        <w:t xml:space="preserve">Reynolds v Katoomba </w:t>
      </w:r>
      <w:r w:rsidRPr="00C6257B">
        <w:rPr>
          <w:b/>
          <w:bCs/>
          <w:lang w:val="en-GB"/>
        </w:rPr>
        <w:t>RSL All Services Club Ltd</w:t>
      </w:r>
      <w:r>
        <w:rPr>
          <w:lang w:val="en-GB"/>
        </w:rPr>
        <w:t xml:space="preserve"> [2001] NSWCA 234. </w:t>
      </w:r>
    </w:p>
  </w:footnote>
  <w:footnote w:id="19">
    <w:p w14:paraId="28BDC16A" w14:textId="653C38B0" w:rsidR="000E3545" w:rsidRPr="000E3545" w:rsidRDefault="000E3545" w:rsidP="000E3545">
      <w:pPr>
        <w:pStyle w:val="FootnoteText"/>
        <w:ind w:left="284" w:hanging="284"/>
        <w:rPr>
          <w:lang w:val="en-GB"/>
        </w:rPr>
      </w:pPr>
      <w:r>
        <w:rPr>
          <w:rStyle w:val="FootnoteReference"/>
        </w:rPr>
        <w:footnoteRef/>
      </w:r>
      <w:r>
        <w:t xml:space="preserve"> </w:t>
      </w:r>
      <w:r>
        <w:rPr>
          <w:lang w:val="en-GB"/>
        </w:rPr>
        <w:tab/>
      </w:r>
      <w:r>
        <w:rPr>
          <w:b/>
          <w:bCs/>
          <w:lang w:val="en-GB"/>
        </w:rPr>
        <w:t>Reeves v Commissioner of Police of the Metropolis</w:t>
      </w:r>
      <w:r>
        <w:rPr>
          <w:lang w:val="en-GB"/>
        </w:rPr>
        <w:t xml:space="preserve"> [2001] 1 AC 360 at 368C-D.</w:t>
      </w:r>
    </w:p>
  </w:footnote>
  <w:footnote w:id="20">
    <w:p w14:paraId="415A23DF" w14:textId="024C7C45" w:rsidR="00D51395" w:rsidRPr="00D51395" w:rsidRDefault="00D51395" w:rsidP="00D51395">
      <w:pPr>
        <w:pStyle w:val="FootnoteText"/>
        <w:ind w:left="284" w:hanging="284"/>
        <w:rPr>
          <w:lang w:val="en-GB"/>
        </w:rPr>
      </w:pPr>
      <w:r>
        <w:rPr>
          <w:rStyle w:val="FootnoteReference"/>
        </w:rPr>
        <w:footnoteRef/>
      </w:r>
      <w:r>
        <w:t xml:space="preserve"> </w:t>
      </w:r>
      <w:r>
        <w:rPr>
          <w:lang w:val="en-GB"/>
        </w:rPr>
        <w:tab/>
      </w:r>
      <w:r w:rsidR="00884C45" w:rsidRPr="00C7728C">
        <w:rPr>
          <w:b/>
          <w:bCs/>
          <w:lang w:val="en-GB"/>
        </w:rPr>
        <w:t>Paton Estate v Ontario Lottery and Gaming Corporation (Fallsview Casino Resort and OLG Casino Brantford</w:t>
      </w:r>
      <w:r w:rsidR="00216DEE">
        <w:rPr>
          <w:lang w:val="en-GB"/>
        </w:rPr>
        <w:t>) 2016 ONC</w:t>
      </w:r>
      <w:r w:rsidR="00C71FF2">
        <w:rPr>
          <w:lang w:val="en-GB"/>
        </w:rPr>
        <w:t>A 45</w:t>
      </w:r>
      <w:r w:rsidR="007A0592">
        <w:rPr>
          <w:lang w:val="en-GB"/>
        </w:rPr>
        <w:t xml:space="preserve">8 </w:t>
      </w:r>
      <w:r w:rsidR="00FD6DB8">
        <w:rPr>
          <w:lang w:val="en-GB"/>
        </w:rPr>
        <w:t>[Paton Estate C]</w:t>
      </w:r>
      <w:r w:rsidR="0083173F">
        <w:rPr>
          <w:lang w:val="en-GB"/>
        </w:rPr>
        <w:t xml:space="preserve">, </w:t>
      </w:r>
      <w:r w:rsidR="003E1A02">
        <w:rPr>
          <w:lang w:val="en-GB"/>
        </w:rPr>
        <w:t>R</w:t>
      </w:r>
      <w:r w:rsidR="00C7728C">
        <w:rPr>
          <w:lang w:val="en-GB"/>
        </w:rPr>
        <w:t>ev’g 2015 ONSC 3130 [Paton Estate SC].</w:t>
      </w:r>
    </w:p>
  </w:footnote>
  <w:footnote w:id="21">
    <w:p w14:paraId="521B6CD8" w14:textId="594AE806" w:rsidR="004409F8" w:rsidRPr="004409F8" w:rsidRDefault="004409F8" w:rsidP="004409F8">
      <w:pPr>
        <w:pStyle w:val="FootnoteText"/>
        <w:ind w:left="284" w:hanging="284"/>
        <w:rPr>
          <w:lang w:val="en-GB"/>
        </w:rPr>
      </w:pPr>
      <w:r>
        <w:rPr>
          <w:rStyle w:val="FootnoteReference"/>
        </w:rPr>
        <w:footnoteRef/>
      </w:r>
      <w:r>
        <w:t xml:space="preserve"> </w:t>
      </w:r>
      <w:r>
        <w:tab/>
      </w:r>
      <w:r w:rsidRPr="004409F8">
        <w:rPr>
          <w:b/>
          <w:bCs/>
        </w:rPr>
        <w:t>Calvert v William Hill Credit Limited</w:t>
      </w:r>
      <w:r>
        <w:t xml:space="preserve"> </w:t>
      </w:r>
      <w:r w:rsidR="00D21230">
        <w:t>[2005] NSWSC</w:t>
      </w:r>
      <w:r w:rsidR="000B0942">
        <w:t xml:space="preserve"> 1223</w:t>
      </w:r>
      <w:r w:rsidR="00C930A8">
        <w:t>.</w:t>
      </w:r>
    </w:p>
  </w:footnote>
  <w:footnote w:id="22">
    <w:p w14:paraId="4484444E" w14:textId="07B67676" w:rsidR="00C01BF5" w:rsidRPr="00C01BF5" w:rsidRDefault="00C01BF5" w:rsidP="00C01BF5">
      <w:pPr>
        <w:pStyle w:val="FootnoteText"/>
        <w:ind w:left="284" w:hanging="284"/>
        <w:rPr>
          <w:lang w:val="en-GB"/>
        </w:rPr>
      </w:pPr>
      <w:r>
        <w:rPr>
          <w:rStyle w:val="FootnoteReference"/>
        </w:rPr>
        <w:footnoteRef/>
      </w:r>
      <w:r>
        <w:t xml:space="preserve"> </w:t>
      </w:r>
      <w:r>
        <w:rPr>
          <w:lang w:val="en-GB"/>
        </w:rPr>
        <w:tab/>
      </w:r>
      <w:r w:rsidRPr="00F83B7C">
        <w:rPr>
          <w:b/>
          <w:lang w:val="en-GB"/>
        </w:rPr>
        <w:t>Dennis v Ontario Lottery and Gaming Corporation</w:t>
      </w:r>
      <w:r w:rsidR="00FE61FC">
        <w:rPr>
          <w:lang w:val="en-GB"/>
        </w:rPr>
        <w:t xml:space="preserve"> 2013 ONCA 501</w:t>
      </w:r>
      <w:r w:rsidR="005A5C5D">
        <w:rPr>
          <w:lang w:val="en-GB"/>
        </w:rPr>
        <w:t>. Aff’g 2011 ONSC 7024 (Div Ct)</w:t>
      </w:r>
      <w:r w:rsidR="0057272C">
        <w:rPr>
          <w:lang w:val="en-GB"/>
        </w:rPr>
        <w:t>, Aff’g 2010 ONSC 1332.</w:t>
      </w:r>
    </w:p>
  </w:footnote>
  <w:footnote w:id="23">
    <w:p w14:paraId="5F5901A4" w14:textId="202A1888" w:rsidR="00BC6DF7" w:rsidRPr="00BC6DF7" w:rsidRDefault="00BC6DF7" w:rsidP="00D2761D">
      <w:pPr>
        <w:pStyle w:val="FootnoteText"/>
        <w:ind w:left="284" w:hanging="284"/>
        <w:rPr>
          <w:lang w:val="en-GB"/>
        </w:rPr>
      </w:pPr>
      <w:r>
        <w:rPr>
          <w:rStyle w:val="FootnoteReference"/>
        </w:rPr>
        <w:footnoteRef/>
      </w:r>
      <w:r>
        <w:t xml:space="preserve"> </w:t>
      </w:r>
      <w:r>
        <w:rPr>
          <w:lang w:val="en-GB"/>
        </w:rPr>
        <w:tab/>
      </w:r>
      <w:r>
        <w:rPr>
          <w:b/>
          <w:bCs/>
          <w:lang w:val="en-GB"/>
        </w:rPr>
        <w:t>Dennis (</w:t>
      </w:r>
      <w:r w:rsidR="00F83B7C">
        <w:rPr>
          <w:b/>
          <w:bCs/>
          <w:lang w:val="en-GB"/>
        </w:rPr>
        <w:t>Appeal Court</w:t>
      </w:r>
      <w:r>
        <w:rPr>
          <w:b/>
          <w:bCs/>
          <w:lang w:val="en-GB"/>
        </w:rPr>
        <w:t>)</w:t>
      </w:r>
      <w:r>
        <w:rPr>
          <w:lang w:val="en-GB"/>
        </w:rPr>
        <w:t xml:space="preserve"> at para </w:t>
      </w:r>
      <w:r w:rsidR="00F83B7C">
        <w:rPr>
          <w:lang w:val="en-GB"/>
        </w:rPr>
        <w:t>73.</w:t>
      </w:r>
    </w:p>
  </w:footnote>
  <w:footnote w:id="24">
    <w:p w14:paraId="1876356D" w14:textId="74F394C3" w:rsidR="006D6EAE" w:rsidRPr="002F2EE5" w:rsidRDefault="006D6EAE" w:rsidP="00D2761D">
      <w:pPr>
        <w:pStyle w:val="FootnoteText"/>
        <w:ind w:left="284" w:hanging="284"/>
        <w:rPr>
          <w:lang w:val="en-GB"/>
        </w:rPr>
      </w:pPr>
      <w:r>
        <w:rPr>
          <w:rStyle w:val="FootnoteReference"/>
        </w:rPr>
        <w:footnoteRef/>
      </w:r>
      <w:r>
        <w:t xml:space="preserve"> </w:t>
      </w:r>
      <w:r>
        <w:rPr>
          <w:lang w:val="en-GB"/>
        </w:rPr>
        <w:tab/>
      </w:r>
      <w:r>
        <w:rPr>
          <w:b/>
          <w:bCs/>
          <w:lang w:val="en-GB"/>
        </w:rPr>
        <w:t>Dennis</w:t>
      </w:r>
      <w:r w:rsidR="002F2EE5">
        <w:rPr>
          <w:b/>
          <w:bCs/>
          <w:lang w:val="en-GB"/>
        </w:rPr>
        <w:t xml:space="preserve"> (Court of Appeal</w:t>
      </w:r>
      <w:r w:rsidR="002F2EE5">
        <w:rPr>
          <w:lang w:val="en-GB"/>
        </w:rPr>
        <w:t xml:space="preserve"> at para 73.</w:t>
      </w:r>
    </w:p>
  </w:footnote>
  <w:footnote w:id="25">
    <w:p w14:paraId="41538C2B" w14:textId="18CE732B" w:rsidR="002F2EE5" w:rsidRPr="002F2EE5" w:rsidRDefault="002F2EE5" w:rsidP="002F2EE5">
      <w:pPr>
        <w:pStyle w:val="FootnoteText"/>
        <w:ind w:left="284" w:hanging="284"/>
        <w:rPr>
          <w:lang w:val="en-GB"/>
        </w:rPr>
      </w:pPr>
      <w:r>
        <w:rPr>
          <w:rStyle w:val="FootnoteReference"/>
        </w:rPr>
        <w:footnoteRef/>
      </w:r>
      <w:r>
        <w:t xml:space="preserve"> </w:t>
      </w:r>
      <w:r w:rsidRPr="002F2EE5">
        <w:rPr>
          <w:b/>
          <w:bCs/>
        </w:rPr>
        <w:tab/>
        <w:t>Ross v British Columbia Lottery Corporation</w:t>
      </w:r>
      <w:r>
        <w:t xml:space="preserve"> 2014 BCSC 320.</w:t>
      </w:r>
    </w:p>
  </w:footnote>
  <w:footnote w:id="26">
    <w:p w14:paraId="45488FD7" w14:textId="46E39CC6" w:rsidR="00B274CF" w:rsidRPr="00B274CF" w:rsidRDefault="00B274CF" w:rsidP="00B274CF">
      <w:pPr>
        <w:pStyle w:val="FootnoteText"/>
        <w:ind w:left="284" w:hanging="284"/>
        <w:rPr>
          <w:lang w:val="en-GB"/>
        </w:rPr>
      </w:pPr>
      <w:r>
        <w:rPr>
          <w:rStyle w:val="FootnoteReference"/>
        </w:rPr>
        <w:footnoteRef/>
      </w:r>
      <w:r>
        <w:t xml:space="preserve"> </w:t>
      </w:r>
      <w:r>
        <w:rPr>
          <w:lang w:val="en-GB"/>
        </w:rPr>
        <w:tab/>
      </w:r>
      <w:r w:rsidRPr="00B274CF">
        <w:rPr>
          <w:b/>
          <w:bCs/>
          <w:lang w:val="en-GB"/>
        </w:rPr>
        <w:t>Burrell v Metropolitan Entertainment Group</w:t>
      </w:r>
      <w:r>
        <w:rPr>
          <w:lang w:val="en-GB"/>
        </w:rPr>
        <w:t xml:space="preserve"> 2011 NSCA 108.</w:t>
      </w:r>
    </w:p>
  </w:footnote>
  <w:footnote w:id="27">
    <w:p w14:paraId="75E732C2" w14:textId="098A7638" w:rsidR="002A654F" w:rsidRPr="002A654F" w:rsidRDefault="002A654F" w:rsidP="002A654F">
      <w:pPr>
        <w:pStyle w:val="FootnoteText"/>
        <w:ind w:left="284" w:hanging="284"/>
        <w:rPr>
          <w:lang w:val="en-GB"/>
        </w:rPr>
      </w:pPr>
      <w:r>
        <w:rPr>
          <w:rStyle w:val="FootnoteReference"/>
        </w:rPr>
        <w:footnoteRef/>
      </w:r>
      <w:r>
        <w:t xml:space="preserve"> </w:t>
      </w:r>
      <w:r>
        <w:rPr>
          <w:lang w:val="en-GB"/>
        </w:rPr>
        <w:tab/>
        <w:t>In [</w:t>
      </w:r>
      <w:r w:rsidR="008A0E64">
        <w:rPr>
          <w:lang w:val="en-GB"/>
        </w:rPr>
        <w:t>43].</w:t>
      </w:r>
    </w:p>
  </w:footnote>
  <w:footnote w:id="28">
    <w:p w14:paraId="1CEA5BD7" w14:textId="5D7A243C" w:rsidR="009044E4" w:rsidRPr="002A654F" w:rsidRDefault="009044E4" w:rsidP="009044E4">
      <w:pPr>
        <w:pStyle w:val="FootnoteText"/>
        <w:ind w:left="284" w:hanging="284"/>
        <w:rPr>
          <w:lang w:val="en-GB"/>
        </w:rPr>
      </w:pPr>
      <w:r>
        <w:rPr>
          <w:rStyle w:val="FootnoteReference"/>
        </w:rPr>
        <w:footnoteRef/>
      </w:r>
      <w:r>
        <w:t xml:space="preserve"> </w:t>
      </w:r>
      <w:r>
        <w:rPr>
          <w:lang w:val="en-GB"/>
        </w:rPr>
        <w:tab/>
        <w:t xml:space="preserve">Sinclair v New Zealand Racing Board </w:t>
      </w:r>
      <w:r w:rsidR="00AC1373">
        <w:rPr>
          <w:lang w:val="en-GB"/>
        </w:rPr>
        <w:t>[2015] NZHC 2067</w:t>
      </w:r>
      <w:r>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7330000"/>
      <w:docPartObj>
        <w:docPartGallery w:val="Page Numbers (Top of Page)"/>
        <w:docPartUnique/>
      </w:docPartObj>
    </w:sdtPr>
    <w:sdtEndPr>
      <w:rPr>
        <w:noProof/>
      </w:rPr>
    </w:sdtEndPr>
    <w:sdtContent>
      <w:p w14:paraId="5182714B" w14:textId="5E555AAD" w:rsidR="00A46E1C" w:rsidRDefault="00A46E1C">
        <w:pPr>
          <w:pStyle w:val="Header"/>
          <w:jc w:val="center"/>
        </w:pPr>
        <w:r>
          <w:fldChar w:fldCharType="begin"/>
        </w:r>
        <w:r>
          <w:instrText xml:space="preserve"> PAGE   \* MERGEFORMAT </w:instrText>
        </w:r>
        <w:r>
          <w:fldChar w:fldCharType="separate"/>
        </w:r>
        <w:r w:rsidR="008417E9">
          <w:rPr>
            <w:noProof/>
          </w:rPr>
          <w:t>20</w:t>
        </w:r>
        <w:r>
          <w:rPr>
            <w:noProof/>
          </w:rPr>
          <w:fldChar w:fldCharType="end"/>
        </w:r>
      </w:p>
    </w:sdtContent>
  </w:sdt>
  <w:p w14:paraId="71AF23D4" w14:textId="77777777" w:rsidR="00453AE9" w:rsidRDefault="00453A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83405"/>
    <w:multiLevelType w:val="multilevel"/>
    <w:tmpl w:val="1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0E43DA9"/>
    <w:multiLevelType w:val="hybridMultilevel"/>
    <w:tmpl w:val="949EF7BC"/>
    <w:lvl w:ilvl="0" w:tplc="21087A4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1406694"/>
    <w:multiLevelType w:val="multilevel"/>
    <w:tmpl w:val="A5FC355E"/>
    <w:lvl w:ilvl="0">
      <w:start w:val="1"/>
      <w:numFmt w:val="decimal"/>
      <w:lvlText w:val="[%1]"/>
      <w:lvlJc w:val="left"/>
      <w:pPr>
        <w:tabs>
          <w:tab w:val="num" w:pos="851"/>
        </w:tabs>
        <w:ind w:left="851" w:hanging="851"/>
      </w:pPr>
      <w:rPr>
        <w:rFonts w:hint="default"/>
        <w:b w:val="0"/>
        <w:bCs w:val="0"/>
      </w:rPr>
    </w:lvl>
    <w:lvl w:ilvl="1">
      <w:start w:val="1"/>
      <w:numFmt w:val="lowerLetter"/>
      <w:lvlText w:val="%2)"/>
      <w:lvlJc w:val="left"/>
      <w:pPr>
        <w:tabs>
          <w:tab w:val="num" w:pos="1418"/>
        </w:tabs>
        <w:ind w:left="1418" w:hanging="567"/>
      </w:pPr>
      <w:rPr>
        <w:rFonts w:hint="default"/>
      </w:rPr>
    </w:lvl>
    <w:lvl w:ilvl="2">
      <w:start w:val="1"/>
      <w:numFmt w:val="lowerRoman"/>
      <w:lvlText w:val="%3)"/>
      <w:lvlJc w:val="left"/>
      <w:pPr>
        <w:tabs>
          <w:tab w:val="num" w:pos="1985"/>
        </w:tabs>
        <w:ind w:left="1985"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C161FBC"/>
    <w:multiLevelType w:val="multilevel"/>
    <w:tmpl w:val="E13418B6"/>
    <w:lvl w:ilvl="0">
      <w:start w:val="1"/>
      <w:numFmt w:val="decimal"/>
      <w:lvlText w:val="%1."/>
      <w:lvlJc w:val="left"/>
      <w:pPr>
        <w:tabs>
          <w:tab w:val="num" w:pos="851"/>
        </w:tabs>
        <w:ind w:left="851" w:hanging="851"/>
      </w:pPr>
      <w:rPr>
        <w:rFonts w:ascii="Calibri" w:hAnsi="Calibri" w:hint="default"/>
        <w:b w:val="0"/>
        <w:i w:val="0"/>
        <w:sz w:val="26"/>
        <w:szCs w:val="26"/>
      </w:rPr>
    </w:lvl>
    <w:lvl w:ilvl="1">
      <w:start w:val="1"/>
      <w:numFmt w:val="decimal"/>
      <w:lvlText w:val="%1.%2."/>
      <w:lvlJc w:val="left"/>
      <w:pPr>
        <w:tabs>
          <w:tab w:val="num" w:pos="1701"/>
        </w:tabs>
        <w:ind w:left="1701" w:hanging="850"/>
      </w:pPr>
      <w:rPr>
        <w:rFonts w:hint="default"/>
        <w:b w:val="0"/>
        <w:i w:val="0"/>
      </w:rPr>
    </w:lvl>
    <w:lvl w:ilvl="2">
      <w:start w:val="1"/>
      <w:numFmt w:val="decimal"/>
      <w:lvlText w:val="%1.%2.%3."/>
      <w:lvlJc w:val="left"/>
      <w:pPr>
        <w:tabs>
          <w:tab w:val="num" w:pos="2835"/>
        </w:tabs>
        <w:ind w:left="2835" w:hanging="1134"/>
      </w:pPr>
      <w:rPr>
        <w:rFonts w:hint="default"/>
        <w:b w:val="0"/>
        <w:i w:val="0"/>
      </w:rPr>
    </w:lvl>
    <w:lvl w:ilvl="3">
      <w:start w:val="1"/>
      <w:numFmt w:val="decimal"/>
      <w:lvlText w:val="%1.%2.%3.%4."/>
      <w:lvlJc w:val="left"/>
      <w:pPr>
        <w:tabs>
          <w:tab w:val="num" w:pos="3969"/>
        </w:tabs>
        <w:ind w:left="3969" w:hanging="113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4FF9522F"/>
    <w:multiLevelType w:val="hybridMultilevel"/>
    <w:tmpl w:val="20AA9A68"/>
    <w:lvl w:ilvl="0" w:tplc="1C090011">
      <w:start w:val="1"/>
      <w:numFmt w:val="decimal"/>
      <w:lvlText w:val="%1)"/>
      <w:lvlJc w:val="left"/>
      <w:pPr>
        <w:ind w:left="2138" w:hanging="360"/>
      </w:pPr>
    </w:lvl>
    <w:lvl w:ilvl="1" w:tplc="1C090019" w:tentative="1">
      <w:start w:val="1"/>
      <w:numFmt w:val="lowerLetter"/>
      <w:lvlText w:val="%2."/>
      <w:lvlJc w:val="left"/>
      <w:pPr>
        <w:ind w:left="2858" w:hanging="360"/>
      </w:pPr>
    </w:lvl>
    <w:lvl w:ilvl="2" w:tplc="1C09001B" w:tentative="1">
      <w:start w:val="1"/>
      <w:numFmt w:val="lowerRoman"/>
      <w:lvlText w:val="%3."/>
      <w:lvlJc w:val="right"/>
      <w:pPr>
        <w:ind w:left="3578" w:hanging="180"/>
      </w:pPr>
    </w:lvl>
    <w:lvl w:ilvl="3" w:tplc="1C09000F" w:tentative="1">
      <w:start w:val="1"/>
      <w:numFmt w:val="decimal"/>
      <w:lvlText w:val="%4."/>
      <w:lvlJc w:val="left"/>
      <w:pPr>
        <w:ind w:left="4298" w:hanging="360"/>
      </w:pPr>
    </w:lvl>
    <w:lvl w:ilvl="4" w:tplc="1C090019" w:tentative="1">
      <w:start w:val="1"/>
      <w:numFmt w:val="lowerLetter"/>
      <w:lvlText w:val="%5."/>
      <w:lvlJc w:val="left"/>
      <w:pPr>
        <w:ind w:left="5018" w:hanging="360"/>
      </w:pPr>
    </w:lvl>
    <w:lvl w:ilvl="5" w:tplc="1C09001B" w:tentative="1">
      <w:start w:val="1"/>
      <w:numFmt w:val="lowerRoman"/>
      <w:lvlText w:val="%6."/>
      <w:lvlJc w:val="right"/>
      <w:pPr>
        <w:ind w:left="5738" w:hanging="180"/>
      </w:pPr>
    </w:lvl>
    <w:lvl w:ilvl="6" w:tplc="1C09000F" w:tentative="1">
      <w:start w:val="1"/>
      <w:numFmt w:val="decimal"/>
      <w:lvlText w:val="%7."/>
      <w:lvlJc w:val="left"/>
      <w:pPr>
        <w:ind w:left="6458" w:hanging="360"/>
      </w:pPr>
    </w:lvl>
    <w:lvl w:ilvl="7" w:tplc="1C090019" w:tentative="1">
      <w:start w:val="1"/>
      <w:numFmt w:val="lowerLetter"/>
      <w:lvlText w:val="%8."/>
      <w:lvlJc w:val="left"/>
      <w:pPr>
        <w:ind w:left="7178" w:hanging="360"/>
      </w:pPr>
    </w:lvl>
    <w:lvl w:ilvl="8" w:tplc="1C09001B" w:tentative="1">
      <w:start w:val="1"/>
      <w:numFmt w:val="lowerRoman"/>
      <w:lvlText w:val="%9."/>
      <w:lvlJc w:val="right"/>
      <w:pPr>
        <w:ind w:left="7898" w:hanging="180"/>
      </w:pPr>
    </w:lvl>
  </w:abstractNum>
  <w:abstractNum w:abstractNumId="5" w15:restartNumberingAfterBreak="0">
    <w:nsid w:val="63A20907"/>
    <w:multiLevelType w:val="multilevel"/>
    <w:tmpl w:val="FB3CF28A"/>
    <w:lvl w:ilvl="0">
      <w:start w:val="1"/>
      <w:numFmt w:val="decimal"/>
      <w:lvlText w:val="%1."/>
      <w:lvlJc w:val="left"/>
      <w:pPr>
        <w:tabs>
          <w:tab w:val="num" w:pos="851"/>
        </w:tabs>
        <w:ind w:left="851" w:hanging="851"/>
      </w:pPr>
      <w:rPr>
        <w:rFonts w:hint="default"/>
        <w:i w:val="0"/>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2835"/>
        </w:tabs>
        <w:ind w:left="2835"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97B59D9"/>
    <w:multiLevelType w:val="multilevel"/>
    <w:tmpl w:val="1C09001D"/>
    <w:numStyleLink w:val="Style1"/>
  </w:abstractNum>
  <w:num w:numId="1">
    <w:abstractNumId w:val="0"/>
  </w:num>
  <w:num w:numId="2">
    <w:abstractNumId w:val="6"/>
  </w:num>
  <w:num w:numId="3">
    <w:abstractNumId w:val="2"/>
  </w:num>
  <w:num w:numId="4">
    <w:abstractNumId w:val="1"/>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6B9372E-1718-4C6D-8396-DC9E938A3132}"/>
    <w:docVar w:name="dgnword-eventsink" w:val="2813865810880"/>
  </w:docVars>
  <w:rsids>
    <w:rsidRoot w:val="00D47BAD"/>
    <w:rsid w:val="0000013C"/>
    <w:rsid w:val="00004E48"/>
    <w:rsid w:val="0000536F"/>
    <w:rsid w:val="00006B5E"/>
    <w:rsid w:val="00010AD9"/>
    <w:rsid w:val="00011D8D"/>
    <w:rsid w:val="000135CC"/>
    <w:rsid w:val="00016CA4"/>
    <w:rsid w:val="000176C7"/>
    <w:rsid w:val="00020EFA"/>
    <w:rsid w:val="00021245"/>
    <w:rsid w:val="00021BD6"/>
    <w:rsid w:val="00021E58"/>
    <w:rsid w:val="00026681"/>
    <w:rsid w:val="00026BFB"/>
    <w:rsid w:val="000275C3"/>
    <w:rsid w:val="0003521D"/>
    <w:rsid w:val="00037824"/>
    <w:rsid w:val="00041D72"/>
    <w:rsid w:val="000420F3"/>
    <w:rsid w:val="0004215E"/>
    <w:rsid w:val="00042DEF"/>
    <w:rsid w:val="0004557E"/>
    <w:rsid w:val="000500B3"/>
    <w:rsid w:val="0005022C"/>
    <w:rsid w:val="000514F2"/>
    <w:rsid w:val="00052612"/>
    <w:rsid w:val="00053431"/>
    <w:rsid w:val="0005669E"/>
    <w:rsid w:val="00057801"/>
    <w:rsid w:val="0006235E"/>
    <w:rsid w:val="00062E99"/>
    <w:rsid w:val="0006445D"/>
    <w:rsid w:val="00065F7D"/>
    <w:rsid w:val="000667C1"/>
    <w:rsid w:val="000673D1"/>
    <w:rsid w:val="00070C84"/>
    <w:rsid w:val="00071714"/>
    <w:rsid w:val="00071C85"/>
    <w:rsid w:val="00071EF7"/>
    <w:rsid w:val="00072644"/>
    <w:rsid w:val="000739DA"/>
    <w:rsid w:val="00075969"/>
    <w:rsid w:val="0007650E"/>
    <w:rsid w:val="000803E9"/>
    <w:rsid w:val="0008596D"/>
    <w:rsid w:val="0008635B"/>
    <w:rsid w:val="000879A6"/>
    <w:rsid w:val="00087D41"/>
    <w:rsid w:val="000923DF"/>
    <w:rsid w:val="00094852"/>
    <w:rsid w:val="000949C6"/>
    <w:rsid w:val="0009520C"/>
    <w:rsid w:val="00095277"/>
    <w:rsid w:val="000956CA"/>
    <w:rsid w:val="00096324"/>
    <w:rsid w:val="000A17A8"/>
    <w:rsid w:val="000A7F0B"/>
    <w:rsid w:val="000A7F94"/>
    <w:rsid w:val="000B042E"/>
    <w:rsid w:val="000B0942"/>
    <w:rsid w:val="000B18AF"/>
    <w:rsid w:val="000B34BF"/>
    <w:rsid w:val="000B3C7D"/>
    <w:rsid w:val="000B47EF"/>
    <w:rsid w:val="000B48F5"/>
    <w:rsid w:val="000B5275"/>
    <w:rsid w:val="000B5463"/>
    <w:rsid w:val="000B5C43"/>
    <w:rsid w:val="000B68F5"/>
    <w:rsid w:val="000C02B3"/>
    <w:rsid w:val="000D028A"/>
    <w:rsid w:val="000D0DFE"/>
    <w:rsid w:val="000D26B7"/>
    <w:rsid w:val="000D2E66"/>
    <w:rsid w:val="000D32EC"/>
    <w:rsid w:val="000D3663"/>
    <w:rsid w:val="000D60B9"/>
    <w:rsid w:val="000D62C9"/>
    <w:rsid w:val="000D68E9"/>
    <w:rsid w:val="000D7481"/>
    <w:rsid w:val="000E3545"/>
    <w:rsid w:val="000E4A53"/>
    <w:rsid w:val="000E57AA"/>
    <w:rsid w:val="000E7263"/>
    <w:rsid w:val="000E7DEF"/>
    <w:rsid w:val="000F0CC4"/>
    <w:rsid w:val="000F30D5"/>
    <w:rsid w:val="000F3C4D"/>
    <w:rsid w:val="000F750F"/>
    <w:rsid w:val="000F7E69"/>
    <w:rsid w:val="00101048"/>
    <w:rsid w:val="00101A58"/>
    <w:rsid w:val="001044D0"/>
    <w:rsid w:val="00104519"/>
    <w:rsid w:val="00104937"/>
    <w:rsid w:val="00106586"/>
    <w:rsid w:val="00110692"/>
    <w:rsid w:val="00114174"/>
    <w:rsid w:val="001159B3"/>
    <w:rsid w:val="00115B42"/>
    <w:rsid w:val="00116C44"/>
    <w:rsid w:val="001178B7"/>
    <w:rsid w:val="001208F1"/>
    <w:rsid w:val="00122A1A"/>
    <w:rsid w:val="00123DCE"/>
    <w:rsid w:val="0013446C"/>
    <w:rsid w:val="00140245"/>
    <w:rsid w:val="001414AB"/>
    <w:rsid w:val="001424AE"/>
    <w:rsid w:val="00142E4F"/>
    <w:rsid w:val="001446EB"/>
    <w:rsid w:val="001463FF"/>
    <w:rsid w:val="001478DF"/>
    <w:rsid w:val="001503EF"/>
    <w:rsid w:val="001505E2"/>
    <w:rsid w:val="00152929"/>
    <w:rsid w:val="001551BD"/>
    <w:rsid w:val="0015621F"/>
    <w:rsid w:val="00156F19"/>
    <w:rsid w:val="0016019A"/>
    <w:rsid w:val="00160369"/>
    <w:rsid w:val="00162F64"/>
    <w:rsid w:val="001637B9"/>
    <w:rsid w:val="00164215"/>
    <w:rsid w:val="00165D2F"/>
    <w:rsid w:val="00165ECE"/>
    <w:rsid w:val="00165F99"/>
    <w:rsid w:val="001660A8"/>
    <w:rsid w:val="00170D2B"/>
    <w:rsid w:val="0017509C"/>
    <w:rsid w:val="00176D8E"/>
    <w:rsid w:val="00177507"/>
    <w:rsid w:val="00180395"/>
    <w:rsid w:val="00182043"/>
    <w:rsid w:val="001825C7"/>
    <w:rsid w:val="00183E64"/>
    <w:rsid w:val="001929F2"/>
    <w:rsid w:val="00192EC1"/>
    <w:rsid w:val="00193E86"/>
    <w:rsid w:val="001A1BE5"/>
    <w:rsid w:val="001A1EB4"/>
    <w:rsid w:val="001A23B7"/>
    <w:rsid w:val="001A2E10"/>
    <w:rsid w:val="001A2F75"/>
    <w:rsid w:val="001A4CFB"/>
    <w:rsid w:val="001B1EDE"/>
    <w:rsid w:val="001B50AB"/>
    <w:rsid w:val="001B7731"/>
    <w:rsid w:val="001C1CF8"/>
    <w:rsid w:val="001C1F69"/>
    <w:rsid w:val="001C21FA"/>
    <w:rsid w:val="001C46BB"/>
    <w:rsid w:val="001C7E4D"/>
    <w:rsid w:val="001D25D6"/>
    <w:rsid w:val="001D4791"/>
    <w:rsid w:val="001D64E4"/>
    <w:rsid w:val="001E1BFA"/>
    <w:rsid w:val="001E320E"/>
    <w:rsid w:val="001E3321"/>
    <w:rsid w:val="001E7990"/>
    <w:rsid w:val="001F1666"/>
    <w:rsid w:val="001F225D"/>
    <w:rsid w:val="00202490"/>
    <w:rsid w:val="00202C45"/>
    <w:rsid w:val="0020408A"/>
    <w:rsid w:val="0020429D"/>
    <w:rsid w:val="00207637"/>
    <w:rsid w:val="00211542"/>
    <w:rsid w:val="00211D80"/>
    <w:rsid w:val="002129F9"/>
    <w:rsid w:val="002146DE"/>
    <w:rsid w:val="00214FC5"/>
    <w:rsid w:val="002156FF"/>
    <w:rsid w:val="00216DEE"/>
    <w:rsid w:val="00217430"/>
    <w:rsid w:val="00222F3E"/>
    <w:rsid w:val="0022421F"/>
    <w:rsid w:val="00224D7C"/>
    <w:rsid w:val="00226261"/>
    <w:rsid w:val="002271F7"/>
    <w:rsid w:val="002301EC"/>
    <w:rsid w:val="002336AD"/>
    <w:rsid w:val="00235CC8"/>
    <w:rsid w:val="00237419"/>
    <w:rsid w:val="00237722"/>
    <w:rsid w:val="002404AF"/>
    <w:rsid w:val="00240CE3"/>
    <w:rsid w:val="00240ECE"/>
    <w:rsid w:val="0024222C"/>
    <w:rsid w:val="00244A86"/>
    <w:rsid w:val="00246371"/>
    <w:rsid w:val="00254CD0"/>
    <w:rsid w:val="002555D8"/>
    <w:rsid w:val="00257FA1"/>
    <w:rsid w:val="002601CC"/>
    <w:rsid w:val="00260B4E"/>
    <w:rsid w:val="002653D6"/>
    <w:rsid w:val="00266331"/>
    <w:rsid w:val="002665D8"/>
    <w:rsid w:val="0027015E"/>
    <w:rsid w:val="00270F11"/>
    <w:rsid w:val="00271400"/>
    <w:rsid w:val="00271A7F"/>
    <w:rsid w:val="00271C78"/>
    <w:rsid w:val="00272428"/>
    <w:rsid w:val="00273B33"/>
    <w:rsid w:val="00273BDE"/>
    <w:rsid w:val="0027728F"/>
    <w:rsid w:val="002849B9"/>
    <w:rsid w:val="002859F7"/>
    <w:rsid w:val="00285DA0"/>
    <w:rsid w:val="002863D5"/>
    <w:rsid w:val="002927D7"/>
    <w:rsid w:val="002931F7"/>
    <w:rsid w:val="00293872"/>
    <w:rsid w:val="00296427"/>
    <w:rsid w:val="002979D9"/>
    <w:rsid w:val="002A0E06"/>
    <w:rsid w:val="002A1BEF"/>
    <w:rsid w:val="002A297A"/>
    <w:rsid w:val="002A2A5F"/>
    <w:rsid w:val="002A2C75"/>
    <w:rsid w:val="002A308D"/>
    <w:rsid w:val="002A354C"/>
    <w:rsid w:val="002A5595"/>
    <w:rsid w:val="002A654E"/>
    <w:rsid w:val="002A654F"/>
    <w:rsid w:val="002A79BA"/>
    <w:rsid w:val="002B091F"/>
    <w:rsid w:val="002B1147"/>
    <w:rsid w:val="002B2CE4"/>
    <w:rsid w:val="002B34D1"/>
    <w:rsid w:val="002B59D7"/>
    <w:rsid w:val="002B6885"/>
    <w:rsid w:val="002C0AAE"/>
    <w:rsid w:val="002C3A0A"/>
    <w:rsid w:val="002C47AF"/>
    <w:rsid w:val="002D1C9B"/>
    <w:rsid w:val="002D1F0E"/>
    <w:rsid w:val="002D3E63"/>
    <w:rsid w:val="002D585E"/>
    <w:rsid w:val="002D7248"/>
    <w:rsid w:val="002D7631"/>
    <w:rsid w:val="002E2F7A"/>
    <w:rsid w:val="002E3464"/>
    <w:rsid w:val="002E5123"/>
    <w:rsid w:val="002F10B2"/>
    <w:rsid w:val="002F2EE5"/>
    <w:rsid w:val="002F345B"/>
    <w:rsid w:val="002F3615"/>
    <w:rsid w:val="002F56E3"/>
    <w:rsid w:val="002F57A2"/>
    <w:rsid w:val="002F7132"/>
    <w:rsid w:val="003029C3"/>
    <w:rsid w:val="00302E3F"/>
    <w:rsid w:val="003033C5"/>
    <w:rsid w:val="00305357"/>
    <w:rsid w:val="00305888"/>
    <w:rsid w:val="003062B2"/>
    <w:rsid w:val="00307EE5"/>
    <w:rsid w:val="00310862"/>
    <w:rsid w:val="003108A8"/>
    <w:rsid w:val="00310910"/>
    <w:rsid w:val="00311363"/>
    <w:rsid w:val="0031154F"/>
    <w:rsid w:val="00311EF5"/>
    <w:rsid w:val="00317680"/>
    <w:rsid w:val="003223A5"/>
    <w:rsid w:val="003224F0"/>
    <w:rsid w:val="003240B1"/>
    <w:rsid w:val="00331200"/>
    <w:rsid w:val="003320A4"/>
    <w:rsid w:val="003357EC"/>
    <w:rsid w:val="003443C1"/>
    <w:rsid w:val="003449AE"/>
    <w:rsid w:val="00345501"/>
    <w:rsid w:val="00345A86"/>
    <w:rsid w:val="00345F75"/>
    <w:rsid w:val="00346245"/>
    <w:rsid w:val="00351ADB"/>
    <w:rsid w:val="00352AF2"/>
    <w:rsid w:val="00353E58"/>
    <w:rsid w:val="003552DA"/>
    <w:rsid w:val="00356A0D"/>
    <w:rsid w:val="003606B5"/>
    <w:rsid w:val="0036166E"/>
    <w:rsid w:val="00366EC9"/>
    <w:rsid w:val="00371A20"/>
    <w:rsid w:val="00373282"/>
    <w:rsid w:val="003734F9"/>
    <w:rsid w:val="0037678A"/>
    <w:rsid w:val="003800C4"/>
    <w:rsid w:val="0038040B"/>
    <w:rsid w:val="00380FC3"/>
    <w:rsid w:val="00382DB4"/>
    <w:rsid w:val="003843EA"/>
    <w:rsid w:val="00387303"/>
    <w:rsid w:val="00387C72"/>
    <w:rsid w:val="003907DC"/>
    <w:rsid w:val="00392C73"/>
    <w:rsid w:val="00393DD0"/>
    <w:rsid w:val="00394064"/>
    <w:rsid w:val="003943A1"/>
    <w:rsid w:val="003A06BA"/>
    <w:rsid w:val="003A118B"/>
    <w:rsid w:val="003A14B4"/>
    <w:rsid w:val="003A2CA4"/>
    <w:rsid w:val="003A406B"/>
    <w:rsid w:val="003A564E"/>
    <w:rsid w:val="003A5FCF"/>
    <w:rsid w:val="003A7106"/>
    <w:rsid w:val="003A7709"/>
    <w:rsid w:val="003A78A0"/>
    <w:rsid w:val="003B4391"/>
    <w:rsid w:val="003B64EC"/>
    <w:rsid w:val="003B7D3D"/>
    <w:rsid w:val="003C1F2E"/>
    <w:rsid w:val="003C219F"/>
    <w:rsid w:val="003C5A3E"/>
    <w:rsid w:val="003C68B5"/>
    <w:rsid w:val="003D1F16"/>
    <w:rsid w:val="003D3C18"/>
    <w:rsid w:val="003E04C8"/>
    <w:rsid w:val="003E1A02"/>
    <w:rsid w:val="003E2852"/>
    <w:rsid w:val="003E671F"/>
    <w:rsid w:val="003E6908"/>
    <w:rsid w:val="003E7A32"/>
    <w:rsid w:val="003F10BA"/>
    <w:rsid w:val="003F144E"/>
    <w:rsid w:val="003F2E3B"/>
    <w:rsid w:val="003F5BC3"/>
    <w:rsid w:val="00401ED3"/>
    <w:rsid w:val="00403407"/>
    <w:rsid w:val="00403ECB"/>
    <w:rsid w:val="00405169"/>
    <w:rsid w:val="00407586"/>
    <w:rsid w:val="004123ED"/>
    <w:rsid w:val="00414144"/>
    <w:rsid w:val="0041619B"/>
    <w:rsid w:val="00416C0B"/>
    <w:rsid w:val="00417467"/>
    <w:rsid w:val="00417588"/>
    <w:rsid w:val="004238A5"/>
    <w:rsid w:val="00425B82"/>
    <w:rsid w:val="0042642F"/>
    <w:rsid w:val="004273EE"/>
    <w:rsid w:val="004308BD"/>
    <w:rsid w:val="00430DA0"/>
    <w:rsid w:val="00432B32"/>
    <w:rsid w:val="004330F2"/>
    <w:rsid w:val="00433688"/>
    <w:rsid w:val="004409F8"/>
    <w:rsid w:val="00441A70"/>
    <w:rsid w:val="00442184"/>
    <w:rsid w:val="0044250E"/>
    <w:rsid w:val="00443A23"/>
    <w:rsid w:val="004477CB"/>
    <w:rsid w:val="00447D02"/>
    <w:rsid w:val="00451376"/>
    <w:rsid w:val="00453A82"/>
    <w:rsid w:val="00453AE9"/>
    <w:rsid w:val="00460D3C"/>
    <w:rsid w:val="00460EAC"/>
    <w:rsid w:val="00460F28"/>
    <w:rsid w:val="00461F64"/>
    <w:rsid w:val="0046644E"/>
    <w:rsid w:val="00466CFC"/>
    <w:rsid w:val="004729AA"/>
    <w:rsid w:val="004746EF"/>
    <w:rsid w:val="00474B07"/>
    <w:rsid w:val="00474FA6"/>
    <w:rsid w:val="004758B4"/>
    <w:rsid w:val="0047593F"/>
    <w:rsid w:val="00475B80"/>
    <w:rsid w:val="00476D0F"/>
    <w:rsid w:val="00480424"/>
    <w:rsid w:val="004821D5"/>
    <w:rsid w:val="00482A65"/>
    <w:rsid w:val="00483430"/>
    <w:rsid w:val="00483D59"/>
    <w:rsid w:val="00484F70"/>
    <w:rsid w:val="004853D1"/>
    <w:rsid w:val="00485783"/>
    <w:rsid w:val="00485E8E"/>
    <w:rsid w:val="004874B8"/>
    <w:rsid w:val="00493C86"/>
    <w:rsid w:val="004943D7"/>
    <w:rsid w:val="004A22DA"/>
    <w:rsid w:val="004A405F"/>
    <w:rsid w:val="004A677F"/>
    <w:rsid w:val="004A6EFC"/>
    <w:rsid w:val="004A7E49"/>
    <w:rsid w:val="004B1F35"/>
    <w:rsid w:val="004B6A0E"/>
    <w:rsid w:val="004B7BFC"/>
    <w:rsid w:val="004C046F"/>
    <w:rsid w:val="004C0D71"/>
    <w:rsid w:val="004C741D"/>
    <w:rsid w:val="004D13B5"/>
    <w:rsid w:val="004D1AF9"/>
    <w:rsid w:val="004D5B35"/>
    <w:rsid w:val="004E5F5B"/>
    <w:rsid w:val="004E70EE"/>
    <w:rsid w:val="004F0136"/>
    <w:rsid w:val="004F0A7F"/>
    <w:rsid w:val="004F3E7E"/>
    <w:rsid w:val="0050230E"/>
    <w:rsid w:val="00504B68"/>
    <w:rsid w:val="005115E6"/>
    <w:rsid w:val="00511795"/>
    <w:rsid w:val="00515F33"/>
    <w:rsid w:val="00520223"/>
    <w:rsid w:val="005219A2"/>
    <w:rsid w:val="00524489"/>
    <w:rsid w:val="0052609D"/>
    <w:rsid w:val="00526258"/>
    <w:rsid w:val="00527109"/>
    <w:rsid w:val="00527DEB"/>
    <w:rsid w:val="00530C44"/>
    <w:rsid w:val="00532356"/>
    <w:rsid w:val="00533258"/>
    <w:rsid w:val="00540138"/>
    <w:rsid w:val="0054064C"/>
    <w:rsid w:val="00542B93"/>
    <w:rsid w:val="0054322D"/>
    <w:rsid w:val="00543586"/>
    <w:rsid w:val="00544027"/>
    <w:rsid w:val="005450CB"/>
    <w:rsid w:val="00547690"/>
    <w:rsid w:val="005477B2"/>
    <w:rsid w:val="00547B79"/>
    <w:rsid w:val="00547E11"/>
    <w:rsid w:val="00553D73"/>
    <w:rsid w:val="00554C2D"/>
    <w:rsid w:val="00554DE5"/>
    <w:rsid w:val="00554E07"/>
    <w:rsid w:val="0055568E"/>
    <w:rsid w:val="00556EB1"/>
    <w:rsid w:val="00556FC4"/>
    <w:rsid w:val="00566FEE"/>
    <w:rsid w:val="00567C9E"/>
    <w:rsid w:val="005705AD"/>
    <w:rsid w:val="005707B6"/>
    <w:rsid w:val="005720DC"/>
    <w:rsid w:val="0057272C"/>
    <w:rsid w:val="00573BC5"/>
    <w:rsid w:val="005769CA"/>
    <w:rsid w:val="005777FA"/>
    <w:rsid w:val="0058028C"/>
    <w:rsid w:val="005811E3"/>
    <w:rsid w:val="00581785"/>
    <w:rsid w:val="00581DAF"/>
    <w:rsid w:val="00584138"/>
    <w:rsid w:val="0059029D"/>
    <w:rsid w:val="005906A8"/>
    <w:rsid w:val="005968A5"/>
    <w:rsid w:val="005973BC"/>
    <w:rsid w:val="005A1141"/>
    <w:rsid w:val="005A1D60"/>
    <w:rsid w:val="005A20D3"/>
    <w:rsid w:val="005A2436"/>
    <w:rsid w:val="005A3B65"/>
    <w:rsid w:val="005A49F3"/>
    <w:rsid w:val="005A4CA9"/>
    <w:rsid w:val="005A5C5D"/>
    <w:rsid w:val="005A7208"/>
    <w:rsid w:val="005A7254"/>
    <w:rsid w:val="005A727E"/>
    <w:rsid w:val="005B17BD"/>
    <w:rsid w:val="005B2088"/>
    <w:rsid w:val="005B3995"/>
    <w:rsid w:val="005B5C35"/>
    <w:rsid w:val="005B740D"/>
    <w:rsid w:val="005B7ECD"/>
    <w:rsid w:val="005C03FC"/>
    <w:rsid w:val="005C07D5"/>
    <w:rsid w:val="005C1917"/>
    <w:rsid w:val="005C23F4"/>
    <w:rsid w:val="005C24CB"/>
    <w:rsid w:val="005C2C7E"/>
    <w:rsid w:val="005C2CA9"/>
    <w:rsid w:val="005C6365"/>
    <w:rsid w:val="005D13CE"/>
    <w:rsid w:val="005D4D20"/>
    <w:rsid w:val="005D4D3A"/>
    <w:rsid w:val="005D4EDE"/>
    <w:rsid w:val="005E1A1B"/>
    <w:rsid w:val="005E241D"/>
    <w:rsid w:val="005E32C4"/>
    <w:rsid w:val="005E4670"/>
    <w:rsid w:val="005F0CBA"/>
    <w:rsid w:val="005F40F1"/>
    <w:rsid w:val="005F4313"/>
    <w:rsid w:val="005F55B1"/>
    <w:rsid w:val="005F62BA"/>
    <w:rsid w:val="005F72B7"/>
    <w:rsid w:val="005F7BC9"/>
    <w:rsid w:val="0060698D"/>
    <w:rsid w:val="00606C01"/>
    <w:rsid w:val="0061052C"/>
    <w:rsid w:val="00610A44"/>
    <w:rsid w:val="00612C3A"/>
    <w:rsid w:val="00612FFC"/>
    <w:rsid w:val="00614A2C"/>
    <w:rsid w:val="00620EA8"/>
    <w:rsid w:val="006211BB"/>
    <w:rsid w:val="006213F6"/>
    <w:rsid w:val="00622022"/>
    <w:rsid w:val="00625B3E"/>
    <w:rsid w:val="0062739C"/>
    <w:rsid w:val="0062760D"/>
    <w:rsid w:val="00627F57"/>
    <w:rsid w:val="00630FE2"/>
    <w:rsid w:val="00631616"/>
    <w:rsid w:val="00633854"/>
    <w:rsid w:val="00634BF6"/>
    <w:rsid w:val="00634C41"/>
    <w:rsid w:val="006359D2"/>
    <w:rsid w:val="00635A0E"/>
    <w:rsid w:val="00637DE0"/>
    <w:rsid w:val="006407A9"/>
    <w:rsid w:val="00643CA5"/>
    <w:rsid w:val="00644B42"/>
    <w:rsid w:val="0064515F"/>
    <w:rsid w:val="0065040F"/>
    <w:rsid w:val="0065084A"/>
    <w:rsid w:val="006510FB"/>
    <w:rsid w:val="00651DC7"/>
    <w:rsid w:val="0065327D"/>
    <w:rsid w:val="00656480"/>
    <w:rsid w:val="0065682C"/>
    <w:rsid w:val="00661859"/>
    <w:rsid w:val="00661FC9"/>
    <w:rsid w:val="0066487B"/>
    <w:rsid w:val="00666EB5"/>
    <w:rsid w:val="00672E7C"/>
    <w:rsid w:val="00673275"/>
    <w:rsid w:val="00675116"/>
    <w:rsid w:val="0068331D"/>
    <w:rsid w:val="00687810"/>
    <w:rsid w:val="006878A5"/>
    <w:rsid w:val="00691316"/>
    <w:rsid w:val="00691319"/>
    <w:rsid w:val="00692C18"/>
    <w:rsid w:val="00693565"/>
    <w:rsid w:val="006937D2"/>
    <w:rsid w:val="006A0651"/>
    <w:rsid w:val="006A780B"/>
    <w:rsid w:val="006B0DB6"/>
    <w:rsid w:val="006B0F3A"/>
    <w:rsid w:val="006B2625"/>
    <w:rsid w:val="006B7AA9"/>
    <w:rsid w:val="006B7D45"/>
    <w:rsid w:val="006C0205"/>
    <w:rsid w:val="006C11A3"/>
    <w:rsid w:val="006C272A"/>
    <w:rsid w:val="006C4A4B"/>
    <w:rsid w:val="006C7185"/>
    <w:rsid w:val="006D0016"/>
    <w:rsid w:val="006D20B4"/>
    <w:rsid w:val="006D27AC"/>
    <w:rsid w:val="006D6EAE"/>
    <w:rsid w:val="006D74A9"/>
    <w:rsid w:val="006E00F2"/>
    <w:rsid w:val="006E0A50"/>
    <w:rsid w:val="006E0B45"/>
    <w:rsid w:val="006E1088"/>
    <w:rsid w:val="006E2EC2"/>
    <w:rsid w:val="006E4A96"/>
    <w:rsid w:val="006E59FC"/>
    <w:rsid w:val="006E6085"/>
    <w:rsid w:val="006E639B"/>
    <w:rsid w:val="006E664F"/>
    <w:rsid w:val="006E6A9B"/>
    <w:rsid w:val="006F0C68"/>
    <w:rsid w:val="006F1890"/>
    <w:rsid w:val="006F3646"/>
    <w:rsid w:val="006F3723"/>
    <w:rsid w:val="006F56DD"/>
    <w:rsid w:val="006F58E5"/>
    <w:rsid w:val="006F7CFE"/>
    <w:rsid w:val="007019EC"/>
    <w:rsid w:val="00702BCB"/>
    <w:rsid w:val="0070345E"/>
    <w:rsid w:val="00704390"/>
    <w:rsid w:val="0070668D"/>
    <w:rsid w:val="00707CE3"/>
    <w:rsid w:val="00710368"/>
    <w:rsid w:val="00711275"/>
    <w:rsid w:val="0071190D"/>
    <w:rsid w:val="007123CF"/>
    <w:rsid w:val="0071499E"/>
    <w:rsid w:val="007151F0"/>
    <w:rsid w:val="00717B49"/>
    <w:rsid w:val="00720BCE"/>
    <w:rsid w:val="007238AA"/>
    <w:rsid w:val="00723E05"/>
    <w:rsid w:val="00735351"/>
    <w:rsid w:val="00735611"/>
    <w:rsid w:val="00737C09"/>
    <w:rsid w:val="00740DA2"/>
    <w:rsid w:val="00740FAD"/>
    <w:rsid w:val="00741DCE"/>
    <w:rsid w:val="007422FB"/>
    <w:rsid w:val="00745BFE"/>
    <w:rsid w:val="00747BDE"/>
    <w:rsid w:val="00747DB3"/>
    <w:rsid w:val="007522D4"/>
    <w:rsid w:val="00752B65"/>
    <w:rsid w:val="00753110"/>
    <w:rsid w:val="00753B34"/>
    <w:rsid w:val="007549AA"/>
    <w:rsid w:val="00756564"/>
    <w:rsid w:val="00757E41"/>
    <w:rsid w:val="007615FB"/>
    <w:rsid w:val="0076289D"/>
    <w:rsid w:val="00763D02"/>
    <w:rsid w:val="00766483"/>
    <w:rsid w:val="00766561"/>
    <w:rsid w:val="00770055"/>
    <w:rsid w:val="00771DCC"/>
    <w:rsid w:val="007735D7"/>
    <w:rsid w:val="00774574"/>
    <w:rsid w:val="007749B2"/>
    <w:rsid w:val="007752F2"/>
    <w:rsid w:val="0078000A"/>
    <w:rsid w:val="007800E0"/>
    <w:rsid w:val="007844B2"/>
    <w:rsid w:val="00786981"/>
    <w:rsid w:val="00786F82"/>
    <w:rsid w:val="00787E57"/>
    <w:rsid w:val="0079144F"/>
    <w:rsid w:val="00791DD0"/>
    <w:rsid w:val="00792549"/>
    <w:rsid w:val="00793B19"/>
    <w:rsid w:val="00795F33"/>
    <w:rsid w:val="00797333"/>
    <w:rsid w:val="007A0592"/>
    <w:rsid w:val="007A0676"/>
    <w:rsid w:val="007A0777"/>
    <w:rsid w:val="007A1925"/>
    <w:rsid w:val="007A4AA9"/>
    <w:rsid w:val="007A5115"/>
    <w:rsid w:val="007A6AEE"/>
    <w:rsid w:val="007A7A8C"/>
    <w:rsid w:val="007B2A7B"/>
    <w:rsid w:val="007B3904"/>
    <w:rsid w:val="007B3CF8"/>
    <w:rsid w:val="007B3F9D"/>
    <w:rsid w:val="007B4B1E"/>
    <w:rsid w:val="007B65CD"/>
    <w:rsid w:val="007C0DC6"/>
    <w:rsid w:val="007C1C80"/>
    <w:rsid w:val="007C1F02"/>
    <w:rsid w:val="007C49BF"/>
    <w:rsid w:val="007C54D1"/>
    <w:rsid w:val="007C5CD2"/>
    <w:rsid w:val="007C5DEB"/>
    <w:rsid w:val="007C7337"/>
    <w:rsid w:val="007C799F"/>
    <w:rsid w:val="007C7B9D"/>
    <w:rsid w:val="007D2627"/>
    <w:rsid w:val="007D2AC2"/>
    <w:rsid w:val="007D417D"/>
    <w:rsid w:val="007D7657"/>
    <w:rsid w:val="007E15A0"/>
    <w:rsid w:val="007E165D"/>
    <w:rsid w:val="007E201B"/>
    <w:rsid w:val="007E4CE9"/>
    <w:rsid w:val="007E507B"/>
    <w:rsid w:val="007E51D7"/>
    <w:rsid w:val="007F0891"/>
    <w:rsid w:val="007F351C"/>
    <w:rsid w:val="007F78FB"/>
    <w:rsid w:val="008009D8"/>
    <w:rsid w:val="00800A68"/>
    <w:rsid w:val="008026DE"/>
    <w:rsid w:val="008052AC"/>
    <w:rsid w:val="008063EB"/>
    <w:rsid w:val="008109C6"/>
    <w:rsid w:val="00811C92"/>
    <w:rsid w:val="0081257A"/>
    <w:rsid w:val="00812672"/>
    <w:rsid w:val="008134C0"/>
    <w:rsid w:val="008140B8"/>
    <w:rsid w:val="00814294"/>
    <w:rsid w:val="00815EE1"/>
    <w:rsid w:val="00816546"/>
    <w:rsid w:val="00822291"/>
    <w:rsid w:val="0083003B"/>
    <w:rsid w:val="00830888"/>
    <w:rsid w:val="0083173F"/>
    <w:rsid w:val="00832E07"/>
    <w:rsid w:val="00833066"/>
    <w:rsid w:val="008332EB"/>
    <w:rsid w:val="008348DA"/>
    <w:rsid w:val="008417E9"/>
    <w:rsid w:val="00842428"/>
    <w:rsid w:val="00843EEC"/>
    <w:rsid w:val="00844890"/>
    <w:rsid w:val="00845B44"/>
    <w:rsid w:val="00845F43"/>
    <w:rsid w:val="008467C2"/>
    <w:rsid w:val="00847285"/>
    <w:rsid w:val="00850325"/>
    <w:rsid w:val="00853B31"/>
    <w:rsid w:val="00855F71"/>
    <w:rsid w:val="0085645D"/>
    <w:rsid w:val="00860220"/>
    <w:rsid w:val="008613AD"/>
    <w:rsid w:val="00862C76"/>
    <w:rsid w:val="00864F4A"/>
    <w:rsid w:val="0086680C"/>
    <w:rsid w:val="0087202F"/>
    <w:rsid w:val="00872688"/>
    <w:rsid w:val="008741D9"/>
    <w:rsid w:val="00874BB9"/>
    <w:rsid w:val="00876E0D"/>
    <w:rsid w:val="008772C1"/>
    <w:rsid w:val="008772F4"/>
    <w:rsid w:val="00877D6F"/>
    <w:rsid w:val="00881BA9"/>
    <w:rsid w:val="00884C45"/>
    <w:rsid w:val="008873E5"/>
    <w:rsid w:val="008879DA"/>
    <w:rsid w:val="008902BA"/>
    <w:rsid w:val="008906CA"/>
    <w:rsid w:val="008906F4"/>
    <w:rsid w:val="008914DD"/>
    <w:rsid w:val="008948A7"/>
    <w:rsid w:val="0089546F"/>
    <w:rsid w:val="0089585B"/>
    <w:rsid w:val="00895AC2"/>
    <w:rsid w:val="00896F6B"/>
    <w:rsid w:val="00897220"/>
    <w:rsid w:val="008A0E64"/>
    <w:rsid w:val="008A31F6"/>
    <w:rsid w:val="008A419F"/>
    <w:rsid w:val="008A44D6"/>
    <w:rsid w:val="008A457D"/>
    <w:rsid w:val="008A4B1B"/>
    <w:rsid w:val="008A4FB7"/>
    <w:rsid w:val="008A6101"/>
    <w:rsid w:val="008B1777"/>
    <w:rsid w:val="008B3640"/>
    <w:rsid w:val="008B694F"/>
    <w:rsid w:val="008B76C1"/>
    <w:rsid w:val="008C053F"/>
    <w:rsid w:val="008C0897"/>
    <w:rsid w:val="008C2D19"/>
    <w:rsid w:val="008C396A"/>
    <w:rsid w:val="008C700C"/>
    <w:rsid w:val="008D0A95"/>
    <w:rsid w:val="008D0C9D"/>
    <w:rsid w:val="008D314A"/>
    <w:rsid w:val="008D3E5D"/>
    <w:rsid w:val="008D3E84"/>
    <w:rsid w:val="008D51B0"/>
    <w:rsid w:val="008D6727"/>
    <w:rsid w:val="008D7B0C"/>
    <w:rsid w:val="008E136B"/>
    <w:rsid w:val="008E1D8D"/>
    <w:rsid w:val="008E3463"/>
    <w:rsid w:val="008E3879"/>
    <w:rsid w:val="008E38BB"/>
    <w:rsid w:val="008E3928"/>
    <w:rsid w:val="008E4291"/>
    <w:rsid w:val="008E4C0A"/>
    <w:rsid w:val="008E5E49"/>
    <w:rsid w:val="008E66A2"/>
    <w:rsid w:val="008F02B0"/>
    <w:rsid w:val="008F1877"/>
    <w:rsid w:val="008F18A7"/>
    <w:rsid w:val="008F297D"/>
    <w:rsid w:val="008F50D9"/>
    <w:rsid w:val="008F5920"/>
    <w:rsid w:val="008F61EC"/>
    <w:rsid w:val="008F6AFE"/>
    <w:rsid w:val="008F7EFE"/>
    <w:rsid w:val="009011B1"/>
    <w:rsid w:val="00902EFD"/>
    <w:rsid w:val="009044E4"/>
    <w:rsid w:val="009065EE"/>
    <w:rsid w:val="00907C7D"/>
    <w:rsid w:val="009100EE"/>
    <w:rsid w:val="0091687F"/>
    <w:rsid w:val="00916BCE"/>
    <w:rsid w:val="009177D0"/>
    <w:rsid w:val="00917E72"/>
    <w:rsid w:val="0092216D"/>
    <w:rsid w:val="00923157"/>
    <w:rsid w:val="00924AFF"/>
    <w:rsid w:val="00926500"/>
    <w:rsid w:val="00926828"/>
    <w:rsid w:val="009268CE"/>
    <w:rsid w:val="00930708"/>
    <w:rsid w:val="009319FE"/>
    <w:rsid w:val="00932222"/>
    <w:rsid w:val="009336D9"/>
    <w:rsid w:val="00935C51"/>
    <w:rsid w:val="009362BB"/>
    <w:rsid w:val="00942C87"/>
    <w:rsid w:val="00942D81"/>
    <w:rsid w:val="009443B1"/>
    <w:rsid w:val="009520F1"/>
    <w:rsid w:val="009540C4"/>
    <w:rsid w:val="0095447E"/>
    <w:rsid w:val="00955633"/>
    <w:rsid w:val="009609F1"/>
    <w:rsid w:val="009619AC"/>
    <w:rsid w:val="00964A1C"/>
    <w:rsid w:val="0096549D"/>
    <w:rsid w:val="00967AE4"/>
    <w:rsid w:val="00973306"/>
    <w:rsid w:val="0097583F"/>
    <w:rsid w:val="00981B64"/>
    <w:rsid w:val="009857BB"/>
    <w:rsid w:val="00985B6C"/>
    <w:rsid w:val="00986768"/>
    <w:rsid w:val="00992DDD"/>
    <w:rsid w:val="00994074"/>
    <w:rsid w:val="009A4A26"/>
    <w:rsid w:val="009A4FF0"/>
    <w:rsid w:val="009A5096"/>
    <w:rsid w:val="009B003B"/>
    <w:rsid w:val="009B2A2B"/>
    <w:rsid w:val="009B3AE7"/>
    <w:rsid w:val="009B3C79"/>
    <w:rsid w:val="009B47BC"/>
    <w:rsid w:val="009B5CC6"/>
    <w:rsid w:val="009B7FA5"/>
    <w:rsid w:val="009C3E93"/>
    <w:rsid w:val="009C5256"/>
    <w:rsid w:val="009C7498"/>
    <w:rsid w:val="009D1199"/>
    <w:rsid w:val="009D1AD8"/>
    <w:rsid w:val="009D2FA3"/>
    <w:rsid w:val="009D4ACD"/>
    <w:rsid w:val="009D65A5"/>
    <w:rsid w:val="009D710B"/>
    <w:rsid w:val="009D7863"/>
    <w:rsid w:val="009E5A47"/>
    <w:rsid w:val="009E7A2C"/>
    <w:rsid w:val="009E7CB0"/>
    <w:rsid w:val="009F034D"/>
    <w:rsid w:val="009F07E8"/>
    <w:rsid w:val="009F1204"/>
    <w:rsid w:val="009F2697"/>
    <w:rsid w:val="009F67EF"/>
    <w:rsid w:val="009F6B05"/>
    <w:rsid w:val="00A04025"/>
    <w:rsid w:val="00A04FEA"/>
    <w:rsid w:val="00A07A6E"/>
    <w:rsid w:val="00A07B3A"/>
    <w:rsid w:val="00A14F8B"/>
    <w:rsid w:val="00A16D7B"/>
    <w:rsid w:val="00A170B0"/>
    <w:rsid w:val="00A17115"/>
    <w:rsid w:val="00A17CFC"/>
    <w:rsid w:val="00A24196"/>
    <w:rsid w:val="00A275E2"/>
    <w:rsid w:val="00A31207"/>
    <w:rsid w:val="00A319BF"/>
    <w:rsid w:val="00A33115"/>
    <w:rsid w:val="00A335DB"/>
    <w:rsid w:val="00A336ED"/>
    <w:rsid w:val="00A34987"/>
    <w:rsid w:val="00A36F3C"/>
    <w:rsid w:val="00A407F2"/>
    <w:rsid w:val="00A409AC"/>
    <w:rsid w:val="00A40E4B"/>
    <w:rsid w:val="00A417BF"/>
    <w:rsid w:val="00A4247B"/>
    <w:rsid w:val="00A447DE"/>
    <w:rsid w:val="00A449FE"/>
    <w:rsid w:val="00A44C9E"/>
    <w:rsid w:val="00A46337"/>
    <w:rsid w:val="00A46E1C"/>
    <w:rsid w:val="00A47B82"/>
    <w:rsid w:val="00A47DE2"/>
    <w:rsid w:val="00A5062A"/>
    <w:rsid w:val="00A53371"/>
    <w:rsid w:val="00A53996"/>
    <w:rsid w:val="00A53CAC"/>
    <w:rsid w:val="00A54A21"/>
    <w:rsid w:val="00A559EB"/>
    <w:rsid w:val="00A57646"/>
    <w:rsid w:val="00A578B2"/>
    <w:rsid w:val="00A57C18"/>
    <w:rsid w:val="00A60D2F"/>
    <w:rsid w:val="00A61FFE"/>
    <w:rsid w:val="00A6237B"/>
    <w:rsid w:val="00A64393"/>
    <w:rsid w:val="00A65304"/>
    <w:rsid w:val="00A65528"/>
    <w:rsid w:val="00A678F3"/>
    <w:rsid w:val="00A72493"/>
    <w:rsid w:val="00A729B8"/>
    <w:rsid w:val="00A731AD"/>
    <w:rsid w:val="00A77BB2"/>
    <w:rsid w:val="00A818B5"/>
    <w:rsid w:val="00A81CBB"/>
    <w:rsid w:val="00A8424C"/>
    <w:rsid w:val="00A9151A"/>
    <w:rsid w:val="00A92DCF"/>
    <w:rsid w:val="00A93AA4"/>
    <w:rsid w:val="00A94778"/>
    <w:rsid w:val="00A9552C"/>
    <w:rsid w:val="00A95589"/>
    <w:rsid w:val="00A971C6"/>
    <w:rsid w:val="00A9776E"/>
    <w:rsid w:val="00AA0702"/>
    <w:rsid w:val="00AA0F00"/>
    <w:rsid w:val="00AA11DA"/>
    <w:rsid w:val="00AA7E6B"/>
    <w:rsid w:val="00AB384D"/>
    <w:rsid w:val="00AC1373"/>
    <w:rsid w:val="00AC1EB8"/>
    <w:rsid w:val="00AC2873"/>
    <w:rsid w:val="00AC33BD"/>
    <w:rsid w:val="00AC3A67"/>
    <w:rsid w:val="00AC418D"/>
    <w:rsid w:val="00AC4BE9"/>
    <w:rsid w:val="00AC5A48"/>
    <w:rsid w:val="00AD064A"/>
    <w:rsid w:val="00AD25CE"/>
    <w:rsid w:val="00AD3048"/>
    <w:rsid w:val="00AD4954"/>
    <w:rsid w:val="00AE1A66"/>
    <w:rsid w:val="00AE2C8B"/>
    <w:rsid w:val="00AE65DC"/>
    <w:rsid w:val="00AF090B"/>
    <w:rsid w:val="00AF2843"/>
    <w:rsid w:val="00AF77D1"/>
    <w:rsid w:val="00B0578C"/>
    <w:rsid w:val="00B10D05"/>
    <w:rsid w:val="00B13272"/>
    <w:rsid w:val="00B13784"/>
    <w:rsid w:val="00B141C1"/>
    <w:rsid w:val="00B167F6"/>
    <w:rsid w:val="00B16B0A"/>
    <w:rsid w:val="00B17ACD"/>
    <w:rsid w:val="00B274CF"/>
    <w:rsid w:val="00B3131E"/>
    <w:rsid w:val="00B31DB9"/>
    <w:rsid w:val="00B3272B"/>
    <w:rsid w:val="00B3347B"/>
    <w:rsid w:val="00B36629"/>
    <w:rsid w:val="00B40481"/>
    <w:rsid w:val="00B42300"/>
    <w:rsid w:val="00B42604"/>
    <w:rsid w:val="00B428B0"/>
    <w:rsid w:val="00B50829"/>
    <w:rsid w:val="00B51D6C"/>
    <w:rsid w:val="00B5257C"/>
    <w:rsid w:val="00B52C1F"/>
    <w:rsid w:val="00B52CD1"/>
    <w:rsid w:val="00B578A3"/>
    <w:rsid w:val="00B60C6D"/>
    <w:rsid w:val="00B61870"/>
    <w:rsid w:val="00B63217"/>
    <w:rsid w:val="00B63577"/>
    <w:rsid w:val="00B63F14"/>
    <w:rsid w:val="00B70812"/>
    <w:rsid w:val="00B71165"/>
    <w:rsid w:val="00B7193F"/>
    <w:rsid w:val="00B71C85"/>
    <w:rsid w:val="00B73437"/>
    <w:rsid w:val="00B77499"/>
    <w:rsid w:val="00B80BC4"/>
    <w:rsid w:val="00B85445"/>
    <w:rsid w:val="00B878B2"/>
    <w:rsid w:val="00B87E1C"/>
    <w:rsid w:val="00B90527"/>
    <w:rsid w:val="00B907EB"/>
    <w:rsid w:val="00B90D16"/>
    <w:rsid w:val="00B9451D"/>
    <w:rsid w:val="00B950FB"/>
    <w:rsid w:val="00B95562"/>
    <w:rsid w:val="00B9575F"/>
    <w:rsid w:val="00B95C9F"/>
    <w:rsid w:val="00BA3E7D"/>
    <w:rsid w:val="00BA7002"/>
    <w:rsid w:val="00BB04BE"/>
    <w:rsid w:val="00BB04C5"/>
    <w:rsid w:val="00BB0FA2"/>
    <w:rsid w:val="00BB11E3"/>
    <w:rsid w:val="00BB2EB5"/>
    <w:rsid w:val="00BB7A3A"/>
    <w:rsid w:val="00BB7B8A"/>
    <w:rsid w:val="00BC0F15"/>
    <w:rsid w:val="00BC169A"/>
    <w:rsid w:val="00BC1E84"/>
    <w:rsid w:val="00BC6DF7"/>
    <w:rsid w:val="00BC7705"/>
    <w:rsid w:val="00BD04FC"/>
    <w:rsid w:val="00BD1EEA"/>
    <w:rsid w:val="00BD510A"/>
    <w:rsid w:val="00BD5BCF"/>
    <w:rsid w:val="00BD6237"/>
    <w:rsid w:val="00BE07CA"/>
    <w:rsid w:val="00BE3CF2"/>
    <w:rsid w:val="00BE6F58"/>
    <w:rsid w:val="00BE788C"/>
    <w:rsid w:val="00BE7DA2"/>
    <w:rsid w:val="00BF0A00"/>
    <w:rsid w:val="00BF148F"/>
    <w:rsid w:val="00BF293D"/>
    <w:rsid w:val="00BF61F2"/>
    <w:rsid w:val="00BF650D"/>
    <w:rsid w:val="00BF7890"/>
    <w:rsid w:val="00C00DF3"/>
    <w:rsid w:val="00C01BF5"/>
    <w:rsid w:val="00C03EBE"/>
    <w:rsid w:val="00C058F2"/>
    <w:rsid w:val="00C06B05"/>
    <w:rsid w:val="00C11CFA"/>
    <w:rsid w:val="00C11D46"/>
    <w:rsid w:val="00C125F3"/>
    <w:rsid w:val="00C148AB"/>
    <w:rsid w:val="00C15007"/>
    <w:rsid w:val="00C15FD5"/>
    <w:rsid w:val="00C20394"/>
    <w:rsid w:val="00C2200A"/>
    <w:rsid w:val="00C230A3"/>
    <w:rsid w:val="00C23151"/>
    <w:rsid w:val="00C23C4B"/>
    <w:rsid w:val="00C27712"/>
    <w:rsid w:val="00C308B0"/>
    <w:rsid w:val="00C31827"/>
    <w:rsid w:val="00C34D62"/>
    <w:rsid w:val="00C3765A"/>
    <w:rsid w:val="00C40A1D"/>
    <w:rsid w:val="00C41134"/>
    <w:rsid w:val="00C425D9"/>
    <w:rsid w:val="00C42A38"/>
    <w:rsid w:val="00C437B1"/>
    <w:rsid w:val="00C52483"/>
    <w:rsid w:val="00C53D0E"/>
    <w:rsid w:val="00C5663D"/>
    <w:rsid w:val="00C57022"/>
    <w:rsid w:val="00C5725C"/>
    <w:rsid w:val="00C57B5C"/>
    <w:rsid w:val="00C6257B"/>
    <w:rsid w:val="00C63B97"/>
    <w:rsid w:val="00C715DA"/>
    <w:rsid w:val="00C71FF2"/>
    <w:rsid w:val="00C73103"/>
    <w:rsid w:val="00C754F8"/>
    <w:rsid w:val="00C7728C"/>
    <w:rsid w:val="00C81BD7"/>
    <w:rsid w:val="00C838D5"/>
    <w:rsid w:val="00C84724"/>
    <w:rsid w:val="00C86BE9"/>
    <w:rsid w:val="00C87724"/>
    <w:rsid w:val="00C9037C"/>
    <w:rsid w:val="00C905ED"/>
    <w:rsid w:val="00C90C06"/>
    <w:rsid w:val="00C90C8F"/>
    <w:rsid w:val="00C916F5"/>
    <w:rsid w:val="00C91C8A"/>
    <w:rsid w:val="00C930A8"/>
    <w:rsid w:val="00C9325B"/>
    <w:rsid w:val="00C9420C"/>
    <w:rsid w:val="00C95CEC"/>
    <w:rsid w:val="00C9788F"/>
    <w:rsid w:val="00CA57F7"/>
    <w:rsid w:val="00CA7C32"/>
    <w:rsid w:val="00CB18E4"/>
    <w:rsid w:val="00CB2545"/>
    <w:rsid w:val="00CB29CC"/>
    <w:rsid w:val="00CB3DD9"/>
    <w:rsid w:val="00CB75D4"/>
    <w:rsid w:val="00CB773B"/>
    <w:rsid w:val="00CC01EC"/>
    <w:rsid w:val="00CC36FE"/>
    <w:rsid w:val="00CC4029"/>
    <w:rsid w:val="00CC4A3F"/>
    <w:rsid w:val="00CC6874"/>
    <w:rsid w:val="00CC6E09"/>
    <w:rsid w:val="00CD15AB"/>
    <w:rsid w:val="00CD40B3"/>
    <w:rsid w:val="00CD547C"/>
    <w:rsid w:val="00CD6A3B"/>
    <w:rsid w:val="00CE09BB"/>
    <w:rsid w:val="00CE1850"/>
    <w:rsid w:val="00CE19ED"/>
    <w:rsid w:val="00CE49BE"/>
    <w:rsid w:val="00CE57C0"/>
    <w:rsid w:val="00CE63BE"/>
    <w:rsid w:val="00CF12C3"/>
    <w:rsid w:val="00CF1587"/>
    <w:rsid w:val="00CF183C"/>
    <w:rsid w:val="00CF24B5"/>
    <w:rsid w:val="00CF2B61"/>
    <w:rsid w:val="00CF39ED"/>
    <w:rsid w:val="00CF43C1"/>
    <w:rsid w:val="00CF6B99"/>
    <w:rsid w:val="00D00806"/>
    <w:rsid w:val="00D03C5E"/>
    <w:rsid w:val="00D046F3"/>
    <w:rsid w:val="00D04F84"/>
    <w:rsid w:val="00D073A2"/>
    <w:rsid w:val="00D1104B"/>
    <w:rsid w:val="00D1178B"/>
    <w:rsid w:val="00D1202B"/>
    <w:rsid w:val="00D12091"/>
    <w:rsid w:val="00D13C4B"/>
    <w:rsid w:val="00D142DE"/>
    <w:rsid w:val="00D20EC0"/>
    <w:rsid w:val="00D21230"/>
    <w:rsid w:val="00D2123E"/>
    <w:rsid w:val="00D2761D"/>
    <w:rsid w:val="00D27D37"/>
    <w:rsid w:val="00D33315"/>
    <w:rsid w:val="00D35436"/>
    <w:rsid w:val="00D366D9"/>
    <w:rsid w:val="00D43F50"/>
    <w:rsid w:val="00D447C4"/>
    <w:rsid w:val="00D44D54"/>
    <w:rsid w:val="00D4547B"/>
    <w:rsid w:val="00D466CD"/>
    <w:rsid w:val="00D47BAD"/>
    <w:rsid w:val="00D51395"/>
    <w:rsid w:val="00D51BB5"/>
    <w:rsid w:val="00D51CB9"/>
    <w:rsid w:val="00D5399E"/>
    <w:rsid w:val="00D55CEC"/>
    <w:rsid w:val="00D5700A"/>
    <w:rsid w:val="00D62F57"/>
    <w:rsid w:val="00D63CF0"/>
    <w:rsid w:val="00D642EC"/>
    <w:rsid w:val="00D6517D"/>
    <w:rsid w:val="00D658AA"/>
    <w:rsid w:val="00D66248"/>
    <w:rsid w:val="00D6730D"/>
    <w:rsid w:val="00D71926"/>
    <w:rsid w:val="00D72FB7"/>
    <w:rsid w:val="00D739FD"/>
    <w:rsid w:val="00D76E24"/>
    <w:rsid w:val="00D80088"/>
    <w:rsid w:val="00D846B4"/>
    <w:rsid w:val="00D8547C"/>
    <w:rsid w:val="00D85562"/>
    <w:rsid w:val="00D90AE2"/>
    <w:rsid w:val="00D9117E"/>
    <w:rsid w:val="00D91634"/>
    <w:rsid w:val="00D949D7"/>
    <w:rsid w:val="00D95BBA"/>
    <w:rsid w:val="00D96B59"/>
    <w:rsid w:val="00D96C81"/>
    <w:rsid w:val="00D971EC"/>
    <w:rsid w:val="00DA19E8"/>
    <w:rsid w:val="00DA2BDD"/>
    <w:rsid w:val="00DA4548"/>
    <w:rsid w:val="00DB503F"/>
    <w:rsid w:val="00DB562F"/>
    <w:rsid w:val="00DB5B38"/>
    <w:rsid w:val="00DB5E97"/>
    <w:rsid w:val="00DB7601"/>
    <w:rsid w:val="00DC1635"/>
    <w:rsid w:val="00DC23DF"/>
    <w:rsid w:val="00DC3DA6"/>
    <w:rsid w:val="00DC51FF"/>
    <w:rsid w:val="00DC5DE6"/>
    <w:rsid w:val="00DD0A7C"/>
    <w:rsid w:val="00DD39DB"/>
    <w:rsid w:val="00DD46EB"/>
    <w:rsid w:val="00DD6BEC"/>
    <w:rsid w:val="00DE40C0"/>
    <w:rsid w:val="00DE51AD"/>
    <w:rsid w:val="00DE6521"/>
    <w:rsid w:val="00DE6919"/>
    <w:rsid w:val="00DE7D75"/>
    <w:rsid w:val="00DF0AA3"/>
    <w:rsid w:val="00DF367F"/>
    <w:rsid w:val="00DF39CF"/>
    <w:rsid w:val="00DF44B4"/>
    <w:rsid w:val="00DF69DC"/>
    <w:rsid w:val="00DF7211"/>
    <w:rsid w:val="00DF7766"/>
    <w:rsid w:val="00E018BA"/>
    <w:rsid w:val="00E02085"/>
    <w:rsid w:val="00E03871"/>
    <w:rsid w:val="00E0390A"/>
    <w:rsid w:val="00E132F5"/>
    <w:rsid w:val="00E13A98"/>
    <w:rsid w:val="00E14C33"/>
    <w:rsid w:val="00E15D53"/>
    <w:rsid w:val="00E22382"/>
    <w:rsid w:val="00E270D9"/>
    <w:rsid w:val="00E34C3A"/>
    <w:rsid w:val="00E3703D"/>
    <w:rsid w:val="00E447D9"/>
    <w:rsid w:val="00E45E4F"/>
    <w:rsid w:val="00E51CF7"/>
    <w:rsid w:val="00E551C7"/>
    <w:rsid w:val="00E5722B"/>
    <w:rsid w:val="00E60A40"/>
    <w:rsid w:val="00E61047"/>
    <w:rsid w:val="00E6114F"/>
    <w:rsid w:val="00E6153C"/>
    <w:rsid w:val="00E62CB6"/>
    <w:rsid w:val="00E64176"/>
    <w:rsid w:val="00E644F1"/>
    <w:rsid w:val="00E64864"/>
    <w:rsid w:val="00E65C6B"/>
    <w:rsid w:val="00E66BE9"/>
    <w:rsid w:val="00E767E4"/>
    <w:rsid w:val="00E84B41"/>
    <w:rsid w:val="00E8786D"/>
    <w:rsid w:val="00E87DF5"/>
    <w:rsid w:val="00E93D0F"/>
    <w:rsid w:val="00E94135"/>
    <w:rsid w:val="00E94A73"/>
    <w:rsid w:val="00E97E3C"/>
    <w:rsid w:val="00EA0351"/>
    <w:rsid w:val="00EA335B"/>
    <w:rsid w:val="00EA3629"/>
    <w:rsid w:val="00EA38EC"/>
    <w:rsid w:val="00EA4ADA"/>
    <w:rsid w:val="00EA55DC"/>
    <w:rsid w:val="00EA68EE"/>
    <w:rsid w:val="00EA78CF"/>
    <w:rsid w:val="00EB0519"/>
    <w:rsid w:val="00EB1D7C"/>
    <w:rsid w:val="00EB1DF2"/>
    <w:rsid w:val="00EB354E"/>
    <w:rsid w:val="00EB4121"/>
    <w:rsid w:val="00EC0037"/>
    <w:rsid w:val="00EC1A8F"/>
    <w:rsid w:val="00EC3AF1"/>
    <w:rsid w:val="00EC46DD"/>
    <w:rsid w:val="00EC57F8"/>
    <w:rsid w:val="00EC5A30"/>
    <w:rsid w:val="00EC6324"/>
    <w:rsid w:val="00ED085D"/>
    <w:rsid w:val="00ED1FF9"/>
    <w:rsid w:val="00ED6A9A"/>
    <w:rsid w:val="00ED7611"/>
    <w:rsid w:val="00ED787F"/>
    <w:rsid w:val="00EE0FEC"/>
    <w:rsid w:val="00EE177F"/>
    <w:rsid w:val="00EE231D"/>
    <w:rsid w:val="00EE3B18"/>
    <w:rsid w:val="00EE52D1"/>
    <w:rsid w:val="00EE6068"/>
    <w:rsid w:val="00EE6ABC"/>
    <w:rsid w:val="00EF3D78"/>
    <w:rsid w:val="00EF7C28"/>
    <w:rsid w:val="00F00A70"/>
    <w:rsid w:val="00F03911"/>
    <w:rsid w:val="00F03E34"/>
    <w:rsid w:val="00F07556"/>
    <w:rsid w:val="00F1024C"/>
    <w:rsid w:val="00F11922"/>
    <w:rsid w:val="00F1210B"/>
    <w:rsid w:val="00F17592"/>
    <w:rsid w:val="00F206E5"/>
    <w:rsid w:val="00F20EDB"/>
    <w:rsid w:val="00F21799"/>
    <w:rsid w:val="00F220AE"/>
    <w:rsid w:val="00F25A14"/>
    <w:rsid w:val="00F25F93"/>
    <w:rsid w:val="00F26A61"/>
    <w:rsid w:val="00F26C0E"/>
    <w:rsid w:val="00F26EDC"/>
    <w:rsid w:val="00F27F72"/>
    <w:rsid w:val="00F31425"/>
    <w:rsid w:val="00F3264D"/>
    <w:rsid w:val="00F327E1"/>
    <w:rsid w:val="00F32EEC"/>
    <w:rsid w:val="00F3400F"/>
    <w:rsid w:val="00F348A1"/>
    <w:rsid w:val="00F37565"/>
    <w:rsid w:val="00F40065"/>
    <w:rsid w:val="00F4063E"/>
    <w:rsid w:val="00F43085"/>
    <w:rsid w:val="00F44D0F"/>
    <w:rsid w:val="00F47042"/>
    <w:rsid w:val="00F50468"/>
    <w:rsid w:val="00F51D46"/>
    <w:rsid w:val="00F570B0"/>
    <w:rsid w:val="00F60A4E"/>
    <w:rsid w:val="00F61564"/>
    <w:rsid w:val="00F6248B"/>
    <w:rsid w:val="00F62A16"/>
    <w:rsid w:val="00F62EA4"/>
    <w:rsid w:val="00F671A8"/>
    <w:rsid w:val="00F7380D"/>
    <w:rsid w:val="00F73D47"/>
    <w:rsid w:val="00F74762"/>
    <w:rsid w:val="00F7507C"/>
    <w:rsid w:val="00F76280"/>
    <w:rsid w:val="00F77DD1"/>
    <w:rsid w:val="00F802E7"/>
    <w:rsid w:val="00F8036D"/>
    <w:rsid w:val="00F81655"/>
    <w:rsid w:val="00F81E38"/>
    <w:rsid w:val="00F83B7C"/>
    <w:rsid w:val="00F853EE"/>
    <w:rsid w:val="00F8712D"/>
    <w:rsid w:val="00F91BB0"/>
    <w:rsid w:val="00F91D46"/>
    <w:rsid w:val="00F94709"/>
    <w:rsid w:val="00F95742"/>
    <w:rsid w:val="00F95C8D"/>
    <w:rsid w:val="00F96616"/>
    <w:rsid w:val="00FA3916"/>
    <w:rsid w:val="00FA4499"/>
    <w:rsid w:val="00FA5574"/>
    <w:rsid w:val="00FA62C8"/>
    <w:rsid w:val="00FA7728"/>
    <w:rsid w:val="00FB07B5"/>
    <w:rsid w:val="00FB431E"/>
    <w:rsid w:val="00FB5D62"/>
    <w:rsid w:val="00FB695D"/>
    <w:rsid w:val="00FC01DC"/>
    <w:rsid w:val="00FC1B17"/>
    <w:rsid w:val="00FC22F8"/>
    <w:rsid w:val="00FC328F"/>
    <w:rsid w:val="00FC48E3"/>
    <w:rsid w:val="00FC4B0D"/>
    <w:rsid w:val="00FD258E"/>
    <w:rsid w:val="00FD2D0D"/>
    <w:rsid w:val="00FD3804"/>
    <w:rsid w:val="00FD6311"/>
    <w:rsid w:val="00FD6D65"/>
    <w:rsid w:val="00FD6DB8"/>
    <w:rsid w:val="00FD7228"/>
    <w:rsid w:val="00FD7525"/>
    <w:rsid w:val="00FD7A20"/>
    <w:rsid w:val="00FE0631"/>
    <w:rsid w:val="00FE1AEC"/>
    <w:rsid w:val="00FE33E0"/>
    <w:rsid w:val="00FE3683"/>
    <w:rsid w:val="00FE61FC"/>
    <w:rsid w:val="00FE64EA"/>
    <w:rsid w:val="00FE7CF6"/>
    <w:rsid w:val="00FF02D9"/>
    <w:rsid w:val="00FF1CC2"/>
    <w:rsid w:val="00FF1D15"/>
    <w:rsid w:val="00FF2BDC"/>
    <w:rsid w:val="00FF5907"/>
    <w:rsid w:val="00FF6F9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D76FD"/>
  <w15:chartTrackingRefBased/>
  <w15:docId w15:val="{7F03120A-FF3C-4C5B-9B6D-8A9B7E223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360" w:line="48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A727E"/>
    <w:pPr>
      <w:keepNext/>
      <w:keepLines/>
      <w:spacing w:before="360"/>
      <w:outlineLvl w:val="0"/>
    </w:pPr>
    <w:rPr>
      <w:rFonts w:ascii="Calibri" w:eastAsiaTheme="majorEastAsia" w:hAnsi="Calibri" w:cstheme="majorBidi"/>
      <w:b/>
      <w:color w:val="000000" w:themeColor="text1"/>
      <w:sz w:val="2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0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475B80"/>
    <w:pPr>
      <w:numPr>
        <w:numId w:val="1"/>
      </w:numPr>
    </w:pPr>
  </w:style>
  <w:style w:type="paragraph" w:styleId="ListParagraph">
    <w:name w:val="List Paragraph"/>
    <w:basedOn w:val="Normal"/>
    <w:uiPriority w:val="34"/>
    <w:qFormat/>
    <w:rsid w:val="00475B80"/>
    <w:pPr>
      <w:ind w:left="720"/>
      <w:contextualSpacing/>
    </w:pPr>
  </w:style>
  <w:style w:type="paragraph" w:styleId="FootnoteText">
    <w:name w:val="footnote text"/>
    <w:basedOn w:val="Normal"/>
    <w:link w:val="FootnoteTextChar"/>
    <w:uiPriority w:val="99"/>
    <w:unhideWhenUsed/>
    <w:rsid w:val="00A47B82"/>
    <w:pPr>
      <w:spacing w:after="0" w:line="240" w:lineRule="auto"/>
    </w:pPr>
    <w:rPr>
      <w:sz w:val="20"/>
      <w:szCs w:val="20"/>
    </w:rPr>
  </w:style>
  <w:style w:type="character" w:customStyle="1" w:styleId="FootnoteTextChar">
    <w:name w:val="Footnote Text Char"/>
    <w:basedOn w:val="DefaultParagraphFont"/>
    <w:link w:val="FootnoteText"/>
    <w:uiPriority w:val="99"/>
    <w:rsid w:val="00A47B82"/>
    <w:rPr>
      <w:sz w:val="20"/>
      <w:szCs w:val="20"/>
    </w:rPr>
  </w:style>
  <w:style w:type="character" w:styleId="FootnoteReference">
    <w:name w:val="footnote reference"/>
    <w:aliases w:val="Footnote Reference + Superscript"/>
    <w:basedOn w:val="DefaultParagraphFont"/>
    <w:uiPriority w:val="99"/>
    <w:unhideWhenUsed/>
    <w:qFormat/>
    <w:rsid w:val="00A47B82"/>
    <w:rPr>
      <w:vertAlign w:val="superscript"/>
    </w:rPr>
  </w:style>
  <w:style w:type="paragraph" w:styleId="Header">
    <w:name w:val="header"/>
    <w:basedOn w:val="Normal"/>
    <w:link w:val="HeaderChar"/>
    <w:uiPriority w:val="99"/>
    <w:unhideWhenUsed/>
    <w:rsid w:val="00453A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3AE9"/>
  </w:style>
  <w:style w:type="paragraph" w:styleId="Footer">
    <w:name w:val="footer"/>
    <w:basedOn w:val="Normal"/>
    <w:link w:val="FooterChar"/>
    <w:uiPriority w:val="99"/>
    <w:unhideWhenUsed/>
    <w:rsid w:val="00453A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3AE9"/>
  </w:style>
  <w:style w:type="character" w:customStyle="1" w:styleId="Heading1Char">
    <w:name w:val="Heading 1 Char"/>
    <w:basedOn w:val="DefaultParagraphFont"/>
    <w:link w:val="Heading1"/>
    <w:uiPriority w:val="9"/>
    <w:rsid w:val="005A727E"/>
    <w:rPr>
      <w:rFonts w:ascii="Calibri" w:eastAsiaTheme="majorEastAsia" w:hAnsi="Calibri" w:cstheme="majorBidi"/>
      <w:b/>
      <w:color w:val="000000" w:themeColor="text1"/>
      <w:sz w:val="26"/>
      <w:szCs w:val="32"/>
    </w:rPr>
  </w:style>
  <w:style w:type="paragraph" w:customStyle="1" w:styleId="Default">
    <w:name w:val="Default"/>
    <w:rsid w:val="006C11A3"/>
    <w:pPr>
      <w:autoSpaceDE w:val="0"/>
      <w:autoSpaceDN w:val="0"/>
      <w:adjustRightInd w:val="0"/>
      <w:spacing w:after="0" w:line="240" w:lineRule="auto"/>
      <w:jc w:val="left"/>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9FA69-8873-412C-8128-C1B218F2F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5024</Words>
  <Characters>28639</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Nell</dc:creator>
  <cp:keywords/>
  <dc:description/>
  <cp:lastModifiedBy>Lazarus Rakgwale</cp:lastModifiedBy>
  <cp:revision>2</cp:revision>
  <cp:lastPrinted>2022-05-23T16:46:00Z</cp:lastPrinted>
  <dcterms:created xsi:type="dcterms:W3CDTF">2022-05-25T08:29:00Z</dcterms:created>
  <dcterms:modified xsi:type="dcterms:W3CDTF">2022-05-25T08:29:00Z</dcterms:modified>
</cp:coreProperties>
</file>