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450" w:rsidRDefault="004F4450" w:rsidP="004F4450">
      <w:pPr>
        <w:rPr>
          <w:b/>
          <w:u w:val="none"/>
          <w:lang w:val="en-ZA"/>
        </w:rPr>
      </w:pPr>
      <w:r w:rsidRPr="004F4450">
        <w:rPr>
          <w:color w:val="FF0000"/>
          <w:u w:val="none"/>
        </w:rPr>
        <w:t>Editorial note: Certain information has been redacted from this judgment in compliance with the law.</w:t>
      </w:r>
      <w:bookmarkStart w:id="0" w:name="_GoBack"/>
      <w:bookmarkEnd w:id="0"/>
    </w:p>
    <w:p w:rsidR="00B32AA9" w:rsidRPr="00183CAA" w:rsidRDefault="00B32AA9" w:rsidP="001F3060">
      <w:pPr>
        <w:spacing w:line="360" w:lineRule="auto"/>
        <w:jc w:val="center"/>
        <w:rPr>
          <w:b/>
          <w:u w:val="none"/>
          <w:lang w:val="en-ZA"/>
        </w:rPr>
      </w:pPr>
      <w:r w:rsidRPr="00183CAA">
        <w:rPr>
          <w:b/>
          <w:u w:val="none"/>
          <w:lang w:val="en-ZA"/>
        </w:rPr>
        <w:t>REPUBLIC OF SOUTH AFRICA</w:t>
      </w:r>
    </w:p>
    <w:p w:rsidR="00B32AA9" w:rsidRPr="00183CAA" w:rsidRDefault="00B32AA9" w:rsidP="001F3060">
      <w:pPr>
        <w:spacing w:line="360" w:lineRule="auto"/>
        <w:jc w:val="center"/>
        <w:rPr>
          <w:b/>
          <w:u w:val="none"/>
          <w:lang w:val="en-ZA"/>
        </w:rPr>
      </w:pPr>
      <w:r w:rsidRPr="00183CAA">
        <w:rPr>
          <w:b/>
          <w:u w:val="none"/>
          <w:lang w:val="en-ZA"/>
        </w:rPr>
        <w:t xml:space="preserve">            </w:t>
      </w:r>
      <w:r w:rsidRPr="00183CAA">
        <w:rPr>
          <w:noProof/>
          <w:u w:val="none"/>
          <w:lang w:val="en-ZA" w:eastAsia="en-ZA"/>
        </w:rPr>
        <w:drawing>
          <wp:inline distT="0" distB="0" distL="0" distR="0" wp14:anchorId="28164F41" wp14:editId="7AEB2E93">
            <wp:extent cx="1441450" cy="1441450"/>
            <wp:effectExtent l="0" t="0" r="6350" b="6350"/>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41450" cy="1441450"/>
                    </a:xfrm>
                    <a:prstGeom prst="rect">
                      <a:avLst/>
                    </a:prstGeom>
                    <a:noFill/>
                    <a:ln>
                      <a:noFill/>
                    </a:ln>
                  </pic:spPr>
                </pic:pic>
              </a:graphicData>
            </a:graphic>
          </wp:inline>
        </w:drawing>
      </w:r>
      <w:r w:rsidRPr="00183CAA">
        <w:rPr>
          <w:b/>
          <w:noProof/>
          <w:u w:val="none"/>
          <w:lang w:val="en-ZA" w:eastAsia="en-ZA"/>
        </w:rPr>
        <mc:AlternateContent>
          <mc:Choice Requires="wpc">
            <w:drawing>
              <wp:inline distT="0" distB="0" distL="0" distR="0" wp14:anchorId="2B66C5EC" wp14:editId="20C3C6C7">
                <wp:extent cx="673100" cy="863600"/>
                <wp:effectExtent l="635" t="3175" r="2540" b="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cx1="http://schemas.microsoft.com/office/drawing/2015/9/8/chartex">
            <w:pict>
              <v:group w14:anchorId="44DCDF82" id="Canvas 3" o:spid="_x0000_s1026" editas="canvas" style="width:53pt;height:68pt;mso-position-horizontal-relative:char;mso-position-vertical-relative:line" coordsize="6731,8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G8cvMPbAAAABQEAAA8AAABkcnMv&#10;ZG93bnJldi54bWxMj0FLw0AQhe+C/2EZwYu0m1oNJc2miCCI4MFWocdNdsxGd2dDdtPGf+/US70M&#10;7/GGN9+Um8k7ccAhdoEULOYZCKQmmI5aBe+7p9kKREyajHaBUMEPRthUlxelLkw40hsetqkVXEKx&#10;0ApsSn0hZWwseh3noUfi7DMMXie2QyvNoI9c7p28zbJcet0RX7C6x0eLzfd29Apemvzma1GPe796&#10;/bDLe7d/Trs7pa6vpoc1iIRTOi/DCZ/RoWKmOoxkonAK+JH0N09ZlrOtWSxZyKqU/+mrXwAAAP//&#10;AwBQSwECLQAUAAYACAAAACEAtoM4kv4AAADhAQAAEwAAAAAAAAAAAAAAAAAAAAAAW0NvbnRlbnRf&#10;VHlwZXNdLnhtbFBLAQItABQABgAIAAAAIQA4/SH/1gAAAJQBAAALAAAAAAAAAAAAAAAAAC8BAABf&#10;cmVscy8ucmVsc1BLAQItABQABgAIAAAAIQBh8CCLFAEAAD4CAAAOAAAAAAAAAAAAAAAAAC4CAABk&#10;cnMvZTJvRG9jLnhtbFBLAQItABQABgAIAAAAIQBvHLzD2wAAAAU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31;height:8636;visibility:visible;mso-wrap-style:square">
                  <v:fill o:detectmouseclick="t"/>
                  <v:path o:connecttype="none"/>
                </v:shape>
                <w10:anchorlock/>
              </v:group>
            </w:pict>
          </mc:Fallback>
        </mc:AlternateContent>
      </w:r>
    </w:p>
    <w:p w:rsidR="00B32AA9" w:rsidRPr="00183CAA" w:rsidRDefault="00B32AA9" w:rsidP="001F3060">
      <w:pPr>
        <w:spacing w:line="360" w:lineRule="auto"/>
        <w:jc w:val="center"/>
        <w:rPr>
          <w:b/>
          <w:u w:val="none"/>
          <w:lang w:val="en-ZA"/>
        </w:rPr>
      </w:pPr>
      <w:r w:rsidRPr="00183CAA">
        <w:rPr>
          <w:b/>
          <w:u w:val="none"/>
          <w:lang w:val="en-ZA"/>
        </w:rPr>
        <w:t>IN THE HIGH COURT OF SOUTH AFRICA,</w:t>
      </w:r>
    </w:p>
    <w:p w:rsidR="00B32AA9" w:rsidRPr="00183CAA" w:rsidRDefault="00B32AA9" w:rsidP="001F3060">
      <w:pPr>
        <w:spacing w:line="360" w:lineRule="auto"/>
        <w:jc w:val="center"/>
        <w:rPr>
          <w:b/>
          <w:u w:val="none"/>
          <w:lang w:val="en-ZA"/>
        </w:rPr>
      </w:pPr>
      <w:r w:rsidRPr="00183CAA">
        <w:rPr>
          <w:b/>
          <w:u w:val="none"/>
          <w:lang w:val="en-ZA"/>
        </w:rPr>
        <w:t>GAUTENG LOCAL DIVISION, JOHANNESBURG</w:t>
      </w:r>
    </w:p>
    <w:p w:rsidR="00B32AA9" w:rsidRPr="00183CAA" w:rsidRDefault="00B32AA9" w:rsidP="001F3060">
      <w:pPr>
        <w:spacing w:line="360" w:lineRule="auto"/>
        <w:jc w:val="both"/>
        <w:rPr>
          <w:b/>
          <w:u w:val="none"/>
          <w:lang w:val="en-ZA"/>
        </w:rPr>
      </w:pPr>
    </w:p>
    <w:p w:rsidR="00B32AA9" w:rsidRPr="00183CAA" w:rsidRDefault="00B32AA9" w:rsidP="001F3060">
      <w:pPr>
        <w:spacing w:line="360" w:lineRule="auto"/>
        <w:jc w:val="both"/>
        <w:rPr>
          <w:b/>
          <w:u w:val="none"/>
          <w:lang w:val="en-ZA"/>
        </w:rPr>
      </w:pPr>
    </w:p>
    <w:p w:rsidR="00B32AA9" w:rsidRPr="00183CAA" w:rsidRDefault="00B32AA9" w:rsidP="001F3060">
      <w:pPr>
        <w:spacing w:line="360" w:lineRule="auto"/>
        <w:jc w:val="both"/>
      </w:pPr>
      <w:r w:rsidRPr="00183CAA">
        <w:rPr>
          <w:b/>
          <w:u w:val="none"/>
          <w:lang w:val="en-ZA"/>
        </w:rPr>
        <w:t xml:space="preserve">                                                                                CASE NO:</w:t>
      </w:r>
      <w:r w:rsidRPr="00183CAA">
        <w:rPr>
          <w:noProof/>
          <w:lang w:val="en-ZA" w:eastAsia="en-ZA"/>
        </w:rPr>
        <mc:AlternateContent>
          <mc:Choice Requires="wps">
            <w:drawing>
              <wp:anchor distT="0" distB="0" distL="114300" distR="114300" simplePos="0" relativeHeight="251659264" behindDoc="0" locked="0" layoutInCell="1" allowOverlap="1" wp14:anchorId="11AD842E" wp14:editId="48B4A1EA">
                <wp:simplePos x="0" y="0"/>
                <wp:positionH relativeFrom="column">
                  <wp:posOffset>0</wp:posOffset>
                </wp:positionH>
                <wp:positionV relativeFrom="paragraph">
                  <wp:posOffset>154940</wp:posOffset>
                </wp:positionV>
                <wp:extent cx="3314700" cy="1371600"/>
                <wp:effectExtent l="9525" t="11430" r="952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rsidR="00B32AA9" w:rsidRPr="00913F95" w:rsidRDefault="00B32AA9" w:rsidP="00B32AA9">
                            <w:pPr>
                              <w:jc w:val="center"/>
                              <w:rPr>
                                <w:rFonts w:ascii="Century Gothic" w:hAnsi="Century Gothic"/>
                                <w:b/>
                                <w:sz w:val="20"/>
                                <w:szCs w:val="20"/>
                              </w:rPr>
                            </w:pPr>
                          </w:p>
                          <w:p w:rsidR="00B32AA9" w:rsidRDefault="004F4450" w:rsidP="004F4450">
                            <w:pPr>
                              <w:tabs>
                                <w:tab w:val="left" w:pos="900"/>
                              </w:tabs>
                              <w:ind w:left="900" w:hanging="720"/>
                              <w:rPr>
                                <w:rFonts w:ascii="Century Gothic" w:hAnsi="Century Gothic"/>
                                <w:sz w:val="20"/>
                                <w:szCs w:val="20"/>
                              </w:rPr>
                            </w:pPr>
                            <w:r>
                              <w:rPr>
                                <w:rFonts w:ascii="Century Gothic" w:hAnsi="Century Gothic"/>
                                <w:sz w:val="20"/>
                                <w:szCs w:val="20"/>
                                <w:u w:val="none"/>
                              </w:rPr>
                              <w:t>(1)</w:t>
                            </w:r>
                            <w:r>
                              <w:rPr>
                                <w:rFonts w:ascii="Century Gothic" w:hAnsi="Century Gothic"/>
                                <w:sz w:val="20"/>
                                <w:szCs w:val="20"/>
                                <w:u w:val="none"/>
                              </w:rPr>
                              <w:tab/>
                            </w:r>
                            <w:r w:rsidR="00B32AA9">
                              <w:rPr>
                                <w:rFonts w:ascii="Century Gothic" w:hAnsi="Century Gothic"/>
                                <w:sz w:val="20"/>
                                <w:szCs w:val="20"/>
                              </w:rPr>
                              <w:t>REPORTABLE: NO</w:t>
                            </w:r>
                          </w:p>
                          <w:p w:rsidR="00B32AA9" w:rsidRPr="00913F95" w:rsidRDefault="004F4450" w:rsidP="004F4450">
                            <w:pPr>
                              <w:tabs>
                                <w:tab w:val="left" w:pos="900"/>
                              </w:tabs>
                              <w:ind w:left="900" w:hanging="720"/>
                              <w:rPr>
                                <w:rFonts w:ascii="Century Gothic" w:hAnsi="Century Gothic"/>
                                <w:sz w:val="20"/>
                                <w:szCs w:val="20"/>
                              </w:rPr>
                            </w:pPr>
                            <w:r w:rsidRPr="00913F95">
                              <w:rPr>
                                <w:rFonts w:ascii="Century Gothic" w:hAnsi="Century Gothic"/>
                                <w:sz w:val="20"/>
                                <w:szCs w:val="20"/>
                                <w:u w:val="none"/>
                              </w:rPr>
                              <w:t>(2)</w:t>
                            </w:r>
                            <w:r w:rsidRPr="00913F95">
                              <w:rPr>
                                <w:rFonts w:ascii="Century Gothic" w:hAnsi="Century Gothic"/>
                                <w:sz w:val="20"/>
                                <w:szCs w:val="20"/>
                                <w:u w:val="none"/>
                              </w:rPr>
                              <w:tab/>
                            </w:r>
                            <w:r w:rsidR="00B32AA9" w:rsidRPr="00913F95">
                              <w:rPr>
                                <w:rFonts w:ascii="Century Gothic" w:hAnsi="Century Gothic"/>
                                <w:sz w:val="20"/>
                                <w:szCs w:val="20"/>
                              </w:rPr>
                              <w:t>OF INTEREST TO OTHER JUDGES: NO</w:t>
                            </w:r>
                          </w:p>
                          <w:p w:rsidR="00B32AA9" w:rsidRPr="00913F95" w:rsidRDefault="004F4450" w:rsidP="004F4450">
                            <w:pPr>
                              <w:tabs>
                                <w:tab w:val="left" w:pos="900"/>
                              </w:tabs>
                              <w:ind w:left="900" w:hanging="720"/>
                              <w:rPr>
                                <w:rFonts w:ascii="Century Gothic" w:hAnsi="Century Gothic"/>
                                <w:sz w:val="20"/>
                                <w:szCs w:val="20"/>
                              </w:rPr>
                            </w:pPr>
                            <w:r w:rsidRPr="00913F95">
                              <w:rPr>
                                <w:rFonts w:ascii="Century Gothic" w:hAnsi="Century Gothic"/>
                                <w:sz w:val="20"/>
                                <w:szCs w:val="20"/>
                                <w:u w:val="none"/>
                              </w:rPr>
                              <w:t>(3)</w:t>
                            </w:r>
                            <w:r w:rsidRPr="00913F95">
                              <w:rPr>
                                <w:rFonts w:ascii="Century Gothic" w:hAnsi="Century Gothic"/>
                                <w:sz w:val="20"/>
                                <w:szCs w:val="20"/>
                                <w:u w:val="none"/>
                              </w:rPr>
                              <w:tab/>
                            </w:r>
                            <w:r w:rsidR="00B32AA9" w:rsidRPr="00913F95">
                              <w:rPr>
                                <w:rFonts w:ascii="Century Gothic" w:hAnsi="Century Gothic"/>
                                <w:sz w:val="20"/>
                                <w:szCs w:val="20"/>
                              </w:rPr>
                              <w:t>REVISED</w:t>
                            </w:r>
                            <w:r w:rsidR="00B32AA9">
                              <w:rPr>
                                <w:rFonts w:ascii="Century Gothic" w:hAnsi="Century Gothic"/>
                                <w:sz w:val="20"/>
                                <w:szCs w:val="20"/>
                              </w:rPr>
                              <w:t xml:space="preserve">. </w:t>
                            </w:r>
                          </w:p>
                          <w:p w:rsidR="00B32AA9" w:rsidRDefault="00B32AA9" w:rsidP="00B32AA9">
                            <w:pPr>
                              <w:rPr>
                                <w:rFonts w:ascii="Century Gothic" w:hAnsi="Century Gothic"/>
                                <w:b/>
                                <w:sz w:val="18"/>
                                <w:szCs w:val="18"/>
                              </w:rPr>
                            </w:pPr>
                          </w:p>
                          <w:p w:rsidR="00B32AA9" w:rsidRPr="00084341" w:rsidRDefault="00B32AA9" w:rsidP="00B32AA9">
                            <w:pPr>
                              <w:rPr>
                                <w:rFonts w:ascii="Century Gothic" w:hAnsi="Century Gothic"/>
                                <w:b/>
                                <w:sz w:val="18"/>
                                <w:szCs w:val="18"/>
                                <w:u w:val="none"/>
                              </w:rPr>
                            </w:pPr>
                            <w:r w:rsidRPr="00084341">
                              <w:rPr>
                                <w:rFonts w:ascii="Century Gothic" w:hAnsi="Century Gothic"/>
                                <w:b/>
                                <w:sz w:val="18"/>
                                <w:szCs w:val="18"/>
                                <w:u w:val="none"/>
                              </w:rPr>
                              <w:t xml:space="preserve">         </w:t>
                            </w:r>
                            <w:r>
                              <w:rPr>
                                <w:rFonts w:ascii="Century Gothic" w:hAnsi="Century Gothic"/>
                                <w:b/>
                                <w:sz w:val="18"/>
                                <w:szCs w:val="18"/>
                                <w:u w:val="none"/>
                              </w:rPr>
                              <w:tab/>
                            </w:r>
                            <w:r w:rsidR="00406979">
                              <w:rPr>
                                <w:rFonts w:ascii="Century Gothic" w:hAnsi="Century Gothic"/>
                                <w:b/>
                                <w:sz w:val="18"/>
                                <w:szCs w:val="18"/>
                                <w:u w:val="none"/>
                              </w:rPr>
                              <w:t>24 May</w:t>
                            </w:r>
                            <w:r w:rsidR="00406979">
                              <w:rPr>
                                <w:rFonts w:ascii="Century Gothic" w:hAnsi="Century Gothic"/>
                                <w:b/>
                                <w:sz w:val="18"/>
                                <w:szCs w:val="18"/>
                                <w:u w:val="none"/>
                              </w:rPr>
                              <w:tab/>
                            </w:r>
                            <w:r>
                              <w:rPr>
                                <w:rFonts w:ascii="Century Gothic" w:hAnsi="Century Gothic"/>
                                <w:b/>
                                <w:sz w:val="18"/>
                                <w:szCs w:val="18"/>
                                <w:u w:val="none"/>
                              </w:rPr>
                              <w:t>2022</w:t>
                            </w:r>
                            <w:r w:rsidRPr="00084341">
                              <w:rPr>
                                <w:rFonts w:ascii="Century Gothic" w:hAnsi="Century Gothic"/>
                                <w:b/>
                                <w:sz w:val="18"/>
                                <w:szCs w:val="18"/>
                                <w:u w:val="none"/>
                              </w:rPr>
                              <w:tab/>
                            </w:r>
                            <w:r w:rsidRPr="00084341">
                              <w:rPr>
                                <w:rFonts w:ascii="Century Gothic" w:hAnsi="Century Gothic"/>
                                <w:b/>
                                <w:sz w:val="18"/>
                                <w:szCs w:val="18"/>
                                <w:u w:val="none"/>
                              </w:rPr>
                              <w:tab/>
                              <w:t>………………………...</w:t>
                            </w:r>
                          </w:p>
                          <w:p w:rsidR="00B32AA9" w:rsidRPr="00084341" w:rsidRDefault="00B32AA9" w:rsidP="00B32AA9">
                            <w:pPr>
                              <w:rPr>
                                <w:rFonts w:ascii="Century Gothic" w:hAnsi="Century Gothic"/>
                                <w:sz w:val="18"/>
                                <w:szCs w:val="18"/>
                                <w:u w:val="none"/>
                              </w:rPr>
                            </w:pPr>
                            <w:r w:rsidRPr="00084341">
                              <w:rPr>
                                <w:rFonts w:ascii="Century Gothic" w:hAnsi="Century Gothic"/>
                                <w:sz w:val="18"/>
                                <w:szCs w:val="18"/>
                                <w:u w:val="none"/>
                              </w:rPr>
                              <w:t xml:space="preserve">                   DATE</w:t>
                            </w:r>
                            <w:r w:rsidRPr="00084341">
                              <w:rPr>
                                <w:rFonts w:ascii="Century Gothic" w:hAnsi="Century Gothic"/>
                                <w:sz w:val="18"/>
                                <w:szCs w:val="18"/>
                                <w:u w:val="none"/>
                              </w:rPr>
                              <w:tab/>
                            </w:r>
                            <w:r w:rsidRPr="00084341">
                              <w:rPr>
                                <w:rFonts w:ascii="Century Gothic" w:hAnsi="Century Gothic"/>
                                <w:sz w:val="18"/>
                                <w:szCs w:val="18"/>
                                <w:u w:val="none"/>
                              </w:rPr>
                              <w:tab/>
                            </w:r>
                            <w:r w:rsidRPr="00084341">
                              <w:rPr>
                                <w:rFonts w:ascii="Century Gothic" w:hAnsi="Century Gothic"/>
                                <w:sz w:val="18"/>
                                <w:szCs w:val="18"/>
                                <w:u w:val="none"/>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AD842E" id="_x0000_t202" coordsize="21600,21600" o:spt="202" path="m,l,21600r21600,l21600,xe">
                <v:stroke joinstyle="miter"/>
                <v:path gradientshapeok="t" o:connecttype="rect"/>
              </v:shapetype>
              <v:shape id="Text Box 2" o:spid="_x0000_s1026" type="#_x0000_t202" style="position:absolute;left:0;text-align:left;margin-left:0;margin-top:12.2pt;width:261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eVKQIAAFEEAAAOAAAAZHJzL2Uyb0RvYy54bWysVNtu2zAMfR+wfxD0vviSpBcjTtGlyzCg&#10;uwDtPkCWZVuYLGqSEjv7+lJymma3l2F+EEiROiQPSa9uxl6RvbBOgi5pNkspEZpDLXVb0q+P2zdX&#10;lDjPdM0UaFHSg3D0Zv361WowhcihA1ULSxBEu2IwJe28N0WSON6JnrkZGKHR2IDtmUfVtklt2YDo&#10;vUryNL1IBrC1scCFc3h7NxnpOuI3jeD+c9M44YkqKebm42njWYUzWa9Y0VpmOsmPabB/yKJnUmPQ&#10;E9Qd84zsrPwNqpfcgoPGzzj0CTSN5CLWgNVk6S/VPHTMiFgLkuPMiSb3/2D5p/0XS2Rd0pwSzXps&#10;0aMYPXkLI8kDO4NxBTo9GHTzI15jl2OlztwD/+aIhk3HdCturYWhE6zG7LLwMjl7OuG4AFINH6HG&#10;MGznIQKNje0DdUgGQXTs0uHUmZAKx8v5PFtcpmjiaMvml9kFKiEGK56fG+v8ewE9CUJJLbY+wrP9&#10;vfOT67NLiOZAyXorlYqKbauNsmTPcEy28Tui/+SmNBlKer3MlxMDf4VI4/cniF56nHcl+5JenZxY&#10;EXh7p2tMkxWeSTXJWJ3SRyIDdxOLfqxGdAzsVlAfkFIL01zjHqLQgf1ByYAzXVL3fcesoER90NiW&#10;62yxCEsQlcXyMkfFnluqcwvTHKFK6imZxI2fFmdnrGw7jDQNgoZbbGUjI8kvWR3zxrmNbTruWFiM&#10;cz16vfwJ1k8AAAD//wMAUEsDBBQABgAIAAAAIQCfSzyt3AAAAAcBAAAPAAAAZHJzL2Rvd25yZXYu&#10;eG1sTI/BTsMwEETvSPyDtUhcEHUIoZQQp0JIILhBW8HVjbdJhL0OtpuGv2d7guPMrGbeVsvJWTFi&#10;iL0nBVezDARS401PrYLN+ulyASImTUZbT6jgByMs69OTSpfGH+gdx1VqBZdQLLWCLqWhlDI2HTod&#10;Z35A4mzng9OJZWilCfrA5c7KPMvm0umeeKHTAz522Hyt9k7BongZP+Pr9dtHM9/Zu3RxOz5/B6XO&#10;z6aHexAJp/R3DEd8RoeambZ+TyYKq4AfSQryogDB6U2es7E9GlkBsq7kf/76FwAA//8DAFBLAQIt&#10;ABQABgAIAAAAIQC2gziS/gAAAOEBAAATAAAAAAAAAAAAAAAAAAAAAABbQ29udGVudF9UeXBlc10u&#10;eG1sUEsBAi0AFAAGAAgAAAAhADj9If/WAAAAlAEAAAsAAAAAAAAAAAAAAAAALwEAAF9yZWxzLy5y&#10;ZWxzUEsBAi0AFAAGAAgAAAAhAA8iF5UpAgAAUQQAAA4AAAAAAAAAAAAAAAAALgIAAGRycy9lMm9E&#10;b2MueG1sUEsBAi0AFAAGAAgAAAAhAJ9LPK3cAAAABwEAAA8AAAAAAAAAAAAAAAAAgwQAAGRycy9k&#10;b3ducmV2LnhtbFBLBQYAAAAABAAEAPMAAACMBQAAAAA=&#10;">
                <v:textbox>
                  <w:txbxContent>
                    <w:p w:rsidR="00B32AA9" w:rsidRPr="00913F95" w:rsidRDefault="00B32AA9" w:rsidP="00B32AA9">
                      <w:pPr>
                        <w:jc w:val="center"/>
                        <w:rPr>
                          <w:rFonts w:ascii="Century Gothic" w:hAnsi="Century Gothic"/>
                          <w:b/>
                          <w:sz w:val="20"/>
                          <w:szCs w:val="20"/>
                        </w:rPr>
                      </w:pPr>
                    </w:p>
                    <w:p w:rsidR="00B32AA9" w:rsidRDefault="004F4450" w:rsidP="004F4450">
                      <w:pPr>
                        <w:tabs>
                          <w:tab w:val="left" w:pos="900"/>
                        </w:tabs>
                        <w:ind w:left="900" w:hanging="720"/>
                        <w:rPr>
                          <w:rFonts w:ascii="Century Gothic" w:hAnsi="Century Gothic"/>
                          <w:sz w:val="20"/>
                          <w:szCs w:val="20"/>
                        </w:rPr>
                      </w:pPr>
                      <w:r>
                        <w:rPr>
                          <w:rFonts w:ascii="Century Gothic" w:hAnsi="Century Gothic"/>
                          <w:sz w:val="20"/>
                          <w:szCs w:val="20"/>
                          <w:u w:val="none"/>
                        </w:rPr>
                        <w:t>(1)</w:t>
                      </w:r>
                      <w:r>
                        <w:rPr>
                          <w:rFonts w:ascii="Century Gothic" w:hAnsi="Century Gothic"/>
                          <w:sz w:val="20"/>
                          <w:szCs w:val="20"/>
                          <w:u w:val="none"/>
                        </w:rPr>
                        <w:tab/>
                      </w:r>
                      <w:r w:rsidR="00B32AA9">
                        <w:rPr>
                          <w:rFonts w:ascii="Century Gothic" w:hAnsi="Century Gothic"/>
                          <w:sz w:val="20"/>
                          <w:szCs w:val="20"/>
                        </w:rPr>
                        <w:t>REPORTABLE: NO</w:t>
                      </w:r>
                    </w:p>
                    <w:p w:rsidR="00B32AA9" w:rsidRPr="00913F95" w:rsidRDefault="004F4450" w:rsidP="004F4450">
                      <w:pPr>
                        <w:tabs>
                          <w:tab w:val="left" w:pos="900"/>
                        </w:tabs>
                        <w:ind w:left="900" w:hanging="720"/>
                        <w:rPr>
                          <w:rFonts w:ascii="Century Gothic" w:hAnsi="Century Gothic"/>
                          <w:sz w:val="20"/>
                          <w:szCs w:val="20"/>
                        </w:rPr>
                      </w:pPr>
                      <w:r w:rsidRPr="00913F95">
                        <w:rPr>
                          <w:rFonts w:ascii="Century Gothic" w:hAnsi="Century Gothic"/>
                          <w:sz w:val="20"/>
                          <w:szCs w:val="20"/>
                          <w:u w:val="none"/>
                        </w:rPr>
                        <w:t>(2)</w:t>
                      </w:r>
                      <w:r w:rsidRPr="00913F95">
                        <w:rPr>
                          <w:rFonts w:ascii="Century Gothic" w:hAnsi="Century Gothic"/>
                          <w:sz w:val="20"/>
                          <w:szCs w:val="20"/>
                          <w:u w:val="none"/>
                        </w:rPr>
                        <w:tab/>
                      </w:r>
                      <w:r w:rsidR="00B32AA9" w:rsidRPr="00913F95">
                        <w:rPr>
                          <w:rFonts w:ascii="Century Gothic" w:hAnsi="Century Gothic"/>
                          <w:sz w:val="20"/>
                          <w:szCs w:val="20"/>
                        </w:rPr>
                        <w:t>OF INTEREST TO OTHER JUDGES: NO</w:t>
                      </w:r>
                    </w:p>
                    <w:p w:rsidR="00B32AA9" w:rsidRPr="00913F95" w:rsidRDefault="004F4450" w:rsidP="004F4450">
                      <w:pPr>
                        <w:tabs>
                          <w:tab w:val="left" w:pos="900"/>
                        </w:tabs>
                        <w:ind w:left="900" w:hanging="720"/>
                        <w:rPr>
                          <w:rFonts w:ascii="Century Gothic" w:hAnsi="Century Gothic"/>
                          <w:sz w:val="20"/>
                          <w:szCs w:val="20"/>
                        </w:rPr>
                      </w:pPr>
                      <w:r w:rsidRPr="00913F95">
                        <w:rPr>
                          <w:rFonts w:ascii="Century Gothic" w:hAnsi="Century Gothic"/>
                          <w:sz w:val="20"/>
                          <w:szCs w:val="20"/>
                          <w:u w:val="none"/>
                        </w:rPr>
                        <w:t>(3)</w:t>
                      </w:r>
                      <w:r w:rsidRPr="00913F95">
                        <w:rPr>
                          <w:rFonts w:ascii="Century Gothic" w:hAnsi="Century Gothic"/>
                          <w:sz w:val="20"/>
                          <w:szCs w:val="20"/>
                          <w:u w:val="none"/>
                        </w:rPr>
                        <w:tab/>
                      </w:r>
                      <w:r w:rsidR="00B32AA9" w:rsidRPr="00913F95">
                        <w:rPr>
                          <w:rFonts w:ascii="Century Gothic" w:hAnsi="Century Gothic"/>
                          <w:sz w:val="20"/>
                          <w:szCs w:val="20"/>
                        </w:rPr>
                        <w:t>REVISED</w:t>
                      </w:r>
                      <w:r w:rsidR="00B32AA9">
                        <w:rPr>
                          <w:rFonts w:ascii="Century Gothic" w:hAnsi="Century Gothic"/>
                          <w:sz w:val="20"/>
                          <w:szCs w:val="20"/>
                        </w:rPr>
                        <w:t xml:space="preserve">. </w:t>
                      </w:r>
                    </w:p>
                    <w:p w:rsidR="00B32AA9" w:rsidRDefault="00B32AA9" w:rsidP="00B32AA9">
                      <w:pPr>
                        <w:rPr>
                          <w:rFonts w:ascii="Century Gothic" w:hAnsi="Century Gothic"/>
                          <w:b/>
                          <w:sz w:val="18"/>
                          <w:szCs w:val="18"/>
                        </w:rPr>
                      </w:pPr>
                    </w:p>
                    <w:p w:rsidR="00B32AA9" w:rsidRPr="00084341" w:rsidRDefault="00B32AA9" w:rsidP="00B32AA9">
                      <w:pPr>
                        <w:rPr>
                          <w:rFonts w:ascii="Century Gothic" w:hAnsi="Century Gothic"/>
                          <w:b/>
                          <w:sz w:val="18"/>
                          <w:szCs w:val="18"/>
                          <w:u w:val="none"/>
                        </w:rPr>
                      </w:pPr>
                      <w:r w:rsidRPr="00084341">
                        <w:rPr>
                          <w:rFonts w:ascii="Century Gothic" w:hAnsi="Century Gothic"/>
                          <w:b/>
                          <w:sz w:val="18"/>
                          <w:szCs w:val="18"/>
                          <w:u w:val="none"/>
                        </w:rPr>
                        <w:t xml:space="preserve">         </w:t>
                      </w:r>
                      <w:r>
                        <w:rPr>
                          <w:rFonts w:ascii="Century Gothic" w:hAnsi="Century Gothic"/>
                          <w:b/>
                          <w:sz w:val="18"/>
                          <w:szCs w:val="18"/>
                          <w:u w:val="none"/>
                        </w:rPr>
                        <w:tab/>
                      </w:r>
                      <w:r w:rsidR="00406979">
                        <w:rPr>
                          <w:rFonts w:ascii="Century Gothic" w:hAnsi="Century Gothic"/>
                          <w:b/>
                          <w:sz w:val="18"/>
                          <w:szCs w:val="18"/>
                          <w:u w:val="none"/>
                        </w:rPr>
                        <w:t>24 May</w:t>
                      </w:r>
                      <w:r w:rsidR="00406979">
                        <w:rPr>
                          <w:rFonts w:ascii="Century Gothic" w:hAnsi="Century Gothic"/>
                          <w:b/>
                          <w:sz w:val="18"/>
                          <w:szCs w:val="18"/>
                          <w:u w:val="none"/>
                        </w:rPr>
                        <w:tab/>
                      </w:r>
                      <w:r>
                        <w:rPr>
                          <w:rFonts w:ascii="Century Gothic" w:hAnsi="Century Gothic"/>
                          <w:b/>
                          <w:sz w:val="18"/>
                          <w:szCs w:val="18"/>
                          <w:u w:val="none"/>
                        </w:rPr>
                        <w:t>2022</w:t>
                      </w:r>
                      <w:r w:rsidRPr="00084341">
                        <w:rPr>
                          <w:rFonts w:ascii="Century Gothic" w:hAnsi="Century Gothic"/>
                          <w:b/>
                          <w:sz w:val="18"/>
                          <w:szCs w:val="18"/>
                          <w:u w:val="none"/>
                        </w:rPr>
                        <w:tab/>
                      </w:r>
                      <w:r w:rsidRPr="00084341">
                        <w:rPr>
                          <w:rFonts w:ascii="Century Gothic" w:hAnsi="Century Gothic"/>
                          <w:b/>
                          <w:sz w:val="18"/>
                          <w:szCs w:val="18"/>
                          <w:u w:val="none"/>
                        </w:rPr>
                        <w:tab/>
                        <w:t>………………………...</w:t>
                      </w:r>
                    </w:p>
                    <w:p w:rsidR="00B32AA9" w:rsidRPr="00084341" w:rsidRDefault="00B32AA9" w:rsidP="00B32AA9">
                      <w:pPr>
                        <w:rPr>
                          <w:rFonts w:ascii="Century Gothic" w:hAnsi="Century Gothic"/>
                          <w:sz w:val="18"/>
                          <w:szCs w:val="18"/>
                          <w:u w:val="none"/>
                        </w:rPr>
                      </w:pPr>
                      <w:r w:rsidRPr="00084341">
                        <w:rPr>
                          <w:rFonts w:ascii="Century Gothic" w:hAnsi="Century Gothic"/>
                          <w:sz w:val="18"/>
                          <w:szCs w:val="18"/>
                          <w:u w:val="none"/>
                        </w:rPr>
                        <w:t xml:space="preserve">                   DATE</w:t>
                      </w:r>
                      <w:r w:rsidRPr="00084341">
                        <w:rPr>
                          <w:rFonts w:ascii="Century Gothic" w:hAnsi="Century Gothic"/>
                          <w:sz w:val="18"/>
                          <w:szCs w:val="18"/>
                          <w:u w:val="none"/>
                        </w:rPr>
                        <w:tab/>
                      </w:r>
                      <w:r w:rsidRPr="00084341">
                        <w:rPr>
                          <w:rFonts w:ascii="Century Gothic" w:hAnsi="Century Gothic"/>
                          <w:sz w:val="18"/>
                          <w:szCs w:val="18"/>
                          <w:u w:val="none"/>
                        </w:rPr>
                        <w:tab/>
                      </w:r>
                      <w:r w:rsidRPr="00084341">
                        <w:rPr>
                          <w:rFonts w:ascii="Century Gothic" w:hAnsi="Century Gothic"/>
                          <w:sz w:val="18"/>
                          <w:szCs w:val="18"/>
                          <w:u w:val="none"/>
                        </w:rPr>
                        <w:tab/>
                        <w:t xml:space="preserve">        SIGNATURE</w:t>
                      </w:r>
                    </w:p>
                  </w:txbxContent>
                </v:textbox>
              </v:shape>
            </w:pict>
          </mc:Fallback>
        </mc:AlternateContent>
      </w:r>
      <w:r w:rsidRPr="00183CAA">
        <w:rPr>
          <w:b/>
          <w:u w:val="none"/>
          <w:lang w:val="en-ZA"/>
        </w:rPr>
        <w:t xml:space="preserve">  17226/2021</w:t>
      </w:r>
    </w:p>
    <w:p w:rsidR="00B32AA9" w:rsidRPr="00183CAA" w:rsidRDefault="00B32AA9" w:rsidP="001F3060">
      <w:pPr>
        <w:spacing w:line="360" w:lineRule="auto"/>
        <w:jc w:val="both"/>
      </w:pPr>
    </w:p>
    <w:p w:rsidR="00B32AA9" w:rsidRPr="00183CAA" w:rsidRDefault="00B32AA9" w:rsidP="001F3060">
      <w:pPr>
        <w:spacing w:line="360" w:lineRule="auto"/>
        <w:jc w:val="both"/>
      </w:pPr>
    </w:p>
    <w:p w:rsidR="00B32AA9" w:rsidRPr="00183CAA" w:rsidRDefault="00B32AA9" w:rsidP="001F3060">
      <w:pPr>
        <w:spacing w:line="360" w:lineRule="auto"/>
        <w:jc w:val="both"/>
      </w:pPr>
    </w:p>
    <w:p w:rsidR="00B32AA9" w:rsidRPr="00183CAA" w:rsidRDefault="00B32AA9" w:rsidP="001F3060">
      <w:pPr>
        <w:spacing w:line="360" w:lineRule="auto"/>
        <w:jc w:val="both"/>
      </w:pPr>
    </w:p>
    <w:p w:rsidR="00B32AA9" w:rsidRPr="00183CAA" w:rsidRDefault="00B32AA9" w:rsidP="001F3060">
      <w:pPr>
        <w:spacing w:line="360" w:lineRule="auto"/>
        <w:jc w:val="both"/>
      </w:pPr>
    </w:p>
    <w:p w:rsidR="00B32AA9" w:rsidRPr="00183CAA" w:rsidRDefault="00B32AA9" w:rsidP="001F3060">
      <w:pPr>
        <w:spacing w:line="360" w:lineRule="auto"/>
        <w:jc w:val="both"/>
      </w:pPr>
    </w:p>
    <w:p w:rsidR="00B32AA9" w:rsidRPr="00183CAA" w:rsidRDefault="00B32AA9" w:rsidP="001F3060">
      <w:pPr>
        <w:spacing w:line="360" w:lineRule="auto"/>
        <w:jc w:val="both"/>
        <w:rPr>
          <w:u w:val="none"/>
        </w:rPr>
      </w:pPr>
    </w:p>
    <w:p w:rsidR="00B32AA9" w:rsidRPr="00183CAA" w:rsidRDefault="00B32AA9" w:rsidP="001F3060">
      <w:pPr>
        <w:spacing w:line="360" w:lineRule="auto"/>
        <w:jc w:val="both"/>
        <w:rPr>
          <w:u w:val="none"/>
        </w:rPr>
      </w:pPr>
      <w:r w:rsidRPr="00183CAA">
        <w:rPr>
          <w:u w:val="none"/>
        </w:rPr>
        <w:t>In the matter between:</w:t>
      </w:r>
    </w:p>
    <w:p w:rsidR="00B32AA9" w:rsidRPr="00183CAA" w:rsidRDefault="00B32AA9" w:rsidP="001F3060">
      <w:pPr>
        <w:spacing w:line="360" w:lineRule="auto"/>
        <w:jc w:val="both"/>
        <w:rPr>
          <w:b/>
          <w:u w:val="none"/>
        </w:rPr>
      </w:pPr>
      <w:r w:rsidRPr="00183CAA">
        <w:rPr>
          <w:b/>
          <w:u w:val="none"/>
        </w:rPr>
        <w:tab/>
      </w:r>
      <w:r w:rsidRPr="00183CAA">
        <w:rPr>
          <w:b/>
          <w:u w:val="none"/>
        </w:rPr>
        <w:tab/>
      </w:r>
      <w:r w:rsidRPr="00183CAA">
        <w:rPr>
          <w:b/>
          <w:u w:val="none"/>
        </w:rPr>
        <w:tab/>
      </w:r>
      <w:r w:rsidRPr="00183CAA">
        <w:rPr>
          <w:b/>
          <w:u w:val="none"/>
        </w:rPr>
        <w:tab/>
        <w:t xml:space="preserve">         </w:t>
      </w:r>
    </w:p>
    <w:p w:rsidR="00B32AA9" w:rsidRPr="00183CAA" w:rsidRDefault="00B32AA9" w:rsidP="001F3060">
      <w:pPr>
        <w:spacing w:line="360" w:lineRule="auto"/>
        <w:jc w:val="both"/>
        <w:rPr>
          <w:b/>
          <w:u w:val="none"/>
        </w:rPr>
      </w:pPr>
      <w:r w:rsidRPr="00183CAA">
        <w:rPr>
          <w:b/>
          <w:u w:val="none"/>
        </w:rPr>
        <w:t xml:space="preserve">MIDRAND RENTAL COMPANY (PTY) LTD </w:t>
      </w:r>
      <w:r w:rsidRPr="00183CAA">
        <w:rPr>
          <w:b/>
          <w:u w:val="none"/>
        </w:rPr>
        <w:tab/>
      </w:r>
      <w:r w:rsidRPr="00183CAA">
        <w:rPr>
          <w:u w:val="none"/>
        </w:rPr>
        <w:tab/>
      </w:r>
      <w:r w:rsidRPr="00183CAA">
        <w:rPr>
          <w:u w:val="none"/>
        </w:rPr>
        <w:tab/>
        <w:t>Applicant</w:t>
      </w:r>
    </w:p>
    <w:p w:rsidR="00B32AA9" w:rsidRPr="00183CAA" w:rsidRDefault="00B32AA9" w:rsidP="001F3060">
      <w:pPr>
        <w:pBdr>
          <w:bottom w:val="single" w:sz="12" w:space="1" w:color="auto"/>
        </w:pBdr>
        <w:spacing w:line="360" w:lineRule="auto"/>
        <w:jc w:val="both"/>
        <w:rPr>
          <w:b/>
          <w:u w:val="none"/>
        </w:rPr>
      </w:pPr>
      <w:r w:rsidRPr="00183CAA">
        <w:rPr>
          <w:b/>
          <w:u w:val="none"/>
        </w:rPr>
        <w:t>(Registration Number: 2013/205992/07)</w:t>
      </w:r>
      <w:r w:rsidRPr="00183CAA">
        <w:rPr>
          <w:b/>
          <w:u w:val="none"/>
        </w:rPr>
        <w:tab/>
      </w:r>
      <w:r w:rsidRPr="00183CAA">
        <w:rPr>
          <w:b/>
          <w:u w:val="none"/>
        </w:rPr>
        <w:tab/>
      </w:r>
      <w:r w:rsidRPr="00183CAA">
        <w:rPr>
          <w:b/>
          <w:u w:val="none"/>
        </w:rPr>
        <w:tab/>
      </w:r>
      <w:r w:rsidRPr="00183CAA">
        <w:rPr>
          <w:b/>
          <w:u w:val="none"/>
        </w:rPr>
        <w:tab/>
      </w:r>
    </w:p>
    <w:p w:rsidR="00B32AA9" w:rsidRPr="00183CAA" w:rsidRDefault="00B32AA9" w:rsidP="001F3060">
      <w:pPr>
        <w:pBdr>
          <w:bottom w:val="single" w:sz="12" w:space="1" w:color="auto"/>
        </w:pBdr>
        <w:spacing w:line="360" w:lineRule="auto"/>
        <w:jc w:val="both"/>
        <w:rPr>
          <w:b/>
          <w:u w:val="none"/>
        </w:rPr>
      </w:pPr>
      <w:r w:rsidRPr="00183CAA">
        <w:rPr>
          <w:u w:val="none"/>
        </w:rPr>
        <w:t>And</w:t>
      </w:r>
    </w:p>
    <w:p w:rsidR="00B32AA9" w:rsidRPr="00183CAA" w:rsidRDefault="00B32AA9" w:rsidP="001F3060">
      <w:pPr>
        <w:pBdr>
          <w:bottom w:val="single" w:sz="12" w:space="1" w:color="auto"/>
        </w:pBdr>
        <w:spacing w:line="360" w:lineRule="auto"/>
        <w:jc w:val="both"/>
        <w:rPr>
          <w:u w:val="none"/>
        </w:rPr>
      </w:pPr>
      <w:r w:rsidRPr="00183CAA">
        <w:rPr>
          <w:b/>
          <w:u w:val="none"/>
        </w:rPr>
        <w:t>KAGISO KOBOEKAE</w:t>
      </w:r>
      <w:r w:rsidRPr="00183CAA">
        <w:rPr>
          <w:u w:val="none"/>
        </w:rPr>
        <w:t xml:space="preserve"> </w:t>
      </w:r>
      <w:r w:rsidRPr="00183CAA">
        <w:rPr>
          <w:u w:val="none"/>
        </w:rPr>
        <w:tab/>
      </w:r>
      <w:r w:rsidRPr="00183CAA">
        <w:rPr>
          <w:u w:val="none"/>
        </w:rPr>
        <w:tab/>
      </w:r>
      <w:r w:rsidRPr="00183CAA">
        <w:rPr>
          <w:u w:val="none"/>
        </w:rPr>
        <w:tab/>
      </w:r>
      <w:r w:rsidRPr="00183CAA">
        <w:rPr>
          <w:u w:val="none"/>
        </w:rPr>
        <w:tab/>
      </w:r>
      <w:r w:rsidRPr="00183CAA">
        <w:rPr>
          <w:u w:val="none"/>
        </w:rPr>
        <w:tab/>
      </w:r>
      <w:r w:rsidRPr="00183CAA">
        <w:rPr>
          <w:u w:val="none"/>
        </w:rPr>
        <w:tab/>
        <w:t>Respondent</w:t>
      </w:r>
    </w:p>
    <w:p w:rsidR="00AD51C1" w:rsidRPr="00183CAA" w:rsidRDefault="00B32AA9" w:rsidP="001F3060">
      <w:pPr>
        <w:pBdr>
          <w:bottom w:val="single" w:sz="12" w:space="1" w:color="auto"/>
        </w:pBdr>
        <w:spacing w:line="360" w:lineRule="auto"/>
        <w:jc w:val="both"/>
        <w:rPr>
          <w:b/>
          <w:u w:val="none"/>
        </w:rPr>
      </w:pPr>
      <w:r w:rsidRPr="00183CAA">
        <w:rPr>
          <w:b/>
          <w:u w:val="none"/>
        </w:rPr>
        <w:t xml:space="preserve">(Identity Number: </w:t>
      </w:r>
      <w:r w:rsidR="004F4450">
        <w:rPr>
          <w:b/>
          <w:u w:val="none"/>
        </w:rPr>
        <w:t>[…]</w:t>
      </w:r>
      <w:r w:rsidRPr="00183CAA">
        <w:rPr>
          <w:b/>
          <w:u w:val="none"/>
        </w:rPr>
        <w:t>)</w:t>
      </w:r>
      <w:r w:rsidRPr="00183CAA">
        <w:rPr>
          <w:b/>
          <w:u w:val="none"/>
        </w:rPr>
        <w:tab/>
      </w:r>
    </w:p>
    <w:p w:rsidR="00B32AA9" w:rsidRPr="00183CAA" w:rsidRDefault="00B32AA9" w:rsidP="001F3060">
      <w:pPr>
        <w:pBdr>
          <w:bottom w:val="single" w:sz="12" w:space="1" w:color="auto"/>
        </w:pBdr>
        <w:spacing w:line="360" w:lineRule="auto"/>
        <w:jc w:val="both"/>
        <w:rPr>
          <w:b/>
          <w:u w:val="none"/>
        </w:rPr>
      </w:pPr>
    </w:p>
    <w:p w:rsidR="00B32AA9" w:rsidRPr="00183CAA" w:rsidRDefault="00B32AA9" w:rsidP="001F3060">
      <w:pPr>
        <w:pBdr>
          <w:bottom w:val="single" w:sz="12" w:space="1" w:color="auto"/>
        </w:pBdr>
        <w:spacing w:line="360" w:lineRule="auto"/>
        <w:jc w:val="both"/>
        <w:rPr>
          <w:sz w:val="18"/>
          <w:szCs w:val="18"/>
          <w:u w:val="none"/>
        </w:rPr>
      </w:pPr>
      <w:r w:rsidRPr="00183CAA">
        <w:rPr>
          <w:sz w:val="18"/>
          <w:szCs w:val="18"/>
          <w:u w:val="none"/>
        </w:rPr>
        <w:t>This judgment is handed down electronically by circulation to the parties’ legal representatives by email and by uploading it to the electronic file of this matter on CaseLines. The date for hand-down is deem</w:t>
      </w:r>
      <w:r w:rsidR="00406979">
        <w:rPr>
          <w:sz w:val="18"/>
          <w:szCs w:val="18"/>
          <w:u w:val="none"/>
        </w:rPr>
        <w:t xml:space="preserve">ed to be 24 May </w:t>
      </w:r>
      <w:r w:rsidRPr="00183CAA">
        <w:rPr>
          <w:sz w:val="18"/>
          <w:szCs w:val="18"/>
          <w:u w:val="none"/>
        </w:rPr>
        <w:t>2022.</w:t>
      </w:r>
    </w:p>
    <w:p w:rsidR="00B32AA9" w:rsidRPr="00183CAA" w:rsidRDefault="00B32AA9" w:rsidP="001F3060">
      <w:pPr>
        <w:spacing w:line="360" w:lineRule="auto"/>
        <w:rPr>
          <w:b/>
          <w:u w:val="none"/>
        </w:rPr>
      </w:pPr>
    </w:p>
    <w:p w:rsidR="00B32AA9" w:rsidRPr="00183CAA" w:rsidRDefault="00B32AA9" w:rsidP="001F3060">
      <w:pPr>
        <w:pBdr>
          <w:bottom w:val="single" w:sz="12" w:space="1" w:color="auto"/>
        </w:pBdr>
        <w:spacing w:line="360" w:lineRule="auto"/>
        <w:jc w:val="center"/>
        <w:rPr>
          <w:u w:val="none"/>
        </w:rPr>
      </w:pPr>
      <w:r w:rsidRPr="00183CAA">
        <w:rPr>
          <w:b/>
          <w:u w:val="none"/>
        </w:rPr>
        <w:t>JUDGMENT</w:t>
      </w:r>
    </w:p>
    <w:p w:rsidR="00B32AA9" w:rsidRDefault="00B32AA9" w:rsidP="001F3060">
      <w:pPr>
        <w:spacing w:before="180" w:line="360" w:lineRule="auto"/>
        <w:ind w:left="720" w:hanging="720"/>
        <w:jc w:val="both"/>
        <w:rPr>
          <w:b/>
          <w:u w:val="none"/>
        </w:rPr>
      </w:pPr>
      <w:r w:rsidRPr="00183CAA">
        <w:rPr>
          <w:b/>
          <w:u w:val="none"/>
        </w:rPr>
        <w:lastRenderedPageBreak/>
        <w:t>MIA, J</w:t>
      </w:r>
    </w:p>
    <w:p w:rsidR="00AB74D7" w:rsidRPr="00183CAA" w:rsidRDefault="00AB74D7" w:rsidP="001F3060">
      <w:pPr>
        <w:spacing w:before="180" w:line="360" w:lineRule="auto"/>
        <w:ind w:left="720" w:hanging="720"/>
        <w:jc w:val="both"/>
        <w:rPr>
          <w:b/>
          <w:u w:val="none"/>
        </w:rPr>
      </w:pPr>
      <w:r>
        <w:rPr>
          <w:b/>
          <w:u w:val="none"/>
        </w:rPr>
        <w:tab/>
        <w:t>INTRODUCTION</w:t>
      </w:r>
    </w:p>
    <w:p w:rsidR="00E50C14" w:rsidRDefault="005C751B" w:rsidP="00864D51">
      <w:pPr>
        <w:widowControl w:val="0"/>
        <w:tabs>
          <w:tab w:val="left" w:pos="792"/>
        </w:tabs>
        <w:autoSpaceDE w:val="0"/>
        <w:autoSpaceDN w:val="0"/>
        <w:adjustRightInd w:val="0"/>
        <w:spacing w:before="441" w:line="360" w:lineRule="auto"/>
        <w:ind w:left="715" w:hanging="650"/>
        <w:jc w:val="both"/>
        <w:rPr>
          <w:u w:val="none"/>
        </w:rPr>
      </w:pPr>
      <w:r w:rsidRPr="00183CAA">
        <w:rPr>
          <w:u w:val="none"/>
        </w:rPr>
        <w:t>[1]</w:t>
      </w:r>
      <w:r w:rsidRPr="00183CAA">
        <w:rPr>
          <w:b/>
          <w:u w:val="none"/>
        </w:rPr>
        <w:tab/>
      </w:r>
      <w:r w:rsidR="00183CAA" w:rsidRPr="00183CAA">
        <w:rPr>
          <w:u w:val="none"/>
        </w:rPr>
        <w:t xml:space="preserve">The application before </w:t>
      </w:r>
      <w:r w:rsidR="00183CAA">
        <w:rPr>
          <w:u w:val="none"/>
        </w:rPr>
        <w:t>the c</w:t>
      </w:r>
      <w:r w:rsidR="00183CAA" w:rsidRPr="00183CAA">
        <w:rPr>
          <w:u w:val="none"/>
        </w:rPr>
        <w:t>ourt is an application to strike out and to set</w:t>
      </w:r>
      <w:r w:rsidR="00C91025">
        <w:rPr>
          <w:u w:val="none"/>
        </w:rPr>
        <w:t xml:space="preserve"> aside or </w:t>
      </w:r>
      <w:r w:rsidR="00183CAA" w:rsidRPr="00183CAA">
        <w:rPr>
          <w:u w:val="none"/>
        </w:rPr>
        <w:t xml:space="preserve">dismiss the </w:t>
      </w:r>
      <w:r w:rsidR="00183CAA">
        <w:rPr>
          <w:u w:val="none"/>
        </w:rPr>
        <w:t xml:space="preserve">respondent’s </w:t>
      </w:r>
      <w:r w:rsidR="00C91025">
        <w:rPr>
          <w:u w:val="none"/>
        </w:rPr>
        <w:t>“</w:t>
      </w:r>
      <w:r w:rsidR="00183CAA" w:rsidRPr="00183CAA">
        <w:rPr>
          <w:u w:val="none"/>
        </w:rPr>
        <w:t>Application for Appeal Date</w:t>
      </w:r>
      <w:r w:rsidR="00C91025">
        <w:rPr>
          <w:u w:val="none"/>
        </w:rPr>
        <w:t>”</w:t>
      </w:r>
      <w:r w:rsidR="00183CAA" w:rsidRPr="00183CAA">
        <w:rPr>
          <w:u w:val="none"/>
        </w:rPr>
        <w:t xml:space="preserve"> </w:t>
      </w:r>
      <w:r w:rsidR="00183CAA">
        <w:rPr>
          <w:u w:val="none"/>
        </w:rPr>
        <w:t xml:space="preserve">which is </w:t>
      </w:r>
      <w:r w:rsidR="00183CAA" w:rsidRPr="00183CAA">
        <w:rPr>
          <w:u w:val="none"/>
        </w:rPr>
        <w:t>dated 9 December 2020 and</w:t>
      </w:r>
      <w:r w:rsidR="00183CAA">
        <w:rPr>
          <w:u w:val="none"/>
        </w:rPr>
        <w:t xml:space="preserve"> was </w:t>
      </w:r>
      <w:r w:rsidR="00183CAA" w:rsidRPr="00183CAA">
        <w:rPr>
          <w:u w:val="none"/>
        </w:rPr>
        <w:t xml:space="preserve">issued </w:t>
      </w:r>
      <w:r w:rsidR="00C91025">
        <w:rPr>
          <w:u w:val="none"/>
        </w:rPr>
        <w:t xml:space="preserve">on </w:t>
      </w:r>
      <w:r w:rsidR="00183CAA" w:rsidRPr="00183CAA">
        <w:rPr>
          <w:u w:val="none"/>
        </w:rPr>
        <w:t>10 December 2020</w:t>
      </w:r>
      <w:r w:rsidR="00183CAA">
        <w:rPr>
          <w:u w:val="none"/>
        </w:rPr>
        <w:t xml:space="preserve">. The respondent’s </w:t>
      </w:r>
      <w:r w:rsidR="00F60C87">
        <w:rPr>
          <w:u w:val="none"/>
        </w:rPr>
        <w:t>“</w:t>
      </w:r>
      <w:r w:rsidR="00183CAA" w:rsidRPr="00183CAA">
        <w:rPr>
          <w:u w:val="none"/>
        </w:rPr>
        <w:t>Notice of Leave to Appeal</w:t>
      </w:r>
      <w:r w:rsidR="00F60C87">
        <w:rPr>
          <w:u w:val="none"/>
        </w:rPr>
        <w:t>”</w:t>
      </w:r>
      <w:r w:rsidR="00183CAA">
        <w:rPr>
          <w:u w:val="none"/>
        </w:rPr>
        <w:t xml:space="preserve"> also titled “Judg</w:t>
      </w:r>
      <w:r w:rsidR="00183CAA" w:rsidRPr="00183CAA">
        <w:rPr>
          <w:u w:val="none"/>
        </w:rPr>
        <w:t xml:space="preserve">ment” </w:t>
      </w:r>
      <w:r w:rsidR="00183CAA">
        <w:rPr>
          <w:u w:val="none"/>
        </w:rPr>
        <w:t xml:space="preserve">was </w:t>
      </w:r>
      <w:r w:rsidR="00183CAA" w:rsidRPr="00183CAA">
        <w:rPr>
          <w:u w:val="none"/>
        </w:rPr>
        <w:t>dated 9 December 2020 and the “Notice to Appeal”</w:t>
      </w:r>
      <w:r w:rsidR="00183CAA">
        <w:rPr>
          <w:u w:val="none"/>
        </w:rPr>
        <w:t xml:space="preserve"> was</w:t>
      </w:r>
      <w:r w:rsidR="00183CAA" w:rsidRPr="00183CAA">
        <w:rPr>
          <w:u w:val="none"/>
        </w:rPr>
        <w:t xml:space="preserve"> dated 17 December 2020.</w:t>
      </w:r>
      <w:r w:rsidR="00183CAA">
        <w:rPr>
          <w:u w:val="none"/>
        </w:rPr>
        <w:t xml:space="preserve"> It is collectively referred to as the </w:t>
      </w:r>
      <w:r w:rsidR="002832DE">
        <w:rPr>
          <w:u w:val="none"/>
        </w:rPr>
        <w:t>“</w:t>
      </w:r>
      <w:r w:rsidR="00183CAA">
        <w:rPr>
          <w:u w:val="none"/>
        </w:rPr>
        <w:t>leave to appeal</w:t>
      </w:r>
      <w:r w:rsidR="002832DE">
        <w:rPr>
          <w:u w:val="none"/>
        </w:rPr>
        <w:t>”</w:t>
      </w:r>
      <w:r w:rsidR="00183CAA">
        <w:rPr>
          <w:u w:val="none"/>
        </w:rPr>
        <w:t>. The respondent’s leave to appeal lapsed on 15 February 2021</w:t>
      </w:r>
      <w:r w:rsidR="00C91025">
        <w:rPr>
          <w:u w:val="none"/>
        </w:rPr>
        <w:t xml:space="preserve"> as the respondent did not </w:t>
      </w:r>
      <w:r w:rsidR="00183CAA">
        <w:rPr>
          <w:u w:val="none"/>
        </w:rPr>
        <w:t>prosecute</w:t>
      </w:r>
      <w:r w:rsidR="00C91025">
        <w:rPr>
          <w:u w:val="none"/>
        </w:rPr>
        <w:t xml:space="preserve"> the </w:t>
      </w:r>
      <w:r w:rsidR="002832DE">
        <w:rPr>
          <w:u w:val="none"/>
        </w:rPr>
        <w:t xml:space="preserve">appeal </w:t>
      </w:r>
      <w:r w:rsidR="00183CAA">
        <w:rPr>
          <w:u w:val="none"/>
        </w:rPr>
        <w:t>within the time required. The applicant served the present application to strike out</w:t>
      </w:r>
      <w:r w:rsidR="002832DE">
        <w:rPr>
          <w:u w:val="none"/>
        </w:rPr>
        <w:t xml:space="preserve"> on 25 May 2021. The matter was </w:t>
      </w:r>
      <w:r w:rsidR="00183CAA">
        <w:rPr>
          <w:u w:val="none"/>
        </w:rPr>
        <w:t>initiall</w:t>
      </w:r>
      <w:r w:rsidR="00C924F7">
        <w:rPr>
          <w:u w:val="none"/>
        </w:rPr>
        <w:t xml:space="preserve">y unopposed. The applicant </w:t>
      </w:r>
      <w:r w:rsidR="0097216D">
        <w:rPr>
          <w:u w:val="none"/>
        </w:rPr>
        <w:t>s</w:t>
      </w:r>
      <w:r w:rsidR="00183CAA">
        <w:rPr>
          <w:u w:val="none"/>
        </w:rPr>
        <w:t>et the matte</w:t>
      </w:r>
      <w:r w:rsidR="00C924F7">
        <w:rPr>
          <w:u w:val="none"/>
        </w:rPr>
        <w:t xml:space="preserve">r down on the unopposed roll on </w:t>
      </w:r>
      <w:r w:rsidR="00183CAA">
        <w:rPr>
          <w:u w:val="none"/>
        </w:rPr>
        <w:t xml:space="preserve">27 July 2021 and served the notice of set down on the respondent. </w:t>
      </w:r>
      <w:r w:rsidR="0097216D">
        <w:rPr>
          <w:u w:val="none"/>
        </w:rPr>
        <w:t>The respondent attended court and opposed the application</w:t>
      </w:r>
      <w:r w:rsidR="00C924F7">
        <w:rPr>
          <w:u w:val="none"/>
        </w:rPr>
        <w:t xml:space="preserve">. </w:t>
      </w:r>
    </w:p>
    <w:p w:rsidR="00C924F7" w:rsidRDefault="00C924F7" w:rsidP="00864D51">
      <w:pPr>
        <w:widowControl w:val="0"/>
        <w:tabs>
          <w:tab w:val="left" w:pos="792"/>
        </w:tabs>
        <w:autoSpaceDE w:val="0"/>
        <w:autoSpaceDN w:val="0"/>
        <w:adjustRightInd w:val="0"/>
        <w:spacing w:before="441" w:line="360" w:lineRule="auto"/>
        <w:ind w:left="715" w:hanging="650"/>
        <w:jc w:val="both"/>
        <w:rPr>
          <w:u w:val="none"/>
        </w:rPr>
      </w:pPr>
    </w:p>
    <w:p w:rsidR="00183CAA" w:rsidRDefault="00E50C14" w:rsidP="00864D51">
      <w:pPr>
        <w:widowControl w:val="0"/>
        <w:autoSpaceDE w:val="0"/>
        <w:autoSpaceDN w:val="0"/>
        <w:adjustRightInd w:val="0"/>
        <w:spacing w:before="5" w:after="470" w:line="360" w:lineRule="auto"/>
        <w:ind w:left="715" w:right="195" w:hanging="715"/>
        <w:jc w:val="both"/>
        <w:rPr>
          <w:u w:val="none"/>
        </w:rPr>
      </w:pPr>
      <w:r>
        <w:rPr>
          <w:u w:val="none"/>
        </w:rPr>
        <w:t>[2]</w:t>
      </w:r>
      <w:r>
        <w:rPr>
          <w:u w:val="none"/>
        </w:rPr>
        <w:tab/>
        <w:t xml:space="preserve">In view of the matter becoming opposed it was removed from the </w:t>
      </w:r>
      <w:r w:rsidR="002832DE">
        <w:rPr>
          <w:u w:val="none"/>
        </w:rPr>
        <w:t xml:space="preserve">unopposed </w:t>
      </w:r>
      <w:r>
        <w:rPr>
          <w:u w:val="none"/>
        </w:rPr>
        <w:t xml:space="preserve">roll. The respondent was </w:t>
      </w:r>
      <w:r w:rsidR="00183CAA" w:rsidRPr="00183CAA">
        <w:rPr>
          <w:u w:val="none"/>
        </w:rPr>
        <w:t xml:space="preserve">ordered to deliver his </w:t>
      </w:r>
      <w:r>
        <w:rPr>
          <w:u w:val="none"/>
        </w:rPr>
        <w:t>answering affidavit and heads of a</w:t>
      </w:r>
      <w:r w:rsidR="00183CAA" w:rsidRPr="00183CAA">
        <w:rPr>
          <w:u w:val="none"/>
        </w:rPr>
        <w:t>rgument</w:t>
      </w:r>
      <w:r>
        <w:rPr>
          <w:u w:val="none"/>
        </w:rPr>
        <w:t xml:space="preserve">. The matter was to be </w:t>
      </w:r>
      <w:r w:rsidR="00183CAA" w:rsidRPr="00183CAA">
        <w:rPr>
          <w:u w:val="none"/>
        </w:rPr>
        <w:t xml:space="preserve">enrolled on the opposed roll. The </w:t>
      </w:r>
      <w:r>
        <w:rPr>
          <w:u w:val="none"/>
        </w:rPr>
        <w:t>r</w:t>
      </w:r>
      <w:r w:rsidR="00183CAA" w:rsidRPr="00183CAA">
        <w:rPr>
          <w:u w:val="none"/>
        </w:rPr>
        <w:t xml:space="preserve">espondent </w:t>
      </w:r>
      <w:r>
        <w:rPr>
          <w:u w:val="none"/>
        </w:rPr>
        <w:t>filed an answering a</w:t>
      </w:r>
      <w:r w:rsidR="00183CAA" w:rsidRPr="00183CAA">
        <w:rPr>
          <w:u w:val="none"/>
        </w:rPr>
        <w:t xml:space="preserve">ffidavit </w:t>
      </w:r>
      <w:r>
        <w:rPr>
          <w:u w:val="none"/>
        </w:rPr>
        <w:t xml:space="preserve">albeit </w:t>
      </w:r>
      <w:r w:rsidR="00183CAA" w:rsidRPr="00183CAA">
        <w:rPr>
          <w:u w:val="none"/>
        </w:rPr>
        <w:t xml:space="preserve">late </w:t>
      </w:r>
      <w:r>
        <w:rPr>
          <w:u w:val="none"/>
        </w:rPr>
        <w:t>as well as a notice of opposition to oppose the application to strike out and heads of a</w:t>
      </w:r>
      <w:r w:rsidR="00183CAA" w:rsidRPr="00183CAA">
        <w:rPr>
          <w:u w:val="none"/>
        </w:rPr>
        <w:t>rgument.</w:t>
      </w:r>
      <w:r>
        <w:rPr>
          <w:u w:val="none"/>
        </w:rPr>
        <w:t xml:space="preserve"> The applicant filed</w:t>
      </w:r>
      <w:r w:rsidR="00C924F7">
        <w:rPr>
          <w:u w:val="none"/>
        </w:rPr>
        <w:t xml:space="preserve"> </w:t>
      </w:r>
      <w:r>
        <w:rPr>
          <w:u w:val="none"/>
        </w:rPr>
        <w:t>and served a r</w:t>
      </w:r>
      <w:r w:rsidR="00183CAA" w:rsidRPr="00183CAA">
        <w:rPr>
          <w:u w:val="none"/>
        </w:rPr>
        <w:t>eplying affidavit</w:t>
      </w:r>
      <w:r>
        <w:rPr>
          <w:u w:val="none"/>
        </w:rPr>
        <w:t>. The applicant seeks to strike out</w:t>
      </w:r>
      <w:r w:rsidR="00C924F7">
        <w:rPr>
          <w:u w:val="none"/>
        </w:rPr>
        <w:t xml:space="preserve"> </w:t>
      </w:r>
      <w:r>
        <w:rPr>
          <w:u w:val="none"/>
        </w:rPr>
        <w:t xml:space="preserve">and to </w:t>
      </w:r>
      <w:r w:rsidR="00F60C87">
        <w:rPr>
          <w:u w:val="none"/>
        </w:rPr>
        <w:t>set aside</w:t>
      </w:r>
      <w:r>
        <w:rPr>
          <w:u w:val="none"/>
        </w:rPr>
        <w:t xml:space="preserve"> or dismiss the application for leave to appeal dated 9 December 2020. In view of the </w:t>
      </w:r>
      <w:r w:rsidR="00C924F7">
        <w:rPr>
          <w:u w:val="none"/>
        </w:rPr>
        <w:t xml:space="preserve">opposition </w:t>
      </w:r>
      <w:r>
        <w:rPr>
          <w:u w:val="none"/>
        </w:rPr>
        <w:t>to the present application</w:t>
      </w:r>
      <w:r w:rsidR="00C924F7">
        <w:rPr>
          <w:u w:val="none"/>
        </w:rPr>
        <w:t>,</w:t>
      </w:r>
      <w:r>
        <w:rPr>
          <w:u w:val="none"/>
        </w:rPr>
        <w:t xml:space="preserve"> the</w:t>
      </w:r>
      <w:r w:rsidR="00C924F7">
        <w:rPr>
          <w:u w:val="none"/>
        </w:rPr>
        <w:t xml:space="preserve"> applicant </w:t>
      </w:r>
      <w:r>
        <w:rPr>
          <w:u w:val="none"/>
        </w:rPr>
        <w:t xml:space="preserve">seeks </w:t>
      </w:r>
      <w:r w:rsidR="00C924F7">
        <w:rPr>
          <w:u w:val="none"/>
        </w:rPr>
        <w:t xml:space="preserve">costs on </w:t>
      </w:r>
      <w:r w:rsidR="00F60C87">
        <w:rPr>
          <w:u w:val="none"/>
        </w:rPr>
        <w:t xml:space="preserve">an </w:t>
      </w:r>
      <w:r>
        <w:rPr>
          <w:u w:val="none"/>
        </w:rPr>
        <w:t xml:space="preserve">attorney and client </w:t>
      </w:r>
      <w:r w:rsidR="00C924F7">
        <w:rPr>
          <w:u w:val="none"/>
        </w:rPr>
        <w:t xml:space="preserve">scale. </w:t>
      </w:r>
    </w:p>
    <w:p w:rsidR="00AB74D7" w:rsidRPr="00AB74D7" w:rsidRDefault="00AB74D7" w:rsidP="00864D51">
      <w:pPr>
        <w:widowControl w:val="0"/>
        <w:autoSpaceDE w:val="0"/>
        <w:autoSpaceDN w:val="0"/>
        <w:adjustRightInd w:val="0"/>
        <w:spacing w:before="5" w:after="470" w:line="360" w:lineRule="auto"/>
        <w:ind w:left="715" w:right="195" w:hanging="715"/>
        <w:jc w:val="both"/>
        <w:rPr>
          <w:b/>
          <w:u w:val="none"/>
        </w:rPr>
      </w:pPr>
      <w:r>
        <w:rPr>
          <w:u w:val="none"/>
        </w:rPr>
        <w:tab/>
      </w:r>
      <w:r w:rsidRPr="00AB74D7">
        <w:rPr>
          <w:b/>
          <w:u w:val="none"/>
        </w:rPr>
        <w:t>FACTS</w:t>
      </w:r>
    </w:p>
    <w:p w:rsidR="00E50C14" w:rsidRDefault="00E50C14" w:rsidP="00864D51">
      <w:pPr>
        <w:widowControl w:val="0"/>
        <w:autoSpaceDE w:val="0"/>
        <w:autoSpaceDN w:val="0"/>
        <w:adjustRightInd w:val="0"/>
        <w:spacing w:before="5" w:after="470" w:line="360" w:lineRule="auto"/>
        <w:ind w:left="715" w:right="195" w:hanging="715"/>
        <w:jc w:val="both"/>
        <w:rPr>
          <w:u w:val="none"/>
        </w:rPr>
      </w:pPr>
      <w:r>
        <w:rPr>
          <w:u w:val="none"/>
        </w:rPr>
        <w:t>[3]</w:t>
      </w:r>
      <w:r>
        <w:rPr>
          <w:u w:val="none"/>
        </w:rPr>
        <w:tab/>
        <w:t xml:space="preserve">It is appropriate to place the matter in context </w:t>
      </w:r>
      <w:r w:rsidR="00F60C87">
        <w:rPr>
          <w:u w:val="none"/>
        </w:rPr>
        <w:t xml:space="preserve">by </w:t>
      </w:r>
      <w:r w:rsidR="00C924F7">
        <w:rPr>
          <w:u w:val="none"/>
        </w:rPr>
        <w:t xml:space="preserve">sketching </w:t>
      </w:r>
      <w:r>
        <w:rPr>
          <w:u w:val="none"/>
        </w:rPr>
        <w:t xml:space="preserve">the background to the present </w:t>
      </w:r>
      <w:r w:rsidR="008A1E48">
        <w:rPr>
          <w:u w:val="none"/>
        </w:rPr>
        <w:t>application</w:t>
      </w:r>
      <w:r>
        <w:rPr>
          <w:u w:val="none"/>
        </w:rPr>
        <w:t xml:space="preserve">. </w:t>
      </w:r>
      <w:r w:rsidR="008A1E48">
        <w:rPr>
          <w:u w:val="none"/>
        </w:rPr>
        <w:t xml:space="preserve"> The respondent is a tenant at </w:t>
      </w:r>
      <w:r w:rsidR="00C924F7">
        <w:rPr>
          <w:u w:val="none"/>
        </w:rPr>
        <w:t>the Carlswal</w:t>
      </w:r>
      <w:r w:rsidR="00CF539D">
        <w:rPr>
          <w:u w:val="none"/>
        </w:rPr>
        <w:t xml:space="preserve">d Luxury Apartments, </w:t>
      </w:r>
      <w:r w:rsidR="008A1E48">
        <w:rPr>
          <w:u w:val="none"/>
        </w:rPr>
        <w:t xml:space="preserve">a property managed by the applicant. </w:t>
      </w:r>
      <w:r w:rsidR="00CF539D">
        <w:rPr>
          <w:u w:val="none"/>
        </w:rPr>
        <w:t xml:space="preserve">The applicant brought an application for the eviction of the respondent in the Randburg Magistrates </w:t>
      </w:r>
      <w:r w:rsidR="00CF539D">
        <w:rPr>
          <w:u w:val="none"/>
        </w:rPr>
        <w:lastRenderedPageBreak/>
        <w:t xml:space="preserve">Court. The respondent requested legal representation </w:t>
      </w:r>
      <w:r w:rsidR="00C924F7">
        <w:rPr>
          <w:u w:val="none"/>
        </w:rPr>
        <w:t xml:space="preserve">and </w:t>
      </w:r>
      <w:r w:rsidR="00F60C87">
        <w:rPr>
          <w:u w:val="none"/>
        </w:rPr>
        <w:t>was referred to Legal A</w:t>
      </w:r>
      <w:r w:rsidR="00CF539D">
        <w:rPr>
          <w:u w:val="none"/>
        </w:rPr>
        <w:t>id</w:t>
      </w:r>
      <w:r w:rsidR="00F60C87">
        <w:rPr>
          <w:u w:val="none"/>
        </w:rPr>
        <w:t xml:space="preserve"> South Africa(Legal Aid) </w:t>
      </w:r>
      <w:r w:rsidR="00CF539D">
        <w:rPr>
          <w:u w:val="none"/>
        </w:rPr>
        <w:t xml:space="preserve"> but did not secure</w:t>
      </w:r>
      <w:r w:rsidR="00F60C87">
        <w:rPr>
          <w:u w:val="none"/>
        </w:rPr>
        <w:t xml:space="preserve"> legal representation </w:t>
      </w:r>
      <w:r w:rsidR="00AB74D7">
        <w:rPr>
          <w:u w:val="none"/>
        </w:rPr>
        <w:t>at the time due</w:t>
      </w:r>
      <w:r w:rsidR="00C924F7">
        <w:rPr>
          <w:u w:val="none"/>
        </w:rPr>
        <w:t xml:space="preserve"> to</w:t>
      </w:r>
      <w:r w:rsidR="00AB74D7">
        <w:rPr>
          <w:u w:val="none"/>
        </w:rPr>
        <w:t xml:space="preserve"> the office</w:t>
      </w:r>
      <w:r w:rsidR="00C924F7">
        <w:rPr>
          <w:u w:val="none"/>
        </w:rPr>
        <w:t>s</w:t>
      </w:r>
      <w:r w:rsidR="00AB74D7">
        <w:rPr>
          <w:u w:val="none"/>
        </w:rPr>
        <w:t xml:space="preserve"> being closed</w:t>
      </w:r>
      <w:r w:rsidR="00F60C87">
        <w:rPr>
          <w:u w:val="none"/>
        </w:rPr>
        <w:t xml:space="preserve"> in the midst of the Covid pandemic</w:t>
      </w:r>
      <w:r w:rsidR="00CF539D">
        <w:rPr>
          <w:u w:val="none"/>
        </w:rPr>
        <w:t>.</w:t>
      </w:r>
      <w:r w:rsidR="00F60C87">
        <w:rPr>
          <w:u w:val="none"/>
        </w:rPr>
        <w:t xml:space="preserve"> They only accepted telephone calls according to the respondent.</w:t>
      </w:r>
      <w:r w:rsidR="00AB74D7">
        <w:rPr>
          <w:u w:val="none"/>
        </w:rPr>
        <w:t xml:space="preserve"> He did not follow up with Legal Aid </w:t>
      </w:r>
      <w:r w:rsidR="00F60C87">
        <w:rPr>
          <w:u w:val="none"/>
        </w:rPr>
        <w:t xml:space="preserve">or other legal aid clinics </w:t>
      </w:r>
      <w:r w:rsidR="00AB74D7">
        <w:rPr>
          <w:u w:val="none"/>
        </w:rPr>
        <w:t xml:space="preserve">to secure legal representation. </w:t>
      </w:r>
      <w:r w:rsidR="00CF539D">
        <w:rPr>
          <w:u w:val="none"/>
        </w:rPr>
        <w:t xml:space="preserve"> </w:t>
      </w:r>
      <w:r w:rsidR="00F60C87">
        <w:rPr>
          <w:u w:val="none"/>
        </w:rPr>
        <w:t>Instead, h</w:t>
      </w:r>
      <w:r w:rsidR="00CF539D">
        <w:rPr>
          <w:u w:val="none"/>
        </w:rPr>
        <w:t xml:space="preserve">e reported the matter to the housing tribunal in August 2020. </w:t>
      </w:r>
      <w:r w:rsidR="00F60C87">
        <w:rPr>
          <w:u w:val="none"/>
        </w:rPr>
        <w:t>Shortly thereafter h</w:t>
      </w:r>
      <w:r w:rsidR="00CF539D">
        <w:rPr>
          <w:u w:val="none"/>
        </w:rPr>
        <w:t>is lease was cancelled on 8 September 202</w:t>
      </w:r>
      <w:r w:rsidR="00F60C87">
        <w:rPr>
          <w:u w:val="none"/>
        </w:rPr>
        <w:t>0. A meeting was held with the H</w:t>
      </w:r>
      <w:r w:rsidR="00CF539D">
        <w:rPr>
          <w:u w:val="none"/>
        </w:rPr>
        <w:t xml:space="preserve">ousing </w:t>
      </w:r>
      <w:r w:rsidR="00F60C87">
        <w:rPr>
          <w:u w:val="none"/>
        </w:rPr>
        <w:t>T</w:t>
      </w:r>
      <w:r w:rsidR="00AB74D7">
        <w:rPr>
          <w:u w:val="none"/>
        </w:rPr>
        <w:t xml:space="preserve">ribunal on 20 September 2020. </w:t>
      </w:r>
      <w:r w:rsidR="00CF539D">
        <w:rPr>
          <w:u w:val="none"/>
        </w:rPr>
        <w:t xml:space="preserve"> </w:t>
      </w:r>
      <w:r w:rsidR="00F60C87">
        <w:rPr>
          <w:u w:val="none"/>
        </w:rPr>
        <w:t xml:space="preserve">The matter was postponed for a decision. </w:t>
      </w:r>
      <w:r w:rsidR="00AB74D7">
        <w:rPr>
          <w:u w:val="none"/>
        </w:rPr>
        <w:t xml:space="preserve">The respondent alleged that his electricity was </w:t>
      </w:r>
      <w:r w:rsidR="00F60C87">
        <w:rPr>
          <w:u w:val="none"/>
        </w:rPr>
        <w:t xml:space="preserve">cut </w:t>
      </w:r>
      <w:r w:rsidR="00AB74D7">
        <w:rPr>
          <w:u w:val="none"/>
        </w:rPr>
        <w:t>by the applicant</w:t>
      </w:r>
      <w:r w:rsidR="00C924F7">
        <w:rPr>
          <w:u w:val="none"/>
        </w:rPr>
        <w:t xml:space="preserve"> wh</w:t>
      </w:r>
      <w:r w:rsidR="00F60C87">
        <w:rPr>
          <w:u w:val="none"/>
        </w:rPr>
        <w:t xml:space="preserve">en </w:t>
      </w:r>
      <w:r w:rsidR="00C924F7">
        <w:rPr>
          <w:u w:val="none"/>
        </w:rPr>
        <w:t xml:space="preserve">he had </w:t>
      </w:r>
      <w:r w:rsidR="00AB74D7">
        <w:rPr>
          <w:u w:val="none"/>
        </w:rPr>
        <w:t xml:space="preserve">prepaid electricity. </w:t>
      </w:r>
      <w:r w:rsidR="00F60C87">
        <w:rPr>
          <w:u w:val="none"/>
        </w:rPr>
        <w:t>As th</w:t>
      </w:r>
      <w:r w:rsidR="00AB74D7">
        <w:rPr>
          <w:u w:val="none"/>
        </w:rPr>
        <w:t>e respondent sold meat during the Covid pandemic to secure an income</w:t>
      </w:r>
      <w:r w:rsidR="00F60C87">
        <w:rPr>
          <w:u w:val="none"/>
        </w:rPr>
        <w:t>, the produce deteriorated and he</w:t>
      </w:r>
      <w:r w:rsidR="00C924F7">
        <w:rPr>
          <w:u w:val="none"/>
        </w:rPr>
        <w:t xml:space="preserve"> </w:t>
      </w:r>
      <w:r w:rsidR="00AB74D7">
        <w:rPr>
          <w:u w:val="none"/>
        </w:rPr>
        <w:t xml:space="preserve">was unable to sell </w:t>
      </w:r>
      <w:r w:rsidR="008C60C7">
        <w:rPr>
          <w:u w:val="none"/>
        </w:rPr>
        <w:t xml:space="preserve">the </w:t>
      </w:r>
      <w:r w:rsidR="00AB74D7">
        <w:rPr>
          <w:u w:val="none"/>
        </w:rPr>
        <w:t>meat</w:t>
      </w:r>
      <w:r w:rsidR="008C60C7">
        <w:rPr>
          <w:u w:val="none"/>
        </w:rPr>
        <w:t>. He blamed</w:t>
      </w:r>
      <w:r w:rsidR="00F60C87">
        <w:rPr>
          <w:u w:val="none"/>
        </w:rPr>
        <w:t xml:space="preserve"> the applicant for this loss and for not paying his rent.</w:t>
      </w:r>
      <w:r w:rsidR="00AB74D7">
        <w:rPr>
          <w:u w:val="none"/>
        </w:rPr>
        <w:t xml:space="preserve">  </w:t>
      </w:r>
      <w:r w:rsidR="00CF539D">
        <w:rPr>
          <w:u w:val="none"/>
        </w:rPr>
        <w:t xml:space="preserve"> </w:t>
      </w:r>
      <w:r w:rsidR="003530EF">
        <w:rPr>
          <w:u w:val="none"/>
        </w:rPr>
        <w:t>On 25 November 2020, the Randburg Magistrates Court per Magistrate Etchell, granted an eviction order.</w:t>
      </w:r>
    </w:p>
    <w:p w:rsidR="00183CAA" w:rsidRDefault="00AB74D7" w:rsidP="00864D51">
      <w:pPr>
        <w:widowControl w:val="0"/>
        <w:autoSpaceDE w:val="0"/>
        <w:autoSpaceDN w:val="0"/>
        <w:adjustRightInd w:val="0"/>
        <w:spacing w:before="5" w:after="470" w:line="360" w:lineRule="auto"/>
        <w:ind w:left="715" w:right="195" w:hanging="715"/>
        <w:jc w:val="both"/>
        <w:rPr>
          <w:u w:val="none"/>
        </w:rPr>
      </w:pPr>
      <w:r>
        <w:rPr>
          <w:u w:val="none"/>
        </w:rPr>
        <w:t>[4]</w:t>
      </w:r>
      <w:r>
        <w:rPr>
          <w:u w:val="none"/>
        </w:rPr>
        <w:tab/>
      </w:r>
      <w:r w:rsidR="003530EF">
        <w:rPr>
          <w:u w:val="none"/>
        </w:rPr>
        <w:t>T</w:t>
      </w:r>
      <w:r>
        <w:rPr>
          <w:u w:val="none"/>
        </w:rPr>
        <w:t xml:space="preserve">he </w:t>
      </w:r>
      <w:r w:rsidR="00C924F7">
        <w:rPr>
          <w:u w:val="none"/>
        </w:rPr>
        <w:t xml:space="preserve">respondent </w:t>
      </w:r>
      <w:r w:rsidR="00F60C87">
        <w:rPr>
          <w:u w:val="none"/>
        </w:rPr>
        <w:t xml:space="preserve">stated that he </w:t>
      </w:r>
      <w:r w:rsidR="003530EF">
        <w:rPr>
          <w:u w:val="none"/>
        </w:rPr>
        <w:t xml:space="preserve">argued </w:t>
      </w:r>
      <w:r w:rsidR="00C924F7">
        <w:rPr>
          <w:u w:val="none"/>
        </w:rPr>
        <w:t xml:space="preserve">against </w:t>
      </w:r>
      <w:r w:rsidR="003530EF">
        <w:rPr>
          <w:u w:val="none"/>
        </w:rPr>
        <w:t>the eviction matter</w:t>
      </w:r>
      <w:r w:rsidR="00C924F7">
        <w:rPr>
          <w:u w:val="none"/>
        </w:rPr>
        <w:t xml:space="preserve">. He filed no affidavit and provided evidence during the matter, apparently from the bar. After the order was granted he lodged an appeal. </w:t>
      </w:r>
      <w:r w:rsidR="003530EF">
        <w:rPr>
          <w:u w:val="none"/>
        </w:rPr>
        <w:t xml:space="preserve"> </w:t>
      </w:r>
      <w:r w:rsidR="00C924F7">
        <w:rPr>
          <w:u w:val="none"/>
        </w:rPr>
        <w:t xml:space="preserve">The appeal was lodged </w:t>
      </w:r>
      <w:r w:rsidR="006913E8">
        <w:rPr>
          <w:u w:val="none"/>
        </w:rPr>
        <w:t>on 9 and 17 December 2020</w:t>
      </w:r>
      <w:r w:rsidR="00C924F7">
        <w:rPr>
          <w:u w:val="none"/>
        </w:rPr>
        <w:t xml:space="preserve">. The respondent </w:t>
      </w:r>
      <w:r w:rsidR="003530EF">
        <w:rPr>
          <w:u w:val="none"/>
        </w:rPr>
        <w:t xml:space="preserve">did not prosecute the appeal timeously in terms of Rule 50(1) of the Uniform Rules of Court. </w:t>
      </w:r>
      <w:r w:rsidR="006913E8">
        <w:rPr>
          <w:u w:val="none"/>
        </w:rPr>
        <w:t>The 60 days to prosecute the appeal lapsed on 15 February 2021. The respondent did not bring an application for condonation</w:t>
      </w:r>
      <w:r w:rsidR="00C924F7">
        <w:rPr>
          <w:u w:val="none"/>
        </w:rPr>
        <w:t xml:space="preserve"> in the High Court</w:t>
      </w:r>
      <w:r w:rsidR="006913E8">
        <w:rPr>
          <w:u w:val="none"/>
        </w:rPr>
        <w:t xml:space="preserve">. </w:t>
      </w:r>
    </w:p>
    <w:p w:rsidR="003530EF" w:rsidRDefault="003530EF" w:rsidP="00864D51">
      <w:pPr>
        <w:widowControl w:val="0"/>
        <w:autoSpaceDE w:val="0"/>
        <w:autoSpaceDN w:val="0"/>
        <w:adjustRightInd w:val="0"/>
        <w:spacing w:before="5" w:after="470" w:line="360" w:lineRule="auto"/>
        <w:ind w:left="715" w:right="195" w:hanging="715"/>
        <w:jc w:val="both"/>
        <w:rPr>
          <w:b/>
          <w:u w:val="none"/>
        </w:rPr>
      </w:pPr>
      <w:r>
        <w:rPr>
          <w:u w:val="none"/>
        </w:rPr>
        <w:tab/>
      </w:r>
      <w:r w:rsidRPr="003530EF">
        <w:rPr>
          <w:b/>
          <w:u w:val="none"/>
        </w:rPr>
        <w:t>THE LAW</w:t>
      </w:r>
    </w:p>
    <w:p w:rsidR="00183CAA" w:rsidRDefault="006913E8" w:rsidP="00864D51">
      <w:pPr>
        <w:widowControl w:val="0"/>
        <w:autoSpaceDE w:val="0"/>
        <w:autoSpaceDN w:val="0"/>
        <w:adjustRightInd w:val="0"/>
        <w:spacing w:before="5" w:after="470" w:line="360" w:lineRule="auto"/>
        <w:ind w:left="715" w:right="195" w:hanging="715"/>
        <w:jc w:val="both"/>
        <w:rPr>
          <w:u w:val="none"/>
        </w:rPr>
      </w:pPr>
      <w:r w:rsidRPr="006913E8">
        <w:rPr>
          <w:u w:val="none"/>
        </w:rPr>
        <w:t>[5]</w:t>
      </w:r>
      <w:r>
        <w:rPr>
          <w:b/>
          <w:u w:val="none"/>
        </w:rPr>
        <w:tab/>
      </w:r>
      <w:r w:rsidRPr="006913E8">
        <w:rPr>
          <w:u w:val="none"/>
        </w:rPr>
        <w:t xml:space="preserve"> Rule 50(1)</w:t>
      </w:r>
      <w:r>
        <w:rPr>
          <w:b/>
          <w:u w:val="none"/>
        </w:rPr>
        <w:t xml:space="preserve"> </w:t>
      </w:r>
      <w:r w:rsidR="00183CAA" w:rsidRPr="00183CAA">
        <w:rPr>
          <w:u w:val="none"/>
        </w:rPr>
        <w:t xml:space="preserve">of the Uniform Rules of Court </w:t>
      </w:r>
      <w:r>
        <w:rPr>
          <w:u w:val="none"/>
        </w:rPr>
        <w:t xml:space="preserve">provides </w:t>
      </w:r>
      <w:r w:rsidR="00183CAA" w:rsidRPr="00183CAA">
        <w:rPr>
          <w:u w:val="none"/>
        </w:rPr>
        <w:t>that:</w:t>
      </w:r>
    </w:p>
    <w:p w:rsidR="00183CAA" w:rsidRPr="006913E8" w:rsidRDefault="006913E8" w:rsidP="00864D51">
      <w:pPr>
        <w:widowControl w:val="0"/>
        <w:autoSpaceDE w:val="0"/>
        <w:autoSpaceDN w:val="0"/>
        <w:adjustRightInd w:val="0"/>
        <w:spacing w:before="5" w:after="470" w:line="360" w:lineRule="auto"/>
        <w:ind w:left="715" w:right="195" w:hanging="715"/>
        <w:jc w:val="both"/>
        <w:rPr>
          <w:sz w:val="22"/>
          <w:szCs w:val="22"/>
          <w:u w:val="none"/>
        </w:rPr>
      </w:pPr>
      <w:r>
        <w:rPr>
          <w:u w:val="none"/>
        </w:rPr>
        <w:tab/>
      </w:r>
      <w:r w:rsidR="00183CAA" w:rsidRPr="006913E8">
        <w:rPr>
          <w:sz w:val="22"/>
          <w:szCs w:val="22"/>
          <w:u w:val="none"/>
        </w:rPr>
        <w:t>“</w:t>
      </w:r>
      <w:r w:rsidR="00183CAA" w:rsidRPr="006913E8">
        <w:rPr>
          <w:bCs/>
          <w:iCs/>
          <w:sz w:val="22"/>
          <w:szCs w:val="22"/>
          <w:u w:val="none"/>
        </w:rPr>
        <w:t>An appeal to the court against the decision of a magistrate in a civil matter shall be prosecuted within 60 days after noting such appeal, and unless so prosecuted it shall be deemed to have lapsed</w:t>
      </w:r>
      <w:r w:rsidR="00183CAA" w:rsidRPr="006913E8">
        <w:rPr>
          <w:sz w:val="22"/>
          <w:szCs w:val="22"/>
          <w:u w:val="none"/>
        </w:rPr>
        <w:t>”.</w:t>
      </w:r>
    </w:p>
    <w:p w:rsidR="00183CAA" w:rsidRPr="00183CAA" w:rsidRDefault="006913E8" w:rsidP="00864D51">
      <w:pPr>
        <w:widowControl w:val="0"/>
        <w:autoSpaceDE w:val="0"/>
        <w:autoSpaceDN w:val="0"/>
        <w:adjustRightInd w:val="0"/>
        <w:spacing w:before="552" w:line="360" w:lineRule="auto"/>
        <w:ind w:left="780" w:right="130" w:hanging="585"/>
        <w:jc w:val="both"/>
        <w:rPr>
          <w:u w:val="none"/>
        </w:rPr>
      </w:pPr>
      <w:r>
        <w:rPr>
          <w:u w:val="none"/>
        </w:rPr>
        <w:t>[6]</w:t>
      </w:r>
      <w:r>
        <w:rPr>
          <w:u w:val="none"/>
        </w:rPr>
        <w:tab/>
      </w:r>
      <w:r w:rsidR="00B07A59">
        <w:rPr>
          <w:u w:val="none"/>
        </w:rPr>
        <w:t>Counsel fo</w:t>
      </w:r>
      <w:r w:rsidR="00C924F7">
        <w:rPr>
          <w:u w:val="none"/>
        </w:rPr>
        <w:t xml:space="preserve">r the applicant submitted that </w:t>
      </w:r>
      <w:r w:rsidR="00400995">
        <w:rPr>
          <w:u w:val="none"/>
        </w:rPr>
        <w:t>the respondent had</w:t>
      </w:r>
      <w:r>
        <w:rPr>
          <w:u w:val="none"/>
        </w:rPr>
        <w:t xml:space="preserve"> not complied with the preliminary requirements prio</w:t>
      </w:r>
      <w:r w:rsidR="00B07A59">
        <w:rPr>
          <w:u w:val="none"/>
        </w:rPr>
        <w:t>r to prosecution of the matter. He did not</w:t>
      </w:r>
      <w:r w:rsidR="008A114F">
        <w:rPr>
          <w:u w:val="none"/>
        </w:rPr>
        <w:t xml:space="preserve"> </w:t>
      </w:r>
      <w:r w:rsidR="008A114F">
        <w:rPr>
          <w:u w:val="none"/>
        </w:rPr>
        <w:lastRenderedPageBreak/>
        <w:t xml:space="preserve">comply with the rules in terms of the Magistrates Court Act 32 of 1944 namely he did not request reasons for the magistrates’ decision in terms of </w:t>
      </w:r>
      <w:r w:rsidR="00183CAA" w:rsidRPr="00183CAA">
        <w:rPr>
          <w:u w:val="none"/>
        </w:rPr>
        <w:t>Rule 51(1) in terms of the Magistrate’s Courts Act 32 of 1944 (The Rules)</w:t>
      </w:r>
      <w:r w:rsidR="008A114F">
        <w:rPr>
          <w:u w:val="none"/>
        </w:rPr>
        <w:t xml:space="preserve">. </w:t>
      </w:r>
      <w:r w:rsidR="00C924F7">
        <w:rPr>
          <w:u w:val="none"/>
        </w:rPr>
        <w:t>In addition</w:t>
      </w:r>
      <w:r w:rsidR="000B4C90">
        <w:rPr>
          <w:u w:val="none"/>
        </w:rPr>
        <w:t>,</w:t>
      </w:r>
      <w:r w:rsidR="00C924F7">
        <w:rPr>
          <w:u w:val="none"/>
        </w:rPr>
        <w:t xml:space="preserve"> the </w:t>
      </w:r>
      <w:r w:rsidR="00B07A59">
        <w:rPr>
          <w:u w:val="none"/>
        </w:rPr>
        <w:t>r</w:t>
      </w:r>
      <w:r w:rsidR="00183CAA" w:rsidRPr="00183CAA">
        <w:rPr>
          <w:u w:val="none"/>
        </w:rPr>
        <w:t xml:space="preserve">espondent </w:t>
      </w:r>
      <w:r w:rsidR="00B07A59">
        <w:rPr>
          <w:u w:val="none"/>
        </w:rPr>
        <w:t>failed to</w:t>
      </w:r>
      <w:r w:rsidR="00183CAA" w:rsidRPr="00183CAA">
        <w:rPr>
          <w:u w:val="none"/>
        </w:rPr>
        <w:t xml:space="preserve"> serve and file a complete record of the proceedings</w:t>
      </w:r>
      <w:r w:rsidR="008A114F">
        <w:rPr>
          <w:u w:val="none"/>
        </w:rPr>
        <w:t xml:space="preserve"> nor has he</w:t>
      </w:r>
      <w:r w:rsidR="00B07A59">
        <w:rPr>
          <w:u w:val="none"/>
        </w:rPr>
        <w:t xml:space="preserve"> </w:t>
      </w:r>
      <w:r w:rsidR="00183CAA" w:rsidRPr="00183CAA">
        <w:rPr>
          <w:u w:val="none"/>
        </w:rPr>
        <w:t>furnish</w:t>
      </w:r>
      <w:r w:rsidR="008A114F">
        <w:rPr>
          <w:u w:val="none"/>
        </w:rPr>
        <w:t>ed</w:t>
      </w:r>
      <w:r w:rsidR="00183CAA" w:rsidRPr="00183CAA">
        <w:rPr>
          <w:u w:val="none"/>
        </w:rPr>
        <w:t xml:space="preserve"> security for costs as provided for by Rule 51(4) of the Magistrates Court Rules.</w:t>
      </w:r>
      <w:r w:rsidR="00B07A59">
        <w:rPr>
          <w:u w:val="none"/>
        </w:rPr>
        <w:t xml:space="preserve"> Counsel submitted that the respondent </w:t>
      </w:r>
      <w:r w:rsidR="00183CAA" w:rsidRPr="00183CAA">
        <w:rPr>
          <w:u w:val="none"/>
        </w:rPr>
        <w:t>failed and/or refused to comply with every Rule relating to an appeal from the Magistrate Court, by failing to comply with Rule 50(4)(a) of the Uniform Rules of Court, which states that:</w:t>
      </w:r>
    </w:p>
    <w:p w:rsidR="00183CAA" w:rsidRPr="00B07A59" w:rsidRDefault="00183CAA" w:rsidP="00864D51">
      <w:pPr>
        <w:widowControl w:val="0"/>
        <w:autoSpaceDE w:val="0"/>
        <w:autoSpaceDN w:val="0"/>
        <w:adjustRightInd w:val="0"/>
        <w:spacing w:before="552" w:line="360" w:lineRule="auto"/>
        <w:ind w:left="780" w:right="130"/>
        <w:jc w:val="both"/>
        <w:rPr>
          <w:iCs/>
          <w:sz w:val="22"/>
          <w:szCs w:val="22"/>
          <w:u w:val="none"/>
        </w:rPr>
      </w:pPr>
      <w:r w:rsidRPr="00B07A59">
        <w:rPr>
          <w:iCs/>
          <w:sz w:val="22"/>
          <w:szCs w:val="22"/>
          <w:u w:val="none"/>
        </w:rPr>
        <w:t>“(4) (a) The appellant shall, within 40 days of noting the appeal, apply to the registrar in writing and with notice to all other parties for the assignment of a date for the hearing of the appeal and shall at the same time make available to the registrar in writing his full residential and postal addresses and the address of his attorney if he is represented.”</w:t>
      </w:r>
    </w:p>
    <w:p w:rsidR="000B4C90" w:rsidRDefault="00B07A59" w:rsidP="00864D51">
      <w:pPr>
        <w:widowControl w:val="0"/>
        <w:autoSpaceDE w:val="0"/>
        <w:autoSpaceDN w:val="0"/>
        <w:adjustRightInd w:val="0"/>
        <w:spacing w:before="869" w:after="821" w:line="360" w:lineRule="auto"/>
        <w:ind w:left="780" w:right="130" w:hanging="585"/>
        <w:jc w:val="both"/>
        <w:rPr>
          <w:u w:val="none"/>
        </w:rPr>
      </w:pPr>
      <w:r>
        <w:rPr>
          <w:u w:val="none"/>
        </w:rPr>
        <w:t>[7]</w:t>
      </w:r>
      <w:r>
        <w:rPr>
          <w:u w:val="none"/>
        </w:rPr>
        <w:tab/>
      </w:r>
      <w:r w:rsidR="000B4C90">
        <w:rPr>
          <w:u w:val="none"/>
        </w:rPr>
        <w:t xml:space="preserve">in view of the </w:t>
      </w:r>
      <w:r w:rsidR="00864D51">
        <w:rPr>
          <w:u w:val="none"/>
        </w:rPr>
        <w:t>non-compliance</w:t>
      </w:r>
      <w:r w:rsidR="000B4C90">
        <w:rPr>
          <w:u w:val="none"/>
        </w:rPr>
        <w:t xml:space="preserve">, the matter has not been allocated a date in the appeals division for adjudication. The delay enabled the respondent to remain on the property. In the absence of an application for condonation the applicant filed an application to set aside or dismiss the application. This application was opposed and the respondent raised new </w:t>
      </w:r>
      <w:r>
        <w:rPr>
          <w:u w:val="none"/>
        </w:rPr>
        <w:t xml:space="preserve">issues not dealt with </w:t>
      </w:r>
      <w:r w:rsidR="00CF35CD">
        <w:rPr>
          <w:u w:val="none"/>
        </w:rPr>
        <w:t>b</w:t>
      </w:r>
      <w:r>
        <w:rPr>
          <w:u w:val="none"/>
        </w:rPr>
        <w:t xml:space="preserve">y the court </w:t>
      </w:r>
      <w:r w:rsidRPr="002D589F">
        <w:rPr>
          <w:i/>
          <w:u w:val="none"/>
        </w:rPr>
        <w:t>a quo</w:t>
      </w:r>
      <w:r w:rsidR="000B4C90">
        <w:rPr>
          <w:u w:val="none"/>
        </w:rPr>
        <w:t xml:space="preserve">. The </w:t>
      </w:r>
      <w:r w:rsidR="00CF35CD">
        <w:rPr>
          <w:u w:val="none"/>
        </w:rPr>
        <w:t xml:space="preserve">respondent failed to </w:t>
      </w:r>
      <w:r w:rsidR="00183CAA" w:rsidRPr="00183CAA">
        <w:rPr>
          <w:u w:val="none"/>
        </w:rPr>
        <w:t xml:space="preserve">provide reasons </w:t>
      </w:r>
      <w:r w:rsidR="00CF35CD">
        <w:rPr>
          <w:u w:val="none"/>
        </w:rPr>
        <w:t>for the</w:t>
      </w:r>
      <w:r w:rsidR="00183CAA" w:rsidRPr="00183CAA">
        <w:rPr>
          <w:u w:val="none"/>
        </w:rPr>
        <w:t xml:space="preserve"> non-compliance </w:t>
      </w:r>
      <w:r w:rsidR="00CF35CD">
        <w:rPr>
          <w:u w:val="none"/>
        </w:rPr>
        <w:t xml:space="preserve">with </w:t>
      </w:r>
      <w:r w:rsidR="00183CAA" w:rsidRPr="00183CAA">
        <w:rPr>
          <w:u w:val="none"/>
        </w:rPr>
        <w:t xml:space="preserve">the Rules and why the appeal </w:t>
      </w:r>
      <w:r w:rsidR="00CF35CD">
        <w:rPr>
          <w:u w:val="none"/>
        </w:rPr>
        <w:t xml:space="preserve">should </w:t>
      </w:r>
      <w:r w:rsidR="00183CAA" w:rsidRPr="00183CAA">
        <w:rPr>
          <w:u w:val="none"/>
        </w:rPr>
        <w:t>not be dismissed alternatively struck out.</w:t>
      </w:r>
      <w:r w:rsidR="00CF35CD">
        <w:rPr>
          <w:u w:val="none"/>
        </w:rPr>
        <w:t xml:space="preserve"> These reasons ought to have been </w:t>
      </w:r>
      <w:r w:rsidR="00183CAA" w:rsidRPr="00183CAA">
        <w:rPr>
          <w:u w:val="none"/>
        </w:rPr>
        <w:t>contained in a condonation application</w:t>
      </w:r>
      <w:r w:rsidR="00CF35CD">
        <w:rPr>
          <w:u w:val="none"/>
        </w:rPr>
        <w:t xml:space="preserve">. No such application </w:t>
      </w:r>
      <w:r w:rsidR="00183CAA" w:rsidRPr="00183CAA">
        <w:rPr>
          <w:u w:val="none"/>
        </w:rPr>
        <w:t xml:space="preserve">has not been forthcoming </w:t>
      </w:r>
      <w:r w:rsidR="00CF35CD">
        <w:rPr>
          <w:u w:val="none"/>
        </w:rPr>
        <w:t xml:space="preserve">in the past year since the court granted the respondent an opportunity to file an answering affidavit. </w:t>
      </w:r>
    </w:p>
    <w:p w:rsidR="00CF35CD" w:rsidRDefault="000B4C90" w:rsidP="00864D51">
      <w:pPr>
        <w:widowControl w:val="0"/>
        <w:autoSpaceDE w:val="0"/>
        <w:autoSpaceDN w:val="0"/>
        <w:adjustRightInd w:val="0"/>
        <w:spacing w:before="869" w:after="821" w:line="360" w:lineRule="auto"/>
        <w:ind w:left="780" w:right="130" w:hanging="585"/>
        <w:jc w:val="both"/>
        <w:rPr>
          <w:u w:val="none"/>
        </w:rPr>
      </w:pPr>
      <w:r>
        <w:rPr>
          <w:u w:val="none"/>
        </w:rPr>
        <w:t>[8]</w:t>
      </w:r>
      <w:r>
        <w:rPr>
          <w:u w:val="none"/>
        </w:rPr>
        <w:tab/>
      </w:r>
      <w:r w:rsidR="00CF35CD">
        <w:rPr>
          <w:u w:val="none"/>
        </w:rPr>
        <w:t xml:space="preserve">Counsel </w:t>
      </w:r>
      <w:r>
        <w:rPr>
          <w:u w:val="none"/>
        </w:rPr>
        <w:t xml:space="preserve">for the applicant </w:t>
      </w:r>
      <w:r w:rsidR="00CF35CD">
        <w:rPr>
          <w:u w:val="none"/>
        </w:rPr>
        <w:t>submitted that for the c</w:t>
      </w:r>
      <w:r w:rsidR="00183CAA" w:rsidRPr="00183CAA">
        <w:rPr>
          <w:u w:val="none"/>
        </w:rPr>
        <w:t>ourt to consider whether there are prospects for success in p</w:t>
      </w:r>
      <w:r w:rsidR="00CF35CD">
        <w:rPr>
          <w:u w:val="none"/>
        </w:rPr>
        <w:t>roceeding with the appeal, the r</w:t>
      </w:r>
      <w:r w:rsidR="00183CAA" w:rsidRPr="00183CAA">
        <w:rPr>
          <w:u w:val="none"/>
        </w:rPr>
        <w:t xml:space="preserve">espondent was </w:t>
      </w:r>
      <w:r w:rsidR="00CF35CD">
        <w:rPr>
          <w:u w:val="none"/>
        </w:rPr>
        <w:t xml:space="preserve">obliged </w:t>
      </w:r>
      <w:r w:rsidR="00183CAA" w:rsidRPr="00183CAA">
        <w:rPr>
          <w:u w:val="none"/>
        </w:rPr>
        <w:t xml:space="preserve">to launch </w:t>
      </w:r>
      <w:r w:rsidR="00CF35CD">
        <w:rPr>
          <w:u w:val="none"/>
        </w:rPr>
        <w:t>an application for con</w:t>
      </w:r>
      <w:r w:rsidR="00183CAA" w:rsidRPr="00183CAA">
        <w:rPr>
          <w:u w:val="none"/>
        </w:rPr>
        <w:t>donation</w:t>
      </w:r>
      <w:r w:rsidR="00CF35CD">
        <w:rPr>
          <w:u w:val="none"/>
        </w:rPr>
        <w:t xml:space="preserve">. He was required to </w:t>
      </w:r>
      <w:r w:rsidR="00CF35CD">
        <w:rPr>
          <w:u w:val="none"/>
        </w:rPr>
        <w:lastRenderedPageBreak/>
        <w:t xml:space="preserve">explain </w:t>
      </w:r>
      <w:r w:rsidR="00183CAA" w:rsidRPr="00183CAA">
        <w:rPr>
          <w:u w:val="none"/>
        </w:rPr>
        <w:t>the delay</w:t>
      </w:r>
      <w:r w:rsidR="00CF35CD">
        <w:rPr>
          <w:u w:val="none"/>
        </w:rPr>
        <w:t xml:space="preserve">. He has </w:t>
      </w:r>
      <w:r w:rsidR="008A114F">
        <w:rPr>
          <w:u w:val="none"/>
        </w:rPr>
        <w:t xml:space="preserve">to date </w:t>
      </w:r>
      <w:r w:rsidR="00CF35CD">
        <w:rPr>
          <w:u w:val="none"/>
        </w:rPr>
        <w:t xml:space="preserve">not set out an explanation in a substantive application nor has he </w:t>
      </w:r>
      <w:r>
        <w:rPr>
          <w:u w:val="none"/>
        </w:rPr>
        <w:t>done</w:t>
      </w:r>
      <w:r w:rsidR="00CF35CD">
        <w:rPr>
          <w:u w:val="none"/>
        </w:rPr>
        <w:t xml:space="preserve"> so in the answering affidavit. Counsel </w:t>
      </w:r>
      <w:r w:rsidR="002D589F">
        <w:rPr>
          <w:u w:val="none"/>
        </w:rPr>
        <w:t xml:space="preserve">relied on </w:t>
      </w:r>
      <w:r w:rsidR="00CF35CD">
        <w:rPr>
          <w:u w:val="none"/>
        </w:rPr>
        <w:t xml:space="preserve"> the decision in </w:t>
      </w:r>
      <w:r w:rsidR="00183CAA" w:rsidRPr="00CF35CD">
        <w:rPr>
          <w:bCs/>
          <w:i/>
          <w:u w:val="none"/>
        </w:rPr>
        <w:t>Derrick Grootboom v National Prosecuting Authority and Another</w:t>
      </w:r>
      <w:r w:rsidR="00183CAA" w:rsidRPr="00183CAA">
        <w:rPr>
          <w:b/>
          <w:bCs/>
          <w:u w:val="none"/>
        </w:rPr>
        <w:t xml:space="preserve"> </w:t>
      </w:r>
      <w:r w:rsidR="00183CAA" w:rsidRPr="00CF35CD">
        <w:rPr>
          <w:bCs/>
          <w:u w:val="none"/>
        </w:rPr>
        <w:t>2014(2) SA 68 (CC) at paragraph 23</w:t>
      </w:r>
      <w:r w:rsidR="00183CAA" w:rsidRPr="00183CAA">
        <w:rPr>
          <w:b/>
          <w:bCs/>
          <w:u w:val="none"/>
        </w:rPr>
        <w:t xml:space="preserve"> </w:t>
      </w:r>
      <w:r w:rsidR="00CF35CD" w:rsidRPr="00CF35CD">
        <w:rPr>
          <w:bCs/>
          <w:u w:val="none"/>
        </w:rPr>
        <w:t>where the Court</w:t>
      </w:r>
      <w:r w:rsidR="00CF35CD">
        <w:rPr>
          <w:b/>
          <w:bCs/>
          <w:u w:val="none"/>
        </w:rPr>
        <w:t xml:space="preserve"> </w:t>
      </w:r>
      <w:r w:rsidR="00183CAA" w:rsidRPr="00183CAA">
        <w:rPr>
          <w:u w:val="none"/>
        </w:rPr>
        <w:t>dealt with condonation as follows:</w:t>
      </w:r>
    </w:p>
    <w:p w:rsidR="00183CAA" w:rsidRDefault="00183CAA" w:rsidP="00864D51">
      <w:pPr>
        <w:widowControl w:val="0"/>
        <w:autoSpaceDE w:val="0"/>
        <w:autoSpaceDN w:val="0"/>
        <w:adjustRightInd w:val="0"/>
        <w:spacing w:before="869" w:after="821" w:line="360" w:lineRule="auto"/>
        <w:ind w:left="780" w:right="130" w:hanging="60"/>
        <w:jc w:val="both"/>
        <w:rPr>
          <w:iCs/>
          <w:sz w:val="22"/>
          <w:szCs w:val="22"/>
          <w:u w:val="none"/>
        </w:rPr>
      </w:pPr>
      <w:r w:rsidRPr="00183CAA">
        <w:rPr>
          <w:i/>
          <w:iCs/>
          <w:u w:val="none"/>
        </w:rPr>
        <w:t xml:space="preserve"> </w:t>
      </w:r>
      <w:r w:rsidRPr="00CF35CD">
        <w:rPr>
          <w:iCs/>
          <w:sz w:val="22"/>
          <w:szCs w:val="22"/>
          <w:u w:val="none"/>
        </w:rPr>
        <w:t>“It is now trite that condonation cannot be had for the mere asking. A party seeking condonation must make out a case entitling it to the court’s indulgence. It must show sufficient cause. This requires a party to give a full explanation for the non-compliance with the rules or court’s directions. Of great significance, the explanation must be reasonable enough to excuse the default.”</w:t>
      </w:r>
    </w:p>
    <w:p w:rsidR="00183CAA" w:rsidRPr="00183CAA" w:rsidRDefault="00CF35CD" w:rsidP="00864D51">
      <w:pPr>
        <w:widowControl w:val="0"/>
        <w:autoSpaceDE w:val="0"/>
        <w:autoSpaceDN w:val="0"/>
        <w:adjustRightInd w:val="0"/>
        <w:spacing w:before="869" w:after="821" w:line="360" w:lineRule="auto"/>
        <w:ind w:left="715" w:right="130" w:hanging="715"/>
        <w:jc w:val="both"/>
        <w:rPr>
          <w:u w:val="none"/>
        </w:rPr>
      </w:pPr>
      <w:r w:rsidRPr="00E9672F">
        <w:rPr>
          <w:iCs/>
          <w:u w:val="none"/>
        </w:rPr>
        <w:t>[9]</w:t>
      </w:r>
      <w:r>
        <w:rPr>
          <w:iCs/>
          <w:sz w:val="22"/>
          <w:szCs w:val="22"/>
          <w:u w:val="none"/>
        </w:rPr>
        <w:tab/>
      </w:r>
      <w:r w:rsidR="00164071">
        <w:rPr>
          <w:iCs/>
          <w:u w:val="none"/>
        </w:rPr>
        <w:t>I</w:t>
      </w:r>
      <w:r w:rsidR="00164071" w:rsidRPr="00164071">
        <w:rPr>
          <w:iCs/>
          <w:u w:val="none"/>
        </w:rPr>
        <w:t>n relation to the affidavit filed by the respondent</w:t>
      </w:r>
      <w:r w:rsidR="00164071">
        <w:rPr>
          <w:iCs/>
          <w:sz w:val="22"/>
          <w:szCs w:val="22"/>
          <w:u w:val="none"/>
        </w:rPr>
        <w:t xml:space="preserve">, </w:t>
      </w:r>
      <w:r w:rsidR="00164071">
        <w:rPr>
          <w:iCs/>
          <w:u w:val="none"/>
        </w:rPr>
        <w:t xml:space="preserve">counsel for the applicant </w:t>
      </w:r>
      <w:r w:rsidRPr="00E9672F">
        <w:rPr>
          <w:iCs/>
          <w:u w:val="none"/>
        </w:rPr>
        <w:t xml:space="preserve">relied </w:t>
      </w:r>
      <w:r w:rsidR="00461D89" w:rsidRPr="00E9672F">
        <w:rPr>
          <w:iCs/>
          <w:u w:val="none"/>
        </w:rPr>
        <w:t>on</w:t>
      </w:r>
      <w:r w:rsidR="00461D89">
        <w:rPr>
          <w:iCs/>
          <w:sz w:val="22"/>
          <w:szCs w:val="22"/>
          <w:u w:val="none"/>
        </w:rPr>
        <w:t xml:space="preserve"> </w:t>
      </w:r>
      <w:r w:rsidR="00461D89" w:rsidRPr="00164071">
        <w:rPr>
          <w:i/>
          <w:u w:val="none"/>
        </w:rPr>
        <w:t>Uitenhage</w:t>
      </w:r>
      <w:r w:rsidR="00183CAA" w:rsidRPr="00CF35CD">
        <w:rPr>
          <w:bCs/>
          <w:i/>
          <w:u w:val="none"/>
        </w:rPr>
        <w:t xml:space="preserve"> Transitional Local Council v SA Revenue Services</w:t>
      </w:r>
      <w:r w:rsidR="00183CAA" w:rsidRPr="00183CAA">
        <w:rPr>
          <w:b/>
          <w:bCs/>
          <w:u w:val="none"/>
        </w:rPr>
        <w:t xml:space="preserve"> </w:t>
      </w:r>
      <w:r w:rsidR="00461D89">
        <w:rPr>
          <w:bCs/>
          <w:u w:val="none"/>
        </w:rPr>
        <w:t>2004(1) SA 292 (SCA) at 297</w:t>
      </w:r>
      <w:r w:rsidR="00183CAA" w:rsidRPr="00CF35CD">
        <w:rPr>
          <w:bCs/>
          <w:u w:val="none"/>
        </w:rPr>
        <w:t>H</w:t>
      </w:r>
      <w:r w:rsidR="00183CAA" w:rsidRPr="00183CAA">
        <w:rPr>
          <w:u w:val="none"/>
        </w:rPr>
        <w:t xml:space="preserve">, </w:t>
      </w:r>
      <w:r>
        <w:rPr>
          <w:u w:val="none"/>
        </w:rPr>
        <w:t xml:space="preserve">where the court </w:t>
      </w:r>
      <w:r w:rsidR="00183CAA" w:rsidRPr="00183CAA">
        <w:rPr>
          <w:u w:val="none"/>
        </w:rPr>
        <w:t>laid down what should be averred in an affidavit in support of condonation:</w:t>
      </w:r>
    </w:p>
    <w:p w:rsidR="00183CAA" w:rsidRDefault="00183CAA" w:rsidP="00864D51">
      <w:pPr>
        <w:widowControl w:val="0"/>
        <w:autoSpaceDE w:val="0"/>
        <w:autoSpaceDN w:val="0"/>
        <w:adjustRightInd w:val="0"/>
        <w:spacing w:before="556" w:after="1137" w:line="360" w:lineRule="auto"/>
        <w:ind w:left="715" w:right="260"/>
        <w:jc w:val="both"/>
        <w:rPr>
          <w:iCs/>
          <w:sz w:val="22"/>
          <w:szCs w:val="22"/>
          <w:u w:val="none"/>
        </w:rPr>
      </w:pPr>
      <w:r w:rsidRPr="00E9672F">
        <w:rPr>
          <w:iCs/>
          <w:sz w:val="22"/>
          <w:szCs w:val="22"/>
          <w:u w:val="none"/>
        </w:rPr>
        <w:t xml:space="preserve">“(6) one would have hoped that the many admonitions concerning what is required of an applicant in a condonation application would be trite knowledge among practitioners who are entrusted with the preparation of appeals to this Court: condonation is not to be had merely for the asking; a full, detailed and accurate account of the causes of the delay and their effects must be furnished so as to enable the Court to understand clearly the reasons and to assess the responsibility. It must be obvious that, if the non-compliance is time-related </w:t>
      </w:r>
      <w:r w:rsidR="00E9672F">
        <w:rPr>
          <w:iCs/>
          <w:sz w:val="22"/>
          <w:szCs w:val="22"/>
          <w:u w:val="none"/>
        </w:rPr>
        <w:t>then the</w:t>
      </w:r>
      <w:r w:rsidRPr="00E9672F">
        <w:rPr>
          <w:iCs/>
          <w:sz w:val="22"/>
          <w:szCs w:val="22"/>
          <w:u w:val="none"/>
        </w:rPr>
        <w:t xml:space="preserve"> date, duration and extent of any obstacle on which reliance is place must be spelled out.”</w:t>
      </w:r>
    </w:p>
    <w:p w:rsidR="00183CAA" w:rsidRDefault="00461D89" w:rsidP="00864D51">
      <w:pPr>
        <w:widowControl w:val="0"/>
        <w:autoSpaceDE w:val="0"/>
        <w:autoSpaceDN w:val="0"/>
        <w:adjustRightInd w:val="0"/>
        <w:spacing w:before="556" w:after="1137" w:line="360" w:lineRule="auto"/>
        <w:ind w:left="714" w:right="260" w:hanging="715"/>
        <w:jc w:val="both"/>
        <w:rPr>
          <w:u w:val="none"/>
        </w:rPr>
      </w:pPr>
      <w:r w:rsidRPr="00461D89">
        <w:rPr>
          <w:iCs/>
          <w:u w:val="none"/>
        </w:rPr>
        <w:t>[10]</w:t>
      </w:r>
      <w:r w:rsidRPr="00461D89">
        <w:rPr>
          <w:iCs/>
          <w:u w:val="none"/>
        </w:rPr>
        <w:tab/>
      </w:r>
      <w:r>
        <w:rPr>
          <w:iCs/>
          <w:u w:val="none"/>
        </w:rPr>
        <w:t>The applicant took issue with the format of the respondent’s</w:t>
      </w:r>
      <w:r w:rsidR="00164071">
        <w:rPr>
          <w:iCs/>
          <w:u w:val="none"/>
        </w:rPr>
        <w:t xml:space="preserve"> </w:t>
      </w:r>
      <w:r>
        <w:rPr>
          <w:iCs/>
          <w:u w:val="none"/>
        </w:rPr>
        <w:t>notice of appeal</w:t>
      </w:r>
      <w:r w:rsidR="00285577">
        <w:rPr>
          <w:iCs/>
          <w:u w:val="none"/>
        </w:rPr>
        <w:t xml:space="preserve"> </w:t>
      </w:r>
      <w:r>
        <w:rPr>
          <w:iCs/>
          <w:u w:val="none"/>
        </w:rPr>
        <w:t xml:space="preserve">which was a hybrid between a notice and an affidavit. It commenced, </w:t>
      </w:r>
      <w:r w:rsidR="00183CAA" w:rsidRPr="00183CAA">
        <w:rPr>
          <w:i/>
          <w:iCs/>
          <w:u w:val="none"/>
        </w:rPr>
        <w:t>“I, Kagiso Kaboekae do hereby make oath and state that”</w:t>
      </w:r>
      <w:r>
        <w:rPr>
          <w:iCs/>
          <w:u w:val="none"/>
        </w:rPr>
        <w:t xml:space="preserve"> but was not commissioned by </w:t>
      </w:r>
      <w:r w:rsidR="00183CAA" w:rsidRPr="00183CAA">
        <w:rPr>
          <w:u w:val="none"/>
        </w:rPr>
        <w:t>a Commissioner of Oaths</w:t>
      </w:r>
      <w:r>
        <w:rPr>
          <w:u w:val="none"/>
        </w:rPr>
        <w:t xml:space="preserve">. The </w:t>
      </w:r>
      <w:r w:rsidR="00164071">
        <w:rPr>
          <w:u w:val="none"/>
        </w:rPr>
        <w:t>applicant</w:t>
      </w:r>
      <w:r>
        <w:rPr>
          <w:u w:val="none"/>
        </w:rPr>
        <w:t xml:space="preserve"> submitted that it </w:t>
      </w:r>
      <w:r>
        <w:rPr>
          <w:u w:val="none"/>
        </w:rPr>
        <w:lastRenderedPageBreak/>
        <w:t>was not properly before the court</w:t>
      </w:r>
      <w:r w:rsidR="00183CAA" w:rsidRPr="00183CAA">
        <w:rPr>
          <w:u w:val="none"/>
        </w:rPr>
        <w:t xml:space="preserve"> as such</w:t>
      </w:r>
      <w:r>
        <w:rPr>
          <w:u w:val="none"/>
        </w:rPr>
        <w:t>, relying on</w:t>
      </w:r>
      <w:r w:rsidR="00164071">
        <w:rPr>
          <w:u w:val="none"/>
        </w:rPr>
        <w:t xml:space="preserve"> </w:t>
      </w:r>
      <w:r>
        <w:rPr>
          <w:u w:val="none"/>
        </w:rPr>
        <w:t xml:space="preserve">the decision of the court in </w:t>
      </w:r>
      <w:r w:rsidR="00183CAA" w:rsidRPr="00461D89">
        <w:rPr>
          <w:bCs/>
          <w:i/>
          <w:u w:val="none"/>
        </w:rPr>
        <w:t>Absa Bank v Botha Absa Bank Ltd NO and Others</w:t>
      </w:r>
      <w:r w:rsidR="00183CAA" w:rsidRPr="00461D89">
        <w:rPr>
          <w:bCs/>
          <w:u w:val="none"/>
        </w:rPr>
        <w:t xml:space="preserve"> 2013 (5) SA 563</w:t>
      </w:r>
      <w:r w:rsidR="00183CAA" w:rsidRPr="00183CAA">
        <w:rPr>
          <w:b/>
          <w:bCs/>
          <w:u w:val="none"/>
        </w:rPr>
        <w:t xml:space="preserve">, </w:t>
      </w:r>
      <w:r w:rsidRPr="00461D89">
        <w:rPr>
          <w:bCs/>
          <w:u w:val="none"/>
        </w:rPr>
        <w:t>where the court exercised its</w:t>
      </w:r>
      <w:r>
        <w:rPr>
          <w:b/>
          <w:bCs/>
          <w:u w:val="none"/>
        </w:rPr>
        <w:t xml:space="preserve"> </w:t>
      </w:r>
      <w:r w:rsidR="00183CAA" w:rsidRPr="00183CAA">
        <w:rPr>
          <w:u w:val="none"/>
        </w:rPr>
        <w:t xml:space="preserve">judicial discretion in refusing to allow </w:t>
      </w:r>
      <w:r>
        <w:rPr>
          <w:u w:val="none"/>
        </w:rPr>
        <w:t xml:space="preserve">an </w:t>
      </w:r>
      <w:r w:rsidR="00183CAA" w:rsidRPr="00183CAA">
        <w:rPr>
          <w:u w:val="none"/>
        </w:rPr>
        <w:t>affidavit which did not comply with</w:t>
      </w:r>
      <w:r>
        <w:rPr>
          <w:u w:val="none"/>
        </w:rPr>
        <w:t xml:space="preserve"> </w:t>
      </w:r>
      <w:r w:rsidR="00183CAA" w:rsidRPr="00183CAA">
        <w:rPr>
          <w:u w:val="none"/>
        </w:rPr>
        <w:t xml:space="preserve">the Regulations for Commissioners of Oaths. </w:t>
      </w:r>
      <w:r>
        <w:rPr>
          <w:u w:val="none"/>
        </w:rPr>
        <w:t xml:space="preserve">Counsel submitted that this was not a minor issue that could be condoned </w:t>
      </w:r>
      <w:r w:rsidR="00164071">
        <w:rPr>
          <w:u w:val="none"/>
        </w:rPr>
        <w:t xml:space="preserve">rather </w:t>
      </w:r>
      <w:r w:rsidR="00183CAA" w:rsidRPr="00183CAA">
        <w:rPr>
          <w:u w:val="none"/>
        </w:rPr>
        <w:t xml:space="preserve">this </w:t>
      </w:r>
      <w:r w:rsidR="00164071">
        <w:rPr>
          <w:u w:val="none"/>
        </w:rPr>
        <w:t xml:space="preserve">matter where </w:t>
      </w:r>
      <w:r w:rsidR="00183CAA" w:rsidRPr="00183CAA">
        <w:rPr>
          <w:u w:val="none"/>
        </w:rPr>
        <w:t>the document h</w:t>
      </w:r>
      <w:r w:rsidR="008A114F">
        <w:rPr>
          <w:u w:val="none"/>
        </w:rPr>
        <w:t>ad</w:t>
      </w:r>
      <w:r>
        <w:rPr>
          <w:u w:val="none"/>
        </w:rPr>
        <w:t xml:space="preserve"> </w:t>
      </w:r>
      <w:r w:rsidR="0016425D">
        <w:rPr>
          <w:u w:val="none"/>
        </w:rPr>
        <w:t>not been commissioned at all</w:t>
      </w:r>
      <w:r>
        <w:rPr>
          <w:u w:val="none"/>
        </w:rPr>
        <w:t xml:space="preserve"> rendered the affidavit and application fatally defective. </w:t>
      </w:r>
      <w:r w:rsidR="002D589F">
        <w:rPr>
          <w:u w:val="none"/>
        </w:rPr>
        <w:t xml:space="preserve">She </w:t>
      </w:r>
      <w:r w:rsidR="0016425D">
        <w:rPr>
          <w:u w:val="none"/>
        </w:rPr>
        <w:t xml:space="preserve">continued that </w:t>
      </w:r>
      <w:r>
        <w:rPr>
          <w:u w:val="none"/>
        </w:rPr>
        <w:t>the affidavit and application st</w:t>
      </w:r>
      <w:r w:rsidR="0016425D">
        <w:rPr>
          <w:u w:val="none"/>
        </w:rPr>
        <w:t xml:space="preserve">ood </w:t>
      </w:r>
      <w:r>
        <w:rPr>
          <w:u w:val="none"/>
        </w:rPr>
        <w:t xml:space="preserve">to be set aside or dismissed. </w:t>
      </w:r>
    </w:p>
    <w:p w:rsidR="00C2561F" w:rsidRDefault="00045768" w:rsidP="00864D51">
      <w:pPr>
        <w:widowControl w:val="0"/>
        <w:autoSpaceDE w:val="0"/>
        <w:autoSpaceDN w:val="0"/>
        <w:adjustRightInd w:val="0"/>
        <w:spacing w:before="556" w:after="1137" w:line="360" w:lineRule="auto"/>
        <w:ind w:left="714" w:right="260" w:hanging="715"/>
        <w:jc w:val="both"/>
        <w:rPr>
          <w:u w:val="none"/>
        </w:rPr>
      </w:pPr>
      <w:r>
        <w:rPr>
          <w:u w:val="none"/>
        </w:rPr>
        <w:t>[11]</w:t>
      </w:r>
      <w:r>
        <w:rPr>
          <w:u w:val="none"/>
        </w:rPr>
        <w:tab/>
        <w:t>The respondent did not have legal representation when the matter appeared and filed his notices with the assistance of the applicant. He addressed the co</w:t>
      </w:r>
      <w:r w:rsidR="00522189">
        <w:rPr>
          <w:u w:val="none"/>
        </w:rPr>
        <w:t>urt</w:t>
      </w:r>
      <w:r>
        <w:rPr>
          <w:u w:val="none"/>
        </w:rPr>
        <w:t xml:space="preserve"> and then requested legal representation in</w:t>
      </w:r>
      <w:r w:rsidR="002D589F">
        <w:rPr>
          <w:u w:val="none"/>
        </w:rPr>
        <w:t>dicating he had not approached Legal A</w:t>
      </w:r>
      <w:r>
        <w:rPr>
          <w:u w:val="none"/>
        </w:rPr>
        <w:t>id</w:t>
      </w:r>
      <w:r w:rsidR="00C2561F">
        <w:rPr>
          <w:u w:val="none"/>
        </w:rPr>
        <w:t xml:space="preserve">. He </w:t>
      </w:r>
      <w:r w:rsidR="002D589F">
        <w:rPr>
          <w:u w:val="none"/>
        </w:rPr>
        <w:t xml:space="preserve">acknowledged that he </w:t>
      </w:r>
      <w:r>
        <w:rPr>
          <w:u w:val="none"/>
        </w:rPr>
        <w:t xml:space="preserve">ought to </w:t>
      </w:r>
      <w:r w:rsidR="001F3060">
        <w:rPr>
          <w:u w:val="none"/>
        </w:rPr>
        <w:t xml:space="preserve">have made a more concerted effort </w:t>
      </w:r>
      <w:r w:rsidR="00522189">
        <w:rPr>
          <w:u w:val="none"/>
        </w:rPr>
        <w:t xml:space="preserve">to ensure he secured </w:t>
      </w:r>
      <w:r w:rsidR="002D589F">
        <w:rPr>
          <w:u w:val="none"/>
        </w:rPr>
        <w:t>legal assistance</w:t>
      </w:r>
      <w:r w:rsidR="001F3060">
        <w:rPr>
          <w:u w:val="none"/>
        </w:rPr>
        <w:t xml:space="preserve"> </w:t>
      </w:r>
      <w:r w:rsidR="00522189">
        <w:rPr>
          <w:u w:val="none"/>
        </w:rPr>
        <w:t xml:space="preserve">in view of his failure to comply with the Rules. </w:t>
      </w:r>
      <w:r w:rsidR="001F3060">
        <w:rPr>
          <w:u w:val="none"/>
        </w:rPr>
        <w:t xml:space="preserve">He </w:t>
      </w:r>
      <w:r w:rsidR="00522189">
        <w:rPr>
          <w:u w:val="none"/>
        </w:rPr>
        <w:t xml:space="preserve">proffered </w:t>
      </w:r>
      <w:r w:rsidR="001F3060">
        <w:rPr>
          <w:u w:val="none"/>
        </w:rPr>
        <w:t xml:space="preserve">that the file in the matter was not available to him for </w:t>
      </w:r>
      <w:r w:rsidR="00C91025">
        <w:rPr>
          <w:u w:val="none"/>
        </w:rPr>
        <w:t xml:space="preserve">uploading documents and </w:t>
      </w:r>
      <w:r w:rsidR="001F3060">
        <w:rPr>
          <w:u w:val="none"/>
        </w:rPr>
        <w:t>filing purposes</w:t>
      </w:r>
      <w:r w:rsidR="00C2561F">
        <w:rPr>
          <w:u w:val="none"/>
        </w:rPr>
        <w:t xml:space="preserve"> furthermore that the case number had changed. He informed this court </w:t>
      </w:r>
      <w:r w:rsidR="001F3060">
        <w:rPr>
          <w:u w:val="none"/>
        </w:rPr>
        <w:t>that he had an appointment with the Deputy Judge President and court manager to address th</w:t>
      </w:r>
      <w:r w:rsidR="00C2561F">
        <w:rPr>
          <w:u w:val="none"/>
        </w:rPr>
        <w:t xml:space="preserve">ese issues in this </w:t>
      </w:r>
      <w:r w:rsidR="001F3060">
        <w:rPr>
          <w:u w:val="none"/>
        </w:rPr>
        <w:t>matter</w:t>
      </w:r>
      <w:r w:rsidR="00C2561F">
        <w:rPr>
          <w:u w:val="none"/>
        </w:rPr>
        <w:t xml:space="preserve"> which prevented him from pursuing the matter</w:t>
      </w:r>
      <w:r w:rsidR="001F3060">
        <w:rPr>
          <w:u w:val="none"/>
        </w:rPr>
        <w:t>.</w:t>
      </w:r>
    </w:p>
    <w:p w:rsidR="001F3060" w:rsidRDefault="00C2561F" w:rsidP="00864D51">
      <w:pPr>
        <w:widowControl w:val="0"/>
        <w:autoSpaceDE w:val="0"/>
        <w:autoSpaceDN w:val="0"/>
        <w:adjustRightInd w:val="0"/>
        <w:spacing w:before="556" w:after="1137" w:line="360" w:lineRule="auto"/>
        <w:ind w:left="714" w:right="260" w:hanging="715"/>
        <w:jc w:val="both"/>
        <w:rPr>
          <w:u w:val="none"/>
        </w:rPr>
      </w:pPr>
      <w:r>
        <w:rPr>
          <w:u w:val="none"/>
        </w:rPr>
        <w:t>[12]</w:t>
      </w:r>
      <w:r>
        <w:rPr>
          <w:u w:val="none"/>
        </w:rPr>
        <w:tab/>
      </w:r>
      <w:r w:rsidR="0016425D">
        <w:rPr>
          <w:u w:val="none"/>
        </w:rPr>
        <w:t xml:space="preserve">During the hearing of the matter, </w:t>
      </w:r>
      <w:r>
        <w:rPr>
          <w:u w:val="none"/>
        </w:rPr>
        <w:t xml:space="preserve">the applicant displayed the Case lines audit of the file. It </w:t>
      </w:r>
      <w:r w:rsidR="001F3060">
        <w:rPr>
          <w:u w:val="none"/>
        </w:rPr>
        <w:t xml:space="preserve">became evident that the case number did not change at any point in this matter. Having regard to the </w:t>
      </w:r>
      <w:r w:rsidR="00C91025">
        <w:rPr>
          <w:u w:val="none"/>
        </w:rPr>
        <w:t xml:space="preserve">Case lines </w:t>
      </w:r>
      <w:r w:rsidR="001F3060">
        <w:rPr>
          <w:u w:val="none"/>
        </w:rPr>
        <w:t>file audit it was apparent that the respondent had a</w:t>
      </w:r>
      <w:r w:rsidR="00522189">
        <w:rPr>
          <w:u w:val="none"/>
        </w:rPr>
        <w:t>ccess to the Case lines file</w:t>
      </w:r>
      <w:r w:rsidR="001F3060">
        <w:rPr>
          <w:u w:val="none"/>
        </w:rPr>
        <w:t xml:space="preserve"> </w:t>
      </w:r>
      <w:r w:rsidR="0016425D">
        <w:rPr>
          <w:u w:val="none"/>
        </w:rPr>
        <w:t>at all times. The email</w:t>
      </w:r>
      <w:r w:rsidR="0016425D" w:rsidRPr="0016425D">
        <w:rPr>
          <w:u w:val="none"/>
        </w:rPr>
        <w:t xml:space="preserve"> </w:t>
      </w:r>
      <w:r w:rsidR="0016425D">
        <w:rPr>
          <w:u w:val="none"/>
        </w:rPr>
        <w:t>communication forwarded for my attention after the hearing o</w:t>
      </w:r>
      <w:r>
        <w:rPr>
          <w:u w:val="none"/>
        </w:rPr>
        <w:t xml:space="preserve">f the matter indicated that the respondent did not have a </w:t>
      </w:r>
      <w:r w:rsidR="0016425D">
        <w:rPr>
          <w:u w:val="none"/>
        </w:rPr>
        <w:t>meeting with the Deputy Judge President or court manager.</w:t>
      </w:r>
      <w:r>
        <w:rPr>
          <w:u w:val="none"/>
        </w:rPr>
        <w:t xml:space="preserve"> The meeting was with a clerk in the Registrar’s office. </w:t>
      </w:r>
    </w:p>
    <w:p w:rsidR="0016425D" w:rsidRDefault="00C2561F" w:rsidP="00864D51">
      <w:pPr>
        <w:widowControl w:val="0"/>
        <w:autoSpaceDE w:val="0"/>
        <w:autoSpaceDN w:val="0"/>
        <w:adjustRightInd w:val="0"/>
        <w:spacing w:before="556" w:after="1137" w:line="360" w:lineRule="auto"/>
        <w:ind w:left="714" w:right="260" w:hanging="715"/>
        <w:jc w:val="both"/>
        <w:rPr>
          <w:u w:val="none"/>
        </w:rPr>
      </w:pPr>
      <w:r>
        <w:rPr>
          <w:u w:val="none"/>
        </w:rPr>
        <w:lastRenderedPageBreak/>
        <w:t>[13</w:t>
      </w:r>
      <w:r w:rsidR="001F3060">
        <w:rPr>
          <w:u w:val="none"/>
        </w:rPr>
        <w:t>]</w:t>
      </w:r>
      <w:r w:rsidR="001F3060">
        <w:rPr>
          <w:u w:val="none"/>
        </w:rPr>
        <w:tab/>
      </w:r>
      <w:r w:rsidR="00522189">
        <w:rPr>
          <w:u w:val="none"/>
        </w:rPr>
        <w:t>The respondent informed the court that he expected more assistance from the applicant in get</w:t>
      </w:r>
      <w:r w:rsidR="0016425D">
        <w:rPr>
          <w:u w:val="none"/>
        </w:rPr>
        <w:t>ting his papers in order. He</w:t>
      </w:r>
      <w:r w:rsidR="00522189">
        <w:rPr>
          <w:u w:val="none"/>
        </w:rPr>
        <w:t xml:space="preserve"> applied for the transcript</w:t>
      </w:r>
      <w:r w:rsidR="00C91025">
        <w:rPr>
          <w:u w:val="none"/>
        </w:rPr>
        <w:t xml:space="preserve"> which was almost ready</w:t>
      </w:r>
      <w:r w:rsidR="00522189">
        <w:rPr>
          <w:u w:val="none"/>
        </w:rPr>
        <w:t xml:space="preserve">. </w:t>
      </w:r>
      <w:r>
        <w:rPr>
          <w:u w:val="none"/>
        </w:rPr>
        <w:t>He conveyed that f</w:t>
      </w:r>
      <w:r w:rsidR="00522189">
        <w:rPr>
          <w:u w:val="none"/>
        </w:rPr>
        <w:t xml:space="preserve">inancial challenges prevented him from </w:t>
      </w:r>
      <w:r>
        <w:rPr>
          <w:u w:val="none"/>
        </w:rPr>
        <w:t>obtaining</w:t>
      </w:r>
      <w:r w:rsidR="00C91025">
        <w:rPr>
          <w:u w:val="none"/>
        </w:rPr>
        <w:t xml:space="preserve"> and </w:t>
      </w:r>
      <w:r w:rsidR="00522189">
        <w:rPr>
          <w:u w:val="none"/>
        </w:rPr>
        <w:t xml:space="preserve">filing it earlier. He alleged that he paid </w:t>
      </w:r>
      <w:r w:rsidR="00C91025">
        <w:rPr>
          <w:u w:val="none"/>
        </w:rPr>
        <w:t xml:space="preserve">an amount for </w:t>
      </w:r>
      <w:r w:rsidR="00522189">
        <w:rPr>
          <w:u w:val="none"/>
        </w:rPr>
        <w:t>security</w:t>
      </w:r>
      <w:r w:rsidR="00C91025">
        <w:rPr>
          <w:u w:val="none"/>
        </w:rPr>
        <w:t xml:space="preserve">. </w:t>
      </w:r>
      <w:r>
        <w:rPr>
          <w:u w:val="none"/>
        </w:rPr>
        <w:t xml:space="preserve">If he paid an </w:t>
      </w:r>
      <w:r w:rsidR="00522189">
        <w:rPr>
          <w:u w:val="none"/>
        </w:rPr>
        <w:t>amount of money</w:t>
      </w:r>
      <w:r w:rsidR="00C91025">
        <w:rPr>
          <w:u w:val="none"/>
        </w:rPr>
        <w:t xml:space="preserve">, </w:t>
      </w:r>
      <w:r w:rsidR="00522189">
        <w:rPr>
          <w:u w:val="none"/>
        </w:rPr>
        <w:t xml:space="preserve">there was no indication on the file </w:t>
      </w:r>
      <w:r w:rsidR="00C91025">
        <w:rPr>
          <w:u w:val="none"/>
        </w:rPr>
        <w:t xml:space="preserve">that </w:t>
      </w:r>
      <w:r w:rsidR="00522189">
        <w:rPr>
          <w:u w:val="none"/>
        </w:rPr>
        <w:t>he paid security</w:t>
      </w:r>
      <w:r w:rsidR="002D589F">
        <w:rPr>
          <w:u w:val="none"/>
        </w:rPr>
        <w:t xml:space="preserve"> and no explanation </w:t>
      </w:r>
      <w:r>
        <w:rPr>
          <w:u w:val="none"/>
        </w:rPr>
        <w:t xml:space="preserve">to </w:t>
      </w:r>
      <w:r w:rsidR="002D589F">
        <w:rPr>
          <w:u w:val="none"/>
        </w:rPr>
        <w:t>who the money was paid to</w:t>
      </w:r>
      <w:r>
        <w:rPr>
          <w:u w:val="none"/>
        </w:rPr>
        <w:t xml:space="preserve"> and for what purpose it was paid</w:t>
      </w:r>
      <w:r w:rsidR="00522189">
        <w:rPr>
          <w:u w:val="none"/>
        </w:rPr>
        <w:t xml:space="preserve">. </w:t>
      </w:r>
    </w:p>
    <w:p w:rsidR="00522189" w:rsidRDefault="00C2561F" w:rsidP="00864D51">
      <w:pPr>
        <w:widowControl w:val="0"/>
        <w:autoSpaceDE w:val="0"/>
        <w:autoSpaceDN w:val="0"/>
        <w:adjustRightInd w:val="0"/>
        <w:spacing w:before="556" w:after="1137" w:line="360" w:lineRule="auto"/>
        <w:ind w:left="714" w:right="260" w:hanging="715"/>
        <w:jc w:val="both"/>
        <w:rPr>
          <w:u w:val="none"/>
        </w:rPr>
      </w:pPr>
      <w:r>
        <w:rPr>
          <w:u w:val="none"/>
        </w:rPr>
        <w:t>[14</w:t>
      </w:r>
      <w:r w:rsidR="0016425D">
        <w:rPr>
          <w:u w:val="none"/>
        </w:rPr>
        <w:t>]</w:t>
      </w:r>
      <w:r w:rsidR="0016425D">
        <w:rPr>
          <w:u w:val="none"/>
        </w:rPr>
        <w:tab/>
        <w:t>Apart from the failure to comply with the Rules</w:t>
      </w:r>
      <w:r>
        <w:rPr>
          <w:u w:val="none"/>
        </w:rPr>
        <w:t>,</w:t>
      </w:r>
      <w:r w:rsidR="0016425D">
        <w:rPr>
          <w:u w:val="none"/>
        </w:rPr>
        <w:t xml:space="preserve"> the respondent’s absence of an explanation</w:t>
      </w:r>
      <w:r w:rsidR="002053F5">
        <w:rPr>
          <w:u w:val="none"/>
        </w:rPr>
        <w:t xml:space="preserve"> was also unsatisfactory</w:t>
      </w:r>
      <w:r w:rsidR="002D589F">
        <w:rPr>
          <w:u w:val="none"/>
        </w:rPr>
        <w:t>.</w:t>
      </w:r>
      <w:r w:rsidR="0016425D">
        <w:rPr>
          <w:u w:val="none"/>
        </w:rPr>
        <w:t xml:space="preserve"> </w:t>
      </w:r>
      <w:r w:rsidR="00522189">
        <w:rPr>
          <w:u w:val="none"/>
        </w:rPr>
        <w:t>The explanation that his electricity was cut by the applicant was not substantiated with proof</w:t>
      </w:r>
      <w:r w:rsidR="002053F5">
        <w:rPr>
          <w:u w:val="none"/>
        </w:rPr>
        <w:t>. He made</w:t>
      </w:r>
      <w:r w:rsidR="00C91025">
        <w:rPr>
          <w:u w:val="none"/>
        </w:rPr>
        <w:t xml:space="preserve"> the allegation that </w:t>
      </w:r>
      <w:r w:rsidR="002053F5">
        <w:rPr>
          <w:u w:val="none"/>
        </w:rPr>
        <w:t>the applicant wa</w:t>
      </w:r>
      <w:r w:rsidR="00C91025">
        <w:rPr>
          <w:u w:val="none"/>
        </w:rPr>
        <w:t xml:space="preserve">s able to cut his prepaid electricity by allocating his rental to the </w:t>
      </w:r>
      <w:r w:rsidR="002053F5">
        <w:rPr>
          <w:u w:val="none"/>
        </w:rPr>
        <w:t xml:space="preserve">pre-paid </w:t>
      </w:r>
      <w:r w:rsidR="00C91025">
        <w:rPr>
          <w:u w:val="none"/>
        </w:rPr>
        <w:t xml:space="preserve">electricity </w:t>
      </w:r>
      <w:r w:rsidR="002053F5">
        <w:rPr>
          <w:u w:val="none"/>
        </w:rPr>
        <w:t>that he purchased</w:t>
      </w:r>
      <w:r w:rsidR="00C91025">
        <w:rPr>
          <w:u w:val="none"/>
        </w:rPr>
        <w:t xml:space="preserve">. In view of </w:t>
      </w:r>
      <w:r w:rsidR="00522189">
        <w:rPr>
          <w:u w:val="none"/>
        </w:rPr>
        <w:t xml:space="preserve">the electricity supplier </w:t>
      </w:r>
      <w:r w:rsidR="00C91025">
        <w:rPr>
          <w:u w:val="none"/>
        </w:rPr>
        <w:t xml:space="preserve">being independent from the </w:t>
      </w:r>
      <w:r w:rsidR="00522189">
        <w:rPr>
          <w:u w:val="none"/>
        </w:rPr>
        <w:t xml:space="preserve">applicant </w:t>
      </w:r>
      <w:r w:rsidR="00C91025">
        <w:rPr>
          <w:u w:val="none"/>
        </w:rPr>
        <w:t>this assertion did not ap</w:t>
      </w:r>
      <w:r w:rsidR="002053F5">
        <w:rPr>
          <w:u w:val="none"/>
        </w:rPr>
        <w:t>pear to be plausible and appeared</w:t>
      </w:r>
      <w:r w:rsidR="00C91025">
        <w:rPr>
          <w:u w:val="none"/>
        </w:rPr>
        <w:t xml:space="preserve"> to be a view held </w:t>
      </w:r>
      <w:r>
        <w:rPr>
          <w:u w:val="none"/>
        </w:rPr>
        <w:t xml:space="preserve">only </w:t>
      </w:r>
      <w:r w:rsidR="00C91025">
        <w:rPr>
          <w:u w:val="none"/>
        </w:rPr>
        <w:t xml:space="preserve">by the respondent. There was no corroboration for this view and no supporting affidavits either. </w:t>
      </w:r>
    </w:p>
    <w:p w:rsidR="00A87364" w:rsidRDefault="00C2561F" w:rsidP="00864D51">
      <w:pPr>
        <w:widowControl w:val="0"/>
        <w:autoSpaceDE w:val="0"/>
        <w:autoSpaceDN w:val="0"/>
        <w:adjustRightInd w:val="0"/>
        <w:spacing w:before="556" w:after="1137" w:line="360" w:lineRule="auto"/>
        <w:ind w:left="714" w:right="260" w:hanging="715"/>
        <w:jc w:val="both"/>
        <w:rPr>
          <w:u w:val="none"/>
        </w:rPr>
      </w:pPr>
      <w:r>
        <w:rPr>
          <w:u w:val="none"/>
        </w:rPr>
        <w:t>[15</w:t>
      </w:r>
      <w:r w:rsidR="00C91025">
        <w:rPr>
          <w:u w:val="none"/>
        </w:rPr>
        <w:t>]</w:t>
      </w:r>
      <w:r w:rsidR="00C91025">
        <w:rPr>
          <w:u w:val="none"/>
        </w:rPr>
        <w:tab/>
        <w:t>The respondent</w:t>
      </w:r>
      <w:r w:rsidR="00522189">
        <w:rPr>
          <w:u w:val="none"/>
        </w:rPr>
        <w:t xml:space="preserve"> had </w:t>
      </w:r>
      <w:r w:rsidR="00C91025">
        <w:rPr>
          <w:u w:val="none"/>
        </w:rPr>
        <w:t xml:space="preserve">been in receipt of </w:t>
      </w:r>
      <w:r w:rsidR="00522189">
        <w:rPr>
          <w:u w:val="none"/>
        </w:rPr>
        <w:t>the applicant’s application w</w:t>
      </w:r>
      <w:r w:rsidR="002053F5">
        <w:rPr>
          <w:u w:val="none"/>
        </w:rPr>
        <w:t>hich set</w:t>
      </w:r>
      <w:r w:rsidR="00522189">
        <w:rPr>
          <w:u w:val="none"/>
        </w:rPr>
        <w:t xml:space="preserve"> out the problems with </w:t>
      </w:r>
      <w:r w:rsidR="00C91025">
        <w:rPr>
          <w:u w:val="none"/>
        </w:rPr>
        <w:t>his</w:t>
      </w:r>
      <w:r w:rsidR="00522189">
        <w:rPr>
          <w:u w:val="none"/>
        </w:rPr>
        <w:t xml:space="preserve"> </w:t>
      </w:r>
      <w:r w:rsidR="00A87364">
        <w:rPr>
          <w:u w:val="none"/>
        </w:rPr>
        <w:t xml:space="preserve">failure </w:t>
      </w:r>
      <w:r w:rsidR="002053F5">
        <w:rPr>
          <w:u w:val="none"/>
        </w:rPr>
        <w:t>to comply with the Rules</w:t>
      </w:r>
      <w:r w:rsidR="002D589F">
        <w:rPr>
          <w:u w:val="none"/>
        </w:rPr>
        <w:t xml:space="preserve"> for some time</w:t>
      </w:r>
      <w:r w:rsidR="002053F5">
        <w:rPr>
          <w:u w:val="none"/>
        </w:rPr>
        <w:t>. He</w:t>
      </w:r>
      <w:r w:rsidR="00A87364">
        <w:rPr>
          <w:u w:val="none"/>
        </w:rPr>
        <w:t xml:space="preserve"> also </w:t>
      </w:r>
      <w:r w:rsidR="00864D51">
        <w:rPr>
          <w:u w:val="none"/>
        </w:rPr>
        <w:t>had the opportunity</w:t>
      </w:r>
      <w:r w:rsidR="00A87364">
        <w:rPr>
          <w:u w:val="none"/>
        </w:rPr>
        <w:t xml:space="preserve"> to approach and or to call Legal Aid. He conceded that he did not really pursue this option </w:t>
      </w:r>
      <w:r w:rsidR="00C91025">
        <w:rPr>
          <w:u w:val="none"/>
        </w:rPr>
        <w:t xml:space="preserve">fully. </w:t>
      </w:r>
      <w:r w:rsidR="00A87364">
        <w:rPr>
          <w:u w:val="none"/>
        </w:rPr>
        <w:t xml:space="preserve">Had he done so he may </w:t>
      </w:r>
      <w:r w:rsidR="00864D51">
        <w:rPr>
          <w:u w:val="none"/>
        </w:rPr>
        <w:t>have</w:t>
      </w:r>
      <w:r w:rsidR="00A87364">
        <w:rPr>
          <w:u w:val="none"/>
        </w:rPr>
        <w:t xml:space="preserve"> been guided to apply for condonation setting out reasons for his failure to comply.  At this stage</w:t>
      </w:r>
      <w:r w:rsidR="00864D51">
        <w:rPr>
          <w:u w:val="none"/>
        </w:rPr>
        <w:t>,</w:t>
      </w:r>
      <w:r w:rsidR="00A87364">
        <w:rPr>
          <w:u w:val="none"/>
        </w:rPr>
        <w:t xml:space="preserve"> the reasons which he </w:t>
      </w:r>
      <w:r w:rsidR="00864D51">
        <w:rPr>
          <w:u w:val="none"/>
        </w:rPr>
        <w:t>proffered</w:t>
      </w:r>
      <w:r w:rsidR="00A87364">
        <w:rPr>
          <w:u w:val="none"/>
        </w:rPr>
        <w:t xml:space="preserve"> </w:t>
      </w:r>
      <w:r w:rsidR="006B2E58">
        <w:rPr>
          <w:u w:val="none"/>
        </w:rPr>
        <w:t xml:space="preserve">during the hearing </w:t>
      </w:r>
      <w:r w:rsidR="00A87364">
        <w:rPr>
          <w:u w:val="none"/>
        </w:rPr>
        <w:t xml:space="preserve">which are not under oath do not afford a sufficient explanation why he did not request the </w:t>
      </w:r>
      <w:r w:rsidR="00C91025">
        <w:rPr>
          <w:u w:val="none"/>
        </w:rPr>
        <w:t xml:space="preserve">magistrate’s written </w:t>
      </w:r>
      <w:r w:rsidR="00A87364">
        <w:rPr>
          <w:u w:val="none"/>
        </w:rPr>
        <w:t>reasons and record timeously</w:t>
      </w:r>
      <w:r w:rsidR="00C91025">
        <w:rPr>
          <w:u w:val="none"/>
        </w:rPr>
        <w:t>. These are still not fil</w:t>
      </w:r>
      <w:r w:rsidR="006B2E58">
        <w:rPr>
          <w:u w:val="none"/>
        </w:rPr>
        <w:t xml:space="preserve">ed to date </w:t>
      </w:r>
      <w:r w:rsidR="00A87364">
        <w:rPr>
          <w:u w:val="none"/>
        </w:rPr>
        <w:t>after he was furnished an opportunity to file an answering affidavit</w:t>
      </w:r>
      <w:r w:rsidR="006B2E58">
        <w:rPr>
          <w:u w:val="none"/>
        </w:rPr>
        <w:t xml:space="preserve">. He did not state </w:t>
      </w:r>
      <w:r w:rsidR="00A87364">
        <w:rPr>
          <w:u w:val="none"/>
        </w:rPr>
        <w:t xml:space="preserve">why he did not seek legal representation </w:t>
      </w:r>
      <w:r>
        <w:rPr>
          <w:u w:val="none"/>
        </w:rPr>
        <w:t xml:space="preserve">earlier and he conceded that he did not make an effort in this regard. He ought to have sought </w:t>
      </w:r>
      <w:r w:rsidR="00A87364">
        <w:rPr>
          <w:u w:val="none"/>
        </w:rPr>
        <w:t xml:space="preserve">assistance to address the various problems which led to him not </w:t>
      </w:r>
      <w:r w:rsidR="00A87364">
        <w:rPr>
          <w:u w:val="none"/>
        </w:rPr>
        <w:lastRenderedPageBreak/>
        <w:t xml:space="preserve">prosecuting the appeal timeously. The respondent has not complied with the Rules and then sought to introduce new matter. This is indicative of his conduct throughout and his request for legal assistance from the applicant is misplaced. </w:t>
      </w:r>
    </w:p>
    <w:p w:rsidR="006B2E58" w:rsidRDefault="00C2561F" w:rsidP="00864D51">
      <w:pPr>
        <w:widowControl w:val="0"/>
        <w:autoSpaceDE w:val="0"/>
        <w:autoSpaceDN w:val="0"/>
        <w:adjustRightInd w:val="0"/>
        <w:spacing w:before="556" w:after="1137" w:line="360" w:lineRule="auto"/>
        <w:ind w:left="714" w:right="260" w:hanging="715"/>
        <w:jc w:val="both"/>
        <w:rPr>
          <w:u w:val="none"/>
        </w:rPr>
      </w:pPr>
      <w:r>
        <w:rPr>
          <w:u w:val="none"/>
        </w:rPr>
        <w:t>[16</w:t>
      </w:r>
      <w:r w:rsidR="00DE6E02">
        <w:rPr>
          <w:u w:val="none"/>
        </w:rPr>
        <w:t>]</w:t>
      </w:r>
      <w:r w:rsidR="00DE6E02">
        <w:rPr>
          <w:u w:val="none"/>
        </w:rPr>
        <w:tab/>
        <w:t xml:space="preserve">The respondent has not explained his non-compliance in his </w:t>
      </w:r>
      <w:r w:rsidR="00864D51">
        <w:rPr>
          <w:u w:val="none"/>
        </w:rPr>
        <w:t>“</w:t>
      </w:r>
      <w:r w:rsidR="00DE6E02">
        <w:rPr>
          <w:u w:val="none"/>
        </w:rPr>
        <w:t>notice to oppose application to strike out</w:t>
      </w:r>
      <w:r w:rsidR="00864D51">
        <w:rPr>
          <w:u w:val="none"/>
        </w:rPr>
        <w:t>”</w:t>
      </w:r>
      <w:r w:rsidR="00DE6E02">
        <w:rPr>
          <w:u w:val="none"/>
        </w:rPr>
        <w:t xml:space="preserve"> and </w:t>
      </w:r>
      <w:r w:rsidR="00F83E0A">
        <w:rPr>
          <w:u w:val="none"/>
        </w:rPr>
        <w:t xml:space="preserve">the supporting </w:t>
      </w:r>
      <w:r w:rsidR="00DE6E02">
        <w:rPr>
          <w:u w:val="none"/>
        </w:rPr>
        <w:t xml:space="preserve">affidavit. </w:t>
      </w:r>
      <w:r w:rsidR="006B2E58">
        <w:rPr>
          <w:u w:val="none"/>
        </w:rPr>
        <w:t>I have noted th</w:t>
      </w:r>
      <w:r w:rsidR="00B2789B">
        <w:rPr>
          <w:u w:val="none"/>
        </w:rPr>
        <w:t>e</w:t>
      </w:r>
      <w:r w:rsidR="006B2E58">
        <w:rPr>
          <w:u w:val="none"/>
        </w:rPr>
        <w:t xml:space="preserve"> submission by c</w:t>
      </w:r>
      <w:r w:rsidR="00DE6E02">
        <w:rPr>
          <w:u w:val="none"/>
        </w:rPr>
        <w:t>ounsel for the applicant that the respondent introduced new evidence from the bar during the proceedings</w:t>
      </w:r>
      <w:r w:rsidR="00F83E0A">
        <w:rPr>
          <w:u w:val="none"/>
        </w:rPr>
        <w:t xml:space="preserve"> </w:t>
      </w:r>
      <w:r w:rsidR="006B2E58">
        <w:rPr>
          <w:u w:val="none"/>
        </w:rPr>
        <w:t xml:space="preserve">in the court </w:t>
      </w:r>
      <w:r w:rsidR="006B2E58" w:rsidRPr="006B2E58">
        <w:rPr>
          <w:i/>
          <w:u w:val="none"/>
        </w:rPr>
        <w:t>a quo</w:t>
      </w:r>
      <w:r w:rsidR="006B2E58">
        <w:rPr>
          <w:u w:val="none"/>
        </w:rPr>
        <w:t xml:space="preserve"> </w:t>
      </w:r>
      <w:r w:rsidR="00F83E0A">
        <w:rPr>
          <w:u w:val="none"/>
        </w:rPr>
        <w:t>and during this application</w:t>
      </w:r>
      <w:r w:rsidR="00DE6E02">
        <w:rPr>
          <w:u w:val="none"/>
        </w:rPr>
        <w:t xml:space="preserve">. </w:t>
      </w:r>
      <w:r w:rsidR="006B2E58">
        <w:rPr>
          <w:u w:val="none"/>
        </w:rPr>
        <w:t xml:space="preserve"> This is attributable to his lack of familiarity with the requirements. </w:t>
      </w:r>
      <w:r w:rsidR="00DE6E02">
        <w:rPr>
          <w:u w:val="none"/>
        </w:rPr>
        <w:t xml:space="preserve">The </w:t>
      </w:r>
      <w:r w:rsidR="00F83E0A">
        <w:rPr>
          <w:u w:val="none"/>
        </w:rPr>
        <w:t xml:space="preserve">transcribed </w:t>
      </w:r>
      <w:r w:rsidR="00DE6E02">
        <w:rPr>
          <w:u w:val="none"/>
        </w:rPr>
        <w:t xml:space="preserve">record </w:t>
      </w:r>
      <w:r w:rsidR="00F83E0A">
        <w:rPr>
          <w:u w:val="none"/>
        </w:rPr>
        <w:t xml:space="preserve">of the proceedings before the court </w:t>
      </w:r>
      <w:r w:rsidR="00F83E0A" w:rsidRPr="006B2E58">
        <w:rPr>
          <w:i/>
          <w:u w:val="none"/>
        </w:rPr>
        <w:t>a quo</w:t>
      </w:r>
      <w:r w:rsidR="00F83E0A">
        <w:rPr>
          <w:u w:val="none"/>
        </w:rPr>
        <w:t xml:space="preserve"> </w:t>
      </w:r>
      <w:r w:rsidR="00DE6E02">
        <w:rPr>
          <w:u w:val="none"/>
        </w:rPr>
        <w:t>is not before this court</w:t>
      </w:r>
      <w:r w:rsidR="00F83E0A">
        <w:rPr>
          <w:u w:val="none"/>
        </w:rPr>
        <w:t xml:space="preserve">. </w:t>
      </w:r>
      <w:r w:rsidR="00DE6E02">
        <w:rPr>
          <w:u w:val="none"/>
        </w:rPr>
        <w:t>The respondent has not addressed this aspect, however</w:t>
      </w:r>
      <w:r w:rsidR="00864D51">
        <w:rPr>
          <w:u w:val="none"/>
        </w:rPr>
        <w:t>,</w:t>
      </w:r>
      <w:r w:rsidR="00DE6E02">
        <w:rPr>
          <w:u w:val="none"/>
        </w:rPr>
        <w:t xml:space="preserve"> he does continue to raise new aspects </w:t>
      </w:r>
      <w:r w:rsidR="00864D51">
        <w:rPr>
          <w:u w:val="none"/>
        </w:rPr>
        <w:t>that</w:t>
      </w:r>
      <w:r w:rsidR="00F83E0A">
        <w:rPr>
          <w:u w:val="none"/>
        </w:rPr>
        <w:t xml:space="preserve"> he deems relevant from his view as a lay litigant.</w:t>
      </w:r>
      <w:r w:rsidR="00DE6E02">
        <w:rPr>
          <w:u w:val="none"/>
        </w:rPr>
        <w:t xml:space="preserve"> He </w:t>
      </w:r>
      <w:r w:rsidR="00F83E0A">
        <w:rPr>
          <w:u w:val="none"/>
        </w:rPr>
        <w:t xml:space="preserve">stated that he was unable to secure legal representation in the court </w:t>
      </w:r>
      <w:r w:rsidR="00F83E0A" w:rsidRPr="006B2E58">
        <w:rPr>
          <w:i/>
          <w:u w:val="none"/>
        </w:rPr>
        <w:t>a quo</w:t>
      </w:r>
      <w:r w:rsidR="00F83E0A">
        <w:rPr>
          <w:u w:val="none"/>
        </w:rPr>
        <w:t xml:space="preserve"> timeously and the matter proceeded without such legal representation. </w:t>
      </w:r>
      <w:r w:rsidR="006B2E58">
        <w:rPr>
          <w:u w:val="none"/>
        </w:rPr>
        <w:t xml:space="preserve">This does not explain why he has not addressed the situation in the interim and he conceded that he </w:t>
      </w:r>
      <w:r w:rsidR="000717F5">
        <w:rPr>
          <w:u w:val="none"/>
        </w:rPr>
        <w:t xml:space="preserve">did not apply himself to this </w:t>
      </w:r>
      <w:r w:rsidR="006B2E58">
        <w:rPr>
          <w:u w:val="none"/>
        </w:rPr>
        <w:t>aspect in the interim.</w:t>
      </w:r>
      <w:r w:rsidR="000717F5">
        <w:rPr>
          <w:u w:val="none"/>
        </w:rPr>
        <w:t xml:space="preserve"> He appears to have relied on the applicant’s legal representative unduly.</w:t>
      </w:r>
      <w:r w:rsidR="006B2E58">
        <w:rPr>
          <w:u w:val="none"/>
        </w:rPr>
        <w:t xml:space="preserve"> </w:t>
      </w:r>
    </w:p>
    <w:p w:rsidR="00F57EFB" w:rsidRDefault="000717F5" w:rsidP="00864D51">
      <w:pPr>
        <w:widowControl w:val="0"/>
        <w:autoSpaceDE w:val="0"/>
        <w:autoSpaceDN w:val="0"/>
        <w:adjustRightInd w:val="0"/>
        <w:spacing w:before="556" w:after="1137" w:line="360" w:lineRule="auto"/>
        <w:ind w:left="714" w:right="260" w:hanging="715"/>
        <w:jc w:val="both"/>
        <w:rPr>
          <w:u w:val="none"/>
        </w:rPr>
      </w:pPr>
      <w:r>
        <w:rPr>
          <w:u w:val="none"/>
        </w:rPr>
        <w:t>[17</w:t>
      </w:r>
      <w:r w:rsidR="006B2E58">
        <w:rPr>
          <w:u w:val="none"/>
        </w:rPr>
        <w:t>]</w:t>
      </w:r>
      <w:r w:rsidR="006B2E58">
        <w:rPr>
          <w:u w:val="none"/>
        </w:rPr>
        <w:tab/>
        <w:t>The respondent’s delay in dealing with the matter</w:t>
      </w:r>
      <w:r w:rsidR="00864D51">
        <w:rPr>
          <w:u w:val="none"/>
        </w:rPr>
        <w:t xml:space="preserve"> </w:t>
      </w:r>
      <w:r w:rsidR="006B2E58">
        <w:rPr>
          <w:u w:val="none"/>
        </w:rPr>
        <w:t>timeously and not seeking legal representation when afforded an opportunity to file his answering affidavit</w:t>
      </w:r>
      <w:r w:rsidR="001E161E">
        <w:rPr>
          <w:u w:val="none"/>
        </w:rPr>
        <w:t xml:space="preserve"> and to seek </w:t>
      </w:r>
      <w:r w:rsidR="006B2E58">
        <w:rPr>
          <w:u w:val="none"/>
        </w:rPr>
        <w:t xml:space="preserve">condonation </w:t>
      </w:r>
      <w:r w:rsidR="001E161E">
        <w:rPr>
          <w:u w:val="none"/>
        </w:rPr>
        <w:t xml:space="preserve">is not adequately explained other than his being dilatory and raising new issues.  It does not </w:t>
      </w:r>
      <w:r w:rsidR="00F83E0A">
        <w:rPr>
          <w:u w:val="none"/>
        </w:rPr>
        <w:t xml:space="preserve">explain </w:t>
      </w:r>
      <w:r w:rsidR="001E161E">
        <w:rPr>
          <w:u w:val="none"/>
        </w:rPr>
        <w:t xml:space="preserve">why </w:t>
      </w:r>
      <w:r w:rsidR="00F83E0A">
        <w:rPr>
          <w:u w:val="none"/>
        </w:rPr>
        <w:t xml:space="preserve">the transcribed record has not been filed and </w:t>
      </w:r>
      <w:r>
        <w:rPr>
          <w:u w:val="none"/>
        </w:rPr>
        <w:t xml:space="preserve">why </w:t>
      </w:r>
      <w:r w:rsidR="00F83E0A">
        <w:rPr>
          <w:u w:val="none"/>
        </w:rPr>
        <w:t xml:space="preserve">security has not been </w:t>
      </w:r>
      <w:r>
        <w:rPr>
          <w:u w:val="none"/>
        </w:rPr>
        <w:t>furnished</w:t>
      </w:r>
      <w:r w:rsidR="00F83E0A">
        <w:rPr>
          <w:u w:val="none"/>
        </w:rPr>
        <w:t>.</w:t>
      </w:r>
      <w:r w:rsidR="007561F5">
        <w:rPr>
          <w:u w:val="none"/>
        </w:rPr>
        <w:t xml:space="preserve"> </w:t>
      </w:r>
      <w:r w:rsidR="0016425D">
        <w:rPr>
          <w:u w:val="none"/>
        </w:rPr>
        <w:t xml:space="preserve">In addition to the non-compliance with the Rules, the respondent did not file the </w:t>
      </w:r>
      <w:r w:rsidR="0016425D" w:rsidRPr="00183CAA">
        <w:rPr>
          <w:u w:val="none"/>
        </w:rPr>
        <w:t xml:space="preserve">required </w:t>
      </w:r>
      <w:r w:rsidR="0016425D">
        <w:rPr>
          <w:u w:val="none"/>
        </w:rPr>
        <w:t>n</w:t>
      </w:r>
      <w:r w:rsidR="0016425D" w:rsidRPr="00183CAA">
        <w:rPr>
          <w:u w:val="none"/>
        </w:rPr>
        <w:t xml:space="preserve">otice of </w:t>
      </w:r>
      <w:r w:rsidR="0016425D">
        <w:rPr>
          <w:u w:val="none"/>
        </w:rPr>
        <w:t>a</w:t>
      </w:r>
      <w:r w:rsidR="0016425D" w:rsidRPr="00183CAA">
        <w:rPr>
          <w:u w:val="none"/>
        </w:rPr>
        <w:t xml:space="preserve">ppeal, setting out how the </w:t>
      </w:r>
      <w:r w:rsidR="0016425D">
        <w:rPr>
          <w:u w:val="none"/>
        </w:rPr>
        <w:t>c</w:t>
      </w:r>
      <w:r w:rsidR="0016425D" w:rsidRPr="00183CAA">
        <w:rPr>
          <w:u w:val="none"/>
        </w:rPr>
        <w:t xml:space="preserve">ourt </w:t>
      </w:r>
      <w:r w:rsidR="0016425D" w:rsidRPr="0016425D">
        <w:rPr>
          <w:i/>
          <w:u w:val="none"/>
        </w:rPr>
        <w:t>a quo</w:t>
      </w:r>
      <w:r w:rsidR="0016425D" w:rsidRPr="00183CAA">
        <w:rPr>
          <w:u w:val="none"/>
        </w:rPr>
        <w:t xml:space="preserve"> erred</w:t>
      </w:r>
      <w:r w:rsidR="0016425D">
        <w:rPr>
          <w:u w:val="none"/>
        </w:rPr>
        <w:t xml:space="preserve">. He did not set out what the court </w:t>
      </w:r>
      <w:r w:rsidR="0016425D" w:rsidRPr="00183CAA">
        <w:rPr>
          <w:u w:val="none"/>
        </w:rPr>
        <w:t>should have found</w:t>
      </w:r>
      <w:r w:rsidR="0016425D">
        <w:rPr>
          <w:u w:val="none"/>
        </w:rPr>
        <w:t>.  The respon</w:t>
      </w:r>
      <w:r>
        <w:rPr>
          <w:u w:val="none"/>
        </w:rPr>
        <w:t>dent has not complied with the R</w:t>
      </w:r>
      <w:r w:rsidR="0016425D">
        <w:rPr>
          <w:u w:val="none"/>
        </w:rPr>
        <w:t>ules and has filed at</w:t>
      </w:r>
      <w:r w:rsidR="0016425D" w:rsidRPr="00183CAA">
        <w:rPr>
          <w:u w:val="none"/>
        </w:rPr>
        <w:t xml:space="preserve"> least 3 documents upon which</w:t>
      </w:r>
      <w:r w:rsidR="0016425D">
        <w:rPr>
          <w:u w:val="none"/>
        </w:rPr>
        <w:t xml:space="preserve"> he relies </w:t>
      </w:r>
      <w:r w:rsidR="0016425D" w:rsidRPr="00183CAA">
        <w:rPr>
          <w:u w:val="none"/>
        </w:rPr>
        <w:t>for his appeal</w:t>
      </w:r>
      <w:r w:rsidR="0016425D">
        <w:rPr>
          <w:u w:val="none"/>
        </w:rPr>
        <w:t xml:space="preserve"> none of which afford any clarity</w:t>
      </w:r>
      <w:r w:rsidR="001E161E">
        <w:rPr>
          <w:u w:val="none"/>
        </w:rPr>
        <w:t xml:space="preserve"> to enable this matter to be deliberated upon. </w:t>
      </w:r>
      <w:r w:rsidR="001E161E">
        <w:rPr>
          <w:u w:val="none"/>
        </w:rPr>
        <w:lastRenderedPageBreak/>
        <w:t xml:space="preserve">He has not made available further evidence or applied for condonation. If further evidence were </w:t>
      </w:r>
      <w:r w:rsidR="00864D51">
        <w:rPr>
          <w:u w:val="none"/>
        </w:rPr>
        <w:t>accepted,</w:t>
      </w:r>
      <w:r w:rsidR="001E161E">
        <w:rPr>
          <w:u w:val="none"/>
        </w:rPr>
        <w:t xml:space="preserve"> it is not evident that it would lead to a different verdict.</w:t>
      </w:r>
    </w:p>
    <w:p w:rsidR="00183CAA" w:rsidRPr="00183CAA" w:rsidRDefault="000717F5" w:rsidP="00864D51">
      <w:pPr>
        <w:widowControl w:val="0"/>
        <w:autoSpaceDE w:val="0"/>
        <w:autoSpaceDN w:val="0"/>
        <w:adjustRightInd w:val="0"/>
        <w:spacing w:before="556" w:after="1137" w:line="360" w:lineRule="auto"/>
        <w:ind w:left="714" w:right="261" w:hanging="714"/>
        <w:jc w:val="both"/>
        <w:rPr>
          <w:b/>
          <w:bCs/>
          <w:u w:val="none"/>
        </w:rPr>
      </w:pPr>
      <w:r>
        <w:rPr>
          <w:u w:val="none"/>
        </w:rPr>
        <w:t>[18</w:t>
      </w:r>
      <w:r w:rsidR="00F57EFB">
        <w:rPr>
          <w:u w:val="none"/>
        </w:rPr>
        <w:t>]</w:t>
      </w:r>
      <w:r w:rsidR="001E161E">
        <w:rPr>
          <w:u w:val="none"/>
        </w:rPr>
        <w:tab/>
        <w:t xml:space="preserve">The applicant’s concern was that the respondent moved the goal posts on each occasion as warned in </w:t>
      </w:r>
      <w:r w:rsidR="00183CAA" w:rsidRPr="001E161E">
        <w:rPr>
          <w:bCs/>
          <w:i/>
          <w:u w:val="none"/>
        </w:rPr>
        <w:t>S v N</w:t>
      </w:r>
      <w:r w:rsidR="00183CAA" w:rsidRPr="001E161E">
        <w:rPr>
          <w:bCs/>
          <w:color w:val="0A4A0A"/>
          <w:u w:val="none"/>
        </w:rPr>
        <w:t xml:space="preserve"> 1988 (3)</w:t>
      </w:r>
      <w:r w:rsidR="001E161E" w:rsidRPr="001E161E">
        <w:rPr>
          <w:bCs/>
          <w:color w:val="0A4A0A"/>
          <w:u w:val="none"/>
        </w:rPr>
        <w:t xml:space="preserve"> </w:t>
      </w:r>
      <w:r w:rsidR="00183CAA" w:rsidRPr="001E161E">
        <w:rPr>
          <w:bCs/>
          <w:color w:val="0A4A0A"/>
          <w:u w:val="none"/>
        </w:rPr>
        <w:t>SA 450</w:t>
      </w:r>
      <w:r w:rsidR="00183CAA" w:rsidRPr="001E161E">
        <w:rPr>
          <w:bCs/>
          <w:u w:val="none"/>
        </w:rPr>
        <w:t xml:space="preserve"> (A) at 458E - 459A</w:t>
      </w:r>
      <w:r w:rsidR="00183CAA" w:rsidRPr="00183CAA">
        <w:rPr>
          <w:b/>
          <w:bCs/>
          <w:u w:val="none"/>
        </w:rPr>
        <w:t>:</w:t>
      </w:r>
    </w:p>
    <w:p w:rsidR="00183CAA" w:rsidRPr="001E161E" w:rsidRDefault="00183CAA" w:rsidP="00864D51">
      <w:pPr>
        <w:widowControl w:val="0"/>
        <w:autoSpaceDE w:val="0"/>
        <w:autoSpaceDN w:val="0"/>
        <w:adjustRightInd w:val="0"/>
        <w:spacing w:before="415" w:line="360" w:lineRule="auto"/>
        <w:ind w:left="650"/>
        <w:jc w:val="both"/>
        <w:rPr>
          <w:iCs/>
          <w:sz w:val="22"/>
          <w:szCs w:val="22"/>
          <w:u w:val="none"/>
        </w:rPr>
      </w:pPr>
      <w:r w:rsidRPr="001E161E">
        <w:rPr>
          <w:iCs/>
          <w:sz w:val="22"/>
          <w:szCs w:val="22"/>
          <w:u w:val="none"/>
        </w:rPr>
        <w:t>'It is a power which the Court exercises only in exceptional cases for:</w:t>
      </w:r>
    </w:p>
    <w:p w:rsidR="00183CAA" w:rsidRDefault="00183CAA" w:rsidP="00864D51">
      <w:pPr>
        <w:widowControl w:val="0"/>
        <w:autoSpaceDE w:val="0"/>
        <w:autoSpaceDN w:val="0"/>
        <w:adjustRightInd w:val="0"/>
        <w:spacing w:before="144" w:line="360" w:lineRule="auto"/>
        <w:ind w:left="650" w:right="455"/>
        <w:jc w:val="both"/>
        <w:rPr>
          <w:iCs/>
          <w:sz w:val="22"/>
          <w:szCs w:val="22"/>
          <w:u w:val="none"/>
        </w:rPr>
      </w:pPr>
      <w:r w:rsidRPr="001E161E">
        <w:rPr>
          <w:iCs/>
          <w:sz w:val="22"/>
          <w:szCs w:val="22"/>
          <w:u w:val="none"/>
        </w:rPr>
        <w:t>''It is clearly not in the interests of the administration of justice that issues of fact, once judicially investigated and pronounced upon, should lightly be reopened and amplified. And there is always the possibility, such is human frailty, that an accused, having seen where the shoe pinches, might tend to shape evidence to meet the difficulty."</w:t>
      </w:r>
    </w:p>
    <w:p w:rsidR="001E161E" w:rsidRDefault="001E161E" w:rsidP="00864D51">
      <w:pPr>
        <w:widowControl w:val="0"/>
        <w:autoSpaceDE w:val="0"/>
        <w:autoSpaceDN w:val="0"/>
        <w:adjustRightInd w:val="0"/>
        <w:spacing w:before="144" w:line="360" w:lineRule="auto"/>
        <w:ind w:left="650" w:right="455"/>
        <w:jc w:val="both"/>
        <w:rPr>
          <w:iCs/>
          <w:u w:val="none"/>
        </w:rPr>
      </w:pPr>
      <w:r>
        <w:rPr>
          <w:iCs/>
          <w:u w:val="none"/>
        </w:rPr>
        <w:t xml:space="preserve">This concern is addressed with the </w:t>
      </w:r>
      <w:r w:rsidR="0097288B">
        <w:rPr>
          <w:iCs/>
          <w:u w:val="none"/>
        </w:rPr>
        <w:t xml:space="preserve">presence of corroborating affidavits. These are absent in the present matter. </w:t>
      </w:r>
    </w:p>
    <w:p w:rsidR="0097288B" w:rsidRDefault="0097288B" w:rsidP="00864D51">
      <w:pPr>
        <w:widowControl w:val="0"/>
        <w:autoSpaceDE w:val="0"/>
        <w:autoSpaceDN w:val="0"/>
        <w:adjustRightInd w:val="0"/>
        <w:spacing w:before="144" w:line="360" w:lineRule="auto"/>
        <w:ind w:left="650" w:right="455"/>
        <w:jc w:val="both"/>
        <w:rPr>
          <w:iCs/>
          <w:u w:val="none"/>
        </w:rPr>
      </w:pPr>
    </w:p>
    <w:p w:rsidR="005C751B" w:rsidRDefault="000717F5" w:rsidP="00864D51">
      <w:pPr>
        <w:widowControl w:val="0"/>
        <w:autoSpaceDE w:val="0"/>
        <w:autoSpaceDN w:val="0"/>
        <w:adjustRightInd w:val="0"/>
        <w:spacing w:before="144" w:line="360" w:lineRule="auto"/>
        <w:ind w:left="650" w:right="455" w:hanging="650"/>
        <w:jc w:val="both"/>
        <w:rPr>
          <w:u w:val="none"/>
        </w:rPr>
      </w:pPr>
      <w:r>
        <w:rPr>
          <w:iCs/>
          <w:u w:val="none"/>
        </w:rPr>
        <w:t>[19</w:t>
      </w:r>
      <w:r w:rsidR="0097288B">
        <w:rPr>
          <w:iCs/>
          <w:u w:val="none"/>
        </w:rPr>
        <w:t>]</w:t>
      </w:r>
      <w:r w:rsidR="0097288B">
        <w:rPr>
          <w:iCs/>
          <w:u w:val="none"/>
        </w:rPr>
        <w:tab/>
        <w:t>Considering the time that has passed namely</w:t>
      </w:r>
      <w:r w:rsidR="00864D51">
        <w:rPr>
          <w:iCs/>
          <w:u w:val="none"/>
        </w:rPr>
        <w:t xml:space="preserve"> </w:t>
      </w:r>
      <w:r w:rsidR="0097288B">
        <w:rPr>
          <w:iCs/>
          <w:u w:val="none"/>
        </w:rPr>
        <w:t>more than twelve months</w:t>
      </w:r>
      <w:r>
        <w:rPr>
          <w:iCs/>
          <w:u w:val="none"/>
        </w:rPr>
        <w:t>,</w:t>
      </w:r>
      <w:r w:rsidR="0097288B">
        <w:rPr>
          <w:iCs/>
          <w:u w:val="none"/>
        </w:rPr>
        <w:t xml:space="preserve"> the respondent</w:t>
      </w:r>
      <w:r w:rsidR="00864D51">
        <w:rPr>
          <w:iCs/>
          <w:u w:val="none"/>
        </w:rPr>
        <w:t xml:space="preserve"> </w:t>
      </w:r>
      <w:r w:rsidR="0097288B">
        <w:rPr>
          <w:iCs/>
          <w:u w:val="none"/>
        </w:rPr>
        <w:t>has not addressed the issues required which includ</w:t>
      </w:r>
      <w:r>
        <w:rPr>
          <w:iCs/>
          <w:u w:val="none"/>
        </w:rPr>
        <w:t>e compliance with the Rules of C</w:t>
      </w:r>
      <w:r w:rsidR="0097288B">
        <w:rPr>
          <w:iCs/>
          <w:u w:val="none"/>
        </w:rPr>
        <w:t xml:space="preserve">ourt and has not sought legal assistance to </w:t>
      </w:r>
      <w:r w:rsidR="00183CAA" w:rsidRPr="00183CAA">
        <w:rPr>
          <w:u w:val="none"/>
        </w:rPr>
        <w:t>properly prosecute the appeal as required in terms of Rule 50(1).</w:t>
      </w:r>
      <w:r w:rsidR="0097288B">
        <w:rPr>
          <w:u w:val="none"/>
        </w:rPr>
        <w:t xml:space="preserve"> The respondent wishes to continue with the appeal despite his non-compliance. He has not addressed this issue over a period of time. </w:t>
      </w:r>
      <w:r w:rsidR="005C751B" w:rsidRPr="00183CAA">
        <w:rPr>
          <w:u w:val="none"/>
        </w:rPr>
        <w:t>T</w:t>
      </w:r>
      <w:r w:rsidR="0097288B">
        <w:rPr>
          <w:u w:val="none"/>
        </w:rPr>
        <w:t xml:space="preserve">he application before </w:t>
      </w:r>
      <w:r w:rsidR="00864D51">
        <w:rPr>
          <w:u w:val="none"/>
        </w:rPr>
        <w:t xml:space="preserve">the </w:t>
      </w:r>
      <w:r w:rsidR="0097288B">
        <w:rPr>
          <w:u w:val="none"/>
        </w:rPr>
        <w:t>co</w:t>
      </w:r>
      <w:r w:rsidR="005C751B" w:rsidRPr="00183CAA">
        <w:rPr>
          <w:u w:val="none"/>
        </w:rPr>
        <w:t>urt is an application</w:t>
      </w:r>
      <w:r w:rsidR="0097288B">
        <w:rPr>
          <w:u w:val="none"/>
        </w:rPr>
        <w:t xml:space="preserve"> to strike out and to set aside or </w:t>
      </w:r>
      <w:r w:rsidR="005C751B" w:rsidRPr="00183CAA">
        <w:rPr>
          <w:u w:val="none"/>
        </w:rPr>
        <w:t>dismiss the “Application for Appeal Date” dated 9 December 2020 and issued 10 December 2020; “Notice of Leave to Appeal/Judgement” dated 9 December 2020 and the “Notice to Appeal” dated 17 December 2020.</w:t>
      </w:r>
      <w:r w:rsidR="0097288B">
        <w:rPr>
          <w:u w:val="none"/>
        </w:rPr>
        <w:t xml:space="preserve"> I see no reason why the </w:t>
      </w:r>
      <w:r w:rsidR="00B2789B">
        <w:rPr>
          <w:u w:val="none"/>
        </w:rPr>
        <w:t xml:space="preserve">applicant’s </w:t>
      </w:r>
      <w:r w:rsidR="0097288B">
        <w:rPr>
          <w:u w:val="none"/>
        </w:rPr>
        <w:t xml:space="preserve">relief should not be granted. </w:t>
      </w:r>
    </w:p>
    <w:p w:rsidR="0097288B" w:rsidRDefault="0097288B" w:rsidP="00864D51">
      <w:pPr>
        <w:widowControl w:val="0"/>
        <w:autoSpaceDE w:val="0"/>
        <w:autoSpaceDN w:val="0"/>
        <w:adjustRightInd w:val="0"/>
        <w:spacing w:before="144" w:line="360" w:lineRule="auto"/>
        <w:ind w:left="650" w:right="455" w:hanging="650"/>
        <w:jc w:val="both"/>
        <w:rPr>
          <w:u w:val="none"/>
        </w:rPr>
      </w:pPr>
    </w:p>
    <w:p w:rsidR="0097288B" w:rsidRDefault="000717F5" w:rsidP="00864D51">
      <w:pPr>
        <w:widowControl w:val="0"/>
        <w:autoSpaceDE w:val="0"/>
        <w:autoSpaceDN w:val="0"/>
        <w:adjustRightInd w:val="0"/>
        <w:spacing w:before="144" w:line="360" w:lineRule="auto"/>
        <w:ind w:left="650" w:right="455" w:hanging="650"/>
        <w:jc w:val="both"/>
        <w:rPr>
          <w:u w:val="none"/>
        </w:rPr>
      </w:pPr>
      <w:r>
        <w:rPr>
          <w:u w:val="none"/>
        </w:rPr>
        <w:lastRenderedPageBreak/>
        <w:t>[20</w:t>
      </w:r>
      <w:r w:rsidR="0097288B">
        <w:rPr>
          <w:u w:val="none"/>
        </w:rPr>
        <w:t>]</w:t>
      </w:r>
      <w:r w:rsidR="0097288B">
        <w:rPr>
          <w:u w:val="none"/>
        </w:rPr>
        <w:tab/>
        <w:t xml:space="preserve">The applicant has requested a punitive costs order in view of the opposition filed by the respondent. The respondent is a lay litigant and I see </w:t>
      </w:r>
      <w:r>
        <w:rPr>
          <w:u w:val="none"/>
        </w:rPr>
        <w:t>no</w:t>
      </w:r>
      <w:r w:rsidR="0097288B">
        <w:rPr>
          <w:u w:val="none"/>
        </w:rPr>
        <w:t xml:space="preserve"> need to burden the respondent with punitive costs in the matter. </w:t>
      </w:r>
    </w:p>
    <w:p w:rsidR="0097288B" w:rsidRDefault="0097288B" w:rsidP="00864D51">
      <w:pPr>
        <w:widowControl w:val="0"/>
        <w:autoSpaceDE w:val="0"/>
        <w:autoSpaceDN w:val="0"/>
        <w:adjustRightInd w:val="0"/>
        <w:spacing w:before="144" w:line="360" w:lineRule="auto"/>
        <w:ind w:left="650" w:right="455" w:hanging="650"/>
        <w:jc w:val="both"/>
        <w:rPr>
          <w:u w:val="none"/>
        </w:rPr>
      </w:pPr>
    </w:p>
    <w:p w:rsidR="0097288B" w:rsidRDefault="000717F5" w:rsidP="00864D51">
      <w:pPr>
        <w:widowControl w:val="0"/>
        <w:autoSpaceDE w:val="0"/>
        <w:autoSpaceDN w:val="0"/>
        <w:adjustRightInd w:val="0"/>
        <w:spacing w:before="144" w:line="360" w:lineRule="auto"/>
        <w:ind w:left="650" w:right="455" w:hanging="650"/>
        <w:jc w:val="both"/>
        <w:rPr>
          <w:u w:val="none"/>
        </w:rPr>
      </w:pPr>
      <w:r>
        <w:rPr>
          <w:u w:val="none"/>
        </w:rPr>
        <w:t>[21</w:t>
      </w:r>
      <w:r w:rsidR="0097288B">
        <w:rPr>
          <w:u w:val="none"/>
        </w:rPr>
        <w:t>]</w:t>
      </w:r>
      <w:r w:rsidR="0097288B">
        <w:rPr>
          <w:u w:val="none"/>
        </w:rPr>
        <w:tab/>
        <w:t xml:space="preserve"> In the view of the above I make the following order:</w:t>
      </w:r>
    </w:p>
    <w:p w:rsidR="0097288B" w:rsidRPr="00183CAA" w:rsidRDefault="00864D51" w:rsidP="00864D51">
      <w:pPr>
        <w:widowControl w:val="0"/>
        <w:autoSpaceDE w:val="0"/>
        <w:autoSpaceDN w:val="0"/>
        <w:adjustRightInd w:val="0"/>
        <w:spacing w:before="144" w:line="360" w:lineRule="auto"/>
        <w:ind w:left="650" w:right="455" w:hanging="650"/>
        <w:jc w:val="both"/>
        <w:rPr>
          <w:b/>
          <w:u w:val="none"/>
        </w:rPr>
      </w:pPr>
      <w:r>
        <w:rPr>
          <w:u w:val="none"/>
        </w:rPr>
        <w:tab/>
        <w:t xml:space="preserve">1. The application for leave to appeal dated 9 December 2020 and issued on 10 December 2020 constitutes an irregular step and has now lapsed. </w:t>
      </w:r>
    </w:p>
    <w:p w:rsidR="00B32AA9" w:rsidRPr="00183CAA" w:rsidRDefault="00B32AA9" w:rsidP="001F3060">
      <w:pPr>
        <w:spacing w:before="180" w:line="360" w:lineRule="auto"/>
        <w:ind w:left="720" w:hanging="720"/>
        <w:jc w:val="both"/>
        <w:rPr>
          <w:b/>
          <w:u w:val="none"/>
        </w:rPr>
      </w:pPr>
    </w:p>
    <w:p w:rsidR="00B32AA9" w:rsidRPr="00183CAA" w:rsidRDefault="00B32AA9" w:rsidP="001F3060">
      <w:pPr>
        <w:tabs>
          <w:tab w:val="right" w:pos="0"/>
        </w:tabs>
        <w:spacing w:line="360" w:lineRule="auto"/>
        <w:jc w:val="both"/>
        <w:rPr>
          <w:u w:val="none"/>
          <w:lang w:val="en-ZA"/>
        </w:rPr>
      </w:pPr>
    </w:p>
    <w:p w:rsidR="00B32AA9" w:rsidRPr="00183CAA" w:rsidRDefault="00B32AA9" w:rsidP="001F3060">
      <w:pPr>
        <w:tabs>
          <w:tab w:val="right" w:pos="0"/>
        </w:tabs>
        <w:spacing w:line="360" w:lineRule="auto"/>
        <w:jc w:val="both"/>
        <w:rPr>
          <w:u w:val="none"/>
          <w:lang w:val="en-ZA"/>
        </w:rPr>
      </w:pPr>
    </w:p>
    <w:p w:rsidR="00B32AA9" w:rsidRPr="00183CAA" w:rsidRDefault="00B32AA9" w:rsidP="001F3060">
      <w:pPr>
        <w:tabs>
          <w:tab w:val="right" w:pos="0"/>
        </w:tabs>
        <w:spacing w:line="360" w:lineRule="auto"/>
        <w:jc w:val="both"/>
        <w:rPr>
          <w:u w:val="none"/>
          <w:lang w:val="en-ZA"/>
        </w:rPr>
      </w:pPr>
      <w:r w:rsidRPr="00183CAA">
        <w:rPr>
          <w:u w:val="none"/>
          <w:lang w:val="en-ZA"/>
        </w:rPr>
        <w:tab/>
      </w:r>
      <w:r w:rsidRPr="00183CAA">
        <w:rPr>
          <w:u w:val="none"/>
          <w:lang w:val="en-ZA"/>
        </w:rPr>
        <w:tab/>
        <w:t>_________________________________________________</w:t>
      </w:r>
    </w:p>
    <w:p w:rsidR="00B32AA9" w:rsidRPr="00183CAA" w:rsidRDefault="00B32AA9" w:rsidP="001F3060">
      <w:pPr>
        <w:tabs>
          <w:tab w:val="right" w:pos="0"/>
        </w:tabs>
        <w:spacing w:line="360" w:lineRule="auto"/>
        <w:jc w:val="both"/>
        <w:rPr>
          <w:b/>
          <w:u w:val="none"/>
          <w:lang w:val="en-ZA"/>
        </w:rPr>
      </w:pPr>
      <w:r w:rsidRPr="00183CAA">
        <w:rPr>
          <w:u w:val="none"/>
          <w:lang w:val="en-ZA"/>
        </w:rPr>
        <w:tab/>
      </w:r>
      <w:r w:rsidRPr="00183CAA">
        <w:rPr>
          <w:u w:val="none"/>
          <w:lang w:val="en-ZA"/>
        </w:rPr>
        <w:tab/>
      </w:r>
      <w:r w:rsidRPr="00183CAA">
        <w:rPr>
          <w:u w:val="none"/>
          <w:lang w:val="en-ZA"/>
        </w:rPr>
        <w:tab/>
      </w:r>
      <w:r w:rsidRPr="00183CAA">
        <w:rPr>
          <w:u w:val="none"/>
          <w:lang w:val="en-ZA"/>
        </w:rPr>
        <w:tab/>
      </w:r>
      <w:r w:rsidRPr="00183CAA">
        <w:rPr>
          <w:u w:val="none"/>
          <w:lang w:val="en-ZA"/>
        </w:rPr>
        <w:tab/>
      </w:r>
      <w:r w:rsidRPr="00183CAA">
        <w:rPr>
          <w:u w:val="none"/>
          <w:lang w:val="en-ZA"/>
        </w:rPr>
        <w:tab/>
        <w:t xml:space="preserve"> </w:t>
      </w:r>
      <w:r w:rsidRPr="00183CAA">
        <w:rPr>
          <w:b/>
          <w:u w:val="none"/>
          <w:lang w:val="en-ZA"/>
        </w:rPr>
        <w:t>S C MIA</w:t>
      </w:r>
    </w:p>
    <w:p w:rsidR="00B32AA9" w:rsidRPr="00183CAA" w:rsidRDefault="00B32AA9" w:rsidP="001F3060">
      <w:pPr>
        <w:tabs>
          <w:tab w:val="right" w:pos="0"/>
        </w:tabs>
        <w:spacing w:line="360" w:lineRule="auto"/>
        <w:jc w:val="both"/>
        <w:rPr>
          <w:b/>
          <w:u w:val="none"/>
          <w:lang w:val="en-ZA"/>
        </w:rPr>
      </w:pPr>
      <w:r w:rsidRPr="00183CAA">
        <w:rPr>
          <w:b/>
          <w:u w:val="none"/>
          <w:lang w:val="en-ZA"/>
        </w:rPr>
        <w:tab/>
      </w:r>
      <w:r w:rsidRPr="00183CAA">
        <w:rPr>
          <w:b/>
          <w:u w:val="none"/>
          <w:lang w:val="en-ZA"/>
        </w:rPr>
        <w:tab/>
        <w:t xml:space="preserve">          JUDGE OF THE HIGH COURT OF SOUTH AFRICA</w:t>
      </w:r>
    </w:p>
    <w:p w:rsidR="00B32AA9" w:rsidRPr="00183CAA" w:rsidRDefault="00B32AA9" w:rsidP="001F3060">
      <w:pPr>
        <w:tabs>
          <w:tab w:val="right" w:pos="0"/>
        </w:tabs>
        <w:spacing w:line="360" w:lineRule="auto"/>
        <w:jc w:val="both"/>
        <w:rPr>
          <w:b/>
          <w:u w:val="none"/>
          <w:lang w:val="en-ZA"/>
        </w:rPr>
      </w:pPr>
      <w:r w:rsidRPr="00183CAA">
        <w:rPr>
          <w:b/>
          <w:u w:val="none"/>
          <w:lang w:val="en-ZA"/>
        </w:rPr>
        <w:tab/>
      </w:r>
      <w:r w:rsidRPr="00183CAA">
        <w:rPr>
          <w:b/>
          <w:u w:val="none"/>
          <w:lang w:val="en-ZA"/>
        </w:rPr>
        <w:tab/>
        <w:t xml:space="preserve">             GAUTENG DIVISION, JOHANNESBURG</w:t>
      </w:r>
    </w:p>
    <w:p w:rsidR="00B32AA9" w:rsidRPr="00183CAA" w:rsidRDefault="00B32AA9" w:rsidP="001F3060">
      <w:pPr>
        <w:tabs>
          <w:tab w:val="right" w:pos="0"/>
        </w:tabs>
        <w:spacing w:line="360" w:lineRule="auto"/>
        <w:jc w:val="both"/>
        <w:rPr>
          <w:b/>
          <w:u w:val="none"/>
          <w:lang w:val="en-ZA"/>
        </w:rPr>
      </w:pPr>
    </w:p>
    <w:p w:rsidR="00B32AA9" w:rsidRPr="00183CAA" w:rsidRDefault="00B32AA9" w:rsidP="001F3060">
      <w:pPr>
        <w:tabs>
          <w:tab w:val="right" w:pos="0"/>
        </w:tabs>
        <w:spacing w:line="360" w:lineRule="auto"/>
        <w:jc w:val="both"/>
        <w:rPr>
          <w:b/>
          <w:u w:val="none"/>
          <w:lang w:val="en-ZA"/>
        </w:rPr>
      </w:pPr>
      <w:r w:rsidRPr="00183CAA">
        <w:rPr>
          <w:b/>
          <w:u w:val="none"/>
          <w:lang w:val="en-ZA"/>
        </w:rPr>
        <w:t>Appearances:</w:t>
      </w:r>
    </w:p>
    <w:p w:rsidR="00B32AA9" w:rsidRPr="00183CAA" w:rsidRDefault="00B32AA9" w:rsidP="001F3060">
      <w:pPr>
        <w:tabs>
          <w:tab w:val="right" w:pos="0"/>
        </w:tabs>
        <w:spacing w:line="360" w:lineRule="auto"/>
        <w:jc w:val="both"/>
        <w:rPr>
          <w:b/>
          <w:u w:val="none"/>
          <w:lang w:val="en-ZA"/>
        </w:rPr>
      </w:pPr>
    </w:p>
    <w:p w:rsidR="00B32AA9" w:rsidRPr="00183CAA" w:rsidRDefault="00B32AA9" w:rsidP="001F3060">
      <w:pPr>
        <w:tabs>
          <w:tab w:val="right" w:pos="0"/>
        </w:tabs>
        <w:spacing w:line="360" w:lineRule="auto"/>
        <w:jc w:val="both"/>
        <w:rPr>
          <w:u w:val="none"/>
          <w:lang w:val="en-ZA"/>
        </w:rPr>
      </w:pPr>
      <w:r w:rsidRPr="00183CAA">
        <w:rPr>
          <w:u w:val="none"/>
          <w:lang w:val="en-ZA"/>
        </w:rPr>
        <w:t>On behalf of the Applicant</w:t>
      </w:r>
      <w:r w:rsidRPr="00183CAA">
        <w:rPr>
          <w:u w:val="none"/>
          <w:lang w:val="en-ZA"/>
        </w:rPr>
        <w:tab/>
      </w:r>
      <w:r w:rsidRPr="00183CAA">
        <w:rPr>
          <w:u w:val="none"/>
          <w:lang w:val="en-ZA"/>
        </w:rPr>
        <w:tab/>
        <w:t>: Adv V Olivier</w:t>
      </w:r>
    </w:p>
    <w:p w:rsidR="00B32AA9" w:rsidRPr="00183CAA" w:rsidRDefault="00B32AA9" w:rsidP="001F3060">
      <w:pPr>
        <w:tabs>
          <w:tab w:val="right" w:pos="0"/>
        </w:tabs>
        <w:spacing w:line="360" w:lineRule="auto"/>
        <w:jc w:val="both"/>
        <w:rPr>
          <w:u w:val="none"/>
          <w:lang w:val="en-ZA"/>
        </w:rPr>
      </w:pPr>
      <w:r w:rsidRPr="00183CAA">
        <w:rPr>
          <w:u w:val="none"/>
          <w:lang w:val="en-ZA"/>
        </w:rPr>
        <w:tab/>
      </w:r>
    </w:p>
    <w:p w:rsidR="00B32AA9" w:rsidRPr="00183CAA" w:rsidRDefault="00B32AA9" w:rsidP="001F3060">
      <w:pPr>
        <w:tabs>
          <w:tab w:val="right" w:pos="0"/>
        </w:tabs>
        <w:spacing w:line="360" w:lineRule="auto"/>
        <w:jc w:val="both"/>
        <w:rPr>
          <w:u w:val="none"/>
          <w:lang w:val="en-ZA"/>
        </w:rPr>
      </w:pPr>
      <w:r w:rsidRPr="00183CAA">
        <w:rPr>
          <w:u w:val="none"/>
          <w:lang w:val="en-ZA"/>
        </w:rPr>
        <w:t xml:space="preserve">Instructed by                                 </w:t>
      </w:r>
      <w:r w:rsidRPr="00183CAA">
        <w:rPr>
          <w:u w:val="none"/>
          <w:lang w:val="en-ZA"/>
        </w:rPr>
        <w:tab/>
        <w:t>: Harrington Johnson Wands Attorneys</w:t>
      </w:r>
    </w:p>
    <w:p w:rsidR="00B32AA9" w:rsidRPr="00183CAA" w:rsidRDefault="00B32AA9" w:rsidP="001F3060">
      <w:pPr>
        <w:tabs>
          <w:tab w:val="right" w:pos="0"/>
        </w:tabs>
        <w:spacing w:line="360" w:lineRule="auto"/>
        <w:jc w:val="both"/>
        <w:rPr>
          <w:u w:val="none"/>
          <w:lang w:val="en-ZA"/>
        </w:rPr>
      </w:pPr>
    </w:p>
    <w:p w:rsidR="00B32AA9" w:rsidRPr="00183CAA" w:rsidRDefault="00B32AA9" w:rsidP="001F3060">
      <w:pPr>
        <w:tabs>
          <w:tab w:val="right" w:pos="0"/>
        </w:tabs>
        <w:spacing w:line="360" w:lineRule="auto"/>
        <w:jc w:val="both"/>
        <w:rPr>
          <w:u w:val="none"/>
          <w:lang w:val="en-ZA"/>
        </w:rPr>
      </w:pPr>
      <w:r w:rsidRPr="00183CAA">
        <w:rPr>
          <w:u w:val="none"/>
          <w:lang w:val="en-ZA"/>
        </w:rPr>
        <w:t>On behalf of the Respondent</w:t>
      </w:r>
      <w:r w:rsidRPr="00183CAA">
        <w:rPr>
          <w:u w:val="none"/>
          <w:lang w:val="en-ZA"/>
        </w:rPr>
        <w:tab/>
        <w:t>: In Person</w:t>
      </w:r>
      <w:r w:rsidRPr="00183CAA">
        <w:rPr>
          <w:u w:val="none"/>
          <w:lang w:val="en-ZA"/>
        </w:rPr>
        <w:tab/>
      </w:r>
    </w:p>
    <w:p w:rsidR="00B32AA9" w:rsidRPr="00183CAA" w:rsidRDefault="00B32AA9" w:rsidP="001F3060">
      <w:pPr>
        <w:tabs>
          <w:tab w:val="right" w:pos="0"/>
        </w:tabs>
        <w:spacing w:line="360" w:lineRule="auto"/>
        <w:jc w:val="both"/>
        <w:rPr>
          <w:u w:val="none"/>
          <w:lang w:val="en-ZA"/>
        </w:rPr>
      </w:pPr>
    </w:p>
    <w:p w:rsidR="00B32AA9" w:rsidRPr="00183CAA" w:rsidRDefault="00B32AA9" w:rsidP="001F3060">
      <w:pPr>
        <w:tabs>
          <w:tab w:val="right" w:pos="0"/>
        </w:tabs>
        <w:spacing w:line="360" w:lineRule="auto"/>
        <w:jc w:val="both"/>
        <w:rPr>
          <w:u w:val="none"/>
          <w:lang w:val="en-ZA"/>
        </w:rPr>
      </w:pPr>
      <w:r w:rsidRPr="00183CAA">
        <w:rPr>
          <w:u w:val="none"/>
          <w:lang w:val="en-ZA"/>
        </w:rPr>
        <w:t>Date of hearing                              : 28 February 2022</w:t>
      </w:r>
    </w:p>
    <w:p w:rsidR="00B32AA9" w:rsidRPr="00183CAA" w:rsidRDefault="00B32AA9" w:rsidP="001F3060">
      <w:pPr>
        <w:tabs>
          <w:tab w:val="right" w:pos="0"/>
        </w:tabs>
        <w:spacing w:line="360" w:lineRule="auto"/>
        <w:jc w:val="both"/>
        <w:rPr>
          <w:u w:val="none"/>
          <w:lang w:val="en-ZA"/>
        </w:rPr>
      </w:pPr>
    </w:p>
    <w:p w:rsidR="00B32AA9" w:rsidRPr="00183CAA" w:rsidRDefault="00B32AA9" w:rsidP="001F3060">
      <w:pPr>
        <w:tabs>
          <w:tab w:val="right" w:pos="0"/>
        </w:tabs>
        <w:spacing w:line="360" w:lineRule="auto"/>
        <w:jc w:val="both"/>
        <w:rPr>
          <w:u w:val="none"/>
          <w:lang w:val="en-ZA"/>
        </w:rPr>
      </w:pPr>
      <w:r w:rsidRPr="00183CAA">
        <w:rPr>
          <w:u w:val="none"/>
          <w:lang w:val="en-ZA"/>
        </w:rPr>
        <w:t xml:space="preserve">Date of judgment                          </w:t>
      </w:r>
      <w:r w:rsidRPr="00183CAA">
        <w:rPr>
          <w:u w:val="none"/>
          <w:lang w:val="en-ZA"/>
        </w:rPr>
        <w:tab/>
        <w:t xml:space="preserve"> :   </w:t>
      </w:r>
      <w:r w:rsidR="000717F5">
        <w:rPr>
          <w:u w:val="none"/>
          <w:lang w:val="en-ZA"/>
        </w:rPr>
        <w:t>24 May 2022</w:t>
      </w:r>
      <w:r w:rsidRPr="00183CAA">
        <w:rPr>
          <w:u w:val="none"/>
          <w:lang w:val="en-ZA"/>
        </w:rPr>
        <w:t xml:space="preserve">      </w:t>
      </w:r>
    </w:p>
    <w:p w:rsidR="00B32AA9" w:rsidRPr="00183CAA" w:rsidRDefault="00B32AA9" w:rsidP="000B4C90">
      <w:pPr>
        <w:spacing w:before="180" w:line="360" w:lineRule="auto"/>
        <w:ind w:left="720" w:hanging="720"/>
        <w:jc w:val="both"/>
        <w:rPr>
          <w:b/>
          <w:u w:val="none"/>
        </w:rPr>
      </w:pPr>
    </w:p>
    <w:sectPr w:rsidR="00B32AA9" w:rsidRPr="00183CA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BAF" w:rsidRDefault="00EC3BAF" w:rsidP="00B32AA9">
      <w:r>
        <w:separator/>
      </w:r>
    </w:p>
  </w:endnote>
  <w:endnote w:type="continuationSeparator" w:id="0">
    <w:p w:rsidR="00EC3BAF" w:rsidRDefault="00EC3BAF" w:rsidP="00B32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BAF" w:rsidRDefault="00EC3BAF" w:rsidP="00B32AA9">
      <w:r>
        <w:separator/>
      </w:r>
    </w:p>
  </w:footnote>
  <w:footnote w:type="continuationSeparator" w:id="0">
    <w:p w:rsidR="00EC3BAF" w:rsidRDefault="00EC3BAF" w:rsidP="00B32AA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76AB"/>
    <w:multiLevelType w:val="singleLevel"/>
    <w:tmpl w:val="B810E858"/>
    <w:lvl w:ilvl="0">
      <w:start w:val="46"/>
      <w:numFmt w:val="decimal"/>
      <w:lvlText w:val="%1."/>
      <w:legacy w:legacy="1" w:legacySpace="0" w:legacyIndent="0"/>
      <w:lvlJc w:val="left"/>
      <w:rPr>
        <w:rFonts w:ascii="Arial" w:hAnsi="Arial" w:cs="Arial" w:hint="default"/>
      </w:rPr>
    </w:lvl>
  </w:abstractNum>
  <w:abstractNum w:abstractNumId="1" w15:restartNumberingAfterBreak="0">
    <w:nsid w:val="032C4F8F"/>
    <w:multiLevelType w:val="singleLevel"/>
    <w:tmpl w:val="CCEAE152"/>
    <w:lvl w:ilvl="0">
      <w:start w:val="2"/>
      <w:numFmt w:val="decimal"/>
      <w:lvlText w:val="%1."/>
      <w:legacy w:legacy="1" w:legacySpace="0" w:legacyIndent="0"/>
      <w:lvlJc w:val="left"/>
      <w:rPr>
        <w:rFonts w:ascii="Arial" w:hAnsi="Arial" w:cs="Arial" w:hint="default"/>
      </w:r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15:restartNumberingAfterBreak="0">
    <w:nsid w:val="0C37546A"/>
    <w:multiLevelType w:val="singleLevel"/>
    <w:tmpl w:val="717ABA20"/>
    <w:lvl w:ilvl="0">
      <w:start w:val="62"/>
      <w:numFmt w:val="decimal"/>
      <w:lvlText w:val="%1."/>
      <w:legacy w:legacy="1" w:legacySpace="0" w:legacyIndent="0"/>
      <w:lvlJc w:val="left"/>
      <w:rPr>
        <w:rFonts w:ascii="Arial" w:hAnsi="Arial" w:cs="Arial" w:hint="default"/>
      </w:rPr>
    </w:lvl>
  </w:abstractNum>
  <w:abstractNum w:abstractNumId="4" w15:restartNumberingAfterBreak="0">
    <w:nsid w:val="16E03CEE"/>
    <w:multiLevelType w:val="singleLevel"/>
    <w:tmpl w:val="59C8EAA4"/>
    <w:lvl w:ilvl="0">
      <w:start w:val="2"/>
      <w:numFmt w:val="lowerLetter"/>
      <w:lvlText w:val="(%1)"/>
      <w:legacy w:legacy="1" w:legacySpace="0" w:legacyIndent="0"/>
      <w:lvlJc w:val="left"/>
      <w:rPr>
        <w:rFonts w:ascii="Arial" w:hAnsi="Arial" w:cs="Arial" w:hint="default"/>
      </w:rPr>
    </w:lvl>
  </w:abstractNum>
  <w:abstractNum w:abstractNumId="5" w15:restartNumberingAfterBreak="0">
    <w:nsid w:val="1C657454"/>
    <w:multiLevelType w:val="singleLevel"/>
    <w:tmpl w:val="0BDE9F4A"/>
    <w:lvl w:ilvl="0">
      <w:start w:val="53"/>
      <w:numFmt w:val="decimal"/>
      <w:lvlText w:val="%1."/>
      <w:legacy w:legacy="1" w:legacySpace="0" w:legacyIndent="0"/>
      <w:lvlJc w:val="left"/>
      <w:rPr>
        <w:rFonts w:ascii="Arial" w:hAnsi="Arial" w:cs="Arial" w:hint="default"/>
      </w:rPr>
    </w:lvl>
  </w:abstractNum>
  <w:abstractNum w:abstractNumId="6" w15:restartNumberingAfterBreak="0">
    <w:nsid w:val="4192446E"/>
    <w:multiLevelType w:val="singleLevel"/>
    <w:tmpl w:val="098240E4"/>
    <w:lvl w:ilvl="0">
      <w:start w:val="18"/>
      <w:numFmt w:val="decimal"/>
      <w:lvlText w:val="%1."/>
      <w:legacy w:legacy="1" w:legacySpace="0" w:legacyIndent="0"/>
      <w:lvlJc w:val="left"/>
      <w:rPr>
        <w:rFonts w:ascii="Arial" w:hAnsi="Arial" w:cs="Arial" w:hint="default"/>
      </w:rPr>
    </w:lvl>
  </w:abstractNum>
  <w:abstractNum w:abstractNumId="7" w15:restartNumberingAfterBreak="0">
    <w:nsid w:val="46200AC2"/>
    <w:multiLevelType w:val="singleLevel"/>
    <w:tmpl w:val="A880A5C4"/>
    <w:lvl w:ilvl="0">
      <w:start w:val="54"/>
      <w:numFmt w:val="decimal"/>
      <w:lvlText w:val="%1."/>
      <w:legacy w:legacy="1" w:legacySpace="0" w:legacyIndent="0"/>
      <w:lvlJc w:val="left"/>
      <w:rPr>
        <w:rFonts w:ascii="Arial" w:hAnsi="Arial" w:cs="Arial" w:hint="default"/>
      </w:rPr>
    </w:lvl>
  </w:abstractNum>
  <w:abstractNum w:abstractNumId="8" w15:restartNumberingAfterBreak="0">
    <w:nsid w:val="4A612ED4"/>
    <w:multiLevelType w:val="singleLevel"/>
    <w:tmpl w:val="540493B4"/>
    <w:lvl w:ilvl="0">
      <w:start w:val="7"/>
      <w:numFmt w:val="decimal"/>
      <w:lvlText w:val="%1."/>
      <w:legacy w:legacy="1" w:legacySpace="0" w:legacyIndent="0"/>
      <w:lvlJc w:val="left"/>
      <w:rPr>
        <w:rFonts w:ascii="Arial" w:hAnsi="Arial" w:cs="Arial" w:hint="default"/>
      </w:rPr>
    </w:lvl>
  </w:abstractNum>
  <w:abstractNum w:abstractNumId="9" w15:restartNumberingAfterBreak="0">
    <w:nsid w:val="52B76AD7"/>
    <w:multiLevelType w:val="singleLevel"/>
    <w:tmpl w:val="049649AE"/>
    <w:lvl w:ilvl="0">
      <w:start w:val="41"/>
      <w:numFmt w:val="decimal"/>
      <w:lvlText w:val="%1."/>
      <w:legacy w:legacy="1" w:legacySpace="0" w:legacyIndent="0"/>
      <w:lvlJc w:val="left"/>
      <w:rPr>
        <w:rFonts w:ascii="Arial" w:hAnsi="Arial" w:cs="Arial" w:hint="default"/>
      </w:rPr>
    </w:lvl>
  </w:abstractNum>
  <w:abstractNum w:abstractNumId="10" w15:restartNumberingAfterBreak="0">
    <w:nsid w:val="5AED726F"/>
    <w:multiLevelType w:val="singleLevel"/>
    <w:tmpl w:val="CD50F3DC"/>
    <w:lvl w:ilvl="0">
      <w:start w:val="23"/>
      <w:numFmt w:val="decimal"/>
      <w:lvlText w:val="%1."/>
      <w:legacy w:legacy="1" w:legacySpace="0" w:legacyIndent="0"/>
      <w:lvlJc w:val="left"/>
      <w:rPr>
        <w:rFonts w:ascii="Arial" w:hAnsi="Arial" w:cs="Arial" w:hint="default"/>
      </w:rPr>
    </w:lvl>
  </w:abstractNum>
  <w:abstractNum w:abstractNumId="11" w15:restartNumberingAfterBreak="0">
    <w:nsid w:val="5F9474C4"/>
    <w:multiLevelType w:val="singleLevel"/>
    <w:tmpl w:val="89A40332"/>
    <w:lvl w:ilvl="0">
      <w:start w:val="32"/>
      <w:numFmt w:val="decimal"/>
      <w:lvlText w:val="%1."/>
      <w:legacy w:legacy="1" w:legacySpace="0" w:legacyIndent="0"/>
      <w:lvlJc w:val="left"/>
      <w:rPr>
        <w:rFonts w:ascii="Arial" w:hAnsi="Arial" w:cs="Arial" w:hint="default"/>
      </w:rPr>
    </w:lvl>
  </w:abstractNum>
  <w:abstractNum w:abstractNumId="12" w15:restartNumberingAfterBreak="0">
    <w:nsid w:val="687E77A6"/>
    <w:multiLevelType w:val="singleLevel"/>
    <w:tmpl w:val="EC340F10"/>
    <w:lvl w:ilvl="0">
      <w:start w:val="56"/>
      <w:numFmt w:val="decimal"/>
      <w:lvlText w:val="%1."/>
      <w:legacy w:legacy="1" w:legacySpace="0" w:legacyIndent="0"/>
      <w:lvlJc w:val="left"/>
      <w:rPr>
        <w:rFonts w:ascii="Arial" w:hAnsi="Arial" w:cs="Arial" w:hint="default"/>
      </w:rPr>
    </w:lvl>
  </w:abstractNum>
  <w:abstractNum w:abstractNumId="13" w15:restartNumberingAfterBreak="0">
    <w:nsid w:val="6A0B6658"/>
    <w:multiLevelType w:val="singleLevel"/>
    <w:tmpl w:val="FED4BAD2"/>
    <w:lvl w:ilvl="0">
      <w:start w:val="37"/>
      <w:numFmt w:val="decimal"/>
      <w:lvlText w:val="%1."/>
      <w:legacy w:legacy="1" w:legacySpace="0" w:legacyIndent="0"/>
      <w:lvlJc w:val="left"/>
      <w:rPr>
        <w:rFonts w:ascii="Arial" w:hAnsi="Arial" w:cs="Arial" w:hint="default"/>
      </w:rPr>
    </w:lvl>
  </w:abstractNum>
  <w:abstractNum w:abstractNumId="14" w15:restartNumberingAfterBreak="0">
    <w:nsid w:val="6F4B6F89"/>
    <w:multiLevelType w:val="singleLevel"/>
    <w:tmpl w:val="60368076"/>
    <w:lvl w:ilvl="0">
      <w:start w:val="30"/>
      <w:numFmt w:val="decimal"/>
      <w:lvlText w:val="%1."/>
      <w:legacy w:legacy="1" w:legacySpace="0" w:legacyIndent="0"/>
      <w:lvlJc w:val="left"/>
      <w:rPr>
        <w:rFonts w:ascii="Arial" w:hAnsi="Arial" w:cs="Arial" w:hint="default"/>
      </w:rPr>
    </w:lvl>
  </w:abstractNum>
  <w:abstractNum w:abstractNumId="15" w15:restartNumberingAfterBreak="0">
    <w:nsid w:val="75006280"/>
    <w:multiLevelType w:val="singleLevel"/>
    <w:tmpl w:val="1FA8BCCC"/>
    <w:lvl w:ilvl="0">
      <w:start w:val="12"/>
      <w:numFmt w:val="decimal"/>
      <w:lvlText w:val="%1."/>
      <w:legacy w:legacy="1" w:legacySpace="0" w:legacyIndent="0"/>
      <w:lvlJc w:val="left"/>
      <w:rPr>
        <w:rFonts w:ascii="Arial" w:hAnsi="Arial" w:cs="Arial" w:hint="default"/>
      </w:rPr>
    </w:lvl>
  </w:abstractNum>
  <w:num w:numId="1">
    <w:abstractNumId w:val="2"/>
  </w:num>
  <w:num w:numId="2">
    <w:abstractNumId w:val="1"/>
  </w:num>
  <w:num w:numId="3">
    <w:abstractNumId w:val="8"/>
  </w:num>
  <w:num w:numId="4">
    <w:abstractNumId w:val="15"/>
  </w:num>
  <w:num w:numId="5">
    <w:abstractNumId w:val="15"/>
    <w:lvlOverride w:ilvl="0">
      <w:lvl w:ilvl="0">
        <w:start w:val="13"/>
        <w:numFmt w:val="decimal"/>
        <w:lvlText w:val="%1."/>
        <w:legacy w:legacy="1" w:legacySpace="0" w:legacyIndent="0"/>
        <w:lvlJc w:val="left"/>
        <w:rPr>
          <w:rFonts w:ascii="Arial" w:hAnsi="Arial" w:cs="Arial" w:hint="default"/>
        </w:rPr>
      </w:lvl>
    </w:lvlOverride>
  </w:num>
  <w:num w:numId="6">
    <w:abstractNumId w:val="6"/>
  </w:num>
  <w:num w:numId="7">
    <w:abstractNumId w:val="6"/>
    <w:lvlOverride w:ilvl="0">
      <w:lvl w:ilvl="0">
        <w:start w:val="19"/>
        <w:numFmt w:val="decimal"/>
        <w:lvlText w:val="%1."/>
        <w:legacy w:legacy="1" w:legacySpace="0" w:legacyIndent="0"/>
        <w:lvlJc w:val="left"/>
        <w:rPr>
          <w:rFonts w:ascii="Arial" w:hAnsi="Arial" w:cs="Arial" w:hint="default"/>
        </w:rPr>
      </w:lvl>
    </w:lvlOverride>
  </w:num>
  <w:num w:numId="8">
    <w:abstractNumId w:val="10"/>
  </w:num>
  <w:num w:numId="9">
    <w:abstractNumId w:val="10"/>
    <w:lvlOverride w:ilvl="0">
      <w:lvl w:ilvl="0">
        <w:start w:val="24"/>
        <w:numFmt w:val="decimal"/>
        <w:lvlText w:val="%1."/>
        <w:legacy w:legacy="1" w:legacySpace="0" w:legacyIndent="0"/>
        <w:lvlJc w:val="left"/>
        <w:rPr>
          <w:rFonts w:ascii="Arial" w:hAnsi="Arial" w:cs="Arial" w:hint="default"/>
        </w:rPr>
      </w:lvl>
    </w:lvlOverride>
  </w:num>
  <w:num w:numId="10">
    <w:abstractNumId w:val="14"/>
  </w:num>
  <w:num w:numId="11">
    <w:abstractNumId w:val="11"/>
  </w:num>
  <w:num w:numId="12">
    <w:abstractNumId w:val="13"/>
  </w:num>
  <w:num w:numId="13">
    <w:abstractNumId w:val="9"/>
  </w:num>
  <w:num w:numId="14">
    <w:abstractNumId w:val="0"/>
  </w:num>
  <w:num w:numId="15">
    <w:abstractNumId w:val="4"/>
  </w:num>
  <w:num w:numId="16">
    <w:abstractNumId w:val="5"/>
  </w:num>
  <w:num w:numId="17">
    <w:abstractNumId w:val="7"/>
  </w:num>
  <w:num w:numId="18">
    <w:abstractNumId w:val="12"/>
  </w:num>
  <w:num w:numId="19">
    <w:abstractNumId w:val="12"/>
    <w:lvlOverride w:ilvl="0">
      <w:lvl w:ilvl="0">
        <w:start w:val="57"/>
        <w:numFmt w:val="decimal"/>
        <w:lvlText w:val="%1."/>
        <w:legacy w:legacy="1" w:legacySpace="0" w:legacyIndent="0"/>
        <w:lvlJc w:val="left"/>
        <w:rPr>
          <w:rFonts w:ascii="Arial" w:hAnsi="Arial" w:cs="Arial" w:hint="default"/>
        </w:rPr>
      </w:lvl>
    </w:lvlOverride>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AA9"/>
    <w:rsid w:val="00045768"/>
    <w:rsid w:val="000717F5"/>
    <w:rsid w:val="000B4C90"/>
    <w:rsid w:val="00164071"/>
    <w:rsid w:val="0016425D"/>
    <w:rsid w:val="00183CAA"/>
    <w:rsid w:val="001E161E"/>
    <w:rsid w:val="001F3060"/>
    <w:rsid w:val="002053F5"/>
    <w:rsid w:val="002832DE"/>
    <w:rsid w:val="00285577"/>
    <w:rsid w:val="002D589F"/>
    <w:rsid w:val="003530EF"/>
    <w:rsid w:val="003B2A7D"/>
    <w:rsid w:val="00400995"/>
    <w:rsid w:val="00406979"/>
    <w:rsid w:val="00461D89"/>
    <w:rsid w:val="00487B80"/>
    <w:rsid w:val="004F4450"/>
    <w:rsid w:val="00505B2A"/>
    <w:rsid w:val="00522189"/>
    <w:rsid w:val="005C751B"/>
    <w:rsid w:val="006215B1"/>
    <w:rsid w:val="006913E8"/>
    <w:rsid w:val="006B2E58"/>
    <w:rsid w:val="00744FC8"/>
    <w:rsid w:val="007533C7"/>
    <w:rsid w:val="007561F5"/>
    <w:rsid w:val="007F75AF"/>
    <w:rsid w:val="00864D51"/>
    <w:rsid w:val="008A114F"/>
    <w:rsid w:val="008A1E48"/>
    <w:rsid w:val="008C60C7"/>
    <w:rsid w:val="0097216D"/>
    <w:rsid w:val="0097288B"/>
    <w:rsid w:val="00A87364"/>
    <w:rsid w:val="00AA588A"/>
    <w:rsid w:val="00AB74D7"/>
    <w:rsid w:val="00AD51C1"/>
    <w:rsid w:val="00AE57F4"/>
    <w:rsid w:val="00B07A59"/>
    <w:rsid w:val="00B2789B"/>
    <w:rsid w:val="00B32AA9"/>
    <w:rsid w:val="00B5736E"/>
    <w:rsid w:val="00BA50A8"/>
    <w:rsid w:val="00BF67AC"/>
    <w:rsid w:val="00C2561F"/>
    <w:rsid w:val="00C75A9F"/>
    <w:rsid w:val="00C91025"/>
    <w:rsid w:val="00C924F7"/>
    <w:rsid w:val="00CF35CD"/>
    <w:rsid w:val="00CF539D"/>
    <w:rsid w:val="00DE6E02"/>
    <w:rsid w:val="00E50C14"/>
    <w:rsid w:val="00E9672F"/>
    <w:rsid w:val="00EC3BAF"/>
    <w:rsid w:val="00F57EFB"/>
    <w:rsid w:val="00F60C87"/>
    <w:rsid w:val="00F83E0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0B481"/>
  <w15:chartTrackingRefBased/>
  <w15:docId w15:val="{84EAF8B1-61A7-4BA7-8418-2568F2B61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AA9"/>
    <w:pPr>
      <w:spacing w:after="0" w:line="240" w:lineRule="auto"/>
    </w:pPr>
    <w:rPr>
      <w:rFonts w:ascii="Arial" w:eastAsia="Times New Roman" w:hAnsi="Arial" w:cs="Arial"/>
      <w:sz w:val="24"/>
      <w:szCs w:val="24"/>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AA9"/>
    <w:pPr>
      <w:tabs>
        <w:tab w:val="center" w:pos="4513"/>
        <w:tab w:val="right" w:pos="9026"/>
      </w:tabs>
    </w:pPr>
  </w:style>
  <w:style w:type="character" w:customStyle="1" w:styleId="HeaderChar">
    <w:name w:val="Header Char"/>
    <w:basedOn w:val="DefaultParagraphFont"/>
    <w:link w:val="Header"/>
    <w:uiPriority w:val="99"/>
    <w:rsid w:val="00B32AA9"/>
    <w:rPr>
      <w:rFonts w:ascii="Arial" w:eastAsia="Times New Roman" w:hAnsi="Arial" w:cs="Arial"/>
      <w:sz w:val="24"/>
      <w:szCs w:val="24"/>
      <w:u w:val="single"/>
      <w:lang w:val="en-GB" w:eastAsia="en-GB"/>
    </w:rPr>
  </w:style>
  <w:style w:type="paragraph" w:styleId="Footer">
    <w:name w:val="footer"/>
    <w:basedOn w:val="Normal"/>
    <w:link w:val="FooterChar"/>
    <w:uiPriority w:val="99"/>
    <w:unhideWhenUsed/>
    <w:rsid w:val="00B32AA9"/>
    <w:pPr>
      <w:tabs>
        <w:tab w:val="center" w:pos="4513"/>
        <w:tab w:val="right" w:pos="9026"/>
      </w:tabs>
    </w:pPr>
  </w:style>
  <w:style w:type="character" w:customStyle="1" w:styleId="FooterChar">
    <w:name w:val="Footer Char"/>
    <w:basedOn w:val="DefaultParagraphFont"/>
    <w:link w:val="Footer"/>
    <w:uiPriority w:val="99"/>
    <w:rsid w:val="00B32AA9"/>
    <w:rPr>
      <w:rFonts w:ascii="Arial" w:eastAsia="Times New Roman" w:hAnsi="Arial" w:cs="Arial"/>
      <w:sz w:val="24"/>
      <w:szCs w:val="24"/>
      <w:u w:val="single"/>
      <w:lang w:val="en-GB" w:eastAsia="en-GB"/>
    </w:rPr>
  </w:style>
  <w:style w:type="paragraph" w:styleId="FootnoteText">
    <w:name w:val="footnote text"/>
    <w:basedOn w:val="Normal"/>
    <w:link w:val="FootnoteTextChar"/>
    <w:uiPriority w:val="99"/>
    <w:semiHidden/>
    <w:unhideWhenUsed/>
    <w:rsid w:val="007561F5"/>
    <w:rPr>
      <w:sz w:val="20"/>
      <w:szCs w:val="20"/>
    </w:rPr>
  </w:style>
  <w:style w:type="character" w:customStyle="1" w:styleId="FootnoteTextChar">
    <w:name w:val="Footnote Text Char"/>
    <w:basedOn w:val="DefaultParagraphFont"/>
    <w:link w:val="FootnoteText"/>
    <w:uiPriority w:val="99"/>
    <w:semiHidden/>
    <w:rsid w:val="007561F5"/>
    <w:rPr>
      <w:rFonts w:ascii="Arial" w:eastAsia="Times New Roman" w:hAnsi="Arial" w:cs="Arial"/>
      <w:sz w:val="20"/>
      <w:szCs w:val="20"/>
      <w:u w:val="single"/>
      <w:lang w:val="en-GB" w:eastAsia="en-GB"/>
    </w:rPr>
  </w:style>
  <w:style w:type="character" w:styleId="FootnoteReference">
    <w:name w:val="footnote reference"/>
    <w:basedOn w:val="DefaultParagraphFont"/>
    <w:uiPriority w:val="99"/>
    <w:semiHidden/>
    <w:unhideWhenUsed/>
    <w:rsid w:val="007561F5"/>
    <w:rPr>
      <w:vertAlign w:val="superscript"/>
    </w:rPr>
  </w:style>
  <w:style w:type="paragraph" w:customStyle="1" w:styleId="lg-section">
    <w:name w:val="lg-section"/>
    <w:basedOn w:val="Normal"/>
    <w:rsid w:val="007561F5"/>
    <w:pPr>
      <w:spacing w:before="100" w:beforeAutospacing="1" w:after="100" w:afterAutospacing="1"/>
    </w:pPr>
    <w:rPr>
      <w:rFonts w:ascii="Times New Roman" w:hAnsi="Times New Roman" w:cs="Times New Roman"/>
      <w:u w:val="none"/>
      <w:lang w:val="en-ZA" w:eastAsia="en-ZA"/>
    </w:rPr>
  </w:style>
  <w:style w:type="paragraph" w:customStyle="1" w:styleId="lg-a-1">
    <w:name w:val="lg-a-1"/>
    <w:basedOn w:val="Normal"/>
    <w:rsid w:val="007561F5"/>
    <w:pPr>
      <w:spacing w:before="100" w:beforeAutospacing="1" w:after="100" w:afterAutospacing="1"/>
    </w:pPr>
    <w:rPr>
      <w:rFonts w:ascii="Times New Roman" w:hAnsi="Times New Roman" w:cs="Times New Roman"/>
      <w:u w:val="none"/>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43633">
      <w:bodyDiv w:val="1"/>
      <w:marLeft w:val="0"/>
      <w:marRight w:val="0"/>
      <w:marTop w:val="0"/>
      <w:marBottom w:val="0"/>
      <w:divBdr>
        <w:top w:val="none" w:sz="0" w:space="0" w:color="auto"/>
        <w:left w:val="none" w:sz="0" w:space="0" w:color="auto"/>
        <w:bottom w:val="none" w:sz="0" w:space="0" w:color="auto"/>
        <w:right w:val="none" w:sz="0" w:space="0" w:color="auto"/>
      </w:divBdr>
    </w:div>
    <w:div w:id="55636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EE23D-3E25-4DC6-84B5-07E25C898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2534</Words>
  <Characters>14445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JP. Letsoalo</dc:creator>
  <cp:keywords/>
  <dc:description/>
  <cp:lastModifiedBy>Mary Bruce</cp:lastModifiedBy>
  <cp:revision>3</cp:revision>
  <dcterms:created xsi:type="dcterms:W3CDTF">2022-05-25T09:45:00Z</dcterms:created>
  <dcterms:modified xsi:type="dcterms:W3CDTF">2022-05-25T14:54:00Z</dcterms:modified>
</cp:coreProperties>
</file>