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3B" w:rsidRDefault="0091783B" w:rsidP="0091783B">
      <w:pPr>
        <w:jc w:val="center"/>
        <w:rPr>
          <w:rFonts w:asciiTheme="minorHAnsi" w:hAnsiTheme="minorHAnsi" w:cstheme="minorHAnsi"/>
          <w:b/>
          <w:sz w:val="26"/>
          <w:szCs w:val="26"/>
        </w:rPr>
      </w:pPr>
      <w:bookmarkStart w:id="0" w:name="_GoBack"/>
      <w:bookmarkEnd w:id="0"/>
      <w:r w:rsidRPr="00C201B8">
        <w:rPr>
          <w:rFonts w:asciiTheme="minorHAnsi" w:hAnsiTheme="minorHAnsi" w:cstheme="minorHAnsi"/>
          <w:b/>
          <w:sz w:val="26"/>
          <w:szCs w:val="26"/>
        </w:rPr>
        <w:t>IN THE HIGH COURT OF SOUTH AFRICA</w:t>
      </w:r>
    </w:p>
    <w:p w:rsidR="0091783B" w:rsidRPr="00C201B8" w:rsidRDefault="0091783B" w:rsidP="0091783B">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91783B" w:rsidRPr="006875FF" w:rsidRDefault="0091783B" w:rsidP="0091783B">
      <w:pPr>
        <w:pStyle w:val="Heading3"/>
        <w:rPr>
          <w:b w:val="0"/>
          <w:color w:val="auto"/>
        </w:rPr>
      </w:pPr>
    </w:p>
    <w:p w:rsidR="0091783B" w:rsidRPr="00C201B8" w:rsidRDefault="0091783B" w:rsidP="0091783B">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324278C3" wp14:editId="3B1FAFB3">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E46D99" w:rsidRPr="008B34AE" w:rsidRDefault="00E46D99" w:rsidP="0091783B">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Yes</w:t>
                            </w:r>
                          </w:p>
                          <w:p w:rsidR="00E46D99" w:rsidRPr="008B34AE" w:rsidRDefault="00E46D99" w:rsidP="0091783B">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Yes</w:t>
                            </w:r>
                          </w:p>
                          <w:p w:rsidR="00E46D99" w:rsidRDefault="00E46D99" w:rsidP="0091783B">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E46D99" w:rsidRPr="00AB7D21" w:rsidRDefault="00E46D99" w:rsidP="0091783B">
                            <w:pPr>
                              <w:spacing w:after="200" w:line="276" w:lineRule="auto"/>
                              <w:ind w:left="360"/>
                              <w:suppressOverlap/>
                              <w:rPr>
                                <w:b/>
                                <w:sz w:val="16"/>
                                <w:szCs w:val="16"/>
                              </w:rPr>
                            </w:pPr>
                            <w:r w:rsidRPr="00AB7D21">
                              <w:rPr>
                                <w:b/>
                                <w:sz w:val="16"/>
                                <w:szCs w:val="16"/>
                              </w:rPr>
                              <w:t>Date:</w:t>
                            </w:r>
                            <w:r>
                              <w:rPr>
                                <w:b/>
                                <w:sz w:val="16"/>
                                <w:szCs w:val="16"/>
                              </w:rPr>
                              <w:t xml:space="preserve"> </w:t>
                            </w:r>
                            <w:r w:rsidR="00864C9F">
                              <w:rPr>
                                <w:b/>
                                <w:sz w:val="16"/>
                                <w:szCs w:val="16"/>
                              </w:rPr>
                              <w:t>27</w:t>
                            </w:r>
                            <w:r w:rsidRPr="00AB7D21">
                              <w:rPr>
                                <w:b/>
                                <w:sz w:val="16"/>
                                <w:szCs w:val="16"/>
                              </w:rPr>
                              <w:t>/</w:t>
                            </w:r>
                            <w:r>
                              <w:rPr>
                                <w:b/>
                                <w:sz w:val="16"/>
                                <w:szCs w:val="16"/>
                              </w:rPr>
                              <w:t>07</w:t>
                            </w:r>
                            <w:r w:rsidRPr="00AB7D21">
                              <w:rPr>
                                <w:b/>
                                <w:sz w:val="16"/>
                                <w:szCs w:val="16"/>
                              </w:rPr>
                              <w:t>/20</w:t>
                            </w:r>
                            <w:r>
                              <w:rPr>
                                <w:b/>
                                <w:sz w:val="16"/>
                                <w:szCs w:val="16"/>
                              </w:rPr>
                              <w:t>22</w:t>
                            </w:r>
                          </w:p>
                          <w:p w:rsidR="00E46D99" w:rsidRDefault="00E46D99" w:rsidP="0091783B">
                            <w:pPr>
                              <w:suppressOverlap/>
                              <w:rPr>
                                <w:b/>
                                <w:sz w:val="16"/>
                                <w:szCs w:val="16"/>
                              </w:rPr>
                            </w:pPr>
                            <w:r>
                              <w:rPr>
                                <w:b/>
                                <w:sz w:val="16"/>
                                <w:szCs w:val="16"/>
                              </w:rPr>
                              <w:t xml:space="preserve"> _____________</w:t>
                            </w:r>
                          </w:p>
                          <w:p w:rsidR="00E46D99" w:rsidRDefault="00E46D99" w:rsidP="0091783B">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4278C3"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E46D99" w:rsidRPr="008B34AE" w:rsidRDefault="00E46D99" w:rsidP="0091783B">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Yes</w:t>
                      </w:r>
                    </w:p>
                    <w:p w:rsidR="00E46D99" w:rsidRPr="008B34AE" w:rsidRDefault="00E46D99" w:rsidP="0091783B">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Yes</w:t>
                      </w:r>
                    </w:p>
                    <w:p w:rsidR="00E46D99" w:rsidRDefault="00E46D99" w:rsidP="0091783B">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E46D99" w:rsidRPr="00AB7D21" w:rsidRDefault="00E46D99" w:rsidP="0091783B">
                      <w:pPr>
                        <w:spacing w:after="200" w:line="276" w:lineRule="auto"/>
                        <w:ind w:left="360"/>
                        <w:suppressOverlap/>
                        <w:rPr>
                          <w:b/>
                          <w:sz w:val="16"/>
                          <w:szCs w:val="16"/>
                        </w:rPr>
                      </w:pPr>
                      <w:r w:rsidRPr="00AB7D21">
                        <w:rPr>
                          <w:b/>
                          <w:sz w:val="16"/>
                          <w:szCs w:val="16"/>
                        </w:rPr>
                        <w:t>Date:</w:t>
                      </w:r>
                      <w:r>
                        <w:rPr>
                          <w:b/>
                          <w:sz w:val="16"/>
                          <w:szCs w:val="16"/>
                        </w:rPr>
                        <w:t xml:space="preserve"> </w:t>
                      </w:r>
                      <w:r w:rsidR="00864C9F">
                        <w:rPr>
                          <w:b/>
                          <w:sz w:val="16"/>
                          <w:szCs w:val="16"/>
                        </w:rPr>
                        <w:t>27</w:t>
                      </w:r>
                      <w:r w:rsidRPr="00AB7D21">
                        <w:rPr>
                          <w:b/>
                          <w:sz w:val="16"/>
                          <w:szCs w:val="16"/>
                        </w:rPr>
                        <w:t>/</w:t>
                      </w:r>
                      <w:r>
                        <w:rPr>
                          <w:b/>
                          <w:sz w:val="16"/>
                          <w:szCs w:val="16"/>
                        </w:rPr>
                        <w:t>07</w:t>
                      </w:r>
                      <w:r w:rsidRPr="00AB7D21">
                        <w:rPr>
                          <w:b/>
                          <w:sz w:val="16"/>
                          <w:szCs w:val="16"/>
                        </w:rPr>
                        <w:t>/20</w:t>
                      </w:r>
                      <w:r>
                        <w:rPr>
                          <w:b/>
                          <w:sz w:val="16"/>
                          <w:szCs w:val="16"/>
                        </w:rPr>
                        <w:t>22</w:t>
                      </w:r>
                    </w:p>
                    <w:p w:rsidR="00E46D99" w:rsidRDefault="00E46D99" w:rsidP="0091783B">
                      <w:pPr>
                        <w:suppressOverlap/>
                        <w:rPr>
                          <w:b/>
                          <w:sz w:val="16"/>
                          <w:szCs w:val="16"/>
                        </w:rPr>
                      </w:pPr>
                      <w:r>
                        <w:rPr>
                          <w:b/>
                          <w:sz w:val="16"/>
                          <w:szCs w:val="16"/>
                        </w:rPr>
                        <w:t xml:space="preserve"> _____________</w:t>
                      </w:r>
                    </w:p>
                    <w:p w:rsidR="00E46D99" w:rsidRDefault="00E46D99" w:rsidP="0091783B">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49A43E38" wp14:editId="3CF3BC2A">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91783B" w:rsidRDefault="0091783B" w:rsidP="0091783B">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2020/13195</w:t>
      </w:r>
    </w:p>
    <w:p w:rsidR="0091783B" w:rsidRDefault="0091783B" w:rsidP="0091783B">
      <w:pPr>
        <w:spacing w:after="120"/>
        <w:jc w:val="right"/>
        <w:rPr>
          <w:rFonts w:asciiTheme="minorHAnsi" w:hAnsiTheme="minorHAnsi" w:cstheme="minorHAnsi"/>
          <w:sz w:val="26"/>
          <w:szCs w:val="26"/>
        </w:rPr>
      </w:pPr>
    </w:p>
    <w:p w:rsidR="0091783B" w:rsidRDefault="0091783B" w:rsidP="0091783B">
      <w:pPr>
        <w:jc w:val="both"/>
        <w:rPr>
          <w:rFonts w:asciiTheme="minorHAnsi" w:hAnsiTheme="minorHAnsi" w:cstheme="minorHAnsi"/>
          <w:sz w:val="26"/>
          <w:szCs w:val="26"/>
        </w:rPr>
      </w:pPr>
    </w:p>
    <w:p w:rsidR="0091783B" w:rsidRDefault="0091783B" w:rsidP="0091783B">
      <w:pPr>
        <w:jc w:val="both"/>
        <w:rPr>
          <w:rFonts w:asciiTheme="minorHAnsi" w:hAnsiTheme="minorHAnsi" w:cstheme="minorHAnsi"/>
          <w:sz w:val="26"/>
          <w:szCs w:val="26"/>
        </w:rPr>
      </w:pPr>
    </w:p>
    <w:p w:rsidR="0091783B" w:rsidRPr="00C201B8" w:rsidRDefault="0091783B" w:rsidP="0091783B">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91783B" w:rsidRDefault="0091783B" w:rsidP="0091783B">
      <w:pPr>
        <w:ind w:right="-46"/>
        <w:rPr>
          <w:rFonts w:asciiTheme="minorHAnsi" w:hAnsiTheme="minorHAnsi" w:cstheme="minorHAnsi"/>
          <w:b/>
          <w:sz w:val="26"/>
          <w:szCs w:val="26"/>
        </w:rPr>
      </w:pPr>
    </w:p>
    <w:p w:rsidR="0091783B" w:rsidRDefault="0091783B" w:rsidP="0091783B">
      <w:pPr>
        <w:ind w:right="-46"/>
        <w:rPr>
          <w:rFonts w:asciiTheme="minorHAnsi" w:hAnsiTheme="minorHAnsi" w:cstheme="minorHAnsi"/>
          <w:sz w:val="26"/>
          <w:szCs w:val="26"/>
        </w:rPr>
      </w:pPr>
      <w:r>
        <w:rPr>
          <w:rFonts w:asciiTheme="minorHAnsi" w:hAnsiTheme="minorHAnsi" w:cstheme="minorHAnsi"/>
          <w:b/>
          <w:sz w:val="26"/>
          <w:szCs w:val="26"/>
        </w:rPr>
        <w:t>LILIANNE DE MAGALHAES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6E745A">
        <w:rPr>
          <w:rFonts w:asciiTheme="minorHAnsi" w:hAnsiTheme="minorHAnsi" w:cstheme="minorHAnsi"/>
          <w:sz w:val="26"/>
          <w:szCs w:val="26"/>
        </w:rPr>
        <w:tab/>
      </w:r>
      <w:r>
        <w:rPr>
          <w:rFonts w:asciiTheme="minorHAnsi" w:hAnsiTheme="minorHAnsi" w:cstheme="minorHAnsi"/>
          <w:sz w:val="26"/>
          <w:szCs w:val="26"/>
        </w:rPr>
        <w:t>Applicant</w:t>
      </w:r>
    </w:p>
    <w:p w:rsidR="0091783B" w:rsidRPr="00B13FBA" w:rsidRDefault="0091783B" w:rsidP="0091783B">
      <w:pPr>
        <w:ind w:right="-46"/>
        <w:rPr>
          <w:rFonts w:asciiTheme="minorHAnsi" w:hAnsiTheme="minorHAnsi" w:cstheme="minorHAnsi"/>
          <w:sz w:val="26"/>
          <w:szCs w:val="26"/>
        </w:rPr>
      </w:pPr>
    </w:p>
    <w:p w:rsidR="0091783B" w:rsidRPr="006168BD" w:rsidRDefault="0091783B" w:rsidP="0091783B">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91783B" w:rsidRPr="00B13FBA" w:rsidRDefault="0091783B" w:rsidP="0091783B">
      <w:pPr>
        <w:ind w:right="-46"/>
        <w:rPr>
          <w:rFonts w:asciiTheme="minorHAnsi" w:hAnsiTheme="minorHAnsi" w:cstheme="minorHAnsi"/>
          <w:sz w:val="26"/>
          <w:szCs w:val="26"/>
        </w:rPr>
      </w:pPr>
    </w:p>
    <w:p w:rsidR="0091783B" w:rsidRDefault="0091783B" w:rsidP="0091783B">
      <w:pPr>
        <w:ind w:right="-46"/>
        <w:rPr>
          <w:rFonts w:asciiTheme="minorHAnsi" w:hAnsiTheme="minorHAnsi" w:cstheme="minorHAnsi"/>
          <w:sz w:val="26"/>
          <w:szCs w:val="26"/>
        </w:rPr>
      </w:pPr>
      <w:r>
        <w:rPr>
          <w:rFonts w:asciiTheme="minorHAnsi" w:hAnsiTheme="minorHAnsi" w:cstheme="minorHAnsi"/>
          <w:b/>
          <w:sz w:val="26"/>
          <w:szCs w:val="26"/>
        </w:rPr>
        <w:t>SEAN CHRISTENSEN N.O</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6E745A">
        <w:rPr>
          <w:rFonts w:asciiTheme="minorHAnsi" w:hAnsiTheme="minorHAnsi" w:cstheme="minorHAnsi"/>
          <w:sz w:val="26"/>
          <w:szCs w:val="26"/>
        </w:rPr>
        <w:tab/>
      </w:r>
      <w:r>
        <w:rPr>
          <w:rFonts w:asciiTheme="minorHAnsi" w:hAnsiTheme="minorHAnsi" w:cstheme="minorHAnsi"/>
          <w:sz w:val="26"/>
          <w:szCs w:val="26"/>
        </w:rPr>
        <w:t>First Respondent</w:t>
      </w:r>
    </w:p>
    <w:p w:rsidR="0091783B" w:rsidRPr="0091783B" w:rsidRDefault="0091783B" w:rsidP="0091783B">
      <w:pPr>
        <w:ind w:right="-46"/>
        <w:rPr>
          <w:rFonts w:asciiTheme="minorHAnsi" w:hAnsiTheme="minorHAnsi" w:cstheme="minorHAnsi"/>
          <w:sz w:val="26"/>
          <w:szCs w:val="26"/>
        </w:rPr>
      </w:pPr>
    </w:p>
    <w:p w:rsidR="0091783B" w:rsidRPr="006E745A" w:rsidRDefault="0091783B" w:rsidP="0091783B">
      <w:pPr>
        <w:ind w:right="-46"/>
        <w:rPr>
          <w:rFonts w:asciiTheme="minorHAnsi" w:hAnsiTheme="minorHAnsi" w:cstheme="minorHAnsi"/>
          <w:sz w:val="26"/>
          <w:szCs w:val="26"/>
        </w:rPr>
      </w:pPr>
      <w:r>
        <w:rPr>
          <w:rFonts w:asciiTheme="minorHAnsi" w:hAnsiTheme="minorHAnsi" w:cstheme="minorHAnsi"/>
          <w:b/>
          <w:sz w:val="26"/>
          <w:szCs w:val="26"/>
        </w:rPr>
        <w:t>JABULANI</w:t>
      </w:r>
      <w:r w:rsidR="006E745A">
        <w:rPr>
          <w:rFonts w:asciiTheme="minorHAnsi" w:hAnsiTheme="minorHAnsi" w:cstheme="minorHAnsi"/>
          <w:b/>
          <w:sz w:val="26"/>
          <w:szCs w:val="26"/>
        </w:rPr>
        <w:t xml:space="preserve"> KHUMALO N.O</w:t>
      </w:r>
      <w:r w:rsidR="006E745A">
        <w:rPr>
          <w:rFonts w:asciiTheme="minorHAnsi" w:hAnsiTheme="minorHAnsi" w:cstheme="minorHAnsi"/>
          <w:sz w:val="26"/>
          <w:szCs w:val="26"/>
        </w:rPr>
        <w:tab/>
      </w:r>
      <w:r w:rsidR="006E745A">
        <w:rPr>
          <w:rFonts w:asciiTheme="minorHAnsi" w:hAnsiTheme="minorHAnsi" w:cstheme="minorHAnsi"/>
          <w:sz w:val="26"/>
          <w:szCs w:val="26"/>
        </w:rPr>
        <w:tab/>
      </w:r>
      <w:r w:rsidR="006E745A">
        <w:rPr>
          <w:rFonts w:asciiTheme="minorHAnsi" w:hAnsiTheme="minorHAnsi" w:cstheme="minorHAnsi"/>
          <w:sz w:val="26"/>
          <w:szCs w:val="26"/>
        </w:rPr>
        <w:tab/>
      </w:r>
      <w:r w:rsidR="006E745A">
        <w:rPr>
          <w:rFonts w:asciiTheme="minorHAnsi" w:hAnsiTheme="minorHAnsi" w:cstheme="minorHAnsi"/>
          <w:sz w:val="26"/>
          <w:szCs w:val="26"/>
        </w:rPr>
        <w:tab/>
      </w:r>
      <w:r w:rsidR="006E745A">
        <w:rPr>
          <w:rFonts w:asciiTheme="minorHAnsi" w:hAnsiTheme="minorHAnsi" w:cstheme="minorHAnsi"/>
          <w:sz w:val="26"/>
          <w:szCs w:val="26"/>
        </w:rPr>
        <w:tab/>
      </w:r>
      <w:r w:rsidR="006E745A">
        <w:rPr>
          <w:rFonts w:asciiTheme="minorHAnsi" w:hAnsiTheme="minorHAnsi" w:cstheme="minorHAnsi"/>
          <w:sz w:val="26"/>
          <w:szCs w:val="26"/>
        </w:rPr>
        <w:tab/>
        <w:t xml:space="preserve">       Second Respondent</w:t>
      </w:r>
    </w:p>
    <w:p w:rsidR="006E745A" w:rsidRPr="0091783B" w:rsidRDefault="006E745A" w:rsidP="0091783B">
      <w:pPr>
        <w:ind w:right="-46"/>
        <w:rPr>
          <w:rFonts w:asciiTheme="minorHAnsi" w:hAnsiTheme="minorHAnsi" w:cstheme="minorHAnsi"/>
          <w:b/>
          <w:sz w:val="26"/>
          <w:szCs w:val="26"/>
        </w:rPr>
      </w:pPr>
    </w:p>
    <w:p w:rsidR="0091783B" w:rsidRPr="006C65AB" w:rsidRDefault="0091783B" w:rsidP="0091783B">
      <w:pPr>
        <w:ind w:right="-46"/>
        <w:rPr>
          <w:rFonts w:asciiTheme="minorHAnsi" w:hAnsiTheme="minorHAnsi" w:cstheme="minorHAnsi"/>
          <w:sz w:val="26"/>
          <w:szCs w:val="26"/>
        </w:rPr>
      </w:pPr>
    </w:p>
    <w:p w:rsidR="0091783B" w:rsidRPr="00C201B8" w:rsidRDefault="0091783B" w:rsidP="0091783B">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91783B" w:rsidRPr="00C201B8" w:rsidRDefault="0091783B" w:rsidP="0091783B">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91783B" w:rsidRPr="00C201B8" w:rsidRDefault="0091783B" w:rsidP="0091783B">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91783B" w:rsidRPr="00E823A0" w:rsidRDefault="0091783B" w:rsidP="0091783B">
      <w:pPr>
        <w:rPr>
          <w:rFonts w:asciiTheme="minorHAnsi" w:hAnsiTheme="minorHAnsi" w:cstheme="minorHAnsi"/>
          <w:sz w:val="26"/>
          <w:szCs w:val="26"/>
        </w:rPr>
      </w:pPr>
    </w:p>
    <w:p w:rsidR="0091783B" w:rsidRPr="009706D5" w:rsidRDefault="0091783B" w:rsidP="0091783B">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91783B" w:rsidRDefault="0091783B" w:rsidP="0091783B">
      <w:pPr>
        <w:rPr>
          <w:rFonts w:asciiTheme="minorHAnsi" w:hAnsiTheme="minorHAnsi" w:cstheme="minorHAnsi"/>
          <w:sz w:val="26"/>
          <w:szCs w:val="26"/>
        </w:rPr>
      </w:pPr>
    </w:p>
    <w:p w:rsidR="0091783B" w:rsidRPr="001A7D54" w:rsidRDefault="006E745A" w:rsidP="0091783B">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Introduction</w:t>
      </w:r>
    </w:p>
    <w:p w:rsidR="0091783B" w:rsidRDefault="00FB6B06"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the main application, t</w:t>
      </w:r>
      <w:r w:rsidR="006E745A">
        <w:rPr>
          <w:rFonts w:asciiTheme="minorHAnsi" w:hAnsiTheme="minorHAnsi" w:cstheme="minorHAnsi"/>
          <w:sz w:val="26"/>
          <w:szCs w:val="26"/>
        </w:rPr>
        <w:t xml:space="preserve">he applicant seeks </w:t>
      </w:r>
      <w:r w:rsidR="00A30278">
        <w:rPr>
          <w:rFonts w:asciiTheme="minorHAnsi" w:hAnsiTheme="minorHAnsi" w:cstheme="minorHAnsi"/>
          <w:sz w:val="26"/>
          <w:szCs w:val="26"/>
        </w:rPr>
        <w:t>an order directing the respondents to release her bank accounts pursuant to section 21 of the Insolvency Act 24 of 1936 (‘</w:t>
      </w:r>
      <w:r w:rsidR="00A30278" w:rsidRPr="00FB6B06">
        <w:rPr>
          <w:rFonts w:asciiTheme="minorHAnsi" w:hAnsiTheme="minorHAnsi" w:cstheme="minorHAnsi"/>
          <w:i/>
          <w:sz w:val="26"/>
          <w:szCs w:val="26"/>
        </w:rPr>
        <w:t>the Act</w:t>
      </w:r>
      <w:r w:rsidR="00A30278">
        <w:rPr>
          <w:rFonts w:asciiTheme="minorHAnsi" w:hAnsiTheme="minorHAnsi" w:cstheme="minorHAnsi"/>
          <w:sz w:val="26"/>
          <w:szCs w:val="26"/>
        </w:rPr>
        <w:t xml:space="preserve">’), </w:t>
      </w:r>
      <w:r w:rsidR="00A30278" w:rsidRPr="003767B0">
        <w:rPr>
          <w:rFonts w:asciiTheme="minorHAnsi" w:hAnsiTheme="minorHAnsi" w:cstheme="minorHAnsi"/>
          <w:i/>
          <w:sz w:val="26"/>
          <w:szCs w:val="26"/>
        </w:rPr>
        <w:t>alternatively</w:t>
      </w:r>
      <w:r w:rsidR="00A30278">
        <w:rPr>
          <w:rFonts w:asciiTheme="minorHAnsi" w:hAnsiTheme="minorHAnsi" w:cstheme="minorHAnsi"/>
          <w:sz w:val="26"/>
          <w:szCs w:val="26"/>
        </w:rPr>
        <w:t>, to release the attachment of her bank accounts, including but not limited to the proceeds of a policy benefit held in her bank account</w:t>
      </w:r>
      <w:r w:rsidR="007E3025">
        <w:rPr>
          <w:rFonts w:asciiTheme="minorHAnsi" w:hAnsiTheme="minorHAnsi" w:cstheme="minorHAnsi"/>
          <w:sz w:val="26"/>
          <w:szCs w:val="26"/>
        </w:rPr>
        <w:t xml:space="preserve"> in terms of s 21,</w:t>
      </w:r>
      <w:r w:rsidR="00A30278">
        <w:rPr>
          <w:rFonts w:asciiTheme="minorHAnsi" w:hAnsiTheme="minorHAnsi" w:cstheme="minorHAnsi"/>
          <w:sz w:val="26"/>
          <w:szCs w:val="26"/>
        </w:rPr>
        <w:t xml:space="preserve"> insofar as such policy benefit is excluded from attachment pursuant to section 63(1)(a) of the Long Term Insurance Act, 52 of 1998 (</w:t>
      </w:r>
      <w:r w:rsidR="003767B0">
        <w:rPr>
          <w:rFonts w:asciiTheme="minorHAnsi" w:hAnsiTheme="minorHAnsi" w:cstheme="minorHAnsi"/>
          <w:sz w:val="26"/>
          <w:szCs w:val="26"/>
        </w:rPr>
        <w:t>‘</w:t>
      </w:r>
      <w:r w:rsidRPr="00FB6B06">
        <w:rPr>
          <w:rFonts w:asciiTheme="minorHAnsi" w:hAnsiTheme="minorHAnsi" w:cstheme="minorHAnsi"/>
          <w:i/>
          <w:sz w:val="26"/>
          <w:szCs w:val="26"/>
        </w:rPr>
        <w:t xml:space="preserve">the </w:t>
      </w:r>
      <w:r w:rsidR="003767B0" w:rsidRPr="00FB6B06">
        <w:rPr>
          <w:rFonts w:asciiTheme="minorHAnsi" w:hAnsiTheme="minorHAnsi" w:cstheme="minorHAnsi"/>
          <w:i/>
          <w:sz w:val="26"/>
          <w:szCs w:val="26"/>
        </w:rPr>
        <w:t>LTI Act’</w:t>
      </w:r>
      <w:r w:rsidR="003767B0">
        <w:rPr>
          <w:rFonts w:asciiTheme="minorHAnsi" w:hAnsiTheme="minorHAnsi" w:cstheme="minorHAnsi"/>
          <w:sz w:val="26"/>
          <w:szCs w:val="26"/>
        </w:rPr>
        <w:t xml:space="preserve">), </w:t>
      </w:r>
      <w:r w:rsidR="003767B0" w:rsidRPr="003767B0">
        <w:rPr>
          <w:rFonts w:asciiTheme="minorHAnsi" w:hAnsiTheme="minorHAnsi" w:cstheme="minorHAnsi"/>
          <w:i/>
          <w:sz w:val="26"/>
          <w:szCs w:val="26"/>
        </w:rPr>
        <w:t>further alternatively</w:t>
      </w:r>
      <w:r w:rsidR="003767B0">
        <w:rPr>
          <w:rFonts w:asciiTheme="minorHAnsi" w:hAnsiTheme="minorHAnsi" w:cstheme="minorHAnsi"/>
          <w:i/>
          <w:sz w:val="26"/>
          <w:szCs w:val="26"/>
        </w:rPr>
        <w:t xml:space="preserve">, </w:t>
      </w:r>
      <w:r w:rsidR="000D70B1" w:rsidRPr="000D70B1">
        <w:rPr>
          <w:rFonts w:asciiTheme="minorHAnsi" w:hAnsiTheme="minorHAnsi" w:cstheme="minorHAnsi"/>
          <w:sz w:val="26"/>
          <w:szCs w:val="26"/>
        </w:rPr>
        <w:t xml:space="preserve">insofar as </w:t>
      </w:r>
      <w:r w:rsidR="000D70B1">
        <w:rPr>
          <w:rFonts w:asciiTheme="minorHAnsi" w:hAnsiTheme="minorHAnsi" w:cstheme="minorHAnsi"/>
          <w:sz w:val="26"/>
          <w:szCs w:val="26"/>
        </w:rPr>
        <w:t xml:space="preserve">it is found that </w:t>
      </w:r>
      <w:r w:rsidR="000D70B1" w:rsidRPr="000D70B1">
        <w:rPr>
          <w:rFonts w:asciiTheme="minorHAnsi" w:hAnsiTheme="minorHAnsi" w:cstheme="minorHAnsi"/>
          <w:sz w:val="26"/>
          <w:szCs w:val="26"/>
        </w:rPr>
        <w:t xml:space="preserve">she is </w:t>
      </w:r>
      <w:r w:rsidR="000D70B1" w:rsidRPr="000D70B1">
        <w:rPr>
          <w:rFonts w:asciiTheme="minorHAnsi" w:hAnsiTheme="minorHAnsi" w:cstheme="minorHAnsi"/>
          <w:sz w:val="26"/>
          <w:szCs w:val="26"/>
        </w:rPr>
        <w:lastRenderedPageBreak/>
        <w:t>not the owner of the funds</w:t>
      </w:r>
      <w:r w:rsidR="000D70B1">
        <w:rPr>
          <w:rFonts w:asciiTheme="minorHAnsi" w:hAnsiTheme="minorHAnsi" w:cstheme="minorHAnsi"/>
          <w:sz w:val="26"/>
          <w:szCs w:val="26"/>
        </w:rPr>
        <w:t>,</w:t>
      </w:r>
      <w:r w:rsidR="000D70B1">
        <w:rPr>
          <w:rFonts w:asciiTheme="minorHAnsi" w:hAnsiTheme="minorHAnsi" w:cstheme="minorHAnsi"/>
          <w:i/>
          <w:sz w:val="26"/>
          <w:szCs w:val="26"/>
        </w:rPr>
        <w:t xml:space="preserve"> </w:t>
      </w:r>
      <w:r w:rsidRPr="00FB6B06">
        <w:rPr>
          <w:rFonts w:asciiTheme="minorHAnsi" w:hAnsiTheme="minorHAnsi" w:cstheme="minorHAnsi"/>
          <w:sz w:val="26"/>
          <w:szCs w:val="26"/>
        </w:rPr>
        <w:t>an order directing that the monies constitute policy benefit</w:t>
      </w:r>
      <w:r>
        <w:rPr>
          <w:rFonts w:asciiTheme="minorHAnsi" w:hAnsiTheme="minorHAnsi" w:cstheme="minorHAnsi"/>
          <w:sz w:val="26"/>
          <w:szCs w:val="26"/>
        </w:rPr>
        <w:t xml:space="preserve">[s] which are excluded from attachment in terms of section 63(1)(a) of the LTI Act. </w:t>
      </w:r>
    </w:p>
    <w:p w:rsidR="0091783B" w:rsidRDefault="0091783B" w:rsidP="0091783B">
      <w:pPr>
        <w:pStyle w:val="ListParagraph"/>
        <w:rPr>
          <w:rFonts w:asciiTheme="minorHAnsi" w:hAnsiTheme="minorHAnsi" w:cstheme="minorHAnsi"/>
          <w:sz w:val="26"/>
          <w:szCs w:val="26"/>
        </w:rPr>
      </w:pPr>
    </w:p>
    <w:p w:rsidR="0091783B" w:rsidRDefault="00FB6B06"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applicant is the wife of </w:t>
      </w:r>
      <w:r w:rsidR="006D26D9">
        <w:rPr>
          <w:rFonts w:asciiTheme="minorHAnsi" w:hAnsiTheme="minorHAnsi" w:cstheme="minorHAnsi"/>
          <w:sz w:val="26"/>
          <w:szCs w:val="26"/>
        </w:rPr>
        <w:t xml:space="preserve">Mr </w:t>
      </w:r>
      <w:r>
        <w:rPr>
          <w:rFonts w:asciiTheme="minorHAnsi" w:hAnsiTheme="minorHAnsi" w:cstheme="minorHAnsi"/>
          <w:sz w:val="26"/>
          <w:szCs w:val="26"/>
        </w:rPr>
        <w:t>AMF De Magalhaes (‘</w:t>
      </w:r>
      <w:r>
        <w:rPr>
          <w:rFonts w:asciiTheme="minorHAnsi" w:hAnsiTheme="minorHAnsi" w:cstheme="minorHAnsi"/>
          <w:i/>
          <w:sz w:val="26"/>
          <w:szCs w:val="26"/>
        </w:rPr>
        <w:t>the insolvent’)</w:t>
      </w:r>
      <w:r w:rsidR="00A521E6">
        <w:rPr>
          <w:rFonts w:asciiTheme="minorHAnsi" w:hAnsiTheme="minorHAnsi" w:cstheme="minorHAnsi"/>
          <w:sz w:val="26"/>
          <w:szCs w:val="26"/>
        </w:rPr>
        <w:t xml:space="preserve"> whose estate</w:t>
      </w:r>
      <w:r>
        <w:rPr>
          <w:rFonts w:asciiTheme="minorHAnsi" w:hAnsiTheme="minorHAnsi" w:cstheme="minorHAnsi"/>
          <w:sz w:val="26"/>
          <w:szCs w:val="26"/>
        </w:rPr>
        <w:t xml:space="preserve"> was placed under final sequestration by order of court on 15 August 2019</w:t>
      </w:r>
      <w:r w:rsidR="0091783B">
        <w:rPr>
          <w:rFonts w:asciiTheme="minorHAnsi" w:hAnsiTheme="minorHAnsi" w:cstheme="minorHAnsi"/>
          <w:sz w:val="26"/>
          <w:szCs w:val="26"/>
        </w:rPr>
        <w:t xml:space="preserve">. </w:t>
      </w:r>
    </w:p>
    <w:p w:rsidR="0091783B" w:rsidRPr="003D4D2A" w:rsidRDefault="0091783B" w:rsidP="0091783B">
      <w:pPr>
        <w:pStyle w:val="ListParagraph"/>
        <w:rPr>
          <w:rFonts w:asciiTheme="minorHAnsi" w:hAnsiTheme="minorHAnsi" w:cstheme="minorHAnsi"/>
          <w:sz w:val="26"/>
          <w:szCs w:val="26"/>
        </w:rPr>
      </w:pPr>
    </w:p>
    <w:p w:rsidR="0091783B" w:rsidRDefault="00FB6B06"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first and second respondents are the duly appointed provisional trustees of the insolvent estate</w:t>
      </w:r>
      <w:r w:rsidR="0091783B">
        <w:rPr>
          <w:rFonts w:asciiTheme="minorHAnsi" w:hAnsiTheme="minorHAnsi" w:cstheme="minorHAnsi"/>
          <w:sz w:val="26"/>
          <w:szCs w:val="26"/>
        </w:rPr>
        <w:t>.</w:t>
      </w:r>
      <w:r>
        <w:rPr>
          <w:rFonts w:asciiTheme="minorHAnsi" w:hAnsiTheme="minorHAnsi" w:cstheme="minorHAnsi"/>
          <w:sz w:val="26"/>
          <w:szCs w:val="26"/>
        </w:rPr>
        <w:t xml:space="preserve"> The respondents launched a counter-application wherein they seek an extension of </w:t>
      </w:r>
      <w:r w:rsidR="007E3025">
        <w:rPr>
          <w:rFonts w:asciiTheme="minorHAnsi" w:hAnsiTheme="minorHAnsi" w:cstheme="minorHAnsi"/>
          <w:sz w:val="26"/>
          <w:szCs w:val="26"/>
        </w:rPr>
        <w:t xml:space="preserve">their </w:t>
      </w:r>
      <w:r>
        <w:rPr>
          <w:rFonts w:asciiTheme="minorHAnsi" w:hAnsiTheme="minorHAnsi" w:cstheme="minorHAnsi"/>
          <w:sz w:val="26"/>
          <w:szCs w:val="26"/>
        </w:rPr>
        <w:t>powers in terms of s 18(3) of the Act in order to oppose the main application. The counter-application is not opposed.</w:t>
      </w:r>
    </w:p>
    <w:p w:rsidR="0091783B" w:rsidRDefault="0091783B" w:rsidP="0091783B">
      <w:pPr>
        <w:pStyle w:val="ListParagraph"/>
        <w:rPr>
          <w:rFonts w:asciiTheme="minorHAnsi" w:hAnsiTheme="minorHAnsi" w:cstheme="minorHAnsi"/>
          <w:sz w:val="26"/>
          <w:szCs w:val="26"/>
        </w:rPr>
      </w:pPr>
    </w:p>
    <w:p w:rsidR="00E86776" w:rsidRPr="00E86776" w:rsidRDefault="007B0EAD" w:rsidP="00E86776">
      <w:pPr>
        <w:pStyle w:val="ListParagraph"/>
        <w:numPr>
          <w:ilvl w:val="0"/>
          <w:numId w:val="3"/>
        </w:numPr>
        <w:spacing w:after="200" w:line="360" w:lineRule="auto"/>
        <w:jc w:val="both"/>
        <w:rPr>
          <w:rFonts w:asciiTheme="minorHAnsi" w:hAnsiTheme="minorHAnsi" w:cstheme="minorHAnsi"/>
          <w:color w:val="000000"/>
          <w:sz w:val="26"/>
          <w:szCs w:val="26"/>
        </w:rPr>
      </w:pPr>
      <w:r>
        <w:rPr>
          <w:rFonts w:asciiTheme="minorHAnsi" w:hAnsiTheme="minorHAnsi" w:cstheme="minorHAnsi"/>
          <w:sz w:val="26"/>
          <w:szCs w:val="26"/>
        </w:rPr>
        <w:t xml:space="preserve">The applicant’s case is that monies </w:t>
      </w:r>
      <w:r w:rsidR="00AC1CC5">
        <w:rPr>
          <w:rFonts w:asciiTheme="minorHAnsi" w:hAnsiTheme="minorHAnsi" w:cstheme="minorHAnsi"/>
          <w:sz w:val="26"/>
          <w:szCs w:val="26"/>
        </w:rPr>
        <w:t>contained</w:t>
      </w:r>
      <w:r>
        <w:rPr>
          <w:rFonts w:asciiTheme="minorHAnsi" w:hAnsiTheme="minorHAnsi" w:cstheme="minorHAnsi"/>
          <w:sz w:val="26"/>
          <w:szCs w:val="26"/>
        </w:rPr>
        <w:t xml:space="preserve"> in her bank accounts constitute her own property which she acquired during her marriage to the insolvent</w:t>
      </w:r>
      <w:r w:rsidR="00AC1CC5">
        <w:rPr>
          <w:rFonts w:asciiTheme="minorHAnsi" w:hAnsiTheme="minorHAnsi" w:cstheme="minorHAnsi"/>
          <w:sz w:val="26"/>
          <w:szCs w:val="26"/>
        </w:rPr>
        <w:t xml:space="preserve">. </w:t>
      </w:r>
      <w:r w:rsidR="00E86776" w:rsidRPr="00E86776">
        <w:rPr>
          <w:rFonts w:asciiTheme="minorHAnsi" w:hAnsiTheme="minorHAnsi" w:cstheme="minorHAnsi"/>
          <w:color w:val="000000"/>
          <w:sz w:val="26"/>
          <w:szCs w:val="26"/>
        </w:rPr>
        <w:t xml:space="preserve">In para 7 of the founding affidavit, the applicant </w:t>
      </w:r>
      <w:r w:rsidR="00C16CD9">
        <w:rPr>
          <w:rFonts w:asciiTheme="minorHAnsi" w:hAnsiTheme="minorHAnsi" w:cstheme="minorHAnsi"/>
          <w:color w:val="000000"/>
          <w:sz w:val="26"/>
          <w:szCs w:val="26"/>
        </w:rPr>
        <w:t>avers that</w:t>
      </w:r>
      <w:r w:rsidR="00E86776" w:rsidRPr="00E86776">
        <w:rPr>
          <w:rFonts w:asciiTheme="minorHAnsi" w:hAnsiTheme="minorHAnsi" w:cstheme="minorHAnsi"/>
          <w:color w:val="000000"/>
          <w:sz w:val="26"/>
          <w:szCs w:val="26"/>
        </w:rPr>
        <w:t xml:space="preserve"> the relief</w:t>
      </w:r>
      <w:r w:rsidR="00C16CD9">
        <w:rPr>
          <w:rFonts w:asciiTheme="minorHAnsi" w:hAnsiTheme="minorHAnsi" w:cstheme="minorHAnsi"/>
          <w:color w:val="000000"/>
          <w:sz w:val="26"/>
          <w:szCs w:val="26"/>
        </w:rPr>
        <w:t xml:space="preserve"> sought by her </w:t>
      </w:r>
      <w:r w:rsidR="007E3025">
        <w:rPr>
          <w:rFonts w:asciiTheme="minorHAnsi" w:hAnsiTheme="minorHAnsi" w:cstheme="minorHAnsi"/>
          <w:color w:val="000000"/>
          <w:sz w:val="26"/>
          <w:szCs w:val="26"/>
        </w:rPr>
        <w:t>is premised on obtaining</w:t>
      </w:r>
      <w:r w:rsidR="00C16CD9">
        <w:rPr>
          <w:rFonts w:asciiTheme="minorHAnsi" w:hAnsiTheme="minorHAnsi" w:cstheme="minorHAnsi"/>
          <w:color w:val="000000"/>
          <w:sz w:val="26"/>
          <w:szCs w:val="26"/>
        </w:rPr>
        <w:t>:</w:t>
      </w:r>
      <w:r w:rsidR="00E86776" w:rsidRPr="00E86776">
        <w:rPr>
          <w:rFonts w:asciiTheme="minorHAnsi" w:hAnsiTheme="minorHAnsi" w:cstheme="minorHAnsi"/>
          <w:color w:val="000000"/>
          <w:sz w:val="26"/>
          <w:szCs w:val="26"/>
        </w:rPr>
        <w:t xml:space="preserve"> </w:t>
      </w:r>
    </w:p>
    <w:p w:rsidR="00E86776" w:rsidRPr="00E86776" w:rsidRDefault="007E3025" w:rsidP="00E86776">
      <w:pPr>
        <w:pStyle w:val="ListParagraph"/>
        <w:numPr>
          <w:ilvl w:val="1"/>
          <w:numId w:val="3"/>
        </w:numPr>
        <w:spacing w:after="200" w:line="360"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the</w:t>
      </w:r>
      <w:r w:rsidR="00E86776" w:rsidRPr="00E86776">
        <w:rPr>
          <w:rFonts w:asciiTheme="minorHAnsi" w:hAnsiTheme="minorHAnsi" w:cstheme="minorHAnsi"/>
          <w:color w:val="000000"/>
          <w:sz w:val="26"/>
          <w:szCs w:val="26"/>
        </w:rPr>
        <w:t xml:space="preserve"> release </w:t>
      </w:r>
      <w:r>
        <w:rPr>
          <w:rFonts w:asciiTheme="minorHAnsi" w:hAnsiTheme="minorHAnsi" w:cstheme="minorHAnsi"/>
          <w:color w:val="000000"/>
          <w:sz w:val="26"/>
          <w:szCs w:val="26"/>
        </w:rPr>
        <w:t xml:space="preserve">of her personal bank accounts from </w:t>
      </w:r>
      <w:r w:rsidR="00E86776" w:rsidRPr="00E86776">
        <w:rPr>
          <w:rFonts w:asciiTheme="minorHAnsi" w:hAnsiTheme="minorHAnsi" w:cstheme="minorHAnsi"/>
          <w:color w:val="000000"/>
          <w:sz w:val="26"/>
          <w:szCs w:val="26"/>
        </w:rPr>
        <w:t xml:space="preserve">attachment on the basis that the monies contained </w:t>
      </w:r>
      <w:r>
        <w:rPr>
          <w:rFonts w:asciiTheme="minorHAnsi" w:hAnsiTheme="minorHAnsi" w:cstheme="minorHAnsi"/>
          <w:color w:val="000000"/>
          <w:sz w:val="26"/>
          <w:szCs w:val="26"/>
        </w:rPr>
        <w:t>therein</w:t>
      </w:r>
      <w:r w:rsidR="00E86776" w:rsidRPr="00E86776">
        <w:rPr>
          <w:rFonts w:asciiTheme="minorHAnsi" w:hAnsiTheme="minorHAnsi" w:cstheme="minorHAnsi"/>
          <w:color w:val="000000"/>
          <w:sz w:val="26"/>
          <w:szCs w:val="26"/>
        </w:rPr>
        <w:t xml:space="preserve"> are her property which she acquired during her marriage to the insolvent</w:t>
      </w:r>
      <w:r>
        <w:rPr>
          <w:rFonts w:asciiTheme="minorHAnsi" w:hAnsiTheme="minorHAnsi" w:cstheme="minorHAnsi"/>
          <w:color w:val="000000"/>
          <w:sz w:val="26"/>
          <w:szCs w:val="26"/>
        </w:rPr>
        <w:t>,</w:t>
      </w:r>
      <w:r w:rsidR="00E86776" w:rsidRPr="00E86776">
        <w:rPr>
          <w:rFonts w:asciiTheme="minorHAnsi" w:hAnsiTheme="minorHAnsi" w:cstheme="minorHAnsi"/>
          <w:color w:val="000000"/>
          <w:sz w:val="26"/>
          <w:szCs w:val="26"/>
        </w:rPr>
        <w:t xml:space="preserve"> in accordance with the provisions of Section 21 of the Act; </w:t>
      </w:r>
    </w:p>
    <w:p w:rsidR="00E86776" w:rsidRPr="00E86776" w:rsidRDefault="00E86776" w:rsidP="00E86776">
      <w:pPr>
        <w:pStyle w:val="ListParagraph"/>
        <w:numPr>
          <w:ilvl w:val="1"/>
          <w:numId w:val="3"/>
        </w:numPr>
        <w:spacing w:after="200" w:line="360" w:lineRule="auto"/>
        <w:jc w:val="both"/>
        <w:rPr>
          <w:rFonts w:asciiTheme="minorHAnsi" w:hAnsiTheme="minorHAnsi" w:cstheme="minorHAnsi"/>
          <w:color w:val="000000"/>
          <w:sz w:val="26"/>
          <w:szCs w:val="26"/>
        </w:rPr>
      </w:pPr>
      <w:r w:rsidRPr="00E86776">
        <w:rPr>
          <w:rFonts w:asciiTheme="minorHAnsi" w:hAnsiTheme="minorHAnsi" w:cstheme="minorHAnsi"/>
          <w:i/>
          <w:color w:val="000000"/>
          <w:sz w:val="26"/>
          <w:szCs w:val="26"/>
        </w:rPr>
        <w:t>alternatively</w:t>
      </w:r>
      <w:r w:rsidRPr="00E86776">
        <w:rPr>
          <w:rFonts w:asciiTheme="minorHAnsi" w:hAnsiTheme="minorHAnsi" w:cstheme="minorHAnsi"/>
          <w:color w:val="000000"/>
          <w:sz w:val="26"/>
          <w:szCs w:val="26"/>
        </w:rPr>
        <w:t>, an order directing the respondents to release and pay over all monies withdrawn [by the respondents] from her bank accounts on the basis that the monies so withdrawn constitute the applicant's property which she acquired during her marriage to the insolvent</w:t>
      </w:r>
      <w:r w:rsidR="007E3025">
        <w:rPr>
          <w:rFonts w:asciiTheme="minorHAnsi" w:hAnsiTheme="minorHAnsi" w:cstheme="minorHAnsi"/>
          <w:color w:val="000000"/>
          <w:sz w:val="26"/>
          <w:szCs w:val="26"/>
        </w:rPr>
        <w:t>,</w:t>
      </w:r>
      <w:r w:rsidRPr="00E86776">
        <w:rPr>
          <w:rFonts w:asciiTheme="minorHAnsi" w:hAnsiTheme="minorHAnsi" w:cstheme="minorHAnsi"/>
          <w:color w:val="000000"/>
          <w:sz w:val="26"/>
          <w:szCs w:val="26"/>
        </w:rPr>
        <w:t xml:space="preserve"> in accordance with the provisions of s 21 of the Act; </w:t>
      </w:r>
    </w:p>
    <w:p w:rsidR="00E86776" w:rsidRPr="00E86776" w:rsidRDefault="00E86776" w:rsidP="00E86776">
      <w:pPr>
        <w:pStyle w:val="ListParagraph"/>
        <w:numPr>
          <w:ilvl w:val="1"/>
          <w:numId w:val="3"/>
        </w:numPr>
        <w:spacing w:after="200" w:line="360" w:lineRule="auto"/>
        <w:jc w:val="both"/>
        <w:rPr>
          <w:rFonts w:asciiTheme="minorHAnsi" w:hAnsiTheme="minorHAnsi" w:cstheme="minorHAnsi"/>
          <w:sz w:val="26"/>
          <w:szCs w:val="26"/>
        </w:rPr>
      </w:pPr>
      <w:r w:rsidRPr="00E86776">
        <w:rPr>
          <w:rFonts w:asciiTheme="minorHAnsi" w:hAnsiTheme="minorHAnsi" w:cstheme="minorHAnsi"/>
          <w:i/>
          <w:color w:val="000000"/>
          <w:sz w:val="26"/>
          <w:szCs w:val="26"/>
        </w:rPr>
        <w:t>further alternatively</w:t>
      </w:r>
      <w:r w:rsidRPr="00E86776">
        <w:rPr>
          <w:rFonts w:asciiTheme="minorHAnsi" w:hAnsiTheme="minorHAnsi" w:cstheme="minorHAnsi"/>
          <w:color w:val="000000"/>
          <w:sz w:val="26"/>
          <w:szCs w:val="26"/>
        </w:rPr>
        <w:t>, in the event that it is found that she did not acquire ownership of the monies</w:t>
      </w:r>
      <w:r w:rsidR="007E3025">
        <w:rPr>
          <w:rFonts w:asciiTheme="minorHAnsi" w:hAnsiTheme="minorHAnsi" w:cstheme="minorHAnsi"/>
          <w:color w:val="000000"/>
          <w:sz w:val="26"/>
          <w:szCs w:val="26"/>
        </w:rPr>
        <w:t xml:space="preserve">, </w:t>
      </w:r>
      <w:r w:rsidRPr="00E86776">
        <w:rPr>
          <w:rFonts w:asciiTheme="minorHAnsi" w:hAnsiTheme="minorHAnsi" w:cstheme="minorHAnsi"/>
          <w:color w:val="000000"/>
          <w:sz w:val="26"/>
          <w:szCs w:val="26"/>
        </w:rPr>
        <w:t xml:space="preserve">an order directing that the monies </w:t>
      </w:r>
      <w:r w:rsidRPr="00E86776">
        <w:rPr>
          <w:rFonts w:asciiTheme="minorHAnsi" w:hAnsiTheme="minorHAnsi" w:cstheme="minorHAnsi"/>
          <w:color w:val="000000"/>
          <w:sz w:val="26"/>
          <w:szCs w:val="26"/>
        </w:rPr>
        <w:lastRenderedPageBreak/>
        <w:t>constitute policy benefits which are excluded from attachment pursuant to the provisions of s 63(1)(a) of the LTI Act.</w:t>
      </w:r>
    </w:p>
    <w:p w:rsidR="00E86776" w:rsidRPr="00E86776" w:rsidRDefault="00E86776" w:rsidP="00E86776">
      <w:pPr>
        <w:pStyle w:val="ListParagraph"/>
        <w:rPr>
          <w:rFonts w:asciiTheme="minorHAnsi" w:hAnsiTheme="minorHAnsi" w:cstheme="minorHAnsi"/>
          <w:sz w:val="26"/>
          <w:szCs w:val="26"/>
        </w:rPr>
      </w:pPr>
    </w:p>
    <w:p w:rsidR="0091783B" w:rsidRDefault="00F84473"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respondents oppose the main application on the basis that the applicant has failed to demonstrate that the funds in her bank account</w:t>
      </w:r>
      <w:r w:rsidR="00E86776">
        <w:rPr>
          <w:rFonts w:asciiTheme="minorHAnsi" w:hAnsiTheme="minorHAnsi" w:cstheme="minorHAnsi"/>
          <w:sz w:val="26"/>
          <w:szCs w:val="26"/>
        </w:rPr>
        <w:t>s</w:t>
      </w:r>
      <w:r>
        <w:rPr>
          <w:rFonts w:asciiTheme="minorHAnsi" w:hAnsiTheme="minorHAnsi" w:cstheme="minorHAnsi"/>
          <w:sz w:val="26"/>
          <w:szCs w:val="26"/>
        </w:rPr>
        <w:t xml:space="preserve"> </w:t>
      </w:r>
      <w:r w:rsidR="00B97620">
        <w:rPr>
          <w:rFonts w:asciiTheme="minorHAnsi" w:hAnsiTheme="minorHAnsi" w:cstheme="minorHAnsi"/>
          <w:sz w:val="26"/>
          <w:szCs w:val="26"/>
        </w:rPr>
        <w:t>were</w:t>
      </w:r>
      <w:r w:rsidR="007B0EAD">
        <w:rPr>
          <w:rFonts w:asciiTheme="minorHAnsi" w:hAnsiTheme="minorHAnsi" w:cstheme="minorHAnsi"/>
          <w:sz w:val="26"/>
          <w:szCs w:val="26"/>
        </w:rPr>
        <w:t xml:space="preserve"> acquired by her by a title </w:t>
      </w:r>
      <w:r w:rsidR="00B97620">
        <w:rPr>
          <w:rFonts w:asciiTheme="minorHAnsi" w:hAnsiTheme="minorHAnsi" w:cstheme="minorHAnsi"/>
          <w:sz w:val="26"/>
          <w:szCs w:val="26"/>
        </w:rPr>
        <w:t xml:space="preserve">valid as </w:t>
      </w:r>
      <w:r w:rsidR="007B0EAD">
        <w:rPr>
          <w:rFonts w:asciiTheme="minorHAnsi" w:hAnsiTheme="minorHAnsi" w:cstheme="minorHAnsi"/>
          <w:sz w:val="26"/>
          <w:szCs w:val="26"/>
        </w:rPr>
        <w:t>against the creditors of the insolvent</w:t>
      </w:r>
      <w:r w:rsidR="00693FA7">
        <w:rPr>
          <w:rFonts w:asciiTheme="minorHAnsi" w:hAnsiTheme="minorHAnsi" w:cstheme="minorHAnsi"/>
          <w:sz w:val="26"/>
          <w:szCs w:val="26"/>
        </w:rPr>
        <w:t>,</w:t>
      </w:r>
      <w:r w:rsidR="007B0EAD">
        <w:rPr>
          <w:rFonts w:asciiTheme="minorHAnsi" w:hAnsiTheme="minorHAnsi" w:cstheme="minorHAnsi"/>
          <w:sz w:val="26"/>
          <w:szCs w:val="26"/>
        </w:rPr>
        <w:t xml:space="preserve"> as required by s 21(2)</w:t>
      </w:r>
      <w:r w:rsidR="00274D43">
        <w:rPr>
          <w:rFonts w:asciiTheme="minorHAnsi" w:hAnsiTheme="minorHAnsi" w:cstheme="minorHAnsi"/>
          <w:sz w:val="26"/>
          <w:szCs w:val="26"/>
        </w:rPr>
        <w:t>(c)</w:t>
      </w:r>
      <w:r w:rsidR="007B0EAD">
        <w:rPr>
          <w:rFonts w:asciiTheme="minorHAnsi" w:hAnsiTheme="minorHAnsi" w:cstheme="minorHAnsi"/>
          <w:sz w:val="26"/>
          <w:szCs w:val="26"/>
        </w:rPr>
        <w:t xml:space="preserve"> of the Act</w:t>
      </w:r>
      <w:r w:rsidR="00B97620">
        <w:rPr>
          <w:rFonts w:asciiTheme="minorHAnsi" w:hAnsiTheme="minorHAnsi" w:cstheme="minorHAnsi"/>
          <w:sz w:val="26"/>
          <w:szCs w:val="26"/>
        </w:rPr>
        <w:t xml:space="preserve">, </w:t>
      </w:r>
      <w:r w:rsidR="002A2C1B">
        <w:rPr>
          <w:rFonts w:asciiTheme="minorHAnsi" w:hAnsiTheme="minorHAnsi" w:cstheme="minorHAnsi"/>
          <w:sz w:val="26"/>
          <w:szCs w:val="26"/>
        </w:rPr>
        <w:t xml:space="preserve">and </w:t>
      </w:r>
      <w:r w:rsidR="00B97620">
        <w:rPr>
          <w:rFonts w:asciiTheme="minorHAnsi" w:hAnsiTheme="minorHAnsi" w:cstheme="minorHAnsi"/>
          <w:sz w:val="26"/>
          <w:szCs w:val="26"/>
        </w:rPr>
        <w:t xml:space="preserve">further, that s 63 of the LTI Act </w:t>
      </w:r>
      <w:r w:rsidR="00693FA7">
        <w:rPr>
          <w:rFonts w:asciiTheme="minorHAnsi" w:hAnsiTheme="minorHAnsi" w:cstheme="minorHAnsi"/>
          <w:sz w:val="26"/>
          <w:szCs w:val="26"/>
        </w:rPr>
        <w:t>does not find application on the facts</w:t>
      </w:r>
      <w:r w:rsidR="00B97620">
        <w:rPr>
          <w:rFonts w:asciiTheme="minorHAnsi" w:hAnsiTheme="minorHAnsi" w:cstheme="minorHAnsi"/>
          <w:sz w:val="26"/>
          <w:szCs w:val="26"/>
        </w:rPr>
        <w:t xml:space="preserve"> of th</w:t>
      </w:r>
      <w:r w:rsidR="00693FA7">
        <w:rPr>
          <w:rFonts w:asciiTheme="minorHAnsi" w:hAnsiTheme="minorHAnsi" w:cstheme="minorHAnsi"/>
          <w:sz w:val="26"/>
          <w:szCs w:val="26"/>
        </w:rPr>
        <w:t>e</w:t>
      </w:r>
      <w:r w:rsidR="00B97620">
        <w:rPr>
          <w:rFonts w:asciiTheme="minorHAnsi" w:hAnsiTheme="minorHAnsi" w:cstheme="minorHAnsi"/>
          <w:sz w:val="26"/>
          <w:szCs w:val="26"/>
        </w:rPr>
        <w:t xml:space="preserve"> matter</w:t>
      </w:r>
      <w:r w:rsidR="00C16CD9">
        <w:rPr>
          <w:rFonts w:asciiTheme="minorHAnsi" w:hAnsiTheme="minorHAnsi" w:cstheme="minorHAnsi"/>
          <w:sz w:val="26"/>
          <w:szCs w:val="26"/>
        </w:rPr>
        <w:t xml:space="preserve"> since any policy benefits paid to the applicant were </w:t>
      </w:r>
      <w:r w:rsidR="007E3025">
        <w:rPr>
          <w:rFonts w:asciiTheme="minorHAnsi" w:hAnsiTheme="minorHAnsi" w:cstheme="minorHAnsi"/>
          <w:sz w:val="26"/>
          <w:szCs w:val="26"/>
        </w:rPr>
        <w:t xml:space="preserve">wholly </w:t>
      </w:r>
      <w:r w:rsidR="00C16CD9">
        <w:rPr>
          <w:rFonts w:asciiTheme="minorHAnsi" w:hAnsiTheme="minorHAnsi" w:cstheme="minorHAnsi"/>
          <w:sz w:val="26"/>
          <w:szCs w:val="26"/>
        </w:rPr>
        <w:t>depleted by the time of their attachment by the respondents</w:t>
      </w:r>
      <w:r w:rsidR="00693FA7">
        <w:rPr>
          <w:rFonts w:asciiTheme="minorHAnsi" w:hAnsiTheme="minorHAnsi" w:cstheme="minorHAnsi"/>
          <w:sz w:val="26"/>
          <w:szCs w:val="26"/>
        </w:rPr>
        <w:t>.</w:t>
      </w:r>
    </w:p>
    <w:p w:rsidR="00EC61ED" w:rsidRPr="00EC61ED" w:rsidRDefault="00EC61ED" w:rsidP="00EC61ED">
      <w:pPr>
        <w:pStyle w:val="ListParagraph"/>
        <w:rPr>
          <w:rFonts w:asciiTheme="minorHAnsi" w:hAnsiTheme="minorHAnsi" w:cstheme="minorHAnsi"/>
          <w:sz w:val="26"/>
          <w:szCs w:val="26"/>
        </w:rPr>
      </w:pPr>
    </w:p>
    <w:p w:rsidR="00EC61ED" w:rsidRDefault="00EC61ED"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w:t>
      </w:r>
      <w:r w:rsidR="006D26D9">
        <w:rPr>
          <w:rFonts w:asciiTheme="minorHAnsi" w:hAnsiTheme="minorHAnsi" w:cstheme="minorHAnsi"/>
          <w:sz w:val="26"/>
          <w:szCs w:val="26"/>
        </w:rPr>
        <w:t xml:space="preserve">main </w:t>
      </w:r>
      <w:r>
        <w:rPr>
          <w:rFonts w:asciiTheme="minorHAnsi" w:hAnsiTheme="minorHAnsi" w:cstheme="minorHAnsi"/>
          <w:sz w:val="26"/>
          <w:szCs w:val="26"/>
        </w:rPr>
        <w:t>issues arising for determination are</w:t>
      </w:r>
      <w:r w:rsidR="006D26D9">
        <w:rPr>
          <w:rFonts w:asciiTheme="minorHAnsi" w:hAnsiTheme="minorHAnsi" w:cstheme="minorHAnsi"/>
          <w:sz w:val="26"/>
          <w:szCs w:val="26"/>
        </w:rPr>
        <w:t>:</w:t>
      </w:r>
    </w:p>
    <w:p w:rsidR="006D26D9" w:rsidRDefault="006D26D9" w:rsidP="006D26D9">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Whether the applicant has demonstrated that she holds valid title to the funds contained in her bank accounts; </w:t>
      </w:r>
      <w:r w:rsidR="00171AD4">
        <w:rPr>
          <w:rFonts w:asciiTheme="minorHAnsi" w:hAnsiTheme="minorHAnsi" w:cstheme="minorHAnsi"/>
          <w:sz w:val="26"/>
          <w:szCs w:val="26"/>
        </w:rPr>
        <w:t>and</w:t>
      </w:r>
    </w:p>
    <w:p w:rsidR="006D26D9" w:rsidRDefault="00171AD4" w:rsidP="006D26D9">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w:t>
      </w:r>
      <w:r w:rsidR="006D26D9">
        <w:rPr>
          <w:rFonts w:asciiTheme="minorHAnsi" w:hAnsiTheme="minorHAnsi" w:cstheme="minorHAnsi"/>
          <w:sz w:val="26"/>
          <w:szCs w:val="26"/>
        </w:rPr>
        <w:t xml:space="preserve">hether the funds in the applicant’s bank account </w:t>
      </w:r>
      <w:r>
        <w:rPr>
          <w:rFonts w:asciiTheme="minorHAnsi" w:hAnsiTheme="minorHAnsi" w:cstheme="minorHAnsi"/>
          <w:sz w:val="26"/>
          <w:szCs w:val="26"/>
        </w:rPr>
        <w:t xml:space="preserve">(FNB maximiser account) </w:t>
      </w:r>
      <w:r w:rsidR="006D26D9">
        <w:rPr>
          <w:rFonts w:asciiTheme="minorHAnsi" w:hAnsiTheme="minorHAnsi" w:cstheme="minorHAnsi"/>
          <w:sz w:val="26"/>
          <w:szCs w:val="26"/>
        </w:rPr>
        <w:t>constitute policy benefit</w:t>
      </w:r>
      <w:r>
        <w:rPr>
          <w:rFonts w:asciiTheme="minorHAnsi" w:hAnsiTheme="minorHAnsi" w:cstheme="minorHAnsi"/>
          <w:sz w:val="26"/>
          <w:szCs w:val="26"/>
        </w:rPr>
        <w:t>s</w:t>
      </w:r>
      <w:r w:rsidR="006D26D9">
        <w:rPr>
          <w:rFonts w:asciiTheme="minorHAnsi" w:hAnsiTheme="minorHAnsi" w:cstheme="minorHAnsi"/>
          <w:sz w:val="26"/>
          <w:szCs w:val="26"/>
        </w:rPr>
        <w:t xml:space="preserve"> which </w:t>
      </w:r>
      <w:r>
        <w:rPr>
          <w:rFonts w:asciiTheme="minorHAnsi" w:hAnsiTheme="minorHAnsi" w:cstheme="minorHAnsi"/>
          <w:sz w:val="26"/>
          <w:szCs w:val="26"/>
        </w:rPr>
        <w:t>are</w:t>
      </w:r>
      <w:r w:rsidR="006D26D9">
        <w:rPr>
          <w:rFonts w:asciiTheme="minorHAnsi" w:hAnsiTheme="minorHAnsi" w:cstheme="minorHAnsi"/>
          <w:sz w:val="26"/>
          <w:szCs w:val="26"/>
        </w:rPr>
        <w:t xml:space="preserve"> exempted from attachment in terms of s 63(1)(a) of the LTI Act</w:t>
      </w:r>
      <w:r w:rsidR="00C16CD9">
        <w:rPr>
          <w:rFonts w:asciiTheme="minorHAnsi" w:hAnsiTheme="minorHAnsi" w:cstheme="minorHAnsi"/>
          <w:sz w:val="26"/>
          <w:szCs w:val="26"/>
        </w:rPr>
        <w:t>.</w:t>
      </w:r>
    </w:p>
    <w:p w:rsidR="0091783B" w:rsidRDefault="0091783B" w:rsidP="0091783B">
      <w:pPr>
        <w:pStyle w:val="ListParagraph"/>
        <w:rPr>
          <w:rFonts w:asciiTheme="minorHAnsi" w:hAnsiTheme="minorHAnsi" w:cstheme="minorHAnsi"/>
          <w:sz w:val="26"/>
          <w:szCs w:val="26"/>
        </w:rPr>
      </w:pPr>
    </w:p>
    <w:p w:rsidR="002A2C1B" w:rsidRPr="002A2C1B" w:rsidRDefault="002A2C1B" w:rsidP="002A2C1B">
      <w:pPr>
        <w:pStyle w:val="ListParagraph"/>
        <w:spacing w:after="200" w:line="360" w:lineRule="auto"/>
        <w:ind w:left="851"/>
        <w:jc w:val="both"/>
        <w:rPr>
          <w:rFonts w:asciiTheme="minorHAnsi" w:hAnsiTheme="minorHAnsi" w:cstheme="minorHAnsi"/>
          <w:b/>
          <w:sz w:val="26"/>
          <w:szCs w:val="26"/>
        </w:rPr>
      </w:pPr>
      <w:r w:rsidRPr="002A2C1B">
        <w:rPr>
          <w:rFonts w:asciiTheme="minorHAnsi" w:hAnsiTheme="minorHAnsi" w:cstheme="minorHAnsi"/>
          <w:b/>
          <w:sz w:val="26"/>
          <w:szCs w:val="26"/>
        </w:rPr>
        <w:t>Background matrix</w:t>
      </w:r>
    </w:p>
    <w:p w:rsidR="0091783B" w:rsidRDefault="002A2C1B"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applicant and the insolvent were married to one another out of community of property on 11 January 1992. Their marriage still subsists and by all accounts they have </w:t>
      </w:r>
      <w:r w:rsidR="00D26008">
        <w:rPr>
          <w:rFonts w:asciiTheme="minorHAnsi" w:hAnsiTheme="minorHAnsi" w:cstheme="minorHAnsi"/>
          <w:sz w:val="26"/>
          <w:szCs w:val="26"/>
        </w:rPr>
        <w:t>remained living together</w:t>
      </w:r>
      <w:r>
        <w:rPr>
          <w:rFonts w:asciiTheme="minorHAnsi" w:hAnsiTheme="minorHAnsi" w:cstheme="minorHAnsi"/>
          <w:sz w:val="26"/>
          <w:szCs w:val="26"/>
        </w:rPr>
        <w:t>.</w:t>
      </w:r>
    </w:p>
    <w:p w:rsidR="0091783B" w:rsidRDefault="0091783B" w:rsidP="0091783B">
      <w:pPr>
        <w:pStyle w:val="ListParagraph"/>
        <w:rPr>
          <w:rFonts w:asciiTheme="minorHAnsi" w:hAnsiTheme="minorHAnsi" w:cstheme="minorHAnsi"/>
          <w:sz w:val="26"/>
          <w:szCs w:val="26"/>
        </w:rPr>
      </w:pPr>
    </w:p>
    <w:p w:rsidR="00DB6137" w:rsidRDefault="00DB6137" w:rsidP="00DB6137">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applicant was at all relevant times the holder of three bank accounts: a cheque account held at First National bank, </w:t>
      </w:r>
      <w:r w:rsidR="005074F6">
        <w:rPr>
          <w:rFonts w:asciiTheme="minorHAnsi" w:hAnsiTheme="minorHAnsi" w:cstheme="minorHAnsi"/>
          <w:sz w:val="26"/>
          <w:szCs w:val="26"/>
        </w:rPr>
        <w:t>a</w:t>
      </w:r>
      <w:r>
        <w:rPr>
          <w:rFonts w:asciiTheme="minorHAnsi" w:hAnsiTheme="minorHAnsi" w:cstheme="minorHAnsi"/>
          <w:sz w:val="26"/>
          <w:szCs w:val="26"/>
        </w:rPr>
        <w:t xml:space="preserve"> maximiser account </w:t>
      </w:r>
      <w:r w:rsidR="005074F6">
        <w:rPr>
          <w:rFonts w:asciiTheme="minorHAnsi" w:hAnsiTheme="minorHAnsi" w:cstheme="minorHAnsi"/>
          <w:sz w:val="26"/>
          <w:szCs w:val="26"/>
        </w:rPr>
        <w:t xml:space="preserve">held at First National bank </w:t>
      </w:r>
      <w:r>
        <w:rPr>
          <w:rFonts w:asciiTheme="minorHAnsi" w:hAnsiTheme="minorHAnsi" w:cstheme="minorHAnsi"/>
          <w:sz w:val="26"/>
          <w:szCs w:val="26"/>
        </w:rPr>
        <w:t>and a credit card account held at Standard Bank.</w:t>
      </w:r>
    </w:p>
    <w:p w:rsidR="00DB6137" w:rsidRDefault="00DB6137" w:rsidP="0091783B">
      <w:pPr>
        <w:pStyle w:val="ListParagraph"/>
        <w:rPr>
          <w:rFonts w:asciiTheme="minorHAnsi" w:hAnsiTheme="minorHAnsi" w:cstheme="minorHAnsi"/>
          <w:sz w:val="26"/>
          <w:szCs w:val="26"/>
        </w:rPr>
      </w:pPr>
    </w:p>
    <w:p w:rsidR="002D222F" w:rsidRDefault="00FF71E3"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During September 2004, the insolvent procured life and disability cover for himself</w:t>
      </w:r>
      <w:r w:rsidR="00A521E6">
        <w:rPr>
          <w:rFonts w:asciiTheme="minorHAnsi" w:hAnsiTheme="minorHAnsi" w:cstheme="minorHAnsi"/>
          <w:sz w:val="26"/>
          <w:szCs w:val="26"/>
        </w:rPr>
        <w:t xml:space="preserve"> (</w:t>
      </w:r>
      <w:r w:rsidR="005074F6">
        <w:rPr>
          <w:rFonts w:asciiTheme="minorHAnsi" w:hAnsiTheme="minorHAnsi" w:cstheme="minorHAnsi"/>
          <w:sz w:val="26"/>
          <w:szCs w:val="26"/>
        </w:rPr>
        <w:t xml:space="preserve">as </w:t>
      </w:r>
      <w:r w:rsidR="00C16CD9">
        <w:rPr>
          <w:rFonts w:asciiTheme="minorHAnsi" w:hAnsiTheme="minorHAnsi" w:cstheme="minorHAnsi"/>
          <w:sz w:val="26"/>
          <w:szCs w:val="26"/>
        </w:rPr>
        <w:t>principal/first</w:t>
      </w:r>
      <w:r w:rsidR="00A521E6">
        <w:rPr>
          <w:rFonts w:asciiTheme="minorHAnsi" w:hAnsiTheme="minorHAnsi" w:cstheme="minorHAnsi"/>
          <w:sz w:val="26"/>
          <w:szCs w:val="26"/>
        </w:rPr>
        <w:t xml:space="preserve"> life assured)</w:t>
      </w:r>
      <w:r>
        <w:rPr>
          <w:rFonts w:asciiTheme="minorHAnsi" w:hAnsiTheme="minorHAnsi" w:cstheme="minorHAnsi"/>
          <w:sz w:val="26"/>
          <w:szCs w:val="26"/>
        </w:rPr>
        <w:t xml:space="preserve"> and the applicant</w:t>
      </w:r>
      <w:r w:rsidR="00A521E6">
        <w:rPr>
          <w:rFonts w:asciiTheme="minorHAnsi" w:hAnsiTheme="minorHAnsi" w:cstheme="minorHAnsi"/>
          <w:sz w:val="26"/>
          <w:szCs w:val="26"/>
        </w:rPr>
        <w:t xml:space="preserve"> (</w:t>
      </w:r>
      <w:r w:rsidR="005074F6">
        <w:rPr>
          <w:rFonts w:asciiTheme="minorHAnsi" w:hAnsiTheme="minorHAnsi" w:cstheme="minorHAnsi"/>
          <w:sz w:val="26"/>
          <w:szCs w:val="26"/>
        </w:rPr>
        <w:t xml:space="preserve">as </w:t>
      </w:r>
      <w:r w:rsidR="00A521E6">
        <w:rPr>
          <w:rFonts w:asciiTheme="minorHAnsi" w:hAnsiTheme="minorHAnsi" w:cstheme="minorHAnsi"/>
          <w:sz w:val="26"/>
          <w:szCs w:val="26"/>
        </w:rPr>
        <w:t>second life assured)</w:t>
      </w:r>
      <w:r>
        <w:rPr>
          <w:rFonts w:asciiTheme="minorHAnsi" w:hAnsiTheme="minorHAnsi" w:cstheme="minorHAnsi"/>
          <w:sz w:val="26"/>
          <w:szCs w:val="26"/>
        </w:rPr>
        <w:t xml:space="preserve"> from Liberty Life (</w:t>
      </w:r>
      <w:r w:rsidR="005074F6">
        <w:rPr>
          <w:rFonts w:asciiTheme="minorHAnsi" w:hAnsiTheme="minorHAnsi" w:cstheme="minorHAnsi"/>
          <w:sz w:val="26"/>
          <w:szCs w:val="26"/>
        </w:rPr>
        <w:t>hereinafter</w:t>
      </w:r>
      <w:r w:rsidR="001B6459">
        <w:rPr>
          <w:rFonts w:asciiTheme="minorHAnsi" w:hAnsiTheme="minorHAnsi" w:cstheme="minorHAnsi"/>
          <w:sz w:val="26"/>
          <w:szCs w:val="26"/>
        </w:rPr>
        <w:t xml:space="preserve"> referred to as</w:t>
      </w:r>
      <w:r w:rsidR="005074F6">
        <w:rPr>
          <w:rFonts w:asciiTheme="minorHAnsi" w:hAnsiTheme="minorHAnsi" w:cstheme="minorHAnsi"/>
          <w:sz w:val="26"/>
          <w:szCs w:val="26"/>
        </w:rPr>
        <w:t xml:space="preserve"> either ‘</w:t>
      </w:r>
      <w:r w:rsidR="005074F6" w:rsidRPr="005074F6">
        <w:rPr>
          <w:rFonts w:asciiTheme="minorHAnsi" w:hAnsiTheme="minorHAnsi" w:cstheme="minorHAnsi"/>
          <w:i/>
          <w:sz w:val="26"/>
          <w:szCs w:val="26"/>
        </w:rPr>
        <w:t>Liberty Life</w:t>
      </w:r>
      <w:r w:rsidR="005074F6">
        <w:rPr>
          <w:rFonts w:asciiTheme="minorHAnsi" w:hAnsiTheme="minorHAnsi" w:cstheme="minorHAnsi"/>
          <w:sz w:val="26"/>
          <w:szCs w:val="26"/>
        </w:rPr>
        <w:t xml:space="preserve">’ or </w:t>
      </w:r>
      <w:r>
        <w:rPr>
          <w:rFonts w:asciiTheme="minorHAnsi" w:hAnsiTheme="minorHAnsi" w:cstheme="minorHAnsi"/>
          <w:sz w:val="26"/>
          <w:szCs w:val="26"/>
        </w:rPr>
        <w:t>‘</w:t>
      </w:r>
      <w:r w:rsidRPr="005074F6">
        <w:rPr>
          <w:rFonts w:asciiTheme="minorHAnsi" w:hAnsiTheme="minorHAnsi" w:cstheme="minorHAnsi"/>
          <w:i/>
          <w:sz w:val="26"/>
          <w:szCs w:val="26"/>
        </w:rPr>
        <w:t>the insurer</w:t>
      </w:r>
      <w:r>
        <w:rPr>
          <w:rFonts w:asciiTheme="minorHAnsi" w:hAnsiTheme="minorHAnsi" w:cstheme="minorHAnsi"/>
          <w:sz w:val="26"/>
          <w:szCs w:val="26"/>
        </w:rPr>
        <w:t xml:space="preserve">’) in terms of a </w:t>
      </w:r>
      <w:r w:rsidR="00A521E6">
        <w:rPr>
          <w:rFonts w:asciiTheme="minorHAnsi" w:hAnsiTheme="minorHAnsi" w:cstheme="minorHAnsi"/>
          <w:sz w:val="26"/>
          <w:szCs w:val="26"/>
        </w:rPr>
        <w:t>L</w:t>
      </w:r>
      <w:r>
        <w:rPr>
          <w:rFonts w:asciiTheme="minorHAnsi" w:hAnsiTheme="minorHAnsi" w:cstheme="minorHAnsi"/>
          <w:sz w:val="26"/>
          <w:szCs w:val="26"/>
        </w:rPr>
        <w:t xml:space="preserve">ifestyle </w:t>
      </w:r>
      <w:r w:rsidR="00A521E6">
        <w:rPr>
          <w:rFonts w:asciiTheme="minorHAnsi" w:hAnsiTheme="minorHAnsi" w:cstheme="minorHAnsi"/>
          <w:sz w:val="26"/>
          <w:szCs w:val="26"/>
        </w:rPr>
        <w:t>P</w:t>
      </w:r>
      <w:r>
        <w:rPr>
          <w:rFonts w:asciiTheme="minorHAnsi" w:hAnsiTheme="minorHAnsi" w:cstheme="minorHAnsi"/>
          <w:sz w:val="26"/>
          <w:szCs w:val="26"/>
        </w:rPr>
        <w:t xml:space="preserve">rotector policy </w:t>
      </w:r>
      <w:r w:rsidR="00F409C2">
        <w:rPr>
          <w:rFonts w:asciiTheme="minorHAnsi" w:hAnsiTheme="minorHAnsi" w:cstheme="minorHAnsi"/>
          <w:sz w:val="26"/>
          <w:szCs w:val="26"/>
        </w:rPr>
        <w:t>wherein</w:t>
      </w:r>
      <w:r>
        <w:rPr>
          <w:rFonts w:asciiTheme="minorHAnsi" w:hAnsiTheme="minorHAnsi" w:cstheme="minorHAnsi"/>
          <w:sz w:val="26"/>
          <w:szCs w:val="26"/>
        </w:rPr>
        <w:t xml:space="preserve"> </w:t>
      </w:r>
      <w:r w:rsidR="005074F6">
        <w:rPr>
          <w:rFonts w:asciiTheme="minorHAnsi" w:hAnsiTheme="minorHAnsi" w:cstheme="minorHAnsi"/>
          <w:sz w:val="26"/>
          <w:szCs w:val="26"/>
        </w:rPr>
        <w:t>t</w:t>
      </w:r>
      <w:r>
        <w:rPr>
          <w:rFonts w:asciiTheme="minorHAnsi" w:hAnsiTheme="minorHAnsi" w:cstheme="minorHAnsi"/>
          <w:sz w:val="26"/>
          <w:szCs w:val="26"/>
        </w:rPr>
        <w:t xml:space="preserve">he </w:t>
      </w:r>
      <w:r w:rsidR="005074F6">
        <w:rPr>
          <w:rFonts w:asciiTheme="minorHAnsi" w:hAnsiTheme="minorHAnsi" w:cstheme="minorHAnsi"/>
          <w:sz w:val="26"/>
          <w:szCs w:val="26"/>
        </w:rPr>
        <w:t xml:space="preserve">insolvent </w:t>
      </w:r>
      <w:r>
        <w:rPr>
          <w:rFonts w:asciiTheme="minorHAnsi" w:hAnsiTheme="minorHAnsi" w:cstheme="minorHAnsi"/>
          <w:sz w:val="26"/>
          <w:szCs w:val="26"/>
        </w:rPr>
        <w:t xml:space="preserve">is </w:t>
      </w:r>
      <w:r w:rsidR="00401EE1">
        <w:rPr>
          <w:rFonts w:asciiTheme="minorHAnsi" w:hAnsiTheme="minorHAnsi" w:cstheme="minorHAnsi"/>
          <w:sz w:val="26"/>
          <w:szCs w:val="26"/>
        </w:rPr>
        <w:t xml:space="preserve">listed </w:t>
      </w:r>
      <w:r w:rsidR="00401EE1">
        <w:rPr>
          <w:rFonts w:asciiTheme="minorHAnsi" w:hAnsiTheme="minorHAnsi" w:cstheme="minorHAnsi"/>
          <w:sz w:val="26"/>
          <w:szCs w:val="26"/>
        </w:rPr>
        <w:lastRenderedPageBreak/>
        <w:t xml:space="preserve">as </w:t>
      </w:r>
      <w:r>
        <w:rPr>
          <w:rFonts w:asciiTheme="minorHAnsi" w:hAnsiTheme="minorHAnsi" w:cstheme="minorHAnsi"/>
          <w:sz w:val="26"/>
          <w:szCs w:val="26"/>
        </w:rPr>
        <w:t>both the policy holder</w:t>
      </w:r>
      <w:r w:rsidR="00A521E6">
        <w:rPr>
          <w:rFonts w:asciiTheme="minorHAnsi" w:hAnsiTheme="minorHAnsi" w:cstheme="minorHAnsi"/>
          <w:sz w:val="26"/>
          <w:szCs w:val="26"/>
        </w:rPr>
        <w:t>,</w:t>
      </w:r>
      <w:r>
        <w:rPr>
          <w:rFonts w:asciiTheme="minorHAnsi" w:hAnsiTheme="minorHAnsi" w:cstheme="minorHAnsi"/>
          <w:sz w:val="26"/>
          <w:szCs w:val="26"/>
        </w:rPr>
        <w:t xml:space="preserve"> owner</w:t>
      </w:r>
      <w:r w:rsidR="00A521E6">
        <w:rPr>
          <w:rFonts w:asciiTheme="minorHAnsi" w:hAnsiTheme="minorHAnsi" w:cstheme="minorHAnsi"/>
          <w:sz w:val="26"/>
          <w:szCs w:val="26"/>
        </w:rPr>
        <w:t xml:space="preserve"> and a beneficiary of the policy benefits pertaining to the second life assured.</w:t>
      </w:r>
    </w:p>
    <w:p w:rsidR="002D222F" w:rsidRPr="002D222F" w:rsidRDefault="002D222F" w:rsidP="002D222F">
      <w:pPr>
        <w:pStyle w:val="ListParagraph"/>
        <w:rPr>
          <w:rFonts w:asciiTheme="minorHAnsi" w:hAnsiTheme="minorHAnsi" w:cstheme="minorHAnsi"/>
          <w:sz w:val="26"/>
          <w:szCs w:val="26"/>
        </w:rPr>
      </w:pPr>
    </w:p>
    <w:p w:rsidR="0091783B" w:rsidRDefault="002A2C1B"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25 January 2019 Liberty</w:t>
      </w:r>
      <w:r w:rsidR="00FF71E3">
        <w:rPr>
          <w:rFonts w:asciiTheme="minorHAnsi" w:hAnsiTheme="minorHAnsi" w:cstheme="minorHAnsi"/>
          <w:sz w:val="26"/>
          <w:szCs w:val="26"/>
        </w:rPr>
        <w:t xml:space="preserve"> Life paid an amount of R2</w:t>
      </w:r>
      <w:r w:rsidR="002D222F">
        <w:rPr>
          <w:rFonts w:asciiTheme="minorHAnsi" w:hAnsiTheme="minorHAnsi" w:cstheme="minorHAnsi"/>
          <w:sz w:val="26"/>
          <w:szCs w:val="26"/>
        </w:rPr>
        <w:t>,</w:t>
      </w:r>
      <w:r w:rsidR="00FF71E3">
        <w:rPr>
          <w:rFonts w:asciiTheme="minorHAnsi" w:hAnsiTheme="minorHAnsi" w:cstheme="minorHAnsi"/>
          <w:sz w:val="26"/>
          <w:szCs w:val="26"/>
        </w:rPr>
        <w:t>160</w:t>
      </w:r>
      <w:r w:rsidR="00D75C96">
        <w:rPr>
          <w:rFonts w:asciiTheme="minorHAnsi" w:hAnsiTheme="minorHAnsi" w:cstheme="minorHAnsi"/>
          <w:sz w:val="26"/>
          <w:szCs w:val="26"/>
        </w:rPr>
        <w:t xml:space="preserve"> 000</w:t>
      </w:r>
      <w:r w:rsidR="00FF71E3">
        <w:rPr>
          <w:rFonts w:asciiTheme="minorHAnsi" w:hAnsiTheme="minorHAnsi" w:cstheme="minorHAnsi"/>
          <w:sz w:val="26"/>
          <w:szCs w:val="26"/>
        </w:rPr>
        <w:t xml:space="preserve">.00 into the </w:t>
      </w:r>
      <w:r w:rsidR="002D222F">
        <w:rPr>
          <w:rFonts w:asciiTheme="minorHAnsi" w:hAnsiTheme="minorHAnsi" w:cstheme="minorHAnsi"/>
          <w:sz w:val="26"/>
          <w:szCs w:val="26"/>
        </w:rPr>
        <w:t xml:space="preserve">insolvent’s </w:t>
      </w:r>
      <w:r w:rsidR="00FF71E3">
        <w:rPr>
          <w:rFonts w:asciiTheme="minorHAnsi" w:hAnsiTheme="minorHAnsi" w:cstheme="minorHAnsi"/>
          <w:sz w:val="26"/>
          <w:szCs w:val="26"/>
        </w:rPr>
        <w:t>bank account, being in respect of a disability claim submitted to the insurer</w:t>
      </w:r>
      <w:r w:rsidR="002D222F">
        <w:rPr>
          <w:rFonts w:asciiTheme="minorHAnsi" w:hAnsiTheme="minorHAnsi" w:cstheme="minorHAnsi"/>
          <w:sz w:val="26"/>
          <w:szCs w:val="26"/>
        </w:rPr>
        <w:t xml:space="preserve"> under the disability portion of the policy</w:t>
      </w:r>
      <w:r w:rsidR="00A521E6">
        <w:rPr>
          <w:rFonts w:asciiTheme="minorHAnsi" w:hAnsiTheme="minorHAnsi" w:cstheme="minorHAnsi"/>
          <w:sz w:val="26"/>
          <w:szCs w:val="26"/>
        </w:rPr>
        <w:t xml:space="preserve"> pertaining to the second life assured</w:t>
      </w:r>
      <w:r w:rsidR="00C16CD9">
        <w:rPr>
          <w:rFonts w:asciiTheme="minorHAnsi" w:hAnsiTheme="minorHAnsi" w:cstheme="minorHAnsi"/>
          <w:sz w:val="26"/>
          <w:szCs w:val="26"/>
        </w:rPr>
        <w:t>.</w:t>
      </w:r>
      <w:r w:rsidR="00A521E6">
        <w:rPr>
          <w:rFonts w:asciiTheme="minorHAnsi" w:hAnsiTheme="minorHAnsi" w:cstheme="minorHAnsi"/>
          <w:sz w:val="26"/>
          <w:szCs w:val="26"/>
        </w:rPr>
        <w:t xml:space="preserve"> </w:t>
      </w:r>
      <w:r w:rsidR="002D222F">
        <w:rPr>
          <w:rFonts w:asciiTheme="minorHAnsi" w:hAnsiTheme="minorHAnsi" w:cstheme="minorHAnsi"/>
          <w:sz w:val="26"/>
          <w:szCs w:val="26"/>
        </w:rPr>
        <w:t xml:space="preserve">It is not in contention that the claim was submitted on account of the applicant having been diagnosed with cancer and </w:t>
      </w:r>
      <w:r w:rsidR="005074F6">
        <w:rPr>
          <w:rFonts w:asciiTheme="minorHAnsi" w:hAnsiTheme="minorHAnsi" w:cstheme="minorHAnsi"/>
          <w:sz w:val="26"/>
          <w:szCs w:val="26"/>
        </w:rPr>
        <w:t xml:space="preserve">so </w:t>
      </w:r>
      <w:r w:rsidR="002D222F">
        <w:rPr>
          <w:rFonts w:asciiTheme="minorHAnsi" w:hAnsiTheme="minorHAnsi" w:cstheme="minorHAnsi"/>
          <w:sz w:val="26"/>
          <w:szCs w:val="26"/>
        </w:rPr>
        <w:t xml:space="preserve">having suffered a </w:t>
      </w:r>
      <w:r w:rsidR="008A1ED1">
        <w:rPr>
          <w:rFonts w:asciiTheme="minorHAnsi" w:hAnsiTheme="minorHAnsi" w:cstheme="minorHAnsi"/>
          <w:sz w:val="26"/>
          <w:szCs w:val="26"/>
        </w:rPr>
        <w:t>‘</w:t>
      </w:r>
      <w:r w:rsidR="002D222F">
        <w:rPr>
          <w:rFonts w:asciiTheme="minorHAnsi" w:hAnsiTheme="minorHAnsi" w:cstheme="minorHAnsi"/>
          <w:sz w:val="26"/>
          <w:szCs w:val="26"/>
        </w:rPr>
        <w:t>disability</w:t>
      </w:r>
      <w:r w:rsidR="005074F6">
        <w:rPr>
          <w:rFonts w:asciiTheme="minorHAnsi" w:hAnsiTheme="minorHAnsi" w:cstheme="minorHAnsi"/>
          <w:sz w:val="26"/>
          <w:szCs w:val="26"/>
        </w:rPr>
        <w:t>’</w:t>
      </w:r>
      <w:r w:rsidR="002D222F">
        <w:rPr>
          <w:rFonts w:asciiTheme="minorHAnsi" w:hAnsiTheme="minorHAnsi" w:cstheme="minorHAnsi"/>
          <w:sz w:val="26"/>
          <w:szCs w:val="26"/>
        </w:rPr>
        <w:t xml:space="preserve"> as defined in the policy.</w:t>
      </w:r>
      <w:r w:rsidR="00FF71E3">
        <w:rPr>
          <w:rFonts w:asciiTheme="minorHAnsi" w:hAnsiTheme="minorHAnsi" w:cstheme="minorHAnsi"/>
          <w:sz w:val="26"/>
          <w:szCs w:val="26"/>
        </w:rPr>
        <w:t xml:space="preserve"> </w:t>
      </w:r>
      <w:r w:rsidR="002D222F">
        <w:rPr>
          <w:rFonts w:asciiTheme="minorHAnsi" w:hAnsiTheme="minorHAnsi" w:cstheme="minorHAnsi"/>
          <w:sz w:val="26"/>
          <w:szCs w:val="26"/>
        </w:rPr>
        <w:t>The amount paid by Liberty accords with the amount of the disability benefit stipulated in the policy for loss of income protection</w:t>
      </w:r>
      <w:r w:rsidR="00D75C96">
        <w:rPr>
          <w:rFonts w:asciiTheme="minorHAnsi" w:hAnsiTheme="minorHAnsi" w:cstheme="minorHAnsi"/>
          <w:sz w:val="26"/>
          <w:szCs w:val="26"/>
        </w:rPr>
        <w:t xml:space="preserve"> in respect of </w:t>
      </w:r>
      <w:r w:rsidR="00F409C2">
        <w:rPr>
          <w:rFonts w:asciiTheme="minorHAnsi" w:hAnsiTheme="minorHAnsi" w:cstheme="minorHAnsi"/>
          <w:sz w:val="26"/>
          <w:szCs w:val="26"/>
        </w:rPr>
        <w:t xml:space="preserve">the </w:t>
      </w:r>
      <w:r w:rsidR="002D222F">
        <w:rPr>
          <w:rFonts w:asciiTheme="minorHAnsi" w:hAnsiTheme="minorHAnsi" w:cstheme="minorHAnsi"/>
          <w:sz w:val="26"/>
          <w:szCs w:val="26"/>
        </w:rPr>
        <w:t>second life assured</w:t>
      </w:r>
      <w:r w:rsidR="00D75C96">
        <w:rPr>
          <w:rFonts w:asciiTheme="minorHAnsi" w:hAnsiTheme="minorHAnsi" w:cstheme="minorHAnsi"/>
          <w:sz w:val="26"/>
          <w:szCs w:val="26"/>
        </w:rPr>
        <w:t xml:space="preserve"> under the policy</w:t>
      </w:r>
      <w:r w:rsidR="00C16CD9">
        <w:rPr>
          <w:rFonts w:asciiTheme="minorHAnsi" w:hAnsiTheme="minorHAnsi" w:cstheme="minorHAnsi"/>
          <w:sz w:val="26"/>
          <w:szCs w:val="26"/>
        </w:rPr>
        <w:t>,</w:t>
      </w:r>
      <w:r w:rsidR="00D75C96">
        <w:rPr>
          <w:rFonts w:asciiTheme="minorHAnsi" w:hAnsiTheme="minorHAnsi" w:cstheme="minorHAnsi"/>
          <w:sz w:val="26"/>
          <w:szCs w:val="26"/>
        </w:rPr>
        <w:t xml:space="preserve"> </w:t>
      </w:r>
      <w:r w:rsidR="00401EE1">
        <w:rPr>
          <w:rFonts w:asciiTheme="minorHAnsi" w:hAnsiTheme="minorHAnsi" w:cstheme="minorHAnsi"/>
          <w:sz w:val="26"/>
          <w:szCs w:val="26"/>
        </w:rPr>
        <w:t>namely,</w:t>
      </w:r>
      <w:r w:rsidR="00D75C96">
        <w:rPr>
          <w:rFonts w:asciiTheme="minorHAnsi" w:hAnsiTheme="minorHAnsi" w:cstheme="minorHAnsi"/>
          <w:sz w:val="26"/>
          <w:szCs w:val="26"/>
        </w:rPr>
        <w:t xml:space="preserve"> the </w:t>
      </w:r>
      <w:r w:rsidR="002D222F">
        <w:rPr>
          <w:rFonts w:asciiTheme="minorHAnsi" w:hAnsiTheme="minorHAnsi" w:cstheme="minorHAnsi"/>
          <w:sz w:val="26"/>
          <w:szCs w:val="26"/>
        </w:rPr>
        <w:t>applicant</w:t>
      </w:r>
      <w:r w:rsidR="008A1ED1">
        <w:rPr>
          <w:rFonts w:asciiTheme="minorHAnsi" w:hAnsiTheme="minorHAnsi" w:cstheme="minorHAnsi"/>
          <w:sz w:val="26"/>
          <w:szCs w:val="26"/>
        </w:rPr>
        <w:t>.</w:t>
      </w:r>
      <w:r w:rsidR="002D222F">
        <w:rPr>
          <w:rFonts w:asciiTheme="minorHAnsi" w:hAnsiTheme="minorHAnsi" w:cstheme="minorHAnsi"/>
          <w:sz w:val="26"/>
          <w:szCs w:val="26"/>
        </w:rPr>
        <w:t xml:space="preserve"> </w:t>
      </w:r>
    </w:p>
    <w:p w:rsidR="0091783B" w:rsidRDefault="0091783B" w:rsidP="0091783B">
      <w:pPr>
        <w:pStyle w:val="ListParagraph"/>
        <w:rPr>
          <w:rFonts w:asciiTheme="minorHAnsi" w:hAnsiTheme="minorHAnsi" w:cstheme="minorHAnsi"/>
          <w:sz w:val="26"/>
          <w:szCs w:val="26"/>
        </w:rPr>
      </w:pPr>
    </w:p>
    <w:p w:rsidR="0091783B" w:rsidRDefault="002D222F"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w:t>
      </w:r>
      <w:r w:rsidR="00D75C96">
        <w:rPr>
          <w:rFonts w:asciiTheme="minorHAnsi" w:hAnsiTheme="minorHAnsi" w:cstheme="minorHAnsi"/>
          <w:sz w:val="26"/>
          <w:szCs w:val="26"/>
        </w:rPr>
        <w:t xml:space="preserve"> 28 January 2019, the insolvent paid an amount of R2,135 000.00 into the applicant’s maximiser account held at First National Bank (‘the FNB maximiser account’).</w:t>
      </w:r>
      <w:r w:rsidR="00EC61ED">
        <w:rPr>
          <w:rFonts w:asciiTheme="minorHAnsi" w:hAnsiTheme="minorHAnsi" w:cstheme="minorHAnsi"/>
          <w:sz w:val="26"/>
          <w:szCs w:val="26"/>
        </w:rPr>
        <w:t xml:space="preserve"> Before this payment was received, the FNB maximiser account had a zero balance.</w:t>
      </w:r>
    </w:p>
    <w:p w:rsidR="0091783B" w:rsidRDefault="0091783B" w:rsidP="0091783B">
      <w:pPr>
        <w:pStyle w:val="ListParagraph"/>
        <w:rPr>
          <w:rFonts w:asciiTheme="minorHAnsi" w:hAnsiTheme="minorHAnsi" w:cstheme="minorHAnsi"/>
          <w:sz w:val="26"/>
          <w:szCs w:val="26"/>
        </w:rPr>
      </w:pPr>
    </w:p>
    <w:p w:rsidR="0091783B" w:rsidRDefault="00D75C96"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17 May 2019</w:t>
      </w:r>
      <w:r w:rsidR="001B6459">
        <w:rPr>
          <w:rFonts w:asciiTheme="minorHAnsi" w:hAnsiTheme="minorHAnsi" w:cstheme="minorHAnsi"/>
          <w:sz w:val="26"/>
          <w:szCs w:val="26"/>
        </w:rPr>
        <w:t>,</w:t>
      </w:r>
      <w:r>
        <w:rPr>
          <w:rFonts w:asciiTheme="minorHAnsi" w:hAnsiTheme="minorHAnsi" w:cstheme="minorHAnsi"/>
          <w:sz w:val="26"/>
          <w:szCs w:val="26"/>
        </w:rPr>
        <w:t xml:space="preserve"> an amount of R2,740 000.00 was paid from the applicant’s FNB cheque account </w:t>
      </w:r>
      <w:r w:rsidR="00EC61ED">
        <w:rPr>
          <w:rFonts w:asciiTheme="minorHAnsi" w:hAnsiTheme="minorHAnsi" w:cstheme="minorHAnsi"/>
          <w:sz w:val="26"/>
          <w:szCs w:val="26"/>
        </w:rPr>
        <w:t>in</w:t>
      </w:r>
      <w:r>
        <w:rPr>
          <w:rFonts w:asciiTheme="minorHAnsi" w:hAnsiTheme="minorHAnsi" w:cstheme="minorHAnsi"/>
          <w:sz w:val="26"/>
          <w:szCs w:val="26"/>
        </w:rPr>
        <w:t xml:space="preserve">to the FNB maximiser account. This amount comprised </w:t>
      </w:r>
      <w:r w:rsidR="00C16CD9">
        <w:rPr>
          <w:rFonts w:asciiTheme="minorHAnsi" w:hAnsiTheme="minorHAnsi" w:cstheme="minorHAnsi"/>
          <w:sz w:val="26"/>
          <w:szCs w:val="26"/>
        </w:rPr>
        <w:t xml:space="preserve">a portion of </w:t>
      </w:r>
      <w:r>
        <w:rPr>
          <w:rFonts w:asciiTheme="minorHAnsi" w:hAnsiTheme="minorHAnsi" w:cstheme="minorHAnsi"/>
          <w:sz w:val="26"/>
          <w:szCs w:val="26"/>
        </w:rPr>
        <w:t xml:space="preserve">the proceeds </w:t>
      </w:r>
      <w:r w:rsidR="00643E5C">
        <w:rPr>
          <w:rFonts w:asciiTheme="minorHAnsi" w:hAnsiTheme="minorHAnsi" w:cstheme="minorHAnsi"/>
          <w:sz w:val="26"/>
          <w:szCs w:val="26"/>
        </w:rPr>
        <w:t xml:space="preserve">obtained </w:t>
      </w:r>
      <w:r w:rsidR="00C16CD9">
        <w:rPr>
          <w:rFonts w:asciiTheme="minorHAnsi" w:hAnsiTheme="minorHAnsi" w:cstheme="minorHAnsi"/>
          <w:sz w:val="26"/>
          <w:szCs w:val="26"/>
        </w:rPr>
        <w:t xml:space="preserve">by the applicant </w:t>
      </w:r>
      <w:r w:rsidR="00643E5C">
        <w:rPr>
          <w:rFonts w:asciiTheme="minorHAnsi" w:hAnsiTheme="minorHAnsi" w:cstheme="minorHAnsi"/>
          <w:sz w:val="26"/>
          <w:szCs w:val="26"/>
        </w:rPr>
        <w:t>from</w:t>
      </w:r>
      <w:r>
        <w:rPr>
          <w:rFonts w:asciiTheme="minorHAnsi" w:hAnsiTheme="minorHAnsi" w:cstheme="minorHAnsi"/>
          <w:sz w:val="26"/>
          <w:szCs w:val="26"/>
        </w:rPr>
        <w:t xml:space="preserve"> the sale of </w:t>
      </w:r>
      <w:r w:rsidR="00401EE1">
        <w:rPr>
          <w:rFonts w:asciiTheme="minorHAnsi" w:hAnsiTheme="minorHAnsi" w:cstheme="minorHAnsi"/>
          <w:sz w:val="26"/>
          <w:szCs w:val="26"/>
        </w:rPr>
        <w:t>an</w:t>
      </w:r>
      <w:r>
        <w:rPr>
          <w:rFonts w:asciiTheme="minorHAnsi" w:hAnsiTheme="minorHAnsi" w:cstheme="minorHAnsi"/>
          <w:sz w:val="26"/>
          <w:szCs w:val="26"/>
        </w:rPr>
        <w:t xml:space="preserve"> immovable property </w:t>
      </w:r>
      <w:r w:rsidR="00643E5C">
        <w:rPr>
          <w:rFonts w:asciiTheme="minorHAnsi" w:hAnsiTheme="minorHAnsi" w:cstheme="minorHAnsi"/>
          <w:sz w:val="26"/>
          <w:szCs w:val="26"/>
        </w:rPr>
        <w:t xml:space="preserve">situate </w:t>
      </w:r>
      <w:r>
        <w:rPr>
          <w:rFonts w:asciiTheme="minorHAnsi" w:hAnsiTheme="minorHAnsi" w:cstheme="minorHAnsi"/>
          <w:sz w:val="26"/>
          <w:szCs w:val="26"/>
        </w:rPr>
        <w:t>in Simons</w:t>
      </w:r>
      <w:r w:rsidR="00401EE1">
        <w:rPr>
          <w:rFonts w:asciiTheme="minorHAnsi" w:hAnsiTheme="minorHAnsi" w:cstheme="minorHAnsi"/>
          <w:sz w:val="26"/>
          <w:szCs w:val="26"/>
        </w:rPr>
        <w:t xml:space="preserve"> T</w:t>
      </w:r>
      <w:r>
        <w:rPr>
          <w:rFonts w:asciiTheme="minorHAnsi" w:hAnsiTheme="minorHAnsi" w:cstheme="minorHAnsi"/>
          <w:sz w:val="26"/>
          <w:szCs w:val="26"/>
        </w:rPr>
        <w:t>own</w:t>
      </w:r>
      <w:r w:rsidR="001B6459">
        <w:rPr>
          <w:rFonts w:asciiTheme="minorHAnsi" w:hAnsiTheme="minorHAnsi" w:cstheme="minorHAnsi"/>
          <w:sz w:val="26"/>
          <w:szCs w:val="26"/>
        </w:rPr>
        <w:t>,</w:t>
      </w:r>
      <w:r w:rsidR="00F409C2">
        <w:rPr>
          <w:rFonts w:asciiTheme="minorHAnsi" w:hAnsiTheme="minorHAnsi" w:cstheme="minorHAnsi"/>
          <w:sz w:val="26"/>
          <w:szCs w:val="26"/>
        </w:rPr>
        <w:t xml:space="preserve"> </w:t>
      </w:r>
      <w:r w:rsidR="005074F6">
        <w:rPr>
          <w:rFonts w:asciiTheme="minorHAnsi" w:hAnsiTheme="minorHAnsi" w:cstheme="minorHAnsi"/>
          <w:sz w:val="26"/>
          <w:szCs w:val="26"/>
        </w:rPr>
        <w:t>which</w:t>
      </w:r>
      <w:r w:rsidR="00D26008">
        <w:rPr>
          <w:rFonts w:asciiTheme="minorHAnsi" w:hAnsiTheme="minorHAnsi" w:cstheme="minorHAnsi"/>
          <w:sz w:val="26"/>
          <w:szCs w:val="26"/>
        </w:rPr>
        <w:t xml:space="preserve"> </w:t>
      </w:r>
      <w:r w:rsidR="001B6459">
        <w:rPr>
          <w:rFonts w:asciiTheme="minorHAnsi" w:hAnsiTheme="minorHAnsi" w:cstheme="minorHAnsi"/>
          <w:sz w:val="26"/>
          <w:szCs w:val="26"/>
        </w:rPr>
        <w:t>she alleges was</w:t>
      </w:r>
      <w:r w:rsidR="00F409C2">
        <w:rPr>
          <w:rFonts w:asciiTheme="minorHAnsi" w:hAnsiTheme="minorHAnsi" w:cstheme="minorHAnsi"/>
          <w:sz w:val="26"/>
          <w:szCs w:val="26"/>
        </w:rPr>
        <w:t xml:space="preserve"> owned by </w:t>
      </w:r>
      <w:r w:rsidR="00C16CD9">
        <w:rPr>
          <w:rFonts w:asciiTheme="minorHAnsi" w:hAnsiTheme="minorHAnsi" w:cstheme="minorHAnsi"/>
          <w:sz w:val="26"/>
          <w:szCs w:val="26"/>
        </w:rPr>
        <w:t>her</w:t>
      </w:r>
      <w:r w:rsidR="00F409C2">
        <w:rPr>
          <w:rFonts w:asciiTheme="minorHAnsi" w:hAnsiTheme="minorHAnsi" w:cstheme="minorHAnsi"/>
          <w:sz w:val="26"/>
          <w:szCs w:val="26"/>
        </w:rPr>
        <w:t>.</w:t>
      </w:r>
      <w:r w:rsidR="00401EE1">
        <w:rPr>
          <w:rFonts w:asciiTheme="minorHAnsi" w:hAnsiTheme="minorHAnsi" w:cstheme="minorHAnsi"/>
          <w:sz w:val="26"/>
          <w:szCs w:val="26"/>
        </w:rPr>
        <w:t xml:space="preserve"> </w:t>
      </w:r>
    </w:p>
    <w:p w:rsidR="0091783B" w:rsidRPr="005B13E8" w:rsidRDefault="0091783B" w:rsidP="0091783B">
      <w:pPr>
        <w:pStyle w:val="ListParagraph"/>
        <w:rPr>
          <w:rFonts w:asciiTheme="minorHAnsi" w:hAnsiTheme="minorHAnsi" w:cstheme="minorHAnsi"/>
          <w:sz w:val="26"/>
          <w:szCs w:val="26"/>
        </w:rPr>
      </w:pPr>
    </w:p>
    <w:p w:rsidR="0091783B" w:rsidRDefault="00D75C96"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3 July 2019 the insolvent’s estate was placed under provisional sequestration by order of court</w:t>
      </w:r>
      <w:r w:rsidR="00C605F7">
        <w:rPr>
          <w:rFonts w:asciiTheme="minorHAnsi" w:hAnsiTheme="minorHAnsi" w:cstheme="minorHAnsi"/>
          <w:sz w:val="26"/>
          <w:szCs w:val="26"/>
        </w:rPr>
        <w:t>,</w:t>
      </w:r>
      <w:r>
        <w:rPr>
          <w:rFonts w:asciiTheme="minorHAnsi" w:hAnsiTheme="minorHAnsi" w:cstheme="minorHAnsi"/>
          <w:sz w:val="26"/>
          <w:szCs w:val="26"/>
        </w:rPr>
        <w:t xml:space="preserve"> </w:t>
      </w:r>
      <w:r w:rsidR="00C605F7">
        <w:rPr>
          <w:rFonts w:asciiTheme="minorHAnsi" w:hAnsiTheme="minorHAnsi" w:cstheme="minorHAnsi"/>
          <w:sz w:val="26"/>
          <w:szCs w:val="26"/>
        </w:rPr>
        <w:t>which order was made final</w:t>
      </w:r>
      <w:r>
        <w:rPr>
          <w:rFonts w:asciiTheme="minorHAnsi" w:hAnsiTheme="minorHAnsi" w:cstheme="minorHAnsi"/>
          <w:sz w:val="26"/>
          <w:szCs w:val="26"/>
        </w:rPr>
        <w:t xml:space="preserve"> </w:t>
      </w:r>
      <w:r w:rsidR="00C605F7">
        <w:rPr>
          <w:rFonts w:asciiTheme="minorHAnsi" w:hAnsiTheme="minorHAnsi" w:cstheme="minorHAnsi"/>
          <w:sz w:val="26"/>
          <w:szCs w:val="26"/>
        </w:rPr>
        <w:t>on 15 August 2019.</w:t>
      </w:r>
    </w:p>
    <w:p w:rsidR="0091783B" w:rsidRPr="005B13E8" w:rsidRDefault="0091783B" w:rsidP="0091783B">
      <w:pPr>
        <w:pStyle w:val="ListParagraph"/>
        <w:rPr>
          <w:rFonts w:asciiTheme="minorHAnsi" w:hAnsiTheme="minorHAnsi" w:cstheme="minorHAnsi"/>
          <w:sz w:val="26"/>
          <w:szCs w:val="26"/>
        </w:rPr>
      </w:pPr>
    </w:p>
    <w:p w:rsidR="0091783B" w:rsidRDefault="007254EC"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2 August 2019 t</w:t>
      </w:r>
      <w:r w:rsidR="00C605F7">
        <w:rPr>
          <w:rFonts w:asciiTheme="minorHAnsi" w:hAnsiTheme="minorHAnsi" w:cstheme="minorHAnsi"/>
          <w:sz w:val="26"/>
          <w:szCs w:val="26"/>
        </w:rPr>
        <w:t xml:space="preserve">he respondents were appointed as the provisional trustees </w:t>
      </w:r>
      <w:r>
        <w:rPr>
          <w:rFonts w:asciiTheme="minorHAnsi" w:hAnsiTheme="minorHAnsi" w:cstheme="minorHAnsi"/>
          <w:sz w:val="26"/>
          <w:szCs w:val="26"/>
        </w:rPr>
        <w:t xml:space="preserve">of the </w:t>
      </w:r>
      <w:r w:rsidR="00B8652D">
        <w:rPr>
          <w:rFonts w:asciiTheme="minorHAnsi" w:hAnsiTheme="minorHAnsi" w:cstheme="minorHAnsi"/>
          <w:sz w:val="26"/>
          <w:szCs w:val="26"/>
        </w:rPr>
        <w:t>sequestrated</w:t>
      </w:r>
      <w:r>
        <w:rPr>
          <w:rFonts w:asciiTheme="minorHAnsi" w:hAnsiTheme="minorHAnsi" w:cstheme="minorHAnsi"/>
          <w:sz w:val="26"/>
          <w:szCs w:val="26"/>
        </w:rPr>
        <w:t xml:space="preserve"> estate</w:t>
      </w:r>
      <w:r w:rsidR="00C605F7">
        <w:rPr>
          <w:rFonts w:asciiTheme="minorHAnsi" w:hAnsiTheme="minorHAnsi" w:cstheme="minorHAnsi"/>
          <w:sz w:val="26"/>
          <w:szCs w:val="26"/>
        </w:rPr>
        <w:t>.</w:t>
      </w:r>
    </w:p>
    <w:p w:rsidR="0091783B" w:rsidRDefault="0091783B" w:rsidP="0091783B">
      <w:pPr>
        <w:pStyle w:val="ListParagraph"/>
        <w:rPr>
          <w:rFonts w:asciiTheme="minorHAnsi" w:hAnsiTheme="minorHAnsi" w:cstheme="minorHAnsi"/>
          <w:sz w:val="26"/>
          <w:szCs w:val="26"/>
        </w:rPr>
      </w:pPr>
    </w:p>
    <w:p w:rsidR="0091783B" w:rsidRPr="007A0C01" w:rsidRDefault="00C605F7"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Following their appointment, on or about 19 August 2019</w:t>
      </w:r>
      <w:r w:rsidR="00B8652D">
        <w:rPr>
          <w:rFonts w:asciiTheme="minorHAnsi" w:hAnsiTheme="minorHAnsi" w:cstheme="minorHAnsi"/>
          <w:sz w:val="26"/>
          <w:szCs w:val="26"/>
        </w:rPr>
        <w:t>,</w:t>
      </w:r>
      <w:r>
        <w:rPr>
          <w:rFonts w:asciiTheme="minorHAnsi" w:hAnsiTheme="minorHAnsi" w:cstheme="minorHAnsi"/>
          <w:sz w:val="26"/>
          <w:szCs w:val="26"/>
        </w:rPr>
        <w:t xml:space="preserve"> the respondents attached the applicant’s FNB maximiser account </w:t>
      </w:r>
      <w:r w:rsidR="007254EC">
        <w:rPr>
          <w:rFonts w:asciiTheme="minorHAnsi" w:hAnsiTheme="minorHAnsi" w:cstheme="minorHAnsi"/>
          <w:sz w:val="26"/>
          <w:szCs w:val="26"/>
        </w:rPr>
        <w:t>under the provisions</w:t>
      </w:r>
      <w:r w:rsidR="007B23B6">
        <w:rPr>
          <w:rFonts w:asciiTheme="minorHAnsi" w:hAnsiTheme="minorHAnsi" w:cstheme="minorHAnsi"/>
          <w:sz w:val="26"/>
          <w:szCs w:val="26"/>
        </w:rPr>
        <w:t xml:space="preserve"> of</w:t>
      </w:r>
      <w:r>
        <w:rPr>
          <w:rFonts w:asciiTheme="minorHAnsi" w:hAnsiTheme="minorHAnsi" w:cstheme="minorHAnsi"/>
          <w:sz w:val="26"/>
          <w:szCs w:val="26"/>
        </w:rPr>
        <w:t xml:space="preserve"> s 21(1) of the Act, pursuant to </w:t>
      </w:r>
      <w:r w:rsidR="007254EC">
        <w:rPr>
          <w:rFonts w:asciiTheme="minorHAnsi" w:hAnsiTheme="minorHAnsi" w:cstheme="minorHAnsi"/>
          <w:sz w:val="26"/>
          <w:szCs w:val="26"/>
        </w:rPr>
        <w:t xml:space="preserve">a </w:t>
      </w:r>
      <w:r>
        <w:rPr>
          <w:rFonts w:asciiTheme="minorHAnsi" w:hAnsiTheme="minorHAnsi" w:cstheme="minorHAnsi"/>
          <w:sz w:val="26"/>
          <w:szCs w:val="26"/>
        </w:rPr>
        <w:t xml:space="preserve">notice </w:t>
      </w:r>
      <w:r w:rsidR="00F409C2">
        <w:rPr>
          <w:rFonts w:asciiTheme="minorHAnsi" w:hAnsiTheme="minorHAnsi" w:cstheme="minorHAnsi"/>
          <w:sz w:val="26"/>
          <w:szCs w:val="26"/>
        </w:rPr>
        <w:t xml:space="preserve">addressed </w:t>
      </w:r>
      <w:r w:rsidR="00643E5C">
        <w:rPr>
          <w:rFonts w:asciiTheme="minorHAnsi" w:hAnsiTheme="minorHAnsi" w:cstheme="minorHAnsi"/>
          <w:sz w:val="26"/>
          <w:szCs w:val="26"/>
        </w:rPr>
        <w:t>to the applicant</w:t>
      </w:r>
      <w:r w:rsidR="00F409C2">
        <w:rPr>
          <w:rFonts w:asciiTheme="minorHAnsi" w:hAnsiTheme="minorHAnsi" w:cstheme="minorHAnsi"/>
          <w:sz w:val="26"/>
          <w:szCs w:val="26"/>
        </w:rPr>
        <w:t>,</w:t>
      </w:r>
      <w:r w:rsidR="00643E5C">
        <w:rPr>
          <w:rFonts w:asciiTheme="minorHAnsi" w:hAnsiTheme="minorHAnsi" w:cstheme="minorHAnsi"/>
          <w:sz w:val="26"/>
          <w:szCs w:val="26"/>
        </w:rPr>
        <w:t xml:space="preserve"> </w:t>
      </w:r>
      <w:r>
        <w:rPr>
          <w:rFonts w:asciiTheme="minorHAnsi" w:hAnsiTheme="minorHAnsi" w:cstheme="minorHAnsi"/>
          <w:sz w:val="26"/>
          <w:szCs w:val="26"/>
        </w:rPr>
        <w:t>dated 14 October 2019</w:t>
      </w:r>
      <w:r w:rsidR="00F409C2">
        <w:rPr>
          <w:rFonts w:asciiTheme="minorHAnsi" w:hAnsiTheme="minorHAnsi" w:cstheme="minorHAnsi"/>
          <w:sz w:val="26"/>
          <w:szCs w:val="26"/>
        </w:rPr>
        <w:t>,</w:t>
      </w:r>
      <w:r>
        <w:rPr>
          <w:rFonts w:asciiTheme="minorHAnsi" w:hAnsiTheme="minorHAnsi" w:cstheme="minorHAnsi"/>
          <w:sz w:val="26"/>
          <w:szCs w:val="26"/>
        </w:rPr>
        <w:t xml:space="preserve"> in which the</w:t>
      </w:r>
      <w:r w:rsidR="007254EC">
        <w:rPr>
          <w:rFonts w:asciiTheme="minorHAnsi" w:hAnsiTheme="minorHAnsi" w:cstheme="minorHAnsi"/>
          <w:sz w:val="26"/>
          <w:szCs w:val="26"/>
        </w:rPr>
        <w:t>y</w:t>
      </w:r>
      <w:r>
        <w:rPr>
          <w:rFonts w:asciiTheme="minorHAnsi" w:hAnsiTheme="minorHAnsi" w:cstheme="minorHAnsi"/>
          <w:sz w:val="26"/>
          <w:szCs w:val="26"/>
        </w:rPr>
        <w:t xml:space="preserve"> </w:t>
      </w:r>
      <w:r w:rsidR="00401EE1">
        <w:rPr>
          <w:rFonts w:asciiTheme="minorHAnsi" w:hAnsiTheme="minorHAnsi" w:cstheme="minorHAnsi"/>
          <w:sz w:val="26"/>
          <w:szCs w:val="26"/>
        </w:rPr>
        <w:t>informed</w:t>
      </w:r>
      <w:r>
        <w:rPr>
          <w:rFonts w:asciiTheme="minorHAnsi" w:hAnsiTheme="minorHAnsi" w:cstheme="minorHAnsi"/>
          <w:sz w:val="26"/>
          <w:szCs w:val="26"/>
        </w:rPr>
        <w:t xml:space="preserve"> </w:t>
      </w:r>
      <w:r w:rsidR="00643E5C">
        <w:rPr>
          <w:rFonts w:asciiTheme="minorHAnsi" w:hAnsiTheme="minorHAnsi" w:cstheme="minorHAnsi"/>
          <w:sz w:val="26"/>
          <w:szCs w:val="26"/>
        </w:rPr>
        <w:t>her</w:t>
      </w:r>
      <w:r>
        <w:rPr>
          <w:rFonts w:asciiTheme="minorHAnsi" w:hAnsiTheme="minorHAnsi" w:cstheme="minorHAnsi"/>
          <w:sz w:val="26"/>
          <w:szCs w:val="26"/>
        </w:rPr>
        <w:t xml:space="preserve"> of their intention to realise the funds in the FNB maximiser account</w:t>
      </w:r>
      <w:r w:rsidR="00B8652D">
        <w:rPr>
          <w:rFonts w:asciiTheme="minorHAnsi" w:hAnsiTheme="minorHAnsi" w:cstheme="minorHAnsi"/>
          <w:sz w:val="26"/>
          <w:szCs w:val="26"/>
        </w:rPr>
        <w:t xml:space="preserve"> for the benefit of the creditors of the sequestrated estate</w:t>
      </w:r>
      <w:r w:rsidR="00643E5C">
        <w:rPr>
          <w:rFonts w:asciiTheme="minorHAnsi" w:hAnsiTheme="minorHAnsi" w:cstheme="minorHAnsi"/>
          <w:sz w:val="26"/>
          <w:szCs w:val="26"/>
        </w:rPr>
        <w:t>,</w:t>
      </w:r>
      <w:r>
        <w:rPr>
          <w:rFonts w:asciiTheme="minorHAnsi" w:hAnsiTheme="minorHAnsi" w:cstheme="minorHAnsi"/>
          <w:sz w:val="26"/>
          <w:szCs w:val="26"/>
        </w:rPr>
        <w:t xml:space="preserve"> </w:t>
      </w:r>
      <w:r w:rsidR="007254EC">
        <w:rPr>
          <w:rFonts w:asciiTheme="minorHAnsi" w:hAnsiTheme="minorHAnsi" w:cstheme="minorHAnsi"/>
          <w:sz w:val="26"/>
          <w:szCs w:val="26"/>
        </w:rPr>
        <w:t>as envisaged in</w:t>
      </w:r>
      <w:r>
        <w:rPr>
          <w:rFonts w:asciiTheme="minorHAnsi" w:hAnsiTheme="minorHAnsi" w:cstheme="minorHAnsi"/>
          <w:sz w:val="26"/>
          <w:szCs w:val="26"/>
        </w:rPr>
        <w:t xml:space="preserve"> s 21(3) of the Act.</w:t>
      </w:r>
      <w:r w:rsidR="005074F6" w:rsidRPr="005074F6">
        <w:rPr>
          <w:rStyle w:val="FootnoteReference"/>
          <w:rFonts w:asciiTheme="minorHAnsi" w:hAnsiTheme="minorHAnsi" w:cstheme="minorHAnsi"/>
          <w:sz w:val="26"/>
          <w:szCs w:val="26"/>
        </w:rPr>
        <w:t xml:space="preserve"> </w:t>
      </w:r>
      <w:r w:rsidR="005074F6">
        <w:rPr>
          <w:rStyle w:val="FootnoteReference"/>
          <w:rFonts w:asciiTheme="minorHAnsi" w:hAnsiTheme="minorHAnsi" w:cstheme="minorHAnsi"/>
          <w:sz w:val="26"/>
          <w:szCs w:val="26"/>
        </w:rPr>
        <w:footnoteReference w:id="1"/>
      </w:r>
      <w:r>
        <w:rPr>
          <w:rFonts w:asciiTheme="minorHAnsi" w:hAnsiTheme="minorHAnsi" w:cstheme="minorHAnsi"/>
          <w:sz w:val="26"/>
          <w:szCs w:val="26"/>
        </w:rPr>
        <w:t xml:space="preserve"> </w:t>
      </w:r>
    </w:p>
    <w:p w:rsidR="0091783B" w:rsidRPr="001D3B95" w:rsidRDefault="0091783B" w:rsidP="0091783B">
      <w:pPr>
        <w:pStyle w:val="ListParagraph"/>
        <w:rPr>
          <w:rFonts w:asciiTheme="minorHAnsi" w:hAnsiTheme="minorHAnsi" w:cstheme="minorHAnsi"/>
          <w:sz w:val="26"/>
          <w:szCs w:val="26"/>
        </w:rPr>
      </w:pPr>
    </w:p>
    <w:p w:rsidR="0091783B" w:rsidRPr="00C336F0" w:rsidRDefault="007254EC"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At the time of the attachment, the FNB maximiser account </w:t>
      </w:r>
      <w:r w:rsidR="00DB6137">
        <w:rPr>
          <w:rFonts w:asciiTheme="minorHAnsi" w:hAnsiTheme="minorHAnsi" w:cstheme="minorHAnsi"/>
          <w:sz w:val="26"/>
          <w:szCs w:val="26"/>
        </w:rPr>
        <w:t>reflected a credit balance of</w:t>
      </w:r>
      <w:r>
        <w:rPr>
          <w:rFonts w:asciiTheme="minorHAnsi" w:hAnsiTheme="minorHAnsi" w:cstheme="minorHAnsi"/>
          <w:sz w:val="26"/>
          <w:szCs w:val="26"/>
        </w:rPr>
        <w:t xml:space="preserve"> R1,830 901.52.</w:t>
      </w:r>
      <w:r w:rsidR="00DA7C1F">
        <w:rPr>
          <w:rFonts w:asciiTheme="minorHAnsi" w:hAnsiTheme="minorHAnsi" w:cstheme="minorHAnsi"/>
          <w:sz w:val="26"/>
          <w:szCs w:val="26"/>
        </w:rPr>
        <w:t xml:space="preserve"> The </w:t>
      </w:r>
      <w:r w:rsidR="00F409C2">
        <w:rPr>
          <w:rFonts w:asciiTheme="minorHAnsi" w:hAnsiTheme="minorHAnsi" w:cstheme="minorHAnsi"/>
          <w:sz w:val="26"/>
          <w:szCs w:val="26"/>
        </w:rPr>
        <w:t xml:space="preserve">balance in the </w:t>
      </w:r>
      <w:r w:rsidR="00DA7C1F">
        <w:rPr>
          <w:rFonts w:asciiTheme="minorHAnsi" w:hAnsiTheme="minorHAnsi" w:cstheme="minorHAnsi"/>
          <w:sz w:val="26"/>
          <w:szCs w:val="26"/>
        </w:rPr>
        <w:t>FNB cheque account</w:t>
      </w:r>
      <w:r w:rsidR="00F409C2">
        <w:rPr>
          <w:rFonts w:asciiTheme="minorHAnsi" w:hAnsiTheme="minorHAnsi" w:cstheme="minorHAnsi"/>
          <w:sz w:val="26"/>
          <w:szCs w:val="26"/>
        </w:rPr>
        <w:t xml:space="preserve"> was </w:t>
      </w:r>
      <w:r w:rsidR="00DA7C1F">
        <w:rPr>
          <w:rFonts w:asciiTheme="minorHAnsi" w:hAnsiTheme="minorHAnsi" w:cstheme="minorHAnsi"/>
          <w:sz w:val="26"/>
          <w:szCs w:val="26"/>
        </w:rPr>
        <w:t xml:space="preserve">R3176.79 </w:t>
      </w:r>
      <w:r w:rsidR="00F409C2">
        <w:rPr>
          <w:rFonts w:asciiTheme="minorHAnsi" w:hAnsiTheme="minorHAnsi" w:cstheme="minorHAnsi"/>
          <w:sz w:val="26"/>
          <w:szCs w:val="26"/>
        </w:rPr>
        <w:t xml:space="preserve">whilst the </w:t>
      </w:r>
      <w:r w:rsidR="005074F6">
        <w:rPr>
          <w:rFonts w:asciiTheme="minorHAnsi" w:hAnsiTheme="minorHAnsi" w:cstheme="minorHAnsi"/>
          <w:sz w:val="26"/>
          <w:szCs w:val="26"/>
        </w:rPr>
        <w:t>S</w:t>
      </w:r>
      <w:r w:rsidR="00DA7C1F">
        <w:rPr>
          <w:rFonts w:asciiTheme="minorHAnsi" w:hAnsiTheme="minorHAnsi" w:cstheme="minorHAnsi"/>
          <w:sz w:val="26"/>
          <w:szCs w:val="26"/>
        </w:rPr>
        <w:t>tandard bank credit card account reflected a zero balance</w:t>
      </w:r>
      <w:r w:rsidR="00F409C2">
        <w:rPr>
          <w:rFonts w:asciiTheme="minorHAnsi" w:hAnsiTheme="minorHAnsi" w:cstheme="minorHAnsi"/>
          <w:sz w:val="26"/>
          <w:szCs w:val="26"/>
        </w:rPr>
        <w:t>.</w:t>
      </w:r>
      <w:r w:rsidR="00A521E6">
        <w:rPr>
          <w:rFonts w:asciiTheme="minorHAnsi" w:hAnsiTheme="minorHAnsi" w:cstheme="minorHAnsi"/>
          <w:sz w:val="26"/>
          <w:szCs w:val="26"/>
        </w:rPr>
        <w:t xml:space="preserve"> </w:t>
      </w:r>
    </w:p>
    <w:p w:rsidR="0091783B" w:rsidRPr="00E85CE9" w:rsidRDefault="0091783B" w:rsidP="0091783B">
      <w:pPr>
        <w:pStyle w:val="ListParagraph"/>
        <w:rPr>
          <w:rFonts w:asciiTheme="minorHAnsi" w:hAnsiTheme="minorHAnsi" w:cstheme="minorHAnsi"/>
          <w:sz w:val="26"/>
          <w:szCs w:val="26"/>
        </w:rPr>
      </w:pPr>
      <w:bookmarkStart w:id="1" w:name="0-0-0-42631"/>
      <w:bookmarkStart w:id="2" w:name="0-0-0-42633"/>
      <w:bookmarkStart w:id="3" w:name="0-0-0-42643"/>
      <w:bookmarkEnd w:id="1"/>
      <w:bookmarkEnd w:id="2"/>
      <w:bookmarkEnd w:id="3"/>
    </w:p>
    <w:p w:rsidR="0091783B" w:rsidRDefault="00DA7C1F"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 26 September 2019 the applicant’s attorneys requested written reasons from the respondents as to why the funds in the FNB maximiser account were being withheld. On 27 September 2019 the first respondent replied stating that the trustees </w:t>
      </w:r>
      <w:r w:rsidR="00A521E6">
        <w:rPr>
          <w:rFonts w:asciiTheme="minorHAnsi" w:hAnsiTheme="minorHAnsi" w:cstheme="minorHAnsi"/>
          <w:sz w:val="26"/>
          <w:szCs w:val="26"/>
        </w:rPr>
        <w:t>were of the view</w:t>
      </w:r>
      <w:r>
        <w:rPr>
          <w:rFonts w:asciiTheme="minorHAnsi" w:hAnsiTheme="minorHAnsi" w:cstheme="minorHAnsi"/>
          <w:sz w:val="26"/>
          <w:szCs w:val="26"/>
        </w:rPr>
        <w:t xml:space="preserve"> that the funds in the </w:t>
      </w:r>
      <w:r w:rsidR="00401EE1">
        <w:rPr>
          <w:rFonts w:asciiTheme="minorHAnsi" w:hAnsiTheme="minorHAnsi" w:cstheme="minorHAnsi"/>
          <w:sz w:val="26"/>
          <w:szCs w:val="26"/>
        </w:rPr>
        <w:t xml:space="preserve">FNB </w:t>
      </w:r>
      <w:r>
        <w:rPr>
          <w:rFonts w:asciiTheme="minorHAnsi" w:hAnsiTheme="minorHAnsi" w:cstheme="minorHAnsi"/>
          <w:sz w:val="26"/>
          <w:szCs w:val="26"/>
        </w:rPr>
        <w:t xml:space="preserve">maximiser account </w:t>
      </w:r>
      <w:r w:rsidR="00A521E6">
        <w:rPr>
          <w:rFonts w:asciiTheme="minorHAnsi" w:hAnsiTheme="minorHAnsi" w:cstheme="minorHAnsi"/>
          <w:sz w:val="26"/>
          <w:szCs w:val="26"/>
        </w:rPr>
        <w:t>‘</w:t>
      </w:r>
      <w:r>
        <w:rPr>
          <w:rFonts w:asciiTheme="minorHAnsi" w:hAnsiTheme="minorHAnsi" w:cstheme="minorHAnsi"/>
          <w:sz w:val="26"/>
          <w:szCs w:val="26"/>
        </w:rPr>
        <w:t xml:space="preserve">represent the balance of funds </w:t>
      </w:r>
      <w:r w:rsidR="00275603">
        <w:rPr>
          <w:rFonts w:asciiTheme="minorHAnsi" w:hAnsiTheme="minorHAnsi" w:cstheme="minorHAnsi"/>
          <w:sz w:val="26"/>
          <w:szCs w:val="26"/>
        </w:rPr>
        <w:t>from a disposition made</w:t>
      </w:r>
      <w:r w:rsidR="00A521E6">
        <w:rPr>
          <w:rFonts w:asciiTheme="minorHAnsi" w:hAnsiTheme="minorHAnsi" w:cstheme="minorHAnsi"/>
          <w:sz w:val="26"/>
          <w:szCs w:val="26"/>
        </w:rPr>
        <w:t>’</w:t>
      </w:r>
      <w:r w:rsidR="00275603">
        <w:rPr>
          <w:rFonts w:asciiTheme="minorHAnsi" w:hAnsiTheme="minorHAnsi" w:cstheme="minorHAnsi"/>
          <w:sz w:val="26"/>
          <w:szCs w:val="26"/>
        </w:rPr>
        <w:t xml:space="preserve"> by the insolvent of </w:t>
      </w:r>
      <w:r w:rsidR="00DB6137">
        <w:rPr>
          <w:rFonts w:asciiTheme="minorHAnsi" w:hAnsiTheme="minorHAnsi" w:cstheme="minorHAnsi"/>
          <w:sz w:val="26"/>
          <w:szCs w:val="26"/>
        </w:rPr>
        <w:t xml:space="preserve">the amount of </w:t>
      </w:r>
      <w:r w:rsidR="00275603">
        <w:rPr>
          <w:rFonts w:asciiTheme="minorHAnsi" w:hAnsiTheme="minorHAnsi" w:cstheme="minorHAnsi"/>
          <w:sz w:val="26"/>
          <w:szCs w:val="26"/>
        </w:rPr>
        <w:t>R2,135 000.00 to the applicant on 28 January 2019</w:t>
      </w:r>
      <w:r w:rsidR="00A521E6">
        <w:rPr>
          <w:rFonts w:asciiTheme="minorHAnsi" w:hAnsiTheme="minorHAnsi" w:cstheme="minorHAnsi"/>
          <w:sz w:val="26"/>
          <w:szCs w:val="26"/>
        </w:rPr>
        <w:t>,</w:t>
      </w:r>
      <w:r w:rsidR="00275603">
        <w:rPr>
          <w:rFonts w:asciiTheme="minorHAnsi" w:hAnsiTheme="minorHAnsi" w:cstheme="minorHAnsi"/>
          <w:sz w:val="26"/>
          <w:szCs w:val="26"/>
        </w:rPr>
        <w:t xml:space="preserve"> and that they would proceed with their intentions to retain the funds for the benefit of the insolvent’s creditors. The applicant was invited to apply for the release of the property in terms of s 21 of the Act.</w:t>
      </w:r>
    </w:p>
    <w:p w:rsidR="0091783B" w:rsidRDefault="0091783B" w:rsidP="0091783B">
      <w:pPr>
        <w:pStyle w:val="ListParagraph"/>
        <w:rPr>
          <w:rFonts w:asciiTheme="minorHAnsi" w:hAnsiTheme="minorHAnsi" w:cstheme="minorHAnsi"/>
          <w:sz w:val="26"/>
          <w:szCs w:val="26"/>
        </w:rPr>
      </w:pPr>
    </w:p>
    <w:p w:rsidR="007847FF" w:rsidRDefault="00275603"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applicant</w:t>
      </w:r>
      <w:r w:rsidR="007A0F25">
        <w:rPr>
          <w:rFonts w:asciiTheme="minorHAnsi" w:hAnsiTheme="minorHAnsi" w:cstheme="minorHAnsi"/>
          <w:sz w:val="26"/>
          <w:szCs w:val="26"/>
        </w:rPr>
        <w:t xml:space="preserve"> thereafter </w:t>
      </w:r>
      <w:r>
        <w:rPr>
          <w:rFonts w:asciiTheme="minorHAnsi" w:hAnsiTheme="minorHAnsi" w:cstheme="minorHAnsi"/>
          <w:sz w:val="26"/>
          <w:szCs w:val="26"/>
        </w:rPr>
        <w:t>laun</w:t>
      </w:r>
      <w:r w:rsidR="002F343D">
        <w:rPr>
          <w:rFonts w:asciiTheme="minorHAnsi" w:hAnsiTheme="minorHAnsi" w:cstheme="minorHAnsi"/>
          <w:sz w:val="26"/>
          <w:szCs w:val="26"/>
        </w:rPr>
        <w:t>ched</w:t>
      </w:r>
      <w:r>
        <w:rPr>
          <w:rFonts w:asciiTheme="minorHAnsi" w:hAnsiTheme="minorHAnsi" w:cstheme="minorHAnsi"/>
          <w:sz w:val="26"/>
          <w:szCs w:val="26"/>
        </w:rPr>
        <w:t xml:space="preserve"> an urgent application for the release of the property</w:t>
      </w:r>
      <w:r w:rsidR="002F343D">
        <w:rPr>
          <w:rFonts w:asciiTheme="minorHAnsi" w:hAnsiTheme="minorHAnsi" w:cstheme="minorHAnsi"/>
          <w:sz w:val="26"/>
          <w:szCs w:val="26"/>
        </w:rPr>
        <w:t>,</w:t>
      </w:r>
      <w:r>
        <w:rPr>
          <w:rFonts w:asciiTheme="minorHAnsi" w:hAnsiTheme="minorHAnsi" w:cstheme="minorHAnsi"/>
          <w:sz w:val="26"/>
          <w:szCs w:val="26"/>
        </w:rPr>
        <w:t xml:space="preserve"> which </w:t>
      </w:r>
      <w:r w:rsidR="0027529A">
        <w:rPr>
          <w:rFonts w:asciiTheme="minorHAnsi" w:hAnsiTheme="minorHAnsi" w:cstheme="minorHAnsi"/>
          <w:sz w:val="26"/>
          <w:szCs w:val="26"/>
        </w:rPr>
        <w:t xml:space="preserve">application </w:t>
      </w:r>
      <w:r>
        <w:rPr>
          <w:rFonts w:asciiTheme="minorHAnsi" w:hAnsiTheme="minorHAnsi" w:cstheme="minorHAnsi"/>
          <w:sz w:val="26"/>
          <w:szCs w:val="26"/>
        </w:rPr>
        <w:t xml:space="preserve">was </w:t>
      </w:r>
      <w:r w:rsidR="002F343D">
        <w:rPr>
          <w:rFonts w:asciiTheme="minorHAnsi" w:hAnsiTheme="minorHAnsi" w:cstheme="minorHAnsi"/>
          <w:sz w:val="26"/>
          <w:szCs w:val="26"/>
        </w:rPr>
        <w:t xml:space="preserve">subsequently </w:t>
      </w:r>
      <w:r>
        <w:rPr>
          <w:rFonts w:asciiTheme="minorHAnsi" w:hAnsiTheme="minorHAnsi" w:cstheme="minorHAnsi"/>
          <w:sz w:val="26"/>
          <w:szCs w:val="26"/>
        </w:rPr>
        <w:t xml:space="preserve">withdrawn </w:t>
      </w:r>
      <w:r w:rsidR="002F343D">
        <w:rPr>
          <w:rFonts w:asciiTheme="minorHAnsi" w:hAnsiTheme="minorHAnsi" w:cstheme="minorHAnsi"/>
          <w:sz w:val="26"/>
          <w:szCs w:val="26"/>
        </w:rPr>
        <w:t xml:space="preserve">by her </w:t>
      </w:r>
      <w:r>
        <w:rPr>
          <w:rFonts w:asciiTheme="minorHAnsi" w:hAnsiTheme="minorHAnsi" w:cstheme="minorHAnsi"/>
          <w:sz w:val="26"/>
          <w:szCs w:val="26"/>
        </w:rPr>
        <w:t xml:space="preserve">on </w:t>
      </w:r>
      <w:r w:rsidR="002F343D">
        <w:rPr>
          <w:rFonts w:asciiTheme="minorHAnsi" w:hAnsiTheme="minorHAnsi" w:cstheme="minorHAnsi"/>
          <w:sz w:val="26"/>
          <w:szCs w:val="26"/>
        </w:rPr>
        <w:t xml:space="preserve">21 April 2020 for reasons that are </w:t>
      </w:r>
      <w:r w:rsidR="003161FC">
        <w:rPr>
          <w:rFonts w:asciiTheme="minorHAnsi" w:hAnsiTheme="minorHAnsi" w:cstheme="minorHAnsi"/>
          <w:sz w:val="26"/>
          <w:szCs w:val="26"/>
        </w:rPr>
        <w:t xml:space="preserve">not pertinent to </w:t>
      </w:r>
      <w:r w:rsidR="005074F6">
        <w:rPr>
          <w:rFonts w:asciiTheme="minorHAnsi" w:hAnsiTheme="minorHAnsi" w:cstheme="minorHAnsi"/>
          <w:sz w:val="26"/>
          <w:szCs w:val="26"/>
        </w:rPr>
        <w:t>these proceedings</w:t>
      </w:r>
      <w:r w:rsidR="002F343D">
        <w:rPr>
          <w:rFonts w:asciiTheme="minorHAnsi" w:hAnsiTheme="minorHAnsi" w:cstheme="minorHAnsi"/>
          <w:sz w:val="26"/>
          <w:szCs w:val="26"/>
        </w:rPr>
        <w:t xml:space="preserve">. </w:t>
      </w:r>
      <w:r w:rsidR="007A0F25">
        <w:rPr>
          <w:rFonts w:asciiTheme="minorHAnsi" w:hAnsiTheme="minorHAnsi" w:cstheme="minorHAnsi"/>
          <w:sz w:val="26"/>
          <w:szCs w:val="26"/>
        </w:rPr>
        <w:t xml:space="preserve">Sometime thereafter, </w:t>
      </w:r>
      <w:r w:rsidR="002F343D">
        <w:rPr>
          <w:rFonts w:asciiTheme="minorHAnsi" w:hAnsiTheme="minorHAnsi" w:cstheme="minorHAnsi"/>
          <w:sz w:val="26"/>
          <w:szCs w:val="26"/>
        </w:rPr>
        <w:t xml:space="preserve">the respondents </w:t>
      </w:r>
      <w:r w:rsidR="007A0F25">
        <w:rPr>
          <w:rFonts w:asciiTheme="minorHAnsi" w:hAnsiTheme="minorHAnsi" w:cstheme="minorHAnsi"/>
          <w:sz w:val="26"/>
          <w:szCs w:val="26"/>
        </w:rPr>
        <w:t>withdrew funds from the FNB maximiser account</w:t>
      </w:r>
      <w:r w:rsidR="00BF650E">
        <w:rPr>
          <w:rFonts w:asciiTheme="minorHAnsi" w:hAnsiTheme="minorHAnsi" w:cstheme="minorHAnsi"/>
          <w:sz w:val="26"/>
          <w:szCs w:val="26"/>
        </w:rPr>
        <w:t>, thereafter causing</w:t>
      </w:r>
      <w:r w:rsidR="002F343D">
        <w:rPr>
          <w:rFonts w:asciiTheme="minorHAnsi" w:hAnsiTheme="minorHAnsi" w:cstheme="minorHAnsi"/>
          <w:sz w:val="26"/>
          <w:szCs w:val="26"/>
        </w:rPr>
        <w:t xml:space="preserve"> </w:t>
      </w:r>
      <w:r w:rsidR="007A0F25">
        <w:rPr>
          <w:rFonts w:asciiTheme="minorHAnsi" w:hAnsiTheme="minorHAnsi" w:cstheme="minorHAnsi"/>
          <w:sz w:val="26"/>
          <w:szCs w:val="26"/>
        </w:rPr>
        <w:t>such funds</w:t>
      </w:r>
      <w:r w:rsidR="002F343D">
        <w:rPr>
          <w:rFonts w:asciiTheme="minorHAnsi" w:hAnsiTheme="minorHAnsi" w:cstheme="minorHAnsi"/>
          <w:sz w:val="26"/>
          <w:szCs w:val="26"/>
        </w:rPr>
        <w:t xml:space="preserve"> to be </w:t>
      </w:r>
      <w:r w:rsidR="007A0F25">
        <w:rPr>
          <w:rFonts w:asciiTheme="minorHAnsi" w:hAnsiTheme="minorHAnsi" w:cstheme="minorHAnsi"/>
          <w:sz w:val="26"/>
          <w:szCs w:val="26"/>
        </w:rPr>
        <w:t>deposited</w:t>
      </w:r>
      <w:r w:rsidR="002F343D">
        <w:rPr>
          <w:rFonts w:asciiTheme="minorHAnsi" w:hAnsiTheme="minorHAnsi" w:cstheme="minorHAnsi"/>
          <w:sz w:val="26"/>
          <w:szCs w:val="26"/>
        </w:rPr>
        <w:t xml:space="preserve"> into the bank account</w:t>
      </w:r>
      <w:r w:rsidR="00BC56EA">
        <w:rPr>
          <w:rFonts w:asciiTheme="minorHAnsi" w:hAnsiTheme="minorHAnsi" w:cstheme="minorHAnsi"/>
          <w:sz w:val="26"/>
          <w:szCs w:val="26"/>
        </w:rPr>
        <w:t xml:space="preserve"> of the </w:t>
      </w:r>
      <w:r w:rsidR="00356448">
        <w:rPr>
          <w:rFonts w:asciiTheme="minorHAnsi" w:hAnsiTheme="minorHAnsi" w:cstheme="minorHAnsi"/>
          <w:sz w:val="26"/>
          <w:szCs w:val="26"/>
        </w:rPr>
        <w:t>sequestrated</w:t>
      </w:r>
      <w:r w:rsidR="00BC56EA">
        <w:rPr>
          <w:rFonts w:asciiTheme="minorHAnsi" w:hAnsiTheme="minorHAnsi" w:cstheme="minorHAnsi"/>
          <w:sz w:val="26"/>
          <w:szCs w:val="26"/>
        </w:rPr>
        <w:t xml:space="preserve"> estate</w:t>
      </w:r>
      <w:r w:rsidR="002F343D">
        <w:rPr>
          <w:rFonts w:asciiTheme="minorHAnsi" w:hAnsiTheme="minorHAnsi" w:cstheme="minorHAnsi"/>
          <w:sz w:val="26"/>
          <w:szCs w:val="26"/>
        </w:rPr>
        <w:t>.</w:t>
      </w:r>
      <w:r w:rsidR="007A0F25">
        <w:rPr>
          <w:rStyle w:val="FootnoteReference"/>
          <w:rFonts w:asciiTheme="minorHAnsi" w:hAnsiTheme="minorHAnsi" w:cstheme="minorHAnsi"/>
          <w:sz w:val="26"/>
          <w:szCs w:val="26"/>
        </w:rPr>
        <w:footnoteReference w:id="2"/>
      </w:r>
      <w:r w:rsidR="00A521E6">
        <w:rPr>
          <w:rFonts w:asciiTheme="minorHAnsi" w:hAnsiTheme="minorHAnsi" w:cstheme="minorHAnsi"/>
          <w:sz w:val="26"/>
          <w:szCs w:val="26"/>
        </w:rPr>
        <w:t xml:space="preserve"> </w:t>
      </w:r>
    </w:p>
    <w:p w:rsidR="007847FF" w:rsidRPr="007847FF" w:rsidRDefault="007847FF" w:rsidP="007847FF">
      <w:pPr>
        <w:pStyle w:val="ListParagraph"/>
        <w:rPr>
          <w:rFonts w:asciiTheme="minorHAnsi" w:hAnsiTheme="minorHAnsi" w:cstheme="minorHAnsi"/>
          <w:sz w:val="26"/>
          <w:szCs w:val="26"/>
        </w:rPr>
      </w:pPr>
    </w:p>
    <w:p w:rsidR="00643E5C" w:rsidRDefault="00643E5C" w:rsidP="00643E5C">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present application was launched in June 2020. </w:t>
      </w:r>
    </w:p>
    <w:p w:rsidR="00643E5C" w:rsidRPr="00DA398F" w:rsidRDefault="00643E5C" w:rsidP="0091783B">
      <w:pPr>
        <w:pStyle w:val="ListParagraph"/>
        <w:rPr>
          <w:rFonts w:asciiTheme="minorHAnsi" w:hAnsiTheme="minorHAnsi" w:cstheme="minorHAnsi"/>
          <w:sz w:val="26"/>
          <w:szCs w:val="26"/>
        </w:rPr>
      </w:pPr>
    </w:p>
    <w:p w:rsidR="0051514C" w:rsidRPr="008A1ED1" w:rsidRDefault="001F1512" w:rsidP="0051514C">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Discussion</w:t>
      </w:r>
    </w:p>
    <w:p w:rsidR="00401463" w:rsidRPr="00EC61ED" w:rsidRDefault="00EC61ED" w:rsidP="00401463">
      <w:pPr>
        <w:pStyle w:val="ListParagraph"/>
        <w:numPr>
          <w:ilvl w:val="0"/>
          <w:numId w:val="3"/>
        </w:numPr>
        <w:spacing w:after="200" w:line="360" w:lineRule="auto"/>
        <w:jc w:val="both"/>
        <w:rPr>
          <w:rFonts w:asciiTheme="minorHAnsi" w:hAnsiTheme="minorHAnsi" w:cstheme="minorHAnsi"/>
          <w:b/>
          <w:sz w:val="26"/>
          <w:szCs w:val="26"/>
        </w:rPr>
      </w:pPr>
      <w:r w:rsidRPr="00EC61ED">
        <w:rPr>
          <w:rFonts w:asciiTheme="minorHAnsi" w:hAnsiTheme="minorHAnsi" w:cstheme="minorHAnsi"/>
          <w:sz w:val="26"/>
          <w:szCs w:val="26"/>
        </w:rPr>
        <w:t xml:space="preserve">It is trite that upon sequestration of </w:t>
      </w:r>
      <w:r w:rsidR="006A6E85">
        <w:rPr>
          <w:rFonts w:asciiTheme="minorHAnsi" w:hAnsiTheme="minorHAnsi" w:cstheme="minorHAnsi"/>
          <w:sz w:val="26"/>
          <w:szCs w:val="26"/>
        </w:rPr>
        <w:t>an</w:t>
      </w:r>
      <w:r w:rsidRPr="00EC61ED">
        <w:rPr>
          <w:rFonts w:asciiTheme="minorHAnsi" w:hAnsiTheme="minorHAnsi" w:cstheme="minorHAnsi"/>
          <w:sz w:val="26"/>
          <w:szCs w:val="26"/>
        </w:rPr>
        <w:t xml:space="preserve"> insolvent’s estate</w:t>
      </w:r>
      <w:r w:rsidR="006A6E85">
        <w:rPr>
          <w:rFonts w:asciiTheme="minorHAnsi" w:hAnsiTheme="minorHAnsi" w:cstheme="minorHAnsi"/>
          <w:sz w:val="26"/>
          <w:szCs w:val="26"/>
        </w:rPr>
        <w:t xml:space="preserve">, </w:t>
      </w:r>
      <w:r>
        <w:rPr>
          <w:rFonts w:asciiTheme="minorHAnsi" w:hAnsiTheme="minorHAnsi" w:cstheme="minorHAnsi"/>
          <w:sz w:val="26"/>
          <w:szCs w:val="26"/>
        </w:rPr>
        <w:t xml:space="preserve">which brings about a </w:t>
      </w:r>
      <w:r>
        <w:rPr>
          <w:rFonts w:asciiTheme="minorHAnsi" w:hAnsiTheme="minorHAnsi" w:cstheme="minorHAnsi"/>
          <w:i/>
          <w:sz w:val="26"/>
          <w:szCs w:val="26"/>
        </w:rPr>
        <w:t xml:space="preserve">concursus creditorum, </w:t>
      </w:r>
      <w:r w:rsidR="006A6E85" w:rsidRPr="006A6E85">
        <w:rPr>
          <w:rFonts w:asciiTheme="minorHAnsi" w:hAnsiTheme="minorHAnsi" w:cstheme="minorHAnsi"/>
          <w:sz w:val="26"/>
          <w:szCs w:val="26"/>
        </w:rPr>
        <w:t>all of</w:t>
      </w:r>
      <w:r w:rsidR="006A6E85">
        <w:rPr>
          <w:rFonts w:asciiTheme="minorHAnsi" w:hAnsiTheme="minorHAnsi" w:cstheme="minorHAnsi"/>
          <w:i/>
          <w:sz w:val="26"/>
          <w:szCs w:val="26"/>
        </w:rPr>
        <w:t xml:space="preserve"> </w:t>
      </w:r>
      <w:r w:rsidRPr="00EC61ED">
        <w:rPr>
          <w:rFonts w:asciiTheme="minorHAnsi" w:hAnsiTheme="minorHAnsi" w:cstheme="minorHAnsi"/>
          <w:sz w:val="26"/>
          <w:szCs w:val="26"/>
        </w:rPr>
        <w:t>the insolvent’s property vests</w:t>
      </w:r>
      <w:r>
        <w:rPr>
          <w:rFonts w:asciiTheme="minorHAnsi" w:hAnsiTheme="minorHAnsi" w:cstheme="minorHAnsi"/>
          <w:sz w:val="26"/>
          <w:szCs w:val="26"/>
        </w:rPr>
        <w:t xml:space="preserve"> in the Master of the High Court until a trustee is appointed</w:t>
      </w:r>
      <w:r w:rsidR="003C6699">
        <w:rPr>
          <w:rFonts w:asciiTheme="minorHAnsi" w:hAnsiTheme="minorHAnsi" w:cstheme="minorHAnsi"/>
          <w:sz w:val="26"/>
          <w:szCs w:val="26"/>
        </w:rPr>
        <w:t xml:space="preserve">, </w:t>
      </w:r>
      <w:r w:rsidR="00A77F70">
        <w:rPr>
          <w:rFonts w:asciiTheme="minorHAnsi" w:hAnsiTheme="minorHAnsi" w:cstheme="minorHAnsi"/>
          <w:sz w:val="26"/>
          <w:szCs w:val="26"/>
        </w:rPr>
        <w:t xml:space="preserve">and upon appointment, </w:t>
      </w:r>
      <w:r>
        <w:rPr>
          <w:rFonts w:asciiTheme="minorHAnsi" w:hAnsiTheme="minorHAnsi" w:cstheme="minorHAnsi"/>
          <w:sz w:val="26"/>
          <w:szCs w:val="26"/>
        </w:rPr>
        <w:t>in the trustee.</w:t>
      </w:r>
    </w:p>
    <w:p w:rsidR="00FF4664" w:rsidRPr="00FF4664" w:rsidRDefault="00FF4664" w:rsidP="003C6699">
      <w:pPr>
        <w:pStyle w:val="ListParagraph"/>
        <w:rPr>
          <w:rFonts w:asciiTheme="minorHAnsi" w:hAnsiTheme="minorHAnsi" w:cstheme="minorHAnsi"/>
          <w:sz w:val="26"/>
          <w:szCs w:val="26"/>
        </w:rPr>
      </w:pPr>
    </w:p>
    <w:p w:rsidR="00FF4664" w:rsidRPr="00FF4664" w:rsidRDefault="003C6699"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Section 21 of the Act creates an additional effect of </w:t>
      </w:r>
      <w:r w:rsidR="006A6E85">
        <w:rPr>
          <w:rFonts w:asciiTheme="minorHAnsi" w:hAnsiTheme="minorHAnsi" w:cstheme="minorHAnsi"/>
          <w:sz w:val="26"/>
          <w:szCs w:val="26"/>
        </w:rPr>
        <w:t xml:space="preserve">such </w:t>
      </w:r>
      <w:r>
        <w:rPr>
          <w:rFonts w:asciiTheme="minorHAnsi" w:hAnsiTheme="minorHAnsi" w:cstheme="minorHAnsi"/>
          <w:sz w:val="26"/>
          <w:szCs w:val="26"/>
        </w:rPr>
        <w:t>sequestration</w:t>
      </w:r>
      <w:r w:rsidR="00AB6ECE">
        <w:rPr>
          <w:rFonts w:asciiTheme="minorHAnsi" w:hAnsiTheme="minorHAnsi" w:cstheme="minorHAnsi"/>
          <w:sz w:val="26"/>
          <w:szCs w:val="26"/>
        </w:rPr>
        <w:t xml:space="preserve"> </w:t>
      </w:r>
      <w:r>
        <w:rPr>
          <w:rFonts w:asciiTheme="minorHAnsi" w:hAnsiTheme="minorHAnsi" w:cstheme="minorHAnsi"/>
          <w:sz w:val="26"/>
          <w:szCs w:val="26"/>
        </w:rPr>
        <w:t>upon the estate of the solvent spouse who is not living apart from the insolvent</w:t>
      </w:r>
      <w:r w:rsidR="0031763D">
        <w:rPr>
          <w:rFonts w:asciiTheme="minorHAnsi" w:hAnsiTheme="minorHAnsi" w:cstheme="minorHAnsi"/>
          <w:sz w:val="26"/>
          <w:szCs w:val="26"/>
        </w:rPr>
        <w:t>,</w:t>
      </w:r>
      <w:r>
        <w:rPr>
          <w:rFonts w:asciiTheme="minorHAnsi" w:hAnsiTheme="minorHAnsi" w:cstheme="minorHAnsi"/>
          <w:sz w:val="26"/>
          <w:szCs w:val="26"/>
        </w:rPr>
        <w:t xml:space="preserve"> by providing that all the property (or proceeds thereof) belonging to the solvent spouse </w:t>
      </w:r>
      <w:r w:rsidR="0031763D">
        <w:rPr>
          <w:rFonts w:asciiTheme="minorHAnsi" w:hAnsiTheme="minorHAnsi" w:cstheme="minorHAnsi"/>
          <w:sz w:val="26"/>
          <w:szCs w:val="26"/>
        </w:rPr>
        <w:t xml:space="preserve">will </w:t>
      </w:r>
      <w:r>
        <w:rPr>
          <w:rFonts w:asciiTheme="minorHAnsi" w:hAnsiTheme="minorHAnsi" w:cstheme="minorHAnsi"/>
          <w:sz w:val="26"/>
          <w:szCs w:val="26"/>
        </w:rPr>
        <w:t xml:space="preserve">vest in the </w:t>
      </w:r>
      <w:r w:rsidR="001F1512">
        <w:rPr>
          <w:rFonts w:asciiTheme="minorHAnsi" w:hAnsiTheme="minorHAnsi" w:cstheme="minorHAnsi"/>
          <w:sz w:val="26"/>
          <w:szCs w:val="26"/>
        </w:rPr>
        <w:t xml:space="preserve">Master or </w:t>
      </w:r>
      <w:r>
        <w:rPr>
          <w:rFonts w:asciiTheme="minorHAnsi" w:hAnsiTheme="minorHAnsi" w:cstheme="minorHAnsi"/>
          <w:sz w:val="26"/>
          <w:szCs w:val="26"/>
        </w:rPr>
        <w:t>trustee in the same way as the estate of the insolvent spouse. S</w:t>
      </w:r>
      <w:r w:rsidR="0031763D">
        <w:rPr>
          <w:rFonts w:asciiTheme="minorHAnsi" w:hAnsiTheme="minorHAnsi" w:cstheme="minorHAnsi"/>
          <w:sz w:val="26"/>
          <w:szCs w:val="26"/>
        </w:rPr>
        <w:t>ection</w:t>
      </w:r>
      <w:r>
        <w:rPr>
          <w:rFonts w:asciiTheme="minorHAnsi" w:hAnsiTheme="minorHAnsi" w:cstheme="minorHAnsi"/>
          <w:sz w:val="26"/>
          <w:szCs w:val="26"/>
        </w:rPr>
        <w:t xml:space="preserve"> 21(1) states:</w:t>
      </w:r>
    </w:p>
    <w:p w:rsidR="00AB6ECE" w:rsidRDefault="00AB6ECE" w:rsidP="003C6699">
      <w:pPr>
        <w:pStyle w:val="ListParagraph"/>
        <w:spacing w:after="200" w:line="360" w:lineRule="auto"/>
        <w:ind w:left="851"/>
        <w:jc w:val="both"/>
        <w:rPr>
          <w:rFonts w:asciiTheme="minorHAnsi" w:hAnsiTheme="minorHAnsi" w:cstheme="minorHAnsi"/>
          <w:sz w:val="22"/>
          <w:szCs w:val="22"/>
        </w:rPr>
      </w:pPr>
    </w:p>
    <w:p w:rsidR="00FF4664" w:rsidRPr="003C6699" w:rsidRDefault="00AB6ECE" w:rsidP="003C6699">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w:t>
      </w:r>
      <w:r w:rsidR="003C6699" w:rsidRPr="003C6699">
        <w:rPr>
          <w:rFonts w:asciiTheme="minorHAnsi" w:hAnsiTheme="minorHAnsi" w:cstheme="minorHAnsi"/>
          <w:sz w:val="22"/>
          <w:szCs w:val="22"/>
        </w:rPr>
        <w:t xml:space="preserve">The additional effect of the sequestration of the </w:t>
      </w:r>
      <w:r w:rsidR="003C6699" w:rsidRPr="003C6699">
        <w:rPr>
          <w:rFonts w:asciiTheme="minorHAnsi" w:hAnsiTheme="minorHAnsi" w:cstheme="minorHAnsi"/>
          <w:sz w:val="22"/>
          <w:szCs w:val="22"/>
          <w:u w:val="single"/>
        </w:rPr>
        <w:t>separate estate</w:t>
      </w:r>
      <w:r w:rsidR="003C6699" w:rsidRPr="003C6699">
        <w:rPr>
          <w:rFonts w:asciiTheme="minorHAnsi" w:hAnsiTheme="minorHAnsi" w:cstheme="minorHAnsi"/>
          <w:sz w:val="22"/>
          <w:szCs w:val="22"/>
        </w:rPr>
        <w:t xml:space="preserve"> of one of two spouses </w:t>
      </w:r>
      <w:r w:rsidR="003C6699" w:rsidRPr="003C6699">
        <w:rPr>
          <w:rFonts w:asciiTheme="minorHAnsi" w:hAnsiTheme="minorHAnsi" w:cstheme="minorHAnsi"/>
          <w:sz w:val="22"/>
          <w:szCs w:val="22"/>
          <w:u w:val="single"/>
        </w:rPr>
        <w:t>who are not living apart</w:t>
      </w:r>
      <w:r w:rsidR="003C6699" w:rsidRPr="003C6699">
        <w:rPr>
          <w:rFonts w:asciiTheme="minorHAnsi" w:hAnsiTheme="minorHAnsi" w:cstheme="minorHAnsi"/>
          <w:sz w:val="22"/>
          <w:szCs w:val="22"/>
        </w:rPr>
        <w:t xml:space="preserve"> under a judicial order of separation </w:t>
      </w:r>
      <w:r w:rsidR="003C6699" w:rsidRPr="00AB6ECE">
        <w:rPr>
          <w:rFonts w:asciiTheme="minorHAnsi" w:hAnsiTheme="minorHAnsi" w:cstheme="minorHAnsi"/>
          <w:sz w:val="22"/>
          <w:szCs w:val="22"/>
          <w:u w:val="single"/>
        </w:rPr>
        <w:t xml:space="preserve">shall </w:t>
      </w:r>
      <w:r w:rsidR="003C6699" w:rsidRPr="00AB6ECE">
        <w:rPr>
          <w:rFonts w:asciiTheme="minorHAnsi" w:hAnsiTheme="minorHAnsi" w:cstheme="minorHAnsi"/>
          <w:sz w:val="22"/>
          <w:szCs w:val="22"/>
        </w:rPr>
        <w:t xml:space="preserve">be to vest </w:t>
      </w:r>
      <w:r w:rsidR="003C6699" w:rsidRPr="003C6699">
        <w:rPr>
          <w:rFonts w:asciiTheme="minorHAnsi" w:hAnsiTheme="minorHAnsi" w:cstheme="minorHAnsi"/>
          <w:sz w:val="22"/>
          <w:szCs w:val="22"/>
        </w:rPr>
        <w:t>in the Master, until a trustee has been appointed, and</w:t>
      </w:r>
      <w:r w:rsidR="003C6699" w:rsidRPr="00AB6ECE">
        <w:rPr>
          <w:rFonts w:asciiTheme="minorHAnsi" w:hAnsiTheme="minorHAnsi" w:cstheme="minorHAnsi"/>
          <w:sz w:val="22"/>
          <w:szCs w:val="22"/>
          <w:u w:val="single"/>
        </w:rPr>
        <w:t>, upon the appointment of a trustee</w:t>
      </w:r>
      <w:r w:rsidR="003C6699" w:rsidRPr="003C6699">
        <w:rPr>
          <w:rFonts w:asciiTheme="minorHAnsi" w:hAnsiTheme="minorHAnsi" w:cstheme="minorHAnsi"/>
          <w:sz w:val="22"/>
          <w:szCs w:val="22"/>
        </w:rPr>
        <w:t xml:space="preserve">, to </w:t>
      </w:r>
      <w:r w:rsidR="003C6699" w:rsidRPr="00AB6ECE">
        <w:rPr>
          <w:rFonts w:asciiTheme="minorHAnsi" w:hAnsiTheme="minorHAnsi" w:cstheme="minorHAnsi"/>
          <w:sz w:val="22"/>
          <w:szCs w:val="22"/>
          <w:u w:val="single"/>
        </w:rPr>
        <w:t>vest in him</w:t>
      </w:r>
      <w:r w:rsidR="003C6699" w:rsidRPr="003C6699">
        <w:rPr>
          <w:rFonts w:asciiTheme="minorHAnsi" w:hAnsiTheme="minorHAnsi" w:cstheme="minorHAnsi"/>
          <w:sz w:val="22"/>
          <w:szCs w:val="22"/>
        </w:rPr>
        <w:t xml:space="preserve"> </w:t>
      </w:r>
      <w:r w:rsidR="003C6699" w:rsidRPr="003C6699">
        <w:rPr>
          <w:rFonts w:asciiTheme="minorHAnsi" w:hAnsiTheme="minorHAnsi" w:cstheme="minorHAnsi"/>
          <w:sz w:val="22"/>
          <w:szCs w:val="22"/>
          <w:u w:val="single"/>
        </w:rPr>
        <w:t xml:space="preserve">all the property (including property </w:t>
      </w:r>
      <w:r w:rsidR="003C6699" w:rsidRPr="00502135">
        <w:rPr>
          <w:rFonts w:asciiTheme="minorHAnsi" w:hAnsiTheme="minorHAnsi" w:cstheme="minorHAnsi"/>
          <w:bCs/>
          <w:sz w:val="22"/>
          <w:szCs w:val="22"/>
          <w:u w:val="single"/>
        </w:rPr>
        <w:t>or the proceeds</w:t>
      </w:r>
      <w:r w:rsidR="003C6699" w:rsidRPr="003C6699">
        <w:rPr>
          <w:rFonts w:asciiTheme="minorHAnsi" w:hAnsiTheme="minorHAnsi" w:cstheme="minorHAnsi"/>
          <w:sz w:val="22"/>
          <w:szCs w:val="22"/>
          <w:u w:val="single"/>
        </w:rPr>
        <w:t xml:space="preserve"> thereof</w:t>
      </w:r>
      <w:r w:rsidR="003C6699" w:rsidRPr="003C6699">
        <w:rPr>
          <w:rFonts w:asciiTheme="minorHAnsi" w:hAnsiTheme="minorHAnsi" w:cstheme="minorHAnsi"/>
          <w:sz w:val="22"/>
          <w:szCs w:val="22"/>
        </w:rPr>
        <w:t xml:space="preserve"> which are in the hands of a sheriff or a messenger under a writ of attachment) of the spouse whose estate has not been sequestrated (hereinafter referred to as the solvent spouse) </w:t>
      </w:r>
      <w:r w:rsidR="003C6699" w:rsidRPr="003C6699">
        <w:rPr>
          <w:rFonts w:asciiTheme="minorHAnsi" w:hAnsiTheme="minorHAnsi" w:cstheme="minorHAnsi"/>
          <w:sz w:val="22"/>
          <w:szCs w:val="22"/>
          <w:u w:val="single"/>
        </w:rPr>
        <w:t>as if it were property of the sequestrated estate,</w:t>
      </w:r>
      <w:r w:rsidR="003C6699" w:rsidRPr="003C6699">
        <w:rPr>
          <w:rFonts w:asciiTheme="minorHAnsi" w:hAnsiTheme="minorHAnsi" w:cstheme="minorHAnsi"/>
          <w:sz w:val="22"/>
          <w:szCs w:val="22"/>
        </w:rPr>
        <w:t xml:space="preserve"> and </w:t>
      </w:r>
      <w:r w:rsidR="003C6699" w:rsidRPr="003C6699">
        <w:rPr>
          <w:rFonts w:asciiTheme="minorHAnsi" w:hAnsiTheme="minorHAnsi" w:cstheme="minorHAnsi"/>
          <w:sz w:val="22"/>
          <w:szCs w:val="22"/>
          <w:u w:val="single"/>
        </w:rPr>
        <w:t>to empower the Master or trustee</w:t>
      </w:r>
      <w:r w:rsidR="003C6699" w:rsidRPr="003C6699">
        <w:rPr>
          <w:rFonts w:asciiTheme="minorHAnsi" w:hAnsiTheme="minorHAnsi" w:cstheme="minorHAnsi"/>
          <w:sz w:val="22"/>
          <w:szCs w:val="22"/>
        </w:rPr>
        <w:t xml:space="preserve"> to deal with such property accordingly, but subject to the following provisions of this section.</w:t>
      </w:r>
      <w:r>
        <w:rPr>
          <w:rFonts w:asciiTheme="minorHAnsi" w:hAnsiTheme="minorHAnsi" w:cstheme="minorHAnsi"/>
          <w:sz w:val="22"/>
          <w:szCs w:val="22"/>
        </w:rPr>
        <w:t xml:space="preserve">” </w:t>
      </w:r>
      <w:r w:rsidRPr="00DB6137">
        <w:rPr>
          <w:rFonts w:asciiTheme="minorHAnsi" w:hAnsiTheme="minorHAnsi" w:cstheme="minorHAnsi"/>
          <w:sz w:val="26"/>
          <w:szCs w:val="26"/>
        </w:rPr>
        <w:t>(emphasis added)</w:t>
      </w:r>
      <w:r>
        <w:rPr>
          <w:rFonts w:asciiTheme="minorHAnsi" w:hAnsiTheme="minorHAnsi" w:cstheme="minorHAnsi"/>
          <w:sz w:val="22"/>
          <w:szCs w:val="22"/>
        </w:rPr>
        <w:t>.</w:t>
      </w:r>
    </w:p>
    <w:p w:rsidR="003C6699" w:rsidRPr="00FF4664" w:rsidRDefault="003C6699" w:rsidP="003C6699">
      <w:pPr>
        <w:pStyle w:val="ListParagraph"/>
        <w:rPr>
          <w:rFonts w:asciiTheme="minorHAnsi" w:hAnsiTheme="minorHAnsi" w:cstheme="minorHAnsi"/>
          <w:sz w:val="26"/>
          <w:szCs w:val="26"/>
        </w:rPr>
      </w:pPr>
    </w:p>
    <w:p w:rsidR="005935A1" w:rsidRPr="005935A1" w:rsidRDefault="002B0FAC"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w:t>
      </w:r>
      <w:r w:rsidR="00CB7A9D">
        <w:rPr>
          <w:rFonts w:asciiTheme="minorHAnsi" w:hAnsiTheme="minorHAnsi" w:cstheme="minorHAnsi"/>
          <w:sz w:val="26"/>
          <w:szCs w:val="26"/>
        </w:rPr>
        <w:t>ection 21</w:t>
      </w:r>
      <w:r>
        <w:rPr>
          <w:rFonts w:asciiTheme="minorHAnsi" w:hAnsiTheme="minorHAnsi" w:cstheme="minorHAnsi"/>
          <w:sz w:val="26"/>
          <w:szCs w:val="26"/>
        </w:rPr>
        <w:t xml:space="preserve">(2) </w:t>
      </w:r>
      <w:r w:rsidR="00CB7A9D">
        <w:rPr>
          <w:rFonts w:asciiTheme="minorHAnsi" w:hAnsiTheme="minorHAnsi" w:cstheme="minorHAnsi"/>
          <w:sz w:val="26"/>
          <w:szCs w:val="26"/>
        </w:rPr>
        <w:t xml:space="preserve">of the Act </w:t>
      </w:r>
      <w:r w:rsidR="00CB7A9D" w:rsidRPr="00CB7A9D">
        <w:rPr>
          <w:rFonts w:asciiTheme="minorHAnsi" w:hAnsiTheme="minorHAnsi" w:cstheme="minorHAnsi"/>
          <w:sz w:val="26"/>
          <w:szCs w:val="26"/>
        </w:rPr>
        <w:t xml:space="preserve">defines various categories of property of the solvent spouse which the trustees of the insolvent spouse are obliged to release if the solvent spouse proves </w:t>
      </w:r>
      <w:r w:rsidR="00502135">
        <w:rPr>
          <w:rFonts w:asciiTheme="minorHAnsi" w:hAnsiTheme="minorHAnsi" w:cstheme="minorHAnsi"/>
          <w:sz w:val="26"/>
          <w:szCs w:val="26"/>
        </w:rPr>
        <w:t>his or her</w:t>
      </w:r>
      <w:r w:rsidR="00CB7A9D" w:rsidRPr="00CB7A9D">
        <w:rPr>
          <w:rFonts w:asciiTheme="minorHAnsi" w:hAnsiTheme="minorHAnsi" w:cstheme="minorHAnsi"/>
          <w:sz w:val="26"/>
          <w:szCs w:val="26"/>
        </w:rPr>
        <w:t xml:space="preserve"> entitlement </w:t>
      </w:r>
      <w:r w:rsidR="003A7347">
        <w:rPr>
          <w:rFonts w:asciiTheme="minorHAnsi" w:hAnsiTheme="minorHAnsi" w:cstheme="minorHAnsi"/>
          <w:sz w:val="26"/>
          <w:szCs w:val="26"/>
        </w:rPr>
        <w:t>there</w:t>
      </w:r>
      <w:r w:rsidR="00CB7A9D" w:rsidRPr="00CB7A9D">
        <w:rPr>
          <w:rFonts w:asciiTheme="minorHAnsi" w:hAnsiTheme="minorHAnsi" w:cstheme="minorHAnsi"/>
          <w:sz w:val="26"/>
          <w:szCs w:val="26"/>
        </w:rPr>
        <w:t>to</w:t>
      </w:r>
      <w:r w:rsidR="003A7347">
        <w:rPr>
          <w:rFonts w:asciiTheme="minorHAnsi" w:hAnsiTheme="minorHAnsi" w:cstheme="minorHAnsi"/>
          <w:sz w:val="26"/>
          <w:szCs w:val="26"/>
        </w:rPr>
        <w:t>.</w:t>
      </w:r>
      <w:r w:rsidR="00CB7A9D" w:rsidRPr="00CB7A9D">
        <w:rPr>
          <w:rFonts w:asciiTheme="minorHAnsi" w:hAnsiTheme="minorHAnsi" w:cstheme="minorHAnsi"/>
          <w:sz w:val="26"/>
          <w:szCs w:val="26"/>
        </w:rPr>
        <w:t xml:space="preserve"> </w:t>
      </w:r>
      <w:r w:rsidR="00CB7A9D">
        <w:rPr>
          <w:rFonts w:asciiTheme="minorHAnsi" w:hAnsiTheme="minorHAnsi" w:cstheme="minorHAnsi"/>
          <w:sz w:val="26"/>
          <w:szCs w:val="26"/>
        </w:rPr>
        <w:t>In her founding affidavit, t</w:t>
      </w:r>
      <w:r w:rsidR="00AB6ECE">
        <w:rPr>
          <w:rFonts w:asciiTheme="minorHAnsi" w:hAnsiTheme="minorHAnsi" w:cstheme="minorHAnsi"/>
          <w:sz w:val="26"/>
          <w:szCs w:val="26"/>
        </w:rPr>
        <w:t xml:space="preserve">he applicant relies on s 21(2(c) for the release of her </w:t>
      </w:r>
      <w:r w:rsidR="00502135">
        <w:rPr>
          <w:rFonts w:asciiTheme="minorHAnsi" w:hAnsiTheme="minorHAnsi" w:cstheme="minorHAnsi"/>
          <w:sz w:val="26"/>
          <w:szCs w:val="26"/>
        </w:rPr>
        <w:t xml:space="preserve">personal </w:t>
      </w:r>
      <w:r w:rsidR="00AB6ECE">
        <w:rPr>
          <w:rFonts w:asciiTheme="minorHAnsi" w:hAnsiTheme="minorHAnsi" w:cstheme="minorHAnsi"/>
          <w:sz w:val="26"/>
          <w:szCs w:val="26"/>
        </w:rPr>
        <w:t xml:space="preserve">bank account </w:t>
      </w:r>
      <w:r w:rsidR="00502135">
        <w:rPr>
          <w:rFonts w:asciiTheme="minorHAnsi" w:hAnsiTheme="minorHAnsi" w:cstheme="minorHAnsi"/>
          <w:sz w:val="26"/>
          <w:szCs w:val="26"/>
        </w:rPr>
        <w:t xml:space="preserve">(being the FNB maximiser account) </w:t>
      </w:r>
      <w:r w:rsidR="00CB7A9D">
        <w:rPr>
          <w:rFonts w:asciiTheme="minorHAnsi" w:hAnsiTheme="minorHAnsi" w:cstheme="minorHAnsi"/>
          <w:sz w:val="26"/>
          <w:szCs w:val="26"/>
        </w:rPr>
        <w:t>from attachment</w:t>
      </w:r>
      <w:r w:rsidR="00502135">
        <w:rPr>
          <w:rFonts w:asciiTheme="minorHAnsi" w:hAnsiTheme="minorHAnsi" w:cstheme="minorHAnsi"/>
          <w:sz w:val="26"/>
          <w:szCs w:val="26"/>
        </w:rPr>
        <w:t>,</w:t>
      </w:r>
      <w:r w:rsidR="00CB7A9D">
        <w:rPr>
          <w:rFonts w:asciiTheme="minorHAnsi" w:hAnsiTheme="minorHAnsi" w:cstheme="minorHAnsi"/>
          <w:sz w:val="26"/>
          <w:szCs w:val="26"/>
        </w:rPr>
        <w:t xml:space="preserve"> </w:t>
      </w:r>
      <w:r w:rsidR="00502135">
        <w:rPr>
          <w:rFonts w:asciiTheme="minorHAnsi" w:hAnsiTheme="minorHAnsi" w:cstheme="minorHAnsi"/>
          <w:sz w:val="26"/>
          <w:szCs w:val="26"/>
        </w:rPr>
        <w:t>including</w:t>
      </w:r>
      <w:r w:rsidR="00AB6ECE">
        <w:rPr>
          <w:rFonts w:asciiTheme="minorHAnsi" w:hAnsiTheme="minorHAnsi" w:cstheme="minorHAnsi"/>
          <w:sz w:val="26"/>
          <w:szCs w:val="26"/>
        </w:rPr>
        <w:t xml:space="preserve"> </w:t>
      </w:r>
      <w:r w:rsidR="0031763D">
        <w:rPr>
          <w:rFonts w:asciiTheme="minorHAnsi" w:hAnsiTheme="minorHAnsi" w:cstheme="minorHAnsi"/>
          <w:sz w:val="26"/>
          <w:szCs w:val="26"/>
        </w:rPr>
        <w:t xml:space="preserve">the </w:t>
      </w:r>
      <w:r w:rsidR="00CB7A9D">
        <w:rPr>
          <w:rFonts w:asciiTheme="minorHAnsi" w:hAnsiTheme="minorHAnsi" w:cstheme="minorHAnsi"/>
          <w:sz w:val="26"/>
          <w:szCs w:val="26"/>
        </w:rPr>
        <w:t xml:space="preserve">release of </w:t>
      </w:r>
      <w:r w:rsidR="00502135">
        <w:rPr>
          <w:rFonts w:asciiTheme="minorHAnsi" w:hAnsiTheme="minorHAnsi" w:cstheme="minorHAnsi"/>
          <w:sz w:val="26"/>
          <w:szCs w:val="26"/>
        </w:rPr>
        <w:t xml:space="preserve">the </w:t>
      </w:r>
      <w:r w:rsidR="00AB6ECE">
        <w:rPr>
          <w:rFonts w:asciiTheme="minorHAnsi" w:hAnsiTheme="minorHAnsi" w:cstheme="minorHAnsi"/>
          <w:sz w:val="26"/>
          <w:szCs w:val="26"/>
        </w:rPr>
        <w:t xml:space="preserve">funds </w:t>
      </w:r>
      <w:r w:rsidR="006A6E85">
        <w:rPr>
          <w:rFonts w:asciiTheme="minorHAnsi" w:hAnsiTheme="minorHAnsi" w:cstheme="minorHAnsi"/>
          <w:sz w:val="26"/>
          <w:szCs w:val="26"/>
        </w:rPr>
        <w:t>withdrawn</w:t>
      </w:r>
      <w:r w:rsidR="003A7347">
        <w:rPr>
          <w:rFonts w:asciiTheme="minorHAnsi" w:hAnsiTheme="minorHAnsi" w:cstheme="minorHAnsi"/>
          <w:sz w:val="26"/>
          <w:szCs w:val="26"/>
        </w:rPr>
        <w:t xml:space="preserve"> </w:t>
      </w:r>
      <w:r w:rsidR="00502135">
        <w:rPr>
          <w:rFonts w:asciiTheme="minorHAnsi" w:hAnsiTheme="minorHAnsi" w:cstheme="minorHAnsi"/>
          <w:sz w:val="26"/>
          <w:szCs w:val="26"/>
        </w:rPr>
        <w:t>therefrom</w:t>
      </w:r>
      <w:r w:rsidR="003A7347">
        <w:rPr>
          <w:rFonts w:asciiTheme="minorHAnsi" w:hAnsiTheme="minorHAnsi" w:cstheme="minorHAnsi"/>
          <w:sz w:val="26"/>
          <w:szCs w:val="26"/>
        </w:rPr>
        <w:t xml:space="preserve"> the respondent</w:t>
      </w:r>
      <w:r w:rsidR="00502135">
        <w:rPr>
          <w:rFonts w:asciiTheme="minorHAnsi" w:hAnsiTheme="minorHAnsi" w:cstheme="minorHAnsi"/>
          <w:sz w:val="26"/>
          <w:szCs w:val="26"/>
        </w:rPr>
        <w:t xml:space="preserve">s. </w:t>
      </w:r>
      <w:r w:rsidR="00CB7A9D">
        <w:rPr>
          <w:rFonts w:asciiTheme="minorHAnsi" w:hAnsiTheme="minorHAnsi" w:cstheme="minorHAnsi"/>
          <w:sz w:val="26"/>
          <w:szCs w:val="26"/>
        </w:rPr>
        <w:t xml:space="preserve">In terms of s </w:t>
      </w:r>
      <w:r w:rsidR="00931689">
        <w:rPr>
          <w:rFonts w:asciiTheme="minorHAnsi" w:hAnsiTheme="minorHAnsi" w:cstheme="minorHAnsi"/>
          <w:sz w:val="26"/>
          <w:szCs w:val="26"/>
        </w:rPr>
        <w:t>21(2)(c)</w:t>
      </w:r>
      <w:r w:rsidR="00CB7A9D">
        <w:rPr>
          <w:rFonts w:asciiTheme="minorHAnsi" w:hAnsiTheme="minorHAnsi" w:cstheme="minorHAnsi"/>
          <w:sz w:val="26"/>
          <w:szCs w:val="26"/>
        </w:rPr>
        <w:t xml:space="preserve"> of the Act:</w:t>
      </w:r>
      <w:r w:rsidR="00AB6ECE">
        <w:rPr>
          <w:rFonts w:asciiTheme="minorHAnsi" w:hAnsiTheme="minorHAnsi" w:cstheme="minorHAnsi"/>
          <w:sz w:val="26"/>
          <w:szCs w:val="26"/>
        </w:rPr>
        <w:t xml:space="preserve"> </w:t>
      </w:r>
    </w:p>
    <w:p w:rsidR="00AB6ECE" w:rsidRPr="00AB6ECE" w:rsidRDefault="00AB6ECE" w:rsidP="00AB6ECE">
      <w:pPr>
        <w:pStyle w:val="BodyTextIndent2"/>
        <w:ind w:hanging="850"/>
        <w:rPr>
          <w:rFonts w:asciiTheme="minorHAnsi" w:hAnsiTheme="minorHAnsi" w:cstheme="minorHAnsi"/>
        </w:rPr>
      </w:pPr>
      <w:r w:rsidRPr="00AB6ECE">
        <w:rPr>
          <w:rFonts w:asciiTheme="minorHAnsi" w:hAnsiTheme="minorHAnsi" w:cstheme="minorHAnsi"/>
        </w:rPr>
        <w:t xml:space="preserve">“(2) </w:t>
      </w:r>
      <w:r w:rsidRPr="00AB6ECE">
        <w:rPr>
          <w:rFonts w:asciiTheme="minorHAnsi" w:hAnsiTheme="minorHAnsi" w:cstheme="minorHAnsi"/>
        </w:rPr>
        <w:tab/>
        <w:t>The trustee shall release any property of the solvent spouse which is proved</w:t>
      </w:r>
    </w:p>
    <w:p w:rsidR="00AB6ECE" w:rsidRDefault="00AB6ECE" w:rsidP="00AB6ECE">
      <w:pPr>
        <w:pStyle w:val="BodyTextIndent2"/>
        <w:ind w:left="2157" w:hanging="456"/>
      </w:pPr>
      <w:r w:rsidRPr="00AB6ECE">
        <w:rPr>
          <w:rFonts w:asciiTheme="minorHAnsi" w:hAnsiTheme="minorHAnsi" w:cstheme="minorHAnsi"/>
        </w:rPr>
        <w:t xml:space="preserve">(c) </w:t>
      </w:r>
      <w:r w:rsidRPr="00AB6ECE">
        <w:rPr>
          <w:rFonts w:asciiTheme="minorHAnsi" w:hAnsiTheme="minorHAnsi" w:cstheme="minorHAnsi"/>
        </w:rPr>
        <w:tab/>
        <w:t>to have been acquired by that spouse during the marriage with the insolvent by a title valid as against creditors of the insolvent;”</w:t>
      </w:r>
    </w:p>
    <w:p w:rsidR="00AB6ECE" w:rsidRDefault="00AB6ECE" w:rsidP="003C6699">
      <w:pPr>
        <w:pStyle w:val="ListParagraph"/>
        <w:rPr>
          <w:rFonts w:asciiTheme="minorHAnsi" w:hAnsiTheme="minorHAnsi" w:cstheme="minorHAnsi"/>
          <w:sz w:val="26"/>
          <w:szCs w:val="26"/>
        </w:rPr>
      </w:pPr>
    </w:p>
    <w:p w:rsidR="00124820" w:rsidRDefault="00124820" w:rsidP="001248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Section 2 of the Act </w:t>
      </w:r>
      <w:r>
        <w:rPr>
          <w:rFonts w:asciiTheme="minorHAnsi" w:hAnsiTheme="minorHAnsi" w:cstheme="minorHAnsi"/>
          <w:i/>
          <w:sz w:val="26"/>
          <w:szCs w:val="26"/>
        </w:rPr>
        <w:t xml:space="preserve">inter alia </w:t>
      </w:r>
      <w:r>
        <w:rPr>
          <w:rFonts w:asciiTheme="minorHAnsi" w:hAnsiTheme="minorHAnsi" w:cstheme="minorHAnsi"/>
          <w:sz w:val="26"/>
          <w:szCs w:val="26"/>
        </w:rPr>
        <w:t xml:space="preserve">defines </w:t>
      </w:r>
      <w:r>
        <w:rPr>
          <w:rFonts w:asciiTheme="minorHAnsi" w:hAnsiTheme="minorHAnsi" w:cstheme="minorHAnsi"/>
          <w:i/>
          <w:sz w:val="26"/>
          <w:szCs w:val="26"/>
        </w:rPr>
        <w:t>property</w:t>
      </w:r>
      <w:r>
        <w:rPr>
          <w:rFonts w:asciiTheme="minorHAnsi" w:hAnsiTheme="minorHAnsi" w:cstheme="minorHAnsi"/>
          <w:sz w:val="26"/>
          <w:szCs w:val="26"/>
        </w:rPr>
        <w:t xml:space="preserve"> as ‘movable or immovable property, wherever situated within the Republic’ of South Africa. </w:t>
      </w:r>
      <w:r>
        <w:rPr>
          <w:rFonts w:asciiTheme="minorHAnsi" w:hAnsiTheme="minorHAnsi" w:cstheme="minorHAnsi"/>
          <w:i/>
          <w:iCs/>
          <w:sz w:val="26"/>
          <w:szCs w:val="26"/>
        </w:rPr>
        <w:t>Movable Property</w:t>
      </w:r>
      <w:r w:rsidRPr="00717594">
        <w:rPr>
          <w:rFonts w:asciiTheme="minorHAnsi" w:hAnsiTheme="minorHAnsi" w:cstheme="minorHAnsi"/>
          <w:sz w:val="26"/>
          <w:szCs w:val="26"/>
        </w:rPr>
        <w:t xml:space="preserve"> includes money in the sense of cash, as well as the right of action which one has against one’s banker to claim payment of the amount standing to the credit of one’s account</w:t>
      </w:r>
      <w:r>
        <w:rPr>
          <w:rStyle w:val="FootnoteReference"/>
          <w:rFonts w:asciiTheme="minorHAnsi" w:hAnsiTheme="minorHAnsi" w:cstheme="minorHAnsi"/>
          <w:sz w:val="26"/>
          <w:szCs w:val="26"/>
        </w:rPr>
        <w:footnoteReference w:id="3"/>
      </w:r>
    </w:p>
    <w:p w:rsidR="00124820" w:rsidRDefault="00124820" w:rsidP="003C6699">
      <w:pPr>
        <w:pStyle w:val="ListParagraph"/>
        <w:rPr>
          <w:rFonts w:asciiTheme="minorHAnsi" w:hAnsiTheme="minorHAnsi" w:cstheme="minorHAnsi"/>
          <w:sz w:val="26"/>
          <w:szCs w:val="26"/>
        </w:rPr>
      </w:pPr>
    </w:p>
    <w:p w:rsidR="001C28E8" w:rsidRDefault="001C28E8" w:rsidP="0071759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w:t>
      </w:r>
      <w:r w:rsidRPr="00B67288">
        <w:rPr>
          <w:rFonts w:asciiTheme="minorHAnsi" w:hAnsiTheme="minorHAnsi" w:cstheme="minorHAnsi"/>
          <w:i/>
          <w:sz w:val="26"/>
          <w:szCs w:val="26"/>
        </w:rPr>
        <w:t>Davies</w:t>
      </w:r>
      <w:r>
        <w:rPr>
          <w:rFonts w:asciiTheme="minorHAnsi" w:hAnsiTheme="minorHAnsi" w:cstheme="minorHAnsi"/>
          <w:sz w:val="26"/>
          <w:szCs w:val="26"/>
        </w:rPr>
        <w:t>,</w:t>
      </w:r>
      <w:r>
        <w:rPr>
          <w:rStyle w:val="FootnoteReference"/>
          <w:rFonts w:asciiTheme="minorHAnsi" w:hAnsiTheme="minorHAnsi" w:cstheme="minorHAnsi"/>
          <w:sz w:val="26"/>
          <w:szCs w:val="26"/>
        </w:rPr>
        <w:footnoteReference w:id="4"/>
      </w:r>
      <w:r>
        <w:rPr>
          <w:rFonts w:asciiTheme="minorHAnsi" w:hAnsiTheme="minorHAnsi" w:cstheme="minorHAnsi"/>
          <w:sz w:val="26"/>
          <w:szCs w:val="26"/>
        </w:rPr>
        <w:t xml:space="preserve"> </w:t>
      </w:r>
      <w:r w:rsidR="00124820" w:rsidRPr="00124820">
        <w:rPr>
          <w:rFonts w:asciiTheme="minorHAnsi" w:hAnsiTheme="minorHAnsi" w:cstheme="minorHAnsi"/>
          <w:color w:val="242121"/>
          <w:sz w:val="26"/>
          <w:szCs w:val="26"/>
          <w:shd w:val="clear" w:color="auto" w:fill="FFFFFF"/>
        </w:rPr>
        <w:t>Molahlehi J</w:t>
      </w:r>
      <w:r w:rsidR="00124820">
        <w:rPr>
          <w:rFonts w:asciiTheme="minorHAnsi" w:hAnsiTheme="minorHAnsi" w:cstheme="minorHAnsi"/>
          <w:sz w:val="26"/>
          <w:szCs w:val="26"/>
        </w:rPr>
        <w:t xml:space="preserve"> </w:t>
      </w:r>
      <w:r w:rsidR="00B67288">
        <w:rPr>
          <w:rFonts w:asciiTheme="minorHAnsi" w:hAnsiTheme="minorHAnsi" w:cstheme="minorHAnsi"/>
          <w:sz w:val="26"/>
          <w:szCs w:val="26"/>
        </w:rPr>
        <w:t>summarised</w:t>
      </w:r>
      <w:r>
        <w:rPr>
          <w:rFonts w:asciiTheme="minorHAnsi" w:hAnsiTheme="minorHAnsi" w:cstheme="minorHAnsi"/>
          <w:sz w:val="26"/>
          <w:szCs w:val="26"/>
        </w:rPr>
        <w:t xml:space="preserve"> the nature of the onus upon a solvent spouse to prove his</w:t>
      </w:r>
      <w:r w:rsidR="00A77F70">
        <w:rPr>
          <w:rFonts w:asciiTheme="minorHAnsi" w:hAnsiTheme="minorHAnsi" w:cstheme="minorHAnsi"/>
          <w:sz w:val="26"/>
          <w:szCs w:val="26"/>
        </w:rPr>
        <w:t>/</w:t>
      </w:r>
      <w:r>
        <w:rPr>
          <w:rFonts w:asciiTheme="minorHAnsi" w:hAnsiTheme="minorHAnsi" w:cstheme="minorHAnsi"/>
          <w:sz w:val="26"/>
          <w:szCs w:val="26"/>
        </w:rPr>
        <w:t>her entitlement to the release of his/her property</w:t>
      </w:r>
      <w:r w:rsidR="00B67288">
        <w:rPr>
          <w:rFonts w:asciiTheme="minorHAnsi" w:hAnsiTheme="minorHAnsi" w:cstheme="minorHAnsi"/>
          <w:sz w:val="26"/>
          <w:szCs w:val="26"/>
        </w:rPr>
        <w:t>,</w:t>
      </w:r>
      <w:r>
        <w:rPr>
          <w:rFonts w:asciiTheme="minorHAnsi" w:hAnsiTheme="minorHAnsi" w:cstheme="minorHAnsi"/>
          <w:sz w:val="26"/>
          <w:szCs w:val="26"/>
        </w:rPr>
        <w:t xml:space="preserve"> as follows:</w:t>
      </w:r>
    </w:p>
    <w:p w:rsidR="001C28E8" w:rsidRDefault="001C28E8" w:rsidP="001C28E8">
      <w:pPr>
        <w:pStyle w:val="ListParagraph"/>
        <w:spacing w:after="200" w:line="360" w:lineRule="auto"/>
        <w:ind w:left="993" w:hanging="142"/>
        <w:jc w:val="both"/>
        <w:rPr>
          <w:rFonts w:asciiTheme="minorHAnsi" w:hAnsiTheme="minorHAnsi" w:cstheme="minorHAnsi"/>
          <w:color w:val="242121"/>
          <w:sz w:val="22"/>
          <w:szCs w:val="22"/>
        </w:rPr>
      </w:pPr>
      <w:r w:rsidRPr="001C28E8">
        <w:rPr>
          <w:rFonts w:asciiTheme="minorHAnsi" w:hAnsiTheme="minorHAnsi" w:cstheme="minorHAnsi"/>
          <w:sz w:val="22"/>
          <w:szCs w:val="22"/>
        </w:rPr>
        <w:t>“</w:t>
      </w:r>
      <w:r>
        <w:rPr>
          <w:rFonts w:asciiTheme="minorHAnsi" w:hAnsiTheme="minorHAnsi" w:cstheme="minorHAnsi"/>
          <w:sz w:val="22"/>
          <w:szCs w:val="22"/>
        </w:rPr>
        <w:t xml:space="preserve"> [21] </w:t>
      </w:r>
      <w:r w:rsidRPr="001C28E8">
        <w:rPr>
          <w:rFonts w:asciiTheme="minorHAnsi" w:hAnsiTheme="minorHAnsi" w:cstheme="minorHAnsi"/>
          <w:color w:val="242121"/>
          <w:sz w:val="22"/>
          <w:szCs w:val="22"/>
        </w:rPr>
        <w:t>The onus in proceedings of this nature, as stated in</w:t>
      </w:r>
      <w:r w:rsidR="00124820">
        <w:rPr>
          <w:rFonts w:asciiTheme="minorHAnsi" w:hAnsiTheme="minorHAnsi" w:cstheme="minorHAnsi"/>
          <w:color w:val="242121"/>
          <w:sz w:val="22"/>
          <w:szCs w:val="22"/>
        </w:rPr>
        <w:t xml:space="preserve"> </w:t>
      </w:r>
      <w:r w:rsidRPr="001C28E8">
        <w:rPr>
          <w:rFonts w:asciiTheme="minorHAnsi" w:hAnsiTheme="minorHAnsi" w:cstheme="minorHAnsi"/>
          <w:i/>
          <w:iCs/>
          <w:color w:val="242121"/>
          <w:sz w:val="22"/>
          <w:szCs w:val="22"/>
        </w:rPr>
        <w:t>Beddy No v Van der Westhuizen,</w:t>
      </w:r>
      <w:r w:rsidR="00124820">
        <w:rPr>
          <w:rFonts w:asciiTheme="minorHAnsi" w:hAnsiTheme="minorHAnsi" w:cstheme="minorHAnsi"/>
          <w:i/>
          <w:iCs/>
          <w:color w:val="242121"/>
          <w:sz w:val="22"/>
          <w:szCs w:val="22"/>
        </w:rPr>
        <w:t xml:space="preserve"> </w:t>
      </w:r>
      <w:r w:rsidRPr="001C28E8">
        <w:rPr>
          <w:rFonts w:asciiTheme="minorHAnsi" w:hAnsiTheme="minorHAnsi" w:cstheme="minorHAnsi"/>
          <w:color w:val="242121"/>
          <w:sz w:val="22"/>
          <w:szCs w:val="22"/>
        </w:rPr>
        <w:t xml:space="preserve">is for the solvent spouse to show that the true transaction that resulted in the acquisition of the property in question was valid and conferred a valid title on him or her. In other words, </w:t>
      </w:r>
      <w:r w:rsidRPr="00A77F70">
        <w:rPr>
          <w:rFonts w:asciiTheme="minorHAnsi" w:hAnsiTheme="minorHAnsi" w:cstheme="minorHAnsi"/>
          <w:color w:val="242121"/>
          <w:sz w:val="22"/>
          <w:szCs w:val="22"/>
          <w:u w:val="single"/>
        </w:rPr>
        <w:t>the solvent spouse in seeking to have an estate released from the insolvency proceedings has to demonstrate the true validity of her title and its validity against creditors of the insolvent</w:t>
      </w:r>
      <w:r w:rsidRPr="001C28E8">
        <w:rPr>
          <w:rFonts w:asciiTheme="minorHAnsi" w:hAnsiTheme="minorHAnsi" w:cstheme="minorHAnsi"/>
          <w:color w:val="242121"/>
          <w:sz w:val="22"/>
          <w:szCs w:val="22"/>
        </w:rPr>
        <w:t>. Put in another way the solvent spouse has to show that the transaction(s) under which she acquired the property was not simulated, or designed to defeat the rights of creditors</w:t>
      </w:r>
      <w:r>
        <w:rPr>
          <w:rFonts w:asciiTheme="minorHAnsi" w:hAnsiTheme="minorHAnsi" w:cstheme="minorHAnsi"/>
          <w:color w:val="242121"/>
          <w:sz w:val="22"/>
          <w:szCs w:val="22"/>
        </w:rPr>
        <w:t>.</w:t>
      </w:r>
    </w:p>
    <w:p w:rsidR="001C28E8" w:rsidRPr="001C28E8" w:rsidRDefault="001C28E8" w:rsidP="00124820">
      <w:pPr>
        <w:pStyle w:val="ListParagraph"/>
        <w:spacing w:after="200" w:line="360" w:lineRule="auto"/>
        <w:ind w:left="993"/>
        <w:jc w:val="both"/>
        <w:rPr>
          <w:rFonts w:asciiTheme="minorHAnsi" w:hAnsiTheme="minorHAnsi" w:cstheme="minorHAnsi"/>
          <w:sz w:val="26"/>
          <w:szCs w:val="26"/>
        </w:rPr>
      </w:pPr>
      <w:r>
        <w:rPr>
          <w:rFonts w:asciiTheme="minorHAnsi" w:hAnsiTheme="minorHAnsi" w:cstheme="minorHAnsi"/>
          <w:color w:val="242121"/>
          <w:sz w:val="22"/>
          <w:szCs w:val="22"/>
        </w:rPr>
        <w:t xml:space="preserve">[22] </w:t>
      </w:r>
      <w:r w:rsidRPr="00124820">
        <w:rPr>
          <w:rFonts w:asciiTheme="minorHAnsi" w:hAnsiTheme="minorHAnsi" w:cstheme="minorHAnsi"/>
          <w:color w:val="242121"/>
          <w:sz w:val="22"/>
          <w:szCs w:val="22"/>
          <w:u w:val="single"/>
          <w:shd w:val="clear" w:color="auto" w:fill="FFFFFF"/>
        </w:rPr>
        <w:t>Once the solvent spouse has discharged the onus of showing that the property in question was not acquired by improper methods intended to prejudice the creditors, the trustee is obliged to release such property from the insolvency proceedings</w:t>
      </w:r>
      <w:r w:rsidRPr="00124820">
        <w:rPr>
          <w:rFonts w:asciiTheme="minorHAnsi" w:hAnsiTheme="minorHAnsi" w:cstheme="minorHAnsi"/>
          <w:color w:val="242121"/>
          <w:sz w:val="22"/>
          <w:szCs w:val="22"/>
          <w:shd w:val="clear" w:color="auto" w:fill="FFFFFF"/>
        </w:rPr>
        <w:t>. The property would, in other words, have been acquired by the solvent spouse through her or his resources during the marriage and such acquisition would have vested on his/her a valid title against the creditors of the insolvent spouses</w:t>
      </w:r>
      <w:r>
        <w:rPr>
          <w:rFonts w:ascii="Arial" w:hAnsi="Arial" w:cs="Arial"/>
          <w:color w:val="242121"/>
          <w:shd w:val="clear" w:color="auto" w:fill="FFFFFF"/>
        </w:rPr>
        <w:t>.</w:t>
      </w:r>
      <w:bookmarkStart w:id="4" w:name="_ftnref5"/>
      <w:r w:rsidR="00124820">
        <w:rPr>
          <w:rFonts w:ascii="Arial" w:hAnsi="Arial" w:cs="Arial"/>
          <w:color w:val="242121"/>
          <w:shd w:val="clear" w:color="auto" w:fill="FFFFFF"/>
        </w:rPr>
        <w:t xml:space="preserve">” </w:t>
      </w:r>
      <w:bookmarkEnd w:id="4"/>
      <w:r w:rsidRPr="001C28E8">
        <w:rPr>
          <w:rFonts w:asciiTheme="minorHAnsi" w:hAnsiTheme="minorHAnsi" w:cstheme="minorHAnsi"/>
          <w:color w:val="242121"/>
          <w:sz w:val="26"/>
          <w:szCs w:val="26"/>
        </w:rPr>
        <w:t>(footnotes omitted)</w:t>
      </w:r>
      <w:r w:rsidR="00124820">
        <w:rPr>
          <w:rFonts w:asciiTheme="minorHAnsi" w:hAnsiTheme="minorHAnsi" w:cstheme="minorHAnsi"/>
          <w:color w:val="242121"/>
          <w:sz w:val="26"/>
          <w:szCs w:val="26"/>
        </w:rPr>
        <w:t xml:space="preserve"> (emphasis added)</w:t>
      </w:r>
    </w:p>
    <w:p w:rsidR="00124820" w:rsidRDefault="00124820" w:rsidP="00124820">
      <w:pPr>
        <w:pStyle w:val="ListParagraph"/>
        <w:rPr>
          <w:rFonts w:asciiTheme="minorHAnsi" w:hAnsiTheme="minorHAnsi" w:cstheme="minorHAnsi"/>
          <w:sz w:val="26"/>
          <w:szCs w:val="26"/>
        </w:rPr>
      </w:pPr>
    </w:p>
    <w:p w:rsidR="00A40E2A" w:rsidRPr="00A40E2A" w:rsidRDefault="00DB6137" w:rsidP="00A40E2A">
      <w:pPr>
        <w:pStyle w:val="1"/>
        <w:numPr>
          <w:ilvl w:val="0"/>
          <w:numId w:val="3"/>
        </w:numPr>
        <w:spacing w:line="360" w:lineRule="auto"/>
        <w:rPr>
          <w:rFonts w:asciiTheme="minorHAnsi" w:hAnsiTheme="minorHAnsi" w:cstheme="minorHAnsi"/>
          <w:sz w:val="26"/>
          <w:szCs w:val="26"/>
        </w:rPr>
      </w:pPr>
      <w:r>
        <w:rPr>
          <w:rFonts w:asciiTheme="minorHAnsi" w:hAnsiTheme="minorHAnsi" w:cstheme="minorHAnsi"/>
          <w:sz w:val="26"/>
          <w:szCs w:val="26"/>
        </w:rPr>
        <w:t>In seeking to discharge the onus, t</w:t>
      </w:r>
      <w:r w:rsidR="00A40E2A" w:rsidRPr="00A40E2A">
        <w:rPr>
          <w:rFonts w:asciiTheme="minorHAnsi" w:hAnsiTheme="minorHAnsi" w:cstheme="minorHAnsi"/>
          <w:sz w:val="26"/>
          <w:szCs w:val="26"/>
        </w:rPr>
        <w:t xml:space="preserve">he </w:t>
      </w:r>
      <w:r>
        <w:rPr>
          <w:rFonts w:asciiTheme="minorHAnsi" w:hAnsiTheme="minorHAnsi" w:cstheme="minorHAnsi"/>
          <w:sz w:val="26"/>
          <w:szCs w:val="26"/>
        </w:rPr>
        <w:t>solvent spouse</w:t>
      </w:r>
      <w:r w:rsidR="00A40E2A" w:rsidRPr="00A40E2A">
        <w:rPr>
          <w:rFonts w:asciiTheme="minorHAnsi" w:hAnsiTheme="minorHAnsi" w:cstheme="minorHAnsi"/>
          <w:sz w:val="26"/>
          <w:szCs w:val="26"/>
        </w:rPr>
        <w:t xml:space="preserve"> </w:t>
      </w:r>
      <w:r w:rsidR="003A7347" w:rsidRPr="00A40E2A">
        <w:rPr>
          <w:rFonts w:asciiTheme="minorHAnsi" w:hAnsiTheme="minorHAnsi" w:cstheme="minorHAnsi"/>
          <w:sz w:val="26"/>
          <w:szCs w:val="26"/>
        </w:rPr>
        <w:t xml:space="preserve">cannot simply point to an ostensible transaction and call upon the trustee to demonstrate </w:t>
      </w:r>
      <w:r w:rsidR="00A40E2A">
        <w:rPr>
          <w:rFonts w:asciiTheme="minorHAnsi" w:hAnsiTheme="minorHAnsi" w:cstheme="minorHAnsi"/>
          <w:sz w:val="26"/>
          <w:szCs w:val="26"/>
        </w:rPr>
        <w:t>that it was not a true</w:t>
      </w:r>
      <w:r w:rsidR="003A7347" w:rsidRPr="00A40E2A">
        <w:rPr>
          <w:rFonts w:asciiTheme="minorHAnsi" w:hAnsiTheme="minorHAnsi" w:cstheme="minorHAnsi"/>
          <w:sz w:val="26"/>
          <w:szCs w:val="26"/>
        </w:rPr>
        <w:t xml:space="preserve"> transaction or came about from collusive dealings between the insolvent and the solvent spouse</w:t>
      </w:r>
      <w:r w:rsidR="00502135">
        <w:rPr>
          <w:rFonts w:asciiTheme="minorHAnsi" w:hAnsiTheme="minorHAnsi" w:cstheme="minorHAnsi"/>
          <w:sz w:val="26"/>
          <w:szCs w:val="26"/>
        </w:rPr>
        <w:t>.</w:t>
      </w:r>
      <w:r w:rsidR="003A7347" w:rsidRPr="00A40E2A">
        <w:rPr>
          <w:rStyle w:val="FootnoteReference"/>
          <w:rFonts w:asciiTheme="minorHAnsi" w:hAnsiTheme="minorHAnsi" w:cstheme="minorHAnsi"/>
          <w:sz w:val="26"/>
          <w:szCs w:val="26"/>
        </w:rPr>
        <w:footnoteReference w:id="5"/>
      </w:r>
    </w:p>
    <w:p w:rsidR="00A40E2A" w:rsidRPr="00A40E2A" w:rsidRDefault="00A40E2A" w:rsidP="00A40E2A">
      <w:pPr>
        <w:pStyle w:val="1"/>
        <w:numPr>
          <w:ilvl w:val="0"/>
          <w:numId w:val="3"/>
        </w:numPr>
        <w:rPr>
          <w:rFonts w:asciiTheme="minorHAnsi" w:hAnsiTheme="minorHAnsi" w:cstheme="minorHAnsi"/>
          <w:sz w:val="26"/>
          <w:szCs w:val="26"/>
        </w:rPr>
      </w:pPr>
      <w:r>
        <w:rPr>
          <w:rFonts w:asciiTheme="minorHAnsi" w:hAnsiTheme="minorHAnsi" w:cstheme="minorHAnsi"/>
          <w:iCs/>
          <w:sz w:val="26"/>
          <w:szCs w:val="26"/>
        </w:rPr>
        <w:t xml:space="preserve">In </w:t>
      </w:r>
      <w:r w:rsidRPr="00A40E2A">
        <w:rPr>
          <w:rFonts w:asciiTheme="minorHAnsi" w:hAnsiTheme="minorHAnsi" w:cstheme="minorHAnsi"/>
          <w:i/>
          <w:iCs/>
          <w:sz w:val="26"/>
          <w:szCs w:val="26"/>
        </w:rPr>
        <w:t>Kilburn v Estate Kilburn</w:t>
      </w:r>
      <w:r w:rsidRPr="00A40E2A">
        <w:rPr>
          <w:rStyle w:val="FootnoteReference"/>
          <w:rFonts w:asciiTheme="minorHAnsi" w:hAnsiTheme="minorHAnsi" w:cstheme="minorHAnsi"/>
          <w:i/>
          <w:iCs/>
          <w:sz w:val="26"/>
          <w:szCs w:val="26"/>
        </w:rPr>
        <w:footnoteReference w:id="6"/>
      </w:r>
      <w:r w:rsidRPr="00A40E2A">
        <w:rPr>
          <w:rFonts w:asciiTheme="minorHAnsi" w:hAnsiTheme="minorHAnsi" w:cstheme="minorHAnsi"/>
          <w:i/>
          <w:iCs/>
          <w:sz w:val="26"/>
          <w:szCs w:val="26"/>
        </w:rPr>
        <w:t xml:space="preserve"> </w:t>
      </w:r>
      <w:r w:rsidRPr="00A40E2A">
        <w:rPr>
          <w:rFonts w:asciiTheme="minorHAnsi" w:hAnsiTheme="minorHAnsi" w:cstheme="minorHAnsi"/>
          <w:sz w:val="26"/>
          <w:szCs w:val="26"/>
        </w:rPr>
        <w:t xml:space="preserve">Wessels ACJ </w:t>
      </w:r>
      <w:r w:rsidR="00B67288">
        <w:rPr>
          <w:rFonts w:asciiTheme="minorHAnsi" w:hAnsiTheme="minorHAnsi" w:cstheme="minorHAnsi"/>
          <w:sz w:val="26"/>
          <w:szCs w:val="26"/>
        </w:rPr>
        <w:t>held as follows</w:t>
      </w:r>
      <w:r>
        <w:rPr>
          <w:rFonts w:asciiTheme="minorHAnsi" w:hAnsiTheme="minorHAnsi" w:cstheme="minorHAnsi"/>
          <w:sz w:val="26"/>
          <w:szCs w:val="26"/>
        </w:rPr>
        <w:t>:</w:t>
      </w:r>
      <w:r w:rsidRPr="009D0BE9">
        <w:t xml:space="preserve"> </w:t>
      </w:r>
    </w:p>
    <w:p w:rsidR="00A40E2A" w:rsidRPr="00A40E2A" w:rsidRDefault="00A40E2A" w:rsidP="00A40E2A">
      <w:pPr>
        <w:pStyle w:val="ListParagraph"/>
        <w:spacing w:after="200" w:line="360" w:lineRule="auto"/>
        <w:ind w:left="851"/>
        <w:jc w:val="both"/>
        <w:rPr>
          <w:rFonts w:asciiTheme="minorHAnsi" w:hAnsiTheme="minorHAnsi" w:cstheme="minorHAnsi"/>
          <w:b/>
          <w:sz w:val="22"/>
          <w:szCs w:val="22"/>
        </w:rPr>
      </w:pPr>
      <w:r w:rsidRPr="00A40E2A">
        <w:rPr>
          <w:rFonts w:asciiTheme="minorHAnsi" w:hAnsiTheme="minorHAnsi" w:cstheme="minorHAnsi"/>
          <w:sz w:val="22"/>
          <w:szCs w:val="22"/>
        </w:rPr>
        <w:t>“Now the Insolvency Act provides that when one spouse becomes insolvent, the estates of both spouses vest in the Master, and then in the trustee when appointed, but there is a proviso that the trustee must release such property of the solvent spouse as is shown to have been acquired during the marriage with the insolvent by a title valid as against the creditors of the insolvent spouse. In other words if property has been acquired by the spouse who is not insolvent by means of her own money or from a source other than her husband, then she holds it by title valid</w:t>
      </w:r>
      <w:r w:rsidRPr="00A40E2A">
        <w:rPr>
          <w:rFonts w:asciiTheme="minorHAnsi" w:hAnsiTheme="minorHAnsi" w:cstheme="minorHAnsi"/>
          <w:i/>
          <w:iCs/>
          <w:sz w:val="22"/>
          <w:szCs w:val="22"/>
        </w:rPr>
        <w:t xml:space="preserve"> </w:t>
      </w:r>
      <w:r w:rsidRPr="00A40E2A">
        <w:rPr>
          <w:rFonts w:asciiTheme="minorHAnsi" w:hAnsiTheme="minorHAnsi" w:cstheme="minorHAnsi"/>
          <w:sz w:val="22"/>
          <w:szCs w:val="22"/>
        </w:rPr>
        <w:t xml:space="preserve">as against the creditors of her insolvent husband. </w:t>
      </w:r>
      <w:r w:rsidRPr="00A40E2A">
        <w:rPr>
          <w:rFonts w:asciiTheme="minorHAnsi" w:hAnsiTheme="minorHAnsi" w:cstheme="minorHAnsi"/>
          <w:sz w:val="22"/>
          <w:szCs w:val="22"/>
          <w:u w:val="single"/>
        </w:rPr>
        <w:t>But if she obtains it from him during marriage as a donation</w:t>
      </w:r>
      <w:r w:rsidRPr="00A40E2A">
        <w:rPr>
          <w:rFonts w:asciiTheme="minorHAnsi" w:hAnsiTheme="minorHAnsi" w:cstheme="minorHAnsi"/>
          <w:sz w:val="22"/>
          <w:szCs w:val="22"/>
        </w:rPr>
        <w:t xml:space="preserve">, </w:t>
      </w:r>
      <w:r w:rsidRPr="00A40E2A">
        <w:rPr>
          <w:rFonts w:asciiTheme="minorHAnsi" w:hAnsiTheme="minorHAnsi" w:cstheme="minorHAnsi"/>
          <w:sz w:val="22"/>
          <w:szCs w:val="22"/>
          <w:u w:val="single"/>
        </w:rPr>
        <w:t>or if the insolvent gives money to his wife to buy property and have it registered in her name</w:t>
      </w:r>
      <w:r w:rsidRPr="00A40E2A">
        <w:rPr>
          <w:rFonts w:asciiTheme="minorHAnsi" w:hAnsiTheme="minorHAnsi" w:cstheme="minorHAnsi"/>
          <w:sz w:val="22"/>
          <w:szCs w:val="22"/>
        </w:rPr>
        <w:t xml:space="preserve">, </w:t>
      </w:r>
      <w:r w:rsidRPr="00A40E2A">
        <w:rPr>
          <w:rFonts w:asciiTheme="minorHAnsi" w:hAnsiTheme="minorHAnsi" w:cstheme="minorHAnsi"/>
          <w:sz w:val="22"/>
          <w:szCs w:val="22"/>
          <w:u w:val="single"/>
        </w:rPr>
        <w:t>or if she buys property with money provided by the husband</w:t>
      </w:r>
      <w:r w:rsidRPr="00A40E2A">
        <w:rPr>
          <w:rFonts w:asciiTheme="minorHAnsi" w:hAnsiTheme="minorHAnsi" w:cstheme="minorHAnsi"/>
          <w:sz w:val="22"/>
          <w:szCs w:val="22"/>
        </w:rPr>
        <w:t xml:space="preserve"> ostensibly for herself but in reality for her husband’s estate or </w:t>
      </w:r>
      <w:r w:rsidRPr="00A40E2A">
        <w:rPr>
          <w:rFonts w:asciiTheme="minorHAnsi" w:hAnsiTheme="minorHAnsi" w:cstheme="minorHAnsi"/>
          <w:sz w:val="22"/>
          <w:szCs w:val="22"/>
          <w:u w:val="single"/>
        </w:rPr>
        <w:t>even for the benefit of both the spouses, then it is his property and forms part of his estate; and the property, though registered in her name, is not acquired by the non-insolvent spouse by a title valid as against the creditors of the insolvent</w:t>
      </w:r>
      <w:r w:rsidRPr="00A40E2A">
        <w:rPr>
          <w:rFonts w:asciiTheme="minorHAnsi" w:hAnsiTheme="minorHAnsi" w:cstheme="minorHAnsi"/>
          <w:sz w:val="22"/>
          <w:szCs w:val="22"/>
        </w:rPr>
        <w:t>.”</w:t>
      </w:r>
      <w:r w:rsidR="00DB6137">
        <w:rPr>
          <w:rFonts w:asciiTheme="minorHAnsi" w:hAnsiTheme="minorHAnsi" w:cstheme="minorHAnsi"/>
          <w:sz w:val="22"/>
          <w:szCs w:val="22"/>
        </w:rPr>
        <w:t xml:space="preserve"> </w:t>
      </w:r>
      <w:r w:rsidR="00DB6137" w:rsidRPr="00DB6137">
        <w:rPr>
          <w:rFonts w:asciiTheme="minorHAnsi" w:hAnsiTheme="minorHAnsi" w:cstheme="minorHAnsi"/>
          <w:sz w:val="26"/>
          <w:szCs w:val="26"/>
        </w:rPr>
        <w:t>(emphasis added)</w:t>
      </w:r>
    </w:p>
    <w:p w:rsidR="00A40E2A" w:rsidRPr="00B67288" w:rsidRDefault="00A40E2A" w:rsidP="00A40E2A">
      <w:pPr>
        <w:pStyle w:val="ListParagraph"/>
        <w:rPr>
          <w:rFonts w:asciiTheme="minorHAnsi" w:hAnsiTheme="minorHAnsi" w:cstheme="minorHAnsi"/>
          <w:sz w:val="26"/>
          <w:szCs w:val="26"/>
        </w:rPr>
      </w:pPr>
    </w:p>
    <w:p w:rsidR="00B67288" w:rsidRPr="00664D3B" w:rsidRDefault="00B67288" w:rsidP="00B67288">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 to the respondents, they attached only the FNB maximiser account from which they withdrew funds</w:t>
      </w:r>
      <w:r w:rsidR="00DB6137">
        <w:rPr>
          <w:rFonts w:asciiTheme="minorHAnsi" w:hAnsiTheme="minorHAnsi" w:cstheme="minorHAnsi"/>
          <w:sz w:val="26"/>
          <w:szCs w:val="26"/>
        </w:rPr>
        <w:t>,</w:t>
      </w:r>
      <w:r>
        <w:rPr>
          <w:rFonts w:asciiTheme="minorHAnsi" w:hAnsiTheme="minorHAnsi" w:cstheme="minorHAnsi"/>
          <w:sz w:val="26"/>
          <w:szCs w:val="26"/>
        </w:rPr>
        <w:t xml:space="preserve"> </w:t>
      </w:r>
      <w:r w:rsidR="00DB6137">
        <w:rPr>
          <w:rFonts w:asciiTheme="minorHAnsi" w:hAnsiTheme="minorHAnsi" w:cstheme="minorHAnsi"/>
          <w:sz w:val="26"/>
          <w:szCs w:val="26"/>
        </w:rPr>
        <w:t xml:space="preserve">which </w:t>
      </w:r>
      <w:r w:rsidR="001F0314">
        <w:rPr>
          <w:rFonts w:asciiTheme="minorHAnsi" w:hAnsiTheme="minorHAnsi" w:cstheme="minorHAnsi"/>
          <w:sz w:val="26"/>
          <w:szCs w:val="26"/>
        </w:rPr>
        <w:t>funds so withdrawn were</w:t>
      </w:r>
      <w:r>
        <w:rPr>
          <w:rFonts w:asciiTheme="minorHAnsi" w:hAnsiTheme="minorHAnsi" w:cstheme="minorHAnsi"/>
          <w:sz w:val="26"/>
          <w:szCs w:val="26"/>
        </w:rPr>
        <w:t xml:space="preserve"> </w:t>
      </w:r>
      <w:r w:rsidR="00DB6137">
        <w:rPr>
          <w:rFonts w:asciiTheme="minorHAnsi" w:hAnsiTheme="minorHAnsi" w:cstheme="minorHAnsi"/>
          <w:sz w:val="26"/>
          <w:szCs w:val="26"/>
        </w:rPr>
        <w:t xml:space="preserve">subsequently </w:t>
      </w:r>
      <w:r>
        <w:rPr>
          <w:rFonts w:asciiTheme="minorHAnsi" w:hAnsiTheme="minorHAnsi" w:cstheme="minorHAnsi"/>
          <w:sz w:val="26"/>
          <w:szCs w:val="26"/>
        </w:rPr>
        <w:t xml:space="preserve">deposited </w:t>
      </w:r>
      <w:r w:rsidR="00DB6137">
        <w:rPr>
          <w:rFonts w:asciiTheme="minorHAnsi" w:hAnsiTheme="minorHAnsi" w:cstheme="minorHAnsi"/>
          <w:sz w:val="26"/>
          <w:szCs w:val="26"/>
        </w:rPr>
        <w:t>in</w:t>
      </w:r>
      <w:r w:rsidR="00BF650E">
        <w:rPr>
          <w:rFonts w:asciiTheme="minorHAnsi" w:hAnsiTheme="minorHAnsi" w:cstheme="minorHAnsi"/>
          <w:sz w:val="26"/>
          <w:szCs w:val="26"/>
        </w:rPr>
        <w:t>to</w:t>
      </w:r>
      <w:r>
        <w:rPr>
          <w:rFonts w:asciiTheme="minorHAnsi" w:hAnsiTheme="minorHAnsi" w:cstheme="minorHAnsi"/>
          <w:sz w:val="26"/>
          <w:szCs w:val="26"/>
        </w:rPr>
        <w:t xml:space="preserve"> </w:t>
      </w:r>
      <w:r w:rsidR="001F0314">
        <w:rPr>
          <w:rFonts w:asciiTheme="minorHAnsi" w:hAnsiTheme="minorHAnsi" w:cstheme="minorHAnsi"/>
          <w:sz w:val="26"/>
          <w:szCs w:val="26"/>
        </w:rPr>
        <w:t>an</w:t>
      </w:r>
      <w:r>
        <w:rPr>
          <w:rFonts w:asciiTheme="minorHAnsi" w:hAnsiTheme="minorHAnsi" w:cstheme="minorHAnsi"/>
          <w:sz w:val="26"/>
          <w:szCs w:val="26"/>
        </w:rPr>
        <w:t xml:space="preserve"> account</w:t>
      </w:r>
      <w:r w:rsidR="00502135">
        <w:rPr>
          <w:rFonts w:asciiTheme="minorHAnsi" w:hAnsiTheme="minorHAnsi" w:cstheme="minorHAnsi"/>
          <w:sz w:val="26"/>
          <w:szCs w:val="26"/>
        </w:rPr>
        <w:t xml:space="preserve"> </w:t>
      </w:r>
      <w:r w:rsidR="001F0314">
        <w:rPr>
          <w:rFonts w:asciiTheme="minorHAnsi" w:hAnsiTheme="minorHAnsi" w:cstheme="minorHAnsi"/>
          <w:sz w:val="26"/>
          <w:szCs w:val="26"/>
        </w:rPr>
        <w:t xml:space="preserve">that </w:t>
      </w:r>
      <w:r w:rsidR="00BF650E">
        <w:rPr>
          <w:rFonts w:asciiTheme="minorHAnsi" w:hAnsiTheme="minorHAnsi" w:cstheme="minorHAnsi"/>
          <w:sz w:val="26"/>
          <w:szCs w:val="26"/>
        </w:rPr>
        <w:t xml:space="preserve">had been </w:t>
      </w:r>
      <w:r w:rsidR="00502135">
        <w:rPr>
          <w:rFonts w:asciiTheme="minorHAnsi" w:hAnsiTheme="minorHAnsi" w:cstheme="minorHAnsi"/>
          <w:sz w:val="26"/>
          <w:szCs w:val="26"/>
        </w:rPr>
        <w:t>opened for the sequestrated estate</w:t>
      </w:r>
      <w:r>
        <w:rPr>
          <w:rFonts w:asciiTheme="minorHAnsi" w:hAnsiTheme="minorHAnsi" w:cstheme="minorHAnsi"/>
          <w:sz w:val="26"/>
          <w:szCs w:val="26"/>
        </w:rPr>
        <w:t xml:space="preserve">. </w:t>
      </w:r>
      <w:r w:rsidRPr="00664D3B">
        <w:rPr>
          <w:rFonts w:asciiTheme="minorHAnsi" w:hAnsiTheme="minorHAnsi" w:cstheme="minorHAnsi"/>
          <w:sz w:val="26"/>
          <w:szCs w:val="26"/>
        </w:rPr>
        <w:t xml:space="preserve">It is not in dispute that the bulk of the money in the FNB maximiser account came from two </w:t>
      </w:r>
      <w:r w:rsidR="00664D3B">
        <w:rPr>
          <w:rFonts w:asciiTheme="minorHAnsi" w:hAnsiTheme="minorHAnsi" w:cstheme="minorHAnsi"/>
          <w:sz w:val="26"/>
          <w:szCs w:val="26"/>
        </w:rPr>
        <w:t xml:space="preserve">substantial </w:t>
      </w:r>
      <w:r w:rsidRPr="00664D3B">
        <w:rPr>
          <w:rFonts w:asciiTheme="minorHAnsi" w:hAnsiTheme="minorHAnsi" w:cstheme="minorHAnsi"/>
          <w:sz w:val="26"/>
          <w:szCs w:val="26"/>
        </w:rPr>
        <w:t>payments</w:t>
      </w:r>
      <w:r w:rsidR="002B5190">
        <w:rPr>
          <w:rFonts w:asciiTheme="minorHAnsi" w:hAnsiTheme="minorHAnsi" w:cstheme="minorHAnsi"/>
          <w:sz w:val="26"/>
          <w:szCs w:val="26"/>
        </w:rPr>
        <w:t>,</w:t>
      </w:r>
      <w:r w:rsidRPr="00664D3B">
        <w:rPr>
          <w:rFonts w:asciiTheme="minorHAnsi" w:hAnsiTheme="minorHAnsi" w:cstheme="minorHAnsi"/>
          <w:sz w:val="26"/>
          <w:szCs w:val="26"/>
        </w:rPr>
        <w:t xml:space="preserve"> namely, </w:t>
      </w:r>
      <w:r w:rsidR="006A32CF">
        <w:rPr>
          <w:rFonts w:asciiTheme="minorHAnsi" w:hAnsiTheme="minorHAnsi" w:cstheme="minorHAnsi"/>
          <w:sz w:val="26"/>
          <w:szCs w:val="26"/>
        </w:rPr>
        <w:t xml:space="preserve">(i) </w:t>
      </w:r>
      <w:r w:rsidRPr="00664D3B">
        <w:rPr>
          <w:rFonts w:asciiTheme="minorHAnsi" w:hAnsiTheme="minorHAnsi" w:cstheme="minorHAnsi"/>
          <w:sz w:val="26"/>
          <w:szCs w:val="26"/>
        </w:rPr>
        <w:t>a payment of R2.135 million made by the insolvent to the applicant on 28 January 2019</w:t>
      </w:r>
      <w:r w:rsidR="00E46D99">
        <w:rPr>
          <w:rFonts w:asciiTheme="minorHAnsi" w:hAnsiTheme="minorHAnsi" w:cstheme="minorHAnsi"/>
          <w:sz w:val="26"/>
          <w:szCs w:val="26"/>
        </w:rPr>
        <w:t>,</w:t>
      </w:r>
      <w:r w:rsidRPr="00664D3B">
        <w:rPr>
          <w:rFonts w:asciiTheme="minorHAnsi" w:hAnsiTheme="minorHAnsi" w:cstheme="minorHAnsi"/>
          <w:sz w:val="26"/>
          <w:szCs w:val="26"/>
        </w:rPr>
        <w:t xml:space="preserve"> </w:t>
      </w:r>
      <w:r w:rsidR="00BF650E">
        <w:rPr>
          <w:rFonts w:asciiTheme="minorHAnsi" w:hAnsiTheme="minorHAnsi" w:cstheme="minorHAnsi"/>
          <w:sz w:val="26"/>
          <w:szCs w:val="26"/>
        </w:rPr>
        <w:t xml:space="preserve">and </w:t>
      </w:r>
      <w:r w:rsidR="006A32CF">
        <w:rPr>
          <w:rFonts w:asciiTheme="minorHAnsi" w:hAnsiTheme="minorHAnsi" w:cstheme="minorHAnsi"/>
          <w:sz w:val="26"/>
          <w:szCs w:val="26"/>
        </w:rPr>
        <w:t xml:space="preserve">(ii) </w:t>
      </w:r>
      <w:r w:rsidR="00BF650E">
        <w:rPr>
          <w:rFonts w:asciiTheme="minorHAnsi" w:hAnsiTheme="minorHAnsi" w:cstheme="minorHAnsi"/>
          <w:sz w:val="26"/>
          <w:szCs w:val="26"/>
        </w:rPr>
        <w:t xml:space="preserve">a payment of R2.740 million, being the proceeds of </w:t>
      </w:r>
      <w:r w:rsidR="00E46D99">
        <w:rPr>
          <w:rFonts w:asciiTheme="minorHAnsi" w:hAnsiTheme="minorHAnsi" w:cstheme="minorHAnsi"/>
          <w:sz w:val="26"/>
          <w:szCs w:val="26"/>
        </w:rPr>
        <w:t>the sale by her of</w:t>
      </w:r>
      <w:r w:rsidRPr="00664D3B">
        <w:rPr>
          <w:rFonts w:asciiTheme="minorHAnsi" w:hAnsiTheme="minorHAnsi" w:cstheme="minorHAnsi"/>
          <w:sz w:val="26"/>
          <w:szCs w:val="26"/>
        </w:rPr>
        <w:t xml:space="preserve"> an immovable property in Simons Town</w:t>
      </w:r>
      <w:r w:rsidR="006A32CF">
        <w:rPr>
          <w:rFonts w:asciiTheme="minorHAnsi" w:hAnsiTheme="minorHAnsi" w:cstheme="minorHAnsi"/>
          <w:sz w:val="26"/>
          <w:szCs w:val="26"/>
        </w:rPr>
        <w:t>,</w:t>
      </w:r>
      <w:r w:rsidR="00BF650E">
        <w:rPr>
          <w:rFonts w:asciiTheme="minorHAnsi" w:hAnsiTheme="minorHAnsi" w:cstheme="minorHAnsi"/>
          <w:sz w:val="26"/>
          <w:szCs w:val="26"/>
        </w:rPr>
        <w:t xml:space="preserve"> which amount</w:t>
      </w:r>
      <w:r w:rsidR="00E46D99">
        <w:rPr>
          <w:rFonts w:asciiTheme="minorHAnsi" w:hAnsiTheme="minorHAnsi" w:cstheme="minorHAnsi"/>
          <w:sz w:val="26"/>
          <w:szCs w:val="26"/>
        </w:rPr>
        <w:t xml:space="preserve"> </w:t>
      </w:r>
      <w:r w:rsidR="00664D3B">
        <w:rPr>
          <w:rFonts w:asciiTheme="minorHAnsi" w:hAnsiTheme="minorHAnsi" w:cstheme="minorHAnsi"/>
          <w:sz w:val="26"/>
          <w:szCs w:val="26"/>
        </w:rPr>
        <w:t>was</w:t>
      </w:r>
      <w:r w:rsidRPr="00664D3B">
        <w:rPr>
          <w:rFonts w:asciiTheme="minorHAnsi" w:hAnsiTheme="minorHAnsi" w:cstheme="minorHAnsi"/>
          <w:sz w:val="26"/>
          <w:szCs w:val="26"/>
        </w:rPr>
        <w:t xml:space="preserve"> </w:t>
      </w:r>
      <w:r w:rsidR="006A32CF">
        <w:rPr>
          <w:rFonts w:asciiTheme="minorHAnsi" w:hAnsiTheme="minorHAnsi" w:cstheme="minorHAnsi"/>
          <w:sz w:val="26"/>
          <w:szCs w:val="26"/>
        </w:rPr>
        <w:t xml:space="preserve">subsequently </w:t>
      </w:r>
      <w:r w:rsidRPr="00664D3B">
        <w:rPr>
          <w:rFonts w:asciiTheme="minorHAnsi" w:hAnsiTheme="minorHAnsi" w:cstheme="minorHAnsi"/>
          <w:sz w:val="26"/>
          <w:szCs w:val="26"/>
        </w:rPr>
        <w:t xml:space="preserve">transferred from </w:t>
      </w:r>
      <w:r w:rsidR="00664D3B">
        <w:rPr>
          <w:rFonts w:asciiTheme="minorHAnsi" w:hAnsiTheme="minorHAnsi" w:cstheme="minorHAnsi"/>
          <w:sz w:val="26"/>
          <w:szCs w:val="26"/>
        </w:rPr>
        <w:t>the applicant’s</w:t>
      </w:r>
      <w:r w:rsidRPr="00664D3B">
        <w:rPr>
          <w:rFonts w:asciiTheme="minorHAnsi" w:hAnsiTheme="minorHAnsi" w:cstheme="minorHAnsi"/>
          <w:sz w:val="26"/>
          <w:szCs w:val="26"/>
        </w:rPr>
        <w:t xml:space="preserve"> cheque account into the FNB maximiser account on 17 May 2019. </w:t>
      </w:r>
    </w:p>
    <w:p w:rsidR="00B67288" w:rsidRPr="000F4445" w:rsidRDefault="00B67288" w:rsidP="00B67288">
      <w:pPr>
        <w:pStyle w:val="ListParagraph"/>
        <w:rPr>
          <w:rFonts w:asciiTheme="minorHAnsi" w:hAnsiTheme="minorHAnsi" w:cstheme="minorHAnsi"/>
          <w:sz w:val="26"/>
          <w:szCs w:val="26"/>
        </w:rPr>
      </w:pPr>
    </w:p>
    <w:p w:rsidR="005935A1" w:rsidRPr="005935A1" w:rsidRDefault="002B5190"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applicant conceded i</w:t>
      </w:r>
      <w:r w:rsidR="00931689">
        <w:rPr>
          <w:rFonts w:asciiTheme="minorHAnsi" w:hAnsiTheme="minorHAnsi" w:cstheme="minorHAnsi"/>
          <w:sz w:val="26"/>
          <w:szCs w:val="26"/>
        </w:rPr>
        <w:t xml:space="preserve">n her heads of argument that she bears the onus </w:t>
      </w:r>
      <w:r w:rsidR="001F1512">
        <w:rPr>
          <w:rFonts w:asciiTheme="minorHAnsi" w:hAnsiTheme="minorHAnsi" w:cstheme="minorHAnsi"/>
          <w:sz w:val="26"/>
          <w:szCs w:val="26"/>
        </w:rPr>
        <w:t xml:space="preserve">of proving </w:t>
      </w:r>
      <w:r w:rsidR="003A7347">
        <w:rPr>
          <w:rFonts w:asciiTheme="minorHAnsi" w:hAnsiTheme="minorHAnsi" w:cstheme="minorHAnsi"/>
          <w:sz w:val="26"/>
          <w:szCs w:val="26"/>
        </w:rPr>
        <w:t>a valid</w:t>
      </w:r>
      <w:r w:rsidR="001F1512">
        <w:rPr>
          <w:rFonts w:asciiTheme="minorHAnsi" w:hAnsiTheme="minorHAnsi" w:cstheme="minorHAnsi"/>
          <w:sz w:val="26"/>
          <w:szCs w:val="26"/>
        </w:rPr>
        <w:t xml:space="preserve"> title to the property </w:t>
      </w:r>
      <w:r w:rsidR="0012680A">
        <w:rPr>
          <w:rFonts w:asciiTheme="minorHAnsi" w:hAnsiTheme="minorHAnsi" w:cstheme="minorHAnsi"/>
          <w:sz w:val="26"/>
          <w:szCs w:val="26"/>
        </w:rPr>
        <w:t xml:space="preserve">for purposes of demonstrating why it should be released to her. </w:t>
      </w:r>
      <w:r w:rsidR="00931689">
        <w:rPr>
          <w:rFonts w:asciiTheme="minorHAnsi" w:hAnsiTheme="minorHAnsi" w:cstheme="minorHAnsi"/>
          <w:sz w:val="26"/>
          <w:szCs w:val="26"/>
        </w:rPr>
        <w:t xml:space="preserve">During oral argument </w:t>
      </w:r>
      <w:r w:rsidR="00CB7A9D">
        <w:rPr>
          <w:rFonts w:asciiTheme="minorHAnsi" w:hAnsiTheme="minorHAnsi" w:cstheme="minorHAnsi"/>
          <w:sz w:val="26"/>
          <w:szCs w:val="26"/>
        </w:rPr>
        <w:t xml:space="preserve">presented </w:t>
      </w:r>
      <w:r w:rsidR="00931689">
        <w:rPr>
          <w:rFonts w:asciiTheme="minorHAnsi" w:hAnsiTheme="minorHAnsi" w:cstheme="minorHAnsi"/>
          <w:sz w:val="26"/>
          <w:szCs w:val="26"/>
        </w:rPr>
        <w:t xml:space="preserve">at the hearing of the matter, </w:t>
      </w:r>
      <w:r w:rsidR="00CB7A9D">
        <w:rPr>
          <w:rFonts w:asciiTheme="minorHAnsi" w:hAnsiTheme="minorHAnsi" w:cstheme="minorHAnsi"/>
          <w:sz w:val="26"/>
          <w:szCs w:val="26"/>
        </w:rPr>
        <w:t xml:space="preserve">however, </w:t>
      </w:r>
      <w:r w:rsidR="00931689">
        <w:rPr>
          <w:rFonts w:asciiTheme="minorHAnsi" w:hAnsiTheme="minorHAnsi" w:cstheme="minorHAnsi"/>
          <w:sz w:val="26"/>
          <w:szCs w:val="26"/>
        </w:rPr>
        <w:t>the applicant sought to argue that in so far as s</w:t>
      </w:r>
      <w:r w:rsidR="00E46D99">
        <w:rPr>
          <w:rFonts w:asciiTheme="minorHAnsi" w:hAnsiTheme="minorHAnsi" w:cstheme="minorHAnsi"/>
          <w:sz w:val="26"/>
          <w:szCs w:val="26"/>
        </w:rPr>
        <w:t xml:space="preserve"> </w:t>
      </w:r>
      <w:r w:rsidR="00931689">
        <w:rPr>
          <w:rFonts w:asciiTheme="minorHAnsi" w:hAnsiTheme="minorHAnsi" w:cstheme="minorHAnsi"/>
          <w:sz w:val="26"/>
          <w:szCs w:val="26"/>
        </w:rPr>
        <w:t xml:space="preserve">21(1) vests the property of the solvent spouse in the </w:t>
      </w:r>
      <w:r w:rsidR="003A7347">
        <w:rPr>
          <w:rFonts w:asciiTheme="minorHAnsi" w:hAnsiTheme="minorHAnsi" w:cstheme="minorHAnsi"/>
          <w:sz w:val="26"/>
          <w:szCs w:val="26"/>
        </w:rPr>
        <w:t xml:space="preserve">master or </w:t>
      </w:r>
      <w:r w:rsidR="00931689">
        <w:rPr>
          <w:rFonts w:asciiTheme="minorHAnsi" w:hAnsiTheme="minorHAnsi" w:cstheme="minorHAnsi"/>
          <w:sz w:val="26"/>
          <w:szCs w:val="26"/>
        </w:rPr>
        <w:t>trustee of the insolvent</w:t>
      </w:r>
      <w:r w:rsidR="002B0FAC">
        <w:rPr>
          <w:rFonts w:asciiTheme="minorHAnsi" w:hAnsiTheme="minorHAnsi" w:cstheme="minorHAnsi"/>
          <w:sz w:val="26"/>
          <w:szCs w:val="26"/>
        </w:rPr>
        <w:t xml:space="preserve"> spouse</w:t>
      </w:r>
      <w:r w:rsidR="00CB7A9D">
        <w:rPr>
          <w:rFonts w:asciiTheme="minorHAnsi" w:hAnsiTheme="minorHAnsi" w:cstheme="minorHAnsi"/>
          <w:sz w:val="26"/>
          <w:szCs w:val="26"/>
        </w:rPr>
        <w:t>,</w:t>
      </w:r>
      <w:r w:rsidR="002B0FAC">
        <w:rPr>
          <w:rFonts w:asciiTheme="minorHAnsi" w:hAnsiTheme="minorHAnsi" w:cstheme="minorHAnsi"/>
          <w:sz w:val="26"/>
          <w:szCs w:val="26"/>
        </w:rPr>
        <w:t xml:space="preserve"> </w:t>
      </w:r>
      <w:r w:rsidR="00FB0A0B">
        <w:rPr>
          <w:rFonts w:asciiTheme="minorHAnsi" w:hAnsiTheme="minorHAnsi" w:cstheme="minorHAnsi"/>
          <w:sz w:val="26"/>
          <w:szCs w:val="26"/>
        </w:rPr>
        <w:t>the section</w:t>
      </w:r>
      <w:r w:rsidR="002B0FAC">
        <w:rPr>
          <w:rFonts w:asciiTheme="minorHAnsi" w:hAnsiTheme="minorHAnsi" w:cstheme="minorHAnsi"/>
          <w:sz w:val="26"/>
          <w:szCs w:val="26"/>
        </w:rPr>
        <w:t xml:space="preserve"> is unconstitutional in that it amounts to the arbitrary deprivation of property </w:t>
      </w:r>
      <w:r w:rsidR="00FB0A0B">
        <w:rPr>
          <w:rFonts w:asciiTheme="minorHAnsi" w:hAnsiTheme="minorHAnsi" w:cstheme="minorHAnsi"/>
          <w:sz w:val="26"/>
          <w:szCs w:val="26"/>
        </w:rPr>
        <w:t>in conflict with the provisions of</w:t>
      </w:r>
      <w:r w:rsidR="002B0FAC">
        <w:rPr>
          <w:rFonts w:asciiTheme="minorHAnsi" w:hAnsiTheme="minorHAnsi" w:cstheme="minorHAnsi"/>
          <w:sz w:val="26"/>
          <w:szCs w:val="26"/>
        </w:rPr>
        <w:t xml:space="preserve"> s 25</w:t>
      </w:r>
      <w:r w:rsidR="00FB0A0B">
        <w:rPr>
          <w:rFonts w:asciiTheme="minorHAnsi" w:hAnsiTheme="minorHAnsi" w:cstheme="minorHAnsi"/>
          <w:sz w:val="26"/>
          <w:szCs w:val="26"/>
        </w:rPr>
        <w:t>(1)</w:t>
      </w:r>
      <w:r w:rsidR="002B0FAC">
        <w:rPr>
          <w:rFonts w:asciiTheme="minorHAnsi" w:hAnsiTheme="minorHAnsi" w:cstheme="minorHAnsi"/>
          <w:sz w:val="26"/>
          <w:szCs w:val="26"/>
        </w:rPr>
        <w:t xml:space="preserve"> of the Constitution</w:t>
      </w:r>
      <w:r w:rsidR="002B0FAC">
        <w:rPr>
          <w:rStyle w:val="FootnoteReference"/>
          <w:rFonts w:asciiTheme="minorHAnsi" w:hAnsiTheme="minorHAnsi" w:cstheme="minorHAnsi"/>
          <w:sz w:val="26"/>
          <w:szCs w:val="26"/>
        </w:rPr>
        <w:footnoteReference w:id="7"/>
      </w:r>
      <w:r w:rsidR="002B0FAC">
        <w:rPr>
          <w:rFonts w:asciiTheme="minorHAnsi" w:hAnsiTheme="minorHAnsi" w:cstheme="minorHAnsi"/>
          <w:sz w:val="26"/>
          <w:szCs w:val="26"/>
        </w:rPr>
        <w:t xml:space="preserve"> </w:t>
      </w:r>
      <w:r w:rsidR="00E114F0">
        <w:rPr>
          <w:rFonts w:asciiTheme="minorHAnsi" w:hAnsiTheme="minorHAnsi" w:cstheme="minorHAnsi"/>
          <w:sz w:val="26"/>
          <w:szCs w:val="26"/>
        </w:rPr>
        <w:t xml:space="preserve">and </w:t>
      </w:r>
      <w:r w:rsidR="001F1512">
        <w:rPr>
          <w:rFonts w:asciiTheme="minorHAnsi" w:hAnsiTheme="minorHAnsi" w:cstheme="minorHAnsi"/>
          <w:sz w:val="26"/>
          <w:szCs w:val="26"/>
        </w:rPr>
        <w:t>that</w:t>
      </w:r>
      <w:r w:rsidR="00FB0A0B">
        <w:rPr>
          <w:rFonts w:asciiTheme="minorHAnsi" w:hAnsiTheme="minorHAnsi" w:cstheme="minorHAnsi"/>
          <w:sz w:val="26"/>
          <w:szCs w:val="26"/>
        </w:rPr>
        <w:t xml:space="preserve"> the respondents </w:t>
      </w:r>
      <w:r w:rsidR="006C2AFE">
        <w:rPr>
          <w:rFonts w:asciiTheme="minorHAnsi" w:hAnsiTheme="minorHAnsi" w:cstheme="minorHAnsi"/>
          <w:sz w:val="26"/>
          <w:szCs w:val="26"/>
        </w:rPr>
        <w:t xml:space="preserve">ought to </w:t>
      </w:r>
      <w:r w:rsidR="00FB0A0B">
        <w:rPr>
          <w:rFonts w:asciiTheme="minorHAnsi" w:hAnsiTheme="minorHAnsi" w:cstheme="minorHAnsi"/>
          <w:sz w:val="26"/>
          <w:szCs w:val="26"/>
        </w:rPr>
        <w:t xml:space="preserve">bear the onus </w:t>
      </w:r>
      <w:r w:rsidR="006C2AFE">
        <w:rPr>
          <w:rFonts w:asciiTheme="minorHAnsi" w:hAnsiTheme="minorHAnsi" w:cstheme="minorHAnsi"/>
          <w:sz w:val="26"/>
          <w:szCs w:val="26"/>
        </w:rPr>
        <w:t>of making</w:t>
      </w:r>
      <w:r w:rsidR="006F2F4B">
        <w:rPr>
          <w:rFonts w:asciiTheme="minorHAnsi" w:hAnsiTheme="minorHAnsi" w:cstheme="minorHAnsi"/>
          <w:sz w:val="26"/>
          <w:szCs w:val="26"/>
        </w:rPr>
        <w:t xml:space="preserve"> out a case for why the property belong</w:t>
      </w:r>
      <w:r>
        <w:rPr>
          <w:rFonts w:asciiTheme="minorHAnsi" w:hAnsiTheme="minorHAnsi" w:cstheme="minorHAnsi"/>
          <w:sz w:val="26"/>
          <w:szCs w:val="26"/>
        </w:rPr>
        <w:t>s</w:t>
      </w:r>
      <w:r w:rsidR="006F2F4B">
        <w:rPr>
          <w:rFonts w:asciiTheme="minorHAnsi" w:hAnsiTheme="minorHAnsi" w:cstheme="minorHAnsi"/>
          <w:sz w:val="26"/>
          <w:szCs w:val="26"/>
        </w:rPr>
        <w:t xml:space="preserve"> to the insolvent estate. Apart from the fact that s 21(1) has been held by the Constitutional court </w:t>
      </w:r>
      <w:r w:rsidR="006F2F4B" w:rsidRPr="006F2F4B">
        <w:rPr>
          <w:rFonts w:asciiTheme="minorHAnsi" w:hAnsiTheme="minorHAnsi" w:cstheme="minorHAnsi"/>
          <w:i/>
          <w:sz w:val="26"/>
          <w:szCs w:val="26"/>
        </w:rPr>
        <w:t>not</w:t>
      </w:r>
      <w:r w:rsidR="006F2F4B">
        <w:rPr>
          <w:rFonts w:asciiTheme="minorHAnsi" w:hAnsiTheme="minorHAnsi" w:cstheme="minorHAnsi"/>
          <w:sz w:val="26"/>
          <w:szCs w:val="26"/>
        </w:rPr>
        <w:t xml:space="preserve"> to be unconstitutional </w:t>
      </w:r>
      <w:r w:rsidR="006F2F4B" w:rsidRPr="00E46D99">
        <w:rPr>
          <w:rFonts w:asciiTheme="minorHAnsi" w:hAnsiTheme="minorHAnsi" w:cstheme="minorHAnsi"/>
          <w:i/>
          <w:sz w:val="26"/>
          <w:szCs w:val="26"/>
        </w:rPr>
        <w:t>and</w:t>
      </w:r>
      <w:r w:rsidR="006F2F4B">
        <w:rPr>
          <w:rFonts w:asciiTheme="minorHAnsi" w:hAnsiTheme="minorHAnsi" w:cstheme="minorHAnsi"/>
          <w:sz w:val="26"/>
          <w:szCs w:val="26"/>
        </w:rPr>
        <w:t xml:space="preserve"> that sound reasons exist for placing the onus upon a solvent spouse to prove </w:t>
      </w:r>
      <w:r w:rsidR="00E114F0">
        <w:rPr>
          <w:rFonts w:asciiTheme="minorHAnsi" w:hAnsiTheme="minorHAnsi" w:cstheme="minorHAnsi"/>
          <w:sz w:val="26"/>
          <w:szCs w:val="26"/>
        </w:rPr>
        <w:t xml:space="preserve">his/her </w:t>
      </w:r>
      <w:r w:rsidR="006F2F4B">
        <w:rPr>
          <w:rFonts w:asciiTheme="minorHAnsi" w:hAnsiTheme="minorHAnsi" w:cstheme="minorHAnsi"/>
          <w:sz w:val="26"/>
          <w:szCs w:val="26"/>
        </w:rPr>
        <w:t xml:space="preserve">ownership of the property </w:t>
      </w:r>
      <w:r w:rsidR="00E114F0">
        <w:rPr>
          <w:rFonts w:asciiTheme="minorHAnsi" w:hAnsiTheme="minorHAnsi" w:cstheme="minorHAnsi"/>
          <w:sz w:val="26"/>
          <w:szCs w:val="26"/>
        </w:rPr>
        <w:t>he/</w:t>
      </w:r>
      <w:r w:rsidR="006F2F4B">
        <w:rPr>
          <w:rFonts w:asciiTheme="minorHAnsi" w:hAnsiTheme="minorHAnsi" w:cstheme="minorHAnsi"/>
          <w:sz w:val="26"/>
          <w:szCs w:val="26"/>
        </w:rPr>
        <w:t>she seeks be released</w:t>
      </w:r>
      <w:r w:rsidR="00E114F0">
        <w:rPr>
          <w:rFonts w:asciiTheme="minorHAnsi" w:hAnsiTheme="minorHAnsi" w:cstheme="minorHAnsi"/>
          <w:sz w:val="26"/>
          <w:szCs w:val="26"/>
        </w:rPr>
        <w:t>,</w:t>
      </w:r>
      <w:r w:rsidR="006F2F4B">
        <w:rPr>
          <w:rStyle w:val="FootnoteReference"/>
          <w:rFonts w:asciiTheme="minorHAnsi" w:hAnsiTheme="minorHAnsi" w:cstheme="minorHAnsi"/>
          <w:sz w:val="26"/>
          <w:szCs w:val="26"/>
        </w:rPr>
        <w:footnoteReference w:id="8"/>
      </w:r>
      <w:r w:rsidR="00E114F0">
        <w:rPr>
          <w:rFonts w:asciiTheme="minorHAnsi" w:hAnsiTheme="minorHAnsi" w:cstheme="minorHAnsi"/>
          <w:sz w:val="26"/>
          <w:szCs w:val="26"/>
        </w:rPr>
        <w:t xml:space="preserve"> it is not permissible to raise a constitutional point </w:t>
      </w:r>
      <w:r w:rsidR="001F1512">
        <w:rPr>
          <w:rFonts w:asciiTheme="minorHAnsi" w:hAnsiTheme="minorHAnsi" w:cstheme="minorHAnsi"/>
          <w:sz w:val="26"/>
          <w:szCs w:val="26"/>
        </w:rPr>
        <w:t xml:space="preserve">which has not been canvassed on the pleadings </w:t>
      </w:r>
      <w:r w:rsidR="00E114F0">
        <w:rPr>
          <w:rFonts w:asciiTheme="minorHAnsi" w:hAnsiTheme="minorHAnsi" w:cstheme="minorHAnsi"/>
          <w:sz w:val="26"/>
          <w:szCs w:val="26"/>
        </w:rPr>
        <w:t xml:space="preserve">for the first time in argument, as </w:t>
      </w:r>
      <w:r w:rsidR="001F0314">
        <w:rPr>
          <w:rFonts w:asciiTheme="minorHAnsi" w:hAnsiTheme="minorHAnsi" w:cstheme="minorHAnsi"/>
          <w:sz w:val="26"/>
          <w:szCs w:val="26"/>
        </w:rPr>
        <w:t>transpired in the present case</w:t>
      </w:r>
      <w:r w:rsidR="00E114F0">
        <w:rPr>
          <w:rFonts w:asciiTheme="minorHAnsi" w:hAnsiTheme="minorHAnsi" w:cstheme="minorHAnsi"/>
          <w:i/>
          <w:sz w:val="26"/>
          <w:szCs w:val="26"/>
        </w:rPr>
        <w:t>.</w:t>
      </w:r>
      <w:r w:rsidR="00E114F0">
        <w:rPr>
          <w:rStyle w:val="FootnoteReference"/>
          <w:rFonts w:asciiTheme="minorHAnsi" w:hAnsiTheme="minorHAnsi" w:cstheme="minorHAnsi"/>
          <w:i/>
          <w:sz w:val="26"/>
          <w:szCs w:val="26"/>
        </w:rPr>
        <w:footnoteReference w:id="9"/>
      </w:r>
    </w:p>
    <w:p w:rsidR="0091783B" w:rsidRPr="00363B67" w:rsidRDefault="0091783B" w:rsidP="0091783B">
      <w:pPr>
        <w:pStyle w:val="ListParagraph"/>
        <w:rPr>
          <w:rFonts w:asciiTheme="minorHAnsi" w:hAnsiTheme="minorHAnsi" w:cstheme="minorHAnsi"/>
          <w:sz w:val="26"/>
          <w:szCs w:val="26"/>
        </w:rPr>
      </w:pPr>
    </w:p>
    <w:p w:rsidR="0012680A" w:rsidRPr="00A34506" w:rsidRDefault="0012680A" w:rsidP="0091783B">
      <w:pPr>
        <w:pStyle w:val="ListParagraph"/>
        <w:numPr>
          <w:ilvl w:val="0"/>
          <w:numId w:val="3"/>
        </w:numPr>
        <w:spacing w:after="200" w:line="360" w:lineRule="auto"/>
        <w:jc w:val="both"/>
        <w:rPr>
          <w:rFonts w:asciiTheme="minorHAnsi" w:hAnsiTheme="minorHAnsi" w:cstheme="minorHAnsi"/>
          <w:sz w:val="26"/>
          <w:szCs w:val="26"/>
        </w:rPr>
      </w:pPr>
      <w:r w:rsidRPr="00A34506">
        <w:rPr>
          <w:rFonts w:asciiTheme="minorHAnsi" w:hAnsiTheme="minorHAnsi" w:cstheme="minorHAnsi"/>
          <w:sz w:val="26"/>
          <w:szCs w:val="26"/>
        </w:rPr>
        <w:t xml:space="preserve">The </w:t>
      </w:r>
      <w:r w:rsidR="00E46D99">
        <w:rPr>
          <w:rFonts w:asciiTheme="minorHAnsi" w:hAnsiTheme="minorHAnsi" w:cstheme="minorHAnsi"/>
          <w:sz w:val="26"/>
          <w:szCs w:val="26"/>
        </w:rPr>
        <w:t>a</w:t>
      </w:r>
      <w:r w:rsidRPr="00A34506">
        <w:rPr>
          <w:rFonts w:asciiTheme="minorHAnsi" w:hAnsiTheme="minorHAnsi" w:cstheme="minorHAnsi"/>
          <w:sz w:val="26"/>
          <w:szCs w:val="26"/>
        </w:rPr>
        <w:t xml:space="preserve">pplicant seeks final relief in these proceedings. It is trite that final relief may only be granted if the facts as stated by the </w:t>
      </w:r>
      <w:r w:rsidR="00E46D99">
        <w:rPr>
          <w:rFonts w:asciiTheme="minorHAnsi" w:hAnsiTheme="minorHAnsi" w:cstheme="minorHAnsi"/>
          <w:sz w:val="26"/>
          <w:szCs w:val="26"/>
        </w:rPr>
        <w:t>r</w:t>
      </w:r>
      <w:r w:rsidRPr="00A34506">
        <w:rPr>
          <w:rFonts w:asciiTheme="minorHAnsi" w:hAnsiTheme="minorHAnsi" w:cstheme="minorHAnsi"/>
          <w:sz w:val="26"/>
          <w:szCs w:val="26"/>
        </w:rPr>
        <w:t xml:space="preserve">espondents, together with the admitted facts in the </w:t>
      </w:r>
      <w:r w:rsidR="00E46D99">
        <w:rPr>
          <w:rFonts w:asciiTheme="minorHAnsi" w:hAnsiTheme="minorHAnsi" w:cstheme="minorHAnsi"/>
          <w:sz w:val="26"/>
          <w:szCs w:val="26"/>
        </w:rPr>
        <w:t>a</w:t>
      </w:r>
      <w:r w:rsidRPr="00A34506">
        <w:rPr>
          <w:rFonts w:asciiTheme="minorHAnsi" w:hAnsiTheme="minorHAnsi" w:cstheme="minorHAnsi"/>
          <w:sz w:val="26"/>
          <w:szCs w:val="26"/>
        </w:rPr>
        <w:t xml:space="preserve">pplicant’s affidavits, justify the granting of such relief. This means that the court is to accept </w:t>
      </w:r>
      <w:r w:rsidR="007972B3" w:rsidRPr="00A34506">
        <w:rPr>
          <w:rFonts w:asciiTheme="minorHAnsi" w:hAnsiTheme="minorHAnsi" w:cstheme="minorHAnsi"/>
          <w:sz w:val="26"/>
          <w:szCs w:val="26"/>
        </w:rPr>
        <w:t xml:space="preserve">the </w:t>
      </w:r>
      <w:r w:rsidRPr="006C2AFE">
        <w:rPr>
          <w:rFonts w:asciiTheme="minorHAnsi" w:hAnsiTheme="minorHAnsi" w:cstheme="minorHAnsi"/>
          <w:i/>
          <w:sz w:val="26"/>
          <w:szCs w:val="26"/>
        </w:rPr>
        <w:t>facts</w:t>
      </w:r>
      <w:r w:rsidRPr="00A34506">
        <w:rPr>
          <w:rFonts w:asciiTheme="minorHAnsi" w:hAnsiTheme="minorHAnsi" w:cstheme="minorHAnsi"/>
          <w:sz w:val="26"/>
          <w:szCs w:val="26"/>
        </w:rPr>
        <w:t xml:space="preserve"> </w:t>
      </w:r>
      <w:r w:rsidR="007972B3" w:rsidRPr="00A34506">
        <w:rPr>
          <w:rFonts w:asciiTheme="minorHAnsi" w:hAnsiTheme="minorHAnsi" w:cstheme="minorHAnsi"/>
          <w:sz w:val="26"/>
          <w:szCs w:val="26"/>
        </w:rPr>
        <w:t>alleged</w:t>
      </w:r>
      <w:r w:rsidRPr="00A34506">
        <w:rPr>
          <w:rFonts w:asciiTheme="minorHAnsi" w:hAnsiTheme="minorHAnsi" w:cstheme="minorHAnsi"/>
          <w:sz w:val="26"/>
          <w:szCs w:val="26"/>
        </w:rPr>
        <w:t xml:space="preserve"> by the respondents </w:t>
      </w:r>
      <w:r w:rsidR="009A4F72">
        <w:rPr>
          <w:rFonts w:asciiTheme="minorHAnsi" w:hAnsiTheme="minorHAnsi" w:cstheme="minorHAnsi"/>
          <w:sz w:val="26"/>
          <w:szCs w:val="26"/>
        </w:rPr>
        <w:t xml:space="preserve">unless </w:t>
      </w:r>
      <w:r w:rsidR="007972B3" w:rsidRPr="00A34506">
        <w:rPr>
          <w:rFonts w:asciiTheme="minorHAnsi" w:hAnsiTheme="minorHAnsi" w:cstheme="minorHAnsi"/>
          <w:sz w:val="26"/>
          <w:szCs w:val="26"/>
        </w:rPr>
        <w:t>they constitute bald or uncreditworthy denials or are palpably implausible, far-fetched or so clearly untenable that they could safely be rejected on the papers.</w:t>
      </w:r>
      <w:r w:rsidR="007972B3" w:rsidRPr="00A34506">
        <w:rPr>
          <w:rStyle w:val="FootnoteReference"/>
          <w:rFonts w:asciiTheme="minorHAnsi" w:eastAsiaTheme="minorHAnsi" w:hAnsiTheme="minorHAnsi" w:cstheme="minorHAnsi"/>
          <w:color w:val="000000" w:themeColor="text1"/>
          <w:sz w:val="26"/>
          <w:szCs w:val="26"/>
        </w:rPr>
        <w:t xml:space="preserve"> </w:t>
      </w:r>
      <w:r w:rsidR="007972B3" w:rsidRPr="00A34506">
        <w:rPr>
          <w:rStyle w:val="FootnoteReference"/>
          <w:rFonts w:asciiTheme="minorHAnsi" w:eastAsiaTheme="minorHAnsi" w:hAnsiTheme="minorHAnsi" w:cstheme="minorHAnsi"/>
          <w:color w:val="000000" w:themeColor="text1"/>
          <w:sz w:val="26"/>
          <w:szCs w:val="26"/>
        </w:rPr>
        <w:footnoteReference w:id="10"/>
      </w:r>
    </w:p>
    <w:p w:rsidR="00AC6716" w:rsidRPr="00AC6716" w:rsidRDefault="00AC6716" w:rsidP="00AC6716">
      <w:pPr>
        <w:pStyle w:val="ListParagraph"/>
        <w:rPr>
          <w:rFonts w:asciiTheme="minorHAnsi" w:hAnsiTheme="minorHAnsi" w:cstheme="minorHAnsi"/>
          <w:sz w:val="26"/>
          <w:szCs w:val="26"/>
        </w:rPr>
      </w:pPr>
    </w:p>
    <w:p w:rsidR="00AC6716" w:rsidRDefault="00A34506"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That being said, the probabilities are inevitably considered for purposes of determining whether allegations made in affidavits are implausible, untenable</w:t>
      </w:r>
      <w:r w:rsidR="009A4F72">
        <w:rPr>
          <w:rFonts w:asciiTheme="minorHAnsi" w:hAnsiTheme="minorHAnsi" w:cstheme="minorHAnsi"/>
          <w:sz w:val="26"/>
          <w:szCs w:val="26"/>
        </w:rPr>
        <w:t>, far-fetched</w:t>
      </w:r>
      <w:r>
        <w:rPr>
          <w:rFonts w:asciiTheme="minorHAnsi" w:hAnsiTheme="minorHAnsi" w:cstheme="minorHAnsi"/>
          <w:sz w:val="26"/>
          <w:szCs w:val="26"/>
        </w:rPr>
        <w:t xml:space="preserve"> or uncreditworthy. </w:t>
      </w:r>
    </w:p>
    <w:p w:rsidR="0012680A" w:rsidRPr="0012680A" w:rsidRDefault="0012680A" w:rsidP="0012680A">
      <w:pPr>
        <w:pStyle w:val="ListParagraph"/>
        <w:rPr>
          <w:rFonts w:asciiTheme="minorHAnsi" w:hAnsiTheme="minorHAnsi" w:cstheme="minorHAnsi"/>
          <w:sz w:val="26"/>
          <w:szCs w:val="26"/>
        </w:rPr>
      </w:pPr>
    </w:p>
    <w:p w:rsidR="0091783B" w:rsidRDefault="0012680A"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question then arises </w:t>
      </w:r>
      <w:r w:rsidR="00A34506">
        <w:rPr>
          <w:rFonts w:asciiTheme="minorHAnsi" w:hAnsiTheme="minorHAnsi" w:cstheme="minorHAnsi"/>
          <w:sz w:val="26"/>
          <w:szCs w:val="26"/>
        </w:rPr>
        <w:t xml:space="preserve">as to </w:t>
      </w:r>
      <w:r>
        <w:rPr>
          <w:rFonts w:asciiTheme="minorHAnsi" w:hAnsiTheme="minorHAnsi" w:cstheme="minorHAnsi"/>
          <w:sz w:val="26"/>
          <w:szCs w:val="26"/>
        </w:rPr>
        <w:t xml:space="preserve">whether the applicant has discharged the onus of proving that the property (being the </w:t>
      </w:r>
      <w:r w:rsidRPr="0012680A">
        <w:rPr>
          <w:rFonts w:asciiTheme="minorHAnsi" w:hAnsiTheme="minorHAnsi" w:cstheme="minorHAnsi"/>
          <w:sz w:val="26"/>
          <w:szCs w:val="26"/>
        </w:rPr>
        <w:t xml:space="preserve">funds </w:t>
      </w:r>
      <w:r>
        <w:rPr>
          <w:rFonts w:asciiTheme="minorHAnsi" w:hAnsiTheme="minorHAnsi" w:cstheme="minorHAnsi"/>
          <w:sz w:val="26"/>
          <w:szCs w:val="26"/>
        </w:rPr>
        <w:t xml:space="preserve">which she </w:t>
      </w:r>
      <w:r w:rsidRPr="0012680A">
        <w:rPr>
          <w:rFonts w:asciiTheme="minorHAnsi" w:hAnsiTheme="minorHAnsi" w:cstheme="minorHAnsi"/>
          <w:sz w:val="26"/>
          <w:szCs w:val="26"/>
        </w:rPr>
        <w:t>received from the insolvent pursuant to a disability benefit pay-out by Liberty Life and the sale of the Simons Town property</w:t>
      </w:r>
      <w:r>
        <w:rPr>
          <w:rFonts w:asciiTheme="minorHAnsi" w:hAnsiTheme="minorHAnsi" w:cstheme="minorHAnsi"/>
          <w:sz w:val="26"/>
          <w:szCs w:val="26"/>
        </w:rPr>
        <w:t xml:space="preserve">) </w:t>
      </w:r>
      <w:r w:rsidRPr="0012680A">
        <w:rPr>
          <w:rFonts w:asciiTheme="minorHAnsi" w:hAnsiTheme="minorHAnsi" w:cstheme="minorHAnsi"/>
          <w:sz w:val="26"/>
          <w:szCs w:val="26"/>
        </w:rPr>
        <w:t>was acquired by her during the marriage with the insolvent by a title valid as against creditors of the insolvent.</w:t>
      </w:r>
      <w:r w:rsidR="00A34506">
        <w:rPr>
          <w:rFonts w:asciiTheme="minorHAnsi" w:hAnsiTheme="minorHAnsi" w:cstheme="minorHAnsi"/>
          <w:sz w:val="22"/>
          <w:szCs w:val="22"/>
        </w:rPr>
        <w:t xml:space="preserve"> </w:t>
      </w:r>
      <w:r w:rsidR="00A34506" w:rsidRPr="00A34506">
        <w:rPr>
          <w:rFonts w:asciiTheme="minorHAnsi" w:hAnsiTheme="minorHAnsi" w:cstheme="minorHAnsi"/>
          <w:sz w:val="26"/>
          <w:szCs w:val="26"/>
        </w:rPr>
        <w:t xml:space="preserve">Although </w:t>
      </w:r>
      <w:r w:rsidR="00B73F9B">
        <w:rPr>
          <w:rFonts w:asciiTheme="minorHAnsi" w:hAnsiTheme="minorHAnsi" w:cstheme="minorHAnsi"/>
          <w:sz w:val="26"/>
          <w:szCs w:val="26"/>
        </w:rPr>
        <w:t xml:space="preserve">certain </w:t>
      </w:r>
      <w:r w:rsidR="006A32CF">
        <w:rPr>
          <w:rFonts w:asciiTheme="minorHAnsi" w:hAnsiTheme="minorHAnsi" w:cstheme="minorHAnsi"/>
          <w:sz w:val="26"/>
          <w:szCs w:val="26"/>
        </w:rPr>
        <w:t xml:space="preserve">other </w:t>
      </w:r>
      <w:r w:rsidR="00B73F9B">
        <w:rPr>
          <w:rFonts w:asciiTheme="minorHAnsi" w:hAnsiTheme="minorHAnsi" w:cstheme="minorHAnsi"/>
          <w:sz w:val="26"/>
          <w:szCs w:val="26"/>
        </w:rPr>
        <w:t xml:space="preserve">funds </w:t>
      </w:r>
      <w:r w:rsidR="00A77F70">
        <w:rPr>
          <w:rFonts w:asciiTheme="minorHAnsi" w:hAnsiTheme="minorHAnsi" w:cstheme="minorHAnsi"/>
          <w:sz w:val="26"/>
          <w:szCs w:val="26"/>
        </w:rPr>
        <w:t xml:space="preserve">were </w:t>
      </w:r>
      <w:r w:rsidR="00B73F9B">
        <w:rPr>
          <w:rFonts w:asciiTheme="minorHAnsi" w:hAnsiTheme="minorHAnsi" w:cstheme="minorHAnsi"/>
          <w:sz w:val="26"/>
          <w:szCs w:val="26"/>
        </w:rPr>
        <w:t xml:space="preserve">deposited </w:t>
      </w:r>
      <w:r w:rsidR="00A77F70">
        <w:rPr>
          <w:rFonts w:asciiTheme="minorHAnsi" w:hAnsiTheme="minorHAnsi" w:cstheme="minorHAnsi"/>
          <w:sz w:val="26"/>
          <w:szCs w:val="26"/>
        </w:rPr>
        <w:t xml:space="preserve">into </w:t>
      </w:r>
      <w:r w:rsidR="00A77F70" w:rsidRPr="00A34506">
        <w:rPr>
          <w:rFonts w:asciiTheme="minorHAnsi" w:hAnsiTheme="minorHAnsi" w:cstheme="minorHAnsi"/>
          <w:sz w:val="26"/>
          <w:szCs w:val="26"/>
        </w:rPr>
        <w:t xml:space="preserve">the FNB maximiser account </w:t>
      </w:r>
      <w:r w:rsidR="00B73F9B">
        <w:rPr>
          <w:rFonts w:asciiTheme="minorHAnsi" w:hAnsiTheme="minorHAnsi" w:cstheme="minorHAnsi"/>
          <w:sz w:val="26"/>
          <w:szCs w:val="26"/>
        </w:rPr>
        <w:t>by way of</w:t>
      </w:r>
      <w:r w:rsidR="00A34506" w:rsidRPr="00A34506">
        <w:rPr>
          <w:rFonts w:asciiTheme="minorHAnsi" w:hAnsiTheme="minorHAnsi" w:cstheme="minorHAnsi"/>
          <w:sz w:val="26"/>
          <w:szCs w:val="26"/>
        </w:rPr>
        <w:t xml:space="preserve"> inter-account transfers</w:t>
      </w:r>
      <w:r w:rsidR="00B73F9B">
        <w:rPr>
          <w:rFonts w:asciiTheme="minorHAnsi" w:hAnsiTheme="minorHAnsi" w:cstheme="minorHAnsi"/>
          <w:sz w:val="26"/>
          <w:szCs w:val="26"/>
        </w:rPr>
        <w:t xml:space="preserve"> </w:t>
      </w:r>
      <w:r w:rsidR="00A77F70">
        <w:rPr>
          <w:rFonts w:asciiTheme="minorHAnsi" w:hAnsiTheme="minorHAnsi" w:cstheme="minorHAnsi"/>
          <w:sz w:val="26"/>
          <w:szCs w:val="26"/>
        </w:rPr>
        <w:t xml:space="preserve">effected by </w:t>
      </w:r>
      <w:r w:rsidR="00B73F9B">
        <w:rPr>
          <w:rFonts w:asciiTheme="minorHAnsi" w:hAnsiTheme="minorHAnsi" w:cstheme="minorHAnsi"/>
          <w:sz w:val="26"/>
          <w:szCs w:val="26"/>
        </w:rPr>
        <w:t>the applicant</w:t>
      </w:r>
      <w:r w:rsidR="006C2AFE">
        <w:rPr>
          <w:rFonts w:asciiTheme="minorHAnsi" w:hAnsiTheme="minorHAnsi" w:cstheme="minorHAnsi"/>
          <w:sz w:val="26"/>
          <w:szCs w:val="26"/>
        </w:rPr>
        <w:t xml:space="preserve"> in respect of unrelated transactions</w:t>
      </w:r>
      <w:r w:rsidR="00B73F9B">
        <w:rPr>
          <w:rFonts w:asciiTheme="minorHAnsi" w:hAnsiTheme="minorHAnsi" w:cstheme="minorHAnsi"/>
          <w:sz w:val="26"/>
          <w:szCs w:val="26"/>
        </w:rPr>
        <w:t>, which the respondents accept do not amount to the acquisition of property</w:t>
      </w:r>
      <w:r w:rsidR="008F3AF9">
        <w:rPr>
          <w:rFonts w:asciiTheme="minorHAnsi" w:hAnsiTheme="minorHAnsi" w:cstheme="minorHAnsi"/>
          <w:sz w:val="26"/>
          <w:szCs w:val="26"/>
        </w:rPr>
        <w:t xml:space="preserve"> as envisaged in s 21 of the Act</w:t>
      </w:r>
      <w:r w:rsidR="00B73F9B">
        <w:rPr>
          <w:rFonts w:asciiTheme="minorHAnsi" w:hAnsiTheme="minorHAnsi" w:cstheme="minorHAnsi"/>
          <w:sz w:val="26"/>
          <w:szCs w:val="26"/>
        </w:rPr>
        <w:t>, the main controversy pertain</w:t>
      </w:r>
      <w:r w:rsidR="008F3AF9">
        <w:rPr>
          <w:rFonts w:asciiTheme="minorHAnsi" w:hAnsiTheme="minorHAnsi" w:cstheme="minorHAnsi"/>
          <w:sz w:val="26"/>
          <w:szCs w:val="26"/>
        </w:rPr>
        <w:t>s</w:t>
      </w:r>
      <w:r w:rsidR="00B73F9B">
        <w:rPr>
          <w:rFonts w:asciiTheme="minorHAnsi" w:hAnsiTheme="minorHAnsi" w:cstheme="minorHAnsi"/>
          <w:sz w:val="26"/>
          <w:szCs w:val="26"/>
        </w:rPr>
        <w:t xml:space="preserve"> to the R2.</w:t>
      </w:r>
      <w:r w:rsidR="00E46D99">
        <w:rPr>
          <w:rFonts w:asciiTheme="minorHAnsi" w:hAnsiTheme="minorHAnsi" w:cstheme="minorHAnsi"/>
          <w:sz w:val="26"/>
          <w:szCs w:val="26"/>
        </w:rPr>
        <w:t>160</w:t>
      </w:r>
      <w:r w:rsidR="00B73F9B">
        <w:rPr>
          <w:rFonts w:asciiTheme="minorHAnsi" w:hAnsiTheme="minorHAnsi" w:cstheme="minorHAnsi"/>
          <w:sz w:val="26"/>
          <w:szCs w:val="26"/>
        </w:rPr>
        <w:t xml:space="preserve"> million disability benefit paid out by Liberty Life </w:t>
      </w:r>
      <w:r w:rsidR="006C2AFE">
        <w:rPr>
          <w:rFonts w:asciiTheme="minorHAnsi" w:hAnsiTheme="minorHAnsi" w:cstheme="minorHAnsi"/>
          <w:sz w:val="26"/>
          <w:szCs w:val="26"/>
        </w:rPr>
        <w:t xml:space="preserve">to the insolvent, of which </w:t>
      </w:r>
      <w:r w:rsidR="00E46D99">
        <w:rPr>
          <w:rFonts w:asciiTheme="minorHAnsi" w:hAnsiTheme="minorHAnsi" w:cstheme="minorHAnsi"/>
          <w:sz w:val="26"/>
          <w:szCs w:val="26"/>
        </w:rPr>
        <w:t xml:space="preserve">R2.135 million </w:t>
      </w:r>
      <w:r w:rsidR="006C2AFE">
        <w:rPr>
          <w:rFonts w:asciiTheme="minorHAnsi" w:hAnsiTheme="minorHAnsi" w:cstheme="minorHAnsi"/>
          <w:sz w:val="26"/>
          <w:szCs w:val="26"/>
        </w:rPr>
        <w:t xml:space="preserve">was thereafter paid by the insolvent to the applicant, </w:t>
      </w:r>
      <w:r w:rsidR="00B73F9B">
        <w:rPr>
          <w:rFonts w:asciiTheme="minorHAnsi" w:hAnsiTheme="minorHAnsi" w:cstheme="minorHAnsi"/>
          <w:sz w:val="26"/>
          <w:szCs w:val="26"/>
        </w:rPr>
        <w:t>and the R2.7 million received by the applicant pursuant to the sale of the Simons Town property. I deal with these in turn.</w:t>
      </w:r>
    </w:p>
    <w:p w:rsidR="0091783B" w:rsidRDefault="0091783B" w:rsidP="0091783B">
      <w:pPr>
        <w:pStyle w:val="ListParagraph"/>
        <w:rPr>
          <w:rFonts w:asciiTheme="minorHAnsi" w:hAnsiTheme="minorHAnsi" w:cstheme="minorHAnsi"/>
          <w:sz w:val="26"/>
          <w:szCs w:val="26"/>
        </w:rPr>
      </w:pPr>
    </w:p>
    <w:p w:rsidR="00B73F9B" w:rsidRPr="00B73F9B" w:rsidRDefault="00B73F9B" w:rsidP="00B73F9B">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Disability pay-out from the Liberty Life policy</w:t>
      </w:r>
    </w:p>
    <w:p w:rsidR="0091783B" w:rsidRDefault="006A761F"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papers </w:t>
      </w:r>
      <w:r w:rsidR="004C32CB">
        <w:rPr>
          <w:rFonts w:asciiTheme="minorHAnsi" w:hAnsiTheme="minorHAnsi" w:cstheme="minorHAnsi"/>
          <w:sz w:val="26"/>
          <w:szCs w:val="26"/>
        </w:rPr>
        <w:t>evidence</w:t>
      </w:r>
      <w:r>
        <w:rPr>
          <w:rFonts w:asciiTheme="minorHAnsi" w:hAnsiTheme="minorHAnsi" w:cstheme="minorHAnsi"/>
          <w:sz w:val="26"/>
          <w:szCs w:val="26"/>
        </w:rPr>
        <w:t xml:space="preserve"> that the insurer </w:t>
      </w:r>
      <w:r w:rsidR="00E46D99">
        <w:rPr>
          <w:rFonts w:asciiTheme="minorHAnsi" w:hAnsiTheme="minorHAnsi" w:cstheme="minorHAnsi"/>
          <w:sz w:val="26"/>
          <w:szCs w:val="26"/>
        </w:rPr>
        <w:t xml:space="preserve">both </w:t>
      </w:r>
      <w:r>
        <w:rPr>
          <w:rFonts w:asciiTheme="minorHAnsi" w:hAnsiTheme="minorHAnsi" w:cstheme="minorHAnsi"/>
          <w:sz w:val="26"/>
          <w:szCs w:val="26"/>
        </w:rPr>
        <w:t xml:space="preserve">accepted and honoured a claim ostensibly found by it to have been validly made </w:t>
      </w:r>
      <w:r w:rsidR="00C82B2E">
        <w:rPr>
          <w:rFonts w:asciiTheme="minorHAnsi" w:hAnsiTheme="minorHAnsi" w:cstheme="minorHAnsi"/>
          <w:sz w:val="26"/>
          <w:szCs w:val="26"/>
        </w:rPr>
        <w:t>apropos</w:t>
      </w:r>
      <w:r>
        <w:rPr>
          <w:rFonts w:asciiTheme="minorHAnsi" w:hAnsiTheme="minorHAnsi" w:cstheme="minorHAnsi"/>
          <w:sz w:val="26"/>
          <w:szCs w:val="26"/>
        </w:rPr>
        <w:t xml:space="preserve"> a </w:t>
      </w:r>
      <w:r w:rsidR="006C2AFE">
        <w:rPr>
          <w:rFonts w:asciiTheme="minorHAnsi" w:hAnsiTheme="minorHAnsi" w:cstheme="minorHAnsi"/>
          <w:sz w:val="26"/>
          <w:szCs w:val="26"/>
        </w:rPr>
        <w:t xml:space="preserve">capital </w:t>
      </w:r>
      <w:r>
        <w:rPr>
          <w:rFonts w:asciiTheme="minorHAnsi" w:hAnsiTheme="minorHAnsi" w:cstheme="minorHAnsi"/>
          <w:sz w:val="26"/>
          <w:szCs w:val="26"/>
        </w:rPr>
        <w:t>disability</w:t>
      </w:r>
      <w:r>
        <w:rPr>
          <w:rStyle w:val="FootnoteReference"/>
          <w:rFonts w:asciiTheme="minorHAnsi" w:hAnsiTheme="minorHAnsi" w:cstheme="minorHAnsi"/>
          <w:sz w:val="26"/>
          <w:szCs w:val="26"/>
        </w:rPr>
        <w:footnoteReference w:id="11"/>
      </w:r>
      <w:r>
        <w:rPr>
          <w:rFonts w:asciiTheme="minorHAnsi" w:hAnsiTheme="minorHAnsi" w:cstheme="minorHAnsi"/>
          <w:sz w:val="26"/>
          <w:szCs w:val="26"/>
        </w:rPr>
        <w:t xml:space="preserve"> suffered by the applicant as the second </w:t>
      </w:r>
      <w:r w:rsidR="008E6A6C">
        <w:rPr>
          <w:rFonts w:asciiTheme="minorHAnsi" w:hAnsiTheme="minorHAnsi" w:cstheme="minorHAnsi"/>
          <w:sz w:val="26"/>
          <w:szCs w:val="26"/>
        </w:rPr>
        <w:t xml:space="preserve">life </w:t>
      </w:r>
      <w:r>
        <w:rPr>
          <w:rFonts w:asciiTheme="minorHAnsi" w:hAnsiTheme="minorHAnsi" w:cstheme="minorHAnsi"/>
          <w:sz w:val="26"/>
          <w:szCs w:val="26"/>
        </w:rPr>
        <w:t xml:space="preserve">assured under the policy. The applicant was the party who was diagnosed with cancer and who accordingly suffered </w:t>
      </w:r>
      <w:r w:rsidR="00E46D99">
        <w:rPr>
          <w:rFonts w:asciiTheme="minorHAnsi" w:hAnsiTheme="minorHAnsi" w:cstheme="minorHAnsi"/>
          <w:sz w:val="26"/>
          <w:szCs w:val="26"/>
        </w:rPr>
        <w:t xml:space="preserve">the </w:t>
      </w:r>
      <w:r>
        <w:rPr>
          <w:rFonts w:asciiTheme="minorHAnsi" w:hAnsiTheme="minorHAnsi" w:cstheme="minorHAnsi"/>
          <w:sz w:val="26"/>
          <w:szCs w:val="26"/>
        </w:rPr>
        <w:t xml:space="preserve">disability. Liberty </w:t>
      </w:r>
      <w:r w:rsidR="00944A6E">
        <w:rPr>
          <w:rFonts w:asciiTheme="minorHAnsi" w:hAnsiTheme="minorHAnsi" w:cstheme="minorHAnsi"/>
          <w:sz w:val="26"/>
          <w:szCs w:val="26"/>
        </w:rPr>
        <w:t xml:space="preserve">Life </w:t>
      </w:r>
      <w:r>
        <w:rPr>
          <w:rFonts w:asciiTheme="minorHAnsi" w:hAnsiTheme="minorHAnsi" w:cstheme="minorHAnsi"/>
          <w:sz w:val="26"/>
          <w:szCs w:val="26"/>
        </w:rPr>
        <w:t>paid out the accelerated benefit in an amount of R2</w:t>
      </w:r>
      <w:r w:rsidR="008E6A6C">
        <w:rPr>
          <w:rFonts w:asciiTheme="minorHAnsi" w:hAnsiTheme="minorHAnsi" w:cstheme="minorHAnsi"/>
          <w:sz w:val="26"/>
          <w:szCs w:val="26"/>
        </w:rPr>
        <w:t>,</w:t>
      </w:r>
      <w:r>
        <w:rPr>
          <w:rFonts w:asciiTheme="minorHAnsi" w:hAnsiTheme="minorHAnsi" w:cstheme="minorHAnsi"/>
          <w:sz w:val="26"/>
          <w:szCs w:val="26"/>
        </w:rPr>
        <w:t>160000.00 into the bank account of the insolvent on 25 January</w:t>
      </w:r>
      <w:r w:rsidR="008E6A6C">
        <w:rPr>
          <w:rFonts w:asciiTheme="minorHAnsi" w:hAnsiTheme="minorHAnsi" w:cstheme="minorHAnsi"/>
          <w:sz w:val="26"/>
          <w:szCs w:val="26"/>
        </w:rPr>
        <w:t xml:space="preserve"> 2019, of which an amount of R2,</w:t>
      </w:r>
      <w:r>
        <w:rPr>
          <w:rFonts w:asciiTheme="minorHAnsi" w:hAnsiTheme="minorHAnsi" w:cstheme="minorHAnsi"/>
          <w:sz w:val="26"/>
          <w:szCs w:val="26"/>
        </w:rPr>
        <w:t>135</w:t>
      </w:r>
      <w:r w:rsidR="008E6A6C">
        <w:rPr>
          <w:rFonts w:asciiTheme="minorHAnsi" w:hAnsiTheme="minorHAnsi" w:cstheme="minorHAnsi"/>
          <w:sz w:val="26"/>
          <w:szCs w:val="26"/>
        </w:rPr>
        <w:t xml:space="preserve"> </w:t>
      </w:r>
      <w:r>
        <w:rPr>
          <w:rFonts w:asciiTheme="minorHAnsi" w:hAnsiTheme="minorHAnsi" w:cstheme="minorHAnsi"/>
          <w:sz w:val="26"/>
          <w:szCs w:val="26"/>
        </w:rPr>
        <w:t xml:space="preserve">000.00 was thereafter paid </w:t>
      </w:r>
      <w:r w:rsidR="000F316B">
        <w:rPr>
          <w:rFonts w:asciiTheme="minorHAnsi" w:hAnsiTheme="minorHAnsi" w:cstheme="minorHAnsi"/>
          <w:sz w:val="26"/>
          <w:szCs w:val="26"/>
        </w:rPr>
        <w:t xml:space="preserve">on 28 January 2019 </w:t>
      </w:r>
      <w:r>
        <w:rPr>
          <w:rFonts w:asciiTheme="minorHAnsi" w:hAnsiTheme="minorHAnsi" w:cstheme="minorHAnsi"/>
          <w:sz w:val="26"/>
          <w:szCs w:val="26"/>
        </w:rPr>
        <w:t>by the insolvent into the applicant’s FNB maximiser account. This occurred some eight months prior to the sequestration of the insolvent’s estate.</w:t>
      </w:r>
    </w:p>
    <w:p w:rsidR="0091783B" w:rsidRDefault="0091783B" w:rsidP="0091783B">
      <w:pPr>
        <w:pStyle w:val="ListParagraph"/>
        <w:rPr>
          <w:rFonts w:asciiTheme="minorHAnsi" w:hAnsiTheme="minorHAnsi" w:cstheme="minorHAnsi"/>
          <w:sz w:val="26"/>
          <w:szCs w:val="26"/>
        </w:rPr>
      </w:pPr>
    </w:p>
    <w:p w:rsidR="0091783B" w:rsidRDefault="006A761F"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Although the applicant allege</w:t>
      </w:r>
      <w:r w:rsidR="00484CE0">
        <w:rPr>
          <w:rFonts w:asciiTheme="minorHAnsi" w:hAnsiTheme="minorHAnsi" w:cstheme="minorHAnsi"/>
          <w:sz w:val="26"/>
          <w:szCs w:val="26"/>
        </w:rPr>
        <w:t>s</w:t>
      </w:r>
      <w:r>
        <w:rPr>
          <w:rFonts w:asciiTheme="minorHAnsi" w:hAnsiTheme="minorHAnsi" w:cstheme="minorHAnsi"/>
          <w:sz w:val="26"/>
          <w:szCs w:val="26"/>
        </w:rPr>
        <w:t xml:space="preserve"> that the amount was received as a result of </w:t>
      </w:r>
      <w:r w:rsidR="00484CE0">
        <w:rPr>
          <w:rFonts w:asciiTheme="minorHAnsi" w:hAnsiTheme="minorHAnsi" w:cstheme="minorHAnsi"/>
          <w:sz w:val="26"/>
          <w:szCs w:val="26"/>
        </w:rPr>
        <w:t>a</w:t>
      </w:r>
      <w:r>
        <w:rPr>
          <w:rFonts w:asciiTheme="minorHAnsi" w:hAnsiTheme="minorHAnsi" w:cstheme="minorHAnsi"/>
          <w:sz w:val="26"/>
          <w:szCs w:val="26"/>
        </w:rPr>
        <w:t xml:space="preserve"> claim made by her under the policy, the claim documents </w:t>
      </w:r>
      <w:r w:rsidR="00484CE0">
        <w:rPr>
          <w:rFonts w:asciiTheme="minorHAnsi" w:hAnsiTheme="minorHAnsi" w:cstheme="minorHAnsi"/>
          <w:sz w:val="26"/>
          <w:szCs w:val="26"/>
        </w:rPr>
        <w:t xml:space="preserve">themselves </w:t>
      </w:r>
      <w:r>
        <w:rPr>
          <w:rFonts w:asciiTheme="minorHAnsi" w:hAnsiTheme="minorHAnsi" w:cstheme="minorHAnsi"/>
          <w:sz w:val="26"/>
          <w:szCs w:val="26"/>
        </w:rPr>
        <w:t>were not provided by her in her affidavits.</w:t>
      </w:r>
      <w:r w:rsidR="00854088">
        <w:rPr>
          <w:rStyle w:val="FootnoteReference"/>
          <w:rFonts w:asciiTheme="minorHAnsi" w:hAnsiTheme="minorHAnsi" w:cstheme="minorHAnsi"/>
          <w:sz w:val="26"/>
          <w:szCs w:val="26"/>
        </w:rPr>
        <w:footnoteReference w:id="12"/>
      </w:r>
      <w:r w:rsidR="00484CE0">
        <w:rPr>
          <w:rFonts w:asciiTheme="minorHAnsi" w:hAnsiTheme="minorHAnsi" w:cstheme="minorHAnsi"/>
          <w:sz w:val="26"/>
          <w:szCs w:val="26"/>
        </w:rPr>
        <w:t xml:space="preserve"> In support of her assertion that she holds valid title to the payment, the applicant alleges that the amount was paid </w:t>
      </w:r>
      <w:r w:rsidR="008E6A6C">
        <w:rPr>
          <w:rFonts w:asciiTheme="minorHAnsi" w:hAnsiTheme="minorHAnsi" w:cstheme="minorHAnsi"/>
          <w:sz w:val="26"/>
          <w:szCs w:val="26"/>
        </w:rPr>
        <w:t>by the insurer in</w:t>
      </w:r>
      <w:r w:rsidR="00484CE0">
        <w:rPr>
          <w:rFonts w:asciiTheme="minorHAnsi" w:hAnsiTheme="minorHAnsi" w:cstheme="minorHAnsi"/>
          <w:sz w:val="26"/>
          <w:szCs w:val="26"/>
        </w:rPr>
        <w:t xml:space="preserve">to the insolvent’s account </w:t>
      </w:r>
      <w:r w:rsidR="00C25FCD">
        <w:rPr>
          <w:rFonts w:asciiTheme="minorHAnsi" w:hAnsiTheme="minorHAnsi" w:cstheme="minorHAnsi"/>
          <w:sz w:val="26"/>
          <w:szCs w:val="26"/>
        </w:rPr>
        <w:t xml:space="preserve">only </w:t>
      </w:r>
      <w:r w:rsidR="00484CE0">
        <w:rPr>
          <w:rFonts w:asciiTheme="minorHAnsi" w:hAnsiTheme="minorHAnsi" w:cstheme="minorHAnsi"/>
          <w:sz w:val="26"/>
          <w:szCs w:val="26"/>
        </w:rPr>
        <w:t>because he was listed as the beneficiary under the policy, however, the payment was in effect for the applicant</w:t>
      </w:r>
      <w:r w:rsidR="00944A6E">
        <w:rPr>
          <w:rFonts w:asciiTheme="minorHAnsi" w:hAnsiTheme="minorHAnsi" w:cstheme="minorHAnsi"/>
          <w:sz w:val="26"/>
          <w:szCs w:val="26"/>
        </w:rPr>
        <w:t xml:space="preserve"> or intended to be made to her</w:t>
      </w:r>
      <w:r w:rsidR="00484CE0">
        <w:rPr>
          <w:rFonts w:asciiTheme="minorHAnsi" w:hAnsiTheme="minorHAnsi" w:cstheme="minorHAnsi"/>
          <w:sz w:val="26"/>
          <w:szCs w:val="26"/>
        </w:rPr>
        <w:t xml:space="preserve"> </w:t>
      </w:r>
      <w:r w:rsidR="00C25FCD">
        <w:rPr>
          <w:rFonts w:asciiTheme="minorHAnsi" w:hAnsiTheme="minorHAnsi" w:cstheme="minorHAnsi"/>
          <w:sz w:val="26"/>
          <w:szCs w:val="26"/>
        </w:rPr>
        <w:t xml:space="preserve">and </w:t>
      </w:r>
      <w:r w:rsidR="00944A6E">
        <w:rPr>
          <w:rFonts w:asciiTheme="minorHAnsi" w:hAnsiTheme="minorHAnsi" w:cstheme="minorHAnsi"/>
          <w:sz w:val="26"/>
          <w:szCs w:val="26"/>
        </w:rPr>
        <w:t xml:space="preserve">thus </w:t>
      </w:r>
      <w:r w:rsidR="00C25FCD">
        <w:rPr>
          <w:rFonts w:asciiTheme="minorHAnsi" w:hAnsiTheme="minorHAnsi" w:cstheme="minorHAnsi"/>
          <w:sz w:val="26"/>
          <w:szCs w:val="26"/>
        </w:rPr>
        <w:t>properly belonged to her</w:t>
      </w:r>
      <w:r w:rsidR="00944A6E">
        <w:rPr>
          <w:rFonts w:asciiTheme="minorHAnsi" w:hAnsiTheme="minorHAnsi" w:cstheme="minorHAnsi"/>
          <w:sz w:val="26"/>
          <w:szCs w:val="26"/>
        </w:rPr>
        <w:t>,</w:t>
      </w:r>
      <w:r w:rsidR="00C25FCD">
        <w:rPr>
          <w:rFonts w:asciiTheme="minorHAnsi" w:hAnsiTheme="minorHAnsi" w:cstheme="minorHAnsi"/>
          <w:sz w:val="26"/>
          <w:szCs w:val="26"/>
        </w:rPr>
        <w:t xml:space="preserve"> </w:t>
      </w:r>
      <w:r w:rsidR="00484CE0">
        <w:rPr>
          <w:rFonts w:asciiTheme="minorHAnsi" w:hAnsiTheme="minorHAnsi" w:cstheme="minorHAnsi"/>
          <w:sz w:val="26"/>
          <w:szCs w:val="26"/>
        </w:rPr>
        <w:t xml:space="preserve">because it was </w:t>
      </w:r>
      <w:r w:rsidR="00C25FCD">
        <w:rPr>
          <w:rFonts w:asciiTheme="minorHAnsi" w:hAnsiTheme="minorHAnsi" w:cstheme="minorHAnsi"/>
          <w:sz w:val="26"/>
          <w:szCs w:val="26"/>
        </w:rPr>
        <w:t>a</w:t>
      </w:r>
      <w:r w:rsidR="00484CE0">
        <w:rPr>
          <w:rFonts w:asciiTheme="minorHAnsi" w:hAnsiTheme="minorHAnsi" w:cstheme="minorHAnsi"/>
          <w:sz w:val="26"/>
          <w:szCs w:val="26"/>
        </w:rPr>
        <w:t xml:space="preserve"> policy benefit to which she was entitled following her disability claim. </w:t>
      </w:r>
      <w:r w:rsidR="005F78B9">
        <w:rPr>
          <w:rFonts w:asciiTheme="minorHAnsi" w:hAnsiTheme="minorHAnsi" w:cstheme="minorHAnsi"/>
          <w:sz w:val="26"/>
          <w:szCs w:val="26"/>
        </w:rPr>
        <w:t>The applicant’s argument overlooks the fact that the insolvent is the policy holder, owner and beneficiary of the disability portion of the second life assured under the policy and in terms of the express wording of the contract, it is the insolvent who</w:t>
      </w:r>
      <w:r w:rsidR="00944A6E">
        <w:rPr>
          <w:rFonts w:asciiTheme="minorHAnsi" w:hAnsiTheme="minorHAnsi" w:cstheme="minorHAnsi"/>
          <w:sz w:val="26"/>
          <w:szCs w:val="26"/>
        </w:rPr>
        <w:t>, in the absence of any cession,</w:t>
      </w:r>
      <w:r w:rsidR="005F78B9">
        <w:rPr>
          <w:rFonts w:asciiTheme="minorHAnsi" w:hAnsiTheme="minorHAnsi" w:cstheme="minorHAnsi"/>
          <w:sz w:val="26"/>
          <w:szCs w:val="26"/>
        </w:rPr>
        <w:t xml:space="preserve"> obtains payment of benefit proceeds on the happening of the applicant’s death or in the event of her suffering </w:t>
      </w:r>
      <w:r w:rsidR="00944A6E">
        <w:rPr>
          <w:rFonts w:asciiTheme="minorHAnsi" w:hAnsiTheme="minorHAnsi" w:cstheme="minorHAnsi"/>
          <w:sz w:val="26"/>
          <w:szCs w:val="26"/>
        </w:rPr>
        <w:t xml:space="preserve">a </w:t>
      </w:r>
      <w:r w:rsidR="005F78B9">
        <w:rPr>
          <w:rFonts w:asciiTheme="minorHAnsi" w:hAnsiTheme="minorHAnsi" w:cstheme="minorHAnsi"/>
          <w:sz w:val="26"/>
          <w:szCs w:val="26"/>
        </w:rPr>
        <w:t xml:space="preserve">disability. </w:t>
      </w:r>
    </w:p>
    <w:p w:rsidR="0091783B" w:rsidRDefault="0091783B" w:rsidP="0091783B">
      <w:pPr>
        <w:pStyle w:val="ListParagraph"/>
        <w:rPr>
          <w:rFonts w:asciiTheme="minorHAnsi" w:hAnsiTheme="minorHAnsi" w:cstheme="minorHAnsi"/>
          <w:sz w:val="26"/>
          <w:szCs w:val="26"/>
        </w:rPr>
      </w:pPr>
    </w:p>
    <w:p w:rsidR="0091783B" w:rsidRPr="000E6250" w:rsidRDefault="00484CE0" w:rsidP="0091783B">
      <w:pPr>
        <w:pStyle w:val="ListParagraph"/>
        <w:numPr>
          <w:ilvl w:val="0"/>
          <w:numId w:val="3"/>
        </w:numPr>
        <w:spacing w:after="200" w:line="360" w:lineRule="auto"/>
        <w:jc w:val="both"/>
        <w:rPr>
          <w:rFonts w:asciiTheme="minorHAnsi" w:hAnsiTheme="minorHAnsi" w:cstheme="minorHAnsi"/>
          <w:sz w:val="26"/>
          <w:szCs w:val="26"/>
        </w:rPr>
      </w:pPr>
      <w:r w:rsidRPr="000E6250">
        <w:rPr>
          <w:rFonts w:asciiTheme="minorHAnsi" w:hAnsiTheme="minorHAnsi" w:cstheme="minorHAnsi"/>
          <w:sz w:val="26"/>
          <w:szCs w:val="26"/>
        </w:rPr>
        <w:t xml:space="preserve">I </w:t>
      </w:r>
      <w:r w:rsidR="003A5318">
        <w:rPr>
          <w:rFonts w:asciiTheme="minorHAnsi" w:hAnsiTheme="minorHAnsi" w:cstheme="minorHAnsi"/>
          <w:sz w:val="26"/>
          <w:szCs w:val="26"/>
        </w:rPr>
        <w:t xml:space="preserve">therefore </w:t>
      </w:r>
      <w:r w:rsidRPr="000E6250">
        <w:rPr>
          <w:rFonts w:asciiTheme="minorHAnsi" w:hAnsiTheme="minorHAnsi" w:cstheme="minorHAnsi"/>
          <w:sz w:val="26"/>
          <w:szCs w:val="26"/>
        </w:rPr>
        <w:t xml:space="preserve">agree with the respondents that it is </w:t>
      </w:r>
      <w:r w:rsidR="00944A6E" w:rsidRPr="000E6250">
        <w:rPr>
          <w:rFonts w:asciiTheme="minorHAnsi" w:hAnsiTheme="minorHAnsi" w:cstheme="minorHAnsi"/>
          <w:sz w:val="26"/>
          <w:szCs w:val="26"/>
        </w:rPr>
        <w:t>not in</w:t>
      </w:r>
      <w:r w:rsidRPr="000E6250">
        <w:rPr>
          <w:rFonts w:asciiTheme="minorHAnsi" w:hAnsiTheme="minorHAnsi" w:cstheme="minorHAnsi"/>
          <w:sz w:val="26"/>
          <w:szCs w:val="26"/>
        </w:rPr>
        <w:t xml:space="preserve">significant that the insolvent was the recipient of these funds </w:t>
      </w:r>
      <w:r w:rsidR="00AB4099" w:rsidRPr="000E6250">
        <w:rPr>
          <w:rFonts w:asciiTheme="minorHAnsi" w:hAnsiTheme="minorHAnsi" w:cstheme="minorHAnsi"/>
          <w:sz w:val="26"/>
          <w:szCs w:val="26"/>
        </w:rPr>
        <w:t>from Liberty Life (</w:t>
      </w:r>
      <w:r w:rsidRPr="000E6250">
        <w:rPr>
          <w:rFonts w:asciiTheme="minorHAnsi" w:hAnsiTheme="minorHAnsi" w:cstheme="minorHAnsi"/>
          <w:sz w:val="26"/>
          <w:szCs w:val="26"/>
        </w:rPr>
        <w:t>rather than the applicant</w:t>
      </w:r>
      <w:r w:rsidR="00AB4099" w:rsidRPr="000E6250">
        <w:rPr>
          <w:rFonts w:asciiTheme="minorHAnsi" w:hAnsiTheme="minorHAnsi" w:cstheme="minorHAnsi"/>
          <w:sz w:val="26"/>
          <w:szCs w:val="26"/>
        </w:rPr>
        <w:t>)</w:t>
      </w:r>
      <w:r w:rsidRPr="000E6250">
        <w:rPr>
          <w:rFonts w:asciiTheme="minorHAnsi" w:hAnsiTheme="minorHAnsi" w:cstheme="minorHAnsi"/>
          <w:sz w:val="26"/>
          <w:szCs w:val="26"/>
        </w:rPr>
        <w:t xml:space="preserve"> because the benefit accrued to the insolvent as owner of the policy in terms of the express wording of the policy, which states that ‘</w:t>
      </w:r>
      <w:r w:rsidRPr="000E6250">
        <w:rPr>
          <w:rFonts w:asciiTheme="minorHAnsi" w:hAnsiTheme="minorHAnsi" w:cstheme="minorHAnsi"/>
          <w:i/>
          <w:sz w:val="26"/>
          <w:szCs w:val="26"/>
        </w:rPr>
        <w:t xml:space="preserve"> except in the event of the death of</w:t>
      </w:r>
      <w:r w:rsidR="00A86FDE" w:rsidRPr="000E6250">
        <w:rPr>
          <w:rFonts w:asciiTheme="minorHAnsi" w:hAnsiTheme="minorHAnsi" w:cstheme="minorHAnsi"/>
          <w:i/>
          <w:sz w:val="26"/>
          <w:szCs w:val="26"/>
        </w:rPr>
        <w:t xml:space="preserve"> the Life Assured all benefits d</w:t>
      </w:r>
      <w:r w:rsidRPr="000E6250">
        <w:rPr>
          <w:rFonts w:asciiTheme="minorHAnsi" w:hAnsiTheme="minorHAnsi" w:cstheme="minorHAnsi"/>
          <w:i/>
          <w:sz w:val="26"/>
          <w:szCs w:val="26"/>
        </w:rPr>
        <w:t>ue will be paid to the owner</w:t>
      </w:r>
      <w:r w:rsidR="00AB4099" w:rsidRPr="000E6250">
        <w:rPr>
          <w:rFonts w:asciiTheme="minorHAnsi" w:hAnsiTheme="minorHAnsi" w:cstheme="minorHAnsi"/>
          <w:i/>
          <w:sz w:val="26"/>
          <w:szCs w:val="26"/>
        </w:rPr>
        <w:t>. … subject to any cession, the Owner may exercise all rights under this contract without the consent of any Beneficiary….’</w:t>
      </w:r>
      <w:r w:rsidR="00AB4099">
        <w:rPr>
          <w:rStyle w:val="FootnoteReference"/>
          <w:rFonts w:asciiTheme="minorHAnsi" w:hAnsiTheme="minorHAnsi" w:cstheme="minorHAnsi"/>
          <w:i/>
          <w:sz w:val="26"/>
          <w:szCs w:val="26"/>
        </w:rPr>
        <w:footnoteReference w:id="13"/>
      </w:r>
    </w:p>
    <w:p w:rsidR="0091783B" w:rsidRDefault="0091783B" w:rsidP="0091783B">
      <w:pPr>
        <w:pStyle w:val="ListParagraph"/>
        <w:rPr>
          <w:rFonts w:asciiTheme="minorHAnsi" w:hAnsiTheme="minorHAnsi" w:cstheme="minorHAnsi"/>
          <w:sz w:val="26"/>
          <w:szCs w:val="26"/>
        </w:rPr>
      </w:pPr>
    </w:p>
    <w:p w:rsidR="0091783B" w:rsidRPr="00500A12" w:rsidRDefault="00AB4099"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There is no allegation in the papers that the insolvent ceded his rights under the contract to the applicant. Absent a cession, all benefits under the policy </w:t>
      </w:r>
      <w:r w:rsidR="001F13D7">
        <w:rPr>
          <w:rFonts w:asciiTheme="minorHAnsi" w:hAnsiTheme="minorHAnsi" w:cstheme="minorHAnsi"/>
          <w:sz w:val="26"/>
          <w:szCs w:val="26"/>
        </w:rPr>
        <w:t>accrued</w:t>
      </w:r>
      <w:r>
        <w:rPr>
          <w:rFonts w:asciiTheme="minorHAnsi" w:hAnsiTheme="minorHAnsi" w:cstheme="minorHAnsi"/>
          <w:sz w:val="26"/>
          <w:szCs w:val="26"/>
        </w:rPr>
        <w:t xml:space="preserve"> to the owner</w:t>
      </w:r>
      <w:r w:rsidR="00C25FCD">
        <w:rPr>
          <w:rFonts w:asciiTheme="minorHAnsi" w:hAnsiTheme="minorHAnsi" w:cstheme="minorHAnsi"/>
          <w:sz w:val="26"/>
          <w:szCs w:val="26"/>
        </w:rPr>
        <w:t xml:space="preserve"> (i.e., </w:t>
      </w:r>
      <w:r>
        <w:rPr>
          <w:rFonts w:asciiTheme="minorHAnsi" w:hAnsiTheme="minorHAnsi" w:cstheme="minorHAnsi"/>
          <w:sz w:val="26"/>
          <w:szCs w:val="26"/>
        </w:rPr>
        <w:t>the insolvent</w:t>
      </w:r>
      <w:r w:rsidR="00C25FCD">
        <w:rPr>
          <w:rFonts w:asciiTheme="minorHAnsi" w:hAnsiTheme="minorHAnsi" w:cstheme="minorHAnsi"/>
          <w:sz w:val="26"/>
          <w:szCs w:val="26"/>
        </w:rPr>
        <w:t>)</w:t>
      </w:r>
      <w:r w:rsidR="002B4E56">
        <w:rPr>
          <w:rFonts w:asciiTheme="minorHAnsi" w:hAnsiTheme="minorHAnsi" w:cstheme="minorHAnsi"/>
          <w:sz w:val="26"/>
          <w:szCs w:val="26"/>
        </w:rPr>
        <w:t xml:space="preserve"> and </w:t>
      </w:r>
      <w:r w:rsidR="00C25FCD">
        <w:rPr>
          <w:rFonts w:asciiTheme="minorHAnsi" w:hAnsiTheme="minorHAnsi" w:cstheme="minorHAnsi"/>
          <w:sz w:val="26"/>
          <w:szCs w:val="26"/>
        </w:rPr>
        <w:t xml:space="preserve">the disability benefit was </w:t>
      </w:r>
      <w:r w:rsidR="004C32CB">
        <w:rPr>
          <w:rFonts w:asciiTheme="minorHAnsi" w:hAnsiTheme="minorHAnsi" w:cstheme="minorHAnsi"/>
          <w:sz w:val="26"/>
          <w:szCs w:val="26"/>
        </w:rPr>
        <w:t xml:space="preserve">thus rightfully </w:t>
      </w:r>
      <w:r w:rsidR="002B4E56">
        <w:rPr>
          <w:rFonts w:asciiTheme="minorHAnsi" w:hAnsiTheme="minorHAnsi" w:cstheme="minorHAnsi"/>
          <w:sz w:val="26"/>
          <w:szCs w:val="26"/>
        </w:rPr>
        <w:t>paid by the insurer to the insolvent</w:t>
      </w:r>
      <w:r>
        <w:rPr>
          <w:rFonts w:asciiTheme="minorHAnsi" w:hAnsiTheme="minorHAnsi" w:cstheme="minorHAnsi"/>
          <w:sz w:val="26"/>
          <w:szCs w:val="26"/>
        </w:rPr>
        <w:t>.</w:t>
      </w:r>
      <w:r w:rsidR="001F13D7">
        <w:rPr>
          <w:rFonts w:asciiTheme="minorHAnsi" w:hAnsiTheme="minorHAnsi" w:cstheme="minorHAnsi"/>
          <w:sz w:val="26"/>
          <w:szCs w:val="26"/>
        </w:rPr>
        <w:t xml:space="preserve"> The applicant</w:t>
      </w:r>
      <w:r w:rsidR="003A5318">
        <w:rPr>
          <w:rFonts w:asciiTheme="minorHAnsi" w:hAnsiTheme="minorHAnsi" w:cstheme="minorHAnsi"/>
          <w:sz w:val="26"/>
          <w:szCs w:val="26"/>
        </w:rPr>
        <w:t>’s</w:t>
      </w:r>
      <w:r w:rsidR="001F13D7">
        <w:rPr>
          <w:rFonts w:asciiTheme="minorHAnsi" w:hAnsiTheme="minorHAnsi" w:cstheme="minorHAnsi"/>
          <w:sz w:val="26"/>
          <w:szCs w:val="26"/>
        </w:rPr>
        <w:t xml:space="preserve"> case </w:t>
      </w:r>
      <w:r w:rsidR="003A5318">
        <w:rPr>
          <w:rFonts w:asciiTheme="minorHAnsi" w:hAnsiTheme="minorHAnsi" w:cstheme="minorHAnsi"/>
          <w:sz w:val="26"/>
          <w:szCs w:val="26"/>
        </w:rPr>
        <w:t xml:space="preserve">was </w:t>
      </w:r>
      <w:r w:rsidR="003A5318">
        <w:rPr>
          <w:rFonts w:asciiTheme="minorHAnsi" w:hAnsiTheme="minorHAnsi" w:cstheme="minorHAnsi"/>
          <w:i/>
          <w:sz w:val="26"/>
          <w:szCs w:val="26"/>
        </w:rPr>
        <w:t xml:space="preserve">not </w:t>
      </w:r>
      <w:r w:rsidR="001F13D7">
        <w:rPr>
          <w:rFonts w:asciiTheme="minorHAnsi" w:hAnsiTheme="minorHAnsi" w:cstheme="minorHAnsi"/>
          <w:sz w:val="26"/>
          <w:szCs w:val="26"/>
        </w:rPr>
        <w:t>that the policy constituted a contract for the benefit of a third party (</w:t>
      </w:r>
      <w:r w:rsidR="002B4E56">
        <w:rPr>
          <w:rFonts w:asciiTheme="minorHAnsi" w:hAnsiTheme="minorHAnsi" w:cstheme="minorHAnsi"/>
          <w:sz w:val="26"/>
          <w:szCs w:val="26"/>
        </w:rPr>
        <w:t>i.e.,</w:t>
      </w:r>
      <w:r w:rsidR="00C25FCD">
        <w:rPr>
          <w:rFonts w:asciiTheme="minorHAnsi" w:hAnsiTheme="minorHAnsi" w:cstheme="minorHAnsi"/>
          <w:sz w:val="26"/>
          <w:szCs w:val="26"/>
        </w:rPr>
        <w:t xml:space="preserve"> </w:t>
      </w:r>
      <w:r w:rsidR="001F13D7">
        <w:rPr>
          <w:rFonts w:asciiTheme="minorHAnsi" w:hAnsiTheme="minorHAnsi" w:cstheme="minorHAnsi"/>
          <w:sz w:val="26"/>
          <w:szCs w:val="26"/>
        </w:rPr>
        <w:t>the applicant).</w:t>
      </w:r>
      <w:r w:rsidR="001F13D7">
        <w:rPr>
          <w:rStyle w:val="FootnoteReference"/>
          <w:rFonts w:asciiTheme="minorHAnsi" w:hAnsiTheme="minorHAnsi" w:cstheme="minorHAnsi"/>
          <w:sz w:val="26"/>
          <w:szCs w:val="26"/>
        </w:rPr>
        <w:footnoteReference w:id="14"/>
      </w:r>
      <w:r w:rsidR="001F13D7">
        <w:rPr>
          <w:rFonts w:asciiTheme="minorHAnsi" w:hAnsiTheme="minorHAnsi" w:cstheme="minorHAnsi"/>
          <w:sz w:val="26"/>
          <w:szCs w:val="26"/>
        </w:rPr>
        <w:t xml:space="preserve"> The</w:t>
      </w:r>
      <w:r w:rsidR="00854088">
        <w:rPr>
          <w:rFonts w:asciiTheme="minorHAnsi" w:hAnsiTheme="minorHAnsi" w:cstheme="minorHAnsi"/>
          <w:sz w:val="26"/>
          <w:szCs w:val="26"/>
        </w:rPr>
        <w:t>re is a difference between an insurance contract in favour of a third party and one that is for the benefit of the insured.</w:t>
      </w:r>
      <w:r w:rsidR="00872FBB">
        <w:rPr>
          <w:rStyle w:val="FootnoteReference"/>
          <w:rFonts w:asciiTheme="minorHAnsi" w:hAnsiTheme="minorHAnsi" w:cstheme="minorHAnsi"/>
          <w:sz w:val="26"/>
          <w:szCs w:val="26"/>
        </w:rPr>
        <w:footnoteReference w:id="15"/>
      </w:r>
      <w:r w:rsidR="00854088">
        <w:rPr>
          <w:rFonts w:asciiTheme="minorHAnsi" w:hAnsiTheme="minorHAnsi" w:cstheme="minorHAnsi"/>
          <w:sz w:val="26"/>
          <w:szCs w:val="26"/>
        </w:rPr>
        <w:t xml:space="preserve"> A contract for the benefit of the insured is one where the insured (insolvent in this case) is the policy holder and owner in circumstances where a sum of money is paid out to the insured so that the insured has access to funds when a certain event (i.e., a disability) occurs.</w:t>
      </w:r>
      <w:r w:rsidR="00854088">
        <w:rPr>
          <w:rStyle w:val="FootnoteReference"/>
          <w:rFonts w:asciiTheme="minorHAnsi" w:hAnsiTheme="minorHAnsi" w:cstheme="minorHAnsi"/>
          <w:sz w:val="26"/>
          <w:szCs w:val="26"/>
        </w:rPr>
        <w:footnoteReference w:id="16"/>
      </w:r>
      <w:r w:rsidR="00854088">
        <w:rPr>
          <w:rFonts w:asciiTheme="minorHAnsi" w:hAnsiTheme="minorHAnsi" w:cstheme="minorHAnsi"/>
          <w:sz w:val="26"/>
          <w:szCs w:val="26"/>
        </w:rPr>
        <w:t xml:space="preserve"> The contract </w:t>
      </w:r>
      <w:r w:rsidR="00854088" w:rsidRPr="00C25FCD">
        <w:rPr>
          <w:rFonts w:asciiTheme="minorHAnsi" w:hAnsiTheme="minorHAnsi" w:cstheme="minorHAnsi"/>
          <w:i/>
          <w:sz w:val="26"/>
          <w:szCs w:val="26"/>
        </w:rPr>
        <w:t>in</w:t>
      </w:r>
      <w:r w:rsidR="00854088">
        <w:rPr>
          <w:rFonts w:asciiTheme="minorHAnsi" w:hAnsiTheme="minorHAnsi" w:cstheme="minorHAnsi"/>
          <w:sz w:val="26"/>
          <w:szCs w:val="26"/>
        </w:rPr>
        <w:t xml:space="preserve"> </w:t>
      </w:r>
      <w:r w:rsidR="00854088">
        <w:rPr>
          <w:rFonts w:asciiTheme="minorHAnsi" w:hAnsiTheme="minorHAnsi" w:cstheme="minorHAnsi"/>
          <w:i/>
          <w:sz w:val="26"/>
          <w:szCs w:val="26"/>
        </w:rPr>
        <w:t xml:space="preserve">casu </w:t>
      </w:r>
      <w:r w:rsidR="00854088">
        <w:rPr>
          <w:rFonts w:asciiTheme="minorHAnsi" w:hAnsiTheme="minorHAnsi" w:cstheme="minorHAnsi"/>
          <w:sz w:val="26"/>
          <w:szCs w:val="26"/>
        </w:rPr>
        <w:t>provides for payment to the insured (the insolvent) in the event that the second life assured suffers a capital disability. In such circumstances, the payment of R2.</w:t>
      </w:r>
      <w:r w:rsidR="008E6A6C">
        <w:rPr>
          <w:rFonts w:asciiTheme="minorHAnsi" w:hAnsiTheme="minorHAnsi" w:cstheme="minorHAnsi"/>
          <w:sz w:val="26"/>
          <w:szCs w:val="26"/>
        </w:rPr>
        <w:t>160</w:t>
      </w:r>
      <w:r w:rsidR="00854088">
        <w:rPr>
          <w:rFonts w:asciiTheme="minorHAnsi" w:hAnsiTheme="minorHAnsi" w:cstheme="minorHAnsi"/>
          <w:sz w:val="26"/>
          <w:szCs w:val="26"/>
        </w:rPr>
        <w:t xml:space="preserve"> million </w:t>
      </w:r>
      <w:r w:rsidR="008E6A6C">
        <w:rPr>
          <w:rFonts w:asciiTheme="minorHAnsi" w:hAnsiTheme="minorHAnsi" w:cstheme="minorHAnsi"/>
          <w:sz w:val="26"/>
          <w:szCs w:val="26"/>
        </w:rPr>
        <w:t xml:space="preserve">by the insurer </w:t>
      </w:r>
      <w:r w:rsidR="00854088">
        <w:rPr>
          <w:rFonts w:asciiTheme="minorHAnsi" w:hAnsiTheme="minorHAnsi" w:cstheme="minorHAnsi"/>
          <w:sz w:val="26"/>
          <w:szCs w:val="26"/>
        </w:rPr>
        <w:t>to the insolvent validly formed part of his estate and did not belong to the applicant.</w:t>
      </w:r>
      <w:r w:rsidR="004C32CB">
        <w:rPr>
          <w:rFonts w:asciiTheme="minorHAnsi" w:hAnsiTheme="minorHAnsi" w:cstheme="minorHAnsi"/>
          <w:sz w:val="26"/>
          <w:szCs w:val="26"/>
        </w:rPr>
        <w:t xml:space="preserve"> The ineluctable consequence is that the applicant has failed to demonstrate that she </w:t>
      </w:r>
      <w:r w:rsidR="008E6A6C">
        <w:rPr>
          <w:rFonts w:asciiTheme="minorHAnsi" w:hAnsiTheme="minorHAnsi" w:cstheme="minorHAnsi"/>
          <w:sz w:val="26"/>
          <w:szCs w:val="26"/>
        </w:rPr>
        <w:t xml:space="preserve">acquired ownership of the funds on the basis that the policy benefits accrued to her </w:t>
      </w:r>
      <w:r w:rsidR="007E3A4D">
        <w:rPr>
          <w:rFonts w:asciiTheme="minorHAnsi" w:hAnsiTheme="minorHAnsi" w:cstheme="minorHAnsi"/>
          <w:sz w:val="26"/>
          <w:szCs w:val="26"/>
        </w:rPr>
        <w:t xml:space="preserve">in terms of the relevant policy </w:t>
      </w:r>
      <w:r w:rsidR="003A5318">
        <w:rPr>
          <w:rFonts w:asciiTheme="minorHAnsi" w:hAnsiTheme="minorHAnsi" w:cstheme="minorHAnsi"/>
          <w:sz w:val="26"/>
          <w:szCs w:val="26"/>
        </w:rPr>
        <w:t>or</w:t>
      </w:r>
      <w:r w:rsidR="00EE3FA8">
        <w:rPr>
          <w:rFonts w:asciiTheme="minorHAnsi" w:hAnsiTheme="minorHAnsi" w:cstheme="minorHAnsi"/>
          <w:sz w:val="26"/>
          <w:szCs w:val="26"/>
        </w:rPr>
        <w:t xml:space="preserve"> were deposited into the bank account of the insolvent in error</w:t>
      </w:r>
      <w:r w:rsidR="008E6A6C">
        <w:rPr>
          <w:rFonts w:asciiTheme="minorHAnsi" w:hAnsiTheme="minorHAnsi" w:cstheme="minorHAnsi"/>
          <w:sz w:val="26"/>
          <w:szCs w:val="26"/>
        </w:rPr>
        <w:t>.</w:t>
      </w:r>
    </w:p>
    <w:p w:rsidR="0091783B" w:rsidRDefault="0091783B" w:rsidP="0091783B">
      <w:pPr>
        <w:pStyle w:val="ListParagraph"/>
        <w:rPr>
          <w:rFonts w:asciiTheme="minorHAnsi" w:hAnsiTheme="minorHAnsi" w:cstheme="minorHAnsi"/>
          <w:sz w:val="26"/>
          <w:szCs w:val="26"/>
        </w:rPr>
      </w:pPr>
    </w:p>
    <w:p w:rsidR="0091783B" w:rsidRDefault="00EE3FA8"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However, this</w:t>
      </w:r>
      <w:r w:rsidR="002B4E56">
        <w:rPr>
          <w:rFonts w:asciiTheme="minorHAnsi" w:hAnsiTheme="minorHAnsi" w:cstheme="minorHAnsi"/>
          <w:sz w:val="26"/>
          <w:szCs w:val="26"/>
        </w:rPr>
        <w:t xml:space="preserve"> is not the end of the inquiry. </w:t>
      </w:r>
      <w:r w:rsidR="004B18B9">
        <w:rPr>
          <w:rFonts w:asciiTheme="minorHAnsi" w:hAnsiTheme="minorHAnsi" w:cstheme="minorHAnsi"/>
          <w:sz w:val="26"/>
          <w:szCs w:val="26"/>
        </w:rPr>
        <w:t>An</w:t>
      </w:r>
      <w:r w:rsidR="002B4E56">
        <w:rPr>
          <w:rFonts w:asciiTheme="minorHAnsi" w:hAnsiTheme="minorHAnsi" w:cstheme="minorHAnsi"/>
          <w:sz w:val="26"/>
          <w:szCs w:val="26"/>
        </w:rPr>
        <w:t xml:space="preserve"> alternative claim is pursued </w:t>
      </w:r>
      <w:r w:rsidR="002B4E56" w:rsidRPr="002B4E56">
        <w:rPr>
          <w:rFonts w:asciiTheme="minorHAnsi" w:hAnsiTheme="minorHAnsi" w:cstheme="minorHAnsi"/>
          <w:color w:val="000000"/>
          <w:sz w:val="26"/>
          <w:szCs w:val="26"/>
        </w:rPr>
        <w:t xml:space="preserve">in the event that </w:t>
      </w:r>
      <w:r w:rsidR="002B4E56">
        <w:rPr>
          <w:rFonts w:asciiTheme="minorHAnsi" w:hAnsiTheme="minorHAnsi" w:cstheme="minorHAnsi"/>
          <w:color w:val="000000"/>
          <w:sz w:val="26"/>
          <w:szCs w:val="26"/>
        </w:rPr>
        <w:t>th</w:t>
      </w:r>
      <w:r w:rsidR="004B18B9">
        <w:rPr>
          <w:rFonts w:asciiTheme="minorHAnsi" w:hAnsiTheme="minorHAnsi" w:cstheme="minorHAnsi"/>
          <w:color w:val="000000"/>
          <w:sz w:val="26"/>
          <w:szCs w:val="26"/>
        </w:rPr>
        <w:t>is</w:t>
      </w:r>
      <w:r w:rsidR="002B4E56">
        <w:rPr>
          <w:rFonts w:asciiTheme="minorHAnsi" w:hAnsiTheme="minorHAnsi" w:cstheme="minorHAnsi"/>
          <w:color w:val="000000"/>
          <w:sz w:val="26"/>
          <w:szCs w:val="26"/>
        </w:rPr>
        <w:t xml:space="preserve"> court finds</w:t>
      </w:r>
      <w:r w:rsidR="002B4E56" w:rsidRPr="002B4E56">
        <w:rPr>
          <w:rFonts w:asciiTheme="minorHAnsi" w:hAnsiTheme="minorHAnsi" w:cstheme="minorHAnsi"/>
          <w:color w:val="000000"/>
          <w:sz w:val="26"/>
          <w:szCs w:val="26"/>
        </w:rPr>
        <w:t xml:space="preserve"> that </w:t>
      </w:r>
      <w:r>
        <w:rPr>
          <w:rFonts w:asciiTheme="minorHAnsi" w:hAnsiTheme="minorHAnsi" w:cstheme="minorHAnsi"/>
          <w:color w:val="000000"/>
          <w:sz w:val="26"/>
          <w:szCs w:val="26"/>
        </w:rPr>
        <w:t>t</w:t>
      </w:r>
      <w:r w:rsidR="002B4E56" w:rsidRPr="002B4E56">
        <w:rPr>
          <w:rFonts w:asciiTheme="minorHAnsi" w:hAnsiTheme="minorHAnsi" w:cstheme="minorHAnsi"/>
          <w:color w:val="000000"/>
          <w:sz w:val="26"/>
          <w:szCs w:val="26"/>
        </w:rPr>
        <w:t xml:space="preserve">he </w:t>
      </w:r>
      <w:r>
        <w:rPr>
          <w:rFonts w:asciiTheme="minorHAnsi" w:hAnsiTheme="minorHAnsi" w:cstheme="minorHAnsi"/>
          <w:color w:val="000000"/>
          <w:sz w:val="26"/>
          <w:szCs w:val="26"/>
        </w:rPr>
        <w:t xml:space="preserve">applicant </w:t>
      </w:r>
      <w:r w:rsidR="002B4E56" w:rsidRPr="002B4E56">
        <w:rPr>
          <w:rFonts w:asciiTheme="minorHAnsi" w:hAnsiTheme="minorHAnsi" w:cstheme="minorHAnsi"/>
          <w:color w:val="000000"/>
          <w:sz w:val="26"/>
          <w:szCs w:val="26"/>
        </w:rPr>
        <w:t xml:space="preserve">did not acquire ownership of the </w:t>
      </w:r>
      <w:r>
        <w:rPr>
          <w:rFonts w:asciiTheme="minorHAnsi" w:hAnsiTheme="minorHAnsi" w:cstheme="minorHAnsi"/>
          <w:color w:val="000000"/>
          <w:sz w:val="26"/>
          <w:szCs w:val="26"/>
        </w:rPr>
        <w:t>funds deposited by the insolvent into her maximiser account</w:t>
      </w:r>
      <w:r w:rsidR="002B4E56" w:rsidRPr="002B4E56">
        <w:rPr>
          <w:rFonts w:asciiTheme="minorHAnsi" w:hAnsiTheme="minorHAnsi" w:cstheme="minorHAnsi"/>
          <w:color w:val="000000"/>
          <w:sz w:val="26"/>
          <w:szCs w:val="26"/>
        </w:rPr>
        <w:t>. In such event, she seeks an order directing that the monies constitute policy benefits which are excluded from attachment pursuant to the provisions of s 63(1)(a) of the LTI Act.</w:t>
      </w:r>
      <w:r w:rsidR="004B18B9">
        <w:rPr>
          <w:rStyle w:val="FootnoteReference"/>
          <w:rFonts w:asciiTheme="minorHAnsi" w:hAnsiTheme="minorHAnsi" w:cstheme="minorHAnsi"/>
          <w:color w:val="000000"/>
          <w:sz w:val="26"/>
          <w:szCs w:val="26"/>
        </w:rPr>
        <w:footnoteReference w:id="17"/>
      </w:r>
    </w:p>
    <w:p w:rsidR="0091783B" w:rsidRDefault="0091783B" w:rsidP="0091783B">
      <w:pPr>
        <w:pStyle w:val="ListParagraph"/>
        <w:rPr>
          <w:rFonts w:asciiTheme="minorHAnsi" w:hAnsiTheme="minorHAnsi" w:cstheme="minorHAnsi"/>
          <w:sz w:val="26"/>
          <w:szCs w:val="26"/>
        </w:rPr>
      </w:pPr>
    </w:p>
    <w:p w:rsidR="00B64E2D" w:rsidRPr="005B0AB9" w:rsidRDefault="00E65445" w:rsidP="0091783B">
      <w:pPr>
        <w:pStyle w:val="ListParagraph"/>
        <w:numPr>
          <w:ilvl w:val="0"/>
          <w:numId w:val="3"/>
        </w:numPr>
        <w:spacing w:after="200" w:line="360" w:lineRule="auto"/>
        <w:jc w:val="both"/>
        <w:rPr>
          <w:rFonts w:asciiTheme="minorHAnsi" w:hAnsiTheme="minorHAnsi" w:cstheme="minorHAnsi"/>
          <w:sz w:val="26"/>
          <w:szCs w:val="26"/>
        </w:rPr>
      </w:pPr>
      <w:r w:rsidRPr="005B0AB9">
        <w:rPr>
          <w:rFonts w:asciiTheme="minorHAnsi" w:hAnsiTheme="minorHAnsi" w:cstheme="minorHAnsi"/>
          <w:sz w:val="26"/>
          <w:szCs w:val="26"/>
        </w:rPr>
        <w:t xml:space="preserve">I pause to mention that </w:t>
      </w:r>
      <w:r w:rsidR="004C32CB" w:rsidRPr="005B0AB9">
        <w:rPr>
          <w:rFonts w:asciiTheme="minorHAnsi" w:hAnsiTheme="minorHAnsi" w:cstheme="minorHAnsi"/>
          <w:sz w:val="26"/>
          <w:szCs w:val="26"/>
        </w:rPr>
        <w:t xml:space="preserve">the respondents </w:t>
      </w:r>
      <w:r w:rsidR="002B1D32">
        <w:rPr>
          <w:rFonts w:asciiTheme="minorHAnsi" w:hAnsiTheme="minorHAnsi" w:cstheme="minorHAnsi"/>
          <w:sz w:val="26"/>
          <w:szCs w:val="26"/>
        </w:rPr>
        <w:t>aver that</w:t>
      </w:r>
      <w:r w:rsidR="004C32CB" w:rsidRPr="005B0AB9">
        <w:rPr>
          <w:rFonts w:asciiTheme="minorHAnsi" w:hAnsiTheme="minorHAnsi" w:cstheme="minorHAnsi"/>
          <w:sz w:val="26"/>
          <w:szCs w:val="26"/>
        </w:rPr>
        <w:t xml:space="preserve"> </w:t>
      </w:r>
      <w:r w:rsidRPr="005B0AB9">
        <w:rPr>
          <w:rFonts w:asciiTheme="minorHAnsi" w:hAnsiTheme="minorHAnsi" w:cstheme="minorHAnsi"/>
          <w:sz w:val="26"/>
          <w:szCs w:val="26"/>
        </w:rPr>
        <w:t xml:space="preserve">any funds emanating from the </w:t>
      </w:r>
      <w:r w:rsidR="00B36466" w:rsidRPr="005B0AB9">
        <w:rPr>
          <w:rFonts w:asciiTheme="minorHAnsi" w:hAnsiTheme="minorHAnsi" w:cstheme="minorHAnsi"/>
          <w:sz w:val="26"/>
          <w:szCs w:val="26"/>
        </w:rPr>
        <w:t xml:space="preserve">Liberty Life </w:t>
      </w:r>
      <w:r w:rsidRPr="005B0AB9">
        <w:rPr>
          <w:rFonts w:asciiTheme="minorHAnsi" w:hAnsiTheme="minorHAnsi" w:cstheme="minorHAnsi"/>
          <w:sz w:val="26"/>
          <w:szCs w:val="26"/>
        </w:rPr>
        <w:t xml:space="preserve">policy were depleted in their entirety prior to the attachment </w:t>
      </w:r>
      <w:r w:rsidR="00B36466" w:rsidRPr="005B0AB9">
        <w:rPr>
          <w:rFonts w:asciiTheme="minorHAnsi" w:hAnsiTheme="minorHAnsi" w:cstheme="minorHAnsi"/>
          <w:sz w:val="26"/>
          <w:szCs w:val="26"/>
        </w:rPr>
        <w:t xml:space="preserve">by the respondents in August 2019 </w:t>
      </w:r>
      <w:r w:rsidRPr="005B0AB9">
        <w:rPr>
          <w:rFonts w:asciiTheme="minorHAnsi" w:hAnsiTheme="minorHAnsi" w:cstheme="minorHAnsi"/>
          <w:sz w:val="26"/>
          <w:szCs w:val="26"/>
        </w:rPr>
        <w:t xml:space="preserve">of monies </w:t>
      </w:r>
      <w:r w:rsidR="007E3A4D" w:rsidRPr="005B0AB9">
        <w:rPr>
          <w:rFonts w:asciiTheme="minorHAnsi" w:hAnsiTheme="minorHAnsi" w:cstheme="minorHAnsi"/>
          <w:sz w:val="26"/>
          <w:szCs w:val="26"/>
        </w:rPr>
        <w:t>that remained</w:t>
      </w:r>
      <w:r w:rsidRPr="005B0AB9">
        <w:rPr>
          <w:rFonts w:asciiTheme="minorHAnsi" w:hAnsiTheme="minorHAnsi" w:cstheme="minorHAnsi"/>
          <w:sz w:val="26"/>
          <w:szCs w:val="26"/>
        </w:rPr>
        <w:t xml:space="preserve"> in the FNB maximiser account</w:t>
      </w:r>
      <w:r w:rsidR="00B36466" w:rsidRPr="005B0AB9">
        <w:rPr>
          <w:rFonts w:asciiTheme="minorHAnsi" w:hAnsiTheme="minorHAnsi" w:cstheme="minorHAnsi"/>
          <w:sz w:val="26"/>
          <w:szCs w:val="26"/>
        </w:rPr>
        <w:t>.</w:t>
      </w:r>
      <w:r w:rsidRPr="005B0AB9">
        <w:rPr>
          <w:rFonts w:asciiTheme="minorHAnsi" w:hAnsiTheme="minorHAnsi" w:cstheme="minorHAnsi"/>
          <w:sz w:val="26"/>
          <w:szCs w:val="26"/>
        </w:rPr>
        <w:t xml:space="preserve"> </w:t>
      </w:r>
      <w:r w:rsidR="00B36466" w:rsidRPr="005B0AB9">
        <w:rPr>
          <w:rFonts w:asciiTheme="minorHAnsi" w:hAnsiTheme="minorHAnsi" w:cstheme="minorHAnsi"/>
          <w:sz w:val="26"/>
          <w:szCs w:val="26"/>
        </w:rPr>
        <w:t xml:space="preserve">The respondents demonstrate this by reference to various transactions </w:t>
      </w:r>
      <w:r w:rsidR="00A86FDE" w:rsidRPr="005B0AB9">
        <w:rPr>
          <w:rFonts w:asciiTheme="minorHAnsi" w:hAnsiTheme="minorHAnsi" w:cstheme="minorHAnsi"/>
          <w:sz w:val="26"/>
          <w:szCs w:val="26"/>
        </w:rPr>
        <w:t xml:space="preserve">that were effected </w:t>
      </w:r>
      <w:r w:rsidR="00C25FCD" w:rsidRPr="005B0AB9">
        <w:rPr>
          <w:rFonts w:asciiTheme="minorHAnsi" w:hAnsiTheme="minorHAnsi" w:cstheme="minorHAnsi"/>
          <w:sz w:val="26"/>
          <w:szCs w:val="26"/>
        </w:rPr>
        <w:t xml:space="preserve">over several months </w:t>
      </w:r>
      <w:r w:rsidR="00B36466" w:rsidRPr="005B0AB9">
        <w:rPr>
          <w:rFonts w:asciiTheme="minorHAnsi" w:hAnsiTheme="minorHAnsi" w:cstheme="minorHAnsi"/>
          <w:sz w:val="26"/>
          <w:szCs w:val="26"/>
        </w:rPr>
        <w:t>in the</w:t>
      </w:r>
      <w:r w:rsidR="00A86FDE" w:rsidRPr="005B0AB9">
        <w:rPr>
          <w:rFonts w:asciiTheme="minorHAnsi" w:hAnsiTheme="minorHAnsi" w:cstheme="minorHAnsi"/>
          <w:sz w:val="26"/>
          <w:szCs w:val="26"/>
        </w:rPr>
        <w:t xml:space="preserve"> bank </w:t>
      </w:r>
      <w:r w:rsidR="00B36466" w:rsidRPr="005B0AB9">
        <w:rPr>
          <w:rFonts w:asciiTheme="minorHAnsi" w:hAnsiTheme="minorHAnsi" w:cstheme="minorHAnsi"/>
          <w:sz w:val="26"/>
          <w:szCs w:val="26"/>
        </w:rPr>
        <w:t xml:space="preserve">accounts of the applicant. The </w:t>
      </w:r>
      <w:r w:rsidR="003A5318" w:rsidRPr="005B0AB9">
        <w:rPr>
          <w:rFonts w:asciiTheme="minorHAnsi" w:hAnsiTheme="minorHAnsi" w:cstheme="minorHAnsi"/>
          <w:sz w:val="26"/>
          <w:szCs w:val="26"/>
        </w:rPr>
        <w:t>specific</w:t>
      </w:r>
      <w:r w:rsidR="00A86FDE" w:rsidRPr="005B0AB9">
        <w:rPr>
          <w:rFonts w:asciiTheme="minorHAnsi" w:hAnsiTheme="minorHAnsi" w:cstheme="minorHAnsi"/>
          <w:sz w:val="26"/>
          <w:szCs w:val="26"/>
        </w:rPr>
        <w:t xml:space="preserve"> </w:t>
      </w:r>
      <w:r w:rsidR="00B36466" w:rsidRPr="005B0AB9">
        <w:rPr>
          <w:rFonts w:asciiTheme="minorHAnsi" w:hAnsiTheme="minorHAnsi" w:cstheme="minorHAnsi"/>
          <w:sz w:val="26"/>
          <w:szCs w:val="26"/>
        </w:rPr>
        <w:t xml:space="preserve">allegations were not seriously disputed </w:t>
      </w:r>
      <w:r w:rsidR="00A86FDE" w:rsidRPr="005B0AB9">
        <w:rPr>
          <w:rFonts w:asciiTheme="minorHAnsi" w:hAnsiTheme="minorHAnsi" w:cstheme="minorHAnsi"/>
          <w:sz w:val="26"/>
          <w:szCs w:val="26"/>
        </w:rPr>
        <w:t xml:space="preserve">by the applicant </w:t>
      </w:r>
      <w:r w:rsidR="00B36466" w:rsidRPr="005B0AB9">
        <w:rPr>
          <w:rFonts w:asciiTheme="minorHAnsi" w:hAnsiTheme="minorHAnsi" w:cstheme="minorHAnsi"/>
          <w:sz w:val="26"/>
          <w:szCs w:val="26"/>
        </w:rPr>
        <w:t xml:space="preserve">in </w:t>
      </w:r>
      <w:r w:rsidR="003A5318" w:rsidRPr="005B0AB9">
        <w:rPr>
          <w:rFonts w:asciiTheme="minorHAnsi" w:hAnsiTheme="minorHAnsi" w:cstheme="minorHAnsi"/>
          <w:sz w:val="26"/>
          <w:szCs w:val="26"/>
        </w:rPr>
        <w:t>her</w:t>
      </w:r>
      <w:r w:rsidR="00B36466" w:rsidRPr="005B0AB9">
        <w:rPr>
          <w:rFonts w:asciiTheme="minorHAnsi" w:hAnsiTheme="minorHAnsi" w:cstheme="minorHAnsi"/>
          <w:sz w:val="26"/>
          <w:szCs w:val="26"/>
        </w:rPr>
        <w:t xml:space="preserve"> replying affidavit</w:t>
      </w:r>
      <w:r w:rsidR="002B1D32">
        <w:rPr>
          <w:rFonts w:asciiTheme="minorHAnsi" w:hAnsiTheme="minorHAnsi" w:cstheme="minorHAnsi"/>
          <w:sz w:val="26"/>
          <w:szCs w:val="26"/>
        </w:rPr>
        <w:t>,</w:t>
      </w:r>
      <w:r w:rsidR="003A5318" w:rsidRPr="005B0AB9">
        <w:rPr>
          <w:rFonts w:asciiTheme="minorHAnsi" w:hAnsiTheme="minorHAnsi" w:cstheme="minorHAnsi"/>
          <w:sz w:val="26"/>
          <w:szCs w:val="26"/>
        </w:rPr>
        <w:t xml:space="preserve"> although an argument was </w:t>
      </w:r>
      <w:r w:rsidR="002B1D32">
        <w:rPr>
          <w:rFonts w:asciiTheme="minorHAnsi" w:hAnsiTheme="minorHAnsi" w:cstheme="minorHAnsi"/>
          <w:sz w:val="26"/>
          <w:szCs w:val="26"/>
        </w:rPr>
        <w:t>presented</w:t>
      </w:r>
      <w:r w:rsidR="003A5318" w:rsidRPr="005B0AB9">
        <w:rPr>
          <w:rFonts w:asciiTheme="minorHAnsi" w:hAnsiTheme="minorHAnsi" w:cstheme="minorHAnsi"/>
          <w:sz w:val="26"/>
          <w:szCs w:val="26"/>
        </w:rPr>
        <w:t xml:space="preserve"> on her behalf </w:t>
      </w:r>
      <w:r w:rsidR="00AB266A" w:rsidRPr="005B0AB9">
        <w:rPr>
          <w:rFonts w:asciiTheme="minorHAnsi" w:hAnsiTheme="minorHAnsi" w:cstheme="minorHAnsi"/>
          <w:sz w:val="26"/>
          <w:szCs w:val="26"/>
        </w:rPr>
        <w:t xml:space="preserve">at the hearing of the matter </w:t>
      </w:r>
      <w:r w:rsidR="003A5318" w:rsidRPr="005B0AB9">
        <w:rPr>
          <w:rFonts w:asciiTheme="minorHAnsi" w:hAnsiTheme="minorHAnsi" w:cstheme="minorHAnsi"/>
          <w:sz w:val="26"/>
          <w:szCs w:val="26"/>
        </w:rPr>
        <w:t>to the effect that any funds comprising policy benefits</w:t>
      </w:r>
      <w:r w:rsidR="002B1D32">
        <w:rPr>
          <w:rFonts w:asciiTheme="minorHAnsi" w:hAnsiTheme="minorHAnsi" w:cstheme="minorHAnsi"/>
          <w:sz w:val="26"/>
          <w:szCs w:val="26"/>
        </w:rPr>
        <w:t>,</w:t>
      </w:r>
      <w:r w:rsidR="00AB266A" w:rsidRPr="005B0AB9">
        <w:rPr>
          <w:rFonts w:asciiTheme="minorHAnsi" w:hAnsiTheme="minorHAnsi" w:cstheme="minorHAnsi"/>
          <w:sz w:val="26"/>
          <w:szCs w:val="26"/>
        </w:rPr>
        <w:t xml:space="preserve"> which were protected by virtue of s 63 of the LTI Act, </w:t>
      </w:r>
      <w:r w:rsidR="003A5318" w:rsidRPr="005B0AB9">
        <w:rPr>
          <w:rFonts w:asciiTheme="minorHAnsi" w:hAnsiTheme="minorHAnsi" w:cstheme="minorHAnsi"/>
          <w:sz w:val="26"/>
          <w:szCs w:val="26"/>
        </w:rPr>
        <w:t xml:space="preserve">became the property of the applicant by operation of the principle of </w:t>
      </w:r>
      <w:r w:rsidR="003A5318" w:rsidRPr="005B0AB9">
        <w:rPr>
          <w:rFonts w:asciiTheme="minorHAnsi" w:hAnsiTheme="minorHAnsi" w:cstheme="minorHAnsi"/>
          <w:i/>
          <w:sz w:val="26"/>
          <w:szCs w:val="26"/>
        </w:rPr>
        <w:t>commixtio</w:t>
      </w:r>
      <w:r w:rsidR="002B1D32">
        <w:rPr>
          <w:rFonts w:asciiTheme="minorHAnsi" w:hAnsiTheme="minorHAnsi" w:cstheme="minorHAnsi"/>
          <w:i/>
          <w:sz w:val="26"/>
          <w:szCs w:val="26"/>
        </w:rPr>
        <w:t xml:space="preserve"> </w:t>
      </w:r>
      <w:r w:rsidR="002B1D32" w:rsidRPr="002B1D32">
        <w:rPr>
          <w:rFonts w:asciiTheme="minorHAnsi" w:hAnsiTheme="minorHAnsi" w:cstheme="minorHAnsi"/>
          <w:sz w:val="26"/>
          <w:szCs w:val="26"/>
        </w:rPr>
        <w:t xml:space="preserve">when they </w:t>
      </w:r>
      <w:r w:rsidR="00506D7E">
        <w:rPr>
          <w:rFonts w:asciiTheme="minorHAnsi" w:hAnsiTheme="minorHAnsi" w:cstheme="minorHAnsi"/>
          <w:sz w:val="26"/>
          <w:szCs w:val="26"/>
        </w:rPr>
        <w:t>became</w:t>
      </w:r>
      <w:r w:rsidR="002B1D32" w:rsidRPr="002B1D32">
        <w:rPr>
          <w:rFonts w:asciiTheme="minorHAnsi" w:hAnsiTheme="minorHAnsi" w:cstheme="minorHAnsi"/>
          <w:sz w:val="26"/>
          <w:szCs w:val="26"/>
        </w:rPr>
        <w:t xml:space="preserve"> mingled together with other monies in the account</w:t>
      </w:r>
      <w:r w:rsidR="00AB266A" w:rsidRPr="005B0AB9">
        <w:rPr>
          <w:rFonts w:asciiTheme="minorHAnsi" w:hAnsiTheme="minorHAnsi" w:cstheme="minorHAnsi"/>
          <w:i/>
          <w:sz w:val="26"/>
          <w:szCs w:val="26"/>
        </w:rPr>
        <w:t xml:space="preserve">, </w:t>
      </w:r>
      <w:r w:rsidR="00AB266A" w:rsidRPr="005B0AB9">
        <w:rPr>
          <w:rFonts w:asciiTheme="minorHAnsi" w:hAnsiTheme="minorHAnsi" w:cstheme="minorHAnsi"/>
          <w:sz w:val="26"/>
          <w:szCs w:val="26"/>
        </w:rPr>
        <w:t xml:space="preserve">so that it cannot be said that the funds </w:t>
      </w:r>
      <w:r w:rsidR="002B1D32">
        <w:rPr>
          <w:rFonts w:asciiTheme="minorHAnsi" w:hAnsiTheme="minorHAnsi" w:cstheme="minorHAnsi"/>
          <w:sz w:val="26"/>
          <w:szCs w:val="26"/>
        </w:rPr>
        <w:t xml:space="preserve">remaining in the account were not the policy benefits or that the </w:t>
      </w:r>
      <w:r w:rsidR="00EB55A0">
        <w:rPr>
          <w:rFonts w:asciiTheme="minorHAnsi" w:hAnsiTheme="minorHAnsi" w:cstheme="minorHAnsi"/>
          <w:sz w:val="26"/>
          <w:szCs w:val="26"/>
        </w:rPr>
        <w:t xml:space="preserve">funds comprising </w:t>
      </w:r>
      <w:r w:rsidR="002B1D32">
        <w:rPr>
          <w:rFonts w:asciiTheme="minorHAnsi" w:hAnsiTheme="minorHAnsi" w:cstheme="minorHAnsi"/>
          <w:sz w:val="26"/>
          <w:szCs w:val="26"/>
        </w:rPr>
        <w:t xml:space="preserve">policy benefits </w:t>
      </w:r>
      <w:r w:rsidR="00AB266A" w:rsidRPr="005B0AB9">
        <w:rPr>
          <w:rFonts w:asciiTheme="minorHAnsi" w:hAnsiTheme="minorHAnsi" w:cstheme="minorHAnsi"/>
          <w:sz w:val="26"/>
          <w:szCs w:val="26"/>
        </w:rPr>
        <w:t xml:space="preserve">were </w:t>
      </w:r>
      <w:r w:rsidR="00EB55A0">
        <w:rPr>
          <w:rFonts w:asciiTheme="minorHAnsi" w:hAnsiTheme="minorHAnsi" w:cstheme="minorHAnsi"/>
          <w:sz w:val="26"/>
          <w:szCs w:val="26"/>
        </w:rPr>
        <w:t xml:space="preserve">therefore </w:t>
      </w:r>
      <w:r w:rsidR="00AB266A" w:rsidRPr="005B0AB9">
        <w:rPr>
          <w:rFonts w:asciiTheme="minorHAnsi" w:hAnsiTheme="minorHAnsi" w:cstheme="minorHAnsi"/>
          <w:sz w:val="26"/>
          <w:szCs w:val="26"/>
        </w:rPr>
        <w:t>depleted prior to attachment of the FNB maximiser account.</w:t>
      </w:r>
      <w:r w:rsidR="00B36466" w:rsidRPr="005B0AB9">
        <w:rPr>
          <w:rFonts w:asciiTheme="minorHAnsi" w:hAnsiTheme="minorHAnsi" w:cstheme="minorHAnsi"/>
          <w:sz w:val="26"/>
          <w:szCs w:val="26"/>
        </w:rPr>
        <w:t xml:space="preserve"> </w:t>
      </w:r>
      <w:r w:rsidR="00EE3FA8" w:rsidRPr="005B0AB9">
        <w:rPr>
          <w:rFonts w:asciiTheme="minorHAnsi" w:hAnsiTheme="minorHAnsi" w:cstheme="minorHAnsi"/>
          <w:sz w:val="26"/>
          <w:szCs w:val="26"/>
        </w:rPr>
        <w:t xml:space="preserve">As </w:t>
      </w:r>
      <w:r w:rsidR="003E3620" w:rsidRPr="005B0AB9">
        <w:rPr>
          <w:rFonts w:asciiTheme="minorHAnsi" w:hAnsiTheme="minorHAnsi" w:cstheme="minorHAnsi"/>
          <w:sz w:val="26"/>
          <w:szCs w:val="26"/>
        </w:rPr>
        <w:t>the parties</w:t>
      </w:r>
      <w:r w:rsidR="003F7ACC" w:rsidRPr="005B0AB9">
        <w:rPr>
          <w:rFonts w:asciiTheme="minorHAnsi" w:hAnsiTheme="minorHAnsi" w:cstheme="minorHAnsi"/>
          <w:sz w:val="26"/>
          <w:szCs w:val="26"/>
        </w:rPr>
        <w:t xml:space="preserve"> </w:t>
      </w:r>
      <w:r w:rsidR="00EE3FA8" w:rsidRPr="005B0AB9">
        <w:rPr>
          <w:rFonts w:asciiTheme="minorHAnsi" w:hAnsiTheme="minorHAnsi" w:cstheme="minorHAnsi"/>
          <w:sz w:val="26"/>
          <w:szCs w:val="26"/>
        </w:rPr>
        <w:t xml:space="preserve">differ on the </w:t>
      </w:r>
      <w:r w:rsidR="00AB266A" w:rsidRPr="005B0AB9">
        <w:rPr>
          <w:rFonts w:asciiTheme="minorHAnsi" w:hAnsiTheme="minorHAnsi" w:cstheme="minorHAnsi"/>
          <w:sz w:val="26"/>
          <w:szCs w:val="26"/>
        </w:rPr>
        <w:t>whether or not</w:t>
      </w:r>
      <w:r w:rsidR="00EE3FA8" w:rsidRPr="005B0AB9">
        <w:rPr>
          <w:rFonts w:asciiTheme="minorHAnsi" w:hAnsiTheme="minorHAnsi" w:cstheme="minorHAnsi"/>
          <w:sz w:val="26"/>
          <w:szCs w:val="26"/>
        </w:rPr>
        <w:t xml:space="preserve"> s 63 </w:t>
      </w:r>
      <w:r w:rsidR="003F7ACC" w:rsidRPr="005B0AB9">
        <w:rPr>
          <w:rFonts w:asciiTheme="minorHAnsi" w:hAnsiTheme="minorHAnsi" w:cstheme="minorHAnsi"/>
          <w:sz w:val="26"/>
          <w:szCs w:val="26"/>
        </w:rPr>
        <w:t>of the LTI Act</w:t>
      </w:r>
      <w:r w:rsidR="00AB266A" w:rsidRPr="005B0AB9">
        <w:rPr>
          <w:rFonts w:asciiTheme="minorHAnsi" w:hAnsiTheme="minorHAnsi" w:cstheme="minorHAnsi"/>
          <w:sz w:val="26"/>
          <w:szCs w:val="26"/>
        </w:rPr>
        <w:t xml:space="preserve"> finds application on the facts </w:t>
      </w:r>
      <w:r w:rsidR="00506D7E" w:rsidRPr="00506D7E">
        <w:rPr>
          <w:rFonts w:asciiTheme="minorHAnsi" w:hAnsiTheme="minorHAnsi" w:cstheme="minorHAnsi"/>
          <w:sz w:val="26"/>
          <w:szCs w:val="26"/>
        </w:rPr>
        <w:t>of this matter</w:t>
      </w:r>
      <w:r w:rsidR="003F7ACC" w:rsidRPr="005B0AB9">
        <w:rPr>
          <w:rFonts w:asciiTheme="minorHAnsi" w:hAnsiTheme="minorHAnsi" w:cstheme="minorHAnsi"/>
          <w:sz w:val="26"/>
          <w:szCs w:val="26"/>
        </w:rPr>
        <w:t xml:space="preserve">, </w:t>
      </w:r>
      <w:r w:rsidR="007E3A4D" w:rsidRPr="005B0AB9">
        <w:rPr>
          <w:rFonts w:asciiTheme="minorHAnsi" w:hAnsiTheme="minorHAnsi" w:cstheme="minorHAnsi"/>
          <w:sz w:val="26"/>
          <w:szCs w:val="26"/>
        </w:rPr>
        <w:t xml:space="preserve">it is necessary </w:t>
      </w:r>
      <w:r w:rsidR="003E3620" w:rsidRPr="005B0AB9">
        <w:rPr>
          <w:rFonts w:asciiTheme="minorHAnsi" w:hAnsiTheme="minorHAnsi" w:cstheme="minorHAnsi"/>
          <w:sz w:val="26"/>
          <w:szCs w:val="26"/>
        </w:rPr>
        <w:t xml:space="preserve">to </w:t>
      </w:r>
      <w:r w:rsidR="007E3A4D" w:rsidRPr="005B0AB9">
        <w:rPr>
          <w:rFonts w:asciiTheme="minorHAnsi" w:hAnsiTheme="minorHAnsi" w:cstheme="minorHAnsi"/>
          <w:sz w:val="26"/>
          <w:szCs w:val="26"/>
        </w:rPr>
        <w:t xml:space="preserve">consider </w:t>
      </w:r>
      <w:r w:rsidR="003E3620" w:rsidRPr="005B0AB9">
        <w:rPr>
          <w:rFonts w:asciiTheme="minorHAnsi" w:hAnsiTheme="minorHAnsi" w:cstheme="minorHAnsi"/>
          <w:sz w:val="26"/>
          <w:szCs w:val="26"/>
        </w:rPr>
        <w:t>the section.</w:t>
      </w:r>
    </w:p>
    <w:p w:rsidR="00B64E2D" w:rsidRDefault="00B64E2D" w:rsidP="00B64E2D">
      <w:pPr>
        <w:pStyle w:val="ListParagraph"/>
        <w:rPr>
          <w:rFonts w:asciiTheme="minorHAnsi" w:hAnsiTheme="minorHAnsi" w:cstheme="minorHAnsi"/>
          <w:sz w:val="26"/>
          <w:szCs w:val="26"/>
        </w:rPr>
      </w:pPr>
    </w:p>
    <w:p w:rsidR="003E3620" w:rsidRPr="003E3620" w:rsidRDefault="003E3620" w:rsidP="003E3620">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Section 63 of the LTI Act</w:t>
      </w:r>
    </w:p>
    <w:p w:rsidR="003F7ACC" w:rsidRDefault="00B64E2D" w:rsidP="001D516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 am not persuaded that the cases relied on by the respondents relating to the payment of pension benefits assist them in this matter.</w:t>
      </w:r>
      <w:r>
        <w:rPr>
          <w:rStyle w:val="FootnoteReference"/>
          <w:rFonts w:asciiTheme="minorHAnsi" w:hAnsiTheme="minorHAnsi" w:cstheme="minorHAnsi"/>
          <w:sz w:val="26"/>
          <w:szCs w:val="26"/>
        </w:rPr>
        <w:footnoteReference w:id="18"/>
      </w:r>
      <w:r>
        <w:rPr>
          <w:rFonts w:asciiTheme="minorHAnsi" w:hAnsiTheme="minorHAnsi" w:cstheme="minorHAnsi"/>
          <w:sz w:val="26"/>
          <w:szCs w:val="26"/>
        </w:rPr>
        <w:t xml:space="preserve"> The respondents argue </w:t>
      </w:r>
      <w:r w:rsidR="00ED00F2">
        <w:rPr>
          <w:rFonts w:asciiTheme="minorHAnsi" w:hAnsiTheme="minorHAnsi" w:cstheme="minorHAnsi"/>
          <w:sz w:val="26"/>
          <w:szCs w:val="26"/>
        </w:rPr>
        <w:t xml:space="preserve">that payment of disability benefits are analogous to and should be treated the same way as </w:t>
      </w:r>
      <w:r w:rsidR="00A86FDE">
        <w:rPr>
          <w:rFonts w:asciiTheme="minorHAnsi" w:hAnsiTheme="minorHAnsi" w:cstheme="minorHAnsi"/>
          <w:sz w:val="26"/>
          <w:szCs w:val="26"/>
        </w:rPr>
        <w:t xml:space="preserve">the </w:t>
      </w:r>
      <w:r w:rsidR="00ED00F2">
        <w:rPr>
          <w:rFonts w:asciiTheme="minorHAnsi" w:hAnsiTheme="minorHAnsi" w:cstheme="minorHAnsi"/>
          <w:sz w:val="26"/>
          <w:szCs w:val="26"/>
        </w:rPr>
        <w:t xml:space="preserve">payment of pension benefits. It is trite that </w:t>
      </w:r>
      <w:r>
        <w:rPr>
          <w:rFonts w:asciiTheme="minorHAnsi" w:hAnsiTheme="minorHAnsi" w:cstheme="minorHAnsi"/>
          <w:sz w:val="26"/>
          <w:szCs w:val="26"/>
        </w:rPr>
        <w:t xml:space="preserve">a pension benefit is protected from attachment </w:t>
      </w:r>
      <w:r w:rsidR="00ED00F2">
        <w:rPr>
          <w:rFonts w:asciiTheme="minorHAnsi" w:hAnsiTheme="minorHAnsi" w:cstheme="minorHAnsi"/>
          <w:sz w:val="26"/>
          <w:szCs w:val="26"/>
        </w:rPr>
        <w:t xml:space="preserve">by the insolvent member’s trustees whilst it is in the hands of the pension fund </w:t>
      </w:r>
      <w:r>
        <w:rPr>
          <w:rFonts w:asciiTheme="minorHAnsi" w:hAnsiTheme="minorHAnsi" w:cstheme="minorHAnsi"/>
          <w:sz w:val="26"/>
          <w:szCs w:val="26"/>
        </w:rPr>
        <w:t xml:space="preserve">and </w:t>
      </w:r>
      <w:r w:rsidR="00ED00F2">
        <w:rPr>
          <w:rFonts w:asciiTheme="minorHAnsi" w:hAnsiTheme="minorHAnsi" w:cstheme="minorHAnsi"/>
          <w:sz w:val="26"/>
          <w:szCs w:val="26"/>
        </w:rPr>
        <w:t xml:space="preserve">it </w:t>
      </w:r>
      <w:r>
        <w:rPr>
          <w:rFonts w:asciiTheme="minorHAnsi" w:hAnsiTheme="minorHAnsi" w:cstheme="minorHAnsi"/>
          <w:sz w:val="26"/>
          <w:szCs w:val="26"/>
        </w:rPr>
        <w:t xml:space="preserve">remains a benefit to the extent that it has not yet been paid to a member of a pension fund. Once the benefit is paid to the member or beneficiary, it ceases to be a benefit </w:t>
      </w:r>
      <w:r w:rsidR="00ED00F2">
        <w:rPr>
          <w:rFonts w:asciiTheme="minorHAnsi" w:hAnsiTheme="minorHAnsi" w:cstheme="minorHAnsi"/>
          <w:sz w:val="26"/>
          <w:szCs w:val="26"/>
        </w:rPr>
        <w:t>and thus forms part of the insolvent’s assets.</w:t>
      </w:r>
      <w:r w:rsidR="00B36466">
        <w:rPr>
          <w:rFonts w:asciiTheme="minorHAnsi" w:hAnsiTheme="minorHAnsi" w:cstheme="minorHAnsi"/>
          <w:sz w:val="26"/>
          <w:szCs w:val="26"/>
        </w:rPr>
        <w:t xml:space="preserve"> </w:t>
      </w:r>
      <w:r w:rsidR="007E3A4D">
        <w:rPr>
          <w:rFonts w:asciiTheme="minorHAnsi" w:hAnsiTheme="minorHAnsi" w:cstheme="minorHAnsi"/>
          <w:sz w:val="26"/>
          <w:szCs w:val="26"/>
        </w:rPr>
        <w:t xml:space="preserve">As the court in </w:t>
      </w:r>
      <w:r w:rsidR="007E3A4D">
        <w:rPr>
          <w:rFonts w:asciiTheme="minorHAnsi" w:hAnsiTheme="minorHAnsi" w:cstheme="minorHAnsi"/>
          <w:i/>
          <w:sz w:val="26"/>
          <w:szCs w:val="26"/>
        </w:rPr>
        <w:t>Murray</w:t>
      </w:r>
      <w:r w:rsidR="007E3A4D">
        <w:rPr>
          <w:rFonts w:asciiTheme="minorHAnsi" w:hAnsiTheme="minorHAnsi" w:cstheme="minorHAnsi"/>
          <w:sz w:val="26"/>
          <w:szCs w:val="26"/>
        </w:rPr>
        <w:t xml:space="preserve"> held, once the benefit has been paid out, the member or beneficiary can hardly complain if creditors lay their hands on the money to satisfy outstanding debts. </w:t>
      </w:r>
      <w:r w:rsidR="007B75B0">
        <w:rPr>
          <w:rFonts w:asciiTheme="minorHAnsi" w:hAnsiTheme="minorHAnsi" w:cstheme="minorHAnsi"/>
          <w:sz w:val="26"/>
          <w:szCs w:val="26"/>
        </w:rPr>
        <w:t>Such a</w:t>
      </w:r>
      <w:r w:rsidR="007E3A4D">
        <w:rPr>
          <w:rFonts w:asciiTheme="minorHAnsi" w:hAnsiTheme="minorHAnsi" w:cstheme="minorHAnsi"/>
          <w:sz w:val="26"/>
          <w:szCs w:val="26"/>
        </w:rPr>
        <w:t xml:space="preserve"> construction f</w:t>
      </w:r>
      <w:r w:rsidR="007B75B0">
        <w:rPr>
          <w:rFonts w:asciiTheme="minorHAnsi" w:hAnsiTheme="minorHAnsi" w:cstheme="minorHAnsi"/>
          <w:sz w:val="26"/>
          <w:szCs w:val="26"/>
        </w:rPr>
        <w:t>ound</w:t>
      </w:r>
      <w:r w:rsidR="007E3A4D">
        <w:rPr>
          <w:rFonts w:asciiTheme="minorHAnsi" w:hAnsiTheme="minorHAnsi" w:cstheme="minorHAnsi"/>
          <w:sz w:val="26"/>
          <w:szCs w:val="26"/>
        </w:rPr>
        <w:t xml:space="preserve"> support in cases where similarly worded statutory provisions had received consideration.</w:t>
      </w:r>
      <w:r w:rsidR="007E3A4D">
        <w:rPr>
          <w:rStyle w:val="FootnoteReference"/>
          <w:rFonts w:asciiTheme="minorHAnsi" w:hAnsiTheme="minorHAnsi" w:cstheme="minorHAnsi"/>
          <w:sz w:val="26"/>
          <w:szCs w:val="26"/>
        </w:rPr>
        <w:footnoteReference w:id="19"/>
      </w:r>
    </w:p>
    <w:p w:rsidR="003F7ACC" w:rsidRPr="003F7ACC" w:rsidRDefault="003F7ACC" w:rsidP="003F7ACC">
      <w:pPr>
        <w:pStyle w:val="ListParagraph"/>
        <w:rPr>
          <w:rFonts w:asciiTheme="minorHAnsi" w:hAnsiTheme="minorHAnsi" w:cstheme="minorHAnsi"/>
          <w:sz w:val="26"/>
          <w:szCs w:val="26"/>
        </w:rPr>
      </w:pPr>
    </w:p>
    <w:p w:rsidR="003F7ACC" w:rsidRPr="003F7ACC" w:rsidRDefault="00A86FDE" w:rsidP="001D516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Section 63 of the LTI Act </w:t>
      </w:r>
      <w:r w:rsidR="0093717C">
        <w:rPr>
          <w:rFonts w:asciiTheme="minorHAnsi" w:hAnsiTheme="minorHAnsi" w:cstheme="minorHAnsi"/>
          <w:sz w:val="26"/>
          <w:szCs w:val="26"/>
        </w:rPr>
        <w:t xml:space="preserve">does not </w:t>
      </w:r>
      <w:r w:rsidR="00752609">
        <w:rPr>
          <w:rFonts w:asciiTheme="minorHAnsi" w:hAnsiTheme="minorHAnsi" w:cstheme="minorHAnsi"/>
          <w:sz w:val="26"/>
          <w:szCs w:val="26"/>
        </w:rPr>
        <w:t xml:space="preserve">contain a reference to pension or </w:t>
      </w:r>
      <w:r w:rsidR="0093717C">
        <w:rPr>
          <w:rFonts w:asciiTheme="minorHAnsi" w:hAnsiTheme="minorHAnsi" w:cstheme="minorHAnsi"/>
          <w:sz w:val="26"/>
          <w:szCs w:val="26"/>
        </w:rPr>
        <w:t xml:space="preserve">pension benefits </w:t>
      </w:r>
      <w:r w:rsidR="00752609">
        <w:rPr>
          <w:rFonts w:asciiTheme="minorHAnsi" w:hAnsiTheme="minorHAnsi" w:cstheme="minorHAnsi"/>
          <w:sz w:val="26"/>
          <w:szCs w:val="26"/>
        </w:rPr>
        <w:t>payable to a person in the specified types of policies to which it applies.</w:t>
      </w:r>
      <w:r w:rsidR="003F7ACC">
        <w:rPr>
          <w:rFonts w:asciiTheme="minorHAnsi" w:hAnsiTheme="minorHAnsi" w:cstheme="minorHAnsi"/>
          <w:sz w:val="26"/>
          <w:szCs w:val="26"/>
        </w:rPr>
        <w:t xml:space="preserve"> As pointed out in </w:t>
      </w:r>
      <w:r w:rsidR="003F7ACC">
        <w:rPr>
          <w:rFonts w:asciiTheme="minorHAnsi" w:hAnsiTheme="minorHAnsi" w:cstheme="minorHAnsi"/>
          <w:i/>
          <w:sz w:val="26"/>
          <w:szCs w:val="26"/>
        </w:rPr>
        <w:t>Pieterse,</w:t>
      </w:r>
      <w:r w:rsidR="003F7ACC">
        <w:rPr>
          <w:rStyle w:val="FootnoteReference"/>
          <w:rFonts w:asciiTheme="minorHAnsi" w:hAnsiTheme="minorHAnsi" w:cstheme="minorHAnsi"/>
          <w:i/>
          <w:sz w:val="26"/>
          <w:szCs w:val="26"/>
        </w:rPr>
        <w:footnoteReference w:id="20"/>
      </w:r>
      <w:r w:rsidR="003F7ACC">
        <w:rPr>
          <w:rFonts w:asciiTheme="minorHAnsi" w:hAnsiTheme="minorHAnsi" w:cstheme="minorHAnsi"/>
          <w:i/>
          <w:sz w:val="26"/>
          <w:szCs w:val="26"/>
        </w:rPr>
        <w:t xml:space="preserve"> ‘</w:t>
      </w:r>
      <w:r w:rsidR="003F7ACC" w:rsidRPr="00F0284E">
        <w:rPr>
          <w:rFonts w:asciiTheme="minorHAnsi" w:hAnsiTheme="minorHAnsi" w:cstheme="minorHAnsi"/>
          <w:sz w:val="22"/>
          <w:szCs w:val="22"/>
        </w:rPr>
        <w:t xml:space="preserve">Section 63 refers to assistance, life, disability or health policies.  Those are defined in s 1 of the LTIA.  The protection afforded by s 63 of the LTIA applies to 'the policy benefits' </w:t>
      </w:r>
      <w:r w:rsidR="003F7ACC" w:rsidRPr="004B6333">
        <w:rPr>
          <w:rFonts w:asciiTheme="minorHAnsi" w:hAnsiTheme="minorHAnsi" w:cstheme="minorHAnsi"/>
          <w:sz w:val="22"/>
          <w:szCs w:val="22"/>
          <w:u w:val="single"/>
        </w:rPr>
        <w:t>provided or to be provided</w:t>
      </w:r>
      <w:r w:rsidR="003F7ACC" w:rsidRPr="00F0284E">
        <w:rPr>
          <w:rFonts w:asciiTheme="minorHAnsi" w:hAnsiTheme="minorHAnsi" w:cstheme="minorHAnsi"/>
          <w:sz w:val="22"/>
          <w:szCs w:val="22"/>
        </w:rPr>
        <w:t xml:space="preserve"> to a person under one or more of the specified types of policies or the assets acquired exclusively with those policy benefits.  The policy benefits which are protected are those payable to the protected person in terms of a protected policy which has been in force for at least three years</w:t>
      </w:r>
      <w:r w:rsidR="003F7ACC" w:rsidRPr="008225B9">
        <w:rPr>
          <w:rFonts w:asciiTheme="minorHAnsi" w:hAnsiTheme="minorHAnsi" w:cstheme="minorHAnsi"/>
          <w:sz w:val="22"/>
          <w:szCs w:val="22"/>
          <w:u w:val="single"/>
        </w:rPr>
        <w:t>. The assets which are protected are those which have been acquired solely or exclusively with the benefits of the relevant policy.</w:t>
      </w:r>
      <w:r w:rsidR="003F7ACC" w:rsidRPr="00F0284E">
        <w:rPr>
          <w:rFonts w:asciiTheme="minorHAnsi" w:hAnsiTheme="minorHAnsi" w:cstheme="minorHAnsi"/>
          <w:sz w:val="22"/>
          <w:szCs w:val="22"/>
        </w:rPr>
        <w:t xml:space="preserve"> The protection in relation to such assets operates for a period of five years after the date upon which the relevant policy benefits were provided.  The protection is limited to an aggregate amount of R50 000,00 or such other amount as may be prescribed by the Minister</w:t>
      </w:r>
      <w:r w:rsidR="008225B9">
        <w:rPr>
          <w:rFonts w:asciiTheme="minorHAnsi" w:hAnsiTheme="minorHAnsi" w:cstheme="minorHAnsi"/>
          <w:sz w:val="22"/>
          <w:szCs w:val="22"/>
        </w:rPr>
        <w:t>.</w:t>
      </w:r>
      <w:r w:rsidR="003F7ACC" w:rsidRPr="00F0284E">
        <w:rPr>
          <w:rFonts w:asciiTheme="minorHAnsi" w:hAnsiTheme="minorHAnsi" w:cstheme="minorHAnsi"/>
          <w:sz w:val="22"/>
          <w:szCs w:val="22"/>
        </w:rPr>
        <w:t>’</w:t>
      </w:r>
      <w:r w:rsidR="003F7ACC">
        <w:t xml:space="preserve"> </w:t>
      </w:r>
      <w:r w:rsidR="00EE3FA8" w:rsidRPr="00EE3FA8">
        <w:rPr>
          <w:rFonts w:asciiTheme="minorHAnsi" w:hAnsiTheme="minorHAnsi" w:cstheme="minorHAnsi"/>
          <w:sz w:val="26"/>
          <w:szCs w:val="26"/>
        </w:rPr>
        <w:t>(emphasis added)</w:t>
      </w:r>
    </w:p>
    <w:p w:rsidR="003F7ACC" w:rsidRPr="003F7ACC" w:rsidRDefault="003F7ACC" w:rsidP="003F7ACC">
      <w:pPr>
        <w:pStyle w:val="ListParagraph"/>
        <w:rPr>
          <w:rFonts w:asciiTheme="minorHAnsi" w:hAnsiTheme="minorHAnsi" w:cstheme="minorHAnsi"/>
          <w:sz w:val="26"/>
          <w:szCs w:val="26"/>
        </w:rPr>
      </w:pPr>
    </w:p>
    <w:p w:rsidR="0091783B" w:rsidRDefault="001D5160" w:rsidP="001D516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section refers to </w:t>
      </w:r>
      <w:r w:rsidR="00A86FDE" w:rsidRPr="00EE3FA8">
        <w:rPr>
          <w:rFonts w:asciiTheme="minorHAnsi" w:hAnsiTheme="minorHAnsi" w:cstheme="minorHAnsi"/>
          <w:sz w:val="26"/>
          <w:szCs w:val="26"/>
        </w:rPr>
        <w:t>policy benefits</w:t>
      </w:r>
      <w:r w:rsidR="00A86FDE">
        <w:rPr>
          <w:rFonts w:asciiTheme="minorHAnsi" w:hAnsiTheme="minorHAnsi" w:cstheme="minorHAnsi"/>
          <w:sz w:val="26"/>
          <w:szCs w:val="26"/>
        </w:rPr>
        <w:t xml:space="preserve"> </w:t>
      </w:r>
      <w:r w:rsidR="00EE3FA8">
        <w:rPr>
          <w:rFonts w:asciiTheme="minorHAnsi" w:hAnsiTheme="minorHAnsi" w:cstheme="minorHAnsi"/>
          <w:sz w:val="26"/>
          <w:szCs w:val="26"/>
        </w:rPr>
        <w:t>‘</w:t>
      </w:r>
      <w:r w:rsidR="00A86FDE" w:rsidRPr="00A86FDE">
        <w:rPr>
          <w:rFonts w:asciiTheme="minorHAnsi" w:hAnsiTheme="minorHAnsi" w:cstheme="minorHAnsi"/>
          <w:i/>
          <w:sz w:val="26"/>
          <w:szCs w:val="26"/>
          <w:u w:val="single"/>
        </w:rPr>
        <w:t>provided</w:t>
      </w:r>
      <w:r w:rsidR="00EE3FA8">
        <w:rPr>
          <w:rFonts w:asciiTheme="minorHAnsi" w:hAnsiTheme="minorHAnsi" w:cstheme="minorHAnsi"/>
          <w:i/>
          <w:sz w:val="26"/>
          <w:szCs w:val="26"/>
          <w:u w:val="single"/>
        </w:rPr>
        <w:t>’</w:t>
      </w:r>
      <w:r w:rsidR="00A86FDE">
        <w:rPr>
          <w:rFonts w:asciiTheme="minorHAnsi" w:hAnsiTheme="minorHAnsi" w:cstheme="minorHAnsi"/>
          <w:i/>
          <w:sz w:val="26"/>
          <w:szCs w:val="26"/>
        </w:rPr>
        <w:t xml:space="preserve"> </w:t>
      </w:r>
      <w:r w:rsidR="00A86FDE" w:rsidRPr="00EE3FA8">
        <w:rPr>
          <w:rFonts w:asciiTheme="minorHAnsi" w:hAnsiTheme="minorHAnsi" w:cstheme="minorHAnsi"/>
          <w:sz w:val="26"/>
          <w:szCs w:val="26"/>
        </w:rPr>
        <w:t>or</w:t>
      </w:r>
      <w:r w:rsidR="00EE3FA8">
        <w:rPr>
          <w:rFonts w:asciiTheme="minorHAnsi" w:hAnsiTheme="minorHAnsi" w:cstheme="minorHAnsi"/>
          <w:i/>
          <w:sz w:val="26"/>
          <w:szCs w:val="26"/>
        </w:rPr>
        <w:t xml:space="preserve"> ‘</w:t>
      </w:r>
      <w:r w:rsidR="00EE3FA8" w:rsidRPr="004B6333">
        <w:rPr>
          <w:rFonts w:asciiTheme="minorHAnsi" w:hAnsiTheme="minorHAnsi" w:cstheme="minorHAnsi"/>
          <w:i/>
          <w:sz w:val="26"/>
          <w:szCs w:val="26"/>
          <w:u w:val="single"/>
        </w:rPr>
        <w:t>to be provided</w:t>
      </w:r>
      <w:r w:rsidR="00EE3FA8">
        <w:rPr>
          <w:rFonts w:asciiTheme="minorHAnsi" w:hAnsiTheme="minorHAnsi" w:cstheme="minorHAnsi"/>
          <w:i/>
          <w:sz w:val="26"/>
          <w:szCs w:val="26"/>
        </w:rPr>
        <w:t>’</w:t>
      </w:r>
      <w:r w:rsidR="00A86FDE">
        <w:rPr>
          <w:rFonts w:asciiTheme="minorHAnsi" w:hAnsiTheme="minorHAnsi" w:cstheme="minorHAnsi"/>
          <w:i/>
          <w:sz w:val="26"/>
          <w:szCs w:val="26"/>
        </w:rPr>
        <w:t xml:space="preserve"> </w:t>
      </w:r>
      <w:r w:rsidR="00A86FDE" w:rsidRPr="001D5160">
        <w:rPr>
          <w:rFonts w:asciiTheme="minorHAnsi" w:hAnsiTheme="minorHAnsi" w:cstheme="minorHAnsi"/>
          <w:sz w:val="26"/>
          <w:szCs w:val="26"/>
        </w:rPr>
        <w:t xml:space="preserve">to a </w:t>
      </w:r>
      <w:r w:rsidR="004B6333">
        <w:rPr>
          <w:rFonts w:asciiTheme="minorHAnsi" w:hAnsiTheme="minorHAnsi" w:cstheme="minorHAnsi"/>
          <w:sz w:val="26"/>
          <w:szCs w:val="26"/>
        </w:rPr>
        <w:t>‘</w:t>
      </w:r>
      <w:r w:rsidR="00A86FDE" w:rsidRPr="00F0284E">
        <w:rPr>
          <w:rFonts w:asciiTheme="minorHAnsi" w:hAnsiTheme="minorHAnsi" w:cstheme="minorHAnsi"/>
          <w:i/>
          <w:sz w:val="26"/>
          <w:szCs w:val="26"/>
        </w:rPr>
        <w:t>person</w:t>
      </w:r>
      <w:r w:rsidR="00F0284E">
        <w:rPr>
          <w:rFonts w:asciiTheme="minorHAnsi" w:hAnsiTheme="minorHAnsi" w:cstheme="minorHAnsi"/>
          <w:i/>
          <w:sz w:val="26"/>
          <w:szCs w:val="26"/>
        </w:rPr>
        <w:t>’</w:t>
      </w:r>
      <w:r w:rsidR="003F7ACC">
        <w:rPr>
          <w:rFonts w:asciiTheme="minorHAnsi" w:hAnsiTheme="minorHAnsi" w:cstheme="minorHAnsi"/>
          <w:sz w:val="26"/>
          <w:szCs w:val="26"/>
        </w:rPr>
        <w:t xml:space="preserve"> (</w:t>
      </w:r>
      <w:r w:rsidR="003E3620">
        <w:rPr>
          <w:rFonts w:asciiTheme="minorHAnsi" w:hAnsiTheme="minorHAnsi" w:cstheme="minorHAnsi"/>
          <w:sz w:val="26"/>
          <w:szCs w:val="26"/>
        </w:rPr>
        <w:t xml:space="preserve">i.e., </w:t>
      </w:r>
      <w:r w:rsidR="003F7ACC">
        <w:rPr>
          <w:rFonts w:asciiTheme="minorHAnsi" w:hAnsiTheme="minorHAnsi" w:cstheme="minorHAnsi"/>
          <w:sz w:val="26"/>
          <w:szCs w:val="26"/>
        </w:rPr>
        <w:t>the insolvent)</w:t>
      </w:r>
      <w:r w:rsidR="00A86FDE" w:rsidRPr="001D5160">
        <w:rPr>
          <w:rFonts w:asciiTheme="minorHAnsi" w:hAnsiTheme="minorHAnsi" w:cstheme="minorHAnsi"/>
          <w:sz w:val="26"/>
          <w:szCs w:val="26"/>
        </w:rPr>
        <w:t xml:space="preserve"> under </w:t>
      </w:r>
      <w:r w:rsidR="008225B9" w:rsidRPr="00EE3FA8">
        <w:rPr>
          <w:rFonts w:asciiTheme="minorHAnsi" w:hAnsiTheme="minorHAnsi" w:cstheme="minorHAnsi"/>
          <w:i/>
          <w:sz w:val="26"/>
          <w:szCs w:val="26"/>
        </w:rPr>
        <w:t>inter alia</w:t>
      </w:r>
      <w:r w:rsidR="008225B9">
        <w:rPr>
          <w:rFonts w:asciiTheme="minorHAnsi" w:hAnsiTheme="minorHAnsi" w:cstheme="minorHAnsi"/>
          <w:sz w:val="26"/>
          <w:szCs w:val="26"/>
        </w:rPr>
        <w:t xml:space="preserve"> a life or disability policy</w:t>
      </w:r>
      <w:r w:rsidR="00A86FDE" w:rsidRPr="001D5160">
        <w:rPr>
          <w:rFonts w:asciiTheme="minorHAnsi" w:hAnsiTheme="minorHAnsi" w:cstheme="minorHAnsi"/>
          <w:sz w:val="26"/>
          <w:szCs w:val="26"/>
        </w:rPr>
        <w:t xml:space="preserve"> in which that person or the spouse of that person is the life insured</w:t>
      </w:r>
      <w:r w:rsidR="00F0284E">
        <w:rPr>
          <w:rFonts w:asciiTheme="minorHAnsi" w:hAnsiTheme="minorHAnsi" w:cstheme="minorHAnsi"/>
          <w:sz w:val="26"/>
          <w:szCs w:val="26"/>
        </w:rPr>
        <w:t>. I</w:t>
      </w:r>
      <w:r w:rsidR="00EE3FA8">
        <w:rPr>
          <w:rFonts w:asciiTheme="minorHAnsi" w:hAnsiTheme="minorHAnsi" w:cstheme="minorHAnsi"/>
          <w:sz w:val="26"/>
          <w:szCs w:val="26"/>
        </w:rPr>
        <w:t>n</w:t>
      </w:r>
      <w:r w:rsidR="00F0284E">
        <w:rPr>
          <w:rFonts w:asciiTheme="minorHAnsi" w:hAnsiTheme="minorHAnsi" w:cstheme="minorHAnsi"/>
          <w:sz w:val="26"/>
          <w:szCs w:val="26"/>
        </w:rPr>
        <w:t xml:space="preserve"> terms of the section,</w:t>
      </w:r>
      <w:r w:rsidR="00A86FDE" w:rsidRPr="001D5160">
        <w:rPr>
          <w:rFonts w:asciiTheme="minorHAnsi" w:hAnsiTheme="minorHAnsi" w:cstheme="minorHAnsi"/>
          <w:sz w:val="26"/>
          <w:szCs w:val="26"/>
        </w:rPr>
        <w:t xml:space="preserve"> the benefits provided (or to be provided</w:t>
      </w:r>
      <w:r w:rsidRPr="001D5160">
        <w:rPr>
          <w:rFonts w:asciiTheme="minorHAnsi" w:hAnsiTheme="minorHAnsi" w:cstheme="minorHAnsi"/>
          <w:sz w:val="26"/>
          <w:szCs w:val="26"/>
        </w:rPr>
        <w:t>)</w:t>
      </w:r>
      <w:r w:rsidR="00A86FDE" w:rsidRPr="001D5160">
        <w:rPr>
          <w:rFonts w:asciiTheme="minorHAnsi" w:hAnsiTheme="minorHAnsi" w:cstheme="minorHAnsi"/>
          <w:sz w:val="26"/>
          <w:szCs w:val="26"/>
        </w:rPr>
        <w:t xml:space="preserve"> shall, other than for a debt secured by the policy,</w:t>
      </w:r>
      <w:r w:rsidRPr="001D5160">
        <w:rPr>
          <w:rFonts w:asciiTheme="minorHAnsi" w:hAnsiTheme="minorHAnsi" w:cstheme="minorHAnsi"/>
          <w:sz w:val="26"/>
          <w:szCs w:val="26"/>
        </w:rPr>
        <w:t xml:space="preserve"> </w:t>
      </w:r>
      <w:r w:rsidR="00A86FDE" w:rsidRPr="001D5160">
        <w:rPr>
          <w:rFonts w:asciiTheme="minorHAnsi" w:hAnsiTheme="minorHAnsi" w:cstheme="minorHAnsi"/>
          <w:sz w:val="26"/>
          <w:szCs w:val="26"/>
        </w:rPr>
        <w:t xml:space="preserve">during the person’s lifetime not be liable to be attached or subjected to execution under a judgment of a court or form part of his or her insolvent estate. The word </w:t>
      </w:r>
      <w:r w:rsidRPr="001D5160">
        <w:rPr>
          <w:rFonts w:asciiTheme="minorHAnsi" w:hAnsiTheme="minorHAnsi" w:cstheme="minorHAnsi"/>
          <w:sz w:val="26"/>
          <w:szCs w:val="26"/>
        </w:rPr>
        <w:t>‘</w:t>
      </w:r>
      <w:r w:rsidRPr="003E3620">
        <w:rPr>
          <w:rFonts w:asciiTheme="minorHAnsi" w:hAnsiTheme="minorHAnsi" w:cstheme="minorHAnsi"/>
          <w:i/>
          <w:sz w:val="26"/>
          <w:szCs w:val="26"/>
        </w:rPr>
        <w:t>provided</w:t>
      </w:r>
      <w:r w:rsidRPr="001D5160">
        <w:rPr>
          <w:rFonts w:asciiTheme="minorHAnsi" w:hAnsiTheme="minorHAnsi" w:cstheme="minorHAnsi"/>
          <w:sz w:val="26"/>
          <w:szCs w:val="26"/>
        </w:rPr>
        <w:t xml:space="preserve">’ is defined </w:t>
      </w:r>
      <w:r w:rsidR="004B6333" w:rsidRPr="001D5160">
        <w:rPr>
          <w:rFonts w:asciiTheme="minorHAnsi" w:hAnsiTheme="minorHAnsi" w:cstheme="minorHAnsi"/>
          <w:sz w:val="26"/>
          <w:szCs w:val="26"/>
        </w:rPr>
        <w:t xml:space="preserve">in the Cambridge English dictionary </w:t>
      </w:r>
      <w:r w:rsidRPr="001D5160">
        <w:rPr>
          <w:rFonts w:asciiTheme="minorHAnsi" w:hAnsiTheme="minorHAnsi" w:cstheme="minorHAnsi"/>
          <w:sz w:val="26"/>
          <w:szCs w:val="26"/>
        </w:rPr>
        <w:t>as ‘</w:t>
      </w:r>
      <w:r w:rsidRPr="003E3620">
        <w:rPr>
          <w:rFonts w:asciiTheme="minorHAnsi" w:hAnsiTheme="minorHAnsi" w:cstheme="minorHAnsi"/>
          <w:i/>
          <w:sz w:val="26"/>
          <w:szCs w:val="26"/>
        </w:rPr>
        <w:t>to give someone something they need</w:t>
      </w:r>
      <w:r w:rsidRPr="001D5160">
        <w:rPr>
          <w:rFonts w:asciiTheme="minorHAnsi" w:hAnsiTheme="minorHAnsi" w:cstheme="minorHAnsi"/>
          <w:sz w:val="26"/>
          <w:szCs w:val="26"/>
        </w:rPr>
        <w:t>’.</w:t>
      </w:r>
      <w:r w:rsidRPr="001D5160">
        <w:rPr>
          <w:rStyle w:val="FootnoteReference"/>
          <w:rFonts w:asciiTheme="minorHAnsi" w:hAnsiTheme="minorHAnsi" w:cstheme="minorHAnsi"/>
          <w:sz w:val="26"/>
          <w:szCs w:val="26"/>
        </w:rPr>
        <w:footnoteReference w:id="21"/>
      </w:r>
      <w:r w:rsidRPr="001D5160">
        <w:rPr>
          <w:rFonts w:asciiTheme="minorHAnsi" w:hAnsiTheme="minorHAnsi" w:cstheme="minorHAnsi"/>
          <w:sz w:val="26"/>
          <w:szCs w:val="26"/>
        </w:rPr>
        <w:t xml:space="preserve"> </w:t>
      </w:r>
      <w:r w:rsidR="00506D7E" w:rsidRPr="00506D7E">
        <w:rPr>
          <w:rFonts w:asciiTheme="minorHAnsi" w:hAnsiTheme="minorHAnsi" w:cstheme="minorHAnsi"/>
          <w:sz w:val="26"/>
          <w:szCs w:val="26"/>
          <w:lang w:val="en-US"/>
        </w:rPr>
        <w:t>The Merriam Webster dictionary defines ‘</w:t>
      </w:r>
      <w:r w:rsidR="00506D7E" w:rsidRPr="00506D7E">
        <w:rPr>
          <w:rFonts w:asciiTheme="minorHAnsi" w:hAnsiTheme="minorHAnsi" w:cstheme="minorHAnsi"/>
          <w:i/>
          <w:sz w:val="26"/>
          <w:szCs w:val="26"/>
          <w:lang w:val="en-US"/>
        </w:rPr>
        <w:t>provide</w:t>
      </w:r>
      <w:r w:rsidR="00506D7E" w:rsidRPr="00506D7E">
        <w:rPr>
          <w:rFonts w:asciiTheme="minorHAnsi" w:hAnsiTheme="minorHAnsi" w:cstheme="minorHAnsi"/>
          <w:sz w:val="26"/>
          <w:szCs w:val="26"/>
          <w:lang w:val="en-US"/>
        </w:rPr>
        <w:t>’ as ‘</w:t>
      </w:r>
      <w:r w:rsidR="00506D7E" w:rsidRPr="00506D7E">
        <w:rPr>
          <w:rFonts w:asciiTheme="minorHAnsi" w:hAnsiTheme="minorHAnsi" w:cstheme="minorHAnsi"/>
          <w:i/>
          <w:sz w:val="26"/>
          <w:szCs w:val="26"/>
          <w:lang w:val="en-US"/>
        </w:rPr>
        <w:t>to supply or make available something needed or wanted</w:t>
      </w:r>
      <w:r w:rsidR="00506D7E">
        <w:rPr>
          <w:rFonts w:asciiTheme="minorHAnsi" w:hAnsiTheme="minorHAnsi" w:cstheme="minorHAnsi"/>
          <w:i/>
          <w:sz w:val="26"/>
          <w:szCs w:val="26"/>
          <w:lang w:val="en-US"/>
        </w:rPr>
        <w:t>.</w:t>
      </w:r>
      <w:r w:rsidR="00506D7E">
        <w:rPr>
          <w:lang w:val="en-US"/>
        </w:rPr>
        <w:t xml:space="preserve"> </w:t>
      </w:r>
      <w:r w:rsidR="00506D7E">
        <w:rPr>
          <w:rStyle w:val="FootnoteReference"/>
          <w:lang w:val="en-US"/>
        </w:rPr>
        <w:footnoteReference w:id="22"/>
      </w:r>
      <w:r w:rsidR="00506D7E">
        <w:rPr>
          <w:lang w:val="en-US"/>
        </w:rPr>
        <w:t xml:space="preserve"> </w:t>
      </w:r>
      <w:r w:rsidR="00AB544A">
        <w:rPr>
          <w:rFonts w:asciiTheme="minorHAnsi" w:hAnsiTheme="minorHAnsi" w:cstheme="minorHAnsi"/>
          <w:sz w:val="26"/>
          <w:szCs w:val="26"/>
        </w:rPr>
        <w:t xml:space="preserve">There appears to be no dispute between the parties that the word </w:t>
      </w:r>
      <w:r w:rsidRPr="001D5160">
        <w:rPr>
          <w:rFonts w:asciiTheme="minorHAnsi" w:hAnsiTheme="minorHAnsi" w:cstheme="minorHAnsi"/>
          <w:sz w:val="26"/>
          <w:szCs w:val="26"/>
        </w:rPr>
        <w:t>‘</w:t>
      </w:r>
      <w:r w:rsidR="00AB544A">
        <w:rPr>
          <w:rFonts w:asciiTheme="minorHAnsi" w:hAnsiTheme="minorHAnsi" w:cstheme="minorHAnsi"/>
          <w:sz w:val="26"/>
          <w:szCs w:val="26"/>
        </w:rPr>
        <w:t>p</w:t>
      </w:r>
      <w:r w:rsidRPr="001D5160">
        <w:rPr>
          <w:rFonts w:asciiTheme="minorHAnsi" w:hAnsiTheme="minorHAnsi" w:cstheme="minorHAnsi"/>
          <w:sz w:val="26"/>
          <w:szCs w:val="26"/>
        </w:rPr>
        <w:t>rovided</w:t>
      </w:r>
      <w:r w:rsidR="008225B9">
        <w:rPr>
          <w:rFonts w:asciiTheme="minorHAnsi" w:hAnsiTheme="minorHAnsi" w:cstheme="minorHAnsi"/>
          <w:sz w:val="26"/>
          <w:szCs w:val="26"/>
        </w:rPr>
        <w:t>,</w:t>
      </w:r>
      <w:r w:rsidRPr="001D5160">
        <w:rPr>
          <w:rFonts w:asciiTheme="minorHAnsi" w:hAnsiTheme="minorHAnsi" w:cstheme="minorHAnsi"/>
          <w:sz w:val="26"/>
          <w:szCs w:val="26"/>
        </w:rPr>
        <w:t xml:space="preserve">’ </w:t>
      </w:r>
      <w:r w:rsidR="00F0284E">
        <w:rPr>
          <w:rFonts w:asciiTheme="minorHAnsi" w:hAnsiTheme="minorHAnsi" w:cstheme="minorHAnsi"/>
          <w:sz w:val="26"/>
          <w:szCs w:val="26"/>
        </w:rPr>
        <w:t xml:space="preserve">having regard to its </w:t>
      </w:r>
      <w:r w:rsidR="003E3620">
        <w:rPr>
          <w:rFonts w:asciiTheme="minorHAnsi" w:hAnsiTheme="minorHAnsi" w:cstheme="minorHAnsi"/>
          <w:sz w:val="26"/>
          <w:szCs w:val="26"/>
        </w:rPr>
        <w:t>ordinary meaning and context</w:t>
      </w:r>
      <w:r w:rsidR="00F0284E">
        <w:rPr>
          <w:rFonts w:asciiTheme="minorHAnsi" w:hAnsiTheme="minorHAnsi" w:cstheme="minorHAnsi"/>
          <w:sz w:val="26"/>
          <w:szCs w:val="26"/>
        </w:rPr>
        <w:t>ually applied</w:t>
      </w:r>
      <w:r w:rsidR="00AB544A">
        <w:rPr>
          <w:rFonts w:asciiTheme="minorHAnsi" w:hAnsiTheme="minorHAnsi" w:cstheme="minorHAnsi"/>
          <w:sz w:val="26"/>
          <w:szCs w:val="26"/>
        </w:rPr>
        <w:t>,</w:t>
      </w:r>
      <w:r w:rsidR="003E3620">
        <w:rPr>
          <w:rFonts w:asciiTheme="minorHAnsi" w:hAnsiTheme="minorHAnsi" w:cstheme="minorHAnsi"/>
          <w:sz w:val="26"/>
          <w:szCs w:val="26"/>
        </w:rPr>
        <w:t xml:space="preserve"> </w:t>
      </w:r>
      <w:r w:rsidR="00F0284E">
        <w:rPr>
          <w:rFonts w:asciiTheme="minorHAnsi" w:hAnsiTheme="minorHAnsi" w:cstheme="minorHAnsi"/>
          <w:sz w:val="26"/>
          <w:szCs w:val="26"/>
        </w:rPr>
        <w:t>connotes</w:t>
      </w:r>
      <w:r w:rsidR="00A86FDE">
        <w:rPr>
          <w:rFonts w:ascii="Arial" w:hAnsi="Arial" w:cs="Arial"/>
        </w:rPr>
        <w:t xml:space="preserve"> </w:t>
      </w:r>
      <w:r w:rsidR="00A86FDE">
        <w:rPr>
          <w:rFonts w:asciiTheme="minorHAnsi" w:hAnsiTheme="minorHAnsi" w:cstheme="minorHAnsi"/>
          <w:sz w:val="26"/>
          <w:szCs w:val="26"/>
        </w:rPr>
        <w:t xml:space="preserve">the encashment of the policy benefit so that the proceeds </w:t>
      </w:r>
      <w:r w:rsidR="003E3620">
        <w:rPr>
          <w:rFonts w:asciiTheme="minorHAnsi" w:hAnsiTheme="minorHAnsi" w:cstheme="minorHAnsi"/>
          <w:sz w:val="26"/>
          <w:szCs w:val="26"/>
        </w:rPr>
        <w:t xml:space="preserve">remain </w:t>
      </w:r>
      <w:r w:rsidR="00A86FDE">
        <w:rPr>
          <w:rFonts w:asciiTheme="minorHAnsi" w:hAnsiTheme="minorHAnsi" w:cstheme="minorHAnsi"/>
          <w:sz w:val="26"/>
          <w:szCs w:val="26"/>
        </w:rPr>
        <w:t xml:space="preserve">protected from attachment. </w:t>
      </w:r>
    </w:p>
    <w:p w:rsidR="0091783B" w:rsidRPr="00C939ED" w:rsidRDefault="0091783B" w:rsidP="0091783B">
      <w:pPr>
        <w:pStyle w:val="ListParagraph"/>
        <w:rPr>
          <w:rFonts w:asciiTheme="minorHAnsi" w:hAnsiTheme="minorHAnsi" w:cstheme="minorHAnsi"/>
          <w:sz w:val="26"/>
          <w:szCs w:val="26"/>
        </w:rPr>
      </w:pPr>
    </w:p>
    <w:p w:rsidR="0091783B" w:rsidRPr="00507D6B" w:rsidRDefault="00507D6B" w:rsidP="0091783B">
      <w:pPr>
        <w:pStyle w:val="ListParagraph"/>
        <w:numPr>
          <w:ilvl w:val="0"/>
          <w:numId w:val="3"/>
        </w:numPr>
        <w:spacing w:after="200" w:line="360" w:lineRule="auto"/>
        <w:jc w:val="both"/>
        <w:rPr>
          <w:rFonts w:asciiTheme="minorHAnsi" w:hAnsiTheme="minorHAnsi" w:cstheme="minorHAnsi"/>
          <w:sz w:val="26"/>
          <w:szCs w:val="26"/>
        </w:rPr>
      </w:pPr>
      <w:r w:rsidRPr="00507D6B">
        <w:rPr>
          <w:rFonts w:asciiTheme="minorHAnsi" w:hAnsiTheme="minorHAnsi" w:cstheme="minorHAnsi"/>
          <w:sz w:val="26"/>
          <w:szCs w:val="26"/>
        </w:rPr>
        <w:t>As the policy benefits were payable</w:t>
      </w:r>
      <w:r w:rsidR="00AB544A">
        <w:rPr>
          <w:rFonts w:asciiTheme="minorHAnsi" w:hAnsiTheme="minorHAnsi" w:cstheme="minorHAnsi"/>
          <w:sz w:val="26"/>
          <w:szCs w:val="26"/>
        </w:rPr>
        <w:t xml:space="preserve"> </w:t>
      </w:r>
      <w:r w:rsidRPr="00507D6B">
        <w:rPr>
          <w:rFonts w:asciiTheme="minorHAnsi" w:hAnsiTheme="minorHAnsi" w:cstheme="minorHAnsi"/>
          <w:sz w:val="26"/>
          <w:szCs w:val="26"/>
        </w:rPr>
        <w:t>to the insolvent, he is the protected person under s 63 of the LTI Act. The benefits</w:t>
      </w:r>
      <w:r w:rsidR="00874FB6">
        <w:rPr>
          <w:rFonts w:asciiTheme="minorHAnsi" w:hAnsiTheme="minorHAnsi" w:cstheme="minorHAnsi"/>
          <w:sz w:val="26"/>
          <w:szCs w:val="26"/>
        </w:rPr>
        <w:t xml:space="preserve"> </w:t>
      </w:r>
      <w:r w:rsidRPr="00507D6B">
        <w:rPr>
          <w:rFonts w:asciiTheme="minorHAnsi" w:hAnsiTheme="minorHAnsi" w:cstheme="minorHAnsi"/>
          <w:sz w:val="26"/>
          <w:szCs w:val="26"/>
        </w:rPr>
        <w:t>concern</w:t>
      </w:r>
      <w:r w:rsidR="00874FB6">
        <w:rPr>
          <w:rFonts w:asciiTheme="minorHAnsi" w:hAnsiTheme="minorHAnsi" w:cstheme="minorHAnsi"/>
          <w:sz w:val="26"/>
          <w:szCs w:val="26"/>
        </w:rPr>
        <w:t>ed</w:t>
      </w:r>
      <w:r w:rsidRPr="00507D6B">
        <w:rPr>
          <w:rFonts w:asciiTheme="minorHAnsi" w:hAnsiTheme="minorHAnsi" w:cstheme="minorHAnsi"/>
          <w:sz w:val="26"/>
          <w:szCs w:val="26"/>
        </w:rPr>
        <w:t xml:space="preserve"> the disability and health of the insolvent’s sp</w:t>
      </w:r>
      <w:r w:rsidR="003E3620">
        <w:rPr>
          <w:rFonts w:asciiTheme="minorHAnsi" w:hAnsiTheme="minorHAnsi" w:cstheme="minorHAnsi"/>
          <w:sz w:val="26"/>
          <w:szCs w:val="26"/>
        </w:rPr>
        <w:t>o</w:t>
      </w:r>
      <w:r w:rsidRPr="00507D6B">
        <w:rPr>
          <w:rFonts w:asciiTheme="minorHAnsi" w:hAnsiTheme="minorHAnsi" w:cstheme="minorHAnsi"/>
          <w:sz w:val="26"/>
          <w:szCs w:val="26"/>
        </w:rPr>
        <w:t>use (applicant). That was the risk insured against and which eventuated. Hence</w:t>
      </w:r>
      <w:r w:rsidR="00874FB6">
        <w:rPr>
          <w:rFonts w:asciiTheme="minorHAnsi" w:hAnsiTheme="minorHAnsi" w:cstheme="minorHAnsi"/>
          <w:sz w:val="26"/>
          <w:szCs w:val="26"/>
        </w:rPr>
        <w:t>,</w:t>
      </w:r>
      <w:r w:rsidRPr="00507D6B">
        <w:rPr>
          <w:rFonts w:asciiTheme="minorHAnsi" w:hAnsiTheme="minorHAnsi" w:cstheme="minorHAnsi"/>
          <w:sz w:val="26"/>
          <w:szCs w:val="26"/>
        </w:rPr>
        <w:t xml:space="preserve"> </w:t>
      </w:r>
      <w:r w:rsidR="00EE3FA8">
        <w:rPr>
          <w:rFonts w:asciiTheme="minorHAnsi" w:hAnsiTheme="minorHAnsi" w:cstheme="minorHAnsi"/>
          <w:sz w:val="26"/>
          <w:szCs w:val="26"/>
        </w:rPr>
        <w:t xml:space="preserve">in my view, </w:t>
      </w:r>
      <w:r w:rsidRPr="00507D6B">
        <w:rPr>
          <w:rFonts w:asciiTheme="minorHAnsi" w:hAnsiTheme="minorHAnsi" w:cstheme="minorHAnsi"/>
          <w:sz w:val="26"/>
          <w:szCs w:val="26"/>
        </w:rPr>
        <w:t xml:space="preserve">the </w:t>
      </w:r>
      <w:r w:rsidR="0093717C">
        <w:rPr>
          <w:rFonts w:asciiTheme="minorHAnsi" w:hAnsiTheme="minorHAnsi" w:cstheme="minorHAnsi"/>
          <w:sz w:val="26"/>
          <w:szCs w:val="26"/>
        </w:rPr>
        <w:t xml:space="preserve">disability </w:t>
      </w:r>
      <w:r w:rsidRPr="00507D6B">
        <w:rPr>
          <w:rFonts w:asciiTheme="minorHAnsi" w:hAnsiTheme="minorHAnsi" w:cstheme="minorHAnsi"/>
          <w:sz w:val="26"/>
          <w:szCs w:val="26"/>
        </w:rPr>
        <w:t>benefits</w:t>
      </w:r>
      <w:r w:rsidR="00506D7E">
        <w:rPr>
          <w:rFonts w:asciiTheme="minorHAnsi" w:hAnsiTheme="minorHAnsi" w:cstheme="minorHAnsi"/>
          <w:sz w:val="26"/>
          <w:szCs w:val="26"/>
        </w:rPr>
        <w:t>,</w:t>
      </w:r>
      <w:r w:rsidRPr="00507D6B">
        <w:rPr>
          <w:rFonts w:asciiTheme="minorHAnsi" w:hAnsiTheme="minorHAnsi" w:cstheme="minorHAnsi"/>
          <w:sz w:val="26"/>
          <w:szCs w:val="26"/>
        </w:rPr>
        <w:t xml:space="preserve"> </w:t>
      </w:r>
      <w:r w:rsidR="00AB544A">
        <w:rPr>
          <w:rFonts w:asciiTheme="minorHAnsi" w:hAnsiTheme="minorHAnsi" w:cstheme="minorHAnsi"/>
          <w:sz w:val="26"/>
          <w:szCs w:val="26"/>
        </w:rPr>
        <w:t>after encashment</w:t>
      </w:r>
      <w:r w:rsidR="00506D7E">
        <w:rPr>
          <w:rFonts w:asciiTheme="minorHAnsi" w:hAnsiTheme="minorHAnsi" w:cstheme="minorHAnsi"/>
          <w:sz w:val="26"/>
          <w:szCs w:val="26"/>
        </w:rPr>
        <w:t>,</w:t>
      </w:r>
      <w:r w:rsidR="00AB544A">
        <w:rPr>
          <w:rFonts w:asciiTheme="minorHAnsi" w:hAnsiTheme="minorHAnsi" w:cstheme="minorHAnsi"/>
          <w:sz w:val="26"/>
          <w:szCs w:val="26"/>
        </w:rPr>
        <w:t xml:space="preserve"> </w:t>
      </w:r>
      <w:r w:rsidR="0093717C">
        <w:rPr>
          <w:rFonts w:asciiTheme="minorHAnsi" w:hAnsiTheme="minorHAnsi" w:cstheme="minorHAnsi"/>
          <w:sz w:val="26"/>
          <w:szCs w:val="26"/>
        </w:rPr>
        <w:t xml:space="preserve">were protected and thus </w:t>
      </w:r>
      <w:r w:rsidR="008225B9">
        <w:rPr>
          <w:rFonts w:asciiTheme="minorHAnsi" w:hAnsiTheme="minorHAnsi" w:cstheme="minorHAnsi"/>
          <w:sz w:val="26"/>
          <w:szCs w:val="26"/>
        </w:rPr>
        <w:t xml:space="preserve">did not </w:t>
      </w:r>
      <w:r w:rsidRPr="00507D6B">
        <w:rPr>
          <w:rFonts w:asciiTheme="minorHAnsi" w:hAnsiTheme="minorHAnsi" w:cstheme="minorHAnsi"/>
          <w:sz w:val="26"/>
          <w:szCs w:val="26"/>
        </w:rPr>
        <w:t>form part of the insolvent’s estate.</w:t>
      </w:r>
    </w:p>
    <w:p w:rsidR="0091783B" w:rsidRDefault="0091783B" w:rsidP="0091783B">
      <w:pPr>
        <w:pStyle w:val="ListParagraph"/>
        <w:rPr>
          <w:rFonts w:asciiTheme="minorHAnsi" w:hAnsiTheme="minorHAnsi" w:cstheme="minorHAnsi"/>
          <w:sz w:val="26"/>
          <w:szCs w:val="26"/>
        </w:rPr>
      </w:pPr>
    </w:p>
    <w:p w:rsidR="0091783B" w:rsidRPr="00444142" w:rsidRDefault="00444142" w:rsidP="00444142">
      <w:pPr>
        <w:pStyle w:val="ListParagraph"/>
        <w:numPr>
          <w:ilvl w:val="0"/>
          <w:numId w:val="3"/>
        </w:numPr>
        <w:spacing w:after="200" w:line="360" w:lineRule="auto"/>
        <w:jc w:val="both"/>
        <w:rPr>
          <w:rFonts w:asciiTheme="minorHAnsi" w:hAnsiTheme="minorHAnsi" w:cstheme="minorHAnsi"/>
          <w:sz w:val="26"/>
          <w:szCs w:val="26"/>
        </w:rPr>
      </w:pPr>
      <w:r w:rsidRPr="00444142">
        <w:rPr>
          <w:rFonts w:asciiTheme="minorHAnsi" w:hAnsiTheme="minorHAnsi" w:cstheme="minorHAnsi"/>
          <w:sz w:val="26"/>
          <w:szCs w:val="26"/>
        </w:rPr>
        <w:t>The question which arises is whether the characteristics of the benefit</w:t>
      </w:r>
      <w:r>
        <w:rPr>
          <w:rFonts w:asciiTheme="minorHAnsi" w:hAnsiTheme="minorHAnsi" w:cstheme="minorHAnsi"/>
          <w:sz w:val="26"/>
          <w:szCs w:val="26"/>
        </w:rPr>
        <w:t>s</w:t>
      </w:r>
      <w:r w:rsidRPr="00444142">
        <w:rPr>
          <w:rFonts w:asciiTheme="minorHAnsi" w:hAnsiTheme="minorHAnsi" w:cstheme="minorHAnsi"/>
          <w:sz w:val="26"/>
          <w:szCs w:val="26"/>
        </w:rPr>
        <w:t xml:space="preserve"> changed when the insolvent transferred them to the applicant. The transfer to the applicant was done </w:t>
      </w:r>
      <w:r w:rsidR="0093717C">
        <w:rPr>
          <w:rFonts w:asciiTheme="minorHAnsi" w:hAnsiTheme="minorHAnsi" w:cstheme="minorHAnsi"/>
          <w:sz w:val="26"/>
          <w:szCs w:val="26"/>
        </w:rPr>
        <w:t xml:space="preserve">ostensibly </w:t>
      </w:r>
      <w:r w:rsidRPr="00444142">
        <w:rPr>
          <w:rFonts w:asciiTheme="minorHAnsi" w:hAnsiTheme="minorHAnsi" w:cstheme="minorHAnsi"/>
          <w:sz w:val="26"/>
          <w:szCs w:val="26"/>
        </w:rPr>
        <w:t xml:space="preserve">with </w:t>
      </w:r>
      <w:r w:rsidR="0093717C">
        <w:rPr>
          <w:rFonts w:asciiTheme="minorHAnsi" w:hAnsiTheme="minorHAnsi" w:cstheme="minorHAnsi"/>
          <w:sz w:val="26"/>
          <w:szCs w:val="26"/>
        </w:rPr>
        <w:t>the</w:t>
      </w:r>
      <w:r w:rsidRPr="00444142">
        <w:rPr>
          <w:rFonts w:asciiTheme="minorHAnsi" w:hAnsiTheme="minorHAnsi" w:cstheme="minorHAnsi"/>
          <w:sz w:val="26"/>
          <w:szCs w:val="26"/>
        </w:rPr>
        <w:t xml:space="preserve"> intention to provide the applicant with the benefits of the policy, given that it was she who had sustained </w:t>
      </w:r>
      <w:r w:rsidR="00874FB6">
        <w:rPr>
          <w:rFonts w:asciiTheme="minorHAnsi" w:hAnsiTheme="minorHAnsi" w:cstheme="minorHAnsi"/>
          <w:sz w:val="26"/>
          <w:szCs w:val="26"/>
        </w:rPr>
        <w:t>the</w:t>
      </w:r>
      <w:r w:rsidRPr="00444142">
        <w:rPr>
          <w:rFonts w:asciiTheme="minorHAnsi" w:hAnsiTheme="minorHAnsi" w:cstheme="minorHAnsi"/>
          <w:sz w:val="26"/>
          <w:szCs w:val="26"/>
        </w:rPr>
        <w:t xml:space="preserve"> disability. Similarly</w:t>
      </w:r>
      <w:r w:rsidR="00AB544A">
        <w:rPr>
          <w:rFonts w:asciiTheme="minorHAnsi" w:hAnsiTheme="minorHAnsi" w:cstheme="minorHAnsi"/>
          <w:sz w:val="26"/>
          <w:szCs w:val="26"/>
        </w:rPr>
        <w:t>,</w:t>
      </w:r>
      <w:r w:rsidRPr="00444142">
        <w:rPr>
          <w:rFonts w:asciiTheme="minorHAnsi" w:hAnsiTheme="minorHAnsi" w:cstheme="minorHAnsi"/>
          <w:sz w:val="26"/>
          <w:szCs w:val="26"/>
        </w:rPr>
        <w:t xml:space="preserve"> they were received as the benefits of the risk insured against to enable the applicant to fund expenses </w:t>
      </w:r>
      <w:r w:rsidR="004B6333">
        <w:rPr>
          <w:rFonts w:asciiTheme="minorHAnsi" w:hAnsiTheme="minorHAnsi" w:cstheme="minorHAnsi"/>
          <w:sz w:val="26"/>
          <w:szCs w:val="26"/>
        </w:rPr>
        <w:t xml:space="preserve">which </w:t>
      </w:r>
      <w:r w:rsidRPr="00444142">
        <w:rPr>
          <w:rFonts w:asciiTheme="minorHAnsi" w:hAnsiTheme="minorHAnsi" w:cstheme="minorHAnsi"/>
          <w:sz w:val="26"/>
          <w:szCs w:val="26"/>
        </w:rPr>
        <w:t xml:space="preserve">the insolvent and </w:t>
      </w:r>
      <w:r w:rsidR="004B6333">
        <w:rPr>
          <w:rFonts w:asciiTheme="minorHAnsi" w:hAnsiTheme="minorHAnsi" w:cstheme="minorHAnsi"/>
          <w:sz w:val="26"/>
          <w:szCs w:val="26"/>
        </w:rPr>
        <w:t>the applicant</w:t>
      </w:r>
      <w:r w:rsidRPr="00444142">
        <w:rPr>
          <w:rFonts w:asciiTheme="minorHAnsi" w:hAnsiTheme="minorHAnsi" w:cstheme="minorHAnsi"/>
          <w:sz w:val="26"/>
          <w:szCs w:val="26"/>
        </w:rPr>
        <w:t xml:space="preserve"> anticipated would eventuate and which the insolvent had taken cover for. The insolvent could </w:t>
      </w:r>
      <w:r>
        <w:rPr>
          <w:rFonts w:asciiTheme="minorHAnsi" w:hAnsiTheme="minorHAnsi" w:cstheme="minorHAnsi"/>
          <w:sz w:val="26"/>
          <w:szCs w:val="26"/>
        </w:rPr>
        <w:t xml:space="preserve">well </w:t>
      </w:r>
      <w:r w:rsidRPr="00444142">
        <w:rPr>
          <w:rFonts w:asciiTheme="minorHAnsi" w:hAnsiTheme="minorHAnsi" w:cstheme="minorHAnsi"/>
          <w:sz w:val="26"/>
          <w:szCs w:val="26"/>
        </w:rPr>
        <w:t>have retained the</w:t>
      </w:r>
      <w:r w:rsidR="004B6333">
        <w:rPr>
          <w:rFonts w:asciiTheme="minorHAnsi" w:hAnsiTheme="minorHAnsi" w:cstheme="minorHAnsi"/>
          <w:sz w:val="26"/>
          <w:szCs w:val="26"/>
        </w:rPr>
        <w:t xml:space="preserve"> funds and </w:t>
      </w:r>
      <w:r w:rsidRPr="00444142">
        <w:rPr>
          <w:rFonts w:asciiTheme="minorHAnsi" w:hAnsiTheme="minorHAnsi" w:cstheme="minorHAnsi"/>
          <w:sz w:val="26"/>
          <w:szCs w:val="26"/>
        </w:rPr>
        <w:t>paid them out piecemeal from time to time</w:t>
      </w:r>
      <w:r w:rsidR="004B6333">
        <w:rPr>
          <w:rFonts w:asciiTheme="minorHAnsi" w:hAnsiTheme="minorHAnsi" w:cstheme="minorHAnsi"/>
          <w:sz w:val="26"/>
          <w:szCs w:val="26"/>
        </w:rPr>
        <w:t>,</w:t>
      </w:r>
      <w:r w:rsidRPr="00444142">
        <w:rPr>
          <w:rFonts w:asciiTheme="minorHAnsi" w:hAnsiTheme="minorHAnsi" w:cstheme="minorHAnsi"/>
          <w:sz w:val="26"/>
          <w:szCs w:val="26"/>
        </w:rPr>
        <w:t xml:space="preserve"> </w:t>
      </w:r>
      <w:r w:rsidR="004B6333">
        <w:rPr>
          <w:rFonts w:asciiTheme="minorHAnsi" w:hAnsiTheme="minorHAnsi" w:cstheme="minorHAnsi"/>
          <w:sz w:val="26"/>
          <w:szCs w:val="26"/>
        </w:rPr>
        <w:t>in which event</w:t>
      </w:r>
      <w:r w:rsidRPr="00444142">
        <w:rPr>
          <w:rFonts w:asciiTheme="minorHAnsi" w:hAnsiTheme="minorHAnsi" w:cstheme="minorHAnsi"/>
          <w:sz w:val="26"/>
          <w:szCs w:val="26"/>
        </w:rPr>
        <w:t xml:space="preserve"> they would have remained protected. Ostensibly a lump sum was paid to the applicant to enable her</w:t>
      </w:r>
      <w:r w:rsidR="00874FB6">
        <w:rPr>
          <w:rFonts w:asciiTheme="minorHAnsi" w:hAnsiTheme="minorHAnsi" w:cstheme="minorHAnsi"/>
          <w:sz w:val="26"/>
          <w:szCs w:val="26"/>
        </w:rPr>
        <w:t xml:space="preserve">, as </w:t>
      </w:r>
      <w:r w:rsidR="004B6333">
        <w:rPr>
          <w:rFonts w:asciiTheme="minorHAnsi" w:hAnsiTheme="minorHAnsi" w:cstheme="minorHAnsi"/>
          <w:sz w:val="26"/>
          <w:szCs w:val="26"/>
        </w:rPr>
        <w:t xml:space="preserve">the </w:t>
      </w:r>
      <w:r w:rsidR="00874FB6">
        <w:rPr>
          <w:rFonts w:asciiTheme="minorHAnsi" w:hAnsiTheme="minorHAnsi" w:cstheme="minorHAnsi"/>
          <w:sz w:val="26"/>
          <w:szCs w:val="26"/>
        </w:rPr>
        <w:t>bill-payer,</w:t>
      </w:r>
      <w:r w:rsidRPr="00444142">
        <w:rPr>
          <w:rFonts w:asciiTheme="minorHAnsi" w:hAnsiTheme="minorHAnsi" w:cstheme="minorHAnsi"/>
          <w:sz w:val="26"/>
          <w:szCs w:val="26"/>
        </w:rPr>
        <w:t xml:space="preserve"> to pay their bills, presumab</w:t>
      </w:r>
      <w:r w:rsidR="004B6333">
        <w:rPr>
          <w:rFonts w:asciiTheme="minorHAnsi" w:hAnsiTheme="minorHAnsi" w:cstheme="minorHAnsi"/>
          <w:sz w:val="26"/>
          <w:szCs w:val="26"/>
        </w:rPr>
        <w:t xml:space="preserve">ly as a matter of convenience. </w:t>
      </w:r>
      <w:r w:rsidRPr="00444142">
        <w:rPr>
          <w:rFonts w:asciiTheme="minorHAnsi" w:hAnsiTheme="minorHAnsi" w:cstheme="minorHAnsi"/>
          <w:sz w:val="26"/>
          <w:szCs w:val="26"/>
        </w:rPr>
        <w:t xml:space="preserve">Does that position change because of the transaction which occurred in the circumstances described? I think not. There could as well have been a deposit into any account of the insolvent with his spouse having </w:t>
      </w:r>
      <w:r w:rsidR="00874FB6">
        <w:rPr>
          <w:rFonts w:asciiTheme="minorHAnsi" w:hAnsiTheme="minorHAnsi" w:cstheme="minorHAnsi"/>
          <w:sz w:val="26"/>
          <w:szCs w:val="26"/>
        </w:rPr>
        <w:t>signing powers</w:t>
      </w:r>
      <w:r w:rsidRPr="00444142">
        <w:rPr>
          <w:rFonts w:asciiTheme="minorHAnsi" w:hAnsiTheme="minorHAnsi" w:cstheme="minorHAnsi"/>
          <w:sz w:val="26"/>
          <w:szCs w:val="26"/>
        </w:rPr>
        <w:t xml:space="preserve"> on the account in order to deal with the funds. Such funds would </w:t>
      </w:r>
      <w:r>
        <w:rPr>
          <w:rFonts w:asciiTheme="minorHAnsi" w:hAnsiTheme="minorHAnsi" w:cstheme="minorHAnsi"/>
          <w:sz w:val="26"/>
          <w:szCs w:val="26"/>
        </w:rPr>
        <w:t>have been</w:t>
      </w:r>
      <w:r w:rsidRPr="00444142">
        <w:rPr>
          <w:rFonts w:asciiTheme="minorHAnsi" w:hAnsiTheme="minorHAnsi" w:cstheme="minorHAnsi"/>
          <w:sz w:val="26"/>
          <w:szCs w:val="26"/>
        </w:rPr>
        <w:t xml:space="preserve"> protected.  The effect of </w:t>
      </w:r>
      <w:r>
        <w:rPr>
          <w:rFonts w:asciiTheme="minorHAnsi" w:hAnsiTheme="minorHAnsi" w:cstheme="minorHAnsi"/>
          <w:sz w:val="26"/>
          <w:szCs w:val="26"/>
        </w:rPr>
        <w:t xml:space="preserve">having </w:t>
      </w:r>
      <w:r w:rsidRPr="00444142">
        <w:rPr>
          <w:rFonts w:asciiTheme="minorHAnsi" w:hAnsiTheme="minorHAnsi" w:cstheme="minorHAnsi"/>
          <w:sz w:val="26"/>
          <w:szCs w:val="26"/>
        </w:rPr>
        <w:t xml:space="preserve">control over funds </w:t>
      </w:r>
      <w:r w:rsidR="00AB544A">
        <w:rPr>
          <w:rFonts w:asciiTheme="minorHAnsi" w:hAnsiTheme="minorHAnsi" w:cstheme="minorHAnsi"/>
          <w:sz w:val="26"/>
          <w:szCs w:val="26"/>
        </w:rPr>
        <w:t xml:space="preserve">in such </w:t>
      </w:r>
      <w:r w:rsidR="00D47AF7">
        <w:rPr>
          <w:rFonts w:asciiTheme="minorHAnsi" w:hAnsiTheme="minorHAnsi" w:cstheme="minorHAnsi"/>
          <w:sz w:val="26"/>
          <w:szCs w:val="26"/>
        </w:rPr>
        <w:t xml:space="preserve">a </w:t>
      </w:r>
      <w:r w:rsidR="00AB544A">
        <w:rPr>
          <w:rFonts w:asciiTheme="minorHAnsi" w:hAnsiTheme="minorHAnsi" w:cstheme="minorHAnsi"/>
          <w:sz w:val="26"/>
          <w:szCs w:val="26"/>
        </w:rPr>
        <w:t xml:space="preserve">scenario </w:t>
      </w:r>
      <w:r w:rsidRPr="00444142">
        <w:rPr>
          <w:rFonts w:asciiTheme="minorHAnsi" w:hAnsiTheme="minorHAnsi" w:cstheme="minorHAnsi"/>
          <w:sz w:val="26"/>
          <w:szCs w:val="26"/>
        </w:rPr>
        <w:t xml:space="preserve">is </w:t>
      </w:r>
      <w:r w:rsidR="009C10B1">
        <w:rPr>
          <w:rFonts w:asciiTheme="minorHAnsi" w:hAnsiTheme="minorHAnsi" w:cstheme="minorHAnsi"/>
          <w:sz w:val="26"/>
          <w:szCs w:val="26"/>
        </w:rPr>
        <w:t>essentially</w:t>
      </w:r>
      <w:r w:rsidR="000E34F6">
        <w:rPr>
          <w:rFonts w:asciiTheme="minorHAnsi" w:hAnsiTheme="minorHAnsi" w:cstheme="minorHAnsi"/>
          <w:sz w:val="26"/>
          <w:szCs w:val="26"/>
        </w:rPr>
        <w:t xml:space="preserve"> </w:t>
      </w:r>
      <w:r w:rsidR="00AB544A">
        <w:rPr>
          <w:rFonts w:asciiTheme="minorHAnsi" w:hAnsiTheme="minorHAnsi" w:cstheme="minorHAnsi"/>
          <w:sz w:val="26"/>
          <w:szCs w:val="26"/>
        </w:rPr>
        <w:t xml:space="preserve">the same as </w:t>
      </w:r>
      <w:r w:rsidR="00D47AF7">
        <w:rPr>
          <w:rFonts w:asciiTheme="minorHAnsi" w:hAnsiTheme="minorHAnsi" w:cstheme="minorHAnsi"/>
          <w:sz w:val="26"/>
          <w:szCs w:val="26"/>
        </w:rPr>
        <w:t xml:space="preserve">in a scenario where the funds are transferred </w:t>
      </w:r>
      <w:r w:rsidR="00AB544A">
        <w:rPr>
          <w:rFonts w:asciiTheme="minorHAnsi" w:hAnsiTheme="minorHAnsi" w:cstheme="minorHAnsi"/>
          <w:sz w:val="26"/>
          <w:szCs w:val="26"/>
        </w:rPr>
        <w:t>into the spouse’s bank account</w:t>
      </w:r>
      <w:r w:rsidR="00E80B17">
        <w:rPr>
          <w:rFonts w:asciiTheme="minorHAnsi" w:hAnsiTheme="minorHAnsi" w:cstheme="minorHAnsi"/>
          <w:sz w:val="26"/>
          <w:szCs w:val="26"/>
        </w:rPr>
        <w:t>.</w:t>
      </w:r>
    </w:p>
    <w:p w:rsidR="0091783B" w:rsidRPr="00BB0760" w:rsidRDefault="0091783B" w:rsidP="0091783B">
      <w:pPr>
        <w:pStyle w:val="ListParagraph"/>
        <w:rPr>
          <w:rFonts w:asciiTheme="minorHAnsi" w:hAnsiTheme="minorHAnsi" w:cstheme="minorHAnsi"/>
          <w:sz w:val="26"/>
          <w:szCs w:val="26"/>
        </w:rPr>
      </w:pPr>
    </w:p>
    <w:p w:rsidR="00444142" w:rsidRPr="00444142" w:rsidRDefault="00874FB6" w:rsidP="0044414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Applying </w:t>
      </w:r>
      <w:r w:rsidR="00836C0A">
        <w:rPr>
          <w:rFonts w:asciiTheme="minorHAnsi" w:hAnsiTheme="minorHAnsi" w:cstheme="minorHAnsi"/>
          <w:sz w:val="26"/>
          <w:szCs w:val="26"/>
        </w:rPr>
        <w:t xml:space="preserve">mandated </w:t>
      </w:r>
      <w:r>
        <w:rPr>
          <w:rFonts w:asciiTheme="minorHAnsi" w:hAnsiTheme="minorHAnsi" w:cstheme="minorHAnsi"/>
          <w:sz w:val="26"/>
          <w:szCs w:val="26"/>
        </w:rPr>
        <w:t>principles of interpretation,</w:t>
      </w:r>
      <w:r>
        <w:rPr>
          <w:rStyle w:val="FootnoteReference"/>
          <w:rFonts w:asciiTheme="minorHAnsi" w:hAnsiTheme="minorHAnsi" w:cstheme="minorHAnsi"/>
          <w:sz w:val="26"/>
          <w:szCs w:val="26"/>
        </w:rPr>
        <w:footnoteReference w:id="23"/>
      </w:r>
      <w:r>
        <w:rPr>
          <w:rFonts w:asciiTheme="minorHAnsi" w:hAnsiTheme="minorHAnsi" w:cstheme="minorHAnsi"/>
          <w:sz w:val="26"/>
          <w:szCs w:val="26"/>
        </w:rPr>
        <w:t xml:space="preserve"> </w:t>
      </w:r>
      <w:r w:rsidR="00444142" w:rsidRPr="00444142">
        <w:rPr>
          <w:rFonts w:asciiTheme="minorHAnsi" w:hAnsiTheme="minorHAnsi" w:cstheme="minorHAnsi"/>
          <w:sz w:val="26"/>
          <w:szCs w:val="26"/>
        </w:rPr>
        <w:t>In my view, the section must be read to mean that if the insolvent is protected</w:t>
      </w:r>
      <w:r w:rsidR="009C10B1">
        <w:rPr>
          <w:rFonts w:asciiTheme="minorHAnsi" w:hAnsiTheme="minorHAnsi" w:cstheme="minorHAnsi"/>
          <w:sz w:val="26"/>
          <w:szCs w:val="26"/>
        </w:rPr>
        <w:t>,</w:t>
      </w:r>
      <w:r w:rsidR="00444142" w:rsidRPr="00444142">
        <w:rPr>
          <w:rFonts w:asciiTheme="minorHAnsi" w:hAnsiTheme="minorHAnsi" w:cstheme="minorHAnsi"/>
          <w:sz w:val="26"/>
          <w:szCs w:val="26"/>
        </w:rPr>
        <w:t xml:space="preserve"> and hands </w:t>
      </w:r>
      <w:r w:rsidR="00836C0A">
        <w:rPr>
          <w:rFonts w:asciiTheme="minorHAnsi" w:hAnsiTheme="minorHAnsi" w:cstheme="minorHAnsi"/>
          <w:sz w:val="26"/>
          <w:szCs w:val="26"/>
        </w:rPr>
        <w:t xml:space="preserve">over </w:t>
      </w:r>
      <w:r w:rsidR="00444142" w:rsidRPr="00444142">
        <w:rPr>
          <w:rFonts w:asciiTheme="minorHAnsi" w:hAnsiTheme="minorHAnsi" w:cstheme="minorHAnsi"/>
          <w:sz w:val="26"/>
          <w:szCs w:val="26"/>
        </w:rPr>
        <w:t>funds which are protected in his hands</w:t>
      </w:r>
      <w:r w:rsidR="009C10B1">
        <w:rPr>
          <w:rFonts w:asciiTheme="minorHAnsi" w:hAnsiTheme="minorHAnsi" w:cstheme="minorHAnsi"/>
          <w:sz w:val="26"/>
          <w:szCs w:val="26"/>
        </w:rPr>
        <w:t>,</w:t>
      </w:r>
      <w:r w:rsidR="00444142" w:rsidRPr="00444142">
        <w:rPr>
          <w:rFonts w:asciiTheme="minorHAnsi" w:hAnsiTheme="minorHAnsi" w:cstheme="minorHAnsi"/>
          <w:sz w:val="26"/>
          <w:szCs w:val="26"/>
        </w:rPr>
        <w:t xml:space="preserve"> to a person (spouse) who</w:t>
      </w:r>
      <w:r w:rsidR="00B65AEC">
        <w:rPr>
          <w:rFonts w:asciiTheme="minorHAnsi" w:hAnsiTheme="minorHAnsi" w:cstheme="minorHAnsi"/>
          <w:sz w:val="26"/>
          <w:szCs w:val="26"/>
        </w:rPr>
        <w:t>se disabi</w:t>
      </w:r>
      <w:r w:rsidR="00E80B17">
        <w:rPr>
          <w:rFonts w:asciiTheme="minorHAnsi" w:hAnsiTheme="minorHAnsi" w:cstheme="minorHAnsi"/>
          <w:sz w:val="26"/>
          <w:szCs w:val="26"/>
        </w:rPr>
        <w:t>lity</w:t>
      </w:r>
      <w:r w:rsidR="00444142" w:rsidRPr="00444142">
        <w:rPr>
          <w:rFonts w:asciiTheme="minorHAnsi" w:hAnsiTheme="minorHAnsi" w:cstheme="minorHAnsi"/>
          <w:sz w:val="26"/>
          <w:szCs w:val="26"/>
        </w:rPr>
        <w:t xml:space="preserve"> is the reason </w:t>
      </w:r>
      <w:r w:rsidR="00A83DED">
        <w:rPr>
          <w:rFonts w:asciiTheme="minorHAnsi" w:hAnsiTheme="minorHAnsi" w:cstheme="minorHAnsi"/>
          <w:sz w:val="26"/>
          <w:szCs w:val="26"/>
        </w:rPr>
        <w:t xml:space="preserve">that </w:t>
      </w:r>
      <w:r w:rsidR="00444142" w:rsidRPr="00444142">
        <w:rPr>
          <w:rFonts w:asciiTheme="minorHAnsi" w:hAnsiTheme="minorHAnsi" w:cstheme="minorHAnsi"/>
          <w:sz w:val="26"/>
          <w:szCs w:val="26"/>
        </w:rPr>
        <w:t xml:space="preserve">they are protected, the character of the funds </w:t>
      </w:r>
      <w:r>
        <w:rPr>
          <w:rFonts w:asciiTheme="minorHAnsi" w:hAnsiTheme="minorHAnsi" w:cstheme="minorHAnsi"/>
          <w:sz w:val="26"/>
          <w:szCs w:val="26"/>
        </w:rPr>
        <w:t>remains unchanged</w:t>
      </w:r>
      <w:r w:rsidR="00836C0A">
        <w:rPr>
          <w:rFonts w:asciiTheme="minorHAnsi" w:hAnsiTheme="minorHAnsi" w:cstheme="minorHAnsi"/>
          <w:sz w:val="26"/>
          <w:szCs w:val="26"/>
        </w:rPr>
        <w:t xml:space="preserve"> </w:t>
      </w:r>
      <w:r>
        <w:rPr>
          <w:rFonts w:asciiTheme="minorHAnsi" w:hAnsiTheme="minorHAnsi" w:cstheme="minorHAnsi"/>
          <w:sz w:val="26"/>
          <w:szCs w:val="26"/>
        </w:rPr>
        <w:t>- the funds remain</w:t>
      </w:r>
      <w:r w:rsidR="00444142" w:rsidRPr="00444142">
        <w:rPr>
          <w:rFonts w:asciiTheme="minorHAnsi" w:hAnsiTheme="minorHAnsi" w:cstheme="minorHAnsi"/>
          <w:sz w:val="26"/>
          <w:szCs w:val="26"/>
        </w:rPr>
        <w:t xml:space="preserve"> protected as</w:t>
      </w:r>
      <w:r w:rsidR="00A933A9">
        <w:rPr>
          <w:rFonts w:asciiTheme="minorHAnsi" w:hAnsiTheme="minorHAnsi" w:cstheme="minorHAnsi"/>
          <w:sz w:val="26"/>
          <w:szCs w:val="26"/>
        </w:rPr>
        <w:t xml:space="preserve"> </w:t>
      </w:r>
      <w:r w:rsidR="00444142" w:rsidRPr="00444142">
        <w:rPr>
          <w:rFonts w:asciiTheme="minorHAnsi" w:hAnsiTheme="minorHAnsi" w:cstheme="minorHAnsi"/>
          <w:sz w:val="26"/>
          <w:szCs w:val="26"/>
        </w:rPr>
        <w:t xml:space="preserve">if there </w:t>
      </w:r>
      <w:r w:rsidR="00B65AEC">
        <w:rPr>
          <w:rFonts w:asciiTheme="minorHAnsi" w:hAnsiTheme="minorHAnsi" w:cstheme="minorHAnsi"/>
          <w:sz w:val="26"/>
          <w:szCs w:val="26"/>
        </w:rPr>
        <w:t>were</w:t>
      </w:r>
      <w:r w:rsidR="00444142" w:rsidRPr="00444142">
        <w:rPr>
          <w:rFonts w:asciiTheme="minorHAnsi" w:hAnsiTheme="minorHAnsi" w:cstheme="minorHAnsi"/>
          <w:sz w:val="26"/>
          <w:szCs w:val="26"/>
        </w:rPr>
        <w:t xml:space="preserve"> no transfer to that person (spouse). A purposive business-like interpretation of the section is that the protection survives an insolvent</w:t>
      </w:r>
      <w:r w:rsidR="00836C0A">
        <w:rPr>
          <w:rFonts w:asciiTheme="minorHAnsi" w:hAnsiTheme="minorHAnsi" w:cstheme="minorHAnsi"/>
          <w:sz w:val="26"/>
          <w:szCs w:val="26"/>
        </w:rPr>
        <w:t>-</w:t>
      </w:r>
      <w:r w:rsidR="00444142" w:rsidRPr="00444142">
        <w:rPr>
          <w:rFonts w:asciiTheme="minorHAnsi" w:hAnsiTheme="minorHAnsi" w:cstheme="minorHAnsi"/>
          <w:sz w:val="26"/>
          <w:szCs w:val="26"/>
        </w:rPr>
        <w:t>to</w:t>
      </w:r>
      <w:r w:rsidR="00836C0A">
        <w:rPr>
          <w:rFonts w:asciiTheme="minorHAnsi" w:hAnsiTheme="minorHAnsi" w:cstheme="minorHAnsi"/>
          <w:sz w:val="26"/>
          <w:szCs w:val="26"/>
        </w:rPr>
        <w:t>-</w:t>
      </w:r>
      <w:r w:rsidR="00444142" w:rsidRPr="00444142">
        <w:rPr>
          <w:rFonts w:asciiTheme="minorHAnsi" w:hAnsiTheme="minorHAnsi" w:cstheme="minorHAnsi"/>
          <w:sz w:val="26"/>
          <w:szCs w:val="26"/>
        </w:rPr>
        <w:t>spous</w:t>
      </w:r>
      <w:r w:rsidR="00A933A9">
        <w:rPr>
          <w:rFonts w:asciiTheme="minorHAnsi" w:hAnsiTheme="minorHAnsi" w:cstheme="minorHAnsi"/>
          <w:sz w:val="26"/>
          <w:szCs w:val="26"/>
        </w:rPr>
        <w:t>al</w:t>
      </w:r>
      <w:r w:rsidR="00444142" w:rsidRPr="00444142">
        <w:rPr>
          <w:rFonts w:asciiTheme="minorHAnsi" w:hAnsiTheme="minorHAnsi" w:cstheme="minorHAnsi"/>
          <w:sz w:val="26"/>
          <w:szCs w:val="26"/>
        </w:rPr>
        <w:t xml:space="preserve"> transfer.</w:t>
      </w:r>
    </w:p>
    <w:p w:rsidR="00874FB6" w:rsidRDefault="00874FB6" w:rsidP="00874FB6">
      <w:pPr>
        <w:pStyle w:val="ListParagraph"/>
        <w:rPr>
          <w:rFonts w:asciiTheme="minorHAnsi" w:hAnsiTheme="minorHAnsi" w:cstheme="minorHAnsi"/>
          <w:sz w:val="26"/>
          <w:szCs w:val="26"/>
        </w:rPr>
      </w:pPr>
    </w:p>
    <w:p w:rsidR="00D66ED7" w:rsidRDefault="009C10B1" w:rsidP="0044414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Seen </w:t>
      </w:r>
      <w:r w:rsidR="00B65AEC">
        <w:rPr>
          <w:rFonts w:asciiTheme="minorHAnsi" w:hAnsiTheme="minorHAnsi" w:cstheme="minorHAnsi"/>
          <w:sz w:val="26"/>
          <w:szCs w:val="26"/>
        </w:rPr>
        <w:t xml:space="preserve">from a different perspective and </w:t>
      </w:r>
      <w:r>
        <w:rPr>
          <w:rFonts w:asciiTheme="minorHAnsi" w:hAnsiTheme="minorHAnsi" w:cstheme="minorHAnsi"/>
          <w:sz w:val="26"/>
          <w:szCs w:val="26"/>
        </w:rPr>
        <w:t>through the prism of s 21 of the Act, w</w:t>
      </w:r>
      <w:r w:rsidR="00444142" w:rsidRPr="00444142">
        <w:rPr>
          <w:rFonts w:asciiTheme="minorHAnsi" w:hAnsiTheme="minorHAnsi" w:cstheme="minorHAnsi"/>
          <w:sz w:val="26"/>
          <w:szCs w:val="26"/>
        </w:rPr>
        <w:t>hen it provided the protection</w:t>
      </w:r>
      <w:r>
        <w:rPr>
          <w:rFonts w:asciiTheme="minorHAnsi" w:hAnsiTheme="minorHAnsi" w:cstheme="minorHAnsi"/>
          <w:sz w:val="26"/>
          <w:szCs w:val="26"/>
        </w:rPr>
        <w:t xml:space="preserve"> afforded by s 63 of the LTI Act</w:t>
      </w:r>
      <w:r w:rsidR="00464EE1">
        <w:rPr>
          <w:rFonts w:asciiTheme="minorHAnsi" w:hAnsiTheme="minorHAnsi" w:cstheme="minorHAnsi"/>
          <w:sz w:val="26"/>
          <w:szCs w:val="26"/>
        </w:rPr>
        <w:t>,</w:t>
      </w:r>
      <w:r w:rsidR="00444142" w:rsidRPr="00444142">
        <w:rPr>
          <w:rFonts w:asciiTheme="minorHAnsi" w:hAnsiTheme="minorHAnsi" w:cstheme="minorHAnsi"/>
          <w:sz w:val="26"/>
          <w:szCs w:val="26"/>
        </w:rPr>
        <w:t xml:space="preserve"> the legislature did not deem it necessary to repeat that the benefits would not be attachable in </w:t>
      </w:r>
      <w:r w:rsidR="00836C0A">
        <w:rPr>
          <w:rFonts w:asciiTheme="minorHAnsi" w:hAnsiTheme="minorHAnsi" w:cstheme="minorHAnsi"/>
          <w:sz w:val="26"/>
          <w:szCs w:val="26"/>
        </w:rPr>
        <w:t xml:space="preserve">the circumstances provided for in </w:t>
      </w:r>
      <w:r w:rsidR="00444142" w:rsidRPr="00444142">
        <w:rPr>
          <w:rFonts w:asciiTheme="minorHAnsi" w:hAnsiTheme="minorHAnsi" w:cstheme="minorHAnsi"/>
          <w:sz w:val="26"/>
          <w:szCs w:val="26"/>
        </w:rPr>
        <w:t xml:space="preserve">s21 </w:t>
      </w:r>
      <w:r w:rsidR="00836C0A">
        <w:rPr>
          <w:rFonts w:asciiTheme="minorHAnsi" w:hAnsiTheme="minorHAnsi" w:cstheme="minorHAnsi"/>
          <w:sz w:val="26"/>
          <w:szCs w:val="26"/>
        </w:rPr>
        <w:t>of the Act</w:t>
      </w:r>
      <w:r w:rsidR="00444142" w:rsidRPr="00444142">
        <w:rPr>
          <w:rFonts w:asciiTheme="minorHAnsi" w:hAnsiTheme="minorHAnsi" w:cstheme="minorHAnsi"/>
          <w:sz w:val="26"/>
          <w:szCs w:val="26"/>
        </w:rPr>
        <w:t>. If the benefits were protected in the hands of the insolvent</w:t>
      </w:r>
      <w:r w:rsidR="00A933A9">
        <w:rPr>
          <w:rFonts w:asciiTheme="minorHAnsi" w:hAnsiTheme="minorHAnsi" w:cstheme="minorHAnsi"/>
          <w:sz w:val="26"/>
          <w:szCs w:val="26"/>
        </w:rPr>
        <w:t xml:space="preserve"> under s 63 of the LTI Act</w:t>
      </w:r>
      <w:r w:rsidR="00464EE1">
        <w:rPr>
          <w:rFonts w:asciiTheme="minorHAnsi" w:hAnsiTheme="minorHAnsi" w:cstheme="minorHAnsi"/>
          <w:sz w:val="26"/>
          <w:szCs w:val="26"/>
        </w:rPr>
        <w:t>,</w:t>
      </w:r>
      <w:r w:rsidR="00444142" w:rsidRPr="00444142">
        <w:rPr>
          <w:rFonts w:asciiTheme="minorHAnsi" w:hAnsiTheme="minorHAnsi" w:cstheme="minorHAnsi"/>
          <w:sz w:val="26"/>
          <w:szCs w:val="26"/>
        </w:rPr>
        <w:t xml:space="preserve"> it was presumably assumed </w:t>
      </w:r>
      <w:r w:rsidR="0024490C">
        <w:rPr>
          <w:rFonts w:asciiTheme="minorHAnsi" w:hAnsiTheme="minorHAnsi" w:cstheme="minorHAnsi"/>
          <w:sz w:val="26"/>
          <w:szCs w:val="26"/>
        </w:rPr>
        <w:t xml:space="preserve">that </w:t>
      </w:r>
      <w:r w:rsidR="00444142" w:rsidRPr="00444142">
        <w:rPr>
          <w:rFonts w:asciiTheme="minorHAnsi" w:hAnsiTheme="minorHAnsi" w:cstheme="minorHAnsi"/>
          <w:sz w:val="26"/>
          <w:szCs w:val="26"/>
        </w:rPr>
        <w:t>they would be protected under s 21</w:t>
      </w:r>
      <w:r w:rsidR="00A933A9">
        <w:rPr>
          <w:rFonts w:asciiTheme="minorHAnsi" w:hAnsiTheme="minorHAnsi" w:cstheme="minorHAnsi"/>
          <w:sz w:val="26"/>
          <w:szCs w:val="26"/>
        </w:rPr>
        <w:t xml:space="preserve"> of the Act</w:t>
      </w:r>
      <w:r w:rsidR="000E34F6">
        <w:rPr>
          <w:rFonts w:asciiTheme="minorHAnsi" w:hAnsiTheme="minorHAnsi" w:cstheme="minorHAnsi"/>
          <w:sz w:val="26"/>
          <w:szCs w:val="26"/>
        </w:rPr>
        <w:t xml:space="preserve">, which provides that </w:t>
      </w:r>
      <w:r w:rsidR="000E34F6" w:rsidRPr="00A933A9">
        <w:rPr>
          <w:rFonts w:asciiTheme="minorHAnsi" w:hAnsiTheme="minorHAnsi" w:cstheme="minorHAnsi"/>
          <w:sz w:val="26"/>
          <w:szCs w:val="26"/>
        </w:rPr>
        <w:t xml:space="preserve">the effect of the sequestration of the separate estate of one of two spouses who are not living apart shall be to vest in the trustee, once appointed, all the property of the spouse whose estate has not been sequestrated </w:t>
      </w:r>
      <w:r w:rsidR="000E34F6" w:rsidRPr="000E34F6">
        <w:rPr>
          <w:rFonts w:asciiTheme="minorHAnsi" w:hAnsiTheme="minorHAnsi" w:cstheme="minorHAnsi"/>
          <w:sz w:val="26"/>
          <w:szCs w:val="26"/>
        </w:rPr>
        <w:t>as if it were</w:t>
      </w:r>
      <w:r w:rsidR="000E34F6">
        <w:rPr>
          <w:rFonts w:asciiTheme="minorHAnsi" w:hAnsiTheme="minorHAnsi" w:cstheme="minorHAnsi"/>
          <w:i/>
          <w:sz w:val="26"/>
          <w:szCs w:val="26"/>
        </w:rPr>
        <w:t xml:space="preserve"> </w:t>
      </w:r>
      <w:r w:rsidR="000E34F6" w:rsidRPr="000E34F6">
        <w:rPr>
          <w:rFonts w:asciiTheme="minorHAnsi" w:hAnsiTheme="minorHAnsi" w:cstheme="minorHAnsi"/>
          <w:b/>
          <w:i/>
          <w:sz w:val="26"/>
          <w:szCs w:val="26"/>
        </w:rPr>
        <w:t xml:space="preserve">the </w:t>
      </w:r>
      <w:r w:rsidR="000E34F6" w:rsidRPr="00F96B27">
        <w:rPr>
          <w:rFonts w:asciiTheme="minorHAnsi" w:hAnsiTheme="minorHAnsi" w:cstheme="minorHAnsi"/>
          <w:b/>
          <w:i/>
          <w:sz w:val="26"/>
          <w:szCs w:val="26"/>
        </w:rPr>
        <w:t>property of the sequestrated estate</w:t>
      </w:r>
      <w:r w:rsidR="000E34F6" w:rsidRPr="00A933A9">
        <w:rPr>
          <w:rFonts w:asciiTheme="minorHAnsi" w:hAnsiTheme="minorHAnsi" w:cstheme="minorHAnsi"/>
          <w:i/>
          <w:sz w:val="26"/>
          <w:szCs w:val="26"/>
        </w:rPr>
        <w:t>,</w:t>
      </w:r>
      <w:r w:rsidR="000E34F6" w:rsidRPr="00A933A9">
        <w:rPr>
          <w:rFonts w:asciiTheme="minorHAnsi" w:hAnsiTheme="minorHAnsi" w:cstheme="minorHAnsi"/>
          <w:sz w:val="26"/>
          <w:szCs w:val="26"/>
        </w:rPr>
        <w:t xml:space="preserve"> and to empower the trustee to deal with such property accordingly, subject to the further provisions of the section</w:t>
      </w:r>
      <w:r w:rsidR="000E34F6">
        <w:rPr>
          <w:rFonts w:asciiTheme="minorHAnsi" w:hAnsiTheme="minorHAnsi" w:cstheme="minorHAnsi"/>
          <w:sz w:val="26"/>
          <w:szCs w:val="26"/>
        </w:rPr>
        <w:t>.</w:t>
      </w:r>
      <w:r w:rsidR="00A933A9">
        <w:rPr>
          <w:rFonts w:asciiTheme="minorHAnsi" w:hAnsiTheme="minorHAnsi" w:cstheme="minorHAnsi"/>
          <w:sz w:val="26"/>
          <w:szCs w:val="26"/>
        </w:rPr>
        <w:t xml:space="preserve"> </w:t>
      </w:r>
    </w:p>
    <w:p w:rsidR="00D66ED7" w:rsidRDefault="00D66ED7" w:rsidP="00D66ED7">
      <w:pPr>
        <w:pStyle w:val="ListParagraph"/>
        <w:rPr>
          <w:rFonts w:asciiTheme="minorHAnsi" w:hAnsiTheme="minorHAnsi" w:cstheme="minorHAnsi"/>
          <w:sz w:val="26"/>
          <w:szCs w:val="26"/>
        </w:rPr>
      </w:pPr>
    </w:p>
    <w:p w:rsidR="00A933A9" w:rsidRPr="00464EE1" w:rsidRDefault="00464EE1" w:rsidP="00A933A9">
      <w:pPr>
        <w:pStyle w:val="ListParagraph"/>
        <w:numPr>
          <w:ilvl w:val="0"/>
          <w:numId w:val="3"/>
        </w:numPr>
        <w:spacing w:after="200" w:line="360" w:lineRule="auto"/>
        <w:jc w:val="both"/>
        <w:rPr>
          <w:rFonts w:asciiTheme="minorHAnsi" w:hAnsiTheme="minorHAnsi" w:cstheme="minorHAnsi"/>
          <w:sz w:val="26"/>
          <w:szCs w:val="26"/>
        </w:rPr>
      </w:pPr>
      <w:r w:rsidRPr="00464EE1">
        <w:rPr>
          <w:rFonts w:asciiTheme="minorHAnsi" w:hAnsiTheme="minorHAnsi" w:cstheme="minorHAnsi"/>
          <w:sz w:val="26"/>
          <w:szCs w:val="26"/>
        </w:rPr>
        <w:t>P</w:t>
      </w:r>
      <w:r w:rsidR="00A933A9" w:rsidRPr="00464EE1">
        <w:rPr>
          <w:rFonts w:asciiTheme="minorHAnsi" w:hAnsiTheme="minorHAnsi" w:cstheme="minorHAnsi"/>
          <w:sz w:val="26"/>
          <w:szCs w:val="26"/>
        </w:rPr>
        <w:t xml:space="preserve">rotected </w:t>
      </w:r>
      <w:r w:rsidR="00F96B27" w:rsidRPr="00464EE1">
        <w:rPr>
          <w:rFonts w:asciiTheme="minorHAnsi" w:hAnsiTheme="minorHAnsi" w:cstheme="minorHAnsi"/>
          <w:sz w:val="26"/>
          <w:szCs w:val="26"/>
        </w:rPr>
        <w:t>benefits</w:t>
      </w:r>
      <w:r w:rsidR="00A933A9" w:rsidRPr="00464EE1">
        <w:rPr>
          <w:rFonts w:asciiTheme="minorHAnsi" w:hAnsiTheme="minorHAnsi" w:cstheme="minorHAnsi"/>
          <w:sz w:val="26"/>
          <w:szCs w:val="26"/>
        </w:rPr>
        <w:t xml:space="preserve"> released to the spouse of the protected person are not attachable under s 21 of the Act</w:t>
      </w:r>
      <w:r w:rsidR="0024490C">
        <w:rPr>
          <w:rFonts w:asciiTheme="minorHAnsi" w:hAnsiTheme="minorHAnsi" w:cstheme="minorHAnsi"/>
          <w:sz w:val="26"/>
          <w:szCs w:val="26"/>
        </w:rPr>
        <w:t xml:space="preserve"> for the simple reason that b</w:t>
      </w:r>
      <w:r w:rsidR="000E34F6" w:rsidRPr="00464EE1">
        <w:rPr>
          <w:rFonts w:asciiTheme="minorHAnsi" w:hAnsiTheme="minorHAnsi" w:cstheme="minorHAnsi"/>
          <w:sz w:val="26"/>
          <w:szCs w:val="26"/>
        </w:rPr>
        <w:t>y virtue of s 63 of the LTI Act, t</w:t>
      </w:r>
      <w:r w:rsidR="00A933A9" w:rsidRPr="00464EE1">
        <w:rPr>
          <w:rFonts w:asciiTheme="minorHAnsi" w:hAnsiTheme="minorHAnsi" w:cstheme="minorHAnsi"/>
          <w:sz w:val="26"/>
          <w:szCs w:val="26"/>
        </w:rPr>
        <w:t xml:space="preserve">he </w:t>
      </w:r>
      <w:r w:rsidR="00F96B27" w:rsidRPr="00464EE1">
        <w:rPr>
          <w:rFonts w:asciiTheme="minorHAnsi" w:hAnsiTheme="minorHAnsi" w:cstheme="minorHAnsi"/>
          <w:sz w:val="26"/>
          <w:szCs w:val="26"/>
        </w:rPr>
        <w:t>benefit</w:t>
      </w:r>
      <w:r w:rsidR="00A933A9" w:rsidRPr="00464EE1">
        <w:rPr>
          <w:rFonts w:asciiTheme="minorHAnsi" w:hAnsiTheme="minorHAnsi" w:cstheme="minorHAnsi"/>
          <w:sz w:val="26"/>
          <w:szCs w:val="26"/>
        </w:rPr>
        <w:t xml:space="preserve"> </w:t>
      </w:r>
      <w:r w:rsidR="006A32CF">
        <w:rPr>
          <w:rFonts w:asciiTheme="minorHAnsi" w:hAnsiTheme="minorHAnsi" w:cstheme="minorHAnsi"/>
          <w:sz w:val="26"/>
          <w:szCs w:val="26"/>
        </w:rPr>
        <w:t xml:space="preserve">was protected from attachment and thus </w:t>
      </w:r>
      <w:r w:rsidR="0024490C">
        <w:rPr>
          <w:rFonts w:asciiTheme="minorHAnsi" w:hAnsiTheme="minorHAnsi" w:cstheme="minorHAnsi"/>
          <w:sz w:val="26"/>
          <w:szCs w:val="26"/>
        </w:rPr>
        <w:t xml:space="preserve">did not </w:t>
      </w:r>
      <w:r w:rsidR="009C10B1">
        <w:rPr>
          <w:rFonts w:asciiTheme="minorHAnsi" w:hAnsiTheme="minorHAnsi" w:cstheme="minorHAnsi"/>
          <w:sz w:val="26"/>
          <w:szCs w:val="26"/>
        </w:rPr>
        <w:t xml:space="preserve">ever </w:t>
      </w:r>
      <w:r w:rsidR="0024490C">
        <w:rPr>
          <w:rFonts w:asciiTheme="minorHAnsi" w:hAnsiTheme="minorHAnsi" w:cstheme="minorHAnsi"/>
          <w:sz w:val="26"/>
          <w:szCs w:val="26"/>
        </w:rPr>
        <w:t>form</w:t>
      </w:r>
      <w:r w:rsidR="00A933A9" w:rsidRPr="00464EE1">
        <w:rPr>
          <w:rFonts w:asciiTheme="minorHAnsi" w:hAnsiTheme="minorHAnsi" w:cstheme="minorHAnsi"/>
          <w:sz w:val="26"/>
          <w:szCs w:val="26"/>
        </w:rPr>
        <w:t xml:space="preserve"> part of the </w:t>
      </w:r>
      <w:r w:rsidR="000E34F6" w:rsidRPr="00464EE1">
        <w:rPr>
          <w:rFonts w:asciiTheme="minorHAnsi" w:hAnsiTheme="minorHAnsi" w:cstheme="minorHAnsi"/>
          <w:sz w:val="26"/>
          <w:szCs w:val="26"/>
        </w:rPr>
        <w:t>property of the sequestrated</w:t>
      </w:r>
      <w:r w:rsidR="00A933A9" w:rsidRPr="00464EE1">
        <w:rPr>
          <w:rFonts w:asciiTheme="minorHAnsi" w:hAnsiTheme="minorHAnsi" w:cstheme="minorHAnsi"/>
          <w:sz w:val="26"/>
          <w:szCs w:val="26"/>
        </w:rPr>
        <w:t xml:space="preserve"> estate in the hands of the insolvent. In the hands of </w:t>
      </w:r>
      <w:r w:rsidRPr="00464EE1">
        <w:rPr>
          <w:rFonts w:asciiTheme="minorHAnsi" w:hAnsiTheme="minorHAnsi" w:cstheme="minorHAnsi"/>
          <w:sz w:val="26"/>
          <w:szCs w:val="26"/>
        </w:rPr>
        <w:t>his</w:t>
      </w:r>
      <w:r w:rsidR="00A933A9" w:rsidRPr="00464EE1">
        <w:rPr>
          <w:rFonts w:asciiTheme="minorHAnsi" w:hAnsiTheme="minorHAnsi" w:cstheme="minorHAnsi"/>
          <w:sz w:val="26"/>
          <w:szCs w:val="26"/>
        </w:rPr>
        <w:t xml:space="preserve"> </w:t>
      </w:r>
      <w:r w:rsidR="00D66ED7" w:rsidRPr="00464EE1">
        <w:rPr>
          <w:rFonts w:asciiTheme="minorHAnsi" w:hAnsiTheme="minorHAnsi" w:cstheme="minorHAnsi"/>
          <w:sz w:val="26"/>
          <w:szCs w:val="26"/>
        </w:rPr>
        <w:t>spouse,</w:t>
      </w:r>
      <w:r w:rsidR="00A933A9" w:rsidRPr="00464EE1">
        <w:rPr>
          <w:rFonts w:asciiTheme="minorHAnsi" w:hAnsiTheme="minorHAnsi" w:cstheme="minorHAnsi"/>
          <w:sz w:val="26"/>
          <w:szCs w:val="26"/>
        </w:rPr>
        <w:t xml:space="preserve"> it cannot by a fiction suddenly become property of the </w:t>
      </w:r>
      <w:r w:rsidR="00F96B27" w:rsidRPr="00464EE1">
        <w:rPr>
          <w:rFonts w:asciiTheme="minorHAnsi" w:hAnsiTheme="minorHAnsi" w:cstheme="minorHAnsi"/>
          <w:sz w:val="26"/>
          <w:szCs w:val="26"/>
        </w:rPr>
        <w:t xml:space="preserve">sequestrated </w:t>
      </w:r>
      <w:r w:rsidR="00A933A9" w:rsidRPr="00464EE1">
        <w:rPr>
          <w:rFonts w:asciiTheme="minorHAnsi" w:hAnsiTheme="minorHAnsi" w:cstheme="minorHAnsi"/>
          <w:sz w:val="26"/>
          <w:szCs w:val="26"/>
        </w:rPr>
        <w:t xml:space="preserve">estate. The insolvent’s creditors </w:t>
      </w:r>
      <w:r w:rsidR="00D66ED7" w:rsidRPr="00464EE1">
        <w:rPr>
          <w:rFonts w:asciiTheme="minorHAnsi" w:hAnsiTheme="minorHAnsi" w:cstheme="minorHAnsi"/>
          <w:sz w:val="26"/>
          <w:szCs w:val="26"/>
        </w:rPr>
        <w:t>ha</w:t>
      </w:r>
      <w:r w:rsidR="0024490C">
        <w:rPr>
          <w:rFonts w:asciiTheme="minorHAnsi" w:hAnsiTheme="minorHAnsi" w:cstheme="minorHAnsi"/>
          <w:sz w:val="26"/>
          <w:szCs w:val="26"/>
        </w:rPr>
        <w:t>ve</w:t>
      </w:r>
      <w:r w:rsidR="00D66ED7" w:rsidRPr="00464EE1">
        <w:rPr>
          <w:rFonts w:asciiTheme="minorHAnsi" w:hAnsiTheme="minorHAnsi" w:cstheme="minorHAnsi"/>
          <w:sz w:val="26"/>
          <w:szCs w:val="26"/>
        </w:rPr>
        <w:t xml:space="preserve"> </w:t>
      </w:r>
      <w:r w:rsidR="00A933A9" w:rsidRPr="00464EE1">
        <w:rPr>
          <w:rFonts w:asciiTheme="minorHAnsi" w:hAnsiTheme="minorHAnsi" w:cstheme="minorHAnsi"/>
          <w:sz w:val="26"/>
          <w:szCs w:val="26"/>
        </w:rPr>
        <w:t xml:space="preserve">no claim against the insolvent estate for payment of any of the </w:t>
      </w:r>
      <w:r w:rsidR="00D66ED7" w:rsidRPr="00464EE1">
        <w:rPr>
          <w:rFonts w:asciiTheme="minorHAnsi" w:hAnsiTheme="minorHAnsi" w:cstheme="minorHAnsi"/>
          <w:sz w:val="26"/>
          <w:szCs w:val="26"/>
        </w:rPr>
        <w:t xml:space="preserve">protected </w:t>
      </w:r>
      <w:r w:rsidR="00A933A9" w:rsidRPr="00464EE1">
        <w:rPr>
          <w:rFonts w:asciiTheme="minorHAnsi" w:hAnsiTheme="minorHAnsi" w:cstheme="minorHAnsi"/>
          <w:sz w:val="26"/>
          <w:szCs w:val="26"/>
        </w:rPr>
        <w:t>benefits</w:t>
      </w:r>
      <w:r w:rsidR="00D66ED7" w:rsidRPr="00464EE1">
        <w:rPr>
          <w:rFonts w:asciiTheme="minorHAnsi" w:hAnsiTheme="minorHAnsi" w:cstheme="minorHAnsi"/>
          <w:sz w:val="26"/>
          <w:szCs w:val="26"/>
        </w:rPr>
        <w:t>. Yet</w:t>
      </w:r>
      <w:r w:rsidR="00A933A9" w:rsidRPr="00464EE1">
        <w:rPr>
          <w:rFonts w:asciiTheme="minorHAnsi" w:hAnsiTheme="minorHAnsi" w:cstheme="minorHAnsi"/>
          <w:sz w:val="26"/>
          <w:szCs w:val="26"/>
        </w:rPr>
        <w:t xml:space="preserve"> </w:t>
      </w:r>
      <w:r w:rsidR="00B65AEC">
        <w:rPr>
          <w:rFonts w:asciiTheme="minorHAnsi" w:hAnsiTheme="minorHAnsi" w:cstheme="minorHAnsi"/>
          <w:i/>
          <w:sz w:val="26"/>
          <w:szCs w:val="26"/>
        </w:rPr>
        <w:t xml:space="preserve">in </w:t>
      </w:r>
      <w:r w:rsidR="00B65AEC" w:rsidRPr="00B65AEC">
        <w:rPr>
          <w:rFonts w:asciiTheme="minorHAnsi" w:hAnsiTheme="minorHAnsi" w:cstheme="minorHAnsi"/>
          <w:i/>
          <w:sz w:val="26"/>
          <w:szCs w:val="26"/>
        </w:rPr>
        <w:t>casu</w:t>
      </w:r>
      <w:r w:rsidR="00B65AEC">
        <w:rPr>
          <w:rFonts w:asciiTheme="minorHAnsi" w:hAnsiTheme="minorHAnsi" w:cstheme="minorHAnsi"/>
          <w:sz w:val="26"/>
          <w:szCs w:val="26"/>
        </w:rPr>
        <w:t xml:space="preserve">, </w:t>
      </w:r>
      <w:r w:rsidR="00D66ED7" w:rsidRPr="00B65AEC">
        <w:rPr>
          <w:rFonts w:asciiTheme="minorHAnsi" w:hAnsiTheme="minorHAnsi" w:cstheme="minorHAnsi"/>
          <w:sz w:val="26"/>
          <w:szCs w:val="26"/>
        </w:rPr>
        <w:t>an</w:t>
      </w:r>
      <w:r w:rsidR="00D66ED7" w:rsidRPr="00464EE1">
        <w:rPr>
          <w:rFonts w:asciiTheme="minorHAnsi" w:hAnsiTheme="minorHAnsi" w:cstheme="minorHAnsi"/>
          <w:sz w:val="26"/>
          <w:szCs w:val="26"/>
        </w:rPr>
        <w:t xml:space="preserve"> excluded asset was seized by the insolvent’s trustees in circumstances where no creditor ha</w:t>
      </w:r>
      <w:r w:rsidRPr="00464EE1">
        <w:rPr>
          <w:rFonts w:asciiTheme="minorHAnsi" w:hAnsiTheme="minorHAnsi" w:cstheme="minorHAnsi"/>
          <w:sz w:val="26"/>
          <w:szCs w:val="26"/>
        </w:rPr>
        <w:t>d</w:t>
      </w:r>
      <w:r w:rsidR="00D66ED7" w:rsidRPr="00464EE1">
        <w:rPr>
          <w:rFonts w:asciiTheme="minorHAnsi" w:hAnsiTheme="minorHAnsi" w:cstheme="minorHAnsi"/>
          <w:sz w:val="26"/>
          <w:szCs w:val="26"/>
        </w:rPr>
        <w:t xml:space="preserve"> a claim against it either in the insolvent</w:t>
      </w:r>
      <w:r w:rsidR="000E34F6" w:rsidRPr="00464EE1">
        <w:rPr>
          <w:rFonts w:asciiTheme="minorHAnsi" w:hAnsiTheme="minorHAnsi" w:cstheme="minorHAnsi"/>
          <w:sz w:val="26"/>
          <w:szCs w:val="26"/>
        </w:rPr>
        <w:t>’</w:t>
      </w:r>
      <w:r w:rsidR="00D66ED7" w:rsidRPr="00464EE1">
        <w:rPr>
          <w:rFonts w:asciiTheme="minorHAnsi" w:hAnsiTheme="minorHAnsi" w:cstheme="minorHAnsi"/>
          <w:sz w:val="26"/>
          <w:szCs w:val="26"/>
        </w:rPr>
        <w:t xml:space="preserve">s hands or </w:t>
      </w:r>
      <w:r w:rsidRPr="00464EE1">
        <w:rPr>
          <w:rFonts w:asciiTheme="minorHAnsi" w:hAnsiTheme="minorHAnsi" w:cstheme="minorHAnsi"/>
          <w:sz w:val="26"/>
          <w:szCs w:val="26"/>
        </w:rPr>
        <w:t xml:space="preserve">in </w:t>
      </w:r>
      <w:r w:rsidR="009C10B1">
        <w:rPr>
          <w:rFonts w:asciiTheme="minorHAnsi" w:hAnsiTheme="minorHAnsi" w:cstheme="minorHAnsi"/>
          <w:sz w:val="26"/>
          <w:szCs w:val="26"/>
        </w:rPr>
        <w:t>the solvent spouse’s</w:t>
      </w:r>
      <w:r w:rsidR="00D66ED7" w:rsidRPr="00464EE1">
        <w:rPr>
          <w:rFonts w:asciiTheme="minorHAnsi" w:hAnsiTheme="minorHAnsi" w:cstheme="minorHAnsi"/>
          <w:sz w:val="26"/>
          <w:szCs w:val="26"/>
        </w:rPr>
        <w:t xml:space="preserve"> hands. The situation </w:t>
      </w:r>
      <w:r w:rsidR="00D66ED7" w:rsidRPr="00464EE1">
        <w:rPr>
          <w:rFonts w:asciiTheme="minorHAnsi" w:hAnsiTheme="minorHAnsi" w:cstheme="minorHAnsi"/>
          <w:i/>
          <w:sz w:val="26"/>
          <w:szCs w:val="26"/>
        </w:rPr>
        <w:t xml:space="preserve">in casu </w:t>
      </w:r>
      <w:r w:rsidR="00D66ED7" w:rsidRPr="00464EE1">
        <w:rPr>
          <w:rFonts w:asciiTheme="minorHAnsi" w:hAnsiTheme="minorHAnsi" w:cstheme="minorHAnsi"/>
          <w:sz w:val="26"/>
          <w:szCs w:val="26"/>
        </w:rPr>
        <w:t xml:space="preserve">is completely different from what the section seeks to prevent, namely, transfers designed to prejudice the insolvent’s estate creditors. The </w:t>
      </w:r>
      <w:r w:rsidR="009C10B1">
        <w:rPr>
          <w:rFonts w:asciiTheme="minorHAnsi" w:hAnsiTheme="minorHAnsi" w:cstheme="minorHAnsi"/>
          <w:sz w:val="26"/>
          <w:szCs w:val="26"/>
        </w:rPr>
        <w:t xml:space="preserve">purpose of the </w:t>
      </w:r>
      <w:r w:rsidR="00D66ED7" w:rsidRPr="00464EE1">
        <w:rPr>
          <w:rFonts w:asciiTheme="minorHAnsi" w:hAnsiTheme="minorHAnsi" w:cstheme="minorHAnsi"/>
          <w:sz w:val="26"/>
          <w:szCs w:val="26"/>
        </w:rPr>
        <w:t xml:space="preserve">section is explicit – it is to recover assets </w:t>
      </w:r>
      <w:r w:rsidR="00F96B27" w:rsidRPr="00464EE1">
        <w:rPr>
          <w:rFonts w:asciiTheme="minorHAnsi" w:hAnsiTheme="minorHAnsi" w:cstheme="minorHAnsi"/>
          <w:sz w:val="26"/>
          <w:szCs w:val="26"/>
        </w:rPr>
        <w:t>that properly belong to</w:t>
      </w:r>
      <w:r w:rsidR="00D66ED7" w:rsidRPr="00464EE1">
        <w:rPr>
          <w:rFonts w:asciiTheme="minorHAnsi" w:hAnsiTheme="minorHAnsi" w:cstheme="minorHAnsi"/>
          <w:sz w:val="26"/>
          <w:szCs w:val="26"/>
        </w:rPr>
        <w:t xml:space="preserve"> the insolvent estate</w:t>
      </w:r>
      <w:r w:rsidRPr="00464EE1">
        <w:rPr>
          <w:rFonts w:asciiTheme="minorHAnsi" w:hAnsiTheme="minorHAnsi" w:cstheme="minorHAnsi"/>
          <w:sz w:val="26"/>
          <w:szCs w:val="26"/>
        </w:rPr>
        <w:t>,</w:t>
      </w:r>
      <w:r w:rsidR="00F96B27" w:rsidRPr="00464EE1">
        <w:rPr>
          <w:rFonts w:asciiTheme="minorHAnsi" w:hAnsiTheme="minorHAnsi" w:cstheme="minorHAnsi"/>
          <w:sz w:val="26"/>
          <w:szCs w:val="26"/>
        </w:rPr>
        <w:t xml:space="preserve"> whereas protected benefits are expressly excluded by statue from forming part of an insolvent estate where the requirements in s 63 of the LTI Act are met, </w:t>
      </w:r>
      <w:r w:rsidRPr="00464EE1">
        <w:rPr>
          <w:rFonts w:asciiTheme="minorHAnsi" w:hAnsiTheme="minorHAnsi" w:cstheme="minorHAnsi"/>
          <w:sz w:val="26"/>
          <w:szCs w:val="26"/>
        </w:rPr>
        <w:t>which requirements were</w:t>
      </w:r>
      <w:r w:rsidR="009C10B1">
        <w:rPr>
          <w:rFonts w:asciiTheme="minorHAnsi" w:hAnsiTheme="minorHAnsi" w:cstheme="minorHAnsi"/>
          <w:sz w:val="26"/>
          <w:szCs w:val="26"/>
        </w:rPr>
        <w:t>,</w:t>
      </w:r>
      <w:r w:rsidR="0024490C">
        <w:rPr>
          <w:rFonts w:asciiTheme="minorHAnsi" w:hAnsiTheme="minorHAnsi" w:cstheme="minorHAnsi"/>
          <w:sz w:val="26"/>
          <w:szCs w:val="26"/>
        </w:rPr>
        <w:t xml:space="preserve"> on the facts of this matter</w:t>
      </w:r>
      <w:r w:rsidR="009C10B1">
        <w:rPr>
          <w:rFonts w:asciiTheme="minorHAnsi" w:hAnsiTheme="minorHAnsi" w:cstheme="minorHAnsi"/>
          <w:sz w:val="26"/>
          <w:szCs w:val="26"/>
        </w:rPr>
        <w:t>,</w:t>
      </w:r>
      <w:r w:rsidRPr="00464EE1">
        <w:rPr>
          <w:rFonts w:asciiTheme="minorHAnsi" w:hAnsiTheme="minorHAnsi" w:cstheme="minorHAnsi"/>
          <w:sz w:val="26"/>
          <w:szCs w:val="26"/>
        </w:rPr>
        <w:t xml:space="preserve"> indeed met</w:t>
      </w:r>
      <w:r w:rsidR="0024490C">
        <w:rPr>
          <w:rFonts w:asciiTheme="minorHAnsi" w:hAnsiTheme="minorHAnsi" w:cstheme="minorHAnsi"/>
          <w:sz w:val="26"/>
          <w:szCs w:val="26"/>
        </w:rPr>
        <w:t>.</w:t>
      </w:r>
      <w:r w:rsidR="00F96B27" w:rsidRPr="00464EE1">
        <w:rPr>
          <w:rFonts w:asciiTheme="minorHAnsi" w:hAnsiTheme="minorHAnsi" w:cstheme="minorHAnsi"/>
          <w:sz w:val="26"/>
          <w:szCs w:val="26"/>
        </w:rPr>
        <w:t xml:space="preserve"> </w:t>
      </w:r>
    </w:p>
    <w:p w:rsidR="0091783B" w:rsidRPr="00677DF0" w:rsidRDefault="0091783B" w:rsidP="0091783B">
      <w:pPr>
        <w:pStyle w:val="ListParagraph"/>
        <w:rPr>
          <w:rFonts w:asciiTheme="minorHAnsi" w:hAnsiTheme="minorHAnsi" w:cstheme="minorHAnsi"/>
          <w:sz w:val="26"/>
          <w:szCs w:val="26"/>
        </w:rPr>
      </w:pPr>
    </w:p>
    <w:p w:rsidR="00B022CA" w:rsidRDefault="00D66ED7"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 a purposive </w:t>
      </w:r>
      <w:r w:rsidR="00B65AEC">
        <w:rPr>
          <w:rFonts w:asciiTheme="minorHAnsi" w:hAnsiTheme="minorHAnsi" w:cstheme="minorHAnsi"/>
          <w:sz w:val="26"/>
          <w:szCs w:val="26"/>
        </w:rPr>
        <w:t>interpreta</w:t>
      </w:r>
      <w:r w:rsidR="006F6C3B">
        <w:rPr>
          <w:rFonts w:asciiTheme="minorHAnsi" w:hAnsiTheme="minorHAnsi" w:cstheme="minorHAnsi"/>
          <w:sz w:val="26"/>
          <w:szCs w:val="26"/>
        </w:rPr>
        <w:t>t</w:t>
      </w:r>
      <w:r w:rsidR="00B65AEC">
        <w:rPr>
          <w:rFonts w:asciiTheme="minorHAnsi" w:hAnsiTheme="minorHAnsi" w:cstheme="minorHAnsi"/>
          <w:sz w:val="26"/>
          <w:szCs w:val="26"/>
        </w:rPr>
        <w:t>ion</w:t>
      </w:r>
      <w:r>
        <w:rPr>
          <w:rFonts w:asciiTheme="minorHAnsi" w:hAnsiTheme="minorHAnsi" w:cstheme="minorHAnsi"/>
          <w:sz w:val="26"/>
          <w:szCs w:val="26"/>
        </w:rPr>
        <w:t xml:space="preserve"> of </w:t>
      </w:r>
      <w:r w:rsidR="00B65AEC">
        <w:rPr>
          <w:rFonts w:asciiTheme="minorHAnsi" w:hAnsiTheme="minorHAnsi" w:cstheme="minorHAnsi"/>
          <w:sz w:val="26"/>
          <w:szCs w:val="26"/>
        </w:rPr>
        <w:t xml:space="preserve">the protection offered in </w:t>
      </w:r>
      <w:r>
        <w:rPr>
          <w:rFonts w:asciiTheme="minorHAnsi" w:hAnsiTheme="minorHAnsi" w:cstheme="minorHAnsi"/>
          <w:sz w:val="26"/>
          <w:szCs w:val="26"/>
        </w:rPr>
        <w:t>s 63 of the LTI Act</w:t>
      </w:r>
      <w:r w:rsidR="00B65AEC">
        <w:rPr>
          <w:rFonts w:asciiTheme="minorHAnsi" w:hAnsiTheme="minorHAnsi" w:cstheme="minorHAnsi"/>
          <w:sz w:val="26"/>
          <w:szCs w:val="26"/>
        </w:rPr>
        <w:t>, when read</w:t>
      </w:r>
      <w:r>
        <w:rPr>
          <w:rFonts w:asciiTheme="minorHAnsi" w:hAnsiTheme="minorHAnsi" w:cstheme="minorHAnsi"/>
          <w:sz w:val="26"/>
          <w:szCs w:val="26"/>
        </w:rPr>
        <w:t xml:space="preserve"> with </w:t>
      </w:r>
      <w:r w:rsidR="00B65AEC">
        <w:rPr>
          <w:rFonts w:asciiTheme="minorHAnsi" w:hAnsiTheme="minorHAnsi" w:cstheme="minorHAnsi"/>
          <w:sz w:val="26"/>
          <w:szCs w:val="26"/>
        </w:rPr>
        <w:t xml:space="preserve">the purpose the legislature sought to achieve in </w:t>
      </w:r>
      <w:r>
        <w:rPr>
          <w:rFonts w:asciiTheme="minorHAnsi" w:hAnsiTheme="minorHAnsi" w:cstheme="minorHAnsi"/>
          <w:sz w:val="26"/>
          <w:szCs w:val="26"/>
        </w:rPr>
        <w:t xml:space="preserve">s 21 of the Act, the </w:t>
      </w:r>
      <w:r w:rsidR="00EE2D6C">
        <w:rPr>
          <w:rFonts w:asciiTheme="minorHAnsi" w:hAnsiTheme="minorHAnsi" w:cstheme="minorHAnsi"/>
          <w:sz w:val="26"/>
          <w:szCs w:val="26"/>
        </w:rPr>
        <w:t xml:space="preserve">disability </w:t>
      </w:r>
      <w:r>
        <w:rPr>
          <w:rFonts w:asciiTheme="minorHAnsi" w:hAnsiTheme="minorHAnsi" w:cstheme="minorHAnsi"/>
          <w:sz w:val="26"/>
          <w:szCs w:val="26"/>
        </w:rPr>
        <w:t xml:space="preserve">benefits paid </w:t>
      </w:r>
      <w:r w:rsidR="00EE2D6C">
        <w:rPr>
          <w:rFonts w:asciiTheme="minorHAnsi" w:hAnsiTheme="minorHAnsi" w:cstheme="minorHAnsi"/>
          <w:sz w:val="26"/>
          <w:szCs w:val="26"/>
        </w:rPr>
        <w:t xml:space="preserve">to the applicant were legally and factually protected from attachment. That being said, what then is the position </w:t>
      </w:r>
      <w:r w:rsidR="003614B9">
        <w:rPr>
          <w:rFonts w:asciiTheme="minorHAnsi" w:hAnsiTheme="minorHAnsi" w:cstheme="minorHAnsi"/>
          <w:sz w:val="26"/>
          <w:szCs w:val="26"/>
        </w:rPr>
        <w:t>i</w:t>
      </w:r>
      <w:r w:rsidR="00EE2D6C">
        <w:rPr>
          <w:rFonts w:asciiTheme="minorHAnsi" w:hAnsiTheme="minorHAnsi" w:cstheme="minorHAnsi"/>
          <w:sz w:val="26"/>
          <w:szCs w:val="26"/>
        </w:rPr>
        <w:t xml:space="preserve">f the protected funds had been spent by the time the FNB maximiser account was attached? The applicant submits that funds paid by the insolvent to the applicant became mixed with other monies in the FNB maximiser account by application of the principle of </w:t>
      </w:r>
      <w:r w:rsidR="00EE2D6C">
        <w:rPr>
          <w:rFonts w:asciiTheme="minorHAnsi" w:hAnsiTheme="minorHAnsi" w:cstheme="minorHAnsi"/>
          <w:i/>
          <w:sz w:val="26"/>
          <w:szCs w:val="26"/>
        </w:rPr>
        <w:t>commixtio</w:t>
      </w:r>
      <w:r w:rsidR="00EE2D6C">
        <w:rPr>
          <w:rStyle w:val="FootnoteReference"/>
          <w:rFonts w:asciiTheme="minorHAnsi" w:hAnsiTheme="minorHAnsi" w:cstheme="minorHAnsi"/>
          <w:i/>
          <w:sz w:val="26"/>
          <w:szCs w:val="26"/>
        </w:rPr>
        <w:footnoteReference w:id="24"/>
      </w:r>
      <w:r w:rsidR="00EE2D6C">
        <w:rPr>
          <w:rFonts w:asciiTheme="minorHAnsi" w:hAnsiTheme="minorHAnsi" w:cstheme="minorHAnsi"/>
          <w:i/>
          <w:sz w:val="26"/>
          <w:szCs w:val="26"/>
        </w:rPr>
        <w:t xml:space="preserve"> </w:t>
      </w:r>
      <w:r w:rsidR="00EE2D6C">
        <w:rPr>
          <w:rFonts w:asciiTheme="minorHAnsi" w:hAnsiTheme="minorHAnsi" w:cstheme="minorHAnsi"/>
          <w:sz w:val="26"/>
          <w:szCs w:val="26"/>
        </w:rPr>
        <w:t xml:space="preserve">and it therefore cannot be said that funds comprising protected benefits were </w:t>
      </w:r>
      <w:r w:rsidR="00EE2D6C" w:rsidRPr="00B65AEC">
        <w:rPr>
          <w:rFonts w:asciiTheme="minorHAnsi" w:hAnsiTheme="minorHAnsi" w:cstheme="minorHAnsi"/>
          <w:i/>
          <w:sz w:val="26"/>
          <w:szCs w:val="26"/>
        </w:rPr>
        <w:t>not</w:t>
      </w:r>
      <w:r w:rsidR="00EE2D6C">
        <w:rPr>
          <w:rFonts w:asciiTheme="minorHAnsi" w:hAnsiTheme="minorHAnsi" w:cstheme="minorHAnsi"/>
          <w:sz w:val="26"/>
          <w:szCs w:val="26"/>
        </w:rPr>
        <w:t xml:space="preserve"> the funds remaining in the account at the time of attachment.</w:t>
      </w:r>
      <w:r w:rsidR="0043529E">
        <w:rPr>
          <w:rFonts w:asciiTheme="minorHAnsi" w:hAnsiTheme="minorHAnsi" w:cstheme="minorHAnsi"/>
          <w:sz w:val="26"/>
          <w:szCs w:val="26"/>
        </w:rPr>
        <w:t xml:space="preserve"> It was further submitted that the monies from Liberty Life were paid out with the purpose to sustain the applicant and the insolvent</w:t>
      </w:r>
      <w:r w:rsidR="00B65AEC">
        <w:rPr>
          <w:rFonts w:asciiTheme="minorHAnsi" w:hAnsiTheme="minorHAnsi" w:cstheme="minorHAnsi"/>
          <w:sz w:val="26"/>
          <w:szCs w:val="26"/>
        </w:rPr>
        <w:t>,</w:t>
      </w:r>
      <w:r w:rsidR="0043529E">
        <w:rPr>
          <w:rFonts w:asciiTheme="minorHAnsi" w:hAnsiTheme="minorHAnsi" w:cstheme="minorHAnsi"/>
          <w:sz w:val="26"/>
          <w:szCs w:val="26"/>
        </w:rPr>
        <w:t xml:space="preserve"> and that ‘logic dictates that the monies that remain in the account are there with the purpose to sustain the applicant and the insolvent’. </w:t>
      </w:r>
    </w:p>
    <w:p w:rsidR="00B022CA" w:rsidRPr="00B022CA" w:rsidRDefault="00B022CA" w:rsidP="00B022CA">
      <w:pPr>
        <w:pStyle w:val="ListParagraph"/>
        <w:rPr>
          <w:rFonts w:asciiTheme="minorHAnsi" w:hAnsiTheme="minorHAnsi" w:cstheme="minorHAnsi"/>
          <w:sz w:val="26"/>
          <w:szCs w:val="26"/>
        </w:rPr>
      </w:pPr>
    </w:p>
    <w:p w:rsidR="002538C3" w:rsidRPr="0035232E" w:rsidRDefault="00B022CA" w:rsidP="0091783B">
      <w:pPr>
        <w:pStyle w:val="ListParagraph"/>
        <w:numPr>
          <w:ilvl w:val="0"/>
          <w:numId w:val="3"/>
        </w:numPr>
        <w:spacing w:after="200" w:line="360" w:lineRule="auto"/>
        <w:jc w:val="both"/>
        <w:rPr>
          <w:rFonts w:asciiTheme="minorHAnsi" w:hAnsiTheme="minorHAnsi" w:cstheme="minorHAnsi"/>
          <w:sz w:val="26"/>
          <w:szCs w:val="26"/>
        </w:rPr>
      </w:pPr>
      <w:r w:rsidRPr="0035232E">
        <w:rPr>
          <w:rFonts w:asciiTheme="minorHAnsi" w:hAnsiTheme="minorHAnsi" w:cstheme="minorHAnsi"/>
          <w:sz w:val="26"/>
          <w:szCs w:val="26"/>
        </w:rPr>
        <w:t>On the unrefuted facts,</w:t>
      </w:r>
      <w:r w:rsidR="0061740B" w:rsidRPr="0035232E">
        <w:rPr>
          <w:rFonts w:asciiTheme="minorHAnsi" w:hAnsiTheme="minorHAnsi" w:cstheme="minorHAnsi"/>
          <w:sz w:val="26"/>
          <w:szCs w:val="26"/>
        </w:rPr>
        <w:t xml:space="preserve"> however,</w:t>
      </w:r>
      <w:r w:rsidR="0043529E" w:rsidRPr="0035232E">
        <w:rPr>
          <w:rFonts w:asciiTheme="minorHAnsi" w:hAnsiTheme="minorHAnsi" w:cstheme="minorHAnsi"/>
          <w:sz w:val="26"/>
          <w:szCs w:val="26"/>
        </w:rPr>
        <w:t xml:space="preserve"> </w:t>
      </w:r>
      <w:r w:rsidRPr="0035232E">
        <w:rPr>
          <w:rFonts w:asciiTheme="minorHAnsi" w:hAnsiTheme="minorHAnsi" w:cstheme="minorHAnsi"/>
          <w:sz w:val="26"/>
          <w:szCs w:val="26"/>
        </w:rPr>
        <w:t xml:space="preserve">at the time that </w:t>
      </w:r>
      <w:r w:rsidR="0043529E" w:rsidRPr="0035232E">
        <w:rPr>
          <w:rFonts w:asciiTheme="minorHAnsi" w:hAnsiTheme="minorHAnsi" w:cstheme="minorHAnsi"/>
          <w:sz w:val="26"/>
          <w:szCs w:val="26"/>
        </w:rPr>
        <w:t xml:space="preserve">the </w:t>
      </w:r>
      <w:r w:rsidR="00783381" w:rsidRPr="0035232E">
        <w:rPr>
          <w:rFonts w:asciiTheme="minorHAnsi" w:hAnsiTheme="minorHAnsi" w:cstheme="minorHAnsi"/>
          <w:sz w:val="26"/>
          <w:szCs w:val="26"/>
        </w:rPr>
        <w:t xml:space="preserve">funds comprising </w:t>
      </w:r>
      <w:r w:rsidR="0043529E" w:rsidRPr="0035232E">
        <w:rPr>
          <w:rFonts w:asciiTheme="minorHAnsi" w:hAnsiTheme="minorHAnsi" w:cstheme="minorHAnsi"/>
          <w:sz w:val="26"/>
          <w:szCs w:val="26"/>
        </w:rPr>
        <w:t xml:space="preserve">policy benefits </w:t>
      </w:r>
      <w:r w:rsidR="00783381" w:rsidRPr="0035232E">
        <w:rPr>
          <w:rFonts w:asciiTheme="minorHAnsi" w:hAnsiTheme="minorHAnsi" w:cstheme="minorHAnsi"/>
          <w:sz w:val="26"/>
          <w:szCs w:val="26"/>
        </w:rPr>
        <w:t xml:space="preserve">(R2.135 million) </w:t>
      </w:r>
      <w:r w:rsidR="0043529E" w:rsidRPr="0035232E">
        <w:rPr>
          <w:rFonts w:asciiTheme="minorHAnsi" w:hAnsiTheme="minorHAnsi" w:cstheme="minorHAnsi"/>
          <w:sz w:val="26"/>
          <w:szCs w:val="26"/>
        </w:rPr>
        <w:t xml:space="preserve">were paid </w:t>
      </w:r>
      <w:r w:rsidRPr="0035232E">
        <w:rPr>
          <w:rFonts w:asciiTheme="minorHAnsi" w:hAnsiTheme="minorHAnsi" w:cstheme="minorHAnsi"/>
          <w:sz w:val="26"/>
          <w:szCs w:val="26"/>
        </w:rPr>
        <w:t xml:space="preserve">by the insolvent </w:t>
      </w:r>
      <w:r w:rsidR="0043529E" w:rsidRPr="0035232E">
        <w:rPr>
          <w:rFonts w:asciiTheme="minorHAnsi" w:hAnsiTheme="minorHAnsi" w:cstheme="minorHAnsi"/>
          <w:sz w:val="26"/>
          <w:szCs w:val="26"/>
        </w:rPr>
        <w:t xml:space="preserve">into the </w:t>
      </w:r>
      <w:r w:rsidR="009C10B1">
        <w:rPr>
          <w:rFonts w:asciiTheme="minorHAnsi" w:hAnsiTheme="minorHAnsi" w:cstheme="minorHAnsi"/>
          <w:sz w:val="26"/>
          <w:szCs w:val="26"/>
        </w:rPr>
        <w:t>FNB maximiser</w:t>
      </w:r>
      <w:r w:rsidR="0043529E" w:rsidRPr="0035232E">
        <w:rPr>
          <w:rFonts w:asciiTheme="minorHAnsi" w:hAnsiTheme="minorHAnsi" w:cstheme="minorHAnsi"/>
          <w:sz w:val="26"/>
          <w:szCs w:val="26"/>
        </w:rPr>
        <w:t xml:space="preserve"> account</w:t>
      </w:r>
      <w:r w:rsidRPr="0035232E">
        <w:rPr>
          <w:rFonts w:asciiTheme="minorHAnsi" w:hAnsiTheme="minorHAnsi" w:cstheme="minorHAnsi"/>
          <w:sz w:val="26"/>
          <w:szCs w:val="26"/>
        </w:rPr>
        <w:t xml:space="preserve">, </w:t>
      </w:r>
      <w:r w:rsidR="009C10B1">
        <w:rPr>
          <w:rFonts w:asciiTheme="minorHAnsi" w:hAnsiTheme="minorHAnsi" w:cstheme="minorHAnsi"/>
          <w:sz w:val="26"/>
          <w:szCs w:val="26"/>
        </w:rPr>
        <w:t>such</w:t>
      </w:r>
      <w:r w:rsidR="0061740B" w:rsidRPr="0035232E">
        <w:rPr>
          <w:rFonts w:asciiTheme="minorHAnsi" w:hAnsiTheme="minorHAnsi" w:cstheme="minorHAnsi"/>
          <w:sz w:val="26"/>
          <w:szCs w:val="26"/>
        </w:rPr>
        <w:t xml:space="preserve"> </w:t>
      </w:r>
      <w:r w:rsidR="00C01126" w:rsidRPr="0035232E">
        <w:rPr>
          <w:rFonts w:asciiTheme="minorHAnsi" w:hAnsiTheme="minorHAnsi" w:cstheme="minorHAnsi"/>
          <w:sz w:val="26"/>
          <w:szCs w:val="26"/>
        </w:rPr>
        <w:t xml:space="preserve">account </w:t>
      </w:r>
      <w:r w:rsidRPr="0035232E">
        <w:rPr>
          <w:rFonts w:asciiTheme="minorHAnsi" w:hAnsiTheme="minorHAnsi" w:cstheme="minorHAnsi"/>
          <w:sz w:val="26"/>
          <w:szCs w:val="26"/>
        </w:rPr>
        <w:t xml:space="preserve">had a zero balance. </w:t>
      </w:r>
      <w:r w:rsidR="007E3BF8">
        <w:rPr>
          <w:rFonts w:asciiTheme="minorHAnsi" w:hAnsiTheme="minorHAnsi" w:cstheme="minorHAnsi"/>
          <w:sz w:val="26"/>
          <w:szCs w:val="26"/>
        </w:rPr>
        <w:t>There was thus no mingling of funds</w:t>
      </w:r>
      <w:r w:rsidR="009C10B1">
        <w:rPr>
          <w:rFonts w:asciiTheme="minorHAnsi" w:hAnsiTheme="minorHAnsi" w:cstheme="minorHAnsi"/>
          <w:sz w:val="26"/>
          <w:szCs w:val="26"/>
        </w:rPr>
        <w:t>,</w:t>
      </w:r>
      <w:r w:rsidR="007E3BF8">
        <w:rPr>
          <w:rFonts w:asciiTheme="minorHAnsi" w:hAnsiTheme="minorHAnsi" w:cstheme="minorHAnsi"/>
          <w:sz w:val="26"/>
          <w:szCs w:val="26"/>
        </w:rPr>
        <w:t xml:space="preserve"> as contended by the applicant. </w:t>
      </w:r>
      <w:r w:rsidR="00C01126" w:rsidRPr="0035232E">
        <w:rPr>
          <w:rFonts w:asciiTheme="minorHAnsi" w:hAnsiTheme="minorHAnsi" w:cstheme="minorHAnsi"/>
          <w:sz w:val="26"/>
          <w:szCs w:val="26"/>
        </w:rPr>
        <w:t xml:space="preserve">On 12 February 2019 the applicant paid an amount of R 1,357 800 from the FNB maximiser account </w:t>
      </w:r>
      <w:r w:rsidR="00D00DC8">
        <w:rPr>
          <w:rFonts w:asciiTheme="minorHAnsi" w:hAnsiTheme="minorHAnsi" w:cstheme="minorHAnsi"/>
          <w:sz w:val="26"/>
          <w:szCs w:val="26"/>
        </w:rPr>
        <w:t xml:space="preserve">with regard to </w:t>
      </w:r>
      <w:r w:rsidR="00C01126" w:rsidRPr="0035232E">
        <w:rPr>
          <w:rFonts w:asciiTheme="minorHAnsi" w:hAnsiTheme="minorHAnsi" w:cstheme="minorHAnsi"/>
          <w:sz w:val="26"/>
          <w:szCs w:val="26"/>
        </w:rPr>
        <w:t xml:space="preserve">a deposit </w:t>
      </w:r>
      <w:r w:rsidR="0061740B" w:rsidRPr="0035232E">
        <w:rPr>
          <w:rFonts w:asciiTheme="minorHAnsi" w:hAnsiTheme="minorHAnsi" w:cstheme="minorHAnsi"/>
          <w:sz w:val="26"/>
          <w:szCs w:val="26"/>
        </w:rPr>
        <w:t xml:space="preserve">that was </w:t>
      </w:r>
      <w:r w:rsidR="00D00DC8">
        <w:rPr>
          <w:rFonts w:asciiTheme="minorHAnsi" w:hAnsiTheme="minorHAnsi" w:cstheme="minorHAnsi"/>
          <w:sz w:val="26"/>
          <w:szCs w:val="26"/>
        </w:rPr>
        <w:t>due</w:t>
      </w:r>
      <w:r w:rsidR="00C01126" w:rsidRPr="0035232E">
        <w:rPr>
          <w:rFonts w:asciiTheme="minorHAnsi" w:hAnsiTheme="minorHAnsi" w:cstheme="minorHAnsi"/>
          <w:sz w:val="26"/>
          <w:szCs w:val="26"/>
        </w:rPr>
        <w:t xml:space="preserve"> </w:t>
      </w:r>
      <w:r w:rsidR="0061740B" w:rsidRPr="0035232E">
        <w:rPr>
          <w:rFonts w:asciiTheme="minorHAnsi" w:hAnsiTheme="minorHAnsi" w:cstheme="minorHAnsi"/>
          <w:sz w:val="26"/>
          <w:szCs w:val="26"/>
        </w:rPr>
        <w:t xml:space="preserve">in respect of an immovable </w:t>
      </w:r>
      <w:r w:rsidR="00C01126" w:rsidRPr="0035232E">
        <w:rPr>
          <w:rFonts w:asciiTheme="minorHAnsi" w:hAnsiTheme="minorHAnsi" w:cstheme="minorHAnsi"/>
          <w:sz w:val="26"/>
          <w:szCs w:val="26"/>
        </w:rPr>
        <w:t xml:space="preserve">property she </w:t>
      </w:r>
      <w:r w:rsidR="0061740B" w:rsidRPr="0035232E">
        <w:rPr>
          <w:rFonts w:asciiTheme="minorHAnsi" w:hAnsiTheme="minorHAnsi" w:cstheme="minorHAnsi"/>
          <w:sz w:val="26"/>
          <w:szCs w:val="26"/>
        </w:rPr>
        <w:t>had purchased</w:t>
      </w:r>
      <w:r w:rsidR="00C01126" w:rsidRPr="0035232E">
        <w:rPr>
          <w:rFonts w:asciiTheme="minorHAnsi" w:hAnsiTheme="minorHAnsi" w:cstheme="minorHAnsi"/>
          <w:sz w:val="26"/>
          <w:szCs w:val="26"/>
        </w:rPr>
        <w:t xml:space="preserve"> on auction, thus using the funds received from the insolvent in respect of the deposit. </w:t>
      </w:r>
      <w:r w:rsidR="0061740B" w:rsidRPr="0035232E">
        <w:rPr>
          <w:rFonts w:asciiTheme="minorHAnsi" w:hAnsiTheme="minorHAnsi" w:cstheme="minorHAnsi"/>
          <w:sz w:val="26"/>
          <w:szCs w:val="26"/>
        </w:rPr>
        <w:t>The sale fell through</w:t>
      </w:r>
      <w:r w:rsidR="00D00DC8">
        <w:rPr>
          <w:rFonts w:asciiTheme="minorHAnsi" w:hAnsiTheme="minorHAnsi" w:cstheme="minorHAnsi"/>
          <w:sz w:val="26"/>
          <w:szCs w:val="26"/>
        </w:rPr>
        <w:t>,</w:t>
      </w:r>
      <w:r w:rsidR="0061740B" w:rsidRPr="0035232E">
        <w:rPr>
          <w:rFonts w:asciiTheme="minorHAnsi" w:hAnsiTheme="minorHAnsi" w:cstheme="minorHAnsi"/>
          <w:sz w:val="26"/>
          <w:szCs w:val="26"/>
        </w:rPr>
        <w:t xml:space="preserve"> as a result of which the deposit </w:t>
      </w:r>
      <w:r w:rsidR="00D00DC8">
        <w:rPr>
          <w:rFonts w:asciiTheme="minorHAnsi" w:hAnsiTheme="minorHAnsi" w:cstheme="minorHAnsi"/>
          <w:sz w:val="26"/>
          <w:szCs w:val="26"/>
        </w:rPr>
        <w:t xml:space="preserve">so </w:t>
      </w:r>
      <w:r w:rsidR="0061740B" w:rsidRPr="0035232E">
        <w:rPr>
          <w:rFonts w:asciiTheme="minorHAnsi" w:hAnsiTheme="minorHAnsi" w:cstheme="minorHAnsi"/>
          <w:sz w:val="26"/>
          <w:szCs w:val="26"/>
        </w:rPr>
        <w:t>paid</w:t>
      </w:r>
      <w:r w:rsidR="00B65AEC">
        <w:rPr>
          <w:rFonts w:asciiTheme="minorHAnsi" w:hAnsiTheme="minorHAnsi" w:cstheme="minorHAnsi"/>
          <w:sz w:val="26"/>
          <w:szCs w:val="26"/>
        </w:rPr>
        <w:t>,</w:t>
      </w:r>
      <w:r w:rsidR="0061740B" w:rsidRPr="0035232E">
        <w:rPr>
          <w:rFonts w:asciiTheme="minorHAnsi" w:hAnsiTheme="minorHAnsi" w:cstheme="minorHAnsi"/>
          <w:sz w:val="26"/>
          <w:szCs w:val="26"/>
        </w:rPr>
        <w:t xml:space="preserve"> was forfeited. </w:t>
      </w:r>
      <w:r w:rsidRPr="0035232E">
        <w:rPr>
          <w:rFonts w:asciiTheme="minorHAnsi" w:hAnsiTheme="minorHAnsi" w:cstheme="minorHAnsi"/>
          <w:sz w:val="26"/>
          <w:szCs w:val="26"/>
        </w:rPr>
        <w:t xml:space="preserve">By 16 May 2019 (the day before the sale proceeds </w:t>
      </w:r>
      <w:r w:rsidR="00C01126" w:rsidRPr="0035232E">
        <w:rPr>
          <w:rFonts w:asciiTheme="minorHAnsi" w:hAnsiTheme="minorHAnsi" w:cstheme="minorHAnsi"/>
          <w:sz w:val="26"/>
          <w:szCs w:val="26"/>
        </w:rPr>
        <w:t xml:space="preserve">in respect of the sale of the Simons Town property </w:t>
      </w:r>
      <w:r w:rsidRPr="0035232E">
        <w:rPr>
          <w:rFonts w:asciiTheme="minorHAnsi" w:hAnsiTheme="minorHAnsi" w:cstheme="minorHAnsi"/>
          <w:sz w:val="26"/>
          <w:szCs w:val="26"/>
        </w:rPr>
        <w:t>were deposited into the account), the FNB maximiser account had a credit balance of R344</w:t>
      </w:r>
      <w:r w:rsidR="0061740B" w:rsidRPr="0035232E">
        <w:rPr>
          <w:rFonts w:asciiTheme="minorHAnsi" w:hAnsiTheme="minorHAnsi" w:cstheme="minorHAnsi"/>
          <w:sz w:val="26"/>
          <w:szCs w:val="26"/>
        </w:rPr>
        <w:t>,</w:t>
      </w:r>
      <w:r w:rsidRPr="0035232E">
        <w:rPr>
          <w:rFonts w:asciiTheme="minorHAnsi" w:hAnsiTheme="minorHAnsi" w:cstheme="minorHAnsi"/>
          <w:sz w:val="26"/>
          <w:szCs w:val="26"/>
        </w:rPr>
        <w:t xml:space="preserve">169.97. </w:t>
      </w:r>
      <w:r w:rsidR="00C01126" w:rsidRPr="0035232E">
        <w:rPr>
          <w:rFonts w:asciiTheme="minorHAnsi" w:hAnsiTheme="minorHAnsi" w:cstheme="minorHAnsi"/>
          <w:sz w:val="26"/>
          <w:szCs w:val="26"/>
        </w:rPr>
        <w:t>Thus</w:t>
      </w:r>
      <w:r w:rsidR="0061740B" w:rsidRPr="0035232E">
        <w:rPr>
          <w:rFonts w:asciiTheme="minorHAnsi" w:hAnsiTheme="minorHAnsi" w:cstheme="minorHAnsi"/>
          <w:sz w:val="26"/>
          <w:szCs w:val="26"/>
        </w:rPr>
        <w:t>,</w:t>
      </w:r>
      <w:r w:rsidR="00C01126" w:rsidRPr="0035232E">
        <w:rPr>
          <w:rFonts w:asciiTheme="minorHAnsi" w:hAnsiTheme="minorHAnsi" w:cstheme="minorHAnsi"/>
          <w:sz w:val="26"/>
          <w:szCs w:val="26"/>
        </w:rPr>
        <w:t xml:space="preserve"> at least R1.005 million had </w:t>
      </w:r>
      <w:r w:rsidR="0061740B" w:rsidRPr="0035232E">
        <w:rPr>
          <w:rFonts w:asciiTheme="minorHAnsi" w:hAnsiTheme="minorHAnsi" w:cstheme="minorHAnsi"/>
          <w:sz w:val="26"/>
          <w:szCs w:val="26"/>
        </w:rPr>
        <w:t xml:space="preserve">by then </w:t>
      </w:r>
      <w:r w:rsidR="00C01126" w:rsidRPr="0035232E">
        <w:rPr>
          <w:rFonts w:asciiTheme="minorHAnsi" w:hAnsiTheme="minorHAnsi" w:cstheme="minorHAnsi"/>
          <w:sz w:val="26"/>
          <w:szCs w:val="26"/>
        </w:rPr>
        <w:t xml:space="preserve">been depleted from the policy </w:t>
      </w:r>
      <w:r w:rsidR="0061740B" w:rsidRPr="0035232E">
        <w:rPr>
          <w:rFonts w:asciiTheme="minorHAnsi" w:hAnsiTheme="minorHAnsi" w:cstheme="minorHAnsi"/>
          <w:sz w:val="26"/>
          <w:szCs w:val="26"/>
        </w:rPr>
        <w:t xml:space="preserve">benefits received by her. </w:t>
      </w:r>
      <w:r w:rsidR="00783381" w:rsidRPr="0035232E">
        <w:rPr>
          <w:rFonts w:asciiTheme="minorHAnsi" w:hAnsiTheme="minorHAnsi" w:cstheme="minorHAnsi"/>
          <w:sz w:val="26"/>
          <w:szCs w:val="26"/>
        </w:rPr>
        <w:t xml:space="preserve">After transfer of the </w:t>
      </w:r>
      <w:r w:rsidR="00371702" w:rsidRPr="0035232E">
        <w:rPr>
          <w:rFonts w:asciiTheme="minorHAnsi" w:hAnsiTheme="minorHAnsi" w:cstheme="minorHAnsi"/>
          <w:sz w:val="26"/>
          <w:szCs w:val="26"/>
        </w:rPr>
        <w:t>sum</w:t>
      </w:r>
      <w:r w:rsidR="00783381" w:rsidRPr="0035232E">
        <w:rPr>
          <w:rFonts w:asciiTheme="minorHAnsi" w:hAnsiTheme="minorHAnsi" w:cstheme="minorHAnsi"/>
          <w:sz w:val="26"/>
          <w:szCs w:val="26"/>
        </w:rPr>
        <w:t xml:space="preserve"> of</w:t>
      </w:r>
      <w:r w:rsidRPr="0035232E">
        <w:rPr>
          <w:rFonts w:asciiTheme="minorHAnsi" w:hAnsiTheme="minorHAnsi" w:cstheme="minorHAnsi"/>
          <w:sz w:val="26"/>
          <w:szCs w:val="26"/>
        </w:rPr>
        <w:t xml:space="preserve"> R2.7 million from </w:t>
      </w:r>
      <w:r w:rsidR="00783381" w:rsidRPr="0035232E">
        <w:rPr>
          <w:rFonts w:asciiTheme="minorHAnsi" w:hAnsiTheme="minorHAnsi" w:cstheme="minorHAnsi"/>
          <w:sz w:val="26"/>
          <w:szCs w:val="26"/>
        </w:rPr>
        <w:t xml:space="preserve">the applicant’s </w:t>
      </w:r>
      <w:r w:rsidRPr="0035232E">
        <w:rPr>
          <w:rFonts w:asciiTheme="minorHAnsi" w:hAnsiTheme="minorHAnsi" w:cstheme="minorHAnsi"/>
          <w:sz w:val="26"/>
          <w:szCs w:val="26"/>
        </w:rPr>
        <w:t>cheque account into her maximiser account</w:t>
      </w:r>
      <w:r w:rsidR="00C01126" w:rsidRPr="0035232E">
        <w:rPr>
          <w:rFonts w:asciiTheme="minorHAnsi" w:hAnsiTheme="minorHAnsi" w:cstheme="minorHAnsi"/>
          <w:sz w:val="26"/>
          <w:szCs w:val="26"/>
        </w:rPr>
        <w:t xml:space="preserve"> on 17 May 2019, the a</w:t>
      </w:r>
      <w:r w:rsidR="00371702" w:rsidRPr="0035232E">
        <w:rPr>
          <w:rFonts w:asciiTheme="minorHAnsi" w:hAnsiTheme="minorHAnsi" w:cstheme="minorHAnsi"/>
          <w:sz w:val="26"/>
          <w:szCs w:val="26"/>
        </w:rPr>
        <w:t xml:space="preserve">ccount had a credit balance of </w:t>
      </w:r>
      <w:r w:rsidR="00C01126" w:rsidRPr="0035232E">
        <w:rPr>
          <w:rFonts w:asciiTheme="minorHAnsi" w:hAnsiTheme="minorHAnsi" w:cstheme="minorHAnsi"/>
          <w:sz w:val="26"/>
          <w:szCs w:val="26"/>
        </w:rPr>
        <w:t>R3</w:t>
      </w:r>
      <w:r w:rsidR="00371702" w:rsidRPr="0035232E">
        <w:rPr>
          <w:rFonts w:asciiTheme="minorHAnsi" w:hAnsiTheme="minorHAnsi" w:cstheme="minorHAnsi"/>
          <w:sz w:val="26"/>
          <w:szCs w:val="26"/>
        </w:rPr>
        <w:t>,</w:t>
      </w:r>
      <w:r w:rsidR="00C01126" w:rsidRPr="0035232E">
        <w:rPr>
          <w:rFonts w:asciiTheme="minorHAnsi" w:hAnsiTheme="minorHAnsi" w:cstheme="minorHAnsi"/>
          <w:sz w:val="26"/>
          <w:szCs w:val="26"/>
        </w:rPr>
        <w:t>084</w:t>
      </w:r>
      <w:r w:rsidR="00371702" w:rsidRPr="0035232E">
        <w:rPr>
          <w:rFonts w:asciiTheme="minorHAnsi" w:hAnsiTheme="minorHAnsi" w:cstheme="minorHAnsi"/>
          <w:sz w:val="26"/>
          <w:szCs w:val="26"/>
        </w:rPr>
        <w:t xml:space="preserve"> </w:t>
      </w:r>
      <w:r w:rsidR="00C01126" w:rsidRPr="0035232E">
        <w:rPr>
          <w:rFonts w:asciiTheme="minorHAnsi" w:hAnsiTheme="minorHAnsi" w:cstheme="minorHAnsi"/>
          <w:sz w:val="26"/>
          <w:szCs w:val="26"/>
        </w:rPr>
        <w:t>169.97. Between 17 May 2019 and 27 July 2019 the applicant transferred or paid</w:t>
      </w:r>
      <w:r w:rsidR="00D41C97" w:rsidRPr="0035232E">
        <w:rPr>
          <w:rFonts w:asciiTheme="minorHAnsi" w:hAnsiTheme="minorHAnsi" w:cstheme="minorHAnsi"/>
          <w:sz w:val="26"/>
          <w:szCs w:val="26"/>
        </w:rPr>
        <w:t xml:space="preserve"> out an amount of R1,</w:t>
      </w:r>
      <w:r w:rsidR="00C01126" w:rsidRPr="0035232E">
        <w:rPr>
          <w:rFonts w:asciiTheme="minorHAnsi" w:hAnsiTheme="minorHAnsi" w:cstheme="minorHAnsi"/>
          <w:sz w:val="26"/>
          <w:szCs w:val="26"/>
        </w:rPr>
        <w:t>253</w:t>
      </w:r>
      <w:r w:rsidR="00B65AEC">
        <w:rPr>
          <w:rFonts w:asciiTheme="minorHAnsi" w:hAnsiTheme="minorHAnsi" w:cstheme="minorHAnsi"/>
          <w:sz w:val="26"/>
          <w:szCs w:val="26"/>
        </w:rPr>
        <w:t xml:space="preserve"> </w:t>
      </w:r>
      <w:r w:rsidR="00C01126" w:rsidRPr="0035232E">
        <w:rPr>
          <w:rFonts w:asciiTheme="minorHAnsi" w:hAnsiTheme="minorHAnsi" w:cstheme="minorHAnsi"/>
          <w:sz w:val="26"/>
          <w:szCs w:val="26"/>
        </w:rPr>
        <w:t xml:space="preserve">268.45 from the FNB maximiser account. </w:t>
      </w:r>
      <w:r w:rsidR="00D41C97" w:rsidRPr="0035232E">
        <w:rPr>
          <w:rFonts w:asciiTheme="minorHAnsi" w:hAnsiTheme="minorHAnsi" w:cstheme="minorHAnsi"/>
          <w:sz w:val="26"/>
          <w:szCs w:val="26"/>
        </w:rPr>
        <w:t xml:space="preserve">These facts </w:t>
      </w:r>
      <w:r w:rsidR="003614B9" w:rsidRPr="0035232E">
        <w:rPr>
          <w:rFonts w:asciiTheme="minorHAnsi" w:hAnsiTheme="minorHAnsi" w:cstheme="minorHAnsi"/>
          <w:sz w:val="26"/>
          <w:szCs w:val="26"/>
        </w:rPr>
        <w:t xml:space="preserve">tend to </w:t>
      </w:r>
      <w:r w:rsidR="00D41C97" w:rsidRPr="0035232E">
        <w:rPr>
          <w:rFonts w:asciiTheme="minorHAnsi" w:hAnsiTheme="minorHAnsi" w:cstheme="minorHAnsi"/>
          <w:sz w:val="26"/>
          <w:szCs w:val="26"/>
        </w:rPr>
        <w:t xml:space="preserve">support the conclusion that any </w:t>
      </w:r>
      <w:r w:rsidR="0035232E">
        <w:rPr>
          <w:rFonts w:asciiTheme="minorHAnsi" w:hAnsiTheme="minorHAnsi" w:cstheme="minorHAnsi"/>
          <w:sz w:val="26"/>
          <w:szCs w:val="26"/>
        </w:rPr>
        <w:t xml:space="preserve">protected funds that </w:t>
      </w:r>
      <w:r w:rsidR="00B65AEC">
        <w:rPr>
          <w:rFonts w:asciiTheme="minorHAnsi" w:hAnsiTheme="minorHAnsi" w:cstheme="minorHAnsi"/>
          <w:sz w:val="26"/>
          <w:szCs w:val="26"/>
        </w:rPr>
        <w:t xml:space="preserve">had </w:t>
      </w:r>
      <w:r w:rsidR="0035232E">
        <w:rPr>
          <w:rFonts w:asciiTheme="minorHAnsi" w:hAnsiTheme="minorHAnsi" w:cstheme="minorHAnsi"/>
          <w:sz w:val="26"/>
          <w:szCs w:val="26"/>
        </w:rPr>
        <w:t>remained in the account</w:t>
      </w:r>
      <w:r w:rsidR="00D41C97" w:rsidRPr="0035232E">
        <w:rPr>
          <w:rFonts w:asciiTheme="minorHAnsi" w:hAnsiTheme="minorHAnsi" w:cstheme="minorHAnsi"/>
          <w:sz w:val="26"/>
          <w:szCs w:val="26"/>
        </w:rPr>
        <w:t xml:space="preserve"> </w:t>
      </w:r>
      <w:r w:rsidR="00B65AEC">
        <w:rPr>
          <w:rFonts w:asciiTheme="minorHAnsi" w:hAnsiTheme="minorHAnsi" w:cstheme="minorHAnsi"/>
          <w:sz w:val="26"/>
          <w:szCs w:val="26"/>
        </w:rPr>
        <w:t xml:space="preserve"> </w:t>
      </w:r>
      <w:r w:rsidR="00D41C97" w:rsidRPr="0035232E">
        <w:rPr>
          <w:rFonts w:asciiTheme="minorHAnsi" w:hAnsiTheme="minorHAnsi" w:cstheme="minorHAnsi"/>
          <w:sz w:val="26"/>
          <w:szCs w:val="26"/>
        </w:rPr>
        <w:t>were likely depleted by the time that the FNB maximiser account was attached.</w:t>
      </w:r>
      <w:r w:rsidR="00B65AEC">
        <w:rPr>
          <w:rFonts w:asciiTheme="minorHAnsi" w:hAnsiTheme="minorHAnsi" w:cstheme="minorHAnsi"/>
          <w:sz w:val="26"/>
          <w:szCs w:val="26"/>
        </w:rPr>
        <w:t xml:space="preserve"> Even had </w:t>
      </w:r>
      <w:r w:rsidR="006A32CF">
        <w:rPr>
          <w:rFonts w:asciiTheme="minorHAnsi" w:hAnsiTheme="minorHAnsi" w:cstheme="minorHAnsi"/>
          <w:sz w:val="26"/>
          <w:szCs w:val="26"/>
        </w:rPr>
        <w:t xml:space="preserve">funds comprising </w:t>
      </w:r>
      <w:r w:rsidR="00A318E7">
        <w:rPr>
          <w:rFonts w:asciiTheme="minorHAnsi" w:hAnsiTheme="minorHAnsi" w:cstheme="minorHAnsi"/>
          <w:sz w:val="26"/>
          <w:szCs w:val="26"/>
        </w:rPr>
        <w:t>disability benefits (</w:t>
      </w:r>
      <w:r w:rsidR="006A32CF">
        <w:rPr>
          <w:rFonts w:asciiTheme="minorHAnsi" w:hAnsiTheme="minorHAnsi" w:cstheme="minorHAnsi"/>
          <w:sz w:val="26"/>
          <w:szCs w:val="26"/>
        </w:rPr>
        <w:t xml:space="preserve">i.e., </w:t>
      </w:r>
      <w:r w:rsidR="00A318E7" w:rsidRPr="0035232E">
        <w:rPr>
          <w:rFonts w:asciiTheme="minorHAnsi" w:hAnsiTheme="minorHAnsi" w:cstheme="minorHAnsi"/>
          <w:sz w:val="26"/>
          <w:szCs w:val="26"/>
        </w:rPr>
        <w:t>R344,169.97</w:t>
      </w:r>
      <w:r w:rsidR="00A318E7">
        <w:rPr>
          <w:rFonts w:asciiTheme="minorHAnsi" w:hAnsiTheme="minorHAnsi" w:cstheme="minorHAnsi"/>
          <w:sz w:val="26"/>
          <w:szCs w:val="26"/>
        </w:rPr>
        <w:t xml:space="preserve">) remained in the account at that juncture, by operation of </w:t>
      </w:r>
      <w:r w:rsidR="00A318E7">
        <w:rPr>
          <w:rFonts w:asciiTheme="minorHAnsi" w:hAnsiTheme="minorHAnsi" w:cstheme="minorHAnsi"/>
          <w:i/>
          <w:sz w:val="26"/>
          <w:szCs w:val="26"/>
        </w:rPr>
        <w:t xml:space="preserve">commixtio, </w:t>
      </w:r>
      <w:r w:rsidR="00A318E7">
        <w:rPr>
          <w:rFonts w:asciiTheme="minorHAnsi" w:hAnsiTheme="minorHAnsi" w:cstheme="minorHAnsi"/>
          <w:sz w:val="26"/>
          <w:szCs w:val="26"/>
        </w:rPr>
        <w:t xml:space="preserve">such benefits would have become co-mingled with other monies in the account so that it cannot </w:t>
      </w:r>
      <w:r w:rsidR="006A32CF">
        <w:rPr>
          <w:rFonts w:asciiTheme="minorHAnsi" w:hAnsiTheme="minorHAnsi" w:cstheme="minorHAnsi"/>
          <w:sz w:val="26"/>
          <w:szCs w:val="26"/>
        </w:rPr>
        <w:t xml:space="preserve">either </w:t>
      </w:r>
      <w:r w:rsidR="00A318E7">
        <w:rPr>
          <w:rFonts w:asciiTheme="minorHAnsi" w:hAnsiTheme="minorHAnsi" w:cstheme="minorHAnsi"/>
          <w:sz w:val="26"/>
          <w:szCs w:val="26"/>
        </w:rPr>
        <w:t xml:space="preserve">be </w:t>
      </w:r>
      <w:r w:rsidR="006A32CF">
        <w:rPr>
          <w:rFonts w:asciiTheme="minorHAnsi" w:hAnsiTheme="minorHAnsi" w:cstheme="minorHAnsi"/>
          <w:sz w:val="26"/>
          <w:szCs w:val="26"/>
        </w:rPr>
        <w:t>e</w:t>
      </w:r>
      <w:r w:rsidR="00A318E7">
        <w:rPr>
          <w:rFonts w:asciiTheme="minorHAnsi" w:hAnsiTheme="minorHAnsi" w:cstheme="minorHAnsi"/>
          <w:sz w:val="26"/>
          <w:szCs w:val="26"/>
        </w:rPr>
        <w:t xml:space="preserve">stablished that they were </w:t>
      </w:r>
      <w:r w:rsidR="00A318E7">
        <w:rPr>
          <w:rFonts w:asciiTheme="minorHAnsi" w:hAnsiTheme="minorHAnsi" w:cstheme="minorHAnsi"/>
          <w:i/>
          <w:sz w:val="26"/>
          <w:szCs w:val="26"/>
        </w:rPr>
        <w:t>not</w:t>
      </w:r>
      <w:r w:rsidR="00A318E7">
        <w:rPr>
          <w:rFonts w:asciiTheme="minorHAnsi" w:hAnsiTheme="minorHAnsi" w:cstheme="minorHAnsi"/>
          <w:sz w:val="26"/>
          <w:szCs w:val="26"/>
        </w:rPr>
        <w:t xml:space="preserve"> the funds that were transferred o</w:t>
      </w:r>
      <w:r w:rsidR="001B6459">
        <w:rPr>
          <w:rFonts w:asciiTheme="minorHAnsi" w:hAnsiTheme="minorHAnsi" w:cstheme="minorHAnsi"/>
          <w:sz w:val="26"/>
          <w:szCs w:val="26"/>
        </w:rPr>
        <w:t>r</w:t>
      </w:r>
      <w:r w:rsidR="00A318E7">
        <w:rPr>
          <w:rFonts w:asciiTheme="minorHAnsi" w:hAnsiTheme="minorHAnsi" w:cstheme="minorHAnsi"/>
          <w:sz w:val="26"/>
          <w:szCs w:val="26"/>
        </w:rPr>
        <w:t xml:space="preserve"> paid out of the account during the relevant period before attachment. </w:t>
      </w:r>
    </w:p>
    <w:p w:rsidR="002538C3" w:rsidRDefault="002538C3" w:rsidP="002538C3">
      <w:pPr>
        <w:pStyle w:val="ListParagraph"/>
        <w:rPr>
          <w:rFonts w:asciiTheme="minorHAnsi" w:hAnsiTheme="minorHAnsi" w:cstheme="minorHAnsi"/>
          <w:sz w:val="26"/>
          <w:szCs w:val="26"/>
        </w:rPr>
      </w:pPr>
    </w:p>
    <w:p w:rsidR="0091783B" w:rsidRPr="00F43919" w:rsidRDefault="00C01126"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 turn </w:t>
      </w:r>
      <w:r w:rsidR="002538C3">
        <w:rPr>
          <w:rFonts w:asciiTheme="minorHAnsi" w:hAnsiTheme="minorHAnsi" w:cstheme="minorHAnsi"/>
          <w:sz w:val="26"/>
          <w:szCs w:val="26"/>
        </w:rPr>
        <w:t xml:space="preserve">now </w:t>
      </w:r>
      <w:r>
        <w:rPr>
          <w:rFonts w:asciiTheme="minorHAnsi" w:hAnsiTheme="minorHAnsi" w:cstheme="minorHAnsi"/>
          <w:sz w:val="26"/>
          <w:szCs w:val="26"/>
        </w:rPr>
        <w:t xml:space="preserve">to consider </w:t>
      </w:r>
      <w:r w:rsidR="00F65DDE">
        <w:rPr>
          <w:rFonts w:asciiTheme="minorHAnsi" w:hAnsiTheme="minorHAnsi" w:cstheme="minorHAnsi"/>
          <w:sz w:val="26"/>
          <w:szCs w:val="26"/>
        </w:rPr>
        <w:t xml:space="preserve">whether the applicant has established </w:t>
      </w:r>
      <w:r w:rsidR="002538C3">
        <w:rPr>
          <w:rFonts w:asciiTheme="minorHAnsi" w:hAnsiTheme="minorHAnsi" w:cstheme="minorHAnsi"/>
          <w:sz w:val="26"/>
          <w:szCs w:val="26"/>
        </w:rPr>
        <w:t>a valid</w:t>
      </w:r>
      <w:r w:rsidR="00F65DDE">
        <w:rPr>
          <w:rFonts w:asciiTheme="minorHAnsi" w:hAnsiTheme="minorHAnsi" w:cstheme="minorHAnsi"/>
          <w:sz w:val="26"/>
          <w:szCs w:val="26"/>
        </w:rPr>
        <w:t xml:space="preserve"> title to </w:t>
      </w:r>
      <w:r>
        <w:rPr>
          <w:rFonts w:asciiTheme="minorHAnsi" w:hAnsiTheme="minorHAnsi" w:cstheme="minorHAnsi"/>
          <w:sz w:val="26"/>
          <w:szCs w:val="26"/>
        </w:rPr>
        <w:t xml:space="preserve">funds </w:t>
      </w:r>
      <w:r w:rsidR="00D41C97">
        <w:rPr>
          <w:rFonts w:asciiTheme="minorHAnsi" w:hAnsiTheme="minorHAnsi" w:cstheme="minorHAnsi"/>
          <w:sz w:val="26"/>
          <w:szCs w:val="26"/>
        </w:rPr>
        <w:t>acquired by her pursuant to</w:t>
      </w:r>
      <w:r>
        <w:rPr>
          <w:rFonts w:asciiTheme="minorHAnsi" w:hAnsiTheme="minorHAnsi" w:cstheme="minorHAnsi"/>
          <w:sz w:val="26"/>
          <w:szCs w:val="26"/>
        </w:rPr>
        <w:t xml:space="preserve"> the sale of the Simons Town property</w:t>
      </w:r>
      <w:r w:rsidR="00506D7E">
        <w:rPr>
          <w:rFonts w:asciiTheme="minorHAnsi" w:hAnsiTheme="minorHAnsi" w:cstheme="minorHAnsi"/>
          <w:sz w:val="26"/>
          <w:szCs w:val="26"/>
        </w:rPr>
        <w:t>,</w:t>
      </w:r>
      <w:r w:rsidR="00F65DDE">
        <w:rPr>
          <w:rFonts w:asciiTheme="minorHAnsi" w:hAnsiTheme="minorHAnsi" w:cstheme="minorHAnsi"/>
          <w:sz w:val="26"/>
          <w:szCs w:val="26"/>
        </w:rPr>
        <w:t xml:space="preserve"> </w:t>
      </w:r>
      <w:r w:rsidR="00ED7B83">
        <w:rPr>
          <w:rFonts w:asciiTheme="minorHAnsi" w:hAnsiTheme="minorHAnsi" w:cstheme="minorHAnsi"/>
          <w:sz w:val="26"/>
          <w:szCs w:val="26"/>
        </w:rPr>
        <w:t xml:space="preserve">which </w:t>
      </w:r>
      <w:r w:rsidR="00506D7E">
        <w:rPr>
          <w:rFonts w:asciiTheme="minorHAnsi" w:hAnsiTheme="minorHAnsi" w:cstheme="minorHAnsi"/>
          <w:sz w:val="26"/>
          <w:szCs w:val="26"/>
        </w:rPr>
        <w:t xml:space="preserve">funds </w:t>
      </w:r>
      <w:r w:rsidR="00ED7B83">
        <w:rPr>
          <w:rFonts w:asciiTheme="minorHAnsi" w:hAnsiTheme="minorHAnsi" w:cstheme="minorHAnsi"/>
          <w:sz w:val="26"/>
          <w:szCs w:val="26"/>
        </w:rPr>
        <w:t>were</w:t>
      </w:r>
      <w:r w:rsidR="00D41C97">
        <w:rPr>
          <w:rFonts w:asciiTheme="minorHAnsi" w:hAnsiTheme="minorHAnsi" w:cstheme="minorHAnsi"/>
          <w:sz w:val="26"/>
          <w:szCs w:val="26"/>
        </w:rPr>
        <w:t xml:space="preserve"> transferred from her cheque account into her maximiser account </w:t>
      </w:r>
      <w:r w:rsidR="00F65DDE">
        <w:rPr>
          <w:rFonts w:asciiTheme="minorHAnsi" w:hAnsiTheme="minorHAnsi" w:cstheme="minorHAnsi"/>
          <w:sz w:val="26"/>
          <w:szCs w:val="26"/>
        </w:rPr>
        <w:t xml:space="preserve">on 17 May 2019. </w:t>
      </w:r>
    </w:p>
    <w:p w:rsidR="0091783B" w:rsidRDefault="0091783B" w:rsidP="0091783B">
      <w:pPr>
        <w:pStyle w:val="ListParagraph"/>
        <w:rPr>
          <w:rFonts w:asciiTheme="minorHAnsi" w:hAnsiTheme="minorHAnsi" w:cstheme="minorHAnsi"/>
          <w:sz w:val="26"/>
          <w:szCs w:val="26"/>
        </w:rPr>
      </w:pPr>
    </w:p>
    <w:p w:rsidR="00F65DDE" w:rsidRPr="00F65DDE" w:rsidRDefault="00F65DDE" w:rsidP="00F65DDE">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R2.7 million proceeds from sale of Simons Town property</w:t>
      </w:r>
    </w:p>
    <w:p w:rsidR="0091783B" w:rsidRDefault="004A75B1" w:rsidP="0091783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applicant avers that she purchased the Simons Town property in approximately 2001 with her own mon</w:t>
      </w:r>
      <w:r w:rsidR="007E3BF8">
        <w:rPr>
          <w:rFonts w:asciiTheme="minorHAnsi" w:hAnsiTheme="minorHAnsi" w:cstheme="minorHAnsi"/>
          <w:sz w:val="26"/>
          <w:szCs w:val="26"/>
        </w:rPr>
        <w:t>ies</w:t>
      </w:r>
      <w:r w:rsidR="0028421E">
        <w:rPr>
          <w:rFonts w:asciiTheme="minorHAnsi" w:hAnsiTheme="minorHAnsi" w:cstheme="minorHAnsi"/>
          <w:sz w:val="26"/>
          <w:szCs w:val="26"/>
        </w:rPr>
        <w:t>, however,</w:t>
      </w:r>
      <w:r>
        <w:rPr>
          <w:rFonts w:asciiTheme="minorHAnsi" w:hAnsiTheme="minorHAnsi" w:cstheme="minorHAnsi"/>
          <w:sz w:val="26"/>
          <w:szCs w:val="26"/>
        </w:rPr>
        <w:t xml:space="preserve"> since the sale took place </w:t>
      </w:r>
      <w:r w:rsidR="0028421E">
        <w:rPr>
          <w:rFonts w:asciiTheme="minorHAnsi" w:hAnsiTheme="minorHAnsi" w:cstheme="minorHAnsi"/>
          <w:sz w:val="26"/>
          <w:szCs w:val="26"/>
        </w:rPr>
        <w:t>some</w:t>
      </w:r>
      <w:r>
        <w:rPr>
          <w:rFonts w:asciiTheme="minorHAnsi" w:hAnsiTheme="minorHAnsi" w:cstheme="minorHAnsi"/>
          <w:sz w:val="26"/>
          <w:szCs w:val="26"/>
        </w:rPr>
        <w:t xml:space="preserve"> 18 years ago, she no longer has proof </w:t>
      </w:r>
      <w:r w:rsidR="0028421E">
        <w:rPr>
          <w:rFonts w:asciiTheme="minorHAnsi" w:hAnsiTheme="minorHAnsi" w:cstheme="minorHAnsi"/>
          <w:sz w:val="26"/>
          <w:szCs w:val="26"/>
        </w:rPr>
        <w:t xml:space="preserve">of the fact </w:t>
      </w:r>
      <w:r>
        <w:rPr>
          <w:rFonts w:asciiTheme="minorHAnsi" w:hAnsiTheme="minorHAnsi" w:cstheme="minorHAnsi"/>
          <w:sz w:val="26"/>
          <w:szCs w:val="26"/>
        </w:rPr>
        <w:t xml:space="preserve">that </w:t>
      </w:r>
      <w:r w:rsidR="00D41C97">
        <w:rPr>
          <w:rFonts w:asciiTheme="minorHAnsi" w:hAnsiTheme="minorHAnsi" w:cstheme="minorHAnsi"/>
          <w:sz w:val="26"/>
          <w:szCs w:val="26"/>
        </w:rPr>
        <w:t>she</w:t>
      </w:r>
      <w:r>
        <w:rPr>
          <w:rFonts w:asciiTheme="minorHAnsi" w:hAnsiTheme="minorHAnsi" w:cstheme="minorHAnsi"/>
          <w:sz w:val="26"/>
          <w:szCs w:val="26"/>
        </w:rPr>
        <w:t xml:space="preserve"> purchased </w:t>
      </w:r>
      <w:r w:rsidR="00D41C97">
        <w:rPr>
          <w:rFonts w:asciiTheme="minorHAnsi" w:hAnsiTheme="minorHAnsi" w:cstheme="minorHAnsi"/>
          <w:sz w:val="26"/>
          <w:szCs w:val="26"/>
        </w:rPr>
        <w:t xml:space="preserve">same </w:t>
      </w:r>
      <w:r w:rsidR="00D00DC8">
        <w:rPr>
          <w:rFonts w:asciiTheme="minorHAnsi" w:hAnsiTheme="minorHAnsi" w:cstheme="minorHAnsi"/>
          <w:sz w:val="26"/>
          <w:szCs w:val="26"/>
        </w:rPr>
        <w:t>by utilising her own financial resources</w:t>
      </w:r>
      <w:r>
        <w:rPr>
          <w:rFonts w:asciiTheme="minorHAnsi" w:hAnsiTheme="minorHAnsi" w:cstheme="minorHAnsi"/>
          <w:sz w:val="26"/>
          <w:szCs w:val="26"/>
        </w:rPr>
        <w:t xml:space="preserve">. In support of her ownership of the property, the applicant </w:t>
      </w:r>
      <w:r w:rsidR="00D41C97">
        <w:rPr>
          <w:rFonts w:asciiTheme="minorHAnsi" w:hAnsiTheme="minorHAnsi" w:cstheme="minorHAnsi"/>
          <w:sz w:val="26"/>
          <w:szCs w:val="26"/>
        </w:rPr>
        <w:t>put up</w:t>
      </w:r>
      <w:r>
        <w:rPr>
          <w:rFonts w:asciiTheme="minorHAnsi" w:hAnsiTheme="minorHAnsi" w:cstheme="minorHAnsi"/>
          <w:sz w:val="26"/>
          <w:szCs w:val="26"/>
        </w:rPr>
        <w:t xml:space="preserve"> a deed of transfer, dated 15 August 2001</w:t>
      </w:r>
      <w:r>
        <w:rPr>
          <w:rStyle w:val="FootnoteReference"/>
          <w:rFonts w:asciiTheme="minorHAnsi" w:hAnsiTheme="minorHAnsi" w:cstheme="minorHAnsi"/>
          <w:sz w:val="26"/>
          <w:szCs w:val="26"/>
        </w:rPr>
        <w:footnoteReference w:id="25"/>
      </w:r>
      <w:r>
        <w:rPr>
          <w:rFonts w:asciiTheme="minorHAnsi" w:hAnsiTheme="minorHAnsi" w:cstheme="minorHAnsi"/>
          <w:sz w:val="26"/>
          <w:szCs w:val="26"/>
        </w:rPr>
        <w:t xml:space="preserve"> which reflects </w:t>
      </w:r>
      <w:r w:rsidR="00D41C97">
        <w:rPr>
          <w:rFonts w:asciiTheme="minorHAnsi" w:hAnsiTheme="minorHAnsi" w:cstheme="minorHAnsi"/>
          <w:sz w:val="26"/>
          <w:szCs w:val="26"/>
        </w:rPr>
        <w:t>that</w:t>
      </w:r>
      <w:r w:rsidR="0034228E">
        <w:rPr>
          <w:rFonts w:asciiTheme="minorHAnsi" w:hAnsiTheme="minorHAnsi" w:cstheme="minorHAnsi"/>
          <w:sz w:val="26"/>
          <w:szCs w:val="26"/>
        </w:rPr>
        <w:t xml:space="preserve"> she</w:t>
      </w:r>
      <w:r>
        <w:rPr>
          <w:rFonts w:asciiTheme="minorHAnsi" w:hAnsiTheme="minorHAnsi" w:cstheme="minorHAnsi"/>
          <w:sz w:val="26"/>
          <w:szCs w:val="26"/>
        </w:rPr>
        <w:t xml:space="preserve"> purchased </w:t>
      </w:r>
      <w:r w:rsidR="0034228E">
        <w:rPr>
          <w:rFonts w:asciiTheme="minorHAnsi" w:hAnsiTheme="minorHAnsi" w:cstheme="minorHAnsi"/>
          <w:sz w:val="26"/>
          <w:szCs w:val="26"/>
        </w:rPr>
        <w:t>the property on 17 April 2001</w:t>
      </w:r>
      <w:r>
        <w:rPr>
          <w:rFonts w:asciiTheme="minorHAnsi" w:hAnsiTheme="minorHAnsi" w:cstheme="minorHAnsi"/>
          <w:sz w:val="26"/>
          <w:szCs w:val="26"/>
        </w:rPr>
        <w:t xml:space="preserve"> </w:t>
      </w:r>
      <w:r w:rsidR="0028421E">
        <w:rPr>
          <w:rFonts w:asciiTheme="minorHAnsi" w:hAnsiTheme="minorHAnsi" w:cstheme="minorHAnsi"/>
          <w:sz w:val="26"/>
          <w:szCs w:val="26"/>
        </w:rPr>
        <w:t xml:space="preserve">from Moneyline 489 (Pty) Ltd </w:t>
      </w:r>
      <w:r>
        <w:rPr>
          <w:rFonts w:asciiTheme="minorHAnsi" w:hAnsiTheme="minorHAnsi" w:cstheme="minorHAnsi"/>
          <w:sz w:val="26"/>
          <w:szCs w:val="26"/>
        </w:rPr>
        <w:t>for the sum of R</w:t>
      </w:r>
      <w:r w:rsidR="0028421E">
        <w:rPr>
          <w:rFonts w:asciiTheme="minorHAnsi" w:hAnsiTheme="minorHAnsi" w:cstheme="minorHAnsi"/>
          <w:sz w:val="26"/>
          <w:szCs w:val="26"/>
        </w:rPr>
        <w:t>179</w:t>
      </w:r>
      <w:r w:rsidR="007E3BF8">
        <w:rPr>
          <w:rFonts w:asciiTheme="minorHAnsi" w:hAnsiTheme="minorHAnsi" w:cstheme="minorHAnsi"/>
          <w:sz w:val="26"/>
          <w:szCs w:val="26"/>
        </w:rPr>
        <w:t>,</w:t>
      </w:r>
      <w:r w:rsidR="0028421E">
        <w:rPr>
          <w:rFonts w:asciiTheme="minorHAnsi" w:hAnsiTheme="minorHAnsi" w:cstheme="minorHAnsi"/>
          <w:sz w:val="26"/>
          <w:szCs w:val="26"/>
        </w:rPr>
        <w:t>500.00</w:t>
      </w:r>
      <w:r w:rsidR="0034228E">
        <w:rPr>
          <w:rFonts w:asciiTheme="minorHAnsi" w:hAnsiTheme="minorHAnsi" w:cstheme="minorHAnsi"/>
          <w:sz w:val="26"/>
          <w:szCs w:val="26"/>
        </w:rPr>
        <w:t>.</w:t>
      </w:r>
      <w:r w:rsidR="0028421E">
        <w:rPr>
          <w:rFonts w:asciiTheme="minorHAnsi" w:hAnsiTheme="minorHAnsi" w:cstheme="minorHAnsi"/>
          <w:sz w:val="26"/>
          <w:szCs w:val="26"/>
        </w:rPr>
        <w:t xml:space="preserve"> A further deed of transfer</w:t>
      </w:r>
      <w:r w:rsidR="0028421E">
        <w:rPr>
          <w:rStyle w:val="FootnoteReference"/>
          <w:rFonts w:asciiTheme="minorHAnsi" w:hAnsiTheme="minorHAnsi" w:cstheme="minorHAnsi"/>
          <w:sz w:val="26"/>
          <w:szCs w:val="26"/>
        </w:rPr>
        <w:footnoteReference w:id="26"/>
      </w:r>
      <w:r w:rsidR="0028421E">
        <w:rPr>
          <w:rFonts w:asciiTheme="minorHAnsi" w:hAnsiTheme="minorHAnsi" w:cstheme="minorHAnsi"/>
          <w:sz w:val="26"/>
          <w:szCs w:val="26"/>
        </w:rPr>
        <w:t xml:space="preserve"> provided by the applicant reflects that she sold the property for the sum of R4.3 million to Mr and Mrs Van Rensburg on 27 January 2019. The said property was transferred into </w:t>
      </w:r>
      <w:r w:rsidR="00D41C97">
        <w:rPr>
          <w:rFonts w:asciiTheme="minorHAnsi" w:hAnsiTheme="minorHAnsi" w:cstheme="minorHAnsi"/>
          <w:sz w:val="26"/>
          <w:szCs w:val="26"/>
        </w:rPr>
        <w:t>the purchasers’</w:t>
      </w:r>
      <w:r w:rsidR="0028421E">
        <w:rPr>
          <w:rFonts w:asciiTheme="minorHAnsi" w:hAnsiTheme="minorHAnsi" w:cstheme="minorHAnsi"/>
          <w:sz w:val="26"/>
          <w:szCs w:val="26"/>
        </w:rPr>
        <w:t xml:space="preserve"> names during May 2019. </w:t>
      </w:r>
      <w:r w:rsidR="00D41C97">
        <w:rPr>
          <w:rFonts w:asciiTheme="minorHAnsi" w:hAnsiTheme="minorHAnsi" w:cstheme="minorHAnsi"/>
          <w:sz w:val="26"/>
          <w:szCs w:val="26"/>
        </w:rPr>
        <w:t>An amount of R2.7 million</w:t>
      </w:r>
      <w:r w:rsidR="0028421E">
        <w:rPr>
          <w:rFonts w:asciiTheme="minorHAnsi" w:hAnsiTheme="minorHAnsi" w:cstheme="minorHAnsi"/>
          <w:sz w:val="26"/>
          <w:szCs w:val="26"/>
        </w:rPr>
        <w:t xml:space="preserve"> </w:t>
      </w:r>
      <w:r w:rsidR="00D41C97">
        <w:rPr>
          <w:rFonts w:asciiTheme="minorHAnsi" w:hAnsiTheme="minorHAnsi" w:cstheme="minorHAnsi"/>
          <w:sz w:val="26"/>
          <w:szCs w:val="26"/>
        </w:rPr>
        <w:t>was</w:t>
      </w:r>
      <w:r w:rsidR="0028421E">
        <w:rPr>
          <w:rFonts w:asciiTheme="minorHAnsi" w:hAnsiTheme="minorHAnsi" w:cstheme="minorHAnsi"/>
          <w:sz w:val="26"/>
          <w:szCs w:val="26"/>
        </w:rPr>
        <w:t xml:space="preserve"> </w:t>
      </w:r>
      <w:r w:rsidR="00D41C97">
        <w:rPr>
          <w:rFonts w:asciiTheme="minorHAnsi" w:hAnsiTheme="minorHAnsi" w:cstheme="minorHAnsi"/>
          <w:sz w:val="26"/>
          <w:szCs w:val="26"/>
        </w:rPr>
        <w:t>thereafter transferred from</w:t>
      </w:r>
      <w:r w:rsidR="0028421E">
        <w:rPr>
          <w:rFonts w:asciiTheme="minorHAnsi" w:hAnsiTheme="minorHAnsi" w:cstheme="minorHAnsi"/>
          <w:sz w:val="26"/>
          <w:szCs w:val="26"/>
        </w:rPr>
        <w:t xml:space="preserve"> the applicant’s FNB cheque account into the FNB maximiser account on 17 May 2019.</w:t>
      </w:r>
    </w:p>
    <w:p w:rsidR="0091783B" w:rsidRDefault="0091783B" w:rsidP="0091783B">
      <w:pPr>
        <w:pStyle w:val="ListParagraph"/>
        <w:rPr>
          <w:rFonts w:asciiTheme="minorHAnsi" w:hAnsiTheme="minorHAnsi" w:cstheme="minorHAnsi"/>
          <w:sz w:val="26"/>
          <w:szCs w:val="26"/>
        </w:rPr>
      </w:pPr>
    </w:p>
    <w:p w:rsidR="0091783B" w:rsidRPr="00521C05" w:rsidRDefault="0028421E" w:rsidP="0091783B">
      <w:pPr>
        <w:pStyle w:val="ListParagraph"/>
        <w:numPr>
          <w:ilvl w:val="0"/>
          <w:numId w:val="3"/>
        </w:numPr>
        <w:spacing w:after="200" w:line="360" w:lineRule="auto"/>
        <w:jc w:val="both"/>
        <w:rPr>
          <w:rFonts w:asciiTheme="minorHAnsi" w:hAnsiTheme="minorHAnsi" w:cstheme="minorHAnsi"/>
          <w:sz w:val="26"/>
          <w:szCs w:val="26"/>
        </w:rPr>
      </w:pPr>
      <w:r w:rsidRPr="0028421E">
        <w:rPr>
          <w:rFonts w:asciiTheme="minorHAnsi" w:hAnsiTheme="minorHAnsi" w:cstheme="minorHAnsi"/>
          <w:sz w:val="26"/>
          <w:szCs w:val="26"/>
        </w:rPr>
        <w:t>The respondents contend that the applicant has put up insufficient evidence to prove her ownership of the property sold by her. They contend that the insolvent is in fact the true or beneficial owner of this property and that the insolvent estate is therefore entitled to the equivalent value of the proceeds of the sale (</w:t>
      </w:r>
      <w:r w:rsidR="00D00DC8">
        <w:rPr>
          <w:rFonts w:asciiTheme="minorHAnsi" w:hAnsiTheme="minorHAnsi" w:cstheme="minorHAnsi"/>
          <w:sz w:val="26"/>
          <w:szCs w:val="26"/>
        </w:rPr>
        <w:t xml:space="preserve">i.e., </w:t>
      </w:r>
      <w:r w:rsidRPr="0028421E">
        <w:rPr>
          <w:rFonts w:asciiTheme="minorHAnsi" w:hAnsiTheme="minorHAnsi" w:cstheme="minorHAnsi"/>
          <w:sz w:val="26"/>
          <w:szCs w:val="26"/>
        </w:rPr>
        <w:t>R2.740 million)</w:t>
      </w:r>
      <w:r w:rsidR="00D00DC8">
        <w:rPr>
          <w:rFonts w:asciiTheme="minorHAnsi" w:hAnsiTheme="minorHAnsi" w:cstheme="minorHAnsi"/>
          <w:sz w:val="26"/>
          <w:szCs w:val="26"/>
        </w:rPr>
        <w:t xml:space="preserve"> in the FNB maximiser account</w:t>
      </w:r>
      <w:r w:rsidRPr="0028421E">
        <w:rPr>
          <w:rFonts w:asciiTheme="minorHAnsi" w:hAnsiTheme="minorHAnsi" w:cstheme="minorHAnsi"/>
          <w:sz w:val="26"/>
          <w:szCs w:val="26"/>
        </w:rPr>
        <w:t xml:space="preserve">. Since the amount standing to the credit of the FNB maximiser account </w:t>
      </w:r>
      <w:r>
        <w:rPr>
          <w:rFonts w:asciiTheme="minorHAnsi" w:hAnsiTheme="minorHAnsi" w:cstheme="minorHAnsi"/>
          <w:sz w:val="26"/>
          <w:szCs w:val="26"/>
        </w:rPr>
        <w:t>at the time of attachment was</w:t>
      </w:r>
      <w:r w:rsidRPr="0028421E">
        <w:rPr>
          <w:rFonts w:asciiTheme="minorHAnsi" w:hAnsiTheme="minorHAnsi" w:cstheme="minorHAnsi"/>
          <w:sz w:val="26"/>
          <w:szCs w:val="26"/>
        </w:rPr>
        <w:t xml:space="preserve"> less than the proceeds received from the sale of the property, they reason that the entire balance standing to the credit of the FNB maximiser account fall</w:t>
      </w:r>
      <w:r w:rsidR="007E3BF8">
        <w:rPr>
          <w:rFonts w:asciiTheme="minorHAnsi" w:hAnsiTheme="minorHAnsi" w:cstheme="minorHAnsi"/>
          <w:sz w:val="26"/>
          <w:szCs w:val="26"/>
        </w:rPr>
        <w:t>s</w:t>
      </w:r>
      <w:r w:rsidRPr="0028421E">
        <w:rPr>
          <w:rFonts w:asciiTheme="minorHAnsi" w:hAnsiTheme="minorHAnsi" w:cstheme="minorHAnsi"/>
          <w:sz w:val="26"/>
          <w:szCs w:val="26"/>
        </w:rPr>
        <w:t xml:space="preserve"> within the insolvent estate.</w:t>
      </w:r>
    </w:p>
    <w:p w:rsidR="0091783B" w:rsidRDefault="0091783B" w:rsidP="0091783B">
      <w:pPr>
        <w:pStyle w:val="ListParagraph"/>
        <w:rPr>
          <w:rFonts w:asciiTheme="minorHAnsi" w:hAnsiTheme="minorHAnsi" w:cstheme="minorHAnsi"/>
          <w:sz w:val="26"/>
          <w:szCs w:val="26"/>
        </w:rPr>
      </w:pPr>
    </w:p>
    <w:p w:rsidR="00582FA9" w:rsidRDefault="00D00DC8" w:rsidP="0034228E">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this regard, t</w:t>
      </w:r>
      <w:r w:rsidR="00582FA9">
        <w:rPr>
          <w:rFonts w:asciiTheme="minorHAnsi" w:hAnsiTheme="minorHAnsi" w:cstheme="minorHAnsi"/>
          <w:sz w:val="26"/>
          <w:szCs w:val="26"/>
        </w:rPr>
        <w:t xml:space="preserve">he respondents aver that </w:t>
      </w:r>
      <w:r w:rsidR="003614B9">
        <w:rPr>
          <w:rFonts w:asciiTheme="minorHAnsi" w:hAnsiTheme="minorHAnsi" w:cstheme="minorHAnsi"/>
          <w:sz w:val="26"/>
          <w:szCs w:val="26"/>
        </w:rPr>
        <w:t>since</w:t>
      </w:r>
      <w:r w:rsidR="00582FA9">
        <w:rPr>
          <w:rFonts w:asciiTheme="minorHAnsi" w:hAnsiTheme="minorHAnsi" w:cstheme="minorHAnsi"/>
          <w:sz w:val="26"/>
          <w:szCs w:val="26"/>
        </w:rPr>
        <w:t xml:space="preserve"> the applicant was a salaried employee for only two years prior to her acquisition of the property, ‘it is hard to fathom’ how she could have utilised her own funds to purchase same. </w:t>
      </w:r>
      <w:r w:rsidR="00FC097B">
        <w:rPr>
          <w:rFonts w:asciiTheme="minorHAnsi" w:hAnsiTheme="minorHAnsi" w:cstheme="minorHAnsi"/>
          <w:sz w:val="26"/>
          <w:szCs w:val="26"/>
        </w:rPr>
        <w:t xml:space="preserve">The respondents </w:t>
      </w:r>
      <w:r>
        <w:rPr>
          <w:rFonts w:asciiTheme="minorHAnsi" w:hAnsiTheme="minorHAnsi" w:cstheme="minorHAnsi"/>
          <w:sz w:val="26"/>
          <w:szCs w:val="26"/>
        </w:rPr>
        <w:t>provided</w:t>
      </w:r>
      <w:r w:rsidR="00FC097B">
        <w:rPr>
          <w:rFonts w:asciiTheme="minorHAnsi" w:hAnsiTheme="minorHAnsi" w:cstheme="minorHAnsi"/>
          <w:sz w:val="26"/>
          <w:szCs w:val="26"/>
        </w:rPr>
        <w:t xml:space="preserve"> documentary evidence to show that a</w:t>
      </w:r>
      <w:r w:rsidR="00582FA9">
        <w:rPr>
          <w:rFonts w:asciiTheme="minorHAnsi" w:hAnsiTheme="minorHAnsi" w:cstheme="minorHAnsi"/>
          <w:sz w:val="26"/>
          <w:szCs w:val="26"/>
        </w:rPr>
        <w:t xml:space="preserve"> mortgage bond was registered over the property in 2004 in the amount of R1,365 000.00.</w:t>
      </w:r>
      <w:r w:rsidR="00582FA9">
        <w:rPr>
          <w:rStyle w:val="FootnoteReference"/>
          <w:rFonts w:asciiTheme="minorHAnsi" w:hAnsiTheme="minorHAnsi" w:cstheme="minorHAnsi"/>
          <w:sz w:val="26"/>
          <w:szCs w:val="26"/>
        </w:rPr>
        <w:footnoteReference w:id="27"/>
      </w:r>
      <w:r w:rsidR="00582FA9">
        <w:rPr>
          <w:rFonts w:asciiTheme="minorHAnsi" w:hAnsiTheme="minorHAnsi" w:cstheme="minorHAnsi"/>
          <w:sz w:val="26"/>
          <w:szCs w:val="26"/>
        </w:rPr>
        <w:t xml:space="preserve"> By September 2014, a balance of R1.287 million was outstanding on the loan. </w:t>
      </w:r>
      <w:r>
        <w:rPr>
          <w:rFonts w:asciiTheme="minorHAnsi" w:hAnsiTheme="minorHAnsi" w:cstheme="minorHAnsi"/>
          <w:sz w:val="26"/>
          <w:szCs w:val="26"/>
        </w:rPr>
        <w:t>They further ascertained that the</w:t>
      </w:r>
      <w:r w:rsidR="00582FA9">
        <w:rPr>
          <w:rFonts w:asciiTheme="minorHAnsi" w:hAnsiTheme="minorHAnsi" w:cstheme="minorHAnsi"/>
          <w:sz w:val="26"/>
          <w:szCs w:val="26"/>
        </w:rPr>
        <w:t xml:space="preserve"> applicant </w:t>
      </w:r>
      <w:r>
        <w:rPr>
          <w:rFonts w:asciiTheme="minorHAnsi" w:hAnsiTheme="minorHAnsi" w:cstheme="minorHAnsi"/>
          <w:sz w:val="26"/>
          <w:szCs w:val="26"/>
        </w:rPr>
        <w:t xml:space="preserve">had not </w:t>
      </w:r>
      <w:r w:rsidR="00582FA9">
        <w:rPr>
          <w:rFonts w:asciiTheme="minorHAnsi" w:hAnsiTheme="minorHAnsi" w:cstheme="minorHAnsi"/>
          <w:sz w:val="26"/>
          <w:szCs w:val="26"/>
        </w:rPr>
        <w:t xml:space="preserve">received </w:t>
      </w:r>
      <w:r>
        <w:rPr>
          <w:rFonts w:asciiTheme="minorHAnsi" w:hAnsiTheme="minorHAnsi" w:cstheme="minorHAnsi"/>
          <w:sz w:val="26"/>
          <w:szCs w:val="26"/>
        </w:rPr>
        <w:t>a</w:t>
      </w:r>
      <w:r w:rsidR="00582FA9">
        <w:rPr>
          <w:rFonts w:asciiTheme="minorHAnsi" w:hAnsiTheme="minorHAnsi" w:cstheme="minorHAnsi"/>
          <w:sz w:val="26"/>
          <w:szCs w:val="26"/>
        </w:rPr>
        <w:t xml:space="preserve"> salary in 2014 and </w:t>
      </w:r>
      <w:r>
        <w:rPr>
          <w:rFonts w:asciiTheme="minorHAnsi" w:hAnsiTheme="minorHAnsi" w:cstheme="minorHAnsi"/>
          <w:sz w:val="26"/>
          <w:szCs w:val="26"/>
        </w:rPr>
        <w:t xml:space="preserve">had </w:t>
      </w:r>
      <w:r w:rsidR="00582FA9">
        <w:rPr>
          <w:rFonts w:asciiTheme="minorHAnsi" w:hAnsiTheme="minorHAnsi" w:cstheme="minorHAnsi"/>
          <w:sz w:val="26"/>
          <w:szCs w:val="26"/>
        </w:rPr>
        <w:t xml:space="preserve">filed zero tax returns in 2017. Moreover, as </w:t>
      </w:r>
      <w:r w:rsidR="00FC097B">
        <w:rPr>
          <w:rFonts w:asciiTheme="minorHAnsi" w:hAnsiTheme="minorHAnsi" w:cstheme="minorHAnsi"/>
          <w:sz w:val="26"/>
          <w:szCs w:val="26"/>
        </w:rPr>
        <w:t>evidenced by the insolvent’s bank statements</w:t>
      </w:r>
      <w:r w:rsidR="00582FA9">
        <w:rPr>
          <w:rFonts w:asciiTheme="minorHAnsi" w:hAnsiTheme="minorHAnsi" w:cstheme="minorHAnsi"/>
          <w:sz w:val="26"/>
          <w:szCs w:val="26"/>
        </w:rPr>
        <w:t xml:space="preserve">, the insolvent </w:t>
      </w:r>
      <w:r>
        <w:rPr>
          <w:rFonts w:asciiTheme="minorHAnsi" w:hAnsiTheme="minorHAnsi" w:cstheme="minorHAnsi"/>
          <w:sz w:val="26"/>
          <w:szCs w:val="26"/>
        </w:rPr>
        <w:t xml:space="preserve">had </w:t>
      </w:r>
      <w:r w:rsidR="00582FA9">
        <w:rPr>
          <w:rFonts w:asciiTheme="minorHAnsi" w:hAnsiTheme="minorHAnsi" w:cstheme="minorHAnsi"/>
          <w:sz w:val="26"/>
          <w:szCs w:val="26"/>
        </w:rPr>
        <w:t xml:space="preserve">paid the bond instalments </w:t>
      </w:r>
      <w:r>
        <w:rPr>
          <w:rFonts w:asciiTheme="minorHAnsi" w:hAnsiTheme="minorHAnsi" w:cstheme="minorHAnsi"/>
          <w:sz w:val="26"/>
          <w:szCs w:val="26"/>
        </w:rPr>
        <w:t>in respect of the Simons Town property for several</w:t>
      </w:r>
      <w:r w:rsidR="00582FA9">
        <w:rPr>
          <w:rFonts w:asciiTheme="minorHAnsi" w:hAnsiTheme="minorHAnsi" w:cstheme="minorHAnsi"/>
          <w:sz w:val="26"/>
          <w:szCs w:val="26"/>
        </w:rPr>
        <w:t xml:space="preserve"> months during 2013, 2014 and 2018. </w:t>
      </w:r>
      <w:r w:rsidR="00CE6254">
        <w:rPr>
          <w:rFonts w:asciiTheme="minorHAnsi" w:hAnsiTheme="minorHAnsi" w:cstheme="minorHAnsi"/>
          <w:sz w:val="26"/>
          <w:szCs w:val="26"/>
        </w:rPr>
        <w:t xml:space="preserve">The respondents </w:t>
      </w:r>
      <w:r w:rsidR="00FC097B">
        <w:rPr>
          <w:rFonts w:asciiTheme="minorHAnsi" w:hAnsiTheme="minorHAnsi" w:cstheme="minorHAnsi"/>
          <w:sz w:val="26"/>
          <w:szCs w:val="26"/>
        </w:rPr>
        <w:t xml:space="preserve">also </w:t>
      </w:r>
      <w:r>
        <w:rPr>
          <w:rFonts w:asciiTheme="minorHAnsi" w:hAnsiTheme="minorHAnsi" w:cstheme="minorHAnsi"/>
          <w:sz w:val="26"/>
          <w:szCs w:val="26"/>
        </w:rPr>
        <w:t>referred to certain</w:t>
      </w:r>
      <w:r w:rsidR="00CE6254">
        <w:rPr>
          <w:rFonts w:asciiTheme="minorHAnsi" w:hAnsiTheme="minorHAnsi" w:cstheme="minorHAnsi"/>
          <w:sz w:val="26"/>
          <w:szCs w:val="26"/>
        </w:rPr>
        <w:t xml:space="preserve"> </w:t>
      </w:r>
      <w:r>
        <w:rPr>
          <w:rFonts w:asciiTheme="minorHAnsi" w:hAnsiTheme="minorHAnsi" w:cstheme="minorHAnsi"/>
          <w:sz w:val="26"/>
          <w:szCs w:val="26"/>
        </w:rPr>
        <w:t>correspondence between</w:t>
      </w:r>
      <w:r w:rsidR="00CE6254">
        <w:rPr>
          <w:rFonts w:asciiTheme="minorHAnsi" w:hAnsiTheme="minorHAnsi" w:cstheme="minorHAnsi"/>
          <w:sz w:val="26"/>
          <w:szCs w:val="26"/>
        </w:rPr>
        <w:t xml:space="preserve"> the insolvent </w:t>
      </w:r>
      <w:r>
        <w:rPr>
          <w:rFonts w:asciiTheme="minorHAnsi" w:hAnsiTheme="minorHAnsi" w:cstheme="minorHAnsi"/>
          <w:sz w:val="26"/>
          <w:szCs w:val="26"/>
        </w:rPr>
        <w:t>and</w:t>
      </w:r>
      <w:r w:rsidR="00CE6254">
        <w:rPr>
          <w:rFonts w:asciiTheme="minorHAnsi" w:hAnsiTheme="minorHAnsi" w:cstheme="minorHAnsi"/>
          <w:sz w:val="26"/>
          <w:szCs w:val="26"/>
        </w:rPr>
        <w:t xml:space="preserve"> service providers/contractors in </w:t>
      </w:r>
      <w:r>
        <w:rPr>
          <w:rFonts w:asciiTheme="minorHAnsi" w:hAnsiTheme="minorHAnsi" w:cstheme="minorHAnsi"/>
          <w:sz w:val="26"/>
          <w:szCs w:val="26"/>
        </w:rPr>
        <w:t>connection with</w:t>
      </w:r>
      <w:r w:rsidR="00CE6254">
        <w:rPr>
          <w:rFonts w:asciiTheme="minorHAnsi" w:hAnsiTheme="minorHAnsi" w:cstheme="minorHAnsi"/>
          <w:sz w:val="26"/>
          <w:szCs w:val="26"/>
        </w:rPr>
        <w:t xml:space="preserve"> maintenance </w:t>
      </w:r>
      <w:r w:rsidR="00FC097B">
        <w:rPr>
          <w:rFonts w:asciiTheme="minorHAnsi" w:hAnsiTheme="minorHAnsi" w:cstheme="minorHAnsi"/>
          <w:sz w:val="26"/>
          <w:szCs w:val="26"/>
        </w:rPr>
        <w:t xml:space="preserve">work </w:t>
      </w:r>
      <w:r w:rsidR="00CE6254">
        <w:rPr>
          <w:rFonts w:asciiTheme="minorHAnsi" w:hAnsiTheme="minorHAnsi" w:cstheme="minorHAnsi"/>
          <w:sz w:val="26"/>
          <w:szCs w:val="26"/>
        </w:rPr>
        <w:t>and</w:t>
      </w:r>
      <w:r w:rsidR="00FC097B">
        <w:rPr>
          <w:rFonts w:asciiTheme="minorHAnsi" w:hAnsiTheme="minorHAnsi" w:cstheme="minorHAnsi"/>
          <w:sz w:val="26"/>
          <w:szCs w:val="26"/>
        </w:rPr>
        <w:t>/or</w:t>
      </w:r>
      <w:r w:rsidR="00CE6254">
        <w:rPr>
          <w:rFonts w:asciiTheme="minorHAnsi" w:hAnsiTheme="minorHAnsi" w:cstheme="minorHAnsi"/>
          <w:sz w:val="26"/>
          <w:szCs w:val="26"/>
        </w:rPr>
        <w:t xml:space="preserve"> renovation</w:t>
      </w:r>
      <w:r w:rsidR="00FC097B">
        <w:rPr>
          <w:rFonts w:asciiTheme="minorHAnsi" w:hAnsiTheme="minorHAnsi" w:cstheme="minorHAnsi"/>
          <w:sz w:val="26"/>
          <w:szCs w:val="26"/>
        </w:rPr>
        <w:t>s</w:t>
      </w:r>
      <w:r w:rsidR="00CE6254">
        <w:rPr>
          <w:rFonts w:asciiTheme="minorHAnsi" w:hAnsiTheme="minorHAnsi" w:cstheme="minorHAnsi"/>
          <w:sz w:val="26"/>
          <w:szCs w:val="26"/>
        </w:rPr>
        <w:t xml:space="preserve"> </w:t>
      </w:r>
      <w:r>
        <w:rPr>
          <w:rFonts w:asciiTheme="minorHAnsi" w:hAnsiTheme="minorHAnsi" w:cstheme="minorHAnsi"/>
          <w:sz w:val="26"/>
          <w:szCs w:val="26"/>
        </w:rPr>
        <w:t xml:space="preserve">that were </w:t>
      </w:r>
      <w:r w:rsidR="00FC097B">
        <w:rPr>
          <w:rFonts w:asciiTheme="minorHAnsi" w:hAnsiTheme="minorHAnsi" w:cstheme="minorHAnsi"/>
          <w:sz w:val="26"/>
          <w:szCs w:val="26"/>
        </w:rPr>
        <w:t>effected at the property. These facts were relied on to reach somewhat</w:t>
      </w:r>
      <w:r w:rsidR="00CE6254">
        <w:rPr>
          <w:rFonts w:asciiTheme="minorHAnsi" w:hAnsiTheme="minorHAnsi" w:cstheme="minorHAnsi"/>
          <w:sz w:val="26"/>
          <w:szCs w:val="26"/>
        </w:rPr>
        <w:t xml:space="preserve"> </w:t>
      </w:r>
      <w:r w:rsidR="00FC097B">
        <w:rPr>
          <w:rFonts w:asciiTheme="minorHAnsi" w:hAnsiTheme="minorHAnsi" w:cstheme="minorHAnsi"/>
          <w:sz w:val="26"/>
          <w:szCs w:val="26"/>
        </w:rPr>
        <w:t xml:space="preserve">staggering </w:t>
      </w:r>
      <w:r w:rsidR="00CE6254">
        <w:rPr>
          <w:rFonts w:asciiTheme="minorHAnsi" w:hAnsiTheme="minorHAnsi" w:cstheme="minorHAnsi"/>
          <w:sz w:val="26"/>
          <w:szCs w:val="26"/>
        </w:rPr>
        <w:t>conclusion</w:t>
      </w:r>
      <w:r w:rsidR="00FC097B">
        <w:rPr>
          <w:rFonts w:asciiTheme="minorHAnsi" w:hAnsiTheme="minorHAnsi" w:cstheme="minorHAnsi"/>
          <w:sz w:val="26"/>
          <w:szCs w:val="26"/>
        </w:rPr>
        <w:t>s</w:t>
      </w:r>
      <w:r w:rsidR="00CE6254">
        <w:rPr>
          <w:rFonts w:asciiTheme="minorHAnsi" w:hAnsiTheme="minorHAnsi" w:cstheme="minorHAnsi"/>
          <w:sz w:val="26"/>
          <w:szCs w:val="26"/>
        </w:rPr>
        <w:t xml:space="preserve"> that</w:t>
      </w:r>
      <w:r w:rsidR="00FC097B">
        <w:rPr>
          <w:rFonts w:asciiTheme="minorHAnsi" w:hAnsiTheme="minorHAnsi" w:cstheme="minorHAnsi"/>
          <w:sz w:val="26"/>
          <w:szCs w:val="26"/>
        </w:rPr>
        <w:t>:</w:t>
      </w:r>
      <w:r w:rsidR="00CE6254">
        <w:rPr>
          <w:rFonts w:asciiTheme="minorHAnsi" w:hAnsiTheme="minorHAnsi" w:cstheme="minorHAnsi"/>
          <w:sz w:val="26"/>
          <w:szCs w:val="26"/>
        </w:rPr>
        <w:t xml:space="preserve"> </w:t>
      </w:r>
      <w:r w:rsidR="00FC097B">
        <w:rPr>
          <w:rFonts w:asciiTheme="minorHAnsi" w:hAnsiTheme="minorHAnsi" w:cstheme="minorHAnsi"/>
          <w:sz w:val="26"/>
          <w:szCs w:val="26"/>
        </w:rPr>
        <w:t xml:space="preserve">(i) </w:t>
      </w:r>
      <w:r w:rsidR="00CE6254">
        <w:rPr>
          <w:rFonts w:asciiTheme="minorHAnsi" w:hAnsiTheme="minorHAnsi" w:cstheme="minorHAnsi"/>
          <w:sz w:val="26"/>
          <w:szCs w:val="26"/>
        </w:rPr>
        <w:t xml:space="preserve">the property was </w:t>
      </w:r>
      <w:r w:rsidR="00FC097B">
        <w:rPr>
          <w:rFonts w:asciiTheme="minorHAnsi" w:hAnsiTheme="minorHAnsi" w:cstheme="minorHAnsi"/>
          <w:sz w:val="26"/>
          <w:szCs w:val="26"/>
        </w:rPr>
        <w:t xml:space="preserve">acquired by the insolvent or </w:t>
      </w:r>
      <w:r w:rsidR="00684DA4">
        <w:rPr>
          <w:rFonts w:asciiTheme="minorHAnsi" w:hAnsiTheme="minorHAnsi" w:cstheme="minorHAnsi"/>
          <w:sz w:val="26"/>
          <w:szCs w:val="26"/>
        </w:rPr>
        <w:t xml:space="preserve">was </w:t>
      </w:r>
      <w:r w:rsidR="00CE6254">
        <w:rPr>
          <w:rFonts w:asciiTheme="minorHAnsi" w:hAnsiTheme="minorHAnsi" w:cstheme="minorHAnsi"/>
          <w:sz w:val="26"/>
          <w:szCs w:val="26"/>
        </w:rPr>
        <w:t>considered to be the property of the respondent</w:t>
      </w:r>
      <w:r w:rsidR="00FC097B">
        <w:rPr>
          <w:rFonts w:asciiTheme="minorHAnsi" w:hAnsiTheme="minorHAnsi" w:cstheme="minorHAnsi"/>
          <w:sz w:val="26"/>
          <w:szCs w:val="26"/>
        </w:rPr>
        <w:t xml:space="preserve"> and (ii) </w:t>
      </w:r>
      <w:r w:rsidR="00ED7B83">
        <w:rPr>
          <w:rFonts w:asciiTheme="minorHAnsi" w:hAnsiTheme="minorHAnsi" w:cstheme="minorHAnsi"/>
          <w:sz w:val="26"/>
          <w:szCs w:val="26"/>
        </w:rPr>
        <w:t xml:space="preserve">the property </w:t>
      </w:r>
      <w:r w:rsidR="00FC097B">
        <w:rPr>
          <w:rFonts w:asciiTheme="minorHAnsi" w:hAnsiTheme="minorHAnsi" w:cstheme="minorHAnsi"/>
          <w:sz w:val="26"/>
          <w:szCs w:val="26"/>
        </w:rPr>
        <w:t xml:space="preserve">was managed as if it was the property of the insolvent and (iii) that </w:t>
      </w:r>
      <w:r>
        <w:rPr>
          <w:rFonts w:asciiTheme="minorHAnsi" w:hAnsiTheme="minorHAnsi" w:cstheme="minorHAnsi"/>
          <w:sz w:val="26"/>
          <w:szCs w:val="26"/>
        </w:rPr>
        <w:t xml:space="preserve">the said property </w:t>
      </w:r>
      <w:r w:rsidR="00FC097B">
        <w:rPr>
          <w:rFonts w:asciiTheme="minorHAnsi" w:hAnsiTheme="minorHAnsi" w:cstheme="minorHAnsi"/>
          <w:sz w:val="26"/>
          <w:szCs w:val="26"/>
        </w:rPr>
        <w:t xml:space="preserve">was ‘shielded’ from creditors in </w:t>
      </w:r>
      <w:r>
        <w:rPr>
          <w:rFonts w:asciiTheme="minorHAnsi" w:hAnsiTheme="minorHAnsi" w:cstheme="minorHAnsi"/>
          <w:sz w:val="26"/>
          <w:szCs w:val="26"/>
        </w:rPr>
        <w:t>the insolvent’s</w:t>
      </w:r>
      <w:r w:rsidR="00FC097B">
        <w:rPr>
          <w:rFonts w:asciiTheme="minorHAnsi" w:hAnsiTheme="minorHAnsi" w:cstheme="minorHAnsi"/>
          <w:sz w:val="26"/>
          <w:szCs w:val="26"/>
        </w:rPr>
        <w:t xml:space="preserve"> estate through registration in the applicant’s name.</w:t>
      </w:r>
    </w:p>
    <w:p w:rsidR="00582FA9" w:rsidRPr="00582FA9" w:rsidRDefault="00582FA9" w:rsidP="00582FA9">
      <w:pPr>
        <w:pStyle w:val="ListParagraph"/>
        <w:rPr>
          <w:rFonts w:asciiTheme="minorHAnsi" w:hAnsiTheme="minorHAnsi" w:cstheme="minorHAnsi"/>
          <w:sz w:val="26"/>
          <w:szCs w:val="26"/>
        </w:rPr>
      </w:pPr>
    </w:p>
    <w:p w:rsidR="00F25C2A" w:rsidRPr="00BF28FD" w:rsidRDefault="0034228E" w:rsidP="0034228E">
      <w:pPr>
        <w:pStyle w:val="ListParagraph"/>
        <w:numPr>
          <w:ilvl w:val="0"/>
          <w:numId w:val="3"/>
        </w:numPr>
        <w:spacing w:after="200" w:line="360" w:lineRule="auto"/>
        <w:jc w:val="both"/>
        <w:rPr>
          <w:rFonts w:asciiTheme="minorHAnsi" w:hAnsiTheme="minorHAnsi" w:cstheme="minorHAnsi"/>
          <w:sz w:val="26"/>
          <w:szCs w:val="26"/>
        </w:rPr>
      </w:pPr>
      <w:r w:rsidRPr="00BF28FD">
        <w:rPr>
          <w:rFonts w:asciiTheme="minorHAnsi" w:hAnsiTheme="minorHAnsi" w:cstheme="minorHAnsi"/>
          <w:sz w:val="26"/>
          <w:szCs w:val="26"/>
        </w:rPr>
        <w:t xml:space="preserve">The </w:t>
      </w:r>
      <w:r w:rsidR="00FC097B" w:rsidRPr="00BF28FD">
        <w:rPr>
          <w:rFonts w:asciiTheme="minorHAnsi" w:hAnsiTheme="minorHAnsi" w:cstheme="minorHAnsi"/>
          <w:sz w:val="26"/>
          <w:szCs w:val="26"/>
        </w:rPr>
        <w:t xml:space="preserve">conclusions </w:t>
      </w:r>
      <w:r w:rsidR="00EA4B5E" w:rsidRPr="00BF28FD">
        <w:rPr>
          <w:rFonts w:asciiTheme="minorHAnsi" w:hAnsiTheme="minorHAnsi" w:cstheme="minorHAnsi"/>
          <w:sz w:val="26"/>
          <w:szCs w:val="26"/>
        </w:rPr>
        <w:t>sought to be drawn by the respondents</w:t>
      </w:r>
      <w:r w:rsidR="00FC097B" w:rsidRPr="00BF28FD">
        <w:rPr>
          <w:rFonts w:asciiTheme="minorHAnsi" w:hAnsiTheme="minorHAnsi" w:cstheme="minorHAnsi"/>
          <w:sz w:val="26"/>
          <w:szCs w:val="26"/>
        </w:rPr>
        <w:t xml:space="preserve"> are not </w:t>
      </w:r>
      <w:r w:rsidRPr="00BF28FD">
        <w:rPr>
          <w:rFonts w:asciiTheme="minorHAnsi" w:hAnsiTheme="minorHAnsi" w:cstheme="minorHAnsi"/>
          <w:sz w:val="26"/>
          <w:szCs w:val="26"/>
        </w:rPr>
        <w:t xml:space="preserve">factually </w:t>
      </w:r>
      <w:r w:rsidR="00FC097B" w:rsidRPr="00BF28FD">
        <w:rPr>
          <w:rFonts w:asciiTheme="minorHAnsi" w:hAnsiTheme="minorHAnsi" w:cstheme="minorHAnsi"/>
          <w:sz w:val="26"/>
          <w:szCs w:val="26"/>
        </w:rPr>
        <w:t>sustainable</w:t>
      </w:r>
      <w:r w:rsidR="00EA4B5E" w:rsidRPr="00BF28FD">
        <w:rPr>
          <w:rFonts w:asciiTheme="minorHAnsi" w:hAnsiTheme="minorHAnsi" w:cstheme="minorHAnsi"/>
          <w:sz w:val="26"/>
          <w:szCs w:val="26"/>
        </w:rPr>
        <w:t xml:space="preserve"> and are at best, largely speculative.</w:t>
      </w:r>
      <w:r w:rsidR="00FC097B" w:rsidRPr="00BF28FD">
        <w:rPr>
          <w:rFonts w:asciiTheme="minorHAnsi" w:hAnsiTheme="minorHAnsi" w:cstheme="minorHAnsi"/>
          <w:sz w:val="26"/>
          <w:szCs w:val="26"/>
        </w:rPr>
        <w:t xml:space="preserve"> Firstly, the explanation tendered by the applicant that she no longer has proof of payment </w:t>
      </w:r>
      <w:r w:rsidR="00EA4B5E" w:rsidRPr="00BF28FD">
        <w:rPr>
          <w:rFonts w:asciiTheme="minorHAnsi" w:hAnsiTheme="minorHAnsi" w:cstheme="minorHAnsi"/>
          <w:sz w:val="26"/>
          <w:szCs w:val="26"/>
        </w:rPr>
        <w:t xml:space="preserve">by her of the purchase price </w:t>
      </w:r>
      <w:r w:rsidR="00FC097B" w:rsidRPr="00BF28FD">
        <w:rPr>
          <w:rFonts w:asciiTheme="minorHAnsi" w:hAnsiTheme="minorHAnsi" w:cstheme="minorHAnsi"/>
          <w:sz w:val="26"/>
          <w:szCs w:val="26"/>
        </w:rPr>
        <w:t>from her own resources</w:t>
      </w:r>
      <w:r w:rsidR="00EA4B5E" w:rsidRPr="00BF28FD">
        <w:rPr>
          <w:rFonts w:asciiTheme="minorHAnsi" w:hAnsiTheme="minorHAnsi" w:cstheme="minorHAnsi"/>
          <w:sz w:val="26"/>
          <w:szCs w:val="26"/>
        </w:rPr>
        <w:t>,</w:t>
      </w:r>
      <w:r w:rsidR="00FC097B" w:rsidRPr="00BF28FD">
        <w:rPr>
          <w:rFonts w:asciiTheme="minorHAnsi" w:hAnsiTheme="minorHAnsi" w:cstheme="minorHAnsi"/>
          <w:sz w:val="26"/>
          <w:szCs w:val="26"/>
        </w:rPr>
        <w:t xml:space="preserve"> </w:t>
      </w:r>
      <w:r w:rsidR="00EA4B5E" w:rsidRPr="00BF28FD">
        <w:rPr>
          <w:rFonts w:asciiTheme="minorHAnsi" w:hAnsiTheme="minorHAnsi" w:cstheme="minorHAnsi"/>
          <w:sz w:val="26"/>
          <w:szCs w:val="26"/>
        </w:rPr>
        <w:t>given that this occurred some</w:t>
      </w:r>
      <w:r w:rsidR="00FC097B" w:rsidRPr="00BF28FD">
        <w:rPr>
          <w:rFonts w:asciiTheme="minorHAnsi" w:hAnsiTheme="minorHAnsi" w:cstheme="minorHAnsi"/>
          <w:sz w:val="26"/>
          <w:szCs w:val="26"/>
        </w:rPr>
        <w:t xml:space="preserve"> 18 years ago</w:t>
      </w:r>
      <w:r w:rsidR="00EA4B5E" w:rsidRPr="00BF28FD">
        <w:rPr>
          <w:rFonts w:asciiTheme="minorHAnsi" w:hAnsiTheme="minorHAnsi" w:cstheme="minorHAnsi"/>
          <w:sz w:val="26"/>
          <w:szCs w:val="26"/>
        </w:rPr>
        <w:t>,</w:t>
      </w:r>
      <w:r w:rsidR="00FC097B" w:rsidRPr="00BF28FD">
        <w:rPr>
          <w:rFonts w:asciiTheme="minorHAnsi" w:hAnsiTheme="minorHAnsi" w:cstheme="minorHAnsi"/>
          <w:sz w:val="26"/>
          <w:szCs w:val="26"/>
        </w:rPr>
        <w:t xml:space="preserve"> is </w:t>
      </w:r>
      <w:r w:rsidR="00684DA4" w:rsidRPr="00BF28FD">
        <w:rPr>
          <w:rFonts w:asciiTheme="minorHAnsi" w:hAnsiTheme="minorHAnsi" w:cstheme="minorHAnsi"/>
          <w:sz w:val="26"/>
          <w:szCs w:val="26"/>
        </w:rPr>
        <w:t xml:space="preserve">in my view </w:t>
      </w:r>
      <w:r w:rsidR="00FC097B" w:rsidRPr="00BF28FD">
        <w:rPr>
          <w:rFonts w:asciiTheme="minorHAnsi" w:hAnsiTheme="minorHAnsi" w:cstheme="minorHAnsi"/>
          <w:sz w:val="26"/>
          <w:szCs w:val="26"/>
        </w:rPr>
        <w:t>perfectly reasonable</w:t>
      </w:r>
      <w:r w:rsidR="00684DA4" w:rsidRPr="00BF28FD">
        <w:rPr>
          <w:rFonts w:asciiTheme="minorHAnsi" w:hAnsiTheme="minorHAnsi" w:cstheme="minorHAnsi"/>
          <w:sz w:val="26"/>
          <w:szCs w:val="26"/>
        </w:rPr>
        <w:t>.</w:t>
      </w:r>
      <w:r w:rsidR="00FC097B" w:rsidRPr="00BF28FD">
        <w:rPr>
          <w:rFonts w:asciiTheme="minorHAnsi" w:hAnsiTheme="minorHAnsi" w:cstheme="minorHAnsi"/>
          <w:sz w:val="26"/>
          <w:szCs w:val="26"/>
        </w:rPr>
        <w:t xml:space="preserve"> Eighteen years ago</w:t>
      </w:r>
      <w:r w:rsidR="00EA4B5E" w:rsidRPr="00BF28FD">
        <w:rPr>
          <w:rFonts w:asciiTheme="minorHAnsi" w:hAnsiTheme="minorHAnsi" w:cstheme="minorHAnsi"/>
          <w:sz w:val="26"/>
          <w:szCs w:val="26"/>
        </w:rPr>
        <w:t>,</w:t>
      </w:r>
      <w:r w:rsidR="00FC097B" w:rsidRPr="00BF28FD">
        <w:rPr>
          <w:rFonts w:asciiTheme="minorHAnsi" w:hAnsiTheme="minorHAnsi" w:cstheme="minorHAnsi"/>
          <w:sz w:val="26"/>
          <w:szCs w:val="26"/>
        </w:rPr>
        <w:t xml:space="preserve"> the sequestration of the insolvent’s estate </w:t>
      </w:r>
      <w:r w:rsidR="00EA4B5E" w:rsidRPr="00BF28FD">
        <w:rPr>
          <w:rFonts w:asciiTheme="minorHAnsi" w:hAnsiTheme="minorHAnsi" w:cstheme="minorHAnsi"/>
          <w:sz w:val="26"/>
          <w:szCs w:val="26"/>
        </w:rPr>
        <w:t>could</w:t>
      </w:r>
      <w:r w:rsidR="00FC097B" w:rsidRPr="00BF28FD">
        <w:rPr>
          <w:rFonts w:asciiTheme="minorHAnsi" w:hAnsiTheme="minorHAnsi" w:cstheme="minorHAnsi"/>
          <w:sz w:val="26"/>
          <w:szCs w:val="26"/>
        </w:rPr>
        <w:t xml:space="preserve"> hardly </w:t>
      </w:r>
      <w:r w:rsidR="00EA4B5E" w:rsidRPr="00BF28FD">
        <w:rPr>
          <w:rFonts w:asciiTheme="minorHAnsi" w:hAnsiTheme="minorHAnsi" w:cstheme="minorHAnsi"/>
          <w:sz w:val="26"/>
          <w:szCs w:val="26"/>
        </w:rPr>
        <w:t xml:space="preserve">have been </w:t>
      </w:r>
      <w:r w:rsidR="00684DA4" w:rsidRPr="00BF28FD">
        <w:rPr>
          <w:rFonts w:asciiTheme="minorHAnsi" w:hAnsiTheme="minorHAnsi" w:cstheme="minorHAnsi"/>
          <w:sz w:val="26"/>
          <w:szCs w:val="26"/>
        </w:rPr>
        <w:t>in the contemplation of the applicant and the insolvent</w:t>
      </w:r>
      <w:r w:rsidR="00FC097B" w:rsidRPr="00BF28FD">
        <w:rPr>
          <w:rFonts w:asciiTheme="minorHAnsi" w:hAnsiTheme="minorHAnsi" w:cstheme="minorHAnsi"/>
          <w:sz w:val="26"/>
          <w:szCs w:val="26"/>
        </w:rPr>
        <w:t>. Secondly, one cannot reason that because the insolvent contr</w:t>
      </w:r>
      <w:r w:rsidR="00EA4B5E" w:rsidRPr="00BF28FD">
        <w:rPr>
          <w:rFonts w:asciiTheme="minorHAnsi" w:hAnsiTheme="minorHAnsi" w:cstheme="minorHAnsi"/>
          <w:sz w:val="26"/>
          <w:szCs w:val="26"/>
        </w:rPr>
        <w:t>ibuted during some months</w:t>
      </w:r>
      <w:r w:rsidR="00684DA4" w:rsidRPr="00BF28FD">
        <w:rPr>
          <w:rFonts w:asciiTheme="minorHAnsi" w:hAnsiTheme="minorHAnsi" w:cstheme="minorHAnsi"/>
          <w:sz w:val="26"/>
          <w:szCs w:val="26"/>
        </w:rPr>
        <w:t xml:space="preserve"> </w:t>
      </w:r>
      <w:r w:rsidR="003614B9" w:rsidRPr="00BF28FD">
        <w:rPr>
          <w:rFonts w:asciiTheme="minorHAnsi" w:hAnsiTheme="minorHAnsi" w:cstheme="minorHAnsi"/>
          <w:sz w:val="26"/>
          <w:szCs w:val="26"/>
        </w:rPr>
        <w:t>over</w:t>
      </w:r>
      <w:r w:rsidR="007E3BF8">
        <w:rPr>
          <w:rFonts w:asciiTheme="minorHAnsi" w:hAnsiTheme="minorHAnsi" w:cstheme="minorHAnsi"/>
          <w:sz w:val="26"/>
          <w:szCs w:val="26"/>
        </w:rPr>
        <w:t xml:space="preserve"> </w:t>
      </w:r>
      <w:r w:rsidR="00684DA4" w:rsidRPr="00BF28FD">
        <w:rPr>
          <w:rFonts w:asciiTheme="minorHAnsi" w:hAnsiTheme="minorHAnsi" w:cstheme="minorHAnsi"/>
          <w:sz w:val="26"/>
          <w:szCs w:val="26"/>
        </w:rPr>
        <w:t>a three year period</w:t>
      </w:r>
      <w:r w:rsidR="00EA4B5E" w:rsidRPr="00BF28FD">
        <w:rPr>
          <w:rFonts w:asciiTheme="minorHAnsi" w:hAnsiTheme="minorHAnsi" w:cstheme="minorHAnsi"/>
          <w:sz w:val="26"/>
          <w:szCs w:val="26"/>
        </w:rPr>
        <w:t xml:space="preserve"> to the repayment of the </w:t>
      </w:r>
      <w:r w:rsidR="00FC097B" w:rsidRPr="00BF28FD">
        <w:rPr>
          <w:rFonts w:asciiTheme="minorHAnsi" w:hAnsiTheme="minorHAnsi" w:cstheme="minorHAnsi"/>
          <w:sz w:val="26"/>
          <w:szCs w:val="26"/>
        </w:rPr>
        <w:t>bond</w:t>
      </w:r>
      <w:r w:rsidR="00EA4B5E" w:rsidRPr="00BF28FD">
        <w:rPr>
          <w:rFonts w:asciiTheme="minorHAnsi" w:hAnsiTheme="minorHAnsi" w:cstheme="minorHAnsi"/>
          <w:sz w:val="26"/>
          <w:szCs w:val="26"/>
        </w:rPr>
        <w:t>,</w:t>
      </w:r>
      <w:r w:rsidR="00FC097B" w:rsidRPr="00BF28FD">
        <w:rPr>
          <w:rFonts w:asciiTheme="minorHAnsi" w:hAnsiTheme="minorHAnsi" w:cstheme="minorHAnsi"/>
          <w:sz w:val="26"/>
          <w:szCs w:val="26"/>
        </w:rPr>
        <w:t xml:space="preserve"> </w:t>
      </w:r>
      <w:r w:rsidR="00EA4B5E" w:rsidRPr="00BF28FD">
        <w:rPr>
          <w:rFonts w:asciiTheme="minorHAnsi" w:hAnsiTheme="minorHAnsi" w:cstheme="minorHAnsi"/>
          <w:sz w:val="26"/>
          <w:szCs w:val="26"/>
        </w:rPr>
        <w:t>that the property was therefore paid for by him or belongs to him. The applicant explained that during a period of illness</w:t>
      </w:r>
      <w:r w:rsidR="00684DA4" w:rsidRPr="00BF28FD">
        <w:rPr>
          <w:rFonts w:asciiTheme="minorHAnsi" w:hAnsiTheme="minorHAnsi" w:cstheme="minorHAnsi"/>
          <w:sz w:val="26"/>
          <w:szCs w:val="26"/>
        </w:rPr>
        <w:t xml:space="preserve"> suffered</w:t>
      </w:r>
      <w:r w:rsidR="003614B9" w:rsidRPr="00BF28FD">
        <w:rPr>
          <w:rFonts w:asciiTheme="minorHAnsi" w:hAnsiTheme="minorHAnsi" w:cstheme="minorHAnsi"/>
          <w:sz w:val="26"/>
          <w:szCs w:val="26"/>
        </w:rPr>
        <w:t xml:space="preserve"> by her</w:t>
      </w:r>
      <w:r w:rsidR="00EA4B5E" w:rsidRPr="00BF28FD">
        <w:rPr>
          <w:rFonts w:asciiTheme="minorHAnsi" w:hAnsiTheme="minorHAnsi" w:cstheme="minorHAnsi"/>
          <w:sz w:val="26"/>
          <w:szCs w:val="26"/>
        </w:rPr>
        <w:t xml:space="preserve">, the respondent contributed towards payment of the monthly bond instalments, as one would </w:t>
      </w:r>
      <w:r w:rsidR="00BF28FD">
        <w:rPr>
          <w:rFonts w:asciiTheme="minorHAnsi" w:hAnsiTheme="minorHAnsi" w:cstheme="minorHAnsi"/>
          <w:sz w:val="26"/>
          <w:szCs w:val="26"/>
        </w:rPr>
        <w:t xml:space="preserve">ordinarily </w:t>
      </w:r>
      <w:r w:rsidR="00EA4B5E" w:rsidRPr="00BF28FD">
        <w:rPr>
          <w:rFonts w:asciiTheme="minorHAnsi" w:hAnsiTheme="minorHAnsi" w:cstheme="minorHAnsi"/>
          <w:sz w:val="26"/>
          <w:szCs w:val="26"/>
        </w:rPr>
        <w:t xml:space="preserve">expect to </w:t>
      </w:r>
      <w:r w:rsidR="00D91FAD">
        <w:rPr>
          <w:rFonts w:asciiTheme="minorHAnsi" w:hAnsiTheme="minorHAnsi" w:cstheme="minorHAnsi"/>
          <w:sz w:val="26"/>
          <w:szCs w:val="26"/>
        </w:rPr>
        <w:t>occur</w:t>
      </w:r>
      <w:r w:rsidR="00EA4B5E" w:rsidRPr="00BF28FD">
        <w:rPr>
          <w:rFonts w:asciiTheme="minorHAnsi" w:hAnsiTheme="minorHAnsi" w:cstheme="minorHAnsi"/>
          <w:sz w:val="26"/>
          <w:szCs w:val="26"/>
        </w:rPr>
        <w:t xml:space="preserve">, given the insolvent’s common law duty of support towards his wife. </w:t>
      </w:r>
      <w:r w:rsidR="00684DA4" w:rsidRPr="00BF28FD">
        <w:rPr>
          <w:rFonts w:asciiTheme="minorHAnsi" w:hAnsiTheme="minorHAnsi" w:cstheme="minorHAnsi"/>
          <w:sz w:val="26"/>
          <w:szCs w:val="26"/>
        </w:rPr>
        <w:t xml:space="preserve">The mere fact that the insolvent contributed towards the repayment of the bond liability did not and could not confer upon him a real right of ownership in the property. </w:t>
      </w:r>
      <w:r w:rsidR="00EA4B5E" w:rsidRPr="00BF28FD">
        <w:rPr>
          <w:rFonts w:asciiTheme="minorHAnsi" w:hAnsiTheme="minorHAnsi" w:cstheme="minorHAnsi"/>
          <w:sz w:val="26"/>
          <w:szCs w:val="26"/>
        </w:rPr>
        <w:t xml:space="preserve">Thirdly, </w:t>
      </w:r>
      <w:r w:rsidR="00684DA4" w:rsidRPr="00BF28FD">
        <w:rPr>
          <w:rFonts w:asciiTheme="minorHAnsi" w:hAnsiTheme="minorHAnsi" w:cstheme="minorHAnsi"/>
          <w:sz w:val="26"/>
          <w:szCs w:val="26"/>
        </w:rPr>
        <w:t xml:space="preserve">the applicant would likely </w:t>
      </w:r>
      <w:r w:rsidR="0011799E">
        <w:rPr>
          <w:rFonts w:asciiTheme="minorHAnsi" w:hAnsiTheme="minorHAnsi" w:cstheme="minorHAnsi"/>
          <w:sz w:val="26"/>
          <w:szCs w:val="26"/>
        </w:rPr>
        <w:t xml:space="preserve">not </w:t>
      </w:r>
      <w:r w:rsidR="00684DA4" w:rsidRPr="00BF28FD">
        <w:rPr>
          <w:rFonts w:asciiTheme="minorHAnsi" w:hAnsiTheme="minorHAnsi" w:cstheme="minorHAnsi"/>
          <w:sz w:val="26"/>
          <w:szCs w:val="26"/>
        </w:rPr>
        <w:t xml:space="preserve">have obtained registration of transfer the property into her name unless </w:t>
      </w:r>
      <w:r w:rsidR="00BF28FD">
        <w:rPr>
          <w:rFonts w:asciiTheme="minorHAnsi" w:hAnsiTheme="minorHAnsi" w:cstheme="minorHAnsi"/>
          <w:sz w:val="26"/>
          <w:szCs w:val="26"/>
        </w:rPr>
        <w:t xml:space="preserve">the purchase price </w:t>
      </w:r>
      <w:r w:rsidR="00D00DC8">
        <w:rPr>
          <w:rFonts w:asciiTheme="minorHAnsi" w:hAnsiTheme="minorHAnsi" w:cstheme="minorHAnsi"/>
          <w:sz w:val="26"/>
          <w:szCs w:val="26"/>
        </w:rPr>
        <w:t>had been</w:t>
      </w:r>
      <w:r w:rsidR="00BF28FD">
        <w:rPr>
          <w:rFonts w:asciiTheme="minorHAnsi" w:hAnsiTheme="minorHAnsi" w:cstheme="minorHAnsi"/>
          <w:sz w:val="26"/>
          <w:szCs w:val="26"/>
        </w:rPr>
        <w:t xml:space="preserve"> paid</w:t>
      </w:r>
      <w:r w:rsidR="00655CCC">
        <w:rPr>
          <w:rFonts w:asciiTheme="minorHAnsi" w:hAnsiTheme="minorHAnsi" w:cstheme="minorHAnsi"/>
          <w:sz w:val="26"/>
          <w:szCs w:val="26"/>
        </w:rPr>
        <w:t xml:space="preserve"> or </w:t>
      </w:r>
      <w:r w:rsidR="00401CAE">
        <w:rPr>
          <w:rFonts w:asciiTheme="minorHAnsi" w:hAnsiTheme="minorHAnsi" w:cstheme="minorHAnsi"/>
          <w:sz w:val="26"/>
          <w:szCs w:val="26"/>
        </w:rPr>
        <w:t xml:space="preserve">its </w:t>
      </w:r>
      <w:r w:rsidR="00655CCC">
        <w:rPr>
          <w:rFonts w:asciiTheme="minorHAnsi" w:hAnsiTheme="minorHAnsi" w:cstheme="minorHAnsi"/>
          <w:sz w:val="26"/>
          <w:szCs w:val="26"/>
        </w:rPr>
        <w:t>payment secured</w:t>
      </w:r>
      <w:r w:rsidR="00D00DC8">
        <w:rPr>
          <w:rFonts w:asciiTheme="minorHAnsi" w:hAnsiTheme="minorHAnsi" w:cstheme="minorHAnsi"/>
          <w:sz w:val="26"/>
          <w:szCs w:val="26"/>
        </w:rPr>
        <w:t xml:space="preserve">. </w:t>
      </w:r>
      <w:r w:rsidR="00655CCC">
        <w:rPr>
          <w:rFonts w:asciiTheme="minorHAnsi" w:hAnsiTheme="minorHAnsi" w:cstheme="minorHAnsi"/>
          <w:sz w:val="26"/>
          <w:szCs w:val="26"/>
        </w:rPr>
        <w:t xml:space="preserve">There is no mention </w:t>
      </w:r>
      <w:r w:rsidR="00D00DC8">
        <w:rPr>
          <w:rFonts w:asciiTheme="minorHAnsi" w:hAnsiTheme="minorHAnsi" w:cstheme="minorHAnsi"/>
          <w:sz w:val="26"/>
          <w:szCs w:val="26"/>
        </w:rPr>
        <w:t xml:space="preserve">in the papers that the applicant sought or obtained a loan in order to fund the purchase price. </w:t>
      </w:r>
      <w:r w:rsidR="00864C9F">
        <w:rPr>
          <w:rFonts w:asciiTheme="minorHAnsi" w:hAnsiTheme="minorHAnsi" w:cstheme="minorHAnsi"/>
          <w:sz w:val="26"/>
          <w:szCs w:val="26"/>
        </w:rPr>
        <w:t>Rather, a</w:t>
      </w:r>
      <w:r w:rsidR="00684DA4" w:rsidRPr="00BF28FD">
        <w:rPr>
          <w:rFonts w:asciiTheme="minorHAnsi" w:hAnsiTheme="minorHAnsi" w:cstheme="minorHAnsi"/>
          <w:sz w:val="26"/>
          <w:szCs w:val="26"/>
        </w:rPr>
        <w:t xml:space="preserve"> bond was only registered against the property some three years after </w:t>
      </w:r>
      <w:r w:rsidR="00655CCC">
        <w:rPr>
          <w:rFonts w:asciiTheme="minorHAnsi" w:hAnsiTheme="minorHAnsi" w:cstheme="minorHAnsi"/>
          <w:sz w:val="26"/>
          <w:szCs w:val="26"/>
        </w:rPr>
        <w:t>the property</w:t>
      </w:r>
      <w:r w:rsidR="00684DA4" w:rsidRPr="00BF28FD">
        <w:rPr>
          <w:rFonts w:asciiTheme="minorHAnsi" w:hAnsiTheme="minorHAnsi" w:cstheme="minorHAnsi"/>
          <w:sz w:val="26"/>
          <w:szCs w:val="26"/>
        </w:rPr>
        <w:t xml:space="preserve"> was purchased for purposes of securing a loan </w:t>
      </w:r>
      <w:r w:rsidR="002E0691">
        <w:rPr>
          <w:rFonts w:asciiTheme="minorHAnsi" w:hAnsiTheme="minorHAnsi" w:cstheme="minorHAnsi"/>
          <w:sz w:val="26"/>
          <w:szCs w:val="26"/>
        </w:rPr>
        <w:t xml:space="preserve">obtained </w:t>
      </w:r>
      <w:r w:rsidR="00684DA4" w:rsidRPr="00BF28FD">
        <w:rPr>
          <w:rFonts w:asciiTheme="minorHAnsi" w:hAnsiTheme="minorHAnsi" w:cstheme="minorHAnsi"/>
          <w:sz w:val="26"/>
          <w:szCs w:val="26"/>
        </w:rPr>
        <w:t>from the bank</w:t>
      </w:r>
      <w:r w:rsidR="00BF28FD">
        <w:rPr>
          <w:rFonts w:asciiTheme="minorHAnsi" w:hAnsiTheme="minorHAnsi" w:cstheme="minorHAnsi"/>
          <w:sz w:val="26"/>
          <w:szCs w:val="26"/>
        </w:rPr>
        <w:t xml:space="preserve">. </w:t>
      </w:r>
    </w:p>
    <w:p w:rsidR="00F25C2A" w:rsidRDefault="00F25C2A" w:rsidP="00F25C2A">
      <w:pPr>
        <w:pStyle w:val="ListParagraph"/>
        <w:rPr>
          <w:rFonts w:asciiTheme="minorHAnsi" w:hAnsiTheme="minorHAnsi" w:cstheme="minorHAnsi"/>
          <w:sz w:val="26"/>
          <w:szCs w:val="26"/>
        </w:rPr>
      </w:pPr>
    </w:p>
    <w:p w:rsidR="0034228E" w:rsidRDefault="00684DA4" w:rsidP="0034228E">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There is no reason for me to disbelieve the applicant’s evidence</w:t>
      </w:r>
      <w:r w:rsidR="00FC15D7">
        <w:rPr>
          <w:rFonts w:asciiTheme="minorHAnsi" w:hAnsiTheme="minorHAnsi" w:cstheme="minorHAnsi"/>
          <w:sz w:val="26"/>
          <w:szCs w:val="26"/>
        </w:rPr>
        <w:t>, namely,</w:t>
      </w:r>
      <w:r>
        <w:rPr>
          <w:rFonts w:asciiTheme="minorHAnsi" w:hAnsiTheme="minorHAnsi" w:cstheme="minorHAnsi"/>
          <w:sz w:val="26"/>
          <w:szCs w:val="26"/>
        </w:rPr>
        <w:t xml:space="preserve"> </w:t>
      </w:r>
      <w:r w:rsidR="00F25C2A">
        <w:rPr>
          <w:rFonts w:asciiTheme="minorHAnsi" w:hAnsiTheme="minorHAnsi" w:cstheme="minorHAnsi"/>
          <w:sz w:val="26"/>
          <w:szCs w:val="26"/>
        </w:rPr>
        <w:t>that</w:t>
      </w:r>
      <w:r>
        <w:rPr>
          <w:rFonts w:asciiTheme="minorHAnsi" w:hAnsiTheme="minorHAnsi" w:cstheme="minorHAnsi"/>
          <w:sz w:val="26"/>
          <w:szCs w:val="26"/>
        </w:rPr>
        <w:t xml:space="preserve"> she paid for the property</w:t>
      </w:r>
      <w:r w:rsidR="00F25C2A">
        <w:rPr>
          <w:rFonts w:asciiTheme="minorHAnsi" w:hAnsiTheme="minorHAnsi" w:cstheme="minorHAnsi"/>
          <w:sz w:val="26"/>
          <w:szCs w:val="26"/>
        </w:rPr>
        <w:t xml:space="preserve"> purchased by her </w:t>
      </w:r>
      <w:r w:rsidR="00FC15D7">
        <w:rPr>
          <w:rFonts w:asciiTheme="minorHAnsi" w:hAnsiTheme="minorHAnsi" w:cstheme="minorHAnsi"/>
          <w:sz w:val="26"/>
          <w:szCs w:val="26"/>
        </w:rPr>
        <w:t xml:space="preserve">some </w:t>
      </w:r>
      <w:r w:rsidR="00F25C2A">
        <w:rPr>
          <w:rFonts w:asciiTheme="minorHAnsi" w:hAnsiTheme="minorHAnsi" w:cstheme="minorHAnsi"/>
          <w:sz w:val="26"/>
          <w:szCs w:val="26"/>
        </w:rPr>
        <w:t>eighteen years ago</w:t>
      </w:r>
      <w:r w:rsidR="00FC15D7">
        <w:rPr>
          <w:rFonts w:asciiTheme="minorHAnsi" w:hAnsiTheme="minorHAnsi" w:cstheme="minorHAnsi"/>
          <w:sz w:val="26"/>
          <w:szCs w:val="26"/>
        </w:rPr>
        <w:t xml:space="preserve"> with her own funds</w:t>
      </w:r>
      <w:r w:rsidR="00BF28FD">
        <w:rPr>
          <w:rFonts w:asciiTheme="minorHAnsi" w:hAnsiTheme="minorHAnsi" w:cstheme="minorHAnsi"/>
          <w:sz w:val="26"/>
          <w:szCs w:val="26"/>
        </w:rPr>
        <w:t>.</w:t>
      </w:r>
      <w:r w:rsidR="00FC15D7">
        <w:rPr>
          <w:rFonts w:asciiTheme="minorHAnsi" w:hAnsiTheme="minorHAnsi" w:cstheme="minorHAnsi"/>
          <w:sz w:val="26"/>
          <w:szCs w:val="26"/>
        </w:rPr>
        <w:t xml:space="preserve"> </w:t>
      </w:r>
      <w:r>
        <w:rPr>
          <w:rFonts w:asciiTheme="minorHAnsi" w:hAnsiTheme="minorHAnsi" w:cstheme="minorHAnsi"/>
          <w:sz w:val="26"/>
          <w:szCs w:val="26"/>
        </w:rPr>
        <w:t xml:space="preserve">The respondents ultimately have no knowledge of whether or not the applicant paid </w:t>
      </w:r>
      <w:r w:rsidR="00BF28FD">
        <w:rPr>
          <w:rFonts w:asciiTheme="minorHAnsi" w:hAnsiTheme="minorHAnsi" w:cstheme="minorHAnsi"/>
          <w:sz w:val="26"/>
          <w:szCs w:val="26"/>
        </w:rPr>
        <w:t>for the property</w:t>
      </w:r>
      <w:r>
        <w:rPr>
          <w:rFonts w:asciiTheme="minorHAnsi" w:hAnsiTheme="minorHAnsi" w:cstheme="minorHAnsi"/>
          <w:sz w:val="26"/>
          <w:szCs w:val="26"/>
        </w:rPr>
        <w:t xml:space="preserve"> in 2001 </w:t>
      </w:r>
      <w:r w:rsidR="00FC15D7">
        <w:rPr>
          <w:rFonts w:asciiTheme="minorHAnsi" w:hAnsiTheme="minorHAnsi" w:cstheme="minorHAnsi"/>
          <w:sz w:val="26"/>
          <w:szCs w:val="26"/>
        </w:rPr>
        <w:t xml:space="preserve">with her own </w:t>
      </w:r>
      <w:r w:rsidR="00655CCC">
        <w:rPr>
          <w:rFonts w:asciiTheme="minorHAnsi" w:hAnsiTheme="minorHAnsi" w:cstheme="minorHAnsi"/>
          <w:sz w:val="26"/>
          <w:szCs w:val="26"/>
        </w:rPr>
        <w:t>funds</w:t>
      </w:r>
      <w:r w:rsidR="00F25C2A">
        <w:rPr>
          <w:rFonts w:asciiTheme="minorHAnsi" w:hAnsiTheme="minorHAnsi" w:cstheme="minorHAnsi"/>
          <w:sz w:val="26"/>
          <w:szCs w:val="26"/>
        </w:rPr>
        <w:t xml:space="preserve">, </w:t>
      </w:r>
      <w:r w:rsidR="00D9570B">
        <w:rPr>
          <w:rFonts w:asciiTheme="minorHAnsi" w:hAnsiTheme="minorHAnsi" w:cstheme="minorHAnsi"/>
          <w:sz w:val="26"/>
          <w:szCs w:val="26"/>
        </w:rPr>
        <w:t>in circumstances where</w:t>
      </w:r>
      <w:r w:rsidR="00F25C2A">
        <w:rPr>
          <w:rFonts w:asciiTheme="minorHAnsi" w:hAnsiTheme="minorHAnsi" w:cstheme="minorHAnsi"/>
          <w:sz w:val="26"/>
          <w:szCs w:val="26"/>
        </w:rPr>
        <w:t xml:space="preserve"> her unrefuted version is that she had other movable and immovable assets and </w:t>
      </w:r>
      <w:r w:rsidR="00D9570B">
        <w:rPr>
          <w:rFonts w:asciiTheme="minorHAnsi" w:hAnsiTheme="minorHAnsi" w:cstheme="minorHAnsi"/>
          <w:sz w:val="26"/>
          <w:szCs w:val="26"/>
        </w:rPr>
        <w:t xml:space="preserve">even other </w:t>
      </w:r>
      <w:r w:rsidR="00F25C2A">
        <w:rPr>
          <w:rFonts w:asciiTheme="minorHAnsi" w:hAnsiTheme="minorHAnsi" w:cstheme="minorHAnsi"/>
          <w:sz w:val="26"/>
          <w:szCs w:val="26"/>
        </w:rPr>
        <w:t xml:space="preserve">sources of income (aside from her salaried employment at the time) with which to fund the purchase price of the property. This evidence </w:t>
      </w:r>
      <w:r>
        <w:rPr>
          <w:rFonts w:asciiTheme="minorHAnsi" w:hAnsiTheme="minorHAnsi" w:cstheme="minorHAnsi"/>
          <w:sz w:val="26"/>
          <w:szCs w:val="26"/>
        </w:rPr>
        <w:t xml:space="preserve">cannot </w:t>
      </w:r>
      <w:r w:rsidR="00F25C2A">
        <w:rPr>
          <w:rFonts w:asciiTheme="minorHAnsi" w:hAnsiTheme="minorHAnsi" w:cstheme="minorHAnsi"/>
          <w:sz w:val="26"/>
          <w:szCs w:val="26"/>
        </w:rPr>
        <w:t>be refuted</w:t>
      </w:r>
      <w:r w:rsidR="0074378C">
        <w:rPr>
          <w:rFonts w:asciiTheme="minorHAnsi" w:hAnsiTheme="minorHAnsi" w:cstheme="minorHAnsi"/>
          <w:sz w:val="26"/>
          <w:szCs w:val="26"/>
        </w:rPr>
        <w:t>,</w:t>
      </w:r>
      <w:r w:rsidR="00F25C2A">
        <w:rPr>
          <w:rFonts w:asciiTheme="minorHAnsi" w:hAnsiTheme="minorHAnsi" w:cstheme="minorHAnsi"/>
          <w:sz w:val="26"/>
          <w:szCs w:val="26"/>
        </w:rPr>
        <w:t xml:space="preserve"> precisely because the respondents have no knowledge about what took place</w:t>
      </w:r>
      <w:r w:rsidR="00BF28FD">
        <w:rPr>
          <w:rFonts w:asciiTheme="minorHAnsi" w:hAnsiTheme="minorHAnsi" w:cstheme="minorHAnsi"/>
          <w:sz w:val="26"/>
          <w:szCs w:val="26"/>
        </w:rPr>
        <w:t xml:space="preserve"> some </w:t>
      </w:r>
      <w:r w:rsidR="00F25C2A">
        <w:rPr>
          <w:rFonts w:asciiTheme="minorHAnsi" w:hAnsiTheme="minorHAnsi" w:cstheme="minorHAnsi"/>
          <w:sz w:val="26"/>
          <w:szCs w:val="26"/>
        </w:rPr>
        <w:t>18 years ago. At best, they have resorted to speculating</w:t>
      </w:r>
      <w:r w:rsidR="00FC15D7">
        <w:rPr>
          <w:rStyle w:val="FootnoteReference"/>
          <w:rFonts w:asciiTheme="minorHAnsi" w:hAnsiTheme="minorHAnsi" w:cstheme="minorHAnsi"/>
          <w:sz w:val="26"/>
          <w:szCs w:val="26"/>
        </w:rPr>
        <w:footnoteReference w:id="28"/>
      </w:r>
      <w:r w:rsidR="00F25C2A">
        <w:rPr>
          <w:rFonts w:asciiTheme="minorHAnsi" w:hAnsiTheme="minorHAnsi" w:cstheme="minorHAnsi"/>
          <w:sz w:val="26"/>
          <w:szCs w:val="26"/>
        </w:rPr>
        <w:t xml:space="preserve"> </w:t>
      </w:r>
      <w:r w:rsidR="00D9570B">
        <w:rPr>
          <w:rFonts w:asciiTheme="minorHAnsi" w:hAnsiTheme="minorHAnsi" w:cstheme="minorHAnsi"/>
          <w:sz w:val="26"/>
          <w:szCs w:val="26"/>
        </w:rPr>
        <w:t xml:space="preserve">or supposing </w:t>
      </w:r>
      <w:r w:rsidR="00F25C2A">
        <w:rPr>
          <w:rFonts w:asciiTheme="minorHAnsi" w:hAnsiTheme="minorHAnsi" w:cstheme="minorHAnsi"/>
          <w:sz w:val="26"/>
          <w:szCs w:val="26"/>
        </w:rPr>
        <w:t xml:space="preserve">about </w:t>
      </w:r>
      <w:r>
        <w:rPr>
          <w:rFonts w:asciiTheme="minorHAnsi" w:hAnsiTheme="minorHAnsi" w:cstheme="minorHAnsi"/>
          <w:sz w:val="26"/>
          <w:szCs w:val="26"/>
        </w:rPr>
        <w:t xml:space="preserve">what the applicant might or might not have been able to </w:t>
      </w:r>
      <w:r w:rsidR="00F25C2A">
        <w:rPr>
          <w:rFonts w:asciiTheme="minorHAnsi" w:hAnsiTheme="minorHAnsi" w:cstheme="minorHAnsi"/>
          <w:sz w:val="26"/>
          <w:szCs w:val="26"/>
        </w:rPr>
        <w:t>pay or did or did not pay.</w:t>
      </w:r>
      <w:r w:rsidR="00FC15D7">
        <w:rPr>
          <w:rFonts w:asciiTheme="minorHAnsi" w:hAnsiTheme="minorHAnsi" w:cstheme="minorHAnsi"/>
          <w:sz w:val="26"/>
          <w:szCs w:val="26"/>
        </w:rPr>
        <w:t xml:space="preserve"> Since the respondents did not avail themselves of the right to test the veracity of the applicant’s allegations </w:t>
      </w:r>
      <w:r w:rsidR="00655CCC">
        <w:rPr>
          <w:rFonts w:asciiTheme="minorHAnsi" w:hAnsiTheme="minorHAnsi" w:cstheme="minorHAnsi"/>
          <w:sz w:val="26"/>
          <w:szCs w:val="26"/>
        </w:rPr>
        <w:t>through</w:t>
      </w:r>
      <w:r w:rsidR="00FC15D7">
        <w:rPr>
          <w:rFonts w:asciiTheme="minorHAnsi" w:hAnsiTheme="minorHAnsi" w:cstheme="minorHAnsi"/>
          <w:sz w:val="26"/>
          <w:szCs w:val="26"/>
        </w:rPr>
        <w:t xml:space="preserve"> cross-examination</w:t>
      </w:r>
      <w:r w:rsidR="00BF28FD">
        <w:rPr>
          <w:rFonts w:asciiTheme="minorHAnsi" w:hAnsiTheme="minorHAnsi" w:cstheme="minorHAnsi"/>
          <w:sz w:val="26"/>
          <w:szCs w:val="26"/>
        </w:rPr>
        <w:t>,</w:t>
      </w:r>
      <w:r w:rsidR="00FC15D7">
        <w:rPr>
          <w:rFonts w:asciiTheme="minorHAnsi" w:hAnsiTheme="minorHAnsi" w:cstheme="minorHAnsi"/>
          <w:sz w:val="26"/>
          <w:szCs w:val="26"/>
        </w:rPr>
        <w:t xml:space="preserve"> by seeking the referral of this issue to oral evidence, I see no basis to reject the applicant’s evidence as </w:t>
      </w:r>
      <w:r w:rsidR="00BF28FD">
        <w:rPr>
          <w:rFonts w:asciiTheme="minorHAnsi" w:hAnsiTheme="minorHAnsi" w:cstheme="minorHAnsi"/>
          <w:sz w:val="26"/>
          <w:szCs w:val="26"/>
        </w:rPr>
        <w:t>uncreditworthy</w:t>
      </w:r>
      <w:r w:rsidR="00864C9F">
        <w:rPr>
          <w:rFonts w:asciiTheme="minorHAnsi" w:hAnsiTheme="minorHAnsi" w:cstheme="minorHAnsi"/>
          <w:sz w:val="26"/>
          <w:szCs w:val="26"/>
        </w:rPr>
        <w:t xml:space="preserve"> or false on paper.</w:t>
      </w:r>
      <w:r w:rsidR="00FC15D7">
        <w:rPr>
          <w:rFonts w:asciiTheme="minorHAnsi" w:hAnsiTheme="minorHAnsi" w:cstheme="minorHAnsi"/>
          <w:sz w:val="26"/>
          <w:szCs w:val="26"/>
        </w:rPr>
        <w:t xml:space="preserve"> </w:t>
      </w:r>
    </w:p>
    <w:p w:rsidR="0034228E" w:rsidRDefault="0034228E" w:rsidP="0091783B">
      <w:pPr>
        <w:pStyle w:val="ListParagraph"/>
        <w:rPr>
          <w:rFonts w:asciiTheme="minorHAnsi" w:hAnsiTheme="minorHAnsi" w:cstheme="minorHAnsi"/>
          <w:sz w:val="26"/>
          <w:szCs w:val="26"/>
        </w:rPr>
      </w:pPr>
    </w:p>
    <w:p w:rsidR="007E51B7" w:rsidRDefault="007E51B7" w:rsidP="0034228E">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so far as the respondents argue that although land registration generally proves ownership, it is not necessarily conclusive thereof,</w:t>
      </w:r>
      <w:r w:rsidR="00A31613" w:rsidRPr="00A31613">
        <w:rPr>
          <w:rStyle w:val="FootnoteReference"/>
          <w:rFonts w:asciiTheme="minorHAnsi" w:hAnsiTheme="minorHAnsi" w:cstheme="minorHAnsi"/>
          <w:sz w:val="26"/>
          <w:szCs w:val="26"/>
        </w:rPr>
        <w:t xml:space="preserve"> </w:t>
      </w:r>
      <w:r w:rsidR="00A31613">
        <w:rPr>
          <w:rStyle w:val="FootnoteReference"/>
          <w:rFonts w:asciiTheme="minorHAnsi" w:hAnsiTheme="minorHAnsi" w:cstheme="minorHAnsi"/>
          <w:sz w:val="26"/>
          <w:szCs w:val="26"/>
        </w:rPr>
        <w:footnoteReference w:id="29"/>
      </w:r>
      <w:r w:rsidR="00A31613">
        <w:rPr>
          <w:rFonts w:asciiTheme="minorHAnsi" w:hAnsiTheme="minorHAnsi" w:cstheme="minorHAnsi"/>
          <w:sz w:val="26"/>
          <w:szCs w:val="26"/>
        </w:rPr>
        <w:t xml:space="preserve"> none of the exceptions elucidated in </w:t>
      </w:r>
      <w:r w:rsidR="00A31613" w:rsidRPr="00A31613">
        <w:rPr>
          <w:rFonts w:asciiTheme="minorHAnsi" w:hAnsiTheme="minorHAnsi" w:cstheme="minorHAnsi"/>
          <w:sz w:val="26"/>
          <w:szCs w:val="26"/>
        </w:rPr>
        <w:t>the</w:t>
      </w:r>
      <w:r w:rsidR="00A31613">
        <w:rPr>
          <w:rFonts w:asciiTheme="minorHAnsi" w:hAnsiTheme="minorHAnsi" w:cstheme="minorHAnsi"/>
          <w:i/>
          <w:sz w:val="26"/>
          <w:szCs w:val="26"/>
        </w:rPr>
        <w:t xml:space="preserve"> </w:t>
      </w:r>
      <w:r w:rsidR="00A31613" w:rsidRPr="00A31613">
        <w:rPr>
          <w:rFonts w:asciiTheme="minorHAnsi" w:hAnsiTheme="minorHAnsi" w:cstheme="minorHAnsi"/>
          <w:i/>
          <w:sz w:val="26"/>
          <w:szCs w:val="26"/>
        </w:rPr>
        <w:t>Cape Exp</w:t>
      </w:r>
      <w:r w:rsidR="00A31613">
        <w:rPr>
          <w:rFonts w:asciiTheme="minorHAnsi" w:hAnsiTheme="minorHAnsi" w:cstheme="minorHAnsi"/>
          <w:i/>
          <w:sz w:val="26"/>
          <w:szCs w:val="26"/>
        </w:rPr>
        <w:t>l</w:t>
      </w:r>
      <w:r w:rsidR="00A31613" w:rsidRPr="00A31613">
        <w:rPr>
          <w:rFonts w:asciiTheme="minorHAnsi" w:hAnsiTheme="minorHAnsi" w:cstheme="minorHAnsi"/>
          <w:i/>
          <w:sz w:val="26"/>
          <w:szCs w:val="26"/>
        </w:rPr>
        <w:t>osives</w:t>
      </w:r>
      <w:r w:rsidR="00A31613">
        <w:rPr>
          <w:rFonts w:asciiTheme="minorHAnsi" w:hAnsiTheme="minorHAnsi" w:cstheme="minorHAnsi"/>
          <w:i/>
          <w:sz w:val="26"/>
          <w:szCs w:val="26"/>
        </w:rPr>
        <w:t xml:space="preserve"> </w:t>
      </w:r>
      <w:r w:rsidR="00A31613" w:rsidRPr="00A31613">
        <w:rPr>
          <w:rFonts w:asciiTheme="minorHAnsi" w:hAnsiTheme="minorHAnsi" w:cstheme="minorHAnsi"/>
          <w:sz w:val="26"/>
          <w:szCs w:val="26"/>
        </w:rPr>
        <w:t>case</w:t>
      </w:r>
      <w:r w:rsidR="00A31613">
        <w:rPr>
          <w:rFonts w:asciiTheme="minorHAnsi" w:hAnsiTheme="minorHAnsi" w:cstheme="minorHAnsi"/>
          <w:i/>
          <w:sz w:val="26"/>
          <w:szCs w:val="26"/>
        </w:rPr>
        <w:t xml:space="preserve"> </w:t>
      </w:r>
      <w:r w:rsidR="00A31613" w:rsidRPr="00A31613">
        <w:rPr>
          <w:rFonts w:asciiTheme="minorHAnsi" w:hAnsiTheme="minorHAnsi" w:cstheme="minorHAnsi"/>
          <w:sz w:val="26"/>
          <w:szCs w:val="26"/>
        </w:rPr>
        <w:t>are applicable</w:t>
      </w:r>
      <w:r w:rsidR="00A31613">
        <w:rPr>
          <w:rFonts w:asciiTheme="minorHAnsi" w:hAnsiTheme="minorHAnsi" w:cstheme="minorHAnsi"/>
          <w:i/>
          <w:sz w:val="26"/>
          <w:szCs w:val="26"/>
        </w:rPr>
        <w:t xml:space="preserve"> </w:t>
      </w:r>
      <w:r w:rsidR="00A31613" w:rsidRPr="006A32CF">
        <w:rPr>
          <w:rFonts w:asciiTheme="minorHAnsi" w:hAnsiTheme="minorHAnsi" w:cstheme="minorHAnsi"/>
          <w:i/>
          <w:sz w:val="26"/>
          <w:szCs w:val="26"/>
        </w:rPr>
        <w:t>in</w:t>
      </w:r>
      <w:r w:rsidR="00A31613">
        <w:rPr>
          <w:rFonts w:asciiTheme="minorHAnsi" w:hAnsiTheme="minorHAnsi" w:cstheme="minorHAnsi"/>
          <w:sz w:val="26"/>
          <w:szCs w:val="26"/>
        </w:rPr>
        <w:t xml:space="preserve"> </w:t>
      </w:r>
      <w:r w:rsidR="00A31613">
        <w:rPr>
          <w:rFonts w:asciiTheme="minorHAnsi" w:hAnsiTheme="minorHAnsi" w:cstheme="minorHAnsi"/>
          <w:i/>
          <w:sz w:val="26"/>
          <w:szCs w:val="26"/>
        </w:rPr>
        <w:t>casu.</w:t>
      </w:r>
      <w:r>
        <w:rPr>
          <w:rFonts w:asciiTheme="minorHAnsi" w:hAnsiTheme="minorHAnsi" w:cstheme="minorHAnsi"/>
          <w:sz w:val="26"/>
          <w:szCs w:val="26"/>
        </w:rPr>
        <w:t xml:space="preserve"> </w:t>
      </w:r>
    </w:p>
    <w:p w:rsidR="007E51B7" w:rsidRPr="007E51B7" w:rsidRDefault="007E51B7" w:rsidP="007E51B7">
      <w:pPr>
        <w:pStyle w:val="ListParagraph"/>
        <w:rPr>
          <w:rFonts w:asciiTheme="minorHAnsi" w:hAnsiTheme="minorHAnsi" w:cstheme="minorHAnsi"/>
          <w:sz w:val="26"/>
          <w:szCs w:val="26"/>
        </w:rPr>
      </w:pPr>
    </w:p>
    <w:p w:rsidR="0034228E" w:rsidRDefault="00FC15D7" w:rsidP="0034228E">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upshot of the aforegoing is that the applicant has in my view established</w:t>
      </w:r>
      <w:r w:rsidR="00A31613">
        <w:rPr>
          <w:rFonts w:asciiTheme="minorHAnsi" w:hAnsiTheme="minorHAnsi" w:cstheme="minorHAnsi"/>
          <w:sz w:val="26"/>
          <w:szCs w:val="26"/>
        </w:rPr>
        <w:t>,</w:t>
      </w:r>
      <w:r>
        <w:rPr>
          <w:rFonts w:asciiTheme="minorHAnsi" w:hAnsiTheme="minorHAnsi" w:cstheme="minorHAnsi"/>
          <w:sz w:val="26"/>
          <w:szCs w:val="26"/>
        </w:rPr>
        <w:t xml:space="preserve"> through her own testimony</w:t>
      </w:r>
      <w:r w:rsidR="00655CCC">
        <w:rPr>
          <w:rFonts w:asciiTheme="minorHAnsi" w:hAnsiTheme="minorHAnsi" w:cstheme="minorHAnsi"/>
          <w:sz w:val="26"/>
          <w:szCs w:val="26"/>
        </w:rPr>
        <w:t>,</w:t>
      </w:r>
      <w:r>
        <w:rPr>
          <w:rFonts w:asciiTheme="minorHAnsi" w:hAnsiTheme="minorHAnsi" w:cstheme="minorHAnsi"/>
          <w:sz w:val="26"/>
          <w:szCs w:val="26"/>
        </w:rPr>
        <w:t xml:space="preserve"> supported by the documentary evidence put up </w:t>
      </w:r>
      <w:r w:rsidR="00655CCC">
        <w:rPr>
          <w:rFonts w:asciiTheme="minorHAnsi" w:hAnsiTheme="minorHAnsi" w:cstheme="minorHAnsi"/>
          <w:sz w:val="26"/>
          <w:szCs w:val="26"/>
        </w:rPr>
        <w:t xml:space="preserve">to substantiate </w:t>
      </w:r>
      <w:r w:rsidR="00A31613">
        <w:rPr>
          <w:rFonts w:asciiTheme="minorHAnsi" w:hAnsiTheme="minorHAnsi" w:cstheme="minorHAnsi"/>
          <w:sz w:val="26"/>
          <w:szCs w:val="26"/>
        </w:rPr>
        <w:t xml:space="preserve">her title </w:t>
      </w:r>
      <w:r w:rsidR="00655CCC">
        <w:rPr>
          <w:rFonts w:asciiTheme="minorHAnsi" w:hAnsiTheme="minorHAnsi" w:cstheme="minorHAnsi"/>
          <w:sz w:val="26"/>
          <w:szCs w:val="26"/>
        </w:rPr>
        <w:t>over</w:t>
      </w:r>
      <w:r w:rsidR="00A31613">
        <w:rPr>
          <w:rFonts w:asciiTheme="minorHAnsi" w:hAnsiTheme="minorHAnsi" w:cstheme="minorHAnsi"/>
          <w:sz w:val="26"/>
          <w:szCs w:val="26"/>
        </w:rPr>
        <w:t xml:space="preserve"> the property, that she holds a valid title to those proceeds </w:t>
      </w:r>
      <w:r w:rsidR="0074378C">
        <w:rPr>
          <w:rFonts w:asciiTheme="minorHAnsi" w:hAnsiTheme="minorHAnsi" w:cstheme="minorHAnsi"/>
          <w:sz w:val="26"/>
          <w:szCs w:val="26"/>
        </w:rPr>
        <w:t>from</w:t>
      </w:r>
      <w:r w:rsidR="00A31613">
        <w:rPr>
          <w:rFonts w:asciiTheme="minorHAnsi" w:hAnsiTheme="minorHAnsi" w:cstheme="minorHAnsi"/>
          <w:sz w:val="26"/>
          <w:szCs w:val="26"/>
        </w:rPr>
        <w:t xml:space="preserve"> the sale of her property which were retained in the FNB maximiser account at the time of its attachment.</w:t>
      </w:r>
      <w:r w:rsidR="00BF28FD">
        <w:rPr>
          <w:rFonts w:asciiTheme="minorHAnsi" w:hAnsiTheme="minorHAnsi" w:cstheme="minorHAnsi"/>
          <w:sz w:val="26"/>
          <w:szCs w:val="26"/>
        </w:rPr>
        <w:t xml:space="preserve"> </w:t>
      </w:r>
      <w:r w:rsidR="00864C9F">
        <w:rPr>
          <w:rFonts w:asciiTheme="minorHAnsi" w:hAnsiTheme="minorHAnsi" w:cstheme="minorHAnsi"/>
          <w:sz w:val="26"/>
          <w:szCs w:val="26"/>
        </w:rPr>
        <w:t>Ultimately, w</w:t>
      </w:r>
      <w:r w:rsidR="00BF28FD">
        <w:rPr>
          <w:rFonts w:asciiTheme="minorHAnsi" w:hAnsiTheme="minorHAnsi" w:cstheme="minorHAnsi"/>
          <w:sz w:val="26"/>
          <w:szCs w:val="26"/>
        </w:rPr>
        <w:t xml:space="preserve">hether or not the </w:t>
      </w:r>
      <w:r w:rsidR="00864C9F">
        <w:rPr>
          <w:rFonts w:asciiTheme="minorHAnsi" w:hAnsiTheme="minorHAnsi" w:cstheme="minorHAnsi"/>
          <w:sz w:val="26"/>
          <w:szCs w:val="26"/>
        </w:rPr>
        <w:t xml:space="preserve">remaining </w:t>
      </w:r>
      <w:r w:rsidR="00BF28FD">
        <w:rPr>
          <w:rFonts w:asciiTheme="minorHAnsi" w:hAnsiTheme="minorHAnsi" w:cstheme="minorHAnsi"/>
          <w:sz w:val="26"/>
          <w:szCs w:val="26"/>
        </w:rPr>
        <w:t xml:space="preserve">protected policy benefits </w:t>
      </w:r>
      <w:r w:rsidR="0074378C">
        <w:rPr>
          <w:rFonts w:asciiTheme="minorHAnsi" w:hAnsiTheme="minorHAnsi" w:cstheme="minorHAnsi"/>
          <w:sz w:val="26"/>
          <w:szCs w:val="26"/>
        </w:rPr>
        <w:t>became</w:t>
      </w:r>
      <w:r w:rsidR="00BF28FD">
        <w:rPr>
          <w:rFonts w:asciiTheme="minorHAnsi" w:hAnsiTheme="minorHAnsi" w:cstheme="minorHAnsi"/>
          <w:sz w:val="26"/>
          <w:szCs w:val="26"/>
        </w:rPr>
        <w:t xml:space="preserve"> mixed with the sale funds </w:t>
      </w:r>
      <w:r w:rsidR="00864C9F">
        <w:rPr>
          <w:rFonts w:asciiTheme="minorHAnsi" w:hAnsiTheme="minorHAnsi" w:cstheme="minorHAnsi"/>
          <w:sz w:val="26"/>
          <w:szCs w:val="26"/>
        </w:rPr>
        <w:t xml:space="preserve">or whether </w:t>
      </w:r>
      <w:r w:rsidR="00BF28FD">
        <w:rPr>
          <w:rFonts w:asciiTheme="minorHAnsi" w:hAnsiTheme="minorHAnsi" w:cstheme="minorHAnsi"/>
          <w:sz w:val="26"/>
          <w:szCs w:val="26"/>
        </w:rPr>
        <w:t xml:space="preserve">only sale proceeds remained in the account at the time of attachment matters </w:t>
      </w:r>
      <w:r w:rsidR="007175A8">
        <w:rPr>
          <w:rFonts w:asciiTheme="minorHAnsi" w:hAnsiTheme="minorHAnsi" w:cstheme="minorHAnsi"/>
          <w:sz w:val="26"/>
          <w:szCs w:val="26"/>
        </w:rPr>
        <w:t>little in the light of the conclusions to which I have arrived</w:t>
      </w:r>
      <w:r w:rsidR="00655CCC">
        <w:rPr>
          <w:rFonts w:asciiTheme="minorHAnsi" w:hAnsiTheme="minorHAnsi" w:cstheme="minorHAnsi"/>
          <w:sz w:val="26"/>
          <w:szCs w:val="26"/>
        </w:rPr>
        <w:t xml:space="preserve"> earlier in the judgment</w:t>
      </w:r>
      <w:r w:rsidR="007175A8">
        <w:rPr>
          <w:rFonts w:asciiTheme="minorHAnsi" w:hAnsiTheme="minorHAnsi" w:cstheme="minorHAnsi"/>
          <w:sz w:val="26"/>
          <w:szCs w:val="26"/>
        </w:rPr>
        <w:t>.</w:t>
      </w:r>
    </w:p>
    <w:p w:rsidR="0034228E" w:rsidRDefault="0034228E" w:rsidP="0091783B">
      <w:pPr>
        <w:pStyle w:val="ListParagraph"/>
        <w:rPr>
          <w:rFonts w:asciiTheme="minorHAnsi" w:hAnsiTheme="minorHAnsi" w:cstheme="minorHAnsi"/>
          <w:sz w:val="26"/>
          <w:szCs w:val="26"/>
        </w:rPr>
      </w:pPr>
    </w:p>
    <w:p w:rsidR="0034228E" w:rsidRDefault="007175A8" w:rsidP="0034228E">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Accordingly, the funds attached and withdrawn by the respondents are to be released back to the applicant and the FNB maximiser account itself released from attachment.</w:t>
      </w:r>
      <w:r w:rsidR="00862D36">
        <w:rPr>
          <w:rFonts w:asciiTheme="minorHAnsi" w:hAnsiTheme="minorHAnsi" w:cstheme="minorHAnsi"/>
          <w:sz w:val="26"/>
          <w:szCs w:val="26"/>
        </w:rPr>
        <w:t xml:space="preserve"> Although there was some debate at the hearing of the matter as whether or not the relief sought in the notice of motion allows for repayment of funds withdrawn by the respondents from the FNB maximiser account, when regard is had to the case pleaded by the applicant (referred to in paragraph 4 above) the respondents could </w:t>
      </w:r>
      <w:r w:rsidR="0074378C">
        <w:rPr>
          <w:rFonts w:asciiTheme="minorHAnsi" w:hAnsiTheme="minorHAnsi" w:cstheme="minorHAnsi"/>
          <w:sz w:val="26"/>
          <w:szCs w:val="26"/>
        </w:rPr>
        <w:t xml:space="preserve">not </w:t>
      </w:r>
      <w:r w:rsidR="00862D36">
        <w:rPr>
          <w:rFonts w:asciiTheme="minorHAnsi" w:hAnsiTheme="minorHAnsi" w:cstheme="minorHAnsi"/>
          <w:sz w:val="26"/>
          <w:szCs w:val="26"/>
        </w:rPr>
        <w:t xml:space="preserve">have been under </w:t>
      </w:r>
      <w:r w:rsidR="0074378C">
        <w:rPr>
          <w:rFonts w:asciiTheme="minorHAnsi" w:hAnsiTheme="minorHAnsi" w:cstheme="minorHAnsi"/>
          <w:sz w:val="26"/>
          <w:szCs w:val="26"/>
        </w:rPr>
        <w:t>any</w:t>
      </w:r>
      <w:r w:rsidR="00862D36">
        <w:rPr>
          <w:rFonts w:asciiTheme="minorHAnsi" w:hAnsiTheme="minorHAnsi" w:cstheme="minorHAnsi"/>
          <w:sz w:val="26"/>
          <w:szCs w:val="26"/>
        </w:rPr>
        <w:t xml:space="preserve"> misapprehension about the relief sought by the applicant,</w:t>
      </w:r>
      <w:r w:rsidR="0074378C">
        <w:rPr>
          <w:rFonts w:asciiTheme="minorHAnsi" w:hAnsiTheme="minorHAnsi" w:cstheme="minorHAnsi"/>
          <w:sz w:val="26"/>
          <w:szCs w:val="26"/>
        </w:rPr>
        <w:t xml:space="preserve"> which was ultimately designed to release the attachment of the FNB maximiser account and the funds </w:t>
      </w:r>
      <w:r w:rsidR="00655CCC">
        <w:rPr>
          <w:rFonts w:asciiTheme="minorHAnsi" w:hAnsiTheme="minorHAnsi" w:cstheme="minorHAnsi"/>
          <w:sz w:val="26"/>
          <w:szCs w:val="26"/>
        </w:rPr>
        <w:t xml:space="preserve">retained </w:t>
      </w:r>
      <w:r w:rsidR="0074378C">
        <w:rPr>
          <w:rFonts w:asciiTheme="minorHAnsi" w:hAnsiTheme="minorHAnsi" w:cstheme="minorHAnsi"/>
          <w:sz w:val="26"/>
          <w:szCs w:val="26"/>
        </w:rPr>
        <w:t xml:space="preserve">therein </w:t>
      </w:r>
      <w:r w:rsidR="00655CCC">
        <w:rPr>
          <w:rFonts w:asciiTheme="minorHAnsi" w:hAnsiTheme="minorHAnsi" w:cstheme="minorHAnsi"/>
          <w:sz w:val="26"/>
          <w:szCs w:val="26"/>
        </w:rPr>
        <w:t xml:space="preserve">or withdrawn therefrom, </w:t>
      </w:r>
      <w:r w:rsidR="0074378C">
        <w:rPr>
          <w:rFonts w:asciiTheme="minorHAnsi" w:hAnsiTheme="minorHAnsi" w:cstheme="minorHAnsi"/>
          <w:sz w:val="26"/>
          <w:szCs w:val="26"/>
        </w:rPr>
        <w:t xml:space="preserve">from insolvency proceedings pertaining to the insolvent, </w:t>
      </w:r>
      <w:r w:rsidR="00862D36">
        <w:rPr>
          <w:rFonts w:asciiTheme="minorHAnsi" w:hAnsiTheme="minorHAnsi" w:cstheme="minorHAnsi"/>
          <w:sz w:val="26"/>
          <w:szCs w:val="26"/>
        </w:rPr>
        <w:t>albeit that the relief set out in the notice of motion was somewhat ineptly articulated. In my view, para 2 of the notice of motion is in any e</w:t>
      </w:r>
      <w:r w:rsidR="0074378C">
        <w:rPr>
          <w:rFonts w:asciiTheme="minorHAnsi" w:hAnsiTheme="minorHAnsi" w:cstheme="minorHAnsi"/>
          <w:sz w:val="26"/>
          <w:szCs w:val="26"/>
        </w:rPr>
        <w:t xml:space="preserve">vent broad enough to cater for </w:t>
      </w:r>
      <w:r w:rsidR="00862D36">
        <w:rPr>
          <w:rFonts w:asciiTheme="minorHAnsi" w:hAnsiTheme="minorHAnsi" w:cstheme="minorHAnsi"/>
          <w:sz w:val="26"/>
          <w:szCs w:val="26"/>
        </w:rPr>
        <w:t>the order I intend to make.</w:t>
      </w:r>
    </w:p>
    <w:p w:rsidR="0034228E" w:rsidRDefault="0034228E" w:rsidP="0091783B">
      <w:pPr>
        <w:pStyle w:val="ListParagraph"/>
        <w:rPr>
          <w:rFonts w:asciiTheme="minorHAnsi" w:hAnsiTheme="minorHAnsi" w:cstheme="minorHAnsi"/>
          <w:sz w:val="26"/>
          <w:szCs w:val="26"/>
        </w:rPr>
      </w:pPr>
    </w:p>
    <w:p w:rsidR="00E23DE2" w:rsidRDefault="00E23DE2" w:rsidP="00E23DE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not in </w:t>
      </w:r>
      <w:r w:rsidR="007E7AF2">
        <w:rPr>
          <w:rFonts w:asciiTheme="minorHAnsi" w:hAnsiTheme="minorHAnsi" w:cstheme="minorHAnsi"/>
          <w:sz w:val="26"/>
          <w:szCs w:val="26"/>
        </w:rPr>
        <w:t>contention</w:t>
      </w:r>
      <w:r>
        <w:rPr>
          <w:rFonts w:asciiTheme="minorHAnsi" w:hAnsiTheme="minorHAnsi" w:cstheme="minorHAnsi"/>
          <w:sz w:val="26"/>
          <w:szCs w:val="26"/>
        </w:rPr>
        <w:t xml:space="preserve"> that a proper case was made out for the relief sought in the counter-application</w:t>
      </w:r>
      <w:r w:rsidR="007E7AF2">
        <w:rPr>
          <w:rFonts w:asciiTheme="minorHAnsi" w:hAnsiTheme="minorHAnsi" w:cstheme="minorHAnsi"/>
          <w:sz w:val="26"/>
          <w:szCs w:val="26"/>
        </w:rPr>
        <w:t>, and</w:t>
      </w:r>
      <w:r>
        <w:rPr>
          <w:rFonts w:asciiTheme="minorHAnsi" w:hAnsiTheme="minorHAnsi" w:cstheme="minorHAnsi"/>
          <w:sz w:val="26"/>
          <w:szCs w:val="26"/>
        </w:rPr>
        <w:t xml:space="preserve"> as such, it should succeed.</w:t>
      </w:r>
    </w:p>
    <w:p w:rsidR="00E23DE2" w:rsidRDefault="00E23DE2" w:rsidP="0091783B">
      <w:pPr>
        <w:pStyle w:val="ListParagraph"/>
        <w:rPr>
          <w:rFonts w:asciiTheme="minorHAnsi" w:hAnsiTheme="minorHAnsi" w:cstheme="minorHAnsi"/>
          <w:sz w:val="26"/>
          <w:szCs w:val="26"/>
        </w:rPr>
      </w:pPr>
    </w:p>
    <w:p w:rsidR="0034228E" w:rsidRDefault="007175A8" w:rsidP="0034228E">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general rule is that costs follow the result</w:t>
      </w:r>
      <w:r w:rsidR="00864C9F">
        <w:rPr>
          <w:rFonts w:asciiTheme="minorHAnsi" w:hAnsiTheme="minorHAnsi" w:cstheme="minorHAnsi"/>
          <w:sz w:val="26"/>
          <w:szCs w:val="26"/>
        </w:rPr>
        <w:t xml:space="preserve"> in the main application</w:t>
      </w:r>
      <w:r>
        <w:rPr>
          <w:rFonts w:asciiTheme="minorHAnsi" w:hAnsiTheme="minorHAnsi" w:cstheme="minorHAnsi"/>
          <w:sz w:val="26"/>
          <w:szCs w:val="26"/>
        </w:rPr>
        <w:t>. I see no reason to depart therefrom.</w:t>
      </w:r>
    </w:p>
    <w:p w:rsidR="0034228E" w:rsidRDefault="0034228E" w:rsidP="0091783B">
      <w:pPr>
        <w:pStyle w:val="ListParagraph"/>
        <w:rPr>
          <w:rFonts w:asciiTheme="minorHAnsi" w:hAnsiTheme="minorHAnsi" w:cstheme="minorHAnsi"/>
          <w:sz w:val="26"/>
          <w:szCs w:val="26"/>
        </w:rPr>
      </w:pPr>
    </w:p>
    <w:p w:rsidR="0034228E" w:rsidRDefault="007175A8" w:rsidP="0034228E">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Accordingly the following order is granted:</w:t>
      </w:r>
    </w:p>
    <w:p w:rsidR="0091783B" w:rsidRDefault="0091783B" w:rsidP="0091783B">
      <w:pPr>
        <w:pStyle w:val="ListParagraph"/>
        <w:rPr>
          <w:rFonts w:asciiTheme="minorHAnsi" w:hAnsiTheme="minorHAnsi" w:cstheme="minorHAnsi"/>
          <w:sz w:val="26"/>
          <w:szCs w:val="26"/>
        </w:rPr>
      </w:pPr>
    </w:p>
    <w:p w:rsidR="0091783B" w:rsidRPr="0098343D" w:rsidRDefault="0091783B" w:rsidP="0091783B">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E23DE2" w:rsidRDefault="00E23DE2" w:rsidP="002639F5">
      <w:pPr>
        <w:pStyle w:val="NormalWeb"/>
        <w:numPr>
          <w:ilvl w:val="0"/>
          <w:numId w:val="8"/>
        </w:numPr>
        <w:shd w:val="clear" w:color="auto" w:fill="FFFFFF"/>
        <w:spacing w:before="144" w:beforeAutospacing="0" w:after="0" w:afterAutospacing="0" w:line="360" w:lineRule="atLeast"/>
        <w:jc w:val="both"/>
        <w:rPr>
          <w:rFonts w:asciiTheme="minorHAnsi" w:hAnsiTheme="minorHAnsi" w:cstheme="minorHAnsi"/>
          <w:sz w:val="26"/>
          <w:szCs w:val="26"/>
        </w:rPr>
      </w:pPr>
      <w:r>
        <w:rPr>
          <w:rFonts w:asciiTheme="minorHAnsi" w:hAnsiTheme="minorHAnsi" w:cstheme="minorHAnsi"/>
          <w:sz w:val="26"/>
          <w:szCs w:val="26"/>
        </w:rPr>
        <w:t>As regards the main application:</w:t>
      </w:r>
    </w:p>
    <w:p w:rsidR="0091783B" w:rsidRPr="002639F5" w:rsidRDefault="00862D36" w:rsidP="00864C9F">
      <w:pPr>
        <w:pStyle w:val="NormalWeb"/>
        <w:numPr>
          <w:ilvl w:val="1"/>
          <w:numId w:val="9"/>
        </w:numPr>
        <w:shd w:val="clear" w:color="auto" w:fill="FFFFFF"/>
        <w:spacing w:before="144" w:beforeAutospacing="0" w:after="0" w:afterAutospacing="0" w:line="360" w:lineRule="auto"/>
        <w:ind w:left="1843" w:hanging="566"/>
        <w:jc w:val="both"/>
        <w:rPr>
          <w:rFonts w:asciiTheme="minorHAnsi" w:hAnsiTheme="minorHAnsi" w:cstheme="minorHAnsi"/>
          <w:sz w:val="26"/>
          <w:szCs w:val="26"/>
        </w:rPr>
      </w:pPr>
      <w:r w:rsidRPr="002639F5">
        <w:rPr>
          <w:rFonts w:asciiTheme="minorHAnsi" w:hAnsiTheme="minorHAnsi" w:cstheme="minorHAnsi"/>
          <w:sz w:val="26"/>
          <w:szCs w:val="26"/>
        </w:rPr>
        <w:t xml:space="preserve">The respondents are </w:t>
      </w:r>
      <w:r w:rsidRPr="002639F5">
        <w:rPr>
          <w:rFonts w:asciiTheme="minorHAnsi" w:hAnsiTheme="minorHAnsi" w:cstheme="minorHAnsi"/>
          <w:color w:val="242121"/>
          <w:sz w:val="26"/>
          <w:szCs w:val="26"/>
        </w:rPr>
        <w:t xml:space="preserve">ordered </w:t>
      </w:r>
      <w:r w:rsidR="007175A8" w:rsidRPr="002639F5">
        <w:rPr>
          <w:rFonts w:asciiTheme="minorHAnsi" w:hAnsiTheme="minorHAnsi" w:cstheme="minorHAnsi"/>
          <w:sz w:val="26"/>
          <w:szCs w:val="26"/>
        </w:rPr>
        <w:t xml:space="preserve">to release the property </w:t>
      </w:r>
      <w:r w:rsidR="002639F5">
        <w:rPr>
          <w:rFonts w:asciiTheme="minorHAnsi" w:hAnsiTheme="minorHAnsi" w:cstheme="minorHAnsi"/>
          <w:sz w:val="26"/>
          <w:szCs w:val="26"/>
        </w:rPr>
        <w:t>(</w:t>
      </w:r>
      <w:r w:rsidR="007175A8" w:rsidRPr="002639F5">
        <w:rPr>
          <w:rFonts w:asciiTheme="minorHAnsi" w:hAnsiTheme="minorHAnsi" w:cstheme="minorHAnsi"/>
          <w:sz w:val="26"/>
          <w:szCs w:val="26"/>
        </w:rPr>
        <w:t xml:space="preserve">comprising </w:t>
      </w:r>
      <w:r w:rsidRPr="002639F5">
        <w:rPr>
          <w:rFonts w:asciiTheme="minorHAnsi" w:hAnsiTheme="minorHAnsi" w:cstheme="minorHAnsi"/>
          <w:sz w:val="26"/>
          <w:szCs w:val="26"/>
        </w:rPr>
        <w:t xml:space="preserve">the applicant’s </w:t>
      </w:r>
      <w:r w:rsidR="007175A8" w:rsidRPr="002639F5">
        <w:rPr>
          <w:rFonts w:asciiTheme="minorHAnsi" w:hAnsiTheme="minorHAnsi" w:cstheme="minorHAnsi"/>
          <w:sz w:val="26"/>
          <w:szCs w:val="26"/>
        </w:rPr>
        <w:t xml:space="preserve">FNB maximiser account and </w:t>
      </w:r>
      <w:r w:rsidRPr="002639F5">
        <w:rPr>
          <w:rFonts w:asciiTheme="minorHAnsi" w:hAnsiTheme="minorHAnsi" w:cstheme="minorHAnsi"/>
          <w:sz w:val="26"/>
          <w:szCs w:val="26"/>
        </w:rPr>
        <w:t>its contents</w:t>
      </w:r>
      <w:r w:rsidR="00655CCC">
        <w:rPr>
          <w:rFonts w:asciiTheme="minorHAnsi" w:hAnsiTheme="minorHAnsi" w:cstheme="minorHAnsi"/>
          <w:sz w:val="26"/>
          <w:szCs w:val="26"/>
        </w:rPr>
        <w:t>,</w:t>
      </w:r>
      <w:r w:rsidRPr="002639F5">
        <w:rPr>
          <w:rFonts w:asciiTheme="minorHAnsi" w:hAnsiTheme="minorHAnsi" w:cstheme="minorHAnsi"/>
          <w:sz w:val="26"/>
          <w:szCs w:val="26"/>
        </w:rPr>
        <w:t xml:space="preserve"> including any funds withdrawn therefrom</w:t>
      </w:r>
      <w:r w:rsidR="007E7AF2">
        <w:rPr>
          <w:rFonts w:asciiTheme="minorHAnsi" w:hAnsiTheme="minorHAnsi" w:cstheme="minorHAnsi"/>
          <w:sz w:val="26"/>
          <w:szCs w:val="26"/>
        </w:rPr>
        <w:t xml:space="preserve"> by the respondents</w:t>
      </w:r>
      <w:r w:rsidR="002639F5">
        <w:rPr>
          <w:rFonts w:asciiTheme="minorHAnsi" w:hAnsiTheme="minorHAnsi" w:cstheme="minorHAnsi"/>
          <w:sz w:val="26"/>
          <w:szCs w:val="26"/>
        </w:rPr>
        <w:t>)</w:t>
      </w:r>
      <w:r w:rsidRPr="002639F5">
        <w:rPr>
          <w:rFonts w:asciiTheme="minorHAnsi" w:hAnsiTheme="minorHAnsi" w:cstheme="minorHAnsi"/>
          <w:sz w:val="26"/>
          <w:szCs w:val="26"/>
        </w:rPr>
        <w:t xml:space="preserve"> </w:t>
      </w:r>
      <w:r w:rsidRPr="002639F5">
        <w:rPr>
          <w:rFonts w:asciiTheme="minorHAnsi" w:hAnsiTheme="minorHAnsi" w:cstheme="minorHAnsi"/>
          <w:color w:val="242121"/>
          <w:sz w:val="26"/>
          <w:szCs w:val="26"/>
        </w:rPr>
        <w:t>from the insolvency proceedings instituted ag</w:t>
      </w:r>
      <w:r w:rsidR="002639F5">
        <w:rPr>
          <w:rFonts w:asciiTheme="minorHAnsi" w:hAnsiTheme="minorHAnsi" w:cstheme="minorHAnsi"/>
          <w:color w:val="242121"/>
          <w:sz w:val="26"/>
          <w:szCs w:val="26"/>
        </w:rPr>
        <w:t>ainst the insolvent</w:t>
      </w:r>
      <w:r w:rsidR="0074378C">
        <w:rPr>
          <w:rFonts w:asciiTheme="minorHAnsi" w:hAnsiTheme="minorHAnsi" w:cstheme="minorHAnsi"/>
          <w:color w:val="242121"/>
          <w:sz w:val="26"/>
          <w:szCs w:val="26"/>
        </w:rPr>
        <w:t>,</w:t>
      </w:r>
      <w:r w:rsidR="002639F5">
        <w:rPr>
          <w:rFonts w:asciiTheme="minorHAnsi" w:hAnsiTheme="minorHAnsi" w:cstheme="minorHAnsi"/>
          <w:color w:val="242121"/>
          <w:sz w:val="26"/>
          <w:szCs w:val="26"/>
        </w:rPr>
        <w:t xml:space="preserve"> in terms of </w:t>
      </w:r>
      <w:hyperlink r:id="rId9" w:anchor="s21" w:history="1">
        <w:r w:rsidRPr="002639F5">
          <w:rPr>
            <w:rStyle w:val="Hyperlink"/>
            <w:rFonts w:asciiTheme="minorHAnsi" w:eastAsiaTheme="majorEastAsia" w:hAnsiTheme="minorHAnsi" w:cstheme="minorHAnsi"/>
            <w:bCs/>
            <w:color w:val="auto"/>
            <w:sz w:val="26"/>
            <w:szCs w:val="26"/>
            <w:u w:val="none"/>
          </w:rPr>
          <w:t>section 21</w:t>
        </w:r>
      </w:hyperlink>
      <w:r w:rsidRPr="002639F5">
        <w:rPr>
          <w:rFonts w:asciiTheme="minorHAnsi" w:hAnsiTheme="minorHAnsi" w:cstheme="minorHAnsi"/>
          <w:color w:val="242121"/>
          <w:sz w:val="26"/>
          <w:szCs w:val="26"/>
        </w:rPr>
        <w:t>(4) of the</w:t>
      </w:r>
      <w:r w:rsidR="002639F5">
        <w:rPr>
          <w:rFonts w:asciiTheme="minorHAnsi" w:hAnsiTheme="minorHAnsi" w:cstheme="minorHAnsi"/>
          <w:color w:val="242121"/>
          <w:sz w:val="26"/>
          <w:szCs w:val="26"/>
        </w:rPr>
        <w:t xml:space="preserve"> </w:t>
      </w:r>
      <w:hyperlink r:id="rId10" w:history="1">
        <w:r w:rsidRPr="002639F5">
          <w:rPr>
            <w:rStyle w:val="Hyperlink"/>
            <w:rFonts w:asciiTheme="minorHAnsi" w:eastAsiaTheme="majorEastAsia" w:hAnsiTheme="minorHAnsi" w:cstheme="minorHAnsi"/>
            <w:bCs/>
            <w:color w:val="auto"/>
            <w:sz w:val="26"/>
            <w:szCs w:val="26"/>
            <w:u w:val="none"/>
          </w:rPr>
          <w:t>Insolvency Act 24 of 1936</w:t>
        </w:r>
      </w:hyperlink>
      <w:r w:rsidR="006F6C3B">
        <w:rPr>
          <w:rStyle w:val="Hyperlink"/>
          <w:rFonts w:asciiTheme="minorHAnsi" w:eastAsiaTheme="majorEastAsia" w:hAnsiTheme="minorHAnsi" w:cstheme="minorHAnsi"/>
          <w:bCs/>
          <w:color w:val="auto"/>
          <w:sz w:val="26"/>
          <w:szCs w:val="26"/>
          <w:u w:val="none"/>
        </w:rPr>
        <w:t>.</w:t>
      </w:r>
      <w:r w:rsidR="0091783B" w:rsidRPr="002639F5">
        <w:rPr>
          <w:rFonts w:asciiTheme="minorHAnsi" w:hAnsiTheme="minorHAnsi" w:cstheme="minorHAnsi"/>
          <w:sz w:val="26"/>
          <w:szCs w:val="26"/>
        </w:rPr>
        <w:t xml:space="preserve"> </w:t>
      </w:r>
    </w:p>
    <w:p w:rsidR="0091783B" w:rsidRPr="00F945BC" w:rsidRDefault="0091783B" w:rsidP="00864C9F">
      <w:pPr>
        <w:pStyle w:val="NormalWeb"/>
        <w:numPr>
          <w:ilvl w:val="1"/>
          <w:numId w:val="9"/>
        </w:numPr>
        <w:shd w:val="clear" w:color="auto" w:fill="FFFFFF"/>
        <w:spacing w:before="144" w:beforeAutospacing="0" w:after="0" w:afterAutospacing="0" w:line="360" w:lineRule="auto"/>
        <w:ind w:left="1843" w:hanging="566"/>
        <w:jc w:val="both"/>
        <w:rPr>
          <w:rFonts w:asciiTheme="minorHAnsi" w:hAnsiTheme="minorHAnsi" w:cstheme="minorHAnsi"/>
          <w:sz w:val="26"/>
          <w:szCs w:val="26"/>
        </w:rPr>
      </w:pPr>
      <w:r>
        <w:rPr>
          <w:rFonts w:asciiTheme="minorHAnsi" w:hAnsiTheme="minorHAnsi" w:cstheme="minorHAnsi"/>
          <w:sz w:val="26"/>
          <w:szCs w:val="26"/>
        </w:rPr>
        <w:t>The respondent</w:t>
      </w:r>
      <w:r w:rsidR="007175A8">
        <w:rPr>
          <w:rFonts w:asciiTheme="minorHAnsi" w:hAnsiTheme="minorHAnsi" w:cstheme="minorHAnsi"/>
          <w:sz w:val="26"/>
          <w:szCs w:val="26"/>
        </w:rPr>
        <w:t>s</w:t>
      </w:r>
      <w:r>
        <w:rPr>
          <w:rFonts w:asciiTheme="minorHAnsi" w:hAnsiTheme="minorHAnsi" w:cstheme="minorHAnsi"/>
          <w:sz w:val="26"/>
          <w:szCs w:val="26"/>
        </w:rPr>
        <w:t xml:space="preserve"> </w:t>
      </w:r>
      <w:r w:rsidR="007175A8">
        <w:rPr>
          <w:rFonts w:asciiTheme="minorHAnsi" w:hAnsiTheme="minorHAnsi" w:cstheme="minorHAnsi"/>
          <w:sz w:val="26"/>
          <w:szCs w:val="26"/>
        </w:rPr>
        <w:t>are</w:t>
      </w:r>
      <w:r>
        <w:rPr>
          <w:rFonts w:asciiTheme="minorHAnsi" w:hAnsiTheme="minorHAnsi" w:cstheme="minorHAnsi"/>
          <w:sz w:val="26"/>
          <w:szCs w:val="26"/>
        </w:rPr>
        <w:t xml:space="preserve"> ordered to pay the</w:t>
      </w:r>
      <w:r w:rsidR="007175A8">
        <w:rPr>
          <w:rFonts w:asciiTheme="minorHAnsi" w:hAnsiTheme="minorHAnsi" w:cstheme="minorHAnsi"/>
          <w:sz w:val="26"/>
          <w:szCs w:val="26"/>
        </w:rPr>
        <w:t xml:space="preserve"> </w:t>
      </w:r>
      <w:r>
        <w:rPr>
          <w:rFonts w:asciiTheme="minorHAnsi" w:hAnsiTheme="minorHAnsi" w:cstheme="minorHAnsi"/>
          <w:sz w:val="26"/>
          <w:szCs w:val="26"/>
        </w:rPr>
        <w:t>costs of the</w:t>
      </w:r>
      <w:r w:rsidR="00862D36">
        <w:rPr>
          <w:rFonts w:asciiTheme="minorHAnsi" w:hAnsiTheme="minorHAnsi" w:cstheme="minorHAnsi"/>
          <w:sz w:val="26"/>
          <w:szCs w:val="26"/>
        </w:rPr>
        <w:t>se proceedings.</w:t>
      </w:r>
      <w:r>
        <w:rPr>
          <w:rFonts w:asciiTheme="minorHAnsi" w:hAnsiTheme="minorHAnsi" w:cstheme="minorHAnsi"/>
          <w:sz w:val="26"/>
          <w:szCs w:val="26"/>
        </w:rPr>
        <w:t xml:space="preserve"> </w:t>
      </w:r>
    </w:p>
    <w:p w:rsidR="0091783B" w:rsidRDefault="0091783B" w:rsidP="00864C9F">
      <w:pPr>
        <w:pStyle w:val="ListParagraph"/>
        <w:spacing w:after="200" w:line="360" w:lineRule="auto"/>
        <w:ind w:left="1418" w:hanging="567"/>
        <w:jc w:val="both"/>
        <w:rPr>
          <w:rFonts w:asciiTheme="minorHAnsi" w:hAnsiTheme="minorHAnsi" w:cstheme="minorHAnsi"/>
          <w:sz w:val="26"/>
          <w:szCs w:val="26"/>
        </w:rPr>
      </w:pPr>
    </w:p>
    <w:p w:rsidR="00E23DE2" w:rsidRDefault="00E23DE2" w:rsidP="00864C9F">
      <w:pPr>
        <w:pStyle w:val="NormalWeb"/>
        <w:numPr>
          <w:ilvl w:val="0"/>
          <w:numId w:val="8"/>
        </w:numPr>
        <w:shd w:val="clear" w:color="auto" w:fill="FFFFFF"/>
        <w:spacing w:before="144" w:beforeAutospacing="0" w:after="0" w:afterAutospacing="0" w:line="360" w:lineRule="auto"/>
        <w:jc w:val="both"/>
        <w:rPr>
          <w:rFonts w:asciiTheme="minorHAnsi" w:hAnsiTheme="minorHAnsi" w:cstheme="minorHAnsi"/>
          <w:sz w:val="26"/>
          <w:szCs w:val="26"/>
        </w:rPr>
      </w:pPr>
      <w:r>
        <w:rPr>
          <w:rFonts w:asciiTheme="minorHAnsi" w:hAnsiTheme="minorHAnsi" w:cstheme="minorHAnsi"/>
          <w:sz w:val="26"/>
          <w:szCs w:val="26"/>
        </w:rPr>
        <w:t>As regards the counter-application:</w:t>
      </w:r>
    </w:p>
    <w:p w:rsidR="00E23DE2" w:rsidRDefault="00E23DE2" w:rsidP="00864C9F">
      <w:pPr>
        <w:pStyle w:val="NormalWeb"/>
        <w:numPr>
          <w:ilvl w:val="1"/>
          <w:numId w:val="11"/>
        </w:numPr>
        <w:shd w:val="clear" w:color="auto" w:fill="FFFFFF"/>
        <w:spacing w:before="144" w:beforeAutospacing="0" w:after="0" w:afterAutospacing="0" w:line="360" w:lineRule="auto"/>
        <w:ind w:left="1843" w:hanging="567"/>
        <w:jc w:val="both"/>
        <w:rPr>
          <w:rFonts w:asciiTheme="minorHAnsi" w:hAnsiTheme="minorHAnsi" w:cstheme="minorHAnsi"/>
          <w:sz w:val="26"/>
          <w:szCs w:val="26"/>
        </w:rPr>
      </w:pPr>
      <w:r>
        <w:rPr>
          <w:rFonts w:asciiTheme="minorHAnsi" w:hAnsiTheme="minorHAnsi" w:cstheme="minorHAnsi"/>
          <w:sz w:val="26"/>
          <w:szCs w:val="26"/>
        </w:rPr>
        <w:t>The powers of the first and second respondents</w:t>
      </w:r>
      <w:r w:rsidR="007E7AF2">
        <w:rPr>
          <w:rFonts w:asciiTheme="minorHAnsi" w:hAnsiTheme="minorHAnsi" w:cstheme="minorHAnsi"/>
          <w:sz w:val="26"/>
          <w:szCs w:val="26"/>
        </w:rPr>
        <w:t>, as the joint provisional trustees of the insolvent estate of AMF De Magalhaes (‘the insolvent estate’) are extended in terms of section 18(3) of the Insolvency Act, 24 of 1936 in order to allow the joint trustees to:</w:t>
      </w:r>
    </w:p>
    <w:p w:rsidR="007E7AF2" w:rsidRDefault="007E7AF2" w:rsidP="00864C9F">
      <w:pPr>
        <w:pStyle w:val="NormalWeb"/>
        <w:numPr>
          <w:ilvl w:val="2"/>
          <w:numId w:val="11"/>
        </w:numPr>
        <w:shd w:val="clear" w:color="auto" w:fill="FFFFFF"/>
        <w:spacing w:before="144" w:beforeAutospacing="0" w:after="0" w:afterAutospacing="0" w:line="360" w:lineRule="auto"/>
        <w:jc w:val="both"/>
        <w:rPr>
          <w:rFonts w:asciiTheme="minorHAnsi" w:hAnsiTheme="minorHAnsi" w:cstheme="minorHAnsi"/>
          <w:sz w:val="26"/>
          <w:szCs w:val="26"/>
        </w:rPr>
      </w:pPr>
      <w:r>
        <w:rPr>
          <w:rFonts w:asciiTheme="minorHAnsi" w:hAnsiTheme="minorHAnsi" w:cstheme="minorHAnsi"/>
          <w:sz w:val="26"/>
          <w:szCs w:val="26"/>
        </w:rPr>
        <w:t>Defend the main application in the name and on behalf of the creditors of the insolvent estate; and</w:t>
      </w:r>
    </w:p>
    <w:p w:rsidR="007E7AF2" w:rsidRPr="00F945BC" w:rsidRDefault="007E7AF2" w:rsidP="00864C9F">
      <w:pPr>
        <w:pStyle w:val="NormalWeb"/>
        <w:numPr>
          <w:ilvl w:val="2"/>
          <w:numId w:val="11"/>
        </w:numPr>
        <w:shd w:val="clear" w:color="auto" w:fill="FFFFFF"/>
        <w:spacing w:before="144" w:beforeAutospacing="0" w:after="0" w:afterAutospacing="0" w:line="360" w:lineRule="auto"/>
        <w:jc w:val="both"/>
        <w:rPr>
          <w:rFonts w:asciiTheme="minorHAnsi" w:hAnsiTheme="minorHAnsi" w:cstheme="minorHAnsi"/>
          <w:sz w:val="26"/>
          <w:szCs w:val="26"/>
        </w:rPr>
      </w:pPr>
      <w:r>
        <w:rPr>
          <w:rFonts w:asciiTheme="minorHAnsi" w:hAnsiTheme="minorHAnsi" w:cstheme="minorHAnsi"/>
          <w:sz w:val="26"/>
          <w:szCs w:val="26"/>
        </w:rPr>
        <w:t>Engage the services of Attorneys and Counsel, to agree to such fees, charges and costing and to make payment of those costs in the normal course of litigation, which costs shall be regarded as costs in the administration of the insolvent estate.</w:t>
      </w:r>
    </w:p>
    <w:p w:rsidR="0091783B" w:rsidRDefault="007E7AF2" w:rsidP="00864C9F">
      <w:pPr>
        <w:pStyle w:val="NormalWeb"/>
        <w:numPr>
          <w:ilvl w:val="1"/>
          <w:numId w:val="11"/>
        </w:numPr>
        <w:shd w:val="clear" w:color="auto" w:fill="FFFFFF"/>
        <w:spacing w:before="144" w:beforeAutospacing="0" w:after="0" w:afterAutospacing="0" w:line="360" w:lineRule="auto"/>
        <w:ind w:left="1843" w:hanging="567"/>
        <w:jc w:val="both"/>
        <w:rPr>
          <w:rFonts w:asciiTheme="minorHAnsi" w:hAnsiTheme="minorHAnsi" w:cstheme="minorHAnsi"/>
          <w:sz w:val="26"/>
          <w:szCs w:val="26"/>
        </w:rPr>
      </w:pPr>
      <w:r>
        <w:rPr>
          <w:rFonts w:asciiTheme="minorHAnsi" w:hAnsiTheme="minorHAnsi" w:cstheme="minorHAnsi"/>
          <w:sz w:val="26"/>
          <w:szCs w:val="26"/>
        </w:rPr>
        <w:t>The affidavit of Sean Christensen N.O. dated 23 July 2020, together with all supporting documents annexed thereto is to stand as the first and second respondents’ answering affidavit in the main application.</w:t>
      </w:r>
    </w:p>
    <w:p w:rsidR="007E7AF2" w:rsidRPr="00F945BC" w:rsidRDefault="007E7AF2" w:rsidP="00864C9F">
      <w:pPr>
        <w:pStyle w:val="NormalWeb"/>
        <w:numPr>
          <w:ilvl w:val="1"/>
          <w:numId w:val="11"/>
        </w:numPr>
        <w:shd w:val="clear" w:color="auto" w:fill="FFFFFF"/>
        <w:spacing w:before="144" w:beforeAutospacing="0" w:after="0" w:afterAutospacing="0" w:line="360" w:lineRule="auto"/>
        <w:ind w:left="1843" w:hanging="567"/>
        <w:jc w:val="both"/>
        <w:rPr>
          <w:rFonts w:asciiTheme="minorHAnsi" w:hAnsiTheme="minorHAnsi" w:cstheme="minorHAnsi"/>
          <w:sz w:val="26"/>
          <w:szCs w:val="26"/>
        </w:rPr>
      </w:pPr>
      <w:r>
        <w:rPr>
          <w:rFonts w:asciiTheme="minorHAnsi" w:hAnsiTheme="minorHAnsi" w:cstheme="minorHAnsi"/>
          <w:sz w:val="26"/>
          <w:szCs w:val="26"/>
        </w:rPr>
        <w:t>The costs of the counter-application shall be costs in the sequestration proceedings</w:t>
      </w:r>
      <w:r w:rsidR="00864C9F">
        <w:rPr>
          <w:rFonts w:asciiTheme="minorHAnsi" w:hAnsiTheme="minorHAnsi" w:cstheme="minorHAnsi"/>
          <w:sz w:val="26"/>
          <w:szCs w:val="26"/>
        </w:rPr>
        <w:t xml:space="preserve"> pertaining to the insolvent estate.</w:t>
      </w:r>
    </w:p>
    <w:p w:rsidR="0091783B" w:rsidRDefault="0091783B" w:rsidP="0091783B">
      <w:pPr>
        <w:pStyle w:val="ListParagraph"/>
        <w:rPr>
          <w:rFonts w:asciiTheme="minorHAnsi" w:hAnsiTheme="minorHAnsi" w:cstheme="minorHAnsi"/>
          <w:sz w:val="26"/>
          <w:szCs w:val="26"/>
        </w:rPr>
      </w:pPr>
    </w:p>
    <w:p w:rsidR="00864C9F" w:rsidRDefault="00864C9F" w:rsidP="0091783B">
      <w:pPr>
        <w:pStyle w:val="ListParagraph"/>
        <w:rPr>
          <w:rFonts w:asciiTheme="minorHAnsi" w:hAnsiTheme="minorHAnsi" w:cstheme="minorHAnsi"/>
          <w:sz w:val="26"/>
          <w:szCs w:val="26"/>
        </w:rPr>
      </w:pPr>
    </w:p>
    <w:p w:rsidR="00AE6DB2" w:rsidRDefault="00AE6DB2" w:rsidP="0091783B">
      <w:pPr>
        <w:pStyle w:val="ListParagraph"/>
        <w:rPr>
          <w:rFonts w:asciiTheme="minorHAnsi" w:hAnsiTheme="minorHAnsi" w:cstheme="minorHAnsi"/>
          <w:sz w:val="26"/>
          <w:szCs w:val="26"/>
        </w:rPr>
      </w:pPr>
    </w:p>
    <w:p w:rsidR="0091783B" w:rsidRPr="00C5002D" w:rsidRDefault="0091783B" w:rsidP="0091783B">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91783B" w:rsidRPr="00877F1E" w:rsidRDefault="0091783B" w:rsidP="0091783B">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91783B" w:rsidRPr="00877F1E" w:rsidRDefault="0091783B" w:rsidP="0091783B">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91783B" w:rsidRPr="00877F1E" w:rsidRDefault="0091783B" w:rsidP="0091783B">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91783B" w:rsidRDefault="0091783B" w:rsidP="0091783B">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91783B" w:rsidRPr="008E28FB" w:rsidRDefault="0091783B" w:rsidP="0091783B">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BE7742">
        <w:rPr>
          <w:rFonts w:asciiTheme="minorHAnsi" w:hAnsiTheme="minorHAnsi" w:cstheme="minorHAnsi"/>
          <w:sz w:val="24"/>
          <w:szCs w:val="24"/>
        </w:rPr>
        <w:t>11</w:t>
      </w:r>
      <w:r>
        <w:rPr>
          <w:rFonts w:asciiTheme="minorHAnsi" w:hAnsiTheme="minorHAnsi" w:cstheme="minorHAnsi"/>
          <w:sz w:val="24"/>
          <w:szCs w:val="24"/>
        </w:rPr>
        <w:t xml:space="preserve"> May 2022</w:t>
      </w:r>
    </w:p>
    <w:p w:rsidR="0091783B" w:rsidRPr="008E28FB" w:rsidRDefault="0091783B" w:rsidP="0091783B">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864C9F">
        <w:rPr>
          <w:rFonts w:asciiTheme="minorHAnsi" w:hAnsiTheme="minorHAnsi" w:cstheme="minorHAnsi"/>
          <w:sz w:val="24"/>
          <w:szCs w:val="24"/>
        </w:rPr>
        <w:t>27</w:t>
      </w:r>
      <w:r>
        <w:rPr>
          <w:rFonts w:asciiTheme="minorHAnsi" w:hAnsiTheme="minorHAnsi" w:cstheme="minorHAnsi"/>
          <w:sz w:val="24"/>
          <w:szCs w:val="24"/>
        </w:rPr>
        <w:t xml:space="preserve"> July 2022</w:t>
      </w:r>
    </w:p>
    <w:p w:rsidR="0091783B" w:rsidRDefault="0091783B" w:rsidP="0091783B">
      <w:pPr>
        <w:pStyle w:val="ListParagraph"/>
        <w:ind w:left="0"/>
        <w:rPr>
          <w:rFonts w:asciiTheme="minorHAnsi" w:hAnsiTheme="minorHAnsi" w:cstheme="minorHAnsi"/>
          <w:sz w:val="24"/>
          <w:szCs w:val="24"/>
        </w:rPr>
      </w:pPr>
    </w:p>
    <w:p w:rsidR="0091783B" w:rsidRDefault="0091783B" w:rsidP="0091783B">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864C9F">
        <w:rPr>
          <w:i/>
        </w:rPr>
        <w:t>27</w:t>
      </w:r>
      <w:r>
        <w:rPr>
          <w:i/>
        </w:rPr>
        <w:t xml:space="preserve"> July</w:t>
      </w:r>
      <w:r w:rsidRPr="00D626A3">
        <w:rPr>
          <w:i/>
        </w:rPr>
        <w:t xml:space="preserve"> 202</w:t>
      </w:r>
      <w:r>
        <w:rPr>
          <w:i/>
        </w:rPr>
        <w:t>2</w:t>
      </w:r>
      <w:r w:rsidRPr="00D626A3">
        <w:rPr>
          <w:i/>
        </w:rPr>
        <w:t>.</w:t>
      </w:r>
    </w:p>
    <w:p w:rsidR="0091783B" w:rsidRDefault="0091783B" w:rsidP="0091783B">
      <w:pPr>
        <w:pStyle w:val="ListParagraph"/>
        <w:ind w:left="0"/>
        <w:rPr>
          <w:rFonts w:asciiTheme="minorHAnsi" w:hAnsiTheme="minorHAnsi" w:cstheme="minorHAnsi"/>
          <w:sz w:val="24"/>
          <w:szCs w:val="24"/>
        </w:rPr>
      </w:pPr>
    </w:p>
    <w:p w:rsidR="0091783B" w:rsidRPr="008E28FB" w:rsidRDefault="0091783B" w:rsidP="0091783B">
      <w:pPr>
        <w:pStyle w:val="ListParagraph"/>
        <w:ind w:left="0"/>
        <w:rPr>
          <w:rFonts w:asciiTheme="minorHAnsi" w:hAnsiTheme="minorHAnsi" w:cstheme="minorHAnsi"/>
          <w:sz w:val="24"/>
          <w:szCs w:val="24"/>
        </w:rPr>
      </w:pPr>
    </w:p>
    <w:p w:rsidR="0091783B" w:rsidRPr="008E28FB" w:rsidRDefault="0091783B" w:rsidP="0091783B">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91783B" w:rsidRPr="008E28FB" w:rsidRDefault="0091783B" w:rsidP="0091783B">
      <w:pPr>
        <w:pStyle w:val="ListParagraph"/>
        <w:ind w:left="0"/>
        <w:rPr>
          <w:rFonts w:asciiTheme="minorHAnsi" w:hAnsiTheme="minorHAnsi" w:cstheme="minorHAnsi"/>
          <w:sz w:val="24"/>
          <w:szCs w:val="24"/>
        </w:rPr>
      </w:pPr>
    </w:p>
    <w:p w:rsidR="0091783B" w:rsidRPr="008E28FB" w:rsidRDefault="0091783B" w:rsidP="0091783B">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 (main application/</w:t>
      </w:r>
      <w:r>
        <w:rPr>
          <w:rFonts w:asciiTheme="minorHAnsi" w:hAnsiTheme="minorHAnsi" w:cstheme="minorHAnsi"/>
          <w:sz w:val="24"/>
          <w:szCs w:val="24"/>
        </w:rPr>
        <w:tab/>
      </w:r>
      <w:r>
        <w:rPr>
          <w:rFonts w:asciiTheme="minorHAnsi" w:hAnsiTheme="minorHAnsi" w:cstheme="minorHAnsi"/>
          <w:sz w:val="24"/>
          <w:szCs w:val="24"/>
        </w:rPr>
        <w:tab/>
      </w:r>
      <w:r w:rsidR="006875FF">
        <w:rPr>
          <w:rFonts w:asciiTheme="minorHAnsi" w:hAnsiTheme="minorHAnsi" w:cstheme="minorHAnsi"/>
          <w:sz w:val="24"/>
          <w:szCs w:val="24"/>
        </w:rPr>
        <w:tab/>
      </w:r>
      <w:r>
        <w:rPr>
          <w:rFonts w:asciiTheme="minorHAnsi" w:hAnsiTheme="minorHAnsi" w:cstheme="minorHAnsi"/>
          <w:sz w:val="24"/>
          <w:szCs w:val="24"/>
        </w:rPr>
        <w:t xml:space="preserve">Adv </w:t>
      </w:r>
      <w:r w:rsidR="00BE7742">
        <w:rPr>
          <w:rFonts w:asciiTheme="minorHAnsi" w:hAnsiTheme="minorHAnsi" w:cstheme="minorHAnsi"/>
          <w:sz w:val="24"/>
          <w:szCs w:val="24"/>
        </w:rPr>
        <w:t>F. Slabbert</w:t>
      </w:r>
    </w:p>
    <w:p w:rsidR="0091783B" w:rsidRDefault="0091783B" w:rsidP="0091783B">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Respondent in </w:t>
      </w:r>
      <w:r w:rsidR="006875FF">
        <w:rPr>
          <w:rFonts w:asciiTheme="minorHAnsi" w:hAnsiTheme="minorHAnsi" w:cstheme="minorHAnsi"/>
          <w:sz w:val="24"/>
          <w:szCs w:val="24"/>
        </w:rPr>
        <w:t>counter-</w:t>
      </w:r>
      <w:r>
        <w:rPr>
          <w:rFonts w:asciiTheme="minorHAnsi" w:hAnsiTheme="minorHAnsi" w:cstheme="minorHAnsi"/>
          <w:sz w:val="24"/>
          <w:szCs w:val="24"/>
        </w:rPr>
        <w:t>application)</w:t>
      </w:r>
    </w:p>
    <w:p w:rsidR="0091783B" w:rsidRDefault="0091783B" w:rsidP="0091783B">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6875FF">
        <w:rPr>
          <w:rFonts w:asciiTheme="minorHAnsi" w:hAnsiTheme="minorHAnsi" w:cstheme="minorHAnsi"/>
          <w:sz w:val="24"/>
          <w:szCs w:val="24"/>
        </w:rPr>
        <w:tab/>
      </w:r>
      <w:r w:rsidR="00BE7742">
        <w:rPr>
          <w:rFonts w:asciiTheme="minorHAnsi" w:hAnsiTheme="minorHAnsi" w:cstheme="minorHAnsi"/>
          <w:sz w:val="24"/>
          <w:szCs w:val="24"/>
        </w:rPr>
        <w:t>Ewart</w:t>
      </w:r>
      <w:r>
        <w:rPr>
          <w:rFonts w:asciiTheme="minorHAnsi" w:hAnsiTheme="minorHAnsi" w:cstheme="minorHAnsi"/>
          <w:sz w:val="24"/>
          <w:szCs w:val="24"/>
        </w:rPr>
        <w:t xml:space="preserve"> Attorneys</w:t>
      </w:r>
    </w:p>
    <w:p w:rsidR="0091783B" w:rsidRPr="008E28FB" w:rsidRDefault="0091783B" w:rsidP="0091783B">
      <w:pPr>
        <w:ind w:left="4320" w:hanging="4320"/>
        <w:jc w:val="both"/>
        <w:rPr>
          <w:rFonts w:asciiTheme="minorHAnsi" w:hAnsiTheme="minorHAnsi" w:cstheme="minorHAnsi"/>
          <w:sz w:val="24"/>
          <w:szCs w:val="24"/>
        </w:rPr>
      </w:pPr>
    </w:p>
    <w:p w:rsidR="007E7AF2" w:rsidRDefault="0091783B" w:rsidP="007E7AF2">
      <w:r>
        <w:t xml:space="preserve">Counsel for </w:t>
      </w:r>
      <w:r w:rsidR="006875FF">
        <w:t>1</w:t>
      </w:r>
      <w:r w:rsidR="006875FF" w:rsidRPr="006875FF">
        <w:rPr>
          <w:vertAlign w:val="superscript"/>
        </w:rPr>
        <w:t>st</w:t>
      </w:r>
      <w:r w:rsidR="006875FF">
        <w:t xml:space="preserve"> &amp; 2</w:t>
      </w:r>
      <w:r w:rsidR="006875FF" w:rsidRPr="006875FF">
        <w:rPr>
          <w:vertAlign w:val="superscript"/>
        </w:rPr>
        <w:t>nd</w:t>
      </w:r>
      <w:r w:rsidR="006875FF">
        <w:t xml:space="preserve"> </w:t>
      </w:r>
      <w:r>
        <w:t>Respondent</w:t>
      </w:r>
      <w:r w:rsidR="006875FF">
        <w:t>s</w:t>
      </w:r>
      <w:r>
        <w:t xml:space="preserve"> </w:t>
      </w:r>
      <w:r w:rsidR="00864C9F">
        <w:tab/>
      </w:r>
      <w:r w:rsidR="00864C9F">
        <w:tab/>
      </w:r>
      <w:r w:rsidR="00864C9F">
        <w:tab/>
      </w:r>
      <w:r w:rsidR="00864C9F">
        <w:tab/>
        <w:t>Adv A. Vorster</w:t>
      </w:r>
    </w:p>
    <w:p w:rsidR="0091783B" w:rsidRDefault="006875FF" w:rsidP="006875FF">
      <w:pPr>
        <w:ind w:left="5760" w:hanging="5760"/>
      </w:pPr>
      <w:r>
        <w:t>Attorneys for 1</w:t>
      </w:r>
      <w:r w:rsidRPr="006875FF">
        <w:rPr>
          <w:vertAlign w:val="superscript"/>
        </w:rPr>
        <w:t>st</w:t>
      </w:r>
      <w:r>
        <w:t xml:space="preserve"> &amp; 2</w:t>
      </w:r>
      <w:r w:rsidRPr="006875FF">
        <w:rPr>
          <w:vertAlign w:val="superscript"/>
        </w:rPr>
        <w:t>nd</w:t>
      </w:r>
      <w:r>
        <w:t xml:space="preserve"> respondents</w:t>
      </w:r>
      <w:r>
        <w:tab/>
      </w:r>
      <w:r w:rsidR="00864C9F">
        <w:t>Cox Yeats Attorneys</w:t>
      </w:r>
      <w:r>
        <w:t xml:space="preserve"> </w:t>
      </w:r>
    </w:p>
    <w:p w:rsidR="0091783B" w:rsidRDefault="0091783B" w:rsidP="0091783B"/>
    <w:sectPr w:rsidR="0091783B" w:rsidSect="00DA7C1F">
      <w:headerReference w:type="default" r:id="rId11"/>
      <w:head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7E" w:rsidRDefault="00116A7E" w:rsidP="0091783B">
      <w:r>
        <w:separator/>
      </w:r>
    </w:p>
  </w:endnote>
  <w:endnote w:type="continuationSeparator" w:id="0">
    <w:p w:rsidR="00116A7E" w:rsidRDefault="00116A7E" w:rsidP="0091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7E" w:rsidRDefault="00116A7E" w:rsidP="0091783B">
      <w:r>
        <w:separator/>
      </w:r>
    </w:p>
  </w:footnote>
  <w:footnote w:type="continuationSeparator" w:id="0">
    <w:p w:rsidR="00116A7E" w:rsidRDefault="00116A7E" w:rsidP="0091783B">
      <w:r>
        <w:continuationSeparator/>
      </w:r>
    </w:p>
  </w:footnote>
  <w:footnote w:id="1">
    <w:p w:rsidR="005074F6" w:rsidRPr="00C605F7" w:rsidRDefault="005074F6" w:rsidP="005074F6">
      <w:pPr>
        <w:pStyle w:val="FootnoteText"/>
        <w:rPr>
          <w:lang w:val="en-US"/>
        </w:rPr>
      </w:pPr>
      <w:r>
        <w:rPr>
          <w:rStyle w:val="FootnoteReference"/>
        </w:rPr>
        <w:footnoteRef/>
      </w:r>
      <w:r>
        <w:t xml:space="preserve"> </w:t>
      </w:r>
      <w:r>
        <w:rPr>
          <w:lang w:val="en-US"/>
        </w:rPr>
        <w:t>The notice is contained in Annexure ‘AA40’ to the answering affidavit at 04-244.</w:t>
      </w:r>
    </w:p>
  </w:footnote>
  <w:footnote w:id="2">
    <w:p w:rsidR="00E46D99" w:rsidRPr="007A0F25" w:rsidRDefault="00E46D99" w:rsidP="007A0F25">
      <w:pPr>
        <w:pStyle w:val="FootnoteText"/>
        <w:jc w:val="both"/>
        <w:rPr>
          <w:lang w:val="en-US"/>
        </w:rPr>
      </w:pPr>
      <w:r>
        <w:rPr>
          <w:rStyle w:val="FootnoteReference"/>
        </w:rPr>
        <w:footnoteRef/>
      </w:r>
      <w:r>
        <w:t xml:space="preserve"> According to the applicant, </w:t>
      </w:r>
      <w:r w:rsidRPr="007A0F25">
        <w:t>an amount of</w:t>
      </w:r>
      <w:r>
        <w:rPr>
          <w:rFonts w:asciiTheme="minorHAnsi" w:hAnsiTheme="minorHAnsi" w:cstheme="minorHAnsi"/>
          <w:sz w:val="26"/>
          <w:szCs w:val="26"/>
        </w:rPr>
        <w:t xml:space="preserve"> </w:t>
      </w:r>
      <w:r w:rsidRPr="007A0F25">
        <w:t xml:space="preserve">R1,741 896.56 was initially held in the </w:t>
      </w:r>
      <w:r>
        <w:t>trust account of the respondents. It is not clear from the papers whether this amount that was the amount withdrawn by from the FNB maximiser account and thereafter deposited in the bank account of the sequestrated estate, or whether the full balance of</w:t>
      </w:r>
      <w:r w:rsidRPr="006A6E85">
        <w:rPr>
          <w:rFonts w:asciiTheme="minorHAnsi" w:hAnsiTheme="minorHAnsi" w:cstheme="minorHAnsi"/>
          <w:sz w:val="26"/>
          <w:szCs w:val="26"/>
        </w:rPr>
        <w:t xml:space="preserve"> </w:t>
      </w:r>
      <w:r w:rsidRPr="006A6E85">
        <w:t>R1,830 901.52</w:t>
      </w:r>
      <w:r>
        <w:t xml:space="preserve"> was withdrawn, however, nothing really turns on this. </w:t>
      </w:r>
    </w:p>
  </w:footnote>
  <w:footnote w:id="3">
    <w:p w:rsidR="00E46D99" w:rsidRPr="00717594" w:rsidRDefault="00E46D99" w:rsidP="00124820">
      <w:pPr>
        <w:pStyle w:val="FootnoteText"/>
        <w:rPr>
          <w:lang w:val="en-US"/>
        </w:rPr>
      </w:pPr>
      <w:r>
        <w:rPr>
          <w:rStyle w:val="FootnoteReference"/>
        </w:rPr>
        <w:footnoteRef/>
      </w:r>
      <w:r>
        <w:t xml:space="preserve"> See: </w:t>
      </w:r>
      <w:r>
        <w:rPr>
          <w:lang w:val="en-US"/>
        </w:rPr>
        <w:t>Meskin’s Law of Insolvency at par 5.1 and the authority cited therein.</w:t>
      </w:r>
    </w:p>
  </w:footnote>
  <w:footnote w:id="4">
    <w:p w:rsidR="00E46D99" w:rsidRPr="001C28E8" w:rsidRDefault="00E46D99">
      <w:pPr>
        <w:pStyle w:val="FootnoteText"/>
        <w:rPr>
          <w:lang w:val="en-US"/>
        </w:rPr>
      </w:pPr>
      <w:r>
        <w:rPr>
          <w:rStyle w:val="FootnoteReference"/>
        </w:rPr>
        <w:footnoteRef/>
      </w:r>
      <w:r>
        <w:t xml:space="preserve"> </w:t>
      </w:r>
      <w:r>
        <w:rPr>
          <w:lang w:val="en-US"/>
        </w:rPr>
        <w:t xml:space="preserve"> </w:t>
      </w:r>
      <w:r w:rsidRPr="00B67288">
        <w:rPr>
          <w:i/>
        </w:rPr>
        <w:t>Davies v Van den Heever NO</w:t>
      </w:r>
      <w:r w:rsidRPr="008C17A9">
        <w:t xml:space="preserve"> (16865/17) [2019] ZAGPJHC 59 (1 March 2019)</w:t>
      </w:r>
      <w:r>
        <w:t xml:space="preserve"> at paras 21 &amp; 22.</w:t>
      </w:r>
    </w:p>
  </w:footnote>
  <w:footnote w:id="5">
    <w:p w:rsidR="00E46D99" w:rsidRPr="00E81F93" w:rsidRDefault="00E46D99" w:rsidP="003A7347">
      <w:pPr>
        <w:pStyle w:val="FootnoteText"/>
      </w:pPr>
      <w:r>
        <w:rPr>
          <w:rStyle w:val="FootnoteReference"/>
        </w:rPr>
        <w:footnoteRef/>
      </w:r>
      <w:r>
        <w:t xml:space="preserve"> </w:t>
      </w:r>
      <w:r w:rsidRPr="00B67288">
        <w:rPr>
          <w:i/>
        </w:rPr>
        <w:t>Beddy N.O v Van der Westehuizen</w:t>
      </w:r>
      <w:r>
        <w:t xml:space="preserve"> 1999 (3) SA 913 (SCA) at 917D - F</w:t>
      </w:r>
    </w:p>
  </w:footnote>
  <w:footnote w:id="6">
    <w:p w:rsidR="00E46D99" w:rsidRPr="009D0BE9" w:rsidRDefault="00E46D99" w:rsidP="00A40E2A">
      <w:pPr>
        <w:pStyle w:val="FootnoteText"/>
      </w:pPr>
      <w:r>
        <w:rPr>
          <w:rStyle w:val="FootnoteReference"/>
        </w:rPr>
        <w:footnoteRef/>
      </w:r>
      <w:r>
        <w:t xml:space="preserve"> 1931 AD 501 at 507 to 508</w:t>
      </w:r>
    </w:p>
  </w:footnote>
  <w:footnote w:id="7">
    <w:p w:rsidR="00E46D99" w:rsidRPr="002B0FAC" w:rsidRDefault="00E46D99">
      <w:pPr>
        <w:pStyle w:val="FootnoteText"/>
        <w:rPr>
          <w:lang w:val="en-US"/>
        </w:rPr>
      </w:pPr>
      <w:r>
        <w:rPr>
          <w:rStyle w:val="FootnoteReference"/>
        </w:rPr>
        <w:footnoteRef/>
      </w:r>
      <w:r>
        <w:t xml:space="preserve"> Constitution of the Republic of South Africa, 1996. In terms of s25(1), no-one may be deprived of property except in terms of law of general application and no law may permit arbitrary deprivation of property.</w:t>
      </w:r>
    </w:p>
  </w:footnote>
  <w:footnote w:id="8">
    <w:p w:rsidR="00E46D99" w:rsidRDefault="00E46D99">
      <w:pPr>
        <w:pStyle w:val="FootnoteText"/>
        <w:rPr>
          <w:rFonts w:eastAsia="Times New Roman"/>
        </w:rPr>
      </w:pPr>
      <w:r>
        <w:rPr>
          <w:rStyle w:val="FootnoteReference"/>
        </w:rPr>
        <w:footnoteRef/>
      </w:r>
      <w:r>
        <w:t xml:space="preserve"> </w:t>
      </w:r>
      <w:r>
        <w:rPr>
          <w:lang w:val="en-US"/>
        </w:rPr>
        <w:t xml:space="preserve">See: </w:t>
      </w:r>
      <w:r w:rsidRPr="0001223B">
        <w:rPr>
          <w:rFonts w:eastAsia="Times New Roman"/>
          <w:i/>
        </w:rPr>
        <w:t>Harksen v Lane NO and Others</w:t>
      </w:r>
      <w:r w:rsidRPr="0001223B">
        <w:rPr>
          <w:rFonts w:eastAsia="Times New Roman"/>
        </w:rPr>
        <w:t xml:space="preserve"> (CCT9/97) [1997] ZACC 12; 1997 (11) BCLR 1489; 1998 (1) SA 300 (7 October 1997)</w:t>
      </w:r>
      <w:r>
        <w:rPr>
          <w:rFonts w:eastAsia="Times New Roman"/>
        </w:rPr>
        <w:t xml:space="preserve"> at paras 35-37 and 59-60, where, </w:t>
      </w:r>
      <w:r w:rsidRPr="006C2AFE">
        <w:rPr>
          <w:rFonts w:eastAsia="Times New Roman"/>
          <w:i/>
        </w:rPr>
        <w:t>inter alia</w:t>
      </w:r>
      <w:r>
        <w:rPr>
          <w:rFonts w:eastAsia="Times New Roman"/>
        </w:rPr>
        <w:t>, the following was said:</w:t>
      </w:r>
    </w:p>
    <w:p w:rsidR="00E46D99" w:rsidRPr="0001223B" w:rsidRDefault="00E46D99" w:rsidP="00E114F0">
      <w:pPr>
        <w:pStyle w:val="NormalWeb"/>
        <w:shd w:val="clear" w:color="auto" w:fill="FFFFFF"/>
        <w:spacing w:before="144" w:beforeAutospacing="0" w:after="0" w:afterAutospacing="0" w:line="276" w:lineRule="auto"/>
        <w:ind w:left="480"/>
        <w:jc w:val="both"/>
        <w:rPr>
          <w:rFonts w:ascii="Arial" w:hAnsi="Arial" w:cs="Arial"/>
          <w:color w:val="242121"/>
          <w:sz w:val="20"/>
          <w:szCs w:val="20"/>
        </w:rPr>
      </w:pPr>
      <w:r>
        <w:t>“</w:t>
      </w:r>
      <w:r w:rsidRPr="0001223B">
        <w:rPr>
          <w:rFonts w:ascii="Arial" w:hAnsi="Arial" w:cs="Arial"/>
          <w:color w:val="242121"/>
          <w:sz w:val="20"/>
          <w:szCs w:val="20"/>
          <w:lang w:val="en-GB"/>
        </w:rPr>
        <w:t xml:space="preserve">The purpose and effect </w:t>
      </w:r>
      <w:r>
        <w:rPr>
          <w:rFonts w:ascii="Arial" w:hAnsi="Arial" w:cs="Arial"/>
          <w:color w:val="242121"/>
          <w:sz w:val="20"/>
          <w:szCs w:val="20"/>
          <w:lang w:val="en-GB"/>
        </w:rPr>
        <w:t xml:space="preserve">[of s 21(1)] </w:t>
      </w:r>
      <w:r w:rsidRPr="0001223B">
        <w:rPr>
          <w:rFonts w:ascii="Arial" w:hAnsi="Arial" w:cs="Arial"/>
          <w:color w:val="242121"/>
          <w:sz w:val="20"/>
          <w:szCs w:val="20"/>
          <w:lang w:val="en-GB"/>
        </w:rPr>
        <w:t>is clearly not to divest, save temporarily, the solvent spouse of the ownership of property that is in fact his or hers. The purpose is to ensure that the insolvent estate is not deprived of property to which it is entitled.</w:t>
      </w:r>
      <w:bookmarkStart w:id="5" w:name="sdfootnote28anc"/>
      <w:r w:rsidRPr="0001223B">
        <w:rPr>
          <w:rFonts w:ascii="Arial" w:hAnsi="Arial" w:cs="Arial"/>
          <w:color w:val="242121"/>
          <w:sz w:val="20"/>
          <w:szCs w:val="20"/>
          <w:vertAlign w:val="superscript"/>
        </w:rPr>
        <w:fldChar w:fldCharType="begin"/>
      </w:r>
      <w:r w:rsidRPr="0001223B">
        <w:rPr>
          <w:rFonts w:ascii="Arial" w:hAnsi="Arial" w:cs="Arial"/>
          <w:color w:val="242121"/>
          <w:sz w:val="20"/>
          <w:szCs w:val="20"/>
          <w:vertAlign w:val="superscript"/>
        </w:rPr>
        <w:instrText xml:space="preserve"> HYPERLINK "http://www.saflii.org/za/cases/ZACC/1997/12.html" \l "sdfootnote28sym" </w:instrText>
      </w:r>
      <w:r w:rsidRPr="0001223B">
        <w:rPr>
          <w:rFonts w:ascii="Arial" w:hAnsi="Arial" w:cs="Arial"/>
          <w:color w:val="242121"/>
          <w:sz w:val="20"/>
          <w:szCs w:val="20"/>
          <w:vertAlign w:val="superscript"/>
        </w:rPr>
        <w:fldChar w:fldCharType="separate"/>
      </w:r>
      <w:r w:rsidRPr="0001223B">
        <w:rPr>
          <w:rStyle w:val="Hyperlink"/>
          <w:rFonts w:ascii="Arial" w:eastAsiaTheme="majorEastAsia" w:hAnsi="Arial" w:cs="Arial"/>
          <w:b/>
          <w:bCs/>
          <w:color w:val="0B4B0B"/>
          <w:sz w:val="20"/>
          <w:szCs w:val="20"/>
          <w:vertAlign w:val="superscript"/>
        </w:rPr>
        <w:t>28</w:t>
      </w:r>
      <w:r w:rsidRPr="0001223B">
        <w:rPr>
          <w:rFonts w:ascii="Arial" w:hAnsi="Arial" w:cs="Arial"/>
          <w:color w:val="242121"/>
          <w:sz w:val="20"/>
          <w:szCs w:val="20"/>
          <w:vertAlign w:val="superscript"/>
        </w:rPr>
        <w:fldChar w:fldCharType="end"/>
      </w:r>
      <w:bookmarkEnd w:id="5"/>
      <w:r>
        <w:rPr>
          <w:rFonts w:ascii="Arial" w:hAnsi="Arial" w:cs="Arial"/>
          <w:color w:val="242121"/>
          <w:sz w:val="20"/>
          <w:szCs w:val="20"/>
          <w:lang w:val="en-GB"/>
        </w:rPr>
        <w:t xml:space="preserve"> </w:t>
      </w:r>
      <w:r w:rsidRPr="0001223B">
        <w:rPr>
          <w:rFonts w:ascii="Arial" w:hAnsi="Arial" w:cs="Arial"/>
          <w:color w:val="242121"/>
          <w:sz w:val="20"/>
          <w:szCs w:val="20"/>
          <w:lang w:val="en-GB"/>
        </w:rPr>
        <w:t xml:space="preserve">The fact that the onus of establishing his or her ownership of the property is placed upon the solvent spouse should not in any way be confused with the purpose of the provision. In any vindicatory action the claimant has to establish ownership. The onus of proof had to be placed on either the </w:t>
      </w:r>
      <w:r>
        <w:rPr>
          <w:rFonts w:ascii="Arial" w:hAnsi="Arial" w:cs="Arial"/>
          <w:color w:val="242121"/>
          <w:sz w:val="20"/>
          <w:szCs w:val="20"/>
          <w:lang w:val="en-GB"/>
        </w:rPr>
        <w:t>M</w:t>
      </w:r>
      <w:r w:rsidRPr="0001223B">
        <w:rPr>
          <w:rFonts w:ascii="Arial" w:hAnsi="Arial" w:cs="Arial"/>
          <w:color w:val="242121"/>
          <w:sz w:val="20"/>
          <w:szCs w:val="20"/>
          <w:lang w:val="en-GB"/>
        </w:rPr>
        <w:t>aster or the trustee or on the solvent spouse. Having regard to which of those parties has access to the relevant facts, the onus was understandably and justifiably placed on the solvent spouse.</w:t>
      </w:r>
    </w:p>
    <w:p w:rsidR="00E46D99" w:rsidRPr="0001223B" w:rsidRDefault="00E46D99" w:rsidP="00E114F0">
      <w:pPr>
        <w:pStyle w:val="NormalWeb"/>
        <w:shd w:val="clear" w:color="auto" w:fill="FFFFFF"/>
        <w:spacing w:before="144" w:beforeAutospacing="0" w:after="0" w:afterAutospacing="0" w:line="276" w:lineRule="auto"/>
        <w:jc w:val="both"/>
        <w:rPr>
          <w:rFonts w:ascii="Arial" w:hAnsi="Arial" w:cs="Arial"/>
          <w:color w:val="242121"/>
          <w:sz w:val="20"/>
          <w:szCs w:val="20"/>
          <w:lang w:val="en-GB"/>
        </w:rPr>
      </w:pPr>
    </w:p>
    <w:p w:rsidR="00E46D99" w:rsidRPr="006F2F4B" w:rsidRDefault="00E46D99" w:rsidP="00E114F0">
      <w:pPr>
        <w:pStyle w:val="NormalWeb"/>
        <w:shd w:val="clear" w:color="auto" w:fill="FFFFFF"/>
        <w:spacing w:before="144" w:beforeAutospacing="0" w:after="0" w:afterAutospacing="0" w:line="276" w:lineRule="auto"/>
        <w:ind w:left="480"/>
        <w:jc w:val="both"/>
        <w:rPr>
          <w:lang w:val="en-US"/>
        </w:rPr>
      </w:pPr>
      <w:r w:rsidRPr="0001223B">
        <w:rPr>
          <w:rFonts w:ascii="Arial" w:hAnsi="Arial" w:cs="Arial"/>
          <w:color w:val="242121"/>
          <w:sz w:val="20"/>
          <w:szCs w:val="20"/>
          <w:lang w:val="en-GB"/>
        </w:rPr>
        <w:t>Again, on the assumption that the effect of section 21 is to “transfer” ownership of the property of the solvent spouse to the Master or the trustee, the section does not contemplate or intend that such transfer should be permanent or for any purpose other than to enable the Master or the trustee to establish whether any such property is in fact that of the insolvent estate. Again, there is no intention to divest the solvent spouse permanently of what is rightfully hers or his or to prejudice the solvent spouse in relation to her or his property. Hence the provisions enabling the solvent spouse to seek the assistance of the court in order to obtain the release of that which is his or hers and to seek the protection of the court in the event of the trustee wishing to sell such</w:t>
      </w:r>
      <w:r>
        <w:rPr>
          <w:color w:val="242121"/>
        </w:rPr>
        <w:t xml:space="preserve"> </w:t>
      </w:r>
      <w:r w:rsidRPr="006C2AFE">
        <w:rPr>
          <w:rFonts w:ascii="Arial" w:hAnsi="Arial" w:cs="Arial"/>
          <w:color w:val="242121"/>
          <w:sz w:val="20"/>
          <w:szCs w:val="20"/>
        </w:rPr>
        <w:t>property prior to its release</w:t>
      </w:r>
      <w:r>
        <w:rPr>
          <w:color w:val="242121"/>
        </w:rPr>
        <w:t>.”</w:t>
      </w:r>
      <w:r>
        <w:rPr>
          <w:rFonts w:ascii="Arial" w:hAnsi="Arial" w:cs="Arial"/>
          <w:sz w:val="20"/>
          <w:szCs w:val="20"/>
        </w:rPr>
        <w:t xml:space="preserve"> (footnotes excluded)</w:t>
      </w:r>
    </w:p>
  </w:footnote>
  <w:footnote w:id="9">
    <w:p w:rsidR="00E46D99" w:rsidRPr="00E114F0" w:rsidRDefault="00E46D99" w:rsidP="00E114F0">
      <w:pPr>
        <w:pStyle w:val="FootnoteText"/>
        <w:jc w:val="both"/>
        <w:rPr>
          <w:lang w:val="en-US"/>
        </w:rPr>
      </w:pPr>
      <w:r>
        <w:rPr>
          <w:rStyle w:val="FootnoteReference"/>
        </w:rPr>
        <w:footnoteRef/>
      </w:r>
      <w:r>
        <w:t xml:space="preserve"> </w:t>
      </w:r>
      <w:r w:rsidRPr="0001223B">
        <w:t xml:space="preserve">In </w:t>
      </w:r>
      <w:r w:rsidRPr="0001223B">
        <w:rPr>
          <w:i/>
          <w:iCs/>
        </w:rPr>
        <w:t>Public Servants Association obo Olufunmilayi Itunu Ubogu v Head of Department of Health, Gauteng and Others</w:t>
      </w:r>
      <w:r w:rsidRPr="0001223B">
        <w:t xml:space="preserve"> [2017] ZACC 45, para [50], the Constitutional court endorsed the cautionary remarks expressed by Jaftha J in </w:t>
      </w:r>
      <w:r w:rsidRPr="0001223B">
        <w:rPr>
          <w:i/>
          <w:iCs/>
        </w:rPr>
        <w:t xml:space="preserve">SATAWU v Garvas </w:t>
      </w:r>
      <w:r w:rsidRPr="0001223B">
        <w:t>[2012] ZACC 13; 2013 (1) SA 83 (CC); 2012 (8) BCLR 840 (CC) (Garvas) at para 114, where he emphasised the n</w:t>
      </w:r>
      <w:r>
        <w:t xml:space="preserve">eed for </w:t>
      </w:r>
      <w:r w:rsidRPr="0001223B">
        <w:t>accuracy in the pleadings</w:t>
      </w:r>
      <w:r>
        <w:t>,</w:t>
      </w:r>
      <w:r w:rsidRPr="0001223B">
        <w:t xml:space="preserve"> </w:t>
      </w:r>
      <w:r>
        <w:t>stating</w:t>
      </w:r>
      <w:r w:rsidRPr="0001223B">
        <w:t xml:space="preserve"> as follows: “</w:t>
      </w:r>
      <w:r w:rsidRPr="0001223B">
        <w:rPr>
          <w:i/>
          <w:iCs/>
          <w:shd w:val="clear" w:color="auto" w:fill="FFFFFF"/>
          <w:lang w:val="en-US"/>
        </w:rPr>
        <w:t>Holding partie</w:t>
      </w:r>
      <w:r>
        <w:rPr>
          <w:i/>
          <w:iCs/>
          <w:shd w:val="clear" w:color="auto" w:fill="FFFFFF"/>
          <w:lang w:val="en-US"/>
        </w:rPr>
        <w:t>s to pleadings is not pedantry.</w:t>
      </w:r>
      <w:r w:rsidRPr="0001223B">
        <w:rPr>
          <w:i/>
          <w:iCs/>
          <w:shd w:val="clear" w:color="auto" w:fill="FFFFFF"/>
          <w:lang w:val="en-US"/>
        </w:rPr>
        <w:t xml:space="preserve"> It is an integral part of the principle of legal certainty which is an element of the rule of law, one of the values on which our Constitution is foun</w:t>
      </w:r>
      <w:r>
        <w:rPr>
          <w:i/>
          <w:iCs/>
          <w:shd w:val="clear" w:color="auto" w:fill="FFFFFF"/>
          <w:lang w:val="en-US"/>
        </w:rPr>
        <w:t>ded.</w:t>
      </w:r>
      <w:r w:rsidRPr="0001223B">
        <w:rPr>
          <w:i/>
          <w:iCs/>
          <w:shd w:val="clear" w:color="auto" w:fill="FFFFFF"/>
          <w:lang w:val="en-US"/>
        </w:rPr>
        <w:t xml:space="preserve"> Every party contemplating a constitutional challenge should know the requirements it needs to satisfy and every other party likely to be affected by the relief sought must know precisely the case it is expected to meet</w:t>
      </w:r>
      <w:r w:rsidRPr="0001223B">
        <w:rPr>
          <w:shd w:val="clear" w:color="auto" w:fill="FFFFFF"/>
          <w:lang w:val="en-US"/>
        </w:rPr>
        <w:t>.</w:t>
      </w:r>
    </w:p>
  </w:footnote>
  <w:footnote w:id="10">
    <w:p w:rsidR="00E46D99" w:rsidRPr="00D53D48" w:rsidRDefault="00E46D99" w:rsidP="007972B3">
      <w:pPr>
        <w:pStyle w:val="FootnoteText"/>
        <w:rPr>
          <w:vertAlign w:val="superscript"/>
        </w:rPr>
      </w:pPr>
      <w:r w:rsidRPr="00D53D48">
        <w:rPr>
          <w:vertAlign w:val="superscript"/>
        </w:rPr>
        <w:footnoteRef/>
      </w:r>
      <w:r w:rsidRPr="00D53D48">
        <w:rPr>
          <w:vertAlign w:val="superscript"/>
        </w:rPr>
        <w:t xml:space="preserve"> </w:t>
      </w:r>
      <w:r>
        <w:rPr>
          <w:vertAlign w:val="superscript"/>
        </w:rPr>
        <w:t xml:space="preserve"> </w:t>
      </w:r>
      <w:r w:rsidRPr="007972B3">
        <w:t>See:</w:t>
      </w:r>
      <w:r w:rsidRPr="007972B3">
        <w:rPr>
          <w:i/>
        </w:rPr>
        <w:t>Plascon-Evans Paints Ltd v Van Riebeeck Paints (Pty) Ltd</w:t>
      </w:r>
      <w:r w:rsidRPr="00D53D48">
        <w:t xml:space="preserve"> 1984 (3) SA 623 (A) at 634E-G.</w:t>
      </w:r>
      <w:r>
        <w:t xml:space="preserve"> See too:</w:t>
      </w:r>
      <w:r w:rsidRPr="007972B3">
        <w:t xml:space="preserve"> </w:t>
      </w:r>
      <w:r w:rsidRPr="007972B3">
        <w:rPr>
          <w:i/>
        </w:rPr>
        <w:t>National Director of Public Prosecutions v Zuma</w:t>
      </w:r>
      <w:r w:rsidRPr="00D53D48">
        <w:t xml:space="preserve"> 2009 (2) SA 277 (SCA) at 290D-E.</w:t>
      </w:r>
      <w:r w:rsidRPr="00D53D48">
        <w:rPr>
          <w:vertAlign w:val="superscript"/>
          <w:lang w:val="en-US"/>
        </w:rPr>
        <w:t xml:space="preserve"> </w:t>
      </w:r>
      <w:r w:rsidRPr="00D53D48">
        <w:rPr>
          <w:vertAlign w:val="superscript"/>
        </w:rPr>
        <w:t xml:space="preserve"> </w:t>
      </w:r>
    </w:p>
  </w:footnote>
  <w:footnote w:id="11">
    <w:p w:rsidR="00E46D99" w:rsidRPr="006A761F" w:rsidRDefault="00E46D99">
      <w:pPr>
        <w:pStyle w:val="FootnoteText"/>
        <w:rPr>
          <w:lang w:val="en-US"/>
        </w:rPr>
      </w:pPr>
      <w:r>
        <w:rPr>
          <w:rStyle w:val="FootnoteReference"/>
        </w:rPr>
        <w:footnoteRef/>
      </w:r>
      <w:r>
        <w:t xml:space="preserve"> </w:t>
      </w:r>
      <w:r>
        <w:rPr>
          <w:lang w:val="en-US"/>
        </w:rPr>
        <w:t>‘</w:t>
      </w:r>
      <w:r w:rsidRPr="008E6A6C">
        <w:rPr>
          <w:i/>
          <w:lang w:val="en-US"/>
        </w:rPr>
        <w:t xml:space="preserve">Capital </w:t>
      </w:r>
      <w:r w:rsidRPr="009A4F72">
        <w:rPr>
          <w:i/>
          <w:lang w:val="en-US"/>
        </w:rPr>
        <w:t>Disability</w:t>
      </w:r>
      <w:r>
        <w:rPr>
          <w:lang w:val="en-US"/>
        </w:rPr>
        <w:t xml:space="preserve">’ is defined in the policy as: “… </w:t>
      </w:r>
      <w:r w:rsidRPr="008E6A6C">
        <w:rPr>
          <w:i/>
          <w:lang w:val="en-US"/>
        </w:rPr>
        <w:t>an accelerated benefit. A state of disability exists if, as a result of injury, disease, or surgical operation the principal or second life assured is and has been for a period of 3 consecutive calendar months, total and permanently incapable of earning an income from his/her own occupation, a reasonable occupation or any other occupation they could reasonably pursue, taking into account their knowledge, training, working experience and ability</w:t>
      </w:r>
      <w:r>
        <w:rPr>
          <w:lang w:val="en-US"/>
        </w:rPr>
        <w:t>.”</w:t>
      </w:r>
    </w:p>
  </w:footnote>
  <w:footnote w:id="12">
    <w:p w:rsidR="00E46D99" w:rsidRPr="00854088" w:rsidRDefault="00E46D99" w:rsidP="00C82B2E">
      <w:pPr>
        <w:pStyle w:val="FootnoteText"/>
        <w:jc w:val="both"/>
        <w:rPr>
          <w:lang w:val="en-US"/>
        </w:rPr>
      </w:pPr>
      <w:r>
        <w:rPr>
          <w:rStyle w:val="FootnoteReference"/>
        </w:rPr>
        <w:footnoteRef/>
      </w:r>
      <w:r>
        <w:t xml:space="preserve"> </w:t>
      </w:r>
      <w:r>
        <w:rPr>
          <w:lang w:val="en-US"/>
        </w:rPr>
        <w:t xml:space="preserve">The applicant failed to provide proof that she submitted the claim qua owner via cession entitling her to receive payment as envisaged in clause 5 of the policy terms and conditions. </w:t>
      </w:r>
      <w:r w:rsidR="00944A6E">
        <w:rPr>
          <w:lang w:val="en-US"/>
        </w:rPr>
        <w:t>In the absence of a cession, h</w:t>
      </w:r>
      <w:r>
        <w:rPr>
          <w:lang w:val="en-US"/>
        </w:rPr>
        <w:t>ad the contract been for the benefit of the applicant, she would have been entitled (not the insolvent) on acceptance</w:t>
      </w:r>
      <w:r w:rsidR="00944A6E">
        <w:rPr>
          <w:lang w:val="en-US"/>
        </w:rPr>
        <w:t xml:space="preserve"> of the benefit </w:t>
      </w:r>
      <w:r>
        <w:rPr>
          <w:lang w:val="en-US"/>
        </w:rPr>
        <w:t xml:space="preserve">to exercise the contractual rights </w:t>
      </w:r>
      <w:r w:rsidR="00944A6E">
        <w:rPr>
          <w:lang w:val="en-US"/>
        </w:rPr>
        <w:t xml:space="preserve">provided in the policy </w:t>
      </w:r>
      <w:r>
        <w:rPr>
          <w:lang w:val="en-US"/>
        </w:rPr>
        <w:t xml:space="preserve">and would have been the party to submit the claim and receive the funds. Yet the applicant provided no proof that she </w:t>
      </w:r>
      <w:r w:rsidR="003A5318">
        <w:rPr>
          <w:lang w:val="en-US"/>
        </w:rPr>
        <w:t xml:space="preserve">had </w:t>
      </w:r>
      <w:r>
        <w:rPr>
          <w:lang w:val="en-US"/>
        </w:rPr>
        <w:t>submitted the claim. Her assertion</w:t>
      </w:r>
      <w:r w:rsidR="003A5318">
        <w:rPr>
          <w:lang w:val="en-US"/>
        </w:rPr>
        <w:t>, namely</w:t>
      </w:r>
      <w:r>
        <w:rPr>
          <w:lang w:val="en-US"/>
        </w:rPr>
        <w:t xml:space="preserve"> that her failure to attach the claim documents should be seen in the light of the absence of any evidence by the respondents to contradict her evidence</w:t>
      </w:r>
      <w:r w:rsidR="003A5318">
        <w:rPr>
          <w:lang w:val="en-US"/>
        </w:rPr>
        <w:t xml:space="preserve"> (i.e.,</w:t>
      </w:r>
      <w:r>
        <w:rPr>
          <w:lang w:val="en-US"/>
        </w:rPr>
        <w:t xml:space="preserve"> that she </w:t>
      </w:r>
      <w:r w:rsidR="00944A6E">
        <w:rPr>
          <w:lang w:val="en-US"/>
        </w:rPr>
        <w:t xml:space="preserve">had </w:t>
      </w:r>
      <w:r>
        <w:rPr>
          <w:lang w:val="en-US"/>
        </w:rPr>
        <w:t>submitted the claim</w:t>
      </w:r>
      <w:r w:rsidR="003A5318">
        <w:rPr>
          <w:lang w:val="en-US"/>
        </w:rPr>
        <w:t>)</w:t>
      </w:r>
      <w:r>
        <w:rPr>
          <w:lang w:val="en-US"/>
        </w:rPr>
        <w:t xml:space="preserve"> is insufficient for purposes of discharging the onus that rests upon her. As explained in </w:t>
      </w:r>
      <w:r>
        <w:rPr>
          <w:i/>
          <w:lang w:val="en-US"/>
        </w:rPr>
        <w:t xml:space="preserve">Beddy NO  </w:t>
      </w:r>
      <w:r>
        <w:rPr>
          <w:lang w:val="en-US"/>
        </w:rPr>
        <w:t>(cited in fn 5 above): ‘</w:t>
      </w:r>
      <w:r w:rsidRPr="005B1711">
        <w:t>‘</w:t>
      </w:r>
      <w:r w:rsidRPr="005B1711">
        <w:rPr>
          <w:i/>
        </w:rPr>
        <w:t>s 21 (2) expressly places the onus on the solvent spouse, and I do not think that that onus is discharged simply by pointing to the ostensible transaction (in this case the s</w:t>
      </w:r>
      <w:r w:rsidR="00944A6E">
        <w:rPr>
          <w:i/>
        </w:rPr>
        <w:t>ale) and saying to the trustee ‘</w:t>
      </w:r>
      <w:r w:rsidRPr="005B1711">
        <w:rPr>
          <w:i/>
        </w:rPr>
        <w:t>It is now your turn to do your worst with it</w:t>
      </w:r>
      <w:r w:rsidR="00944A6E">
        <w:rPr>
          <w:i/>
        </w:rPr>
        <w:t xml:space="preserve">’ </w:t>
      </w:r>
      <w:r w:rsidRPr="005B1711">
        <w:rPr>
          <w:i/>
        </w:rPr>
        <w:t xml:space="preserve">”. </w:t>
      </w:r>
      <w:r w:rsidRPr="00C82B2E">
        <w:t xml:space="preserve">The onus </w:t>
      </w:r>
      <w:r>
        <w:t>remained</w:t>
      </w:r>
      <w:r w:rsidRPr="00C82B2E">
        <w:t xml:space="preserve"> on the solvent spouse to prove </w:t>
      </w:r>
      <w:r>
        <w:t xml:space="preserve">that </w:t>
      </w:r>
      <w:r w:rsidRPr="00C82B2E">
        <w:t>the true transaction</w:t>
      </w:r>
      <w:r>
        <w:t xml:space="preserve"> conferred</w:t>
      </w:r>
      <w:r w:rsidRPr="00C82B2E">
        <w:t xml:space="preserve"> a valid title</w:t>
      </w:r>
      <w:r>
        <w:t xml:space="preserve"> upon her.</w:t>
      </w:r>
    </w:p>
  </w:footnote>
  <w:footnote w:id="13">
    <w:p w:rsidR="00E46D99" w:rsidRPr="00AB4099" w:rsidRDefault="00E46D99" w:rsidP="001F13D7">
      <w:pPr>
        <w:pStyle w:val="FootnoteText"/>
        <w:jc w:val="both"/>
        <w:rPr>
          <w:lang w:val="en-US"/>
        </w:rPr>
      </w:pPr>
      <w:r>
        <w:rPr>
          <w:rStyle w:val="FootnoteReference"/>
        </w:rPr>
        <w:footnoteRef/>
      </w:r>
      <w:r>
        <w:t xml:space="preserve"> </w:t>
      </w:r>
      <w:r w:rsidR="00944A6E">
        <w:t xml:space="preserve">See </w:t>
      </w:r>
      <w:r>
        <w:rPr>
          <w:lang w:val="en-US"/>
        </w:rPr>
        <w:t>Clause 5 of the general terms and conditions governing the policy at p 04-62 of the papers. Clause 5 also stipulates that where a cession has been recorded, any benefits will be paid to the cessionary, or in the case of an absolute cession, to any beneficiary nominated by the cessionary as owner.</w:t>
      </w:r>
    </w:p>
  </w:footnote>
  <w:footnote w:id="14">
    <w:p w:rsidR="00E46D99" w:rsidRPr="001F13D7" w:rsidRDefault="00E46D99" w:rsidP="001F13D7">
      <w:pPr>
        <w:pStyle w:val="FootnoteText"/>
        <w:jc w:val="both"/>
        <w:rPr>
          <w:lang w:val="en-US"/>
        </w:rPr>
      </w:pPr>
      <w:r>
        <w:rPr>
          <w:rStyle w:val="FootnoteReference"/>
        </w:rPr>
        <w:footnoteRef/>
      </w:r>
      <w:r>
        <w:t xml:space="preserve"> The test on whether a contract is made for the benefit of a third party is whether that third party, by consent (acceptance of the contract) can become a party to that contract with one of the other two contracting parties. See </w:t>
      </w:r>
      <w:r w:rsidRPr="001F13D7">
        <w:rPr>
          <w:i/>
        </w:rPr>
        <w:t>Pieterse v Shrosbree NO and Others, Shrosbree v Love and Others</w:t>
      </w:r>
      <w:r w:rsidRPr="00C076A7">
        <w:t xml:space="preserve"> [2006] 3 All SA 343 (SCA), paras 8 -10. See also Reinecke et al, </w:t>
      </w:r>
      <w:r w:rsidRPr="00C076A7">
        <w:rPr>
          <w:i/>
          <w:iCs/>
        </w:rPr>
        <w:t xml:space="preserve">General Principles of Insurance law, </w:t>
      </w:r>
      <w:r w:rsidRPr="00C076A7">
        <w:t>2007, para</w:t>
      </w:r>
      <w:r>
        <w:t>s</w:t>
      </w:r>
      <w:r w:rsidRPr="00C076A7">
        <w:t xml:space="preserve"> 406-407.</w:t>
      </w:r>
    </w:p>
  </w:footnote>
  <w:footnote w:id="15">
    <w:p w:rsidR="00E46D99" w:rsidRPr="00872FBB" w:rsidRDefault="00E46D99">
      <w:pPr>
        <w:pStyle w:val="FootnoteText"/>
        <w:rPr>
          <w:lang w:val="en-US"/>
        </w:rPr>
      </w:pPr>
      <w:r>
        <w:rPr>
          <w:rStyle w:val="FootnoteReference"/>
        </w:rPr>
        <w:footnoteRef/>
      </w:r>
      <w:r>
        <w:t xml:space="preserve"> </w:t>
      </w:r>
      <w:r>
        <w:rPr>
          <w:lang w:val="en-US"/>
        </w:rPr>
        <w:t xml:space="preserve">See: </w:t>
      </w:r>
      <w:r w:rsidRPr="00872FBB">
        <w:rPr>
          <w:i/>
        </w:rPr>
        <w:t>Pieterse v Shrosbree NO and Others, Shrosbree v Love and Others</w:t>
      </w:r>
      <w:r w:rsidRPr="00C076A7">
        <w:t xml:space="preserve"> [2006] 3 All SA 343 (SCA), paras 8 -10</w:t>
      </w:r>
    </w:p>
  </w:footnote>
  <w:footnote w:id="16">
    <w:p w:rsidR="00E46D99" w:rsidRPr="00854088" w:rsidRDefault="00E46D99" w:rsidP="00854088">
      <w:pPr>
        <w:pStyle w:val="FootnoteText"/>
        <w:jc w:val="both"/>
        <w:rPr>
          <w:lang w:val="en-US"/>
        </w:rPr>
      </w:pPr>
      <w:r>
        <w:rPr>
          <w:rStyle w:val="FootnoteReference"/>
        </w:rPr>
        <w:footnoteRef/>
      </w:r>
      <w:r>
        <w:t xml:space="preserve"> </w:t>
      </w:r>
      <w:r w:rsidR="003A5318">
        <w:t>For example, i</w:t>
      </w:r>
      <w:r>
        <w:rPr>
          <w:lang w:val="en-US"/>
        </w:rPr>
        <w:t xml:space="preserve">n </w:t>
      </w:r>
      <w:r w:rsidRPr="00854088">
        <w:rPr>
          <w:i/>
        </w:rPr>
        <w:t>Wallach’s Trustee v Wallach</w:t>
      </w:r>
      <w:r w:rsidRPr="00065676">
        <w:t xml:space="preserve"> 1914 AD 202</w:t>
      </w:r>
      <w:r>
        <w:t xml:space="preserve"> it was held that a life insurance contract which provided for payment to the insured’s ‘executors, administrators and assigns’ was in law a contract for the benefit of the insured and not his wife and children</w:t>
      </w:r>
      <w:r w:rsidR="003A5318">
        <w:t xml:space="preserve"> </w:t>
      </w:r>
      <w:r>
        <w:t>although the insured intended to provide for them by taking out the insurance</w:t>
      </w:r>
    </w:p>
  </w:footnote>
  <w:footnote w:id="17">
    <w:p w:rsidR="00E46D99" w:rsidRDefault="00E46D99">
      <w:pPr>
        <w:pStyle w:val="FootnoteText"/>
        <w:rPr>
          <w:lang w:val="en-US"/>
        </w:rPr>
      </w:pPr>
      <w:r>
        <w:rPr>
          <w:rStyle w:val="FootnoteReference"/>
        </w:rPr>
        <w:footnoteRef/>
      </w:r>
      <w:r>
        <w:t xml:space="preserve"> </w:t>
      </w:r>
      <w:r>
        <w:rPr>
          <w:lang w:val="en-US"/>
        </w:rPr>
        <w:t>Section 63 of the LTI Act reads as follows:</w:t>
      </w:r>
    </w:p>
    <w:p w:rsidR="00E46D99" w:rsidRPr="00945A76" w:rsidRDefault="00E46D99" w:rsidP="004B18B9">
      <w:pPr>
        <w:jc w:val="both"/>
        <w:rPr>
          <w:rFonts w:ascii="Arial" w:hAnsi="Arial" w:cs="Arial"/>
        </w:rPr>
      </w:pPr>
      <w:r>
        <w:rPr>
          <w:rFonts w:ascii="Arial" w:hAnsi="Arial" w:cs="Arial"/>
          <w:b/>
        </w:rPr>
        <w:t>“</w:t>
      </w:r>
      <w:r w:rsidRPr="00945A76">
        <w:rPr>
          <w:rFonts w:ascii="Arial" w:hAnsi="Arial" w:cs="Arial"/>
          <w:b/>
        </w:rPr>
        <w:t>Protection of policy benefits under certain long-term policies</w:t>
      </w:r>
      <w:r w:rsidRPr="00945A76">
        <w:rPr>
          <w:rFonts w:ascii="Arial" w:hAnsi="Arial" w:cs="Arial"/>
        </w:rPr>
        <w:t xml:space="preserve">.  –  </w:t>
      </w:r>
    </w:p>
    <w:p w:rsidR="00E46D99" w:rsidRPr="00945A76" w:rsidRDefault="00E46D99" w:rsidP="004B18B9">
      <w:pPr>
        <w:ind w:left="142" w:hanging="142"/>
        <w:jc w:val="both"/>
        <w:rPr>
          <w:rFonts w:ascii="Arial" w:hAnsi="Arial" w:cs="Arial"/>
        </w:rPr>
      </w:pPr>
      <w:r>
        <w:rPr>
          <w:rFonts w:ascii="Arial" w:hAnsi="Arial" w:cs="Arial"/>
        </w:rPr>
        <w:t xml:space="preserve"> </w:t>
      </w:r>
      <w:r w:rsidRPr="00945A76">
        <w:rPr>
          <w:rFonts w:ascii="Arial" w:hAnsi="Arial" w:cs="Arial"/>
        </w:rPr>
        <w:t>(1)</w:t>
      </w:r>
      <w:r w:rsidRPr="00945A76">
        <w:rPr>
          <w:rFonts w:ascii="Arial" w:hAnsi="Arial" w:cs="Arial"/>
        </w:rPr>
        <w:tab/>
        <w:t xml:space="preserve">Subject to subsections (2) and (3), the </w:t>
      </w:r>
      <w:r w:rsidRPr="00A86FDE">
        <w:rPr>
          <w:rFonts w:ascii="Arial" w:hAnsi="Arial" w:cs="Arial"/>
          <w:b/>
        </w:rPr>
        <w:t>policy benefits provided or to be provided</w:t>
      </w:r>
      <w:r w:rsidRPr="00945A76">
        <w:rPr>
          <w:rFonts w:ascii="Arial" w:hAnsi="Arial" w:cs="Arial"/>
        </w:rPr>
        <w:t xml:space="preserve"> to a person under one or more assistance, life, disability or health policies in which that person or the spouse of that person is the life insured and which has or have been in force for at least three years (or the assets acquired exclusively with those policy benefits) shall, other than for a debt secured by the policy –</w:t>
      </w:r>
    </w:p>
    <w:p w:rsidR="00E46D99" w:rsidRPr="00945A76" w:rsidRDefault="00E46D99" w:rsidP="004B18B9">
      <w:pPr>
        <w:ind w:left="1440" w:hanging="720"/>
        <w:jc w:val="both"/>
        <w:rPr>
          <w:rFonts w:ascii="Arial" w:hAnsi="Arial" w:cs="Arial"/>
        </w:rPr>
      </w:pPr>
      <w:r w:rsidRPr="00945A76">
        <w:rPr>
          <w:rFonts w:ascii="Arial" w:hAnsi="Arial" w:cs="Arial"/>
        </w:rPr>
        <w:t>(</w:t>
      </w:r>
      <w:r w:rsidRPr="00945A76">
        <w:rPr>
          <w:rFonts w:ascii="Arial" w:hAnsi="Arial" w:cs="Arial"/>
          <w:i/>
        </w:rPr>
        <w:t>a</w:t>
      </w:r>
      <w:r w:rsidRPr="00945A76">
        <w:rPr>
          <w:rFonts w:ascii="Arial" w:hAnsi="Arial" w:cs="Arial"/>
        </w:rPr>
        <w:t>)</w:t>
      </w:r>
      <w:r w:rsidRPr="00945A76">
        <w:rPr>
          <w:rFonts w:ascii="Arial" w:hAnsi="Arial" w:cs="Arial"/>
        </w:rPr>
        <w:tab/>
        <w:t>during his or her lifetime, not be liable to be attached or subjected to execution under a judgment of a court or form part of his or her insolvent estate; or</w:t>
      </w:r>
    </w:p>
    <w:p w:rsidR="00E46D99" w:rsidRPr="00945A76" w:rsidRDefault="00E46D99" w:rsidP="004B18B9">
      <w:pPr>
        <w:ind w:left="1440" w:hanging="720"/>
        <w:jc w:val="both"/>
        <w:rPr>
          <w:rFonts w:ascii="Arial" w:hAnsi="Arial" w:cs="Arial"/>
        </w:rPr>
      </w:pPr>
      <w:r w:rsidRPr="00945A76">
        <w:rPr>
          <w:rFonts w:ascii="Arial" w:hAnsi="Arial" w:cs="Arial"/>
        </w:rPr>
        <w:t>(</w:t>
      </w:r>
      <w:r w:rsidRPr="00945A76">
        <w:rPr>
          <w:rFonts w:ascii="Arial" w:hAnsi="Arial" w:cs="Arial"/>
          <w:i/>
        </w:rPr>
        <w:t>b</w:t>
      </w:r>
      <w:r w:rsidRPr="00945A76">
        <w:rPr>
          <w:rFonts w:ascii="Arial" w:hAnsi="Arial" w:cs="Arial"/>
        </w:rPr>
        <w:t>)</w:t>
      </w:r>
      <w:r w:rsidRPr="00945A76">
        <w:rPr>
          <w:rFonts w:ascii="Arial" w:hAnsi="Arial" w:cs="Arial"/>
        </w:rPr>
        <w:tab/>
        <w:t>upon his or her death, if he or she is survived by a spouse, child, stepchild or parent, o</w:t>
      </w:r>
      <w:r>
        <w:rPr>
          <w:rFonts w:ascii="Arial" w:hAnsi="Arial" w:cs="Arial"/>
        </w:rPr>
        <w:t>r</w:t>
      </w:r>
      <w:r w:rsidRPr="00945A76">
        <w:rPr>
          <w:rFonts w:ascii="Arial" w:hAnsi="Arial" w:cs="Arial"/>
        </w:rPr>
        <w:t xml:space="preserve"> be available for the purpose of the payment of his or her debts.</w:t>
      </w:r>
    </w:p>
    <w:p w:rsidR="00E46D99" w:rsidRPr="00945A76" w:rsidRDefault="00E46D99" w:rsidP="004B18B9">
      <w:pPr>
        <w:jc w:val="both"/>
        <w:rPr>
          <w:rFonts w:ascii="Arial" w:hAnsi="Arial" w:cs="Arial"/>
        </w:rPr>
      </w:pPr>
      <w:r>
        <w:rPr>
          <w:rFonts w:ascii="Arial" w:hAnsi="Arial" w:cs="Arial"/>
        </w:rPr>
        <w:t xml:space="preserve"> </w:t>
      </w:r>
      <w:r w:rsidRPr="00945A76">
        <w:rPr>
          <w:rFonts w:ascii="Arial" w:hAnsi="Arial" w:cs="Arial"/>
        </w:rPr>
        <w:t>(2)</w:t>
      </w:r>
      <w:r w:rsidRPr="00945A76">
        <w:rPr>
          <w:rFonts w:ascii="Arial" w:hAnsi="Arial" w:cs="Arial"/>
        </w:rPr>
        <w:tab/>
        <w:t>The protection contemplated in subsection (1) shall apply to –</w:t>
      </w:r>
    </w:p>
    <w:p w:rsidR="00E46D99" w:rsidRPr="00945A76" w:rsidRDefault="00E46D99" w:rsidP="004B18B9">
      <w:pPr>
        <w:ind w:left="1440" w:hanging="720"/>
        <w:jc w:val="both"/>
        <w:rPr>
          <w:rFonts w:ascii="Arial" w:hAnsi="Arial" w:cs="Arial"/>
        </w:rPr>
      </w:pPr>
      <w:r w:rsidRPr="00945A76">
        <w:rPr>
          <w:rFonts w:ascii="Arial" w:hAnsi="Arial" w:cs="Arial"/>
        </w:rPr>
        <w:t>(</w:t>
      </w:r>
      <w:r w:rsidRPr="00945A76">
        <w:rPr>
          <w:rFonts w:ascii="Arial" w:hAnsi="Arial" w:cs="Arial"/>
          <w:i/>
        </w:rPr>
        <w:t>a</w:t>
      </w:r>
      <w:r w:rsidRPr="00945A76">
        <w:rPr>
          <w:rFonts w:ascii="Arial" w:hAnsi="Arial" w:cs="Arial"/>
        </w:rPr>
        <w:t>)</w:t>
      </w:r>
      <w:r w:rsidRPr="00945A76">
        <w:rPr>
          <w:rFonts w:ascii="Arial" w:hAnsi="Arial" w:cs="Arial"/>
        </w:rPr>
        <w:tab/>
        <w:t>assets acquired solely with the policy benefits, for a period of five years from the date on which the policy benefits were provided;  and</w:t>
      </w:r>
    </w:p>
    <w:p w:rsidR="00E46D99" w:rsidRPr="00945A76" w:rsidRDefault="00E46D99" w:rsidP="004B18B9">
      <w:pPr>
        <w:ind w:left="1440" w:hanging="720"/>
        <w:jc w:val="both"/>
        <w:rPr>
          <w:rFonts w:ascii="Arial" w:hAnsi="Arial" w:cs="Arial"/>
        </w:rPr>
      </w:pPr>
      <w:r w:rsidRPr="00945A76">
        <w:rPr>
          <w:rFonts w:ascii="Arial" w:hAnsi="Arial" w:cs="Arial"/>
        </w:rPr>
        <w:t>(</w:t>
      </w:r>
      <w:r w:rsidRPr="00945A76">
        <w:rPr>
          <w:rFonts w:ascii="Arial" w:hAnsi="Arial" w:cs="Arial"/>
          <w:i/>
        </w:rPr>
        <w:t>b</w:t>
      </w:r>
      <w:r w:rsidRPr="00945A76">
        <w:rPr>
          <w:rFonts w:ascii="Arial" w:hAnsi="Arial" w:cs="Arial"/>
        </w:rPr>
        <w:t>)</w:t>
      </w:r>
      <w:r w:rsidRPr="00945A76">
        <w:rPr>
          <w:rFonts w:ascii="Arial" w:hAnsi="Arial" w:cs="Arial"/>
        </w:rPr>
        <w:tab/>
        <w:t>policy benefits and assets so acquired (if any) to an aggregate amount of R50 000 or another amount prescribed by the Minister.</w:t>
      </w:r>
    </w:p>
    <w:p w:rsidR="00E46D99" w:rsidRPr="00945A76" w:rsidRDefault="00E46D99" w:rsidP="004B18B9">
      <w:pPr>
        <w:jc w:val="both"/>
        <w:rPr>
          <w:rFonts w:ascii="Arial" w:hAnsi="Arial" w:cs="Arial"/>
        </w:rPr>
      </w:pPr>
      <w:r>
        <w:rPr>
          <w:rFonts w:ascii="Arial" w:hAnsi="Arial" w:cs="Arial"/>
        </w:rPr>
        <w:t xml:space="preserve"> </w:t>
      </w:r>
      <w:r w:rsidRPr="00945A76">
        <w:rPr>
          <w:rFonts w:ascii="Arial" w:hAnsi="Arial" w:cs="Arial"/>
        </w:rPr>
        <w:t>(3)</w:t>
      </w:r>
      <w:r w:rsidRPr="00945A76">
        <w:rPr>
          <w:rFonts w:ascii="Arial" w:hAnsi="Arial" w:cs="Arial"/>
        </w:rPr>
        <w:tab/>
        <w:t>Policy benefits are only protected as provided in –</w:t>
      </w:r>
    </w:p>
    <w:p w:rsidR="00E46D99" w:rsidRPr="00945A76" w:rsidRDefault="00E46D99" w:rsidP="004B18B9">
      <w:pPr>
        <w:ind w:left="1440" w:hanging="720"/>
        <w:jc w:val="both"/>
        <w:rPr>
          <w:rFonts w:ascii="Arial" w:hAnsi="Arial" w:cs="Arial"/>
        </w:rPr>
      </w:pPr>
      <w:r w:rsidRPr="00945A76">
        <w:rPr>
          <w:rFonts w:ascii="Arial" w:hAnsi="Arial" w:cs="Arial"/>
        </w:rPr>
        <w:t>(</w:t>
      </w:r>
      <w:r w:rsidRPr="00945A76">
        <w:rPr>
          <w:rFonts w:ascii="Arial" w:hAnsi="Arial" w:cs="Arial"/>
          <w:i/>
        </w:rPr>
        <w:t>a</w:t>
      </w:r>
      <w:r w:rsidRPr="00945A76">
        <w:rPr>
          <w:rFonts w:ascii="Arial" w:hAnsi="Arial" w:cs="Arial"/>
        </w:rPr>
        <w:t>)</w:t>
      </w:r>
      <w:r w:rsidRPr="00945A76">
        <w:rPr>
          <w:rFonts w:ascii="Arial" w:hAnsi="Arial" w:cs="Arial"/>
        </w:rPr>
        <w:tab/>
        <w:t>subsection (1)(</w:t>
      </w:r>
      <w:r w:rsidRPr="00945A76">
        <w:rPr>
          <w:rFonts w:ascii="Arial" w:hAnsi="Arial" w:cs="Arial"/>
          <w:i/>
        </w:rPr>
        <w:t>b</w:t>
      </w:r>
      <w:r w:rsidRPr="00945A76">
        <w:rPr>
          <w:rFonts w:ascii="Arial" w:hAnsi="Arial" w:cs="Arial"/>
        </w:rPr>
        <w:t>), if they devolve upon the spouse, child, stepchild or parent of the person referred to in subsection (1) in the event of that person's death;  and</w:t>
      </w:r>
    </w:p>
    <w:p w:rsidR="00E46D99" w:rsidRPr="004B18B9" w:rsidRDefault="00E46D99" w:rsidP="004B18B9">
      <w:pPr>
        <w:ind w:left="1440" w:hanging="720"/>
        <w:jc w:val="both"/>
        <w:rPr>
          <w:lang w:val="en-US"/>
        </w:rPr>
      </w:pPr>
      <w:r w:rsidRPr="00945A76">
        <w:rPr>
          <w:rFonts w:ascii="Arial" w:hAnsi="Arial" w:cs="Arial"/>
        </w:rPr>
        <w:t>(</w:t>
      </w:r>
      <w:r w:rsidRPr="00945A76">
        <w:rPr>
          <w:rFonts w:ascii="Arial" w:hAnsi="Arial" w:cs="Arial"/>
          <w:i/>
        </w:rPr>
        <w:t>b</w:t>
      </w:r>
      <w:r w:rsidRPr="00945A76">
        <w:rPr>
          <w:rFonts w:ascii="Arial" w:hAnsi="Arial" w:cs="Arial"/>
        </w:rPr>
        <w:t>)</w:t>
      </w:r>
      <w:r w:rsidRPr="00945A76">
        <w:rPr>
          <w:rFonts w:ascii="Arial" w:hAnsi="Arial" w:cs="Arial"/>
        </w:rPr>
        <w:tab/>
        <w:t>subsection (1)(</w:t>
      </w:r>
      <w:r w:rsidRPr="00945A76">
        <w:rPr>
          <w:rFonts w:ascii="Arial" w:hAnsi="Arial" w:cs="Arial"/>
          <w:i/>
        </w:rPr>
        <w:t>a</w:t>
      </w:r>
      <w:r w:rsidRPr="00945A76">
        <w:rPr>
          <w:rFonts w:ascii="Arial" w:hAnsi="Arial" w:cs="Arial"/>
        </w:rPr>
        <w:t>) and (</w:t>
      </w:r>
      <w:r w:rsidRPr="00945A76">
        <w:rPr>
          <w:rFonts w:ascii="Arial" w:hAnsi="Arial" w:cs="Arial"/>
          <w:i/>
        </w:rPr>
        <w:t>b</w:t>
      </w:r>
      <w:r w:rsidRPr="00945A76">
        <w:rPr>
          <w:rFonts w:ascii="Arial" w:hAnsi="Arial" w:cs="Arial"/>
        </w:rPr>
        <w:t>), if the person claiming such protection is able to prove on a balance of probabilities that the protection is afforded to</w:t>
      </w:r>
      <w:r>
        <w:t xml:space="preserve"> him or her under this section.” [emphasis added]</w:t>
      </w:r>
    </w:p>
  </w:footnote>
  <w:footnote w:id="18">
    <w:p w:rsidR="00E46D99" w:rsidRPr="00B64E2D" w:rsidRDefault="00E46D99" w:rsidP="00F0284E">
      <w:pPr>
        <w:pStyle w:val="FootnoteText"/>
        <w:jc w:val="both"/>
        <w:rPr>
          <w:lang w:val="en-US"/>
        </w:rPr>
      </w:pPr>
      <w:r>
        <w:rPr>
          <w:rStyle w:val="FootnoteReference"/>
        </w:rPr>
        <w:footnoteRef/>
      </w:r>
      <w:r>
        <w:t xml:space="preserve"> </w:t>
      </w:r>
      <w:r w:rsidR="007E3A4D">
        <w:rPr>
          <w:lang w:val="en-US"/>
        </w:rPr>
        <w:t>See</w:t>
      </w:r>
      <w:r>
        <w:rPr>
          <w:lang w:val="en-US"/>
        </w:rPr>
        <w:t xml:space="preserve"> </w:t>
      </w:r>
      <w:r w:rsidRPr="00ED00F2">
        <w:rPr>
          <w:i/>
        </w:rPr>
        <w:t>M and Another v Murray and Others</w:t>
      </w:r>
      <w:r>
        <w:t xml:space="preserve"> [2020] ZASCA 86, paras 15-17</w:t>
      </w:r>
      <w:r w:rsidR="007E3A4D">
        <w:t>; (‘</w:t>
      </w:r>
      <w:r w:rsidR="007E3A4D" w:rsidRPr="007E3A4D">
        <w:rPr>
          <w:i/>
        </w:rPr>
        <w:t>Murray</w:t>
      </w:r>
      <w:r w:rsidR="007E3A4D">
        <w:t>’)</w:t>
      </w:r>
      <w:r w:rsidR="0093717C">
        <w:t>. The case</w:t>
      </w:r>
      <w:r w:rsidR="007E3A4D">
        <w:t xml:space="preserve"> </w:t>
      </w:r>
      <w:r w:rsidR="0093717C">
        <w:t>dealt with</w:t>
      </w:r>
      <w:r w:rsidR="007E3A4D">
        <w:t xml:space="preserve"> the issue of whether a pension </w:t>
      </w:r>
      <w:r w:rsidR="007E3A4D" w:rsidRPr="0093717C">
        <w:rPr>
          <w:i/>
        </w:rPr>
        <w:t>benefit</w:t>
      </w:r>
      <w:r w:rsidR="007E3A4D">
        <w:t xml:space="preserve"> paid out to an insolvent member</w:t>
      </w:r>
      <w:r w:rsidR="0093717C">
        <w:t>/</w:t>
      </w:r>
      <w:r w:rsidR="007E3A4D">
        <w:t xml:space="preserve">beneficiary before his estate was sequestrated enjoyed the protection provided in s 37B of the Pensions Fund Act 24 of 1956, which protects </w:t>
      </w:r>
      <w:r w:rsidR="0093717C">
        <w:t xml:space="preserve">the </w:t>
      </w:r>
      <w:r w:rsidR="007E3A4D">
        <w:t>pension of an insolvent subject to certain exceptions</w:t>
      </w:r>
      <w:r w:rsidR="0093717C">
        <w:t xml:space="preserve">. ‘Benefit’ I as defined in s 1 of that Act was construed by the court as a benefit only to the extent that it had not been paid out to the member/beneficiary, and reference to pension benefit </w:t>
      </w:r>
      <w:r w:rsidR="0093717C">
        <w:rPr>
          <w:i/>
        </w:rPr>
        <w:t xml:space="preserve">payable </w:t>
      </w:r>
      <w:r w:rsidR="0093717C">
        <w:t xml:space="preserve">(as opposed to </w:t>
      </w:r>
      <w:r w:rsidR="0093717C">
        <w:rPr>
          <w:i/>
        </w:rPr>
        <w:t xml:space="preserve">paid) </w:t>
      </w:r>
      <w:r>
        <w:t>was held to envisage a sum to which a member of a pension fund or a beneficiary is entitled to receive, but has not yet received.</w:t>
      </w:r>
    </w:p>
  </w:footnote>
  <w:footnote w:id="19">
    <w:p w:rsidR="007E3A4D" w:rsidRPr="007E3A4D" w:rsidRDefault="007E3A4D">
      <w:pPr>
        <w:pStyle w:val="FootnoteText"/>
        <w:rPr>
          <w:lang w:val="en-US"/>
        </w:rPr>
      </w:pPr>
      <w:r>
        <w:rPr>
          <w:rStyle w:val="FootnoteReference"/>
        </w:rPr>
        <w:footnoteRef/>
      </w:r>
      <w:r>
        <w:t xml:space="preserve"> </w:t>
      </w:r>
      <w:r>
        <w:rPr>
          <w:lang w:val="en-US"/>
        </w:rPr>
        <w:t>See, for example,</w:t>
      </w:r>
      <w:r w:rsidRPr="007E3A4D">
        <w:rPr>
          <w:i/>
        </w:rPr>
        <w:t xml:space="preserve"> </w:t>
      </w:r>
      <w:r w:rsidRPr="00ED00F2">
        <w:rPr>
          <w:i/>
        </w:rPr>
        <w:t xml:space="preserve">Jones &amp; Co v Coventry </w:t>
      </w:r>
      <w:r>
        <w:t xml:space="preserve">1909 2 KB 1029; </w:t>
      </w:r>
      <w:r w:rsidRPr="00ED00F2">
        <w:rPr>
          <w:i/>
        </w:rPr>
        <w:t>Gibson v Howard</w:t>
      </w:r>
      <w:r>
        <w:t xml:space="preserve"> 1918 TPD 185; </w:t>
      </w:r>
      <w:r w:rsidRPr="00ED00F2">
        <w:rPr>
          <w:i/>
        </w:rPr>
        <w:t>Foit v FirstRand Bank Bpk</w:t>
      </w:r>
      <w:r>
        <w:t xml:space="preserve"> 2002 (5) SA 148 T</w:t>
      </w:r>
      <w:r>
        <w:rPr>
          <w:lang w:val="en-US"/>
        </w:rPr>
        <w:t xml:space="preserve"> </w:t>
      </w:r>
    </w:p>
  </w:footnote>
  <w:footnote w:id="20">
    <w:p w:rsidR="00E46D99" w:rsidRPr="003F7ACC" w:rsidRDefault="00E46D99">
      <w:pPr>
        <w:pStyle w:val="FootnoteText"/>
        <w:rPr>
          <w:lang w:val="en-US"/>
        </w:rPr>
      </w:pPr>
      <w:r>
        <w:rPr>
          <w:rStyle w:val="FootnoteReference"/>
        </w:rPr>
        <w:footnoteRef/>
      </w:r>
      <w:r>
        <w:t xml:space="preserve"> </w:t>
      </w:r>
      <w:r>
        <w:rPr>
          <w:lang w:val="en-US"/>
        </w:rPr>
        <w:t>Pieterse, (cited in fn 1</w:t>
      </w:r>
      <w:r w:rsidR="00752609">
        <w:rPr>
          <w:lang w:val="en-US"/>
        </w:rPr>
        <w:t>5 above)</w:t>
      </w:r>
      <w:r>
        <w:rPr>
          <w:lang w:val="en-US"/>
        </w:rPr>
        <w:t xml:space="preserve"> </w:t>
      </w:r>
      <w:r w:rsidR="00752609">
        <w:rPr>
          <w:lang w:val="en-US"/>
        </w:rPr>
        <w:t xml:space="preserve">at </w:t>
      </w:r>
      <w:r>
        <w:rPr>
          <w:lang w:val="en-US"/>
        </w:rPr>
        <w:t>par 11.</w:t>
      </w:r>
    </w:p>
  </w:footnote>
  <w:footnote w:id="21">
    <w:p w:rsidR="00E46D99" w:rsidRPr="001D5160" w:rsidRDefault="00E46D99">
      <w:pPr>
        <w:pStyle w:val="FootnoteText"/>
        <w:rPr>
          <w:lang w:val="en-US"/>
        </w:rPr>
      </w:pPr>
      <w:r>
        <w:rPr>
          <w:rStyle w:val="FootnoteReference"/>
        </w:rPr>
        <w:footnoteRef/>
      </w:r>
      <w:r>
        <w:t xml:space="preserve"> </w:t>
      </w:r>
      <w:r>
        <w:rPr>
          <w:lang w:val="en-US"/>
        </w:rPr>
        <w:t>See:</w:t>
      </w:r>
      <w:r w:rsidRPr="001D5160">
        <w:t xml:space="preserve"> </w:t>
      </w:r>
      <w:hyperlink r:id="rId1" w:history="1">
        <w:r w:rsidRPr="00643AEA">
          <w:rPr>
            <w:rStyle w:val="Hyperlink"/>
            <w:lang w:val="en-US"/>
          </w:rPr>
          <w:t>https://dictionary.cambridge.org/dictionary/english/provided</w:t>
        </w:r>
      </w:hyperlink>
      <w:r>
        <w:rPr>
          <w:lang w:val="en-US"/>
        </w:rPr>
        <w:t xml:space="preserve"> . </w:t>
      </w:r>
    </w:p>
  </w:footnote>
  <w:footnote w:id="22">
    <w:p w:rsidR="00506D7E" w:rsidRPr="00506D7E" w:rsidRDefault="00506D7E">
      <w:pPr>
        <w:pStyle w:val="FootnoteText"/>
        <w:rPr>
          <w:lang w:val="en-US"/>
        </w:rPr>
      </w:pPr>
      <w:r>
        <w:rPr>
          <w:rStyle w:val="FootnoteReference"/>
        </w:rPr>
        <w:footnoteRef/>
      </w:r>
      <w:r>
        <w:t xml:space="preserve"> </w:t>
      </w:r>
      <w:r>
        <w:rPr>
          <w:lang w:val="en-US"/>
        </w:rPr>
        <w:t xml:space="preserve">See: </w:t>
      </w:r>
      <w:hyperlink r:id="rId2" w:history="1">
        <w:r w:rsidRPr="00643AEA">
          <w:rPr>
            <w:rStyle w:val="Hyperlink"/>
            <w:lang w:val="en-US"/>
          </w:rPr>
          <w:t>https://www.merriam-webster.com/dictionary/provide</w:t>
        </w:r>
      </w:hyperlink>
    </w:p>
  </w:footnote>
  <w:footnote w:id="23">
    <w:p w:rsidR="00E46D99" w:rsidRPr="00874FB6" w:rsidRDefault="00E46D99">
      <w:pPr>
        <w:pStyle w:val="FootnoteText"/>
        <w:rPr>
          <w:lang w:val="en-US"/>
        </w:rPr>
      </w:pPr>
      <w:r>
        <w:rPr>
          <w:rStyle w:val="FootnoteReference"/>
        </w:rPr>
        <w:footnoteRef/>
      </w:r>
      <w:r>
        <w:t xml:space="preserve"> </w:t>
      </w:r>
      <w:r w:rsidRPr="00384891">
        <w:rPr>
          <w:i/>
          <w:iCs/>
          <w:color w:val="242121"/>
        </w:rPr>
        <w:t>Natal Joint Municipal Pension Fund v Endumeni Municipality</w:t>
      </w:r>
      <w:r w:rsidRPr="00384891">
        <w:rPr>
          <w:color w:val="242121"/>
        </w:rPr>
        <w:t xml:space="preserve"> </w:t>
      </w:r>
      <w:hyperlink r:id="rId3" w:tooltip="View LawCiteRecord" w:history="1">
        <w:r w:rsidRPr="00384891">
          <w:rPr>
            <w:rStyle w:val="Hyperlink"/>
            <w:color w:val="auto"/>
            <w:u w:val="none"/>
          </w:rPr>
          <w:t>2012 (4) SA 593</w:t>
        </w:r>
      </w:hyperlink>
      <w:r w:rsidRPr="00384891">
        <w:rPr>
          <w:rStyle w:val="Hyperlink"/>
          <w:bCs/>
          <w:color w:val="auto"/>
          <w:u w:val="none"/>
        </w:rPr>
        <w:t xml:space="preserve"> </w:t>
      </w:r>
      <w:r>
        <w:rPr>
          <w:color w:val="242121"/>
        </w:rPr>
        <w:t xml:space="preserve">(SCA) par 18; </w:t>
      </w:r>
      <w:r w:rsidRPr="00384891">
        <w:rPr>
          <w:rFonts w:eastAsia="Times New Roman"/>
          <w:i/>
          <w:lang w:eastAsia="en-ZA"/>
        </w:rPr>
        <w:t>Pride Milling Company (Pty) Ltd v Bekker NO and Another</w:t>
      </w:r>
      <w:r w:rsidRPr="00384891">
        <w:rPr>
          <w:rFonts w:eastAsia="Times New Roman"/>
          <w:lang w:eastAsia="en-ZA"/>
        </w:rPr>
        <w:t xml:space="preserve"> 2022 (2) SA 410 (SCA)</w:t>
      </w:r>
    </w:p>
  </w:footnote>
  <w:footnote w:id="24">
    <w:p w:rsidR="00E46D99" w:rsidRDefault="00E46D99" w:rsidP="0043529E">
      <w:pPr>
        <w:pStyle w:val="FootnoteText"/>
        <w:jc w:val="both"/>
        <w:rPr>
          <w:lang w:val="en-US"/>
        </w:rPr>
      </w:pPr>
      <w:r>
        <w:rPr>
          <w:rStyle w:val="FootnoteReference"/>
        </w:rPr>
        <w:footnoteRef/>
      </w:r>
      <w:r>
        <w:t xml:space="preserve"> C</w:t>
      </w:r>
      <w:r w:rsidRPr="00635058">
        <w:rPr>
          <w:i/>
          <w:iCs/>
        </w:rPr>
        <w:t>ommixtio</w:t>
      </w:r>
      <w:r w:rsidRPr="00635058">
        <w:t xml:space="preserve"> occurs when things of more or less equal value belonging to different owners are mingled or mixed so as not to be readily separable. In the case of mixing of money, the effect of</w:t>
      </w:r>
      <w:r w:rsidRPr="00635058">
        <w:rPr>
          <w:i/>
          <w:iCs/>
        </w:rPr>
        <w:t xml:space="preserve"> commixtio </w:t>
      </w:r>
      <w:r w:rsidRPr="00635058">
        <w:t>is that ownership vests in the possessor</w:t>
      </w:r>
      <w:r>
        <w:t xml:space="preserve">. See: </w:t>
      </w:r>
      <w:r w:rsidRPr="003253D5">
        <w:rPr>
          <w:lang w:val="en-US"/>
        </w:rPr>
        <w:t>CG van der Merwe, ‘</w:t>
      </w:r>
      <w:r w:rsidRPr="003253D5">
        <w:rPr>
          <w:i/>
          <w:iCs/>
          <w:lang w:val="en-US"/>
        </w:rPr>
        <w:t xml:space="preserve">The Law of South Africa’ (LAWSA),’ Things, Volume 27 (second edition), </w:t>
      </w:r>
      <w:r w:rsidRPr="003253D5">
        <w:rPr>
          <w:lang w:val="en-US"/>
        </w:rPr>
        <w:t xml:space="preserve">2014. </w:t>
      </w:r>
      <w:r>
        <w:rPr>
          <w:lang w:val="en-US"/>
        </w:rPr>
        <w:t>See too: Wille’s Principles of South African Law, 9</w:t>
      </w:r>
      <w:r w:rsidRPr="00635058">
        <w:rPr>
          <w:vertAlign w:val="superscript"/>
          <w:lang w:val="en-US"/>
        </w:rPr>
        <w:t>th</w:t>
      </w:r>
      <w:r>
        <w:rPr>
          <w:lang w:val="en-US"/>
        </w:rPr>
        <w:t xml:space="preserve"> ed, at p508.</w:t>
      </w:r>
    </w:p>
    <w:p w:rsidR="00E46D99" w:rsidRPr="00EE2D6C" w:rsidRDefault="00E46D99" w:rsidP="0043529E">
      <w:pPr>
        <w:pStyle w:val="FootnoteText"/>
        <w:jc w:val="both"/>
        <w:rPr>
          <w:lang w:val="en-US"/>
        </w:rPr>
      </w:pPr>
      <w:r>
        <w:t xml:space="preserve">The applicant therefore contends that once money was deposited into her account it became unidentifiable as a result of </w:t>
      </w:r>
      <w:r w:rsidRPr="001B6459">
        <w:rPr>
          <w:i/>
        </w:rPr>
        <w:t>commixtio</w:t>
      </w:r>
      <w:r>
        <w:t xml:space="preserve"> and any right to it vests with the possessor (</w:t>
      </w:r>
      <w:r w:rsidR="001B6459">
        <w:t xml:space="preserve">i.e., the </w:t>
      </w:r>
      <w:r>
        <w:t>applicant).</w:t>
      </w:r>
    </w:p>
  </w:footnote>
  <w:footnote w:id="25">
    <w:p w:rsidR="00E46D99" w:rsidRPr="004A75B1" w:rsidRDefault="00E46D99">
      <w:pPr>
        <w:pStyle w:val="FootnoteText"/>
        <w:rPr>
          <w:lang w:val="en-US"/>
        </w:rPr>
      </w:pPr>
      <w:r>
        <w:rPr>
          <w:rStyle w:val="FootnoteReference"/>
        </w:rPr>
        <w:footnoteRef/>
      </w:r>
      <w:r>
        <w:t xml:space="preserve"> </w:t>
      </w:r>
      <w:r>
        <w:rPr>
          <w:lang w:val="en-US"/>
        </w:rPr>
        <w:t>Annexure LM14 to the founding affidavit)</w:t>
      </w:r>
    </w:p>
  </w:footnote>
  <w:footnote w:id="26">
    <w:p w:rsidR="00E46D99" w:rsidRPr="0028421E" w:rsidRDefault="00E46D99">
      <w:pPr>
        <w:pStyle w:val="FootnoteText"/>
        <w:rPr>
          <w:lang w:val="en-US"/>
        </w:rPr>
      </w:pPr>
      <w:r>
        <w:rPr>
          <w:rStyle w:val="FootnoteReference"/>
        </w:rPr>
        <w:footnoteRef/>
      </w:r>
      <w:r>
        <w:t xml:space="preserve"> </w:t>
      </w:r>
      <w:r>
        <w:rPr>
          <w:lang w:val="en-US"/>
        </w:rPr>
        <w:t>Annexure LM13 to the founding affidavit.</w:t>
      </w:r>
    </w:p>
  </w:footnote>
  <w:footnote w:id="27">
    <w:p w:rsidR="00E46D99" w:rsidRPr="00582FA9" w:rsidRDefault="00E46D99">
      <w:pPr>
        <w:pStyle w:val="FootnoteText"/>
        <w:rPr>
          <w:lang w:val="en-US"/>
        </w:rPr>
      </w:pPr>
      <w:r>
        <w:rPr>
          <w:rStyle w:val="FootnoteReference"/>
        </w:rPr>
        <w:footnoteRef/>
      </w:r>
      <w:r>
        <w:t xml:space="preserve"> </w:t>
      </w:r>
      <w:r>
        <w:rPr>
          <w:lang w:val="en-US"/>
        </w:rPr>
        <w:t>See annexure ‘AA 13” to the founding affidavit.</w:t>
      </w:r>
    </w:p>
  </w:footnote>
  <w:footnote w:id="28">
    <w:p w:rsidR="00E46D99" w:rsidRDefault="00E46D99" w:rsidP="00FC15D7">
      <w:pPr>
        <w:jc w:val="both"/>
        <w:rPr>
          <w:rFonts w:ascii="Arial" w:hAnsi="Arial" w:cs="Arial"/>
        </w:rPr>
      </w:pPr>
      <w:r>
        <w:rPr>
          <w:rStyle w:val="FootnoteReference"/>
        </w:rPr>
        <w:footnoteRef/>
      </w:r>
      <w:r>
        <w:t xml:space="preserve"> </w:t>
      </w:r>
      <w:r w:rsidRPr="008E6AB1">
        <w:rPr>
          <w:rFonts w:ascii="Arial" w:hAnsi="Arial" w:cs="Arial"/>
        </w:rPr>
        <w:t xml:space="preserve">As Lord Wright observed in </w:t>
      </w:r>
      <w:r w:rsidRPr="008E6AB1">
        <w:rPr>
          <w:rFonts w:ascii="Arial" w:hAnsi="Arial" w:cs="Arial"/>
          <w:i/>
        </w:rPr>
        <w:t>Caswell v Powell Duffryn Associated Collieries Ltd</w:t>
      </w:r>
      <w:r w:rsidRPr="008E6AB1">
        <w:rPr>
          <w:rFonts w:ascii="Arial" w:hAnsi="Arial" w:cs="Arial"/>
        </w:rPr>
        <w:t xml:space="preserve"> 1939 (3) All ER 722 at 733: ‘</w:t>
      </w:r>
      <w:r w:rsidRPr="008E6AB1">
        <w:rPr>
          <w:rFonts w:ascii="Arial" w:hAnsi="Arial" w:cs="Arial"/>
          <w:i/>
        </w:rPr>
        <w:t>Inference must be carefully distinguished from conjecture or speculation. There can be no inference unless there are objective facts from which to infer the other facts w</w:t>
      </w:r>
      <w:r>
        <w:rPr>
          <w:rFonts w:ascii="Arial" w:hAnsi="Arial" w:cs="Arial"/>
          <w:i/>
        </w:rPr>
        <w:t>hich it is sought to establish…</w:t>
      </w:r>
      <w:r w:rsidRPr="008E6AB1">
        <w:rPr>
          <w:rFonts w:ascii="Arial" w:hAnsi="Arial" w:cs="Arial"/>
          <w:i/>
        </w:rPr>
        <w:t>But if there are no positive proved facts from which the inference can be made, the method of inference fails and what is left is mere speculation or conjecture</w:t>
      </w:r>
      <w:r w:rsidRPr="008E6AB1">
        <w:rPr>
          <w:rFonts w:ascii="Arial" w:hAnsi="Arial" w:cs="Arial"/>
        </w:rPr>
        <w:t>.’</w:t>
      </w:r>
      <w:r>
        <w:rPr>
          <w:rFonts w:ascii="Arial" w:hAnsi="Arial" w:cs="Arial"/>
        </w:rPr>
        <w:t xml:space="preserve"> </w:t>
      </w:r>
    </w:p>
    <w:p w:rsidR="00E46D99" w:rsidRDefault="00E46D99" w:rsidP="00D9570B">
      <w:pPr>
        <w:jc w:val="both"/>
        <w:rPr>
          <w:rFonts w:ascii="Arial" w:hAnsi="Arial" w:cs="Arial"/>
          <w:color w:val="242121"/>
          <w:shd w:val="clear" w:color="auto" w:fill="FFFFFF"/>
        </w:rPr>
      </w:pPr>
    </w:p>
    <w:p w:rsidR="00E46D99" w:rsidRPr="0000789D" w:rsidRDefault="00E46D99" w:rsidP="00D9570B">
      <w:pPr>
        <w:jc w:val="both"/>
        <w:rPr>
          <w:rFonts w:ascii="Arial" w:hAnsi="Arial" w:cs="Arial"/>
          <w:color w:val="242121"/>
        </w:rPr>
      </w:pPr>
      <w:r>
        <w:rPr>
          <w:rFonts w:ascii="Arial" w:hAnsi="Arial" w:cs="Arial"/>
          <w:color w:val="242121"/>
          <w:shd w:val="clear" w:color="auto" w:fill="FFFFFF"/>
        </w:rPr>
        <w:t xml:space="preserve">See too: </w:t>
      </w:r>
      <w:r w:rsidRPr="0000789D">
        <w:rPr>
          <w:rFonts w:ascii="Arial" w:hAnsi="Arial" w:cs="Arial"/>
          <w:i/>
        </w:rPr>
        <w:t>Buildcure CC v Brews and Others</w:t>
      </w:r>
      <w:r w:rsidRPr="0000789D">
        <w:rPr>
          <w:rFonts w:ascii="Arial" w:hAnsi="Arial" w:cs="Arial"/>
        </w:rPr>
        <w:t xml:space="preserve"> 2017 (6) SA 562 (GJ),at </w:t>
      </w:r>
      <w:r w:rsidRPr="0000789D">
        <w:rPr>
          <w:rFonts w:ascii="Arial" w:hAnsi="Arial" w:cs="Arial"/>
          <w:bCs/>
        </w:rPr>
        <w:t xml:space="preserve">para [27], </w:t>
      </w:r>
      <w:r>
        <w:rPr>
          <w:rFonts w:ascii="Arial" w:hAnsi="Arial" w:cs="Arial"/>
          <w:bCs/>
        </w:rPr>
        <w:t xml:space="preserve">where </w:t>
      </w:r>
      <w:r w:rsidRPr="0000789D">
        <w:rPr>
          <w:rFonts w:ascii="Arial" w:hAnsi="Arial" w:cs="Arial"/>
          <w:bCs/>
        </w:rPr>
        <w:t>the court q</w:t>
      </w:r>
      <w:r w:rsidRPr="0000789D">
        <w:rPr>
          <w:rFonts w:ascii="Arial" w:hAnsi="Arial" w:cs="Arial"/>
          <w:color w:val="242121"/>
          <w:shd w:val="clear" w:color="auto" w:fill="FFFFFF"/>
        </w:rPr>
        <w:t xml:space="preserve">uoted with approval from the judgment of Landman JA in </w:t>
      </w:r>
      <w:r w:rsidRPr="0000789D">
        <w:rPr>
          <w:rFonts w:ascii="Arial" w:hAnsi="Arial" w:cs="Arial"/>
          <w:i/>
          <w:iCs/>
          <w:color w:val="242121"/>
          <w:shd w:val="clear" w:color="auto" w:fill="FFFFFF"/>
        </w:rPr>
        <w:t>South African Transport and Allied Workers Union v Tokiso Dispute Settlement &amp; Others</w:t>
      </w:r>
      <w:r>
        <w:rPr>
          <w:rFonts w:ascii="Arial" w:hAnsi="Arial" w:cs="Arial"/>
          <w:i/>
          <w:iCs/>
          <w:color w:val="242121"/>
          <w:shd w:val="clear" w:color="auto" w:fill="FFFFFF"/>
        </w:rPr>
        <w:t xml:space="preserve"> </w:t>
      </w:r>
      <w:hyperlink r:id="rId4" w:tooltip="View LawCiteRecord" w:history="1">
        <w:r w:rsidRPr="0000789D">
          <w:rPr>
            <w:rStyle w:val="Hyperlink"/>
            <w:rFonts w:ascii="Arial" w:hAnsi="Arial" w:cs="Arial"/>
            <w:b/>
            <w:bCs/>
            <w:color w:val="0B4B0B"/>
            <w:shd w:val="clear" w:color="auto" w:fill="FFFFFF"/>
          </w:rPr>
          <w:t>[2015] 8 BLLR 818</w:t>
        </w:r>
      </w:hyperlink>
      <w:r>
        <w:rPr>
          <w:rStyle w:val="Hyperlink"/>
          <w:rFonts w:ascii="Arial" w:hAnsi="Arial" w:cs="Arial"/>
          <w:b/>
          <w:bCs/>
          <w:color w:val="0B4B0B"/>
          <w:shd w:val="clear" w:color="auto" w:fill="FFFFFF"/>
        </w:rPr>
        <w:t xml:space="preserve"> </w:t>
      </w:r>
      <w:r w:rsidRPr="0000789D">
        <w:rPr>
          <w:rFonts w:ascii="Arial" w:hAnsi="Arial" w:cs="Arial"/>
          <w:i/>
          <w:iCs/>
          <w:color w:val="242121"/>
          <w:shd w:val="clear" w:color="auto" w:fill="FFFFFF"/>
        </w:rPr>
        <w:t>(LAC)</w:t>
      </w:r>
      <w:r w:rsidRPr="0000789D">
        <w:rPr>
          <w:rFonts w:ascii="Arial" w:hAnsi="Arial" w:cs="Arial"/>
          <w:color w:val="242121"/>
          <w:shd w:val="clear" w:color="auto" w:fill="FFFFFF"/>
        </w:rPr>
        <w:t xml:space="preserve"> where the learned judge pointed out in para 13 that </w:t>
      </w:r>
    </w:p>
    <w:p w:rsidR="00E46D99" w:rsidRPr="0000789D" w:rsidRDefault="00E46D99" w:rsidP="00D9570B">
      <w:pPr>
        <w:pStyle w:val="NormalWeb"/>
        <w:shd w:val="clear" w:color="auto" w:fill="FFFFFF"/>
        <w:spacing w:before="144" w:beforeAutospacing="0" w:after="0" w:afterAutospacing="0" w:line="276" w:lineRule="auto"/>
        <w:ind w:left="709"/>
        <w:jc w:val="both"/>
        <w:rPr>
          <w:rFonts w:ascii="Arial" w:hAnsi="Arial" w:cs="Arial"/>
          <w:color w:val="242121"/>
          <w:sz w:val="20"/>
          <w:szCs w:val="20"/>
        </w:rPr>
      </w:pPr>
      <w:r w:rsidRPr="0000789D">
        <w:rPr>
          <w:rFonts w:ascii="Arial" w:hAnsi="Arial" w:cs="Arial"/>
          <w:color w:val="000000"/>
          <w:sz w:val="20"/>
          <w:szCs w:val="20"/>
        </w:rPr>
        <w:t xml:space="preserve">“The court </w:t>
      </w:r>
      <w:r w:rsidRPr="0000789D">
        <w:rPr>
          <w:rFonts w:ascii="Arial" w:hAnsi="Arial" w:cs="Arial"/>
          <w:i/>
          <w:iCs/>
          <w:color w:val="000000"/>
          <w:sz w:val="20"/>
          <w:szCs w:val="20"/>
        </w:rPr>
        <w:t>a quo</w:t>
      </w:r>
      <w:r w:rsidRPr="0000789D">
        <w:rPr>
          <w:rFonts w:ascii="Arial" w:hAnsi="Arial" w:cs="Arial"/>
          <w:color w:val="000000"/>
          <w:sz w:val="20"/>
          <w:szCs w:val="20"/>
        </w:rPr>
        <w:t xml:space="preserve"> overlooked the fact that the deponent to Putco’s answering affidavit was making an assumption. It was incumbent on the court </w:t>
      </w:r>
      <w:r w:rsidRPr="0000789D">
        <w:rPr>
          <w:rFonts w:ascii="Arial" w:hAnsi="Arial" w:cs="Arial"/>
          <w:i/>
          <w:iCs/>
          <w:color w:val="000000"/>
          <w:sz w:val="20"/>
          <w:szCs w:val="20"/>
        </w:rPr>
        <w:t xml:space="preserve">a quo </w:t>
      </w:r>
      <w:r w:rsidRPr="0000789D">
        <w:rPr>
          <w:rFonts w:ascii="Arial" w:hAnsi="Arial" w:cs="Arial"/>
          <w:color w:val="000000"/>
          <w:sz w:val="20"/>
          <w:szCs w:val="20"/>
        </w:rPr>
        <w:t>to interrogate the assumption and to determine whether the assumption was such that it could be elevated to a fact. L Steynberg “</w:t>
      </w:r>
      <w:r w:rsidRPr="0000789D">
        <w:rPr>
          <w:rFonts w:ascii="Arial" w:hAnsi="Arial" w:cs="Arial"/>
          <w:i/>
          <w:iCs/>
          <w:color w:val="000000"/>
          <w:sz w:val="20"/>
          <w:szCs w:val="20"/>
        </w:rPr>
        <w:t>Fair</w:t>
      </w:r>
      <w:r w:rsidRPr="0000789D">
        <w:rPr>
          <w:rFonts w:ascii="Arial" w:hAnsi="Arial" w:cs="Arial"/>
          <w:color w:val="000000"/>
          <w:sz w:val="20"/>
          <w:szCs w:val="20"/>
        </w:rPr>
        <w:t xml:space="preserve">” </w:t>
      </w:r>
      <w:r w:rsidRPr="0000789D">
        <w:rPr>
          <w:rFonts w:ascii="Arial" w:hAnsi="Arial" w:cs="Arial"/>
          <w:i/>
          <w:iCs/>
          <w:color w:val="000000"/>
          <w:sz w:val="20"/>
          <w:szCs w:val="20"/>
        </w:rPr>
        <w:t>Mathematics in Assessing Delictual Damages</w:t>
      </w:r>
      <w:r w:rsidRPr="0000789D">
        <w:rPr>
          <w:rFonts w:ascii="Arial" w:hAnsi="Arial" w:cs="Arial"/>
          <w:color w:val="000000"/>
          <w:sz w:val="20"/>
          <w:szCs w:val="20"/>
        </w:rPr>
        <w:t xml:space="preserve"> 2011 (14) 2 PER/PELJ relying on Keynes </w:t>
      </w:r>
      <w:r w:rsidRPr="0000789D">
        <w:rPr>
          <w:rFonts w:ascii="Arial" w:hAnsi="Arial" w:cs="Arial"/>
          <w:i/>
          <w:iCs/>
          <w:color w:val="000000"/>
          <w:sz w:val="20"/>
          <w:szCs w:val="20"/>
        </w:rPr>
        <w:t>Treatise on Probability</w:t>
      </w:r>
      <w:r w:rsidRPr="0000789D">
        <w:rPr>
          <w:rFonts w:ascii="Arial" w:hAnsi="Arial" w:cs="Arial"/>
          <w:color w:val="000000"/>
          <w:sz w:val="20"/>
          <w:szCs w:val="20"/>
        </w:rPr>
        <w:t xml:space="preserve"> points out that:</w:t>
      </w:r>
    </w:p>
    <w:p w:rsidR="00E46D99" w:rsidRPr="00D9570B" w:rsidRDefault="00E46D99" w:rsidP="00D9570B">
      <w:pPr>
        <w:ind w:left="1418"/>
        <w:jc w:val="both"/>
        <w:rPr>
          <w:rFonts w:ascii="Arial" w:hAnsi="Arial" w:cs="Arial"/>
        </w:rPr>
      </w:pPr>
      <w:r w:rsidRPr="0000789D">
        <w:rPr>
          <w:rFonts w:ascii="Arial" w:hAnsi="Arial" w:cs="Arial"/>
          <w:color w:val="000000"/>
          <w:u w:val="single"/>
        </w:rPr>
        <w:t>‘Probabilities are not surrendered to human imagination, which means that a supposition or assumption is not probable merely because someone thinks so. The facts that establish the knowledge upon which the probability is based should be determined objectively and independently of human opinion</w:t>
      </w:r>
      <w:r w:rsidRPr="00D9570B">
        <w:rPr>
          <w:rFonts w:ascii="Arial" w:hAnsi="Arial" w:cs="Arial"/>
          <w:color w:val="000000"/>
        </w:rPr>
        <w:t>.’</w:t>
      </w:r>
      <w:r>
        <w:rPr>
          <w:rFonts w:ascii="Arial" w:hAnsi="Arial" w:cs="Arial"/>
          <w:color w:val="000000"/>
        </w:rPr>
        <w:t xml:space="preserve"> </w:t>
      </w:r>
      <w:r w:rsidRPr="00D9570B">
        <w:rPr>
          <w:rFonts w:ascii="Arial" w:hAnsi="Arial" w:cs="Arial"/>
          <w:color w:val="000000"/>
        </w:rPr>
        <w:t xml:space="preserve">” </w:t>
      </w:r>
      <w:r>
        <w:rPr>
          <w:rFonts w:ascii="Arial" w:hAnsi="Arial" w:cs="Arial"/>
          <w:color w:val="000000"/>
        </w:rPr>
        <w:t>[emphasis added]</w:t>
      </w:r>
    </w:p>
    <w:p w:rsidR="00E46D99" w:rsidRPr="00FC15D7" w:rsidRDefault="00E46D99">
      <w:pPr>
        <w:pStyle w:val="FootnoteText"/>
        <w:rPr>
          <w:lang w:val="en-US"/>
        </w:rPr>
      </w:pPr>
    </w:p>
  </w:footnote>
  <w:footnote w:id="29">
    <w:p w:rsidR="00E46D99" w:rsidRPr="007E51B7" w:rsidRDefault="00E46D99" w:rsidP="00A31613">
      <w:pPr>
        <w:pStyle w:val="FootnoteText"/>
        <w:jc w:val="both"/>
        <w:rPr>
          <w:lang w:val="en-US"/>
        </w:rPr>
      </w:pPr>
      <w:r>
        <w:rPr>
          <w:rStyle w:val="FootnoteReference"/>
        </w:rPr>
        <w:footnoteRef/>
      </w:r>
      <w:r>
        <w:rPr>
          <w:lang w:val="en-US"/>
        </w:rPr>
        <w:t xml:space="preserve"> </w:t>
      </w:r>
      <w:r w:rsidRPr="004E29BD">
        <w:rPr>
          <w:lang w:val="en-US"/>
        </w:rPr>
        <w:t xml:space="preserve">See for example </w:t>
      </w:r>
      <w:r w:rsidRPr="007E51B7">
        <w:rPr>
          <w:i/>
          <w:lang w:val="en-US"/>
        </w:rPr>
        <w:t>Gugu and another v Zongwana and others</w:t>
      </w:r>
      <w:r w:rsidRPr="004E29BD">
        <w:rPr>
          <w:lang w:val="en-US"/>
        </w:rPr>
        <w:t xml:space="preserve"> 2014 (1) all SA 203 (ECM) para 19 citing </w:t>
      </w:r>
      <w:r w:rsidRPr="007E51B7">
        <w:rPr>
          <w:i/>
          <w:lang w:val="en-US"/>
        </w:rPr>
        <w:t xml:space="preserve">Cape Explosive Works Ltd v Denel Pty Ltd </w:t>
      </w:r>
      <w:r w:rsidRPr="004E29BD">
        <w:rPr>
          <w:lang w:val="en-US"/>
        </w:rPr>
        <w:t xml:space="preserve">2001 (3) SA 569 (SCA) at </w:t>
      </w:r>
      <w:r>
        <w:rPr>
          <w:lang w:val="en-US"/>
        </w:rPr>
        <w:t xml:space="preserve">579F, </w:t>
      </w:r>
      <w:r w:rsidRPr="004E29BD">
        <w:rPr>
          <w:lang w:val="en-US"/>
        </w:rPr>
        <w:t xml:space="preserve">where the </w:t>
      </w:r>
      <w:r>
        <w:rPr>
          <w:lang w:val="en-US"/>
        </w:rPr>
        <w:t xml:space="preserve">Supreme Court of Appeal </w:t>
      </w:r>
      <w:r w:rsidRPr="004E29BD">
        <w:rPr>
          <w:lang w:val="en-US"/>
        </w:rPr>
        <w:t>stated the following: ‘</w:t>
      </w:r>
      <w:r w:rsidRPr="004E29BD">
        <w:rPr>
          <w:i/>
          <w:iCs/>
          <w:lang w:val="en-US"/>
        </w:rPr>
        <w:t>We have a negative system of registration where the deeds registry does not necessarily reflect the true state of affairs.</w:t>
      </w:r>
      <w:r w:rsidRPr="00D9570B">
        <w:rPr>
          <w:color w:val="242121"/>
        </w:rPr>
        <w:t xml:space="preserve"> </w:t>
      </w:r>
      <w:r w:rsidRPr="003A0969">
        <w:rPr>
          <w:color w:val="242121"/>
        </w:rPr>
        <w:t xml:space="preserve">There </w:t>
      </w:r>
      <w:r w:rsidRPr="003A0969">
        <w:rPr>
          <w:color w:val="242121"/>
          <w:u w:val="single"/>
        </w:rPr>
        <w:t>are a number of exceptions to the rule that the acquisition of a real right of ownership in immovable property must be by registration</w:t>
      </w:r>
      <w:r w:rsidRPr="003A0969">
        <w:rPr>
          <w:color w:val="242121"/>
        </w:rPr>
        <w:t xml:space="preserve">. Besides </w:t>
      </w:r>
      <w:r w:rsidRPr="003A0969">
        <w:rPr>
          <w:color w:val="242121"/>
          <w:u w:val="single"/>
        </w:rPr>
        <w:t>prescription</w:t>
      </w:r>
      <w:r w:rsidRPr="003A0969">
        <w:rPr>
          <w:color w:val="242121"/>
        </w:rPr>
        <w:t xml:space="preserve">, an example of acquisition of </w:t>
      </w:r>
      <w:r w:rsidRPr="00A31613">
        <w:rPr>
          <w:color w:val="242121"/>
        </w:rPr>
        <w:t>ownership not requiring an act of registration is by</w:t>
      </w:r>
      <w:r w:rsidRPr="003A0969">
        <w:rPr>
          <w:color w:val="242121"/>
          <w:u w:val="single"/>
        </w:rPr>
        <w:t xml:space="preserve"> marriage in community of property</w:t>
      </w:r>
      <w:r w:rsidRPr="00A31613">
        <w:rPr>
          <w:b/>
          <w:color w:val="242121"/>
        </w:rPr>
        <w:t xml:space="preserve">. </w:t>
      </w:r>
      <w:r w:rsidRPr="00A31613">
        <w:rPr>
          <w:bCs/>
          <w:color w:val="242121"/>
        </w:rPr>
        <w:t>Nor does the fact that the land in question is registered in the name of the board militate against this conclusion, for registration is not necessarily conclusive on the question of ownership of land. It is not so, for example, in the case of marriage in community of property,</w:t>
      </w:r>
      <w:r w:rsidRPr="00A31613">
        <w:rPr>
          <w:bCs/>
          <w:color w:val="242121"/>
          <w:u w:val="single"/>
        </w:rPr>
        <w:t xml:space="preserve"> </w:t>
      </w:r>
      <w:r w:rsidRPr="00A31613">
        <w:rPr>
          <w:bCs/>
          <w:color w:val="242121"/>
        </w:rPr>
        <w:t>or of</w:t>
      </w:r>
      <w:r w:rsidRPr="00A31613">
        <w:rPr>
          <w:bCs/>
          <w:color w:val="242121"/>
          <w:u w:val="single"/>
        </w:rPr>
        <w:t xml:space="preserve"> partnership</w:t>
      </w:r>
      <w:r w:rsidRPr="00A31613">
        <w:rPr>
          <w:bCs/>
          <w:color w:val="242121"/>
        </w:rPr>
        <w:t>, or of</w:t>
      </w:r>
      <w:r w:rsidRPr="00A31613">
        <w:rPr>
          <w:bCs/>
          <w:color w:val="242121"/>
          <w:u w:val="single"/>
        </w:rPr>
        <w:t xml:space="preserve"> bequests by will.</w:t>
      </w:r>
      <w:r>
        <w:rPr>
          <w:bCs/>
          <w:color w:val="242121"/>
          <w:u w:val="single"/>
        </w:rPr>
        <w:t>”</w:t>
      </w:r>
      <w:r w:rsidRPr="00A31613">
        <w:rPr>
          <w:color w:val="242121"/>
        </w:rPr>
        <w:t>(</w:t>
      </w:r>
      <w:r>
        <w:rPr>
          <w:color w:val="242121"/>
        </w:rPr>
        <w:t>footnotes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E46D99" w:rsidRDefault="00E46D99">
        <w:pPr>
          <w:pStyle w:val="Header"/>
          <w:jc w:val="right"/>
        </w:pPr>
        <w:r>
          <w:fldChar w:fldCharType="begin"/>
        </w:r>
        <w:r>
          <w:instrText xml:space="preserve"> PAGE   \* MERGEFORMAT </w:instrText>
        </w:r>
        <w:r>
          <w:fldChar w:fldCharType="separate"/>
        </w:r>
        <w:r w:rsidR="003B7DA3">
          <w:rPr>
            <w:noProof/>
          </w:rPr>
          <w:t>4</w:t>
        </w:r>
        <w:r>
          <w:rPr>
            <w:noProof/>
          </w:rPr>
          <w:fldChar w:fldCharType="end"/>
        </w:r>
      </w:p>
    </w:sdtContent>
  </w:sdt>
  <w:p w:rsidR="00E46D99" w:rsidRDefault="00E46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2253"/>
      <w:docPartObj>
        <w:docPartGallery w:val="Page Numbers (Top of Page)"/>
        <w:docPartUnique/>
      </w:docPartObj>
    </w:sdtPr>
    <w:sdtEndPr>
      <w:rPr>
        <w:noProof/>
      </w:rPr>
    </w:sdtEndPr>
    <w:sdtContent>
      <w:p w:rsidR="00E46D99" w:rsidRDefault="00E46D99">
        <w:pPr>
          <w:pStyle w:val="Header"/>
          <w:jc w:val="right"/>
        </w:pPr>
        <w:r>
          <w:fldChar w:fldCharType="begin"/>
        </w:r>
        <w:r>
          <w:instrText xml:space="preserve"> PAGE   \* MERGEFORMAT </w:instrText>
        </w:r>
        <w:r>
          <w:fldChar w:fldCharType="separate"/>
        </w:r>
        <w:r w:rsidR="003B7DA3">
          <w:rPr>
            <w:noProof/>
          </w:rPr>
          <w:t>1</w:t>
        </w:r>
        <w:r>
          <w:rPr>
            <w:noProof/>
          </w:rPr>
          <w:fldChar w:fldCharType="end"/>
        </w:r>
      </w:p>
    </w:sdtContent>
  </w:sdt>
  <w:p w:rsidR="00E46D99" w:rsidRDefault="00E46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DA0"/>
    <w:multiLevelType w:val="multilevel"/>
    <w:tmpl w:val="7E2CE57A"/>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2784374F"/>
    <w:multiLevelType w:val="multilevel"/>
    <w:tmpl w:val="02B2C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2A5375"/>
    <w:multiLevelType w:val="hybridMultilevel"/>
    <w:tmpl w:val="D144CDC4"/>
    <w:lvl w:ilvl="0" w:tplc="4968878E">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3FEE5133"/>
    <w:multiLevelType w:val="multilevel"/>
    <w:tmpl w:val="9A540F8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4"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5" w15:restartNumberingAfterBreak="0">
    <w:nsid w:val="4DD2293B"/>
    <w:multiLevelType w:val="hybridMultilevel"/>
    <w:tmpl w:val="DCF6703E"/>
    <w:lvl w:ilvl="0" w:tplc="705CF4AA">
      <w:start w:val="1"/>
      <w:numFmt w:val="decimal"/>
      <w:lvlText w:val="%1"/>
      <w:lvlJc w:val="left"/>
      <w:pPr>
        <w:ind w:left="1211" w:hanging="360"/>
      </w:pPr>
      <w:rPr>
        <w:rFonts w:ascii="Verdana" w:hAnsi="Verdana" w:cs="Times New Roman"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50F7650A"/>
    <w:multiLevelType w:val="multilevel"/>
    <w:tmpl w:val="FBFA6894"/>
    <w:numStyleLink w:val="Style3"/>
  </w:abstractNum>
  <w:abstractNum w:abstractNumId="7" w15:restartNumberingAfterBreak="0">
    <w:nsid w:val="596F4098"/>
    <w:multiLevelType w:val="multilevel"/>
    <w:tmpl w:val="82E28F50"/>
    <w:lvl w:ilvl="0">
      <w:start w:val="1"/>
      <w:numFmt w:val="decimal"/>
      <w:pStyle w:val="1"/>
      <w:lvlText w:val="%1."/>
      <w:lvlJc w:val="left"/>
      <w:pPr>
        <w:tabs>
          <w:tab w:val="num" w:pos="1197"/>
        </w:tabs>
        <w:ind w:left="1197" w:hanging="567"/>
      </w:pPr>
      <w:rPr>
        <w:rFonts w:hint="default"/>
        <w:b w:val="0"/>
        <w:i w:val="0"/>
        <w:iCs w:val="0"/>
        <w:sz w:val="24"/>
        <w:szCs w:val="24"/>
      </w:rPr>
    </w:lvl>
    <w:lvl w:ilvl="1">
      <w:start w:val="1"/>
      <w:numFmt w:val="decimal"/>
      <w:pStyle w:val="2"/>
      <w:lvlText w:val="%1.%2."/>
      <w:lvlJc w:val="left"/>
      <w:pPr>
        <w:tabs>
          <w:tab w:val="num" w:pos="1361"/>
        </w:tabs>
        <w:ind w:left="1361" w:hanging="79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3"/>
      <w:lvlText w:val="%1.%2.%3."/>
      <w:lvlJc w:val="left"/>
      <w:pPr>
        <w:tabs>
          <w:tab w:val="num" w:pos="2155"/>
        </w:tabs>
        <w:ind w:left="2155" w:hanging="794"/>
      </w:pPr>
      <w:rPr>
        <w:rFonts w:hint="default"/>
        <w:i w:val="0"/>
        <w:iCs/>
      </w:rPr>
    </w:lvl>
    <w:lvl w:ilvl="3">
      <w:start w:val="1"/>
      <w:numFmt w:val="decimal"/>
      <w:pStyle w:val="4"/>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5"/>
  </w:num>
  <w:num w:numId="5">
    <w:abstractNumId w:val="7"/>
  </w:num>
  <w:num w:numId="6">
    <w:abstractNumId w:val="7"/>
  </w:num>
  <w:num w:numId="7">
    <w:abstractNumId w:val="7"/>
  </w:num>
  <w:num w:numId="8">
    <w:abstractNumId w:val="2"/>
  </w:num>
  <w:num w:numId="9">
    <w:abstractNumId w:val="3"/>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3B"/>
    <w:rsid w:val="000622C8"/>
    <w:rsid w:val="000947B9"/>
    <w:rsid w:val="000B167C"/>
    <w:rsid w:val="000D70B1"/>
    <w:rsid w:val="000E34F6"/>
    <w:rsid w:val="000E6250"/>
    <w:rsid w:val="000F316B"/>
    <w:rsid w:val="00116A7E"/>
    <w:rsid w:val="0011799E"/>
    <w:rsid w:val="00124820"/>
    <w:rsid w:val="0012680A"/>
    <w:rsid w:val="00171AD4"/>
    <w:rsid w:val="001B6459"/>
    <w:rsid w:val="001C28E8"/>
    <w:rsid w:val="001D5160"/>
    <w:rsid w:val="001F0314"/>
    <w:rsid w:val="001F13D7"/>
    <w:rsid w:val="001F1512"/>
    <w:rsid w:val="001F5DEF"/>
    <w:rsid w:val="0024490C"/>
    <w:rsid w:val="002538C3"/>
    <w:rsid w:val="002639F5"/>
    <w:rsid w:val="00274D43"/>
    <w:rsid w:val="0027529A"/>
    <w:rsid w:val="00275603"/>
    <w:rsid w:val="0028421E"/>
    <w:rsid w:val="002A2C1B"/>
    <w:rsid w:val="002B0FAC"/>
    <w:rsid w:val="002B1D32"/>
    <w:rsid w:val="002B4E56"/>
    <w:rsid w:val="002B5190"/>
    <w:rsid w:val="002D222F"/>
    <w:rsid w:val="002E0691"/>
    <w:rsid w:val="002F343D"/>
    <w:rsid w:val="003161FC"/>
    <w:rsid w:val="0031763D"/>
    <w:rsid w:val="00322C0D"/>
    <w:rsid w:val="0034228E"/>
    <w:rsid w:val="0035232E"/>
    <w:rsid w:val="00352784"/>
    <w:rsid w:val="00356448"/>
    <w:rsid w:val="003614B9"/>
    <w:rsid w:val="00371702"/>
    <w:rsid w:val="003767B0"/>
    <w:rsid w:val="003A5318"/>
    <w:rsid w:val="003A7347"/>
    <w:rsid w:val="003B7DA3"/>
    <w:rsid w:val="003C6699"/>
    <w:rsid w:val="003E3620"/>
    <w:rsid w:val="003F7ACC"/>
    <w:rsid w:val="00401463"/>
    <w:rsid w:val="00401CAE"/>
    <w:rsid w:val="00401EE1"/>
    <w:rsid w:val="0043529E"/>
    <w:rsid w:val="00444142"/>
    <w:rsid w:val="00464EE1"/>
    <w:rsid w:val="00484CE0"/>
    <w:rsid w:val="004A75B1"/>
    <w:rsid w:val="004B18B9"/>
    <w:rsid w:val="004B6333"/>
    <w:rsid w:val="004C32CB"/>
    <w:rsid w:val="00502135"/>
    <w:rsid w:val="00506D7E"/>
    <w:rsid w:val="005074F6"/>
    <w:rsid w:val="00507D6B"/>
    <w:rsid w:val="0051514C"/>
    <w:rsid w:val="00582FA9"/>
    <w:rsid w:val="00587892"/>
    <w:rsid w:val="005935A1"/>
    <w:rsid w:val="005B0AB9"/>
    <w:rsid w:val="005F78B9"/>
    <w:rsid w:val="0061740B"/>
    <w:rsid w:val="00620792"/>
    <w:rsid w:val="00643E5C"/>
    <w:rsid w:val="00655CCC"/>
    <w:rsid w:val="00663324"/>
    <w:rsid w:val="00664D3B"/>
    <w:rsid w:val="00684DA4"/>
    <w:rsid w:val="006875FF"/>
    <w:rsid w:val="00693FA7"/>
    <w:rsid w:val="006A32CF"/>
    <w:rsid w:val="006A6E85"/>
    <w:rsid w:val="006A761F"/>
    <w:rsid w:val="006C2AFE"/>
    <w:rsid w:val="006D26D9"/>
    <w:rsid w:val="006E745A"/>
    <w:rsid w:val="006F2F4B"/>
    <w:rsid w:val="006F6C3B"/>
    <w:rsid w:val="00717594"/>
    <w:rsid w:val="007175A8"/>
    <w:rsid w:val="007254EC"/>
    <w:rsid w:val="0074378C"/>
    <w:rsid w:val="00752609"/>
    <w:rsid w:val="0075440E"/>
    <w:rsid w:val="00763194"/>
    <w:rsid w:val="00783381"/>
    <w:rsid w:val="007847FF"/>
    <w:rsid w:val="007972B3"/>
    <w:rsid w:val="007A0F25"/>
    <w:rsid w:val="007A44DC"/>
    <w:rsid w:val="007B0A29"/>
    <w:rsid w:val="007B0EAD"/>
    <w:rsid w:val="007B23B6"/>
    <w:rsid w:val="007B75B0"/>
    <w:rsid w:val="007E3025"/>
    <w:rsid w:val="007E3A4D"/>
    <w:rsid w:val="007E3BF8"/>
    <w:rsid w:val="007E51B7"/>
    <w:rsid w:val="007E7AF2"/>
    <w:rsid w:val="008038BB"/>
    <w:rsid w:val="008225B9"/>
    <w:rsid w:val="00827F77"/>
    <w:rsid w:val="00836C0A"/>
    <w:rsid w:val="00854088"/>
    <w:rsid w:val="00862D36"/>
    <w:rsid w:val="00864C9F"/>
    <w:rsid w:val="00872FBB"/>
    <w:rsid w:val="00874FB6"/>
    <w:rsid w:val="008858C4"/>
    <w:rsid w:val="008A1ED1"/>
    <w:rsid w:val="008E6A6C"/>
    <w:rsid w:val="008F3AF9"/>
    <w:rsid w:val="008F712D"/>
    <w:rsid w:val="0091783B"/>
    <w:rsid w:val="00931689"/>
    <w:rsid w:val="0093717C"/>
    <w:rsid w:val="00944A6E"/>
    <w:rsid w:val="00997354"/>
    <w:rsid w:val="009A4F72"/>
    <w:rsid w:val="009B74CC"/>
    <w:rsid w:val="009C10B1"/>
    <w:rsid w:val="00A30278"/>
    <w:rsid w:val="00A31613"/>
    <w:rsid w:val="00A318E7"/>
    <w:rsid w:val="00A34506"/>
    <w:rsid w:val="00A40E2A"/>
    <w:rsid w:val="00A521E6"/>
    <w:rsid w:val="00A77F70"/>
    <w:rsid w:val="00A83DED"/>
    <w:rsid w:val="00A86A1C"/>
    <w:rsid w:val="00A86FDE"/>
    <w:rsid w:val="00A933A9"/>
    <w:rsid w:val="00AB266A"/>
    <w:rsid w:val="00AB39CB"/>
    <w:rsid w:val="00AB4099"/>
    <w:rsid w:val="00AB544A"/>
    <w:rsid w:val="00AB6ECE"/>
    <w:rsid w:val="00AC1CC5"/>
    <w:rsid w:val="00AC6716"/>
    <w:rsid w:val="00AE6DB2"/>
    <w:rsid w:val="00B022CA"/>
    <w:rsid w:val="00B32DB0"/>
    <w:rsid w:val="00B36466"/>
    <w:rsid w:val="00B64E2D"/>
    <w:rsid w:val="00B65AEC"/>
    <w:rsid w:val="00B67288"/>
    <w:rsid w:val="00B73F9B"/>
    <w:rsid w:val="00B8652D"/>
    <w:rsid w:val="00B97620"/>
    <w:rsid w:val="00BC56EA"/>
    <w:rsid w:val="00BE72FE"/>
    <w:rsid w:val="00BE7742"/>
    <w:rsid w:val="00BF28FD"/>
    <w:rsid w:val="00BF650E"/>
    <w:rsid w:val="00C01126"/>
    <w:rsid w:val="00C16CD9"/>
    <w:rsid w:val="00C25FCD"/>
    <w:rsid w:val="00C54FE5"/>
    <w:rsid w:val="00C605F7"/>
    <w:rsid w:val="00C82B2E"/>
    <w:rsid w:val="00C90E6C"/>
    <w:rsid w:val="00CB7A9D"/>
    <w:rsid w:val="00CD2677"/>
    <w:rsid w:val="00CE6254"/>
    <w:rsid w:val="00D00DC8"/>
    <w:rsid w:val="00D26008"/>
    <w:rsid w:val="00D41C97"/>
    <w:rsid w:val="00D47AF7"/>
    <w:rsid w:val="00D50241"/>
    <w:rsid w:val="00D66ED7"/>
    <w:rsid w:val="00D75C96"/>
    <w:rsid w:val="00D91FAD"/>
    <w:rsid w:val="00D9570B"/>
    <w:rsid w:val="00DA7C1F"/>
    <w:rsid w:val="00DB6137"/>
    <w:rsid w:val="00E114F0"/>
    <w:rsid w:val="00E23DE2"/>
    <w:rsid w:val="00E46D99"/>
    <w:rsid w:val="00E65445"/>
    <w:rsid w:val="00E80B17"/>
    <w:rsid w:val="00E86776"/>
    <w:rsid w:val="00EA4B5E"/>
    <w:rsid w:val="00EB55A0"/>
    <w:rsid w:val="00EB5FB2"/>
    <w:rsid w:val="00EC61ED"/>
    <w:rsid w:val="00ED00F2"/>
    <w:rsid w:val="00ED7B83"/>
    <w:rsid w:val="00EE2D6C"/>
    <w:rsid w:val="00EE3FA8"/>
    <w:rsid w:val="00F0284E"/>
    <w:rsid w:val="00F245A0"/>
    <w:rsid w:val="00F25C2A"/>
    <w:rsid w:val="00F409C2"/>
    <w:rsid w:val="00F65DDE"/>
    <w:rsid w:val="00F84473"/>
    <w:rsid w:val="00F87237"/>
    <w:rsid w:val="00F96B27"/>
    <w:rsid w:val="00FB0A0B"/>
    <w:rsid w:val="00FB409C"/>
    <w:rsid w:val="00FB6B06"/>
    <w:rsid w:val="00FC097B"/>
    <w:rsid w:val="00FC15D7"/>
    <w:rsid w:val="00FF4664"/>
    <w:rsid w:val="00FF71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00647-63EA-46EF-9B99-24CDF158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3B"/>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unhideWhenUsed/>
    <w:qFormat/>
    <w:rsid w:val="0091783B"/>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eastAsia="en-US"/>
    </w:rPr>
  </w:style>
  <w:style w:type="paragraph" w:styleId="Heading3">
    <w:name w:val="heading 3"/>
    <w:basedOn w:val="Normal"/>
    <w:next w:val="Normal"/>
    <w:link w:val="Heading3Char"/>
    <w:uiPriority w:val="9"/>
    <w:unhideWhenUsed/>
    <w:qFormat/>
    <w:rsid w:val="009178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8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783B"/>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91783B"/>
    <w:pPr>
      <w:ind w:left="720"/>
      <w:contextualSpacing/>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
    <w:basedOn w:val="Normal"/>
    <w:link w:val="FootnoteTextChar"/>
    <w:uiPriority w:val="99"/>
    <w:unhideWhenUsed/>
    <w:qFormat/>
    <w:rsid w:val="0091783B"/>
    <w:rPr>
      <w:rFonts w:ascii="Arial" w:eastAsiaTheme="minorHAnsi" w:hAnsi="Arial" w:cs="Arial"/>
      <w:lang w:eastAsia="en-US"/>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basedOn w:val="DefaultParagraphFont"/>
    <w:link w:val="FootnoteText"/>
    <w:uiPriority w:val="99"/>
    <w:rsid w:val="0091783B"/>
    <w:rPr>
      <w:rFonts w:ascii="Arial" w:hAnsi="Arial" w:cs="Arial"/>
      <w:sz w:val="20"/>
      <w:szCs w:val="20"/>
      <w:lang w:val="en-GB"/>
    </w:rPr>
  </w:style>
  <w:style w:type="character" w:styleId="FootnoteReference">
    <w:name w:val="footnote reference"/>
    <w:aliases w:val="(NECG) Footnote Reference,Heading 6 Char1,do not use4 Char1,Ref,de nota al pie,Footnote symbol,註腳內容,Footnotes refss"/>
    <w:basedOn w:val="DefaultParagraphFont"/>
    <w:uiPriority w:val="99"/>
    <w:unhideWhenUsed/>
    <w:rsid w:val="0091783B"/>
    <w:rPr>
      <w:vertAlign w:val="superscript"/>
    </w:rPr>
  </w:style>
  <w:style w:type="numbering" w:customStyle="1" w:styleId="Style3">
    <w:name w:val="Style3"/>
    <w:rsid w:val="0091783B"/>
    <w:pPr>
      <w:numPr>
        <w:numId w:val="2"/>
      </w:numPr>
    </w:pPr>
  </w:style>
  <w:style w:type="paragraph" w:styleId="NormalWeb">
    <w:name w:val="Normal (Web)"/>
    <w:basedOn w:val="Normal"/>
    <w:uiPriority w:val="99"/>
    <w:unhideWhenUsed/>
    <w:rsid w:val="0091783B"/>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91783B"/>
    <w:pPr>
      <w:tabs>
        <w:tab w:val="center" w:pos="4513"/>
        <w:tab w:val="right" w:pos="9026"/>
      </w:tabs>
    </w:pPr>
  </w:style>
  <w:style w:type="character" w:customStyle="1" w:styleId="HeaderChar">
    <w:name w:val="Header Char"/>
    <w:basedOn w:val="DefaultParagraphFont"/>
    <w:link w:val="Header"/>
    <w:uiPriority w:val="99"/>
    <w:rsid w:val="0091783B"/>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91783B"/>
    <w:rPr>
      <w:color w:val="0000FF"/>
      <w:u w:val="single"/>
    </w:rPr>
  </w:style>
  <w:style w:type="paragraph" w:customStyle="1" w:styleId="western">
    <w:name w:val="western"/>
    <w:basedOn w:val="Normal"/>
    <w:rsid w:val="0091783B"/>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91783B"/>
    <w:rPr>
      <w:rFonts w:ascii="Tahoma" w:hAnsi="Tahoma" w:cs="Tahoma"/>
      <w:sz w:val="16"/>
      <w:szCs w:val="16"/>
    </w:rPr>
  </w:style>
  <w:style w:type="character" w:customStyle="1" w:styleId="BalloonTextChar">
    <w:name w:val="Balloon Text Char"/>
    <w:basedOn w:val="DefaultParagraphFont"/>
    <w:link w:val="BalloonText"/>
    <w:uiPriority w:val="99"/>
    <w:semiHidden/>
    <w:rsid w:val="0091783B"/>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6E745A"/>
    <w:pPr>
      <w:tabs>
        <w:tab w:val="center" w:pos="4513"/>
        <w:tab w:val="right" w:pos="9026"/>
      </w:tabs>
    </w:pPr>
  </w:style>
  <w:style w:type="character" w:customStyle="1" w:styleId="FooterChar">
    <w:name w:val="Footer Char"/>
    <w:basedOn w:val="DefaultParagraphFont"/>
    <w:link w:val="Footer"/>
    <w:uiPriority w:val="99"/>
    <w:rsid w:val="006E745A"/>
    <w:rPr>
      <w:rFonts w:ascii="Verdana" w:eastAsia="Times New Roman" w:hAnsi="Verdana" w:cs="Times New Roman"/>
      <w:sz w:val="20"/>
      <w:szCs w:val="20"/>
      <w:lang w:val="en-GB" w:eastAsia="en-GB"/>
    </w:rPr>
  </w:style>
  <w:style w:type="paragraph" w:styleId="BodyTextIndent2">
    <w:name w:val="Body Text Indent 2"/>
    <w:aliases w:val="Quotation"/>
    <w:basedOn w:val="Normal"/>
    <w:link w:val="BodyTextIndent2Char"/>
    <w:qFormat/>
    <w:rsid w:val="00AB6ECE"/>
    <w:pPr>
      <w:suppressAutoHyphens/>
      <w:spacing w:after="320" w:line="360" w:lineRule="auto"/>
      <w:ind w:left="1701" w:right="585"/>
      <w:jc w:val="both"/>
    </w:pPr>
    <w:rPr>
      <w:rFonts w:ascii="Arial" w:hAnsi="Arial"/>
      <w:sz w:val="22"/>
      <w:szCs w:val="22"/>
      <w:lang w:val="en-ZA" w:eastAsia="en-US"/>
    </w:rPr>
  </w:style>
  <w:style w:type="character" w:customStyle="1" w:styleId="BodyTextIndent2Char">
    <w:name w:val="Body Text Indent 2 Char"/>
    <w:aliases w:val="Quotation Char"/>
    <w:basedOn w:val="DefaultParagraphFont"/>
    <w:link w:val="BodyTextIndent2"/>
    <w:rsid w:val="00AB6ECE"/>
    <w:rPr>
      <w:rFonts w:ascii="Arial" w:eastAsia="Times New Roman" w:hAnsi="Arial" w:cs="Times New Roman"/>
    </w:rPr>
  </w:style>
  <w:style w:type="paragraph" w:customStyle="1" w:styleId="1">
    <w:name w:val="1"/>
    <w:basedOn w:val="Normal"/>
    <w:link w:val="1Char"/>
    <w:qFormat/>
    <w:rsid w:val="003A7347"/>
    <w:pPr>
      <w:widowControl w:val="0"/>
      <w:numPr>
        <w:numId w:val="5"/>
      </w:numPr>
      <w:suppressAutoHyphens/>
      <w:autoSpaceDN w:val="0"/>
      <w:spacing w:before="360" w:after="360" w:line="480" w:lineRule="auto"/>
      <w:jc w:val="both"/>
      <w:textAlignment w:val="baseline"/>
    </w:pPr>
    <w:rPr>
      <w:rFonts w:ascii="Arial" w:hAnsi="Arial" w:cs="Arial"/>
      <w:sz w:val="24"/>
      <w:szCs w:val="24"/>
      <w:lang w:eastAsia="en-ZA"/>
    </w:rPr>
  </w:style>
  <w:style w:type="paragraph" w:customStyle="1" w:styleId="Tramlinescentred">
    <w:name w:val="Tramlines centred"/>
    <w:basedOn w:val="Normal"/>
    <w:qFormat/>
    <w:rsid w:val="003A7347"/>
    <w:pPr>
      <w:pBdr>
        <w:top w:val="single" w:sz="8" w:space="12" w:color="auto"/>
        <w:bottom w:val="single" w:sz="8" w:space="12" w:color="auto"/>
      </w:pBdr>
      <w:suppressAutoHyphens/>
      <w:spacing w:after="320"/>
      <w:jc w:val="center"/>
    </w:pPr>
    <w:rPr>
      <w:rFonts w:ascii="Arial" w:hAnsi="Arial"/>
      <w:b/>
      <w:bCs/>
      <w:sz w:val="24"/>
      <w:lang w:val="en-ZA" w:eastAsia="en-US"/>
    </w:rPr>
  </w:style>
  <w:style w:type="paragraph" w:customStyle="1" w:styleId="2">
    <w:name w:val="2"/>
    <w:basedOn w:val="1"/>
    <w:qFormat/>
    <w:rsid w:val="003A7347"/>
    <w:pPr>
      <w:numPr>
        <w:ilvl w:val="1"/>
      </w:numPr>
    </w:pPr>
  </w:style>
  <w:style w:type="paragraph" w:customStyle="1" w:styleId="3">
    <w:name w:val="3"/>
    <w:basedOn w:val="Normal"/>
    <w:qFormat/>
    <w:rsid w:val="003A7347"/>
    <w:pPr>
      <w:numPr>
        <w:ilvl w:val="2"/>
        <w:numId w:val="5"/>
      </w:numPr>
      <w:tabs>
        <w:tab w:val="clear" w:pos="2155"/>
      </w:tabs>
      <w:spacing w:before="240" w:line="480" w:lineRule="auto"/>
      <w:ind w:left="2552" w:hanging="1134"/>
      <w:jc w:val="both"/>
    </w:pPr>
    <w:rPr>
      <w:rFonts w:ascii="Arial" w:hAnsi="Arial" w:cs="Arial"/>
      <w:sz w:val="24"/>
      <w:szCs w:val="24"/>
      <w:lang w:val="en-ZA" w:eastAsia="en-US"/>
    </w:rPr>
  </w:style>
  <w:style w:type="paragraph" w:customStyle="1" w:styleId="4">
    <w:name w:val="4"/>
    <w:basedOn w:val="3"/>
    <w:qFormat/>
    <w:rsid w:val="003A7347"/>
    <w:pPr>
      <w:numPr>
        <w:ilvl w:val="3"/>
      </w:numPr>
    </w:pPr>
  </w:style>
  <w:style w:type="character" w:customStyle="1" w:styleId="1Char">
    <w:name w:val="1 Char"/>
    <w:link w:val="1"/>
    <w:rsid w:val="003A7347"/>
    <w:rPr>
      <w:rFonts w:ascii="Arial" w:eastAsia="Times New Roman" w:hAnsi="Arial" w:cs="Arial"/>
      <w:sz w:val="24"/>
      <w:szCs w:val="24"/>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7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za/legis/consol_act/ia1936149/" TargetMode="External"/><Relationship Id="rId4" Type="http://schemas.openxmlformats.org/officeDocument/2006/relationships/settings" Target="settings.xml"/><Relationship Id="rId9" Type="http://schemas.openxmlformats.org/officeDocument/2006/relationships/hyperlink" Target="http://www.saflii.org/za/legis/consol_act/ia1936149/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gi-bin/LawCite?cit=2012%20%284%29%20SA%20593" TargetMode="External"/><Relationship Id="rId2" Type="http://schemas.openxmlformats.org/officeDocument/2006/relationships/hyperlink" Target="https://www.merriam-webster.com/dictionary/provide" TargetMode="External"/><Relationship Id="rId1" Type="http://schemas.openxmlformats.org/officeDocument/2006/relationships/hyperlink" Target="https://dictionary.cambridge.org/dictionary/english/provided" TargetMode="External"/><Relationship Id="rId4" Type="http://schemas.openxmlformats.org/officeDocument/2006/relationships/hyperlink" Target="http://www.saflii.org.za/cgi-bin/LawCite?cit=%5b2015%5d%208%20BLLR%2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9A1D-FA62-418B-8296-32EDB715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6244</Words>
  <Characters>35593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HOME</cp:lastModifiedBy>
  <cp:revision>2</cp:revision>
  <cp:lastPrinted>2022-07-26T10:18:00Z</cp:lastPrinted>
  <dcterms:created xsi:type="dcterms:W3CDTF">2022-08-11T18:56:00Z</dcterms:created>
  <dcterms:modified xsi:type="dcterms:W3CDTF">2022-08-11T18:56:00Z</dcterms:modified>
</cp:coreProperties>
</file>