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86EF" w14:textId="77777777" w:rsidR="00857618" w:rsidRPr="00876CA5" w:rsidRDefault="00857618" w:rsidP="00857618">
      <w:pPr>
        <w:rPr>
          <w:rFonts w:ascii="Arial" w:hAnsi="Arial" w:cs="Arial"/>
          <w:b/>
        </w:rPr>
      </w:pPr>
      <w:r w:rsidRPr="00876CA5">
        <w:rPr>
          <w:rFonts w:ascii="Arial" w:hAnsi="Arial" w:cs="Arial"/>
          <w:b/>
        </w:rPr>
        <w:t xml:space="preserve">                                               REPUBLIC OF SOUTH AFRICA</w:t>
      </w:r>
    </w:p>
    <w:p w14:paraId="11397C08" w14:textId="77777777" w:rsidR="00857618" w:rsidRPr="00876CA5" w:rsidRDefault="00857618" w:rsidP="00857618">
      <w:pPr>
        <w:jc w:val="center"/>
        <w:rPr>
          <w:rFonts w:ascii="Arial Black" w:hAnsi="Arial Black"/>
          <w:b/>
        </w:rPr>
      </w:pPr>
      <w:r w:rsidRPr="00876CA5">
        <w:rPr>
          <w:rFonts w:ascii="Arial Black" w:hAnsi="Arial Black"/>
          <w:b/>
          <w:noProof/>
          <w:lang w:val="en-US"/>
        </w:rPr>
        <w:drawing>
          <wp:inline distT="0" distB="0" distL="0" distR="0" wp14:anchorId="4762CCDA" wp14:editId="345999D8">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65580663" w14:textId="2B634A9C" w:rsidR="00857618" w:rsidRPr="00876CA5" w:rsidRDefault="00857618" w:rsidP="00876CA5">
      <w:pPr>
        <w:jc w:val="center"/>
        <w:rPr>
          <w:rFonts w:ascii="Arial" w:hAnsi="Arial" w:cs="Arial"/>
          <w:b/>
        </w:rPr>
      </w:pPr>
      <w:r w:rsidRPr="00876CA5">
        <w:rPr>
          <w:rFonts w:ascii="Arial" w:hAnsi="Arial" w:cs="Arial"/>
          <w:b/>
        </w:rPr>
        <w:t>IN THE HIGH COURT OF SOUTH AFRICA,</w:t>
      </w:r>
    </w:p>
    <w:p w14:paraId="7CF9E8BD" w14:textId="51549AC6" w:rsidR="00857618" w:rsidRPr="00876CA5" w:rsidRDefault="00857618" w:rsidP="00876CA5">
      <w:pPr>
        <w:jc w:val="center"/>
        <w:rPr>
          <w:rFonts w:ascii="Arial" w:hAnsi="Arial" w:cs="Arial"/>
          <w:b/>
        </w:rPr>
      </w:pPr>
      <w:r w:rsidRPr="00876CA5">
        <w:rPr>
          <w:rFonts w:ascii="Arial" w:hAnsi="Arial" w:cs="Arial"/>
          <w:b/>
        </w:rPr>
        <w:t>GAUTENG DIVISION, JOHANNESBURG</w:t>
      </w:r>
    </w:p>
    <w:p w14:paraId="1A62A6A1" w14:textId="4894406C" w:rsidR="00857618" w:rsidRPr="00876CA5" w:rsidRDefault="00857618" w:rsidP="00857618">
      <w:pPr>
        <w:autoSpaceDE w:val="0"/>
        <w:autoSpaceDN w:val="0"/>
        <w:adjustRightInd w:val="0"/>
        <w:spacing w:after="0" w:line="240" w:lineRule="auto"/>
        <w:jc w:val="right"/>
        <w:rPr>
          <w:rFonts w:ascii="Arial" w:hAnsi="Arial" w:cs="Arial"/>
          <w:b/>
          <w:caps/>
        </w:rPr>
      </w:pPr>
      <w:r w:rsidRPr="00876CA5">
        <w:rPr>
          <w:rFonts w:ascii="Arial Black" w:hAnsi="Arial Black"/>
          <w:b/>
        </w:rPr>
        <w:t xml:space="preserve">                                                                                                                        </w:t>
      </w:r>
      <w:r w:rsidRPr="00876CA5">
        <w:rPr>
          <w:rFonts w:ascii="Arial" w:hAnsi="Arial" w:cs="Arial"/>
          <w:b/>
        </w:rPr>
        <w:t>CASE NO:</w:t>
      </w:r>
      <w:r w:rsidRPr="00876CA5">
        <w:rPr>
          <w:rFonts w:ascii="Arial" w:hAnsi="Arial" w:cs="Arial"/>
          <w:b/>
          <w:caps/>
        </w:rPr>
        <w:t xml:space="preserve"> </w:t>
      </w:r>
      <w:r w:rsidR="00283950" w:rsidRPr="00876CA5">
        <w:rPr>
          <w:rFonts w:ascii="Arial" w:hAnsi="Arial" w:cs="Arial"/>
          <w:b/>
          <w:caps/>
        </w:rPr>
        <w:t>a3004</w:t>
      </w:r>
      <w:r w:rsidR="00FE0C17" w:rsidRPr="00876CA5">
        <w:rPr>
          <w:rFonts w:ascii="Arial" w:hAnsi="Arial" w:cs="Arial"/>
          <w:b/>
          <w:caps/>
        </w:rPr>
        <w:t>/20</w:t>
      </w:r>
      <w:r w:rsidR="00283950" w:rsidRPr="00876CA5">
        <w:rPr>
          <w:rFonts w:ascii="Arial" w:hAnsi="Arial" w:cs="Arial"/>
          <w:b/>
          <w:caps/>
        </w:rPr>
        <w:t>21</w:t>
      </w:r>
    </w:p>
    <w:p w14:paraId="559F2DA7" w14:textId="728F212E" w:rsidR="00857618" w:rsidRPr="00876CA5" w:rsidRDefault="001135CC" w:rsidP="00857618">
      <w:pPr>
        <w:autoSpaceDE w:val="0"/>
        <w:autoSpaceDN w:val="0"/>
        <w:adjustRightInd w:val="0"/>
        <w:spacing w:after="0" w:line="240" w:lineRule="auto"/>
        <w:jc w:val="right"/>
        <w:rPr>
          <w:rFonts w:ascii="Arial" w:hAnsi="Arial" w:cs="Arial"/>
          <w:b/>
          <w:caps/>
        </w:rPr>
      </w:pPr>
      <w:r w:rsidRPr="00876CA5">
        <w:rPr>
          <w:rFonts w:ascii="Arial" w:hAnsi="Arial" w:cs="Arial"/>
          <w:b/>
          <w:caps/>
        </w:rPr>
        <w:t>COURT A QUO CASE NO: 1269</w:t>
      </w:r>
      <w:r w:rsidR="00857618" w:rsidRPr="00876CA5">
        <w:rPr>
          <w:rFonts w:ascii="Arial" w:hAnsi="Arial" w:cs="Arial"/>
          <w:b/>
          <w:caps/>
        </w:rPr>
        <w:t xml:space="preserve">/2017 </w:t>
      </w:r>
    </w:p>
    <w:p w14:paraId="56A73E3A" w14:textId="6415333D" w:rsidR="00857618" w:rsidRPr="005B15E4" w:rsidRDefault="007D7E31" w:rsidP="00857618">
      <w:pPr>
        <w:jc w:val="both"/>
        <w:rPr>
          <w:rFonts w:ascii="Arial" w:hAnsi="Arial" w:cs="Arial"/>
          <w:b/>
        </w:rPr>
      </w:pPr>
      <w:r>
        <w:rPr>
          <w:noProof/>
          <w:lang w:val="en-US"/>
        </w:rPr>
        <mc:AlternateContent>
          <mc:Choice Requires="wps">
            <w:drawing>
              <wp:anchor distT="0" distB="0" distL="114300" distR="114300" simplePos="0" relativeHeight="251659264" behindDoc="0" locked="0" layoutInCell="1" allowOverlap="1" wp14:anchorId="2A9AB9A6" wp14:editId="309F232D">
                <wp:simplePos x="0" y="0"/>
                <wp:positionH relativeFrom="margin">
                  <wp:align>left</wp:align>
                </wp:positionH>
                <wp:positionV relativeFrom="paragraph">
                  <wp:posOffset>203200</wp:posOffset>
                </wp:positionV>
                <wp:extent cx="3314700" cy="1581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14:paraId="3578BD80" w14:textId="77777777" w:rsidR="00A164E8" w:rsidRPr="002A7321" w:rsidRDefault="00A164E8" w:rsidP="00857618">
                            <w:pPr>
                              <w:jc w:val="center"/>
                              <w:rPr>
                                <w:rFonts w:ascii="Arial Black" w:hAnsi="Arial Black"/>
                                <w:b/>
                                <w:sz w:val="24"/>
                                <w:szCs w:val="24"/>
                              </w:rPr>
                            </w:pPr>
                          </w:p>
                          <w:p w14:paraId="740A9730" w14:textId="04466F34" w:rsidR="00A164E8" w:rsidRDefault="00394FA8" w:rsidP="00394FA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164E8">
                              <w:rPr>
                                <w:rFonts w:ascii="Century Gothic" w:hAnsi="Century Gothic"/>
                                <w:sz w:val="20"/>
                                <w:szCs w:val="20"/>
                              </w:rPr>
                              <w:t>REPORTABLE:  NO</w:t>
                            </w:r>
                          </w:p>
                          <w:p w14:paraId="5556F569" w14:textId="3AC720E9" w:rsidR="00A164E8" w:rsidRPr="00913F95" w:rsidRDefault="00394FA8" w:rsidP="00394FA8">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(2)</w:t>
                            </w:r>
                            <w:r w:rsidRPr="00913F95">
                              <w:rPr>
                                <w:rFonts w:ascii="Century Gothic" w:hAnsi="Century Gothic" w:cs="Times New Roman"/>
                                <w:sz w:val="20"/>
                                <w:szCs w:val="20"/>
                              </w:rPr>
                              <w:tab/>
                            </w:r>
                            <w:r w:rsidR="00060119">
                              <w:rPr>
                                <w:rFonts w:ascii="Century Gothic" w:hAnsi="Century Gothic"/>
                                <w:sz w:val="20"/>
                                <w:szCs w:val="20"/>
                              </w:rPr>
                              <w:t>OF INTEREST TO OTHER JUDGES: YES</w:t>
                            </w:r>
                          </w:p>
                          <w:p w14:paraId="0411A96B" w14:textId="16BBB979" w:rsidR="00A164E8" w:rsidRDefault="00394FA8" w:rsidP="00394FA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164E8" w:rsidRPr="00913F95">
                              <w:rPr>
                                <w:rFonts w:ascii="Century Gothic" w:hAnsi="Century Gothic"/>
                                <w:sz w:val="20"/>
                                <w:szCs w:val="20"/>
                              </w:rPr>
                              <w:t>REVISED</w:t>
                            </w:r>
                            <w:r w:rsidR="00A164E8">
                              <w:rPr>
                                <w:rFonts w:ascii="Century Gothic" w:hAnsi="Century Gothic"/>
                                <w:sz w:val="20"/>
                                <w:szCs w:val="20"/>
                              </w:rPr>
                              <w:t xml:space="preserve">: NO </w:t>
                            </w:r>
                          </w:p>
                          <w:p w14:paraId="349D3368" w14:textId="77777777" w:rsidR="00A164E8" w:rsidRPr="00913F95" w:rsidRDefault="00A164E8" w:rsidP="00857618">
                            <w:pPr>
                              <w:spacing w:after="0" w:line="240" w:lineRule="auto"/>
                              <w:ind w:left="900"/>
                              <w:rPr>
                                <w:rFonts w:ascii="Century Gothic" w:hAnsi="Century Gothic"/>
                                <w:sz w:val="20"/>
                                <w:szCs w:val="20"/>
                              </w:rPr>
                            </w:pPr>
                          </w:p>
                          <w:p w14:paraId="0DC9E5D7" w14:textId="2E7030B7" w:rsidR="00A164E8" w:rsidRDefault="0063654C" w:rsidP="00857618">
                            <w:pPr>
                              <w:rPr>
                                <w:rFonts w:ascii="Century Gothic" w:hAnsi="Century Gothic"/>
                                <w:b/>
                                <w:sz w:val="18"/>
                                <w:szCs w:val="18"/>
                              </w:rPr>
                            </w:pPr>
                            <w:r>
                              <w:rPr>
                                <w:rFonts w:ascii="Century Gothic" w:hAnsi="Century Gothic"/>
                                <w:b/>
                                <w:sz w:val="18"/>
                                <w:szCs w:val="18"/>
                              </w:rPr>
                              <w:t xml:space="preserve">   28</w:t>
                            </w:r>
                            <w:r w:rsidR="00A164E8">
                              <w:rPr>
                                <w:rFonts w:ascii="Century Gothic" w:hAnsi="Century Gothic"/>
                                <w:b/>
                                <w:sz w:val="18"/>
                                <w:szCs w:val="18"/>
                              </w:rPr>
                              <w:t xml:space="preserve"> March 2022                        _______________________</w:t>
                            </w:r>
                          </w:p>
                          <w:p w14:paraId="15832068" w14:textId="77777777" w:rsidR="00A164E8" w:rsidRDefault="00A164E8" w:rsidP="00857618">
                            <w:pPr>
                              <w:rPr>
                                <w:rFonts w:ascii="Century Gothic" w:hAnsi="Century Gothic"/>
                                <w:b/>
                                <w:sz w:val="18"/>
                                <w:szCs w:val="18"/>
                              </w:rPr>
                            </w:pPr>
                            <w:r>
                              <w:rPr>
                                <w:rFonts w:ascii="Century Gothic" w:hAnsi="Century Gothic"/>
                                <w:b/>
                                <w:sz w:val="18"/>
                                <w:szCs w:val="18"/>
                              </w:rPr>
                              <w:t xml:space="preserve">                                                        </w:t>
                            </w:r>
                          </w:p>
                          <w:p w14:paraId="627EEB34" w14:textId="77777777" w:rsidR="00A164E8" w:rsidRDefault="00A164E8" w:rsidP="00857618">
                            <w:pPr>
                              <w:rPr>
                                <w:rFonts w:ascii="Century Gothic" w:hAnsi="Century Gothic"/>
                                <w:b/>
                                <w:sz w:val="18"/>
                                <w:szCs w:val="18"/>
                              </w:rPr>
                            </w:pPr>
                          </w:p>
                          <w:p w14:paraId="3A121749" w14:textId="77777777" w:rsidR="00A164E8" w:rsidRDefault="00A164E8" w:rsidP="00857618">
                            <w:pPr>
                              <w:rPr>
                                <w:rFonts w:ascii="Century Gothic" w:hAnsi="Century Gothic"/>
                                <w:b/>
                                <w:sz w:val="18"/>
                                <w:szCs w:val="18"/>
                              </w:rPr>
                            </w:pPr>
                          </w:p>
                          <w:p w14:paraId="63142CD9" w14:textId="77777777" w:rsidR="00A164E8" w:rsidRDefault="00A164E8" w:rsidP="00857618">
                            <w:pPr>
                              <w:rPr>
                                <w:rFonts w:ascii="Century Gothic" w:hAnsi="Century Gothic"/>
                                <w:b/>
                                <w:sz w:val="18"/>
                                <w:szCs w:val="18"/>
                              </w:rPr>
                            </w:pPr>
                          </w:p>
                          <w:p w14:paraId="18097F2A" w14:textId="77777777" w:rsidR="00A164E8" w:rsidRDefault="00A164E8" w:rsidP="00857618">
                            <w:pPr>
                              <w:rPr>
                                <w:rFonts w:ascii="Century Gothic" w:hAnsi="Century Gothic"/>
                                <w:b/>
                                <w:sz w:val="18"/>
                                <w:szCs w:val="18"/>
                              </w:rPr>
                            </w:pPr>
                          </w:p>
                          <w:p w14:paraId="3F602B2D" w14:textId="77777777" w:rsidR="00A164E8" w:rsidRDefault="00A164E8"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A164E8" w:rsidRDefault="00A164E8" w:rsidP="00857618">
                            <w:pPr>
                              <w:rPr>
                                <w:rFonts w:ascii="Century Gothic" w:hAnsi="Century Gothic"/>
                                <w:b/>
                                <w:sz w:val="18"/>
                                <w:szCs w:val="18"/>
                              </w:rPr>
                            </w:pPr>
                          </w:p>
                          <w:p w14:paraId="2F22F3B5" w14:textId="77777777" w:rsidR="00A164E8" w:rsidRDefault="00A164E8" w:rsidP="00857618">
                            <w:pPr>
                              <w:rPr>
                                <w:rFonts w:ascii="Century Gothic" w:hAnsi="Century Gothic"/>
                                <w:b/>
                                <w:sz w:val="18"/>
                                <w:szCs w:val="18"/>
                              </w:rPr>
                            </w:pPr>
                          </w:p>
                          <w:p w14:paraId="6AEC3DD1" w14:textId="77777777" w:rsidR="00A164E8" w:rsidRPr="00084341" w:rsidRDefault="00A164E8"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A164E8" w:rsidRPr="00084341" w:rsidRDefault="00A164E8"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AB9A6"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">
                <v:textbox>
                  <w:txbxContent>
                    <w:p w14:paraId="3578BD80" w14:textId="77777777" w:rsidR="00A164E8" w:rsidRPr="002A7321" w:rsidRDefault="00A164E8" w:rsidP="00857618">
                      <w:pPr>
                        <w:jc w:val="center"/>
                        <w:rPr>
                          <w:rFonts w:ascii="Arial Black" w:hAnsi="Arial Black"/>
                          <w:b/>
                          <w:sz w:val="24"/>
                          <w:szCs w:val="24"/>
                        </w:rPr>
                      </w:pPr>
                    </w:p>
                    <w:p w14:paraId="740A9730" w14:textId="04466F34" w:rsidR="00A164E8" w:rsidRDefault="00394FA8" w:rsidP="00394FA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164E8">
                        <w:rPr>
                          <w:rFonts w:ascii="Century Gothic" w:hAnsi="Century Gothic"/>
                          <w:sz w:val="20"/>
                          <w:szCs w:val="20"/>
                        </w:rPr>
                        <w:t>REPORTABLE:  NO</w:t>
                      </w:r>
                    </w:p>
                    <w:p w14:paraId="5556F569" w14:textId="3AC720E9" w:rsidR="00A164E8" w:rsidRPr="00913F95" w:rsidRDefault="00394FA8" w:rsidP="00394FA8">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(2)</w:t>
                      </w:r>
                      <w:r w:rsidRPr="00913F95">
                        <w:rPr>
                          <w:rFonts w:ascii="Century Gothic" w:hAnsi="Century Gothic" w:cs="Times New Roman"/>
                          <w:sz w:val="20"/>
                          <w:szCs w:val="20"/>
                        </w:rPr>
                        <w:tab/>
                      </w:r>
                      <w:r w:rsidR="00060119">
                        <w:rPr>
                          <w:rFonts w:ascii="Century Gothic" w:hAnsi="Century Gothic"/>
                          <w:sz w:val="20"/>
                          <w:szCs w:val="20"/>
                        </w:rPr>
                        <w:t>OF INTEREST TO OTHER JUDGES: YES</w:t>
                      </w:r>
                    </w:p>
                    <w:p w14:paraId="0411A96B" w14:textId="16BBB979" w:rsidR="00A164E8" w:rsidRDefault="00394FA8" w:rsidP="00394FA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164E8" w:rsidRPr="00913F95">
                        <w:rPr>
                          <w:rFonts w:ascii="Century Gothic" w:hAnsi="Century Gothic"/>
                          <w:sz w:val="20"/>
                          <w:szCs w:val="20"/>
                        </w:rPr>
                        <w:t>REVISED</w:t>
                      </w:r>
                      <w:r w:rsidR="00A164E8">
                        <w:rPr>
                          <w:rFonts w:ascii="Century Gothic" w:hAnsi="Century Gothic"/>
                          <w:sz w:val="20"/>
                          <w:szCs w:val="20"/>
                        </w:rPr>
                        <w:t xml:space="preserve">: NO </w:t>
                      </w:r>
                    </w:p>
                    <w:p w14:paraId="349D3368" w14:textId="77777777" w:rsidR="00A164E8" w:rsidRPr="00913F95" w:rsidRDefault="00A164E8" w:rsidP="00857618">
                      <w:pPr>
                        <w:spacing w:after="0" w:line="240" w:lineRule="auto"/>
                        <w:ind w:left="900"/>
                        <w:rPr>
                          <w:rFonts w:ascii="Century Gothic" w:hAnsi="Century Gothic"/>
                          <w:sz w:val="20"/>
                          <w:szCs w:val="20"/>
                        </w:rPr>
                      </w:pPr>
                    </w:p>
                    <w:p w14:paraId="0DC9E5D7" w14:textId="2E7030B7" w:rsidR="00A164E8" w:rsidRDefault="0063654C" w:rsidP="00857618">
                      <w:pPr>
                        <w:rPr>
                          <w:rFonts w:ascii="Century Gothic" w:hAnsi="Century Gothic"/>
                          <w:b/>
                          <w:sz w:val="18"/>
                          <w:szCs w:val="18"/>
                        </w:rPr>
                      </w:pPr>
                      <w:r>
                        <w:rPr>
                          <w:rFonts w:ascii="Century Gothic" w:hAnsi="Century Gothic"/>
                          <w:b/>
                          <w:sz w:val="18"/>
                          <w:szCs w:val="18"/>
                        </w:rPr>
                        <w:t xml:space="preserve">   28</w:t>
                      </w:r>
                      <w:r w:rsidR="00A164E8">
                        <w:rPr>
                          <w:rFonts w:ascii="Century Gothic" w:hAnsi="Century Gothic"/>
                          <w:b/>
                          <w:sz w:val="18"/>
                          <w:szCs w:val="18"/>
                        </w:rPr>
                        <w:t xml:space="preserve"> March 2022                        _______________________</w:t>
                      </w:r>
                    </w:p>
                    <w:p w14:paraId="15832068" w14:textId="77777777" w:rsidR="00A164E8" w:rsidRDefault="00A164E8" w:rsidP="00857618">
                      <w:pPr>
                        <w:rPr>
                          <w:rFonts w:ascii="Century Gothic" w:hAnsi="Century Gothic"/>
                          <w:b/>
                          <w:sz w:val="18"/>
                          <w:szCs w:val="18"/>
                        </w:rPr>
                      </w:pPr>
                      <w:r>
                        <w:rPr>
                          <w:rFonts w:ascii="Century Gothic" w:hAnsi="Century Gothic"/>
                          <w:b/>
                          <w:sz w:val="18"/>
                          <w:szCs w:val="18"/>
                        </w:rPr>
                        <w:t xml:space="preserve">                                                        </w:t>
                      </w:r>
                    </w:p>
                    <w:p w14:paraId="627EEB34" w14:textId="77777777" w:rsidR="00A164E8" w:rsidRDefault="00A164E8" w:rsidP="00857618">
                      <w:pPr>
                        <w:rPr>
                          <w:rFonts w:ascii="Century Gothic" w:hAnsi="Century Gothic"/>
                          <w:b/>
                          <w:sz w:val="18"/>
                          <w:szCs w:val="18"/>
                        </w:rPr>
                      </w:pPr>
                    </w:p>
                    <w:p w14:paraId="3A121749" w14:textId="77777777" w:rsidR="00A164E8" w:rsidRDefault="00A164E8" w:rsidP="00857618">
                      <w:pPr>
                        <w:rPr>
                          <w:rFonts w:ascii="Century Gothic" w:hAnsi="Century Gothic"/>
                          <w:b/>
                          <w:sz w:val="18"/>
                          <w:szCs w:val="18"/>
                        </w:rPr>
                      </w:pPr>
                    </w:p>
                    <w:p w14:paraId="63142CD9" w14:textId="77777777" w:rsidR="00A164E8" w:rsidRDefault="00A164E8" w:rsidP="00857618">
                      <w:pPr>
                        <w:rPr>
                          <w:rFonts w:ascii="Century Gothic" w:hAnsi="Century Gothic"/>
                          <w:b/>
                          <w:sz w:val="18"/>
                          <w:szCs w:val="18"/>
                        </w:rPr>
                      </w:pPr>
                    </w:p>
                    <w:p w14:paraId="18097F2A" w14:textId="77777777" w:rsidR="00A164E8" w:rsidRDefault="00A164E8" w:rsidP="00857618">
                      <w:pPr>
                        <w:rPr>
                          <w:rFonts w:ascii="Century Gothic" w:hAnsi="Century Gothic"/>
                          <w:b/>
                          <w:sz w:val="18"/>
                          <w:szCs w:val="18"/>
                        </w:rPr>
                      </w:pPr>
                    </w:p>
                    <w:p w14:paraId="3F602B2D" w14:textId="77777777" w:rsidR="00A164E8" w:rsidRDefault="00A164E8"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A164E8" w:rsidRDefault="00A164E8" w:rsidP="00857618">
                      <w:pPr>
                        <w:rPr>
                          <w:rFonts w:ascii="Century Gothic" w:hAnsi="Century Gothic"/>
                          <w:b/>
                          <w:sz w:val="18"/>
                          <w:szCs w:val="18"/>
                        </w:rPr>
                      </w:pPr>
                    </w:p>
                    <w:p w14:paraId="2F22F3B5" w14:textId="77777777" w:rsidR="00A164E8" w:rsidRDefault="00A164E8" w:rsidP="00857618">
                      <w:pPr>
                        <w:rPr>
                          <w:rFonts w:ascii="Century Gothic" w:hAnsi="Century Gothic"/>
                          <w:b/>
                          <w:sz w:val="18"/>
                          <w:szCs w:val="18"/>
                        </w:rPr>
                      </w:pPr>
                    </w:p>
                    <w:p w14:paraId="6AEC3DD1" w14:textId="77777777" w:rsidR="00A164E8" w:rsidRPr="00084341" w:rsidRDefault="00A164E8"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A164E8" w:rsidRPr="00084341" w:rsidRDefault="00A164E8"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690B19C0" w14:textId="77777777" w:rsidR="00857618" w:rsidRPr="005B15E4" w:rsidRDefault="00857618" w:rsidP="00857618">
      <w:pPr>
        <w:spacing w:after="0"/>
        <w:rPr>
          <w:rFonts w:ascii="Arial" w:hAnsi="Arial" w:cs="Arial"/>
          <w:b/>
          <w:sz w:val="24"/>
          <w:szCs w:val="24"/>
        </w:rPr>
      </w:pPr>
    </w:p>
    <w:p w14:paraId="69E7BD0E" w14:textId="77777777" w:rsidR="00857618" w:rsidRPr="005B15E4" w:rsidRDefault="00857618" w:rsidP="00857618">
      <w:pPr>
        <w:spacing w:after="0"/>
        <w:jc w:val="center"/>
        <w:rPr>
          <w:rFonts w:ascii="Arial" w:hAnsi="Arial" w:cs="Arial"/>
          <w:b/>
          <w:sz w:val="24"/>
          <w:szCs w:val="24"/>
        </w:rPr>
      </w:pPr>
    </w:p>
    <w:p w14:paraId="7A4CA7E9" w14:textId="77777777" w:rsidR="00857618" w:rsidRPr="005B15E4" w:rsidRDefault="00857618" w:rsidP="00857618">
      <w:pPr>
        <w:spacing w:after="0"/>
        <w:jc w:val="center"/>
        <w:rPr>
          <w:rFonts w:ascii="Arial" w:hAnsi="Arial" w:cs="Arial"/>
          <w:b/>
          <w:sz w:val="24"/>
          <w:szCs w:val="24"/>
        </w:rPr>
      </w:pPr>
    </w:p>
    <w:p w14:paraId="69D29013" w14:textId="77777777" w:rsidR="00857618" w:rsidRPr="005B15E4" w:rsidRDefault="00857618" w:rsidP="00857618">
      <w:pPr>
        <w:spacing w:after="0"/>
        <w:jc w:val="center"/>
        <w:rPr>
          <w:rFonts w:ascii="Arial" w:hAnsi="Arial" w:cs="Arial"/>
          <w:b/>
          <w:sz w:val="24"/>
          <w:szCs w:val="24"/>
        </w:rPr>
      </w:pPr>
    </w:p>
    <w:p w14:paraId="4DEE219C" w14:textId="77777777" w:rsidR="00857618" w:rsidRPr="005B15E4" w:rsidRDefault="00857618" w:rsidP="00857618">
      <w:pPr>
        <w:spacing w:after="0"/>
        <w:jc w:val="center"/>
        <w:rPr>
          <w:rFonts w:ascii="Arial" w:hAnsi="Arial" w:cs="Arial"/>
          <w:b/>
          <w:sz w:val="24"/>
          <w:szCs w:val="24"/>
        </w:rPr>
      </w:pPr>
    </w:p>
    <w:p w14:paraId="438C4F6A" w14:textId="77777777" w:rsidR="00857618" w:rsidRPr="005B15E4" w:rsidRDefault="00857618" w:rsidP="00857618">
      <w:pPr>
        <w:spacing w:after="0"/>
        <w:jc w:val="center"/>
        <w:rPr>
          <w:rFonts w:ascii="Arial" w:hAnsi="Arial" w:cs="Arial"/>
          <w:b/>
          <w:sz w:val="24"/>
          <w:szCs w:val="24"/>
        </w:rPr>
      </w:pPr>
    </w:p>
    <w:p w14:paraId="78CF6501" w14:textId="77777777" w:rsidR="00857618" w:rsidRPr="005B15E4" w:rsidRDefault="00857618" w:rsidP="00857618">
      <w:pPr>
        <w:autoSpaceDE w:val="0"/>
        <w:autoSpaceDN w:val="0"/>
        <w:adjustRightInd w:val="0"/>
        <w:spacing w:after="0" w:line="240" w:lineRule="auto"/>
        <w:rPr>
          <w:rFonts w:ascii="Arial" w:hAnsi="Arial" w:cs="Arial"/>
          <w:b/>
          <w:caps/>
          <w:sz w:val="24"/>
          <w:szCs w:val="24"/>
        </w:rPr>
      </w:pPr>
    </w:p>
    <w:p w14:paraId="381CE4A8"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159FEB44"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2C1C9B83"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66415E64" w14:textId="77777777" w:rsidR="008A102F" w:rsidRPr="00876CA5" w:rsidRDefault="008A102F" w:rsidP="008A102F">
      <w:pPr>
        <w:autoSpaceDE w:val="0"/>
        <w:autoSpaceDN w:val="0"/>
        <w:adjustRightInd w:val="0"/>
        <w:spacing w:after="0" w:line="240" w:lineRule="auto"/>
        <w:rPr>
          <w:rFonts w:ascii="Arial" w:hAnsi="Arial" w:cs="Arial"/>
        </w:rPr>
      </w:pPr>
      <w:r w:rsidRPr="00876CA5">
        <w:rPr>
          <w:rFonts w:ascii="Arial" w:hAnsi="Arial" w:cs="Arial"/>
        </w:rPr>
        <w:t>In the matter between:</w:t>
      </w:r>
    </w:p>
    <w:p w14:paraId="74CF0023" w14:textId="3A0239DC" w:rsidR="008A102F" w:rsidRPr="00876CA5" w:rsidRDefault="008A102F" w:rsidP="008A102F">
      <w:pPr>
        <w:autoSpaceDE w:val="0"/>
        <w:autoSpaceDN w:val="0"/>
        <w:adjustRightInd w:val="0"/>
        <w:spacing w:after="0" w:line="240" w:lineRule="auto"/>
        <w:rPr>
          <w:rFonts w:ascii="Arial" w:hAnsi="Arial" w:cs="Arial"/>
        </w:rPr>
      </w:pPr>
    </w:p>
    <w:p w14:paraId="5D7A3B0E" w14:textId="3C8412FC" w:rsidR="008A102F" w:rsidRPr="00876CA5" w:rsidRDefault="00737462" w:rsidP="008A102F">
      <w:pPr>
        <w:autoSpaceDE w:val="0"/>
        <w:autoSpaceDN w:val="0"/>
        <w:adjustRightInd w:val="0"/>
        <w:spacing w:after="0" w:line="240" w:lineRule="auto"/>
        <w:rPr>
          <w:rFonts w:ascii="Arial" w:hAnsi="Arial" w:cs="Arial"/>
        </w:rPr>
      </w:pPr>
      <w:r w:rsidRPr="00876CA5">
        <w:rPr>
          <w:rFonts w:ascii="Arial" w:hAnsi="Arial" w:cs="Arial"/>
          <w:b/>
        </w:rPr>
        <w:t>SITHOLE SAM</w:t>
      </w:r>
      <w:r w:rsidR="00186D83" w:rsidRPr="00876CA5">
        <w:rPr>
          <w:rFonts w:ascii="Arial" w:hAnsi="Arial" w:cs="Arial"/>
        </w:rPr>
        <w:tab/>
      </w:r>
      <w:r w:rsidR="00186D83" w:rsidRPr="00876CA5">
        <w:rPr>
          <w:rFonts w:ascii="Arial" w:hAnsi="Arial" w:cs="Arial"/>
        </w:rPr>
        <w:tab/>
      </w:r>
      <w:r w:rsidR="00186D83" w:rsidRPr="00876CA5">
        <w:rPr>
          <w:rFonts w:ascii="Arial" w:hAnsi="Arial" w:cs="Arial"/>
        </w:rPr>
        <w:tab/>
        <w:t xml:space="preserve">        </w:t>
      </w:r>
      <w:r w:rsidRPr="00876CA5">
        <w:rPr>
          <w:rFonts w:ascii="Arial" w:hAnsi="Arial" w:cs="Arial"/>
        </w:rPr>
        <w:t xml:space="preserve">                                       </w:t>
      </w:r>
      <w:r w:rsidR="00056373">
        <w:rPr>
          <w:rFonts w:ascii="Arial" w:hAnsi="Arial" w:cs="Arial"/>
        </w:rPr>
        <w:t xml:space="preserve">       </w:t>
      </w:r>
      <w:r w:rsidRPr="00876CA5">
        <w:rPr>
          <w:rFonts w:ascii="Arial" w:hAnsi="Arial" w:cs="Arial"/>
        </w:rPr>
        <w:t xml:space="preserve">         </w:t>
      </w:r>
      <w:r w:rsidR="00111600" w:rsidRPr="00876CA5">
        <w:rPr>
          <w:rFonts w:ascii="Arial" w:hAnsi="Arial" w:cs="Arial"/>
        </w:rPr>
        <w:t xml:space="preserve"> </w:t>
      </w:r>
      <w:r w:rsidRPr="00876CA5">
        <w:rPr>
          <w:rFonts w:ascii="Arial" w:hAnsi="Arial" w:cs="Arial"/>
        </w:rPr>
        <w:t xml:space="preserve">      </w:t>
      </w:r>
      <w:r w:rsidR="00111600" w:rsidRPr="00876CA5">
        <w:rPr>
          <w:rFonts w:ascii="Arial" w:hAnsi="Arial" w:cs="Arial"/>
        </w:rPr>
        <w:t xml:space="preserve">  </w:t>
      </w:r>
      <w:r w:rsidR="008A102F" w:rsidRPr="00876CA5">
        <w:rPr>
          <w:rFonts w:ascii="Arial" w:hAnsi="Arial" w:cs="Arial"/>
        </w:rPr>
        <w:t xml:space="preserve"> </w:t>
      </w:r>
      <w:r w:rsidR="0065390B" w:rsidRPr="00876CA5">
        <w:rPr>
          <w:rFonts w:ascii="Arial" w:hAnsi="Arial" w:cs="Arial"/>
        </w:rPr>
        <w:t>A</w:t>
      </w:r>
      <w:r w:rsidR="008A102F" w:rsidRPr="00876CA5">
        <w:rPr>
          <w:rFonts w:ascii="Arial" w:hAnsi="Arial" w:cs="Arial"/>
        </w:rPr>
        <w:t>pp</w:t>
      </w:r>
      <w:r w:rsidR="00186D83" w:rsidRPr="00876CA5">
        <w:rPr>
          <w:rFonts w:ascii="Arial" w:hAnsi="Arial" w:cs="Arial"/>
        </w:rPr>
        <w:t xml:space="preserve">ellant </w:t>
      </w:r>
    </w:p>
    <w:p w14:paraId="35387B40" w14:textId="37E81A48" w:rsidR="008A102F" w:rsidRPr="00876CA5" w:rsidRDefault="008A102F" w:rsidP="008A102F">
      <w:pPr>
        <w:autoSpaceDE w:val="0"/>
        <w:autoSpaceDN w:val="0"/>
        <w:adjustRightInd w:val="0"/>
        <w:spacing w:after="0" w:line="240" w:lineRule="auto"/>
        <w:rPr>
          <w:rFonts w:ascii="Arial" w:hAnsi="Arial" w:cs="Arial"/>
        </w:rPr>
      </w:pPr>
    </w:p>
    <w:p w14:paraId="5E450D3A" w14:textId="77777777" w:rsidR="0065390B" w:rsidRPr="00876CA5" w:rsidRDefault="0065390B" w:rsidP="008A102F">
      <w:pPr>
        <w:autoSpaceDE w:val="0"/>
        <w:autoSpaceDN w:val="0"/>
        <w:adjustRightInd w:val="0"/>
        <w:spacing w:after="0" w:line="240" w:lineRule="auto"/>
        <w:rPr>
          <w:rFonts w:ascii="Arial" w:hAnsi="Arial" w:cs="Arial"/>
        </w:rPr>
      </w:pPr>
    </w:p>
    <w:p w14:paraId="52DD270E" w14:textId="1177B1AE" w:rsidR="008A102F" w:rsidRPr="00876CA5" w:rsidRDefault="0065390B" w:rsidP="008A102F">
      <w:pPr>
        <w:autoSpaceDE w:val="0"/>
        <w:autoSpaceDN w:val="0"/>
        <w:adjustRightInd w:val="0"/>
        <w:spacing w:after="0" w:line="240" w:lineRule="auto"/>
        <w:rPr>
          <w:rFonts w:ascii="Arial" w:hAnsi="Arial" w:cs="Arial"/>
        </w:rPr>
      </w:pPr>
      <w:r w:rsidRPr="00876CA5">
        <w:rPr>
          <w:rFonts w:ascii="Arial" w:hAnsi="Arial" w:cs="Arial"/>
        </w:rPr>
        <w:t>a</w:t>
      </w:r>
      <w:r w:rsidR="008A102F" w:rsidRPr="00876CA5">
        <w:rPr>
          <w:rFonts w:ascii="Arial" w:hAnsi="Arial" w:cs="Arial"/>
        </w:rPr>
        <w:t>nd</w:t>
      </w:r>
    </w:p>
    <w:p w14:paraId="09303801" w14:textId="1A195871" w:rsidR="008A102F" w:rsidRPr="00876CA5" w:rsidRDefault="008A102F" w:rsidP="008A102F">
      <w:pPr>
        <w:autoSpaceDE w:val="0"/>
        <w:autoSpaceDN w:val="0"/>
        <w:adjustRightInd w:val="0"/>
        <w:spacing w:after="0" w:line="240" w:lineRule="auto"/>
        <w:rPr>
          <w:rFonts w:ascii="Arial" w:hAnsi="Arial" w:cs="Arial"/>
        </w:rPr>
      </w:pPr>
    </w:p>
    <w:p w14:paraId="5962AFE1" w14:textId="77777777" w:rsidR="0065390B" w:rsidRPr="00876CA5" w:rsidRDefault="0065390B" w:rsidP="008A102F">
      <w:pPr>
        <w:autoSpaceDE w:val="0"/>
        <w:autoSpaceDN w:val="0"/>
        <w:adjustRightInd w:val="0"/>
        <w:spacing w:after="0" w:line="240" w:lineRule="auto"/>
        <w:rPr>
          <w:rFonts w:ascii="Arial" w:hAnsi="Arial" w:cs="Arial"/>
        </w:rPr>
      </w:pPr>
    </w:p>
    <w:p w14:paraId="19E131C4" w14:textId="7FC2B80C" w:rsidR="008A102F" w:rsidRPr="00876CA5" w:rsidRDefault="00737462" w:rsidP="008A102F">
      <w:pPr>
        <w:autoSpaceDE w:val="0"/>
        <w:autoSpaceDN w:val="0"/>
        <w:adjustRightInd w:val="0"/>
        <w:spacing w:after="0" w:line="240" w:lineRule="auto"/>
        <w:rPr>
          <w:rFonts w:ascii="Arial" w:hAnsi="Arial" w:cs="Arial"/>
        </w:rPr>
      </w:pPr>
      <w:r w:rsidRPr="00876CA5">
        <w:rPr>
          <w:rFonts w:ascii="Arial" w:hAnsi="Arial" w:cs="Arial"/>
          <w:b/>
        </w:rPr>
        <w:t>LEMPE BONGIWE SHEILA N.O</w:t>
      </w:r>
      <w:r w:rsidRPr="00876CA5">
        <w:rPr>
          <w:rFonts w:ascii="Arial" w:hAnsi="Arial" w:cs="Arial"/>
        </w:rPr>
        <w:t xml:space="preserve">           </w:t>
      </w:r>
      <w:r w:rsidR="0065390B" w:rsidRPr="00876CA5">
        <w:rPr>
          <w:rFonts w:ascii="Arial" w:hAnsi="Arial" w:cs="Arial"/>
        </w:rPr>
        <w:tab/>
      </w:r>
      <w:r w:rsidR="00186D83" w:rsidRPr="00876CA5">
        <w:rPr>
          <w:rFonts w:ascii="Arial" w:hAnsi="Arial" w:cs="Arial"/>
        </w:rPr>
        <w:tab/>
        <w:t xml:space="preserve">       </w:t>
      </w:r>
      <w:r w:rsidR="00186D83" w:rsidRPr="00876CA5">
        <w:rPr>
          <w:rFonts w:ascii="Arial" w:hAnsi="Arial" w:cs="Arial"/>
        </w:rPr>
        <w:tab/>
        <w:t xml:space="preserve">      </w:t>
      </w:r>
      <w:r w:rsidRPr="00876CA5">
        <w:rPr>
          <w:rFonts w:ascii="Arial" w:hAnsi="Arial" w:cs="Arial"/>
        </w:rPr>
        <w:t xml:space="preserve">          </w:t>
      </w:r>
      <w:r w:rsidR="00186D83" w:rsidRPr="00876CA5">
        <w:rPr>
          <w:rFonts w:ascii="Arial" w:hAnsi="Arial" w:cs="Arial"/>
        </w:rPr>
        <w:t xml:space="preserve">   </w:t>
      </w:r>
      <w:r w:rsidR="00056373">
        <w:rPr>
          <w:rFonts w:ascii="Arial" w:hAnsi="Arial" w:cs="Arial"/>
        </w:rPr>
        <w:t xml:space="preserve">     </w:t>
      </w:r>
      <w:r w:rsidR="00186D83" w:rsidRPr="00876CA5">
        <w:rPr>
          <w:rFonts w:ascii="Arial" w:hAnsi="Arial" w:cs="Arial"/>
        </w:rPr>
        <w:t xml:space="preserve"> </w:t>
      </w:r>
      <w:r w:rsidR="00111600" w:rsidRPr="00876CA5">
        <w:rPr>
          <w:rFonts w:ascii="Arial" w:hAnsi="Arial" w:cs="Arial"/>
        </w:rPr>
        <w:t xml:space="preserve"> </w:t>
      </w:r>
      <w:r w:rsidR="0065390B" w:rsidRPr="00876CA5">
        <w:rPr>
          <w:rFonts w:ascii="Arial" w:hAnsi="Arial" w:cs="Arial"/>
        </w:rPr>
        <w:t>F</w:t>
      </w:r>
      <w:r w:rsidR="008A102F" w:rsidRPr="00876CA5">
        <w:rPr>
          <w:rFonts w:ascii="Arial" w:hAnsi="Arial" w:cs="Arial"/>
        </w:rPr>
        <w:t xml:space="preserve">irst </w:t>
      </w:r>
      <w:r w:rsidR="0065390B" w:rsidRPr="00876CA5">
        <w:rPr>
          <w:rFonts w:ascii="Arial" w:hAnsi="Arial" w:cs="Arial"/>
        </w:rPr>
        <w:t>R</w:t>
      </w:r>
      <w:r w:rsidR="008A102F" w:rsidRPr="00876CA5">
        <w:rPr>
          <w:rFonts w:ascii="Arial" w:hAnsi="Arial" w:cs="Arial"/>
        </w:rPr>
        <w:t>espondent</w:t>
      </w:r>
    </w:p>
    <w:p w14:paraId="6F3EF6E7" w14:textId="77777777" w:rsidR="008A102F" w:rsidRPr="00876CA5" w:rsidRDefault="008A102F" w:rsidP="008A102F">
      <w:pPr>
        <w:autoSpaceDE w:val="0"/>
        <w:autoSpaceDN w:val="0"/>
        <w:adjustRightInd w:val="0"/>
        <w:spacing w:after="0" w:line="240" w:lineRule="auto"/>
        <w:rPr>
          <w:rFonts w:ascii="Arial" w:hAnsi="Arial" w:cs="Arial"/>
        </w:rPr>
      </w:pPr>
    </w:p>
    <w:p w14:paraId="5D92FFCA" w14:textId="53DC273E" w:rsidR="008A102F" w:rsidRPr="00876CA5" w:rsidRDefault="00737462" w:rsidP="008A102F">
      <w:pPr>
        <w:autoSpaceDE w:val="0"/>
        <w:autoSpaceDN w:val="0"/>
        <w:adjustRightInd w:val="0"/>
        <w:spacing w:after="0" w:line="240" w:lineRule="auto"/>
        <w:rPr>
          <w:rFonts w:ascii="Arial" w:hAnsi="Arial" w:cs="Arial"/>
        </w:rPr>
      </w:pPr>
      <w:r w:rsidRPr="00876CA5">
        <w:rPr>
          <w:rFonts w:ascii="Arial" w:hAnsi="Arial" w:cs="Arial"/>
          <w:b/>
        </w:rPr>
        <w:t>UNLAWFUL OCCUPANTS OF ERF 9103</w:t>
      </w:r>
      <w:r w:rsidR="00186D83" w:rsidRPr="00876CA5">
        <w:rPr>
          <w:rFonts w:ascii="Arial" w:hAnsi="Arial" w:cs="Arial"/>
        </w:rPr>
        <w:tab/>
      </w:r>
      <w:r w:rsidR="00186D83" w:rsidRPr="00876CA5">
        <w:rPr>
          <w:rFonts w:ascii="Arial" w:hAnsi="Arial" w:cs="Arial"/>
        </w:rPr>
        <w:tab/>
      </w:r>
      <w:r w:rsidR="00186D83" w:rsidRPr="00876CA5">
        <w:rPr>
          <w:rFonts w:ascii="Arial" w:hAnsi="Arial" w:cs="Arial"/>
        </w:rPr>
        <w:tab/>
        <w:t xml:space="preserve">     </w:t>
      </w:r>
      <w:r w:rsidR="00056373">
        <w:rPr>
          <w:rFonts w:ascii="Arial" w:hAnsi="Arial" w:cs="Arial"/>
        </w:rPr>
        <w:tab/>
        <w:t xml:space="preserve">         </w:t>
      </w:r>
      <w:r w:rsidR="0065390B" w:rsidRPr="00876CA5">
        <w:rPr>
          <w:rFonts w:ascii="Arial" w:hAnsi="Arial" w:cs="Arial"/>
        </w:rPr>
        <w:t>S</w:t>
      </w:r>
      <w:r w:rsidR="008A102F" w:rsidRPr="00876CA5">
        <w:rPr>
          <w:rFonts w:ascii="Arial" w:hAnsi="Arial" w:cs="Arial"/>
        </w:rPr>
        <w:t xml:space="preserve">econd </w:t>
      </w:r>
      <w:r w:rsidR="0065390B" w:rsidRPr="00876CA5">
        <w:rPr>
          <w:rFonts w:ascii="Arial" w:hAnsi="Arial" w:cs="Arial"/>
        </w:rPr>
        <w:t>R</w:t>
      </w:r>
      <w:r w:rsidR="008A102F" w:rsidRPr="00876CA5">
        <w:rPr>
          <w:rFonts w:ascii="Arial" w:hAnsi="Arial" w:cs="Arial"/>
        </w:rPr>
        <w:t xml:space="preserve">espondent </w:t>
      </w:r>
    </w:p>
    <w:p w14:paraId="681BCBB3" w14:textId="6CC468F3" w:rsidR="00737462" w:rsidRPr="00876CA5" w:rsidRDefault="00737462" w:rsidP="008A102F">
      <w:pPr>
        <w:autoSpaceDE w:val="0"/>
        <w:autoSpaceDN w:val="0"/>
        <w:adjustRightInd w:val="0"/>
        <w:spacing w:after="0" w:line="240" w:lineRule="auto"/>
        <w:rPr>
          <w:rFonts w:ascii="Arial" w:hAnsi="Arial" w:cs="Arial"/>
        </w:rPr>
      </w:pPr>
    </w:p>
    <w:p w14:paraId="45FB2EE2" w14:textId="6EE230EA" w:rsidR="00737462" w:rsidRPr="00876CA5" w:rsidRDefault="00737462" w:rsidP="008A102F">
      <w:pPr>
        <w:autoSpaceDE w:val="0"/>
        <w:autoSpaceDN w:val="0"/>
        <w:adjustRightInd w:val="0"/>
        <w:spacing w:after="0" w:line="240" w:lineRule="auto"/>
        <w:rPr>
          <w:rFonts w:ascii="Arial" w:hAnsi="Arial" w:cs="Arial"/>
        </w:rPr>
      </w:pPr>
      <w:r w:rsidRPr="00876CA5">
        <w:rPr>
          <w:rFonts w:ascii="Arial" w:hAnsi="Arial" w:cs="Arial"/>
          <w:b/>
        </w:rPr>
        <w:t>EMFULENI LOCAL MUNICIPALITY</w:t>
      </w:r>
      <w:r w:rsidRPr="00876CA5">
        <w:rPr>
          <w:rFonts w:ascii="Arial" w:hAnsi="Arial" w:cs="Arial"/>
        </w:rPr>
        <w:t xml:space="preserve">                                                </w:t>
      </w:r>
      <w:r w:rsidR="00056373">
        <w:rPr>
          <w:rFonts w:ascii="Arial" w:hAnsi="Arial" w:cs="Arial"/>
        </w:rPr>
        <w:t xml:space="preserve">            </w:t>
      </w:r>
      <w:r w:rsidRPr="00876CA5">
        <w:rPr>
          <w:rFonts w:ascii="Arial" w:hAnsi="Arial" w:cs="Arial"/>
        </w:rPr>
        <w:t>Third Respondent</w:t>
      </w:r>
    </w:p>
    <w:p w14:paraId="7BBFA60B" w14:textId="77777777" w:rsidR="00737462" w:rsidRPr="00876CA5" w:rsidRDefault="00737462" w:rsidP="008A102F">
      <w:pPr>
        <w:pBdr>
          <w:bottom w:val="single" w:sz="12" w:space="1" w:color="auto"/>
        </w:pBdr>
        <w:autoSpaceDE w:val="0"/>
        <w:autoSpaceDN w:val="0"/>
        <w:adjustRightInd w:val="0"/>
        <w:spacing w:after="0" w:line="240" w:lineRule="auto"/>
        <w:rPr>
          <w:rFonts w:ascii="Arial" w:hAnsi="Arial" w:cs="Arial"/>
        </w:rPr>
      </w:pPr>
    </w:p>
    <w:p w14:paraId="4B92C40E" w14:textId="77777777" w:rsidR="00056373" w:rsidRPr="00876CA5" w:rsidRDefault="00056373" w:rsidP="008A102F">
      <w:pPr>
        <w:autoSpaceDE w:val="0"/>
        <w:autoSpaceDN w:val="0"/>
        <w:adjustRightInd w:val="0"/>
        <w:spacing w:after="0" w:line="240" w:lineRule="auto"/>
        <w:rPr>
          <w:rFonts w:ascii="Arial" w:hAnsi="Arial" w:cs="Arial"/>
        </w:rPr>
      </w:pPr>
    </w:p>
    <w:p w14:paraId="23FAA8DC" w14:textId="57531AE7" w:rsidR="008A102F" w:rsidRDefault="00D0687F" w:rsidP="0065390B">
      <w:pPr>
        <w:pBdr>
          <w:bottom w:val="single" w:sz="12" w:space="1" w:color="auto"/>
        </w:pBdr>
        <w:autoSpaceDE w:val="0"/>
        <w:autoSpaceDN w:val="0"/>
        <w:adjustRightInd w:val="0"/>
        <w:spacing w:after="0" w:line="240" w:lineRule="auto"/>
        <w:jc w:val="center"/>
        <w:rPr>
          <w:rFonts w:ascii="Arial" w:hAnsi="Arial" w:cs="Arial"/>
          <w:b/>
          <w:caps/>
        </w:rPr>
      </w:pPr>
      <w:r w:rsidRPr="00876CA5">
        <w:rPr>
          <w:rFonts w:ascii="Arial" w:hAnsi="Arial" w:cs="Arial"/>
          <w:b/>
          <w:caps/>
        </w:rPr>
        <w:t>Judg</w:t>
      </w:r>
      <w:r w:rsidR="008A102F" w:rsidRPr="00876CA5">
        <w:rPr>
          <w:rFonts w:ascii="Arial" w:hAnsi="Arial" w:cs="Arial"/>
          <w:b/>
          <w:caps/>
        </w:rPr>
        <w:t>ment</w:t>
      </w:r>
    </w:p>
    <w:p w14:paraId="2A3C02C9" w14:textId="77777777" w:rsidR="00056373" w:rsidRPr="00876CA5" w:rsidRDefault="00056373" w:rsidP="0065390B">
      <w:pPr>
        <w:pBdr>
          <w:bottom w:val="single" w:sz="12" w:space="1" w:color="auto"/>
        </w:pBdr>
        <w:autoSpaceDE w:val="0"/>
        <w:autoSpaceDN w:val="0"/>
        <w:adjustRightInd w:val="0"/>
        <w:spacing w:after="0" w:line="240" w:lineRule="auto"/>
        <w:jc w:val="center"/>
        <w:rPr>
          <w:rFonts w:ascii="Arial" w:hAnsi="Arial" w:cs="Arial"/>
          <w:b/>
          <w:caps/>
        </w:rPr>
      </w:pPr>
    </w:p>
    <w:p w14:paraId="1066D24F" w14:textId="77777777" w:rsidR="00056373" w:rsidRPr="00876CA5" w:rsidRDefault="00056373" w:rsidP="008A102F">
      <w:pPr>
        <w:autoSpaceDE w:val="0"/>
        <w:autoSpaceDN w:val="0"/>
        <w:adjustRightInd w:val="0"/>
        <w:spacing w:after="0" w:line="240" w:lineRule="auto"/>
        <w:rPr>
          <w:rFonts w:ascii="Arial" w:hAnsi="Arial" w:cs="Arial"/>
        </w:rPr>
      </w:pPr>
    </w:p>
    <w:p w14:paraId="0CB66298" w14:textId="5CA03A16" w:rsidR="0065390B" w:rsidRPr="00876CA5" w:rsidRDefault="0065390B" w:rsidP="008A102F">
      <w:pPr>
        <w:autoSpaceDE w:val="0"/>
        <w:autoSpaceDN w:val="0"/>
        <w:adjustRightInd w:val="0"/>
        <w:spacing w:after="0" w:line="240" w:lineRule="auto"/>
        <w:rPr>
          <w:rFonts w:ascii="Arial" w:hAnsi="Arial" w:cs="Arial"/>
        </w:rPr>
      </w:pPr>
    </w:p>
    <w:p w14:paraId="78ED2FE9" w14:textId="4677430D" w:rsidR="00186D83" w:rsidRDefault="00186D83" w:rsidP="00D62841">
      <w:pPr>
        <w:autoSpaceDE w:val="0"/>
        <w:autoSpaceDN w:val="0"/>
        <w:adjustRightInd w:val="0"/>
        <w:spacing w:after="0" w:line="360" w:lineRule="auto"/>
        <w:rPr>
          <w:rFonts w:ascii="Arial" w:hAnsi="Arial" w:cs="Arial"/>
          <w:b/>
        </w:rPr>
      </w:pPr>
      <w:r w:rsidRPr="00876CA5">
        <w:rPr>
          <w:rFonts w:ascii="Arial" w:hAnsi="Arial" w:cs="Arial"/>
          <w:b/>
        </w:rPr>
        <w:t>Mdalana-</w:t>
      </w:r>
      <w:r w:rsidR="00C63253">
        <w:rPr>
          <w:rFonts w:ascii="Arial" w:hAnsi="Arial" w:cs="Arial"/>
          <w:b/>
        </w:rPr>
        <w:t>M</w:t>
      </w:r>
      <w:r w:rsidR="007A7064">
        <w:rPr>
          <w:rFonts w:ascii="Arial" w:hAnsi="Arial" w:cs="Arial"/>
          <w:b/>
        </w:rPr>
        <w:t>ayise</w:t>
      </w:r>
      <w:r w:rsidRPr="00876CA5">
        <w:rPr>
          <w:rFonts w:ascii="Arial" w:hAnsi="Arial" w:cs="Arial"/>
          <w:b/>
        </w:rPr>
        <w:t xml:space="preserve">la J </w:t>
      </w:r>
      <w:r w:rsidR="00876CA5">
        <w:rPr>
          <w:rFonts w:ascii="Arial" w:hAnsi="Arial" w:cs="Arial"/>
          <w:b/>
        </w:rPr>
        <w:t xml:space="preserve">et </w:t>
      </w:r>
      <w:r w:rsidR="008352B0" w:rsidRPr="00876CA5">
        <w:rPr>
          <w:rFonts w:ascii="Arial" w:hAnsi="Arial" w:cs="Arial"/>
          <w:b/>
        </w:rPr>
        <w:t>Ossin AJ</w:t>
      </w:r>
    </w:p>
    <w:p w14:paraId="66FF02CD" w14:textId="77777777" w:rsidR="00876CA5" w:rsidRPr="00876CA5" w:rsidRDefault="00876CA5" w:rsidP="00D62841">
      <w:pPr>
        <w:autoSpaceDE w:val="0"/>
        <w:autoSpaceDN w:val="0"/>
        <w:adjustRightInd w:val="0"/>
        <w:spacing w:after="0" w:line="360" w:lineRule="auto"/>
        <w:rPr>
          <w:rFonts w:ascii="Arial" w:hAnsi="Arial" w:cs="Arial"/>
          <w:b/>
        </w:rPr>
      </w:pPr>
    </w:p>
    <w:p w14:paraId="78833B8D" w14:textId="0D3FC854" w:rsidR="0065390B" w:rsidRPr="00CD5798" w:rsidRDefault="00F6194F" w:rsidP="00876CA5">
      <w:pPr>
        <w:autoSpaceDE w:val="0"/>
        <w:autoSpaceDN w:val="0"/>
        <w:adjustRightInd w:val="0"/>
        <w:spacing w:after="480" w:line="360" w:lineRule="auto"/>
        <w:rPr>
          <w:rFonts w:ascii="Arial" w:hAnsi="Arial" w:cs="Arial"/>
        </w:rPr>
      </w:pPr>
      <w:r w:rsidRPr="00CD5798">
        <w:rPr>
          <w:rFonts w:ascii="Arial" w:hAnsi="Arial" w:cs="Arial"/>
        </w:rPr>
        <w:t>INTRODUCTION</w:t>
      </w:r>
    </w:p>
    <w:p w14:paraId="378343AE" w14:textId="42ECEFE3" w:rsidR="001A49E4" w:rsidRPr="00394FA8" w:rsidRDefault="00394FA8" w:rsidP="00394FA8">
      <w:pPr>
        <w:autoSpaceDE w:val="0"/>
        <w:autoSpaceDN w:val="0"/>
        <w:adjustRightInd w:val="0"/>
        <w:spacing w:after="480" w:line="360" w:lineRule="auto"/>
        <w:ind w:left="720" w:hanging="720"/>
        <w:jc w:val="both"/>
        <w:rPr>
          <w:rFonts w:ascii="Arial" w:hAnsi="Arial" w:cs="Arial"/>
        </w:rPr>
      </w:pPr>
      <w:r>
        <w:rPr>
          <w:rFonts w:ascii="Arial" w:hAnsi="Arial" w:cs="Arial"/>
        </w:rPr>
        <w:t>[1]</w:t>
      </w:r>
      <w:r>
        <w:rPr>
          <w:rFonts w:ascii="Arial" w:hAnsi="Arial" w:cs="Arial"/>
        </w:rPr>
        <w:tab/>
      </w:r>
      <w:r w:rsidR="00D1225D" w:rsidRPr="00394FA8">
        <w:rPr>
          <w:rFonts w:ascii="Arial" w:hAnsi="Arial" w:cs="Arial"/>
        </w:rPr>
        <w:t>The appellant</w:t>
      </w:r>
      <w:r w:rsidR="000B49D9" w:rsidRPr="00394FA8">
        <w:rPr>
          <w:rFonts w:ascii="Arial" w:hAnsi="Arial" w:cs="Arial"/>
        </w:rPr>
        <w:t xml:space="preserve">, </w:t>
      </w:r>
      <w:r w:rsidR="00111600" w:rsidRPr="00394FA8">
        <w:rPr>
          <w:rFonts w:ascii="Arial" w:hAnsi="Arial" w:cs="Arial"/>
        </w:rPr>
        <w:t>Sam Sithole</w:t>
      </w:r>
      <w:r w:rsidR="000B49D9" w:rsidRPr="00394FA8">
        <w:rPr>
          <w:rFonts w:ascii="Arial" w:hAnsi="Arial" w:cs="Arial"/>
        </w:rPr>
        <w:t>,</w:t>
      </w:r>
      <w:r w:rsidR="00111600" w:rsidRPr="00394FA8">
        <w:rPr>
          <w:rFonts w:ascii="Arial" w:hAnsi="Arial" w:cs="Arial"/>
        </w:rPr>
        <w:t xml:space="preserve"> </w:t>
      </w:r>
      <w:r w:rsidR="008A102F" w:rsidRPr="00394FA8">
        <w:rPr>
          <w:rFonts w:ascii="Arial" w:hAnsi="Arial" w:cs="Arial"/>
        </w:rPr>
        <w:t>appeal</w:t>
      </w:r>
      <w:r w:rsidR="00DB1811" w:rsidRPr="00394FA8">
        <w:rPr>
          <w:rFonts w:ascii="Arial" w:hAnsi="Arial" w:cs="Arial"/>
        </w:rPr>
        <w:t>s</w:t>
      </w:r>
      <w:r w:rsidR="008A102F" w:rsidRPr="00394FA8">
        <w:rPr>
          <w:rFonts w:ascii="Arial" w:hAnsi="Arial" w:cs="Arial"/>
        </w:rPr>
        <w:t xml:space="preserve"> against t</w:t>
      </w:r>
      <w:r w:rsidR="00CB1FE6" w:rsidRPr="00394FA8">
        <w:rPr>
          <w:rFonts w:ascii="Arial" w:hAnsi="Arial" w:cs="Arial"/>
        </w:rPr>
        <w:t xml:space="preserve">he whole </w:t>
      </w:r>
      <w:r w:rsidR="00111600" w:rsidRPr="00394FA8">
        <w:rPr>
          <w:rFonts w:ascii="Arial" w:hAnsi="Arial" w:cs="Arial"/>
        </w:rPr>
        <w:t xml:space="preserve">of the </w:t>
      </w:r>
      <w:r w:rsidR="00CB1FE6" w:rsidRPr="00394FA8">
        <w:rPr>
          <w:rFonts w:ascii="Arial" w:hAnsi="Arial" w:cs="Arial"/>
        </w:rPr>
        <w:t>judg</w:t>
      </w:r>
      <w:r w:rsidR="008A102F" w:rsidRPr="00394FA8">
        <w:rPr>
          <w:rFonts w:ascii="Arial" w:hAnsi="Arial" w:cs="Arial"/>
        </w:rPr>
        <w:t>ment an</w:t>
      </w:r>
      <w:r w:rsidR="003E4CED" w:rsidRPr="00394FA8">
        <w:rPr>
          <w:rFonts w:ascii="Arial" w:hAnsi="Arial" w:cs="Arial"/>
        </w:rPr>
        <w:t>d</w:t>
      </w:r>
      <w:r w:rsidR="008A102F" w:rsidRPr="00394FA8">
        <w:rPr>
          <w:rFonts w:ascii="Arial" w:hAnsi="Arial" w:cs="Arial"/>
        </w:rPr>
        <w:t xml:space="preserve"> order </w:t>
      </w:r>
      <w:r w:rsidR="000B49D9" w:rsidRPr="00394FA8">
        <w:rPr>
          <w:rFonts w:ascii="Arial" w:hAnsi="Arial" w:cs="Arial"/>
        </w:rPr>
        <w:t xml:space="preserve">handed down </w:t>
      </w:r>
      <w:r w:rsidR="008A102F" w:rsidRPr="00394FA8">
        <w:rPr>
          <w:rFonts w:ascii="Arial" w:hAnsi="Arial" w:cs="Arial"/>
        </w:rPr>
        <w:t xml:space="preserve">by </w:t>
      </w:r>
      <w:r w:rsidR="007A7064" w:rsidRPr="00394FA8">
        <w:rPr>
          <w:rFonts w:ascii="Arial" w:hAnsi="Arial" w:cs="Arial"/>
        </w:rPr>
        <w:t xml:space="preserve">the </w:t>
      </w:r>
      <w:r w:rsidR="00D1225D" w:rsidRPr="00394FA8">
        <w:rPr>
          <w:rFonts w:ascii="Arial" w:hAnsi="Arial" w:cs="Arial"/>
        </w:rPr>
        <w:t xml:space="preserve">Additional Magistrate </w:t>
      </w:r>
      <w:r w:rsidR="003E4CED" w:rsidRPr="00394FA8">
        <w:rPr>
          <w:rFonts w:ascii="Arial" w:hAnsi="Arial" w:cs="Arial"/>
        </w:rPr>
        <w:t xml:space="preserve">on </w:t>
      </w:r>
      <w:r w:rsidR="00D1225D" w:rsidRPr="00394FA8">
        <w:rPr>
          <w:rFonts w:ascii="Arial" w:hAnsi="Arial" w:cs="Arial"/>
        </w:rPr>
        <w:t>28 November 2019 in the Magistrate</w:t>
      </w:r>
      <w:r w:rsidR="00111600" w:rsidRPr="00394FA8">
        <w:rPr>
          <w:rFonts w:ascii="Arial" w:hAnsi="Arial" w:cs="Arial"/>
        </w:rPr>
        <w:t>s’</w:t>
      </w:r>
      <w:r w:rsidR="00D1225D" w:rsidRPr="00394FA8">
        <w:rPr>
          <w:rFonts w:ascii="Arial" w:hAnsi="Arial" w:cs="Arial"/>
        </w:rPr>
        <w:t xml:space="preserve"> Court, Vanderbijlpark</w:t>
      </w:r>
      <w:r w:rsidR="00CF4207" w:rsidRPr="00394FA8">
        <w:rPr>
          <w:rFonts w:ascii="Arial" w:hAnsi="Arial" w:cs="Arial"/>
        </w:rPr>
        <w:t>.</w:t>
      </w:r>
      <w:r w:rsidR="001A49E4" w:rsidRPr="00394FA8">
        <w:rPr>
          <w:rFonts w:ascii="Arial" w:hAnsi="Arial" w:cs="Arial"/>
        </w:rPr>
        <w:t xml:space="preserve"> </w:t>
      </w:r>
    </w:p>
    <w:p w14:paraId="07EF1F81" w14:textId="39E2F80A" w:rsidR="00116124" w:rsidRPr="00394FA8" w:rsidRDefault="00394FA8" w:rsidP="00394FA8">
      <w:pPr>
        <w:autoSpaceDE w:val="0"/>
        <w:autoSpaceDN w:val="0"/>
        <w:adjustRightInd w:val="0"/>
        <w:spacing w:after="480" w:line="360" w:lineRule="auto"/>
        <w:ind w:left="720" w:hanging="720"/>
        <w:jc w:val="both"/>
        <w:rPr>
          <w:rFonts w:ascii="Arial" w:hAnsi="Arial" w:cs="Arial"/>
        </w:rPr>
      </w:pPr>
      <w:r w:rsidRPr="001A49E4">
        <w:rPr>
          <w:rFonts w:ascii="Arial" w:hAnsi="Arial" w:cs="Arial"/>
        </w:rPr>
        <w:t>[2]</w:t>
      </w:r>
      <w:r w:rsidRPr="001A49E4">
        <w:rPr>
          <w:rFonts w:ascii="Arial" w:hAnsi="Arial" w:cs="Arial"/>
        </w:rPr>
        <w:tab/>
      </w:r>
      <w:r w:rsidR="001A49E4" w:rsidRPr="00394FA8">
        <w:rPr>
          <w:rFonts w:ascii="Arial" w:hAnsi="Arial" w:cs="Arial"/>
        </w:rPr>
        <w:t>T</w:t>
      </w:r>
      <w:r w:rsidR="000B49D9" w:rsidRPr="00394FA8">
        <w:rPr>
          <w:rFonts w:ascii="Arial" w:hAnsi="Arial" w:cs="Arial"/>
        </w:rPr>
        <w:t xml:space="preserve">he subject matter of the judgment was an eviction application </w:t>
      </w:r>
      <w:r w:rsidR="00DB1811" w:rsidRPr="00394FA8">
        <w:rPr>
          <w:rFonts w:ascii="Arial" w:hAnsi="Arial" w:cs="Arial"/>
        </w:rPr>
        <w:t xml:space="preserve">instituted by Sheila </w:t>
      </w:r>
      <w:r w:rsidR="00DB4007" w:rsidRPr="00394FA8">
        <w:rPr>
          <w:rFonts w:ascii="Arial" w:hAnsi="Arial" w:cs="Arial"/>
        </w:rPr>
        <w:t xml:space="preserve">Bongiwe </w:t>
      </w:r>
      <w:r w:rsidR="00DB1811" w:rsidRPr="00394FA8">
        <w:rPr>
          <w:rFonts w:ascii="Arial" w:hAnsi="Arial" w:cs="Arial"/>
        </w:rPr>
        <w:t xml:space="preserve">Lempe </w:t>
      </w:r>
      <w:r w:rsidR="00DB4007" w:rsidRPr="00394FA8">
        <w:rPr>
          <w:rFonts w:ascii="Arial" w:hAnsi="Arial" w:cs="Arial"/>
        </w:rPr>
        <w:t>i</w:t>
      </w:r>
      <w:r w:rsidR="00212A5C" w:rsidRPr="00394FA8">
        <w:rPr>
          <w:rFonts w:ascii="Arial" w:hAnsi="Arial" w:cs="Arial"/>
        </w:rPr>
        <w:t xml:space="preserve">n terms of which Ms </w:t>
      </w:r>
      <w:r w:rsidR="00DB4007" w:rsidRPr="00394FA8">
        <w:rPr>
          <w:rFonts w:ascii="Arial" w:hAnsi="Arial" w:cs="Arial"/>
        </w:rPr>
        <w:t>Lempe</w:t>
      </w:r>
      <w:r w:rsidR="00212A5C" w:rsidRPr="00394FA8">
        <w:rPr>
          <w:rFonts w:ascii="Arial" w:hAnsi="Arial" w:cs="Arial"/>
        </w:rPr>
        <w:t xml:space="preserve"> sought the eviction of </w:t>
      </w:r>
      <w:r w:rsidR="000B49D9" w:rsidRPr="00394FA8">
        <w:rPr>
          <w:rFonts w:ascii="Arial" w:hAnsi="Arial" w:cs="Arial"/>
        </w:rPr>
        <w:t>the appellant, Ms Monotsi Acinah, and all unknown occupiers</w:t>
      </w:r>
      <w:r w:rsidR="00212A5C" w:rsidRPr="00394FA8">
        <w:rPr>
          <w:rFonts w:ascii="Arial" w:hAnsi="Arial" w:cs="Arial"/>
        </w:rPr>
        <w:t xml:space="preserve"> (cited as the </w:t>
      </w:r>
      <w:r w:rsidR="00076673" w:rsidRPr="00394FA8">
        <w:rPr>
          <w:rFonts w:ascii="Arial" w:hAnsi="Arial" w:cs="Arial"/>
        </w:rPr>
        <w:t xml:space="preserve">first </w:t>
      </w:r>
      <w:r w:rsidR="000B49D9" w:rsidRPr="00394FA8">
        <w:rPr>
          <w:rFonts w:ascii="Arial" w:hAnsi="Arial" w:cs="Arial"/>
        </w:rPr>
        <w:t>to third respon</w:t>
      </w:r>
      <w:bookmarkStart w:id="0" w:name="_GoBack"/>
      <w:bookmarkEnd w:id="0"/>
      <w:r w:rsidR="000B49D9" w:rsidRPr="00394FA8">
        <w:rPr>
          <w:rFonts w:ascii="Arial" w:hAnsi="Arial" w:cs="Arial"/>
        </w:rPr>
        <w:t xml:space="preserve">dents </w:t>
      </w:r>
      <w:r w:rsidR="00076673" w:rsidRPr="00394FA8">
        <w:rPr>
          <w:rFonts w:ascii="Arial" w:hAnsi="Arial" w:cs="Arial"/>
        </w:rPr>
        <w:t xml:space="preserve">respectively </w:t>
      </w:r>
      <w:r w:rsidR="000B49D9" w:rsidRPr="00394FA8">
        <w:rPr>
          <w:rFonts w:ascii="Arial" w:hAnsi="Arial" w:cs="Arial"/>
        </w:rPr>
        <w:t xml:space="preserve">in the court </w:t>
      </w:r>
      <w:r w:rsidR="000B49D9" w:rsidRPr="00394FA8">
        <w:rPr>
          <w:rFonts w:ascii="Arial" w:hAnsi="Arial" w:cs="Arial"/>
          <w:i/>
          <w:iCs/>
        </w:rPr>
        <w:t>quo</w:t>
      </w:r>
      <w:r w:rsidR="00212A5C" w:rsidRPr="00394FA8">
        <w:rPr>
          <w:rFonts w:ascii="Arial" w:hAnsi="Arial" w:cs="Arial"/>
        </w:rPr>
        <w:t>)</w:t>
      </w:r>
      <w:r w:rsidR="000B49D9" w:rsidRPr="00394FA8">
        <w:rPr>
          <w:rFonts w:ascii="Arial" w:hAnsi="Arial" w:cs="Arial"/>
        </w:rPr>
        <w:t xml:space="preserve">. </w:t>
      </w:r>
      <w:r w:rsidR="00076673" w:rsidRPr="00394FA8">
        <w:rPr>
          <w:rFonts w:ascii="Arial" w:hAnsi="Arial" w:cs="Arial"/>
        </w:rPr>
        <w:t>The Emfuleni Local Municipality was cited as the fourth respondent</w:t>
      </w:r>
      <w:r w:rsidR="006A0F75" w:rsidRPr="00394FA8">
        <w:rPr>
          <w:rFonts w:ascii="Arial" w:hAnsi="Arial" w:cs="Arial"/>
        </w:rPr>
        <w:t xml:space="preserve"> [‘the municipality’]</w:t>
      </w:r>
      <w:r w:rsidR="00212A5C" w:rsidRPr="00394FA8">
        <w:rPr>
          <w:rFonts w:ascii="Arial" w:hAnsi="Arial" w:cs="Arial"/>
        </w:rPr>
        <w:t>.</w:t>
      </w:r>
      <w:r w:rsidR="00076673" w:rsidRPr="00394FA8">
        <w:rPr>
          <w:rFonts w:ascii="Arial" w:hAnsi="Arial" w:cs="Arial"/>
        </w:rPr>
        <w:t xml:space="preserve"> </w:t>
      </w:r>
      <w:r w:rsidR="000B49D9" w:rsidRPr="00394FA8">
        <w:rPr>
          <w:rFonts w:ascii="Arial" w:hAnsi="Arial" w:cs="Arial"/>
        </w:rPr>
        <w:t xml:space="preserve">The learned Magistrate granted the eviction orders sought by Ms </w:t>
      </w:r>
      <w:r w:rsidR="00DB4007" w:rsidRPr="00394FA8">
        <w:rPr>
          <w:rFonts w:ascii="Arial" w:hAnsi="Arial" w:cs="Arial"/>
        </w:rPr>
        <w:t>Lempe</w:t>
      </w:r>
      <w:r w:rsidR="000B49D9" w:rsidRPr="00394FA8">
        <w:rPr>
          <w:rFonts w:ascii="Arial" w:hAnsi="Arial" w:cs="Arial"/>
        </w:rPr>
        <w:t xml:space="preserve">. </w:t>
      </w:r>
    </w:p>
    <w:p w14:paraId="7D279123" w14:textId="6ECC7928" w:rsidR="001D04F6" w:rsidRPr="00394FA8" w:rsidRDefault="00394FA8" w:rsidP="00394FA8">
      <w:pPr>
        <w:autoSpaceDE w:val="0"/>
        <w:autoSpaceDN w:val="0"/>
        <w:adjustRightInd w:val="0"/>
        <w:spacing w:after="480" w:line="360" w:lineRule="auto"/>
        <w:ind w:left="720" w:hanging="720"/>
        <w:jc w:val="both"/>
        <w:rPr>
          <w:rFonts w:ascii="Arial" w:hAnsi="Arial" w:cs="Arial"/>
        </w:rPr>
      </w:pPr>
      <w:r w:rsidRPr="00876CA5">
        <w:rPr>
          <w:rFonts w:ascii="Arial" w:hAnsi="Arial" w:cs="Arial"/>
        </w:rPr>
        <w:t>[3]</w:t>
      </w:r>
      <w:r w:rsidRPr="00876CA5">
        <w:rPr>
          <w:rFonts w:ascii="Arial" w:hAnsi="Arial" w:cs="Arial"/>
        </w:rPr>
        <w:tab/>
      </w:r>
      <w:r w:rsidR="000B49D9" w:rsidRPr="00394FA8">
        <w:rPr>
          <w:rFonts w:ascii="Arial" w:hAnsi="Arial" w:cs="Arial"/>
        </w:rPr>
        <w:t xml:space="preserve">Before us is </w:t>
      </w:r>
      <w:r w:rsidR="00116124" w:rsidRPr="00394FA8">
        <w:rPr>
          <w:rFonts w:ascii="Arial" w:hAnsi="Arial" w:cs="Arial"/>
        </w:rPr>
        <w:t xml:space="preserve">Mr Sithole’s </w:t>
      </w:r>
      <w:r w:rsidR="000B49D9" w:rsidRPr="00394FA8">
        <w:rPr>
          <w:rFonts w:ascii="Arial" w:hAnsi="Arial" w:cs="Arial"/>
        </w:rPr>
        <w:t xml:space="preserve">appeal of the </w:t>
      </w:r>
      <w:r w:rsidR="00CF4207" w:rsidRPr="00394FA8">
        <w:rPr>
          <w:rFonts w:ascii="Arial" w:hAnsi="Arial" w:cs="Arial"/>
        </w:rPr>
        <w:t xml:space="preserve">court </w:t>
      </w:r>
      <w:r w:rsidR="00CF4207" w:rsidRPr="00394FA8">
        <w:rPr>
          <w:rFonts w:ascii="Arial" w:hAnsi="Arial" w:cs="Arial"/>
          <w:i/>
          <w:iCs/>
        </w:rPr>
        <w:t xml:space="preserve">a quo’s </w:t>
      </w:r>
      <w:r w:rsidR="000B49D9" w:rsidRPr="00394FA8">
        <w:rPr>
          <w:rFonts w:ascii="Arial" w:hAnsi="Arial" w:cs="Arial"/>
        </w:rPr>
        <w:t>judgment and orders</w:t>
      </w:r>
      <w:r w:rsidR="001A49E4" w:rsidRPr="00394FA8">
        <w:rPr>
          <w:rFonts w:ascii="Arial" w:hAnsi="Arial" w:cs="Arial"/>
        </w:rPr>
        <w:t>. Ms Acinah did not oppose the eviction application and has not appealed against the judgment. In this appeal</w:t>
      </w:r>
      <w:r w:rsidR="006A0F75" w:rsidRPr="00394FA8">
        <w:rPr>
          <w:rFonts w:ascii="Arial" w:hAnsi="Arial" w:cs="Arial"/>
        </w:rPr>
        <w:t>,</w:t>
      </w:r>
      <w:r w:rsidR="001A49E4" w:rsidRPr="00394FA8">
        <w:rPr>
          <w:rFonts w:ascii="Arial" w:hAnsi="Arial" w:cs="Arial"/>
        </w:rPr>
        <w:t xml:space="preserve"> </w:t>
      </w:r>
      <w:r w:rsidR="00116124" w:rsidRPr="00394FA8">
        <w:rPr>
          <w:rFonts w:ascii="Arial" w:hAnsi="Arial" w:cs="Arial"/>
        </w:rPr>
        <w:t xml:space="preserve">Ms </w:t>
      </w:r>
      <w:r w:rsidR="00DB4007" w:rsidRPr="00394FA8">
        <w:rPr>
          <w:rFonts w:ascii="Arial" w:hAnsi="Arial" w:cs="Arial"/>
        </w:rPr>
        <w:t>Lempe</w:t>
      </w:r>
      <w:r w:rsidR="001A49E4" w:rsidRPr="00394FA8">
        <w:rPr>
          <w:rFonts w:ascii="Arial" w:hAnsi="Arial" w:cs="Arial"/>
        </w:rPr>
        <w:t xml:space="preserve"> (the successful applicant in the court</w:t>
      </w:r>
      <w:r w:rsidR="001F630C" w:rsidRPr="00394FA8">
        <w:rPr>
          <w:rFonts w:ascii="Arial" w:hAnsi="Arial" w:cs="Arial"/>
        </w:rPr>
        <w:t xml:space="preserve"> </w:t>
      </w:r>
      <w:r w:rsidR="001A49E4" w:rsidRPr="00394FA8">
        <w:rPr>
          <w:rFonts w:ascii="Arial" w:hAnsi="Arial" w:cs="Arial"/>
          <w:i/>
          <w:iCs/>
        </w:rPr>
        <w:t>a quo</w:t>
      </w:r>
      <w:r w:rsidR="001A49E4" w:rsidRPr="00394FA8">
        <w:rPr>
          <w:rFonts w:ascii="Arial" w:hAnsi="Arial" w:cs="Arial"/>
        </w:rPr>
        <w:t>)</w:t>
      </w:r>
      <w:r w:rsidR="001A49E4" w:rsidRPr="00394FA8">
        <w:rPr>
          <w:rFonts w:ascii="Arial" w:hAnsi="Arial" w:cs="Arial"/>
          <w:i/>
          <w:iCs/>
        </w:rPr>
        <w:t xml:space="preserve"> </w:t>
      </w:r>
      <w:r w:rsidR="001A49E4" w:rsidRPr="00394FA8">
        <w:rPr>
          <w:rFonts w:ascii="Arial" w:hAnsi="Arial" w:cs="Arial"/>
        </w:rPr>
        <w:t>is the first respondent, “all unknown occupiers” the second respondent, and the municipality, the third respondent.</w:t>
      </w:r>
      <w:r w:rsidR="00CF4207" w:rsidRPr="00394FA8">
        <w:rPr>
          <w:rFonts w:ascii="Arial" w:hAnsi="Arial" w:cs="Arial"/>
        </w:rPr>
        <w:t xml:space="preserve"> We will continue to refer to Mr Sithole as the appellant, and Ms </w:t>
      </w:r>
      <w:r w:rsidR="00DB4007" w:rsidRPr="00394FA8">
        <w:rPr>
          <w:rFonts w:ascii="Arial" w:hAnsi="Arial" w:cs="Arial"/>
        </w:rPr>
        <w:t>Lempe</w:t>
      </w:r>
      <w:r w:rsidR="00CF4207" w:rsidRPr="00394FA8">
        <w:rPr>
          <w:rFonts w:ascii="Arial" w:hAnsi="Arial" w:cs="Arial"/>
        </w:rPr>
        <w:t xml:space="preserve"> as the first respondent. </w:t>
      </w:r>
    </w:p>
    <w:p w14:paraId="577CEDAD" w14:textId="78770015" w:rsidR="006C2F62" w:rsidRPr="00394FA8" w:rsidRDefault="00394FA8" w:rsidP="00394FA8">
      <w:pPr>
        <w:autoSpaceDE w:val="0"/>
        <w:autoSpaceDN w:val="0"/>
        <w:adjustRightInd w:val="0"/>
        <w:spacing w:after="480" w:line="360" w:lineRule="auto"/>
        <w:ind w:left="720" w:hanging="720"/>
        <w:jc w:val="both"/>
        <w:rPr>
          <w:rFonts w:ascii="Arial" w:hAnsi="Arial" w:cs="Arial"/>
        </w:rPr>
      </w:pPr>
      <w:r>
        <w:rPr>
          <w:rFonts w:ascii="Arial" w:hAnsi="Arial" w:cs="Arial"/>
        </w:rPr>
        <w:t>[4]</w:t>
      </w:r>
      <w:r>
        <w:rPr>
          <w:rFonts w:ascii="Arial" w:hAnsi="Arial" w:cs="Arial"/>
        </w:rPr>
        <w:tab/>
      </w:r>
      <w:r w:rsidR="006A0F75" w:rsidRPr="00394FA8">
        <w:rPr>
          <w:rFonts w:ascii="Arial" w:hAnsi="Arial" w:cs="Arial"/>
        </w:rPr>
        <w:t xml:space="preserve">In the court </w:t>
      </w:r>
      <w:r w:rsidR="006A0F75" w:rsidRPr="00394FA8">
        <w:rPr>
          <w:rFonts w:ascii="Arial" w:hAnsi="Arial" w:cs="Arial"/>
          <w:i/>
          <w:iCs/>
        </w:rPr>
        <w:t>a quo</w:t>
      </w:r>
      <w:r w:rsidR="006A0F75" w:rsidRPr="00394FA8">
        <w:rPr>
          <w:rFonts w:ascii="Arial" w:hAnsi="Arial" w:cs="Arial"/>
        </w:rPr>
        <w:t>, the appellant was represented by Hlats</w:t>
      </w:r>
      <w:r w:rsidR="007A7064" w:rsidRPr="00394FA8">
        <w:rPr>
          <w:rFonts w:ascii="Arial" w:hAnsi="Arial" w:cs="Arial"/>
        </w:rPr>
        <w:t>h</w:t>
      </w:r>
      <w:r w:rsidR="006A0F75" w:rsidRPr="00394FA8">
        <w:rPr>
          <w:rFonts w:ascii="Arial" w:hAnsi="Arial" w:cs="Arial"/>
        </w:rPr>
        <w:t>wayo</w:t>
      </w:r>
      <w:r w:rsidR="007A7064" w:rsidRPr="00394FA8">
        <w:rPr>
          <w:rFonts w:ascii="Arial" w:hAnsi="Arial" w:cs="Arial"/>
        </w:rPr>
        <w:t>-</w:t>
      </w:r>
      <w:r w:rsidR="006A0F75" w:rsidRPr="00394FA8">
        <w:rPr>
          <w:rFonts w:ascii="Arial" w:hAnsi="Arial" w:cs="Arial"/>
        </w:rPr>
        <w:t>M</w:t>
      </w:r>
      <w:r w:rsidR="007A7064" w:rsidRPr="00394FA8">
        <w:rPr>
          <w:rFonts w:ascii="Arial" w:hAnsi="Arial" w:cs="Arial"/>
        </w:rPr>
        <w:t>h</w:t>
      </w:r>
      <w:r w:rsidR="006A0F75" w:rsidRPr="00394FA8">
        <w:rPr>
          <w:rFonts w:ascii="Arial" w:hAnsi="Arial" w:cs="Arial"/>
        </w:rPr>
        <w:t>ayise Inc. This same firm of attorneys represents the appellant in this appeal</w:t>
      </w:r>
      <w:r w:rsidR="00B73772" w:rsidRPr="00394FA8">
        <w:rPr>
          <w:rFonts w:ascii="Arial" w:hAnsi="Arial" w:cs="Arial"/>
        </w:rPr>
        <w:t xml:space="preserve">. This firm submitted the practice note and heads of argument in the appeal, and Mr </w:t>
      </w:r>
      <w:r w:rsidR="007A7064" w:rsidRPr="00394FA8">
        <w:rPr>
          <w:rFonts w:ascii="Arial" w:hAnsi="Arial" w:cs="Arial"/>
        </w:rPr>
        <w:t>Hlatshwayo</w:t>
      </w:r>
      <w:r w:rsidR="00B73772" w:rsidRPr="00394FA8">
        <w:rPr>
          <w:rFonts w:ascii="Arial" w:hAnsi="Arial" w:cs="Arial"/>
        </w:rPr>
        <w:t xml:space="preserve"> argued the appeal on behalf of the appellant.</w:t>
      </w:r>
    </w:p>
    <w:p w14:paraId="63C7C3E6" w14:textId="5354A9ED" w:rsidR="008A102F" w:rsidRPr="00394FA8" w:rsidRDefault="00394FA8" w:rsidP="00394FA8">
      <w:pPr>
        <w:autoSpaceDE w:val="0"/>
        <w:autoSpaceDN w:val="0"/>
        <w:adjustRightInd w:val="0"/>
        <w:spacing w:after="480" w:line="360" w:lineRule="auto"/>
        <w:ind w:left="720" w:hanging="720"/>
        <w:jc w:val="both"/>
        <w:rPr>
          <w:rFonts w:ascii="Arial" w:hAnsi="Arial" w:cs="Arial"/>
        </w:rPr>
      </w:pPr>
      <w:r w:rsidRPr="00876CA5">
        <w:rPr>
          <w:rFonts w:ascii="Arial" w:hAnsi="Arial" w:cs="Arial"/>
        </w:rPr>
        <w:t>[5]</w:t>
      </w:r>
      <w:r w:rsidRPr="00876CA5">
        <w:rPr>
          <w:rFonts w:ascii="Arial" w:hAnsi="Arial" w:cs="Arial"/>
        </w:rPr>
        <w:tab/>
      </w:r>
      <w:r w:rsidR="00CF4207" w:rsidRPr="00394FA8">
        <w:rPr>
          <w:rFonts w:ascii="Arial" w:hAnsi="Arial" w:cs="Arial"/>
        </w:rPr>
        <w:t xml:space="preserve">In the court </w:t>
      </w:r>
      <w:r w:rsidR="00CF4207" w:rsidRPr="00394FA8">
        <w:rPr>
          <w:rFonts w:ascii="Arial" w:hAnsi="Arial" w:cs="Arial"/>
          <w:i/>
          <w:iCs/>
        </w:rPr>
        <w:t xml:space="preserve">a quo, </w:t>
      </w:r>
      <w:r w:rsidR="00CF4207" w:rsidRPr="00394FA8">
        <w:rPr>
          <w:rFonts w:ascii="Arial" w:hAnsi="Arial" w:cs="Arial"/>
        </w:rPr>
        <w:t xml:space="preserve">the first respondent was represented by Legal Aid’s Vereeniging Office. </w:t>
      </w:r>
      <w:r w:rsidR="00111600" w:rsidRPr="00394FA8">
        <w:rPr>
          <w:rFonts w:ascii="Arial" w:hAnsi="Arial" w:cs="Arial"/>
        </w:rPr>
        <w:t xml:space="preserve">The appellant’s </w:t>
      </w:r>
      <w:r w:rsidR="00087083" w:rsidRPr="00394FA8">
        <w:rPr>
          <w:rFonts w:ascii="Arial" w:hAnsi="Arial" w:cs="Arial"/>
        </w:rPr>
        <w:t xml:space="preserve">notices of appeal and </w:t>
      </w:r>
      <w:r w:rsidR="002D0A88" w:rsidRPr="00394FA8">
        <w:rPr>
          <w:rFonts w:ascii="Arial" w:hAnsi="Arial" w:cs="Arial"/>
        </w:rPr>
        <w:t>set</w:t>
      </w:r>
      <w:r w:rsidR="00CF4207" w:rsidRPr="00394FA8">
        <w:rPr>
          <w:rFonts w:ascii="Arial" w:hAnsi="Arial" w:cs="Arial"/>
        </w:rPr>
        <w:t xml:space="preserve"> </w:t>
      </w:r>
      <w:r w:rsidR="002D0A88" w:rsidRPr="00394FA8">
        <w:rPr>
          <w:rFonts w:ascii="Arial" w:hAnsi="Arial" w:cs="Arial"/>
        </w:rPr>
        <w:t>down were served at th</w:t>
      </w:r>
      <w:r w:rsidR="00CF4207" w:rsidRPr="00394FA8">
        <w:rPr>
          <w:rFonts w:ascii="Arial" w:hAnsi="Arial" w:cs="Arial"/>
        </w:rPr>
        <w:t>at Legal Aid office. Legal Aid did not, however, submit a practice note and heads of argument for this appeal</w:t>
      </w:r>
      <w:r w:rsidR="0073181E" w:rsidRPr="00394FA8">
        <w:rPr>
          <w:rFonts w:ascii="Arial" w:hAnsi="Arial" w:cs="Arial"/>
        </w:rPr>
        <w:t>, and there was no representation by Legal Aid on behalf of the first respondent at this appeal. Accordingly, a</w:t>
      </w:r>
      <w:r w:rsidR="00CF4207" w:rsidRPr="00394FA8">
        <w:rPr>
          <w:rFonts w:ascii="Arial" w:hAnsi="Arial" w:cs="Arial"/>
        </w:rPr>
        <w:t xml:space="preserve">t the commencement of argument before us, we enquired with the appellant’s </w:t>
      </w:r>
      <w:r w:rsidR="0073181E" w:rsidRPr="00394FA8">
        <w:rPr>
          <w:rFonts w:ascii="Arial" w:hAnsi="Arial" w:cs="Arial"/>
        </w:rPr>
        <w:t xml:space="preserve">attorney as to whether he was aware of Legal Aid’s position. The matter was stood down and enquiries made with Legal Aid. On resuming the hearing, appellant’s attorney informed us that </w:t>
      </w:r>
      <w:r w:rsidR="00F110A6" w:rsidRPr="00394FA8">
        <w:rPr>
          <w:rFonts w:ascii="Arial" w:hAnsi="Arial" w:cs="Arial"/>
        </w:rPr>
        <w:t xml:space="preserve">the Head of Legal </w:t>
      </w:r>
      <w:r w:rsidR="009C7D5D" w:rsidRPr="00394FA8">
        <w:rPr>
          <w:rFonts w:ascii="Arial" w:hAnsi="Arial" w:cs="Arial"/>
        </w:rPr>
        <w:t xml:space="preserve">Aid </w:t>
      </w:r>
      <w:r w:rsidR="0073181E" w:rsidRPr="00394FA8">
        <w:rPr>
          <w:rFonts w:ascii="Arial" w:hAnsi="Arial" w:cs="Arial"/>
        </w:rPr>
        <w:t xml:space="preserve">at its </w:t>
      </w:r>
      <w:r w:rsidR="009C7D5D" w:rsidRPr="00394FA8">
        <w:rPr>
          <w:rFonts w:ascii="Arial" w:hAnsi="Arial" w:cs="Arial"/>
        </w:rPr>
        <w:t xml:space="preserve">Vereeniging Office </w:t>
      </w:r>
      <w:r w:rsidR="00111600" w:rsidRPr="00394FA8">
        <w:rPr>
          <w:rFonts w:ascii="Arial" w:hAnsi="Arial" w:cs="Arial"/>
        </w:rPr>
        <w:t xml:space="preserve">had advised him that </w:t>
      </w:r>
      <w:r w:rsidR="00F110A6" w:rsidRPr="00394FA8">
        <w:rPr>
          <w:rFonts w:ascii="Arial" w:hAnsi="Arial" w:cs="Arial"/>
        </w:rPr>
        <w:t xml:space="preserve">the first respondent </w:t>
      </w:r>
      <w:r w:rsidR="0073181E" w:rsidRPr="00394FA8">
        <w:rPr>
          <w:rFonts w:ascii="Arial" w:hAnsi="Arial" w:cs="Arial"/>
        </w:rPr>
        <w:t>would not be participating in this appeal, and that she would</w:t>
      </w:r>
      <w:r w:rsidR="001F630C" w:rsidRPr="00394FA8">
        <w:rPr>
          <w:rFonts w:ascii="Arial" w:hAnsi="Arial" w:cs="Arial"/>
        </w:rPr>
        <w:t xml:space="preserve"> abide</w:t>
      </w:r>
      <w:r w:rsidR="0073181E" w:rsidRPr="00394FA8">
        <w:rPr>
          <w:rFonts w:ascii="Arial" w:hAnsi="Arial" w:cs="Arial"/>
        </w:rPr>
        <w:t xml:space="preserve"> </w:t>
      </w:r>
      <w:r w:rsidR="00F110A6" w:rsidRPr="00394FA8">
        <w:rPr>
          <w:rFonts w:ascii="Arial" w:hAnsi="Arial" w:cs="Arial"/>
        </w:rPr>
        <w:t>by the</w:t>
      </w:r>
      <w:r w:rsidR="007E6EAD" w:rsidRPr="00394FA8">
        <w:rPr>
          <w:rFonts w:ascii="Arial" w:hAnsi="Arial" w:cs="Arial"/>
        </w:rPr>
        <w:t xml:space="preserve"> decision of the appeal court</w:t>
      </w:r>
      <w:r w:rsidR="00F110A6" w:rsidRPr="00394FA8">
        <w:rPr>
          <w:rFonts w:ascii="Arial" w:hAnsi="Arial" w:cs="Arial"/>
        </w:rPr>
        <w:t>.</w:t>
      </w:r>
      <w:r w:rsidR="0073181E" w:rsidRPr="00394FA8">
        <w:rPr>
          <w:rFonts w:ascii="Arial" w:hAnsi="Arial" w:cs="Arial"/>
        </w:rPr>
        <w:t xml:space="preserve"> </w:t>
      </w:r>
    </w:p>
    <w:p w14:paraId="3896451F" w14:textId="328ECAB1" w:rsidR="005C6533" w:rsidRPr="00394FA8" w:rsidRDefault="00394FA8" w:rsidP="00394FA8">
      <w:pPr>
        <w:spacing w:after="480" w:line="360" w:lineRule="auto"/>
        <w:ind w:left="720" w:hanging="720"/>
        <w:jc w:val="both"/>
        <w:rPr>
          <w:rFonts w:ascii="Arial" w:hAnsi="Arial" w:cs="Arial"/>
        </w:rPr>
      </w:pPr>
      <w:r>
        <w:rPr>
          <w:rFonts w:ascii="Arial" w:hAnsi="Arial" w:cs="Arial"/>
        </w:rPr>
        <w:t>[6]</w:t>
      </w:r>
      <w:r>
        <w:rPr>
          <w:rFonts w:ascii="Arial" w:hAnsi="Arial" w:cs="Arial"/>
        </w:rPr>
        <w:tab/>
      </w:r>
      <w:r w:rsidR="005C6533" w:rsidRPr="00394FA8">
        <w:rPr>
          <w:rFonts w:ascii="Arial" w:hAnsi="Arial" w:cs="Arial"/>
        </w:rPr>
        <w:t>In this appeal, the appellant also applies for condonation for the late filing of the appeal record. Rule 27(3) of the Uniform Rules of Court provides that the court may, on good cause shown, condone any non-compliance with these rules. The notice of appeal was filed on 15 January 2020. The appellant applied for the transcription of the record on 10 February 2020. He was advised late in September / October 2020 that the company called Inlexso would assist with transcription of the record. He paid for the transcription of the record on 8 December 2020.  He received the record on 14 December 2020. The cause for the delay is attributed mainly to the lockdown which commenced from 27 March 2020 due to COVID19. We are satisfied that the appellant has shown good cause for the delay in filing the record, and the late filing thereof is condoned.</w:t>
      </w:r>
    </w:p>
    <w:p w14:paraId="7720B9FB" w14:textId="69F24796" w:rsidR="009F0B31" w:rsidRPr="00394FA8" w:rsidRDefault="00394FA8" w:rsidP="00394FA8">
      <w:pPr>
        <w:spacing w:after="480" w:line="360" w:lineRule="auto"/>
        <w:ind w:left="720" w:hanging="720"/>
        <w:jc w:val="both"/>
        <w:rPr>
          <w:rFonts w:ascii="Arial" w:hAnsi="Arial" w:cs="Arial"/>
        </w:rPr>
      </w:pPr>
      <w:r>
        <w:rPr>
          <w:rFonts w:ascii="Arial" w:hAnsi="Arial" w:cs="Arial"/>
        </w:rPr>
        <w:t>[7]</w:t>
      </w:r>
      <w:r>
        <w:rPr>
          <w:rFonts w:ascii="Arial" w:hAnsi="Arial" w:cs="Arial"/>
        </w:rPr>
        <w:tab/>
      </w:r>
      <w:r w:rsidR="008A102F" w:rsidRPr="00394FA8">
        <w:rPr>
          <w:rFonts w:ascii="Arial" w:hAnsi="Arial" w:cs="Arial"/>
        </w:rPr>
        <w:t xml:space="preserve">The </w:t>
      </w:r>
      <w:r w:rsidR="00F91637" w:rsidRPr="00394FA8">
        <w:rPr>
          <w:rFonts w:ascii="Arial" w:hAnsi="Arial" w:cs="Arial"/>
        </w:rPr>
        <w:t xml:space="preserve">first </w:t>
      </w:r>
      <w:r w:rsidR="008A102F" w:rsidRPr="00394FA8">
        <w:rPr>
          <w:rFonts w:ascii="Arial" w:hAnsi="Arial" w:cs="Arial"/>
        </w:rPr>
        <w:t>respondent</w:t>
      </w:r>
      <w:r w:rsidR="0073181E" w:rsidRPr="00394FA8">
        <w:rPr>
          <w:rFonts w:ascii="Arial" w:hAnsi="Arial" w:cs="Arial"/>
        </w:rPr>
        <w:t xml:space="preserve"> </w:t>
      </w:r>
      <w:r w:rsidR="00F91637" w:rsidRPr="00394FA8">
        <w:rPr>
          <w:rFonts w:ascii="Arial" w:hAnsi="Arial" w:cs="Arial"/>
        </w:rPr>
        <w:t>is the</w:t>
      </w:r>
      <w:r w:rsidR="00AE17B7" w:rsidRPr="00394FA8">
        <w:rPr>
          <w:rFonts w:ascii="Arial" w:hAnsi="Arial" w:cs="Arial"/>
        </w:rPr>
        <w:t xml:space="preserve"> biological daughter and </w:t>
      </w:r>
      <w:r w:rsidR="00F91637" w:rsidRPr="00394FA8">
        <w:rPr>
          <w:rFonts w:ascii="Arial" w:hAnsi="Arial" w:cs="Arial"/>
        </w:rPr>
        <w:t>executrix of the estate of the late Molahlehi Daniel</w:t>
      </w:r>
      <w:r w:rsidR="00D87F84" w:rsidRPr="00394FA8">
        <w:rPr>
          <w:rFonts w:ascii="Arial" w:hAnsi="Arial" w:cs="Arial"/>
        </w:rPr>
        <w:t xml:space="preserve"> Lempe</w:t>
      </w:r>
      <w:r w:rsidR="0047591A" w:rsidRPr="00394FA8">
        <w:rPr>
          <w:rFonts w:ascii="Arial" w:hAnsi="Arial" w:cs="Arial"/>
        </w:rPr>
        <w:t xml:space="preserve"> </w:t>
      </w:r>
      <w:r w:rsidR="00B73772" w:rsidRPr="00394FA8">
        <w:rPr>
          <w:rFonts w:ascii="Arial" w:hAnsi="Arial" w:cs="Arial"/>
        </w:rPr>
        <w:t>[‘</w:t>
      </w:r>
      <w:r w:rsidR="0047591A" w:rsidRPr="00394FA8">
        <w:rPr>
          <w:rFonts w:ascii="Arial" w:hAnsi="Arial" w:cs="Arial"/>
        </w:rPr>
        <w:t>the deceased</w:t>
      </w:r>
      <w:r w:rsidR="00B73772" w:rsidRPr="00394FA8">
        <w:rPr>
          <w:rFonts w:ascii="Arial" w:hAnsi="Arial" w:cs="Arial"/>
        </w:rPr>
        <w:t>’]</w:t>
      </w:r>
      <w:r w:rsidR="009F0B31" w:rsidRPr="00394FA8">
        <w:rPr>
          <w:rFonts w:ascii="Arial" w:hAnsi="Arial" w:cs="Arial"/>
        </w:rPr>
        <w:t xml:space="preserve">. Mr Lempe </w:t>
      </w:r>
      <w:r w:rsidR="00AE17B7" w:rsidRPr="00394FA8">
        <w:rPr>
          <w:rFonts w:ascii="Arial" w:hAnsi="Arial" w:cs="Arial"/>
        </w:rPr>
        <w:t xml:space="preserve">died on 19 June 2005. </w:t>
      </w:r>
      <w:r w:rsidR="009F0B31" w:rsidRPr="00394FA8">
        <w:rPr>
          <w:rFonts w:ascii="Arial" w:hAnsi="Arial" w:cs="Arial"/>
        </w:rPr>
        <w:t xml:space="preserve">The first respondent was appointed executrix of the deceased’s estate in May 2016 </w:t>
      </w:r>
      <w:r w:rsidR="00E53C3F" w:rsidRPr="00394FA8">
        <w:rPr>
          <w:rFonts w:ascii="Arial" w:hAnsi="Arial" w:cs="Arial"/>
        </w:rPr>
        <w:t>under Letter of Authority number 010390/2016.</w:t>
      </w:r>
      <w:r w:rsidR="0063654C" w:rsidRPr="00394FA8">
        <w:rPr>
          <w:rFonts w:ascii="Arial" w:hAnsi="Arial" w:cs="Arial"/>
        </w:rPr>
        <w:t xml:space="preserve"> Presumably</w:t>
      </w:r>
      <w:r w:rsidR="00CD13AE" w:rsidRPr="00394FA8">
        <w:rPr>
          <w:rFonts w:ascii="Arial" w:hAnsi="Arial" w:cs="Arial"/>
        </w:rPr>
        <w:t>,</w:t>
      </w:r>
      <w:r w:rsidR="0063654C" w:rsidRPr="00394FA8">
        <w:rPr>
          <w:rFonts w:ascii="Arial" w:hAnsi="Arial" w:cs="Arial"/>
        </w:rPr>
        <w:t xml:space="preserve"> </w:t>
      </w:r>
      <w:r w:rsidR="009F0B31" w:rsidRPr="00394FA8">
        <w:rPr>
          <w:rFonts w:ascii="Arial" w:hAnsi="Arial" w:cs="Arial"/>
        </w:rPr>
        <w:t>the delay in her appointment had something to do with the deceased dying intestate</w:t>
      </w:r>
      <w:r w:rsidR="001B4736" w:rsidRPr="00394FA8">
        <w:rPr>
          <w:rFonts w:ascii="Arial" w:hAnsi="Arial" w:cs="Arial"/>
        </w:rPr>
        <w:t xml:space="preserve"> and her age</w:t>
      </w:r>
      <w:r w:rsidR="00EB7384" w:rsidRPr="00394FA8">
        <w:rPr>
          <w:rFonts w:ascii="Arial" w:hAnsi="Arial" w:cs="Arial"/>
        </w:rPr>
        <w:t xml:space="preserve"> at</w:t>
      </w:r>
      <w:r w:rsidR="001B4736" w:rsidRPr="00394FA8">
        <w:rPr>
          <w:rFonts w:ascii="Arial" w:hAnsi="Arial" w:cs="Arial"/>
        </w:rPr>
        <w:t xml:space="preserve"> that time</w:t>
      </w:r>
      <w:r w:rsidR="009F0B31" w:rsidRPr="00394FA8">
        <w:rPr>
          <w:rFonts w:ascii="Arial" w:hAnsi="Arial" w:cs="Arial"/>
        </w:rPr>
        <w:t xml:space="preserve">. </w:t>
      </w:r>
    </w:p>
    <w:p w14:paraId="4523FF55" w14:textId="1CEE60A5" w:rsidR="00111600" w:rsidRPr="00394FA8" w:rsidRDefault="00394FA8" w:rsidP="00394FA8">
      <w:pPr>
        <w:spacing w:after="480" w:line="360" w:lineRule="auto"/>
        <w:ind w:left="720" w:hanging="720"/>
        <w:jc w:val="both"/>
        <w:rPr>
          <w:rFonts w:ascii="Arial" w:hAnsi="Arial" w:cs="Arial"/>
        </w:rPr>
      </w:pPr>
      <w:r w:rsidRPr="00876CA5">
        <w:rPr>
          <w:rFonts w:ascii="Arial" w:hAnsi="Arial" w:cs="Arial"/>
        </w:rPr>
        <w:t>[8]</w:t>
      </w:r>
      <w:r w:rsidRPr="00876CA5">
        <w:rPr>
          <w:rFonts w:ascii="Arial" w:hAnsi="Arial" w:cs="Arial"/>
        </w:rPr>
        <w:tab/>
      </w:r>
      <w:r w:rsidR="00E53C3F" w:rsidRPr="00394FA8">
        <w:rPr>
          <w:rFonts w:ascii="Arial" w:hAnsi="Arial" w:cs="Arial"/>
        </w:rPr>
        <w:t xml:space="preserve">The </w:t>
      </w:r>
      <w:r w:rsidR="00A11C28" w:rsidRPr="00394FA8">
        <w:rPr>
          <w:rFonts w:ascii="Arial" w:hAnsi="Arial" w:cs="Arial"/>
        </w:rPr>
        <w:t>deceased</w:t>
      </w:r>
      <w:r w:rsidR="00E53C3F" w:rsidRPr="00394FA8">
        <w:rPr>
          <w:rFonts w:ascii="Arial" w:hAnsi="Arial" w:cs="Arial"/>
        </w:rPr>
        <w:t xml:space="preserve"> is the registered o</w:t>
      </w:r>
      <w:r w:rsidR="008A102F" w:rsidRPr="00394FA8">
        <w:rPr>
          <w:rFonts w:ascii="Arial" w:hAnsi="Arial" w:cs="Arial"/>
        </w:rPr>
        <w:t xml:space="preserve">wner of immovable property described as </w:t>
      </w:r>
      <w:r w:rsidR="00176C4C" w:rsidRPr="00394FA8">
        <w:rPr>
          <w:rFonts w:ascii="Arial" w:hAnsi="Arial" w:cs="Arial"/>
        </w:rPr>
        <w:t>E</w:t>
      </w:r>
      <w:r w:rsidR="003D29C9" w:rsidRPr="00394FA8">
        <w:rPr>
          <w:rFonts w:ascii="Arial" w:hAnsi="Arial" w:cs="Arial"/>
        </w:rPr>
        <w:t xml:space="preserve">rf </w:t>
      </w:r>
      <w:r w:rsidR="005F6792" w:rsidRPr="00394FA8">
        <w:rPr>
          <w:rFonts w:ascii="Arial" w:hAnsi="Arial" w:cs="Arial"/>
        </w:rPr>
        <w:t xml:space="preserve">9103 </w:t>
      </w:r>
      <w:r w:rsidR="00E43493" w:rsidRPr="00394FA8">
        <w:rPr>
          <w:rFonts w:ascii="Arial" w:hAnsi="Arial" w:cs="Arial"/>
        </w:rPr>
        <w:t>Bophelong</w:t>
      </w:r>
      <w:r w:rsidR="00176C4C" w:rsidRPr="00394FA8">
        <w:rPr>
          <w:rFonts w:ascii="Arial" w:hAnsi="Arial" w:cs="Arial"/>
        </w:rPr>
        <w:t xml:space="preserve"> Ext</w:t>
      </w:r>
      <w:r w:rsidR="00E43493" w:rsidRPr="00394FA8">
        <w:rPr>
          <w:rFonts w:ascii="Arial" w:hAnsi="Arial" w:cs="Arial"/>
        </w:rPr>
        <w:t>ension 15</w:t>
      </w:r>
      <w:r w:rsidR="008A102F" w:rsidRPr="00394FA8">
        <w:rPr>
          <w:rFonts w:ascii="Arial" w:hAnsi="Arial" w:cs="Arial"/>
        </w:rPr>
        <w:t xml:space="preserve"> he</w:t>
      </w:r>
      <w:r w:rsidR="00176C4C" w:rsidRPr="00394FA8">
        <w:rPr>
          <w:rFonts w:ascii="Arial" w:hAnsi="Arial" w:cs="Arial"/>
        </w:rPr>
        <w:t xml:space="preserve">ld under title deed </w:t>
      </w:r>
      <w:r w:rsidR="008A102F" w:rsidRPr="00394FA8">
        <w:rPr>
          <w:rFonts w:ascii="Arial" w:hAnsi="Arial" w:cs="Arial"/>
        </w:rPr>
        <w:t xml:space="preserve">number </w:t>
      </w:r>
      <w:r w:rsidR="00176C4C" w:rsidRPr="00394FA8">
        <w:rPr>
          <w:rFonts w:ascii="Arial" w:hAnsi="Arial" w:cs="Arial"/>
        </w:rPr>
        <w:t>T</w:t>
      </w:r>
      <w:r w:rsidR="00E03BE7" w:rsidRPr="00394FA8">
        <w:rPr>
          <w:rFonts w:ascii="Arial" w:hAnsi="Arial" w:cs="Arial"/>
        </w:rPr>
        <w:t>84672/1999</w:t>
      </w:r>
      <w:r w:rsidR="00B73772" w:rsidRPr="00394FA8">
        <w:rPr>
          <w:rFonts w:ascii="Arial" w:hAnsi="Arial" w:cs="Arial"/>
        </w:rPr>
        <w:t xml:space="preserve"> [‘the property’]</w:t>
      </w:r>
      <w:r w:rsidR="008A102F" w:rsidRPr="00394FA8">
        <w:rPr>
          <w:rFonts w:ascii="Arial" w:hAnsi="Arial" w:cs="Arial"/>
        </w:rPr>
        <w:t xml:space="preserve">. </w:t>
      </w:r>
      <w:r w:rsidR="002D16B7" w:rsidRPr="00394FA8">
        <w:rPr>
          <w:rFonts w:ascii="Arial" w:hAnsi="Arial" w:cs="Arial"/>
        </w:rPr>
        <w:t xml:space="preserve"> The property is situated within the </w:t>
      </w:r>
      <w:r w:rsidR="0073181E" w:rsidRPr="00394FA8">
        <w:rPr>
          <w:rFonts w:ascii="Arial" w:hAnsi="Arial" w:cs="Arial"/>
        </w:rPr>
        <w:t xml:space="preserve">locality of the </w:t>
      </w:r>
      <w:r w:rsidR="006A0F75" w:rsidRPr="00394FA8">
        <w:rPr>
          <w:rFonts w:ascii="Arial" w:hAnsi="Arial" w:cs="Arial"/>
        </w:rPr>
        <w:t>m</w:t>
      </w:r>
      <w:r w:rsidR="002D16B7" w:rsidRPr="00394FA8">
        <w:rPr>
          <w:rFonts w:ascii="Arial" w:hAnsi="Arial" w:cs="Arial"/>
        </w:rPr>
        <w:t>unicipality.</w:t>
      </w:r>
    </w:p>
    <w:p w14:paraId="3A45905D" w14:textId="58A60425" w:rsidR="00661BA6" w:rsidRPr="00394FA8" w:rsidRDefault="00394FA8" w:rsidP="00394FA8">
      <w:pPr>
        <w:spacing w:after="480" w:line="360" w:lineRule="auto"/>
        <w:ind w:left="720" w:hanging="720"/>
        <w:jc w:val="both"/>
        <w:rPr>
          <w:rFonts w:ascii="Arial" w:hAnsi="Arial" w:cs="Arial"/>
        </w:rPr>
      </w:pPr>
      <w:r w:rsidRPr="00DB4007">
        <w:rPr>
          <w:rFonts w:ascii="Arial" w:hAnsi="Arial" w:cs="Arial"/>
        </w:rPr>
        <w:t>[9]</w:t>
      </w:r>
      <w:r w:rsidRPr="00DB4007">
        <w:rPr>
          <w:rFonts w:ascii="Arial" w:hAnsi="Arial" w:cs="Arial"/>
        </w:rPr>
        <w:tab/>
      </w:r>
      <w:r w:rsidR="008A102F" w:rsidRPr="00394FA8">
        <w:rPr>
          <w:rFonts w:ascii="Arial" w:hAnsi="Arial" w:cs="Arial"/>
        </w:rPr>
        <w:t>On 2</w:t>
      </w:r>
      <w:r w:rsidR="004A3C56" w:rsidRPr="00394FA8">
        <w:rPr>
          <w:rFonts w:ascii="Arial" w:hAnsi="Arial" w:cs="Arial"/>
        </w:rPr>
        <w:t>1 January</w:t>
      </w:r>
      <w:r w:rsidR="00176C4C" w:rsidRPr="00394FA8">
        <w:rPr>
          <w:rFonts w:ascii="Arial" w:hAnsi="Arial" w:cs="Arial"/>
        </w:rPr>
        <w:t xml:space="preserve"> </w:t>
      </w:r>
      <w:r w:rsidR="008A102F" w:rsidRPr="00394FA8">
        <w:rPr>
          <w:rFonts w:ascii="Arial" w:hAnsi="Arial" w:cs="Arial"/>
        </w:rPr>
        <w:t>201</w:t>
      </w:r>
      <w:r w:rsidR="004A3C56" w:rsidRPr="00394FA8">
        <w:rPr>
          <w:rFonts w:ascii="Arial" w:hAnsi="Arial" w:cs="Arial"/>
        </w:rPr>
        <w:t>8, the first respondent</w:t>
      </w:r>
      <w:r w:rsidR="008A102F" w:rsidRPr="00394FA8">
        <w:rPr>
          <w:rFonts w:ascii="Arial" w:hAnsi="Arial" w:cs="Arial"/>
        </w:rPr>
        <w:t xml:space="preserve"> la</w:t>
      </w:r>
      <w:r w:rsidR="00EA2D1C" w:rsidRPr="00394FA8">
        <w:rPr>
          <w:rFonts w:ascii="Arial" w:hAnsi="Arial" w:cs="Arial"/>
        </w:rPr>
        <w:t xml:space="preserve">unched </w:t>
      </w:r>
      <w:r w:rsidR="004A3C56" w:rsidRPr="00394FA8">
        <w:rPr>
          <w:rFonts w:ascii="Arial" w:hAnsi="Arial" w:cs="Arial"/>
        </w:rPr>
        <w:t>an application</w:t>
      </w:r>
      <w:r w:rsidR="0029757D" w:rsidRPr="00394FA8">
        <w:rPr>
          <w:rFonts w:ascii="Arial" w:hAnsi="Arial" w:cs="Arial"/>
        </w:rPr>
        <w:t xml:space="preserve"> in terms of the Prevention</w:t>
      </w:r>
      <w:r w:rsidR="001A555E" w:rsidRPr="00394FA8">
        <w:rPr>
          <w:rFonts w:ascii="Arial" w:hAnsi="Arial" w:cs="Arial"/>
        </w:rPr>
        <w:t xml:space="preserve"> of Illegal Eviction from and Unlawful Occupation of Land Act, No. 19 of 1988 as amended (“the PIE Act”),</w:t>
      </w:r>
      <w:r w:rsidR="008A102F" w:rsidRPr="00394FA8">
        <w:rPr>
          <w:rFonts w:ascii="Arial" w:hAnsi="Arial" w:cs="Arial"/>
        </w:rPr>
        <w:t xml:space="preserve"> f</w:t>
      </w:r>
      <w:r w:rsidR="00176C4C" w:rsidRPr="00394FA8">
        <w:rPr>
          <w:rFonts w:ascii="Arial" w:hAnsi="Arial" w:cs="Arial"/>
        </w:rPr>
        <w:t>or</w:t>
      </w:r>
      <w:r w:rsidR="00B27DAA" w:rsidRPr="00394FA8">
        <w:rPr>
          <w:rFonts w:ascii="Arial" w:hAnsi="Arial" w:cs="Arial"/>
        </w:rPr>
        <w:t xml:space="preserve"> an</w:t>
      </w:r>
      <w:r w:rsidR="00176C4C" w:rsidRPr="00394FA8">
        <w:rPr>
          <w:rFonts w:ascii="Arial" w:hAnsi="Arial" w:cs="Arial"/>
        </w:rPr>
        <w:t xml:space="preserve"> </w:t>
      </w:r>
      <w:r w:rsidR="004A3C56" w:rsidRPr="00394FA8">
        <w:rPr>
          <w:rFonts w:ascii="Arial" w:hAnsi="Arial" w:cs="Arial"/>
        </w:rPr>
        <w:t>order</w:t>
      </w:r>
      <w:r w:rsidR="008A102F" w:rsidRPr="00394FA8">
        <w:rPr>
          <w:rFonts w:ascii="Arial" w:hAnsi="Arial" w:cs="Arial"/>
        </w:rPr>
        <w:t xml:space="preserve"> evicting the app</w:t>
      </w:r>
      <w:r w:rsidR="00503EAC" w:rsidRPr="00394FA8">
        <w:rPr>
          <w:rFonts w:ascii="Arial" w:hAnsi="Arial" w:cs="Arial"/>
        </w:rPr>
        <w:t>ellant,</w:t>
      </w:r>
      <w:r w:rsidR="004A3C56" w:rsidRPr="00394FA8">
        <w:rPr>
          <w:rFonts w:ascii="Arial" w:hAnsi="Arial" w:cs="Arial"/>
        </w:rPr>
        <w:t xml:space="preserve"> </w:t>
      </w:r>
      <w:r w:rsidR="00BC5B8F" w:rsidRPr="00394FA8">
        <w:rPr>
          <w:rFonts w:ascii="Arial" w:hAnsi="Arial" w:cs="Arial"/>
        </w:rPr>
        <w:t xml:space="preserve">Ms </w:t>
      </w:r>
      <w:r w:rsidR="007A7064" w:rsidRPr="00394FA8">
        <w:rPr>
          <w:rFonts w:ascii="Arial" w:hAnsi="Arial" w:cs="Arial"/>
        </w:rPr>
        <w:t>Acinah,</w:t>
      </w:r>
      <w:r w:rsidR="00BC5B8F" w:rsidRPr="00394FA8">
        <w:rPr>
          <w:rFonts w:ascii="Arial" w:hAnsi="Arial" w:cs="Arial"/>
        </w:rPr>
        <w:t xml:space="preserve"> a</w:t>
      </w:r>
      <w:r w:rsidR="00503EAC" w:rsidRPr="00394FA8">
        <w:rPr>
          <w:rFonts w:ascii="Arial" w:hAnsi="Arial" w:cs="Arial"/>
        </w:rPr>
        <w:t xml:space="preserve">nd </w:t>
      </w:r>
      <w:r w:rsidR="00111600" w:rsidRPr="00394FA8">
        <w:rPr>
          <w:rFonts w:ascii="Arial" w:hAnsi="Arial" w:cs="Arial"/>
        </w:rPr>
        <w:t xml:space="preserve">all </w:t>
      </w:r>
      <w:r w:rsidR="00503EAC" w:rsidRPr="00394FA8">
        <w:rPr>
          <w:rFonts w:ascii="Arial" w:hAnsi="Arial" w:cs="Arial"/>
        </w:rPr>
        <w:t xml:space="preserve">unknown occupiers </w:t>
      </w:r>
      <w:r w:rsidR="008F2E27" w:rsidRPr="00394FA8">
        <w:rPr>
          <w:rFonts w:ascii="Arial" w:hAnsi="Arial" w:cs="Arial"/>
        </w:rPr>
        <w:t>from the</w:t>
      </w:r>
      <w:r w:rsidR="008A102F" w:rsidRPr="00394FA8">
        <w:rPr>
          <w:rFonts w:ascii="Arial" w:hAnsi="Arial" w:cs="Arial"/>
        </w:rPr>
        <w:t xml:space="preserve"> property</w:t>
      </w:r>
      <w:r w:rsidR="006A0F75" w:rsidRPr="00394FA8">
        <w:rPr>
          <w:rFonts w:ascii="Arial" w:hAnsi="Arial" w:cs="Arial"/>
        </w:rPr>
        <w:t>.</w:t>
      </w:r>
      <w:r w:rsidR="00454544" w:rsidRPr="00394FA8">
        <w:rPr>
          <w:rFonts w:ascii="Arial" w:hAnsi="Arial" w:cs="Arial"/>
        </w:rPr>
        <w:t xml:space="preserve"> </w:t>
      </w:r>
      <w:r w:rsidR="005C7FA3" w:rsidRPr="00394FA8">
        <w:rPr>
          <w:rFonts w:ascii="Arial" w:hAnsi="Arial" w:cs="Arial"/>
        </w:rPr>
        <w:t xml:space="preserve">No relief was sought against the </w:t>
      </w:r>
      <w:r w:rsidR="007A7064" w:rsidRPr="00394FA8">
        <w:rPr>
          <w:rFonts w:ascii="Arial" w:hAnsi="Arial" w:cs="Arial"/>
        </w:rPr>
        <w:t>municipality,</w:t>
      </w:r>
      <w:r w:rsidR="005C7FA3" w:rsidRPr="00394FA8">
        <w:rPr>
          <w:rFonts w:ascii="Arial" w:hAnsi="Arial" w:cs="Arial"/>
        </w:rPr>
        <w:t xml:space="preserve"> and it was cited merely because of its potential interest in the matter. </w:t>
      </w:r>
    </w:p>
    <w:p w14:paraId="582A8C37" w14:textId="53631719" w:rsidR="009C7D5D" w:rsidRPr="00394FA8" w:rsidRDefault="00394FA8" w:rsidP="00394FA8">
      <w:pPr>
        <w:spacing w:after="480" w:line="360" w:lineRule="auto"/>
        <w:ind w:left="720" w:hanging="720"/>
        <w:jc w:val="both"/>
        <w:rPr>
          <w:rFonts w:ascii="Arial" w:hAnsi="Arial" w:cs="Arial"/>
        </w:rPr>
      </w:pPr>
      <w:r w:rsidRPr="00B73772">
        <w:rPr>
          <w:rFonts w:ascii="Arial" w:hAnsi="Arial" w:cs="Arial"/>
        </w:rPr>
        <w:t>[10]</w:t>
      </w:r>
      <w:r w:rsidRPr="00B73772">
        <w:rPr>
          <w:rFonts w:ascii="Arial" w:hAnsi="Arial" w:cs="Arial"/>
        </w:rPr>
        <w:tab/>
      </w:r>
      <w:r w:rsidR="00B73772" w:rsidRPr="00394FA8">
        <w:rPr>
          <w:rFonts w:ascii="Arial" w:hAnsi="Arial" w:cs="Arial"/>
        </w:rPr>
        <w:t xml:space="preserve">In terms of its 28 November 2019 order, the court </w:t>
      </w:r>
      <w:r w:rsidR="00B73772" w:rsidRPr="00394FA8">
        <w:rPr>
          <w:rFonts w:ascii="Arial" w:hAnsi="Arial" w:cs="Arial"/>
          <w:i/>
          <w:iCs/>
        </w:rPr>
        <w:t xml:space="preserve">a quo </w:t>
      </w:r>
      <w:r w:rsidR="000B1A0D" w:rsidRPr="00394FA8">
        <w:rPr>
          <w:rFonts w:ascii="Arial" w:hAnsi="Arial" w:cs="Arial"/>
        </w:rPr>
        <w:t xml:space="preserve">ordered </w:t>
      </w:r>
      <w:r w:rsidR="001B2FB6" w:rsidRPr="00394FA8">
        <w:rPr>
          <w:rFonts w:ascii="Arial" w:hAnsi="Arial" w:cs="Arial"/>
        </w:rPr>
        <w:t xml:space="preserve">the appellant, </w:t>
      </w:r>
      <w:r w:rsidR="002D16B7" w:rsidRPr="00394FA8">
        <w:rPr>
          <w:rFonts w:ascii="Arial" w:hAnsi="Arial" w:cs="Arial"/>
        </w:rPr>
        <w:t xml:space="preserve">Ms </w:t>
      </w:r>
      <w:r w:rsidR="001B2FB6" w:rsidRPr="00394FA8">
        <w:rPr>
          <w:rFonts w:ascii="Arial" w:hAnsi="Arial" w:cs="Arial"/>
        </w:rPr>
        <w:t>Acinah</w:t>
      </w:r>
      <w:r w:rsidR="003A6F88" w:rsidRPr="00394FA8">
        <w:rPr>
          <w:rFonts w:ascii="Arial" w:hAnsi="Arial" w:cs="Arial"/>
        </w:rPr>
        <w:t xml:space="preserve"> </w:t>
      </w:r>
      <w:r w:rsidR="008A102F" w:rsidRPr="00394FA8">
        <w:rPr>
          <w:rFonts w:ascii="Arial" w:hAnsi="Arial" w:cs="Arial"/>
        </w:rPr>
        <w:t xml:space="preserve">and all those </w:t>
      </w:r>
      <w:r w:rsidR="001B2FB6" w:rsidRPr="00394FA8">
        <w:rPr>
          <w:rFonts w:ascii="Arial" w:hAnsi="Arial" w:cs="Arial"/>
        </w:rPr>
        <w:t>occupying</w:t>
      </w:r>
      <w:r w:rsidR="008A102F" w:rsidRPr="00394FA8">
        <w:rPr>
          <w:rFonts w:ascii="Arial" w:hAnsi="Arial" w:cs="Arial"/>
        </w:rPr>
        <w:t xml:space="preserve"> </w:t>
      </w:r>
      <w:r w:rsidR="000B1A0D" w:rsidRPr="00394FA8">
        <w:rPr>
          <w:rFonts w:ascii="Arial" w:hAnsi="Arial" w:cs="Arial"/>
        </w:rPr>
        <w:t xml:space="preserve">through </w:t>
      </w:r>
      <w:r w:rsidR="008A102F" w:rsidRPr="00394FA8">
        <w:rPr>
          <w:rFonts w:ascii="Arial" w:hAnsi="Arial" w:cs="Arial"/>
        </w:rPr>
        <w:t>them</w:t>
      </w:r>
      <w:r w:rsidR="005C7FA3" w:rsidRPr="00394FA8">
        <w:rPr>
          <w:rFonts w:ascii="Arial" w:hAnsi="Arial" w:cs="Arial"/>
        </w:rPr>
        <w:t>,</w:t>
      </w:r>
      <w:r w:rsidR="008A102F" w:rsidRPr="00394FA8">
        <w:rPr>
          <w:rFonts w:ascii="Arial" w:hAnsi="Arial" w:cs="Arial"/>
        </w:rPr>
        <w:t xml:space="preserve"> </w:t>
      </w:r>
      <w:r w:rsidR="00661BA6" w:rsidRPr="00394FA8">
        <w:rPr>
          <w:rFonts w:ascii="Arial" w:hAnsi="Arial" w:cs="Arial"/>
        </w:rPr>
        <w:t xml:space="preserve">to </w:t>
      </w:r>
      <w:r w:rsidR="000B1A0D" w:rsidRPr="00394FA8">
        <w:rPr>
          <w:rFonts w:ascii="Arial" w:hAnsi="Arial" w:cs="Arial"/>
        </w:rPr>
        <w:t xml:space="preserve">vacate the </w:t>
      </w:r>
      <w:r w:rsidR="00271855" w:rsidRPr="00394FA8">
        <w:rPr>
          <w:rFonts w:ascii="Arial" w:hAnsi="Arial" w:cs="Arial"/>
        </w:rPr>
        <w:t>property by no later than 28 February 2020</w:t>
      </w:r>
      <w:r w:rsidR="008A102F" w:rsidRPr="00394FA8">
        <w:rPr>
          <w:rFonts w:ascii="Arial" w:hAnsi="Arial" w:cs="Arial"/>
        </w:rPr>
        <w:t xml:space="preserve">, and </w:t>
      </w:r>
      <w:r w:rsidR="00A830AB" w:rsidRPr="00394FA8">
        <w:rPr>
          <w:rFonts w:ascii="Arial" w:hAnsi="Arial" w:cs="Arial"/>
        </w:rPr>
        <w:t xml:space="preserve">that </w:t>
      </w:r>
      <w:r w:rsidR="000B1A0D" w:rsidRPr="00394FA8">
        <w:rPr>
          <w:rFonts w:ascii="Arial" w:hAnsi="Arial" w:cs="Arial"/>
        </w:rPr>
        <w:t xml:space="preserve">if </w:t>
      </w:r>
      <w:r w:rsidR="008A102F" w:rsidRPr="00394FA8">
        <w:rPr>
          <w:rFonts w:ascii="Arial" w:hAnsi="Arial" w:cs="Arial"/>
        </w:rPr>
        <w:t>the</w:t>
      </w:r>
      <w:r w:rsidR="00A830AB" w:rsidRPr="00394FA8">
        <w:rPr>
          <w:rFonts w:ascii="Arial" w:hAnsi="Arial" w:cs="Arial"/>
        </w:rPr>
        <w:t xml:space="preserve">y </w:t>
      </w:r>
      <w:r w:rsidR="000B1A0D" w:rsidRPr="00394FA8">
        <w:rPr>
          <w:rFonts w:ascii="Arial" w:hAnsi="Arial" w:cs="Arial"/>
        </w:rPr>
        <w:t>did not vacate</w:t>
      </w:r>
      <w:r w:rsidR="00271855" w:rsidRPr="00394FA8">
        <w:rPr>
          <w:rFonts w:ascii="Arial" w:hAnsi="Arial" w:cs="Arial"/>
        </w:rPr>
        <w:t xml:space="preserve"> the property by </w:t>
      </w:r>
      <w:r w:rsidR="00B73772" w:rsidRPr="00394FA8">
        <w:rPr>
          <w:rFonts w:ascii="Arial" w:hAnsi="Arial" w:cs="Arial"/>
        </w:rPr>
        <w:t xml:space="preserve">that date that </w:t>
      </w:r>
      <w:r w:rsidR="008A102F" w:rsidRPr="00394FA8">
        <w:rPr>
          <w:rFonts w:ascii="Arial" w:hAnsi="Arial" w:cs="Arial"/>
        </w:rPr>
        <w:t xml:space="preserve">the Sheriff was authorised to evict them </w:t>
      </w:r>
      <w:r w:rsidR="00271855" w:rsidRPr="00394FA8">
        <w:rPr>
          <w:rFonts w:ascii="Arial" w:hAnsi="Arial" w:cs="Arial"/>
        </w:rPr>
        <w:t>on 30 March 2020</w:t>
      </w:r>
      <w:r w:rsidR="008A102F" w:rsidRPr="00394FA8">
        <w:rPr>
          <w:rFonts w:ascii="Arial" w:hAnsi="Arial" w:cs="Arial"/>
        </w:rPr>
        <w:t>. The app</w:t>
      </w:r>
      <w:r w:rsidR="00D716EF" w:rsidRPr="00394FA8">
        <w:rPr>
          <w:rFonts w:ascii="Arial" w:hAnsi="Arial" w:cs="Arial"/>
        </w:rPr>
        <w:t>ellant was</w:t>
      </w:r>
      <w:r w:rsidR="000B1A0D" w:rsidRPr="00394FA8">
        <w:rPr>
          <w:rFonts w:ascii="Arial" w:hAnsi="Arial" w:cs="Arial"/>
        </w:rPr>
        <w:t xml:space="preserve"> also </w:t>
      </w:r>
      <w:r w:rsidR="008A102F" w:rsidRPr="00394FA8">
        <w:rPr>
          <w:rFonts w:ascii="Arial" w:hAnsi="Arial" w:cs="Arial"/>
        </w:rPr>
        <w:t xml:space="preserve">ordered to pay the costs of </w:t>
      </w:r>
      <w:r w:rsidR="000B1A0D" w:rsidRPr="00394FA8">
        <w:rPr>
          <w:rFonts w:ascii="Arial" w:hAnsi="Arial" w:cs="Arial"/>
        </w:rPr>
        <w:t>the</w:t>
      </w:r>
      <w:r w:rsidR="00B73772" w:rsidRPr="00394FA8">
        <w:rPr>
          <w:rFonts w:ascii="Arial" w:hAnsi="Arial" w:cs="Arial"/>
        </w:rPr>
        <w:t xml:space="preserve"> </w:t>
      </w:r>
      <w:r w:rsidR="000B1A0D" w:rsidRPr="00394FA8">
        <w:rPr>
          <w:rFonts w:ascii="Arial" w:hAnsi="Arial" w:cs="Arial"/>
        </w:rPr>
        <w:t>application</w:t>
      </w:r>
      <w:r w:rsidR="00D716EF" w:rsidRPr="00394FA8">
        <w:rPr>
          <w:rFonts w:ascii="Arial" w:hAnsi="Arial" w:cs="Arial"/>
        </w:rPr>
        <w:t xml:space="preserve"> on an attorney and own client scale</w:t>
      </w:r>
      <w:r w:rsidR="008A102F" w:rsidRPr="00394FA8">
        <w:rPr>
          <w:rFonts w:ascii="Arial" w:hAnsi="Arial" w:cs="Arial"/>
        </w:rPr>
        <w:t>.</w:t>
      </w:r>
      <w:r w:rsidR="009C7D5D" w:rsidRPr="00394FA8">
        <w:rPr>
          <w:rFonts w:ascii="Arial" w:hAnsi="Arial" w:cs="Arial"/>
        </w:rPr>
        <w:t xml:space="preserve"> The appellant is appealing against th</w:t>
      </w:r>
      <w:r w:rsidR="00A830AB" w:rsidRPr="00394FA8">
        <w:rPr>
          <w:rFonts w:ascii="Arial" w:hAnsi="Arial" w:cs="Arial"/>
        </w:rPr>
        <w:t xml:space="preserve">ese </w:t>
      </w:r>
      <w:r w:rsidR="009C7D5D" w:rsidRPr="00394FA8">
        <w:rPr>
          <w:rFonts w:ascii="Arial" w:hAnsi="Arial" w:cs="Arial"/>
        </w:rPr>
        <w:t>order</w:t>
      </w:r>
      <w:r w:rsidR="00A830AB" w:rsidRPr="00394FA8">
        <w:rPr>
          <w:rFonts w:ascii="Arial" w:hAnsi="Arial" w:cs="Arial"/>
        </w:rPr>
        <w:t>s.</w:t>
      </w:r>
    </w:p>
    <w:p w14:paraId="47874CF7" w14:textId="6C269AB2" w:rsidR="005C7FA3" w:rsidRPr="00394FA8" w:rsidRDefault="00394FA8" w:rsidP="00394FA8">
      <w:pPr>
        <w:spacing w:after="480" w:line="360" w:lineRule="auto"/>
        <w:ind w:left="720" w:hanging="720"/>
        <w:jc w:val="both"/>
        <w:rPr>
          <w:rFonts w:ascii="Arial" w:hAnsi="Arial" w:cs="Arial"/>
        </w:rPr>
      </w:pPr>
      <w:r w:rsidRPr="00DB4007">
        <w:rPr>
          <w:rFonts w:ascii="Arial" w:hAnsi="Arial" w:cs="Arial"/>
        </w:rPr>
        <w:t>[11]</w:t>
      </w:r>
      <w:r w:rsidRPr="00DB4007">
        <w:rPr>
          <w:rFonts w:ascii="Arial" w:hAnsi="Arial" w:cs="Arial"/>
        </w:rPr>
        <w:tab/>
      </w:r>
      <w:r w:rsidR="009463F6" w:rsidRPr="00394FA8">
        <w:rPr>
          <w:rFonts w:ascii="Arial" w:hAnsi="Arial" w:cs="Arial"/>
        </w:rPr>
        <w:t xml:space="preserve">After all the affidavits in the application had been exchanged, </w:t>
      </w:r>
      <w:r w:rsidR="00DA3B7B" w:rsidRPr="00394FA8">
        <w:rPr>
          <w:rFonts w:ascii="Arial" w:hAnsi="Arial" w:cs="Arial"/>
        </w:rPr>
        <w:t xml:space="preserve">a judicial pre-trial </w:t>
      </w:r>
      <w:r w:rsidR="005C6533" w:rsidRPr="00394FA8">
        <w:rPr>
          <w:rFonts w:ascii="Arial" w:hAnsi="Arial" w:cs="Arial"/>
        </w:rPr>
        <w:t xml:space="preserve">conference </w:t>
      </w:r>
      <w:r w:rsidR="00DA3B7B" w:rsidRPr="00394FA8">
        <w:rPr>
          <w:rFonts w:ascii="Arial" w:hAnsi="Arial" w:cs="Arial"/>
        </w:rPr>
        <w:t xml:space="preserve">was </w:t>
      </w:r>
      <w:r w:rsidR="009463F6" w:rsidRPr="00394FA8">
        <w:rPr>
          <w:rFonts w:ascii="Arial" w:hAnsi="Arial" w:cs="Arial"/>
        </w:rPr>
        <w:t xml:space="preserve">convened </w:t>
      </w:r>
      <w:r w:rsidR="00222138" w:rsidRPr="00394FA8">
        <w:rPr>
          <w:rFonts w:ascii="Arial" w:hAnsi="Arial" w:cs="Arial"/>
        </w:rPr>
        <w:t>on 23 May 2019</w:t>
      </w:r>
      <w:r w:rsidR="002D16B7" w:rsidRPr="00394FA8">
        <w:rPr>
          <w:rFonts w:ascii="Arial" w:hAnsi="Arial" w:cs="Arial"/>
        </w:rPr>
        <w:t xml:space="preserve">. Pursuant thereto </w:t>
      </w:r>
      <w:r w:rsidR="00DA3B7B" w:rsidRPr="00394FA8">
        <w:rPr>
          <w:rFonts w:ascii="Arial" w:hAnsi="Arial" w:cs="Arial"/>
        </w:rPr>
        <w:t>the parties were directed to file supplementary affidavits addressing three issues</w:t>
      </w:r>
      <w:r w:rsidR="004A5569" w:rsidRPr="00394FA8">
        <w:rPr>
          <w:rFonts w:ascii="Arial" w:hAnsi="Arial" w:cs="Arial"/>
        </w:rPr>
        <w:t xml:space="preserve">: </w:t>
      </w:r>
      <w:r w:rsidR="009463F6" w:rsidRPr="00394FA8">
        <w:rPr>
          <w:rFonts w:ascii="Arial" w:hAnsi="Arial" w:cs="Arial"/>
        </w:rPr>
        <w:t xml:space="preserve">(1) the </w:t>
      </w:r>
      <w:r w:rsidR="00222138" w:rsidRPr="00394FA8">
        <w:rPr>
          <w:rFonts w:ascii="Arial" w:hAnsi="Arial" w:cs="Arial"/>
        </w:rPr>
        <w:t xml:space="preserve">date of occupation of the property by the appellant and </w:t>
      </w:r>
      <w:r w:rsidR="004A5569" w:rsidRPr="00394FA8">
        <w:rPr>
          <w:rFonts w:ascii="Arial" w:hAnsi="Arial" w:cs="Arial"/>
        </w:rPr>
        <w:t xml:space="preserve">Ms Acinah; </w:t>
      </w:r>
      <w:r w:rsidR="009463F6" w:rsidRPr="00394FA8">
        <w:rPr>
          <w:rFonts w:ascii="Arial" w:hAnsi="Arial" w:cs="Arial"/>
        </w:rPr>
        <w:t xml:space="preserve">(2) </w:t>
      </w:r>
      <w:r w:rsidR="00222138" w:rsidRPr="00394FA8">
        <w:rPr>
          <w:rFonts w:ascii="Arial" w:hAnsi="Arial" w:cs="Arial"/>
        </w:rPr>
        <w:t xml:space="preserve">where the deceased </w:t>
      </w:r>
      <w:r w:rsidR="009463F6" w:rsidRPr="00394FA8">
        <w:rPr>
          <w:rFonts w:ascii="Arial" w:hAnsi="Arial" w:cs="Arial"/>
        </w:rPr>
        <w:t xml:space="preserve">was </w:t>
      </w:r>
      <w:r w:rsidR="00222138" w:rsidRPr="00394FA8">
        <w:rPr>
          <w:rFonts w:ascii="Arial" w:hAnsi="Arial" w:cs="Arial"/>
        </w:rPr>
        <w:t xml:space="preserve">residing after the alleged sale from 2002 </w:t>
      </w:r>
      <w:r w:rsidR="009463F6" w:rsidRPr="00394FA8">
        <w:rPr>
          <w:rFonts w:ascii="Arial" w:hAnsi="Arial" w:cs="Arial"/>
        </w:rPr>
        <w:t>un</w:t>
      </w:r>
      <w:r w:rsidR="00222138" w:rsidRPr="00394FA8">
        <w:rPr>
          <w:rFonts w:ascii="Arial" w:hAnsi="Arial" w:cs="Arial"/>
        </w:rPr>
        <w:t xml:space="preserve">til </w:t>
      </w:r>
      <w:r w:rsidR="009463F6" w:rsidRPr="00394FA8">
        <w:rPr>
          <w:rFonts w:ascii="Arial" w:hAnsi="Arial" w:cs="Arial"/>
        </w:rPr>
        <w:t>his death</w:t>
      </w:r>
      <w:r w:rsidR="00222138" w:rsidRPr="00394FA8">
        <w:rPr>
          <w:rFonts w:ascii="Arial" w:hAnsi="Arial" w:cs="Arial"/>
        </w:rPr>
        <w:t xml:space="preserve">; </w:t>
      </w:r>
      <w:r w:rsidR="009463F6" w:rsidRPr="00394FA8">
        <w:rPr>
          <w:rFonts w:ascii="Arial" w:hAnsi="Arial" w:cs="Arial"/>
        </w:rPr>
        <w:t>(3) t</w:t>
      </w:r>
      <w:r w:rsidR="00222138" w:rsidRPr="00394FA8">
        <w:rPr>
          <w:rFonts w:ascii="Arial" w:hAnsi="Arial" w:cs="Arial"/>
        </w:rPr>
        <w:t xml:space="preserve">he </w:t>
      </w:r>
      <w:r w:rsidR="009463F6" w:rsidRPr="00394FA8">
        <w:rPr>
          <w:rFonts w:ascii="Arial" w:hAnsi="Arial" w:cs="Arial"/>
        </w:rPr>
        <w:t xml:space="preserve">improvements to the property which were allegedly made by the appellant and whether they were made whilst </w:t>
      </w:r>
      <w:r w:rsidR="00222138" w:rsidRPr="00394FA8">
        <w:rPr>
          <w:rFonts w:ascii="Arial" w:hAnsi="Arial" w:cs="Arial"/>
        </w:rPr>
        <w:t xml:space="preserve">the deceased was still alive. </w:t>
      </w:r>
    </w:p>
    <w:p w14:paraId="6028ECCE" w14:textId="5C0FA21F" w:rsidR="001047D9" w:rsidRPr="00394FA8" w:rsidRDefault="00394FA8" w:rsidP="00394FA8">
      <w:pPr>
        <w:spacing w:after="480" w:line="360" w:lineRule="auto"/>
        <w:ind w:left="720" w:hanging="720"/>
        <w:jc w:val="both"/>
        <w:rPr>
          <w:rFonts w:ascii="Arial" w:hAnsi="Arial" w:cs="Arial"/>
        </w:rPr>
      </w:pPr>
      <w:r w:rsidRPr="00876CA5">
        <w:rPr>
          <w:rFonts w:ascii="Arial" w:hAnsi="Arial" w:cs="Arial"/>
        </w:rPr>
        <w:t>[12]</w:t>
      </w:r>
      <w:r w:rsidRPr="00876CA5">
        <w:rPr>
          <w:rFonts w:ascii="Arial" w:hAnsi="Arial" w:cs="Arial"/>
        </w:rPr>
        <w:tab/>
      </w:r>
      <w:r w:rsidR="00944C30" w:rsidRPr="00394FA8">
        <w:rPr>
          <w:rFonts w:ascii="Arial" w:hAnsi="Arial" w:cs="Arial"/>
        </w:rPr>
        <w:t xml:space="preserve">The first respondent filed a supplementary affidavit as directed. The appellant </w:t>
      </w:r>
      <w:r w:rsidR="009463F6" w:rsidRPr="00394FA8">
        <w:rPr>
          <w:rFonts w:ascii="Arial" w:hAnsi="Arial" w:cs="Arial"/>
        </w:rPr>
        <w:t xml:space="preserve">also </w:t>
      </w:r>
      <w:r w:rsidR="00944C30" w:rsidRPr="00394FA8">
        <w:rPr>
          <w:rFonts w:ascii="Arial" w:hAnsi="Arial" w:cs="Arial"/>
        </w:rPr>
        <w:t xml:space="preserve">filed </w:t>
      </w:r>
      <w:r w:rsidR="009463F6" w:rsidRPr="00394FA8">
        <w:rPr>
          <w:rFonts w:ascii="Arial" w:hAnsi="Arial" w:cs="Arial"/>
        </w:rPr>
        <w:t>a</w:t>
      </w:r>
      <w:r w:rsidR="00944C30" w:rsidRPr="00394FA8">
        <w:rPr>
          <w:rFonts w:ascii="Arial" w:hAnsi="Arial" w:cs="Arial"/>
        </w:rPr>
        <w:t xml:space="preserve"> supplementary affidavit </w:t>
      </w:r>
      <w:r w:rsidR="009463F6" w:rsidRPr="00394FA8">
        <w:rPr>
          <w:rFonts w:ascii="Arial" w:hAnsi="Arial" w:cs="Arial"/>
        </w:rPr>
        <w:t xml:space="preserve">in which he </w:t>
      </w:r>
      <w:r w:rsidR="00944C30" w:rsidRPr="00394FA8">
        <w:rPr>
          <w:rFonts w:ascii="Arial" w:hAnsi="Arial" w:cs="Arial"/>
        </w:rPr>
        <w:t>attach</w:t>
      </w:r>
      <w:r w:rsidR="009463F6" w:rsidRPr="00394FA8">
        <w:rPr>
          <w:rFonts w:ascii="Arial" w:hAnsi="Arial" w:cs="Arial"/>
        </w:rPr>
        <w:t>ed</w:t>
      </w:r>
      <w:r w:rsidR="00944C30" w:rsidRPr="00394FA8">
        <w:rPr>
          <w:rFonts w:ascii="Arial" w:hAnsi="Arial" w:cs="Arial"/>
        </w:rPr>
        <w:t xml:space="preserve"> a valuation certificate</w:t>
      </w:r>
      <w:r w:rsidR="00A34847" w:rsidRPr="00394FA8">
        <w:rPr>
          <w:rFonts w:ascii="Arial" w:hAnsi="Arial" w:cs="Arial"/>
        </w:rPr>
        <w:t xml:space="preserve"> for the property</w:t>
      </w:r>
      <w:r w:rsidR="00944C30" w:rsidRPr="00394FA8">
        <w:rPr>
          <w:rFonts w:ascii="Arial" w:hAnsi="Arial" w:cs="Arial"/>
        </w:rPr>
        <w:t xml:space="preserve"> prepared by </w:t>
      </w:r>
      <w:r w:rsidR="009463F6" w:rsidRPr="00394FA8">
        <w:rPr>
          <w:rFonts w:ascii="Arial" w:hAnsi="Arial" w:cs="Arial"/>
        </w:rPr>
        <w:t xml:space="preserve">one </w:t>
      </w:r>
      <w:r w:rsidR="00944C30" w:rsidRPr="00394FA8">
        <w:rPr>
          <w:rFonts w:ascii="Arial" w:hAnsi="Arial" w:cs="Arial"/>
        </w:rPr>
        <w:t>Peter Mabelan</w:t>
      </w:r>
      <w:r w:rsidR="00A34847" w:rsidRPr="00394FA8">
        <w:rPr>
          <w:rFonts w:ascii="Arial" w:hAnsi="Arial" w:cs="Arial"/>
        </w:rPr>
        <w:t>e</w:t>
      </w:r>
      <w:r w:rsidR="009463F6" w:rsidRPr="00394FA8">
        <w:rPr>
          <w:rFonts w:ascii="Arial" w:hAnsi="Arial" w:cs="Arial"/>
        </w:rPr>
        <w:t xml:space="preserve"> </w:t>
      </w:r>
      <w:r w:rsidR="00A34847" w:rsidRPr="00394FA8">
        <w:rPr>
          <w:rFonts w:ascii="Arial" w:hAnsi="Arial" w:cs="Arial"/>
        </w:rPr>
        <w:t xml:space="preserve">and a copy of </w:t>
      </w:r>
      <w:r w:rsidR="009463F6" w:rsidRPr="00394FA8">
        <w:rPr>
          <w:rFonts w:ascii="Arial" w:hAnsi="Arial" w:cs="Arial"/>
        </w:rPr>
        <w:t>a</w:t>
      </w:r>
      <w:r w:rsidR="00A34847" w:rsidRPr="00394FA8">
        <w:rPr>
          <w:rFonts w:ascii="Arial" w:hAnsi="Arial" w:cs="Arial"/>
        </w:rPr>
        <w:t xml:space="preserve"> letter from </w:t>
      </w:r>
      <w:r w:rsidR="009463F6" w:rsidRPr="00394FA8">
        <w:rPr>
          <w:rFonts w:ascii="Arial" w:hAnsi="Arial" w:cs="Arial"/>
        </w:rPr>
        <w:t xml:space="preserve">the </w:t>
      </w:r>
      <w:r w:rsidR="00A34847" w:rsidRPr="00394FA8">
        <w:rPr>
          <w:rFonts w:ascii="Arial" w:hAnsi="Arial" w:cs="Arial"/>
        </w:rPr>
        <w:t>Legal Practice Council confirming that attorney Mmoleli Mosala was struck from the roll of attorneys on 4 September 2015.</w:t>
      </w:r>
      <w:r w:rsidR="00CD2390" w:rsidRPr="00394FA8">
        <w:rPr>
          <w:rFonts w:ascii="Arial" w:hAnsi="Arial" w:cs="Arial"/>
        </w:rPr>
        <w:t xml:space="preserve"> </w:t>
      </w:r>
    </w:p>
    <w:p w14:paraId="441F8900" w14:textId="37954892" w:rsidR="00A8052B" w:rsidRPr="00394FA8" w:rsidRDefault="00394FA8" w:rsidP="00394FA8">
      <w:pPr>
        <w:spacing w:after="480" w:line="360" w:lineRule="auto"/>
        <w:ind w:left="720" w:hanging="720"/>
        <w:jc w:val="both"/>
        <w:rPr>
          <w:rFonts w:ascii="Arial" w:hAnsi="Arial" w:cs="Arial"/>
        </w:rPr>
      </w:pPr>
      <w:r w:rsidRPr="00876CA5">
        <w:rPr>
          <w:rFonts w:ascii="Arial" w:hAnsi="Arial" w:cs="Arial"/>
        </w:rPr>
        <w:t>[13]</w:t>
      </w:r>
      <w:r w:rsidRPr="00876CA5">
        <w:rPr>
          <w:rFonts w:ascii="Arial" w:hAnsi="Arial" w:cs="Arial"/>
        </w:rPr>
        <w:tab/>
      </w:r>
      <w:r w:rsidR="00CD2390" w:rsidRPr="00394FA8">
        <w:rPr>
          <w:rFonts w:ascii="Arial" w:hAnsi="Arial" w:cs="Arial"/>
        </w:rPr>
        <w:t xml:space="preserve">The appellant </w:t>
      </w:r>
      <w:r w:rsidR="009463F6" w:rsidRPr="00394FA8">
        <w:rPr>
          <w:rFonts w:ascii="Arial" w:hAnsi="Arial" w:cs="Arial"/>
        </w:rPr>
        <w:t xml:space="preserve">then </w:t>
      </w:r>
      <w:r w:rsidR="00CD2390" w:rsidRPr="00394FA8">
        <w:rPr>
          <w:rFonts w:ascii="Arial" w:hAnsi="Arial" w:cs="Arial"/>
        </w:rPr>
        <w:t>appli</w:t>
      </w:r>
      <w:r w:rsidR="009463F6" w:rsidRPr="00394FA8">
        <w:rPr>
          <w:rFonts w:ascii="Arial" w:hAnsi="Arial" w:cs="Arial"/>
        </w:rPr>
        <w:t xml:space="preserve">ed </w:t>
      </w:r>
      <w:r w:rsidR="00CD2390" w:rsidRPr="00394FA8">
        <w:rPr>
          <w:rFonts w:ascii="Arial" w:hAnsi="Arial" w:cs="Arial"/>
        </w:rPr>
        <w:t xml:space="preserve">in the court </w:t>
      </w:r>
      <w:r w:rsidR="00CD2390" w:rsidRPr="00394FA8">
        <w:rPr>
          <w:rFonts w:ascii="Arial" w:hAnsi="Arial" w:cs="Arial"/>
          <w:i/>
          <w:iCs/>
        </w:rPr>
        <w:t>a quo</w:t>
      </w:r>
      <w:r w:rsidR="00CD2390" w:rsidRPr="00394FA8">
        <w:rPr>
          <w:rFonts w:ascii="Arial" w:hAnsi="Arial" w:cs="Arial"/>
        </w:rPr>
        <w:t xml:space="preserve"> for </w:t>
      </w:r>
      <w:r w:rsidR="009463F6" w:rsidRPr="00394FA8">
        <w:rPr>
          <w:rFonts w:ascii="Arial" w:hAnsi="Arial" w:cs="Arial"/>
        </w:rPr>
        <w:t>the application to be referred</w:t>
      </w:r>
      <w:r w:rsidR="00AB375F" w:rsidRPr="00394FA8">
        <w:rPr>
          <w:rFonts w:ascii="Arial" w:hAnsi="Arial" w:cs="Arial"/>
        </w:rPr>
        <w:t xml:space="preserve"> to oral evidence</w:t>
      </w:r>
      <w:r w:rsidR="009463F6" w:rsidRPr="00394FA8">
        <w:rPr>
          <w:rFonts w:ascii="Arial" w:hAnsi="Arial" w:cs="Arial"/>
        </w:rPr>
        <w:t xml:space="preserve">. This application </w:t>
      </w:r>
      <w:r w:rsidR="005F4F4A" w:rsidRPr="00394FA8">
        <w:rPr>
          <w:rFonts w:ascii="Arial" w:hAnsi="Arial" w:cs="Arial"/>
        </w:rPr>
        <w:t>was granted.</w:t>
      </w:r>
      <w:r w:rsidR="00A2566B" w:rsidRPr="00394FA8">
        <w:rPr>
          <w:rFonts w:ascii="Arial" w:hAnsi="Arial" w:cs="Arial"/>
        </w:rPr>
        <w:t xml:space="preserve"> Two issues </w:t>
      </w:r>
      <w:r w:rsidR="009463F6" w:rsidRPr="00394FA8">
        <w:rPr>
          <w:rFonts w:ascii="Arial" w:hAnsi="Arial" w:cs="Arial"/>
        </w:rPr>
        <w:t xml:space="preserve">were </w:t>
      </w:r>
      <w:r w:rsidR="00A2566B" w:rsidRPr="00394FA8">
        <w:rPr>
          <w:rFonts w:ascii="Arial" w:hAnsi="Arial" w:cs="Arial"/>
        </w:rPr>
        <w:t>referred to oral evidence</w:t>
      </w:r>
      <w:r w:rsidR="009463F6" w:rsidRPr="00394FA8">
        <w:rPr>
          <w:rFonts w:ascii="Arial" w:hAnsi="Arial" w:cs="Arial"/>
        </w:rPr>
        <w:t xml:space="preserve">: (1) </w:t>
      </w:r>
      <w:r w:rsidR="0020799C" w:rsidRPr="00394FA8">
        <w:rPr>
          <w:rFonts w:ascii="Arial" w:hAnsi="Arial" w:cs="Arial"/>
        </w:rPr>
        <w:t xml:space="preserve">the existence of </w:t>
      </w:r>
      <w:r w:rsidR="009463F6" w:rsidRPr="00394FA8">
        <w:rPr>
          <w:rFonts w:ascii="Arial" w:hAnsi="Arial" w:cs="Arial"/>
        </w:rPr>
        <w:t xml:space="preserve">a </w:t>
      </w:r>
      <w:r w:rsidR="0020799C" w:rsidRPr="00394FA8">
        <w:rPr>
          <w:rFonts w:ascii="Arial" w:hAnsi="Arial" w:cs="Arial"/>
        </w:rPr>
        <w:t>deed of sale</w:t>
      </w:r>
      <w:r w:rsidR="009463F6" w:rsidRPr="00394FA8">
        <w:rPr>
          <w:rFonts w:ascii="Arial" w:hAnsi="Arial" w:cs="Arial"/>
        </w:rPr>
        <w:t xml:space="preserve"> purportedly concluded between the appellant and the d</w:t>
      </w:r>
      <w:r w:rsidR="00D62841" w:rsidRPr="00394FA8">
        <w:rPr>
          <w:rFonts w:ascii="Arial" w:hAnsi="Arial" w:cs="Arial"/>
        </w:rPr>
        <w:t>e</w:t>
      </w:r>
      <w:r w:rsidR="009463F6" w:rsidRPr="00394FA8">
        <w:rPr>
          <w:rFonts w:ascii="Arial" w:hAnsi="Arial" w:cs="Arial"/>
        </w:rPr>
        <w:t>ceased</w:t>
      </w:r>
      <w:r w:rsidR="004A5569" w:rsidRPr="00394FA8">
        <w:rPr>
          <w:rFonts w:ascii="Arial" w:hAnsi="Arial" w:cs="Arial"/>
        </w:rPr>
        <w:t xml:space="preserve"> in terms of which the deceased sold the property to the appellant</w:t>
      </w:r>
      <w:r w:rsidR="0020799C" w:rsidRPr="00394FA8">
        <w:rPr>
          <w:rFonts w:ascii="Arial" w:hAnsi="Arial" w:cs="Arial"/>
        </w:rPr>
        <w:t xml:space="preserve">, and </w:t>
      </w:r>
      <w:r w:rsidR="009463F6" w:rsidRPr="00394FA8">
        <w:rPr>
          <w:rFonts w:ascii="Arial" w:hAnsi="Arial" w:cs="Arial"/>
        </w:rPr>
        <w:t xml:space="preserve">(2) </w:t>
      </w:r>
      <w:r w:rsidR="0020799C" w:rsidRPr="00394FA8">
        <w:rPr>
          <w:rFonts w:ascii="Arial" w:hAnsi="Arial" w:cs="Arial"/>
        </w:rPr>
        <w:t>improvements made to the property</w:t>
      </w:r>
      <w:r w:rsidR="009463F6" w:rsidRPr="00394FA8">
        <w:rPr>
          <w:rFonts w:ascii="Arial" w:hAnsi="Arial" w:cs="Arial"/>
        </w:rPr>
        <w:t xml:space="preserve"> by the appellant</w:t>
      </w:r>
      <w:r w:rsidR="0020799C" w:rsidRPr="00394FA8">
        <w:rPr>
          <w:rFonts w:ascii="Arial" w:hAnsi="Arial" w:cs="Arial"/>
        </w:rPr>
        <w:t xml:space="preserve">. </w:t>
      </w:r>
      <w:r w:rsidR="008C773A" w:rsidRPr="00394FA8">
        <w:rPr>
          <w:rFonts w:ascii="Arial" w:hAnsi="Arial" w:cs="Arial"/>
        </w:rPr>
        <w:t>T</w:t>
      </w:r>
      <w:r w:rsidR="009E1FBC" w:rsidRPr="00394FA8">
        <w:rPr>
          <w:rFonts w:ascii="Arial" w:hAnsi="Arial" w:cs="Arial"/>
        </w:rPr>
        <w:t>he first respondent and the deceased’s brother, Daniel Tshepo M</w:t>
      </w:r>
      <w:r w:rsidR="00207146" w:rsidRPr="00394FA8">
        <w:rPr>
          <w:rFonts w:ascii="Arial" w:hAnsi="Arial" w:cs="Arial"/>
        </w:rPr>
        <w:t>othabane</w:t>
      </w:r>
      <w:r w:rsidR="009463F6" w:rsidRPr="00394FA8">
        <w:rPr>
          <w:rFonts w:ascii="Arial" w:hAnsi="Arial" w:cs="Arial"/>
        </w:rPr>
        <w:t>,</w:t>
      </w:r>
      <w:r w:rsidR="00207146" w:rsidRPr="00394FA8">
        <w:rPr>
          <w:rFonts w:ascii="Arial" w:hAnsi="Arial" w:cs="Arial"/>
        </w:rPr>
        <w:t xml:space="preserve"> testified </w:t>
      </w:r>
      <w:r w:rsidR="005C7FA3" w:rsidRPr="00394FA8">
        <w:rPr>
          <w:rFonts w:ascii="Arial" w:hAnsi="Arial" w:cs="Arial"/>
        </w:rPr>
        <w:t xml:space="preserve">for the </w:t>
      </w:r>
      <w:r w:rsidR="009E1FBC" w:rsidRPr="00394FA8">
        <w:rPr>
          <w:rFonts w:ascii="Arial" w:hAnsi="Arial" w:cs="Arial"/>
        </w:rPr>
        <w:t>first respondent</w:t>
      </w:r>
      <w:r w:rsidR="005C7FA3" w:rsidRPr="00394FA8">
        <w:rPr>
          <w:rFonts w:ascii="Arial" w:hAnsi="Arial" w:cs="Arial"/>
        </w:rPr>
        <w:t>,</w:t>
      </w:r>
      <w:r w:rsidR="009463F6" w:rsidRPr="00394FA8">
        <w:rPr>
          <w:rFonts w:ascii="Arial" w:hAnsi="Arial" w:cs="Arial"/>
        </w:rPr>
        <w:t xml:space="preserve"> </w:t>
      </w:r>
      <w:r w:rsidR="009E1FBC" w:rsidRPr="00394FA8">
        <w:rPr>
          <w:rFonts w:ascii="Arial" w:hAnsi="Arial" w:cs="Arial"/>
        </w:rPr>
        <w:t xml:space="preserve">and the appellant </w:t>
      </w:r>
      <w:r w:rsidR="005C7FA3" w:rsidRPr="00394FA8">
        <w:rPr>
          <w:rFonts w:ascii="Arial" w:hAnsi="Arial" w:cs="Arial"/>
        </w:rPr>
        <w:t xml:space="preserve">was the only witness </w:t>
      </w:r>
      <w:r w:rsidR="00454544" w:rsidRPr="00394FA8">
        <w:rPr>
          <w:rFonts w:ascii="Arial" w:hAnsi="Arial" w:cs="Arial"/>
        </w:rPr>
        <w:t xml:space="preserve">who </w:t>
      </w:r>
      <w:r w:rsidR="005C7FA3" w:rsidRPr="00394FA8">
        <w:rPr>
          <w:rFonts w:ascii="Arial" w:hAnsi="Arial" w:cs="Arial"/>
        </w:rPr>
        <w:t>testif</w:t>
      </w:r>
      <w:r w:rsidR="00454544" w:rsidRPr="00394FA8">
        <w:rPr>
          <w:rFonts w:ascii="Arial" w:hAnsi="Arial" w:cs="Arial"/>
        </w:rPr>
        <w:t>ied i</w:t>
      </w:r>
      <w:r w:rsidR="00207146" w:rsidRPr="00394FA8">
        <w:rPr>
          <w:rFonts w:ascii="Arial" w:hAnsi="Arial" w:cs="Arial"/>
        </w:rPr>
        <w:t xml:space="preserve">n </w:t>
      </w:r>
      <w:r w:rsidR="009E1FBC" w:rsidRPr="00394FA8">
        <w:rPr>
          <w:rFonts w:ascii="Arial" w:hAnsi="Arial" w:cs="Arial"/>
        </w:rPr>
        <w:t xml:space="preserve">his defence. </w:t>
      </w:r>
      <w:r w:rsidR="005F4F4A" w:rsidRPr="00394FA8">
        <w:rPr>
          <w:rFonts w:ascii="Arial" w:hAnsi="Arial" w:cs="Arial"/>
        </w:rPr>
        <w:t xml:space="preserve"> </w:t>
      </w:r>
    </w:p>
    <w:p w14:paraId="5A7FE9BC" w14:textId="4D75CCDE" w:rsidR="00F6194F" w:rsidRPr="00876CA5" w:rsidRDefault="00F6194F" w:rsidP="00876CA5">
      <w:pPr>
        <w:spacing w:after="480" w:line="360" w:lineRule="auto"/>
        <w:jc w:val="both"/>
        <w:rPr>
          <w:rFonts w:ascii="Arial" w:hAnsi="Arial" w:cs="Arial"/>
        </w:rPr>
      </w:pPr>
      <w:r w:rsidRPr="00876CA5">
        <w:rPr>
          <w:rFonts w:ascii="Arial" w:hAnsi="Arial" w:cs="Arial"/>
        </w:rPr>
        <w:t xml:space="preserve">FIRST RESPONDENT’S </w:t>
      </w:r>
      <w:r w:rsidR="00D62841" w:rsidRPr="00876CA5">
        <w:rPr>
          <w:rFonts w:ascii="Arial" w:hAnsi="Arial" w:cs="Arial"/>
        </w:rPr>
        <w:t>EVIDENCE</w:t>
      </w:r>
    </w:p>
    <w:p w14:paraId="02B42B60" w14:textId="48ABA513" w:rsidR="00F6194F" w:rsidRPr="00394FA8" w:rsidRDefault="00394FA8" w:rsidP="00394FA8">
      <w:pPr>
        <w:spacing w:after="480" w:line="360" w:lineRule="auto"/>
        <w:ind w:left="720" w:hanging="720"/>
        <w:jc w:val="both"/>
        <w:rPr>
          <w:rFonts w:ascii="Arial" w:hAnsi="Arial" w:cs="Arial"/>
        </w:rPr>
      </w:pPr>
      <w:r w:rsidRPr="00876CA5">
        <w:rPr>
          <w:rFonts w:ascii="Arial" w:hAnsi="Arial" w:cs="Arial"/>
        </w:rPr>
        <w:t>[14]</w:t>
      </w:r>
      <w:r w:rsidRPr="00876CA5">
        <w:rPr>
          <w:rFonts w:ascii="Arial" w:hAnsi="Arial" w:cs="Arial"/>
        </w:rPr>
        <w:tab/>
      </w:r>
      <w:r w:rsidR="00281896" w:rsidRPr="00394FA8">
        <w:rPr>
          <w:rFonts w:ascii="Arial" w:hAnsi="Arial" w:cs="Arial"/>
        </w:rPr>
        <w:t xml:space="preserve">The first respondent’s evidence is contained in the founding, replying and supplementary affidavits, as well as the oral evidence of the first respondent and </w:t>
      </w:r>
      <w:r w:rsidR="00837019" w:rsidRPr="00394FA8">
        <w:rPr>
          <w:rFonts w:ascii="Arial" w:hAnsi="Arial" w:cs="Arial"/>
        </w:rPr>
        <w:t xml:space="preserve">Mr Mothabane. </w:t>
      </w:r>
      <w:r w:rsidR="00281896" w:rsidRPr="00394FA8">
        <w:rPr>
          <w:rFonts w:ascii="Arial" w:hAnsi="Arial" w:cs="Arial"/>
        </w:rPr>
        <w:t>We summarise th</w:t>
      </w:r>
      <w:r w:rsidR="00837019" w:rsidRPr="00394FA8">
        <w:rPr>
          <w:rFonts w:ascii="Arial" w:hAnsi="Arial" w:cs="Arial"/>
        </w:rPr>
        <w:t xml:space="preserve">e relevant aspects </w:t>
      </w:r>
      <w:r w:rsidR="00281896" w:rsidRPr="00394FA8">
        <w:rPr>
          <w:rFonts w:ascii="Arial" w:hAnsi="Arial" w:cs="Arial"/>
        </w:rPr>
        <w:t>immediately below.</w:t>
      </w:r>
    </w:p>
    <w:p w14:paraId="47C948EF" w14:textId="747B67D1" w:rsidR="001767F3" w:rsidRPr="00394FA8" w:rsidRDefault="00394FA8" w:rsidP="00394FA8">
      <w:pPr>
        <w:spacing w:after="480" w:line="360" w:lineRule="auto"/>
        <w:ind w:left="720" w:hanging="720"/>
        <w:jc w:val="both"/>
        <w:rPr>
          <w:rFonts w:ascii="Arial" w:hAnsi="Arial" w:cs="Arial"/>
        </w:rPr>
      </w:pPr>
      <w:r w:rsidRPr="00876CA5">
        <w:rPr>
          <w:rFonts w:ascii="Arial" w:hAnsi="Arial" w:cs="Arial"/>
        </w:rPr>
        <w:t>[15]</w:t>
      </w:r>
      <w:r w:rsidRPr="00876CA5">
        <w:rPr>
          <w:rFonts w:ascii="Arial" w:hAnsi="Arial" w:cs="Arial"/>
        </w:rPr>
        <w:tab/>
      </w:r>
      <w:r w:rsidR="009463F6" w:rsidRPr="00394FA8">
        <w:rPr>
          <w:rFonts w:ascii="Arial" w:hAnsi="Arial" w:cs="Arial"/>
        </w:rPr>
        <w:t xml:space="preserve">The </w:t>
      </w:r>
      <w:r w:rsidR="00AF757A" w:rsidRPr="00394FA8">
        <w:rPr>
          <w:rFonts w:ascii="Arial" w:hAnsi="Arial" w:cs="Arial"/>
        </w:rPr>
        <w:t>appellant and the deceased entered into an oral lease agreement</w:t>
      </w:r>
      <w:r w:rsidR="00E16924" w:rsidRPr="00394FA8">
        <w:rPr>
          <w:rFonts w:ascii="Arial" w:hAnsi="Arial" w:cs="Arial"/>
        </w:rPr>
        <w:t xml:space="preserve"> </w:t>
      </w:r>
      <w:r w:rsidR="009463F6" w:rsidRPr="00394FA8">
        <w:rPr>
          <w:rFonts w:ascii="Arial" w:hAnsi="Arial" w:cs="Arial"/>
        </w:rPr>
        <w:t xml:space="preserve">in terms of which </w:t>
      </w:r>
      <w:r w:rsidR="00341A8D" w:rsidRPr="00394FA8">
        <w:rPr>
          <w:rFonts w:ascii="Arial" w:hAnsi="Arial" w:cs="Arial"/>
        </w:rPr>
        <w:t>the appellant</w:t>
      </w:r>
      <w:r w:rsidR="00AF757A" w:rsidRPr="00394FA8">
        <w:rPr>
          <w:rFonts w:ascii="Arial" w:hAnsi="Arial" w:cs="Arial"/>
        </w:rPr>
        <w:t xml:space="preserve"> </w:t>
      </w:r>
      <w:r w:rsidR="009463F6" w:rsidRPr="00394FA8">
        <w:rPr>
          <w:rFonts w:ascii="Arial" w:hAnsi="Arial" w:cs="Arial"/>
        </w:rPr>
        <w:t>rented</w:t>
      </w:r>
      <w:r w:rsidR="00341A8D" w:rsidRPr="00394FA8">
        <w:rPr>
          <w:rFonts w:ascii="Arial" w:hAnsi="Arial" w:cs="Arial"/>
        </w:rPr>
        <w:t xml:space="preserve"> a back room on the property</w:t>
      </w:r>
      <w:r w:rsidR="00454544" w:rsidRPr="00394FA8">
        <w:rPr>
          <w:rFonts w:ascii="Arial" w:hAnsi="Arial" w:cs="Arial"/>
        </w:rPr>
        <w:t xml:space="preserve"> </w:t>
      </w:r>
      <w:r w:rsidR="00281896" w:rsidRPr="00394FA8">
        <w:rPr>
          <w:rFonts w:ascii="Arial" w:hAnsi="Arial" w:cs="Arial"/>
        </w:rPr>
        <w:t>[‘</w:t>
      </w:r>
      <w:r w:rsidR="00454544" w:rsidRPr="00394FA8">
        <w:rPr>
          <w:rFonts w:ascii="Arial" w:hAnsi="Arial" w:cs="Arial"/>
        </w:rPr>
        <w:t>lease agreemen</w:t>
      </w:r>
      <w:r w:rsidR="00281896" w:rsidRPr="00394FA8">
        <w:rPr>
          <w:rFonts w:ascii="Arial" w:hAnsi="Arial" w:cs="Arial"/>
        </w:rPr>
        <w:t>t’]</w:t>
      </w:r>
      <w:r w:rsidR="00341A8D" w:rsidRPr="00394FA8">
        <w:rPr>
          <w:rFonts w:ascii="Arial" w:hAnsi="Arial" w:cs="Arial"/>
        </w:rPr>
        <w:t xml:space="preserve">. </w:t>
      </w:r>
      <w:r w:rsidR="009811F0" w:rsidRPr="00394FA8">
        <w:rPr>
          <w:rFonts w:ascii="Arial" w:hAnsi="Arial" w:cs="Arial"/>
        </w:rPr>
        <w:t>After the conclusion of the lease agreement</w:t>
      </w:r>
      <w:r w:rsidR="00281896" w:rsidRPr="00394FA8">
        <w:rPr>
          <w:rFonts w:ascii="Arial" w:hAnsi="Arial" w:cs="Arial"/>
        </w:rPr>
        <w:t>,</w:t>
      </w:r>
      <w:r w:rsidR="009811F0" w:rsidRPr="00394FA8">
        <w:rPr>
          <w:rFonts w:ascii="Arial" w:hAnsi="Arial" w:cs="Arial"/>
        </w:rPr>
        <w:t xml:space="preserve"> the appellan</w:t>
      </w:r>
      <w:r w:rsidR="00281896" w:rsidRPr="00394FA8">
        <w:rPr>
          <w:rFonts w:ascii="Arial" w:hAnsi="Arial" w:cs="Arial"/>
        </w:rPr>
        <w:t xml:space="preserve">t and his </w:t>
      </w:r>
      <w:r w:rsidR="009463F6" w:rsidRPr="00394FA8">
        <w:rPr>
          <w:rFonts w:ascii="Arial" w:hAnsi="Arial" w:cs="Arial"/>
        </w:rPr>
        <w:t>wife</w:t>
      </w:r>
      <w:r w:rsidR="009811F0" w:rsidRPr="00394FA8">
        <w:rPr>
          <w:rFonts w:ascii="Arial" w:hAnsi="Arial" w:cs="Arial"/>
        </w:rPr>
        <w:t xml:space="preserve"> moved to the property and occupied a shack at the back of the main house. The deceased resided in the main house and provided the appellant</w:t>
      </w:r>
      <w:r w:rsidR="00AF3CAC" w:rsidRPr="00394FA8">
        <w:rPr>
          <w:rFonts w:ascii="Arial" w:hAnsi="Arial" w:cs="Arial"/>
        </w:rPr>
        <w:t xml:space="preserve"> with a</w:t>
      </w:r>
      <w:r w:rsidR="001767F3" w:rsidRPr="00394FA8">
        <w:rPr>
          <w:rFonts w:ascii="Arial" w:hAnsi="Arial" w:cs="Arial"/>
        </w:rPr>
        <w:t xml:space="preserve"> </w:t>
      </w:r>
      <w:r w:rsidR="00281896" w:rsidRPr="00394FA8">
        <w:rPr>
          <w:rFonts w:ascii="Arial" w:hAnsi="Arial" w:cs="Arial"/>
        </w:rPr>
        <w:t xml:space="preserve">key to the </w:t>
      </w:r>
      <w:r w:rsidR="001767F3" w:rsidRPr="00394FA8">
        <w:rPr>
          <w:rFonts w:ascii="Arial" w:hAnsi="Arial" w:cs="Arial"/>
        </w:rPr>
        <w:t>main</w:t>
      </w:r>
      <w:r w:rsidR="009811F0" w:rsidRPr="00394FA8">
        <w:rPr>
          <w:rFonts w:ascii="Arial" w:hAnsi="Arial" w:cs="Arial"/>
        </w:rPr>
        <w:t xml:space="preserve"> house </w:t>
      </w:r>
      <w:r w:rsidR="00281896" w:rsidRPr="00394FA8">
        <w:rPr>
          <w:rFonts w:ascii="Arial" w:hAnsi="Arial" w:cs="Arial"/>
        </w:rPr>
        <w:t xml:space="preserve">so that he would have </w:t>
      </w:r>
      <w:r w:rsidR="009811F0" w:rsidRPr="00394FA8">
        <w:rPr>
          <w:rFonts w:ascii="Arial" w:hAnsi="Arial" w:cs="Arial"/>
        </w:rPr>
        <w:t xml:space="preserve">access </w:t>
      </w:r>
      <w:r w:rsidR="00281896" w:rsidRPr="00394FA8">
        <w:rPr>
          <w:rFonts w:ascii="Arial" w:hAnsi="Arial" w:cs="Arial"/>
        </w:rPr>
        <w:t xml:space="preserve">to </w:t>
      </w:r>
      <w:r w:rsidR="009811F0" w:rsidRPr="00394FA8">
        <w:rPr>
          <w:rFonts w:ascii="Arial" w:hAnsi="Arial" w:cs="Arial"/>
        </w:rPr>
        <w:t>a toilet</w:t>
      </w:r>
      <w:r w:rsidR="00C35855" w:rsidRPr="00394FA8">
        <w:rPr>
          <w:rFonts w:ascii="Arial" w:hAnsi="Arial" w:cs="Arial"/>
        </w:rPr>
        <w:t>.</w:t>
      </w:r>
    </w:p>
    <w:p w14:paraId="4AB2A2E0" w14:textId="499398D5" w:rsidR="00AB3A50" w:rsidRPr="00394FA8" w:rsidRDefault="00394FA8" w:rsidP="00394FA8">
      <w:pPr>
        <w:spacing w:after="480" w:line="360" w:lineRule="auto"/>
        <w:ind w:left="720" w:hanging="720"/>
        <w:jc w:val="both"/>
        <w:rPr>
          <w:rFonts w:ascii="Arial" w:hAnsi="Arial" w:cs="Arial"/>
        </w:rPr>
      </w:pPr>
      <w:r>
        <w:rPr>
          <w:rFonts w:ascii="Arial" w:hAnsi="Arial" w:cs="Arial"/>
        </w:rPr>
        <w:t>[16]</w:t>
      </w:r>
      <w:r>
        <w:rPr>
          <w:rFonts w:ascii="Arial" w:hAnsi="Arial" w:cs="Arial"/>
        </w:rPr>
        <w:tab/>
      </w:r>
      <w:r w:rsidR="001767F3" w:rsidRPr="00394FA8">
        <w:rPr>
          <w:rFonts w:ascii="Arial" w:hAnsi="Arial" w:cs="Arial"/>
        </w:rPr>
        <w:t>In 2005 the deceased fell ill</w:t>
      </w:r>
      <w:r w:rsidR="009463F6" w:rsidRPr="00394FA8">
        <w:rPr>
          <w:rFonts w:ascii="Arial" w:hAnsi="Arial" w:cs="Arial"/>
        </w:rPr>
        <w:t>. He</w:t>
      </w:r>
      <w:r w:rsidR="001767F3" w:rsidRPr="00394FA8">
        <w:rPr>
          <w:rFonts w:ascii="Arial" w:hAnsi="Arial" w:cs="Arial"/>
        </w:rPr>
        <w:t xml:space="preserve"> passed away on 19 June 2005.</w:t>
      </w:r>
      <w:r w:rsidR="00E16924" w:rsidRPr="00394FA8">
        <w:rPr>
          <w:rFonts w:ascii="Arial" w:hAnsi="Arial" w:cs="Arial"/>
        </w:rPr>
        <w:t xml:space="preserve">  </w:t>
      </w:r>
    </w:p>
    <w:p w14:paraId="45DD493F" w14:textId="16F4B806" w:rsidR="00AB3A50" w:rsidRPr="00394FA8" w:rsidRDefault="00394FA8" w:rsidP="00394FA8">
      <w:pPr>
        <w:spacing w:after="480" w:line="360" w:lineRule="auto"/>
        <w:ind w:left="720" w:hanging="720"/>
        <w:jc w:val="both"/>
        <w:rPr>
          <w:rFonts w:ascii="Arial" w:hAnsi="Arial" w:cs="Arial"/>
        </w:rPr>
      </w:pPr>
      <w:r>
        <w:rPr>
          <w:rFonts w:ascii="Arial" w:hAnsi="Arial" w:cs="Arial"/>
        </w:rPr>
        <w:t>[17]</w:t>
      </w:r>
      <w:r>
        <w:rPr>
          <w:rFonts w:ascii="Arial" w:hAnsi="Arial" w:cs="Arial"/>
        </w:rPr>
        <w:tab/>
      </w:r>
      <w:r w:rsidR="00CC0F5E" w:rsidRPr="00394FA8">
        <w:rPr>
          <w:rFonts w:ascii="Arial" w:hAnsi="Arial" w:cs="Arial"/>
        </w:rPr>
        <w:t>I</w:t>
      </w:r>
      <w:r w:rsidR="00AB3A50" w:rsidRPr="00394FA8">
        <w:rPr>
          <w:rFonts w:ascii="Arial" w:hAnsi="Arial" w:cs="Arial"/>
        </w:rPr>
        <w:t xml:space="preserve">n 2005 after the deceased’s funeral, </w:t>
      </w:r>
      <w:r w:rsidR="00840005" w:rsidRPr="00394FA8">
        <w:rPr>
          <w:rFonts w:ascii="Arial" w:hAnsi="Arial" w:cs="Arial"/>
        </w:rPr>
        <w:t>the appellant stopped paying rent</w:t>
      </w:r>
      <w:r w:rsidR="002303FD" w:rsidRPr="00394FA8">
        <w:rPr>
          <w:rFonts w:ascii="Arial" w:hAnsi="Arial" w:cs="Arial"/>
        </w:rPr>
        <w:t>al fees</w:t>
      </w:r>
      <w:r w:rsidR="00840005" w:rsidRPr="00394FA8">
        <w:rPr>
          <w:rFonts w:ascii="Arial" w:hAnsi="Arial" w:cs="Arial"/>
        </w:rPr>
        <w:t xml:space="preserve"> for leasing the property. </w:t>
      </w:r>
      <w:r w:rsidR="00B85CFE" w:rsidRPr="00394FA8">
        <w:rPr>
          <w:rFonts w:ascii="Arial" w:hAnsi="Arial" w:cs="Arial"/>
        </w:rPr>
        <w:t>The</w:t>
      </w:r>
      <w:r w:rsidR="00BF0ECB" w:rsidRPr="00394FA8">
        <w:rPr>
          <w:rFonts w:ascii="Arial" w:hAnsi="Arial" w:cs="Arial"/>
        </w:rPr>
        <w:t xml:space="preserve"> first respondent</w:t>
      </w:r>
      <w:r w:rsidR="00B85CFE" w:rsidRPr="00394FA8">
        <w:rPr>
          <w:rFonts w:ascii="Arial" w:hAnsi="Arial" w:cs="Arial"/>
        </w:rPr>
        <w:t xml:space="preserve"> terminated the lease agreement, and the ap</w:t>
      </w:r>
      <w:r w:rsidR="00CC0F5E" w:rsidRPr="00394FA8">
        <w:rPr>
          <w:rFonts w:ascii="Arial" w:hAnsi="Arial" w:cs="Arial"/>
        </w:rPr>
        <w:t xml:space="preserve">pellant and his wife </w:t>
      </w:r>
      <w:r w:rsidR="00C35855" w:rsidRPr="00394FA8">
        <w:rPr>
          <w:rFonts w:ascii="Arial" w:hAnsi="Arial" w:cs="Arial"/>
        </w:rPr>
        <w:t xml:space="preserve">were given </w:t>
      </w:r>
      <w:r w:rsidR="00837019" w:rsidRPr="00394FA8">
        <w:rPr>
          <w:rFonts w:ascii="Arial" w:hAnsi="Arial" w:cs="Arial"/>
        </w:rPr>
        <w:t xml:space="preserve">two </w:t>
      </w:r>
      <w:r w:rsidR="00AB3A50" w:rsidRPr="00394FA8">
        <w:rPr>
          <w:rFonts w:ascii="Arial" w:hAnsi="Arial" w:cs="Arial"/>
        </w:rPr>
        <w:t>months’ notice to vacate the property</w:t>
      </w:r>
      <w:r w:rsidR="00CC0F5E" w:rsidRPr="00394FA8">
        <w:rPr>
          <w:rFonts w:ascii="Arial" w:hAnsi="Arial" w:cs="Arial"/>
        </w:rPr>
        <w:t xml:space="preserve">. They </w:t>
      </w:r>
      <w:r w:rsidR="00AB3A50" w:rsidRPr="00394FA8">
        <w:rPr>
          <w:rFonts w:ascii="Arial" w:hAnsi="Arial" w:cs="Arial"/>
        </w:rPr>
        <w:t xml:space="preserve">refused to do so. </w:t>
      </w:r>
      <w:r w:rsidR="00CC0F5E" w:rsidRPr="00394FA8">
        <w:rPr>
          <w:rFonts w:ascii="Arial" w:hAnsi="Arial" w:cs="Arial"/>
        </w:rPr>
        <w:t xml:space="preserve">They then informed the first respondent that they had purchased the property from the deceased. </w:t>
      </w:r>
      <w:r w:rsidR="00837019" w:rsidRPr="00394FA8">
        <w:rPr>
          <w:rFonts w:ascii="Arial" w:hAnsi="Arial" w:cs="Arial"/>
        </w:rPr>
        <w:t xml:space="preserve">The first respondent then requested them to furnish proof of purchase of the property to her. They were unable to do so. </w:t>
      </w:r>
      <w:r w:rsidR="00CC0F5E" w:rsidRPr="00394FA8">
        <w:rPr>
          <w:rFonts w:ascii="Arial" w:hAnsi="Arial" w:cs="Arial"/>
        </w:rPr>
        <w:t>The appellant and his wife then moved into the main house without the first respondent’s consent.</w:t>
      </w:r>
    </w:p>
    <w:p w14:paraId="68EB240F" w14:textId="5123813C" w:rsidR="00CC0F5E" w:rsidRPr="00394FA8" w:rsidRDefault="00394FA8" w:rsidP="00394FA8">
      <w:pPr>
        <w:spacing w:after="480" w:line="360" w:lineRule="auto"/>
        <w:ind w:left="720" w:hanging="720"/>
        <w:jc w:val="both"/>
        <w:rPr>
          <w:rFonts w:ascii="Arial" w:hAnsi="Arial" w:cs="Arial"/>
        </w:rPr>
      </w:pPr>
      <w:r>
        <w:rPr>
          <w:rFonts w:ascii="Arial" w:hAnsi="Arial" w:cs="Arial"/>
        </w:rPr>
        <w:t>[18]</w:t>
      </w:r>
      <w:r>
        <w:rPr>
          <w:rFonts w:ascii="Arial" w:hAnsi="Arial" w:cs="Arial"/>
        </w:rPr>
        <w:tab/>
      </w:r>
      <w:r w:rsidR="00AB3A50" w:rsidRPr="00394FA8">
        <w:rPr>
          <w:rFonts w:ascii="Arial" w:hAnsi="Arial" w:cs="Arial"/>
        </w:rPr>
        <w:t>In 2007 the appellant started to effect improvements to the property</w:t>
      </w:r>
      <w:r w:rsidR="009D4C17" w:rsidRPr="00394FA8">
        <w:rPr>
          <w:rFonts w:ascii="Arial" w:hAnsi="Arial" w:cs="Arial"/>
        </w:rPr>
        <w:t>.</w:t>
      </w:r>
      <w:r w:rsidR="00AB3A50" w:rsidRPr="00394FA8">
        <w:rPr>
          <w:rFonts w:ascii="Arial" w:hAnsi="Arial" w:cs="Arial"/>
        </w:rPr>
        <w:t xml:space="preserve"> He commenced with erecting a fence wall around the property. </w:t>
      </w:r>
      <w:r w:rsidR="00837019" w:rsidRPr="00394FA8">
        <w:rPr>
          <w:rFonts w:ascii="Arial" w:hAnsi="Arial" w:cs="Arial"/>
        </w:rPr>
        <w:t xml:space="preserve">Mr </w:t>
      </w:r>
      <w:r w:rsidR="00AB3A50" w:rsidRPr="00394FA8">
        <w:rPr>
          <w:rFonts w:ascii="Arial" w:hAnsi="Arial" w:cs="Arial"/>
        </w:rPr>
        <w:t xml:space="preserve">Mothabane told the appellant to stop erecting the wall because the property belonged to the estate of the deceased. The appellant ignored </w:t>
      </w:r>
      <w:r w:rsidR="00837019" w:rsidRPr="00394FA8">
        <w:rPr>
          <w:rFonts w:ascii="Arial" w:hAnsi="Arial" w:cs="Arial"/>
        </w:rPr>
        <w:t xml:space="preserve">Mr </w:t>
      </w:r>
      <w:r w:rsidR="00AB3A50" w:rsidRPr="00394FA8">
        <w:rPr>
          <w:rFonts w:ascii="Arial" w:hAnsi="Arial" w:cs="Arial"/>
        </w:rPr>
        <w:t xml:space="preserve">Mothabane’s demand and continued to effect the improvements. </w:t>
      </w:r>
      <w:r w:rsidR="00837019" w:rsidRPr="00394FA8">
        <w:rPr>
          <w:rFonts w:ascii="Arial" w:hAnsi="Arial" w:cs="Arial"/>
        </w:rPr>
        <w:t xml:space="preserve">Mr </w:t>
      </w:r>
      <w:r w:rsidR="00AB3A50" w:rsidRPr="00394FA8">
        <w:rPr>
          <w:rFonts w:ascii="Arial" w:hAnsi="Arial" w:cs="Arial"/>
        </w:rPr>
        <w:t xml:space="preserve">Mothabane </w:t>
      </w:r>
      <w:r w:rsidR="00CC0F5E" w:rsidRPr="00394FA8">
        <w:rPr>
          <w:rFonts w:ascii="Arial" w:hAnsi="Arial" w:cs="Arial"/>
        </w:rPr>
        <w:t xml:space="preserve">then </w:t>
      </w:r>
      <w:r w:rsidR="00AB3A50" w:rsidRPr="00394FA8">
        <w:rPr>
          <w:rFonts w:ascii="Arial" w:hAnsi="Arial" w:cs="Arial"/>
        </w:rPr>
        <w:t xml:space="preserve">sought the intervention of the area </w:t>
      </w:r>
      <w:r w:rsidR="005A532C" w:rsidRPr="00394FA8">
        <w:rPr>
          <w:rFonts w:ascii="Arial" w:hAnsi="Arial" w:cs="Arial"/>
        </w:rPr>
        <w:t>councillor</w:t>
      </w:r>
      <w:r w:rsidR="00CC0F5E" w:rsidRPr="00394FA8">
        <w:rPr>
          <w:rFonts w:ascii="Arial" w:hAnsi="Arial" w:cs="Arial"/>
        </w:rPr>
        <w:t xml:space="preserve"> </w:t>
      </w:r>
      <w:r w:rsidR="00AB3A50" w:rsidRPr="00394FA8">
        <w:rPr>
          <w:rFonts w:ascii="Arial" w:hAnsi="Arial" w:cs="Arial"/>
        </w:rPr>
        <w:t xml:space="preserve">to resolve the issue. The appellant </w:t>
      </w:r>
      <w:r w:rsidR="00CC0F5E" w:rsidRPr="00394FA8">
        <w:rPr>
          <w:rFonts w:ascii="Arial" w:hAnsi="Arial" w:cs="Arial"/>
        </w:rPr>
        <w:t xml:space="preserve">was </w:t>
      </w:r>
      <w:r w:rsidR="00AB3A50" w:rsidRPr="00394FA8">
        <w:rPr>
          <w:rFonts w:ascii="Arial" w:hAnsi="Arial" w:cs="Arial"/>
        </w:rPr>
        <w:t xml:space="preserve">called to attend a meeting </w:t>
      </w:r>
      <w:r w:rsidR="00CC0F5E" w:rsidRPr="00394FA8">
        <w:rPr>
          <w:rFonts w:ascii="Arial" w:hAnsi="Arial" w:cs="Arial"/>
        </w:rPr>
        <w:t xml:space="preserve">with </w:t>
      </w:r>
      <w:r w:rsidR="00AB3A50" w:rsidRPr="00394FA8">
        <w:rPr>
          <w:rFonts w:ascii="Arial" w:hAnsi="Arial" w:cs="Arial"/>
        </w:rPr>
        <w:t xml:space="preserve">the </w:t>
      </w:r>
      <w:r w:rsidR="007A7064" w:rsidRPr="00394FA8">
        <w:rPr>
          <w:rFonts w:ascii="Arial" w:hAnsi="Arial" w:cs="Arial"/>
        </w:rPr>
        <w:t>councillor,</w:t>
      </w:r>
      <w:r w:rsidR="00CC0F5E" w:rsidRPr="00394FA8">
        <w:rPr>
          <w:rFonts w:ascii="Arial" w:hAnsi="Arial" w:cs="Arial"/>
        </w:rPr>
        <w:t xml:space="preserve"> but he did not show up. </w:t>
      </w:r>
      <w:r w:rsidR="00837019" w:rsidRPr="00394FA8">
        <w:rPr>
          <w:rFonts w:ascii="Arial" w:hAnsi="Arial" w:cs="Arial"/>
        </w:rPr>
        <w:t xml:space="preserve">Mr </w:t>
      </w:r>
      <w:r w:rsidR="00AB3A50" w:rsidRPr="00394FA8">
        <w:rPr>
          <w:rFonts w:ascii="Arial" w:hAnsi="Arial" w:cs="Arial"/>
        </w:rPr>
        <w:t xml:space="preserve">Mothabane </w:t>
      </w:r>
      <w:r w:rsidR="00CC0F5E" w:rsidRPr="00394FA8">
        <w:rPr>
          <w:rFonts w:ascii="Arial" w:hAnsi="Arial" w:cs="Arial"/>
        </w:rPr>
        <w:t xml:space="preserve">then </w:t>
      </w:r>
      <w:r w:rsidR="00AB3A50" w:rsidRPr="00394FA8">
        <w:rPr>
          <w:rFonts w:ascii="Arial" w:hAnsi="Arial" w:cs="Arial"/>
        </w:rPr>
        <w:t xml:space="preserve">sought the intervention of the ANC branch without success. He then reported the matter to the housing department where he was advised to seek assistance at the Legal Aid office. </w:t>
      </w:r>
    </w:p>
    <w:p w14:paraId="024F0C0F" w14:textId="434F55F6" w:rsidR="00CC0F5E" w:rsidRPr="00394FA8" w:rsidRDefault="00394FA8" w:rsidP="00394FA8">
      <w:pPr>
        <w:spacing w:after="480" w:line="360" w:lineRule="auto"/>
        <w:ind w:left="720" w:hanging="720"/>
        <w:jc w:val="both"/>
        <w:rPr>
          <w:rFonts w:ascii="Arial" w:hAnsi="Arial" w:cs="Arial"/>
        </w:rPr>
      </w:pPr>
      <w:r>
        <w:rPr>
          <w:rFonts w:ascii="Arial" w:hAnsi="Arial" w:cs="Arial"/>
        </w:rPr>
        <w:t>[19]</w:t>
      </w:r>
      <w:r>
        <w:rPr>
          <w:rFonts w:ascii="Arial" w:hAnsi="Arial" w:cs="Arial"/>
        </w:rPr>
        <w:tab/>
      </w:r>
      <w:r w:rsidR="00CC0F5E" w:rsidRPr="00394FA8">
        <w:rPr>
          <w:rFonts w:ascii="Arial" w:hAnsi="Arial" w:cs="Arial"/>
        </w:rPr>
        <w:t>The first respondent then approached Legal Aid</w:t>
      </w:r>
      <w:r w:rsidR="008A71DD" w:rsidRPr="00394FA8">
        <w:rPr>
          <w:rFonts w:ascii="Arial" w:hAnsi="Arial" w:cs="Arial"/>
        </w:rPr>
        <w:t xml:space="preserve"> office</w:t>
      </w:r>
      <w:r w:rsidR="00CC0F5E" w:rsidRPr="00394FA8">
        <w:rPr>
          <w:rFonts w:ascii="Arial" w:hAnsi="Arial" w:cs="Arial"/>
        </w:rPr>
        <w:t xml:space="preserve">. Legal Aid delivered a letter </w:t>
      </w:r>
      <w:r w:rsidR="00E7420F" w:rsidRPr="00394FA8">
        <w:rPr>
          <w:rFonts w:ascii="Arial" w:hAnsi="Arial" w:cs="Arial"/>
        </w:rPr>
        <w:t>t</w:t>
      </w:r>
      <w:r w:rsidR="00CC0F5E" w:rsidRPr="00394FA8">
        <w:rPr>
          <w:rFonts w:ascii="Arial" w:hAnsi="Arial" w:cs="Arial"/>
        </w:rPr>
        <w:t>o the appellant and his wife on 11 July 2016. In this letter the</w:t>
      </w:r>
      <w:r w:rsidR="00E7420F" w:rsidRPr="00394FA8">
        <w:rPr>
          <w:rFonts w:ascii="Arial" w:hAnsi="Arial" w:cs="Arial"/>
        </w:rPr>
        <w:t xml:space="preserve"> appellant and his wife were given </w:t>
      </w:r>
      <w:r w:rsidR="00CC0F5E" w:rsidRPr="00394FA8">
        <w:rPr>
          <w:rFonts w:ascii="Arial" w:hAnsi="Arial" w:cs="Arial"/>
        </w:rPr>
        <w:t>30 days’ notice to vacate the property. They refused to vacate the property</w:t>
      </w:r>
      <w:r w:rsidR="00E7420F" w:rsidRPr="00394FA8">
        <w:rPr>
          <w:rFonts w:ascii="Arial" w:hAnsi="Arial" w:cs="Arial"/>
        </w:rPr>
        <w:t>. They c</w:t>
      </w:r>
      <w:r w:rsidR="00CC0F5E" w:rsidRPr="00394FA8">
        <w:rPr>
          <w:rFonts w:ascii="Arial" w:hAnsi="Arial" w:cs="Arial"/>
        </w:rPr>
        <w:t xml:space="preserve">ontinue to reside on the property without her consent to this day. </w:t>
      </w:r>
    </w:p>
    <w:p w14:paraId="6449D7A3" w14:textId="5EE64333" w:rsidR="00F6194F" w:rsidRPr="00394FA8" w:rsidRDefault="00394FA8" w:rsidP="00394FA8">
      <w:pPr>
        <w:spacing w:after="480" w:line="360" w:lineRule="auto"/>
        <w:ind w:left="720" w:hanging="720"/>
        <w:jc w:val="both"/>
        <w:rPr>
          <w:rFonts w:ascii="Arial" w:hAnsi="Arial" w:cs="Arial"/>
        </w:rPr>
      </w:pPr>
      <w:r w:rsidRPr="00876CA5">
        <w:rPr>
          <w:rFonts w:ascii="Arial" w:hAnsi="Arial" w:cs="Arial"/>
        </w:rPr>
        <w:t>[20]</w:t>
      </w:r>
      <w:r w:rsidRPr="00876CA5">
        <w:rPr>
          <w:rFonts w:ascii="Arial" w:hAnsi="Arial" w:cs="Arial"/>
        </w:rPr>
        <w:tab/>
      </w:r>
      <w:r w:rsidR="00FC4A64" w:rsidRPr="00394FA8">
        <w:rPr>
          <w:rFonts w:ascii="Arial" w:hAnsi="Arial" w:cs="Arial"/>
        </w:rPr>
        <w:t>The</w:t>
      </w:r>
      <w:r w:rsidR="009463F6" w:rsidRPr="00394FA8">
        <w:rPr>
          <w:rFonts w:ascii="Arial" w:hAnsi="Arial" w:cs="Arial"/>
        </w:rPr>
        <w:t xml:space="preserve"> appellant and his wife </w:t>
      </w:r>
      <w:r w:rsidR="00FC4A64" w:rsidRPr="00394FA8">
        <w:rPr>
          <w:rFonts w:ascii="Arial" w:hAnsi="Arial" w:cs="Arial"/>
        </w:rPr>
        <w:t xml:space="preserve">have not paid rent </w:t>
      </w:r>
      <w:r w:rsidR="009463F6" w:rsidRPr="00394FA8">
        <w:rPr>
          <w:rFonts w:ascii="Arial" w:hAnsi="Arial" w:cs="Arial"/>
        </w:rPr>
        <w:t xml:space="preserve">in respect of their </w:t>
      </w:r>
      <w:r w:rsidR="00FC4A64" w:rsidRPr="00394FA8">
        <w:rPr>
          <w:rFonts w:ascii="Arial" w:hAnsi="Arial" w:cs="Arial"/>
        </w:rPr>
        <w:t>occupation of the property since</w:t>
      </w:r>
      <w:r w:rsidR="001A5F48" w:rsidRPr="00394FA8">
        <w:rPr>
          <w:rFonts w:ascii="Arial" w:hAnsi="Arial" w:cs="Arial"/>
        </w:rPr>
        <w:t xml:space="preserve"> June 2005</w:t>
      </w:r>
      <w:r w:rsidR="00FC4A64" w:rsidRPr="00394FA8">
        <w:rPr>
          <w:rFonts w:ascii="Arial" w:hAnsi="Arial" w:cs="Arial"/>
        </w:rPr>
        <w:t>.</w:t>
      </w:r>
      <w:r w:rsidR="00E54779" w:rsidRPr="00394FA8">
        <w:rPr>
          <w:rFonts w:ascii="Arial" w:hAnsi="Arial" w:cs="Arial"/>
        </w:rPr>
        <w:t xml:space="preserve"> They also failed to pay rates and taxes</w:t>
      </w:r>
      <w:r w:rsidR="00E7420F" w:rsidRPr="00394FA8">
        <w:rPr>
          <w:rFonts w:ascii="Arial" w:hAnsi="Arial" w:cs="Arial"/>
        </w:rPr>
        <w:t xml:space="preserve"> for the property.</w:t>
      </w:r>
      <w:r w:rsidR="00E54779" w:rsidRPr="00394FA8">
        <w:rPr>
          <w:rFonts w:ascii="Arial" w:hAnsi="Arial" w:cs="Arial"/>
        </w:rPr>
        <w:t xml:space="preserve"> In terms of the municipal account statement attached to the founding affidavit the</w:t>
      </w:r>
      <w:r w:rsidR="005F2703" w:rsidRPr="00394FA8">
        <w:rPr>
          <w:rFonts w:ascii="Arial" w:hAnsi="Arial" w:cs="Arial"/>
        </w:rPr>
        <w:t xml:space="preserve">re is an outstanding amount owed of </w:t>
      </w:r>
      <w:r w:rsidR="00E54779" w:rsidRPr="00394FA8">
        <w:rPr>
          <w:rFonts w:ascii="Arial" w:hAnsi="Arial" w:cs="Arial"/>
        </w:rPr>
        <w:t>R38</w:t>
      </w:r>
      <w:r w:rsidR="00FE0A14" w:rsidRPr="00394FA8">
        <w:rPr>
          <w:rFonts w:ascii="Arial" w:hAnsi="Arial" w:cs="Arial"/>
        </w:rPr>
        <w:t> </w:t>
      </w:r>
      <w:r w:rsidR="00E54779" w:rsidRPr="00394FA8">
        <w:rPr>
          <w:rFonts w:ascii="Arial" w:hAnsi="Arial" w:cs="Arial"/>
        </w:rPr>
        <w:t>600</w:t>
      </w:r>
      <w:r w:rsidR="00FE0A14" w:rsidRPr="00394FA8">
        <w:rPr>
          <w:rFonts w:ascii="Arial" w:hAnsi="Arial" w:cs="Arial"/>
        </w:rPr>
        <w:t>.00</w:t>
      </w:r>
      <w:r w:rsidR="005F2703" w:rsidRPr="00394FA8">
        <w:rPr>
          <w:rFonts w:ascii="Arial" w:hAnsi="Arial" w:cs="Arial"/>
        </w:rPr>
        <w:t xml:space="preserve">. </w:t>
      </w:r>
    </w:p>
    <w:p w14:paraId="3CDEC556" w14:textId="245628AA" w:rsidR="00D62841" w:rsidRPr="00876CA5" w:rsidRDefault="00FC4A64" w:rsidP="00876CA5">
      <w:pPr>
        <w:spacing w:after="480" w:line="360" w:lineRule="auto"/>
        <w:jc w:val="both"/>
        <w:rPr>
          <w:rFonts w:ascii="Arial" w:hAnsi="Arial" w:cs="Arial"/>
        </w:rPr>
      </w:pPr>
      <w:r w:rsidRPr="00DB4007">
        <w:rPr>
          <w:rFonts w:ascii="Arial" w:hAnsi="Arial" w:cs="Arial"/>
        </w:rPr>
        <w:t xml:space="preserve"> </w:t>
      </w:r>
      <w:r w:rsidR="00D62841" w:rsidRPr="00876CA5">
        <w:rPr>
          <w:rFonts w:ascii="Arial" w:hAnsi="Arial" w:cs="Arial"/>
        </w:rPr>
        <w:t>APPELLANT’S EVIDENCE</w:t>
      </w:r>
    </w:p>
    <w:p w14:paraId="693E4D61" w14:textId="22934E38" w:rsidR="00E7420F" w:rsidRPr="00394FA8" w:rsidRDefault="00394FA8" w:rsidP="00394FA8">
      <w:pPr>
        <w:spacing w:after="480" w:line="360" w:lineRule="auto"/>
        <w:ind w:left="720" w:hanging="720"/>
        <w:jc w:val="both"/>
        <w:rPr>
          <w:rFonts w:ascii="Arial" w:hAnsi="Arial" w:cs="Arial"/>
        </w:rPr>
      </w:pPr>
      <w:r>
        <w:rPr>
          <w:rFonts w:ascii="Arial" w:hAnsi="Arial" w:cs="Arial"/>
        </w:rPr>
        <w:t>[21]</w:t>
      </w:r>
      <w:r>
        <w:rPr>
          <w:rFonts w:ascii="Arial" w:hAnsi="Arial" w:cs="Arial"/>
        </w:rPr>
        <w:tab/>
      </w:r>
      <w:r w:rsidR="00E7420F" w:rsidRPr="00394FA8">
        <w:rPr>
          <w:rFonts w:ascii="Arial" w:hAnsi="Arial" w:cs="Arial"/>
        </w:rPr>
        <w:t>The appellant's evidence likewise emanates from his answering and supplementary affidavits, and his oral evidence. We summarise this evidence below.</w:t>
      </w:r>
    </w:p>
    <w:p w14:paraId="47223FC5" w14:textId="22D73494" w:rsidR="00C76A8E" w:rsidRPr="00394FA8" w:rsidRDefault="00394FA8" w:rsidP="00394FA8">
      <w:pPr>
        <w:spacing w:after="480" w:line="360" w:lineRule="auto"/>
        <w:ind w:left="720" w:hanging="720"/>
        <w:jc w:val="both"/>
        <w:rPr>
          <w:rFonts w:ascii="Arial" w:hAnsi="Arial" w:cs="Arial"/>
        </w:rPr>
      </w:pPr>
      <w:r w:rsidRPr="00876CA5">
        <w:rPr>
          <w:rFonts w:ascii="Arial" w:hAnsi="Arial" w:cs="Arial"/>
        </w:rPr>
        <w:t>[22]</w:t>
      </w:r>
      <w:r w:rsidRPr="00876CA5">
        <w:rPr>
          <w:rFonts w:ascii="Arial" w:hAnsi="Arial" w:cs="Arial"/>
        </w:rPr>
        <w:tab/>
      </w:r>
      <w:r w:rsidR="00C76A8E" w:rsidRPr="00394FA8">
        <w:rPr>
          <w:rFonts w:ascii="Arial" w:hAnsi="Arial" w:cs="Arial"/>
        </w:rPr>
        <w:t xml:space="preserve">In </w:t>
      </w:r>
      <w:r w:rsidR="00DF70D0" w:rsidRPr="00394FA8">
        <w:rPr>
          <w:rFonts w:ascii="Arial" w:hAnsi="Arial" w:cs="Arial"/>
        </w:rPr>
        <w:t>his answering affidavit</w:t>
      </w:r>
      <w:r w:rsidR="00050F13" w:rsidRPr="00394FA8">
        <w:rPr>
          <w:rFonts w:ascii="Arial" w:hAnsi="Arial" w:cs="Arial"/>
        </w:rPr>
        <w:t xml:space="preserve"> </w:t>
      </w:r>
      <w:r w:rsidR="00C76A8E" w:rsidRPr="00394FA8">
        <w:rPr>
          <w:rFonts w:ascii="Arial" w:hAnsi="Arial" w:cs="Arial"/>
        </w:rPr>
        <w:t xml:space="preserve">the appellant alleged </w:t>
      </w:r>
      <w:r w:rsidR="00050F13" w:rsidRPr="00394FA8">
        <w:rPr>
          <w:rFonts w:ascii="Arial" w:hAnsi="Arial" w:cs="Arial"/>
        </w:rPr>
        <w:t xml:space="preserve">that the deceased sold the </w:t>
      </w:r>
      <w:r w:rsidR="009E0AF0" w:rsidRPr="00394FA8">
        <w:rPr>
          <w:rFonts w:ascii="Arial" w:hAnsi="Arial" w:cs="Arial"/>
        </w:rPr>
        <w:t xml:space="preserve">property </w:t>
      </w:r>
      <w:r w:rsidR="00050F13" w:rsidRPr="00394FA8">
        <w:rPr>
          <w:rFonts w:ascii="Arial" w:hAnsi="Arial" w:cs="Arial"/>
        </w:rPr>
        <w:t>to him</w:t>
      </w:r>
      <w:r w:rsidR="00DD5F10" w:rsidRPr="00394FA8">
        <w:rPr>
          <w:rFonts w:ascii="Arial" w:hAnsi="Arial" w:cs="Arial"/>
        </w:rPr>
        <w:t xml:space="preserve"> in October 2002</w:t>
      </w:r>
      <w:r w:rsidR="00050F13" w:rsidRPr="00394FA8">
        <w:rPr>
          <w:rFonts w:ascii="Arial" w:hAnsi="Arial" w:cs="Arial"/>
        </w:rPr>
        <w:t xml:space="preserve"> for R11</w:t>
      </w:r>
      <w:r w:rsidR="00E7420F" w:rsidRPr="00394FA8">
        <w:rPr>
          <w:rFonts w:ascii="Arial" w:hAnsi="Arial" w:cs="Arial"/>
        </w:rPr>
        <w:t> </w:t>
      </w:r>
      <w:r w:rsidR="00DD5F10" w:rsidRPr="00394FA8">
        <w:rPr>
          <w:rFonts w:ascii="Arial" w:hAnsi="Arial" w:cs="Arial"/>
        </w:rPr>
        <w:t>000</w:t>
      </w:r>
      <w:r w:rsidR="00E7420F" w:rsidRPr="00394FA8">
        <w:rPr>
          <w:rFonts w:ascii="Arial" w:hAnsi="Arial" w:cs="Arial"/>
        </w:rPr>
        <w:t>.</w:t>
      </w:r>
      <w:r w:rsidR="00050F13" w:rsidRPr="00394FA8">
        <w:rPr>
          <w:rFonts w:ascii="Arial" w:hAnsi="Arial" w:cs="Arial"/>
        </w:rPr>
        <w:t>00.</w:t>
      </w:r>
      <w:r w:rsidR="00955AAB" w:rsidRPr="00394FA8">
        <w:rPr>
          <w:rFonts w:ascii="Arial" w:hAnsi="Arial" w:cs="Arial"/>
        </w:rPr>
        <w:t xml:space="preserve"> </w:t>
      </w:r>
      <w:r w:rsidR="009E0AF0" w:rsidRPr="00394FA8">
        <w:rPr>
          <w:rFonts w:ascii="Arial" w:hAnsi="Arial" w:cs="Arial"/>
        </w:rPr>
        <w:t xml:space="preserve">This transaction was conducted through the deceased’s attorneys, </w:t>
      </w:r>
      <w:r w:rsidR="005A532C" w:rsidRPr="00394FA8">
        <w:rPr>
          <w:rFonts w:ascii="Arial" w:hAnsi="Arial" w:cs="Arial"/>
        </w:rPr>
        <w:t>Mmoleli</w:t>
      </w:r>
      <w:r w:rsidR="009E0AF0" w:rsidRPr="00394FA8">
        <w:rPr>
          <w:rFonts w:ascii="Arial" w:hAnsi="Arial" w:cs="Arial"/>
        </w:rPr>
        <w:t xml:space="preserve"> Attorneys. </w:t>
      </w:r>
      <w:r w:rsidR="00955AAB" w:rsidRPr="00394FA8">
        <w:rPr>
          <w:rFonts w:ascii="Arial" w:hAnsi="Arial" w:cs="Arial"/>
        </w:rPr>
        <w:t xml:space="preserve">The </w:t>
      </w:r>
      <w:r w:rsidR="009E0AF0" w:rsidRPr="00394FA8">
        <w:rPr>
          <w:rFonts w:ascii="Arial" w:hAnsi="Arial" w:cs="Arial"/>
        </w:rPr>
        <w:t xml:space="preserve">appellant paid the deceased’s attorneys the </w:t>
      </w:r>
      <w:r w:rsidR="00955AAB" w:rsidRPr="00394FA8">
        <w:rPr>
          <w:rFonts w:ascii="Arial" w:hAnsi="Arial" w:cs="Arial"/>
        </w:rPr>
        <w:t>R11</w:t>
      </w:r>
      <w:r w:rsidR="00FE0A14" w:rsidRPr="00394FA8">
        <w:rPr>
          <w:rFonts w:ascii="Arial" w:hAnsi="Arial" w:cs="Arial"/>
        </w:rPr>
        <w:t> 000.</w:t>
      </w:r>
      <w:r w:rsidR="00955AAB" w:rsidRPr="00394FA8">
        <w:rPr>
          <w:rFonts w:ascii="Arial" w:hAnsi="Arial" w:cs="Arial"/>
        </w:rPr>
        <w:t>00</w:t>
      </w:r>
      <w:r w:rsidR="009E0AF0" w:rsidRPr="00394FA8">
        <w:rPr>
          <w:rFonts w:ascii="Arial" w:hAnsi="Arial" w:cs="Arial"/>
        </w:rPr>
        <w:t>, and in the appellant’s presence</w:t>
      </w:r>
      <w:r w:rsidR="00E7420F" w:rsidRPr="00394FA8">
        <w:rPr>
          <w:rFonts w:ascii="Arial" w:hAnsi="Arial" w:cs="Arial"/>
        </w:rPr>
        <w:t>,</w:t>
      </w:r>
      <w:r w:rsidR="009E0AF0" w:rsidRPr="00394FA8">
        <w:rPr>
          <w:rFonts w:ascii="Arial" w:hAnsi="Arial" w:cs="Arial"/>
        </w:rPr>
        <w:t xml:space="preserve"> the deceased’s attorneys then </w:t>
      </w:r>
      <w:r w:rsidR="00955AAB" w:rsidRPr="00394FA8">
        <w:rPr>
          <w:rFonts w:ascii="Arial" w:hAnsi="Arial" w:cs="Arial"/>
        </w:rPr>
        <w:t xml:space="preserve">paid over </w:t>
      </w:r>
      <w:r w:rsidR="009E0AF0" w:rsidRPr="00394FA8">
        <w:rPr>
          <w:rFonts w:ascii="Arial" w:hAnsi="Arial" w:cs="Arial"/>
        </w:rPr>
        <w:t xml:space="preserve">this amount </w:t>
      </w:r>
      <w:r w:rsidR="00955AAB" w:rsidRPr="00394FA8">
        <w:rPr>
          <w:rFonts w:ascii="Arial" w:hAnsi="Arial" w:cs="Arial"/>
        </w:rPr>
        <w:t>to the deceased. The property could not</w:t>
      </w:r>
      <w:r w:rsidR="009E0AF0" w:rsidRPr="00394FA8">
        <w:rPr>
          <w:rFonts w:ascii="Arial" w:hAnsi="Arial" w:cs="Arial"/>
        </w:rPr>
        <w:t xml:space="preserve">, however, </w:t>
      </w:r>
      <w:r w:rsidR="00955AAB" w:rsidRPr="00394FA8">
        <w:rPr>
          <w:rFonts w:ascii="Arial" w:hAnsi="Arial" w:cs="Arial"/>
        </w:rPr>
        <w:t xml:space="preserve">be transferred into </w:t>
      </w:r>
      <w:r w:rsidR="009E0AF0" w:rsidRPr="00394FA8">
        <w:rPr>
          <w:rFonts w:ascii="Arial" w:hAnsi="Arial" w:cs="Arial"/>
        </w:rPr>
        <w:t xml:space="preserve">the appellant’s </w:t>
      </w:r>
      <w:r w:rsidR="00955AAB" w:rsidRPr="00394FA8">
        <w:rPr>
          <w:rFonts w:ascii="Arial" w:hAnsi="Arial" w:cs="Arial"/>
        </w:rPr>
        <w:t>name because of the arrear rates and taxes</w:t>
      </w:r>
      <w:r w:rsidR="009E0AF0" w:rsidRPr="00394FA8">
        <w:rPr>
          <w:rFonts w:ascii="Arial" w:hAnsi="Arial" w:cs="Arial"/>
        </w:rPr>
        <w:t xml:space="preserve"> owed to the municipality. The appellant then </w:t>
      </w:r>
      <w:r w:rsidR="007920A1" w:rsidRPr="00394FA8">
        <w:rPr>
          <w:rFonts w:ascii="Arial" w:hAnsi="Arial" w:cs="Arial"/>
        </w:rPr>
        <w:t xml:space="preserve">made arrangements with the </w:t>
      </w:r>
      <w:r w:rsidR="009E0AF0" w:rsidRPr="00394FA8">
        <w:rPr>
          <w:rFonts w:ascii="Arial" w:hAnsi="Arial" w:cs="Arial"/>
        </w:rPr>
        <w:t xml:space="preserve">municipality </w:t>
      </w:r>
      <w:r w:rsidR="007920A1" w:rsidRPr="00394FA8">
        <w:rPr>
          <w:rFonts w:ascii="Arial" w:hAnsi="Arial" w:cs="Arial"/>
        </w:rPr>
        <w:t xml:space="preserve">to pay </w:t>
      </w:r>
      <w:r w:rsidR="00C76A8E" w:rsidRPr="00394FA8">
        <w:rPr>
          <w:rFonts w:ascii="Arial" w:hAnsi="Arial" w:cs="Arial"/>
        </w:rPr>
        <w:t xml:space="preserve">off these arrears at </w:t>
      </w:r>
      <w:r w:rsidR="007920A1" w:rsidRPr="00394FA8">
        <w:rPr>
          <w:rFonts w:ascii="Arial" w:hAnsi="Arial" w:cs="Arial"/>
        </w:rPr>
        <w:t>R30.00 p</w:t>
      </w:r>
      <w:r w:rsidR="00C76A8E" w:rsidRPr="00394FA8">
        <w:rPr>
          <w:rFonts w:ascii="Arial" w:hAnsi="Arial" w:cs="Arial"/>
        </w:rPr>
        <w:t xml:space="preserve">er </w:t>
      </w:r>
      <w:r w:rsidR="007920A1" w:rsidRPr="00394FA8">
        <w:rPr>
          <w:rFonts w:ascii="Arial" w:hAnsi="Arial" w:cs="Arial"/>
        </w:rPr>
        <w:t>m</w:t>
      </w:r>
      <w:r w:rsidR="00C76A8E" w:rsidRPr="00394FA8">
        <w:rPr>
          <w:rFonts w:ascii="Arial" w:hAnsi="Arial" w:cs="Arial"/>
        </w:rPr>
        <w:t>onth</w:t>
      </w:r>
      <w:r w:rsidR="007920A1" w:rsidRPr="00394FA8">
        <w:rPr>
          <w:rFonts w:ascii="Arial" w:hAnsi="Arial" w:cs="Arial"/>
        </w:rPr>
        <w:t xml:space="preserve">. </w:t>
      </w:r>
    </w:p>
    <w:p w14:paraId="39898815" w14:textId="23BAC3B0" w:rsidR="00B9550A" w:rsidRPr="00394FA8" w:rsidRDefault="00394FA8" w:rsidP="00394FA8">
      <w:pPr>
        <w:spacing w:after="480" w:line="360" w:lineRule="auto"/>
        <w:ind w:left="720" w:hanging="720"/>
        <w:jc w:val="both"/>
        <w:rPr>
          <w:rFonts w:ascii="Arial" w:hAnsi="Arial" w:cs="Arial"/>
        </w:rPr>
      </w:pPr>
      <w:r w:rsidRPr="00876CA5">
        <w:rPr>
          <w:rFonts w:ascii="Arial" w:hAnsi="Arial" w:cs="Arial"/>
        </w:rPr>
        <w:t>[23]</w:t>
      </w:r>
      <w:r w:rsidRPr="00876CA5">
        <w:rPr>
          <w:rFonts w:ascii="Arial" w:hAnsi="Arial" w:cs="Arial"/>
        </w:rPr>
        <w:tab/>
      </w:r>
      <w:r w:rsidR="00C76A8E" w:rsidRPr="00394FA8">
        <w:rPr>
          <w:rFonts w:ascii="Arial" w:hAnsi="Arial" w:cs="Arial"/>
        </w:rPr>
        <w:t xml:space="preserve">The appellant further asserted in his answering affidavit that he </w:t>
      </w:r>
      <w:r w:rsidR="00955AAB" w:rsidRPr="00394FA8">
        <w:rPr>
          <w:rFonts w:ascii="Arial" w:hAnsi="Arial" w:cs="Arial"/>
        </w:rPr>
        <w:t>regards the property as his</w:t>
      </w:r>
      <w:r w:rsidR="00F82E3A" w:rsidRPr="00394FA8">
        <w:rPr>
          <w:rFonts w:ascii="Arial" w:hAnsi="Arial" w:cs="Arial"/>
        </w:rPr>
        <w:t>,</w:t>
      </w:r>
      <w:r w:rsidR="00955AAB" w:rsidRPr="00394FA8">
        <w:rPr>
          <w:rFonts w:ascii="Arial" w:hAnsi="Arial" w:cs="Arial"/>
        </w:rPr>
        <w:t xml:space="preserve"> a</w:t>
      </w:r>
      <w:r w:rsidR="00C76A8E" w:rsidRPr="00394FA8">
        <w:rPr>
          <w:rFonts w:ascii="Arial" w:hAnsi="Arial" w:cs="Arial"/>
        </w:rPr>
        <w:t xml:space="preserve">nd </w:t>
      </w:r>
      <w:r w:rsidR="007920A1" w:rsidRPr="00394FA8">
        <w:rPr>
          <w:rFonts w:ascii="Arial" w:hAnsi="Arial" w:cs="Arial"/>
        </w:rPr>
        <w:t>it no longer forms part of</w:t>
      </w:r>
      <w:r w:rsidR="00955AAB" w:rsidRPr="00394FA8">
        <w:rPr>
          <w:rFonts w:ascii="Arial" w:hAnsi="Arial" w:cs="Arial"/>
        </w:rPr>
        <w:t xml:space="preserve"> </w:t>
      </w:r>
      <w:r w:rsidR="00C76A8E" w:rsidRPr="00394FA8">
        <w:rPr>
          <w:rFonts w:ascii="Arial" w:hAnsi="Arial" w:cs="Arial"/>
        </w:rPr>
        <w:t xml:space="preserve">the deceased’s </w:t>
      </w:r>
      <w:r w:rsidR="00955AAB" w:rsidRPr="00394FA8">
        <w:rPr>
          <w:rFonts w:ascii="Arial" w:hAnsi="Arial" w:cs="Arial"/>
        </w:rPr>
        <w:t>estate</w:t>
      </w:r>
      <w:r w:rsidR="00C76A8E" w:rsidRPr="00394FA8">
        <w:rPr>
          <w:rFonts w:ascii="Arial" w:hAnsi="Arial" w:cs="Arial"/>
        </w:rPr>
        <w:t xml:space="preserve">. </w:t>
      </w:r>
      <w:r w:rsidR="00F82E3A" w:rsidRPr="00394FA8">
        <w:rPr>
          <w:rFonts w:ascii="Arial" w:hAnsi="Arial" w:cs="Arial"/>
        </w:rPr>
        <w:t>He</w:t>
      </w:r>
      <w:r w:rsidR="00C76A8E" w:rsidRPr="00394FA8">
        <w:rPr>
          <w:rFonts w:ascii="Arial" w:hAnsi="Arial" w:cs="Arial"/>
        </w:rPr>
        <w:t xml:space="preserve"> </w:t>
      </w:r>
      <w:r w:rsidR="007920A1" w:rsidRPr="00394FA8">
        <w:rPr>
          <w:rFonts w:ascii="Arial" w:hAnsi="Arial" w:cs="Arial"/>
        </w:rPr>
        <w:t xml:space="preserve">renovated the </w:t>
      </w:r>
      <w:r w:rsidR="00C76A8E" w:rsidRPr="00394FA8">
        <w:rPr>
          <w:rFonts w:ascii="Arial" w:hAnsi="Arial" w:cs="Arial"/>
        </w:rPr>
        <w:t xml:space="preserve">main house on the </w:t>
      </w:r>
      <w:r w:rsidR="007920A1" w:rsidRPr="00394FA8">
        <w:rPr>
          <w:rFonts w:ascii="Arial" w:hAnsi="Arial" w:cs="Arial"/>
        </w:rPr>
        <w:t xml:space="preserve">property, which was originally an RDP house, </w:t>
      </w:r>
      <w:r w:rsidR="00C76A8E" w:rsidRPr="00394FA8">
        <w:rPr>
          <w:rFonts w:ascii="Arial" w:hAnsi="Arial" w:cs="Arial"/>
        </w:rPr>
        <w:t>by making it a bigger house. As a result of these renovations, t</w:t>
      </w:r>
      <w:r w:rsidR="007920A1" w:rsidRPr="00394FA8">
        <w:rPr>
          <w:rFonts w:ascii="Arial" w:hAnsi="Arial" w:cs="Arial"/>
        </w:rPr>
        <w:t>he value of the property has increased from R150</w:t>
      </w:r>
      <w:r w:rsidR="00FE0A14" w:rsidRPr="00394FA8">
        <w:rPr>
          <w:rFonts w:ascii="Arial" w:hAnsi="Arial" w:cs="Arial"/>
        </w:rPr>
        <w:t> 000.</w:t>
      </w:r>
      <w:r w:rsidR="007920A1" w:rsidRPr="00394FA8">
        <w:rPr>
          <w:rFonts w:ascii="Arial" w:hAnsi="Arial" w:cs="Arial"/>
        </w:rPr>
        <w:t>00 to R300</w:t>
      </w:r>
      <w:r w:rsidR="00FE0A14" w:rsidRPr="00394FA8">
        <w:rPr>
          <w:rFonts w:ascii="Arial" w:hAnsi="Arial" w:cs="Arial"/>
        </w:rPr>
        <w:t> 000.</w:t>
      </w:r>
      <w:r w:rsidR="007920A1" w:rsidRPr="00394FA8">
        <w:rPr>
          <w:rFonts w:ascii="Arial" w:hAnsi="Arial" w:cs="Arial"/>
        </w:rPr>
        <w:t xml:space="preserve">00. </w:t>
      </w:r>
      <w:r w:rsidR="00DA3B7B" w:rsidRPr="00394FA8">
        <w:rPr>
          <w:rFonts w:ascii="Arial" w:hAnsi="Arial" w:cs="Arial"/>
        </w:rPr>
        <w:t xml:space="preserve">  </w:t>
      </w:r>
      <w:r w:rsidR="00DD5F10" w:rsidRPr="00394FA8">
        <w:rPr>
          <w:rFonts w:ascii="Arial" w:hAnsi="Arial" w:cs="Arial"/>
        </w:rPr>
        <w:t xml:space="preserve"> </w:t>
      </w:r>
      <w:r w:rsidR="00DA3B7B" w:rsidRPr="00394FA8">
        <w:rPr>
          <w:rFonts w:ascii="Arial" w:hAnsi="Arial" w:cs="Arial"/>
        </w:rPr>
        <w:t xml:space="preserve"> </w:t>
      </w:r>
      <w:r w:rsidR="00B9550A" w:rsidRPr="00394FA8">
        <w:rPr>
          <w:rFonts w:ascii="Arial" w:hAnsi="Arial" w:cs="Arial"/>
        </w:rPr>
        <w:t xml:space="preserve">   </w:t>
      </w:r>
    </w:p>
    <w:p w14:paraId="2A2A2C58" w14:textId="014AAD7C" w:rsidR="004C7D1F" w:rsidRPr="00394FA8" w:rsidRDefault="00394FA8" w:rsidP="00394FA8">
      <w:pPr>
        <w:spacing w:after="480" w:line="360" w:lineRule="auto"/>
        <w:ind w:left="720" w:hanging="720"/>
        <w:jc w:val="both"/>
        <w:rPr>
          <w:rFonts w:ascii="Arial" w:hAnsi="Arial" w:cs="Arial"/>
        </w:rPr>
      </w:pPr>
      <w:r w:rsidRPr="00876CA5">
        <w:rPr>
          <w:rFonts w:ascii="Arial" w:hAnsi="Arial" w:cs="Arial"/>
        </w:rPr>
        <w:t>[24]</w:t>
      </w:r>
      <w:r w:rsidRPr="00876CA5">
        <w:rPr>
          <w:rFonts w:ascii="Arial" w:hAnsi="Arial" w:cs="Arial"/>
        </w:rPr>
        <w:tab/>
      </w:r>
      <w:r w:rsidR="00DD317D" w:rsidRPr="00394FA8">
        <w:rPr>
          <w:rFonts w:ascii="Arial" w:hAnsi="Arial" w:cs="Arial"/>
        </w:rPr>
        <w:t>I</w:t>
      </w:r>
      <w:r w:rsidR="00326CE2" w:rsidRPr="00394FA8">
        <w:rPr>
          <w:rFonts w:ascii="Arial" w:hAnsi="Arial" w:cs="Arial"/>
        </w:rPr>
        <w:t>n his evidence in chief</w:t>
      </w:r>
      <w:r w:rsidR="00282F53" w:rsidRPr="00394FA8">
        <w:rPr>
          <w:rFonts w:ascii="Arial" w:hAnsi="Arial" w:cs="Arial"/>
        </w:rPr>
        <w:t xml:space="preserve"> </w:t>
      </w:r>
      <w:r w:rsidR="00F82E3A" w:rsidRPr="00394FA8">
        <w:rPr>
          <w:rFonts w:ascii="Arial" w:hAnsi="Arial" w:cs="Arial"/>
        </w:rPr>
        <w:t xml:space="preserve">the appellant testified </w:t>
      </w:r>
      <w:r w:rsidR="00DD317D" w:rsidRPr="00394FA8">
        <w:rPr>
          <w:rFonts w:ascii="Arial" w:hAnsi="Arial" w:cs="Arial"/>
        </w:rPr>
        <w:t>that</w:t>
      </w:r>
      <w:r w:rsidR="00282F53" w:rsidRPr="00394FA8">
        <w:rPr>
          <w:rFonts w:ascii="Arial" w:hAnsi="Arial" w:cs="Arial"/>
        </w:rPr>
        <w:t xml:space="preserve"> he bought the prop</w:t>
      </w:r>
      <w:r w:rsidR="003714C3" w:rsidRPr="00394FA8">
        <w:rPr>
          <w:rFonts w:ascii="Arial" w:hAnsi="Arial" w:cs="Arial"/>
        </w:rPr>
        <w:t>erty from the deceased</w:t>
      </w:r>
      <w:r w:rsidR="00E911D7" w:rsidRPr="00394FA8">
        <w:rPr>
          <w:rFonts w:ascii="Arial" w:hAnsi="Arial" w:cs="Arial"/>
        </w:rPr>
        <w:t xml:space="preserve"> for R11 000.00</w:t>
      </w:r>
      <w:r w:rsidR="00CA56E4" w:rsidRPr="00394FA8">
        <w:rPr>
          <w:rFonts w:ascii="Arial" w:hAnsi="Arial" w:cs="Arial"/>
        </w:rPr>
        <w:t xml:space="preserve"> in</w:t>
      </w:r>
      <w:r w:rsidR="003714C3" w:rsidRPr="00394FA8">
        <w:rPr>
          <w:rFonts w:ascii="Arial" w:hAnsi="Arial" w:cs="Arial"/>
        </w:rPr>
        <w:t xml:space="preserve"> October</w:t>
      </w:r>
      <w:r w:rsidR="00282F53" w:rsidRPr="00394FA8">
        <w:rPr>
          <w:rFonts w:ascii="Arial" w:hAnsi="Arial" w:cs="Arial"/>
        </w:rPr>
        <w:t xml:space="preserve"> 2002. He m</w:t>
      </w:r>
      <w:r w:rsidR="00E93B42" w:rsidRPr="00394FA8">
        <w:rPr>
          <w:rFonts w:ascii="Arial" w:hAnsi="Arial" w:cs="Arial"/>
        </w:rPr>
        <w:t xml:space="preserve">et the deceased at his </w:t>
      </w:r>
      <w:r w:rsidR="00282F53" w:rsidRPr="00394FA8">
        <w:rPr>
          <w:rFonts w:ascii="Arial" w:hAnsi="Arial" w:cs="Arial"/>
        </w:rPr>
        <w:t>tuck shop</w:t>
      </w:r>
      <w:r w:rsidR="00E93B42" w:rsidRPr="00394FA8">
        <w:rPr>
          <w:rFonts w:ascii="Arial" w:hAnsi="Arial" w:cs="Arial"/>
        </w:rPr>
        <w:t xml:space="preserve"> and the deceased informed </w:t>
      </w:r>
      <w:r w:rsidR="00F82E3A" w:rsidRPr="00394FA8">
        <w:rPr>
          <w:rFonts w:ascii="Arial" w:hAnsi="Arial" w:cs="Arial"/>
        </w:rPr>
        <w:t xml:space="preserve">the appellant </w:t>
      </w:r>
      <w:r w:rsidR="00E93B42" w:rsidRPr="00394FA8">
        <w:rPr>
          <w:rFonts w:ascii="Arial" w:hAnsi="Arial" w:cs="Arial"/>
        </w:rPr>
        <w:t xml:space="preserve">that he was selling his house. </w:t>
      </w:r>
      <w:r w:rsidR="003714C3" w:rsidRPr="00394FA8">
        <w:rPr>
          <w:rFonts w:ascii="Arial" w:hAnsi="Arial" w:cs="Arial"/>
        </w:rPr>
        <w:t>The</w:t>
      </w:r>
      <w:r w:rsidR="00F82E3A" w:rsidRPr="00394FA8">
        <w:rPr>
          <w:rFonts w:ascii="Arial" w:hAnsi="Arial" w:cs="Arial"/>
        </w:rPr>
        <w:t xml:space="preserve"> deceased and the appellant then </w:t>
      </w:r>
      <w:r w:rsidR="003714C3" w:rsidRPr="00394FA8">
        <w:rPr>
          <w:rFonts w:ascii="Arial" w:hAnsi="Arial" w:cs="Arial"/>
        </w:rPr>
        <w:t xml:space="preserve">entered into an oral agreement for the sale of the property. </w:t>
      </w:r>
      <w:r w:rsidR="00D97DD6" w:rsidRPr="00394FA8">
        <w:rPr>
          <w:rFonts w:ascii="Arial" w:hAnsi="Arial" w:cs="Arial"/>
        </w:rPr>
        <w:t xml:space="preserve">On 3 January 2005 </w:t>
      </w:r>
      <w:r w:rsidR="00F82E3A" w:rsidRPr="00394FA8">
        <w:rPr>
          <w:rFonts w:ascii="Arial" w:hAnsi="Arial" w:cs="Arial"/>
        </w:rPr>
        <w:t>t</w:t>
      </w:r>
      <w:r w:rsidR="00D97DD6" w:rsidRPr="00394FA8">
        <w:rPr>
          <w:rFonts w:ascii="Arial" w:hAnsi="Arial" w:cs="Arial"/>
        </w:rPr>
        <w:t>h</w:t>
      </w:r>
      <w:r w:rsidR="003F54C2" w:rsidRPr="00394FA8">
        <w:rPr>
          <w:rFonts w:ascii="Arial" w:hAnsi="Arial" w:cs="Arial"/>
        </w:rPr>
        <w:t xml:space="preserve">e </w:t>
      </w:r>
      <w:r w:rsidR="00F82E3A" w:rsidRPr="00394FA8">
        <w:rPr>
          <w:rFonts w:ascii="Arial" w:hAnsi="Arial" w:cs="Arial"/>
        </w:rPr>
        <w:t xml:space="preserve">appellant </w:t>
      </w:r>
      <w:r w:rsidR="003F54C2" w:rsidRPr="00394FA8">
        <w:rPr>
          <w:rFonts w:ascii="Arial" w:hAnsi="Arial" w:cs="Arial"/>
        </w:rPr>
        <w:t xml:space="preserve">moved to the property </w:t>
      </w:r>
      <w:r w:rsidR="00D97DD6" w:rsidRPr="00394FA8">
        <w:rPr>
          <w:rFonts w:ascii="Arial" w:hAnsi="Arial" w:cs="Arial"/>
        </w:rPr>
        <w:t>and the deceased vacated the property</w:t>
      </w:r>
      <w:r w:rsidR="003F54C2" w:rsidRPr="00394FA8">
        <w:rPr>
          <w:rFonts w:ascii="Arial" w:hAnsi="Arial" w:cs="Arial"/>
        </w:rPr>
        <w:t xml:space="preserve">. </w:t>
      </w:r>
      <w:r w:rsidR="00F82E3A" w:rsidRPr="00394FA8">
        <w:rPr>
          <w:rFonts w:ascii="Arial" w:hAnsi="Arial" w:cs="Arial"/>
        </w:rPr>
        <w:t xml:space="preserve">The appellant </w:t>
      </w:r>
      <w:r w:rsidR="003F54C2" w:rsidRPr="00394FA8">
        <w:rPr>
          <w:rFonts w:ascii="Arial" w:hAnsi="Arial" w:cs="Arial"/>
        </w:rPr>
        <w:t xml:space="preserve">paid </w:t>
      </w:r>
      <w:r w:rsidR="00FE0A14" w:rsidRPr="00394FA8">
        <w:rPr>
          <w:rFonts w:ascii="Arial" w:hAnsi="Arial" w:cs="Arial"/>
        </w:rPr>
        <w:t>R4 500.00</w:t>
      </w:r>
      <w:r w:rsidR="003F54C2" w:rsidRPr="00394FA8">
        <w:rPr>
          <w:rFonts w:ascii="Arial" w:hAnsi="Arial" w:cs="Arial"/>
        </w:rPr>
        <w:t xml:space="preserve"> to the deceased</w:t>
      </w:r>
      <w:r w:rsidR="006F1CA1" w:rsidRPr="00394FA8">
        <w:rPr>
          <w:rFonts w:ascii="Arial" w:hAnsi="Arial" w:cs="Arial"/>
        </w:rPr>
        <w:t xml:space="preserve"> at the property</w:t>
      </w:r>
      <w:r w:rsidR="003F54C2" w:rsidRPr="00394FA8">
        <w:rPr>
          <w:rFonts w:ascii="Arial" w:hAnsi="Arial" w:cs="Arial"/>
        </w:rPr>
        <w:t xml:space="preserve"> on 4 January 2003. On 5 January 2003 they went to sign the </w:t>
      </w:r>
      <w:r w:rsidR="00FF4B11" w:rsidRPr="00394FA8">
        <w:rPr>
          <w:rFonts w:ascii="Arial" w:hAnsi="Arial" w:cs="Arial"/>
        </w:rPr>
        <w:t xml:space="preserve">written </w:t>
      </w:r>
      <w:r w:rsidR="003F54C2" w:rsidRPr="00394FA8">
        <w:rPr>
          <w:rFonts w:ascii="Arial" w:hAnsi="Arial" w:cs="Arial"/>
        </w:rPr>
        <w:t xml:space="preserve">agreement </w:t>
      </w:r>
      <w:r w:rsidR="00FF4B11" w:rsidRPr="00394FA8">
        <w:rPr>
          <w:rFonts w:ascii="Arial" w:hAnsi="Arial" w:cs="Arial"/>
        </w:rPr>
        <w:t xml:space="preserve">of sale </w:t>
      </w:r>
      <w:r w:rsidR="003F54C2" w:rsidRPr="00394FA8">
        <w:rPr>
          <w:rFonts w:ascii="Arial" w:hAnsi="Arial" w:cs="Arial"/>
        </w:rPr>
        <w:t>at the</w:t>
      </w:r>
      <w:r w:rsidR="003714C3" w:rsidRPr="00394FA8">
        <w:rPr>
          <w:rFonts w:ascii="Arial" w:hAnsi="Arial" w:cs="Arial"/>
        </w:rPr>
        <w:t xml:space="preserve"> office of the appellant’s</w:t>
      </w:r>
      <w:r w:rsidR="003F54C2" w:rsidRPr="00394FA8">
        <w:rPr>
          <w:rFonts w:ascii="Arial" w:hAnsi="Arial" w:cs="Arial"/>
        </w:rPr>
        <w:t xml:space="preserve"> attorneys, </w:t>
      </w:r>
      <w:r w:rsidR="005A532C" w:rsidRPr="00394FA8">
        <w:rPr>
          <w:rFonts w:ascii="Arial" w:hAnsi="Arial" w:cs="Arial"/>
        </w:rPr>
        <w:t>Mmoleli</w:t>
      </w:r>
      <w:r w:rsidR="00C35855" w:rsidRPr="00394FA8">
        <w:rPr>
          <w:rFonts w:ascii="Arial" w:hAnsi="Arial" w:cs="Arial"/>
        </w:rPr>
        <w:t xml:space="preserve"> A</w:t>
      </w:r>
      <w:r w:rsidR="003714C3" w:rsidRPr="00394FA8">
        <w:rPr>
          <w:rFonts w:ascii="Arial" w:hAnsi="Arial" w:cs="Arial"/>
        </w:rPr>
        <w:t>ttorneys. On the same</w:t>
      </w:r>
      <w:r w:rsidR="00F71A04" w:rsidRPr="00394FA8">
        <w:rPr>
          <w:rFonts w:ascii="Arial" w:hAnsi="Arial" w:cs="Arial"/>
        </w:rPr>
        <w:t xml:space="preserve"> day</w:t>
      </w:r>
      <w:r w:rsidR="003714C3" w:rsidRPr="00394FA8">
        <w:rPr>
          <w:rFonts w:ascii="Arial" w:hAnsi="Arial" w:cs="Arial"/>
        </w:rPr>
        <w:t xml:space="preserve"> after signing the agreement, the</w:t>
      </w:r>
      <w:r w:rsidR="00FF4B11" w:rsidRPr="00394FA8">
        <w:rPr>
          <w:rFonts w:ascii="Arial" w:hAnsi="Arial" w:cs="Arial"/>
        </w:rPr>
        <w:t xml:space="preserve"> appellant and the deceased </w:t>
      </w:r>
      <w:r w:rsidR="003714C3" w:rsidRPr="00394FA8">
        <w:rPr>
          <w:rFonts w:ascii="Arial" w:hAnsi="Arial" w:cs="Arial"/>
        </w:rPr>
        <w:t xml:space="preserve">went to </w:t>
      </w:r>
      <w:r w:rsidR="00FF4B11" w:rsidRPr="00394FA8">
        <w:rPr>
          <w:rFonts w:ascii="Arial" w:hAnsi="Arial" w:cs="Arial"/>
        </w:rPr>
        <w:t>S</w:t>
      </w:r>
      <w:r w:rsidR="003714C3" w:rsidRPr="00394FA8">
        <w:rPr>
          <w:rFonts w:ascii="Arial" w:hAnsi="Arial" w:cs="Arial"/>
        </w:rPr>
        <w:t xml:space="preserve">tandard </w:t>
      </w:r>
      <w:r w:rsidR="00FF4B11" w:rsidRPr="00394FA8">
        <w:rPr>
          <w:rFonts w:ascii="Arial" w:hAnsi="Arial" w:cs="Arial"/>
        </w:rPr>
        <w:t>B</w:t>
      </w:r>
      <w:r w:rsidR="003714C3" w:rsidRPr="00394FA8">
        <w:rPr>
          <w:rFonts w:ascii="Arial" w:hAnsi="Arial" w:cs="Arial"/>
        </w:rPr>
        <w:t xml:space="preserve">ank where </w:t>
      </w:r>
      <w:r w:rsidR="00FF4B11" w:rsidRPr="00394FA8">
        <w:rPr>
          <w:rFonts w:ascii="Arial" w:hAnsi="Arial" w:cs="Arial"/>
        </w:rPr>
        <w:t xml:space="preserve">the appellant </w:t>
      </w:r>
      <w:r w:rsidR="003714C3" w:rsidRPr="00394FA8">
        <w:rPr>
          <w:rFonts w:ascii="Arial" w:hAnsi="Arial" w:cs="Arial"/>
        </w:rPr>
        <w:t>paid the outstanding amount of R6</w:t>
      </w:r>
      <w:r w:rsidR="00F71A04" w:rsidRPr="00394FA8">
        <w:rPr>
          <w:rFonts w:ascii="Arial" w:hAnsi="Arial" w:cs="Arial"/>
        </w:rPr>
        <w:t> 500.00</w:t>
      </w:r>
      <w:r w:rsidR="00231076" w:rsidRPr="00394FA8">
        <w:rPr>
          <w:rFonts w:ascii="Arial" w:hAnsi="Arial" w:cs="Arial"/>
        </w:rPr>
        <w:t xml:space="preserve"> to the deceased</w:t>
      </w:r>
      <w:r w:rsidR="00F71A04" w:rsidRPr="00394FA8">
        <w:rPr>
          <w:rFonts w:ascii="Arial" w:hAnsi="Arial" w:cs="Arial"/>
        </w:rPr>
        <w:t>. The attorneys were not present when</w:t>
      </w:r>
      <w:r w:rsidR="000C2C9C" w:rsidRPr="00394FA8">
        <w:rPr>
          <w:rFonts w:ascii="Arial" w:hAnsi="Arial" w:cs="Arial"/>
        </w:rPr>
        <w:t xml:space="preserve"> </w:t>
      </w:r>
      <w:r w:rsidR="00FF4B11" w:rsidRPr="00394FA8">
        <w:rPr>
          <w:rFonts w:ascii="Arial" w:hAnsi="Arial" w:cs="Arial"/>
        </w:rPr>
        <w:t xml:space="preserve">the appellant </w:t>
      </w:r>
      <w:r w:rsidR="00231076" w:rsidRPr="00394FA8">
        <w:rPr>
          <w:rFonts w:ascii="Arial" w:hAnsi="Arial" w:cs="Arial"/>
        </w:rPr>
        <w:t>made payment of</w:t>
      </w:r>
      <w:r w:rsidR="00F71A04" w:rsidRPr="00394FA8">
        <w:rPr>
          <w:rFonts w:ascii="Arial" w:hAnsi="Arial" w:cs="Arial"/>
        </w:rPr>
        <w:t xml:space="preserve"> the </w:t>
      </w:r>
      <w:r w:rsidR="00FF4B11" w:rsidRPr="00394FA8">
        <w:rPr>
          <w:rFonts w:ascii="Arial" w:hAnsi="Arial" w:cs="Arial"/>
        </w:rPr>
        <w:t xml:space="preserve">above two </w:t>
      </w:r>
      <w:r w:rsidR="00F71A04" w:rsidRPr="00394FA8">
        <w:rPr>
          <w:rFonts w:ascii="Arial" w:hAnsi="Arial" w:cs="Arial"/>
        </w:rPr>
        <w:t>amounts</w:t>
      </w:r>
      <w:r w:rsidR="000C2C9C" w:rsidRPr="00394FA8">
        <w:rPr>
          <w:rFonts w:ascii="Arial" w:hAnsi="Arial" w:cs="Arial"/>
        </w:rPr>
        <w:t xml:space="preserve"> to the deceased</w:t>
      </w:r>
      <w:r w:rsidR="00F71A04" w:rsidRPr="00394FA8">
        <w:rPr>
          <w:rFonts w:ascii="Arial" w:hAnsi="Arial" w:cs="Arial"/>
        </w:rPr>
        <w:t xml:space="preserve">. </w:t>
      </w:r>
      <w:r w:rsidR="00647E72" w:rsidRPr="00394FA8">
        <w:rPr>
          <w:rFonts w:ascii="Arial" w:hAnsi="Arial" w:cs="Arial"/>
        </w:rPr>
        <w:t xml:space="preserve"> </w:t>
      </w:r>
    </w:p>
    <w:p w14:paraId="2E0F950F" w14:textId="080F87FA" w:rsidR="003714C3" w:rsidRPr="00DB4007" w:rsidRDefault="00EC42C4" w:rsidP="00876CA5">
      <w:pPr>
        <w:spacing w:after="480" w:line="360" w:lineRule="auto"/>
        <w:jc w:val="both"/>
        <w:rPr>
          <w:rFonts w:ascii="Arial" w:hAnsi="Arial" w:cs="Arial"/>
        </w:rPr>
      </w:pPr>
      <w:r>
        <w:rPr>
          <w:rFonts w:ascii="Arial" w:hAnsi="Arial" w:cs="Arial"/>
        </w:rPr>
        <w:t>ONUS OF PROOF</w:t>
      </w:r>
    </w:p>
    <w:p w14:paraId="6259D841" w14:textId="536D9F19" w:rsidR="00EC42C4" w:rsidRPr="00394FA8" w:rsidRDefault="00394FA8" w:rsidP="00394FA8">
      <w:pPr>
        <w:spacing w:after="480" w:line="360" w:lineRule="auto"/>
        <w:ind w:left="720" w:hanging="720"/>
        <w:jc w:val="both"/>
        <w:rPr>
          <w:rFonts w:ascii="Arial" w:hAnsi="Arial" w:cs="Arial"/>
        </w:rPr>
      </w:pPr>
      <w:r>
        <w:rPr>
          <w:rFonts w:ascii="Arial" w:hAnsi="Arial" w:cs="Arial"/>
        </w:rPr>
        <w:t>[25]</w:t>
      </w:r>
      <w:r>
        <w:rPr>
          <w:rFonts w:ascii="Arial" w:hAnsi="Arial" w:cs="Arial"/>
        </w:rPr>
        <w:tab/>
      </w:r>
      <w:r w:rsidR="00EC42C4" w:rsidRPr="00394FA8">
        <w:rPr>
          <w:rFonts w:ascii="Arial" w:hAnsi="Arial" w:cs="Arial"/>
        </w:rPr>
        <w:t xml:space="preserve">It is common cause that the deceased is the registered owner of the property, and that the first respondent is the executrix of his estate. The first respondent asserts that the appellant and his wife concluded a lease agreement with the deceased in respect of which they rented a back room on the property. After the deceased passed away, the </w:t>
      </w:r>
      <w:r w:rsidR="00C35855" w:rsidRPr="00394FA8">
        <w:rPr>
          <w:rFonts w:ascii="Arial" w:hAnsi="Arial" w:cs="Arial"/>
        </w:rPr>
        <w:t>appellant and his wife</w:t>
      </w:r>
      <w:r w:rsidR="0026113B" w:rsidRPr="00394FA8">
        <w:rPr>
          <w:rFonts w:ascii="Arial" w:hAnsi="Arial" w:cs="Arial"/>
        </w:rPr>
        <w:t xml:space="preserve"> breached the lease agreement by failing to pay rent</w:t>
      </w:r>
      <w:r w:rsidR="00E45723" w:rsidRPr="00394FA8">
        <w:rPr>
          <w:rFonts w:ascii="Arial" w:hAnsi="Arial" w:cs="Arial"/>
        </w:rPr>
        <w:t xml:space="preserve"> for occupying the property. The first respondent terminated the lease agreement </w:t>
      </w:r>
      <w:r w:rsidR="0026113B" w:rsidRPr="00394FA8">
        <w:rPr>
          <w:rFonts w:ascii="Arial" w:hAnsi="Arial" w:cs="Arial"/>
        </w:rPr>
        <w:t>and</w:t>
      </w:r>
      <w:r w:rsidR="00E45723" w:rsidRPr="00394FA8">
        <w:rPr>
          <w:rFonts w:ascii="Arial" w:hAnsi="Arial" w:cs="Arial"/>
        </w:rPr>
        <w:t xml:space="preserve"> gave the appellant and his wife </w:t>
      </w:r>
      <w:r w:rsidR="00C35855" w:rsidRPr="00394FA8">
        <w:rPr>
          <w:rFonts w:ascii="Arial" w:hAnsi="Arial" w:cs="Arial"/>
        </w:rPr>
        <w:t>notice to vacate the property.</w:t>
      </w:r>
      <w:r w:rsidR="00332490" w:rsidRPr="00394FA8">
        <w:rPr>
          <w:rFonts w:ascii="Arial" w:hAnsi="Arial" w:cs="Arial"/>
        </w:rPr>
        <w:t xml:space="preserve"> The appellant and his wife refused to vacate the property, they remain in occupation of the property without the first respondent’s consent</w:t>
      </w:r>
      <w:r w:rsidR="00C35ABE" w:rsidRPr="00394FA8">
        <w:rPr>
          <w:rFonts w:ascii="Arial" w:hAnsi="Arial" w:cs="Arial"/>
        </w:rPr>
        <w:t xml:space="preserve"> or </w:t>
      </w:r>
      <w:r w:rsidR="00EA2B86" w:rsidRPr="00394FA8">
        <w:rPr>
          <w:rFonts w:ascii="Arial" w:hAnsi="Arial" w:cs="Arial"/>
        </w:rPr>
        <w:t>having any right in law to do so</w:t>
      </w:r>
      <w:r w:rsidR="00332490" w:rsidRPr="00394FA8">
        <w:rPr>
          <w:rFonts w:ascii="Arial" w:hAnsi="Arial" w:cs="Arial"/>
        </w:rPr>
        <w:t xml:space="preserve">, and they have become unlawful occupiers of the property. </w:t>
      </w:r>
      <w:r w:rsidR="00EC42C4" w:rsidRPr="00394FA8">
        <w:rPr>
          <w:rFonts w:ascii="Arial" w:hAnsi="Arial" w:cs="Arial"/>
        </w:rPr>
        <w:t xml:space="preserve"> </w:t>
      </w:r>
    </w:p>
    <w:p w14:paraId="027B03C4" w14:textId="3CC06B1F" w:rsidR="00EC42C4" w:rsidRPr="00394FA8" w:rsidRDefault="00394FA8" w:rsidP="00394FA8">
      <w:pPr>
        <w:spacing w:after="480" w:line="360" w:lineRule="auto"/>
        <w:ind w:left="720" w:hanging="720"/>
        <w:jc w:val="both"/>
        <w:rPr>
          <w:rFonts w:ascii="Arial" w:hAnsi="Arial" w:cs="Arial"/>
        </w:rPr>
      </w:pPr>
      <w:r>
        <w:rPr>
          <w:rFonts w:ascii="Arial" w:hAnsi="Arial" w:cs="Arial"/>
        </w:rPr>
        <w:t>[26]</w:t>
      </w:r>
      <w:r>
        <w:rPr>
          <w:rFonts w:ascii="Arial" w:hAnsi="Arial" w:cs="Arial"/>
        </w:rPr>
        <w:tab/>
      </w:r>
      <w:r w:rsidR="00EC42C4" w:rsidRPr="00394FA8">
        <w:rPr>
          <w:rFonts w:ascii="Arial" w:hAnsi="Arial" w:cs="Arial"/>
        </w:rPr>
        <w:t>On the other hand, the appellant denies that a lease agreement was ever concluded.</w:t>
      </w:r>
      <w:r w:rsidR="00F12C5F" w:rsidRPr="00394FA8">
        <w:rPr>
          <w:rFonts w:ascii="Arial" w:hAnsi="Arial" w:cs="Arial"/>
        </w:rPr>
        <w:t xml:space="preserve"> He further denies that he and his wife are unlawful occupiers of the property.</w:t>
      </w:r>
      <w:r w:rsidR="00EC42C4" w:rsidRPr="00394FA8">
        <w:rPr>
          <w:rFonts w:ascii="Arial" w:hAnsi="Arial" w:cs="Arial"/>
        </w:rPr>
        <w:t xml:space="preserve"> He asserts that he occupied the property pursuant to an agreement concluded with the deceased in terms of which the deceased sold the property to the appellant. H</w:t>
      </w:r>
      <w:r w:rsidR="00475511" w:rsidRPr="00394FA8">
        <w:rPr>
          <w:rFonts w:ascii="Arial" w:hAnsi="Arial" w:cs="Arial"/>
        </w:rPr>
        <w:t>e</w:t>
      </w:r>
      <w:r w:rsidR="00EC42C4" w:rsidRPr="00394FA8">
        <w:rPr>
          <w:rFonts w:ascii="Arial" w:hAnsi="Arial" w:cs="Arial"/>
        </w:rPr>
        <w:t xml:space="preserve"> further asserts that the property could not be transferred into his name because of the outstanding</w:t>
      </w:r>
      <w:r w:rsidR="00BE432F" w:rsidRPr="00394FA8">
        <w:rPr>
          <w:rFonts w:ascii="Arial" w:hAnsi="Arial" w:cs="Arial"/>
        </w:rPr>
        <w:t xml:space="preserve"> debt owed to the municipality. Additionally, he claims</w:t>
      </w:r>
      <w:r w:rsidR="00252A48" w:rsidRPr="00394FA8">
        <w:rPr>
          <w:rFonts w:ascii="Arial" w:hAnsi="Arial" w:cs="Arial"/>
        </w:rPr>
        <w:t xml:space="preserve"> that he made some improvements to the property.</w:t>
      </w:r>
      <w:r w:rsidR="009D2BBC" w:rsidRPr="00394FA8">
        <w:rPr>
          <w:rFonts w:ascii="Arial" w:hAnsi="Arial" w:cs="Arial"/>
        </w:rPr>
        <w:t xml:space="preserve"> The appellant bears </w:t>
      </w:r>
      <w:r w:rsidR="00CD5798" w:rsidRPr="00394FA8">
        <w:rPr>
          <w:rFonts w:ascii="Arial" w:hAnsi="Arial" w:cs="Arial"/>
        </w:rPr>
        <w:t xml:space="preserve">the </w:t>
      </w:r>
      <w:r w:rsidR="009D2BBC" w:rsidRPr="00394FA8">
        <w:rPr>
          <w:rFonts w:ascii="Arial" w:hAnsi="Arial" w:cs="Arial"/>
        </w:rPr>
        <w:t xml:space="preserve">onus to prove that a valid sale agreement in respect of the property was concluded between him and the deceased. </w:t>
      </w:r>
      <w:r w:rsidR="00BE749E" w:rsidRPr="00394FA8">
        <w:rPr>
          <w:rFonts w:ascii="Arial" w:hAnsi="Arial" w:cs="Arial"/>
        </w:rPr>
        <w:t>W</w:t>
      </w:r>
      <w:r w:rsidR="001D6672" w:rsidRPr="00394FA8">
        <w:rPr>
          <w:rFonts w:ascii="Arial" w:hAnsi="Arial" w:cs="Arial"/>
        </w:rPr>
        <w:t>e deal with the</w:t>
      </w:r>
      <w:r w:rsidR="00BE749E" w:rsidRPr="00394FA8">
        <w:rPr>
          <w:rFonts w:ascii="Arial" w:hAnsi="Arial" w:cs="Arial"/>
        </w:rPr>
        <w:t xml:space="preserve"> sale agreement</w:t>
      </w:r>
      <w:r w:rsidR="000216EF" w:rsidRPr="00394FA8">
        <w:rPr>
          <w:rFonts w:ascii="Arial" w:hAnsi="Arial" w:cs="Arial"/>
        </w:rPr>
        <w:t xml:space="preserve"> and</w:t>
      </w:r>
      <w:r w:rsidR="00252A48" w:rsidRPr="00394FA8">
        <w:rPr>
          <w:rFonts w:ascii="Arial" w:hAnsi="Arial" w:cs="Arial"/>
        </w:rPr>
        <w:t xml:space="preserve"> improvements to the property</w:t>
      </w:r>
      <w:r w:rsidR="00BE749E" w:rsidRPr="00394FA8">
        <w:rPr>
          <w:rFonts w:ascii="Arial" w:hAnsi="Arial" w:cs="Arial"/>
        </w:rPr>
        <w:t xml:space="preserve"> under</w:t>
      </w:r>
      <w:r w:rsidR="0062014C" w:rsidRPr="00394FA8">
        <w:rPr>
          <w:rFonts w:ascii="Arial" w:hAnsi="Arial" w:cs="Arial"/>
        </w:rPr>
        <w:t xml:space="preserve"> the grounds of appeal below</w:t>
      </w:r>
      <w:r w:rsidR="00BE749E" w:rsidRPr="00394FA8">
        <w:rPr>
          <w:rFonts w:ascii="Arial" w:hAnsi="Arial" w:cs="Arial"/>
        </w:rPr>
        <w:t xml:space="preserve">. </w:t>
      </w:r>
    </w:p>
    <w:p w14:paraId="698AD6CA" w14:textId="38EAEA5A" w:rsidR="00FF4B11" w:rsidRPr="00394FA8" w:rsidRDefault="00394FA8" w:rsidP="00394FA8">
      <w:pPr>
        <w:spacing w:after="480" w:line="360" w:lineRule="auto"/>
        <w:ind w:left="720" w:hanging="720"/>
        <w:jc w:val="both"/>
        <w:rPr>
          <w:rFonts w:ascii="Arial" w:hAnsi="Arial" w:cs="Arial"/>
          <w:bCs/>
        </w:rPr>
      </w:pPr>
      <w:r w:rsidRPr="00C675B3">
        <w:rPr>
          <w:rFonts w:ascii="Arial" w:hAnsi="Arial" w:cs="Arial"/>
        </w:rPr>
        <w:t>[27]</w:t>
      </w:r>
      <w:r w:rsidRPr="00C675B3">
        <w:rPr>
          <w:rFonts w:ascii="Arial" w:hAnsi="Arial" w:cs="Arial"/>
        </w:rPr>
        <w:tab/>
      </w:r>
      <w:r w:rsidR="00C675B3" w:rsidRPr="00394FA8">
        <w:rPr>
          <w:rFonts w:ascii="Arial" w:hAnsi="Arial" w:cs="Arial"/>
          <w:bCs/>
        </w:rPr>
        <w:t xml:space="preserve">Section 26(3) of the Constitution of the Republic of South Africa, </w:t>
      </w:r>
      <w:r w:rsidR="002E4788" w:rsidRPr="00394FA8">
        <w:rPr>
          <w:rFonts w:ascii="Arial" w:hAnsi="Arial" w:cs="Arial"/>
          <w:bCs/>
        </w:rPr>
        <w:t>1996</w:t>
      </w:r>
      <w:r w:rsidR="005426B8" w:rsidRPr="00394FA8">
        <w:rPr>
          <w:rFonts w:ascii="Arial" w:hAnsi="Arial" w:cs="Arial"/>
          <w:bCs/>
        </w:rPr>
        <w:t xml:space="preserve"> provides that no one may be evicted from their home or have their home demolished without a court order authorising such eviction after having due regard to ‘all the relevant circumstances’. </w:t>
      </w:r>
      <w:r w:rsidR="00252A48" w:rsidRPr="00394FA8">
        <w:rPr>
          <w:rFonts w:ascii="Arial" w:hAnsi="Arial" w:cs="Arial"/>
          <w:bCs/>
        </w:rPr>
        <w:t>The PIE Act amplifies this by providing that a court may not grant an eviction order unless the eviction sought would be ‘just and equitable’</w:t>
      </w:r>
      <w:r w:rsidR="00F759C4" w:rsidRPr="00394FA8">
        <w:rPr>
          <w:rFonts w:ascii="Arial" w:hAnsi="Arial" w:cs="Arial"/>
          <w:bCs/>
        </w:rPr>
        <w:t xml:space="preserve"> in the circumstances. </w:t>
      </w:r>
      <w:r w:rsidR="00B30AC7" w:rsidRPr="00394FA8">
        <w:rPr>
          <w:rFonts w:ascii="Arial" w:hAnsi="Arial" w:cs="Arial"/>
          <w:bCs/>
        </w:rPr>
        <w:t>T</w:t>
      </w:r>
      <w:r w:rsidR="000C4230" w:rsidRPr="00394FA8">
        <w:rPr>
          <w:rFonts w:ascii="Arial" w:hAnsi="Arial" w:cs="Arial"/>
          <w:bCs/>
        </w:rPr>
        <w:t xml:space="preserve">he </w:t>
      </w:r>
      <w:r w:rsidR="00E71FAE" w:rsidRPr="00394FA8">
        <w:rPr>
          <w:rFonts w:ascii="Arial" w:hAnsi="Arial" w:cs="Arial"/>
          <w:bCs/>
        </w:rPr>
        <w:t>first respondent</w:t>
      </w:r>
      <w:r w:rsidR="006C70D4" w:rsidRPr="00394FA8">
        <w:rPr>
          <w:rFonts w:ascii="Arial" w:hAnsi="Arial" w:cs="Arial"/>
          <w:bCs/>
        </w:rPr>
        <w:t xml:space="preserve"> bears </w:t>
      </w:r>
      <w:r w:rsidR="00CD5798" w:rsidRPr="00394FA8">
        <w:rPr>
          <w:rFonts w:ascii="Arial" w:hAnsi="Arial" w:cs="Arial"/>
          <w:bCs/>
        </w:rPr>
        <w:t xml:space="preserve">the </w:t>
      </w:r>
      <w:r w:rsidR="006C70D4" w:rsidRPr="00394FA8">
        <w:rPr>
          <w:rFonts w:ascii="Arial" w:hAnsi="Arial" w:cs="Arial"/>
          <w:bCs/>
        </w:rPr>
        <w:t>on</w:t>
      </w:r>
      <w:r w:rsidR="00E71FAE" w:rsidRPr="00394FA8">
        <w:rPr>
          <w:rFonts w:ascii="Arial" w:hAnsi="Arial" w:cs="Arial"/>
          <w:bCs/>
        </w:rPr>
        <w:t>us to establish that the appellant and his wife</w:t>
      </w:r>
      <w:r w:rsidR="006C70D4" w:rsidRPr="00394FA8">
        <w:rPr>
          <w:rFonts w:ascii="Arial" w:hAnsi="Arial" w:cs="Arial"/>
          <w:bCs/>
        </w:rPr>
        <w:t xml:space="preserve"> </w:t>
      </w:r>
      <w:r w:rsidR="00E71FAE" w:rsidRPr="00394FA8">
        <w:rPr>
          <w:rFonts w:ascii="Arial" w:hAnsi="Arial" w:cs="Arial"/>
          <w:bCs/>
        </w:rPr>
        <w:t>are</w:t>
      </w:r>
      <w:r w:rsidR="006C70D4" w:rsidRPr="00394FA8">
        <w:rPr>
          <w:rFonts w:ascii="Arial" w:hAnsi="Arial" w:cs="Arial"/>
          <w:bCs/>
        </w:rPr>
        <w:t xml:space="preserve"> unlawful occupier</w:t>
      </w:r>
      <w:r w:rsidR="00E71FAE" w:rsidRPr="00394FA8">
        <w:rPr>
          <w:rFonts w:ascii="Arial" w:hAnsi="Arial" w:cs="Arial"/>
          <w:bCs/>
        </w:rPr>
        <w:t>s.</w:t>
      </w:r>
      <w:r w:rsidR="00A84AB7" w:rsidRPr="00394FA8">
        <w:rPr>
          <w:rFonts w:ascii="Arial" w:hAnsi="Arial" w:cs="Arial"/>
          <w:bCs/>
        </w:rPr>
        <w:t xml:space="preserve"> </w:t>
      </w:r>
      <w:r w:rsidR="00E71FAE" w:rsidRPr="00394FA8">
        <w:rPr>
          <w:rFonts w:ascii="Arial" w:hAnsi="Arial" w:cs="Arial"/>
          <w:bCs/>
        </w:rPr>
        <w:t>She is</w:t>
      </w:r>
      <w:r w:rsidR="00B30AC7" w:rsidRPr="00394FA8">
        <w:rPr>
          <w:rFonts w:ascii="Arial" w:hAnsi="Arial" w:cs="Arial"/>
          <w:bCs/>
        </w:rPr>
        <w:t xml:space="preserve"> </w:t>
      </w:r>
      <w:r w:rsidR="00A84AB7" w:rsidRPr="00394FA8">
        <w:rPr>
          <w:rFonts w:ascii="Arial" w:hAnsi="Arial" w:cs="Arial"/>
          <w:bCs/>
        </w:rPr>
        <w:t>further</w:t>
      </w:r>
      <w:r w:rsidR="00B30AC7" w:rsidRPr="00394FA8">
        <w:rPr>
          <w:rFonts w:ascii="Arial" w:hAnsi="Arial" w:cs="Arial"/>
          <w:bCs/>
        </w:rPr>
        <w:t xml:space="preserve"> required in terms of the PIE Act to satisfy the court that the eviction would be just and equitable. T</w:t>
      </w:r>
      <w:r w:rsidR="009F1EC7" w:rsidRPr="00394FA8">
        <w:rPr>
          <w:rFonts w:ascii="Arial" w:hAnsi="Arial" w:cs="Arial"/>
          <w:bCs/>
        </w:rPr>
        <w:t xml:space="preserve">he appellant bears </w:t>
      </w:r>
      <w:r w:rsidR="00CD5798" w:rsidRPr="00394FA8">
        <w:rPr>
          <w:rFonts w:ascii="Arial" w:hAnsi="Arial" w:cs="Arial"/>
          <w:bCs/>
        </w:rPr>
        <w:t xml:space="preserve">the </w:t>
      </w:r>
      <w:r w:rsidR="009F1EC7" w:rsidRPr="00394FA8">
        <w:rPr>
          <w:rFonts w:ascii="Arial" w:hAnsi="Arial" w:cs="Arial"/>
          <w:bCs/>
        </w:rPr>
        <w:t xml:space="preserve">evidentiary burden to demonstrate that </w:t>
      </w:r>
      <w:r w:rsidR="000B37E4" w:rsidRPr="00394FA8">
        <w:rPr>
          <w:rFonts w:ascii="Arial" w:hAnsi="Arial" w:cs="Arial"/>
          <w:bCs/>
        </w:rPr>
        <w:t>the eviction would likely</w:t>
      </w:r>
      <w:r w:rsidR="008843C5" w:rsidRPr="00394FA8">
        <w:rPr>
          <w:rFonts w:ascii="Arial" w:hAnsi="Arial" w:cs="Arial"/>
          <w:bCs/>
        </w:rPr>
        <w:t xml:space="preserve"> render him and other occupiers</w:t>
      </w:r>
      <w:r w:rsidR="00B90F16" w:rsidRPr="00394FA8">
        <w:rPr>
          <w:rFonts w:ascii="Arial" w:hAnsi="Arial" w:cs="Arial"/>
          <w:bCs/>
        </w:rPr>
        <w:t xml:space="preserve"> homeless. </w:t>
      </w:r>
      <w:r w:rsidR="00C2564F" w:rsidRPr="00394FA8">
        <w:rPr>
          <w:rFonts w:ascii="Arial" w:hAnsi="Arial" w:cs="Arial"/>
          <w:bCs/>
        </w:rPr>
        <w:t>The state is obliged to</w:t>
      </w:r>
      <w:r w:rsidR="009A6D0D" w:rsidRPr="00394FA8">
        <w:rPr>
          <w:rFonts w:ascii="Arial" w:hAnsi="Arial" w:cs="Arial"/>
          <w:bCs/>
        </w:rPr>
        <w:t xml:space="preserve"> take reasonable measures to</w:t>
      </w:r>
      <w:r w:rsidR="00C2564F" w:rsidRPr="00394FA8">
        <w:rPr>
          <w:rFonts w:ascii="Arial" w:hAnsi="Arial" w:cs="Arial"/>
          <w:bCs/>
        </w:rPr>
        <w:t xml:space="preserve"> provide</w:t>
      </w:r>
      <w:r w:rsidR="009A6D0D" w:rsidRPr="00394FA8">
        <w:rPr>
          <w:rFonts w:ascii="Arial" w:hAnsi="Arial" w:cs="Arial"/>
          <w:bCs/>
        </w:rPr>
        <w:t xml:space="preserve"> </w:t>
      </w:r>
      <w:r w:rsidR="00C2564F" w:rsidRPr="00394FA8">
        <w:rPr>
          <w:rFonts w:ascii="Arial" w:hAnsi="Arial" w:cs="Arial"/>
          <w:bCs/>
        </w:rPr>
        <w:t xml:space="preserve">alternative accommodation to the occupiers where the eviction would likely render them homeless. </w:t>
      </w:r>
    </w:p>
    <w:p w14:paraId="4A033816" w14:textId="77777777" w:rsidR="007816E6" w:rsidRPr="00B229AC" w:rsidRDefault="007816E6" w:rsidP="00876CA5">
      <w:pPr>
        <w:spacing w:after="480" w:line="360" w:lineRule="auto"/>
        <w:jc w:val="both"/>
        <w:rPr>
          <w:rFonts w:ascii="Arial" w:hAnsi="Arial" w:cs="Arial"/>
        </w:rPr>
      </w:pPr>
      <w:r w:rsidRPr="00B229AC">
        <w:rPr>
          <w:rFonts w:ascii="Arial" w:hAnsi="Arial" w:cs="Arial"/>
        </w:rPr>
        <w:t>APPELLANT’S GROUNDS OF APPEAL</w:t>
      </w:r>
    </w:p>
    <w:p w14:paraId="55734AFD" w14:textId="068B88E4" w:rsidR="007816E6" w:rsidRPr="00394FA8" w:rsidRDefault="00394FA8" w:rsidP="00394FA8">
      <w:pPr>
        <w:spacing w:after="480" w:line="360" w:lineRule="auto"/>
        <w:ind w:left="720" w:hanging="720"/>
        <w:jc w:val="both"/>
        <w:rPr>
          <w:rFonts w:ascii="Arial" w:hAnsi="Arial" w:cs="Arial"/>
        </w:rPr>
      </w:pPr>
      <w:r w:rsidRPr="00876CA5">
        <w:rPr>
          <w:rFonts w:ascii="Arial" w:hAnsi="Arial" w:cs="Arial"/>
        </w:rPr>
        <w:t>[28]</w:t>
      </w:r>
      <w:r w:rsidRPr="00876CA5">
        <w:rPr>
          <w:rFonts w:ascii="Arial" w:hAnsi="Arial" w:cs="Arial"/>
        </w:rPr>
        <w:tab/>
      </w:r>
      <w:r w:rsidR="00E16E96" w:rsidRPr="00394FA8">
        <w:rPr>
          <w:rFonts w:ascii="Arial" w:hAnsi="Arial" w:cs="Arial"/>
        </w:rPr>
        <w:t>The</w:t>
      </w:r>
      <w:r w:rsidR="007816E6" w:rsidRPr="00394FA8">
        <w:rPr>
          <w:rFonts w:ascii="Arial" w:hAnsi="Arial" w:cs="Arial"/>
        </w:rPr>
        <w:t xml:space="preserve">re </w:t>
      </w:r>
      <w:r w:rsidR="00C46246" w:rsidRPr="00394FA8">
        <w:rPr>
          <w:rFonts w:ascii="Arial" w:hAnsi="Arial" w:cs="Arial"/>
        </w:rPr>
        <w:t xml:space="preserve">are </w:t>
      </w:r>
      <w:r w:rsidR="007816E6" w:rsidRPr="00394FA8">
        <w:rPr>
          <w:rFonts w:ascii="Arial" w:hAnsi="Arial" w:cs="Arial"/>
        </w:rPr>
        <w:t>two grounds upon which the appellant contends the learned Magistrate erred</w:t>
      </w:r>
      <w:r w:rsidR="00A105EA" w:rsidRPr="00394FA8">
        <w:rPr>
          <w:rFonts w:ascii="Arial" w:hAnsi="Arial" w:cs="Arial"/>
        </w:rPr>
        <w:t>, and which constitute his defence to the eviction application.</w:t>
      </w:r>
      <w:r w:rsidR="007816E6" w:rsidRPr="00394FA8">
        <w:rPr>
          <w:rFonts w:ascii="Arial" w:hAnsi="Arial" w:cs="Arial"/>
        </w:rPr>
        <w:t xml:space="preserve"> </w:t>
      </w:r>
    </w:p>
    <w:p w14:paraId="1723255A" w14:textId="0FBD647A" w:rsidR="00A105EA" w:rsidRPr="00394FA8" w:rsidRDefault="00394FA8" w:rsidP="00394FA8">
      <w:pPr>
        <w:spacing w:after="480" w:line="360" w:lineRule="auto"/>
        <w:ind w:left="720" w:hanging="720"/>
        <w:jc w:val="both"/>
        <w:rPr>
          <w:rFonts w:ascii="Arial" w:hAnsi="Arial" w:cs="Arial"/>
        </w:rPr>
      </w:pPr>
      <w:r w:rsidRPr="00876CA5">
        <w:rPr>
          <w:rFonts w:ascii="Arial" w:hAnsi="Arial" w:cs="Arial"/>
        </w:rPr>
        <w:t>[29]</w:t>
      </w:r>
      <w:r w:rsidRPr="00876CA5">
        <w:rPr>
          <w:rFonts w:ascii="Arial" w:hAnsi="Arial" w:cs="Arial"/>
        </w:rPr>
        <w:tab/>
      </w:r>
      <w:r w:rsidR="00D00815" w:rsidRPr="00394FA8">
        <w:rPr>
          <w:rFonts w:ascii="Arial" w:hAnsi="Arial" w:cs="Arial"/>
        </w:rPr>
        <w:t>First</w:t>
      </w:r>
      <w:r w:rsidR="00A105EA" w:rsidRPr="00394FA8">
        <w:rPr>
          <w:rFonts w:ascii="Arial" w:hAnsi="Arial" w:cs="Arial"/>
        </w:rPr>
        <w:t xml:space="preserve">, </w:t>
      </w:r>
      <w:r w:rsidR="007816E6" w:rsidRPr="00394FA8">
        <w:rPr>
          <w:rFonts w:ascii="Arial" w:hAnsi="Arial" w:cs="Arial"/>
        </w:rPr>
        <w:t xml:space="preserve">the appellant </w:t>
      </w:r>
      <w:r w:rsidR="00A105EA" w:rsidRPr="00394FA8">
        <w:rPr>
          <w:rFonts w:ascii="Arial" w:hAnsi="Arial" w:cs="Arial"/>
        </w:rPr>
        <w:t>relies on a deed o</w:t>
      </w:r>
      <w:r w:rsidR="007816E6" w:rsidRPr="00394FA8">
        <w:rPr>
          <w:rFonts w:ascii="Arial" w:hAnsi="Arial" w:cs="Arial"/>
        </w:rPr>
        <w:t>f sale concluded between himself and the deceased</w:t>
      </w:r>
      <w:r w:rsidR="00A105EA" w:rsidRPr="00394FA8">
        <w:rPr>
          <w:rFonts w:ascii="Arial" w:hAnsi="Arial" w:cs="Arial"/>
        </w:rPr>
        <w:t xml:space="preserve"> in respect of which the property was sold to the appellant. The appellant contends that this </w:t>
      </w:r>
      <w:r w:rsidR="007816E6" w:rsidRPr="00394FA8">
        <w:rPr>
          <w:rFonts w:ascii="Arial" w:hAnsi="Arial" w:cs="Arial"/>
        </w:rPr>
        <w:t xml:space="preserve">deed of sale is binding on the first respondent as executrix of the </w:t>
      </w:r>
      <w:r w:rsidR="00A105EA" w:rsidRPr="00394FA8">
        <w:rPr>
          <w:rFonts w:ascii="Arial" w:hAnsi="Arial" w:cs="Arial"/>
        </w:rPr>
        <w:t xml:space="preserve">deceased’s </w:t>
      </w:r>
      <w:r w:rsidR="007A7064" w:rsidRPr="00394FA8">
        <w:rPr>
          <w:rFonts w:ascii="Arial" w:hAnsi="Arial" w:cs="Arial"/>
        </w:rPr>
        <w:t>estate and</w:t>
      </w:r>
      <w:r w:rsidR="00C46246" w:rsidRPr="00394FA8">
        <w:rPr>
          <w:rFonts w:ascii="Arial" w:hAnsi="Arial" w:cs="Arial"/>
        </w:rPr>
        <w:t xml:space="preserve"> affords him a complete defence to the eviction orders. The appellant asserts that the learned Magistrate ignored this defence completely. </w:t>
      </w:r>
    </w:p>
    <w:p w14:paraId="744A2557" w14:textId="0E0CB0D9" w:rsidR="007D7E31" w:rsidRPr="00394FA8" w:rsidRDefault="00394FA8" w:rsidP="00394FA8">
      <w:pPr>
        <w:spacing w:after="480" w:line="360" w:lineRule="auto"/>
        <w:ind w:left="720" w:hanging="720"/>
        <w:jc w:val="both"/>
        <w:rPr>
          <w:rFonts w:ascii="Arial" w:hAnsi="Arial" w:cs="Arial"/>
        </w:rPr>
      </w:pPr>
      <w:r w:rsidRPr="00876CA5">
        <w:rPr>
          <w:rFonts w:ascii="Arial" w:hAnsi="Arial" w:cs="Arial"/>
        </w:rPr>
        <w:t>[30]</w:t>
      </w:r>
      <w:r w:rsidRPr="00876CA5">
        <w:rPr>
          <w:rFonts w:ascii="Arial" w:hAnsi="Arial" w:cs="Arial"/>
        </w:rPr>
        <w:tab/>
      </w:r>
      <w:r w:rsidR="00A105EA" w:rsidRPr="00394FA8">
        <w:rPr>
          <w:rFonts w:ascii="Arial" w:hAnsi="Arial" w:cs="Arial"/>
        </w:rPr>
        <w:t xml:space="preserve">Second, </w:t>
      </w:r>
      <w:r w:rsidR="00D00815" w:rsidRPr="00394FA8">
        <w:rPr>
          <w:rFonts w:ascii="Arial" w:hAnsi="Arial" w:cs="Arial"/>
        </w:rPr>
        <w:t>the appellant made huge improvements to the property</w:t>
      </w:r>
      <w:r w:rsidR="00A105EA" w:rsidRPr="00394FA8">
        <w:rPr>
          <w:rFonts w:ascii="Arial" w:hAnsi="Arial" w:cs="Arial"/>
        </w:rPr>
        <w:t xml:space="preserve">. These </w:t>
      </w:r>
      <w:r w:rsidR="00D00815" w:rsidRPr="00394FA8">
        <w:rPr>
          <w:rFonts w:ascii="Arial" w:hAnsi="Arial" w:cs="Arial"/>
        </w:rPr>
        <w:t xml:space="preserve">improvements </w:t>
      </w:r>
      <w:r w:rsidR="00A105EA" w:rsidRPr="00394FA8">
        <w:rPr>
          <w:rFonts w:ascii="Arial" w:hAnsi="Arial" w:cs="Arial"/>
        </w:rPr>
        <w:t xml:space="preserve">constitute </w:t>
      </w:r>
      <w:r w:rsidR="00D00815" w:rsidRPr="00394FA8">
        <w:rPr>
          <w:rFonts w:ascii="Arial" w:hAnsi="Arial" w:cs="Arial"/>
        </w:rPr>
        <w:t>a lien in favour of the appellant</w:t>
      </w:r>
      <w:r w:rsidR="00A105EA" w:rsidRPr="00394FA8">
        <w:rPr>
          <w:rFonts w:ascii="Arial" w:hAnsi="Arial" w:cs="Arial"/>
        </w:rPr>
        <w:t xml:space="preserve">. This lien is a valid defence </w:t>
      </w:r>
      <w:r w:rsidR="00143A8E" w:rsidRPr="00394FA8">
        <w:rPr>
          <w:rFonts w:ascii="Arial" w:hAnsi="Arial" w:cs="Arial"/>
        </w:rPr>
        <w:t>against the eviction order</w:t>
      </w:r>
      <w:r w:rsidR="00A105EA" w:rsidRPr="00394FA8">
        <w:rPr>
          <w:rFonts w:ascii="Arial" w:hAnsi="Arial" w:cs="Arial"/>
        </w:rPr>
        <w:t xml:space="preserve">. The appellant </w:t>
      </w:r>
      <w:r w:rsidR="007D7E31" w:rsidRPr="00394FA8">
        <w:rPr>
          <w:rFonts w:ascii="Arial" w:hAnsi="Arial" w:cs="Arial"/>
        </w:rPr>
        <w:t>asserts that the learned Magistrate ignored these improvements and the lien defence in his judgment.</w:t>
      </w:r>
    </w:p>
    <w:p w14:paraId="4379F57B" w14:textId="614F6C55" w:rsidR="00E659C9" w:rsidRPr="00394FA8" w:rsidRDefault="00394FA8" w:rsidP="00394FA8">
      <w:pPr>
        <w:spacing w:after="480" w:line="360" w:lineRule="auto"/>
        <w:ind w:left="720" w:hanging="720"/>
        <w:jc w:val="both"/>
        <w:rPr>
          <w:rFonts w:ascii="Arial" w:hAnsi="Arial" w:cs="Arial"/>
        </w:rPr>
      </w:pPr>
      <w:r w:rsidRPr="00876CA5">
        <w:rPr>
          <w:rFonts w:ascii="Arial" w:hAnsi="Arial" w:cs="Arial"/>
        </w:rPr>
        <w:t>[31]</w:t>
      </w:r>
      <w:r w:rsidRPr="00876CA5">
        <w:rPr>
          <w:rFonts w:ascii="Arial" w:hAnsi="Arial" w:cs="Arial"/>
        </w:rPr>
        <w:tab/>
      </w:r>
      <w:r w:rsidR="001937CF" w:rsidRPr="00394FA8">
        <w:rPr>
          <w:rFonts w:ascii="Arial" w:hAnsi="Arial" w:cs="Arial"/>
        </w:rPr>
        <w:t xml:space="preserve">We </w:t>
      </w:r>
      <w:r w:rsidR="005002AE" w:rsidRPr="00394FA8">
        <w:rPr>
          <w:rFonts w:ascii="Arial" w:hAnsi="Arial" w:cs="Arial"/>
        </w:rPr>
        <w:t>deal with each of these grounds in more detail below.</w:t>
      </w:r>
    </w:p>
    <w:p w14:paraId="1E31A30F" w14:textId="44BE7656" w:rsidR="007D7E31" w:rsidRPr="001937CF" w:rsidRDefault="007D7E31" w:rsidP="00876CA5">
      <w:pPr>
        <w:spacing w:after="480" w:line="360" w:lineRule="auto"/>
        <w:jc w:val="both"/>
        <w:rPr>
          <w:rFonts w:ascii="Arial" w:hAnsi="Arial" w:cs="Arial"/>
        </w:rPr>
      </w:pPr>
      <w:r w:rsidRPr="001937CF">
        <w:rPr>
          <w:rFonts w:ascii="Arial" w:hAnsi="Arial" w:cs="Arial"/>
        </w:rPr>
        <w:t xml:space="preserve">FIRST GROUND OF APPEAL: THE </w:t>
      </w:r>
      <w:r w:rsidR="00312E8B">
        <w:rPr>
          <w:rFonts w:ascii="Arial" w:hAnsi="Arial" w:cs="Arial"/>
        </w:rPr>
        <w:t>ALLEGED EXISTENCE OF AN AGREEMENT OF SALE</w:t>
      </w:r>
    </w:p>
    <w:p w14:paraId="5B23E0DB" w14:textId="681D5240" w:rsidR="001032F5" w:rsidRPr="00394FA8" w:rsidRDefault="00394FA8" w:rsidP="00394FA8">
      <w:pPr>
        <w:spacing w:after="480" w:line="360" w:lineRule="auto"/>
        <w:ind w:left="720" w:hanging="720"/>
        <w:jc w:val="both"/>
        <w:rPr>
          <w:rFonts w:ascii="Arial" w:hAnsi="Arial" w:cs="Arial"/>
        </w:rPr>
      </w:pPr>
      <w:r w:rsidRPr="00DB4007">
        <w:rPr>
          <w:rFonts w:ascii="Arial" w:hAnsi="Arial" w:cs="Arial"/>
        </w:rPr>
        <w:t>[32]</w:t>
      </w:r>
      <w:r w:rsidRPr="00DB4007">
        <w:rPr>
          <w:rFonts w:ascii="Arial" w:hAnsi="Arial" w:cs="Arial"/>
        </w:rPr>
        <w:tab/>
      </w:r>
      <w:r w:rsidR="001032F5" w:rsidRPr="00394FA8">
        <w:rPr>
          <w:rFonts w:ascii="Arial" w:hAnsi="Arial" w:cs="Arial"/>
        </w:rPr>
        <w:t>The first respondent testified that the deceased did not inform her or other family members that he sold the property to the appellant. Her position was that the property had not been sold to the appellant, and that no agreement of sale had been concluded between them.</w:t>
      </w:r>
      <w:r w:rsidR="00C46246" w:rsidRPr="00394FA8">
        <w:rPr>
          <w:rFonts w:ascii="Arial" w:hAnsi="Arial" w:cs="Arial"/>
        </w:rPr>
        <w:t xml:space="preserve"> </w:t>
      </w:r>
    </w:p>
    <w:p w14:paraId="4CE8AE00" w14:textId="781EA0F7" w:rsidR="00537CB8" w:rsidRPr="00394FA8" w:rsidRDefault="00394FA8" w:rsidP="00394FA8">
      <w:pPr>
        <w:spacing w:after="480" w:line="360" w:lineRule="auto"/>
        <w:ind w:left="720" w:hanging="720"/>
        <w:jc w:val="both"/>
        <w:rPr>
          <w:rFonts w:ascii="Arial" w:hAnsi="Arial" w:cs="Arial"/>
        </w:rPr>
      </w:pPr>
      <w:r w:rsidRPr="00DB4007">
        <w:rPr>
          <w:rFonts w:ascii="Arial" w:hAnsi="Arial" w:cs="Arial"/>
        </w:rPr>
        <w:t>[33]</w:t>
      </w:r>
      <w:r w:rsidRPr="00DB4007">
        <w:rPr>
          <w:rFonts w:ascii="Arial" w:hAnsi="Arial" w:cs="Arial"/>
        </w:rPr>
        <w:tab/>
      </w:r>
      <w:r w:rsidR="00A7071F" w:rsidRPr="00394FA8">
        <w:rPr>
          <w:rFonts w:ascii="Arial" w:hAnsi="Arial" w:cs="Arial"/>
        </w:rPr>
        <w:t xml:space="preserve">Although the appellant in his answering affidavit alleged that he had concluded an agreement of sale with the deceased in respect of the property, </w:t>
      </w:r>
      <w:r w:rsidR="00537CB8" w:rsidRPr="00394FA8">
        <w:rPr>
          <w:rFonts w:ascii="Arial" w:hAnsi="Arial" w:cs="Arial"/>
        </w:rPr>
        <w:t>he did not attach it to his answering affidavit. In her replying affidavit, the first respondent challenged the appellant to produce a copy of the agreement of sale. As</w:t>
      </w:r>
      <w:r w:rsidR="00C46246" w:rsidRPr="00394FA8">
        <w:rPr>
          <w:rFonts w:ascii="Arial" w:hAnsi="Arial" w:cs="Arial"/>
        </w:rPr>
        <w:t xml:space="preserve"> </w:t>
      </w:r>
      <w:r w:rsidR="00537CB8" w:rsidRPr="00394FA8">
        <w:rPr>
          <w:rFonts w:ascii="Arial" w:hAnsi="Arial" w:cs="Arial"/>
        </w:rPr>
        <w:t>previously indicated, the parties were afforded an opportunity to file supplementary affidavits.</w:t>
      </w:r>
      <w:r w:rsidR="00C46246" w:rsidRPr="00394FA8">
        <w:rPr>
          <w:rFonts w:ascii="Arial" w:hAnsi="Arial" w:cs="Arial"/>
        </w:rPr>
        <w:t xml:space="preserve"> </w:t>
      </w:r>
      <w:r w:rsidR="00537CB8" w:rsidRPr="00394FA8">
        <w:rPr>
          <w:rFonts w:ascii="Arial" w:hAnsi="Arial" w:cs="Arial"/>
        </w:rPr>
        <w:t>The appellant</w:t>
      </w:r>
      <w:r w:rsidR="00986E6F" w:rsidRPr="00394FA8">
        <w:rPr>
          <w:rFonts w:ascii="Arial" w:hAnsi="Arial" w:cs="Arial"/>
        </w:rPr>
        <w:t>’s supplementary affidavit likewise did not attach a copy of the agreement</w:t>
      </w:r>
      <w:r w:rsidR="00C46246" w:rsidRPr="00394FA8">
        <w:rPr>
          <w:rFonts w:ascii="Arial" w:hAnsi="Arial" w:cs="Arial"/>
        </w:rPr>
        <w:t xml:space="preserve"> of sale.</w:t>
      </w:r>
      <w:r w:rsidR="00986E6F" w:rsidRPr="00394FA8">
        <w:rPr>
          <w:rFonts w:ascii="Arial" w:hAnsi="Arial" w:cs="Arial"/>
        </w:rPr>
        <w:t xml:space="preserve"> </w:t>
      </w:r>
    </w:p>
    <w:p w14:paraId="60027F41" w14:textId="61566CBB" w:rsidR="00986E6F" w:rsidRPr="00394FA8" w:rsidRDefault="00394FA8" w:rsidP="00394FA8">
      <w:pPr>
        <w:spacing w:after="480" w:line="360" w:lineRule="auto"/>
        <w:ind w:left="720" w:hanging="720"/>
        <w:jc w:val="both"/>
        <w:rPr>
          <w:rFonts w:ascii="Arial" w:hAnsi="Arial" w:cs="Arial"/>
        </w:rPr>
      </w:pPr>
      <w:r w:rsidRPr="00DB4007">
        <w:rPr>
          <w:rFonts w:ascii="Arial" w:hAnsi="Arial" w:cs="Arial"/>
        </w:rPr>
        <w:t>[34]</w:t>
      </w:r>
      <w:r w:rsidRPr="00DB4007">
        <w:rPr>
          <w:rFonts w:ascii="Arial" w:hAnsi="Arial" w:cs="Arial"/>
        </w:rPr>
        <w:tab/>
      </w:r>
      <w:r w:rsidR="00986E6F" w:rsidRPr="00394FA8">
        <w:rPr>
          <w:rFonts w:ascii="Arial" w:hAnsi="Arial" w:cs="Arial"/>
        </w:rPr>
        <w:t xml:space="preserve">During cross examination of the first respondent, appellant’s attorney, Mr Hlatshwayo, put </w:t>
      </w:r>
      <w:r w:rsidR="00427369" w:rsidRPr="00394FA8">
        <w:rPr>
          <w:rFonts w:ascii="Arial" w:hAnsi="Arial" w:cs="Arial"/>
        </w:rPr>
        <w:t xml:space="preserve">the appellant’s version to her that there was no agreement of sale: </w:t>
      </w:r>
    </w:p>
    <w:p w14:paraId="55BA4646" w14:textId="147F1197" w:rsidR="00986E6F" w:rsidRPr="001937CF" w:rsidRDefault="00986E6F" w:rsidP="00876CA5">
      <w:pPr>
        <w:pStyle w:val="ListParagraph"/>
        <w:spacing w:after="480" w:line="360" w:lineRule="auto"/>
        <w:ind w:left="1440"/>
        <w:contextualSpacing w:val="0"/>
        <w:jc w:val="both"/>
        <w:rPr>
          <w:rFonts w:ascii="Arial" w:hAnsi="Arial" w:cs="Arial"/>
          <w:iCs/>
          <w:sz w:val="20"/>
          <w:szCs w:val="20"/>
        </w:rPr>
      </w:pPr>
      <w:r w:rsidRPr="00DB4007">
        <w:rPr>
          <w:rFonts w:ascii="Arial" w:hAnsi="Arial" w:cs="Arial"/>
          <w:iCs/>
          <w:sz w:val="20"/>
          <w:szCs w:val="20"/>
        </w:rPr>
        <w:t>And we admit that there is no sale agreement between Sam Sithole and the owner of the house. There is no sale agreement. Do you understand that?</w:t>
      </w:r>
    </w:p>
    <w:p w14:paraId="5001E997" w14:textId="77777777" w:rsidR="00427369" w:rsidRPr="00876CA5" w:rsidRDefault="00986E6F" w:rsidP="00876CA5">
      <w:pPr>
        <w:pStyle w:val="ListParagraph"/>
        <w:spacing w:after="480" w:line="360" w:lineRule="auto"/>
        <w:ind w:left="1440"/>
        <w:contextualSpacing w:val="0"/>
        <w:jc w:val="both"/>
        <w:rPr>
          <w:rFonts w:ascii="Arial" w:hAnsi="Arial" w:cs="Arial"/>
        </w:rPr>
      </w:pPr>
      <w:r w:rsidRPr="00DB4007">
        <w:rPr>
          <w:rFonts w:ascii="Arial" w:hAnsi="Arial" w:cs="Arial"/>
          <w:iCs/>
          <w:sz w:val="20"/>
          <w:szCs w:val="20"/>
        </w:rPr>
        <w:t>I put it to you that there is no sale agreement. You agree?</w:t>
      </w:r>
      <w:r w:rsidRPr="00876CA5">
        <w:rPr>
          <w:rFonts w:ascii="Arial" w:hAnsi="Arial" w:cs="Arial"/>
          <w:iCs/>
        </w:rPr>
        <w:t xml:space="preserve"> </w:t>
      </w:r>
      <w:r w:rsidRPr="00876CA5">
        <w:rPr>
          <w:rFonts w:ascii="Arial" w:hAnsi="Arial" w:cs="Arial"/>
        </w:rPr>
        <w:t xml:space="preserve"> </w:t>
      </w:r>
    </w:p>
    <w:p w14:paraId="1CDFB724" w14:textId="609CAEC5" w:rsidR="00A7071F" w:rsidRPr="00394FA8" w:rsidRDefault="00394FA8" w:rsidP="00394FA8">
      <w:pPr>
        <w:spacing w:after="480" w:line="360" w:lineRule="auto"/>
        <w:ind w:left="720" w:hanging="720"/>
        <w:jc w:val="both"/>
        <w:rPr>
          <w:rFonts w:ascii="Arial" w:hAnsi="Arial" w:cs="Arial"/>
        </w:rPr>
      </w:pPr>
      <w:r w:rsidRPr="00DB4007">
        <w:rPr>
          <w:rFonts w:ascii="Arial" w:hAnsi="Arial" w:cs="Arial"/>
        </w:rPr>
        <w:t>[35]</w:t>
      </w:r>
      <w:r w:rsidRPr="00DB4007">
        <w:rPr>
          <w:rFonts w:ascii="Arial" w:hAnsi="Arial" w:cs="Arial"/>
        </w:rPr>
        <w:tab/>
      </w:r>
      <w:r w:rsidR="00427369" w:rsidRPr="00394FA8">
        <w:rPr>
          <w:rFonts w:ascii="Arial" w:hAnsi="Arial" w:cs="Arial"/>
        </w:rPr>
        <w:t>In his oral evidence, t</w:t>
      </w:r>
      <w:r w:rsidR="0056568D" w:rsidRPr="00394FA8">
        <w:rPr>
          <w:rFonts w:ascii="Arial" w:hAnsi="Arial" w:cs="Arial"/>
        </w:rPr>
        <w:t xml:space="preserve">he appellant testified that he and the deceased concluded an </w:t>
      </w:r>
      <w:r w:rsidR="005A532C" w:rsidRPr="00394FA8">
        <w:rPr>
          <w:rFonts w:ascii="Arial" w:hAnsi="Arial" w:cs="Arial"/>
        </w:rPr>
        <w:t>ag</w:t>
      </w:r>
      <w:r w:rsidR="0056568D" w:rsidRPr="00394FA8">
        <w:rPr>
          <w:rFonts w:ascii="Arial" w:hAnsi="Arial" w:cs="Arial"/>
        </w:rPr>
        <w:t xml:space="preserve">reement of sale in respect of the property through </w:t>
      </w:r>
      <w:r w:rsidR="005A532C" w:rsidRPr="00394FA8">
        <w:rPr>
          <w:rFonts w:ascii="Arial" w:hAnsi="Arial" w:cs="Arial"/>
        </w:rPr>
        <w:t xml:space="preserve">Mmoleli </w:t>
      </w:r>
      <w:r w:rsidR="0056568D" w:rsidRPr="00394FA8">
        <w:rPr>
          <w:rFonts w:ascii="Arial" w:hAnsi="Arial" w:cs="Arial"/>
        </w:rPr>
        <w:t>attorneys</w:t>
      </w:r>
      <w:r w:rsidR="00A7071F" w:rsidRPr="00394FA8">
        <w:rPr>
          <w:rFonts w:ascii="Arial" w:hAnsi="Arial" w:cs="Arial"/>
        </w:rPr>
        <w:t xml:space="preserve">, and that these attorneys </w:t>
      </w:r>
      <w:r w:rsidR="0056568D" w:rsidRPr="00394FA8">
        <w:rPr>
          <w:rFonts w:ascii="Arial" w:hAnsi="Arial" w:cs="Arial"/>
        </w:rPr>
        <w:t xml:space="preserve">prepared </w:t>
      </w:r>
      <w:r w:rsidR="00A7071F" w:rsidRPr="00394FA8">
        <w:rPr>
          <w:rFonts w:ascii="Arial" w:hAnsi="Arial" w:cs="Arial"/>
        </w:rPr>
        <w:t xml:space="preserve">the agreement of sale </w:t>
      </w:r>
      <w:r w:rsidR="0056568D" w:rsidRPr="00394FA8">
        <w:rPr>
          <w:rFonts w:ascii="Arial" w:hAnsi="Arial" w:cs="Arial"/>
        </w:rPr>
        <w:t>in 2002/2003</w:t>
      </w:r>
      <w:r w:rsidR="00A7071F" w:rsidRPr="00394FA8">
        <w:rPr>
          <w:rFonts w:ascii="Arial" w:hAnsi="Arial" w:cs="Arial"/>
        </w:rPr>
        <w:t>.</w:t>
      </w:r>
      <w:r w:rsidR="0056568D" w:rsidRPr="00394FA8">
        <w:rPr>
          <w:rFonts w:ascii="Arial" w:hAnsi="Arial" w:cs="Arial"/>
        </w:rPr>
        <w:t xml:space="preserve"> The appellant testified that he did not have a copy of the </w:t>
      </w:r>
      <w:r w:rsidR="001032F5" w:rsidRPr="00394FA8">
        <w:rPr>
          <w:rFonts w:ascii="Arial" w:hAnsi="Arial" w:cs="Arial"/>
        </w:rPr>
        <w:t xml:space="preserve">agreement </w:t>
      </w:r>
      <w:r w:rsidR="0056568D" w:rsidRPr="00394FA8">
        <w:rPr>
          <w:rFonts w:ascii="Arial" w:hAnsi="Arial" w:cs="Arial"/>
        </w:rPr>
        <w:t>of sale because the attorney</w:t>
      </w:r>
      <w:r w:rsidR="00A7071F" w:rsidRPr="00394FA8">
        <w:rPr>
          <w:rFonts w:ascii="Arial" w:hAnsi="Arial" w:cs="Arial"/>
        </w:rPr>
        <w:t>,</w:t>
      </w:r>
      <w:r w:rsidR="0056568D" w:rsidRPr="00394FA8">
        <w:rPr>
          <w:rFonts w:ascii="Arial" w:hAnsi="Arial" w:cs="Arial"/>
        </w:rPr>
        <w:t xml:space="preserve"> </w:t>
      </w:r>
      <w:r w:rsidR="005A532C" w:rsidRPr="00394FA8">
        <w:rPr>
          <w:rFonts w:ascii="Arial" w:hAnsi="Arial" w:cs="Arial"/>
        </w:rPr>
        <w:t>Mr Mmoleli,</w:t>
      </w:r>
      <w:r w:rsidR="0056568D" w:rsidRPr="00394FA8">
        <w:rPr>
          <w:rFonts w:ascii="Arial" w:hAnsi="Arial" w:cs="Arial"/>
        </w:rPr>
        <w:t xml:space="preserve"> had been struck from the roll of attorneys</w:t>
      </w:r>
      <w:r w:rsidR="00427369" w:rsidRPr="00394FA8">
        <w:rPr>
          <w:rFonts w:ascii="Arial" w:hAnsi="Arial" w:cs="Arial"/>
        </w:rPr>
        <w:t>.</w:t>
      </w:r>
      <w:r w:rsidR="00D00815" w:rsidRPr="00394FA8">
        <w:rPr>
          <w:rFonts w:ascii="Arial" w:hAnsi="Arial" w:cs="Arial"/>
        </w:rPr>
        <w:t xml:space="preserve"> </w:t>
      </w:r>
      <w:r w:rsidR="001032F5" w:rsidRPr="00394FA8">
        <w:rPr>
          <w:rFonts w:ascii="Arial" w:hAnsi="Arial" w:cs="Arial"/>
        </w:rPr>
        <w:t xml:space="preserve">The appellant </w:t>
      </w:r>
      <w:r w:rsidR="007A7064" w:rsidRPr="00394FA8">
        <w:rPr>
          <w:rFonts w:ascii="Arial" w:hAnsi="Arial" w:cs="Arial"/>
        </w:rPr>
        <w:t>later</w:t>
      </w:r>
      <w:r w:rsidR="001032F5" w:rsidRPr="00394FA8">
        <w:rPr>
          <w:rFonts w:ascii="Arial" w:hAnsi="Arial" w:cs="Arial"/>
        </w:rPr>
        <w:t xml:space="preserve"> in his evidence undertook </w:t>
      </w:r>
      <w:r w:rsidR="00427369" w:rsidRPr="00394FA8">
        <w:rPr>
          <w:rFonts w:ascii="Arial" w:hAnsi="Arial" w:cs="Arial"/>
        </w:rPr>
        <w:t>to vacate the property if he was compensated for the improvements he had made to the property.</w:t>
      </w:r>
    </w:p>
    <w:p w14:paraId="2D6047DF" w14:textId="1C9D5352" w:rsidR="002C23A1" w:rsidRPr="00394FA8" w:rsidRDefault="00394FA8" w:rsidP="00394FA8">
      <w:pPr>
        <w:spacing w:after="480" w:line="360" w:lineRule="auto"/>
        <w:ind w:left="720" w:hanging="720"/>
        <w:jc w:val="both"/>
        <w:rPr>
          <w:rFonts w:ascii="Arial" w:hAnsi="Arial" w:cs="Arial"/>
        </w:rPr>
      </w:pPr>
      <w:r w:rsidRPr="00DB4007">
        <w:rPr>
          <w:rFonts w:ascii="Arial" w:hAnsi="Arial" w:cs="Arial"/>
        </w:rPr>
        <w:t>[36]</w:t>
      </w:r>
      <w:r w:rsidRPr="00DB4007">
        <w:rPr>
          <w:rFonts w:ascii="Arial" w:hAnsi="Arial" w:cs="Arial"/>
        </w:rPr>
        <w:tab/>
      </w:r>
      <w:r w:rsidR="001032F5" w:rsidRPr="00394FA8">
        <w:rPr>
          <w:rFonts w:ascii="Arial" w:hAnsi="Arial" w:cs="Arial"/>
        </w:rPr>
        <w:t xml:space="preserve">From the above, </w:t>
      </w:r>
      <w:r w:rsidR="007A7064" w:rsidRPr="00394FA8">
        <w:rPr>
          <w:rFonts w:ascii="Arial" w:hAnsi="Arial" w:cs="Arial"/>
        </w:rPr>
        <w:t>the</w:t>
      </w:r>
      <w:r w:rsidR="001032F5" w:rsidRPr="00394FA8">
        <w:rPr>
          <w:rFonts w:ascii="Arial" w:hAnsi="Arial" w:cs="Arial"/>
        </w:rPr>
        <w:t xml:space="preserve"> appellant had not produced in evidence </w:t>
      </w:r>
      <w:r w:rsidR="00C23B16" w:rsidRPr="00394FA8">
        <w:rPr>
          <w:rFonts w:ascii="Arial" w:hAnsi="Arial" w:cs="Arial"/>
        </w:rPr>
        <w:t xml:space="preserve">(whether in his affidavits or oral evidence) </w:t>
      </w:r>
      <w:r w:rsidR="001032F5" w:rsidRPr="00394FA8">
        <w:rPr>
          <w:rFonts w:ascii="Arial" w:hAnsi="Arial" w:cs="Arial"/>
        </w:rPr>
        <w:t xml:space="preserve">the alleged agreement of sale, and that in fact, according to the appellant, he was not able to obtain a copy of the said agreement. </w:t>
      </w:r>
    </w:p>
    <w:p w14:paraId="1A0E80F3" w14:textId="0047B001" w:rsidR="00612DC4" w:rsidRPr="00394FA8" w:rsidRDefault="00394FA8" w:rsidP="00394FA8">
      <w:pPr>
        <w:spacing w:after="480" w:line="360" w:lineRule="auto"/>
        <w:ind w:left="720" w:hanging="720"/>
        <w:jc w:val="both"/>
        <w:rPr>
          <w:rFonts w:ascii="Arial" w:hAnsi="Arial" w:cs="Arial"/>
        </w:rPr>
      </w:pPr>
      <w:r w:rsidRPr="00DB4007">
        <w:rPr>
          <w:rFonts w:ascii="Arial" w:hAnsi="Arial" w:cs="Arial"/>
        </w:rPr>
        <w:t>[37]</w:t>
      </w:r>
      <w:r w:rsidRPr="00DB4007">
        <w:rPr>
          <w:rFonts w:ascii="Arial" w:hAnsi="Arial" w:cs="Arial"/>
        </w:rPr>
        <w:tab/>
      </w:r>
      <w:r w:rsidR="001032F5" w:rsidRPr="00394FA8">
        <w:rPr>
          <w:rFonts w:ascii="Arial" w:hAnsi="Arial" w:cs="Arial"/>
        </w:rPr>
        <w:t>It therefore comes as somewhat of a surp</w:t>
      </w:r>
      <w:r w:rsidR="002C23A1" w:rsidRPr="00394FA8">
        <w:rPr>
          <w:rFonts w:ascii="Arial" w:hAnsi="Arial" w:cs="Arial"/>
        </w:rPr>
        <w:t xml:space="preserve">rise that the </w:t>
      </w:r>
      <w:r w:rsidR="006E288D" w:rsidRPr="00394FA8">
        <w:rPr>
          <w:rFonts w:ascii="Arial" w:hAnsi="Arial" w:cs="Arial"/>
        </w:rPr>
        <w:t xml:space="preserve">appellant attached </w:t>
      </w:r>
      <w:r w:rsidR="002C23A1" w:rsidRPr="00394FA8">
        <w:rPr>
          <w:rFonts w:ascii="Arial" w:hAnsi="Arial" w:cs="Arial"/>
        </w:rPr>
        <w:t xml:space="preserve">to his notice of appeal </w:t>
      </w:r>
      <w:r w:rsidR="006E288D" w:rsidRPr="00394FA8">
        <w:rPr>
          <w:rFonts w:ascii="Arial" w:hAnsi="Arial" w:cs="Arial"/>
        </w:rPr>
        <w:t xml:space="preserve">a </w:t>
      </w:r>
      <w:r w:rsidR="002C23A1" w:rsidRPr="00394FA8">
        <w:rPr>
          <w:rFonts w:ascii="Arial" w:hAnsi="Arial" w:cs="Arial"/>
        </w:rPr>
        <w:t xml:space="preserve">document which purports to be an agreement of sale </w:t>
      </w:r>
      <w:r w:rsidR="00C23B16" w:rsidRPr="00394FA8">
        <w:rPr>
          <w:rFonts w:ascii="Arial" w:hAnsi="Arial" w:cs="Arial"/>
        </w:rPr>
        <w:t xml:space="preserve">entered into between him and the deceased in </w:t>
      </w:r>
      <w:r w:rsidR="002C23A1" w:rsidRPr="00394FA8">
        <w:rPr>
          <w:rFonts w:ascii="Arial" w:hAnsi="Arial" w:cs="Arial"/>
        </w:rPr>
        <w:t>respect of the property.</w:t>
      </w:r>
      <w:r w:rsidR="00AD0A90" w:rsidRPr="00394FA8">
        <w:rPr>
          <w:rFonts w:ascii="Arial" w:hAnsi="Arial" w:cs="Arial"/>
        </w:rPr>
        <w:t xml:space="preserve"> </w:t>
      </w:r>
      <w:r w:rsidR="00DC4367" w:rsidRPr="00394FA8">
        <w:rPr>
          <w:rFonts w:ascii="Arial" w:hAnsi="Arial" w:cs="Arial"/>
        </w:rPr>
        <w:t xml:space="preserve">This document is annexure J to the notice of appeal. </w:t>
      </w:r>
      <w:r w:rsidR="00E014D5" w:rsidRPr="00394FA8">
        <w:rPr>
          <w:rFonts w:ascii="Arial" w:hAnsi="Arial" w:cs="Arial"/>
        </w:rPr>
        <w:t xml:space="preserve">The notice of appeal was drafted by </w:t>
      </w:r>
      <w:r w:rsidR="007A7064" w:rsidRPr="00394FA8">
        <w:rPr>
          <w:rFonts w:ascii="Arial" w:hAnsi="Arial" w:cs="Arial"/>
        </w:rPr>
        <w:t>Hlatshwayo</w:t>
      </w:r>
      <w:r w:rsidR="00E014D5" w:rsidRPr="00394FA8">
        <w:rPr>
          <w:rFonts w:ascii="Arial" w:hAnsi="Arial" w:cs="Arial"/>
        </w:rPr>
        <w:t xml:space="preserve"> </w:t>
      </w:r>
      <w:r w:rsidR="007A7064" w:rsidRPr="00394FA8">
        <w:rPr>
          <w:rFonts w:ascii="Arial" w:hAnsi="Arial" w:cs="Arial"/>
        </w:rPr>
        <w:t>Mhayise</w:t>
      </w:r>
      <w:r w:rsidR="00E014D5" w:rsidRPr="00394FA8">
        <w:rPr>
          <w:rFonts w:ascii="Arial" w:hAnsi="Arial" w:cs="Arial"/>
        </w:rPr>
        <w:t xml:space="preserve"> Inc. </w:t>
      </w:r>
      <w:r w:rsidR="00C83C4C" w:rsidRPr="00394FA8">
        <w:rPr>
          <w:rFonts w:ascii="Arial" w:hAnsi="Arial" w:cs="Arial"/>
        </w:rPr>
        <w:t>The relevant portion of the notice of appeal reads as follows:</w:t>
      </w:r>
    </w:p>
    <w:p w14:paraId="17B3EAFF" w14:textId="2B36112D" w:rsidR="006946B3" w:rsidRPr="001937CF" w:rsidRDefault="006946B3" w:rsidP="00876CA5">
      <w:pPr>
        <w:pStyle w:val="ListParagraph"/>
        <w:spacing w:after="480" w:line="360" w:lineRule="auto"/>
        <w:ind w:left="1440"/>
        <w:contextualSpacing w:val="0"/>
        <w:jc w:val="both"/>
        <w:rPr>
          <w:rFonts w:ascii="Arial" w:hAnsi="Arial" w:cs="Arial"/>
          <w:sz w:val="20"/>
          <w:szCs w:val="20"/>
        </w:rPr>
      </w:pPr>
      <w:r w:rsidRPr="001937CF">
        <w:rPr>
          <w:rFonts w:ascii="Arial" w:hAnsi="Arial" w:cs="Arial"/>
          <w:sz w:val="20"/>
          <w:szCs w:val="20"/>
        </w:rPr>
        <w:t>[Appellant] handed in the deed of sale entered into between himself and the owner of the house [the deceased]. The [first respondent] is the executrix in the aforesaid estate and the sale agreement is binding in law against the executrix.</w:t>
      </w:r>
    </w:p>
    <w:p w14:paraId="543DB095" w14:textId="5433E22E" w:rsidR="00612DC4" w:rsidRPr="00876CA5" w:rsidRDefault="00612DC4" w:rsidP="00876CA5">
      <w:pPr>
        <w:pStyle w:val="ListParagraph"/>
        <w:spacing w:after="480" w:line="360" w:lineRule="auto"/>
        <w:ind w:left="1440"/>
        <w:contextualSpacing w:val="0"/>
        <w:jc w:val="both"/>
        <w:rPr>
          <w:rFonts w:ascii="Arial" w:hAnsi="Arial" w:cs="Arial"/>
          <w:u w:val="single"/>
        </w:rPr>
      </w:pPr>
      <w:r w:rsidRPr="001937CF">
        <w:rPr>
          <w:rFonts w:ascii="Arial" w:hAnsi="Arial" w:cs="Arial"/>
          <w:sz w:val="20"/>
          <w:szCs w:val="20"/>
        </w:rPr>
        <w:t xml:space="preserve">The Honourable Magistrate erred in ignoring…the deed of Sale between the [appellant] and the deceased, to the court and same was admitted in evidence. The deed of sale [is] a good defence to the eviction order, the deed of sale is enclosed </w:t>
      </w:r>
      <w:r w:rsidRPr="001937CF">
        <w:rPr>
          <w:rFonts w:ascii="Arial" w:hAnsi="Arial" w:cs="Arial"/>
          <w:b/>
          <w:bCs/>
          <w:sz w:val="20"/>
          <w:szCs w:val="20"/>
          <w:u w:val="single"/>
        </w:rPr>
        <w:t>Annexure J</w:t>
      </w:r>
      <w:r w:rsidRPr="00DB4007">
        <w:rPr>
          <w:rFonts w:ascii="Arial" w:hAnsi="Arial" w:cs="Arial"/>
          <w:sz w:val="20"/>
          <w:szCs w:val="20"/>
          <w:u w:val="single"/>
        </w:rPr>
        <w:t>.</w:t>
      </w:r>
    </w:p>
    <w:p w14:paraId="7E04A9B6" w14:textId="31E27281" w:rsidR="00FF3350" w:rsidRPr="00394FA8" w:rsidRDefault="00394FA8" w:rsidP="00394FA8">
      <w:pPr>
        <w:spacing w:after="480" w:line="360" w:lineRule="auto"/>
        <w:ind w:left="720" w:hanging="720"/>
        <w:jc w:val="both"/>
        <w:rPr>
          <w:rFonts w:ascii="Arial" w:hAnsi="Arial" w:cs="Arial"/>
        </w:rPr>
      </w:pPr>
      <w:r>
        <w:rPr>
          <w:rFonts w:ascii="Arial" w:hAnsi="Arial" w:cs="Arial"/>
        </w:rPr>
        <w:t>[38]</w:t>
      </w:r>
      <w:r>
        <w:rPr>
          <w:rFonts w:ascii="Arial" w:hAnsi="Arial" w:cs="Arial"/>
        </w:rPr>
        <w:tab/>
      </w:r>
      <w:r w:rsidR="00612DC4" w:rsidRPr="00394FA8">
        <w:rPr>
          <w:rFonts w:ascii="Arial" w:hAnsi="Arial" w:cs="Arial"/>
        </w:rPr>
        <w:t xml:space="preserve">A similar position is taken in appellant’s </w:t>
      </w:r>
      <w:r w:rsidR="00FF3350" w:rsidRPr="00394FA8">
        <w:rPr>
          <w:rFonts w:ascii="Arial" w:hAnsi="Arial" w:cs="Arial"/>
        </w:rPr>
        <w:t xml:space="preserve">practice note and </w:t>
      </w:r>
      <w:r w:rsidR="00612DC4" w:rsidRPr="00394FA8">
        <w:rPr>
          <w:rFonts w:ascii="Arial" w:hAnsi="Arial" w:cs="Arial"/>
        </w:rPr>
        <w:t xml:space="preserve">heads of argument before us. </w:t>
      </w:r>
      <w:r w:rsidR="00FF3350" w:rsidRPr="00394FA8">
        <w:rPr>
          <w:rFonts w:ascii="Arial" w:hAnsi="Arial" w:cs="Arial"/>
        </w:rPr>
        <w:t xml:space="preserve">Both these documents were </w:t>
      </w:r>
      <w:r w:rsidR="00E014D5" w:rsidRPr="00394FA8">
        <w:rPr>
          <w:rFonts w:ascii="Arial" w:hAnsi="Arial" w:cs="Arial"/>
        </w:rPr>
        <w:t xml:space="preserve">drafted by </w:t>
      </w:r>
      <w:r w:rsidR="007A7064" w:rsidRPr="00394FA8">
        <w:rPr>
          <w:rFonts w:ascii="Arial" w:hAnsi="Arial" w:cs="Arial"/>
        </w:rPr>
        <w:t>Hlatshwayo</w:t>
      </w:r>
      <w:r w:rsidR="00E014D5" w:rsidRPr="00394FA8">
        <w:rPr>
          <w:rFonts w:ascii="Arial" w:hAnsi="Arial" w:cs="Arial"/>
        </w:rPr>
        <w:t xml:space="preserve"> </w:t>
      </w:r>
      <w:r w:rsidR="007A7064" w:rsidRPr="00394FA8">
        <w:rPr>
          <w:rFonts w:ascii="Arial" w:hAnsi="Arial" w:cs="Arial"/>
        </w:rPr>
        <w:t>Mhayise</w:t>
      </w:r>
      <w:r w:rsidR="00E014D5" w:rsidRPr="00394FA8">
        <w:rPr>
          <w:rFonts w:ascii="Arial" w:hAnsi="Arial" w:cs="Arial"/>
        </w:rPr>
        <w:t xml:space="preserve"> Inc</w:t>
      </w:r>
      <w:r w:rsidR="00FF3350" w:rsidRPr="00394FA8">
        <w:rPr>
          <w:rFonts w:ascii="Arial" w:hAnsi="Arial" w:cs="Arial"/>
        </w:rPr>
        <w:t>.</w:t>
      </w:r>
    </w:p>
    <w:p w14:paraId="3DCF8C7C" w14:textId="4898B64B" w:rsidR="00612DC4" w:rsidRPr="00DB4007" w:rsidRDefault="00FF3350" w:rsidP="00DB4007">
      <w:pPr>
        <w:spacing w:after="480" w:line="360" w:lineRule="auto"/>
        <w:ind w:left="1440" w:hanging="720"/>
        <w:jc w:val="both"/>
        <w:rPr>
          <w:rFonts w:ascii="Arial" w:hAnsi="Arial" w:cs="Arial"/>
        </w:rPr>
      </w:pPr>
      <w:r>
        <w:rPr>
          <w:rFonts w:ascii="Arial" w:hAnsi="Arial" w:cs="Arial"/>
        </w:rPr>
        <w:t>[38.1]</w:t>
      </w:r>
      <w:r>
        <w:rPr>
          <w:rFonts w:ascii="Arial" w:hAnsi="Arial" w:cs="Arial"/>
        </w:rPr>
        <w:tab/>
      </w:r>
      <w:r w:rsidRPr="00DB4007">
        <w:rPr>
          <w:rFonts w:ascii="Arial" w:hAnsi="Arial" w:cs="Arial"/>
        </w:rPr>
        <w:t>In the appellant’s heads of argument the</w:t>
      </w:r>
      <w:r w:rsidR="00612DC4" w:rsidRPr="00DB4007">
        <w:rPr>
          <w:rFonts w:ascii="Arial" w:hAnsi="Arial" w:cs="Arial"/>
        </w:rPr>
        <w:t xml:space="preserve"> following is stated under the heading </w:t>
      </w:r>
      <w:r w:rsidR="006D15F8" w:rsidRPr="00DB4007">
        <w:rPr>
          <w:rFonts w:ascii="Arial" w:hAnsi="Arial" w:cs="Arial"/>
        </w:rPr>
        <w:t>COMMON CAUSE EVIDENCE BETWEEN THE PARTIES</w:t>
      </w:r>
      <w:r w:rsidR="00C23B16" w:rsidRPr="00DB4007">
        <w:rPr>
          <w:rFonts w:ascii="Arial" w:hAnsi="Arial" w:cs="Arial"/>
        </w:rPr>
        <w:t>: “</w:t>
      </w:r>
      <w:r w:rsidR="00612DC4" w:rsidRPr="00DB4007">
        <w:rPr>
          <w:rFonts w:ascii="Arial" w:hAnsi="Arial" w:cs="Arial"/>
          <w:i/>
          <w:iCs/>
        </w:rPr>
        <w:t xml:space="preserve">[Appellant] produced the deed of sale </w:t>
      </w:r>
      <w:r w:rsidR="002E5D00" w:rsidRPr="00DB4007">
        <w:rPr>
          <w:rFonts w:ascii="Arial" w:hAnsi="Arial" w:cs="Arial"/>
          <w:i/>
          <w:iCs/>
        </w:rPr>
        <w:t>dated 2003 between himself and the deceased.</w:t>
      </w:r>
      <w:r w:rsidR="00C23B16" w:rsidRPr="00DB4007">
        <w:rPr>
          <w:rFonts w:ascii="Arial" w:hAnsi="Arial" w:cs="Arial"/>
        </w:rPr>
        <w:t>” Thereafter the heads continue as follows:</w:t>
      </w:r>
      <w:r w:rsidR="00612DC4" w:rsidRPr="00DB4007">
        <w:rPr>
          <w:rFonts w:ascii="Arial" w:hAnsi="Arial" w:cs="Arial"/>
        </w:rPr>
        <w:t xml:space="preserve"> </w:t>
      </w:r>
    </w:p>
    <w:p w14:paraId="3F0DD49C" w14:textId="71D69006" w:rsidR="006D15F8" w:rsidRPr="001937CF" w:rsidRDefault="006D15F8" w:rsidP="00FF3350">
      <w:pPr>
        <w:pStyle w:val="ListParagraph"/>
        <w:spacing w:after="480" w:line="360" w:lineRule="auto"/>
        <w:ind w:left="1985"/>
        <w:contextualSpacing w:val="0"/>
        <w:jc w:val="both"/>
        <w:rPr>
          <w:rFonts w:ascii="Arial" w:hAnsi="Arial" w:cs="Arial"/>
          <w:sz w:val="20"/>
          <w:szCs w:val="20"/>
        </w:rPr>
      </w:pPr>
      <w:r w:rsidRPr="001937CF">
        <w:rPr>
          <w:rFonts w:ascii="Arial" w:hAnsi="Arial" w:cs="Arial"/>
          <w:sz w:val="20"/>
          <w:szCs w:val="20"/>
        </w:rPr>
        <w:t>Can the court grant an eviction order in the presence of a valid deed of sale?</w:t>
      </w:r>
    </w:p>
    <w:p w14:paraId="47106B97" w14:textId="51F05F54" w:rsidR="006D15F8" w:rsidRPr="001937CF" w:rsidRDefault="006D15F8" w:rsidP="00DB4007">
      <w:pPr>
        <w:pStyle w:val="ListParagraph"/>
        <w:spacing w:after="480" w:line="360" w:lineRule="auto"/>
        <w:ind w:left="1985"/>
        <w:contextualSpacing w:val="0"/>
        <w:jc w:val="both"/>
        <w:rPr>
          <w:rFonts w:ascii="Arial" w:hAnsi="Arial" w:cs="Arial"/>
          <w:sz w:val="20"/>
          <w:szCs w:val="20"/>
        </w:rPr>
      </w:pPr>
      <w:r w:rsidRPr="001937CF">
        <w:rPr>
          <w:rFonts w:ascii="Arial" w:hAnsi="Arial" w:cs="Arial"/>
          <w:sz w:val="20"/>
          <w:szCs w:val="20"/>
        </w:rPr>
        <w:t>The existence of the deed of sale between the [appellant] and the owner of the house [the deceased], is a good common law defense to an eviction order.</w:t>
      </w:r>
    </w:p>
    <w:p w14:paraId="4CD2C98F" w14:textId="452356DC" w:rsidR="006D15F8" w:rsidRPr="00876CA5" w:rsidRDefault="006D15F8" w:rsidP="00DB4007">
      <w:pPr>
        <w:pStyle w:val="ListParagraph"/>
        <w:spacing w:after="480" w:line="360" w:lineRule="auto"/>
        <w:ind w:left="1985"/>
        <w:contextualSpacing w:val="0"/>
        <w:jc w:val="both"/>
        <w:rPr>
          <w:rFonts w:ascii="Arial" w:hAnsi="Arial" w:cs="Arial"/>
        </w:rPr>
      </w:pPr>
      <w:r w:rsidRPr="001937CF">
        <w:rPr>
          <w:rFonts w:ascii="Arial" w:hAnsi="Arial" w:cs="Arial"/>
          <w:sz w:val="20"/>
          <w:szCs w:val="20"/>
        </w:rPr>
        <w:t>In view of the deed of sale alone, the Honourable Magistrate should have dismissed the application.</w:t>
      </w:r>
    </w:p>
    <w:p w14:paraId="034B3129" w14:textId="6646CD66" w:rsidR="00C23B16" w:rsidRPr="00DB4007" w:rsidRDefault="00FF3350" w:rsidP="00DB4007">
      <w:pPr>
        <w:spacing w:after="480" w:line="360" w:lineRule="auto"/>
        <w:ind w:left="1440" w:hanging="720"/>
        <w:jc w:val="both"/>
        <w:rPr>
          <w:rFonts w:ascii="Arial" w:hAnsi="Arial" w:cs="Arial"/>
        </w:rPr>
      </w:pPr>
      <w:r>
        <w:rPr>
          <w:rFonts w:ascii="Arial" w:hAnsi="Arial" w:cs="Arial"/>
        </w:rPr>
        <w:t>[38.2]</w:t>
      </w:r>
      <w:r>
        <w:rPr>
          <w:rFonts w:ascii="Arial" w:hAnsi="Arial" w:cs="Arial"/>
        </w:rPr>
        <w:tab/>
      </w:r>
      <w:r w:rsidR="00C23B16" w:rsidRPr="00DB4007">
        <w:rPr>
          <w:rFonts w:ascii="Arial" w:hAnsi="Arial" w:cs="Arial"/>
        </w:rPr>
        <w:t xml:space="preserve">The appellant’s practice note goes even further in its criticism of the learned Magistrate, when the following is stated: </w:t>
      </w:r>
    </w:p>
    <w:p w14:paraId="65B5047E" w14:textId="533FA4AB" w:rsidR="00C23B16" w:rsidRPr="001937CF" w:rsidRDefault="00C23B16" w:rsidP="00DB4007">
      <w:pPr>
        <w:pStyle w:val="ListParagraph"/>
        <w:spacing w:after="480" w:line="360" w:lineRule="auto"/>
        <w:ind w:left="1985"/>
        <w:contextualSpacing w:val="0"/>
        <w:jc w:val="both"/>
        <w:rPr>
          <w:rFonts w:ascii="Arial" w:hAnsi="Arial" w:cs="Arial"/>
          <w:sz w:val="20"/>
          <w:szCs w:val="20"/>
        </w:rPr>
      </w:pPr>
      <w:r w:rsidRPr="001937CF">
        <w:rPr>
          <w:rFonts w:ascii="Arial" w:hAnsi="Arial" w:cs="Arial"/>
          <w:sz w:val="20"/>
          <w:szCs w:val="20"/>
        </w:rPr>
        <w:t xml:space="preserve">Appellant had a sale Agreement with the deceased. The magistrate saw it, did not criticize the sale agreement, but said nothing about the sale agreement in his written judgment. He should not have granted the eviction order. </w:t>
      </w:r>
    </w:p>
    <w:p w14:paraId="5254656F" w14:textId="652AB4EF" w:rsidR="00E014D5" w:rsidRPr="00394FA8" w:rsidRDefault="00394FA8" w:rsidP="00394FA8">
      <w:pPr>
        <w:spacing w:after="480" w:line="360" w:lineRule="auto"/>
        <w:ind w:left="720" w:hanging="720"/>
        <w:jc w:val="both"/>
        <w:rPr>
          <w:rFonts w:ascii="Arial" w:hAnsi="Arial" w:cs="Arial"/>
        </w:rPr>
      </w:pPr>
      <w:r w:rsidRPr="00876CA5">
        <w:rPr>
          <w:rFonts w:ascii="Arial" w:hAnsi="Arial" w:cs="Arial"/>
        </w:rPr>
        <w:t>[39]</w:t>
      </w:r>
      <w:r w:rsidRPr="00876CA5">
        <w:rPr>
          <w:rFonts w:ascii="Arial" w:hAnsi="Arial" w:cs="Arial"/>
        </w:rPr>
        <w:tab/>
      </w:r>
      <w:r w:rsidR="00E014D5" w:rsidRPr="00394FA8">
        <w:rPr>
          <w:rFonts w:ascii="Arial" w:hAnsi="Arial" w:cs="Arial"/>
        </w:rPr>
        <w:t xml:space="preserve">From the </w:t>
      </w:r>
      <w:r w:rsidR="00FF3350" w:rsidRPr="00394FA8">
        <w:rPr>
          <w:rFonts w:ascii="Arial" w:hAnsi="Arial" w:cs="Arial"/>
        </w:rPr>
        <w:t>ap</w:t>
      </w:r>
      <w:r w:rsidR="00684425" w:rsidRPr="00394FA8">
        <w:rPr>
          <w:rFonts w:ascii="Arial" w:hAnsi="Arial" w:cs="Arial"/>
        </w:rPr>
        <w:t>p</w:t>
      </w:r>
      <w:r w:rsidR="00FF3350" w:rsidRPr="00394FA8">
        <w:rPr>
          <w:rFonts w:ascii="Arial" w:hAnsi="Arial" w:cs="Arial"/>
        </w:rPr>
        <w:t xml:space="preserve">ellant’s heads of argument and practice, as well as in argument before us, the </w:t>
      </w:r>
      <w:r w:rsidR="00E014D5" w:rsidRPr="00394FA8">
        <w:rPr>
          <w:rFonts w:ascii="Arial" w:hAnsi="Arial" w:cs="Arial"/>
        </w:rPr>
        <w:t>appellant relies in this appeal on a document critical to his case which he</w:t>
      </w:r>
      <w:r w:rsidR="00FE1A77" w:rsidRPr="00394FA8">
        <w:rPr>
          <w:rFonts w:ascii="Arial" w:hAnsi="Arial" w:cs="Arial"/>
        </w:rPr>
        <w:t xml:space="preserve"> </w:t>
      </w:r>
      <w:r w:rsidR="00E014D5" w:rsidRPr="00394FA8">
        <w:rPr>
          <w:rFonts w:ascii="Arial" w:hAnsi="Arial" w:cs="Arial"/>
        </w:rPr>
        <w:t xml:space="preserve">and </w:t>
      </w:r>
      <w:r w:rsidR="00684425" w:rsidRPr="00394FA8">
        <w:rPr>
          <w:rFonts w:ascii="Arial" w:hAnsi="Arial" w:cs="Arial"/>
        </w:rPr>
        <w:t xml:space="preserve">Mr </w:t>
      </w:r>
      <w:r w:rsidR="007A7064" w:rsidRPr="00394FA8">
        <w:rPr>
          <w:rFonts w:ascii="Arial" w:hAnsi="Arial" w:cs="Arial"/>
        </w:rPr>
        <w:t>Hlatshwayo</w:t>
      </w:r>
      <w:r w:rsidR="00684425" w:rsidRPr="00394FA8">
        <w:rPr>
          <w:rFonts w:ascii="Arial" w:hAnsi="Arial" w:cs="Arial"/>
        </w:rPr>
        <w:t xml:space="preserve"> </w:t>
      </w:r>
      <w:r w:rsidR="00E014D5" w:rsidRPr="00394FA8">
        <w:rPr>
          <w:rFonts w:ascii="Arial" w:hAnsi="Arial" w:cs="Arial"/>
        </w:rPr>
        <w:t xml:space="preserve">insist was led in evidence before the learned Magistrate. </w:t>
      </w:r>
    </w:p>
    <w:p w14:paraId="73C24AB7" w14:textId="2CD3004C" w:rsidR="00B84EB5" w:rsidRPr="00394FA8" w:rsidRDefault="00394FA8" w:rsidP="00394FA8">
      <w:pPr>
        <w:spacing w:after="480" w:line="360" w:lineRule="auto"/>
        <w:ind w:left="720" w:hanging="720"/>
        <w:jc w:val="both"/>
        <w:rPr>
          <w:rFonts w:ascii="Arial" w:hAnsi="Arial" w:cs="Arial"/>
        </w:rPr>
      </w:pPr>
      <w:r w:rsidRPr="00DB4007">
        <w:rPr>
          <w:rFonts w:ascii="Arial" w:hAnsi="Arial" w:cs="Arial"/>
        </w:rPr>
        <w:t>[40]</w:t>
      </w:r>
      <w:r w:rsidRPr="00DB4007">
        <w:rPr>
          <w:rFonts w:ascii="Arial" w:hAnsi="Arial" w:cs="Arial"/>
        </w:rPr>
        <w:tab/>
      </w:r>
      <w:r w:rsidR="002C23A1" w:rsidRPr="00394FA8">
        <w:rPr>
          <w:rFonts w:ascii="Arial" w:hAnsi="Arial" w:cs="Arial"/>
        </w:rPr>
        <w:t xml:space="preserve">Because we were not able to locate in the record any reference to </w:t>
      </w:r>
      <w:r w:rsidR="00684425" w:rsidRPr="00394FA8">
        <w:rPr>
          <w:rFonts w:ascii="Arial" w:hAnsi="Arial" w:cs="Arial"/>
        </w:rPr>
        <w:t xml:space="preserve">annexure J (the agreement of sale), </w:t>
      </w:r>
      <w:r w:rsidR="002C23A1" w:rsidRPr="00394FA8">
        <w:rPr>
          <w:rFonts w:ascii="Arial" w:hAnsi="Arial" w:cs="Arial"/>
        </w:rPr>
        <w:t xml:space="preserve">we requested </w:t>
      </w:r>
      <w:r w:rsidR="005475F9" w:rsidRPr="00394FA8">
        <w:rPr>
          <w:rFonts w:ascii="Arial" w:hAnsi="Arial" w:cs="Arial"/>
        </w:rPr>
        <w:t>Mr Hlatshwayo</w:t>
      </w:r>
      <w:r w:rsidR="00C60924" w:rsidRPr="00394FA8">
        <w:rPr>
          <w:rFonts w:ascii="Arial" w:hAnsi="Arial" w:cs="Arial"/>
        </w:rPr>
        <w:t xml:space="preserve"> </w:t>
      </w:r>
      <w:r w:rsidR="005475F9" w:rsidRPr="00394FA8">
        <w:rPr>
          <w:rFonts w:ascii="Arial" w:hAnsi="Arial" w:cs="Arial"/>
        </w:rPr>
        <w:t>to refer us to the relevant pa</w:t>
      </w:r>
      <w:r w:rsidR="00684425" w:rsidRPr="00394FA8">
        <w:rPr>
          <w:rFonts w:ascii="Arial" w:hAnsi="Arial" w:cs="Arial"/>
        </w:rPr>
        <w:t>ssages</w:t>
      </w:r>
      <w:r w:rsidR="005475F9" w:rsidRPr="00394FA8">
        <w:rPr>
          <w:rFonts w:ascii="Arial" w:hAnsi="Arial" w:cs="Arial"/>
        </w:rPr>
        <w:t xml:space="preserve"> </w:t>
      </w:r>
      <w:r w:rsidR="002C23A1" w:rsidRPr="00394FA8">
        <w:rPr>
          <w:rFonts w:ascii="Arial" w:hAnsi="Arial" w:cs="Arial"/>
        </w:rPr>
        <w:t xml:space="preserve">in </w:t>
      </w:r>
      <w:r w:rsidR="005475F9" w:rsidRPr="00394FA8">
        <w:rPr>
          <w:rFonts w:ascii="Arial" w:hAnsi="Arial" w:cs="Arial"/>
        </w:rPr>
        <w:t xml:space="preserve">the record which </w:t>
      </w:r>
      <w:r w:rsidR="00AB57C1" w:rsidRPr="00394FA8">
        <w:rPr>
          <w:rFonts w:ascii="Arial" w:hAnsi="Arial" w:cs="Arial"/>
        </w:rPr>
        <w:t xml:space="preserve">reflect this document having been </w:t>
      </w:r>
      <w:r w:rsidR="005475F9" w:rsidRPr="00394FA8">
        <w:rPr>
          <w:rFonts w:ascii="Arial" w:hAnsi="Arial" w:cs="Arial"/>
        </w:rPr>
        <w:t xml:space="preserve">handed in as evidence in the court </w:t>
      </w:r>
      <w:r w:rsidR="005475F9" w:rsidRPr="00394FA8">
        <w:rPr>
          <w:rFonts w:ascii="Arial" w:hAnsi="Arial" w:cs="Arial"/>
          <w:i/>
          <w:iCs/>
        </w:rPr>
        <w:t>a quo</w:t>
      </w:r>
      <w:r w:rsidR="005475F9" w:rsidRPr="00394FA8">
        <w:rPr>
          <w:rFonts w:ascii="Arial" w:hAnsi="Arial" w:cs="Arial"/>
        </w:rPr>
        <w:t xml:space="preserve">. </w:t>
      </w:r>
      <w:r w:rsidR="00FE1A77" w:rsidRPr="00394FA8">
        <w:rPr>
          <w:rFonts w:ascii="Arial" w:hAnsi="Arial" w:cs="Arial"/>
        </w:rPr>
        <w:t xml:space="preserve">Mr Hlatshwayo then referred us to an extract from the appellant’s oral evidence which was to the effect that </w:t>
      </w:r>
      <w:r w:rsidR="00684425" w:rsidRPr="00394FA8">
        <w:rPr>
          <w:rFonts w:ascii="Arial" w:hAnsi="Arial" w:cs="Arial"/>
        </w:rPr>
        <w:t xml:space="preserve">the appellant </w:t>
      </w:r>
      <w:r w:rsidR="00FE1A77" w:rsidRPr="00394FA8">
        <w:rPr>
          <w:rFonts w:ascii="Arial" w:hAnsi="Arial" w:cs="Arial"/>
        </w:rPr>
        <w:t xml:space="preserve">and the deceased had signed a written agreement for the sale of the property. However, this extract in no way assisted us as there was clearly no </w:t>
      </w:r>
      <w:r w:rsidR="00DC4367" w:rsidRPr="00394FA8">
        <w:rPr>
          <w:rFonts w:ascii="Arial" w:hAnsi="Arial" w:cs="Arial"/>
        </w:rPr>
        <w:t xml:space="preserve">reference made to a specified document handed in as evidence not least annexure J. </w:t>
      </w:r>
      <w:r w:rsidR="00AB57C1" w:rsidRPr="00394FA8">
        <w:rPr>
          <w:rFonts w:ascii="Arial" w:hAnsi="Arial" w:cs="Arial"/>
        </w:rPr>
        <w:t xml:space="preserve">Mr Hlatshwayo eventually </w:t>
      </w:r>
      <w:r w:rsidR="005475F9" w:rsidRPr="00394FA8">
        <w:rPr>
          <w:rFonts w:ascii="Arial" w:hAnsi="Arial" w:cs="Arial"/>
        </w:rPr>
        <w:t xml:space="preserve">conceded that </w:t>
      </w:r>
      <w:r w:rsidR="00DC4367" w:rsidRPr="00394FA8">
        <w:rPr>
          <w:rFonts w:ascii="Arial" w:hAnsi="Arial" w:cs="Arial"/>
        </w:rPr>
        <w:t xml:space="preserve">annexure J </w:t>
      </w:r>
      <w:r w:rsidR="005475F9" w:rsidRPr="00394FA8">
        <w:rPr>
          <w:rFonts w:ascii="Arial" w:hAnsi="Arial" w:cs="Arial"/>
        </w:rPr>
        <w:t xml:space="preserve">does not </w:t>
      </w:r>
      <w:r w:rsidR="00C60924" w:rsidRPr="00394FA8">
        <w:rPr>
          <w:rFonts w:ascii="Arial" w:hAnsi="Arial" w:cs="Arial"/>
        </w:rPr>
        <w:t xml:space="preserve">in fact </w:t>
      </w:r>
      <w:r w:rsidR="005475F9" w:rsidRPr="00394FA8">
        <w:rPr>
          <w:rFonts w:ascii="Arial" w:hAnsi="Arial" w:cs="Arial"/>
        </w:rPr>
        <w:t xml:space="preserve">appear </w:t>
      </w:r>
      <w:r w:rsidR="00AB57C1" w:rsidRPr="00394FA8">
        <w:rPr>
          <w:rFonts w:ascii="Arial" w:hAnsi="Arial" w:cs="Arial"/>
        </w:rPr>
        <w:t xml:space="preserve">in </w:t>
      </w:r>
      <w:r w:rsidR="005475F9" w:rsidRPr="00394FA8">
        <w:rPr>
          <w:rFonts w:ascii="Arial" w:hAnsi="Arial" w:cs="Arial"/>
        </w:rPr>
        <w:t>the record.</w:t>
      </w:r>
      <w:r w:rsidR="00DA49B2" w:rsidRPr="00394FA8">
        <w:rPr>
          <w:rFonts w:ascii="Arial" w:hAnsi="Arial" w:cs="Arial"/>
        </w:rPr>
        <w:t xml:space="preserve"> </w:t>
      </w:r>
    </w:p>
    <w:p w14:paraId="06029628" w14:textId="2E2AA0BF" w:rsidR="00DF123E" w:rsidRPr="00394FA8" w:rsidRDefault="00394FA8" w:rsidP="00394FA8">
      <w:pPr>
        <w:spacing w:after="480" w:line="360" w:lineRule="auto"/>
        <w:ind w:left="720" w:hanging="720"/>
        <w:jc w:val="both"/>
        <w:rPr>
          <w:rFonts w:ascii="Arial" w:hAnsi="Arial" w:cs="Arial"/>
        </w:rPr>
      </w:pPr>
      <w:r w:rsidRPr="00DB4007">
        <w:rPr>
          <w:rFonts w:ascii="Arial" w:hAnsi="Arial" w:cs="Arial"/>
        </w:rPr>
        <w:t>[41]</w:t>
      </w:r>
      <w:r w:rsidRPr="00DB4007">
        <w:rPr>
          <w:rFonts w:ascii="Arial" w:hAnsi="Arial" w:cs="Arial"/>
        </w:rPr>
        <w:tab/>
      </w:r>
      <w:r w:rsidR="00907D61" w:rsidRPr="00394FA8">
        <w:rPr>
          <w:rFonts w:ascii="Arial" w:hAnsi="Arial" w:cs="Arial"/>
        </w:rPr>
        <w:t xml:space="preserve">It is obvious that in the absence of </w:t>
      </w:r>
      <w:r w:rsidR="009E0392" w:rsidRPr="00394FA8">
        <w:rPr>
          <w:rFonts w:ascii="Arial" w:hAnsi="Arial" w:cs="Arial"/>
        </w:rPr>
        <w:t>an application to introduce new evidence on appeal</w:t>
      </w:r>
      <w:r w:rsidR="00907D61" w:rsidRPr="00394FA8">
        <w:rPr>
          <w:rFonts w:ascii="Arial" w:hAnsi="Arial" w:cs="Arial"/>
        </w:rPr>
        <w:t xml:space="preserve">, no reliance may be placed on </w:t>
      </w:r>
      <w:r w:rsidR="00DC4367" w:rsidRPr="00394FA8">
        <w:rPr>
          <w:rFonts w:ascii="Arial" w:hAnsi="Arial" w:cs="Arial"/>
        </w:rPr>
        <w:t xml:space="preserve">annexure J in this appeal. </w:t>
      </w:r>
      <w:r w:rsidR="00907D61" w:rsidRPr="00394FA8">
        <w:rPr>
          <w:rFonts w:ascii="Arial" w:hAnsi="Arial" w:cs="Arial"/>
        </w:rPr>
        <w:t xml:space="preserve">The appellant did not make such an application. The appellant’s attempt to rely on </w:t>
      </w:r>
      <w:r w:rsidR="00DC4367" w:rsidRPr="00394FA8">
        <w:rPr>
          <w:rFonts w:ascii="Arial" w:hAnsi="Arial" w:cs="Arial"/>
        </w:rPr>
        <w:t xml:space="preserve">annexure J </w:t>
      </w:r>
      <w:r w:rsidR="00907D61" w:rsidRPr="00394FA8">
        <w:rPr>
          <w:rFonts w:ascii="Arial" w:hAnsi="Arial" w:cs="Arial"/>
        </w:rPr>
        <w:t xml:space="preserve">is inexcusable. </w:t>
      </w:r>
      <w:r w:rsidR="00BC10C9" w:rsidRPr="00394FA8">
        <w:rPr>
          <w:rFonts w:ascii="Arial" w:hAnsi="Arial" w:cs="Arial"/>
        </w:rPr>
        <w:t xml:space="preserve">What makes matters worse </w:t>
      </w:r>
      <w:r w:rsidR="00DC4367" w:rsidRPr="00394FA8">
        <w:rPr>
          <w:rFonts w:ascii="Arial" w:hAnsi="Arial" w:cs="Arial"/>
        </w:rPr>
        <w:t xml:space="preserve">is that in his notice of appeal, heads of argument, practise note and argument before us the appellant and Mr </w:t>
      </w:r>
      <w:r w:rsidR="007A7064" w:rsidRPr="00394FA8">
        <w:rPr>
          <w:rFonts w:ascii="Arial" w:hAnsi="Arial" w:cs="Arial"/>
        </w:rPr>
        <w:t>Hlatshwayo</w:t>
      </w:r>
      <w:r w:rsidR="00DC4367" w:rsidRPr="00394FA8">
        <w:rPr>
          <w:rFonts w:ascii="Arial" w:hAnsi="Arial" w:cs="Arial"/>
        </w:rPr>
        <w:t xml:space="preserve"> were highly critical of the learned Magistrate’s failure to have regard to annexure J in his judgment and in granting the eviction application. </w:t>
      </w:r>
      <w:r w:rsidR="00684425" w:rsidRPr="00394FA8">
        <w:rPr>
          <w:rFonts w:ascii="Arial" w:hAnsi="Arial" w:cs="Arial"/>
        </w:rPr>
        <w:t>It is regrettable that an officer of the court conducted himself in this way.</w:t>
      </w:r>
    </w:p>
    <w:p w14:paraId="36874A5E" w14:textId="0726AFC8" w:rsidR="00684425" w:rsidRPr="00394FA8" w:rsidRDefault="00394FA8" w:rsidP="00394FA8">
      <w:pPr>
        <w:spacing w:after="480" w:line="360" w:lineRule="auto"/>
        <w:ind w:left="720" w:hanging="720"/>
        <w:jc w:val="both"/>
        <w:rPr>
          <w:rFonts w:ascii="Arial" w:hAnsi="Arial" w:cs="Arial"/>
        </w:rPr>
      </w:pPr>
      <w:r w:rsidRPr="00DB4007">
        <w:rPr>
          <w:rFonts w:ascii="Arial" w:hAnsi="Arial" w:cs="Arial"/>
        </w:rPr>
        <w:t>[42]</w:t>
      </w:r>
      <w:r w:rsidRPr="00DB4007">
        <w:rPr>
          <w:rFonts w:ascii="Arial" w:hAnsi="Arial" w:cs="Arial"/>
        </w:rPr>
        <w:tab/>
      </w:r>
      <w:r w:rsidR="00B9528C" w:rsidRPr="00394FA8">
        <w:rPr>
          <w:rFonts w:ascii="Arial" w:hAnsi="Arial" w:cs="Arial"/>
        </w:rPr>
        <w:t>T</w:t>
      </w:r>
      <w:r w:rsidR="00DF123E" w:rsidRPr="00394FA8">
        <w:rPr>
          <w:rFonts w:ascii="Arial" w:hAnsi="Arial" w:cs="Arial"/>
        </w:rPr>
        <w:t>he contents of annexure J are also instructive. Annexure J is a four</w:t>
      </w:r>
      <w:r w:rsidR="00684425" w:rsidRPr="00394FA8">
        <w:rPr>
          <w:rFonts w:ascii="Arial" w:hAnsi="Arial" w:cs="Arial"/>
        </w:rPr>
        <w:t>-</w:t>
      </w:r>
      <w:r w:rsidR="00DF123E" w:rsidRPr="00394FA8">
        <w:rPr>
          <w:rFonts w:ascii="Arial" w:hAnsi="Arial" w:cs="Arial"/>
        </w:rPr>
        <w:t>page document headed “</w:t>
      </w:r>
      <w:r w:rsidR="00DF123E" w:rsidRPr="00394FA8">
        <w:rPr>
          <w:rFonts w:ascii="Arial" w:hAnsi="Arial" w:cs="Arial"/>
          <w:i/>
          <w:iCs/>
        </w:rPr>
        <w:t>DEED OF SALE</w:t>
      </w:r>
      <w:r w:rsidR="00DF123E" w:rsidRPr="00394FA8">
        <w:rPr>
          <w:rFonts w:ascii="Arial" w:hAnsi="Arial" w:cs="Arial"/>
        </w:rPr>
        <w:t>”</w:t>
      </w:r>
      <w:r w:rsidR="00CB253B" w:rsidRPr="00394FA8">
        <w:rPr>
          <w:rFonts w:ascii="Arial" w:hAnsi="Arial" w:cs="Arial"/>
        </w:rPr>
        <w:t xml:space="preserve">. It </w:t>
      </w:r>
      <w:r w:rsidR="00DF123E" w:rsidRPr="00394FA8">
        <w:rPr>
          <w:rFonts w:ascii="Arial" w:hAnsi="Arial" w:cs="Arial"/>
        </w:rPr>
        <w:t>reflects the sale of the property by the deceased to the appellant for an amount of R17 000.00</w:t>
      </w:r>
      <w:r w:rsidR="00CB253B" w:rsidRPr="00394FA8">
        <w:rPr>
          <w:rFonts w:ascii="Arial" w:hAnsi="Arial" w:cs="Arial"/>
        </w:rPr>
        <w:t>.</w:t>
      </w:r>
    </w:p>
    <w:p w14:paraId="5EB7061F" w14:textId="0667E89F" w:rsidR="00466098" w:rsidRDefault="00684425" w:rsidP="00DB4007">
      <w:pPr>
        <w:spacing w:after="480" w:line="360" w:lineRule="auto"/>
        <w:ind w:left="1440" w:hanging="720"/>
        <w:jc w:val="both"/>
        <w:rPr>
          <w:rFonts w:ascii="Arial" w:hAnsi="Arial" w:cs="Arial"/>
        </w:rPr>
      </w:pPr>
      <w:r>
        <w:rPr>
          <w:rFonts w:ascii="Arial" w:hAnsi="Arial" w:cs="Arial"/>
        </w:rPr>
        <w:t xml:space="preserve">[42.1] </w:t>
      </w:r>
      <w:r w:rsidR="00466098">
        <w:rPr>
          <w:rFonts w:ascii="Arial" w:hAnsi="Arial" w:cs="Arial"/>
        </w:rPr>
        <w:tab/>
      </w:r>
      <w:r w:rsidRPr="00876CA5">
        <w:rPr>
          <w:rFonts w:ascii="Arial" w:hAnsi="Arial" w:cs="Arial"/>
        </w:rPr>
        <w:t xml:space="preserve">Clause 11 of </w:t>
      </w:r>
      <w:r>
        <w:rPr>
          <w:rFonts w:ascii="Arial" w:hAnsi="Arial" w:cs="Arial"/>
        </w:rPr>
        <w:t xml:space="preserve">annexure J </w:t>
      </w:r>
      <w:r w:rsidRPr="00876CA5">
        <w:rPr>
          <w:rFonts w:ascii="Arial" w:hAnsi="Arial" w:cs="Arial"/>
        </w:rPr>
        <w:t>this document records that “</w:t>
      </w:r>
      <w:r w:rsidRPr="00876CA5">
        <w:rPr>
          <w:rFonts w:ascii="Arial" w:hAnsi="Arial" w:cs="Arial"/>
          <w:i/>
          <w:iCs/>
        </w:rPr>
        <w:t xml:space="preserve">All payments shall be made at </w:t>
      </w:r>
      <w:r w:rsidR="007A7064">
        <w:rPr>
          <w:rFonts w:ascii="Arial" w:hAnsi="Arial" w:cs="Arial"/>
          <w:i/>
          <w:iCs/>
        </w:rPr>
        <w:t>Hlatshwayo</w:t>
      </w:r>
      <w:r w:rsidRPr="00530A20">
        <w:rPr>
          <w:rFonts w:ascii="Arial" w:hAnsi="Arial" w:cs="Arial"/>
          <w:i/>
          <w:iCs/>
        </w:rPr>
        <w:t>-</w:t>
      </w:r>
      <w:r w:rsidR="007A7064">
        <w:rPr>
          <w:rFonts w:ascii="Arial" w:hAnsi="Arial" w:cs="Arial"/>
          <w:i/>
          <w:iCs/>
        </w:rPr>
        <w:t>Mhayise</w:t>
      </w:r>
      <w:r w:rsidRPr="00530A20">
        <w:rPr>
          <w:rFonts w:ascii="Arial" w:hAnsi="Arial" w:cs="Arial"/>
          <w:i/>
          <w:iCs/>
        </w:rPr>
        <w:t xml:space="preserve"> Inc Vereeniging</w:t>
      </w:r>
      <w:r w:rsidRPr="00876CA5">
        <w:rPr>
          <w:rFonts w:ascii="Arial" w:hAnsi="Arial" w:cs="Arial"/>
        </w:rPr>
        <w:t xml:space="preserve">.” </w:t>
      </w:r>
    </w:p>
    <w:p w14:paraId="49BDE58C" w14:textId="07B6AA8E" w:rsidR="00466098" w:rsidRDefault="00466098" w:rsidP="00DB4007">
      <w:pPr>
        <w:spacing w:after="480" w:line="360" w:lineRule="auto"/>
        <w:ind w:left="1440" w:hanging="720"/>
        <w:jc w:val="both"/>
        <w:rPr>
          <w:rFonts w:ascii="Arial" w:hAnsi="Arial" w:cs="Arial"/>
        </w:rPr>
      </w:pPr>
      <w:r>
        <w:rPr>
          <w:rFonts w:ascii="Arial" w:hAnsi="Arial" w:cs="Arial"/>
        </w:rPr>
        <w:t>[42.2]</w:t>
      </w:r>
      <w:r>
        <w:rPr>
          <w:rFonts w:ascii="Arial" w:hAnsi="Arial" w:cs="Arial"/>
        </w:rPr>
        <w:tab/>
      </w:r>
      <w:r w:rsidR="00684425" w:rsidRPr="00876CA5">
        <w:rPr>
          <w:rFonts w:ascii="Arial" w:hAnsi="Arial" w:cs="Arial"/>
        </w:rPr>
        <w:t>Clause 18 provides that the deceased’s “</w:t>
      </w:r>
      <w:r w:rsidR="00684425" w:rsidRPr="00876CA5">
        <w:rPr>
          <w:rFonts w:ascii="Arial" w:hAnsi="Arial" w:cs="Arial"/>
          <w:i/>
          <w:iCs/>
        </w:rPr>
        <w:t xml:space="preserve">conveyancers shall attend to the registration of </w:t>
      </w:r>
      <w:r w:rsidR="005A532C" w:rsidRPr="00876CA5">
        <w:rPr>
          <w:rFonts w:ascii="Arial" w:hAnsi="Arial" w:cs="Arial"/>
          <w:i/>
          <w:iCs/>
        </w:rPr>
        <w:t>the</w:t>
      </w:r>
      <w:r w:rsidR="00CB253B" w:rsidRPr="00DB4007">
        <w:rPr>
          <w:rFonts w:ascii="Arial" w:hAnsi="Arial" w:cs="Arial"/>
          <w:i/>
          <w:iCs/>
        </w:rPr>
        <w:t xml:space="preserve"> transfer of the above property into the name of [the appellant]. HLATSHWAYO-MHAYISE INCORPORATED of VEREENIGING or their associates are authorized to attend to the necessary registration.</w:t>
      </w:r>
      <w:r w:rsidR="00CB253B" w:rsidRPr="00DB4007">
        <w:rPr>
          <w:rFonts w:ascii="Arial" w:hAnsi="Arial" w:cs="Arial"/>
        </w:rPr>
        <w:t>”</w:t>
      </w:r>
      <w:r w:rsidR="00486464" w:rsidRPr="00DB4007">
        <w:rPr>
          <w:rFonts w:ascii="Arial" w:hAnsi="Arial" w:cs="Arial"/>
        </w:rPr>
        <w:t xml:space="preserve"> </w:t>
      </w:r>
    </w:p>
    <w:p w14:paraId="563563E7" w14:textId="77777777" w:rsidR="00466098" w:rsidRDefault="00466098" w:rsidP="00DB4007">
      <w:pPr>
        <w:spacing w:after="480" w:line="360" w:lineRule="auto"/>
        <w:ind w:left="1440" w:hanging="720"/>
        <w:jc w:val="both"/>
        <w:rPr>
          <w:rFonts w:ascii="Arial" w:hAnsi="Arial" w:cs="Arial"/>
        </w:rPr>
      </w:pPr>
      <w:r>
        <w:rPr>
          <w:rFonts w:ascii="Arial" w:hAnsi="Arial" w:cs="Arial"/>
        </w:rPr>
        <w:t>[42.3]</w:t>
      </w:r>
      <w:r>
        <w:rPr>
          <w:rFonts w:ascii="Arial" w:hAnsi="Arial" w:cs="Arial"/>
        </w:rPr>
        <w:tab/>
      </w:r>
      <w:r w:rsidR="00486464" w:rsidRPr="00DB4007">
        <w:rPr>
          <w:rFonts w:ascii="Arial" w:hAnsi="Arial" w:cs="Arial"/>
        </w:rPr>
        <w:t>The signature portion of annexure J reflects a manuscript insertion purporting to be the signature of the deceased in the space provided for the seller, and a signature</w:t>
      </w:r>
      <w:r>
        <w:rPr>
          <w:rFonts w:ascii="Arial" w:hAnsi="Arial" w:cs="Arial"/>
        </w:rPr>
        <w:t>,</w:t>
      </w:r>
      <w:r w:rsidR="00486464" w:rsidRPr="00DB4007">
        <w:rPr>
          <w:rFonts w:ascii="Arial" w:hAnsi="Arial" w:cs="Arial"/>
        </w:rPr>
        <w:t xml:space="preserve"> purporting to be that of the appellant</w:t>
      </w:r>
      <w:r>
        <w:rPr>
          <w:rFonts w:ascii="Arial" w:hAnsi="Arial" w:cs="Arial"/>
        </w:rPr>
        <w:t>,</w:t>
      </w:r>
      <w:r w:rsidR="00486464" w:rsidRPr="00DB4007">
        <w:rPr>
          <w:rFonts w:ascii="Arial" w:hAnsi="Arial" w:cs="Arial"/>
        </w:rPr>
        <w:t xml:space="preserve"> in the space provided for the purchaser. Provision is made for </w:t>
      </w:r>
      <w:r>
        <w:rPr>
          <w:rFonts w:ascii="Arial" w:hAnsi="Arial" w:cs="Arial"/>
        </w:rPr>
        <w:t xml:space="preserve">the signatures of two </w:t>
      </w:r>
      <w:r w:rsidR="00486464" w:rsidRPr="00DB4007">
        <w:rPr>
          <w:rFonts w:ascii="Arial" w:hAnsi="Arial" w:cs="Arial"/>
        </w:rPr>
        <w:t>witness</w:t>
      </w:r>
      <w:r>
        <w:rPr>
          <w:rFonts w:ascii="Arial" w:hAnsi="Arial" w:cs="Arial"/>
        </w:rPr>
        <w:t xml:space="preserve">es </w:t>
      </w:r>
      <w:r w:rsidR="00486464" w:rsidRPr="00DB4007">
        <w:rPr>
          <w:rFonts w:ascii="Arial" w:hAnsi="Arial" w:cs="Arial"/>
        </w:rPr>
        <w:t xml:space="preserve">for </w:t>
      </w:r>
      <w:r w:rsidR="004F3CAF" w:rsidRPr="00DB4007">
        <w:rPr>
          <w:rFonts w:ascii="Arial" w:hAnsi="Arial" w:cs="Arial"/>
        </w:rPr>
        <w:t xml:space="preserve">each of </w:t>
      </w:r>
      <w:r w:rsidR="00486464" w:rsidRPr="00DB4007">
        <w:rPr>
          <w:rFonts w:ascii="Arial" w:hAnsi="Arial" w:cs="Arial"/>
        </w:rPr>
        <w:t>the seller and the purchase</w:t>
      </w:r>
      <w:r w:rsidR="004F3CAF" w:rsidRPr="00DB4007">
        <w:rPr>
          <w:rFonts w:ascii="Arial" w:hAnsi="Arial" w:cs="Arial"/>
        </w:rPr>
        <w:t xml:space="preserve">r. There is what appears to be a signature of the same person in the space provided for one of the two witnesses. </w:t>
      </w:r>
    </w:p>
    <w:p w14:paraId="5E5E3AAC" w14:textId="6CEAE340" w:rsidR="00CB253B" w:rsidRPr="00DB4007" w:rsidRDefault="00466098" w:rsidP="00DB4007">
      <w:pPr>
        <w:spacing w:after="480" w:line="360" w:lineRule="auto"/>
        <w:ind w:left="1440" w:hanging="720"/>
        <w:jc w:val="both"/>
        <w:rPr>
          <w:rFonts w:ascii="Arial" w:hAnsi="Arial" w:cs="Arial"/>
        </w:rPr>
      </w:pPr>
      <w:r>
        <w:rPr>
          <w:rFonts w:ascii="Arial" w:hAnsi="Arial" w:cs="Arial"/>
        </w:rPr>
        <w:t>[42.4]</w:t>
      </w:r>
      <w:r>
        <w:rPr>
          <w:rFonts w:ascii="Arial" w:hAnsi="Arial" w:cs="Arial"/>
        </w:rPr>
        <w:tab/>
      </w:r>
      <w:r w:rsidR="00486464" w:rsidRPr="00DB4007">
        <w:rPr>
          <w:rFonts w:ascii="Arial" w:hAnsi="Arial" w:cs="Arial"/>
        </w:rPr>
        <w:t>The date of the</w:t>
      </w:r>
      <w:r w:rsidR="004F3CAF" w:rsidRPr="00DB4007">
        <w:rPr>
          <w:rFonts w:ascii="Arial" w:hAnsi="Arial" w:cs="Arial"/>
        </w:rPr>
        <w:t xml:space="preserve"> seller and purchaser’s </w:t>
      </w:r>
      <w:r w:rsidR="00486464" w:rsidRPr="00DB4007">
        <w:rPr>
          <w:rFonts w:ascii="Arial" w:hAnsi="Arial" w:cs="Arial"/>
        </w:rPr>
        <w:t>purported signatures is blank. In this regard all that is reflected is “</w:t>
      </w:r>
      <w:r w:rsidR="00486464" w:rsidRPr="00DB4007">
        <w:rPr>
          <w:rFonts w:ascii="Arial" w:hAnsi="Arial" w:cs="Arial"/>
          <w:i/>
          <w:iCs/>
        </w:rPr>
        <w:t>THUS DONE AND SIGNED at …………..ON THIS ……………DAY OF …………….2003.</w:t>
      </w:r>
      <w:r w:rsidR="00486464" w:rsidRPr="00DB4007">
        <w:rPr>
          <w:rFonts w:ascii="Arial" w:hAnsi="Arial" w:cs="Arial"/>
        </w:rPr>
        <w:t>”</w:t>
      </w:r>
      <w:r w:rsidR="00486464" w:rsidRPr="00DB4007">
        <w:rPr>
          <w:rFonts w:ascii="Arial" w:hAnsi="Arial" w:cs="Arial"/>
          <w:i/>
          <w:iCs/>
        </w:rPr>
        <w:t xml:space="preserve"> </w:t>
      </w:r>
    </w:p>
    <w:p w14:paraId="689BE95C" w14:textId="33216902" w:rsidR="00EC55D9" w:rsidRPr="00394FA8" w:rsidRDefault="00394FA8" w:rsidP="00394FA8">
      <w:pPr>
        <w:spacing w:after="480" w:line="360" w:lineRule="auto"/>
        <w:ind w:left="720" w:hanging="720"/>
        <w:jc w:val="both"/>
        <w:rPr>
          <w:rFonts w:ascii="Arial" w:hAnsi="Arial" w:cs="Arial"/>
        </w:rPr>
      </w:pPr>
      <w:r w:rsidRPr="00DB4007">
        <w:rPr>
          <w:rFonts w:ascii="Arial" w:hAnsi="Arial" w:cs="Arial"/>
        </w:rPr>
        <w:t>[43]</w:t>
      </w:r>
      <w:r w:rsidRPr="00DB4007">
        <w:rPr>
          <w:rFonts w:ascii="Arial" w:hAnsi="Arial" w:cs="Arial"/>
        </w:rPr>
        <w:tab/>
      </w:r>
      <w:r w:rsidR="001937CF" w:rsidRPr="00394FA8">
        <w:rPr>
          <w:rFonts w:ascii="Arial" w:hAnsi="Arial" w:cs="Arial"/>
        </w:rPr>
        <w:t xml:space="preserve">We question the </w:t>
      </w:r>
      <w:r w:rsidR="00466098" w:rsidRPr="00394FA8">
        <w:rPr>
          <w:rFonts w:ascii="Arial" w:hAnsi="Arial" w:cs="Arial"/>
        </w:rPr>
        <w:t xml:space="preserve">authenticity of </w:t>
      </w:r>
      <w:r w:rsidR="00B332FB" w:rsidRPr="00394FA8">
        <w:rPr>
          <w:rFonts w:ascii="Arial" w:hAnsi="Arial" w:cs="Arial"/>
        </w:rPr>
        <w:t>annexure J</w:t>
      </w:r>
      <w:r w:rsidR="001937CF" w:rsidRPr="00394FA8">
        <w:rPr>
          <w:rFonts w:ascii="Arial" w:hAnsi="Arial" w:cs="Arial"/>
        </w:rPr>
        <w:t>.</w:t>
      </w:r>
    </w:p>
    <w:p w14:paraId="2BFDF680" w14:textId="37D95212" w:rsidR="00EC55D9" w:rsidRPr="00DB4007" w:rsidRDefault="00466098" w:rsidP="00DB4007">
      <w:pPr>
        <w:spacing w:after="480" w:line="360" w:lineRule="auto"/>
        <w:ind w:left="1440" w:hanging="720"/>
        <w:jc w:val="both"/>
        <w:rPr>
          <w:rFonts w:ascii="Arial" w:hAnsi="Arial" w:cs="Arial"/>
        </w:rPr>
      </w:pPr>
      <w:r>
        <w:rPr>
          <w:rFonts w:ascii="Arial" w:hAnsi="Arial" w:cs="Arial"/>
        </w:rPr>
        <w:t>[43.1]</w:t>
      </w:r>
      <w:r>
        <w:rPr>
          <w:rFonts w:ascii="Arial" w:hAnsi="Arial" w:cs="Arial"/>
        </w:rPr>
        <w:tab/>
      </w:r>
      <w:r w:rsidR="00B332FB" w:rsidRPr="00DB4007">
        <w:rPr>
          <w:rFonts w:ascii="Arial" w:hAnsi="Arial" w:cs="Arial"/>
        </w:rPr>
        <w:t xml:space="preserve">First, it is immediately apparent that the appellant’s attorneys played some role and had some input in the production of annexure J as they are not only named as the deceased’s conveyancers but are also identified as the party to whom payments under the deed of sale are to be made. </w:t>
      </w:r>
      <w:r w:rsidR="00EC55D9" w:rsidRPr="00DB4007">
        <w:rPr>
          <w:rFonts w:ascii="Arial" w:hAnsi="Arial" w:cs="Arial"/>
        </w:rPr>
        <w:t>There is no explanation given as to why</w:t>
      </w:r>
      <w:r w:rsidR="001937CF" w:rsidRPr="00DB4007">
        <w:rPr>
          <w:rFonts w:ascii="Arial" w:hAnsi="Arial" w:cs="Arial"/>
        </w:rPr>
        <w:t>,</w:t>
      </w:r>
      <w:r w:rsidR="00EC55D9" w:rsidRPr="00DB4007">
        <w:rPr>
          <w:rFonts w:ascii="Arial" w:hAnsi="Arial" w:cs="Arial"/>
        </w:rPr>
        <w:t xml:space="preserve"> if this is so</w:t>
      </w:r>
      <w:r w:rsidR="001937CF" w:rsidRPr="00DB4007">
        <w:rPr>
          <w:rFonts w:ascii="Arial" w:hAnsi="Arial" w:cs="Arial"/>
        </w:rPr>
        <w:t>,</w:t>
      </w:r>
      <w:r w:rsidR="00EC55D9" w:rsidRPr="00DB4007">
        <w:rPr>
          <w:rFonts w:ascii="Arial" w:hAnsi="Arial" w:cs="Arial"/>
        </w:rPr>
        <w:t xml:space="preserve"> annexure J could not have been made available at the time when the eviction application served before the court </w:t>
      </w:r>
      <w:r w:rsidR="00EC55D9" w:rsidRPr="00DB4007">
        <w:rPr>
          <w:rFonts w:ascii="Arial" w:hAnsi="Arial" w:cs="Arial"/>
          <w:i/>
          <w:iCs/>
        </w:rPr>
        <w:t>a quo</w:t>
      </w:r>
      <w:r w:rsidR="001937CF" w:rsidRPr="00DB4007">
        <w:rPr>
          <w:rFonts w:ascii="Arial" w:hAnsi="Arial" w:cs="Arial"/>
          <w:i/>
          <w:iCs/>
        </w:rPr>
        <w:t xml:space="preserve"> </w:t>
      </w:r>
      <w:r w:rsidR="001937CF" w:rsidRPr="00DB4007">
        <w:rPr>
          <w:rFonts w:ascii="Arial" w:hAnsi="Arial" w:cs="Arial"/>
        </w:rPr>
        <w:t xml:space="preserve">especially because the </w:t>
      </w:r>
      <w:r w:rsidR="00312E8B" w:rsidRPr="00DB4007">
        <w:rPr>
          <w:rFonts w:ascii="Arial" w:hAnsi="Arial" w:cs="Arial"/>
        </w:rPr>
        <w:t xml:space="preserve">very same </w:t>
      </w:r>
      <w:r w:rsidR="001937CF" w:rsidRPr="00DB4007">
        <w:rPr>
          <w:rFonts w:ascii="Arial" w:hAnsi="Arial" w:cs="Arial"/>
        </w:rPr>
        <w:t xml:space="preserve">attorneys, </w:t>
      </w:r>
      <w:r w:rsidR="007A7064">
        <w:rPr>
          <w:rFonts w:ascii="Arial" w:hAnsi="Arial" w:cs="Arial"/>
        </w:rPr>
        <w:t>Hlatshwayo</w:t>
      </w:r>
      <w:r w:rsidR="001937CF" w:rsidRPr="00DB4007">
        <w:rPr>
          <w:rFonts w:ascii="Arial" w:hAnsi="Arial" w:cs="Arial"/>
        </w:rPr>
        <w:t>-</w:t>
      </w:r>
      <w:r w:rsidR="007A7064">
        <w:rPr>
          <w:rFonts w:ascii="Arial" w:hAnsi="Arial" w:cs="Arial"/>
        </w:rPr>
        <w:t>Mhayise</w:t>
      </w:r>
      <w:r w:rsidR="001937CF" w:rsidRPr="00DB4007">
        <w:rPr>
          <w:rFonts w:ascii="Arial" w:hAnsi="Arial" w:cs="Arial"/>
        </w:rPr>
        <w:t xml:space="preserve"> Inc, represented the appellant in the court </w:t>
      </w:r>
      <w:r w:rsidR="001937CF" w:rsidRPr="00DB4007">
        <w:rPr>
          <w:rFonts w:ascii="Arial" w:hAnsi="Arial" w:cs="Arial"/>
          <w:i/>
          <w:iCs/>
        </w:rPr>
        <w:t>a quo</w:t>
      </w:r>
      <w:r w:rsidR="00312E8B" w:rsidRPr="00DB4007">
        <w:rPr>
          <w:rFonts w:ascii="Arial" w:hAnsi="Arial" w:cs="Arial"/>
          <w:i/>
          <w:iCs/>
        </w:rPr>
        <w:t xml:space="preserve">. </w:t>
      </w:r>
      <w:r w:rsidR="00EC55D9" w:rsidRPr="00DB4007">
        <w:rPr>
          <w:rFonts w:ascii="Arial" w:hAnsi="Arial" w:cs="Arial"/>
          <w:i/>
          <w:iCs/>
        </w:rPr>
        <w:t xml:space="preserve"> </w:t>
      </w:r>
      <w:r w:rsidR="00312E8B" w:rsidRPr="00DB4007">
        <w:rPr>
          <w:rFonts w:ascii="Arial" w:hAnsi="Arial" w:cs="Arial"/>
        </w:rPr>
        <w:t>The sudden appearance of a deed of sale i</w:t>
      </w:r>
      <w:r w:rsidR="00EC55D9" w:rsidRPr="00DB4007">
        <w:rPr>
          <w:rFonts w:ascii="Arial" w:hAnsi="Arial" w:cs="Arial"/>
        </w:rPr>
        <w:t>n this appeal is curious</w:t>
      </w:r>
      <w:r w:rsidR="00312E8B" w:rsidRPr="00DB4007">
        <w:rPr>
          <w:rFonts w:ascii="Arial" w:hAnsi="Arial" w:cs="Arial"/>
        </w:rPr>
        <w:t xml:space="preserve"> (to say the least)</w:t>
      </w:r>
      <w:r w:rsidR="00EC55D9" w:rsidRPr="00DB4007">
        <w:rPr>
          <w:rFonts w:ascii="Arial" w:hAnsi="Arial" w:cs="Arial"/>
        </w:rPr>
        <w:t xml:space="preserve">. </w:t>
      </w:r>
    </w:p>
    <w:p w14:paraId="3CC28D13" w14:textId="5B0BD5A6" w:rsidR="00F434C3" w:rsidRPr="00DB4007" w:rsidRDefault="00466098" w:rsidP="00DB4007">
      <w:pPr>
        <w:spacing w:after="480" w:line="360" w:lineRule="auto"/>
        <w:ind w:left="1440" w:hanging="720"/>
        <w:jc w:val="both"/>
        <w:rPr>
          <w:rFonts w:ascii="Arial" w:hAnsi="Arial" w:cs="Arial"/>
        </w:rPr>
      </w:pPr>
      <w:r>
        <w:rPr>
          <w:rFonts w:ascii="Arial" w:hAnsi="Arial" w:cs="Arial"/>
        </w:rPr>
        <w:t>[43.2]</w:t>
      </w:r>
      <w:r>
        <w:rPr>
          <w:rFonts w:ascii="Arial" w:hAnsi="Arial" w:cs="Arial"/>
        </w:rPr>
        <w:tab/>
      </w:r>
      <w:r w:rsidR="00B332FB" w:rsidRPr="00DB4007">
        <w:rPr>
          <w:rFonts w:ascii="Arial" w:hAnsi="Arial" w:cs="Arial"/>
        </w:rPr>
        <w:t>Second</w:t>
      </w:r>
      <w:r w:rsidR="00C90D85">
        <w:rPr>
          <w:rFonts w:ascii="Arial" w:hAnsi="Arial" w:cs="Arial"/>
        </w:rPr>
        <w:t>,</w:t>
      </w:r>
      <w:r w:rsidR="00B332FB" w:rsidRPr="00DB4007">
        <w:rPr>
          <w:rFonts w:ascii="Arial" w:hAnsi="Arial" w:cs="Arial"/>
        </w:rPr>
        <w:t xml:space="preserve"> the contents of annexure J contradict the appellant’s evidence before the court </w:t>
      </w:r>
      <w:r w:rsidR="00B332FB" w:rsidRPr="00DB4007">
        <w:rPr>
          <w:rFonts w:ascii="Arial" w:hAnsi="Arial" w:cs="Arial"/>
          <w:i/>
          <w:iCs/>
        </w:rPr>
        <w:t xml:space="preserve">a quo </w:t>
      </w:r>
      <w:r w:rsidR="00B332FB" w:rsidRPr="00DB4007">
        <w:rPr>
          <w:rFonts w:ascii="Arial" w:hAnsi="Arial" w:cs="Arial"/>
        </w:rPr>
        <w:t xml:space="preserve">in several material respects which include the following: (1) a difference in the purchase price - R11 000 was the evidence in the court </w:t>
      </w:r>
      <w:r w:rsidR="00B332FB" w:rsidRPr="00DB4007">
        <w:rPr>
          <w:rFonts w:ascii="Arial" w:hAnsi="Arial" w:cs="Arial"/>
          <w:i/>
          <w:iCs/>
        </w:rPr>
        <w:t xml:space="preserve">a quo </w:t>
      </w:r>
      <w:r w:rsidR="00B332FB" w:rsidRPr="00DB4007">
        <w:rPr>
          <w:rFonts w:ascii="Arial" w:hAnsi="Arial" w:cs="Arial"/>
        </w:rPr>
        <w:t xml:space="preserve">but R17 000 in the deed of sale; (2) </w:t>
      </w:r>
      <w:r w:rsidR="00EC55D9" w:rsidRPr="00DB4007">
        <w:rPr>
          <w:rFonts w:ascii="Arial" w:hAnsi="Arial" w:cs="Arial"/>
        </w:rPr>
        <w:t xml:space="preserve">a difference in </w:t>
      </w:r>
      <w:r w:rsidR="00F434C3" w:rsidRPr="00DB4007">
        <w:rPr>
          <w:rFonts w:ascii="Arial" w:hAnsi="Arial" w:cs="Arial"/>
        </w:rPr>
        <w:t xml:space="preserve">regard to </w:t>
      </w:r>
      <w:r w:rsidR="00EC55D9" w:rsidRPr="00DB4007">
        <w:rPr>
          <w:rFonts w:ascii="Arial" w:hAnsi="Arial" w:cs="Arial"/>
        </w:rPr>
        <w:t xml:space="preserve">whom the payment must be made – in the court </w:t>
      </w:r>
      <w:r w:rsidR="00EC55D9" w:rsidRPr="00DB4007">
        <w:rPr>
          <w:rFonts w:ascii="Arial" w:hAnsi="Arial" w:cs="Arial"/>
          <w:i/>
          <w:iCs/>
        </w:rPr>
        <w:t>a quo</w:t>
      </w:r>
      <w:r w:rsidR="007F5D9F">
        <w:rPr>
          <w:rFonts w:ascii="Arial" w:hAnsi="Arial" w:cs="Arial"/>
          <w:i/>
          <w:iCs/>
        </w:rPr>
        <w:t xml:space="preserve"> </w:t>
      </w:r>
      <w:r w:rsidR="007F5D9F" w:rsidRPr="007F5D9F">
        <w:rPr>
          <w:rFonts w:ascii="Arial" w:hAnsi="Arial" w:cs="Arial"/>
          <w:iCs/>
        </w:rPr>
        <w:t>in his oral</w:t>
      </w:r>
      <w:r w:rsidR="00D814E3">
        <w:rPr>
          <w:rFonts w:ascii="Arial" w:hAnsi="Arial" w:cs="Arial"/>
          <w:iCs/>
        </w:rPr>
        <w:t xml:space="preserve"> evidence</w:t>
      </w:r>
      <w:r w:rsidR="00EC55D9" w:rsidRPr="00DB4007">
        <w:rPr>
          <w:rFonts w:ascii="Arial" w:hAnsi="Arial" w:cs="Arial"/>
          <w:i/>
          <w:iCs/>
        </w:rPr>
        <w:t xml:space="preserve"> </w:t>
      </w:r>
      <w:r w:rsidR="007F5D9F">
        <w:rPr>
          <w:rFonts w:ascii="Arial" w:hAnsi="Arial" w:cs="Arial"/>
        </w:rPr>
        <w:t>the appellant testified</w:t>
      </w:r>
      <w:r w:rsidR="00EC55D9" w:rsidRPr="00DB4007">
        <w:rPr>
          <w:rFonts w:ascii="Arial" w:hAnsi="Arial" w:cs="Arial"/>
        </w:rPr>
        <w:t xml:space="preserve"> that the amount was paid in two instalme</w:t>
      </w:r>
      <w:r w:rsidR="00884D89">
        <w:rPr>
          <w:rFonts w:ascii="Arial" w:hAnsi="Arial" w:cs="Arial"/>
        </w:rPr>
        <w:t>nts in cash to the deceased</w:t>
      </w:r>
      <w:r w:rsidR="003A5AF9">
        <w:rPr>
          <w:rFonts w:ascii="Arial" w:hAnsi="Arial" w:cs="Arial"/>
          <w:sz w:val="24"/>
          <w:szCs w:val="24"/>
        </w:rPr>
        <w:t>,</w:t>
      </w:r>
      <w:r w:rsidR="00EC55D9" w:rsidRPr="00DB4007">
        <w:rPr>
          <w:rFonts w:ascii="Arial" w:hAnsi="Arial" w:cs="Arial"/>
        </w:rPr>
        <w:t xml:space="preserve"> whereas the deed of sale requires payment to be made to</w:t>
      </w:r>
      <w:r w:rsidR="00EC55D9" w:rsidRPr="00DB4007">
        <w:rPr>
          <w:rFonts w:ascii="Arial" w:hAnsi="Arial" w:cs="Arial"/>
          <w:i/>
          <w:iCs/>
        </w:rPr>
        <w:t xml:space="preserve"> </w:t>
      </w:r>
      <w:r w:rsidR="007A7064">
        <w:rPr>
          <w:rFonts w:ascii="Arial" w:hAnsi="Arial" w:cs="Arial"/>
        </w:rPr>
        <w:t>Hlatshwayo</w:t>
      </w:r>
      <w:r w:rsidR="00EC55D9" w:rsidRPr="00DB4007">
        <w:rPr>
          <w:rFonts w:ascii="Arial" w:hAnsi="Arial" w:cs="Arial"/>
        </w:rPr>
        <w:t>-</w:t>
      </w:r>
      <w:r w:rsidR="007A7064">
        <w:rPr>
          <w:rFonts w:ascii="Arial" w:hAnsi="Arial" w:cs="Arial"/>
        </w:rPr>
        <w:t>Mhayise</w:t>
      </w:r>
      <w:r w:rsidR="00EC55D9" w:rsidRPr="00DB4007">
        <w:rPr>
          <w:rFonts w:ascii="Arial" w:hAnsi="Arial" w:cs="Arial"/>
        </w:rPr>
        <w:t xml:space="preserve"> Inc; (3) </w:t>
      </w:r>
      <w:r w:rsidR="00F434C3" w:rsidRPr="00DB4007">
        <w:rPr>
          <w:rFonts w:ascii="Arial" w:hAnsi="Arial" w:cs="Arial"/>
        </w:rPr>
        <w:t xml:space="preserve">a difference in the date when the agreement of sale was concluded – the appellant’s evidence in the court </w:t>
      </w:r>
      <w:r w:rsidR="00F434C3" w:rsidRPr="00DB4007">
        <w:rPr>
          <w:rFonts w:ascii="Arial" w:hAnsi="Arial" w:cs="Arial"/>
          <w:i/>
          <w:iCs/>
        </w:rPr>
        <w:t xml:space="preserve">a quo </w:t>
      </w:r>
      <w:r w:rsidR="00F434C3" w:rsidRPr="00DB4007">
        <w:rPr>
          <w:rFonts w:ascii="Arial" w:hAnsi="Arial" w:cs="Arial"/>
        </w:rPr>
        <w:t>was that the a</w:t>
      </w:r>
      <w:r w:rsidR="00D167DC">
        <w:rPr>
          <w:rFonts w:ascii="Arial" w:hAnsi="Arial" w:cs="Arial"/>
        </w:rPr>
        <w:t>greement was signed on 5</w:t>
      </w:r>
      <w:r w:rsidR="00390CD8">
        <w:rPr>
          <w:rFonts w:ascii="Arial" w:hAnsi="Arial" w:cs="Arial"/>
        </w:rPr>
        <w:t xml:space="preserve"> January 2003</w:t>
      </w:r>
      <w:r w:rsidR="008C765B">
        <w:rPr>
          <w:rFonts w:ascii="Arial" w:hAnsi="Arial" w:cs="Arial"/>
        </w:rPr>
        <w:t xml:space="preserve"> at Mmoledi Attorneys</w:t>
      </w:r>
      <w:r w:rsidR="005C13C6">
        <w:rPr>
          <w:rFonts w:ascii="Arial" w:hAnsi="Arial" w:cs="Arial"/>
        </w:rPr>
        <w:t>’</w:t>
      </w:r>
      <w:r w:rsidR="008C765B">
        <w:rPr>
          <w:rFonts w:ascii="Arial" w:hAnsi="Arial" w:cs="Arial"/>
        </w:rPr>
        <w:t xml:space="preserve"> office</w:t>
      </w:r>
      <w:r w:rsidR="00912B84">
        <w:rPr>
          <w:rFonts w:ascii="Arial" w:hAnsi="Arial" w:cs="Arial"/>
        </w:rPr>
        <w:t>, in the answering affidavit he mentioned October 2002,</w:t>
      </w:r>
      <w:r w:rsidR="00F434C3" w:rsidRPr="00DB4007">
        <w:rPr>
          <w:rFonts w:ascii="Arial" w:hAnsi="Arial" w:cs="Arial"/>
        </w:rPr>
        <w:t xml:space="preserve"> but annexure J reflects 2003</w:t>
      </w:r>
      <w:r w:rsidR="00912B84">
        <w:rPr>
          <w:rFonts w:ascii="Arial" w:hAnsi="Arial" w:cs="Arial"/>
        </w:rPr>
        <w:t xml:space="preserve"> without a complete date</w:t>
      </w:r>
      <w:r w:rsidR="00BB09E9">
        <w:rPr>
          <w:rFonts w:ascii="Arial" w:hAnsi="Arial" w:cs="Arial"/>
        </w:rPr>
        <w:t xml:space="preserve"> and at</w:t>
      </w:r>
      <w:r w:rsidR="008C765B">
        <w:rPr>
          <w:rFonts w:ascii="Arial" w:hAnsi="Arial" w:cs="Arial"/>
        </w:rPr>
        <w:t xml:space="preserve"> Hlatshwayo-Mhayise Inc.</w:t>
      </w:r>
      <w:r w:rsidR="00F434C3" w:rsidRPr="00DB4007">
        <w:rPr>
          <w:rFonts w:ascii="Arial" w:hAnsi="Arial" w:cs="Arial"/>
        </w:rPr>
        <w:t xml:space="preserve"> </w:t>
      </w:r>
    </w:p>
    <w:p w14:paraId="37BE28AF" w14:textId="4C8B2F2C" w:rsidR="00E85440" w:rsidRPr="00394FA8" w:rsidRDefault="00394FA8" w:rsidP="00394FA8">
      <w:pPr>
        <w:spacing w:after="480" w:line="360" w:lineRule="auto"/>
        <w:ind w:left="720" w:hanging="720"/>
        <w:jc w:val="both"/>
        <w:rPr>
          <w:rFonts w:ascii="Arial" w:hAnsi="Arial" w:cs="Arial"/>
        </w:rPr>
      </w:pPr>
      <w:r w:rsidRPr="00876CA5">
        <w:rPr>
          <w:rFonts w:ascii="Arial" w:hAnsi="Arial" w:cs="Arial"/>
        </w:rPr>
        <w:t>[44]</w:t>
      </w:r>
      <w:r w:rsidRPr="00876CA5">
        <w:rPr>
          <w:rFonts w:ascii="Arial" w:hAnsi="Arial" w:cs="Arial"/>
        </w:rPr>
        <w:tab/>
      </w:r>
      <w:r w:rsidR="00312E8B" w:rsidRPr="00394FA8">
        <w:rPr>
          <w:rFonts w:ascii="Arial" w:hAnsi="Arial" w:cs="Arial"/>
        </w:rPr>
        <w:t xml:space="preserve">We therefore reject any reliance on annexure J. On the evidence before the court </w:t>
      </w:r>
      <w:r w:rsidR="00312E8B" w:rsidRPr="00394FA8">
        <w:rPr>
          <w:rFonts w:ascii="Arial" w:hAnsi="Arial" w:cs="Arial"/>
          <w:i/>
          <w:iCs/>
        </w:rPr>
        <w:t xml:space="preserve">a quo </w:t>
      </w:r>
      <w:r w:rsidR="00312E8B" w:rsidRPr="00394FA8">
        <w:rPr>
          <w:rFonts w:ascii="Arial" w:hAnsi="Arial" w:cs="Arial"/>
        </w:rPr>
        <w:t>there was no evidence of a written agreement of sale in respect of the property. That being the case, s</w:t>
      </w:r>
      <w:r w:rsidR="00A164E8" w:rsidRPr="00394FA8">
        <w:rPr>
          <w:rFonts w:ascii="Arial" w:hAnsi="Arial" w:cs="Arial"/>
        </w:rPr>
        <w:t>ection</w:t>
      </w:r>
      <w:r w:rsidR="00BD0D3A" w:rsidRPr="00394FA8">
        <w:rPr>
          <w:rFonts w:ascii="Arial" w:hAnsi="Arial" w:cs="Arial"/>
        </w:rPr>
        <w:t xml:space="preserve"> 2(1)</w:t>
      </w:r>
      <w:r w:rsidR="00A164E8" w:rsidRPr="00394FA8">
        <w:rPr>
          <w:rFonts w:ascii="Arial" w:hAnsi="Arial" w:cs="Arial"/>
        </w:rPr>
        <w:t xml:space="preserve"> of the Alienation of Land Act</w:t>
      </w:r>
      <w:r w:rsidR="00BD0D3A" w:rsidRPr="00394FA8">
        <w:rPr>
          <w:rFonts w:ascii="Arial" w:hAnsi="Arial" w:cs="Arial"/>
        </w:rPr>
        <w:t>, 198</w:t>
      </w:r>
      <w:r w:rsidR="00312E8B" w:rsidRPr="00394FA8">
        <w:rPr>
          <w:rFonts w:ascii="Arial" w:hAnsi="Arial" w:cs="Arial"/>
        </w:rPr>
        <w:t xml:space="preserve">1 then comes into play. It </w:t>
      </w:r>
      <w:r w:rsidR="00BD0D3A" w:rsidRPr="00394FA8">
        <w:rPr>
          <w:rFonts w:ascii="Arial" w:hAnsi="Arial" w:cs="Arial"/>
        </w:rPr>
        <w:t xml:space="preserve">provides that </w:t>
      </w:r>
      <w:r w:rsidR="002A005D" w:rsidRPr="00394FA8">
        <w:rPr>
          <w:rFonts w:ascii="Arial" w:hAnsi="Arial" w:cs="Arial"/>
        </w:rPr>
        <w:t>“</w:t>
      </w:r>
      <w:r w:rsidR="00BD0D3A" w:rsidRPr="00394FA8">
        <w:rPr>
          <w:rFonts w:ascii="Arial" w:hAnsi="Arial" w:cs="Arial"/>
          <w:i/>
        </w:rPr>
        <w:t>No alienation of land after</w:t>
      </w:r>
      <w:r w:rsidR="00A164E8" w:rsidRPr="00394FA8">
        <w:rPr>
          <w:rFonts w:ascii="Arial" w:hAnsi="Arial" w:cs="Arial"/>
          <w:i/>
        </w:rPr>
        <w:t xml:space="preserve"> </w:t>
      </w:r>
      <w:r w:rsidR="00517151" w:rsidRPr="00394FA8">
        <w:rPr>
          <w:rFonts w:ascii="Arial" w:hAnsi="Arial" w:cs="Arial"/>
          <w:i/>
        </w:rPr>
        <w:t>the commencement of this section shall, subject to the provisions of section 28, be of any force or effect unless it is contained in a deed of alienation signed by both parties thereto or by their agents acting on their written authority</w:t>
      </w:r>
      <w:r w:rsidR="00517151" w:rsidRPr="00394FA8">
        <w:rPr>
          <w:rFonts w:ascii="Arial" w:hAnsi="Arial" w:cs="Arial"/>
        </w:rPr>
        <w:t>.</w:t>
      </w:r>
      <w:r w:rsidR="002A005D" w:rsidRPr="00394FA8">
        <w:rPr>
          <w:rFonts w:ascii="Arial" w:hAnsi="Arial" w:cs="Arial"/>
        </w:rPr>
        <w:t>”</w:t>
      </w:r>
      <w:r w:rsidR="006110E2" w:rsidRPr="00394FA8">
        <w:rPr>
          <w:rFonts w:ascii="Arial" w:hAnsi="Arial" w:cs="Arial"/>
        </w:rPr>
        <w:t xml:space="preserve"> T</w:t>
      </w:r>
      <w:r w:rsidR="001857D7" w:rsidRPr="00394FA8">
        <w:rPr>
          <w:rFonts w:ascii="Arial" w:hAnsi="Arial" w:cs="Arial"/>
        </w:rPr>
        <w:t>he appellant</w:t>
      </w:r>
      <w:r w:rsidR="006110E2" w:rsidRPr="00394FA8">
        <w:rPr>
          <w:rFonts w:ascii="Arial" w:hAnsi="Arial" w:cs="Arial"/>
        </w:rPr>
        <w:t xml:space="preserve"> failed to discharge the onus that a valid sale agreement was concluded between him and the deceased in respect of the property.</w:t>
      </w:r>
      <w:r w:rsidR="002A005D" w:rsidRPr="00394FA8">
        <w:rPr>
          <w:rFonts w:ascii="Arial" w:hAnsi="Arial" w:cs="Arial"/>
        </w:rPr>
        <w:t xml:space="preserve"> In the absence of a</w:t>
      </w:r>
      <w:r w:rsidR="006110E2" w:rsidRPr="00394FA8">
        <w:rPr>
          <w:rFonts w:ascii="Arial" w:hAnsi="Arial" w:cs="Arial"/>
        </w:rPr>
        <w:t xml:space="preserve"> valid</w:t>
      </w:r>
      <w:r w:rsidR="002A005D" w:rsidRPr="00394FA8">
        <w:rPr>
          <w:rFonts w:ascii="Arial" w:hAnsi="Arial" w:cs="Arial"/>
        </w:rPr>
        <w:t xml:space="preserve"> written agreement of sale, this ground of appeal is rejected.</w:t>
      </w:r>
      <w:r w:rsidR="002C024A" w:rsidRPr="00394FA8">
        <w:rPr>
          <w:rFonts w:ascii="Arial" w:hAnsi="Arial" w:cs="Arial"/>
        </w:rPr>
        <w:t xml:space="preserve"> </w:t>
      </w:r>
    </w:p>
    <w:p w14:paraId="1FA9A259" w14:textId="543EB23C" w:rsidR="00DE0537" w:rsidRPr="00394FA8" w:rsidRDefault="00394FA8" w:rsidP="00394FA8">
      <w:pPr>
        <w:spacing w:after="480" w:line="360" w:lineRule="auto"/>
        <w:ind w:left="720" w:hanging="720"/>
        <w:jc w:val="both"/>
        <w:rPr>
          <w:rFonts w:ascii="Arial" w:hAnsi="Arial" w:cs="Arial"/>
        </w:rPr>
      </w:pPr>
      <w:r>
        <w:rPr>
          <w:rFonts w:ascii="Arial" w:hAnsi="Arial" w:cs="Arial"/>
        </w:rPr>
        <w:t>[45]</w:t>
      </w:r>
      <w:r>
        <w:rPr>
          <w:rFonts w:ascii="Arial" w:hAnsi="Arial" w:cs="Arial"/>
        </w:rPr>
        <w:tab/>
      </w:r>
      <w:r w:rsidR="002A005D" w:rsidRPr="00394FA8">
        <w:rPr>
          <w:rFonts w:ascii="Arial" w:hAnsi="Arial" w:cs="Arial"/>
        </w:rPr>
        <w:t>Apart from there being no written agreement of sale, t</w:t>
      </w:r>
      <w:r w:rsidR="004861DD" w:rsidRPr="00394FA8">
        <w:rPr>
          <w:rFonts w:ascii="Arial" w:hAnsi="Arial" w:cs="Arial"/>
        </w:rPr>
        <w:t>here</w:t>
      </w:r>
      <w:r w:rsidR="00E649E3" w:rsidRPr="00394FA8">
        <w:rPr>
          <w:rFonts w:ascii="Arial" w:hAnsi="Arial" w:cs="Arial"/>
        </w:rPr>
        <w:t xml:space="preserve"> </w:t>
      </w:r>
      <w:r w:rsidR="002A005D" w:rsidRPr="00394FA8">
        <w:rPr>
          <w:rFonts w:ascii="Arial" w:hAnsi="Arial" w:cs="Arial"/>
        </w:rPr>
        <w:t xml:space="preserve">are </w:t>
      </w:r>
      <w:r w:rsidR="00DE0537" w:rsidRPr="00394FA8">
        <w:rPr>
          <w:rFonts w:ascii="Arial" w:hAnsi="Arial" w:cs="Arial"/>
        </w:rPr>
        <w:t xml:space="preserve">several </w:t>
      </w:r>
      <w:r w:rsidR="004861DD" w:rsidRPr="00394FA8">
        <w:rPr>
          <w:rFonts w:ascii="Arial" w:hAnsi="Arial" w:cs="Arial"/>
        </w:rPr>
        <w:t xml:space="preserve">material </w:t>
      </w:r>
      <w:r w:rsidR="00E649E3" w:rsidRPr="00394FA8">
        <w:rPr>
          <w:rFonts w:ascii="Arial" w:hAnsi="Arial" w:cs="Arial"/>
        </w:rPr>
        <w:t>inconsistenc</w:t>
      </w:r>
      <w:r w:rsidR="002A005D" w:rsidRPr="00394FA8">
        <w:rPr>
          <w:rFonts w:ascii="Arial" w:hAnsi="Arial" w:cs="Arial"/>
        </w:rPr>
        <w:t xml:space="preserve">ies </w:t>
      </w:r>
      <w:r w:rsidR="00E649E3" w:rsidRPr="00394FA8">
        <w:rPr>
          <w:rFonts w:ascii="Arial" w:hAnsi="Arial" w:cs="Arial"/>
        </w:rPr>
        <w:t>in the appellant’s</w:t>
      </w:r>
      <w:r w:rsidR="00140C93" w:rsidRPr="00394FA8">
        <w:rPr>
          <w:rFonts w:ascii="Arial" w:hAnsi="Arial" w:cs="Arial"/>
        </w:rPr>
        <w:t xml:space="preserve"> evidence </w:t>
      </w:r>
      <w:r w:rsidR="002A005D" w:rsidRPr="00394FA8">
        <w:rPr>
          <w:rFonts w:ascii="Arial" w:hAnsi="Arial" w:cs="Arial"/>
        </w:rPr>
        <w:t xml:space="preserve">before the court </w:t>
      </w:r>
      <w:r w:rsidR="002A005D" w:rsidRPr="00394FA8">
        <w:rPr>
          <w:rFonts w:ascii="Arial" w:hAnsi="Arial" w:cs="Arial"/>
          <w:i/>
          <w:iCs/>
        </w:rPr>
        <w:t>a quo</w:t>
      </w:r>
      <w:r w:rsidR="00F40018" w:rsidRPr="00394FA8">
        <w:rPr>
          <w:rFonts w:ascii="Arial" w:hAnsi="Arial" w:cs="Arial"/>
        </w:rPr>
        <w:t>, which also negate the appellant’s defence and this ground of appeal.</w:t>
      </w:r>
      <w:r w:rsidR="004861DD" w:rsidRPr="00394FA8">
        <w:rPr>
          <w:rFonts w:ascii="Arial" w:hAnsi="Arial" w:cs="Arial"/>
        </w:rPr>
        <w:t xml:space="preserve"> </w:t>
      </w:r>
    </w:p>
    <w:p w14:paraId="09B7E662" w14:textId="05ADD387" w:rsidR="00DE0537" w:rsidRPr="00DB4007" w:rsidRDefault="00466098" w:rsidP="00DB4007">
      <w:pPr>
        <w:spacing w:after="480" w:line="360" w:lineRule="auto"/>
        <w:ind w:left="1440" w:hanging="720"/>
        <w:jc w:val="both"/>
        <w:rPr>
          <w:rFonts w:ascii="Arial" w:hAnsi="Arial" w:cs="Arial"/>
        </w:rPr>
      </w:pPr>
      <w:r>
        <w:rPr>
          <w:rFonts w:ascii="Arial" w:hAnsi="Arial" w:cs="Arial"/>
        </w:rPr>
        <w:t>[45.1]</w:t>
      </w:r>
      <w:r>
        <w:rPr>
          <w:rFonts w:ascii="Arial" w:hAnsi="Arial" w:cs="Arial"/>
        </w:rPr>
        <w:tab/>
      </w:r>
      <w:r w:rsidR="004861DD" w:rsidRPr="00DB4007">
        <w:rPr>
          <w:rFonts w:ascii="Arial" w:hAnsi="Arial" w:cs="Arial"/>
        </w:rPr>
        <w:t xml:space="preserve">In his answering affidavit </w:t>
      </w:r>
      <w:r w:rsidR="002A005D" w:rsidRPr="00DB4007">
        <w:rPr>
          <w:rFonts w:ascii="Arial" w:hAnsi="Arial" w:cs="Arial"/>
        </w:rPr>
        <w:t xml:space="preserve">the appellant </w:t>
      </w:r>
      <w:r w:rsidR="004861DD" w:rsidRPr="00DB4007">
        <w:rPr>
          <w:rFonts w:ascii="Arial" w:hAnsi="Arial" w:cs="Arial"/>
        </w:rPr>
        <w:t xml:space="preserve">alleged that </w:t>
      </w:r>
      <w:r w:rsidR="00CE1A7D">
        <w:rPr>
          <w:rFonts w:ascii="Arial" w:hAnsi="Arial" w:cs="Arial"/>
        </w:rPr>
        <w:t>the sale was concluded</w:t>
      </w:r>
      <w:r w:rsidR="00DE0537" w:rsidRPr="00DB4007">
        <w:rPr>
          <w:rFonts w:ascii="Arial" w:hAnsi="Arial" w:cs="Arial"/>
        </w:rPr>
        <w:t xml:space="preserve"> through the deceased’s attorneys, </w:t>
      </w:r>
      <w:r w:rsidR="005A532C" w:rsidRPr="00DB4007">
        <w:rPr>
          <w:rFonts w:ascii="Arial" w:hAnsi="Arial" w:cs="Arial"/>
        </w:rPr>
        <w:t>Mmoleli</w:t>
      </w:r>
      <w:r w:rsidR="00DE0537" w:rsidRPr="00DB4007">
        <w:rPr>
          <w:rFonts w:ascii="Arial" w:hAnsi="Arial" w:cs="Arial"/>
        </w:rPr>
        <w:t xml:space="preserve"> Attorneys of Van der Bijl Park. He further alleged that he paid these attorneys </w:t>
      </w:r>
      <w:r w:rsidR="004861DD" w:rsidRPr="00DB4007">
        <w:rPr>
          <w:rFonts w:ascii="Arial" w:hAnsi="Arial" w:cs="Arial"/>
        </w:rPr>
        <w:t xml:space="preserve">the </w:t>
      </w:r>
      <w:r w:rsidR="002A005D" w:rsidRPr="00DB4007">
        <w:rPr>
          <w:rFonts w:ascii="Arial" w:hAnsi="Arial" w:cs="Arial"/>
        </w:rPr>
        <w:t>R11 000.00</w:t>
      </w:r>
      <w:r w:rsidR="00DE0537" w:rsidRPr="00DB4007">
        <w:rPr>
          <w:rFonts w:ascii="Arial" w:hAnsi="Arial" w:cs="Arial"/>
        </w:rPr>
        <w:t xml:space="preserve">, and that these attorneys, in his presence, then paid this amount to the deceased. </w:t>
      </w:r>
      <w:r w:rsidR="004861DD" w:rsidRPr="00DB4007">
        <w:rPr>
          <w:rFonts w:ascii="Arial" w:hAnsi="Arial" w:cs="Arial"/>
        </w:rPr>
        <w:t>In his oral evidence</w:t>
      </w:r>
      <w:r w:rsidR="002A005D" w:rsidRPr="00DB4007">
        <w:rPr>
          <w:rFonts w:ascii="Arial" w:hAnsi="Arial" w:cs="Arial"/>
        </w:rPr>
        <w:t xml:space="preserve">, however, the appellant </w:t>
      </w:r>
      <w:r w:rsidR="004861DD" w:rsidRPr="00DB4007">
        <w:rPr>
          <w:rFonts w:ascii="Arial" w:hAnsi="Arial" w:cs="Arial"/>
        </w:rPr>
        <w:t xml:space="preserve">testified that he paid the deceased the purchase price </w:t>
      </w:r>
      <w:r w:rsidR="00DE0537" w:rsidRPr="00DB4007">
        <w:rPr>
          <w:rFonts w:ascii="Arial" w:hAnsi="Arial" w:cs="Arial"/>
        </w:rPr>
        <w:t xml:space="preserve">of R11 000.00 </w:t>
      </w:r>
      <w:r w:rsidR="004861DD" w:rsidRPr="00DB4007">
        <w:rPr>
          <w:rFonts w:ascii="Arial" w:hAnsi="Arial" w:cs="Arial"/>
        </w:rPr>
        <w:t>in two instalments on different dates and</w:t>
      </w:r>
      <w:r w:rsidR="00667E05" w:rsidRPr="00DB4007">
        <w:rPr>
          <w:rFonts w:ascii="Arial" w:hAnsi="Arial" w:cs="Arial"/>
        </w:rPr>
        <w:t xml:space="preserve"> at different places</w:t>
      </w:r>
      <w:r w:rsidR="004861DD" w:rsidRPr="00DB4007">
        <w:rPr>
          <w:rFonts w:ascii="Arial" w:hAnsi="Arial" w:cs="Arial"/>
        </w:rPr>
        <w:t xml:space="preserve"> </w:t>
      </w:r>
      <w:r w:rsidR="002A005D" w:rsidRPr="00DB4007">
        <w:rPr>
          <w:rFonts w:ascii="Arial" w:hAnsi="Arial" w:cs="Arial"/>
        </w:rPr>
        <w:t>without his</w:t>
      </w:r>
      <w:r w:rsidR="004861DD" w:rsidRPr="00DB4007">
        <w:rPr>
          <w:rFonts w:ascii="Arial" w:hAnsi="Arial" w:cs="Arial"/>
        </w:rPr>
        <w:t xml:space="preserve"> attorneys</w:t>
      </w:r>
      <w:r w:rsidR="002A005D" w:rsidRPr="00DB4007">
        <w:rPr>
          <w:rFonts w:ascii="Arial" w:hAnsi="Arial" w:cs="Arial"/>
        </w:rPr>
        <w:t xml:space="preserve"> being present.</w:t>
      </w:r>
      <w:r w:rsidR="00304548" w:rsidRPr="00DB4007">
        <w:rPr>
          <w:rFonts w:ascii="Arial" w:hAnsi="Arial" w:cs="Arial"/>
        </w:rPr>
        <w:t xml:space="preserve"> </w:t>
      </w:r>
      <w:r w:rsidR="00DE0537" w:rsidRPr="00DB4007">
        <w:rPr>
          <w:rFonts w:ascii="Arial" w:hAnsi="Arial" w:cs="Arial"/>
        </w:rPr>
        <w:t xml:space="preserve">He further testified that </w:t>
      </w:r>
      <w:r w:rsidR="005A532C" w:rsidRPr="00DB4007">
        <w:rPr>
          <w:rFonts w:ascii="Arial" w:hAnsi="Arial" w:cs="Arial"/>
        </w:rPr>
        <w:t>Mmoleli</w:t>
      </w:r>
      <w:r w:rsidR="00DE0537" w:rsidRPr="00DB4007">
        <w:rPr>
          <w:rFonts w:ascii="Arial" w:hAnsi="Arial" w:cs="Arial"/>
        </w:rPr>
        <w:t xml:space="preserve"> Attorneys were his attorneys (not the deceased’s) and that he had paid these </w:t>
      </w:r>
      <w:r w:rsidR="00304548" w:rsidRPr="00DB4007">
        <w:rPr>
          <w:rFonts w:ascii="Arial" w:hAnsi="Arial" w:cs="Arial"/>
        </w:rPr>
        <w:t xml:space="preserve">attorneys R2000.00 for their services. </w:t>
      </w:r>
      <w:r w:rsidR="004861DD" w:rsidRPr="00DB4007">
        <w:rPr>
          <w:rFonts w:ascii="Arial" w:hAnsi="Arial" w:cs="Arial"/>
        </w:rPr>
        <w:t xml:space="preserve"> </w:t>
      </w:r>
    </w:p>
    <w:p w14:paraId="5D9B3F50" w14:textId="4B9174AA" w:rsidR="00E40F24" w:rsidRPr="00DB4007" w:rsidRDefault="00466098" w:rsidP="00DB4007">
      <w:pPr>
        <w:spacing w:after="480" w:line="360" w:lineRule="auto"/>
        <w:ind w:left="1440" w:hanging="720"/>
        <w:jc w:val="both"/>
        <w:rPr>
          <w:rFonts w:ascii="Arial" w:hAnsi="Arial" w:cs="Arial"/>
        </w:rPr>
      </w:pPr>
      <w:r>
        <w:rPr>
          <w:rFonts w:ascii="Arial" w:hAnsi="Arial" w:cs="Arial"/>
        </w:rPr>
        <w:t>[45.2]</w:t>
      </w:r>
      <w:r>
        <w:rPr>
          <w:rFonts w:ascii="Arial" w:hAnsi="Arial" w:cs="Arial"/>
        </w:rPr>
        <w:tab/>
      </w:r>
      <w:r w:rsidR="0084761F" w:rsidRPr="00DB4007">
        <w:rPr>
          <w:rFonts w:ascii="Arial" w:hAnsi="Arial" w:cs="Arial"/>
        </w:rPr>
        <w:t>There is also an improba</w:t>
      </w:r>
      <w:r w:rsidR="00F146C1" w:rsidRPr="00DB4007">
        <w:rPr>
          <w:rFonts w:ascii="Arial" w:hAnsi="Arial" w:cs="Arial"/>
        </w:rPr>
        <w:t>bility in his oral evidence where</w:t>
      </w:r>
      <w:r w:rsidR="0084761F" w:rsidRPr="00DB4007">
        <w:rPr>
          <w:rFonts w:ascii="Arial" w:hAnsi="Arial" w:cs="Arial"/>
        </w:rPr>
        <w:t xml:space="preserve"> he said that the deceased gave him the key to</w:t>
      </w:r>
      <w:r w:rsidR="00F146C1" w:rsidRPr="00DB4007">
        <w:rPr>
          <w:rFonts w:ascii="Arial" w:hAnsi="Arial" w:cs="Arial"/>
        </w:rPr>
        <w:t xml:space="preserve"> the</w:t>
      </w:r>
      <w:r w:rsidR="0084761F" w:rsidRPr="00DB4007">
        <w:rPr>
          <w:rFonts w:ascii="Arial" w:hAnsi="Arial" w:cs="Arial"/>
        </w:rPr>
        <w:t xml:space="preserve"> property on the 3</w:t>
      </w:r>
      <w:r w:rsidR="0084761F" w:rsidRPr="00DB4007">
        <w:rPr>
          <w:rFonts w:ascii="Arial" w:hAnsi="Arial" w:cs="Arial"/>
          <w:vertAlign w:val="superscript"/>
        </w:rPr>
        <w:t>rd</w:t>
      </w:r>
      <w:r w:rsidR="0084761F" w:rsidRPr="00DB4007">
        <w:rPr>
          <w:rFonts w:ascii="Arial" w:hAnsi="Arial" w:cs="Arial"/>
        </w:rPr>
        <w:t xml:space="preserve"> of January before payment of the purchase price and conclusion of the written agreement of sale, and the deceased vacated the property same day. </w:t>
      </w:r>
      <w:r w:rsidR="00E11597" w:rsidRPr="00DB4007">
        <w:rPr>
          <w:rFonts w:ascii="Arial" w:hAnsi="Arial" w:cs="Arial"/>
        </w:rPr>
        <w:t>The learned</w:t>
      </w:r>
      <w:r w:rsidR="00A50C38">
        <w:rPr>
          <w:rFonts w:ascii="Arial" w:hAnsi="Arial" w:cs="Arial"/>
        </w:rPr>
        <w:t xml:space="preserve"> Additional</w:t>
      </w:r>
      <w:r w:rsidR="00E11597" w:rsidRPr="00DB4007">
        <w:rPr>
          <w:rFonts w:ascii="Arial" w:hAnsi="Arial" w:cs="Arial"/>
        </w:rPr>
        <w:t xml:space="preserve"> Magistrate correctly rejected the version of the appellant</w:t>
      </w:r>
      <w:r w:rsidR="0094051F" w:rsidRPr="00DB4007">
        <w:rPr>
          <w:rFonts w:ascii="Arial" w:hAnsi="Arial" w:cs="Arial"/>
        </w:rPr>
        <w:t xml:space="preserve"> on the </w:t>
      </w:r>
      <w:r w:rsidR="002C6ACD" w:rsidRPr="00DB4007">
        <w:rPr>
          <w:rFonts w:ascii="Arial" w:hAnsi="Arial" w:cs="Arial"/>
        </w:rPr>
        <w:t xml:space="preserve">sale agreement as false. </w:t>
      </w:r>
    </w:p>
    <w:p w14:paraId="1F83A5CB" w14:textId="15E1F397" w:rsidR="00F40018" w:rsidRPr="00DB4007" w:rsidRDefault="00F40018" w:rsidP="00DB4007">
      <w:pPr>
        <w:spacing w:after="480" w:line="360" w:lineRule="auto"/>
        <w:jc w:val="both"/>
        <w:rPr>
          <w:rFonts w:ascii="Arial" w:hAnsi="Arial" w:cs="Arial"/>
        </w:rPr>
      </w:pPr>
      <w:r>
        <w:rPr>
          <w:rFonts w:ascii="Arial" w:hAnsi="Arial" w:cs="Arial"/>
        </w:rPr>
        <w:t xml:space="preserve">SECOND </w:t>
      </w:r>
      <w:r w:rsidRPr="00DB4007">
        <w:rPr>
          <w:rFonts w:ascii="Arial" w:hAnsi="Arial" w:cs="Arial"/>
        </w:rPr>
        <w:t>GROUND OF APPEAL: THE ALLEGED</w:t>
      </w:r>
      <w:r w:rsidR="00B229AC">
        <w:rPr>
          <w:rFonts w:ascii="Arial" w:hAnsi="Arial" w:cs="Arial"/>
        </w:rPr>
        <w:t xml:space="preserve"> IMPROVEMENT </w:t>
      </w:r>
      <w:r>
        <w:rPr>
          <w:rFonts w:ascii="Arial" w:hAnsi="Arial" w:cs="Arial"/>
        </w:rPr>
        <w:t>LIEN</w:t>
      </w:r>
    </w:p>
    <w:p w14:paraId="6F8A6AA8" w14:textId="24093F7A" w:rsidR="00FF7500" w:rsidRPr="00394FA8" w:rsidRDefault="00394FA8" w:rsidP="00394FA8">
      <w:pPr>
        <w:spacing w:after="480" w:line="360" w:lineRule="auto"/>
        <w:ind w:left="720" w:hanging="720"/>
        <w:jc w:val="both"/>
        <w:rPr>
          <w:rFonts w:ascii="Arial" w:hAnsi="Arial" w:cs="Arial"/>
        </w:rPr>
      </w:pPr>
      <w:r>
        <w:rPr>
          <w:rFonts w:ascii="Arial" w:hAnsi="Arial" w:cs="Arial"/>
        </w:rPr>
        <w:t>[46]</w:t>
      </w:r>
      <w:r>
        <w:rPr>
          <w:rFonts w:ascii="Arial" w:hAnsi="Arial" w:cs="Arial"/>
        </w:rPr>
        <w:tab/>
      </w:r>
      <w:r w:rsidR="00981AD3" w:rsidRPr="00394FA8">
        <w:rPr>
          <w:rFonts w:ascii="Arial" w:hAnsi="Arial" w:cs="Arial"/>
        </w:rPr>
        <w:t>T</w:t>
      </w:r>
      <w:r w:rsidR="00DF452C" w:rsidRPr="00394FA8">
        <w:rPr>
          <w:rFonts w:ascii="Arial" w:hAnsi="Arial" w:cs="Arial"/>
        </w:rPr>
        <w:t>he appellant</w:t>
      </w:r>
      <w:r w:rsidR="00981AD3" w:rsidRPr="00394FA8">
        <w:rPr>
          <w:rFonts w:ascii="Arial" w:hAnsi="Arial" w:cs="Arial"/>
        </w:rPr>
        <w:t xml:space="preserve"> contends that </w:t>
      </w:r>
      <w:r w:rsidR="00777AF5" w:rsidRPr="00394FA8">
        <w:rPr>
          <w:rFonts w:ascii="Arial" w:hAnsi="Arial" w:cs="Arial"/>
        </w:rPr>
        <w:t xml:space="preserve">the </w:t>
      </w:r>
      <w:r w:rsidR="00DF452C" w:rsidRPr="00394FA8">
        <w:rPr>
          <w:rFonts w:ascii="Arial" w:hAnsi="Arial" w:cs="Arial"/>
        </w:rPr>
        <w:t xml:space="preserve">improvements </w:t>
      </w:r>
      <w:r w:rsidR="00777AF5" w:rsidRPr="00394FA8">
        <w:rPr>
          <w:rFonts w:ascii="Arial" w:hAnsi="Arial" w:cs="Arial"/>
        </w:rPr>
        <w:t xml:space="preserve">which he made </w:t>
      </w:r>
      <w:r w:rsidR="00DF452C" w:rsidRPr="00394FA8">
        <w:rPr>
          <w:rFonts w:ascii="Arial" w:hAnsi="Arial" w:cs="Arial"/>
        </w:rPr>
        <w:t>to the property</w:t>
      </w:r>
      <w:r w:rsidR="007D7832" w:rsidRPr="00394FA8">
        <w:rPr>
          <w:rFonts w:ascii="Arial" w:hAnsi="Arial" w:cs="Arial"/>
        </w:rPr>
        <w:t xml:space="preserve"> </w:t>
      </w:r>
      <w:r w:rsidR="00777AF5" w:rsidRPr="00394FA8">
        <w:rPr>
          <w:rFonts w:ascii="Arial" w:hAnsi="Arial" w:cs="Arial"/>
        </w:rPr>
        <w:t xml:space="preserve">give rise to </w:t>
      </w:r>
      <w:r w:rsidR="00DF452C" w:rsidRPr="00394FA8">
        <w:rPr>
          <w:rFonts w:ascii="Arial" w:hAnsi="Arial" w:cs="Arial"/>
        </w:rPr>
        <w:t xml:space="preserve">a lien in </w:t>
      </w:r>
      <w:r w:rsidR="00777AF5" w:rsidRPr="00394FA8">
        <w:rPr>
          <w:rFonts w:ascii="Arial" w:hAnsi="Arial" w:cs="Arial"/>
        </w:rPr>
        <w:t xml:space="preserve">his </w:t>
      </w:r>
      <w:r w:rsidR="00DF452C" w:rsidRPr="00394FA8">
        <w:rPr>
          <w:rFonts w:ascii="Arial" w:hAnsi="Arial" w:cs="Arial"/>
        </w:rPr>
        <w:t>favour</w:t>
      </w:r>
      <w:r w:rsidR="00777AF5" w:rsidRPr="00394FA8">
        <w:rPr>
          <w:rFonts w:ascii="Arial" w:hAnsi="Arial" w:cs="Arial"/>
        </w:rPr>
        <w:t>, and that th</w:t>
      </w:r>
      <w:r w:rsidR="00E96AB7" w:rsidRPr="00394FA8">
        <w:rPr>
          <w:rFonts w:ascii="Arial" w:hAnsi="Arial" w:cs="Arial"/>
        </w:rPr>
        <w:t xml:space="preserve">e existence of this improvement </w:t>
      </w:r>
      <w:r w:rsidR="00777AF5" w:rsidRPr="00394FA8">
        <w:rPr>
          <w:rFonts w:ascii="Arial" w:hAnsi="Arial" w:cs="Arial"/>
        </w:rPr>
        <w:t xml:space="preserve">lien is a valid defence </w:t>
      </w:r>
      <w:r w:rsidR="00DF452C" w:rsidRPr="00394FA8">
        <w:rPr>
          <w:rFonts w:ascii="Arial" w:hAnsi="Arial" w:cs="Arial"/>
        </w:rPr>
        <w:t xml:space="preserve">against the eviction order. </w:t>
      </w:r>
      <w:r w:rsidR="00FF7500" w:rsidRPr="00394FA8">
        <w:rPr>
          <w:rFonts w:ascii="Arial" w:hAnsi="Arial" w:cs="Arial"/>
        </w:rPr>
        <w:t xml:space="preserve">In respect of this ground of appeal, he submits in his </w:t>
      </w:r>
      <w:r w:rsidR="00385073" w:rsidRPr="00394FA8">
        <w:rPr>
          <w:rFonts w:ascii="Arial" w:hAnsi="Arial" w:cs="Arial"/>
        </w:rPr>
        <w:t xml:space="preserve">heads </w:t>
      </w:r>
      <w:r w:rsidR="00B468A5" w:rsidRPr="00394FA8">
        <w:rPr>
          <w:rFonts w:ascii="Arial" w:hAnsi="Arial" w:cs="Arial"/>
        </w:rPr>
        <w:t>of argument that “</w:t>
      </w:r>
      <w:r w:rsidR="00B468A5" w:rsidRPr="00394FA8">
        <w:rPr>
          <w:rFonts w:ascii="Arial" w:hAnsi="Arial" w:cs="Arial"/>
          <w:i/>
          <w:iCs/>
        </w:rPr>
        <w:t>Bona fide improvements made to the house constitutes a lien, and an alleged unlawful occupier cannot be evicted until the value of the improvements is paid to him by the owner of the house</w:t>
      </w:r>
      <w:r w:rsidR="00B468A5" w:rsidRPr="00394FA8">
        <w:rPr>
          <w:rFonts w:ascii="Arial" w:hAnsi="Arial" w:cs="Arial"/>
        </w:rPr>
        <w:t>.”</w:t>
      </w:r>
    </w:p>
    <w:p w14:paraId="417F9647" w14:textId="66B60D6B" w:rsidR="005E4399" w:rsidRPr="00394FA8" w:rsidRDefault="00394FA8" w:rsidP="00394FA8">
      <w:pPr>
        <w:spacing w:after="480" w:line="360" w:lineRule="auto"/>
        <w:ind w:left="720" w:hanging="720"/>
        <w:jc w:val="both"/>
        <w:rPr>
          <w:rFonts w:ascii="Arial" w:hAnsi="Arial" w:cs="Arial"/>
        </w:rPr>
      </w:pPr>
      <w:r w:rsidRPr="001D40E9">
        <w:rPr>
          <w:rFonts w:ascii="Arial" w:hAnsi="Arial" w:cs="Arial"/>
        </w:rPr>
        <w:t>[47]</w:t>
      </w:r>
      <w:r w:rsidRPr="001D40E9">
        <w:rPr>
          <w:rFonts w:ascii="Arial" w:hAnsi="Arial" w:cs="Arial"/>
        </w:rPr>
        <w:tab/>
      </w:r>
      <w:r w:rsidR="00777AF5" w:rsidRPr="00394FA8">
        <w:rPr>
          <w:rFonts w:ascii="Arial" w:hAnsi="Arial" w:cs="Arial"/>
        </w:rPr>
        <w:t xml:space="preserve">Appellant asserts that the learned Magistrate did not </w:t>
      </w:r>
      <w:r w:rsidR="007A7064" w:rsidRPr="00394FA8">
        <w:rPr>
          <w:rFonts w:ascii="Arial" w:hAnsi="Arial" w:cs="Arial"/>
        </w:rPr>
        <w:t>refer</w:t>
      </w:r>
      <w:r w:rsidR="00777AF5" w:rsidRPr="00394FA8">
        <w:rPr>
          <w:rFonts w:ascii="Arial" w:hAnsi="Arial" w:cs="Arial"/>
        </w:rPr>
        <w:t xml:space="preserve"> to the</w:t>
      </w:r>
      <w:r w:rsidR="001D7315" w:rsidRPr="00394FA8">
        <w:rPr>
          <w:rFonts w:ascii="Arial" w:hAnsi="Arial" w:cs="Arial"/>
        </w:rPr>
        <w:t xml:space="preserve"> </w:t>
      </w:r>
      <w:r w:rsidR="00777AF5" w:rsidRPr="00394FA8">
        <w:rPr>
          <w:rFonts w:ascii="Arial" w:hAnsi="Arial" w:cs="Arial"/>
        </w:rPr>
        <w:t>improvements in his judgment, and that the learned Magistrate erred in this regard.</w:t>
      </w:r>
      <w:r w:rsidR="001D40E9" w:rsidRPr="00394FA8">
        <w:rPr>
          <w:rFonts w:ascii="Arial" w:hAnsi="Arial" w:cs="Arial"/>
        </w:rPr>
        <w:t xml:space="preserve"> </w:t>
      </w:r>
      <w:r w:rsidR="005E4399" w:rsidRPr="00394FA8">
        <w:rPr>
          <w:rFonts w:ascii="Arial" w:hAnsi="Arial" w:cs="Arial"/>
        </w:rPr>
        <w:t>In fact</w:t>
      </w:r>
      <w:r w:rsidR="001D7315" w:rsidRPr="00394FA8">
        <w:rPr>
          <w:rFonts w:ascii="Arial" w:hAnsi="Arial" w:cs="Arial"/>
        </w:rPr>
        <w:t xml:space="preserve">, </w:t>
      </w:r>
      <w:r w:rsidR="005E4399" w:rsidRPr="00394FA8">
        <w:rPr>
          <w:rFonts w:ascii="Arial" w:hAnsi="Arial" w:cs="Arial"/>
        </w:rPr>
        <w:t>the learned Magistrate did refer to the appellant having made improvements to the property</w:t>
      </w:r>
      <w:r w:rsidR="001D7315" w:rsidRPr="00394FA8">
        <w:rPr>
          <w:rFonts w:ascii="Arial" w:hAnsi="Arial" w:cs="Arial"/>
        </w:rPr>
        <w:t xml:space="preserve">, </w:t>
      </w:r>
      <w:r w:rsidR="005E4399" w:rsidRPr="00394FA8">
        <w:rPr>
          <w:rFonts w:ascii="Arial" w:hAnsi="Arial" w:cs="Arial"/>
        </w:rPr>
        <w:t>but the learned Magistrate did not address the improvements in the context of the defence raised by the appellant. This does not, however, mean that the learned Magistrate’s judgment was incorrect. It appears to us that the learned Magistrate did not refer to the improvements as constituting a defence simply because it does not. In our view, and for the reasons that follow</w:t>
      </w:r>
      <w:r w:rsidR="00FB139F" w:rsidRPr="00394FA8">
        <w:rPr>
          <w:rFonts w:ascii="Arial" w:hAnsi="Arial" w:cs="Arial"/>
        </w:rPr>
        <w:t>,</w:t>
      </w:r>
      <w:r w:rsidR="005E4399" w:rsidRPr="00394FA8">
        <w:rPr>
          <w:rFonts w:ascii="Arial" w:hAnsi="Arial" w:cs="Arial"/>
        </w:rPr>
        <w:t xml:space="preserve"> this lien defence is not a valid defence to the eviction order either on the law, the facts or both.</w:t>
      </w:r>
    </w:p>
    <w:p w14:paraId="5D07749E" w14:textId="3A0F6BF2" w:rsidR="00B41166" w:rsidRPr="00394FA8" w:rsidRDefault="00394FA8" w:rsidP="00394FA8">
      <w:pPr>
        <w:spacing w:after="480" w:line="360" w:lineRule="auto"/>
        <w:ind w:left="720" w:hanging="720"/>
        <w:jc w:val="both"/>
        <w:rPr>
          <w:rFonts w:ascii="Arial" w:hAnsi="Arial" w:cs="Arial"/>
        </w:rPr>
      </w:pPr>
      <w:r>
        <w:rPr>
          <w:rFonts w:ascii="Arial" w:hAnsi="Arial" w:cs="Arial"/>
        </w:rPr>
        <w:t>[48]</w:t>
      </w:r>
      <w:r>
        <w:rPr>
          <w:rFonts w:ascii="Arial" w:hAnsi="Arial" w:cs="Arial"/>
        </w:rPr>
        <w:tab/>
      </w:r>
      <w:r w:rsidR="00094559" w:rsidRPr="00394FA8">
        <w:rPr>
          <w:rFonts w:ascii="Arial" w:hAnsi="Arial" w:cs="Arial"/>
        </w:rPr>
        <w:t>It is common cause that the appellant made some improvements</w:t>
      </w:r>
      <w:r w:rsidR="005E4399" w:rsidRPr="00394FA8">
        <w:rPr>
          <w:rFonts w:ascii="Arial" w:hAnsi="Arial" w:cs="Arial"/>
        </w:rPr>
        <w:t xml:space="preserve"> to the property. </w:t>
      </w:r>
      <w:r w:rsidR="00094559" w:rsidRPr="00394FA8">
        <w:rPr>
          <w:rFonts w:ascii="Arial" w:hAnsi="Arial" w:cs="Arial"/>
        </w:rPr>
        <w:t xml:space="preserve"> However</w:t>
      </w:r>
      <w:r w:rsidR="00260E84" w:rsidRPr="00394FA8">
        <w:rPr>
          <w:rFonts w:ascii="Arial" w:hAnsi="Arial" w:cs="Arial"/>
        </w:rPr>
        <w:t>,</w:t>
      </w:r>
      <w:r w:rsidR="00094559" w:rsidRPr="00394FA8">
        <w:rPr>
          <w:rFonts w:ascii="Arial" w:hAnsi="Arial" w:cs="Arial"/>
        </w:rPr>
        <w:t xml:space="preserve"> the nature of the improvements </w:t>
      </w:r>
      <w:r w:rsidR="0042376C" w:rsidRPr="00394FA8">
        <w:rPr>
          <w:rFonts w:ascii="Arial" w:hAnsi="Arial" w:cs="Arial"/>
        </w:rPr>
        <w:t xml:space="preserve">and timing thereof </w:t>
      </w:r>
      <w:r w:rsidR="00094559" w:rsidRPr="00394FA8">
        <w:rPr>
          <w:rFonts w:ascii="Arial" w:hAnsi="Arial" w:cs="Arial"/>
        </w:rPr>
        <w:t>is not clear because the appellant gave different versions in his evidence.</w:t>
      </w:r>
      <w:r w:rsidR="00E96AB7" w:rsidRPr="00394FA8">
        <w:rPr>
          <w:rFonts w:ascii="Arial" w:hAnsi="Arial" w:cs="Arial"/>
        </w:rPr>
        <w:t xml:space="preserve"> Nor did the appellant lead any evidence as to the value of these improvements.</w:t>
      </w:r>
    </w:p>
    <w:p w14:paraId="2A920C30" w14:textId="1BF0E0D2" w:rsidR="00B41166" w:rsidRPr="00394FA8" w:rsidRDefault="00394FA8" w:rsidP="00394FA8">
      <w:pPr>
        <w:spacing w:after="480" w:line="360" w:lineRule="auto"/>
        <w:ind w:left="720" w:hanging="720"/>
        <w:jc w:val="both"/>
        <w:rPr>
          <w:rFonts w:ascii="Arial" w:hAnsi="Arial" w:cs="Arial"/>
        </w:rPr>
      </w:pPr>
      <w:r>
        <w:rPr>
          <w:rFonts w:ascii="Arial" w:hAnsi="Arial" w:cs="Arial"/>
        </w:rPr>
        <w:t>[49]</w:t>
      </w:r>
      <w:r>
        <w:rPr>
          <w:rFonts w:ascii="Arial" w:hAnsi="Arial" w:cs="Arial"/>
        </w:rPr>
        <w:tab/>
      </w:r>
      <w:r w:rsidR="00260E84" w:rsidRPr="00394FA8">
        <w:rPr>
          <w:rFonts w:ascii="Arial" w:hAnsi="Arial" w:cs="Arial"/>
        </w:rPr>
        <w:t xml:space="preserve">In his answering affidavit </w:t>
      </w:r>
      <w:r w:rsidR="00FB139F" w:rsidRPr="00394FA8">
        <w:rPr>
          <w:rFonts w:ascii="Arial" w:hAnsi="Arial" w:cs="Arial"/>
        </w:rPr>
        <w:t>t</w:t>
      </w:r>
      <w:r w:rsidR="00260E84" w:rsidRPr="00394FA8">
        <w:rPr>
          <w:rFonts w:ascii="Arial" w:hAnsi="Arial" w:cs="Arial"/>
        </w:rPr>
        <w:t xml:space="preserve">he </w:t>
      </w:r>
      <w:r w:rsidR="00FB139F" w:rsidRPr="00394FA8">
        <w:rPr>
          <w:rFonts w:ascii="Arial" w:hAnsi="Arial" w:cs="Arial"/>
        </w:rPr>
        <w:t xml:space="preserve">appellant </w:t>
      </w:r>
      <w:r w:rsidR="00260E84" w:rsidRPr="00394FA8">
        <w:rPr>
          <w:rFonts w:ascii="Arial" w:hAnsi="Arial" w:cs="Arial"/>
        </w:rPr>
        <w:t xml:space="preserve">alleged that he built </w:t>
      </w:r>
      <w:r w:rsidR="005E4399" w:rsidRPr="00394FA8">
        <w:rPr>
          <w:rFonts w:ascii="Arial" w:hAnsi="Arial" w:cs="Arial"/>
        </w:rPr>
        <w:t xml:space="preserve">a </w:t>
      </w:r>
      <w:r w:rsidR="00260E84" w:rsidRPr="00394FA8">
        <w:rPr>
          <w:rFonts w:ascii="Arial" w:hAnsi="Arial" w:cs="Arial"/>
        </w:rPr>
        <w:t>garage and house with face brick</w:t>
      </w:r>
      <w:r w:rsidR="005E4399" w:rsidRPr="00394FA8">
        <w:rPr>
          <w:rFonts w:ascii="Arial" w:hAnsi="Arial" w:cs="Arial"/>
        </w:rPr>
        <w:t xml:space="preserve">, </w:t>
      </w:r>
      <w:r w:rsidR="00CA3C7F" w:rsidRPr="00394FA8">
        <w:rPr>
          <w:rFonts w:ascii="Arial" w:hAnsi="Arial" w:cs="Arial"/>
        </w:rPr>
        <w:t>extended the kitchen and dining room</w:t>
      </w:r>
      <w:r w:rsidR="005E4399" w:rsidRPr="00394FA8">
        <w:rPr>
          <w:rFonts w:ascii="Arial" w:hAnsi="Arial" w:cs="Arial"/>
        </w:rPr>
        <w:t xml:space="preserve">, </w:t>
      </w:r>
      <w:r w:rsidR="00B41166" w:rsidRPr="00394FA8">
        <w:rPr>
          <w:rFonts w:ascii="Arial" w:hAnsi="Arial" w:cs="Arial"/>
        </w:rPr>
        <w:t xml:space="preserve">inserted </w:t>
      </w:r>
      <w:r w:rsidR="00CA3C7F" w:rsidRPr="00394FA8">
        <w:rPr>
          <w:rFonts w:ascii="Arial" w:hAnsi="Arial" w:cs="Arial"/>
        </w:rPr>
        <w:t xml:space="preserve">two </w:t>
      </w:r>
      <w:r w:rsidR="007A7064" w:rsidRPr="00394FA8">
        <w:rPr>
          <w:rFonts w:ascii="Arial" w:hAnsi="Arial" w:cs="Arial"/>
        </w:rPr>
        <w:t>doors,</w:t>
      </w:r>
      <w:r w:rsidR="00CA3C7F" w:rsidRPr="00394FA8">
        <w:rPr>
          <w:rFonts w:ascii="Arial" w:hAnsi="Arial" w:cs="Arial"/>
        </w:rPr>
        <w:t xml:space="preserve"> and built a sitting room.</w:t>
      </w:r>
      <w:r w:rsidR="00260E84" w:rsidRPr="00394FA8">
        <w:rPr>
          <w:rFonts w:ascii="Arial" w:hAnsi="Arial" w:cs="Arial"/>
        </w:rPr>
        <w:t xml:space="preserve"> </w:t>
      </w:r>
      <w:r w:rsidR="0042376C" w:rsidRPr="00394FA8">
        <w:rPr>
          <w:rFonts w:ascii="Arial" w:hAnsi="Arial" w:cs="Arial"/>
        </w:rPr>
        <w:t>He did not state in his answering affidavit when he effected these improvements.</w:t>
      </w:r>
    </w:p>
    <w:p w14:paraId="6902832C" w14:textId="1F5F66E8" w:rsidR="00B47A25" w:rsidRPr="00394FA8" w:rsidRDefault="00394FA8" w:rsidP="00394FA8">
      <w:pPr>
        <w:spacing w:after="480" w:line="360" w:lineRule="auto"/>
        <w:ind w:left="720" w:hanging="720"/>
        <w:jc w:val="both"/>
        <w:rPr>
          <w:rFonts w:ascii="Arial" w:hAnsi="Arial" w:cs="Arial"/>
        </w:rPr>
      </w:pPr>
      <w:r w:rsidRPr="00896525">
        <w:rPr>
          <w:rFonts w:ascii="Arial" w:hAnsi="Arial" w:cs="Arial"/>
        </w:rPr>
        <w:t>[50]</w:t>
      </w:r>
      <w:r w:rsidRPr="00896525">
        <w:rPr>
          <w:rFonts w:ascii="Arial" w:hAnsi="Arial" w:cs="Arial"/>
        </w:rPr>
        <w:tab/>
      </w:r>
      <w:r w:rsidR="00252FA4" w:rsidRPr="00394FA8">
        <w:rPr>
          <w:rFonts w:ascii="Arial" w:hAnsi="Arial" w:cs="Arial"/>
        </w:rPr>
        <w:t xml:space="preserve">In his </w:t>
      </w:r>
      <w:r w:rsidR="00B41166" w:rsidRPr="00394FA8">
        <w:rPr>
          <w:rFonts w:ascii="Arial" w:hAnsi="Arial" w:cs="Arial"/>
        </w:rPr>
        <w:t xml:space="preserve">oral </w:t>
      </w:r>
      <w:r w:rsidR="00252FA4" w:rsidRPr="00394FA8">
        <w:rPr>
          <w:rFonts w:ascii="Arial" w:hAnsi="Arial" w:cs="Arial"/>
        </w:rPr>
        <w:t>evidence</w:t>
      </w:r>
      <w:r w:rsidR="00B41166" w:rsidRPr="00394FA8">
        <w:rPr>
          <w:rFonts w:ascii="Arial" w:hAnsi="Arial" w:cs="Arial"/>
        </w:rPr>
        <w:t xml:space="preserve"> the appellant </w:t>
      </w:r>
      <w:r w:rsidR="00252FA4" w:rsidRPr="00394FA8">
        <w:rPr>
          <w:rFonts w:ascii="Arial" w:hAnsi="Arial" w:cs="Arial"/>
        </w:rPr>
        <w:t>testified that the original house consisted of a kitchen, dining room, toilet, and one bedroom. H</w:t>
      </w:r>
      <w:r w:rsidR="000A6A5B" w:rsidRPr="00394FA8">
        <w:rPr>
          <w:rFonts w:ascii="Arial" w:hAnsi="Arial" w:cs="Arial"/>
        </w:rPr>
        <w:t>e</w:t>
      </w:r>
      <w:r w:rsidR="00252FA4" w:rsidRPr="00394FA8">
        <w:rPr>
          <w:rFonts w:ascii="Arial" w:hAnsi="Arial" w:cs="Arial"/>
        </w:rPr>
        <w:t xml:space="preserve"> extended the property by building a single garage and two rooms</w:t>
      </w:r>
      <w:r w:rsidR="00CA3C7F" w:rsidRPr="00394FA8">
        <w:rPr>
          <w:rFonts w:ascii="Arial" w:hAnsi="Arial" w:cs="Arial"/>
        </w:rPr>
        <w:t xml:space="preserve"> and these were the only improvements made.</w:t>
      </w:r>
      <w:r w:rsidR="00252FA4" w:rsidRPr="00394FA8">
        <w:rPr>
          <w:rFonts w:ascii="Arial" w:hAnsi="Arial" w:cs="Arial"/>
        </w:rPr>
        <w:t xml:space="preserve"> </w:t>
      </w:r>
      <w:r w:rsidR="00CA3C7F" w:rsidRPr="00394FA8">
        <w:rPr>
          <w:rFonts w:ascii="Arial" w:hAnsi="Arial" w:cs="Arial"/>
        </w:rPr>
        <w:t xml:space="preserve">He </w:t>
      </w:r>
      <w:r w:rsidR="00B41166" w:rsidRPr="00394FA8">
        <w:rPr>
          <w:rFonts w:ascii="Arial" w:hAnsi="Arial" w:cs="Arial"/>
        </w:rPr>
        <w:t xml:space="preserve">in fact denied that he </w:t>
      </w:r>
      <w:r w:rsidR="00CA3C7F" w:rsidRPr="00394FA8">
        <w:rPr>
          <w:rFonts w:ascii="Arial" w:hAnsi="Arial" w:cs="Arial"/>
        </w:rPr>
        <w:t>extend</w:t>
      </w:r>
      <w:r w:rsidR="00B41166" w:rsidRPr="00394FA8">
        <w:rPr>
          <w:rFonts w:ascii="Arial" w:hAnsi="Arial" w:cs="Arial"/>
        </w:rPr>
        <w:t>ed</w:t>
      </w:r>
      <w:r w:rsidR="00CA3C7F" w:rsidRPr="00394FA8">
        <w:rPr>
          <w:rFonts w:ascii="Arial" w:hAnsi="Arial" w:cs="Arial"/>
        </w:rPr>
        <w:t xml:space="preserve"> the kitchen and the dining room. </w:t>
      </w:r>
      <w:r w:rsidR="00B41166" w:rsidRPr="00394FA8">
        <w:rPr>
          <w:rFonts w:ascii="Arial" w:hAnsi="Arial" w:cs="Arial"/>
        </w:rPr>
        <w:t xml:space="preserve">In his supplementary affidavit the appellant attached a </w:t>
      </w:r>
      <w:r w:rsidR="00553225" w:rsidRPr="00394FA8">
        <w:rPr>
          <w:rFonts w:ascii="Arial" w:hAnsi="Arial" w:cs="Arial"/>
        </w:rPr>
        <w:t xml:space="preserve">valuation certificate </w:t>
      </w:r>
      <w:r w:rsidR="005F6792" w:rsidRPr="00394FA8">
        <w:rPr>
          <w:rFonts w:ascii="Arial" w:hAnsi="Arial" w:cs="Arial"/>
        </w:rPr>
        <w:t xml:space="preserve">which purported to </w:t>
      </w:r>
      <w:r w:rsidR="005A532C" w:rsidRPr="00394FA8">
        <w:rPr>
          <w:rFonts w:ascii="Arial" w:hAnsi="Arial" w:cs="Arial"/>
        </w:rPr>
        <w:t>pertain</w:t>
      </w:r>
      <w:r w:rsidR="00B41166" w:rsidRPr="00394FA8">
        <w:rPr>
          <w:rFonts w:ascii="Arial" w:hAnsi="Arial" w:cs="Arial"/>
        </w:rPr>
        <w:t xml:space="preserve"> to the property. U</w:t>
      </w:r>
      <w:r w:rsidR="00553225" w:rsidRPr="00394FA8">
        <w:rPr>
          <w:rFonts w:ascii="Arial" w:hAnsi="Arial" w:cs="Arial"/>
        </w:rPr>
        <w:t>nder the heading ‘</w:t>
      </w:r>
      <w:r w:rsidR="00553225" w:rsidRPr="00394FA8">
        <w:rPr>
          <w:rFonts w:ascii="Arial" w:hAnsi="Arial" w:cs="Arial"/>
          <w:i/>
        </w:rPr>
        <w:t>description of improvements’</w:t>
      </w:r>
      <w:r w:rsidR="00553225" w:rsidRPr="00394FA8">
        <w:rPr>
          <w:rFonts w:ascii="Arial" w:hAnsi="Arial" w:cs="Arial"/>
        </w:rPr>
        <w:t xml:space="preserve">, </w:t>
      </w:r>
      <w:r w:rsidR="00B41166" w:rsidRPr="00394FA8">
        <w:rPr>
          <w:rFonts w:ascii="Arial" w:hAnsi="Arial" w:cs="Arial"/>
        </w:rPr>
        <w:t xml:space="preserve">this certificate </w:t>
      </w:r>
      <w:r w:rsidR="00CA559D" w:rsidRPr="00394FA8">
        <w:rPr>
          <w:rFonts w:ascii="Arial" w:hAnsi="Arial" w:cs="Arial"/>
        </w:rPr>
        <w:t>state</w:t>
      </w:r>
      <w:r w:rsidR="00B41166" w:rsidRPr="00394FA8">
        <w:rPr>
          <w:rFonts w:ascii="Arial" w:hAnsi="Arial" w:cs="Arial"/>
        </w:rPr>
        <w:t>s</w:t>
      </w:r>
      <w:r w:rsidR="00CA559D" w:rsidRPr="00394FA8">
        <w:rPr>
          <w:rFonts w:ascii="Arial" w:hAnsi="Arial" w:cs="Arial"/>
        </w:rPr>
        <w:t xml:space="preserve"> that the </w:t>
      </w:r>
      <w:r w:rsidR="00B41166" w:rsidRPr="00394FA8">
        <w:rPr>
          <w:rFonts w:ascii="Arial" w:hAnsi="Arial" w:cs="Arial"/>
        </w:rPr>
        <w:t xml:space="preserve">main house </w:t>
      </w:r>
      <w:r w:rsidR="00CA559D" w:rsidRPr="00394FA8">
        <w:rPr>
          <w:rFonts w:ascii="Arial" w:hAnsi="Arial" w:cs="Arial"/>
        </w:rPr>
        <w:t>has 2 bedrooms, 1</w:t>
      </w:r>
      <w:r w:rsidR="009161E1" w:rsidRPr="00394FA8">
        <w:rPr>
          <w:rFonts w:ascii="Arial" w:hAnsi="Arial" w:cs="Arial"/>
        </w:rPr>
        <w:t xml:space="preserve"> </w:t>
      </w:r>
      <w:r w:rsidR="00CA559D" w:rsidRPr="00394FA8">
        <w:rPr>
          <w:rFonts w:ascii="Arial" w:hAnsi="Arial" w:cs="Arial"/>
        </w:rPr>
        <w:t xml:space="preserve">bathroom, </w:t>
      </w:r>
      <w:r w:rsidR="00B41166" w:rsidRPr="00394FA8">
        <w:rPr>
          <w:rFonts w:ascii="Arial" w:hAnsi="Arial" w:cs="Arial"/>
        </w:rPr>
        <w:t xml:space="preserve">a </w:t>
      </w:r>
      <w:r w:rsidR="00CA559D" w:rsidRPr="00394FA8">
        <w:rPr>
          <w:rFonts w:ascii="Arial" w:hAnsi="Arial" w:cs="Arial"/>
        </w:rPr>
        <w:t xml:space="preserve">lounge, </w:t>
      </w:r>
      <w:r w:rsidR="00B41166" w:rsidRPr="00394FA8">
        <w:rPr>
          <w:rFonts w:ascii="Arial" w:hAnsi="Arial" w:cs="Arial"/>
        </w:rPr>
        <w:t xml:space="preserve">a </w:t>
      </w:r>
      <w:r w:rsidR="00CA559D" w:rsidRPr="00394FA8">
        <w:rPr>
          <w:rFonts w:ascii="Arial" w:hAnsi="Arial" w:cs="Arial"/>
        </w:rPr>
        <w:t>dining room and a kitchen</w:t>
      </w:r>
      <w:r w:rsidR="00B41166" w:rsidRPr="00394FA8">
        <w:rPr>
          <w:rFonts w:ascii="Arial" w:hAnsi="Arial" w:cs="Arial"/>
        </w:rPr>
        <w:t xml:space="preserve">, and the </w:t>
      </w:r>
      <w:r w:rsidR="00CA559D" w:rsidRPr="00394FA8">
        <w:rPr>
          <w:rFonts w:ascii="Arial" w:hAnsi="Arial" w:cs="Arial"/>
        </w:rPr>
        <w:t xml:space="preserve">outbuilding has a double garage attached to the house. </w:t>
      </w:r>
      <w:r w:rsidR="004168E4" w:rsidRPr="00394FA8">
        <w:rPr>
          <w:rFonts w:ascii="Arial" w:hAnsi="Arial" w:cs="Arial"/>
        </w:rPr>
        <w:t>In his oral evidence the</w:t>
      </w:r>
      <w:r w:rsidR="00CA559D" w:rsidRPr="00394FA8">
        <w:rPr>
          <w:rFonts w:ascii="Arial" w:hAnsi="Arial" w:cs="Arial"/>
        </w:rPr>
        <w:t xml:space="preserve"> appellant denied that he bui</w:t>
      </w:r>
      <w:r w:rsidR="004168E4" w:rsidRPr="00394FA8">
        <w:rPr>
          <w:rFonts w:ascii="Arial" w:hAnsi="Arial" w:cs="Arial"/>
        </w:rPr>
        <w:t>lt a double garage</w:t>
      </w:r>
      <w:r w:rsidR="00CA559D" w:rsidRPr="00394FA8">
        <w:rPr>
          <w:rFonts w:ascii="Arial" w:hAnsi="Arial" w:cs="Arial"/>
        </w:rPr>
        <w:t xml:space="preserve">. </w:t>
      </w:r>
    </w:p>
    <w:p w14:paraId="0E4F8418" w14:textId="30BA11D7" w:rsidR="00896525" w:rsidRPr="00394FA8" w:rsidRDefault="00394FA8" w:rsidP="00394FA8">
      <w:pPr>
        <w:spacing w:after="480" w:line="360" w:lineRule="auto"/>
        <w:ind w:left="720" w:hanging="720"/>
        <w:jc w:val="both"/>
        <w:rPr>
          <w:rFonts w:ascii="Arial" w:hAnsi="Arial" w:cs="Arial"/>
        </w:rPr>
      </w:pPr>
      <w:r>
        <w:rPr>
          <w:rFonts w:ascii="Arial" w:hAnsi="Arial" w:cs="Arial"/>
        </w:rPr>
        <w:t>[51]</w:t>
      </w:r>
      <w:r>
        <w:rPr>
          <w:rFonts w:ascii="Arial" w:hAnsi="Arial" w:cs="Arial"/>
        </w:rPr>
        <w:tab/>
      </w:r>
      <w:r w:rsidR="007A7064" w:rsidRPr="00394FA8">
        <w:rPr>
          <w:rFonts w:ascii="Arial" w:hAnsi="Arial" w:cs="Arial"/>
        </w:rPr>
        <w:t>Regarding</w:t>
      </w:r>
      <w:r w:rsidR="00896525" w:rsidRPr="00394FA8">
        <w:rPr>
          <w:rFonts w:ascii="Arial" w:hAnsi="Arial" w:cs="Arial"/>
        </w:rPr>
        <w:t xml:space="preserve"> the timing of the improvements, in his oral evidence the appellant testified that the deceased gave him permission to effect improvements on the property at the time when they concluded the agreement of sale in 2003, and whilst the deceased was still alive. The appellant did not however provide any proof of this alleged improvements agreement. On the other </w:t>
      </w:r>
      <w:r w:rsidR="007A7064" w:rsidRPr="00394FA8">
        <w:rPr>
          <w:rFonts w:ascii="Arial" w:hAnsi="Arial" w:cs="Arial"/>
        </w:rPr>
        <w:t>hand,</w:t>
      </w:r>
      <w:r w:rsidR="00896525" w:rsidRPr="00394FA8">
        <w:rPr>
          <w:rFonts w:ascii="Arial" w:hAnsi="Arial" w:cs="Arial"/>
        </w:rPr>
        <w:t xml:space="preserve"> the first respondent and the deceased’s brother disputed in their oral evidence that any improvements were effected in 2003. They testified that </w:t>
      </w:r>
      <w:r w:rsidR="00AB3A50" w:rsidRPr="00394FA8">
        <w:rPr>
          <w:rFonts w:ascii="Arial" w:hAnsi="Arial" w:cs="Arial"/>
        </w:rPr>
        <w:t xml:space="preserve">the appellant commenced with </w:t>
      </w:r>
      <w:r w:rsidR="00896525" w:rsidRPr="00394FA8">
        <w:rPr>
          <w:rFonts w:ascii="Arial" w:hAnsi="Arial" w:cs="Arial"/>
        </w:rPr>
        <w:t>improvements in 2007 after the deceased’s death</w:t>
      </w:r>
      <w:r w:rsidR="00AB3A50" w:rsidRPr="00394FA8">
        <w:rPr>
          <w:rFonts w:ascii="Arial" w:hAnsi="Arial" w:cs="Arial"/>
        </w:rPr>
        <w:t xml:space="preserve">, and that this was done </w:t>
      </w:r>
      <w:r w:rsidR="00896525" w:rsidRPr="00394FA8">
        <w:rPr>
          <w:rFonts w:ascii="Arial" w:hAnsi="Arial" w:cs="Arial"/>
        </w:rPr>
        <w:t>without the first respondent’s consent.</w:t>
      </w:r>
    </w:p>
    <w:p w14:paraId="23397D08" w14:textId="06D67ED1" w:rsidR="00BB39C7" w:rsidRPr="00394FA8" w:rsidRDefault="00394FA8" w:rsidP="00394FA8">
      <w:pPr>
        <w:spacing w:after="480" w:line="360" w:lineRule="auto"/>
        <w:ind w:left="720" w:hanging="720"/>
        <w:jc w:val="both"/>
        <w:rPr>
          <w:rFonts w:ascii="Arial" w:hAnsi="Arial" w:cs="Arial"/>
        </w:rPr>
      </w:pPr>
      <w:r w:rsidRPr="00876CA5">
        <w:rPr>
          <w:rFonts w:ascii="Arial" w:hAnsi="Arial" w:cs="Arial"/>
        </w:rPr>
        <w:t>[52]</w:t>
      </w:r>
      <w:r w:rsidRPr="00876CA5">
        <w:rPr>
          <w:rFonts w:ascii="Arial" w:hAnsi="Arial" w:cs="Arial"/>
        </w:rPr>
        <w:tab/>
      </w:r>
      <w:r w:rsidR="00B41166" w:rsidRPr="00394FA8">
        <w:rPr>
          <w:rFonts w:ascii="Arial" w:hAnsi="Arial" w:cs="Arial"/>
        </w:rPr>
        <w:t xml:space="preserve">Apart from the unsatisfactory nature and at times contradictory </w:t>
      </w:r>
      <w:r w:rsidR="001D7315" w:rsidRPr="00394FA8">
        <w:rPr>
          <w:rFonts w:ascii="Arial" w:hAnsi="Arial" w:cs="Arial"/>
        </w:rPr>
        <w:t xml:space="preserve">evidence by the appellant </w:t>
      </w:r>
      <w:r w:rsidR="007A7064" w:rsidRPr="00394FA8">
        <w:rPr>
          <w:rFonts w:ascii="Arial" w:hAnsi="Arial" w:cs="Arial"/>
        </w:rPr>
        <w:t>regarding</w:t>
      </w:r>
      <w:r w:rsidR="00B41166" w:rsidRPr="00394FA8">
        <w:rPr>
          <w:rFonts w:ascii="Arial" w:hAnsi="Arial" w:cs="Arial"/>
        </w:rPr>
        <w:t xml:space="preserve"> the alleged improvements, the appellant failed to prove </w:t>
      </w:r>
      <w:r w:rsidR="00B22F1D" w:rsidRPr="00394FA8">
        <w:rPr>
          <w:rFonts w:ascii="Arial" w:hAnsi="Arial" w:cs="Arial"/>
        </w:rPr>
        <w:t>the value of such improvements. Instead</w:t>
      </w:r>
      <w:r w:rsidR="001D7315" w:rsidRPr="00394FA8">
        <w:rPr>
          <w:rFonts w:ascii="Arial" w:hAnsi="Arial" w:cs="Arial"/>
        </w:rPr>
        <w:t xml:space="preserve">, </w:t>
      </w:r>
      <w:r w:rsidR="00B22F1D" w:rsidRPr="00394FA8">
        <w:rPr>
          <w:rFonts w:ascii="Arial" w:hAnsi="Arial" w:cs="Arial"/>
        </w:rPr>
        <w:t>d</w:t>
      </w:r>
      <w:r w:rsidR="007D7832" w:rsidRPr="00394FA8">
        <w:rPr>
          <w:rFonts w:ascii="Arial" w:hAnsi="Arial" w:cs="Arial"/>
        </w:rPr>
        <w:t xml:space="preserve">uring his oral evidence he undertook to vacate the property if </w:t>
      </w:r>
      <w:r w:rsidR="00B22F1D" w:rsidRPr="00394FA8">
        <w:rPr>
          <w:rFonts w:ascii="Arial" w:hAnsi="Arial" w:cs="Arial"/>
        </w:rPr>
        <w:t xml:space="preserve">he was </w:t>
      </w:r>
      <w:r w:rsidR="007D7832" w:rsidRPr="00394FA8">
        <w:rPr>
          <w:rFonts w:ascii="Arial" w:hAnsi="Arial" w:cs="Arial"/>
        </w:rPr>
        <w:t xml:space="preserve">awarded R300 000.00 as compensation for the improvements. </w:t>
      </w:r>
      <w:r w:rsidR="00B22F1D" w:rsidRPr="00394FA8">
        <w:rPr>
          <w:rFonts w:ascii="Arial" w:hAnsi="Arial" w:cs="Arial"/>
        </w:rPr>
        <w:t xml:space="preserve">Even if the lien defence was available to the appellant as a defence to the eviction order (which in our view it is not), the appellant made no attempt to quantify the improvements, and did not institute any proceedings (by way of a counter-application or otherwise) to recover the costs of such improvements. </w:t>
      </w:r>
    </w:p>
    <w:p w14:paraId="6895AA77" w14:textId="383059DC" w:rsidR="00083B7E" w:rsidRPr="00394FA8" w:rsidRDefault="00394FA8" w:rsidP="00394FA8">
      <w:pPr>
        <w:spacing w:after="480" w:line="360" w:lineRule="auto"/>
        <w:ind w:left="720" w:hanging="720"/>
        <w:jc w:val="both"/>
        <w:rPr>
          <w:rFonts w:ascii="Arial" w:hAnsi="Arial" w:cs="Arial"/>
        </w:rPr>
      </w:pPr>
      <w:r>
        <w:rPr>
          <w:rFonts w:ascii="Arial" w:hAnsi="Arial" w:cs="Arial"/>
        </w:rPr>
        <w:t>[53]</w:t>
      </w:r>
      <w:r>
        <w:rPr>
          <w:rFonts w:ascii="Arial" w:hAnsi="Arial" w:cs="Arial"/>
        </w:rPr>
        <w:tab/>
      </w:r>
      <w:r w:rsidR="00B22F1D" w:rsidRPr="00394FA8">
        <w:rPr>
          <w:rFonts w:ascii="Arial" w:hAnsi="Arial" w:cs="Arial"/>
        </w:rPr>
        <w:t xml:space="preserve">We now </w:t>
      </w:r>
      <w:r w:rsidR="001E3011" w:rsidRPr="00394FA8">
        <w:rPr>
          <w:rFonts w:ascii="Arial" w:hAnsi="Arial" w:cs="Arial"/>
        </w:rPr>
        <w:t xml:space="preserve">address the legal position. </w:t>
      </w:r>
      <w:r w:rsidR="00CF24E1" w:rsidRPr="00394FA8">
        <w:rPr>
          <w:rFonts w:ascii="Arial" w:hAnsi="Arial" w:cs="Arial"/>
        </w:rPr>
        <w:t>The appellant relies on an improvement lien as his defence against the eviction. An improvement lien is a real lien that arises by operation</w:t>
      </w:r>
      <w:r w:rsidR="001D40E9" w:rsidRPr="00394FA8">
        <w:rPr>
          <w:rFonts w:ascii="Arial" w:hAnsi="Arial" w:cs="Arial"/>
        </w:rPr>
        <w:t xml:space="preserve"> of law (See </w:t>
      </w:r>
      <w:r w:rsidR="001D40E9" w:rsidRPr="00394FA8">
        <w:rPr>
          <w:rFonts w:ascii="Arial" w:hAnsi="Arial" w:cs="Arial"/>
          <w:i/>
        </w:rPr>
        <w:t>Wille’s Principles of South African Law, 9</w:t>
      </w:r>
      <w:r w:rsidR="001D40E9" w:rsidRPr="00394FA8">
        <w:rPr>
          <w:rFonts w:ascii="Arial" w:hAnsi="Arial" w:cs="Arial"/>
          <w:i/>
          <w:vertAlign w:val="superscript"/>
        </w:rPr>
        <w:t>th</w:t>
      </w:r>
      <w:r w:rsidR="001D40E9" w:rsidRPr="00394FA8">
        <w:rPr>
          <w:rFonts w:ascii="Arial" w:hAnsi="Arial" w:cs="Arial"/>
          <w:i/>
        </w:rPr>
        <w:t xml:space="preserve"> Edition 661</w:t>
      </w:r>
      <w:r w:rsidR="001D40E9" w:rsidRPr="00394FA8">
        <w:rPr>
          <w:rFonts w:ascii="Arial" w:hAnsi="Arial" w:cs="Arial"/>
        </w:rPr>
        <w:t>).</w:t>
      </w:r>
      <w:r w:rsidR="00083B7E" w:rsidRPr="00394FA8">
        <w:rPr>
          <w:rFonts w:ascii="Arial" w:hAnsi="Arial" w:cs="Arial"/>
        </w:rPr>
        <w:t xml:space="preserve"> The basic </w:t>
      </w:r>
      <w:r w:rsidR="00B252E0" w:rsidRPr="00394FA8">
        <w:rPr>
          <w:rFonts w:ascii="Arial" w:hAnsi="Arial" w:cs="Arial"/>
        </w:rPr>
        <w:t>principles relevant to real li</w:t>
      </w:r>
      <w:r w:rsidR="00083B7E" w:rsidRPr="00394FA8">
        <w:rPr>
          <w:rFonts w:ascii="Arial" w:hAnsi="Arial" w:cs="Arial"/>
        </w:rPr>
        <w:t>e</w:t>
      </w:r>
      <w:r w:rsidR="00B252E0" w:rsidRPr="00394FA8">
        <w:rPr>
          <w:rFonts w:ascii="Arial" w:hAnsi="Arial" w:cs="Arial"/>
        </w:rPr>
        <w:t>n</w:t>
      </w:r>
      <w:r w:rsidR="00083B7E" w:rsidRPr="00394FA8">
        <w:rPr>
          <w:rFonts w:ascii="Arial" w:hAnsi="Arial" w:cs="Arial"/>
        </w:rPr>
        <w:t>s, and in particular improvement liens, are expounded as follows:</w:t>
      </w:r>
    </w:p>
    <w:p w14:paraId="03B677E3" w14:textId="262BBECB" w:rsidR="00083B7E" w:rsidRPr="00DB4007" w:rsidRDefault="00083B7E" w:rsidP="00DB4007">
      <w:pPr>
        <w:pStyle w:val="prb-anyhead"/>
        <w:spacing w:before="0" w:beforeAutospacing="0" w:after="480" w:afterAutospacing="0" w:line="360" w:lineRule="auto"/>
        <w:ind w:left="1440"/>
        <w:jc w:val="both"/>
        <w:rPr>
          <w:rFonts w:ascii="Arial" w:hAnsi="Arial" w:cs="Arial"/>
          <w:color w:val="000000"/>
          <w:sz w:val="20"/>
          <w:szCs w:val="20"/>
        </w:rPr>
      </w:pPr>
      <w:r w:rsidRPr="00DB4007">
        <w:rPr>
          <w:rFonts w:ascii="Arial" w:hAnsi="Arial" w:cs="Arial"/>
          <w:color w:val="000000"/>
          <w:sz w:val="20"/>
          <w:szCs w:val="20"/>
        </w:rPr>
        <w:t>A real lien</w:t>
      </w:r>
      <w:r w:rsidR="00EA6152">
        <w:rPr>
          <w:rFonts w:ascii="Arial" w:hAnsi="Arial" w:cs="Arial"/>
          <w:color w:val="000000"/>
          <w:sz w:val="20"/>
          <w:szCs w:val="20"/>
        </w:rPr>
        <w:t xml:space="preserve"> </w:t>
      </w:r>
      <w:r w:rsidRPr="00DB4007">
        <w:rPr>
          <w:rFonts w:ascii="Arial" w:hAnsi="Arial" w:cs="Arial"/>
          <w:color w:val="000000"/>
          <w:sz w:val="20"/>
          <w:szCs w:val="20"/>
        </w:rPr>
        <w:t>is afforded a person who has expended money, or labour with monetary value, on another’s property,</w:t>
      </w:r>
      <w:r w:rsidR="00EA6152">
        <w:rPr>
          <w:rFonts w:ascii="Arial" w:hAnsi="Arial" w:cs="Arial"/>
          <w:color w:val="000000"/>
          <w:sz w:val="20"/>
          <w:szCs w:val="20"/>
        </w:rPr>
        <w:t xml:space="preserve"> </w:t>
      </w:r>
      <w:r w:rsidRPr="00DB4007">
        <w:rPr>
          <w:rFonts w:ascii="Arial" w:hAnsi="Arial" w:cs="Arial"/>
          <w:color w:val="000000"/>
          <w:sz w:val="20"/>
          <w:szCs w:val="20"/>
        </w:rPr>
        <w:t>without any applicable prior contractual relationship between the parties. The expenditure in question has to be incurred while the person asserting the lien is in possession of the subject matter.</w:t>
      </w:r>
      <w:r w:rsidR="00E10C78">
        <w:rPr>
          <w:rFonts w:ascii="Arial" w:hAnsi="Arial" w:cs="Arial"/>
          <w:color w:val="000000"/>
          <w:sz w:val="20"/>
          <w:szCs w:val="20"/>
        </w:rPr>
        <w:t xml:space="preserve"> </w:t>
      </w:r>
      <w:r w:rsidRPr="00DB4007">
        <w:rPr>
          <w:rFonts w:ascii="Arial" w:hAnsi="Arial" w:cs="Arial"/>
          <w:color w:val="000000"/>
          <w:sz w:val="20"/>
          <w:szCs w:val="20"/>
        </w:rPr>
        <w:t>Such liens are classified according to the type of expenditure incurred by the lien holder in respect of another’s property.</w:t>
      </w:r>
    </w:p>
    <w:p w14:paraId="0A21E468" w14:textId="6D2D2220" w:rsidR="00083B7E" w:rsidRPr="00DB4007" w:rsidRDefault="00083B7E" w:rsidP="00DB4007">
      <w:pPr>
        <w:pStyle w:val="pri"/>
        <w:spacing w:before="0" w:beforeAutospacing="0" w:after="480" w:afterAutospacing="0" w:line="360" w:lineRule="auto"/>
        <w:ind w:left="1440"/>
        <w:jc w:val="both"/>
        <w:rPr>
          <w:rFonts w:ascii="Arial" w:hAnsi="Arial" w:cs="Arial"/>
          <w:color w:val="000000"/>
          <w:sz w:val="20"/>
          <w:szCs w:val="20"/>
        </w:rPr>
      </w:pPr>
      <w:r w:rsidRPr="00DB4007">
        <w:rPr>
          <w:rFonts w:ascii="Arial" w:hAnsi="Arial" w:cs="Arial"/>
          <w:color w:val="000000"/>
          <w:sz w:val="20"/>
          <w:szCs w:val="20"/>
        </w:rPr>
        <w:t>It is well established that the expenditure which may be incurred in this regard may be classified under the following three heads: </w:t>
      </w:r>
      <w:r w:rsidRPr="00DB4007">
        <w:rPr>
          <w:rFonts w:ascii="Arial" w:hAnsi="Arial" w:cs="Arial"/>
          <w:i/>
          <w:iCs/>
          <w:color w:val="000000"/>
          <w:sz w:val="20"/>
          <w:szCs w:val="20"/>
        </w:rPr>
        <w:t>impensae necessariae </w:t>
      </w:r>
      <w:r w:rsidRPr="00DB4007">
        <w:rPr>
          <w:rFonts w:ascii="Arial" w:hAnsi="Arial" w:cs="Arial"/>
          <w:color w:val="000000"/>
          <w:sz w:val="20"/>
          <w:szCs w:val="20"/>
        </w:rPr>
        <w:t>(necessary expenses), that is expenses necessary for the preservation or protection of another’s property or, stated negatively, expenses without which the property would either depreciate or perish;</w:t>
      </w:r>
      <w:r w:rsidR="00EA6152">
        <w:rPr>
          <w:rFonts w:ascii="Arial" w:hAnsi="Arial" w:cs="Arial"/>
          <w:color w:val="000000"/>
          <w:sz w:val="20"/>
          <w:szCs w:val="20"/>
        </w:rPr>
        <w:t xml:space="preserve"> </w:t>
      </w:r>
      <w:r w:rsidRPr="00DB4007">
        <w:rPr>
          <w:rFonts w:ascii="Arial" w:hAnsi="Arial" w:cs="Arial"/>
          <w:i/>
          <w:iCs/>
          <w:color w:val="000000"/>
          <w:sz w:val="20"/>
          <w:szCs w:val="20"/>
        </w:rPr>
        <w:t>impensae utiles </w:t>
      </w:r>
      <w:r w:rsidRPr="00DB4007">
        <w:rPr>
          <w:rFonts w:ascii="Arial" w:hAnsi="Arial" w:cs="Arial"/>
          <w:color w:val="000000"/>
          <w:sz w:val="20"/>
          <w:szCs w:val="20"/>
        </w:rPr>
        <w:t>(useful expenses), that is expenses which enhance the market value of the property, although they are not necessary to preserve or protect it; and </w:t>
      </w:r>
      <w:r w:rsidRPr="00DB4007">
        <w:rPr>
          <w:rFonts w:ascii="Arial" w:hAnsi="Arial" w:cs="Arial"/>
          <w:i/>
          <w:iCs/>
          <w:color w:val="000000"/>
          <w:sz w:val="20"/>
          <w:szCs w:val="20"/>
        </w:rPr>
        <w:t>impensae voluptuariae </w:t>
      </w:r>
      <w:r w:rsidRPr="00DB4007">
        <w:rPr>
          <w:rFonts w:ascii="Arial" w:hAnsi="Arial" w:cs="Arial"/>
          <w:color w:val="000000"/>
          <w:sz w:val="20"/>
          <w:szCs w:val="20"/>
        </w:rPr>
        <w:t>(luxurious expenses), that is expenditure that does not preserve the property concerned, or increase its market value, but merely gratifies the caprice or fancy of a particular person.</w:t>
      </w:r>
    </w:p>
    <w:p w14:paraId="51443250" w14:textId="63A9AF7F" w:rsidR="00083B7E" w:rsidRDefault="00083B7E" w:rsidP="00DB4007">
      <w:pPr>
        <w:pStyle w:val="pri"/>
        <w:spacing w:before="0" w:beforeAutospacing="0" w:after="480" w:afterAutospacing="0" w:line="360" w:lineRule="auto"/>
        <w:ind w:left="1440"/>
        <w:jc w:val="both"/>
        <w:rPr>
          <w:rFonts w:ascii="Verdana" w:hAnsi="Verdana"/>
          <w:color w:val="000000"/>
          <w:sz w:val="18"/>
          <w:szCs w:val="18"/>
        </w:rPr>
      </w:pPr>
      <w:r w:rsidRPr="00DB4007">
        <w:rPr>
          <w:rFonts w:ascii="Arial" w:hAnsi="Arial" w:cs="Arial"/>
          <w:color w:val="000000"/>
          <w:sz w:val="20"/>
          <w:szCs w:val="20"/>
        </w:rPr>
        <w:t>A lien for the recovery of </w:t>
      </w:r>
      <w:r w:rsidRPr="00DB4007">
        <w:rPr>
          <w:rFonts w:ascii="Arial" w:hAnsi="Arial" w:cs="Arial"/>
          <w:i/>
          <w:iCs/>
          <w:color w:val="000000"/>
          <w:sz w:val="20"/>
          <w:szCs w:val="20"/>
        </w:rPr>
        <w:t>impensae necessariae </w:t>
      </w:r>
      <w:r w:rsidRPr="00DB4007">
        <w:rPr>
          <w:rFonts w:ascii="Arial" w:hAnsi="Arial" w:cs="Arial"/>
          <w:color w:val="000000"/>
          <w:sz w:val="20"/>
          <w:szCs w:val="20"/>
        </w:rPr>
        <w:t>is traditionally called a salvage lien or a lien for repairs, while one for recovery of </w:t>
      </w:r>
      <w:r w:rsidRPr="00DB4007">
        <w:rPr>
          <w:rFonts w:ascii="Arial" w:hAnsi="Arial" w:cs="Arial"/>
          <w:i/>
          <w:iCs/>
          <w:color w:val="000000"/>
          <w:sz w:val="20"/>
          <w:szCs w:val="20"/>
        </w:rPr>
        <w:t>impensae utiles </w:t>
      </w:r>
      <w:r w:rsidRPr="00DB4007">
        <w:rPr>
          <w:rFonts w:ascii="Arial" w:hAnsi="Arial" w:cs="Arial"/>
          <w:color w:val="000000"/>
          <w:sz w:val="20"/>
          <w:szCs w:val="20"/>
        </w:rPr>
        <w:t>is termed an improvement lien</w:t>
      </w:r>
      <w:r w:rsidR="00EA6152">
        <w:rPr>
          <w:rFonts w:ascii="Arial" w:hAnsi="Arial" w:cs="Arial"/>
          <w:color w:val="000000"/>
          <w:sz w:val="20"/>
          <w:szCs w:val="20"/>
        </w:rPr>
        <w:t>.</w:t>
      </w:r>
      <w:r w:rsidR="00EA6152">
        <w:rPr>
          <w:rStyle w:val="FootnoteReference"/>
          <w:rFonts w:ascii="Arial" w:hAnsi="Arial" w:cs="Arial"/>
          <w:color w:val="000000"/>
          <w:sz w:val="20"/>
          <w:szCs w:val="20"/>
        </w:rPr>
        <w:footnoteReference w:id="1"/>
      </w:r>
    </w:p>
    <w:p w14:paraId="0D17F520" w14:textId="0CA0C422" w:rsidR="00666C19" w:rsidRPr="00394FA8" w:rsidRDefault="00394FA8" w:rsidP="00394FA8">
      <w:pPr>
        <w:spacing w:after="480" w:line="360" w:lineRule="auto"/>
        <w:ind w:left="720" w:hanging="720"/>
        <w:jc w:val="both"/>
        <w:rPr>
          <w:rFonts w:ascii="Arial" w:hAnsi="Arial" w:cs="Arial"/>
        </w:rPr>
      </w:pPr>
      <w:r>
        <w:rPr>
          <w:rFonts w:ascii="Arial" w:hAnsi="Arial" w:cs="Arial"/>
        </w:rPr>
        <w:t>[54]</w:t>
      </w:r>
      <w:r>
        <w:rPr>
          <w:rFonts w:ascii="Arial" w:hAnsi="Arial" w:cs="Arial"/>
        </w:rPr>
        <w:tab/>
      </w:r>
      <w:r w:rsidR="00DC183C" w:rsidRPr="00394FA8">
        <w:rPr>
          <w:rFonts w:ascii="Arial" w:hAnsi="Arial" w:cs="Arial"/>
        </w:rPr>
        <w:t xml:space="preserve">An improvement lien </w:t>
      </w:r>
      <w:r w:rsidR="00E10C78" w:rsidRPr="00394FA8">
        <w:rPr>
          <w:rFonts w:ascii="Arial" w:hAnsi="Arial" w:cs="Arial"/>
        </w:rPr>
        <w:t xml:space="preserve">only </w:t>
      </w:r>
      <w:r w:rsidR="00DC183C" w:rsidRPr="00394FA8">
        <w:rPr>
          <w:rFonts w:ascii="Arial" w:hAnsi="Arial" w:cs="Arial"/>
        </w:rPr>
        <w:t xml:space="preserve">affords security for the recovery of useful expenses. </w:t>
      </w:r>
      <w:r w:rsidR="00E10C78" w:rsidRPr="00394FA8">
        <w:rPr>
          <w:rFonts w:ascii="Arial" w:hAnsi="Arial" w:cs="Arial"/>
        </w:rPr>
        <w:t xml:space="preserve">The value of </w:t>
      </w:r>
      <w:r w:rsidR="00B71FE2" w:rsidRPr="00394FA8">
        <w:rPr>
          <w:rFonts w:ascii="Arial" w:hAnsi="Arial" w:cs="Arial"/>
        </w:rPr>
        <w:t xml:space="preserve">an </w:t>
      </w:r>
      <w:r w:rsidR="00E10C78" w:rsidRPr="00394FA8">
        <w:rPr>
          <w:rFonts w:ascii="Arial" w:hAnsi="Arial" w:cs="Arial"/>
        </w:rPr>
        <w:t xml:space="preserve">improvement lien is </w:t>
      </w:r>
      <w:r w:rsidR="00666C19" w:rsidRPr="00394FA8">
        <w:rPr>
          <w:rFonts w:ascii="Arial" w:hAnsi="Arial" w:cs="Arial"/>
        </w:rPr>
        <w:t xml:space="preserve">made not with reference to the actual expenses incurred but with reference to the increase in the market value of the asset in question. </w:t>
      </w:r>
    </w:p>
    <w:p w14:paraId="38D85E0D" w14:textId="136EDF20" w:rsidR="00CA6579" w:rsidRPr="00394FA8" w:rsidRDefault="00394FA8" w:rsidP="00394FA8">
      <w:pPr>
        <w:spacing w:after="480" w:line="360" w:lineRule="auto"/>
        <w:ind w:left="720" w:hanging="720"/>
        <w:jc w:val="both"/>
        <w:rPr>
          <w:rFonts w:ascii="Arial" w:hAnsi="Arial" w:cs="Arial"/>
        </w:rPr>
      </w:pPr>
      <w:r>
        <w:rPr>
          <w:rFonts w:ascii="Arial" w:hAnsi="Arial" w:cs="Arial"/>
        </w:rPr>
        <w:t>[55]</w:t>
      </w:r>
      <w:r>
        <w:rPr>
          <w:rFonts w:ascii="Arial" w:hAnsi="Arial" w:cs="Arial"/>
        </w:rPr>
        <w:tab/>
      </w:r>
      <w:r w:rsidR="00666C19" w:rsidRPr="00394FA8">
        <w:rPr>
          <w:rFonts w:ascii="Arial" w:hAnsi="Arial" w:cs="Arial"/>
        </w:rPr>
        <w:t xml:space="preserve">As we have already commented above, the appellant’s evidence as to the improvements made by him on the property is far from satisfactory and contradictory. </w:t>
      </w:r>
      <w:r w:rsidR="00CA6579" w:rsidRPr="00394FA8">
        <w:rPr>
          <w:rFonts w:ascii="Arial" w:hAnsi="Arial" w:cs="Arial"/>
        </w:rPr>
        <w:t xml:space="preserve">Nor is there any evidence which suggests that in the particular circumstances, the expenses incurred were useful. The appellant did not assert at any stage that useful expenses had been incurred. </w:t>
      </w:r>
    </w:p>
    <w:p w14:paraId="7FBF1C30" w14:textId="081AEA27" w:rsidR="00677056" w:rsidRPr="00394FA8" w:rsidRDefault="00394FA8" w:rsidP="00394FA8">
      <w:pPr>
        <w:spacing w:after="480" w:line="360" w:lineRule="auto"/>
        <w:ind w:left="720" w:hanging="720"/>
        <w:jc w:val="both"/>
        <w:rPr>
          <w:rFonts w:ascii="Arial" w:hAnsi="Arial" w:cs="Arial"/>
        </w:rPr>
      </w:pPr>
      <w:r>
        <w:rPr>
          <w:rFonts w:ascii="Arial" w:hAnsi="Arial" w:cs="Arial"/>
        </w:rPr>
        <w:t>[56]</w:t>
      </w:r>
      <w:r>
        <w:rPr>
          <w:rFonts w:ascii="Arial" w:hAnsi="Arial" w:cs="Arial"/>
        </w:rPr>
        <w:tab/>
      </w:r>
      <w:r w:rsidR="00CA6579" w:rsidRPr="00394FA8">
        <w:rPr>
          <w:rFonts w:ascii="Arial" w:hAnsi="Arial" w:cs="Arial"/>
        </w:rPr>
        <w:t xml:space="preserve">In respect of the market value of the property, the evidence </w:t>
      </w:r>
      <w:r w:rsidR="007A7064" w:rsidRPr="00394FA8">
        <w:rPr>
          <w:rFonts w:ascii="Arial" w:hAnsi="Arial" w:cs="Arial"/>
        </w:rPr>
        <w:t>regarding</w:t>
      </w:r>
      <w:r w:rsidR="00CA6579" w:rsidRPr="00394FA8">
        <w:rPr>
          <w:rFonts w:ascii="Arial" w:hAnsi="Arial" w:cs="Arial"/>
        </w:rPr>
        <w:t xml:space="preserve"> this aspect is in our view also unsatisfactory. The appellant failed to produce credible evidence proving the nature of the improvements and the expenses incurred by him in this regard. He did not attach receipts or invoices or any form of documentary evidence proving the costs for labour and material or any other work that was allegedly carried out in relation to the improvements. All that is before us on the record is the appellant’s bald assertion that these expenses cost him R150 000.00. </w:t>
      </w:r>
    </w:p>
    <w:p w14:paraId="0CCF46C3" w14:textId="2A72EF48" w:rsidR="008E11B1" w:rsidRPr="00394FA8" w:rsidRDefault="00394FA8" w:rsidP="00394FA8">
      <w:pPr>
        <w:spacing w:after="480" w:line="360" w:lineRule="auto"/>
        <w:ind w:left="720" w:hanging="720"/>
        <w:jc w:val="both"/>
        <w:rPr>
          <w:rFonts w:ascii="Arial" w:hAnsi="Arial" w:cs="Arial"/>
        </w:rPr>
      </w:pPr>
      <w:r>
        <w:rPr>
          <w:rFonts w:ascii="Arial" w:hAnsi="Arial" w:cs="Arial"/>
        </w:rPr>
        <w:t>[57]</w:t>
      </w:r>
      <w:r>
        <w:rPr>
          <w:rFonts w:ascii="Arial" w:hAnsi="Arial" w:cs="Arial"/>
        </w:rPr>
        <w:tab/>
      </w:r>
      <w:r w:rsidR="00677056" w:rsidRPr="00394FA8">
        <w:rPr>
          <w:rFonts w:ascii="Arial" w:hAnsi="Arial" w:cs="Arial"/>
        </w:rPr>
        <w:t xml:space="preserve">But in any event, the actual cost of expenses is not the test. What one </w:t>
      </w:r>
      <w:r w:rsidR="007A7064" w:rsidRPr="00394FA8">
        <w:rPr>
          <w:rFonts w:ascii="Arial" w:hAnsi="Arial" w:cs="Arial"/>
        </w:rPr>
        <w:t>must</w:t>
      </w:r>
      <w:r w:rsidR="00677056" w:rsidRPr="00394FA8">
        <w:rPr>
          <w:rFonts w:ascii="Arial" w:hAnsi="Arial" w:cs="Arial"/>
        </w:rPr>
        <w:t xml:space="preserve"> look at is the increase in market value of the asset </w:t>
      </w:r>
      <w:r w:rsidR="007A7064" w:rsidRPr="00394FA8">
        <w:rPr>
          <w:rFonts w:ascii="Arial" w:hAnsi="Arial" w:cs="Arial"/>
        </w:rPr>
        <w:t>because of</w:t>
      </w:r>
      <w:r w:rsidR="00677056" w:rsidRPr="00394FA8">
        <w:rPr>
          <w:rFonts w:ascii="Arial" w:hAnsi="Arial" w:cs="Arial"/>
        </w:rPr>
        <w:t xml:space="preserve"> the expenses incurred. The valuation certificate attached to the appellant’s supplementary affidavit does not assist his case on this score. </w:t>
      </w:r>
      <w:r w:rsidR="00C70879" w:rsidRPr="00394FA8">
        <w:rPr>
          <w:rFonts w:ascii="Arial" w:hAnsi="Arial" w:cs="Arial"/>
        </w:rPr>
        <w:t>On its face</w:t>
      </w:r>
      <w:r w:rsidR="00B71FE2" w:rsidRPr="00394FA8">
        <w:rPr>
          <w:rFonts w:ascii="Arial" w:hAnsi="Arial" w:cs="Arial"/>
        </w:rPr>
        <w:t>,</w:t>
      </w:r>
      <w:r w:rsidR="00C70879" w:rsidRPr="00394FA8">
        <w:rPr>
          <w:rFonts w:ascii="Arial" w:hAnsi="Arial" w:cs="Arial"/>
        </w:rPr>
        <w:t xml:space="preserve"> that certificate was prepared by one Peter Mabelane, in hi</w:t>
      </w:r>
      <w:r w:rsidR="008A34D9" w:rsidRPr="00394FA8">
        <w:rPr>
          <w:rFonts w:ascii="Arial" w:hAnsi="Arial" w:cs="Arial"/>
        </w:rPr>
        <w:t>s capacity as professional valuato</w:t>
      </w:r>
      <w:r w:rsidR="00C70879" w:rsidRPr="00394FA8">
        <w:rPr>
          <w:rFonts w:ascii="Arial" w:hAnsi="Arial" w:cs="Arial"/>
        </w:rPr>
        <w:t xml:space="preserve">r. However, there was no affidavit before the court </w:t>
      </w:r>
      <w:r w:rsidR="00C70879" w:rsidRPr="00394FA8">
        <w:rPr>
          <w:rFonts w:ascii="Arial" w:hAnsi="Arial" w:cs="Arial"/>
          <w:i/>
          <w:iCs/>
        </w:rPr>
        <w:t xml:space="preserve">a quo </w:t>
      </w:r>
      <w:r w:rsidR="00C70879" w:rsidRPr="00394FA8">
        <w:rPr>
          <w:rFonts w:ascii="Arial" w:hAnsi="Arial" w:cs="Arial"/>
        </w:rPr>
        <w:t xml:space="preserve">from Mr Mabelane, and he did not give any oral evidence. The certificate itself </w:t>
      </w:r>
      <w:r w:rsidR="00677056" w:rsidRPr="00394FA8">
        <w:rPr>
          <w:rFonts w:ascii="Arial" w:hAnsi="Arial" w:cs="Arial"/>
        </w:rPr>
        <w:t xml:space="preserve">purports to </w:t>
      </w:r>
      <w:r w:rsidR="00C70879" w:rsidRPr="00394FA8">
        <w:rPr>
          <w:rFonts w:ascii="Arial" w:hAnsi="Arial" w:cs="Arial"/>
        </w:rPr>
        <w:t xml:space="preserve">place a market value of R350 000.00 on the property. </w:t>
      </w:r>
      <w:r w:rsidR="005F6792" w:rsidRPr="00394FA8">
        <w:rPr>
          <w:rFonts w:ascii="Arial" w:hAnsi="Arial" w:cs="Arial"/>
        </w:rPr>
        <w:t xml:space="preserve">For the appellant’s purpose he is required to prove both the market value of the property prior to incurring the useful expenses and the market value </w:t>
      </w:r>
      <w:r w:rsidR="007A7064" w:rsidRPr="00394FA8">
        <w:rPr>
          <w:rFonts w:ascii="Arial" w:hAnsi="Arial" w:cs="Arial"/>
        </w:rPr>
        <w:t>because of</w:t>
      </w:r>
      <w:r w:rsidR="005F6792" w:rsidRPr="00394FA8">
        <w:rPr>
          <w:rFonts w:ascii="Arial" w:hAnsi="Arial" w:cs="Arial"/>
        </w:rPr>
        <w:t xml:space="preserve"> such expenses. The appellant not only failed to prove what the market value of the property was prior to incurring the expenses, he contended that he </w:t>
      </w:r>
      <w:r w:rsidR="008E11B1" w:rsidRPr="00394FA8">
        <w:rPr>
          <w:rFonts w:ascii="Arial" w:hAnsi="Arial" w:cs="Arial"/>
        </w:rPr>
        <w:t xml:space="preserve">expended R300 000.00 in respect of expenses and that he requires to be compensated for that amount. Quite clearly the appellant’s claim in this regard is neither supported by the evidence nor competent in law. </w:t>
      </w:r>
    </w:p>
    <w:p w14:paraId="35996389" w14:textId="681DB091" w:rsidR="00CC1562" w:rsidRPr="00394FA8" w:rsidRDefault="00394FA8" w:rsidP="00394FA8">
      <w:pPr>
        <w:spacing w:after="480" w:line="360" w:lineRule="auto"/>
        <w:ind w:left="720" w:hanging="720"/>
        <w:jc w:val="both"/>
        <w:rPr>
          <w:rFonts w:ascii="Arial" w:hAnsi="Arial" w:cs="Arial"/>
        </w:rPr>
      </w:pPr>
      <w:r w:rsidRPr="00876CA5">
        <w:rPr>
          <w:rFonts w:ascii="Arial" w:hAnsi="Arial" w:cs="Arial"/>
        </w:rPr>
        <w:t>[58]</w:t>
      </w:r>
      <w:r w:rsidRPr="00876CA5">
        <w:rPr>
          <w:rFonts w:ascii="Arial" w:hAnsi="Arial" w:cs="Arial"/>
        </w:rPr>
        <w:tab/>
      </w:r>
      <w:r w:rsidR="00475511" w:rsidRPr="00394FA8">
        <w:rPr>
          <w:rFonts w:ascii="Arial" w:hAnsi="Arial" w:cs="Arial"/>
        </w:rPr>
        <w:t>From the first respondent’s point of view, the market value of the property is in the region of R120 000.00 as appears from the municipal account. The first respondent disputes the market value to be R300 000 to R350 000.00. The appellant has not discharge</w:t>
      </w:r>
      <w:r w:rsidR="00DB4007" w:rsidRPr="00394FA8">
        <w:rPr>
          <w:rFonts w:ascii="Arial" w:hAnsi="Arial" w:cs="Arial"/>
        </w:rPr>
        <w:t>d</w:t>
      </w:r>
      <w:r w:rsidR="00475511" w:rsidRPr="00394FA8">
        <w:rPr>
          <w:rFonts w:ascii="Arial" w:hAnsi="Arial" w:cs="Arial"/>
        </w:rPr>
        <w:t xml:space="preserve"> the onus of proving the original market value and the current market value. </w:t>
      </w:r>
    </w:p>
    <w:p w14:paraId="46943E6F" w14:textId="0B0FA7B1" w:rsidR="00D8045E" w:rsidRPr="00394FA8" w:rsidRDefault="00394FA8" w:rsidP="00394FA8">
      <w:pPr>
        <w:spacing w:after="480" w:line="360" w:lineRule="auto"/>
        <w:ind w:left="720" w:hanging="720"/>
        <w:jc w:val="both"/>
        <w:rPr>
          <w:rFonts w:ascii="Arial" w:hAnsi="Arial" w:cs="Arial"/>
        </w:rPr>
      </w:pPr>
      <w:r w:rsidRPr="00876CA5">
        <w:rPr>
          <w:rFonts w:ascii="Arial" w:hAnsi="Arial" w:cs="Arial"/>
        </w:rPr>
        <w:t>[59]</w:t>
      </w:r>
      <w:r w:rsidRPr="00876CA5">
        <w:rPr>
          <w:rFonts w:ascii="Arial" w:hAnsi="Arial" w:cs="Arial"/>
        </w:rPr>
        <w:tab/>
      </w:r>
      <w:r w:rsidR="00475511" w:rsidRPr="00394FA8">
        <w:rPr>
          <w:rFonts w:ascii="Arial" w:hAnsi="Arial" w:cs="Arial"/>
        </w:rPr>
        <w:t xml:space="preserve">The appellant and his wife have been in occupation of the property since June 2005. The evidence reflects that he has been </w:t>
      </w:r>
      <w:r w:rsidR="00CC1562" w:rsidRPr="00394FA8">
        <w:rPr>
          <w:rFonts w:ascii="Arial" w:hAnsi="Arial" w:cs="Arial"/>
        </w:rPr>
        <w:t xml:space="preserve">operating </w:t>
      </w:r>
      <w:r w:rsidR="00475511" w:rsidRPr="00394FA8">
        <w:rPr>
          <w:rFonts w:ascii="Arial" w:hAnsi="Arial" w:cs="Arial"/>
        </w:rPr>
        <w:t xml:space="preserve">a </w:t>
      </w:r>
      <w:r w:rsidR="00CC1562" w:rsidRPr="00394FA8">
        <w:rPr>
          <w:rFonts w:ascii="Arial" w:hAnsi="Arial" w:cs="Arial"/>
        </w:rPr>
        <w:t>hair salon and tavern on the property without the first respondent’s consent.</w:t>
      </w:r>
      <w:r w:rsidR="00FB1BA4" w:rsidRPr="00394FA8">
        <w:rPr>
          <w:rFonts w:ascii="Arial" w:hAnsi="Arial" w:cs="Arial"/>
        </w:rPr>
        <w:t xml:space="preserve"> </w:t>
      </w:r>
      <w:r w:rsidR="00DA6B5D" w:rsidRPr="00394FA8">
        <w:rPr>
          <w:rFonts w:ascii="Arial" w:hAnsi="Arial" w:cs="Arial"/>
        </w:rPr>
        <w:t xml:space="preserve">No rent has been paid to the first respondent. </w:t>
      </w:r>
      <w:r w:rsidR="00FB1BA4" w:rsidRPr="00394FA8">
        <w:rPr>
          <w:rFonts w:ascii="Arial" w:hAnsi="Arial" w:cs="Arial"/>
        </w:rPr>
        <w:t xml:space="preserve">He </w:t>
      </w:r>
      <w:r w:rsidR="00DA6B5D" w:rsidRPr="00394FA8">
        <w:rPr>
          <w:rFonts w:ascii="Arial" w:hAnsi="Arial" w:cs="Arial"/>
        </w:rPr>
        <w:t xml:space="preserve">and his wife are in </w:t>
      </w:r>
      <w:r w:rsidR="00FB1BA4" w:rsidRPr="00394FA8">
        <w:rPr>
          <w:rFonts w:ascii="Arial" w:hAnsi="Arial" w:cs="Arial"/>
        </w:rPr>
        <w:t>unlawful occup</w:t>
      </w:r>
      <w:r w:rsidR="00DA6B5D" w:rsidRPr="00394FA8">
        <w:rPr>
          <w:rFonts w:ascii="Arial" w:hAnsi="Arial" w:cs="Arial"/>
        </w:rPr>
        <w:t>ation of the property.</w:t>
      </w:r>
    </w:p>
    <w:p w14:paraId="3153C896" w14:textId="28C2A815" w:rsidR="00B71FE2" w:rsidRPr="00394FA8" w:rsidRDefault="00394FA8" w:rsidP="00394FA8">
      <w:pPr>
        <w:spacing w:after="480" w:line="360" w:lineRule="auto"/>
        <w:ind w:left="720" w:hanging="720"/>
        <w:jc w:val="both"/>
        <w:rPr>
          <w:rFonts w:ascii="Arial" w:hAnsi="Arial" w:cs="Arial"/>
        </w:rPr>
      </w:pPr>
      <w:r>
        <w:rPr>
          <w:rFonts w:ascii="Arial" w:hAnsi="Arial" w:cs="Arial"/>
        </w:rPr>
        <w:t>[60]</w:t>
      </w:r>
      <w:r>
        <w:rPr>
          <w:rFonts w:ascii="Arial" w:hAnsi="Arial" w:cs="Arial"/>
        </w:rPr>
        <w:tab/>
      </w:r>
      <w:r w:rsidR="00B71FE2" w:rsidRPr="00394FA8">
        <w:rPr>
          <w:rFonts w:ascii="Arial" w:hAnsi="Arial" w:cs="Arial"/>
        </w:rPr>
        <w:t xml:space="preserve">We are </w:t>
      </w:r>
      <w:r w:rsidR="00DA6B5D" w:rsidRPr="00394FA8">
        <w:rPr>
          <w:rFonts w:ascii="Arial" w:hAnsi="Arial" w:cs="Arial"/>
        </w:rPr>
        <w:t>of the view that t</w:t>
      </w:r>
      <w:r w:rsidR="008A102F" w:rsidRPr="00394FA8">
        <w:rPr>
          <w:rFonts w:ascii="Arial" w:hAnsi="Arial" w:cs="Arial"/>
        </w:rPr>
        <w:t xml:space="preserve">he </w:t>
      </w:r>
      <w:r w:rsidR="00E70DD6" w:rsidRPr="00394FA8">
        <w:rPr>
          <w:rFonts w:ascii="Arial" w:hAnsi="Arial" w:cs="Arial"/>
        </w:rPr>
        <w:t>c</w:t>
      </w:r>
      <w:r w:rsidR="00101700" w:rsidRPr="00394FA8">
        <w:rPr>
          <w:rFonts w:ascii="Arial" w:hAnsi="Arial" w:cs="Arial"/>
        </w:rPr>
        <w:t xml:space="preserve">ourt </w:t>
      </w:r>
      <w:r w:rsidR="00101700" w:rsidRPr="00394FA8">
        <w:rPr>
          <w:rFonts w:ascii="Arial" w:hAnsi="Arial" w:cs="Arial"/>
          <w:i/>
          <w:iCs/>
        </w:rPr>
        <w:t>a quo</w:t>
      </w:r>
      <w:r w:rsidR="00EC706E" w:rsidRPr="00394FA8">
        <w:rPr>
          <w:rFonts w:ascii="Arial" w:hAnsi="Arial" w:cs="Arial"/>
        </w:rPr>
        <w:t xml:space="preserve"> </w:t>
      </w:r>
      <w:r w:rsidR="008A102F" w:rsidRPr="00394FA8">
        <w:rPr>
          <w:rFonts w:ascii="Arial" w:hAnsi="Arial" w:cs="Arial"/>
        </w:rPr>
        <w:t xml:space="preserve">did not </w:t>
      </w:r>
      <w:r w:rsidR="00EC706E" w:rsidRPr="00394FA8">
        <w:rPr>
          <w:rFonts w:ascii="Arial" w:hAnsi="Arial" w:cs="Arial"/>
        </w:rPr>
        <w:t>err</w:t>
      </w:r>
      <w:r w:rsidR="008A102F" w:rsidRPr="00394FA8">
        <w:rPr>
          <w:rFonts w:ascii="Arial" w:hAnsi="Arial" w:cs="Arial"/>
        </w:rPr>
        <w:t>, and i</w:t>
      </w:r>
      <w:r w:rsidR="00EC706E" w:rsidRPr="00394FA8">
        <w:rPr>
          <w:rFonts w:ascii="Arial" w:hAnsi="Arial" w:cs="Arial"/>
        </w:rPr>
        <w:t>t</w:t>
      </w:r>
      <w:r w:rsidR="008A102F" w:rsidRPr="00394FA8">
        <w:rPr>
          <w:rFonts w:ascii="Arial" w:hAnsi="Arial" w:cs="Arial"/>
        </w:rPr>
        <w:t xml:space="preserve">s judgment cannot be </w:t>
      </w:r>
      <w:r w:rsidR="00EC706E" w:rsidRPr="00394FA8">
        <w:rPr>
          <w:rFonts w:ascii="Arial" w:hAnsi="Arial" w:cs="Arial"/>
        </w:rPr>
        <w:t>assailed</w:t>
      </w:r>
      <w:r w:rsidR="008A102F" w:rsidRPr="00394FA8">
        <w:rPr>
          <w:rFonts w:ascii="Arial" w:hAnsi="Arial" w:cs="Arial"/>
        </w:rPr>
        <w:t xml:space="preserve">. </w:t>
      </w:r>
      <w:r w:rsidR="00DA6B5D" w:rsidRPr="00394FA8">
        <w:rPr>
          <w:rFonts w:ascii="Arial" w:hAnsi="Arial" w:cs="Arial"/>
        </w:rPr>
        <w:t>We will therefore dismiss the appeal.</w:t>
      </w:r>
      <w:r w:rsidR="00CD5798" w:rsidRPr="00394FA8">
        <w:rPr>
          <w:rFonts w:ascii="Arial" w:hAnsi="Arial" w:cs="Arial"/>
        </w:rPr>
        <w:t xml:space="preserve"> Since the first respondent did not participate in the appeal, there will be no costs order in respect of the appeal.</w:t>
      </w:r>
    </w:p>
    <w:p w14:paraId="23DF8D2D" w14:textId="16AB2988" w:rsidR="00E01981" w:rsidRPr="00394FA8" w:rsidRDefault="00394FA8" w:rsidP="00394FA8">
      <w:pPr>
        <w:spacing w:after="480" w:line="360" w:lineRule="auto"/>
        <w:ind w:left="720" w:hanging="720"/>
        <w:jc w:val="both"/>
        <w:rPr>
          <w:rFonts w:ascii="Arial" w:hAnsi="Arial" w:cs="Arial"/>
        </w:rPr>
      </w:pPr>
      <w:r>
        <w:rPr>
          <w:rFonts w:ascii="Arial" w:hAnsi="Arial" w:cs="Arial"/>
        </w:rPr>
        <w:t>[61]</w:t>
      </w:r>
      <w:r>
        <w:rPr>
          <w:rFonts w:ascii="Arial" w:hAnsi="Arial" w:cs="Arial"/>
        </w:rPr>
        <w:tab/>
      </w:r>
      <w:r w:rsidR="00B71FE2" w:rsidRPr="00394FA8">
        <w:rPr>
          <w:rFonts w:ascii="Arial" w:hAnsi="Arial" w:cs="Arial"/>
        </w:rPr>
        <w:t xml:space="preserve">There is one further aspect which we deem advisable to address. This pertains to the vacation of the property by the appellant and Ms Acinah. In order for there to be no ambiguity regarding this aspect, and because the appellant and his wife have been in unlawful occupation of the property for a very long period of time, have been living </w:t>
      </w:r>
      <w:r w:rsidR="000716AA" w:rsidRPr="00394FA8">
        <w:rPr>
          <w:rFonts w:ascii="Arial" w:hAnsi="Arial" w:cs="Arial"/>
        </w:rPr>
        <w:t xml:space="preserve">there </w:t>
      </w:r>
      <w:r w:rsidR="00B71FE2" w:rsidRPr="00394FA8">
        <w:rPr>
          <w:rFonts w:ascii="Arial" w:hAnsi="Arial" w:cs="Arial"/>
        </w:rPr>
        <w:t>rent free</w:t>
      </w:r>
      <w:r w:rsidR="00E01981" w:rsidRPr="00394FA8">
        <w:rPr>
          <w:rFonts w:ascii="Arial" w:hAnsi="Arial" w:cs="Arial"/>
        </w:rPr>
        <w:t xml:space="preserve"> and have been given more than ample time to vacate the property we will make an order which co</w:t>
      </w:r>
      <w:r w:rsidR="00D120FC" w:rsidRPr="00394FA8">
        <w:rPr>
          <w:rFonts w:ascii="Arial" w:hAnsi="Arial" w:cs="Arial"/>
        </w:rPr>
        <w:t>nfirms that they are to</w:t>
      </w:r>
      <w:r w:rsidR="00E01981" w:rsidRPr="00394FA8">
        <w:rPr>
          <w:rFonts w:ascii="Arial" w:hAnsi="Arial" w:cs="Arial"/>
        </w:rPr>
        <w:t xml:space="preserve"> vacate same</w:t>
      </w:r>
      <w:r w:rsidR="00D120FC" w:rsidRPr="00394FA8">
        <w:rPr>
          <w:rFonts w:ascii="Arial" w:hAnsi="Arial" w:cs="Arial"/>
        </w:rPr>
        <w:t xml:space="preserve"> </w:t>
      </w:r>
      <w:r w:rsidR="00591C3A" w:rsidRPr="00394FA8">
        <w:rPr>
          <w:rFonts w:ascii="Arial" w:hAnsi="Arial" w:cs="Arial"/>
        </w:rPr>
        <w:t xml:space="preserve">by 30 April 2022, </w:t>
      </w:r>
      <w:r w:rsidR="00E01981" w:rsidRPr="00394FA8">
        <w:rPr>
          <w:rFonts w:ascii="Arial" w:hAnsi="Arial" w:cs="Arial"/>
        </w:rPr>
        <w:t>and that the Sheriff be ordered to evict them in the</w:t>
      </w:r>
      <w:r w:rsidR="000716AA" w:rsidRPr="00394FA8">
        <w:rPr>
          <w:rFonts w:ascii="Arial" w:hAnsi="Arial" w:cs="Arial"/>
        </w:rPr>
        <w:t xml:space="preserve"> event that they </w:t>
      </w:r>
      <w:r w:rsidR="00E01981" w:rsidRPr="00394FA8">
        <w:rPr>
          <w:rFonts w:ascii="Arial" w:hAnsi="Arial" w:cs="Arial"/>
        </w:rPr>
        <w:t xml:space="preserve">do not do so. </w:t>
      </w:r>
    </w:p>
    <w:p w14:paraId="4D9C83A1" w14:textId="153E3301" w:rsidR="00E01981" w:rsidRPr="00394FA8" w:rsidRDefault="00394FA8" w:rsidP="00394FA8">
      <w:pPr>
        <w:spacing w:after="480" w:line="360" w:lineRule="auto"/>
        <w:ind w:left="720" w:hanging="720"/>
        <w:jc w:val="both"/>
        <w:rPr>
          <w:rFonts w:ascii="Arial" w:hAnsi="Arial" w:cs="Arial"/>
        </w:rPr>
      </w:pPr>
      <w:r>
        <w:rPr>
          <w:rFonts w:ascii="Arial" w:hAnsi="Arial" w:cs="Arial"/>
        </w:rPr>
        <w:t>[62]</w:t>
      </w:r>
      <w:r>
        <w:rPr>
          <w:rFonts w:ascii="Arial" w:hAnsi="Arial" w:cs="Arial"/>
        </w:rPr>
        <w:tab/>
      </w:r>
      <w:r w:rsidR="00E01981" w:rsidRPr="00394FA8">
        <w:rPr>
          <w:rFonts w:ascii="Arial" w:hAnsi="Arial" w:cs="Arial"/>
        </w:rPr>
        <w:t>We accordingly make the following orders:</w:t>
      </w:r>
    </w:p>
    <w:p w14:paraId="3D25AB1E" w14:textId="47184835" w:rsidR="00E01981" w:rsidRDefault="00E01981" w:rsidP="00E01981">
      <w:pPr>
        <w:pStyle w:val="ListParagraph"/>
        <w:spacing w:after="480" w:line="360" w:lineRule="auto"/>
        <w:contextualSpacing w:val="0"/>
        <w:jc w:val="both"/>
        <w:rPr>
          <w:rFonts w:ascii="Arial" w:hAnsi="Arial" w:cs="Arial"/>
        </w:rPr>
      </w:pPr>
      <w:r>
        <w:rPr>
          <w:rFonts w:ascii="Arial" w:hAnsi="Arial" w:cs="Arial"/>
        </w:rPr>
        <w:t>[6</w:t>
      </w:r>
      <w:r w:rsidR="00591C3A">
        <w:rPr>
          <w:rFonts w:ascii="Arial" w:hAnsi="Arial" w:cs="Arial"/>
        </w:rPr>
        <w:t>2</w:t>
      </w:r>
      <w:r>
        <w:rPr>
          <w:rFonts w:ascii="Arial" w:hAnsi="Arial" w:cs="Arial"/>
        </w:rPr>
        <w:t>.1]</w:t>
      </w:r>
      <w:r>
        <w:rPr>
          <w:rFonts w:ascii="Arial" w:hAnsi="Arial" w:cs="Arial"/>
        </w:rPr>
        <w:tab/>
        <w:t xml:space="preserve">The appeal is dismissed. </w:t>
      </w:r>
    </w:p>
    <w:p w14:paraId="245C695F" w14:textId="012EF7EB" w:rsidR="00C16223" w:rsidRDefault="006633DF" w:rsidP="00C16223">
      <w:pPr>
        <w:pStyle w:val="ListParagraph"/>
        <w:spacing w:after="480" w:line="360" w:lineRule="auto"/>
        <w:ind w:left="1440" w:hanging="720"/>
        <w:contextualSpacing w:val="0"/>
        <w:jc w:val="both"/>
        <w:rPr>
          <w:rFonts w:ascii="Arial" w:hAnsi="Arial" w:cs="Arial"/>
        </w:rPr>
      </w:pPr>
      <w:r>
        <w:rPr>
          <w:rFonts w:ascii="Arial" w:hAnsi="Arial" w:cs="Arial"/>
        </w:rPr>
        <w:t xml:space="preserve"> </w:t>
      </w:r>
      <w:r w:rsidR="000716AA">
        <w:rPr>
          <w:rFonts w:ascii="Arial" w:hAnsi="Arial" w:cs="Arial"/>
        </w:rPr>
        <w:t>[6</w:t>
      </w:r>
      <w:r w:rsidR="00591C3A">
        <w:rPr>
          <w:rFonts w:ascii="Arial" w:hAnsi="Arial" w:cs="Arial"/>
        </w:rPr>
        <w:t>2</w:t>
      </w:r>
      <w:r w:rsidR="000716AA">
        <w:rPr>
          <w:rFonts w:ascii="Arial" w:hAnsi="Arial" w:cs="Arial"/>
        </w:rPr>
        <w:t>.</w:t>
      </w:r>
      <w:r>
        <w:rPr>
          <w:rFonts w:ascii="Arial" w:hAnsi="Arial" w:cs="Arial"/>
        </w:rPr>
        <w:t>2</w:t>
      </w:r>
      <w:r w:rsidR="000716AA">
        <w:rPr>
          <w:rFonts w:ascii="Arial" w:hAnsi="Arial" w:cs="Arial"/>
        </w:rPr>
        <w:t>]</w:t>
      </w:r>
      <w:r w:rsidR="000716AA">
        <w:rPr>
          <w:rFonts w:ascii="Arial" w:hAnsi="Arial" w:cs="Arial"/>
        </w:rPr>
        <w:tab/>
        <w:t xml:space="preserve">Sam Sithole, </w:t>
      </w:r>
      <w:r w:rsidR="000716AA" w:rsidRPr="001A49E4">
        <w:rPr>
          <w:rFonts w:ascii="Arial" w:hAnsi="Arial" w:cs="Arial"/>
        </w:rPr>
        <w:t>Monotsi Acinah</w:t>
      </w:r>
      <w:r w:rsidR="000716AA">
        <w:rPr>
          <w:rFonts w:ascii="Arial" w:hAnsi="Arial" w:cs="Arial"/>
        </w:rPr>
        <w:t xml:space="preserve"> and all </w:t>
      </w:r>
      <w:r w:rsidR="00C16223">
        <w:rPr>
          <w:rFonts w:ascii="Arial" w:hAnsi="Arial" w:cs="Arial"/>
        </w:rPr>
        <w:t xml:space="preserve">persons </w:t>
      </w:r>
      <w:r w:rsidR="00C16223" w:rsidRPr="00B73772">
        <w:rPr>
          <w:rFonts w:ascii="Arial" w:hAnsi="Arial" w:cs="Arial"/>
        </w:rPr>
        <w:t xml:space="preserve">occupying through them, </w:t>
      </w:r>
      <w:r w:rsidR="00C16223">
        <w:rPr>
          <w:rFonts w:ascii="Arial" w:hAnsi="Arial" w:cs="Arial"/>
        </w:rPr>
        <w:t xml:space="preserve">are to vacate the property </w:t>
      </w:r>
      <w:r w:rsidR="00C16223" w:rsidRPr="00876CA5">
        <w:rPr>
          <w:rFonts w:ascii="Arial" w:hAnsi="Arial" w:cs="Arial"/>
        </w:rPr>
        <w:t xml:space="preserve">Erf </w:t>
      </w:r>
      <w:r w:rsidR="00C16223">
        <w:rPr>
          <w:rFonts w:ascii="Arial" w:hAnsi="Arial" w:cs="Arial"/>
        </w:rPr>
        <w:t>9103</w:t>
      </w:r>
      <w:r w:rsidR="00C16223" w:rsidRPr="00876CA5">
        <w:rPr>
          <w:rFonts w:ascii="Arial" w:hAnsi="Arial" w:cs="Arial"/>
        </w:rPr>
        <w:t xml:space="preserve"> Bophelong Extension 15</w:t>
      </w:r>
      <w:r w:rsidR="007F32F5">
        <w:rPr>
          <w:rFonts w:ascii="Arial" w:hAnsi="Arial" w:cs="Arial"/>
        </w:rPr>
        <w:t xml:space="preserve"> by 30</w:t>
      </w:r>
      <w:r w:rsidR="00C16223">
        <w:rPr>
          <w:rFonts w:ascii="Arial" w:hAnsi="Arial" w:cs="Arial"/>
        </w:rPr>
        <w:t xml:space="preserve"> </w:t>
      </w:r>
      <w:r w:rsidR="007F32F5">
        <w:rPr>
          <w:rFonts w:ascii="Arial" w:hAnsi="Arial" w:cs="Arial"/>
        </w:rPr>
        <w:t>April</w:t>
      </w:r>
      <w:r w:rsidR="00C16223">
        <w:rPr>
          <w:rFonts w:ascii="Arial" w:hAnsi="Arial" w:cs="Arial"/>
        </w:rPr>
        <w:t xml:space="preserve"> 2022.</w:t>
      </w:r>
    </w:p>
    <w:p w14:paraId="1774EA1A" w14:textId="35020C2A" w:rsidR="00767E49" w:rsidRDefault="00C16223" w:rsidP="00C16223">
      <w:pPr>
        <w:pStyle w:val="ListParagraph"/>
        <w:spacing w:after="480" w:line="360" w:lineRule="auto"/>
        <w:ind w:left="1440" w:hanging="720"/>
        <w:contextualSpacing w:val="0"/>
        <w:jc w:val="both"/>
        <w:rPr>
          <w:rFonts w:ascii="Arial" w:hAnsi="Arial" w:cs="Arial"/>
        </w:rPr>
      </w:pPr>
      <w:r>
        <w:rPr>
          <w:rFonts w:ascii="Arial" w:hAnsi="Arial" w:cs="Arial"/>
        </w:rPr>
        <w:t>[6</w:t>
      </w:r>
      <w:r w:rsidR="00591C3A">
        <w:rPr>
          <w:rFonts w:ascii="Arial" w:hAnsi="Arial" w:cs="Arial"/>
        </w:rPr>
        <w:t>2</w:t>
      </w:r>
      <w:r>
        <w:rPr>
          <w:rFonts w:ascii="Arial" w:hAnsi="Arial" w:cs="Arial"/>
        </w:rPr>
        <w:t>.</w:t>
      </w:r>
      <w:r w:rsidR="00591C3A">
        <w:rPr>
          <w:rFonts w:ascii="Arial" w:hAnsi="Arial" w:cs="Arial"/>
        </w:rPr>
        <w:t>3</w:t>
      </w:r>
      <w:r>
        <w:rPr>
          <w:rFonts w:ascii="Arial" w:hAnsi="Arial" w:cs="Arial"/>
        </w:rPr>
        <w:t>]</w:t>
      </w:r>
      <w:r>
        <w:rPr>
          <w:rFonts w:ascii="Arial" w:hAnsi="Arial" w:cs="Arial"/>
        </w:rPr>
        <w:tab/>
        <w:t>In the event of the persons referred to in 6</w:t>
      </w:r>
      <w:r w:rsidR="00591C3A">
        <w:rPr>
          <w:rFonts w:ascii="Arial" w:hAnsi="Arial" w:cs="Arial"/>
        </w:rPr>
        <w:t>2</w:t>
      </w:r>
      <w:r>
        <w:rPr>
          <w:rFonts w:ascii="Arial" w:hAnsi="Arial" w:cs="Arial"/>
        </w:rPr>
        <w:t>.</w:t>
      </w:r>
      <w:r w:rsidR="00591C3A">
        <w:rPr>
          <w:rFonts w:ascii="Arial" w:hAnsi="Arial" w:cs="Arial"/>
        </w:rPr>
        <w:t>2</w:t>
      </w:r>
      <w:r>
        <w:rPr>
          <w:rFonts w:ascii="Arial" w:hAnsi="Arial" w:cs="Arial"/>
        </w:rPr>
        <w:t xml:space="preserve"> above do not vacate </w:t>
      </w:r>
      <w:r w:rsidR="00767E49" w:rsidRPr="00876CA5">
        <w:rPr>
          <w:rFonts w:ascii="Arial" w:hAnsi="Arial" w:cs="Arial"/>
        </w:rPr>
        <w:t xml:space="preserve">Erf </w:t>
      </w:r>
      <w:r w:rsidR="00767E49">
        <w:rPr>
          <w:rFonts w:ascii="Arial" w:hAnsi="Arial" w:cs="Arial"/>
        </w:rPr>
        <w:t>9103</w:t>
      </w:r>
      <w:r w:rsidR="00767E49" w:rsidRPr="00876CA5">
        <w:rPr>
          <w:rFonts w:ascii="Arial" w:hAnsi="Arial" w:cs="Arial"/>
        </w:rPr>
        <w:t xml:space="preserve"> Bophelong Extension 15</w:t>
      </w:r>
      <w:r w:rsidR="00767E49">
        <w:rPr>
          <w:rFonts w:ascii="Arial" w:hAnsi="Arial" w:cs="Arial"/>
        </w:rPr>
        <w:t xml:space="preserve"> </w:t>
      </w:r>
      <w:r w:rsidR="007565D1">
        <w:rPr>
          <w:rFonts w:ascii="Arial" w:hAnsi="Arial" w:cs="Arial"/>
        </w:rPr>
        <w:t>by 30 April</w:t>
      </w:r>
      <w:r>
        <w:rPr>
          <w:rFonts w:ascii="Arial" w:hAnsi="Arial" w:cs="Arial"/>
        </w:rPr>
        <w:t xml:space="preserve"> 2022</w:t>
      </w:r>
      <w:r w:rsidR="00767E49">
        <w:rPr>
          <w:rFonts w:ascii="Arial" w:hAnsi="Arial" w:cs="Arial"/>
        </w:rPr>
        <w:t>, the Sheriff of the court is ordered and authorised to immediately evict the said persons from the property.</w:t>
      </w:r>
    </w:p>
    <w:p w14:paraId="4748FB6A" w14:textId="2ACFA337" w:rsidR="00DB4007" w:rsidRDefault="00DB4007" w:rsidP="00DB4007">
      <w:pPr>
        <w:pStyle w:val="ListParagraph"/>
        <w:rPr>
          <w:rFonts w:ascii="Arial" w:hAnsi="Arial" w:cs="Arial"/>
        </w:rPr>
      </w:pPr>
    </w:p>
    <w:p w14:paraId="7AB54CB8" w14:textId="184D2396" w:rsidR="00591C3A" w:rsidRDefault="00591C3A" w:rsidP="00DB4007">
      <w:pPr>
        <w:pStyle w:val="ListParagraph"/>
        <w:rPr>
          <w:rFonts w:ascii="Arial" w:hAnsi="Arial" w:cs="Arial"/>
        </w:rPr>
      </w:pPr>
    </w:p>
    <w:p w14:paraId="625AE4F7" w14:textId="77777777" w:rsidR="00591C3A" w:rsidRDefault="00591C3A" w:rsidP="00DB4007">
      <w:pPr>
        <w:pStyle w:val="ListParagraph"/>
        <w:rPr>
          <w:rFonts w:ascii="Arial" w:hAnsi="Arial" w:cs="Arial"/>
        </w:rPr>
      </w:pPr>
    </w:p>
    <w:p w14:paraId="031925B2" w14:textId="3870D285" w:rsidR="00EC706E" w:rsidRPr="00876CA5" w:rsidRDefault="003E006A" w:rsidP="00D62841">
      <w:pPr>
        <w:spacing w:after="0" w:line="360" w:lineRule="auto"/>
        <w:jc w:val="center"/>
        <w:rPr>
          <w:rFonts w:ascii="Arial" w:hAnsi="Arial" w:cs="Arial"/>
          <w:u w:val="single"/>
        </w:rPr>
      </w:pPr>
      <w:r w:rsidRPr="00876CA5">
        <w:rPr>
          <w:rFonts w:ascii="Arial" w:hAnsi="Arial" w:cs="Arial"/>
        </w:rPr>
        <w:t xml:space="preserve">                                                            </w:t>
      </w:r>
      <w:r w:rsidR="00F27DD3" w:rsidRPr="00876CA5">
        <w:rPr>
          <w:rFonts w:ascii="Arial" w:hAnsi="Arial" w:cs="Arial"/>
        </w:rPr>
        <w:t xml:space="preserve">                   </w:t>
      </w:r>
      <w:r w:rsidR="00EC706E" w:rsidRPr="00876CA5">
        <w:rPr>
          <w:rFonts w:ascii="Arial" w:hAnsi="Arial" w:cs="Arial"/>
        </w:rPr>
        <w:t>____________________</w:t>
      </w:r>
      <w:r w:rsidRPr="00876CA5">
        <w:rPr>
          <w:rFonts w:ascii="Arial" w:hAnsi="Arial" w:cs="Arial"/>
        </w:rPr>
        <w:t>_</w:t>
      </w:r>
    </w:p>
    <w:p w14:paraId="450DFC3A" w14:textId="5DFC2BED" w:rsidR="00EC706E" w:rsidRPr="00876CA5" w:rsidRDefault="00B233CE" w:rsidP="00D62841">
      <w:pPr>
        <w:spacing w:after="0" w:line="360" w:lineRule="auto"/>
        <w:jc w:val="center"/>
        <w:rPr>
          <w:rFonts w:ascii="Arial" w:hAnsi="Arial" w:cs="Arial"/>
        </w:rPr>
      </w:pPr>
      <w:r w:rsidRPr="00876CA5">
        <w:rPr>
          <w:rFonts w:ascii="Arial" w:hAnsi="Arial" w:cs="Arial"/>
        </w:rPr>
        <w:t xml:space="preserve">                                                       </w:t>
      </w:r>
      <w:r w:rsidR="00F27DD3" w:rsidRPr="00876CA5">
        <w:rPr>
          <w:rFonts w:ascii="Arial" w:hAnsi="Arial" w:cs="Arial"/>
        </w:rPr>
        <w:t xml:space="preserve">                    </w:t>
      </w:r>
      <w:r w:rsidR="003E006A" w:rsidRPr="00876CA5">
        <w:rPr>
          <w:rFonts w:ascii="Arial" w:hAnsi="Arial" w:cs="Arial"/>
        </w:rPr>
        <w:t xml:space="preserve"> </w:t>
      </w:r>
      <w:r w:rsidR="00F27DD3" w:rsidRPr="00876CA5">
        <w:rPr>
          <w:rFonts w:ascii="Arial" w:hAnsi="Arial" w:cs="Arial"/>
        </w:rPr>
        <w:t xml:space="preserve"> </w:t>
      </w:r>
      <w:r w:rsidR="003E006A" w:rsidRPr="00876CA5">
        <w:rPr>
          <w:rFonts w:ascii="Arial" w:hAnsi="Arial" w:cs="Arial"/>
        </w:rPr>
        <w:t xml:space="preserve"> MMP</w:t>
      </w:r>
      <w:r w:rsidRPr="00876CA5">
        <w:rPr>
          <w:rFonts w:ascii="Arial" w:hAnsi="Arial" w:cs="Arial"/>
        </w:rPr>
        <w:t xml:space="preserve"> </w:t>
      </w:r>
      <w:r w:rsidR="00101700" w:rsidRPr="00876CA5">
        <w:rPr>
          <w:rFonts w:ascii="Arial" w:hAnsi="Arial" w:cs="Arial"/>
        </w:rPr>
        <w:t>Mdalana-</w:t>
      </w:r>
      <w:r w:rsidR="00CB363F">
        <w:rPr>
          <w:rFonts w:ascii="Arial" w:hAnsi="Arial" w:cs="Arial"/>
        </w:rPr>
        <w:t>M</w:t>
      </w:r>
      <w:r w:rsidR="007A7064">
        <w:rPr>
          <w:rFonts w:ascii="Arial" w:hAnsi="Arial" w:cs="Arial"/>
        </w:rPr>
        <w:t>ayise</w:t>
      </w:r>
      <w:r w:rsidR="00EC706E" w:rsidRPr="00876CA5">
        <w:rPr>
          <w:rFonts w:ascii="Arial" w:hAnsi="Arial" w:cs="Arial"/>
        </w:rPr>
        <w:t xml:space="preserve">la J </w:t>
      </w:r>
    </w:p>
    <w:p w14:paraId="0054BB35" w14:textId="0FC43365" w:rsidR="00B233CE" w:rsidRPr="00876CA5" w:rsidRDefault="00B233CE" w:rsidP="00D62841">
      <w:pPr>
        <w:spacing w:after="0" w:line="360" w:lineRule="auto"/>
        <w:jc w:val="center"/>
        <w:rPr>
          <w:rFonts w:ascii="Arial" w:hAnsi="Arial" w:cs="Arial"/>
        </w:rPr>
      </w:pPr>
      <w:r w:rsidRPr="00876CA5">
        <w:rPr>
          <w:rFonts w:ascii="Arial" w:hAnsi="Arial" w:cs="Arial"/>
        </w:rPr>
        <w:t xml:space="preserve">                                                         </w:t>
      </w:r>
      <w:r w:rsidR="00F27DD3" w:rsidRPr="00876CA5">
        <w:rPr>
          <w:rFonts w:ascii="Arial" w:hAnsi="Arial" w:cs="Arial"/>
        </w:rPr>
        <w:t xml:space="preserve">                 </w:t>
      </w:r>
      <w:r w:rsidRPr="00876CA5">
        <w:rPr>
          <w:rFonts w:ascii="Arial" w:hAnsi="Arial" w:cs="Arial"/>
        </w:rPr>
        <w:t xml:space="preserve">Judge of the High Court             </w:t>
      </w:r>
    </w:p>
    <w:p w14:paraId="601E3D18" w14:textId="13F90CFB" w:rsidR="00EC706E" w:rsidRPr="00876CA5" w:rsidRDefault="00B233CE" w:rsidP="00D62841">
      <w:pPr>
        <w:spacing w:after="0" w:line="360" w:lineRule="auto"/>
        <w:jc w:val="center"/>
        <w:rPr>
          <w:rFonts w:ascii="Arial" w:hAnsi="Arial" w:cs="Arial"/>
        </w:rPr>
      </w:pPr>
      <w:r w:rsidRPr="00876CA5">
        <w:rPr>
          <w:rFonts w:ascii="Arial" w:hAnsi="Arial" w:cs="Arial"/>
        </w:rPr>
        <w:t xml:space="preserve">                                               </w:t>
      </w:r>
      <w:r w:rsidR="00F27DD3" w:rsidRPr="00876CA5">
        <w:rPr>
          <w:rFonts w:ascii="Arial" w:hAnsi="Arial" w:cs="Arial"/>
        </w:rPr>
        <w:t xml:space="preserve">                </w:t>
      </w:r>
      <w:r w:rsidRPr="00876CA5">
        <w:rPr>
          <w:rFonts w:ascii="Arial" w:hAnsi="Arial" w:cs="Arial"/>
        </w:rPr>
        <w:t xml:space="preserve"> Gauteng Division</w:t>
      </w:r>
    </w:p>
    <w:p w14:paraId="0EFF3491" w14:textId="77777777" w:rsidR="003C127B" w:rsidRDefault="003C127B" w:rsidP="003C127B">
      <w:pPr>
        <w:spacing w:after="0" w:line="360" w:lineRule="auto"/>
        <w:rPr>
          <w:rFonts w:ascii="Arial" w:hAnsi="Arial" w:cs="Arial"/>
        </w:rPr>
      </w:pPr>
    </w:p>
    <w:p w14:paraId="08E7C4F4" w14:textId="5E2D6817" w:rsidR="00F27DD3" w:rsidRPr="00876CA5" w:rsidRDefault="003C127B" w:rsidP="003C127B">
      <w:pPr>
        <w:spacing w:after="0" w:line="360" w:lineRule="auto"/>
        <w:rPr>
          <w:rFonts w:ascii="Arial" w:hAnsi="Arial" w:cs="Arial"/>
        </w:rPr>
      </w:pPr>
      <w:r>
        <w:rPr>
          <w:rFonts w:ascii="Arial" w:hAnsi="Arial" w:cs="Arial"/>
        </w:rPr>
        <w:t>I agree</w:t>
      </w:r>
      <w:r w:rsidR="00F27DD3" w:rsidRPr="00876CA5">
        <w:rPr>
          <w:rFonts w:ascii="Arial" w:hAnsi="Arial" w:cs="Arial"/>
        </w:rPr>
        <w:t xml:space="preserve">                                                                               </w:t>
      </w:r>
    </w:p>
    <w:p w14:paraId="4D587A28" w14:textId="4C62D76D" w:rsidR="00F27DD3" w:rsidRPr="00876CA5" w:rsidRDefault="00F27DD3" w:rsidP="00D62841">
      <w:pPr>
        <w:spacing w:after="0" w:line="360" w:lineRule="auto"/>
        <w:jc w:val="center"/>
        <w:rPr>
          <w:rFonts w:ascii="Arial" w:hAnsi="Arial" w:cs="Arial"/>
        </w:rPr>
      </w:pPr>
      <w:r w:rsidRPr="00876CA5">
        <w:rPr>
          <w:rFonts w:ascii="Arial" w:hAnsi="Arial" w:cs="Arial"/>
        </w:rPr>
        <w:t xml:space="preserve">                                                                                 </w:t>
      </w:r>
    </w:p>
    <w:p w14:paraId="44F72708" w14:textId="276401B5" w:rsidR="00EC706E" w:rsidRPr="00876CA5" w:rsidRDefault="00F27DD3" w:rsidP="00D62841">
      <w:pPr>
        <w:spacing w:after="0" w:line="360" w:lineRule="auto"/>
        <w:jc w:val="center"/>
        <w:rPr>
          <w:rFonts w:ascii="Arial" w:hAnsi="Arial" w:cs="Arial"/>
        </w:rPr>
      </w:pPr>
      <w:r w:rsidRPr="00876CA5">
        <w:rPr>
          <w:rFonts w:ascii="Arial" w:hAnsi="Arial" w:cs="Arial"/>
        </w:rPr>
        <w:t xml:space="preserve">                                                                                   </w:t>
      </w:r>
      <w:r w:rsidR="00EC706E" w:rsidRPr="00876CA5">
        <w:rPr>
          <w:rFonts w:ascii="Arial" w:hAnsi="Arial" w:cs="Arial"/>
        </w:rPr>
        <w:t>____________</w:t>
      </w:r>
      <w:r w:rsidRPr="00876CA5">
        <w:rPr>
          <w:rFonts w:ascii="Arial" w:hAnsi="Arial" w:cs="Arial"/>
        </w:rPr>
        <w:t>___________</w:t>
      </w:r>
    </w:p>
    <w:p w14:paraId="00483F9B" w14:textId="351F6E6B" w:rsidR="00EC706E" w:rsidRPr="00876CA5" w:rsidRDefault="00BF71BD" w:rsidP="00767E49">
      <w:pPr>
        <w:spacing w:after="0" w:line="360" w:lineRule="auto"/>
        <w:ind w:firstLine="720"/>
        <w:rPr>
          <w:rFonts w:ascii="Arial" w:hAnsi="Arial" w:cs="Arial"/>
        </w:rPr>
      </w:pPr>
      <w:r w:rsidRPr="00876CA5">
        <w:rPr>
          <w:rFonts w:ascii="Arial" w:hAnsi="Arial" w:cs="Arial"/>
        </w:rPr>
        <w:t xml:space="preserve">                                                      </w:t>
      </w:r>
      <w:r w:rsidR="00F27DD3" w:rsidRPr="00876CA5">
        <w:rPr>
          <w:rFonts w:ascii="Arial" w:hAnsi="Arial" w:cs="Arial"/>
        </w:rPr>
        <w:t xml:space="preserve">                          </w:t>
      </w:r>
      <w:r w:rsidRPr="00876CA5">
        <w:rPr>
          <w:rFonts w:ascii="Arial" w:hAnsi="Arial" w:cs="Arial"/>
        </w:rPr>
        <w:t xml:space="preserve"> </w:t>
      </w:r>
      <w:r w:rsidR="00F27DD3" w:rsidRPr="00876CA5">
        <w:rPr>
          <w:rFonts w:ascii="Arial" w:hAnsi="Arial" w:cs="Arial"/>
        </w:rPr>
        <w:t>T Ossin</w:t>
      </w:r>
      <w:r w:rsidR="00EC706E" w:rsidRPr="00876CA5">
        <w:rPr>
          <w:rFonts w:ascii="Arial" w:hAnsi="Arial" w:cs="Arial"/>
        </w:rPr>
        <w:t xml:space="preserve"> </w:t>
      </w:r>
    </w:p>
    <w:p w14:paraId="2FA12554" w14:textId="185402BE" w:rsidR="00CF1468" w:rsidRPr="00876CA5" w:rsidRDefault="00BF71BD" w:rsidP="00D62841">
      <w:pPr>
        <w:spacing w:after="0" w:line="360" w:lineRule="auto"/>
        <w:jc w:val="center"/>
        <w:rPr>
          <w:rFonts w:ascii="Arial" w:hAnsi="Arial" w:cs="Arial"/>
        </w:rPr>
      </w:pPr>
      <w:r w:rsidRPr="00876CA5">
        <w:rPr>
          <w:rFonts w:ascii="Arial" w:hAnsi="Arial" w:cs="Arial"/>
        </w:rPr>
        <w:t xml:space="preserve">                                                           </w:t>
      </w:r>
      <w:r w:rsidR="00F27DD3" w:rsidRPr="00876CA5">
        <w:rPr>
          <w:rFonts w:ascii="Arial" w:hAnsi="Arial" w:cs="Arial"/>
        </w:rPr>
        <w:t xml:space="preserve">                           Acting </w:t>
      </w:r>
      <w:r w:rsidRPr="00876CA5">
        <w:rPr>
          <w:rFonts w:ascii="Arial" w:hAnsi="Arial" w:cs="Arial"/>
        </w:rPr>
        <w:t xml:space="preserve">Judge of the High Court </w:t>
      </w:r>
    </w:p>
    <w:p w14:paraId="333C6CD1" w14:textId="1F719DC3" w:rsidR="00CF1468" w:rsidRPr="00876CA5" w:rsidRDefault="00BF71BD" w:rsidP="00D62841">
      <w:pPr>
        <w:spacing w:after="0" w:line="360" w:lineRule="auto"/>
        <w:jc w:val="center"/>
        <w:rPr>
          <w:rFonts w:ascii="Arial" w:hAnsi="Arial" w:cs="Arial"/>
        </w:rPr>
      </w:pPr>
      <w:r w:rsidRPr="00876CA5">
        <w:rPr>
          <w:rFonts w:ascii="Arial" w:hAnsi="Arial" w:cs="Arial"/>
        </w:rPr>
        <w:t xml:space="preserve">                                                 </w:t>
      </w:r>
      <w:r w:rsidR="00F27DD3" w:rsidRPr="00876CA5">
        <w:rPr>
          <w:rFonts w:ascii="Arial" w:hAnsi="Arial" w:cs="Arial"/>
        </w:rPr>
        <w:t xml:space="preserve">               </w:t>
      </w:r>
      <w:r w:rsidRPr="00876CA5">
        <w:rPr>
          <w:rFonts w:ascii="Arial" w:hAnsi="Arial" w:cs="Arial"/>
        </w:rPr>
        <w:t>Gauteng Division</w:t>
      </w:r>
    </w:p>
    <w:p w14:paraId="0F2CC673" w14:textId="7E59C05C" w:rsidR="00CF1468" w:rsidRDefault="00CF1468" w:rsidP="00D62841">
      <w:pPr>
        <w:spacing w:after="0" w:line="360" w:lineRule="auto"/>
        <w:jc w:val="right"/>
        <w:rPr>
          <w:rFonts w:ascii="Arial" w:hAnsi="Arial" w:cs="Arial"/>
        </w:rPr>
      </w:pPr>
    </w:p>
    <w:p w14:paraId="54357A43" w14:textId="77777777" w:rsidR="00DF17BA" w:rsidRPr="00876CA5" w:rsidRDefault="00DF17BA" w:rsidP="00D62841">
      <w:pPr>
        <w:spacing w:after="0" w:line="360" w:lineRule="auto"/>
        <w:jc w:val="right"/>
        <w:rPr>
          <w:rFonts w:ascii="Arial" w:hAnsi="Arial" w:cs="Arial"/>
        </w:rPr>
      </w:pPr>
    </w:p>
    <w:p w14:paraId="3239F0B2" w14:textId="77777777" w:rsidR="002446CE" w:rsidRPr="00876CA5" w:rsidRDefault="002446CE" w:rsidP="00D62841">
      <w:pPr>
        <w:spacing w:after="0" w:line="360" w:lineRule="auto"/>
        <w:rPr>
          <w:rFonts w:ascii="Arial" w:hAnsi="Arial" w:cs="Arial"/>
          <w:b/>
        </w:rPr>
      </w:pPr>
      <w:r w:rsidRPr="00876CA5">
        <w:rPr>
          <w:rFonts w:ascii="Arial" w:hAnsi="Arial" w:cs="Arial"/>
        </w:rPr>
        <w:t>(</w:t>
      </w:r>
      <w:r w:rsidRPr="00876CA5">
        <w:rPr>
          <w:rFonts w:ascii="Arial" w:hAnsi="Arial" w:cs="Arial"/>
          <w:b/>
        </w:rPr>
        <w:t>Digitally submitted by uploading on Caselines and emailing to the parties)</w:t>
      </w:r>
    </w:p>
    <w:p w14:paraId="79BB998B" w14:textId="77777777" w:rsidR="00C57FAB" w:rsidRPr="00876CA5" w:rsidRDefault="00C57FAB" w:rsidP="00D62841">
      <w:pPr>
        <w:spacing w:after="0" w:line="360" w:lineRule="auto"/>
        <w:jc w:val="right"/>
        <w:rPr>
          <w:rFonts w:ascii="Arial" w:hAnsi="Arial" w:cs="Arial"/>
        </w:rPr>
      </w:pPr>
    </w:p>
    <w:p w14:paraId="2B50D764" w14:textId="060D0D0D" w:rsidR="00024B20" w:rsidRPr="00876CA5" w:rsidRDefault="00323D84" w:rsidP="00D62841">
      <w:pPr>
        <w:spacing w:after="0" w:line="360" w:lineRule="auto"/>
        <w:rPr>
          <w:rFonts w:ascii="Arial" w:hAnsi="Arial" w:cs="Arial"/>
        </w:rPr>
      </w:pPr>
      <w:r w:rsidRPr="00876CA5">
        <w:rPr>
          <w:rFonts w:ascii="Arial" w:hAnsi="Arial" w:cs="Arial"/>
        </w:rPr>
        <w:t xml:space="preserve">Date of delivery: </w:t>
      </w:r>
      <w:r w:rsidR="00767E49">
        <w:rPr>
          <w:rFonts w:ascii="Arial" w:hAnsi="Arial" w:cs="Arial"/>
        </w:rPr>
        <w:t>2</w:t>
      </w:r>
      <w:r w:rsidR="0054039F">
        <w:rPr>
          <w:rFonts w:ascii="Arial" w:hAnsi="Arial" w:cs="Arial"/>
        </w:rPr>
        <w:t>8</w:t>
      </w:r>
      <w:r w:rsidRPr="00876CA5">
        <w:rPr>
          <w:rFonts w:ascii="Arial" w:hAnsi="Arial" w:cs="Arial"/>
        </w:rPr>
        <w:t xml:space="preserve"> </w:t>
      </w:r>
      <w:r w:rsidR="00D869A5" w:rsidRPr="00876CA5">
        <w:rPr>
          <w:rFonts w:ascii="Arial" w:hAnsi="Arial" w:cs="Arial"/>
        </w:rPr>
        <w:t>March 2022</w:t>
      </w:r>
    </w:p>
    <w:p w14:paraId="2B4288AE" w14:textId="32824E4F" w:rsidR="00024B20" w:rsidRPr="00876CA5" w:rsidRDefault="00024B20" w:rsidP="00D62841">
      <w:pPr>
        <w:spacing w:after="0" w:line="360" w:lineRule="auto"/>
        <w:jc w:val="right"/>
        <w:rPr>
          <w:rFonts w:ascii="Arial" w:hAnsi="Arial" w:cs="Arial"/>
        </w:rPr>
      </w:pPr>
    </w:p>
    <w:p w14:paraId="4C02F109" w14:textId="4A8F83DC" w:rsidR="00024B20" w:rsidRPr="00876CA5" w:rsidRDefault="00024B20" w:rsidP="00D62841">
      <w:pPr>
        <w:spacing w:after="0" w:line="360" w:lineRule="auto"/>
        <w:rPr>
          <w:rFonts w:ascii="Arial" w:hAnsi="Arial" w:cs="Arial"/>
        </w:rPr>
      </w:pPr>
      <w:r w:rsidRPr="00876CA5">
        <w:rPr>
          <w:rFonts w:ascii="Arial" w:hAnsi="Arial" w:cs="Arial"/>
        </w:rPr>
        <w:t>Appearances:</w:t>
      </w:r>
    </w:p>
    <w:p w14:paraId="7EC26529" w14:textId="02AFD8B9" w:rsidR="00024B20" w:rsidRPr="00876CA5" w:rsidRDefault="00024B20" w:rsidP="00D62841">
      <w:pPr>
        <w:spacing w:after="0" w:line="360" w:lineRule="auto"/>
        <w:jc w:val="right"/>
        <w:rPr>
          <w:rFonts w:ascii="Arial" w:hAnsi="Arial" w:cs="Arial"/>
        </w:rPr>
      </w:pPr>
    </w:p>
    <w:p w14:paraId="2F19EA61" w14:textId="6CD7711B" w:rsidR="00024B20" w:rsidRPr="00876CA5" w:rsidRDefault="00024B20" w:rsidP="00D62841">
      <w:pPr>
        <w:spacing w:after="0" w:line="360" w:lineRule="auto"/>
        <w:rPr>
          <w:rFonts w:ascii="Arial" w:hAnsi="Arial" w:cs="Arial"/>
        </w:rPr>
      </w:pPr>
      <w:r w:rsidRPr="00876CA5">
        <w:rPr>
          <w:rFonts w:ascii="Arial" w:hAnsi="Arial" w:cs="Arial"/>
        </w:rPr>
        <w:t>On b</w:t>
      </w:r>
      <w:r w:rsidR="002355EB" w:rsidRPr="00876CA5">
        <w:rPr>
          <w:rFonts w:ascii="Arial" w:hAnsi="Arial" w:cs="Arial"/>
        </w:rPr>
        <w:t>ehalf of the A</w:t>
      </w:r>
      <w:r w:rsidR="00D414FA" w:rsidRPr="00876CA5">
        <w:rPr>
          <w:rFonts w:ascii="Arial" w:hAnsi="Arial" w:cs="Arial"/>
        </w:rPr>
        <w:t>p</w:t>
      </w:r>
      <w:r w:rsidR="002355EB" w:rsidRPr="00876CA5">
        <w:rPr>
          <w:rFonts w:ascii="Arial" w:hAnsi="Arial" w:cs="Arial"/>
        </w:rPr>
        <w:t xml:space="preserve">pellant:  </w:t>
      </w:r>
      <w:r w:rsidR="0056646E" w:rsidRPr="00876CA5">
        <w:rPr>
          <w:rFonts w:ascii="Arial" w:hAnsi="Arial" w:cs="Arial"/>
        </w:rPr>
        <w:t xml:space="preserve">   </w:t>
      </w:r>
      <w:r w:rsidR="00D414FA" w:rsidRPr="00876CA5">
        <w:rPr>
          <w:rFonts w:ascii="Arial" w:hAnsi="Arial" w:cs="Arial"/>
        </w:rPr>
        <w:t xml:space="preserve">              </w:t>
      </w:r>
      <w:r w:rsidR="0056646E" w:rsidRPr="00876CA5">
        <w:rPr>
          <w:rFonts w:ascii="Arial" w:hAnsi="Arial" w:cs="Arial"/>
        </w:rPr>
        <w:t>Mr M D Hlatshwayo</w:t>
      </w:r>
    </w:p>
    <w:p w14:paraId="1EBDE723" w14:textId="57456B97" w:rsidR="00024B20" w:rsidRPr="00876CA5" w:rsidRDefault="00024B20" w:rsidP="00D62841">
      <w:pPr>
        <w:spacing w:after="0" w:line="360" w:lineRule="auto"/>
        <w:rPr>
          <w:rFonts w:ascii="Arial" w:hAnsi="Arial" w:cs="Arial"/>
        </w:rPr>
      </w:pPr>
      <w:r w:rsidRPr="00876CA5">
        <w:rPr>
          <w:rFonts w:ascii="Arial" w:hAnsi="Arial" w:cs="Arial"/>
        </w:rPr>
        <w:t xml:space="preserve">Instructed by: </w:t>
      </w:r>
      <w:r w:rsidR="0056646E" w:rsidRPr="00876CA5">
        <w:rPr>
          <w:rFonts w:ascii="Arial" w:hAnsi="Arial" w:cs="Arial"/>
        </w:rPr>
        <w:t xml:space="preserve">                       </w:t>
      </w:r>
      <w:r w:rsidR="00D414FA" w:rsidRPr="00876CA5">
        <w:rPr>
          <w:rFonts w:ascii="Arial" w:hAnsi="Arial" w:cs="Arial"/>
        </w:rPr>
        <w:t xml:space="preserve">                </w:t>
      </w:r>
      <w:r w:rsidR="0056646E" w:rsidRPr="00876CA5">
        <w:rPr>
          <w:rFonts w:ascii="Arial" w:hAnsi="Arial" w:cs="Arial"/>
        </w:rPr>
        <w:t>Hlatshwayo</w:t>
      </w:r>
      <w:r w:rsidR="00591C3A">
        <w:rPr>
          <w:rFonts w:ascii="Arial" w:hAnsi="Arial" w:cs="Arial"/>
        </w:rPr>
        <w:t>-</w:t>
      </w:r>
      <w:r w:rsidR="0056646E" w:rsidRPr="00876CA5">
        <w:rPr>
          <w:rFonts w:ascii="Arial" w:hAnsi="Arial" w:cs="Arial"/>
        </w:rPr>
        <w:t>Mhayise</w:t>
      </w:r>
      <w:r w:rsidR="00CF1468" w:rsidRPr="00876CA5">
        <w:rPr>
          <w:rFonts w:ascii="Arial" w:hAnsi="Arial" w:cs="Arial"/>
        </w:rPr>
        <w:t xml:space="preserve"> Inc</w:t>
      </w:r>
    </w:p>
    <w:p w14:paraId="3D156035" w14:textId="7818AE29" w:rsidR="00CF1468" w:rsidRPr="00876CA5" w:rsidRDefault="00CF1468" w:rsidP="00D62841">
      <w:pPr>
        <w:spacing w:after="0" w:line="360" w:lineRule="auto"/>
        <w:jc w:val="right"/>
        <w:rPr>
          <w:rFonts w:ascii="Arial" w:hAnsi="Arial" w:cs="Arial"/>
        </w:rPr>
      </w:pPr>
    </w:p>
    <w:p w14:paraId="65DE6416" w14:textId="68E89DB5" w:rsidR="00CF1468" w:rsidRPr="00876CA5" w:rsidRDefault="00CF1468" w:rsidP="00D62841">
      <w:pPr>
        <w:spacing w:after="0" w:line="360" w:lineRule="auto"/>
        <w:rPr>
          <w:rFonts w:ascii="Arial" w:hAnsi="Arial" w:cs="Arial"/>
        </w:rPr>
      </w:pPr>
      <w:r w:rsidRPr="00876CA5">
        <w:rPr>
          <w:rFonts w:ascii="Arial" w:hAnsi="Arial" w:cs="Arial"/>
        </w:rPr>
        <w:t xml:space="preserve">On behalf of the Respondents: </w:t>
      </w:r>
      <w:r w:rsidR="00D414FA" w:rsidRPr="00876CA5">
        <w:rPr>
          <w:rFonts w:ascii="Arial" w:hAnsi="Arial" w:cs="Arial"/>
        </w:rPr>
        <w:t xml:space="preserve">            N</w:t>
      </w:r>
      <w:r w:rsidR="00767E49">
        <w:rPr>
          <w:rFonts w:ascii="Arial" w:hAnsi="Arial" w:cs="Arial"/>
        </w:rPr>
        <w:t>o appearance</w:t>
      </w:r>
    </w:p>
    <w:sectPr w:rsidR="00CF1468" w:rsidRPr="00876CA5" w:rsidSect="00AB61E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DCD6C" w14:textId="77777777" w:rsidR="00B80D5A" w:rsidRDefault="00B80D5A" w:rsidP="00AB61E6">
      <w:pPr>
        <w:spacing w:after="0" w:line="240" w:lineRule="auto"/>
      </w:pPr>
      <w:r>
        <w:separator/>
      </w:r>
    </w:p>
  </w:endnote>
  <w:endnote w:type="continuationSeparator" w:id="0">
    <w:p w14:paraId="0DF92D2B" w14:textId="77777777" w:rsidR="00B80D5A" w:rsidRDefault="00B80D5A" w:rsidP="00AB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A4794" w14:textId="77777777" w:rsidR="00B80D5A" w:rsidRDefault="00B80D5A" w:rsidP="00AB61E6">
      <w:pPr>
        <w:spacing w:after="0" w:line="240" w:lineRule="auto"/>
      </w:pPr>
      <w:r>
        <w:separator/>
      </w:r>
    </w:p>
  </w:footnote>
  <w:footnote w:type="continuationSeparator" w:id="0">
    <w:p w14:paraId="62423D5B" w14:textId="77777777" w:rsidR="00B80D5A" w:rsidRDefault="00B80D5A" w:rsidP="00AB61E6">
      <w:pPr>
        <w:spacing w:after="0" w:line="240" w:lineRule="auto"/>
      </w:pPr>
      <w:r>
        <w:continuationSeparator/>
      </w:r>
    </w:p>
  </w:footnote>
  <w:footnote w:id="1">
    <w:p w14:paraId="7FBE97E4" w14:textId="53D977C3" w:rsidR="00EA6152" w:rsidRPr="00DB4007" w:rsidRDefault="00EA6152">
      <w:pPr>
        <w:pStyle w:val="FootnoteText"/>
        <w:rPr>
          <w:lang w:val="en-GB"/>
        </w:rPr>
      </w:pPr>
      <w:r>
        <w:rPr>
          <w:rStyle w:val="FootnoteReference"/>
        </w:rPr>
        <w:footnoteRef/>
      </w:r>
      <w:r>
        <w:t xml:space="preserve"> </w:t>
      </w:r>
      <w:r w:rsidR="006C51EA">
        <w:rPr>
          <w:lang w:val="en-GB"/>
        </w:rPr>
        <w:t>Law of South Africa (First Reissue), Vol 27</w:t>
      </w:r>
      <w:r>
        <w:rPr>
          <w:lang w:val="en-GB"/>
        </w:rPr>
        <w:t>, paragraph 297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28101"/>
      <w:docPartObj>
        <w:docPartGallery w:val="Page Numbers (Top of Page)"/>
        <w:docPartUnique/>
      </w:docPartObj>
    </w:sdtPr>
    <w:sdtEndPr>
      <w:rPr>
        <w:noProof/>
      </w:rPr>
    </w:sdtEndPr>
    <w:sdtContent>
      <w:p w14:paraId="2B9502E8" w14:textId="4420EB41" w:rsidR="00A164E8" w:rsidRDefault="00A164E8">
        <w:pPr>
          <w:pStyle w:val="Header"/>
          <w:jc w:val="right"/>
        </w:pPr>
        <w:r>
          <w:fldChar w:fldCharType="begin"/>
        </w:r>
        <w:r>
          <w:instrText xml:space="preserve"> PAGE   \* MERGEFORMAT </w:instrText>
        </w:r>
        <w:r>
          <w:fldChar w:fldCharType="separate"/>
        </w:r>
        <w:r w:rsidR="0084116A">
          <w:rPr>
            <w:noProof/>
          </w:rPr>
          <w:t>2</w:t>
        </w:r>
        <w:r>
          <w:rPr>
            <w:noProof/>
          </w:rPr>
          <w:fldChar w:fldCharType="end"/>
        </w:r>
      </w:p>
    </w:sdtContent>
  </w:sdt>
  <w:p w14:paraId="0D9A6810" w14:textId="77777777" w:rsidR="00A164E8" w:rsidRDefault="00A16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0B93339"/>
    <w:multiLevelType w:val="hybridMultilevel"/>
    <w:tmpl w:val="0E648738"/>
    <w:lvl w:ilvl="0" w:tplc="3BEE62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E320988"/>
    <w:multiLevelType w:val="hybridMultilevel"/>
    <w:tmpl w:val="A8147102"/>
    <w:lvl w:ilvl="0" w:tplc="1E70384C">
      <w:start w:val="1"/>
      <w:numFmt w:val="decimal"/>
      <w:lvlText w:val="[%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EA03F82"/>
    <w:multiLevelType w:val="multilevel"/>
    <w:tmpl w:val="757A6888"/>
    <w:lvl w:ilvl="0">
      <w:start w:val="1"/>
      <w:numFmt w:val="decimal"/>
      <w:lvlText w:val="[%1]"/>
      <w:lvlJc w:val="left"/>
      <w:pPr>
        <w:ind w:left="720" w:hanging="360"/>
      </w:pPr>
      <w:rPr>
        <w:rFonts w:hint="default"/>
        <w:b w:val="0"/>
        <w:bCs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2F"/>
    <w:rsid w:val="00000B21"/>
    <w:rsid w:val="00002196"/>
    <w:rsid w:val="00004001"/>
    <w:rsid w:val="00007B71"/>
    <w:rsid w:val="00014DC4"/>
    <w:rsid w:val="00016489"/>
    <w:rsid w:val="00017B9B"/>
    <w:rsid w:val="000216EF"/>
    <w:rsid w:val="00023353"/>
    <w:rsid w:val="00024B20"/>
    <w:rsid w:val="00037E41"/>
    <w:rsid w:val="00050F13"/>
    <w:rsid w:val="00051DCE"/>
    <w:rsid w:val="00052C21"/>
    <w:rsid w:val="00056373"/>
    <w:rsid w:val="00060119"/>
    <w:rsid w:val="000707CE"/>
    <w:rsid w:val="000716AA"/>
    <w:rsid w:val="00075213"/>
    <w:rsid w:val="00076673"/>
    <w:rsid w:val="00080BDA"/>
    <w:rsid w:val="00082838"/>
    <w:rsid w:val="0008323F"/>
    <w:rsid w:val="00083B7E"/>
    <w:rsid w:val="00087083"/>
    <w:rsid w:val="00087C81"/>
    <w:rsid w:val="00090100"/>
    <w:rsid w:val="00094559"/>
    <w:rsid w:val="000A40A1"/>
    <w:rsid w:val="000A6A5B"/>
    <w:rsid w:val="000A6B2F"/>
    <w:rsid w:val="000A7E4F"/>
    <w:rsid w:val="000B1A0D"/>
    <w:rsid w:val="000B37E4"/>
    <w:rsid w:val="000B49D9"/>
    <w:rsid w:val="000C2C9C"/>
    <w:rsid w:val="000C2C9E"/>
    <w:rsid w:val="000C4230"/>
    <w:rsid w:val="000F05A5"/>
    <w:rsid w:val="000F538E"/>
    <w:rsid w:val="000F628C"/>
    <w:rsid w:val="0010074D"/>
    <w:rsid w:val="00101700"/>
    <w:rsid w:val="001026D4"/>
    <w:rsid w:val="001032F5"/>
    <w:rsid w:val="001047D9"/>
    <w:rsid w:val="00111600"/>
    <w:rsid w:val="001135CC"/>
    <w:rsid w:val="00113A3F"/>
    <w:rsid w:val="001159C0"/>
    <w:rsid w:val="00116124"/>
    <w:rsid w:val="00116D60"/>
    <w:rsid w:val="00137047"/>
    <w:rsid w:val="00140C93"/>
    <w:rsid w:val="00143A8E"/>
    <w:rsid w:val="001441CE"/>
    <w:rsid w:val="001449C8"/>
    <w:rsid w:val="0015792E"/>
    <w:rsid w:val="00160952"/>
    <w:rsid w:val="00162748"/>
    <w:rsid w:val="0017222D"/>
    <w:rsid w:val="00174F7C"/>
    <w:rsid w:val="00176751"/>
    <w:rsid w:val="001767F3"/>
    <w:rsid w:val="00176C4C"/>
    <w:rsid w:val="0018092B"/>
    <w:rsid w:val="001857D7"/>
    <w:rsid w:val="00186D83"/>
    <w:rsid w:val="001913CB"/>
    <w:rsid w:val="001937CF"/>
    <w:rsid w:val="00194C3F"/>
    <w:rsid w:val="001A249A"/>
    <w:rsid w:val="001A49E4"/>
    <w:rsid w:val="001A555E"/>
    <w:rsid w:val="001A5F48"/>
    <w:rsid w:val="001B2FB6"/>
    <w:rsid w:val="001B40CB"/>
    <w:rsid w:val="001B42FB"/>
    <w:rsid w:val="001B4736"/>
    <w:rsid w:val="001C6D37"/>
    <w:rsid w:val="001D04F6"/>
    <w:rsid w:val="001D40E9"/>
    <w:rsid w:val="001D6672"/>
    <w:rsid w:val="001D7315"/>
    <w:rsid w:val="001E28F0"/>
    <w:rsid w:val="001E3011"/>
    <w:rsid w:val="001F5172"/>
    <w:rsid w:val="001F630C"/>
    <w:rsid w:val="00207146"/>
    <w:rsid w:val="0020799C"/>
    <w:rsid w:val="00212037"/>
    <w:rsid w:val="00212A5C"/>
    <w:rsid w:val="00213C6D"/>
    <w:rsid w:val="0021494F"/>
    <w:rsid w:val="002218A7"/>
    <w:rsid w:val="00222138"/>
    <w:rsid w:val="002301CA"/>
    <w:rsid w:val="002303FD"/>
    <w:rsid w:val="00231076"/>
    <w:rsid w:val="002355EB"/>
    <w:rsid w:val="00240A81"/>
    <w:rsid w:val="002446CE"/>
    <w:rsid w:val="00245333"/>
    <w:rsid w:val="00252A48"/>
    <w:rsid w:val="00252FA4"/>
    <w:rsid w:val="00253085"/>
    <w:rsid w:val="00253511"/>
    <w:rsid w:val="00260220"/>
    <w:rsid w:val="0026043B"/>
    <w:rsid w:val="00260E84"/>
    <w:rsid w:val="0026113B"/>
    <w:rsid w:val="00264409"/>
    <w:rsid w:val="00265456"/>
    <w:rsid w:val="00265E23"/>
    <w:rsid w:val="00267476"/>
    <w:rsid w:val="00271855"/>
    <w:rsid w:val="00272E46"/>
    <w:rsid w:val="00274E4C"/>
    <w:rsid w:val="002776B1"/>
    <w:rsid w:val="00277F85"/>
    <w:rsid w:val="00281896"/>
    <w:rsid w:val="00282F53"/>
    <w:rsid w:val="00283950"/>
    <w:rsid w:val="002906C1"/>
    <w:rsid w:val="00293D5F"/>
    <w:rsid w:val="0029757D"/>
    <w:rsid w:val="002A005D"/>
    <w:rsid w:val="002A4646"/>
    <w:rsid w:val="002A6252"/>
    <w:rsid w:val="002B492A"/>
    <w:rsid w:val="002C024A"/>
    <w:rsid w:val="002C164B"/>
    <w:rsid w:val="002C1F38"/>
    <w:rsid w:val="002C23A1"/>
    <w:rsid w:val="002C375A"/>
    <w:rsid w:val="002C465C"/>
    <w:rsid w:val="002C613F"/>
    <w:rsid w:val="002C6ACD"/>
    <w:rsid w:val="002D0A88"/>
    <w:rsid w:val="002D16B7"/>
    <w:rsid w:val="002D3636"/>
    <w:rsid w:val="002D5288"/>
    <w:rsid w:val="002D5EBA"/>
    <w:rsid w:val="002E1DA4"/>
    <w:rsid w:val="002E4788"/>
    <w:rsid w:val="002E5D00"/>
    <w:rsid w:val="002E7C52"/>
    <w:rsid w:val="002F4562"/>
    <w:rsid w:val="002F4D7D"/>
    <w:rsid w:val="002F70EC"/>
    <w:rsid w:val="0030297E"/>
    <w:rsid w:val="00304421"/>
    <w:rsid w:val="00304548"/>
    <w:rsid w:val="003048EB"/>
    <w:rsid w:val="00305007"/>
    <w:rsid w:val="00312E8B"/>
    <w:rsid w:val="00313921"/>
    <w:rsid w:val="00314716"/>
    <w:rsid w:val="0031585E"/>
    <w:rsid w:val="00316BA1"/>
    <w:rsid w:val="00323D84"/>
    <w:rsid w:val="003269F4"/>
    <w:rsid w:val="00326CE2"/>
    <w:rsid w:val="00332490"/>
    <w:rsid w:val="003417A4"/>
    <w:rsid w:val="00341A8D"/>
    <w:rsid w:val="00360CC0"/>
    <w:rsid w:val="003625D2"/>
    <w:rsid w:val="00367C4D"/>
    <w:rsid w:val="003714C3"/>
    <w:rsid w:val="00385073"/>
    <w:rsid w:val="00390CD8"/>
    <w:rsid w:val="00392F7C"/>
    <w:rsid w:val="00394FA8"/>
    <w:rsid w:val="00396DB7"/>
    <w:rsid w:val="003A25C8"/>
    <w:rsid w:val="003A5554"/>
    <w:rsid w:val="003A5AF9"/>
    <w:rsid w:val="003A5B31"/>
    <w:rsid w:val="003A6F88"/>
    <w:rsid w:val="003A7384"/>
    <w:rsid w:val="003C127B"/>
    <w:rsid w:val="003C4712"/>
    <w:rsid w:val="003C511C"/>
    <w:rsid w:val="003D2880"/>
    <w:rsid w:val="003D29C9"/>
    <w:rsid w:val="003D3D1E"/>
    <w:rsid w:val="003E006A"/>
    <w:rsid w:val="003E40BD"/>
    <w:rsid w:val="003E4CED"/>
    <w:rsid w:val="003F54C2"/>
    <w:rsid w:val="00412CCA"/>
    <w:rsid w:val="004168E4"/>
    <w:rsid w:val="004217C2"/>
    <w:rsid w:val="00421E87"/>
    <w:rsid w:val="0042376C"/>
    <w:rsid w:val="00427369"/>
    <w:rsid w:val="00430F0E"/>
    <w:rsid w:val="004314E3"/>
    <w:rsid w:val="00445CA8"/>
    <w:rsid w:val="00450EB2"/>
    <w:rsid w:val="00454544"/>
    <w:rsid w:val="00455D75"/>
    <w:rsid w:val="00460881"/>
    <w:rsid w:val="00461677"/>
    <w:rsid w:val="00461F8D"/>
    <w:rsid w:val="0046283D"/>
    <w:rsid w:val="00466098"/>
    <w:rsid w:val="00475511"/>
    <w:rsid w:val="0047591A"/>
    <w:rsid w:val="0047750F"/>
    <w:rsid w:val="0048246C"/>
    <w:rsid w:val="004861DD"/>
    <w:rsid w:val="00486464"/>
    <w:rsid w:val="00493EAC"/>
    <w:rsid w:val="00496402"/>
    <w:rsid w:val="004A3C56"/>
    <w:rsid w:val="004A4CF6"/>
    <w:rsid w:val="004A5569"/>
    <w:rsid w:val="004A6A4B"/>
    <w:rsid w:val="004A7B93"/>
    <w:rsid w:val="004B5E63"/>
    <w:rsid w:val="004B6319"/>
    <w:rsid w:val="004C4817"/>
    <w:rsid w:val="004C53D3"/>
    <w:rsid w:val="004C7D1F"/>
    <w:rsid w:val="004D341D"/>
    <w:rsid w:val="004D746D"/>
    <w:rsid w:val="004E17EC"/>
    <w:rsid w:val="004F0504"/>
    <w:rsid w:val="004F32D4"/>
    <w:rsid w:val="004F37EB"/>
    <w:rsid w:val="004F3CAF"/>
    <w:rsid w:val="005002AE"/>
    <w:rsid w:val="00503EAC"/>
    <w:rsid w:val="00505C08"/>
    <w:rsid w:val="005149EB"/>
    <w:rsid w:val="005161AF"/>
    <w:rsid w:val="00517151"/>
    <w:rsid w:val="005207C9"/>
    <w:rsid w:val="005252E5"/>
    <w:rsid w:val="00531B98"/>
    <w:rsid w:val="00534BCF"/>
    <w:rsid w:val="0053672F"/>
    <w:rsid w:val="00537CB8"/>
    <w:rsid w:val="0054039F"/>
    <w:rsid w:val="005426B8"/>
    <w:rsid w:val="00544DFB"/>
    <w:rsid w:val="005475F9"/>
    <w:rsid w:val="0054799F"/>
    <w:rsid w:val="00553225"/>
    <w:rsid w:val="0056568D"/>
    <w:rsid w:val="0056646E"/>
    <w:rsid w:val="00580955"/>
    <w:rsid w:val="00591C3A"/>
    <w:rsid w:val="0059703D"/>
    <w:rsid w:val="005A0D2D"/>
    <w:rsid w:val="005A532C"/>
    <w:rsid w:val="005B173C"/>
    <w:rsid w:val="005B3121"/>
    <w:rsid w:val="005B5058"/>
    <w:rsid w:val="005C13C6"/>
    <w:rsid w:val="005C2D8C"/>
    <w:rsid w:val="005C6533"/>
    <w:rsid w:val="005C7FA3"/>
    <w:rsid w:val="005D3085"/>
    <w:rsid w:val="005D4C5B"/>
    <w:rsid w:val="005E03BA"/>
    <w:rsid w:val="005E4399"/>
    <w:rsid w:val="005F2703"/>
    <w:rsid w:val="005F313F"/>
    <w:rsid w:val="005F4F4A"/>
    <w:rsid w:val="005F5F03"/>
    <w:rsid w:val="005F6792"/>
    <w:rsid w:val="00600839"/>
    <w:rsid w:val="006106E6"/>
    <w:rsid w:val="006110E2"/>
    <w:rsid w:val="00612DC4"/>
    <w:rsid w:val="00615A01"/>
    <w:rsid w:val="00615B15"/>
    <w:rsid w:val="00616B17"/>
    <w:rsid w:val="0062014C"/>
    <w:rsid w:val="00621A09"/>
    <w:rsid w:val="00622438"/>
    <w:rsid w:val="00622C0C"/>
    <w:rsid w:val="0063654C"/>
    <w:rsid w:val="006405C5"/>
    <w:rsid w:val="006419E3"/>
    <w:rsid w:val="00644124"/>
    <w:rsid w:val="00644891"/>
    <w:rsid w:val="00647E72"/>
    <w:rsid w:val="00651853"/>
    <w:rsid w:val="0065390B"/>
    <w:rsid w:val="00655DBA"/>
    <w:rsid w:val="006573E2"/>
    <w:rsid w:val="00661BA6"/>
    <w:rsid w:val="006631F5"/>
    <w:rsid w:val="006633DF"/>
    <w:rsid w:val="006644C3"/>
    <w:rsid w:val="00666C19"/>
    <w:rsid w:val="00667E05"/>
    <w:rsid w:val="00670D9A"/>
    <w:rsid w:val="006730C6"/>
    <w:rsid w:val="00674ADB"/>
    <w:rsid w:val="00676F82"/>
    <w:rsid w:val="00677056"/>
    <w:rsid w:val="00684425"/>
    <w:rsid w:val="00685676"/>
    <w:rsid w:val="00685CD9"/>
    <w:rsid w:val="006946B3"/>
    <w:rsid w:val="00694A66"/>
    <w:rsid w:val="00696851"/>
    <w:rsid w:val="00697780"/>
    <w:rsid w:val="006A0F75"/>
    <w:rsid w:val="006B1E34"/>
    <w:rsid w:val="006B21B3"/>
    <w:rsid w:val="006B4E82"/>
    <w:rsid w:val="006C2F62"/>
    <w:rsid w:val="006C51EA"/>
    <w:rsid w:val="006C5FF3"/>
    <w:rsid w:val="006C70D4"/>
    <w:rsid w:val="006C7B20"/>
    <w:rsid w:val="006D15F8"/>
    <w:rsid w:val="006D5FBC"/>
    <w:rsid w:val="006D6401"/>
    <w:rsid w:val="006D6E72"/>
    <w:rsid w:val="006E288D"/>
    <w:rsid w:val="006F1CA1"/>
    <w:rsid w:val="006F3857"/>
    <w:rsid w:val="00702167"/>
    <w:rsid w:val="00702BE3"/>
    <w:rsid w:val="00703E43"/>
    <w:rsid w:val="00715C23"/>
    <w:rsid w:val="007171C3"/>
    <w:rsid w:val="0072140A"/>
    <w:rsid w:val="007259E1"/>
    <w:rsid w:val="0073181E"/>
    <w:rsid w:val="00737462"/>
    <w:rsid w:val="0075604B"/>
    <w:rsid w:val="00756122"/>
    <w:rsid w:val="0075621D"/>
    <w:rsid w:val="007565D1"/>
    <w:rsid w:val="00757EDB"/>
    <w:rsid w:val="00761A84"/>
    <w:rsid w:val="00765929"/>
    <w:rsid w:val="00767E49"/>
    <w:rsid w:val="00770140"/>
    <w:rsid w:val="007714EE"/>
    <w:rsid w:val="007719E1"/>
    <w:rsid w:val="0077463F"/>
    <w:rsid w:val="0077740C"/>
    <w:rsid w:val="00777AF5"/>
    <w:rsid w:val="007816E6"/>
    <w:rsid w:val="00783681"/>
    <w:rsid w:val="00784706"/>
    <w:rsid w:val="007920A1"/>
    <w:rsid w:val="00794E23"/>
    <w:rsid w:val="007A1916"/>
    <w:rsid w:val="007A6D2F"/>
    <w:rsid w:val="007A7064"/>
    <w:rsid w:val="007B17F4"/>
    <w:rsid w:val="007C3003"/>
    <w:rsid w:val="007D6FE1"/>
    <w:rsid w:val="007D7832"/>
    <w:rsid w:val="007D7E31"/>
    <w:rsid w:val="007E4774"/>
    <w:rsid w:val="007E6908"/>
    <w:rsid w:val="007E6EAD"/>
    <w:rsid w:val="007F32F5"/>
    <w:rsid w:val="007F435A"/>
    <w:rsid w:val="007F5D9F"/>
    <w:rsid w:val="007F60C1"/>
    <w:rsid w:val="008117E3"/>
    <w:rsid w:val="0082002B"/>
    <w:rsid w:val="008249A6"/>
    <w:rsid w:val="00825851"/>
    <w:rsid w:val="00825C9D"/>
    <w:rsid w:val="008318CD"/>
    <w:rsid w:val="00834CDD"/>
    <w:rsid w:val="008352B0"/>
    <w:rsid w:val="00837019"/>
    <w:rsid w:val="008371FF"/>
    <w:rsid w:val="00840005"/>
    <w:rsid w:val="0084116A"/>
    <w:rsid w:val="00846E12"/>
    <w:rsid w:val="0084761F"/>
    <w:rsid w:val="00847F2C"/>
    <w:rsid w:val="008505DE"/>
    <w:rsid w:val="00857618"/>
    <w:rsid w:val="008631B2"/>
    <w:rsid w:val="00865B5C"/>
    <w:rsid w:val="00865C15"/>
    <w:rsid w:val="00866175"/>
    <w:rsid w:val="00876CA5"/>
    <w:rsid w:val="008842F2"/>
    <w:rsid w:val="008843C5"/>
    <w:rsid w:val="00884D89"/>
    <w:rsid w:val="0088526A"/>
    <w:rsid w:val="00887550"/>
    <w:rsid w:val="0089434E"/>
    <w:rsid w:val="00896525"/>
    <w:rsid w:val="008A102F"/>
    <w:rsid w:val="008A2370"/>
    <w:rsid w:val="008A34D9"/>
    <w:rsid w:val="008A71DD"/>
    <w:rsid w:val="008B52CD"/>
    <w:rsid w:val="008B594D"/>
    <w:rsid w:val="008C3B30"/>
    <w:rsid w:val="008C545F"/>
    <w:rsid w:val="008C765B"/>
    <w:rsid w:val="008C773A"/>
    <w:rsid w:val="008C792B"/>
    <w:rsid w:val="008C7C5E"/>
    <w:rsid w:val="008D0C4F"/>
    <w:rsid w:val="008D0D19"/>
    <w:rsid w:val="008D4197"/>
    <w:rsid w:val="008D5629"/>
    <w:rsid w:val="008E11B1"/>
    <w:rsid w:val="008E22D0"/>
    <w:rsid w:val="008F0A4C"/>
    <w:rsid w:val="008F2E27"/>
    <w:rsid w:val="008F6595"/>
    <w:rsid w:val="00907D61"/>
    <w:rsid w:val="00910962"/>
    <w:rsid w:val="00912B84"/>
    <w:rsid w:val="0091562F"/>
    <w:rsid w:val="009161E1"/>
    <w:rsid w:val="009244EC"/>
    <w:rsid w:val="00926072"/>
    <w:rsid w:val="009337F6"/>
    <w:rsid w:val="009369BD"/>
    <w:rsid w:val="0094051F"/>
    <w:rsid w:val="00941DB0"/>
    <w:rsid w:val="009431C0"/>
    <w:rsid w:val="00944C30"/>
    <w:rsid w:val="009463F6"/>
    <w:rsid w:val="00951345"/>
    <w:rsid w:val="00952E59"/>
    <w:rsid w:val="009530FA"/>
    <w:rsid w:val="009553B1"/>
    <w:rsid w:val="00955AAB"/>
    <w:rsid w:val="00956B10"/>
    <w:rsid w:val="00964E8A"/>
    <w:rsid w:val="00966B24"/>
    <w:rsid w:val="00972972"/>
    <w:rsid w:val="00975863"/>
    <w:rsid w:val="009811F0"/>
    <w:rsid w:val="00981AD3"/>
    <w:rsid w:val="00984C51"/>
    <w:rsid w:val="00986E6F"/>
    <w:rsid w:val="00990F08"/>
    <w:rsid w:val="00992350"/>
    <w:rsid w:val="00992B1D"/>
    <w:rsid w:val="00993431"/>
    <w:rsid w:val="0099410C"/>
    <w:rsid w:val="009A258B"/>
    <w:rsid w:val="009A6D0D"/>
    <w:rsid w:val="009C7D5D"/>
    <w:rsid w:val="009D2820"/>
    <w:rsid w:val="009D2BBC"/>
    <w:rsid w:val="009D41B0"/>
    <w:rsid w:val="009D4C17"/>
    <w:rsid w:val="009E0392"/>
    <w:rsid w:val="009E0AF0"/>
    <w:rsid w:val="009E1FBC"/>
    <w:rsid w:val="009E37D4"/>
    <w:rsid w:val="009E3E13"/>
    <w:rsid w:val="009F020D"/>
    <w:rsid w:val="009F0B31"/>
    <w:rsid w:val="009F1EC7"/>
    <w:rsid w:val="00A02968"/>
    <w:rsid w:val="00A030D0"/>
    <w:rsid w:val="00A105EA"/>
    <w:rsid w:val="00A108ED"/>
    <w:rsid w:val="00A11C28"/>
    <w:rsid w:val="00A14ACE"/>
    <w:rsid w:val="00A15882"/>
    <w:rsid w:val="00A164E8"/>
    <w:rsid w:val="00A20C1C"/>
    <w:rsid w:val="00A2566B"/>
    <w:rsid w:val="00A261D2"/>
    <w:rsid w:val="00A312E4"/>
    <w:rsid w:val="00A34847"/>
    <w:rsid w:val="00A442AA"/>
    <w:rsid w:val="00A50C38"/>
    <w:rsid w:val="00A5733F"/>
    <w:rsid w:val="00A7071F"/>
    <w:rsid w:val="00A8052B"/>
    <w:rsid w:val="00A808CE"/>
    <w:rsid w:val="00A830AB"/>
    <w:rsid w:val="00A84AB7"/>
    <w:rsid w:val="00A856D8"/>
    <w:rsid w:val="00A8784C"/>
    <w:rsid w:val="00A94B58"/>
    <w:rsid w:val="00A96F00"/>
    <w:rsid w:val="00AA04CF"/>
    <w:rsid w:val="00AB14FC"/>
    <w:rsid w:val="00AB2C89"/>
    <w:rsid w:val="00AB375F"/>
    <w:rsid w:val="00AB3A50"/>
    <w:rsid w:val="00AB50E7"/>
    <w:rsid w:val="00AB57C1"/>
    <w:rsid w:val="00AB60E2"/>
    <w:rsid w:val="00AB61E6"/>
    <w:rsid w:val="00AB71CB"/>
    <w:rsid w:val="00AC172F"/>
    <w:rsid w:val="00AC4B0F"/>
    <w:rsid w:val="00AC77FB"/>
    <w:rsid w:val="00AD0A90"/>
    <w:rsid w:val="00AD1320"/>
    <w:rsid w:val="00AE17B7"/>
    <w:rsid w:val="00AF3CAC"/>
    <w:rsid w:val="00AF5312"/>
    <w:rsid w:val="00AF757A"/>
    <w:rsid w:val="00B02F14"/>
    <w:rsid w:val="00B1416F"/>
    <w:rsid w:val="00B14927"/>
    <w:rsid w:val="00B17766"/>
    <w:rsid w:val="00B21539"/>
    <w:rsid w:val="00B229AC"/>
    <w:rsid w:val="00B22F1D"/>
    <w:rsid w:val="00B233CE"/>
    <w:rsid w:val="00B252E0"/>
    <w:rsid w:val="00B27DAA"/>
    <w:rsid w:val="00B27F94"/>
    <w:rsid w:val="00B30AC7"/>
    <w:rsid w:val="00B332FB"/>
    <w:rsid w:val="00B339F3"/>
    <w:rsid w:val="00B41166"/>
    <w:rsid w:val="00B468A5"/>
    <w:rsid w:val="00B47A25"/>
    <w:rsid w:val="00B53898"/>
    <w:rsid w:val="00B5575C"/>
    <w:rsid w:val="00B67342"/>
    <w:rsid w:val="00B71FE2"/>
    <w:rsid w:val="00B73772"/>
    <w:rsid w:val="00B7718B"/>
    <w:rsid w:val="00B8050B"/>
    <w:rsid w:val="00B80D5A"/>
    <w:rsid w:val="00B812C2"/>
    <w:rsid w:val="00B82C66"/>
    <w:rsid w:val="00B83375"/>
    <w:rsid w:val="00B84EB5"/>
    <w:rsid w:val="00B85CFE"/>
    <w:rsid w:val="00B90F16"/>
    <w:rsid w:val="00B9528C"/>
    <w:rsid w:val="00B9550A"/>
    <w:rsid w:val="00BA3AE7"/>
    <w:rsid w:val="00BA7818"/>
    <w:rsid w:val="00BB09E9"/>
    <w:rsid w:val="00BB39C7"/>
    <w:rsid w:val="00BB4360"/>
    <w:rsid w:val="00BB63DC"/>
    <w:rsid w:val="00BC10C9"/>
    <w:rsid w:val="00BC1259"/>
    <w:rsid w:val="00BC5B8F"/>
    <w:rsid w:val="00BD0D3A"/>
    <w:rsid w:val="00BD33C7"/>
    <w:rsid w:val="00BD6F7D"/>
    <w:rsid w:val="00BE21B4"/>
    <w:rsid w:val="00BE432F"/>
    <w:rsid w:val="00BE749E"/>
    <w:rsid w:val="00BF0ECB"/>
    <w:rsid w:val="00BF1920"/>
    <w:rsid w:val="00BF2F1F"/>
    <w:rsid w:val="00BF71BD"/>
    <w:rsid w:val="00C015DF"/>
    <w:rsid w:val="00C040C6"/>
    <w:rsid w:val="00C10DE1"/>
    <w:rsid w:val="00C13CEA"/>
    <w:rsid w:val="00C16223"/>
    <w:rsid w:val="00C21FED"/>
    <w:rsid w:val="00C22793"/>
    <w:rsid w:val="00C23B16"/>
    <w:rsid w:val="00C2564F"/>
    <w:rsid w:val="00C27249"/>
    <w:rsid w:val="00C278B8"/>
    <w:rsid w:val="00C35855"/>
    <w:rsid w:val="00C35ABE"/>
    <w:rsid w:val="00C45630"/>
    <w:rsid w:val="00C46246"/>
    <w:rsid w:val="00C51D25"/>
    <w:rsid w:val="00C57FAB"/>
    <w:rsid w:val="00C60924"/>
    <w:rsid w:val="00C629AB"/>
    <w:rsid w:val="00C63253"/>
    <w:rsid w:val="00C636EC"/>
    <w:rsid w:val="00C63F39"/>
    <w:rsid w:val="00C675B3"/>
    <w:rsid w:val="00C70879"/>
    <w:rsid w:val="00C76A8E"/>
    <w:rsid w:val="00C76C8C"/>
    <w:rsid w:val="00C77CC8"/>
    <w:rsid w:val="00C83C4C"/>
    <w:rsid w:val="00C87D06"/>
    <w:rsid w:val="00C90D85"/>
    <w:rsid w:val="00C9152E"/>
    <w:rsid w:val="00C91B03"/>
    <w:rsid w:val="00C974B2"/>
    <w:rsid w:val="00CA0F45"/>
    <w:rsid w:val="00CA3C7F"/>
    <w:rsid w:val="00CA4262"/>
    <w:rsid w:val="00CA4A70"/>
    <w:rsid w:val="00CA559D"/>
    <w:rsid w:val="00CA56E4"/>
    <w:rsid w:val="00CA6579"/>
    <w:rsid w:val="00CB1FE6"/>
    <w:rsid w:val="00CB253B"/>
    <w:rsid w:val="00CB33C6"/>
    <w:rsid w:val="00CB34F4"/>
    <w:rsid w:val="00CB363F"/>
    <w:rsid w:val="00CB7063"/>
    <w:rsid w:val="00CC0F5E"/>
    <w:rsid w:val="00CC1562"/>
    <w:rsid w:val="00CC36F8"/>
    <w:rsid w:val="00CD13AE"/>
    <w:rsid w:val="00CD2390"/>
    <w:rsid w:val="00CD5798"/>
    <w:rsid w:val="00CE0A97"/>
    <w:rsid w:val="00CE1A7D"/>
    <w:rsid w:val="00CE4AF5"/>
    <w:rsid w:val="00CF1468"/>
    <w:rsid w:val="00CF24E1"/>
    <w:rsid w:val="00CF4207"/>
    <w:rsid w:val="00CF6161"/>
    <w:rsid w:val="00D00815"/>
    <w:rsid w:val="00D0506D"/>
    <w:rsid w:val="00D05442"/>
    <w:rsid w:val="00D0687F"/>
    <w:rsid w:val="00D06F99"/>
    <w:rsid w:val="00D120FC"/>
    <w:rsid w:val="00D1225D"/>
    <w:rsid w:val="00D13101"/>
    <w:rsid w:val="00D167DC"/>
    <w:rsid w:val="00D31236"/>
    <w:rsid w:val="00D414FA"/>
    <w:rsid w:val="00D4623C"/>
    <w:rsid w:val="00D534D9"/>
    <w:rsid w:val="00D55455"/>
    <w:rsid w:val="00D62841"/>
    <w:rsid w:val="00D664AB"/>
    <w:rsid w:val="00D67263"/>
    <w:rsid w:val="00D716EF"/>
    <w:rsid w:val="00D75E7C"/>
    <w:rsid w:val="00D76AF9"/>
    <w:rsid w:val="00D76C44"/>
    <w:rsid w:val="00D76D46"/>
    <w:rsid w:val="00D8045E"/>
    <w:rsid w:val="00D814E3"/>
    <w:rsid w:val="00D869A5"/>
    <w:rsid w:val="00D87F84"/>
    <w:rsid w:val="00D9476E"/>
    <w:rsid w:val="00D97DD6"/>
    <w:rsid w:val="00DA2793"/>
    <w:rsid w:val="00DA3B7B"/>
    <w:rsid w:val="00DA49B2"/>
    <w:rsid w:val="00DA6B5D"/>
    <w:rsid w:val="00DB1811"/>
    <w:rsid w:val="00DB4007"/>
    <w:rsid w:val="00DB604A"/>
    <w:rsid w:val="00DC00C9"/>
    <w:rsid w:val="00DC183C"/>
    <w:rsid w:val="00DC1B90"/>
    <w:rsid w:val="00DC4367"/>
    <w:rsid w:val="00DD317D"/>
    <w:rsid w:val="00DD5F10"/>
    <w:rsid w:val="00DD778B"/>
    <w:rsid w:val="00DE0537"/>
    <w:rsid w:val="00DE1AB7"/>
    <w:rsid w:val="00DE407D"/>
    <w:rsid w:val="00DF123E"/>
    <w:rsid w:val="00DF17BA"/>
    <w:rsid w:val="00DF1FC7"/>
    <w:rsid w:val="00DF4214"/>
    <w:rsid w:val="00DF452C"/>
    <w:rsid w:val="00DF56A7"/>
    <w:rsid w:val="00DF70D0"/>
    <w:rsid w:val="00E014D5"/>
    <w:rsid w:val="00E01981"/>
    <w:rsid w:val="00E03BE7"/>
    <w:rsid w:val="00E06427"/>
    <w:rsid w:val="00E07885"/>
    <w:rsid w:val="00E10AC7"/>
    <w:rsid w:val="00E10C78"/>
    <w:rsid w:val="00E11597"/>
    <w:rsid w:val="00E16924"/>
    <w:rsid w:val="00E16E96"/>
    <w:rsid w:val="00E17C50"/>
    <w:rsid w:val="00E207D1"/>
    <w:rsid w:val="00E244EC"/>
    <w:rsid w:val="00E307FE"/>
    <w:rsid w:val="00E35ACD"/>
    <w:rsid w:val="00E40F24"/>
    <w:rsid w:val="00E43493"/>
    <w:rsid w:val="00E45723"/>
    <w:rsid w:val="00E45C51"/>
    <w:rsid w:val="00E50A0E"/>
    <w:rsid w:val="00E51FF7"/>
    <w:rsid w:val="00E53168"/>
    <w:rsid w:val="00E53C3F"/>
    <w:rsid w:val="00E54779"/>
    <w:rsid w:val="00E54A78"/>
    <w:rsid w:val="00E638D2"/>
    <w:rsid w:val="00E649E3"/>
    <w:rsid w:val="00E659C9"/>
    <w:rsid w:val="00E70840"/>
    <w:rsid w:val="00E70DD6"/>
    <w:rsid w:val="00E71FAE"/>
    <w:rsid w:val="00E7215D"/>
    <w:rsid w:val="00E7420F"/>
    <w:rsid w:val="00E76E1C"/>
    <w:rsid w:val="00E77955"/>
    <w:rsid w:val="00E82B72"/>
    <w:rsid w:val="00E85440"/>
    <w:rsid w:val="00E911D7"/>
    <w:rsid w:val="00E93B42"/>
    <w:rsid w:val="00E96AB7"/>
    <w:rsid w:val="00E96E60"/>
    <w:rsid w:val="00EA2B86"/>
    <w:rsid w:val="00EA2D1C"/>
    <w:rsid w:val="00EA445A"/>
    <w:rsid w:val="00EA6152"/>
    <w:rsid w:val="00EB54C6"/>
    <w:rsid w:val="00EB7384"/>
    <w:rsid w:val="00EC42C4"/>
    <w:rsid w:val="00EC4379"/>
    <w:rsid w:val="00EC55D9"/>
    <w:rsid w:val="00EC706E"/>
    <w:rsid w:val="00ED7540"/>
    <w:rsid w:val="00EE069B"/>
    <w:rsid w:val="00EE79CE"/>
    <w:rsid w:val="00EF0ECA"/>
    <w:rsid w:val="00EF337B"/>
    <w:rsid w:val="00F002A8"/>
    <w:rsid w:val="00F0547D"/>
    <w:rsid w:val="00F110A6"/>
    <w:rsid w:val="00F126E4"/>
    <w:rsid w:val="00F12C5F"/>
    <w:rsid w:val="00F146C1"/>
    <w:rsid w:val="00F14F50"/>
    <w:rsid w:val="00F15BF3"/>
    <w:rsid w:val="00F16802"/>
    <w:rsid w:val="00F17728"/>
    <w:rsid w:val="00F2449D"/>
    <w:rsid w:val="00F27DD3"/>
    <w:rsid w:val="00F34960"/>
    <w:rsid w:val="00F40018"/>
    <w:rsid w:val="00F41705"/>
    <w:rsid w:val="00F434C3"/>
    <w:rsid w:val="00F514E6"/>
    <w:rsid w:val="00F545EE"/>
    <w:rsid w:val="00F56B3A"/>
    <w:rsid w:val="00F6194F"/>
    <w:rsid w:val="00F61A15"/>
    <w:rsid w:val="00F624B8"/>
    <w:rsid w:val="00F65AB5"/>
    <w:rsid w:val="00F71A04"/>
    <w:rsid w:val="00F735A2"/>
    <w:rsid w:val="00F759C4"/>
    <w:rsid w:val="00F82E3A"/>
    <w:rsid w:val="00F86BFE"/>
    <w:rsid w:val="00F87CAB"/>
    <w:rsid w:val="00F91637"/>
    <w:rsid w:val="00FA2C8F"/>
    <w:rsid w:val="00FB139F"/>
    <w:rsid w:val="00FB1BA4"/>
    <w:rsid w:val="00FB23D8"/>
    <w:rsid w:val="00FB3F23"/>
    <w:rsid w:val="00FC4A64"/>
    <w:rsid w:val="00FC7C24"/>
    <w:rsid w:val="00FD361D"/>
    <w:rsid w:val="00FE0A14"/>
    <w:rsid w:val="00FE0C17"/>
    <w:rsid w:val="00FE1A77"/>
    <w:rsid w:val="00FE2E18"/>
    <w:rsid w:val="00FF3350"/>
    <w:rsid w:val="00FF4B11"/>
    <w:rsid w:val="00FF4B36"/>
    <w:rsid w:val="00FF6728"/>
    <w:rsid w:val="00FF75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8ACC"/>
  <w15:docId w15:val="{1CF4A6ED-EF46-40E8-8108-852376EE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0B"/>
    <w:pPr>
      <w:ind w:left="720"/>
      <w:contextualSpacing/>
    </w:pPr>
  </w:style>
  <w:style w:type="paragraph" w:styleId="Header">
    <w:name w:val="header"/>
    <w:basedOn w:val="Normal"/>
    <w:link w:val="HeaderChar"/>
    <w:uiPriority w:val="99"/>
    <w:unhideWhenUsed/>
    <w:rsid w:val="00AB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1E6"/>
  </w:style>
  <w:style w:type="paragraph" w:styleId="Footer">
    <w:name w:val="footer"/>
    <w:basedOn w:val="Normal"/>
    <w:link w:val="FooterChar"/>
    <w:uiPriority w:val="99"/>
    <w:unhideWhenUsed/>
    <w:rsid w:val="00AB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1E6"/>
  </w:style>
  <w:style w:type="paragraph" w:styleId="BalloonText">
    <w:name w:val="Balloon Text"/>
    <w:basedOn w:val="Normal"/>
    <w:link w:val="BalloonTextChar"/>
    <w:uiPriority w:val="99"/>
    <w:semiHidden/>
    <w:unhideWhenUsed/>
    <w:rsid w:val="00BE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B4"/>
    <w:rPr>
      <w:rFonts w:ascii="Tahoma" w:hAnsi="Tahoma" w:cs="Tahoma"/>
      <w:sz w:val="16"/>
      <w:szCs w:val="16"/>
    </w:rPr>
  </w:style>
  <w:style w:type="paragraph" w:styleId="Revision">
    <w:name w:val="Revision"/>
    <w:hidden/>
    <w:uiPriority w:val="99"/>
    <w:semiHidden/>
    <w:rsid w:val="00111600"/>
    <w:pPr>
      <w:spacing w:after="0" w:line="240" w:lineRule="auto"/>
    </w:pPr>
  </w:style>
  <w:style w:type="paragraph" w:customStyle="1" w:styleId="prb-anyhead">
    <w:name w:val="prb-anyhead"/>
    <w:basedOn w:val="Normal"/>
    <w:rsid w:val="00083B7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ri">
    <w:name w:val="pri"/>
    <w:basedOn w:val="Normal"/>
    <w:rsid w:val="00083B7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EA61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152"/>
    <w:rPr>
      <w:sz w:val="20"/>
      <w:szCs w:val="20"/>
    </w:rPr>
  </w:style>
  <w:style w:type="character" w:styleId="FootnoteReference">
    <w:name w:val="footnote reference"/>
    <w:basedOn w:val="DefaultParagraphFont"/>
    <w:uiPriority w:val="99"/>
    <w:semiHidden/>
    <w:unhideWhenUsed/>
    <w:rsid w:val="00EA61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0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D6FE-217A-4B35-9B2F-5E51FD38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5500</Words>
  <Characters>31352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Mokhare</dc:creator>
  <cp:keywords/>
  <dc:description/>
  <cp:lastModifiedBy>Mokone</cp:lastModifiedBy>
  <cp:revision>3</cp:revision>
  <cp:lastPrinted>2022-03-14T07:14:00Z</cp:lastPrinted>
  <dcterms:created xsi:type="dcterms:W3CDTF">2022-05-30T08:13:00Z</dcterms:created>
  <dcterms:modified xsi:type="dcterms:W3CDTF">2022-05-30T08:15:00Z</dcterms:modified>
</cp:coreProperties>
</file>