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D8E7" w14:textId="77777777" w:rsidR="00770A4E" w:rsidRPr="00467317" w:rsidRDefault="00770A4E" w:rsidP="00770A4E">
      <w:pPr>
        <w:jc w:val="center"/>
        <w:rPr>
          <w:b/>
          <w:sz w:val="26"/>
          <w:szCs w:val="26"/>
        </w:rPr>
      </w:pPr>
      <w:bookmarkStart w:id="0" w:name="_GoBack"/>
      <w:bookmarkEnd w:id="0"/>
      <w:r w:rsidRPr="00467317">
        <w:rPr>
          <w:b/>
          <w:sz w:val="26"/>
          <w:szCs w:val="26"/>
        </w:rPr>
        <w:t>REPUBLIC OF SOUTH AFRICA</w:t>
      </w:r>
    </w:p>
    <w:p w14:paraId="34B1B769" w14:textId="77777777" w:rsidR="00770A4E" w:rsidRPr="00467317" w:rsidRDefault="00770A4E" w:rsidP="00770A4E">
      <w:pPr>
        <w:jc w:val="center"/>
        <w:rPr>
          <w:b/>
          <w:sz w:val="28"/>
        </w:rPr>
      </w:pPr>
    </w:p>
    <w:p w14:paraId="20D61867" w14:textId="77777777" w:rsidR="00770A4E" w:rsidRPr="00467317" w:rsidRDefault="00770A4E" w:rsidP="00770A4E">
      <w:pPr>
        <w:spacing w:line="360" w:lineRule="auto"/>
        <w:jc w:val="center"/>
        <w:rPr>
          <w:b/>
          <w:sz w:val="28"/>
        </w:rPr>
      </w:pPr>
      <w:r w:rsidRPr="00467317">
        <w:rPr>
          <w:b/>
          <w:noProof/>
          <w:sz w:val="28"/>
          <w:lang w:val="en-US"/>
        </w:rPr>
        <w:drawing>
          <wp:inline distT="0" distB="0" distL="0" distR="0" wp14:anchorId="624BE183" wp14:editId="14175B59">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5072F86A" w14:textId="77777777" w:rsidR="00770A4E" w:rsidRPr="00467317" w:rsidRDefault="00770A4E" w:rsidP="00770A4E">
      <w:pPr>
        <w:jc w:val="center"/>
        <w:rPr>
          <w:b/>
          <w:sz w:val="26"/>
          <w:szCs w:val="26"/>
        </w:rPr>
      </w:pPr>
      <w:r w:rsidRPr="00467317">
        <w:rPr>
          <w:b/>
          <w:sz w:val="26"/>
          <w:szCs w:val="26"/>
        </w:rPr>
        <w:t>IN THE HIGH COURT OF SOUTH AFRICA,</w:t>
      </w:r>
    </w:p>
    <w:p w14:paraId="65B0E1E8" w14:textId="77777777" w:rsidR="00770A4E" w:rsidRPr="00467317" w:rsidRDefault="00770A4E" w:rsidP="00770A4E">
      <w:pPr>
        <w:jc w:val="center"/>
        <w:rPr>
          <w:b/>
          <w:sz w:val="26"/>
          <w:szCs w:val="26"/>
        </w:rPr>
      </w:pPr>
      <w:r w:rsidRPr="00467317">
        <w:rPr>
          <w:b/>
          <w:sz w:val="26"/>
          <w:szCs w:val="26"/>
        </w:rPr>
        <w:t>GAUTENG LOCAL DIVISION,</w:t>
      </w:r>
    </w:p>
    <w:p w14:paraId="4DD77498" w14:textId="77777777" w:rsidR="00770A4E" w:rsidRPr="00467317" w:rsidRDefault="00770A4E" w:rsidP="00770A4E">
      <w:pPr>
        <w:jc w:val="center"/>
        <w:rPr>
          <w:b/>
          <w:sz w:val="22"/>
          <w:szCs w:val="26"/>
        </w:rPr>
      </w:pPr>
      <w:r w:rsidRPr="00467317">
        <w:rPr>
          <w:b/>
          <w:sz w:val="26"/>
          <w:szCs w:val="26"/>
        </w:rPr>
        <w:t>JOHANNESBURG</w:t>
      </w:r>
    </w:p>
    <w:p w14:paraId="5DA0D9F6" w14:textId="20FF0753" w:rsidR="00770A4E" w:rsidRPr="00BE3885" w:rsidRDefault="00770A4E" w:rsidP="009055B4">
      <w:pPr>
        <w:widowControl w:val="0"/>
        <w:wordWrap w:val="0"/>
        <w:autoSpaceDE w:val="0"/>
        <w:autoSpaceDN w:val="0"/>
        <w:spacing w:line="313" w:lineRule="auto"/>
        <w:ind w:left="795" w:hanging="795"/>
        <w:rPr>
          <w:rFonts w:cs="Arial"/>
          <w:w w:val="0"/>
          <w:kern w:val="2"/>
          <w:sz w:val="22"/>
          <w:szCs w:val="22"/>
          <w:lang w:eastAsia="ko-KR"/>
        </w:rPr>
      </w:pPr>
    </w:p>
    <w:tbl>
      <w:tblPr>
        <w:tblStyle w:val="TableGrid"/>
        <w:tblW w:w="0" w:type="auto"/>
        <w:tblInd w:w="-10" w:type="dxa"/>
        <w:tbl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insideH w:val="single" w:sz="8" w:space="0" w:color="3B3838" w:themeColor="background2" w:themeShade="40"/>
          <w:insideV w:val="single" w:sz="8" w:space="0" w:color="3B3838" w:themeColor="background2" w:themeShade="40"/>
        </w:tblBorders>
        <w:tblLook w:val="04A0" w:firstRow="1" w:lastRow="0" w:firstColumn="1" w:lastColumn="0" w:noHBand="0" w:noVBand="1"/>
      </w:tblPr>
      <w:tblGrid>
        <w:gridCol w:w="4962"/>
      </w:tblGrid>
      <w:tr w:rsidR="009055B4" w:rsidRPr="00BE3885" w14:paraId="758D1993" w14:textId="77777777" w:rsidTr="00792CDB">
        <w:tc>
          <w:tcPr>
            <w:tcW w:w="4962" w:type="dxa"/>
          </w:tcPr>
          <w:p w14:paraId="62DBD7C9" w14:textId="3A65ED52" w:rsidR="009055B4" w:rsidRPr="0070421C" w:rsidRDefault="0070421C" w:rsidP="0070421C">
            <w:pPr>
              <w:widowControl w:val="0"/>
              <w:wordWrap w:val="0"/>
              <w:autoSpaceDE w:val="0"/>
              <w:autoSpaceDN w:val="0"/>
              <w:spacing w:before="120" w:line="312" w:lineRule="auto"/>
              <w:ind w:left="567" w:hanging="567"/>
              <w:rPr>
                <w:rFonts w:cs="Arial"/>
                <w:w w:val="0"/>
                <w:kern w:val="2"/>
                <w:sz w:val="22"/>
                <w:szCs w:val="22"/>
                <w:lang w:eastAsia="ko-KR"/>
              </w:rPr>
            </w:pPr>
            <w:r w:rsidRPr="00BE3885">
              <w:rPr>
                <w:rFonts w:cs="Arial"/>
                <w:w w:val="0"/>
                <w:kern w:val="2"/>
                <w:sz w:val="22"/>
                <w:szCs w:val="22"/>
                <w:lang w:eastAsia="ko-KR"/>
              </w:rPr>
              <w:t>(1)</w:t>
            </w:r>
            <w:r w:rsidRPr="00BE3885">
              <w:rPr>
                <w:rFonts w:cs="Arial"/>
                <w:w w:val="0"/>
                <w:kern w:val="2"/>
                <w:sz w:val="22"/>
                <w:szCs w:val="22"/>
                <w:lang w:eastAsia="ko-KR"/>
              </w:rPr>
              <w:tab/>
            </w:r>
            <w:r w:rsidR="009055B4" w:rsidRPr="0070421C">
              <w:rPr>
                <w:rFonts w:cs="Arial"/>
                <w:w w:val="0"/>
                <w:kern w:val="2"/>
                <w:sz w:val="22"/>
                <w:szCs w:val="22"/>
                <w:lang w:eastAsia="ko-KR"/>
              </w:rPr>
              <w:t xml:space="preserve">REPORTABLE: </w:t>
            </w:r>
            <w:r w:rsidR="009055B4" w:rsidRPr="0070421C">
              <w:rPr>
                <w:rFonts w:cs="Arial"/>
                <w:b/>
                <w:bCs/>
                <w:w w:val="0"/>
                <w:kern w:val="2"/>
                <w:sz w:val="22"/>
                <w:szCs w:val="22"/>
                <w:lang w:eastAsia="ko-KR"/>
              </w:rPr>
              <w:t>YES</w:t>
            </w:r>
          </w:p>
          <w:p w14:paraId="77323010" w14:textId="7D4E4A2A" w:rsidR="009055B4" w:rsidRPr="0070421C" w:rsidRDefault="0070421C" w:rsidP="0070421C">
            <w:pPr>
              <w:widowControl w:val="0"/>
              <w:wordWrap w:val="0"/>
              <w:autoSpaceDE w:val="0"/>
              <w:autoSpaceDN w:val="0"/>
              <w:spacing w:line="312" w:lineRule="auto"/>
              <w:ind w:left="567" w:hanging="567"/>
              <w:rPr>
                <w:rFonts w:cs="Arial"/>
                <w:w w:val="0"/>
                <w:kern w:val="2"/>
                <w:sz w:val="22"/>
                <w:szCs w:val="22"/>
                <w:lang w:eastAsia="ko-KR"/>
              </w:rPr>
            </w:pPr>
            <w:r w:rsidRPr="00BE3885">
              <w:rPr>
                <w:rFonts w:cs="Arial"/>
                <w:w w:val="0"/>
                <w:kern w:val="2"/>
                <w:sz w:val="22"/>
                <w:szCs w:val="22"/>
                <w:lang w:eastAsia="ko-KR"/>
              </w:rPr>
              <w:t>(2)</w:t>
            </w:r>
            <w:r w:rsidRPr="00BE3885">
              <w:rPr>
                <w:rFonts w:cs="Arial"/>
                <w:w w:val="0"/>
                <w:kern w:val="2"/>
                <w:sz w:val="22"/>
                <w:szCs w:val="22"/>
                <w:lang w:eastAsia="ko-KR"/>
              </w:rPr>
              <w:tab/>
            </w:r>
            <w:r w:rsidR="009055B4" w:rsidRPr="0070421C">
              <w:rPr>
                <w:rFonts w:cs="Arial"/>
                <w:w w:val="0"/>
                <w:kern w:val="2"/>
                <w:sz w:val="22"/>
                <w:szCs w:val="22"/>
                <w:lang w:eastAsia="ko-KR"/>
              </w:rPr>
              <w:t xml:space="preserve">OF INTEREST TO OTHER JUDGES: </w:t>
            </w:r>
            <w:r w:rsidR="009055B4" w:rsidRPr="0070421C">
              <w:rPr>
                <w:rFonts w:cs="Arial"/>
                <w:b/>
                <w:bCs/>
                <w:w w:val="0"/>
                <w:kern w:val="2"/>
                <w:sz w:val="22"/>
                <w:szCs w:val="22"/>
                <w:lang w:eastAsia="ko-KR"/>
              </w:rPr>
              <w:t>YES</w:t>
            </w:r>
          </w:p>
          <w:p w14:paraId="7B81E144" w14:textId="397D6196" w:rsidR="009055B4" w:rsidRPr="0070421C" w:rsidRDefault="0070421C" w:rsidP="0070421C">
            <w:pPr>
              <w:widowControl w:val="0"/>
              <w:wordWrap w:val="0"/>
              <w:autoSpaceDE w:val="0"/>
              <w:autoSpaceDN w:val="0"/>
              <w:spacing w:line="312" w:lineRule="auto"/>
              <w:ind w:left="567" w:hanging="567"/>
              <w:rPr>
                <w:rFonts w:cs="Arial"/>
                <w:w w:val="0"/>
                <w:kern w:val="2"/>
                <w:sz w:val="22"/>
                <w:szCs w:val="22"/>
                <w:lang w:eastAsia="ko-KR"/>
              </w:rPr>
            </w:pPr>
            <w:r w:rsidRPr="00BE3885">
              <w:rPr>
                <w:rFonts w:cs="Arial"/>
                <w:w w:val="0"/>
                <w:kern w:val="2"/>
                <w:sz w:val="22"/>
                <w:szCs w:val="22"/>
                <w:lang w:eastAsia="ko-KR"/>
              </w:rPr>
              <w:t>(3)</w:t>
            </w:r>
            <w:r w:rsidRPr="00BE3885">
              <w:rPr>
                <w:rFonts w:cs="Arial"/>
                <w:w w:val="0"/>
                <w:kern w:val="2"/>
                <w:sz w:val="22"/>
                <w:szCs w:val="22"/>
                <w:lang w:eastAsia="ko-KR"/>
              </w:rPr>
              <w:tab/>
            </w:r>
            <w:r w:rsidR="009055B4" w:rsidRPr="0070421C">
              <w:rPr>
                <w:rFonts w:cs="Arial"/>
                <w:w w:val="0"/>
                <w:kern w:val="2"/>
                <w:sz w:val="22"/>
                <w:szCs w:val="22"/>
                <w:lang w:eastAsia="ko-KR"/>
              </w:rPr>
              <w:t xml:space="preserve">REVISED: </w:t>
            </w:r>
            <w:r w:rsidR="009055B4" w:rsidRPr="0070421C">
              <w:rPr>
                <w:rFonts w:cs="Arial"/>
                <w:b/>
                <w:bCs/>
                <w:w w:val="0"/>
                <w:kern w:val="2"/>
                <w:sz w:val="22"/>
                <w:szCs w:val="22"/>
                <w:lang w:eastAsia="ko-KR"/>
              </w:rPr>
              <w:t>YES</w:t>
            </w:r>
          </w:p>
          <w:p w14:paraId="23073641" w14:textId="61308BC4" w:rsidR="009055B4" w:rsidRPr="00BE3885" w:rsidRDefault="009055B4" w:rsidP="003E7DA4">
            <w:pPr>
              <w:pStyle w:val="ListParagraph"/>
              <w:widowControl w:val="0"/>
              <w:tabs>
                <w:tab w:val="left" w:pos="3860"/>
              </w:tabs>
              <w:wordWrap w:val="0"/>
              <w:autoSpaceDE w:val="0"/>
              <w:autoSpaceDN w:val="0"/>
              <w:spacing w:line="312" w:lineRule="auto"/>
              <w:ind w:left="567"/>
              <w:rPr>
                <w:rFonts w:cs="Arial"/>
                <w:w w:val="0"/>
                <w:kern w:val="2"/>
                <w:sz w:val="22"/>
                <w:szCs w:val="22"/>
                <w:lang w:eastAsia="ko-KR"/>
              </w:rPr>
            </w:pPr>
          </w:p>
          <w:p w14:paraId="3C342CAA" w14:textId="3E70493F" w:rsidR="009055B4" w:rsidRPr="00BE3885" w:rsidRDefault="00BE3885" w:rsidP="009055B4">
            <w:pPr>
              <w:pStyle w:val="ListParagraph"/>
              <w:widowControl w:val="0"/>
              <w:wordWrap w:val="0"/>
              <w:autoSpaceDE w:val="0"/>
              <w:autoSpaceDN w:val="0"/>
              <w:spacing w:line="312" w:lineRule="auto"/>
              <w:ind w:left="567"/>
              <w:rPr>
                <w:rFonts w:cs="Arial"/>
                <w:w w:val="0"/>
                <w:kern w:val="2"/>
                <w:sz w:val="22"/>
                <w:szCs w:val="22"/>
                <w:lang w:eastAsia="ko-KR"/>
              </w:rPr>
            </w:pPr>
            <w:r>
              <w:rPr>
                <w:rFonts w:cs="Arial"/>
                <w:w w:val="0"/>
                <w:kern w:val="2"/>
                <w:sz w:val="22"/>
                <w:szCs w:val="22"/>
                <w:u w:val="single"/>
                <w:lang w:eastAsia="ko-KR"/>
              </w:rPr>
              <w:t>1</w:t>
            </w:r>
            <w:r w:rsidR="009055B4" w:rsidRPr="00BE3885">
              <w:rPr>
                <w:rFonts w:cs="Arial"/>
                <w:w w:val="0"/>
                <w:kern w:val="2"/>
                <w:sz w:val="22"/>
                <w:szCs w:val="22"/>
                <w:u w:val="single"/>
                <w:lang w:eastAsia="ko-KR"/>
              </w:rPr>
              <w:t>5/03/2022</w:t>
            </w:r>
            <w:r w:rsidR="009055B4" w:rsidRPr="00BE3885">
              <w:rPr>
                <w:rFonts w:cs="Arial"/>
                <w:w w:val="0"/>
                <w:kern w:val="2"/>
                <w:sz w:val="22"/>
                <w:szCs w:val="22"/>
                <w:lang w:eastAsia="ko-KR"/>
              </w:rPr>
              <w:t xml:space="preserve"> </w:t>
            </w:r>
            <w:r>
              <w:rPr>
                <w:rFonts w:cs="Arial"/>
                <w:w w:val="0"/>
                <w:kern w:val="2"/>
                <w:sz w:val="22"/>
                <w:szCs w:val="22"/>
                <w:lang w:eastAsia="ko-KR"/>
              </w:rPr>
              <w:t xml:space="preserve">             </w:t>
            </w:r>
            <w:r w:rsidR="009055B4" w:rsidRPr="00BE3885">
              <w:rPr>
                <w:rFonts w:cs="Arial"/>
                <w:w w:val="0"/>
                <w:kern w:val="2"/>
                <w:sz w:val="22"/>
                <w:szCs w:val="22"/>
                <w:lang w:eastAsia="ko-KR"/>
              </w:rPr>
              <w:t xml:space="preserve"> ______________</w:t>
            </w:r>
            <w:r>
              <w:rPr>
                <w:rFonts w:cs="Arial"/>
                <w:w w:val="0"/>
                <w:kern w:val="2"/>
                <w:sz w:val="22"/>
                <w:szCs w:val="22"/>
                <w:lang w:eastAsia="ko-KR"/>
              </w:rPr>
              <w:t>___</w:t>
            </w:r>
          </w:p>
          <w:p w14:paraId="7CB637F1" w14:textId="0C9999E6" w:rsidR="009055B4" w:rsidRPr="00BE3885" w:rsidRDefault="009055B4" w:rsidP="009055B4">
            <w:pPr>
              <w:pStyle w:val="ListParagraph"/>
              <w:widowControl w:val="0"/>
              <w:wordWrap w:val="0"/>
              <w:autoSpaceDE w:val="0"/>
              <w:autoSpaceDN w:val="0"/>
              <w:spacing w:line="312" w:lineRule="auto"/>
              <w:ind w:left="567"/>
              <w:rPr>
                <w:rFonts w:cs="Arial"/>
                <w:w w:val="0"/>
                <w:kern w:val="2"/>
                <w:sz w:val="22"/>
                <w:szCs w:val="22"/>
                <w:lang w:eastAsia="ko-KR"/>
              </w:rPr>
            </w:pPr>
            <w:r w:rsidRPr="00BE3885">
              <w:rPr>
                <w:rFonts w:cs="Arial"/>
                <w:w w:val="0"/>
                <w:kern w:val="2"/>
                <w:sz w:val="22"/>
                <w:szCs w:val="22"/>
                <w:lang w:eastAsia="ko-KR"/>
              </w:rPr>
              <w:t>DATE                       SIGNATURE</w:t>
            </w:r>
          </w:p>
        </w:tc>
      </w:tr>
    </w:tbl>
    <w:p w14:paraId="3ABF3CB5" w14:textId="0C7BBF4D" w:rsidR="00BE3885" w:rsidRPr="00BE3885" w:rsidRDefault="00BE3885" w:rsidP="00BE3885">
      <w:pPr>
        <w:widowControl w:val="0"/>
        <w:wordWrap w:val="0"/>
        <w:autoSpaceDE w:val="0"/>
        <w:autoSpaceDN w:val="0"/>
        <w:spacing w:line="480" w:lineRule="auto"/>
        <w:rPr>
          <w:rFonts w:cs="Arial"/>
          <w:w w:val="0"/>
          <w:kern w:val="2"/>
          <w:sz w:val="22"/>
          <w:szCs w:val="22"/>
          <w:lang w:eastAsia="ko-KR"/>
        </w:rPr>
      </w:pPr>
    </w:p>
    <w:p w14:paraId="3E488AC3" w14:textId="411C39A7" w:rsidR="00770A4E" w:rsidRPr="00467317" w:rsidRDefault="00770A4E" w:rsidP="00AD6F55">
      <w:pPr>
        <w:widowControl w:val="0"/>
        <w:wordWrap w:val="0"/>
        <w:autoSpaceDE w:val="0"/>
        <w:autoSpaceDN w:val="0"/>
        <w:spacing w:line="360" w:lineRule="auto"/>
        <w:rPr>
          <w:rFonts w:cs="Arial"/>
          <w:w w:val="0"/>
          <w:kern w:val="2"/>
          <w:sz w:val="22"/>
          <w:szCs w:val="22"/>
          <w:lang w:eastAsia="ko-KR"/>
        </w:rPr>
      </w:pPr>
      <w:r w:rsidRPr="00467317">
        <w:rPr>
          <w:rFonts w:cs="Arial"/>
          <w:w w:val="0"/>
          <w:kern w:val="2"/>
          <w:sz w:val="22"/>
          <w:szCs w:val="22"/>
          <w:lang w:eastAsia="ko-KR"/>
        </w:rPr>
        <w:t>In the matter</w:t>
      </w:r>
      <w:r w:rsidR="00C026F8" w:rsidRPr="00467317">
        <w:rPr>
          <w:rFonts w:cs="Arial"/>
          <w:w w:val="0"/>
          <w:kern w:val="2"/>
          <w:sz w:val="22"/>
          <w:szCs w:val="22"/>
          <w:lang w:eastAsia="ko-KR"/>
        </w:rPr>
        <w:t>s</w:t>
      </w:r>
      <w:r w:rsidRPr="00467317">
        <w:rPr>
          <w:rFonts w:cs="Arial"/>
          <w:w w:val="0"/>
          <w:kern w:val="2"/>
          <w:sz w:val="22"/>
          <w:szCs w:val="22"/>
          <w:lang w:eastAsia="ko-KR"/>
        </w:rPr>
        <w:t xml:space="preserve"> between:</w:t>
      </w:r>
      <w:r w:rsidR="001745F5" w:rsidRPr="00467317">
        <w:rPr>
          <w:rFonts w:cs="Arial"/>
          <w:w w:val="0"/>
          <w:kern w:val="2"/>
          <w:sz w:val="22"/>
          <w:szCs w:val="22"/>
          <w:lang w:eastAsia="ko-KR"/>
        </w:rPr>
        <w:t xml:space="preserve"> </w:t>
      </w:r>
    </w:p>
    <w:p w14:paraId="357D1009" w14:textId="77777777" w:rsidR="00C474CF" w:rsidRPr="00467317" w:rsidRDefault="00C474CF" w:rsidP="00BE3885">
      <w:pPr>
        <w:widowControl w:val="0"/>
        <w:wordWrap w:val="0"/>
        <w:autoSpaceDE w:val="0"/>
        <w:autoSpaceDN w:val="0"/>
        <w:spacing w:line="360" w:lineRule="auto"/>
        <w:ind w:left="795" w:hanging="795"/>
        <w:rPr>
          <w:rFonts w:cs="Arial"/>
          <w:w w:val="0"/>
          <w:kern w:val="2"/>
          <w:sz w:val="22"/>
          <w:szCs w:val="22"/>
          <w:lang w:eastAsia="ko-K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977"/>
      </w:tblGrid>
      <w:tr w:rsidR="007B274B" w:rsidRPr="00467317" w14:paraId="076FA7B4" w14:textId="77777777" w:rsidTr="00AD6F55">
        <w:tc>
          <w:tcPr>
            <w:tcW w:w="6096" w:type="dxa"/>
            <w:tcBorders>
              <w:top w:val="dotted" w:sz="4" w:space="0" w:color="auto"/>
              <w:left w:val="dotted" w:sz="4" w:space="0" w:color="auto"/>
              <w:bottom w:val="dotted" w:sz="4" w:space="0" w:color="auto"/>
              <w:right w:val="nil"/>
            </w:tcBorders>
          </w:tcPr>
          <w:p w14:paraId="427C7E2D" w14:textId="4319CC50" w:rsidR="00C026F8" w:rsidRPr="00467317" w:rsidRDefault="00C026F8" w:rsidP="00AD6F55">
            <w:pPr>
              <w:spacing w:before="120" w:line="360" w:lineRule="auto"/>
              <w:rPr>
                <w:rFonts w:cs="Arial"/>
                <w:b/>
                <w:sz w:val="22"/>
                <w:szCs w:val="22"/>
              </w:rPr>
            </w:pPr>
            <w:r w:rsidRPr="00467317">
              <w:rPr>
                <w:rFonts w:cs="Arial"/>
                <w:b/>
                <w:sz w:val="22"/>
                <w:szCs w:val="22"/>
              </w:rPr>
              <w:t>ABSA BANK LIMITED</w:t>
            </w:r>
          </w:p>
          <w:p w14:paraId="3F2727A0" w14:textId="6CC35B03" w:rsidR="00C026F8" w:rsidRPr="00467317" w:rsidRDefault="00C026F8" w:rsidP="00AD6F55">
            <w:pPr>
              <w:spacing w:line="360" w:lineRule="auto"/>
              <w:rPr>
                <w:rFonts w:cs="Arial"/>
                <w:b/>
                <w:sz w:val="22"/>
                <w:szCs w:val="22"/>
              </w:rPr>
            </w:pPr>
            <w:r w:rsidRPr="00467317">
              <w:rPr>
                <w:rFonts w:cs="Arial"/>
                <w:b/>
                <w:sz w:val="22"/>
                <w:szCs w:val="22"/>
              </w:rPr>
              <w:t>vs</w:t>
            </w:r>
          </w:p>
          <w:p w14:paraId="598485E3" w14:textId="0053CFC6" w:rsidR="00BB62AC" w:rsidRPr="00467317" w:rsidRDefault="00C026F8" w:rsidP="00E350F5">
            <w:pPr>
              <w:spacing w:after="120"/>
              <w:rPr>
                <w:rFonts w:cs="Arial"/>
                <w:bCs/>
                <w:sz w:val="22"/>
                <w:szCs w:val="22"/>
              </w:rPr>
            </w:pPr>
            <w:r w:rsidRPr="00467317">
              <w:rPr>
                <w:rFonts w:cs="Arial"/>
                <w:b/>
                <w:sz w:val="22"/>
                <w:szCs w:val="22"/>
              </w:rPr>
              <w:t>SABLE HILLS WATERFRONT ESTATES CC, ANDRIES VENTER TRUST N.O.</w:t>
            </w:r>
            <w:r w:rsidR="00E350F5" w:rsidRPr="00467317">
              <w:rPr>
                <w:rFonts w:cs="Arial"/>
                <w:b/>
                <w:sz w:val="22"/>
                <w:szCs w:val="22"/>
              </w:rPr>
              <w:t>,</w:t>
            </w:r>
            <w:r w:rsidRPr="00467317">
              <w:rPr>
                <w:rFonts w:cs="Arial"/>
                <w:b/>
                <w:sz w:val="22"/>
                <w:szCs w:val="22"/>
              </w:rPr>
              <w:t xml:space="preserve"> LETITIA VENTER N.O., GRAHAM BRUCE PECK</w:t>
            </w:r>
            <w:r w:rsidRPr="00467317">
              <w:rPr>
                <w:rFonts w:cs="Arial"/>
                <w:bCs/>
                <w:sz w:val="22"/>
                <w:szCs w:val="22"/>
              </w:rPr>
              <w:t xml:space="preserve"> </w:t>
            </w:r>
          </w:p>
          <w:p w14:paraId="24369A45" w14:textId="65F92F51" w:rsidR="00C026F8" w:rsidRPr="00467317" w:rsidRDefault="00C026F8" w:rsidP="00AD6F55">
            <w:pPr>
              <w:spacing w:after="120"/>
              <w:rPr>
                <w:rFonts w:cs="Arial"/>
                <w:bCs/>
                <w:sz w:val="22"/>
                <w:szCs w:val="22"/>
              </w:rPr>
            </w:pPr>
            <w:r w:rsidRPr="00467317">
              <w:rPr>
                <w:rFonts w:cs="Arial"/>
                <w:bCs/>
                <w:sz w:val="22"/>
                <w:szCs w:val="22"/>
              </w:rPr>
              <w:t>(</w:t>
            </w:r>
            <w:r w:rsidRPr="00467317">
              <w:rPr>
                <w:rFonts w:cs="Arial"/>
                <w:b/>
                <w:sz w:val="22"/>
                <w:szCs w:val="22"/>
              </w:rPr>
              <w:t>Case number 2020/15210</w:t>
            </w:r>
            <w:r w:rsidRPr="00467317">
              <w:rPr>
                <w:rFonts w:cs="Arial"/>
                <w:bCs/>
                <w:sz w:val="22"/>
                <w:szCs w:val="22"/>
              </w:rPr>
              <w:t>)</w:t>
            </w:r>
          </w:p>
        </w:tc>
        <w:tc>
          <w:tcPr>
            <w:tcW w:w="2977" w:type="dxa"/>
            <w:tcBorders>
              <w:top w:val="dotted" w:sz="4" w:space="0" w:color="auto"/>
              <w:left w:val="nil"/>
              <w:bottom w:val="dotted" w:sz="4" w:space="0" w:color="auto"/>
              <w:right w:val="dotted" w:sz="4" w:space="0" w:color="auto"/>
            </w:tcBorders>
          </w:tcPr>
          <w:p w14:paraId="249923C5" w14:textId="77777777" w:rsidR="00BB62AC" w:rsidRPr="00467317" w:rsidRDefault="00BB62AC" w:rsidP="00BB62AC">
            <w:pPr>
              <w:jc w:val="right"/>
              <w:rPr>
                <w:rFonts w:cs="Arial"/>
                <w:sz w:val="22"/>
                <w:szCs w:val="22"/>
              </w:rPr>
            </w:pPr>
          </w:p>
          <w:p w14:paraId="5DC91D23" w14:textId="23991DE7" w:rsidR="00770A4E" w:rsidRPr="00467317" w:rsidRDefault="00770A4E" w:rsidP="00F27D17">
            <w:pPr>
              <w:spacing w:after="120"/>
              <w:jc w:val="right"/>
              <w:rPr>
                <w:rFonts w:cs="Arial"/>
                <w:sz w:val="22"/>
                <w:szCs w:val="22"/>
              </w:rPr>
            </w:pPr>
          </w:p>
        </w:tc>
      </w:tr>
      <w:tr w:rsidR="007B274B" w:rsidRPr="00467317" w14:paraId="100E0401" w14:textId="77777777" w:rsidTr="00AD6F55">
        <w:tc>
          <w:tcPr>
            <w:tcW w:w="6096" w:type="dxa"/>
            <w:tcBorders>
              <w:top w:val="dotted" w:sz="4" w:space="0" w:color="auto"/>
              <w:left w:val="nil"/>
              <w:bottom w:val="nil"/>
              <w:right w:val="nil"/>
            </w:tcBorders>
          </w:tcPr>
          <w:p w14:paraId="61814BA7" w14:textId="77777777" w:rsidR="00770A4E" w:rsidRPr="00467317" w:rsidRDefault="00770A4E" w:rsidP="00AD6F55">
            <w:pPr>
              <w:rPr>
                <w:rFonts w:cs="Arial"/>
                <w:b/>
                <w:sz w:val="22"/>
                <w:szCs w:val="22"/>
              </w:rPr>
            </w:pPr>
          </w:p>
        </w:tc>
        <w:tc>
          <w:tcPr>
            <w:tcW w:w="2977" w:type="dxa"/>
            <w:tcBorders>
              <w:top w:val="dotted" w:sz="4" w:space="0" w:color="auto"/>
              <w:left w:val="nil"/>
              <w:bottom w:val="nil"/>
              <w:right w:val="nil"/>
            </w:tcBorders>
          </w:tcPr>
          <w:p w14:paraId="38402667" w14:textId="77777777" w:rsidR="00770A4E" w:rsidRPr="00467317" w:rsidRDefault="00770A4E" w:rsidP="00F27D17">
            <w:pPr>
              <w:spacing w:after="120"/>
              <w:jc w:val="right"/>
              <w:rPr>
                <w:rFonts w:cs="Arial"/>
                <w:sz w:val="22"/>
                <w:szCs w:val="22"/>
              </w:rPr>
            </w:pPr>
          </w:p>
        </w:tc>
      </w:tr>
      <w:tr w:rsidR="007B274B" w:rsidRPr="00467317" w14:paraId="1C68BBC8" w14:textId="77777777" w:rsidTr="00F27D17">
        <w:tc>
          <w:tcPr>
            <w:tcW w:w="6096" w:type="dxa"/>
            <w:tcBorders>
              <w:top w:val="nil"/>
              <w:left w:val="nil"/>
              <w:bottom w:val="nil"/>
              <w:right w:val="nil"/>
            </w:tcBorders>
          </w:tcPr>
          <w:p w14:paraId="3552FB71" w14:textId="77777777" w:rsidR="00AD6F55" w:rsidRPr="00467317" w:rsidRDefault="00AD6F55" w:rsidP="00AD6F55">
            <w:pPr>
              <w:rPr>
                <w:rFonts w:cs="Arial"/>
                <w:sz w:val="22"/>
                <w:szCs w:val="22"/>
              </w:rPr>
            </w:pPr>
          </w:p>
          <w:p w14:paraId="05AA3380" w14:textId="7576DE4A" w:rsidR="00770A4E" w:rsidRPr="00467317" w:rsidRDefault="00546324" w:rsidP="00AD6F55">
            <w:pPr>
              <w:rPr>
                <w:rFonts w:cs="Arial"/>
                <w:sz w:val="22"/>
                <w:szCs w:val="22"/>
              </w:rPr>
            </w:pPr>
            <w:r w:rsidRPr="00467317">
              <w:rPr>
                <w:rFonts w:cs="Arial"/>
                <w:sz w:val="22"/>
                <w:szCs w:val="22"/>
              </w:rPr>
              <w:t>a</w:t>
            </w:r>
            <w:r w:rsidR="00770A4E" w:rsidRPr="00467317">
              <w:rPr>
                <w:rFonts w:cs="Arial"/>
                <w:sz w:val="22"/>
                <w:szCs w:val="22"/>
              </w:rPr>
              <w:t>nd</w:t>
            </w:r>
          </w:p>
          <w:p w14:paraId="04BC51E4" w14:textId="50A9302E" w:rsidR="00AD6F55" w:rsidRPr="00467317" w:rsidRDefault="00AD6F55" w:rsidP="00AD6F55">
            <w:pPr>
              <w:rPr>
                <w:rFonts w:cs="Arial"/>
                <w:sz w:val="22"/>
                <w:szCs w:val="22"/>
              </w:rPr>
            </w:pPr>
          </w:p>
        </w:tc>
        <w:tc>
          <w:tcPr>
            <w:tcW w:w="2977" w:type="dxa"/>
            <w:tcBorders>
              <w:top w:val="nil"/>
              <w:left w:val="nil"/>
              <w:bottom w:val="nil"/>
              <w:right w:val="nil"/>
            </w:tcBorders>
          </w:tcPr>
          <w:p w14:paraId="479E3BCB" w14:textId="77777777" w:rsidR="00770A4E" w:rsidRPr="00467317" w:rsidRDefault="00770A4E" w:rsidP="00F27D17">
            <w:pPr>
              <w:spacing w:after="120"/>
              <w:jc w:val="right"/>
              <w:rPr>
                <w:rFonts w:cs="Arial"/>
                <w:sz w:val="22"/>
                <w:szCs w:val="22"/>
              </w:rPr>
            </w:pPr>
          </w:p>
        </w:tc>
      </w:tr>
      <w:tr w:rsidR="007B274B" w:rsidRPr="00467317" w14:paraId="4D8E0612" w14:textId="77777777" w:rsidTr="00AD6F55">
        <w:tc>
          <w:tcPr>
            <w:tcW w:w="6096" w:type="dxa"/>
            <w:tcBorders>
              <w:top w:val="nil"/>
              <w:left w:val="nil"/>
              <w:bottom w:val="dotted" w:sz="4" w:space="0" w:color="auto"/>
              <w:right w:val="nil"/>
            </w:tcBorders>
          </w:tcPr>
          <w:p w14:paraId="78F8A3BF" w14:textId="77777777" w:rsidR="00770A4E" w:rsidRPr="00467317" w:rsidRDefault="00770A4E" w:rsidP="00AD6F55">
            <w:pPr>
              <w:rPr>
                <w:rFonts w:cs="Arial"/>
                <w:sz w:val="22"/>
                <w:szCs w:val="22"/>
              </w:rPr>
            </w:pPr>
          </w:p>
        </w:tc>
        <w:tc>
          <w:tcPr>
            <w:tcW w:w="2977" w:type="dxa"/>
            <w:tcBorders>
              <w:top w:val="nil"/>
              <w:left w:val="nil"/>
              <w:bottom w:val="dotted" w:sz="4" w:space="0" w:color="auto"/>
              <w:right w:val="nil"/>
            </w:tcBorders>
          </w:tcPr>
          <w:p w14:paraId="75AECA26" w14:textId="77777777" w:rsidR="00770A4E" w:rsidRPr="00467317" w:rsidRDefault="00770A4E" w:rsidP="00F27D17">
            <w:pPr>
              <w:spacing w:after="120"/>
              <w:jc w:val="right"/>
              <w:rPr>
                <w:rFonts w:cs="Arial"/>
                <w:sz w:val="22"/>
                <w:szCs w:val="22"/>
              </w:rPr>
            </w:pPr>
          </w:p>
        </w:tc>
      </w:tr>
      <w:tr w:rsidR="007B274B" w:rsidRPr="00467317" w14:paraId="1C000A5A" w14:textId="77777777" w:rsidTr="00AD6F55">
        <w:tc>
          <w:tcPr>
            <w:tcW w:w="6096" w:type="dxa"/>
            <w:tcBorders>
              <w:top w:val="dotted" w:sz="4" w:space="0" w:color="auto"/>
              <w:left w:val="dotted" w:sz="4" w:space="0" w:color="auto"/>
              <w:bottom w:val="dotted" w:sz="4" w:space="0" w:color="auto"/>
              <w:right w:val="nil"/>
            </w:tcBorders>
          </w:tcPr>
          <w:p w14:paraId="67C63697" w14:textId="77777777" w:rsidR="00E350F5" w:rsidRPr="00467317" w:rsidRDefault="00C026F8" w:rsidP="00AD6F55">
            <w:pPr>
              <w:spacing w:before="120" w:line="360" w:lineRule="auto"/>
              <w:rPr>
                <w:rFonts w:cs="Arial"/>
                <w:b/>
                <w:sz w:val="22"/>
                <w:szCs w:val="22"/>
              </w:rPr>
            </w:pPr>
            <w:r w:rsidRPr="00467317">
              <w:rPr>
                <w:rFonts w:cs="Arial"/>
                <w:b/>
                <w:sz w:val="22"/>
                <w:szCs w:val="22"/>
              </w:rPr>
              <w:t xml:space="preserve">ABSA BANK LIMITED </w:t>
            </w:r>
          </w:p>
          <w:p w14:paraId="5AC9BB1A" w14:textId="2D8343F2" w:rsidR="00E350F5" w:rsidRPr="00467317" w:rsidRDefault="00E350F5" w:rsidP="00AD6F55">
            <w:pPr>
              <w:spacing w:line="360" w:lineRule="auto"/>
              <w:rPr>
                <w:rFonts w:cs="Arial"/>
                <w:b/>
                <w:sz w:val="22"/>
                <w:szCs w:val="22"/>
              </w:rPr>
            </w:pPr>
            <w:r w:rsidRPr="00467317">
              <w:rPr>
                <w:rFonts w:cs="Arial"/>
                <w:b/>
                <w:sz w:val="22"/>
                <w:szCs w:val="22"/>
              </w:rPr>
              <w:t>vs</w:t>
            </w:r>
          </w:p>
          <w:p w14:paraId="055C82A5" w14:textId="3A293B03" w:rsidR="00C474CF" w:rsidRPr="00467317" w:rsidRDefault="00C026F8" w:rsidP="00F27D17">
            <w:pPr>
              <w:spacing w:after="120"/>
              <w:rPr>
                <w:rFonts w:cs="Arial"/>
                <w:bCs/>
                <w:sz w:val="22"/>
                <w:szCs w:val="22"/>
                <w:u w:val="single"/>
              </w:rPr>
            </w:pPr>
            <w:r w:rsidRPr="00467317">
              <w:rPr>
                <w:rFonts w:cs="Arial"/>
                <w:b/>
                <w:sz w:val="22"/>
                <w:szCs w:val="22"/>
              </w:rPr>
              <w:t>ON AIR INVESTMENT HOLDINGS (PTY) LTD, CHARGE UP TRADE AND INVEST, FIRST NATIONAL CORE (PTY) LTD, SAPPLING TRADE AND INVEST 39 (PTY) LIMITED</w:t>
            </w:r>
          </w:p>
          <w:p w14:paraId="55748BC5" w14:textId="4BB4DCF0" w:rsidR="00C026F8" w:rsidRPr="00467317" w:rsidRDefault="00C026F8" w:rsidP="00F27D17">
            <w:pPr>
              <w:spacing w:after="120"/>
              <w:rPr>
                <w:rFonts w:cs="Arial"/>
                <w:bCs/>
                <w:sz w:val="22"/>
                <w:szCs w:val="22"/>
              </w:rPr>
            </w:pPr>
            <w:r w:rsidRPr="00467317">
              <w:rPr>
                <w:rFonts w:cs="Arial"/>
                <w:bCs/>
                <w:sz w:val="22"/>
                <w:szCs w:val="22"/>
              </w:rPr>
              <w:t>(</w:t>
            </w:r>
            <w:r w:rsidRPr="00467317">
              <w:rPr>
                <w:rFonts w:cs="Arial"/>
                <w:b/>
                <w:sz w:val="22"/>
                <w:szCs w:val="22"/>
              </w:rPr>
              <w:t>Case number 2020/41768</w:t>
            </w:r>
            <w:r w:rsidRPr="00467317">
              <w:rPr>
                <w:rFonts w:cs="Arial"/>
                <w:bCs/>
                <w:sz w:val="22"/>
                <w:szCs w:val="22"/>
              </w:rPr>
              <w:t>)</w:t>
            </w:r>
          </w:p>
        </w:tc>
        <w:tc>
          <w:tcPr>
            <w:tcW w:w="2977" w:type="dxa"/>
            <w:tcBorders>
              <w:top w:val="dotted" w:sz="4" w:space="0" w:color="auto"/>
              <w:left w:val="nil"/>
              <w:bottom w:val="dotted" w:sz="4" w:space="0" w:color="auto"/>
              <w:right w:val="dotted" w:sz="4" w:space="0" w:color="auto"/>
            </w:tcBorders>
          </w:tcPr>
          <w:p w14:paraId="7322E033" w14:textId="1FD26505" w:rsidR="00C474CF" w:rsidRPr="00467317" w:rsidRDefault="00C474CF" w:rsidP="00C474CF">
            <w:pPr>
              <w:jc w:val="right"/>
              <w:rPr>
                <w:rFonts w:cs="Arial"/>
                <w:sz w:val="22"/>
                <w:szCs w:val="22"/>
              </w:rPr>
            </w:pPr>
          </w:p>
        </w:tc>
      </w:tr>
    </w:tbl>
    <w:p w14:paraId="2EB674CF" w14:textId="7824C348" w:rsidR="007B569E" w:rsidRDefault="007E1460" w:rsidP="00040218">
      <w:pPr>
        <w:pBdr>
          <w:bottom w:val="single" w:sz="12" w:space="1" w:color="auto"/>
        </w:pBdr>
        <w:jc w:val="both"/>
      </w:pPr>
      <w:r>
        <w:lastRenderedPageBreak/>
        <w:t>Practi</w:t>
      </w:r>
      <w:r w:rsidR="007939A2">
        <w:t xml:space="preserve">ce- Summary judgment- </w:t>
      </w:r>
      <w:r w:rsidR="001816BF">
        <w:t xml:space="preserve">aim and </w:t>
      </w:r>
      <w:r w:rsidR="007939A2">
        <w:t xml:space="preserve">effect of amendments to </w:t>
      </w:r>
      <w:r w:rsidR="001816BF">
        <w:t>r</w:t>
      </w:r>
      <w:r w:rsidR="007939A2">
        <w:t>ule 32</w:t>
      </w:r>
      <w:r w:rsidR="001816BF">
        <w:t xml:space="preserve">- </w:t>
      </w:r>
      <w:r w:rsidR="005951F8">
        <w:t xml:space="preserve">properly interpreted no </w:t>
      </w:r>
      <w:r w:rsidR="004543F9">
        <w:t>disconnect</w:t>
      </w:r>
      <w:r w:rsidR="005951F8">
        <w:t xml:space="preserve"> </w:t>
      </w:r>
      <w:r w:rsidR="00C66374">
        <w:t xml:space="preserve">existing </w:t>
      </w:r>
      <w:r w:rsidR="002A7EC2">
        <w:t>between aver</w:t>
      </w:r>
      <w:r w:rsidR="00FA0C2A">
        <w:t>ments made by plaintiff in affidavit supporting summary judgment and averments by defendant opposing</w:t>
      </w:r>
      <w:r w:rsidR="00617CF9">
        <w:t xml:space="preserve"> summary judgment</w:t>
      </w:r>
    </w:p>
    <w:p w14:paraId="5E178A46" w14:textId="77777777" w:rsidR="0027122D" w:rsidRDefault="0027122D" w:rsidP="00040218">
      <w:pPr>
        <w:pBdr>
          <w:bottom w:val="single" w:sz="12" w:space="1" w:color="auto"/>
        </w:pBdr>
        <w:jc w:val="both"/>
      </w:pPr>
    </w:p>
    <w:p w14:paraId="209420D8" w14:textId="6EF9F129" w:rsidR="0027122D" w:rsidRDefault="0027122D" w:rsidP="00040218">
      <w:pPr>
        <w:pBdr>
          <w:bottom w:val="single" w:sz="12" w:space="1" w:color="auto"/>
        </w:pBdr>
        <w:jc w:val="both"/>
      </w:pPr>
      <w:r>
        <w:t xml:space="preserve">Required knowledge on behalf of </w:t>
      </w:r>
      <w:r w:rsidR="00EB0535">
        <w:t>deponent to plaintiff’s affidavit</w:t>
      </w:r>
    </w:p>
    <w:p w14:paraId="2BDE7199" w14:textId="77777777" w:rsidR="00617CF9" w:rsidRDefault="00617CF9" w:rsidP="00040218">
      <w:pPr>
        <w:pBdr>
          <w:bottom w:val="single" w:sz="12" w:space="1" w:color="auto"/>
        </w:pBdr>
        <w:jc w:val="both"/>
      </w:pPr>
    </w:p>
    <w:p w14:paraId="5C432BCB" w14:textId="3A9F26F9" w:rsidR="00460A6D" w:rsidRDefault="00984D95" w:rsidP="00040218">
      <w:pPr>
        <w:pBdr>
          <w:bottom w:val="single" w:sz="12" w:space="1" w:color="auto"/>
        </w:pBdr>
        <w:jc w:val="both"/>
      </w:pPr>
      <w:r>
        <w:t>D</w:t>
      </w:r>
      <w:r w:rsidR="00460A6D">
        <w:t xml:space="preserve">elivery of </w:t>
      </w:r>
      <w:r>
        <w:t xml:space="preserve">defendant’s </w:t>
      </w:r>
      <w:r w:rsidR="00460A6D">
        <w:t>plea before summary judgment</w:t>
      </w:r>
      <w:r>
        <w:t xml:space="preserve"> application brought </w:t>
      </w:r>
      <w:r w:rsidR="00C66374">
        <w:t>–</w:t>
      </w:r>
      <w:r>
        <w:t xml:space="preserve"> </w:t>
      </w:r>
      <w:r w:rsidR="00C66374">
        <w:t>advantages considered</w:t>
      </w:r>
    </w:p>
    <w:p w14:paraId="43BEF367" w14:textId="77777777" w:rsidR="00AE4262" w:rsidRDefault="00AE4262">
      <w:pPr>
        <w:pBdr>
          <w:bottom w:val="single" w:sz="12" w:space="1" w:color="auto"/>
        </w:pBdr>
      </w:pPr>
    </w:p>
    <w:p w14:paraId="1CA9DB1E" w14:textId="77777777" w:rsidR="00AE4262" w:rsidRPr="00467317" w:rsidRDefault="00AE4262">
      <w:pPr>
        <w:pBdr>
          <w:bottom w:val="single" w:sz="12" w:space="1" w:color="auto"/>
        </w:pBdr>
      </w:pPr>
    </w:p>
    <w:p w14:paraId="28ABFC72" w14:textId="77777777" w:rsidR="007B569E" w:rsidRPr="00467317" w:rsidRDefault="007B569E"/>
    <w:p w14:paraId="690073AF" w14:textId="77777777" w:rsidR="007B569E" w:rsidRPr="00467317" w:rsidRDefault="007F4065">
      <w:pPr>
        <w:pStyle w:val="BodyText"/>
      </w:pPr>
      <w:r w:rsidRPr="00467317">
        <w:t>JUDGMENT</w:t>
      </w:r>
    </w:p>
    <w:p w14:paraId="5162EB59" w14:textId="77777777" w:rsidR="007B569E" w:rsidRPr="00467317" w:rsidRDefault="007B569E">
      <w:pPr>
        <w:pBdr>
          <w:bottom w:val="single" w:sz="12" w:space="1" w:color="auto"/>
        </w:pBdr>
      </w:pPr>
    </w:p>
    <w:p w14:paraId="5AEB88F3" w14:textId="77777777" w:rsidR="007B569E" w:rsidRPr="00467317" w:rsidRDefault="007B569E"/>
    <w:p w14:paraId="18F1C765" w14:textId="77777777" w:rsidR="007B569E" w:rsidRPr="00467317" w:rsidRDefault="007B569E">
      <w:pPr>
        <w:spacing w:line="480" w:lineRule="auto"/>
      </w:pPr>
    </w:p>
    <w:p w14:paraId="0E7B1D80" w14:textId="245012DB" w:rsidR="007B569E" w:rsidRPr="00467317" w:rsidRDefault="00A75159" w:rsidP="00AD51F5">
      <w:pPr>
        <w:spacing w:line="480" w:lineRule="auto"/>
        <w:jc w:val="both"/>
      </w:pPr>
      <w:r w:rsidRPr="00467317">
        <w:rPr>
          <w:b/>
          <w:u w:val="single"/>
        </w:rPr>
        <w:t xml:space="preserve">GRAVES </w:t>
      </w:r>
      <w:r w:rsidR="00430C36" w:rsidRPr="00467317">
        <w:rPr>
          <w:b/>
          <w:u w:val="single"/>
        </w:rPr>
        <w:t>AJ</w:t>
      </w:r>
      <w:r w:rsidR="00AD51F5" w:rsidRPr="00467317">
        <w:t>:</w:t>
      </w:r>
    </w:p>
    <w:p w14:paraId="242766A2" w14:textId="77777777" w:rsidR="00430C36" w:rsidRPr="00467317" w:rsidRDefault="00430C36" w:rsidP="00AD51F5">
      <w:pPr>
        <w:spacing w:line="480" w:lineRule="auto"/>
        <w:jc w:val="both"/>
      </w:pPr>
    </w:p>
    <w:p w14:paraId="13AB23A1" w14:textId="5582179F" w:rsidR="00981198" w:rsidRPr="00467317" w:rsidRDefault="0070421C" w:rsidP="0070421C">
      <w:pPr>
        <w:pStyle w:val="Clause1Head"/>
        <w:tabs>
          <w:tab w:val="left" w:pos="680"/>
        </w:tabs>
        <w:spacing w:after="360" w:line="480" w:lineRule="auto"/>
        <w:jc w:val="both"/>
      </w:pPr>
      <w:r w:rsidRPr="00467317">
        <w:rPr>
          <w:sz w:val="22"/>
          <w:szCs w:val="22"/>
        </w:rPr>
        <w:t>[1]</w:t>
      </w:r>
      <w:r w:rsidRPr="00467317">
        <w:rPr>
          <w:sz w:val="22"/>
          <w:szCs w:val="22"/>
        </w:rPr>
        <w:tab/>
      </w:r>
      <w:r w:rsidR="004917E7" w:rsidRPr="00467317">
        <w:t xml:space="preserve">This </w:t>
      </w:r>
      <w:r w:rsidR="003D210B" w:rsidRPr="00467317">
        <w:t>judgment concern</w:t>
      </w:r>
      <w:r w:rsidR="00913293" w:rsidRPr="00467317">
        <w:t>s</w:t>
      </w:r>
      <w:r w:rsidR="003D210B" w:rsidRPr="00467317">
        <w:t xml:space="preserve"> two summary judgment applications brought by Absa Bank Limited</w:t>
      </w:r>
      <w:r w:rsidR="00913293" w:rsidRPr="00467317">
        <w:t>,</w:t>
      </w:r>
      <w:r w:rsidR="003D210B" w:rsidRPr="00467317">
        <w:t xml:space="preserve"> as </w:t>
      </w:r>
      <w:r w:rsidR="00131386" w:rsidRPr="00467317">
        <w:t>plaintiff</w:t>
      </w:r>
      <w:r w:rsidR="003D210B" w:rsidRPr="00467317">
        <w:t>.  That under case number 2020/15210 is brought against Sable Hills Waterfront Estate CC (</w:t>
      </w:r>
      <w:r w:rsidR="003D210B" w:rsidRPr="00467317">
        <w:rPr>
          <w:i/>
          <w:iCs/>
        </w:rPr>
        <w:t>“Sable Hills”</w:t>
      </w:r>
      <w:r w:rsidR="003D210B" w:rsidRPr="00467317">
        <w:t>) as principal debtor and against the Andries Venter Trust</w:t>
      </w:r>
      <w:r w:rsidR="00913293" w:rsidRPr="00467317">
        <w:t xml:space="preserve"> (“</w:t>
      </w:r>
      <w:r w:rsidR="00913293" w:rsidRPr="00467317">
        <w:rPr>
          <w:i/>
          <w:iCs/>
        </w:rPr>
        <w:t>the Trust”)</w:t>
      </w:r>
      <w:r w:rsidR="003D210B" w:rsidRPr="00467317">
        <w:t xml:space="preserve">, represented by its trustees, </w:t>
      </w:r>
      <w:r w:rsidR="00F5520F" w:rsidRPr="00467317">
        <w:t xml:space="preserve">Mr </w:t>
      </w:r>
      <w:r w:rsidR="003D210B" w:rsidRPr="00467317">
        <w:t xml:space="preserve">Andries Jacobus Venter and </w:t>
      </w:r>
      <w:r w:rsidR="00F5520F" w:rsidRPr="00467317">
        <w:t xml:space="preserve">Ms </w:t>
      </w:r>
      <w:r w:rsidR="003D210B" w:rsidRPr="00467317">
        <w:t xml:space="preserve">Letitia Venter, and against </w:t>
      </w:r>
      <w:r w:rsidR="00A94EDA" w:rsidRPr="00467317">
        <w:t xml:space="preserve">Mr Graham Bruce.  The </w:t>
      </w:r>
      <w:r w:rsidR="00F5520F" w:rsidRPr="00467317">
        <w:t>T</w:t>
      </w:r>
      <w:r w:rsidR="00A94EDA" w:rsidRPr="00467317">
        <w:t>rust and Mr Bruce are sued as sureties for Sable Hills.</w:t>
      </w:r>
    </w:p>
    <w:p w14:paraId="4D2C5276" w14:textId="22D4B720" w:rsidR="00A94EDA" w:rsidRPr="00467317" w:rsidRDefault="0070421C" w:rsidP="0070421C">
      <w:pPr>
        <w:pStyle w:val="Clause1Head"/>
        <w:tabs>
          <w:tab w:val="left" w:pos="680"/>
        </w:tabs>
        <w:spacing w:after="360" w:line="480" w:lineRule="auto"/>
        <w:jc w:val="both"/>
      </w:pPr>
      <w:r w:rsidRPr="00467317">
        <w:rPr>
          <w:sz w:val="22"/>
          <w:szCs w:val="22"/>
        </w:rPr>
        <w:t>[2]</w:t>
      </w:r>
      <w:r w:rsidRPr="00467317">
        <w:rPr>
          <w:sz w:val="22"/>
          <w:szCs w:val="22"/>
        </w:rPr>
        <w:tab/>
      </w:r>
      <w:r w:rsidR="00B11690" w:rsidRPr="00467317">
        <w:t>T</w:t>
      </w:r>
      <w:r w:rsidR="00BA658B" w:rsidRPr="00467317">
        <w:t>h</w:t>
      </w:r>
      <w:r w:rsidR="00B11690" w:rsidRPr="00467317">
        <w:t xml:space="preserve">e application under case </w:t>
      </w:r>
      <w:r w:rsidR="00BA658B" w:rsidRPr="00467317">
        <w:t xml:space="preserve">number 2020/41768 is brought against </w:t>
      </w:r>
      <w:r w:rsidR="00FA4BD1" w:rsidRPr="00467317">
        <w:t>On air Investment Holdings (Pty) Ltd (“</w:t>
      </w:r>
      <w:r w:rsidR="00FA4BD1" w:rsidRPr="00467317">
        <w:rPr>
          <w:i/>
          <w:iCs/>
        </w:rPr>
        <w:t xml:space="preserve">On Air”) </w:t>
      </w:r>
      <w:r w:rsidR="003975F5" w:rsidRPr="00467317">
        <w:t xml:space="preserve">as principal debtor </w:t>
      </w:r>
      <w:r w:rsidR="00171527" w:rsidRPr="00467317">
        <w:t>and against</w:t>
      </w:r>
      <w:r w:rsidR="00BC57EC" w:rsidRPr="00467317">
        <w:t xml:space="preserve"> the second to </w:t>
      </w:r>
      <w:r w:rsidR="00323570" w:rsidRPr="00467317">
        <w:t>fourth</w:t>
      </w:r>
      <w:r w:rsidR="00BC57EC" w:rsidRPr="00467317">
        <w:t xml:space="preserve"> </w:t>
      </w:r>
      <w:r w:rsidR="00C543BA" w:rsidRPr="00467317">
        <w:t>defendant</w:t>
      </w:r>
      <w:r w:rsidR="00BC57EC" w:rsidRPr="00467317">
        <w:t>s as sureties</w:t>
      </w:r>
      <w:r w:rsidR="00323570" w:rsidRPr="00467317">
        <w:t>, being</w:t>
      </w:r>
      <w:r w:rsidR="00171527" w:rsidRPr="00467317">
        <w:t xml:space="preserve"> Charge Up Trade and Invest (Pty) Ltd </w:t>
      </w:r>
      <w:r w:rsidR="00323570" w:rsidRPr="00467317">
        <w:t>, First National Call (Pty) Ltd</w:t>
      </w:r>
      <w:r w:rsidR="00C24FF2" w:rsidRPr="00467317">
        <w:t xml:space="preserve"> and Sapling Trade and Invest 39 (Pty) Ltd.</w:t>
      </w:r>
    </w:p>
    <w:p w14:paraId="741A154A" w14:textId="67FE5376" w:rsidR="00862EE0" w:rsidRPr="00467317" w:rsidRDefault="0070421C" w:rsidP="0070421C">
      <w:pPr>
        <w:pStyle w:val="Clause1Head"/>
        <w:tabs>
          <w:tab w:val="left" w:pos="680"/>
        </w:tabs>
        <w:spacing w:after="360" w:line="480" w:lineRule="auto"/>
        <w:jc w:val="both"/>
      </w:pPr>
      <w:r w:rsidRPr="00467317">
        <w:rPr>
          <w:sz w:val="22"/>
          <w:szCs w:val="22"/>
        </w:rPr>
        <w:t>[3]</w:t>
      </w:r>
      <w:r w:rsidRPr="00467317">
        <w:rPr>
          <w:sz w:val="22"/>
          <w:szCs w:val="22"/>
        </w:rPr>
        <w:tab/>
      </w:r>
      <w:r w:rsidR="00862EE0" w:rsidRPr="00467317">
        <w:t xml:space="preserve">Before turning to the merits of the respective summary judgment applications I wish to say something about the changes introduced to the summary judgment procedure in Uniform Rule 32 by GN R842 of 31 May 2019.  The new procedure was </w:t>
      </w:r>
      <w:r w:rsidR="00862EE0" w:rsidRPr="00467317">
        <w:lastRenderedPageBreak/>
        <w:t xml:space="preserve">subjected to a </w:t>
      </w:r>
      <w:r w:rsidR="00F02178" w:rsidRPr="00467317">
        <w:t>detailed and</w:t>
      </w:r>
      <w:r w:rsidR="00862EE0" w:rsidRPr="00467317">
        <w:t xml:space="preserve"> thoughtful analysis by </w:t>
      </w:r>
      <w:r w:rsidR="00862EE0" w:rsidRPr="00467317">
        <w:rPr>
          <w:smallCaps/>
        </w:rPr>
        <w:t>Binns-Ward</w:t>
      </w:r>
      <w:r w:rsidR="00862EE0" w:rsidRPr="00467317">
        <w:t xml:space="preserve"> J in </w:t>
      </w:r>
      <w:r w:rsidR="00862EE0" w:rsidRPr="00467317">
        <w:rPr>
          <w:b/>
          <w:bCs/>
        </w:rPr>
        <w:t>Tumileng</w:t>
      </w:r>
      <w:r w:rsidR="00C966DE" w:rsidRPr="00467317">
        <w:rPr>
          <w:b/>
          <w:bCs/>
        </w:rPr>
        <w:t xml:space="preserve"> Trading CC v National Security and Fire (Pty) Ltd</w:t>
      </w:r>
      <w:r w:rsidR="006F46DB">
        <w:t>. </w:t>
      </w:r>
      <w:r w:rsidR="00C966DE" w:rsidRPr="00467317">
        <w:rPr>
          <w:rStyle w:val="FootnoteReference"/>
          <w:bCs/>
        </w:rPr>
        <w:footnoteReference w:id="1"/>
      </w:r>
      <w:r w:rsidR="00C966DE" w:rsidRPr="00467317">
        <w:rPr>
          <w:bCs/>
        </w:rPr>
        <w:t xml:space="preserve">  Despite </w:t>
      </w:r>
      <w:r w:rsidR="00CD6CC0" w:rsidRPr="00467317">
        <w:rPr>
          <w:bCs/>
        </w:rPr>
        <w:t xml:space="preserve">having </w:t>
      </w:r>
      <w:r w:rsidR="00C966DE" w:rsidRPr="00467317">
        <w:rPr>
          <w:bCs/>
        </w:rPr>
        <w:t>some reservations about the utility and practicality of the new procedure the learned judge recognised that</w:t>
      </w:r>
      <w:r w:rsidR="00854613" w:rsidRPr="00467317">
        <w:rPr>
          <w:bCs/>
        </w:rPr>
        <w:t xml:space="preserve"> </w:t>
      </w:r>
      <w:r w:rsidR="00C966DE" w:rsidRPr="00467317">
        <w:rPr>
          <w:bCs/>
        </w:rPr>
        <w:t>the requirement that the summary judgment application should be brought only after a plea had been delivered</w:t>
      </w:r>
      <w:r w:rsidR="00467317">
        <w:rPr>
          <w:bCs/>
        </w:rPr>
        <w:t>.  A</w:t>
      </w:r>
      <w:r w:rsidR="00102C93" w:rsidRPr="00467317">
        <w:rPr>
          <w:bCs/>
        </w:rPr>
        <w:t>s was noted this</w:t>
      </w:r>
      <w:r w:rsidR="00C966DE" w:rsidRPr="00467317">
        <w:rPr>
          <w:bCs/>
        </w:rPr>
        <w:t xml:space="preserve"> </w:t>
      </w:r>
      <w:r w:rsidR="008B705D" w:rsidRPr="00467317">
        <w:rPr>
          <w:bCs/>
        </w:rPr>
        <w:t xml:space="preserve">is </w:t>
      </w:r>
      <w:r w:rsidR="00C966DE" w:rsidRPr="00467317">
        <w:rPr>
          <w:bCs/>
        </w:rPr>
        <w:t>directed at achieving, and should succeed in doing</w:t>
      </w:r>
      <w:r w:rsidR="00C124D5" w:rsidRPr="00467317">
        <w:rPr>
          <w:bCs/>
        </w:rPr>
        <w:t xml:space="preserve">, </w:t>
      </w:r>
      <w:r w:rsidR="00C966DE" w:rsidRPr="00467317">
        <w:rPr>
          <w:bCs/>
        </w:rPr>
        <w:t>the avoidance of speculative summary judgment applications</w:t>
      </w:r>
      <w:r w:rsidR="00C966DE" w:rsidRPr="00467317">
        <w:rPr>
          <w:bCs/>
          <w:iCs/>
        </w:rPr>
        <w:t>. </w:t>
      </w:r>
      <w:r w:rsidR="00C966DE" w:rsidRPr="00467317">
        <w:rPr>
          <w:rStyle w:val="FootnoteReference"/>
          <w:bCs/>
          <w:iCs/>
        </w:rPr>
        <w:footnoteReference w:id="2"/>
      </w:r>
      <w:r w:rsidR="00C966DE" w:rsidRPr="00467317">
        <w:rPr>
          <w:bCs/>
          <w:iCs/>
        </w:rPr>
        <w:t xml:space="preserve">  That this was one of the animating </w:t>
      </w:r>
      <w:r w:rsidR="00F66759" w:rsidRPr="00467317">
        <w:rPr>
          <w:bCs/>
          <w:iCs/>
        </w:rPr>
        <w:t>goals</w:t>
      </w:r>
      <w:r w:rsidR="00C966DE" w:rsidRPr="00467317">
        <w:rPr>
          <w:bCs/>
          <w:iCs/>
        </w:rPr>
        <w:t xml:space="preserve"> of the Task Team constituted by the Rules Board to consider amendments to the summary judgment procedure, is unmistakable.</w:t>
      </w:r>
      <w:r w:rsidR="00174C26" w:rsidRPr="00467317">
        <w:rPr>
          <w:bCs/>
          <w:iCs/>
        </w:rPr>
        <w:t>  </w:t>
      </w:r>
      <w:r w:rsidR="00174C26" w:rsidRPr="00467317">
        <w:t xml:space="preserve">One reason articulated by the Task Team for the present summary judgment procedure being regard as unsatisfactory </w:t>
      </w:r>
      <w:r w:rsidR="00FB3A8D" w:rsidRPr="00467317">
        <w:t>is</w:t>
      </w:r>
      <w:r w:rsidR="00174C26" w:rsidRPr="00467317">
        <w:t xml:space="preserve"> that deserving </w:t>
      </w:r>
      <w:r w:rsidR="00131386" w:rsidRPr="00467317">
        <w:t>plaintiff</w:t>
      </w:r>
      <w:r w:rsidR="00174C26" w:rsidRPr="00467317">
        <w:t xml:space="preserve">s were frequently unable to obtain expeditious relief because of an inability to expose bogus defences.  This is primarily because of the inability of the </w:t>
      </w:r>
      <w:r w:rsidR="00131386" w:rsidRPr="00467317">
        <w:t>plaintiff</w:t>
      </w:r>
      <w:r w:rsidR="00661665" w:rsidRPr="00467317">
        <w:t xml:space="preserve"> under the previous </w:t>
      </w:r>
      <w:r w:rsidR="00E1333D" w:rsidRPr="00467317">
        <w:t>rule</w:t>
      </w:r>
      <w:r w:rsidR="00174C26" w:rsidRPr="00467317">
        <w:t xml:space="preserve"> to discern the defence that the </w:t>
      </w:r>
      <w:r w:rsidR="00C543BA" w:rsidRPr="00467317">
        <w:t>defendant</w:t>
      </w:r>
      <w:r w:rsidR="00174C26" w:rsidRPr="00467317">
        <w:t xml:space="preserve"> may advance, coupled with the prohibition against any further affidavits by the </w:t>
      </w:r>
      <w:r w:rsidR="00131386" w:rsidRPr="00467317">
        <w:t>plaintiff</w:t>
      </w:r>
      <w:r w:rsidR="00174C26" w:rsidRPr="00467317">
        <w:t>.</w:t>
      </w:r>
      <w:r w:rsidR="00C966DE" w:rsidRPr="00467317">
        <w:rPr>
          <w:bCs/>
          <w:iCs/>
        </w:rPr>
        <w:t> </w:t>
      </w:r>
      <w:r w:rsidR="00C966DE" w:rsidRPr="00467317">
        <w:rPr>
          <w:rStyle w:val="FootnoteReference"/>
          <w:bCs/>
          <w:iCs/>
        </w:rPr>
        <w:footnoteReference w:id="3"/>
      </w:r>
      <w:r w:rsidR="00174C26" w:rsidRPr="00467317">
        <w:rPr>
          <w:bCs/>
          <w:iCs/>
        </w:rPr>
        <w:t xml:space="preserve">  Many of the criticisms and observations regarding the new procedure </w:t>
      </w:r>
      <w:r w:rsidR="001651E9" w:rsidRPr="00467317">
        <w:rPr>
          <w:bCs/>
          <w:iCs/>
        </w:rPr>
        <w:t xml:space="preserve">noted </w:t>
      </w:r>
      <w:r w:rsidR="00174C26" w:rsidRPr="00467317">
        <w:rPr>
          <w:bCs/>
          <w:iCs/>
        </w:rPr>
        <w:t xml:space="preserve">in </w:t>
      </w:r>
      <w:r w:rsidR="00174C26" w:rsidRPr="00467317">
        <w:rPr>
          <w:b/>
          <w:iCs/>
        </w:rPr>
        <w:t>Tumileng</w:t>
      </w:r>
      <w:r w:rsidR="00174C26" w:rsidRPr="00467317">
        <w:rPr>
          <w:bCs/>
          <w:iCs/>
        </w:rPr>
        <w:t xml:space="preserve"> may in time prove to be prescient and</w:t>
      </w:r>
      <w:r w:rsidR="00CE1833" w:rsidRPr="00467317">
        <w:rPr>
          <w:bCs/>
          <w:iCs/>
        </w:rPr>
        <w:t xml:space="preserve"> </w:t>
      </w:r>
      <w:r w:rsidR="00FB3A8D" w:rsidRPr="00467317">
        <w:rPr>
          <w:bCs/>
          <w:iCs/>
        </w:rPr>
        <w:t>may</w:t>
      </w:r>
      <w:r w:rsidR="00174C26" w:rsidRPr="00467317">
        <w:rPr>
          <w:bCs/>
          <w:iCs/>
        </w:rPr>
        <w:t xml:space="preserve"> result in further changes to th</w:t>
      </w:r>
      <w:r w:rsidR="00CE1833" w:rsidRPr="00467317">
        <w:rPr>
          <w:bCs/>
          <w:iCs/>
        </w:rPr>
        <w:t>e rule concerning</w:t>
      </w:r>
      <w:r w:rsidR="00174C26" w:rsidRPr="00467317">
        <w:rPr>
          <w:bCs/>
          <w:iCs/>
        </w:rPr>
        <w:t xml:space="preserve"> important procedural remedy.  The analysis by the learned judge will undoubtably</w:t>
      </w:r>
      <w:r w:rsidR="003D26FF" w:rsidRPr="00467317">
        <w:rPr>
          <w:bCs/>
          <w:iCs/>
        </w:rPr>
        <w:t xml:space="preserve"> serve as the </w:t>
      </w:r>
      <w:r w:rsidR="005B19A8" w:rsidRPr="00467317">
        <w:rPr>
          <w:bCs/>
          <w:iCs/>
        </w:rPr>
        <w:t>cornerstone</w:t>
      </w:r>
      <w:r w:rsidR="003D26FF" w:rsidRPr="00467317">
        <w:rPr>
          <w:bCs/>
          <w:iCs/>
        </w:rPr>
        <w:t xml:space="preserve"> for further judicial analysis.</w:t>
      </w:r>
    </w:p>
    <w:p w14:paraId="54F9D09F" w14:textId="1CEA6A57" w:rsidR="00A1645F" w:rsidRPr="00467317" w:rsidRDefault="0070421C" w:rsidP="0070421C">
      <w:pPr>
        <w:pStyle w:val="Clause1Head"/>
        <w:tabs>
          <w:tab w:val="left" w:pos="680"/>
        </w:tabs>
        <w:spacing w:after="240" w:line="480" w:lineRule="auto"/>
        <w:jc w:val="both"/>
      </w:pPr>
      <w:r w:rsidRPr="00467317">
        <w:rPr>
          <w:sz w:val="22"/>
          <w:szCs w:val="22"/>
        </w:rPr>
        <w:t>[4]</w:t>
      </w:r>
      <w:r w:rsidRPr="00467317">
        <w:rPr>
          <w:sz w:val="22"/>
          <w:szCs w:val="22"/>
        </w:rPr>
        <w:tab/>
      </w:r>
      <w:r w:rsidR="00A1645F" w:rsidRPr="00467317">
        <w:rPr>
          <w:bCs/>
          <w:iCs/>
        </w:rPr>
        <w:t xml:space="preserve">I do not intend traversing each of the observations and findings in the </w:t>
      </w:r>
      <w:r w:rsidR="00A1645F" w:rsidRPr="00467317">
        <w:rPr>
          <w:b/>
          <w:iCs/>
        </w:rPr>
        <w:t>Tumileng</w:t>
      </w:r>
      <w:r w:rsidR="00A1645F" w:rsidRPr="00467317">
        <w:rPr>
          <w:bCs/>
          <w:iCs/>
        </w:rPr>
        <w:t xml:space="preserve"> judgment, but I wish to make a few of my own observations</w:t>
      </w:r>
      <w:r w:rsidR="0052629E">
        <w:rPr>
          <w:bCs/>
          <w:iCs/>
        </w:rPr>
        <w:t>.  F</w:t>
      </w:r>
      <w:r w:rsidR="00A1645F" w:rsidRPr="00467317">
        <w:rPr>
          <w:bCs/>
          <w:iCs/>
        </w:rPr>
        <w:t xml:space="preserve">irst, the prefatory remark </w:t>
      </w:r>
      <w:r w:rsidR="00A1645F" w:rsidRPr="00467317">
        <w:rPr>
          <w:bCs/>
          <w:iCs/>
        </w:rPr>
        <w:lastRenderedPageBreak/>
        <w:t>in the judgment that the summary judgment procedure has long worked successfully is not a view universally held. </w:t>
      </w:r>
      <w:r w:rsidR="00A1645F" w:rsidRPr="00467317">
        <w:rPr>
          <w:rStyle w:val="FootnoteReference"/>
          <w:bCs/>
          <w:iCs/>
        </w:rPr>
        <w:footnoteReference w:id="4"/>
      </w:r>
      <w:r w:rsidR="00A1645F" w:rsidRPr="00467317">
        <w:rPr>
          <w:bCs/>
          <w:iCs/>
        </w:rPr>
        <w:t xml:space="preserve">  Criticism of the summary judgment process was voiced by the late Appeal Justice</w:t>
      </w:r>
      <w:r w:rsidR="006F46DB">
        <w:rPr>
          <w:bCs/>
          <w:iCs/>
        </w:rPr>
        <w:t> </w:t>
      </w:r>
      <w:r w:rsidR="00A1645F" w:rsidRPr="00467317">
        <w:rPr>
          <w:bCs/>
          <w:iCs/>
        </w:rPr>
        <w:t>O.</w:t>
      </w:r>
      <w:r w:rsidR="006F46DB">
        <w:rPr>
          <w:bCs/>
          <w:iCs/>
        </w:rPr>
        <w:t> </w:t>
      </w:r>
      <w:r w:rsidR="00A1645F" w:rsidRPr="00467317">
        <w:rPr>
          <w:bCs/>
          <w:iCs/>
          <w:smallCaps/>
        </w:rPr>
        <w:t>Galgut</w:t>
      </w:r>
      <w:r w:rsidR="00A1645F" w:rsidRPr="00467317">
        <w:rPr>
          <w:bCs/>
          <w:iCs/>
        </w:rPr>
        <w:t xml:space="preserve"> in his Report of the Commission of Enquiry into Civil Proceedings in the Supreme Court of South Africa (1980), which in dealing with summary judgment said:</w:t>
      </w:r>
    </w:p>
    <w:p w14:paraId="0EC53EA7" w14:textId="77777777" w:rsidR="00A1645F" w:rsidRPr="00467317" w:rsidRDefault="00A1645F" w:rsidP="00A1645F">
      <w:pPr>
        <w:pStyle w:val="Clause1Head"/>
        <w:spacing w:after="480" w:line="360" w:lineRule="auto"/>
        <w:ind w:left="1134" w:right="851"/>
        <w:jc w:val="both"/>
        <w:rPr>
          <w:iCs/>
          <w:sz w:val="22"/>
          <w:szCs w:val="26"/>
        </w:rPr>
      </w:pPr>
      <w:r w:rsidRPr="00467317">
        <w:rPr>
          <w:bCs/>
          <w:i/>
          <w:sz w:val="22"/>
          <w:szCs w:val="26"/>
        </w:rPr>
        <w:t>“It is generally agreed that the present procedure has little value.  A defendant can put up a fictitious defence and the plaintiff cannot answer it.”</w:t>
      </w:r>
      <w:r w:rsidRPr="00467317">
        <w:rPr>
          <w:bCs/>
          <w:iCs/>
          <w:sz w:val="22"/>
          <w:szCs w:val="26"/>
        </w:rPr>
        <w:t> </w:t>
      </w:r>
      <w:r w:rsidRPr="00467317">
        <w:rPr>
          <w:rStyle w:val="FootnoteReference"/>
          <w:bCs/>
          <w:iCs/>
          <w:sz w:val="22"/>
          <w:szCs w:val="26"/>
        </w:rPr>
        <w:footnoteReference w:id="5"/>
      </w:r>
    </w:p>
    <w:p w14:paraId="124CE550" w14:textId="6DA98F46" w:rsidR="00A1645F" w:rsidRPr="00467317" w:rsidRDefault="0070421C" w:rsidP="0070421C">
      <w:pPr>
        <w:pStyle w:val="Clause1Head"/>
        <w:tabs>
          <w:tab w:val="left" w:pos="680"/>
        </w:tabs>
        <w:spacing w:after="360" w:line="480" w:lineRule="auto"/>
        <w:jc w:val="both"/>
      </w:pPr>
      <w:r w:rsidRPr="00467317">
        <w:rPr>
          <w:sz w:val="22"/>
          <w:szCs w:val="22"/>
        </w:rPr>
        <w:t>[5]</w:t>
      </w:r>
      <w:r w:rsidRPr="00467317">
        <w:rPr>
          <w:sz w:val="22"/>
          <w:szCs w:val="22"/>
        </w:rPr>
        <w:tab/>
      </w:r>
      <w:r w:rsidR="00300A92" w:rsidRPr="00467317">
        <w:t xml:space="preserve">The Report considered two possible solutions:  the first was that the </w:t>
      </w:r>
      <w:r w:rsidR="00131386" w:rsidRPr="00467317">
        <w:t>plaintiff</w:t>
      </w:r>
      <w:r w:rsidR="00300A92" w:rsidRPr="00467317">
        <w:t xml:space="preserve"> should be given the right to reply on affidavit.  The second was that the </w:t>
      </w:r>
      <w:r w:rsidR="00131386" w:rsidRPr="00467317">
        <w:t>plaintiff</w:t>
      </w:r>
      <w:r w:rsidR="00300A92" w:rsidRPr="00467317">
        <w:t xml:space="preserve"> should file a declaration and be given the right to </w:t>
      </w:r>
      <w:r w:rsidR="001D2D16" w:rsidRPr="00467317">
        <w:t>apply</w:t>
      </w:r>
      <w:r w:rsidR="00110A6C" w:rsidRPr="00467317">
        <w:t xml:space="preserve"> for</w:t>
      </w:r>
      <w:r w:rsidR="00300A92" w:rsidRPr="00467317">
        <w:t xml:space="preserve"> summary judgment by filing a verifying affidavit, that the </w:t>
      </w:r>
      <w:r w:rsidR="00C543BA" w:rsidRPr="00467317">
        <w:t>defendant</w:t>
      </w:r>
      <w:r w:rsidR="00300A92" w:rsidRPr="00467317">
        <w:t xml:space="preserve"> file its plea and support the allegations on oath and that the </w:t>
      </w:r>
      <w:r w:rsidR="00131386" w:rsidRPr="00467317">
        <w:t>plaintiff</w:t>
      </w:r>
      <w:r w:rsidR="00300A92" w:rsidRPr="00467317">
        <w:t xml:space="preserve"> </w:t>
      </w:r>
      <w:r w:rsidR="00110A6C" w:rsidRPr="00467317">
        <w:t>be</w:t>
      </w:r>
      <w:r w:rsidR="00300A92" w:rsidRPr="00467317">
        <w:t xml:space="preserve"> given the opportunity to replicate</w:t>
      </w:r>
      <w:r w:rsidR="00110A6C" w:rsidRPr="00467317">
        <w:t xml:space="preserve"> on oath</w:t>
      </w:r>
      <w:r w:rsidR="00300A92" w:rsidRPr="00467317">
        <w:t>.  Justice </w:t>
      </w:r>
      <w:r w:rsidR="00300A92" w:rsidRPr="00467317">
        <w:rPr>
          <w:smallCaps/>
        </w:rPr>
        <w:t>Galgut</w:t>
      </w:r>
      <w:r w:rsidR="00300A92" w:rsidRPr="00467317">
        <w:t xml:space="preserve"> favoured the latter procedure.  What was ultimately recommended by the Task Team regarding the amended procedure is set out in paragraph 8 of the Memorandum reproduced in the </w:t>
      </w:r>
      <w:r w:rsidR="00300A92" w:rsidRPr="00467317">
        <w:rPr>
          <w:b/>
          <w:bCs/>
        </w:rPr>
        <w:t>Tumileng</w:t>
      </w:r>
      <w:r w:rsidR="00300A92" w:rsidRPr="00467317">
        <w:t xml:space="preserve"> judgment.</w:t>
      </w:r>
      <w:r w:rsidR="00843075" w:rsidRPr="00467317">
        <w:t xml:space="preserve">  The </w:t>
      </w:r>
      <w:r w:rsidR="005E5B4F" w:rsidRPr="00467317">
        <w:t>first</w:t>
      </w:r>
      <w:r w:rsidR="00843075" w:rsidRPr="00467317">
        <w:t xml:space="preserve"> significant change was the </w:t>
      </w:r>
      <w:r w:rsidR="00D07500" w:rsidRPr="00467317">
        <w:t>recommendation</w:t>
      </w:r>
      <w:r w:rsidR="00843075" w:rsidRPr="00467317">
        <w:t xml:space="preserve"> that the </w:t>
      </w:r>
      <w:r w:rsidR="00C543BA" w:rsidRPr="00467317">
        <w:t>defendant</w:t>
      </w:r>
      <w:r w:rsidR="00843075" w:rsidRPr="00467317">
        <w:t xml:space="preserve"> should deliver its plea before summary judgment could be applied for.  </w:t>
      </w:r>
      <w:r w:rsidR="00AE2E4B" w:rsidRPr="00467317">
        <w:t>Further,</w:t>
      </w:r>
      <w:r w:rsidR="00843075" w:rsidRPr="00467317">
        <w:t xml:space="preserve"> </w:t>
      </w:r>
      <w:r w:rsidR="00D07500" w:rsidRPr="00467317">
        <w:t xml:space="preserve">it was </w:t>
      </w:r>
      <w:r w:rsidR="006A3B64" w:rsidRPr="00467317">
        <w:t xml:space="preserve">recommended that </w:t>
      </w:r>
      <w:r w:rsidR="00843075" w:rsidRPr="00467317">
        <w:t xml:space="preserve">the </w:t>
      </w:r>
      <w:r w:rsidR="00131386" w:rsidRPr="00467317">
        <w:t>plaintiff</w:t>
      </w:r>
      <w:r w:rsidR="00843075" w:rsidRPr="00467317">
        <w:t xml:space="preserve"> </w:t>
      </w:r>
      <w:r w:rsidR="006A3B64" w:rsidRPr="00467317">
        <w:t xml:space="preserve">should </w:t>
      </w:r>
      <w:r w:rsidR="00843075" w:rsidRPr="00467317">
        <w:t xml:space="preserve">deliver an affidavit that went beyond the mere formalism </w:t>
      </w:r>
      <w:r w:rsidR="006A3B64" w:rsidRPr="00467317">
        <w:t>which</w:t>
      </w:r>
      <w:r w:rsidR="00843075" w:rsidRPr="00467317">
        <w:t xml:space="preserve"> was </w:t>
      </w:r>
      <w:r w:rsidR="006A3B64" w:rsidRPr="00467317">
        <w:t>required</w:t>
      </w:r>
      <w:r w:rsidR="00843075" w:rsidRPr="00467317">
        <w:t xml:space="preserve"> under the previous rule.</w:t>
      </w:r>
    </w:p>
    <w:p w14:paraId="5A4D6E21" w14:textId="0F23DB87" w:rsidR="00A1645F" w:rsidRPr="00467317" w:rsidRDefault="0070421C" w:rsidP="0070421C">
      <w:pPr>
        <w:pStyle w:val="Clause1Head"/>
        <w:tabs>
          <w:tab w:val="left" w:pos="680"/>
        </w:tabs>
        <w:spacing w:after="360" w:line="480" w:lineRule="auto"/>
        <w:jc w:val="both"/>
      </w:pPr>
      <w:r w:rsidRPr="00467317">
        <w:rPr>
          <w:sz w:val="22"/>
          <w:szCs w:val="22"/>
        </w:rPr>
        <w:t>[6]</w:t>
      </w:r>
      <w:r w:rsidRPr="00467317">
        <w:rPr>
          <w:sz w:val="22"/>
          <w:szCs w:val="22"/>
        </w:rPr>
        <w:tab/>
      </w:r>
      <w:r w:rsidR="00B82662" w:rsidRPr="00467317">
        <w:t>T</w:t>
      </w:r>
      <w:r w:rsidR="00843075" w:rsidRPr="00467317">
        <w:t xml:space="preserve">he pitfalls of the previous </w:t>
      </w:r>
      <w:r w:rsidR="00B33542" w:rsidRPr="00467317">
        <w:t xml:space="preserve">procedural </w:t>
      </w:r>
      <w:r w:rsidR="00843075" w:rsidRPr="00467317">
        <w:t xml:space="preserve">requirements concerning the </w:t>
      </w:r>
      <w:r w:rsidR="00131386" w:rsidRPr="00467317">
        <w:t>plaintiff</w:t>
      </w:r>
      <w:r w:rsidR="00843075" w:rsidRPr="00467317">
        <w:t>’s affidavit are illuminated by an earlier</w:t>
      </w:r>
      <w:r w:rsidR="00B33542" w:rsidRPr="00467317">
        <w:t>,</w:t>
      </w:r>
      <w:r w:rsidR="00843075" w:rsidRPr="00467317">
        <w:t xml:space="preserve"> unreported judgment of </w:t>
      </w:r>
      <w:bookmarkStart w:id="1" w:name="_Hlk97988697"/>
      <w:r w:rsidR="00843075" w:rsidRPr="00467317">
        <w:rPr>
          <w:smallCaps/>
        </w:rPr>
        <w:t>Binns-Ward</w:t>
      </w:r>
      <w:r w:rsidR="00843075" w:rsidRPr="00467317">
        <w:t xml:space="preserve"> J </w:t>
      </w:r>
      <w:bookmarkEnd w:id="1"/>
      <w:r w:rsidR="00843075" w:rsidRPr="00467317">
        <w:t xml:space="preserve">in </w:t>
      </w:r>
      <w:r w:rsidR="00843075" w:rsidRPr="00467317">
        <w:rPr>
          <w:b/>
          <w:bCs/>
        </w:rPr>
        <w:t xml:space="preserve">Absa </w:t>
      </w:r>
      <w:r w:rsidR="00843075" w:rsidRPr="00467317">
        <w:rPr>
          <w:b/>
          <w:bCs/>
        </w:rPr>
        <w:lastRenderedPageBreak/>
        <w:t>Bank Ltd v Future Indefinite Investments 201 (Pty) Ltd</w:t>
      </w:r>
      <w:r w:rsidR="002C2259" w:rsidRPr="00467317">
        <w:t>.</w:t>
      </w:r>
      <w:r w:rsidR="00843075" w:rsidRPr="00467317">
        <w:t> </w:t>
      </w:r>
      <w:r w:rsidR="00843075" w:rsidRPr="00467317">
        <w:rPr>
          <w:rStyle w:val="FootnoteReference"/>
        </w:rPr>
        <w:footnoteReference w:id="6"/>
      </w:r>
      <w:r w:rsidR="002C2259" w:rsidRPr="00467317">
        <w:t xml:space="preserve">  </w:t>
      </w:r>
      <w:r w:rsidR="00B33542" w:rsidRPr="00467317">
        <w:t>Here</w:t>
      </w:r>
      <w:r w:rsidR="002C2259" w:rsidRPr="00467317">
        <w:t xml:space="preserve"> the serious deficits in the</w:t>
      </w:r>
      <w:r w:rsidR="000209FE" w:rsidRPr="00467317">
        <w:t xml:space="preserve"> </w:t>
      </w:r>
      <w:r w:rsidR="005E5B4F" w:rsidRPr="00467317">
        <w:t>affidavit</w:t>
      </w:r>
      <w:r w:rsidR="002C2259" w:rsidRPr="00467317">
        <w:t xml:space="preserve"> deposed by a manager of the </w:t>
      </w:r>
      <w:r w:rsidR="00131386" w:rsidRPr="00467317">
        <w:t>plaintiff</w:t>
      </w:r>
      <w:r w:rsidR="002C2259" w:rsidRPr="00467317">
        <w:t xml:space="preserve"> bank who plainly did not demonstrate any personal knowledge of the relevant facts</w:t>
      </w:r>
      <w:r w:rsidR="00382E5D" w:rsidRPr="00467317">
        <w:t>,</w:t>
      </w:r>
      <w:r w:rsidR="00B33542" w:rsidRPr="00467317">
        <w:t xml:space="preserve"> are illustrated</w:t>
      </w:r>
      <w:r w:rsidR="0052629E">
        <w:t>.  T</w:t>
      </w:r>
      <w:r w:rsidR="00B33542" w:rsidRPr="00467317">
        <w:t>his</w:t>
      </w:r>
      <w:r w:rsidR="002C2259" w:rsidRPr="00467317">
        <w:t xml:space="preserve"> made it impossible for the presiding judge to place any reliance on the affidavit.  I suggest that the legitimate criticisms levelled at the </w:t>
      </w:r>
      <w:r w:rsidR="00131386" w:rsidRPr="00467317">
        <w:t>plaintiff</w:t>
      </w:r>
      <w:r w:rsidR="002C2259" w:rsidRPr="00467317">
        <w:t xml:space="preserve">’s affidavit supporting summary judgment in </w:t>
      </w:r>
      <w:r w:rsidR="002059AA" w:rsidRPr="00467317">
        <w:rPr>
          <w:b/>
          <w:bCs/>
        </w:rPr>
        <w:t>Future Indefinite Investments</w:t>
      </w:r>
      <w:r w:rsidR="002C2259" w:rsidRPr="00467317">
        <w:t xml:space="preserve"> were not only a result of sloppy and slapdash drafting but also a consequence, albeit unintended, of the formulation of the previous </w:t>
      </w:r>
      <w:r w:rsidR="00B82662" w:rsidRPr="00467317">
        <w:t>s</w:t>
      </w:r>
      <w:r w:rsidR="009D0A60" w:rsidRPr="00467317">
        <w:t>ubrule</w:t>
      </w:r>
      <w:r w:rsidR="002C2259" w:rsidRPr="00467317">
        <w:t> 32(2)</w:t>
      </w:r>
      <w:r w:rsidR="0052629E">
        <w:t>.  T</w:t>
      </w:r>
      <w:r w:rsidR="005301B4" w:rsidRPr="00467317">
        <w:t>he previous subrule r</w:t>
      </w:r>
      <w:r w:rsidR="002C2259" w:rsidRPr="00467317">
        <w:t>equir</w:t>
      </w:r>
      <w:r w:rsidR="00B82662" w:rsidRPr="00467317">
        <w:t>ed</w:t>
      </w:r>
      <w:r w:rsidR="002C2259" w:rsidRPr="00467317">
        <w:t xml:space="preserve"> </w:t>
      </w:r>
      <w:r w:rsidR="00C931D5" w:rsidRPr="00467317">
        <w:t xml:space="preserve">the </w:t>
      </w:r>
      <w:r w:rsidR="00131386" w:rsidRPr="00467317">
        <w:t>plaintiff</w:t>
      </w:r>
      <w:r w:rsidR="00554442" w:rsidRPr="00467317">
        <w:t xml:space="preserve">’s </w:t>
      </w:r>
      <w:r w:rsidR="002C2259" w:rsidRPr="00467317">
        <w:t xml:space="preserve">affidavit </w:t>
      </w:r>
      <w:r w:rsidR="00554442" w:rsidRPr="00467317">
        <w:t xml:space="preserve">to be </w:t>
      </w:r>
      <w:r w:rsidR="002C2259" w:rsidRPr="00467317">
        <w:t>by a person who could swear positively to the facts and which</w:t>
      </w:r>
      <w:r w:rsidR="00414863" w:rsidRPr="00467317">
        <w:t xml:space="preserve"> affidavit</w:t>
      </w:r>
      <w:r w:rsidR="002C2259" w:rsidRPr="00467317">
        <w:t xml:space="preserve"> was required to verify the cause of action and the amount, if any claimed.  Despite extensive judicial pronouncements giving guidance on pitfalls to be avoided </w:t>
      </w:r>
      <w:r w:rsidR="002C2259" w:rsidRPr="00467317">
        <w:rPr>
          <w:rStyle w:val="FootnoteReference"/>
        </w:rPr>
        <w:footnoteReference w:id="7"/>
      </w:r>
      <w:r w:rsidR="007B4835" w:rsidRPr="00467317">
        <w:t xml:space="preserve"> </w:t>
      </w:r>
      <w:r w:rsidR="00131386" w:rsidRPr="00467317">
        <w:t>plaintiff</w:t>
      </w:r>
      <w:r w:rsidR="007B4835" w:rsidRPr="00467317">
        <w:t>s (particularly corporate litigants) continue</w:t>
      </w:r>
      <w:r w:rsidR="004E139A" w:rsidRPr="00467317">
        <w:t>d</w:t>
      </w:r>
      <w:r w:rsidR="007B4835" w:rsidRPr="00467317">
        <w:t xml:space="preserve"> to submit deficient affidavits.  This was one of the areas identified by the Task Team as requiring an amendment to the </w:t>
      </w:r>
      <w:r w:rsidR="004E139A" w:rsidRPr="00467317">
        <w:t>r</w:t>
      </w:r>
      <w:r w:rsidR="007B4835" w:rsidRPr="00467317">
        <w:t xml:space="preserve">ule.  The elucidation of the requirements of the </w:t>
      </w:r>
      <w:r w:rsidR="00131386" w:rsidRPr="00467317">
        <w:t>plaintiff</w:t>
      </w:r>
      <w:r w:rsidR="007B4835" w:rsidRPr="00467317">
        <w:t xml:space="preserve">’s affidavit as </w:t>
      </w:r>
      <w:r w:rsidR="00D9588B" w:rsidRPr="00467317">
        <w:t>set out</w:t>
      </w:r>
      <w:r w:rsidR="007B4835" w:rsidRPr="00467317">
        <w:t xml:space="preserve"> in paragraphs [20] and [21] of the </w:t>
      </w:r>
      <w:r w:rsidR="007B4835" w:rsidRPr="00467317">
        <w:rPr>
          <w:b/>
          <w:bCs/>
        </w:rPr>
        <w:t>Tumileng</w:t>
      </w:r>
      <w:r w:rsidR="007B4835" w:rsidRPr="00467317">
        <w:t xml:space="preserve"> judgment provides valuable guidance to </w:t>
      </w:r>
      <w:r w:rsidR="00131386" w:rsidRPr="00467317">
        <w:t>plaintiff</w:t>
      </w:r>
      <w:r w:rsidR="007B4835" w:rsidRPr="00467317">
        <w:t xml:space="preserve">s wishing to invoke this procedure and I respectfully agree with what is </w:t>
      </w:r>
      <w:r w:rsidR="00414863" w:rsidRPr="00467317">
        <w:t xml:space="preserve">there </w:t>
      </w:r>
      <w:r w:rsidR="007B4835" w:rsidRPr="00467317">
        <w:t xml:space="preserve">stated. </w:t>
      </w:r>
    </w:p>
    <w:p w14:paraId="253C3470" w14:textId="34F7527A" w:rsidR="00A1645F" w:rsidRPr="00467317" w:rsidRDefault="0070421C" w:rsidP="0070421C">
      <w:pPr>
        <w:pStyle w:val="Clause1Head"/>
        <w:tabs>
          <w:tab w:val="left" w:pos="680"/>
        </w:tabs>
        <w:spacing w:after="360" w:line="480" w:lineRule="auto"/>
        <w:jc w:val="both"/>
      </w:pPr>
      <w:r w:rsidRPr="00467317">
        <w:rPr>
          <w:sz w:val="22"/>
          <w:szCs w:val="22"/>
        </w:rPr>
        <w:t>[7]</w:t>
      </w:r>
      <w:r w:rsidRPr="00467317">
        <w:rPr>
          <w:sz w:val="22"/>
          <w:szCs w:val="22"/>
        </w:rPr>
        <w:tab/>
      </w:r>
      <w:r w:rsidR="00706732" w:rsidRPr="00467317">
        <w:t>Second</w:t>
      </w:r>
      <w:r w:rsidR="00CF138A" w:rsidRPr="00467317">
        <w:t>,</w:t>
      </w:r>
      <w:r w:rsidR="00BC3443" w:rsidRPr="00467317">
        <w:t xml:space="preserve"> </w:t>
      </w:r>
      <w:r w:rsidR="000734D5" w:rsidRPr="00467317">
        <w:t xml:space="preserve">I agree that </w:t>
      </w:r>
      <w:r w:rsidR="00BB402A" w:rsidRPr="00467317">
        <w:t xml:space="preserve">the amended rule </w:t>
      </w:r>
      <w:r w:rsidR="00D4343C" w:rsidRPr="00467317">
        <w:t xml:space="preserve">now </w:t>
      </w:r>
      <w:r w:rsidR="00BB402A" w:rsidRPr="00467317">
        <w:t xml:space="preserve">requires a </w:t>
      </w:r>
      <w:r w:rsidR="00131386" w:rsidRPr="00467317">
        <w:t>plaintiff</w:t>
      </w:r>
      <w:r w:rsidR="00BB402A" w:rsidRPr="00467317">
        <w:t xml:space="preserve"> </w:t>
      </w:r>
      <w:r w:rsidR="009444DB" w:rsidRPr="00467317">
        <w:t xml:space="preserve">to </w:t>
      </w:r>
      <w:r w:rsidR="00BB402A" w:rsidRPr="00467317">
        <w:t xml:space="preserve">consider very carefully </w:t>
      </w:r>
      <w:r w:rsidR="008248DF" w:rsidRPr="00467317">
        <w:t xml:space="preserve">whether </w:t>
      </w:r>
      <w:r w:rsidR="00C86B97" w:rsidRPr="00467317">
        <w:t xml:space="preserve"> it is justified in</w:t>
      </w:r>
      <w:r w:rsidR="00B07316" w:rsidRPr="00467317">
        <w:t xml:space="preserve"> applying for summary judgment</w:t>
      </w:r>
      <w:r w:rsidR="00D4343C" w:rsidRPr="00467317">
        <w:t>,</w:t>
      </w:r>
      <w:r w:rsidR="00B07316" w:rsidRPr="00467317">
        <w:t xml:space="preserve"> because it is now  required to engage more closely the contents of the plea</w:t>
      </w:r>
      <w:r w:rsidR="00422A6B" w:rsidRPr="00467317">
        <w:t>.</w:t>
      </w:r>
      <w:r w:rsidR="006F46DB">
        <w:t> </w:t>
      </w:r>
      <w:r w:rsidR="00422A6B" w:rsidRPr="00467317">
        <w:rPr>
          <w:rStyle w:val="FootnoteReference"/>
        </w:rPr>
        <w:footnoteReference w:id="8"/>
      </w:r>
      <w:r w:rsidR="00A04DFF" w:rsidRPr="00467317">
        <w:t xml:space="preserve"> </w:t>
      </w:r>
      <w:r w:rsidR="006F46DB">
        <w:t xml:space="preserve"> </w:t>
      </w:r>
      <w:r w:rsidR="008433F8" w:rsidRPr="00467317">
        <w:t xml:space="preserve">But I </w:t>
      </w:r>
      <w:r w:rsidR="00684D60" w:rsidRPr="00467317">
        <w:t xml:space="preserve">am </w:t>
      </w:r>
      <w:r w:rsidR="008433F8" w:rsidRPr="00467317">
        <w:t xml:space="preserve">not </w:t>
      </w:r>
      <w:r w:rsidR="00684D60" w:rsidRPr="00467317">
        <w:t>convinced</w:t>
      </w:r>
      <w:r w:rsidR="008433F8" w:rsidRPr="00467317">
        <w:t xml:space="preserve"> that this will be futile in most cases</w:t>
      </w:r>
      <w:r w:rsidR="00467317">
        <w:t>.  A</w:t>
      </w:r>
      <w:r w:rsidR="00FA54ED" w:rsidRPr="00467317">
        <w:t xml:space="preserve"> </w:t>
      </w:r>
      <w:r w:rsidR="00FC349F" w:rsidRPr="00467317">
        <w:t xml:space="preserve">procedural oddity under the </w:t>
      </w:r>
      <w:r w:rsidR="00D4343C" w:rsidRPr="00467317">
        <w:t>previous</w:t>
      </w:r>
      <w:r w:rsidR="00FC349F" w:rsidRPr="00467317">
        <w:t xml:space="preserve"> rule was that</w:t>
      </w:r>
      <w:r w:rsidR="000F4429" w:rsidRPr="00467317">
        <w:t xml:space="preserve"> the</w:t>
      </w:r>
      <w:r w:rsidR="007319C6" w:rsidRPr="00467317">
        <w:t xml:space="preserve"> summary judgment application accompanied by the</w:t>
      </w:r>
      <w:r w:rsidR="000F4429" w:rsidRPr="00467317">
        <w:t xml:space="preserve"> affidavit by the </w:t>
      </w:r>
      <w:r w:rsidR="00131386" w:rsidRPr="00467317">
        <w:t>plaintiff</w:t>
      </w:r>
      <w:r w:rsidR="005742F0" w:rsidRPr="00467317">
        <w:t>,</w:t>
      </w:r>
      <w:r w:rsidR="00B6010C" w:rsidRPr="00467317">
        <w:t xml:space="preserve"> </w:t>
      </w:r>
      <w:r w:rsidR="00B6010C" w:rsidRPr="00467317">
        <w:lastRenderedPageBreak/>
        <w:t>was</w:t>
      </w:r>
      <w:r w:rsidR="007319C6" w:rsidRPr="00467317">
        <w:t xml:space="preserve"> delivered</w:t>
      </w:r>
      <w:r w:rsidR="00A9633E" w:rsidRPr="00467317">
        <w:t xml:space="preserve"> after appearance to defend was </w:t>
      </w:r>
      <w:r w:rsidR="005742F0" w:rsidRPr="00467317">
        <w:t>delivered</w:t>
      </w:r>
      <w:r w:rsidR="00A9633E" w:rsidRPr="00467317">
        <w:t xml:space="preserve"> but</w:t>
      </w:r>
      <w:r w:rsidR="007319C6" w:rsidRPr="00467317">
        <w:t xml:space="preserve"> before</w:t>
      </w:r>
      <w:r w:rsidR="00A9633E" w:rsidRPr="00467317">
        <w:t xml:space="preserve"> any vestige of a defence was disclosed</w:t>
      </w:r>
      <w:r w:rsidR="0052629E">
        <w:t>.  T</w:t>
      </w:r>
      <w:r w:rsidR="005E264D" w:rsidRPr="00467317">
        <w:t xml:space="preserve">his notwithstanding the </w:t>
      </w:r>
      <w:r w:rsidR="00131386" w:rsidRPr="00467317">
        <w:t>plaintiff</w:t>
      </w:r>
      <w:r w:rsidR="005E264D" w:rsidRPr="00467317">
        <w:t xml:space="preserve"> was required</w:t>
      </w:r>
      <w:r w:rsidR="00B6010C" w:rsidRPr="00467317">
        <w:t xml:space="preserve"> to allege</w:t>
      </w:r>
      <w:r w:rsidR="005E264D" w:rsidRPr="00467317">
        <w:t xml:space="preserve"> in its affidavit</w:t>
      </w:r>
      <w:r w:rsidR="00B6010C" w:rsidRPr="00467317">
        <w:t xml:space="preserve"> that</w:t>
      </w:r>
      <w:r w:rsidR="00886F29" w:rsidRPr="00467317">
        <w:t xml:space="preserve"> “</w:t>
      </w:r>
      <w:r w:rsidR="00886F29" w:rsidRPr="00467317">
        <w:rPr>
          <w:i/>
          <w:iCs/>
        </w:rPr>
        <w:t>in his opinion there is no bona fide defence to the action and that notice of intention to defend has been delivered solely for the purpose of delay</w:t>
      </w:r>
      <w:r w:rsidR="00886F29" w:rsidRPr="00467317">
        <w:t>.”</w:t>
      </w:r>
      <w:r w:rsidR="00F237EA" w:rsidRPr="00467317">
        <w:t xml:space="preserve"> </w:t>
      </w:r>
      <w:r w:rsidR="00E4085F" w:rsidRPr="00467317">
        <w:t xml:space="preserve">The </w:t>
      </w:r>
      <w:r w:rsidR="002A6ADB" w:rsidRPr="00467317">
        <w:t>constitutionality</w:t>
      </w:r>
      <w:r w:rsidR="00CA3A20" w:rsidRPr="00467317">
        <w:t xml:space="preserve"> </w:t>
      </w:r>
      <w:r w:rsidR="00EA16D5" w:rsidRPr="00467317">
        <w:t xml:space="preserve">of </w:t>
      </w:r>
      <w:r w:rsidR="00EC03E3" w:rsidRPr="00467317">
        <w:t xml:space="preserve">placing this burden on </w:t>
      </w:r>
      <w:r w:rsidR="0027240E" w:rsidRPr="00467317">
        <w:t xml:space="preserve">the </w:t>
      </w:r>
      <w:r w:rsidR="00C543BA" w:rsidRPr="00467317">
        <w:t>defendant</w:t>
      </w:r>
      <w:r w:rsidR="0027240E" w:rsidRPr="00467317">
        <w:t xml:space="preserve"> </w:t>
      </w:r>
      <w:r w:rsidR="00EC03E3" w:rsidRPr="00467317">
        <w:t>before it had an opportunity to</w:t>
      </w:r>
      <w:r w:rsidR="0027240E" w:rsidRPr="00467317">
        <w:t xml:space="preserve"> advance a defence</w:t>
      </w:r>
      <w:r w:rsidR="00877C5F" w:rsidRPr="00467317">
        <w:t xml:space="preserve"> must </w:t>
      </w:r>
      <w:r w:rsidR="001C5A44" w:rsidRPr="00467317">
        <w:t xml:space="preserve">now </w:t>
      </w:r>
      <w:r w:rsidR="00877C5F" w:rsidRPr="00467317">
        <w:t>be regarded as questionable and</w:t>
      </w:r>
      <w:r w:rsidR="0023340C" w:rsidRPr="00467317">
        <w:t xml:space="preserve"> would </w:t>
      </w:r>
      <w:r w:rsidR="009F0A51" w:rsidRPr="00467317">
        <w:t>p</w:t>
      </w:r>
      <w:r w:rsidR="000D077C" w:rsidRPr="00467317">
        <w:t>robably</w:t>
      </w:r>
      <w:r w:rsidR="009F0A51" w:rsidRPr="00467317">
        <w:t xml:space="preserve"> </w:t>
      </w:r>
      <w:r w:rsidR="00335111" w:rsidRPr="00467317">
        <w:t xml:space="preserve">have attracted </w:t>
      </w:r>
      <w:r w:rsidR="00B0180C" w:rsidRPr="00467317">
        <w:t>a challenge</w:t>
      </w:r>
      <w:r w:rsidR="00335111" w:rsidRPr="00467317">
        <w:t xml:space="preserve"> at some stage.</w:t>
      </w:r>
      <w:r w:rsidR="006F46DB">
        <w:t> </w:t>
      </w:r>
      <w:r w:rsidR="009F0A51" w:rsidRPr="00467317">
        <w:rPr>
          <w:rStyle w:val="FootnoteReference"/>
        </w:rPr>
        <w:footnoteReference w:id="9"/>
      </w:r>
      <w:r w:rsidR="0039364B" w:rsidRPr="00467317">
        <w:t xml:space="preserve"> </w:t>
      </w:r>
      <w:r w:rsidR="006F46DB">
        <w:t xml:space="preserve"> </w:t>
      </w:r>
      <w:r w:rsidR="00B47831" w:rsidRPr="00467317">
        <w:t>The new rule</w:t>
      </w:r>
      <w:r w:rsidR="00CD5CA6" w:rsidRPr="00467317">
        <w:t xml:space="preserve"> which requires </w:t>
      </w:r>
      <w:r w:rsidR="003F076D" w:rsidRPr="00467317">
        <w:t xml:space="preserve">the </w:t>
      </w:r>
      <w:r w:rsidR="00131386" w:rsidRPr="00467317">
        <w:t>plaintiff</w:t>
      </w:r>
      <w:r w:rsidR="00DE1F22" w:rsidRPr="00467317">
        <w:t xml:space="preserve"> inter alia</w:t>
      </w:r>
      <w:r w:rsidR="003853B4" w:rsidRPr="00467317">
        <w:t xml:space="preserve"> to explain briefly why the defences pleaded does not raise any issue for trial</w:t>
      </w:r>
      <w:r w:rsidR="00F67D9D" w:rsidRPr="00467317">
        <w:t xml:space="preserve"> </w:t>
      </w:r>
      <w:r w:rsidR="00653B3F" w:rsidRPr="00467317">
        <w:t>arguably seeks to</w:t>
      </w:r>
      <w:r w:rsidR="00320DE1" w:rsidRPr="00467317">
        <w:t xml:space="preserve"> avoid the</w:t>
      </w:r>
      <w:r w:rsidR="00304A74" w:rsidRPr="00467317">
        <w:t xml:space="preserve"> above</w:t>
      </w:r>
      <w:r w:rsidR="00320DE1" w:rsidRPr="00467317">
        <w:t xml:space="preserve"> fallacy</w:t>
      </w:r>
      <w:r w:rsidR="00304A74" w:rsidRPr="00467317">
        <w:t xml:space="preserve"> in the old rule</w:t>
      </w:r>
      <w:r w:rsidR="007D47A4" w:rsidRPr="00467317">
        <w:t xml:space="preserve"> as well as</w:t>
      </w:r>
      <w:r w:rsidR="00796FAE" w:rsidRPr="00467317">
        <w:t xml:space="preserve"> </w:t>
      </w:r>
      <w:r w:rsidR="00992F32" w:rsidRPr="00467317">
        <w:t xml:space="preserve">well as avoiding </w:t>
      </w:r>
      <w:r w:rsidR="00796FAE" w:rsidRPr="00467317">
        <w:t xml:space="preserve">the </w:t>
      </w:r>
      <w:r w:rsidR="00301817" w:rsidRPr="00467317">
        <w:t xml:space="preserve">potential </w:t>
      </w:r>
      <w:r w:rsidR="00796FAE" w:rsidRPr="00467317">
        <w:t>dis</w:t>
      </w:r>
      <w:r w:rsidR="00FF648B" w:rsidRPr="00467317">
        <w:t>connect</w:t>
      </w:r>
      <w:r w:rsidR="00301817" w:rsidRPr="00467317">
        <w:t xml:space="preserve"> between subrules 32(2)(b) and 32(</w:t>
      </w:r>
      <w:r w:rsidR="00A0274B" w:rsidRPr="00467317">
        <w:t xml:space="preserve">3)(b) referred to in </w:t>
      </w:r>
      <w:r w:rsidR="00A0274B" w:rsidRPr="00467317">
        <w:rPr>
          <w:b/>
          <w:bCs/>
        </w:rPr>
        <w:t>Tumileng</w:t>
      </w:r>
      <w:r w:rsidR="00992F32" w:rsidRPr="00467317">
        <w:rPr>
          <w:b/>
          <w:bCs/>
        </w:rPr>
        <w:t xml:space="preserve"> </w:t>
      </w:r>
      <w:r w:rsidR="00992F32" w:rsidRPr="00467317">
        <w:t xml:space="preserve">at para </w:t>
      </w:r>
      <w:r w:rsidR="00F86F12" w:rsidRPr="00467317">
        <w:t>[40].</w:t>
      </w:r>
      <w:r w:rsidR="006F46DB">
        <w:t> </w:t>
      </w:r>
      <w:r w:rsidR="00F86F12" w:rsidRPr="00467317">
        <w:rPr>
          <w:rStyle w:val="FootnoteReference"/>
        </w:rPr>
        <w:footnoteReference w:id="10"/>
      </w:r>
      <w:r w:rsidR="008B28D4" w:rsidRPr="00467317">
        <w:t xml:space="preserve"> </w:t>
      </w:r>
      <w:r w:rsidR="006F46DB">
        <w:t xml:space="preserve"> </w:t>
      </w:r>
      <w:r w:rsidR="00C43AB2" w:rsidRPr="00467317">
        <w:t xml:space="preserve">The English courts take into account whether the </w:t>
      </w:r>
      <w:r w:rsidR="00131386" w:rsidRPr="00467317">
        <w:t>plaintiff</w:t>
      </w:r>
      <w:r w:rsidR="00C43AB2" w:rsidRPr="00467317">
        <w:t xml:space="preserve"> has a </w:t>
      </w:r>
      <w:r w:rsidR="00DB6B57" w:rsidRPr="00467317">
        <w:t>‘</w:t>
      </w:r>
      <w:r w:rsidR="00C43AB2" w:rsidRPr="00467317">
        <w:t>realistic</w:t>
      </w:r>
      <w:r w:rsidR="00DB6B57" w:rsidRPr="00467317">
        <w:t>’</w:t>
      </w:r>
      <w:r w:rsidR="00C43AB2" w:rsidRPr="00467317">
        <w:t xml:space="preserve"> as opposed to a </w:t>
      </w:r>
      <w:r w:rsidR="00DB6B57" w:rsidRPr="00467317">
        <w:t>‘</w:t>
      </w:r>
      <w:r w:rsidR="00C43AB2" w:rsidRPr="00467317">
        <w:t>fanciful</w:t>
      </w:r>
      <w:r w:rsidR="00DB6B57" w:rsidRPr="00467317">
        <w:t>’</w:t>
      </w:r>
      <w:r w:rsidR="00C43AB2" w:rsidRPr="00467317">
        <w:t xml:space="preserve"> prospect of success</w:t>
      </w:r>
      <w:r w:rsidR="00467317">
        <w:t>.  A</w:t>
      </w:r>
      <w:r w:rsidR="00C43AB2" w:rsidRPr="00467317">
        <w:t xml:space="preserve"> realistic prospect is one that carries some degree of conviction and means a claim that is more than merely arguable.</w:t>
      </w:r>
      <w:r w:rsidR="006F46DB">
        <w:t> </w:t>
      </w:r>
      <w:r w:rsidR="00035D67" w:rsidRPr="00467317">
        <w:rPr>
          <w:rStyle w:val="FootnoteReference"/>
        </w:rPr>
        <w:footnoteReference w:id="11"/>
      </w:r>
      <w:r w:rsidR="00C87659" w:rsidRPr="00467317">
        <w:t xml:space="preserve"> </w:t>
      </w:r>
      <w:r w:rsidR="006F46DB">
        <w:t xml:space="preserve"> </w:t>
      </w:r>
      <w:r w:rsidR="00C87659" w:rsidRPr="00467317">
        <w:t>I</w:t>
      </w:r>
      <w:r w:rsidR="0044119A" w:rsidRPr="00467317">
        <w:t xml:space="preserve"> believe that </w:t>
      </w:r>
      <w:r w:rsidR="00C87659" w:rsidRPr="00467317">
        <w:t>this approach commends itself</w:t>
      </w:r>
      <w:r w:rsidR="0044119A" w:rsidRPr="00467317">
        <w:t xml:space="preserve"> to the South African procedure.</w:t>
      </w:r>
    </w:p>
    <w:p w14:paraId="59B949E0" w14:textId="6F1FE093" w:rsidR="00A1645F" w:rsidRPr="00467317" w:rsidRDefault="0070421C" w:rsidP="0070421C">
      <w:pPr>
        <w:pStyle w:val="Clause1Head"/>
        <w:tabs>
          <w:tab w:val="left" w:pos="680"/>
        </w:tabs>
        <w:spacing w:after="360" w:line="480" w:lineRule="auto"/>
        <w:jc w:val="both"/>
      </w:pPr>
      <w:r w:rsidRPr="00467317">
        <w:rPr>
          <w:sz w:val="22"/>
          <w:szCs w:val="22"/>
        </w:rPr>
        <w:t>[8]</w:t>
      </w:r>
      <w:r w:rsidRPr="00467317">
        <w:rPr>
          <w:sz w:val="22"/>
          <w:szCs w:val="22"/>
        </w:rPr>
        <w:tab/>
      </w:r>
      <w:r w:rsidR="0036676A" w:rsidRPr="00467317">
        <w:t>T</w:t>
      </w:r>
      <w:r w:rsidR="00A2573E" w:rsidRPr="00467317">
        <w:t xml:space="preserve">he </w:t>
      </w:r>
      <w:r w:rsidR="0010528D" w:rsidRPr="00467317">
        <w:t xml:space="preserve">further </w:t>
      </w:r>
      <w:r w:rsidR="00A2573E" w:rsidRPr="00467317">
        <w:t xml:space="preserve">comments on the opposing affidavit in paragraphs [24] and [25] of </w:t>
      </w:r>
      <w:r w:rsidR="00A2573E" w:rsidRPr="00467317">
        <w:rPr>
          <w:b/>
          <w:bCs/>
        </w:rPr>
        <w:t>Tumileng</w:t>
      </w:r>
      <w:r w:rsidR="00A2573E" w:rsidRPr="00467317">
        <w:t xml:space="preserve"> provide</w:t>
      </w:r>
      <w:r w:rsidR="0036676A" w:rsidRPr="00467317">
        <w:t xml:space="preserve"> useful</w:t>
      </w:r>
      <w:r w:rsidR="00A2573E" w:rsidRPr="00467317">
        <w:t xml:space="preserve"> </w:t>
      </w:r>
      <w:r w:rsidR="00670267" w:rsidRPr="00467317">
        <w:t>i</w:t>
      </w:r>
      <w:r w:rsidR="00A2573E" w:rsidRPr="00467317">
        <w:t>nsight into the new procedure</w:t>
      </w:r>
      <w:r w:rsidR="0010528D" w:rsidRPr="00467317">
        <w:t xml:space="preserve">; </w:t>
      </w:r>
      <w:r w:rsidR="00A2573E" w:rsidRPr="00467317">
        <w:t xml:space="preserve">the method of evaluating the defence raised on the same basis as before remains the same.  Whether this will indeed result in (an increased) proliferation of argumentative matter in the opposing </w:t>
      </w:r>
      <w:r w:rsidR="00A2573E" w:rsidRPr="00467317">
        <w:lastRenderedPageBreak/>
        <w:t xml:space="preserve">affidavit remains to be seen; argumentative matter was not notably absent </w:t>
      </w:r>
      <w:r w:rsidR="00532F32" w:rsidRPr="00467317">
        <w:t>under</w:t>
      </w:r>
      <w:r w:rsidR="00A2573E" w:rsidRPr="00467317">
        <w:t xml:space="preserve"> the previous procedure.</w:t>
      </w:r>
    </w:p>
    <w:p w14:paraId="79B222D5" w14:textId="52CBCA62" w:rsidR="00A1645F" w:rsidRPr="00467317" w:rsidRDefault="0070421C" w:rsidP="0070421C">
      <w:pPr>
        <w:pStyle w:val="Clause1Head"/>
        <w:tabs>
          <w:tab w:val="left" w:pos="680"/>
        </w:tabs>
        <w:spacing w:after="240" w:line="480" w:lineRule="auto"/>
        <w:jc w:val="both"/>
      </w:pPr>
      <w:r w:rsidRPr="00467317">
        <w:rPr>
          <w:sz w:val="22"/>
          <w:szCs w:val="22"/>
        </w:rPr>
        <w:t>[9]</w:t>
      </w:r>
      <w:r w:rsidRPr="00467317">
        <w:rPr>
          <w:sz w:val="22"/>
          <w:szCs w:val="22"/>
        </w:rPr>
        <w:tab/>
      </w:r>
      <w:r w:rsidR="008569E1" w:rsidRPr="00467317">
        <w:t xml:space="preserve">Ultimately, whilst the amendments to Uniform Rule 32 seek to ameliorate some of the shortcomings in the summary judgment process </w:t>
      </w:r>
      <w:r w:rsidR="009471C0" w:rsidRPr="00467317">
        <w:t xml:space="preserve">this </w:t>
      </w:r>
      <w:r w:rsidR="008569E1" w:rsidRPr="00467317">
        <w:t xml:space="preserve">is likely to be achieved only in part.  Procedural rules can seldom prevent all misuses or abuses; all that can be hoped for is that a </w:t>
      </w:r>
      <w:r w:rsidR="00F21E1F" w:rsidRPr="00467317">
        <w:t xml:space="preserve">procedural </w:t>
      </w:r>
      <w:r w:rsidR="008569E1" w:rsidRPr="00467317">
        <w:t xml:space="preserve">structure is provided which </w:t>
      </w:r>
      <w:r w:rsidR="00D052E5" w:rsidRPr="00467317">
        <w:t>clearly articulates</w:t>
      </w:r>
      <w:r w:rsidR="00DA584D" w:rsidRPr="00467317">
        <w:t xml:space="preserve"> the requirements for the remedy and that</w:t>
      </w:r>
      <w:r w:rsidR="008569E1" w:rsidRPr="00467317">
        <w:t xml:space="preserve"> compliance</w:t>
      </w:r>
      <w:r w:rsidR="00DA584D" w:rsidRPr="00467317">
        <w:t xml:space="preserve"> </w:t>
      </w:r>
      <w:r w:rsidR="00F21E1F" w:rsidRPr="00467317">
        <w:t>is</w:t>
      </w:r>
      <w:r w:rsidR="008569E1" w:rsidRPr="00467317">
        <w:t xml:space="preserve"> enforced by our Courts.  Courts will </w:t>
      </w:r>
      <w:r w:rsidR="00C34ABF" w:rsidRPr="00467317">
        <w:t xml:space="preserve">inevitably </w:t>
      </w:r>
      <w:r w:rsidR="00F21E1F" w:rsidRPr="00467317">
        <w:t>continue</w:t>
      </w:r>
      <w:r w:rsidR="00C34ABF" w:rsidRPr="00467317">
        <w:t xml:space="preserve"> to</w:t>
      </w:r>
      <w:r w:rsidR="008569E1" w:rsidRPr="00467317">
        <w:t xml:space="preserve"> be troubled with affidavits that are non-compliant with the Rules or poorly drafted, or both:</w:t>
      </w:r>
    </w:p>
    <w:p w14:paraId="008CBF1F" w14:textId="77777777" w:rsidR="00A1645F" w:rsidRPr="00467317" w:rsidRDefault="00A1645F" w:rsidP="00A1645F">
      <w:pPr>
        <w:pStyle w:val="Clause1Head"/>
        <w:spacing w:after="360" w:line="360" w:lineRule="auto"/>
        <w:ind w:left="1985" w:right="851" w:hanging="284"/>
        <w:contextualSpacing/>
        <w:jc w:val="both"/>
        <w:rPr>
          <w:i/>
          <w:iCs/>
          <w:sz w:val="22"/>
          <w:szCs w:val="26"/>
        </w:rPr>
      </w:pPr>
      <w:r w:rsidRPr="00467317">
        <w:rPr>
          <w:i/>
          <w:iCs/>
          <w:sz w:val="22"/>
          <w:szCs w:val="26"/>
        </w:rPr>
        <w:t>“The best lack all  conviction, while the worst</w:t>
      </w:r>
    </w:p>
    <w:p w14:paraId="11AC69B5" w14:textId="7E8EB72C" w:rsidR="00A1645F" w:rsidRPr="00467317" w:rsidRDefault="00A1645F" w:rsidP="00CD6A6F">
      <w:pPr>
        <w:pStyle w:val="Clause1Head"/>
        <w:spacing w:after="480" w:line="360" w:lineRule="auto"/>
        <w:ind w:left="1985" w:right="851" w:hanging="284"/>
        <w:jc w:val="both"/>
        <w:rPr>
          <w:sz w:val="22"/>
          <w:szCs w:val="26"/>
        </w:rPr>
      </w:pPr>
      <w:r w:rsidRPr="00467317">
        <w:rPr>
          <w:i/>
          <w:iCs/>
          <w:sz w:val="22"/>
          <w:szCs w:val="26"/>
        </w:rPr>
        <w:t>Are full of passionate intensity.”</w:t>
      </w:r>
      <w:r w:rsidRPr="00467317">
        <w:rPr>
          <w:sz w:val="22"/>
          <w:szCs w:val="26"/>
        </w:rPr>
        <w:t> </w:t>
      </w:r>
      <w:r w:rsidRPr="00467317">
        <w:rPr>
          <w:rStyle w:val="FootnoteReference"/>
          <w:sz w:val="22"/>
          <w:szCs w:val="26"/>
        </w:rPr>
        <w:footnoteReference w:id="12"/>
      </w:r>
    </w:p>
    <w:p w14:paraId="17674FB5" w14:textId="38A9526C" w:rsidR="00E841EB" w:rsidRPr="00467317" w:rsidRDefault="0070421C" w:rsidP="0070421C">
      <w:pPr>
        <w:pStyle w:val="Clause1Head"/>
        <w:tabs>
          <w:tab w:val="left" w:pos="680"/>
        </w:tabs>
        <w:spacing w:after="360" w:line="480" w:lineRule="auto"/>
        <w:jc w:val="both"/>
      </w:pPr>
      <w:r w:rsidRPr="00467317">
        <w:rPr>
          <w:sz w:val="22"/>
          <w:szCs w:val="22"/>
        </w:rPr>
        <w:t>[10]</w:t>
      </w:r>
      <w:r w:rsidRPr="00467317">
        <w:rPr>
          <w:sz w:val="22"/>
          <w:szCs w:val="22"/>
        </w:rPr>
        <w:tab/>
      </w:r>
      <w:r w:rsidR="007B4835" w:rsidRPr="00467317">
        <w:t xml:space="preserve">Finally, the caution expressed in paragraphs [12] and [13] of the </w:t>
      </w:r>
      <w:r w:rsidR="007B4835" w:rsidRPr="00467317">
        <w:rPr>
          <w:b/>
          <w:bCs/>
        </w:rPr>
        <w:t>Tumileng</w:t>
      </w:r>
      <w:r w:rsidR="007B4835" w:rsidRPr="00467317">
        <w:t xml:space="preserve"> judgment about excessive reliance on jurisdictions such as England and Australia is </w:t>
      </w:r>
      <w:r w:rsidR="00642C45" w:rsidRPr="00467317">
        <w:t>merited</w:t>
      </w:r>
      <w:r w:rsidR="007B4835" w:rsidRPr="00467317">
        <w:t xml:space="preserve">.  The procedures in these jurisdictions contain features which do not </w:t>
      </w:r>
      <w:r w:rsidR="001F375E" w:rsidRPr="00467317">
        <w:t>fit comfortably within our own summary judgment procedure as historically developed</w:t>
      </w:r>
      <w:r w:rsidR="00E3093A" w:rsidRPr="00467317">
        <w:t>.</w:t>
      </w:r>
      <w:r w:rsidR="00982207">
        <w:t> </w:t>
      </w:r>
      <w:r w:rsidR="001F375E" w:rsidRPr="00467317">
        <w:rPr>
          <w:rStyle w:val="FootnoteReference"/>
        </w:rPr>
        <w:footnoteReference w:id="13"/>
      </w:r>
      <w:r w:rsidR="00642C45" w:rsidRPr="00467317">
        <w:t xml:space="preserve"> </w:t>
      </w:r>
      <w:r w:rsidR="00982207">
        <w:t xml:space="preserve"> </w:t>
      </w:r>
      <w:r w:rsidR="00E3093A" w:rsidRPr="00467317">
        <w:t>B</w:t>
      </w:r>
      <w:r w:rsidR="001F375E" w:rsidRPr="00467317">
        <w:t xml:space="preserve">ut </w:t>
      </w:r>
      <w:r w:rsidR="00E3093A" w:rsidRPr="00467317">
        <w:t>I suggest that</w:t>
      </w:r>
      <w:r w:rsidR="001F375E" w:rsidRPr="00467317">
        <w:t xml:space="preserve"> there is value to be found in these jurisdictions provided the differences are recognised.  The overall object of summary judgment </w:t>
      </w:r>
      <w:r w:rsidR="00C57020" w:rsidRPr="00467317">
        <w:t>to</w:t>
      </w:r>
      <w:r w:rsidR="001F375E" w:rsidRPr="00467317">
        <w:t xml:space="preserve"> </w:t>
      </w:r>
      <w:r w:rsidR="001F375E" w:rsidRPr="00467317">
        <w:rPr>
          <w:i/>
          <w:iCs/>
        </w:rPr>
        <w:t>“winnow out cases that are not fit for trial”</w:t>
      </w:r>
      <w:r w:rsidR="001F375E" w:rsidRPr="00467317">
        <w:t> </w:t>
      </w:r>
      <w:r w:rsidR="001F375E" w:rsidRPr="00467317">
        <w:rPr>
          <w:rStyle w:val="FootnoteReference"/>
        </w:rPr>
        <w:footnoteReference w:id="14"/>
      </w:r>
      <w:r w:rsidR="00A40A4B" w:rsidRPr="00467317">
        <w:t xml:space="preserve"> is unmistakably applicable in the South African context.</w:t>
      </w:r>
    </w:p>
    <w:p w14:paraId="2C8597E5" w14:textId="268268DE" w:rsidR="00E841EB" w:rsidRPr="00467317" w:rsidRDefault="00E841EB" w:rsidP="00E841EB">
      <w:pPr>
        <w:pStyle w:val="Clause1Head"/>
        <w:spacing w:after="360" w:line="480" w:lineRule="auto"/>
        <w:jc w:val="both"/>
      </w:pPr>
      <w:r w:rsidRPr="00467317">
        <w:rPr>
          <w:b/>
          <w:bCs/>
        </w:rPr>
        <w:t>Case No 2020/15210</w:t>
      </w:r>
    </w:p>
    <w:p w14:paraId="174164D5" w14:textId="18DFB5D1" w:rsidR="00E841EB" w:rsidRPr="00467317" w:rsidRDefault="0070421C" w:rsidP="0070421C">
      <w:pPr>
        <w:pStyle w:val="Clause1Head"/>
        <w:tabs>
          <w:tab w:val="left" w:pos="680"/>
        </w:tabs>
        <w:spacing w:after="360" w:line="480" w:lineRule="auto"/>
        <w:jc w:val="both"/>
      </w:pPr>
      <w:bookmarkStart w:id="5" w:name="_Hlk17294648"/>
      <w:r w:rsidRPr="00467317">
        <w:rPr>
          <w:sz w:val="22"/>
          <w:szCs w:val="22"/>
        </w:rPr>
        <w:lastRenderedPageBreak/>
        <w:t>[11]</w:t>
      </w:r>
      <w:r w:rsidRPr="00467317">
        <w:rPr>
          <w:sz w:val="22"/>
          <w:szCs w:val="22"/>
        </w:rPr>
        <w:tab/>
      </w:r>
      <w:r w:rsidR="00E841EB" w:rsidRPr="00467317">
        <w:t xml:space="preserve">By summons issued on 1 July 2020 Absa instituted action against the named </w:t>
      </w:r>
      <w:r w:rsidR="00C543BA" w:rsidRPr="00467317">
        <w:t>defendant</w:t>
      </w:r>
      <w:r w:rsidR="00E841EB" w:rsidRPr="00467317">
        <w:t>s in their respective capacities.  The claims against t</w:t>
      </w:r>
      <w:r w:rsidR="000853D1" w:rsidRPr="00467317">
        <w:t>he defendant</w:t>
      </w:r>
      <w:r w:rsidR="00E841EB" w:rsidRPr="00467317">
        <w:t>s arose out of diverse loan agreements and other instruments, which are summarised below</w:t>
      </w:r>
      <w:r w:rsidR="00282027" w:rsidRPr="00467317">
        <w:t>:</w:t>
      </w:r>
    </w:p>
    <w:p w14:paraId="4147331B" w14:textId="0A527859" w:rsidR="00E841EB"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[11.1]</w:t>
      </w:r>
      <w:r w:rsidRPr="00467317">
        <w:rPr>
          <w:color w:val="000000"/>
          <w:sz w:val="20"/>
          <w:szCs w:val="20"/>
        </w:rPr>
        <w:tab/>
      </w:r>
      <w:r w:rsidR="00E841EB" w:rsidRPr="00467317">
        <w:t>A term loan agreement (</w:t>
      </w:r>
      <w:r w:rsidR="00BA6748" w:rsidRPr="00467317">
        <w:t xml:space="preserve">claim A, </w:t>
      </w:r>
      <w:r w:rsidR="00E841EB" w:rsidRPr="00467317">
        <w:t>account no. 3030934842) concluded between t</w:t>
      </w:r>
      <w:r w:rsidR="000853D1" w:rsidRPr="00467317">
        <w:t>he plaintiff</w:t>
      </w:r>
      <w:r w:rsidR="00A2437B" w:rsidRPr="00467317">
        <w:t xml:space="preserve"> and Sable Hills</w:t>
      </w:r>
      <w:r w:rsidR="000A1C8A" w:rsidRPr="00467317">
        <w:t xml:space="preserve"> on 28 April 2020</w:t>
      </w:r>
      <w:r w:rsidR="00E841EB" w:rsidRPr="00467317">
        <w:t xml:space="preserve"> for a loan to the </w:t>
      </w:r>
      <w:r w:rsidR="000853D1" w:rsidRPr="00467317">
        <w:t>f</w:t>
      </w:r>
      <w:r w:rsidR="00E841EB" w:rsidRPr="00467317">
        <w:t xml:space="preserve">irst </w:t>
      </w:r>
      <w:r w:rsidR="000853D1" w:rsidRPr="00467317">
        <w:t>d</w:t>
      </w:r>
      <w:r w:rsidR="00C543BA" w:rsidRPr="00467317">
        <w:t>efendant</w:t>
      </w:r>
      <w:r w:rsidR="00E841EB" w:rsidRPr="00467317">
        <w:t xml:space="preserve"> in the sum of R7 million.  The terms of payment provided for interest linked to the prime lending rate and the requirement that repayment be made in 119 equal monthly instalments of R89 981,65 commencing on 1 May 20</w:t>
      </w:r>
      <w:r w:rsidR="004243E1" w:rsidRPr="00467317">
        <w:t>1</w:t>
      </w:r>
      <w:r w:rsidR="00E841EB" w:rsidRPr="00467317">
        <w:t>0 and a final instalment of R89 981,99 on 1 April 2020</w:t>
      </w:r>
      <w:r w:rsidR="004243E1" w:rsidRPr="00467317">
        <w:t>.</w:t>
      </w:r>
    </w:p>
    <w:p w14:paraId="638077BC" w14:textId="5F70ED75" w:rsidR="00E841EB"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[11.2]</w:t>
      </w:r>
      <w:r w:rsidRPr="00467317">
        <w:rPr>
          <w:color w:val="000000"/>
          <w:sz w:val="20"/>
          <w:szCs w:val="20"/>
        </w:rPr>
        <w:tab/>
      </w:r>
      <w:r w:rsidR="00E841EB" w:rsidRPr="00467317">
        <w:t>An access term loan facility agreement (claim B, account no. 3037498663) concluded on 15 January 2013 between t</w:t>
      </w:r>
      <w:r w:rsidR="000853D1" w:rsidRPr="00467317">
        <w:t>he plaintiff</w:t>
      </w:r>
      <w:r w:rsidR="00E841EB" w:rsidRPr="00467317">
        <w:t xml:space="preserve"> and </w:t>
      </w:r>
      <w:r w:rsidR="00A3672B" w:rsidRPr="00467317">
        <w:t xml:space="preserve">Sable Hills </w:t>
      </w:r>
      <w:r w:rsidR="00E841EB" w:rsidRPr="00467317">
        <w:t>for a term loan facility in the aggregate minimum amount of R8 million.  Interest accrue</w:t>
      </w:r>
      <w:r w:rsidR="004A4135" w:rsidRPr="00467317">
        <w:t>d</w:t>
      </w:r>
      <w:r w:rsidR="00E841EB" w:rsidRPr="00467317">
        <w:t xml:space="preserve"> at t</w:t>
      </w:r>
      <w:r w:rsidR="000853D1" w:rsidRPr="00467317">
        <w:t>he plaintiff</w:t>
      </w:r>
      <w:r w:rsidR="00E841EB" w:rsidRPr="00467317">
        <w:t xml:space="preserve">’s prime rate, compounded monthly with unpaid amounts attracting interest at the prime rate plus 6% per </w:t>
      </w:r>
      <w:r w:rsidR="00E841EB" w:rsidRPr="00467317">
        <w:rPr>
          <w:i/>
          <w:iCs/>
        </w:rPr>
        <w:t>annum</w:t>
      </w:r>
      <w:r w:rsidR="00E841EB" w:rsidRPr="00467317">
        <w:t xml:space="preserve">.  The </w:t>
      </w:r>
      <w:r w:rsidR="000853D1" w:rsidRPr="00467317">
        <w:t>f</w:t>
      </w:r>
      <w:r w:rsidR="00E841EB" w:rsidRPr="00467317">
        <w:t xml:space="preserve">irst </w:t>
      </w:r>
      <w:r w:rsidR="000853D1" w:rsidRPr="00467317">
        <w:t>d</w:t>
      </w:r>
      <w:r w:rsidR="00C543BA" w:rsidRPr="00467317">
        <w:t>efendant</w:t>
      </w:r>
      <w:r w:rsidR="00E841EB" w:rsidRPr="00467317">
        <w:t xml:space="preserve"> was required to repay the facility in equal monthly instalments with the final payment </w:t>
      </w:r>
      <w:r w:rsidR="000448FD" w:rsidRPr="00467317">
        <w:t>o</w:t>
      </w:r>
      <w:r w:rsidR="00E841EB" w:rsidRPr="00467317">
        <w:t>n the 5</w:t>
      </w:r>
      <w:r w:rsidR="00E841EB" w:rsidRPr="00467317">
        <w:rPr>
          <w:vertAlign w:val="superscript"/>
        </w:rPr>
        <w:t>th</w:t>
      </w:r>
      <w:r w:rsidR="00E841EB" w:rsidRPr="00467317">
        <w:t xml:space="preserve"> anniversary of the date of signature, being 17 January 2018.</w:t>
      </w:r>
    </w:p>
    <w:p w14:paraId="527E5AD6" w14:textId="4AE21C9F" w:rsidR="00E841EB"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[11.3]</w:t>
      </w:r>
      <w:r w:rsidRPr="00467317">
        <w:rPr>
          <w:color w:val="000000"/>
          <w:sz w:val="20"/>
          <w:szCs w:val="20"/>
        </w:rPr>
        <w:tab/>
      </w:r>
      <w:r w:rsidR="00E841EB" w:rsidRPr="00467317">
        <w:t>An overdraft facility (claim C, account no. 4056827696), in terms of which t</w:t>
      </w:r>
      <w:r w:rsidR="000853D1" w:rsidRPr="00467317">
        <w:t>he plaintiff</w:t>
      </w:r>
      <w:r w:rsidR="00E841EB" w:rsidRPr="00467317">
        <w:t xml:space="preserve"> provided an overdraft banking facility to </w:t>
      </w:r>
      <w:r w:rsidR="00980247" w:rsidRPr="00467317">
        <w:t>Sable Hills</w:t>
      </w:r>
      <w:r w:rsidR="00E841EB" w:rsidRPr="00467317">
        <w:t xml:space="preserve"> in the sum of R7 600 000,00, attracting interest at t</w:t>
      </w:r>
      <w:r w:rsidR="000853D1" w:rsidRPr="00467317">
        <w:t>he plaintiff</w:t>
      </w:r>
      <w:r w:rsidR="00E841EB" w:rsidRPr="00467317">
        <w:t>’s prime overdraft rate from time to time.  The overdraft facility was repayable on demand by t</w:t>
      </w:r>
      <w:r w:rsidR="000853D1" w:rsidRPr="00467317">
        <w:t>he plaintiff</w:t>
      </w:r>
      <w:r w:rsidR="00E841EB" w:rsidRPr="00467317">
        <w:t>.</w:t>
      </w:r>
    </w:p>
    <w:p w14:paraId="546FA107" w14:textId="4ACD8E8A" w:rsidR="00E841EB" w:rsidRPr="00467317" w:rsidRDefault="0070421C" w:rsidP="0070421C">
      <w:pPr>
        <w:pStyle w:val="Clause1Head"/>
        <w:tabs>
          <w:tab w:val="left" w:pos="680"/>
        </w:tabs>
        <w:spacing w:after="360" w:line="480" w:lineRule="auto"/>
        <w:jc w:val="both"/>
      </w:pPr>
      <w:r w:rsidRPr="00467317">
        <w:rPr>
          <w:sz w:val="22"/>
          <w:szCs w:val="22"/>
        </w:rPr>
        <w:lastRenderedPageBreak/>
        <w:t>[12]</w:t>
      </w:r>
      <w:r w:rsidRPr="00467317">
        <w:rPr>
          <w:sz w:val="22"/>
          <w:szCs w:val="22"/>
        </w:rPr>
        <w:tab/>
      </w:r>
      <w:r w:rsidR="00E841EB" w:rsidRPr="00467317">
        <w:t>The T</w:t>
      </w:r>
      <w:r w:rsidR="00931A8F" w:rsidRPr="00467317">
        <w:t>rust</w:t>
      </w:r>
      <w:r w:rsidR="00E841EB" w:rsidRPr="00467317">
        <w:t xml:space="preserve"> and the </w:t>
      </w:r>
      <w:r w:rsidR="00242461" w:rsidRPr="00467317">
        <w:t>f</w:t>
      </w:r>
      <w:r w:rsidR="00E841EB" w:rsidRPr="00467317">
        <w:t xml:space="preserve">ifth </w:t>
      </w:r>
      <w:r w:rsidR="00242461" w:rsidRPr="00467317">
        <w:t>d</w:t>
      </w:r>
      <w:r w:rsidR="00C543BA" w:rsidRPr="00467317">
        <w:t>efendant</w:t>
      </w:r>
      <w:r w:rsidR="00E841EB" w:rsidRPr="00467317">
        <w:t xml:space="preserve"> </w:t>
      </w:r>
      <w:r w:rsidR="00D42189" w:rsidRPr="00467317">
        <w:t>(“</w:t>
      </w:r>
      <w:r w:rsidR="0041421D" w:rsidRPr="00467317">
        <w:rPr>
          <w:i/>
          <w:iCs/>
        </w:rPr>
        <w:t xml:space="preserve">Mr </w:t>
      </w:r>
      <w:r w:rsidR="0085507A" w:rsidRPr="00467317">
        <w:rPr>
          <w:i/>
          <w:iCs/>
        </w:rPr>
        <w:t>Peck</w:t>
      </w:r>
      <w:r w:rsidR="0085507A" w:rsidRPr="00467317">
        <w:t xml:space="preserve">”) </w:t>
      </w:r>
      <w:r w:rsidR="00E841EB" w:rsidRPr="00467317">
        <w:t xml:space="preserve">executed deeds of suretyship binding themselves </w:t>
      </w:r>
      <w:r w:rsidR="00E841EB" w:rsidRPr="00467317">
        <w:rPr>
          <w:i/>
          <w:iCs/>
        </w:rPr>
        <w:t>in solidum</w:t>
      </w:r>
      <w:r w:rsidR="00E841EB" w:rsidRPr="00467317">
        <w:t xml:space="preserve"> as </w:t>
      </w:r>
      <w:bookmarkEnd w:id="5"/>
      <w:r w:rsidR="00E841EB" w:rsidRPr="00467317">
        <w:t>suret</w:t>
      </w:r>
      <w:r w:rsidR="0077639C" w:rsidRPr="00467317">
        <w:t>ies</w:t>
      </w:r>
      <w:r w:rsidR="00E841EB" w:rsidRPr="00467317">
        <w:t xml:space="preserve"> and co-principal debtor</w:t>
      </w:r>
      <w:r w:rsidR="0077639C" w:rsidRPr="00467317">
        <w:t>s</w:t>
      </w:r>
      <w:r w:rsidR="00E841EB" w:rsidRPr="00467317">
        <w:t xml:space="preserve"> in favour of t</w:t>
      </w:r>
      <w:r w:rsidR="000853D1" w:rsidRPr="00467317">
        <w:t>he plaintiff</w:t>
      </w:r>
      <w:r w:rsidR="00E841EB" w:rsidRPr="00467317">
        <w:t xml:space="preserve"> for due payment by </w:t>
      </w:r>
      <w:r w:rsidR="0077639C" w:rsidRPr="00467317">
        <w:t xml:space="preserve">Sable Hills </w:t>
      </w:r>
      <w:r w:rsidR="00E841EB" w:rsidRPr="00467317">
        <w:t>of all moneys due</w:t>
      </w:r>
      <w:r w:rsidR="00666C6B" w:rsidRPr="00467317">
        <w:t xml:space="preserve"> which</w:t>
      </w:r>
      <w:r w:rsidR="00E841EB" w:rsidRPr="00467317">
        <w:t xml:space="preserve"> </w:t>
      </w:r>
      <w:r w:rsidR="00666C6B" w:rsidRPr="00467317">
        <w:t>t</w:t>
      </w:r>
      <w:r w:rsidR="00E841EB" w:rsidRPr="00467317">
        <w:t xml:space="preserve">hey executed </w:t>
      </w:r>
      <w:r w:rsidR="006F1240" w:rsidRPr="00467317">
        <w:t xml:space="preserve">respectively </w:t>
      </w:r>
      <w:r w:rsidR="00E841EB" w:rsidRPr="00467317">
        <w:t>on 17 January 20</w:t>
      </w:r>
      <w:r w:rsidR="00E372A7" w:rsidRPr="00467317">
        <w:t>0</w:t>
      </w:r>
      <w:r w:rsidR="00E841EB" w:rsidRPr="00467317">
        <w:t>3 and 24 January 2006.  The suretyships contained the standard clauses including those renouncing benefits.</w:t>
      </w:r>
    </w:p>
    <w:p w14:paraId="598168DA" w14:textId="69A71B41" w:rsidR="00E841EB" w:rsidRPr="00467317" w:rsidRDefault="0070421C" w:rsidP="0070421C">
      <w:pPr>
        <w:pStyle w:val="Clause1Head"/>
        <w:tabs>
          <w:tab w:val="left" w:pos="680"/>
        </w:tabs>
        <w:spacing w:after="360" w:line="480" w:lineRule="auto"/>
        <w:jc w:val="both"/>
      </w:pPr>
      <w:r w:rsidRPr="00467317">
        <w:rPr>
          <w:sz w:val="22"/>
          <w:szCs w:val="22"/>
        </w:rPr>
        <w:t>[13]</w:t>
      </w:r>
      <w:r w:rsidRPr="00467317">
        <w:rPr>
          <w:sz w:val="22"/>
          <w:szCs w:val="22"/>
        </w:rPr>
        <w:tab/>
      </w:r>
      <w:r w:rsidR="00CE09AA" w:rsidRPr="00467317">
        <w:t>O</w:t>
      </w:r>
      <w:r w:rsidR="00E841EB" w:rsidRPr="00467317">
        <w:t xml:space="preserve">n 27 November 2007 </w:t>
      </w:r>
      <w:r w:rsidR="00CB4979" w:rsidRPr="00467317">
        <w:t xml:space="preserve">Sable Hills </w:t>
      </w:r>
      <w:r w:rsidR="00E841EB" w:rsidRPr="00467317">
        <w:t xml:space="preserve">caused a  </w:t>
      </w:r>
      <w:r w:rsidR="00CB4979" w:rsidRPr="00467317">
        <w:t xml:space="preserve">covering mortgage bond </w:t>
      </w:r>
      <w:r w:rsidR="00CE09AA" w:rsidRPr="00467317">
        <w:t>B</w:t>
      </w:r>
      <w:r w:rsidR="00AD53C8" w:rsidRPr="00467317">
        <w:t xml:space="preserve">19201/2007 </w:t>
      </w:r>
      <w:r w:rsidR="00E841EB" w:rsidRPr="00467317">
        <w:t>to be registered in favour of t</w:t>
      </w:r>
      <w:r w:rsidR="000853D1" w:rsidRPr="00467317">
        <w:t>he plaintiff</w:t>
      </w:r>
      <w:r w:rsidR="00E841EB" w:rsidRPr="00467317">
        <w:t xml:space="preserve"> for the sum of R32 300 000,00 </w:t>
      </w:r>
      <w:r w:rsidR="0011335C" w:rsidRPr="00467317">
        <w:t>(</w:t>
      </w:r>
      <w:r w:rsidR="00E841EB" w:rsidRPr="00467317">
        <w:t>plus an additional R6 460 000,00</w:t>
      </w:r>
      <w:r w:rsidR="0011335C" w:rsidRPr="00467317">
        <w:t>)</w:t>
      </w:r>
      <w:r w:rsidR="00E841EB" w:rsidRPr="00467317">
        <w:t xml:space="preserve"> over two immovable properties being Erven 292 and 293 Sable Hills, Waterfront Estate Township, Registration Division JR, Gauteng.  The properties were mortgaged as security for the due and prompt payment of the capital amount, interest and the additional amount (or portion thereof) </w:t>
      </w:r>
      <w:r w:rsidR="00BC1EF5" w:rsidRPr="00467317">
        <w:t xml:space="preserve">arising from any cause </w:t>
      </w:r>
      <w:r w:rsidR="00E841EB" w:rsidRPr="00467317">
        <w:t>which may be owing or payable at any time to t</w:t>
      </w:r>
      <w:r w:rsidR="000853D1" w:rsidRPr="00467317">
        <w:t>he plaintiff</w:t>
      </w:r>
      <w:r w:rsidR="00E841EB" w:rsidRPr="00467317">
        <w:t>.</w:t>
      </w:r>
    </w:p>
    <w:p w14:paraId="54A04ED5" w14:textId="35C535A0" w:rsidR="00E841EB" w:rsidRPr="00467317" w:rsidRDefault="0070421C" w:rsidP="0070421C">
      <w:pPr>
        <w:pStyle w:val="Clause1Head"/>
        <w:tabs>
          <w:tab w:val="left" w:pos="680"/>
        </w:tabs>
        <w:spacing w:after="360" w:line="480" w:lineRule="auto"/>
        <w:jc w:val="both"/>
      </w:pPr>
      <w:r w:rsidRPr="00467317">
        <w:rPr>
          <w:sz w:val="22"/>
          <w:szCs w:val="22"/>
        </w:rPr>
        <w:t>[14]</w:t>
      </w:r>
      <w:r w:rsidRPr="00467317">
        <w:rPr>
          <w:sz w:val="22"/>
          <w:szCs w:val="22"/>
        </w:rPr>
        <w:tab/>
      </w:r>
      <w:r w:rsidR="00E841EB" w:rsidRPr="00467317">
        <w:t xml:space="preserve">On 24 August 2018 the </w:t>
      </w:r>
      <w:r w:rsidR="001C19C7" w:rsidRPr="00467317">
        <w:t>T</w:t>
      </w:r>
      <w:r w:rsidR="00E841EB" w:rsidRPr="00467317">
        <w:t xml:space="preserve">rust caused mortgage bond B32542/2018 to be registered over Portion 112 of the Farm Tweefontein 413, Registration Division JR, Gauteng for the sum of R25 million, or any lesser amount that may become owing by the </w:t>
      </w:r>
      <w:r w:rsidR="00163049" w:rsidRPr="00467317">
        <w:t>T</w:t>
      </w:r>
      <w:r w:rsidR="00E841EB" w:rsidRPr="00467317">
        <w:t>rust to t</w:t>
      </w:r>
      <w:r w:rsidR="000853D1" w:rsidRPr="00467317">
        <w:t>he plaintiff</w:t>
      </w:r>
      <w:r w:rsidR="00E841EB" w:rsidRPr="00467317">
        <w:t xml:space="preserve"> under </w:t>
      </w:r>
      <w:r w:rsidR="00163049" w:rsidRPr="00467317">
        <w:t>the</w:t>
      </w:r>
      <w:r w:rsidR="00E841EB" w:rsidRPr="00467317">
        <w:t xml:space="preserve"> Mortgage Loan Agreement concluded.  The bond was to remain as continuing covering security for each and every sum in respect of which the </w:t>
      </w:r>
      <w:r w:rsidR="00163049" w:rsidRPr="00467317">
        <w:t>T</w:t>
      </w:r>
      <w:r w:rsidR="00E841EB" w:rsidRPr="00467317">
        <w:t>rust may become indebted</w:t>
      </w:r>
      <w:r w:rsidR="0052629E">
        <w:t>.  T</w:t>
      </w:r>
      <w:r w:rsidR="00FB1623" w:rsidRPr="00467317">
        <w:t>his security features prominently in t</w:t>
      </w:r>
      <w:r w:rsidR="000853D1" w:rsidRPr="00467317">
        <w:t>he defendant</w:t>
      </w:r>
      <w:r w:rsidR="00115DE3" w:rsidRPr="00467317">
        <w:t>s’ opposition to summary judgment.</w:t>
      </w:r>
    </w:p>
    <w:p w14:paraId="2AC6AE40" w14:textId="6FCA0F98" w:rsidR="00620EE1" w:rsidRPr="00467317" w:rsidRDefault="0070421C" w:rsidP="0070421C">
      <w:pPr>
        <w:pStyle w:val="Clause1Head"/>
        <w:tabs>
          <w:tab w:val="left" w:pos="680"/>
        </w:tabs>
        <w:spacing w:after="360" w:line="480" w:lineRule="auto"/>
        <w:jc w:val="both"/>
      </w:pPr>
      <w:r w:rsidRPr="00467317">
        <w:rPr>
          <w:sz w:val="22"/>
          <w:szCs w:val="22"/>
        </w:rPr>
        <w:t>[15]</w:t>
      </w:r>
      <w:r w:rsidRPr="00467317">
        <w:rPr>
          <w:sz w:val="22"/>
          <w:szCs w:val="22"/>
        </w:rPr>
        <w:tab/>
      </w:r>
      <w:r w:rsidR="00E841EB" w:rsidRPr="00467317">
        <w:t>T</w:t>
      </w:r>
      <w:r w:rsidR="000853D1" w:rsidRPr="00467317">
        <w:t>he plaintiff</w:t>
      </w:r>
      <w:r w:rsidR="00E841EB" w:rsidRPr="00467317">
        <w:t xml:space="preserve"> alleged in its </w:t>
      </w:r>
      <w:r w:rsidR="00A1645F" w:rsidRPr="00467317">
        <w:t>Particulars of claim</w:t>
      </w:r>
      <w:r w:rsidR="00E841EB" w:rsidRPr="00467317">
        <w:t xml:space="preserve"> that Sable Hills had defaulted on each of the loans set out in claims A and B and that it had failed to make regular and sufficient deposits in respect of the overdraft facility in claim C.  In all respects, t</w:t>
      </w:r>
      <w:r w:rsidR="000853D1" w:rsidRPr="00467317">
        <w:t>he plaintiff</w:t>
      </w:r>
      <w:r w:rsidR="00E841EB" w:rsidRPr="00467317">
        <w:t xml:space="preserve"> claimed a breach of the respective conditions by t</w:t>
      </w:r>
      <w:r w:rsidR="00242461" w:rsidRPr="00467317">
        <w:t>he first defendant</w:t>
      </w:r>
      <w:r w:rsidR="0052629E">
        <w:t>.  T</w:t>
      </w:r>
      <w:r w:rsidR="000853D1" w:rsidRPr="00467317">
        <w:t xml:space="preserve">he </w:t>
      </w:r>
      <w:r w:rsidR="000853D1" w:rsidRPr="00467317">
        <w:lastRenderedPageBreak/>
        <w:t>plaintiff</w:t>
      </w:r>
      <w:r w:rsidR="00E841EB" w:rsidRPr="00467317">
        <w:t xml:space="preserve"> </w:t>
      </w:r>
      <w:r w:rsidR="003759B5" w:rsidRPr="00467317">
        <w:t xml:space="preserve">further </w:t>
      </w:r>
      <w:r w:rsidR="00E841EB" w:rsidRPr="00467317">
        <w:t xml:space="preserve">alleged that Sable Hills had failed to honour the terms of the loan agreements in claims A and B and the overdraft facility in claim C.  </w:t>
      </w:r>
      <w:r w:rsidR="00AE7C8D" w:rsidRPr="00467317">
        <w:t>Consequently t</w:t>
      </w:r>
      <w:r w:rsidR="000853D1" w:rsidRPr="00467317">
        <w:t>he plaintiff</w:t>
      </w:r>
      <w:r w:rsidR="00E841EB" w:rsidRPr="00467317">
        <w:t xml:space="preserve"> claimed payment of the outstanding amounts of R4 823 761,55 (claim A), R3 954 065,67 (claim B) and R11 575 176,53 (claim C).  </w:t>
      </w:r>
      <w:r w:rsidR="00ED16E2" w:rsidRPr="00467317">
        <w:t>I</w:t>
      </w:r>
      <w:r w:rsidR="00E54E04" w:rsidRPr="00467317">
        <w:t>t</w:t>
      </w:r>
      <w:r w:rsidR="00ED16E2" w:rsidRPr="00467317">
        <w:t xml:space="preserve"> f</w:t>
      </w:r>
      <w:r w:rsidR="00E841EB" w:rsidRPr="00467317">
        <w:t>urther claimed</w:t>
      </w:r>
      <w:r w:rsidR="003759B5" w:rsidRPr="00467317">
        <w:t xml:space="preserve"> </w:t>
      </w:r>
      <w:r w:rsidR="00E841EB" w:rsidRPr="00467317">
        <w:t xml:space="preserve">an order declaring executable </w:t>
      </w:r>
      <w:r w:rsidR="009A6D6A" w:rsidRPr="00467317">
        <w:t>(</w:t>
      </w:r>
      <w:r w:rsidR="00E841EB" w:rsidRPr="00467317">
        <w:t xml:space="preserve">with regard to </w:t>
      </w:r>
      <w:r w:rsidR="003759B5" w:rsidRPr="00467317">
        <w:t>Sable Hills</w:t>
      </w:r>
      <w:r w:rsidR="009A6D6A" w:rsidRPr="00467317">
        <w:t>)</w:t>
      </w:r>
      <w:r w:rsidR="00E841EB" w:rsidRPr="00467317">
        <w:t xml:space="preserve"> Erven 292 and 293, Sable Hills, Waterfront Estate Township and </w:t>
      </w:r>
      <w:r w:rsidR="009A6D6A" w:rsidRPr="00467317">
        <w:t>(with regard to</w:t>
      </w:r>
      <w:r w:rsidR="00E841EB" w:rsidRPr="00467317">
        <w:t xml:space="preserve"> the </w:t>
      </w:r>
      <w:r w:rsidR="00A87341" w:rsidRPr="00467317">
        <w:t>Trust</w:t>
      </w:r>
      <w:r w:rsidR="009A6D6A" w:rsidRPr="00467317">
        <w:t>)</w:t>
      </w:r>
      <w:r w:rsidR="00A87341" w:rsidRPr="00467317">
        <w:t xml:space="preserve"> such a</w:t>
      </w:r>
      <w:r w:rsidR="00CA6C40" w:rsidRPr="00467317">
        <w:t>n order</w:t>
      </w:r>
      <w:r w:rsidR="00426A3D" w:rsidRPr="00467317">
        <w:t xml:space="preserve"> in respect of</w:t>
      </w:r>
      <w:r w:rsidR="00E841EB" w:rsidRPr="00467317">
        <w:t xml:space="preserve"> the remaining extent of Portion 112 of the Farm Tweefontein 413.  In addition, t</w:t>
      </w:r>
      <w:r w:rsidR="000853D1" w:rsidRPr="00467317">
        <w:t>he plaintiff</w:t>
      </w:r>
      <w:r w:rsidR="00E841EB" w:rsidRPr="00467317">
        <w:t xml:space="preserve"> claimed interest and costs in accordance with the various instruments</w:t>
      </w:r>
      <w:r w:rsidR="00620EE1" w:rsidRPr="00467317">
        <w:t xml:space="preserve">. </w:t>
      </w:r>
    </w:p>
    <w:p w14:paraId="731049A4" w14:textId="7E0A64CD" w:rsidR="00E841EB" w:rsidRPr="00467317" w:rsidRDefault="0070421C" w:rsidP="0070421C">
      <w:pPr>
        <w:pStyle w:val="Clause1Head"/>
        <w:tabs>
          <w:tab w:val="left" w:pos="680"/>
        </w:tabs>
        <w:spacing w:after="360" w:line="480" w:lineRule="auto"/>
        <w:jc w:val="both"/>
      </w:pPr>
      <w:r w:rsidRPr="00467317">
        <w:rPr>
          <w:sz w:val="22"/>
          <w:szCs w:val="22"/>
        </w:rPr>
        <w:t>[16]</w:t>
      </w:r>
      <w:r w:rsidRPr="00467317">
        <w:rPr>
          <w:sz w:val="22"/>
          <w:szCs w:val="22"/>
        </w:rPr>
        <w:tab/>
      </w:r>
      <w:r w:rsidR="00E841EB" w:rsidRPr="00467317">
        <w:t>In their</w:t>
      </w:r>
      <w:r w:rsidR="00A1645F" w:rsidRPr="00467317">
        <w:t xml:space="preserve"> plea</w:t>
      </w:r>
      <w:r w:rsidR="00E841EB" w:rsidRPr="00467317">
        <w:t xml:space="preserve"> t</w:t>
      </w:r>
      <w:r w:rsidR="000853D1" w:rsidRPr="00467317">
        <w:t>he defendant</w:t>
      </w:r>
      <w:r w:rsidR="00E841EB" w:rsidRPr="00467317">
        <w:t>s admitted failure to pay in respect of claims A, B and C</w:t>
      </w:r>
      <w:r w:rsidR="00143EE3" w:rsidRPr="00467317">
        <w:t xml:space="preserve"> and </w:t>
      </w:r>
      <w:r w:rsidR="00AB67D2" w:rsidRPr="00467317">
        <w:t xml:space="preserve">admitted </w:t>
      </w:r>
      <w:r w:rsidR="00143EE3" w:rsidRPr="00467317">
        <w:t xml:space="preserve">the outstanding balances </w:t>
      </w:r>
      <w:r w:rsidR="00F312F0" w:rsidRPr="00467317">
        <w:t>as set out in the certificates of balance attached to the particulars</w:t>
      </w:r>
      <w:r w:rsidR="006F46DB">
        <w:t>.  B</w:t>
      </w:r>
      <w:r w:rsidR="00E841EB" w:rsidRPr="00467317">
        <w:t xml:space="preserve">ut </w:t>
      </w:r>
      <w:r w:rsidR="001D29CE" w:rsidRPr="00467317">
        <w:t xml:space="preserve">they </w:t>
      </w:r>
      <w:r w:rsidR="00E841EB" w:rsidRPr="00467317">
        <w:t xml:space="preserve">pleaded </w:t>
      </w:r>
      <w:r w:rsidR="001D29CE" w:rsidRPr="00467317">
        <w:t>diverse</w:t>
      </w:r>
      <w:r w:rsidR="00E841EB" w:rsidRPr="00467317">
        <w:t xml:space="preserve"> reasons </w:t>
      </w:r>
      <w:r w:rsidR="003470AE" w:rsidRPr="00467317">
        <w:t>for</w:t>
      </w:r>
      <w:r w:rsidR="00E841EB" w:rsidRPr="00467317">
        <w:t xml:space="preserve"> maintain</w:t>
      </w:r>
      <w:r w:rsidR="003470AE" w:rsidRPr="00467317">
        <w:t>ing</w:t>
      </w:r>
      <w:r w:rsidR="00E841EB" w:rsidRPr="00467317">
        <w:t xml:space="preserve"> that judgment as prayed should not be granted</w:t>
      </w:r>
      <w:r w:rsidR="003470AE" w:rsidRPr="00467317">
        <w:t xml:space="preserve"> which</w:t>
      </w:r>
      <w:r w:rsidR="00E841EB" w:rsidRPr="00467317">
        <w:t xml:space="preserve"> are dealt with fully below.  </w:t>
      </w:r>
      <w:r w:rsidR="001D29CE" w:rsidRPr="00467317">
        <w:t>T</w:t>
      </w:r>
      <w:r w:rsidR="000853D1" w:rsidRPr="00467317">
        <w:t>he defendant</w:t>
      </w:r>
      <w:r w:rsidR="00E841EB" w:rsidRPr="00467317">
        <w:t>s</w:t>
      </w:r>
      <w:r w:rsidR="001D29CE" w:rsidRPr="00467317">
        <w:t xml:space="preserve"> ad</w:t>
      </w:r>
      <w:r w:rsidR="00973DA4" w:rsidRPr="00467317">
        <w:t>di</w:t>
      </w:r>
      <w:r w:rsidR="001D29CE" w:rsidRPr="00467317">
        <w:t xml:space="preserve">tionally </w:t>
      </w:r>
      <w:r w:rsidR="00E841EB" w:rsidRPr="00467317">
        <w:t xml:space="preserve"> raised two </w:t>
      </w:r>
      <w:r w:rsidR="00E841EB" w:rsidRPr="00467317">
        <w:rPr>
          <w:i/>
          <w:iCs/>
        </w:rPr>
        <w:t>in limine</w:t>
      </w:r>
      <w:r w:rsidR="00E841EB" w:rsidRPr="00467317">
        <w:t xml:space="preserve"> defences: first, that the summary judgment application was </w:t>
      </w:r>
      <w:r w:rsidR="00DB61FB" w:rsidRPr="00467317">
        <w:t xml:space="preserve">jurisdictionally </w:t>
      </w:r>
      <w:r w:rsidR="00E841EB" w:rsidRPr="00467317">
        <w:t>defective; and second, that t</w:t>
      </w:r>
      <w:r w:rsidR="000853D1" w:rsidRPr="00467317">
        <w:t>he plaintiff</w:t>
      </w:r>
      <w:r w:rsidR="00E841EB" w:rsidRPr="00467317">
        <w:t xml:space="preserve"> </w:t>
      </w:r>
      <w:r w:rsidR="00973DA4" w:rsidRPr="00467317">
        <w:t xml:space="preserve">already </w:t>
      </w:r>
      <w:r w:rsidR="00E841EB" w:rsidRPr="00467317">
        <w:t>had sufficient security as contemplated in Uniform Rule 32(3)(a) which warranted t</w:t>
      </w:r>
      <w:r w:rsidR="000853D1" w:rsidRPr="00467317">
        <w:t>he defendant</w:t>
      </w:r>
      <w:r w:rsidR="00E841EB" w:rsidRPr="00467317">
        <w:t xml:space="preserve">s being afforded the opportunity to enter into the merits of the matter at trial.  I deal first with these </w:t>
      </w:r>
      <w:r w:rsidR="00E841EB" w:rsidRPr="00467317">
        <w:rPr>
          <w:i/>
          <w:iCs/>
        </w:rPr>
        <w:t>in limine</w:t>
      </w:r>
      <w:r w:rsidR="00E841EB" w:rsidRPr="00467317">
        <w:t xml:space="preserve"> points.</w:t>
      </w:r>
    </w:p>
    <w:p w14:paraId="52E602E7" w14:textId="29F3838C" w:rsidR="00E841EB" w:rsidRPr="00467317" w:rsidRDefault="0070421C" w:rsidP="0070421C">
      <w:pPr>
        <w:pStyle w:val="Clause1Head"/>
        <w:tabs>
          <w:tab w:val="left" w:pos="680"/>
        </w:tabs>
        <w:spacing w:after="360" w:line="480" w:lineRule="auto"/>
        <w:jc w:val="both"/>
      </w:pPr>
      <w:r w:rsidRPr="00467317">
        <w:rPr>
          <w:sz w:val="22"/>
          <w:szCs w:val="22"/>
        </w:rPr>
        <w:t>[17]</w:t>
      </w:r>
      <w:r w:rsidRPr="00467317">
        <w:rPr>
          <w:sz w:val="22"/>
          <w:szCs w:val="22"/>
        </w:rPr>
        <w:tab/>
      </w:r>
      <w:r w:rsidR="00E841EB" w:rsidRPr="00467317">
        <w:t>T</w:t>
      </w:r>
      <w:r w:rsidR="000853D1" w:rsidRPr="00467317">
        <w:t>he defendant</w:t>
      </w:r>
      <w:r w:rsidR="00E841EB" w:rsidRPr="00467317">
        <w:t xml:space="preserve">s’ argument on jurisdiction is that the amendment to </w:t>
      </w:r>
      <w:r w:rsidR="009D0A60" w:rsidRPr="00467317">
        <w:t>Subrule</w:t>
      </w:r>
      <w:r w:rsidR="00E841EB" w:rsidRPr="00467317">
        <w:t>s 32(2) and (3) with effect from 31 May 2019 </w:t>
      </w:r>
      <w:r w:rsidR="00E841EB" w:rsidRPr="00467317">
        <w:rPr>
          <w:rStyle w:val="FootnoteReference"/>
        </w:rPr>
        <w:footnoteReference w:id="15"/>
      </w:r>
      <w:r w:rsidR="00E841EB" w:rsidRPr="00467317">
        <w:t xml:space="preserve"> d</w:t>
      </w:r>
      <w:r w:rsidR="00723C65" w:rsidRPr="00467317">
        <w:t>oes</w:t>
      </w:r>
      <w:r w:rsidR="00E841EB" w:rsidRPr="00467317">
        <w:t xml:space="preserve"> not permit t</w:t>
      </w:r>
      <w:r w:rsidR="000853D1" w:rsidRPr="00467317">
        <w:t>he plaintiff</w:t>
      </w:r>
      <w:r w:rsidR="00E841EB" w:rsidRPr="00467317">
        <w:t xml:space="preserve"> to embark on </w:t>
      </w:r>
      <w:r w:rsidR="00E841EB" w:rsidRPr="00467317">
        <w:rPr>
          <w:i/>
          <w:iCs/>
        </w:rPr>
        <w:t>“the trial of a cause on paper”</w:t>
      </w:r>
      <w:r w:rsidR="00956F47" w:rsidRPr="00467317">
        <w:t xml:space="preserve">, </w:t>
      </w:r>
      <w:r w:rsidR="00685477" w:rsidRPr="00467317">
        <w:t xml:space="preserve">or </w:t>
      </w:r>
      <w:r w:rsidR="00E841EB" w:rsidRPr="00467317">
        <w:t>to use the procedure to gain a tactical advantage in the trial or to abuse the procedure by forcing t</w:t>
      </w:r>
      <w:r w:rsidR="000853D1" w:rsidRPr="00467317">
        <w:t>he defendant</w:t>
      </w:r>
      <w:r w:rsidR="00E841EB" w:rsidRPr="00467317">
        <w:t>s to provide a preview of its evidence and to limit its defences in any way.  Developing this argument t</w:t>
      </w:r>
      <w:r w:rsidR="000853D1" w:rsidRPr="00467317">
        <w:t>he defendant</w:t>
      </w:r>
      <w:r w:rsidR="00E841EB" w:rsidRPr="00467317">
        <w:t>s maintained that t</w:t>
      </w:r>
      <w:r w:rsidR="000853D1" w:rsidRPr="00467317">
        <w:t>he plaintiff</w:t>
      </w:r>
      <w:r w:rsidR="00E841EB" w:rsidRPr="00467317">
        <w:t xml:space="preserve"> was restricted to the facts pleaded in its </w:t>
      </w:r>
      <w:r w:rsidR="00A1645F" w:rsidRPr="00467317">
        <w:lastRenderedPageBreak/>
        <w:t>Particulars of claim</w:t>
      </w:r>
      <w:r w:rsidR="00E841EB" w:rsidRPr="00467317">
        <w:t xml:space="preserve"> and was not permitted through its affidavit to provide a narrative of further </w:t>
      </w:r>
      <w:r w:rsidR="00E841EB" w:rsidRPr="00467317">
        <w:rPr>
          <w:i/>
          <w:iCs/>
        </w:rPr>
        <w:t>facta probanda</w:t>
      </w:r>
      <w:r w:rsidR="00E841EB" w:rsidRPr="00467317">
        <w:t xml:space="preserve"> or </w:t>
      </w:r>
      <w:r w:rsidR="00E841EB" w:rsidRPr="00467317">
        <w:rPr>
          <w:i/>
          <w:iCs/>
        </w:rPr>
        <w:t>facta probantia</w:t>
      </w:r>
      <w:r w:rsidR="00E841EB" w:rsidRPr="00467317">
        <w:t xml:space="preserve">.  </w:t>
      </w:r>
    </w:p>
    <w:p w14:paraId="5D0A282A" w14:textId="6CF5BA28" w:rsidR="00E841EB" w:rsidRPr="00467317" w:rsidRDefault="0070421C" w:rsidP="0070421C">
      <w:pPr>
        <w:pStyle w:val="Clause1Head"/>
        <w:tabs>
          <w:tab w:val="left" w:pos="680"/>
        </w:tabs>
        <w:spacing w:after="360" w:line="480" w:lineRule="auto"/>
        <w:jc w:val="both"/>
      </w:pPr>
      <w:r w:rsidRPr="00467317">
        <w:rPr>
          <w:sz w:val="22"/>
          <w:szCs w:val="22"/>
        </w:rPr>
        <w:t>[18]</w:t>
      </w:r>
      <w:r w:rsidRPr="00467317">
        <w:rPr>
          <w:sz w:val="22"/>
          <w:szCs w:val="22"/>
        </w:rPr>
        <w:tab/>
      </w:r>
      <w:r w:rsidR="00E841EB" w:rsidRPr="00467317">
        <w:t>I do not find it necessary in the present circumstances to delineate the precise ambit of what is permissible in this portion of Rule 32(2)(b) which requires t</w:t>
      </w:r>
      <w:r w:rsidR="000853D1" w:rsidRPr="00467317">
        <w:t>he plaintiff</w:t>
      </w:r>
      <w:r w:rsidR="00E841EB" w:rsidRPr="00467317">
        <w:t xml:space="preserve"> </w:t>
      </w:r>
      <w:r w:rsidR="00D149B2" w:rsidRPr="00467317">
        <w:t xml:space="preserve">in its affidavit </w:t>
      </w:r>
      <w:r w:rsidR="00E841EB" w:rsidRPr="00467317">
        <w:t xml:space="preserve">to identify </w:t>
      </w:r>
      <w:r w:rsidR="00E841EB" w:rsidRPr="00467317">
        <w:rPr>
          <w:i/>
          <w:iCs/>
        </w:rPr>
        <w:t>“the facts upon which t</w:t>
      </w:r>
      <w:r w:rsidR="000853D1" w:rsidRPr="00467317">
        <w:rPr>
          <w:i/>
          <w:iCs/>
        </w:rPr>
        <w:t>he plaintiff</w:t>
      </w:r>
      <w:r w:rsidR="00E841EB" w:rsidRPr="00467317">
        <w:rPr>
          <w:i/>
          <w:iCs/>
        </w:rPr>
        <w:t xml:space="preserve">’s claim is based and </w:t>
      </w:r>
      <w:r w:rsidR="00542530" w:rsidRPr="00467317">
        <w:rPr>
          <w:i/>
          <w:iCs/>
        </w:rPr>
        <w:t>to</w:t>
      </w:r>
      <w:r w:rsidR="00E841EB" w:rsidRPr="00467317">
        <w:rPr>
          <w:i/>
          <w:iCs/>
        </w:rPr>
        <w:t xml:space="preserve"> explain briefly why the defence, as pleaded, does not raise any issue for trial”</w:t>
      </w:r>
      <w:r w:rsidR="00E841EB" w:rsidRPr="00467317">
        <w:t xml:space="preserve">.  I </w:t>
      </w:r>
      <w:r w:rsidR="00542530" w:rsidRPr="00467317">
        <w:t>accept</w:t>
      </w:r>
      <w:r w:rsidR="00E841EB" w:rsidRPr="00467317">
        <w:t xml:space="preserve"> that t</w:t>
      </w:r>
      <w:r w:rsidR="000853D1" w:rsidRPr="00467317">
        <w:t>he plaintiff</w:t>
      </w:r>
      <w:r w:rsidR="00E841EB" w:rsidRPr="00467317">
        <w:t xml:space="preserve"> should</w:t>
      </w:r>
      <w:r w:rsidR="00542530" w:rsidRPr="00467317">
        <w:t>,</w:t>
      </w:r>
      <w:r w:rsidR="00E841EB" w:rsidRPr="00467317">
        <w:t xml:space="preserve"> by and large be restricted to the facts as set out in its </w:t>
      </w:r>
      <w:r w:rsidR="00A1645F" w:rsidRPr="00467317">
        <w:t>particulars of claim</w:t>
      </w:r>
      <w:r w:rsidR="006F46DB">
        <w:t>.  B</w:t>
      </w:r>
      <w:r w:rsidR="00E841EB" w:rsidRPr="00467317">
        <w:t xml:space="preserve">ut there may well be circumstances in which a factual matter raised in the </w:t>
      </w:r>
      <w:r w:rsidR="00A1645F" w:rsidRPr="00467317">
        <w:t>particulars of claim</w:t>
      </w:r>
      <w:r w:rsidR="00230AC9" w:rsidRPr="00467317">
        <w:t xml:space="preserve"> and pleaded to in the plea</w:t>
      </w:r>
      <w:r w:rsidR="00E841EB" w:rsidRPr="00467317">
        <w:t xml:space="preserve"> may</w:t>
      </w:r>
      <w:r w:rsidR="00824C19" w:rsidRPr="00467317">
        <w:t xml:space="preserve"> permissibly</w:t>
      </w:r>
      <w:r w:rsidR="00E841EB" w:rsidRPr="00467317">
        <w:t xml:space="preserve"> be clarified or elucidated without advancing a new factual premise for the claim or seeking to introduce </w:t>
      </w:r>
      <w:r w:rsidR="00110111" w:rsidRPr="00467317">
        <w:t xml:space="preserve">substantial, </w:t>
      </w:r>
      <w:r w:rsidR="00E841EB" w:rsidRPr="00467317">
        <w:t>supplementary facts.  The test in this regard will</w:t>
      </w:r>
      <w:r w:rsidR="00FA123F" w:rsidRPr="00467317">
        <w:t xml:space="preserve"> depend on the particular facts and will</w:t>
      </w:r>
      <w:r w:rsidR="00E841EB" w:rsidRPr="00467317">
        <w:t xml:space="preserve"> no doubt be developed over time</w:t>
      </w:r>
      <w:r w:rsidR="0052629E">
        <w:t>.  I</w:t>
      </w:r>
      <w:r w:rsidR="003440D1" w:rsidRPr="00467317">
        <w:t xml:space="preserve"> am satisfied that</w:t>
      </w:r>
      <w:r w:rsidR="007F4601" w:rsidRPr="00467317">
        <w:t xml:space="preserve"> in</w:t>
      </w:r>
      <w:r w:rsidR="003440D1" w:rsidRPr="00467317">
        <w:t xml:space="preserve"> the</w:t>
      </w:r>
      <w:r w:rsidR="00513729" w:rsidRPr="00467317">
        <w:t xml:space="preserve"> instant</w:t>
      </w:r>
      <w:r w:rsidR="003440D1" w:rsidRPr="00467317">
        <w:t xml:space="preserve"> </w:t>
      </w:r>
      <w:r w:rsidR="00131386" w:rsidRPr="00467317">
        <w:t>plaintiff</w:t>
      </w:r>
      <w:r w:rsidR="00513729" w:rsidRPr="00467317">
        <w:t>’s affidavit did</w:t>
      </w:r>
      <w:r w:rsidR="003440D1" w:rsidRPr="00467317">
        <w:t xml:space="preserve"> not </w:t>
      </w:r>
      <w:r w:rsidR="00513729" w:rsidRPr="00467317">
        <w:t>exceed the permissible bounds.</w:t>
      </w:r>
    </w:p>
    <w:p w14:paraId="69B3C1B3" w14:textId="779D69EE" w:rsidR="00E841EB" w:rsidRPr="00467317" w:rsidRDefault="0070421C" w:rsidP="0070421C">
      <w:pPr>
        <w:pStyle w:val="Clause1Head"/>
        <w:tabs>
          <w:tab w:val="left" w:pos="680"/>
        </w:tabs>
        <w:spacing w:after="360" w:line="480" w:lineRule="auto"/>
        <w:jc w:val="both"/>
      </w:pPr>
      <w:r w:rsidRPr="00467317">
        <w:rPr>
          <w:sz w:val="22"/>
          <w:szCs w:val="22"/>
        </w:rPr>
        <w:t>[19]</w:t>
      </w:r>
      <w:r w:rsidRPr="00467317">
        <w:rPr>
          <w:sz w:val="22"/>
          <w:szCs w:val="22"/>
        </w:rPr>
        <w:tab/>
      </w:r>
      <w:r w:rsidR="00E841EB" w:rsidRPr="00467317">
        <w:t xml:space="preserve">The contentions regarding the prohibition against a </w:t>
      </w:r>
      <w:r w:rsidR="00131386" w:rsidRPr="00467317">
        <w:t>plaintiff</w:t>
      </w:r>
      <w:r w:rsidR="00E841EB" w:rsidRPr="00467317">
        <w:t xml:space="preserve"> gaining a tactical advantage </w:t>
      </w:r>
      <w:r w:rsidR="00BC4B46" w:rsidRPr="00467317">
        <w:t>are</w:t>
      </w:r>
      <w:r w:rsidR="00513729" w:rsidRPr="00467317">
        <w:t xml:space="preserve"> formulaic</w:t>
      </w:r>
      <w:r w:rsidR="00E841EB" w:rsidRPr="00467317">
        <w:t xml:space="preserve"> when stated in </w:t>
      </w:r>
      <w:r w:rsidR="007F4601" w:rsidRPr="00467317">
        <w:t xml:space="preserve">such </w:t>
      </w:r>
      <w:r w:rsidR="00E841EB" w:rsidRPr="00467317">
        <w:t>general terms</w:t>
      </w:r>
      <w:r w:rsidR="00513729" w:rsidRPr="00467317">
        <w:t xml:space="preserve"> and </w:t>
      </w:r>
      <w:r w:rsidR="00110111" w:rsidRPr="00467317">
        <w:t>lack</w:t>
      </w:r>
      <w:r w:rsidR="00513729" w:rsidRPr="00467317">
        <w:t xml:space="preserve"> </w:t>
      </w:r>
      <w:r w:rsidR="00CB627A" w:rsidRPr="00467317">
        <w:t>factual foundation</w:t>
      </w:r>
      <w:r w:rsidR="0052629E">
        <w:t>.  T</w:t>
      </w:r>
      <w:r w:rsidR="00CB627A" w:rsidRPr="00467317">
        <w:t xml:space="preserve">he new </w:t>
      </w:r>
      <w:r w:rsidR="00011300" w:rsidRPr="00467317">
        <w:t xml:space="preserve">summary judgment </w:t>
      </w:r>
      <w:r w:rsidR="00CB627A" w:rsidRPr="00467317">
        <w:t xml:space="preserve">procedure is implicitly aimed at </w:t>
      </w:r>
      <w:r w:rsidR="00F54DB2" w:rsidRPr="00467317">
        <w:t xml:space="preserve">exposing a </w:t>
      </w:r>
      <w:r w:rsidR="00C543BA" w:rsidRPr="00467317">
        <w:t>defendant</w:t>
      </w:r>
      <w:r w:rsidR="00F54DB2" w:rsidRPr="00467317">
        <w:t>’s pleaded defence to the scrutiny of t</w:t>
      </w:r>
      <w:r w:rsidR="000853D1" w:rsidRPr="00467317">
        <w:t>he plaintiff</w:t>
      </w:r>
      <w:r w:rsidR="00F54DB2" w:rsidRPr="00467317">
        <w:t xml:space="preserve"> and the court</w:t>
      </w:r>
      <w:r w:rsidR="00AA2D05" w:rsidRPr="00467317">
        <w:t>; no procedural unfairness arises from this</w:t>
      </w:r>
      <w:r w:rsidR="0052629E">
        <w:t>.  T</w:t>
      </w:r>
      <w:r w:rsidR="00E841EB" w:rsidRPr="00467317">
        <w:t xml:space="preserve">he </w:t>
      </w:r>
      <w:r w:rsidR="00E841EB" w:rsidRPr="00467317">
        <w:rPr>
          <w:i/>
          <w:iCs/>
        </w:rPr>
        <w:t>dictum</w:t>
      </w:r>
      <w:r w:rsidR="00E841EB" w:rsidRPr="00467317">
        <w:t xml:space="preserve"> of the Supreme Court of Appeal in </w:t>
      </w:r>
      <w:r w:rsidR="00E841EB" w:rsidRPr="00467317">
        <w:rPr>
          <w:b/>
          <w:bCs/>
        </w:rPr>
        <w:t>Joob</w:t>
      </w:r>
      <w:r w:rsidR="00513729" w:rsidRPr="00467317">
        <w:rPr>
          <w:b/>
          <w:bCs/>
        </w:rPr>
        <w:t xml:space="preserve"> </w:t>
      </w:r>
      <w:r w:rsidR="00E841EB" w:rsidRPr="00467317">
        <w:rPr>
          <w:b/>
          <w:bCs/>
        </w:rPr>
        <w:t>Investments (Pty) Ltd v Stocks Mavundla Zek Joint Venture</w:t>
      </w:r>
      <w:r w:rsidR="005539E4">
        <w:rPr>
          <w:b/>
          <w:bCs/>
        </w:rPr>
        <w:t> </w:t>
      </w:r>
      <w:r w:rsidR="00E841EB" w:rsidRPr="00467317">
        <w:rPr>
          <w:rStyle w:val="FootnoteReference"/>
        </w:rPr>
        <w:footnoteReference w:id="16"/>
      </w:r>
      <w:r w:rsidR="00E841EB" w:rsidRPr="00467317">
        <w:t xml:space="preserve"> concerning the pre-2019 procedure remains apposite:</w:t>
      </w:r>
    </w:p>
    <w:p w14:paraId="301AE631" w14:textId="4E4FF524" w:rsidR="00E841EB" w:rsidRPr="00467317" w:rsidRDefault="00E841EB" w:rsidP="00E841EB">
      <w:pPr>
        <w:pStyle w:val="Clause1Head"/>
        <w:spacing w:after="360" w:line="360" w:lineRule="auto"/>
        <w:ind w:left="1134" w:right="851"/>
        <w:jc w:val="both"/>
        <w:rPr>
          <w:sz w:val="22"/>
          <w:szCs w:val="26"/>
        </w:rPr>
      </w:pPr>
      <w:r w:rsidRPr="00467317">
        <w:rPr>
          <w:i/>
          <w:iCs/>
          <w:sz w:val="22"/>
          <w:szCs w:val="26"/>
        </w:rPr>
        <w:lastRenderedPageBreak/>
        <w:t xml:space="preserve">“The rationale for summary judgment proceedings is impeccable.  The procedure is not intended to deprive a </w:t>
      </w:r>
      <w:r w:rsidR="00C543BA" w:rsidRPr="00467317">
        <w:rPr>
          <w:i/>
          <w:iCs/>
          <w:sz w:val="22"/>
          <w:szCs w:val="26"/>
        </w:rPr>
        <w:t>defendant</w:t>
      </w:r>
      <w:r w:rsidRPr="00467317">
        <w:rPr>
          <w:i/>
          <w:iCs/>
          <w:sz w:val="22"/>
          <w:szCs w:val="26"/>
        </w:rPr>
        <w:t xml:space="preserve"> with a triable issue or a sustainable defence of her/his day in court.”</w:t>
      </w:r>
      <w:r w:rsidRPr="00467317">
        <w:rPr>
          <w:sz w:val="22"/>
          <w:szCs w:val="26"/>
        </w:rPr>
        <w:t> </w:t>
      </w:r>
      <w:r w:rsidRPr="00467317">
        <w:rPr>
          <w:rStyle w:val="FootnoteReference"/>
          <w:sz w:val="22"/>
          <w:szCs w:val="26"/>
        </w:rPr>
        <w:footnoteReference w:id="17"/>
      </w:r>
    </w:p>
    <w:p w14:paraId="12FDAA70" w14:textId="5E288E24" w:rsidR="00E841EB" w:rsidRPr="00467317" w:rsidRDefault="00E501CB" w:rsidP="00E841EB">
      <w:pPr>
        <w:pStyle w:val="Clause1Head"/>
        <w:spacing w:after="360" w:line="480" w:lineRule="auto"/>
        <w:ind w:firstLine="567"/>
        <w:jc w:val="both"/>
      </w:pPr>
      <w:r w:rsidRPr="00467317">
        <w:t>As</w:t>
      </w:r>
      <w:r w:rsidR="00E841EB" w:rsidRPr="00467317">
        <w:t xml:space="preserve"> I </w:t>
      </w:r>
      <w:r w:rsidR="00EC4F87" w:rsidRPr="00467317">
        <w:t xml:space="preserve">have </w:t>
      </w:r>
      <w:r w:rsidR="00E841EB" w:rsidRPr="00467317">
        <w:t>canvas</w:t>
      </w:r>
      <w:r w:rsidR="00EC4F87" w:rsidRPr="00467317">
        <w:t>sed above</w:t>
      </w:r>
      <w:r w:rsidR="00E841EB" w:rsidRPr="00467317">
        <w:t xml:space="preserve"> the requirements regarding the affidavits by t</w:t>
      </w:r>
      <w:r w:rsidR="000853D1" w:rsidRPr="00467317">
        <w:t>he plaintiff</w:t>
      </w:r>
      <w:r w:rsidR="00E841EB" w:rsidRPr="00467317">
        <w:t xml:space="preserve"> and t</w:t>
      </w:r>
      <w:r w:rsidR="000853D1" w:rsidRPr="00467317">
        <w:t>he defendant</w:t>
      </w:r>
      <w:r w:rsidR="00E841EB" w:rsidRPr="00467317">
        <w:t>/s respectively have been reformulated</w:t>
      </w:r>
      <w:r w:rsidR="00EC4F87" w:rsidRPr="00467317">
        <w:t xml:space="preserve"> in the amended rule</w:t>
      </w:r>
      <w:r w:rsidR="0052629E">
        <w:t>.  T</w:t>
      </w:r>
      <w:r w:rsidR="004065D4" w:rsidRPr="00467317">
        <w:t>here is no indication that the Rules Board intended</w:t>
      </w:r>
      <w:r w:rsidR="00446AF1" w:rsidRPr="00467317">
        <w:t xml:space="preserve"> to</w:t>
      </w:r>
      <w:r w:rsidR="00E841EB" w:rsidRPr="00467317">
        <w:t xml:space="preserve"> conver</w:t>
      </w:r>
      <w:r w:rsidR="00446AF1" w:rsidRPr="00467317">
        <w:t>t</w:t>
      </w:r>
      <w:r w:rsidR="00E841EB" w:rsidRPr="00467317">
        <w:t xml:space="preserve"> the process into an opposed motion</w:t>
      </w:r>
      <w:r w:rsidR="0052629E">
        <w:t>.  T</w:t>
      </w:r>
      <w:r w:rsidR="00640FAB" w:rsidRPr="00467317">
        <w:t xml:space="preserve">his point </w:t>
      </w:r>
      <w:r w:rsidR="00640FAB" w:rsidRPr="00467317">
        <w:rPr>
          <w:i/>
          <w:iCs/>
        </w:rPr>
        <w:t>in limine</w:t>
      </w:r>
      <w:r w:rsidR="00640FAB" w:rsidRPr="00467317">
        <w:t xml:space="preserve"> cannot be upheld.</w:t>
      </w:r>
    </w:p>
    <w:p w14:paraId="672D2A05" w14:textId="5CAD18CD" w:rsidR="00E841EB" w:rsidRPr="00467317" w:rsidRDefault="0070421C" w:rsidP="0070421C">
      <w:pPr>
        <w:pStyle w:val="Clause1Head"/>
        <w:tabs>
          <w:tab w:val="left" w:pos="680"/>
        </w:tabs>
        <w:spacing w:after="360" w:line="480" w:lineRule="auto"/>
        <w:jc w:val="both"/>
      </w:pPr>
      <w:r w:rsidRPr="00467317">
        <w:rPr>
          <w:sz w:val="22"/>
          <w:szCs w:val="22"/>
        </w:rPr>
        <w:t>[20]</w:t>
      </w:r>
      <w:r w:rsidRPr="00467317">
        <w:rPr>
          <w:sz w:val="22"/>
          <w:szCs w:val="22"/>
        </w:rPr>
        <w:tab/>
      </w:r>
      <w:r w:rsidR="00396197" w:rsidRPr="00467317">
        <w:t xml:space="preserve">The second point </w:t>
      </w:r>
      <w:r w:rsidR="00396197" w:rsidRPr="00467317">
        <w:rPr>
          <w:i/>
          <w:iCs/>
        </w:rPr>
        <w:t>in limine</w:t>
      </w:r>
      <w:r w:rsidR="00396197" w:rsidRPr="00467317">
        <w:t xml:space="preserve"> </w:t>
      </w:r>
      <w:r w:rsidR="00E841EB" w:rsidRPr="00467317">
        <w:t>suggest</w:t>
      </w:r>
      <w:r w:rsidR="0017570F" w:rsidRPr="00467317">
        <w:t>s</w:t>
      </w:r>
      <w:r w:rsidR="00E841EB" w:rsidRPr="00467317">
        <w:t xml:space="preserve"> that security is </w:t>
      </w:r>
      <w:r w:rsidR="0017570F" w:rsidRPr="00467317">
        <w:t xml:space="preserve">already </w:t>
      </w:r>
      <w:r w:rsidR="00E841EB" w:rsidRPr="00467317">
        <w:t xml:space="preserve">in place sufficient for the purposes of </w:t>
      </w:r>
      <w:r w:rsidR="009D0A60" w:rsidRPr="00467317">
        <w:t>Subrule</w:t>
      </w:r>
      <w:r w:rsidR="00E841EB" w:rsidRPr="00467317">
        <w:t> 32(3)(a)</w:t>
      </w:r>
      <w:r w:rsidR="00E419E9" w:rsidRPr="00467317">
        <w:t>.</w:t>
      </w:r>
      <w:r w:rsidR="00E841EB" w:rsidRPr="00467317">
        <w:t xml:space="preserve">  For this contention t</w:t>
      </w:r>
      <w:r w:rsidR="000853D1" w:rsidRPr="00467317">
        <w:t>he defendant</w:t>
      </w:r>
      <w:r w:rsidR="00E841EB" w:rsidRPr="00467317">
        <w:t>s say in their opposing affidavit that t</w:t>
      </w:r>
      <w:r w:rsidR="000853D1" w:rsidRPr="00467317">
        <w:t>he plaintiff</w:t>
      </w:r>
      <w:r w:rsidR="00E841EB" w:rsidRPr="00467317">
        <w:t xml:space="preserve"> holds sufficient security under the two mortgage bonds executed in its favour of the sums of R32 300 000,00 (mortgage bond 192017/2007) and for the further sum of R25 000 000,00 (mortgage bond 32542/2018).  </w:t>
      </w:r>
      <w:r w:rsidR="00FB29EB" w:rsidRPr="00467317">
        <w:t>T</w:t>
      </w:r>
      <w:r w:rsidR="00E841EB" w:rsidRPr="00467317">
        <w:t xml:space="preserve">he amounts outstanding as at the date of issue of summons under claims A, B and C </w:t>
      </w:r>
      <w:r w:rsidR="00254231" w:rsidRPr="00467317">
        <w:t>appear</w:t>
      </w:r>
      <w:r w:rsidR="00E841EB" w:rsidRPr="00467317">
        <w:t xml:space="preserve"> in aggregate </w:t>
      </w:r>
      <w:r w:rsidR="00254231" w:rsidRPr="00467317">
        <w:t>to be</w:t>
      </w:r>
      <w:r w:rsidR="00E841EB" w:rsidRPr="00467317">
        <w:t xml:space="preserve"> less than the aggregate amounts of the sums secured by the two mortgage bonds</w:t>
      </w:r>
      <w:r w:rsidR="0052629E">
        <w:t>.  N</w:t>
      </w:r>
      <w:r w:rsidR="00FB29EB" w:rsidRPr="00467317">
        <w:t>evertheless</w:t>
      </w:r>
      <w:r w:rsidR="00E841EB" w:rsidRPr="00467317">
        <w:t xml:space="preserve"> I do not accept that such security as may</w:t>
      </w:r>
      <w:r w:rsidR="00C76C94" w:rsidRPr="00467317">
        <w:t xml:space="preserve"> notionally</w:t>
      </w:r>
      <w:r w:rsidR="00E841EB" w:rsidRPr="00467317">
        <w:t xml:space="preserve"> be afforded by these properties constitutes the giving of security to t</w:t>
      </w:r>
      <w:r w:rsidR="000853D1" w:rsidRPr="00467317">
        <w:t>he plaintiff</w:t>
      </w:r>
      <w:r w:rsidR="00E841EB" w:rsidRPr="00467317">
        <w:t xml:space="preserve"> to the satisfaction of the Court for any judgment including costs as contemplated in </w:t>
      </w:r>
      <w:r w:rsidR="009D0A60" w:rsidRPr="00467317">
        <w:t>subrule</w:t>
      </w:r>
      <w:r w:rsidR="00E841EB" w:rsidRPr="00467317">
        <w:t xml:space="preserve"> 3(a).  </w:t>
      </w:r>
      <w:r w:rsidR="0061173E" w:rsidRPr="00467317">
        <w:t>To accept this contention</w:t>
      </w:r>
      <w:r w:rsidR="002C07D9" w:rsidRPr="00467317">
        <w:t xml:space="preserve"> would require</w:t>
      </w:r>
      <w:r w:rsidR="002F6B0A" w:rsidRPr="00467317">
        <w:t xml:space="preserve"> </w:t>
      </w:r>
      <w:r w:rsidR="00F13EE0" w:rsidRPr="00467317">
        <w:t>that a</w:t>
      </w:r>
      <w:r w:rsidR="00E841EB" w:rsidRPr="00467317">
        <w:t xml:space="preserve"> court enter an assessment or evaluation of the amount of free equity that may be available</w:t>
      </w:r>
      <w:r w:rsidR="00F13EE0" w:rsidRPr="00467317">
        <w:t xml:space="preserve"> to a creditor</w:t>
      </w:r>
      <w:r w:rsidR="00E841EB" w:rsidRPr="00467317">
        <w:t xml:space="preserve"> in an immovable property </w:t>
      </w:r>
      <w:r w:rsidR="00446D95" w:rsidRPr="00467317">
        <w:t>or</w:t>
      </w:r>
      <w:r w:rsidR="00E841EB" w:rsidRPr="00467317">
        <w:t> properties.  This would require the deployment of skill</w:t>
      </w:r>
      <w:r w:rsidR="002C07D9" w:rsidRPr="00467317">
        <w:t>s</w:t>
      </w:r>
      <w:r w:rsidR="00E841EB" w:rsidRPr="00467317">
        <w:t xml:space="preserve"> in property evaluation which few judges would possess</w:t>
      </w:r>
      <w:r w:rsidR="00446D95" w:rsidRPr="00467317">
        <w:t>,</w:t>
      </w:r>
      <w:r w:rsidR="00E841EB" w:rsidRPr="00467317">
        <w:t xml:space="preserve"> or would be inclined to deploy.  What is contem</w:t>
      </w:r>
      <w:r w:rsidR="00E841EB" w:rsidRPr="00467317">
        <w:softHyphen/>
        <w:t xml:space="preserve">plated by </w:t>
      </w:r>
      <w:r w:rsidR="009D0A60" w:rsidRPr="00467317">
        <w:t>subrule</w:t>
      </w:r>
      <w:r w:rsidR="00E841EB" w:rsidRPr="00467317">
        <w:t xml:space="preserve"> 3(a) is plain</w:t>
      </w:r>
      <w:r w:rsidR="00446D95" w:rsidRPr="00467317">
        <w:t>ly</w:t>
      </w:r>
      <w:r w:rsidR="00E841EB" w:rsidRPr="00467317">
        <w:t xml:space="preserve"> security which is easily quantifiable</w:t>
      </w:r>
      <w:r w:rsidR="002D6D25" w:rsidRPr="00467317">
        <w:t>, liquid</w:t>
      </w:r>
      <w:r w:rsidR="00E841EB" w:rsidRPr="00467317">
        <w:t xml:space="preserve"> and which permits prompt satisfaction</w:t>
      </w:r>
      <w:r w:rsidR="00C41C6C" w:rsidRPr="00467317">
        <w:t xml:space="preserve"> of any judgment</w:t>
      </w:r>
      <w:r w:rsidR="00E841EB" w:rsidRPr="00467317">
        <w:t xml:space="preserve">.  </w:t>
      </w:r>
      <w:r w:rsidR="00E841EB" w:rsidRPr="00467317">
        <w:lastRenderedPageBreak/>
        <w:t>Neither of the</w:t>
      </w:r>
      <w:r w:rsidR="00C41C6C" w:rsidRPr="00467317">
        <w:t xml:space="preserve">se features are apparent from </w:t>
      </w:r>
      <w:r w:rsidR="00106ED7" w:rsidRPr="00467317">
        <w:t>what is proposed as security</w:t>
      </w:r>
      <w:r w:rsidR="0052629E">
        <w:t>.  T</w:t>
      </w:r>
      <w:r w:rsidR="00106ED7" w:rsidRPr="00467317">
        <w:t>his</w:t>
      </w:r>
      <w:r w:rsidR="00E841EB" w:rsidRPr="00467317">
        <w:t xml:space="preserve"> point </w:t>
      </w:r>
      <w:r w:rsidR="00E841EB" w:rsidRPr="00467317">
        <w:rPr>
          <w:i/>
          <w:iCs/>
        </w:rPr>
        <w:t>in limine</w:t>
      </w:r>
      <w:r w:rsidR="00E841EB" w:rsidRPr="00467317">
        <w:t xml:space="preserve"> </w:t>
      </w:r>
      <w:r w:rsidR="00106ED7" w:rsidRPr="00467317">
        <w:t>is</w:t>
      </w:r>
      <w:r w:rsidR="00E841EB" w:rsidRPr="00467317">
        <w:t xml:space="preserve"> </w:t>
      </w:r>
      <w:r w:rsidR="00106ED7" w:rsidRPr="00467317">
        <w:t>un</w:t>
      </w:r>
      <w:r w:rsidR="00E841EB" w:rsidRPr="00467317">
        <w:t>sustainable.</w:t>
      </w:r>
    </w:p>
    <w:p w14:paraId="3E40FF43" w14:textId="2CEB5F20" w:rsidR="00606499" w:rsidRPr="00467317" w:rsidRDefault="0070421C" w:rsidP="0070421C">
      <w:pPr>
        <w:pStyle w:val="Clause1Head"/>
        <w:tabs>
          <w:tab w:val="left" w:pos="680"/>
        </w:tabs>
        <w:spacing w:after="360" w:line="480" w:lineRule="auto"/>
        <w:jc w:val="both"/>
      </w:pPr>
      <w:r w:rsidRPr="00467317">
        <w:rPr>
          <w:sz w:val="22"/>
          <w:szCs w:val="22"/>
        </w:rPr>
        <w:t>[21]</w:t>
      </w:r>
      <w:r w:rsidRPr="00467317">
        <w:rPr>
          <w:sz w:val="22"/>
          <w:szCs w:val="22"/>
        </w:rPr>
        <w:tab/>
      </w:r>
      <w:r w:rsidR="00106ED7" w:rsidRPr="00467317">
        <w:t xml:space="preserve">I now turn to the </w:t>
      </w:r>
      <w:r w:rsidR="00FD2BF9" w:rsidRPr="00467317">
        <w:t>merits of the summary judgment application</w:t>
      </w:r>
      <w:r w:rsidR="0052629E">
        <w:t>.  F</w:t>
      </w:r>
      <w:r w:rsidR="00606499" w:rsidRPr="00467317">
        <w:t>ollowing the institution of action by t</w:t>
      </w:r>
      <w:r w:rsidR="000853D1" w:rsidRPr="00467317">
        <w:t>he plaintiff</w:t>
      </w:r>
      <w:r w:rsidR="00606499" w:rsidRPr="00467317">
        <w:t xml:space="preserve"> t</w:t>
      </w:r>
      <w:r w:rsidR="000853D1" w:rsidRPr="00467317">
        <w:t>he defendant</w:t>
      </w:r>
      <w:r w:rsidR="002D6D25" w:rsidRPr="00467317">
        <w:t>s</w:t>
      </w:r>
      <w:r w:rsidR="00606499" w:rsidRPr="00467317">
        <w:t xml:space="preserve"> delivered </w:t>
      </w:r>
      <w:r w:rsidR="002D6D25" w:rsidRPr="00467317">
        <w:t>their</w:t>
      </w:r>
      <w:r w:rsidR="00606499" w:rsidRPr="00467317">
        <w:t xml:space="preserve"> </w:t>
      </w:r>
      <w:r w:rsidR="000514B6" w:rsidRPr="00467317">
        <w:t>p</w:t>
      </w:r>
      <w:r w:rsidR="00606499" w:rsidRPr="00467317">
        <w:t xml:space="preserve">lea as contemplated by </w:t>
      </w:r>
      <w:r w:rsidR="005702EB" w:rsidRPr="00467317">
        <w:t>r</w:t>
      </w:r>
      <w:r w:rsidR="00606499" w:rsidRPr="00467317">
        <w:t>ule 32(1)</w:t>
      </w:r>
      <w:r w:rsidR="00606499" w:rsidRPr="00467317">
        <w:rPr>
          <w:rStyle w:val="FootnoteReference"/>
        </w:rPr>
        <w:footnoteReference w:id="18"/>
      </w:r>
      <w:r w:rsidR="005702EB" w:rsidRPr="00467317">
        <w:t xml:space="preserve"> </w:t>
      </w:r>
      <w:r w:rsidR="00AF1B7B" w:rsidRPr="00467317">
        <w:t>making</w:t>
      </w:r>
      <w:r w:rsidR="00ED7338" w:rsidRPr="00467317">
        <w:t xml:space="preserve"> the admissions referred to above</w:t>
      </w:r>
      <w:r w:rsidR="00606499" w:rsidRPr="00467317">
        <w:t>.  However</w:t>
      </w:r>
      <w:r w:rsidR="00982207">
        <w:t xml:space="preserve">, </w:t>
      </w:r>
      <w:r w:rsidR="00606499" w:rsidRPr="00467317">
        <w:t>the</w:t>
      </w:r>
      <w:r w:rsidR="00603E39" w:rsidRPr="00467317">
        <w:t>y</w:t>
      </w:r>
      <w:r w:rsidR="00606499" w:rsidRPr="00467317">
        <w:t xml:space="preserve"> pleaded that it would be contrary to public policy to enforce the recovery of the loans under claims A, B and C prior to the expiry of a period </w:t>
      </w:r>
      <w:r w:rsidR="00073456" w:rsidRPr="00467317">
        <w:t>of twelve months, and further disputed that entitlement of t</w:t>
      </w:r>
      <w:r w:rsidR="000853D1" w:rsidRPr="00467317">
        <w:t>he plaintiff</w:t>
      </w:r>
      <w:r w:rsidR="00073456" w:rsidRPr="00467317">
        <w:t xml:space="preserve"> to orders declaring the properties executable.</w:t>
      </w:r>
    </w:p>
    <w:p w14:paraId="3F45216D" w14:textId="46CC7683" w:rsidR="00073456" w:rsidRPr="00467317" w:rsidRDefault="0070421C" w:rsidP="0070421C">
      <w:pPr>
        <w:pStyle w:val="Clause1Head"/>
        <w:tabs>
          <w:tab w:val="left" w:pos="680"/>
        </w:tabs>
        <w:spacing w:after="360" w:line="480" w:lineRule="auto"/>
        <w:jc w:val="both"/>
      </w:pPr>
      <w:r w:rsidRPr="00467317">
        <w:rPr>
          <w:sz w:val="22"/>
          <w:szCs w:val="22"/>
        </w:rPr>
        <w:t>[22]</w:t>
      </w:r>
      <w:r w:rsidRPr="00467317">
        <w:rPr>
          <w:sz w:val="22"/>
          <w:szCs w:val="22"/>
        </w:rPr>
        <w:tab/>
      </w:r>
      <w:r w:rsidR="00073456" w:rsidRPr="00467317">
        <w:t xml:space="preserve">The </w:t>
      </w:r>
      <w:r w:rsidR="00E45366" w:rsidRPr="00467317">
        <w:t>essential</w:t>
      </w:r>
      <w:r w:rsidR="000514B6" w:rsidRPr="00467317">
        <w:t xml:space="preserve"> </w:t>
      </w:r>
      <w:r w:rsidR="00073456" w:rsidRPr="00467317">
        <w:t xml:space="preserve">features of the </w:t>
      </w:r>
      <w:r w:rsidR="000514B6" w:rsidRPr="00467317">
        <w:t>p</w:t>
      </w:r>
      <w:r w:rsidR="00073456" w:rsidRPr="00467317">
        <w:t>lea are these</w:t>
      </w:r>
      <w:r w:rsidR="005539E4">
        <w:t>: </w:t>
      </w:r>
      <w:r w:rsidR="00CD07F2" w:rsidRPr="00467317">
        <w:rPr>
          <w:rStyle w:val="FootnoteReference"/>
        </w:rPr>
        <w:footnoteReference w:id="19"/>
      </w:r>
    </w:p>
    <w:p w14:paraId="091DB5E7" w14:textId="291C894F" w:rsidR="00073456"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[22.1]</w:t>
      </w:r>
      <w:r w:rsidRPr="00467317">
        <w:rPr>
          <w:color w:val="000000"/>
          <w:sz w:val="20"/>
          <w:szCs w:val="20"/>
        </w:rPr>
        <w:tab/>
      </w:r>
      <w:r w:rsidR="00073456" w:rsidRPr="00467317">
        <w:t>Mr</w:t>
      </w:r>
      <w:r w:rsidR="0068711D" w:rsidRPr="00467317">
        <w:t xml:space="preserve"> </w:t>
      </w:r>
      <w:r w:rsidR="00073456" w:rsidRPr="00467317">
        <w:t>Venter is a longstanding property developer who has</w:t>
      </w:r>
      <w:r w:rsidR="000514B6" w:rsidRPr="00467317">
        <w:t xml:space="preserve"> over some years</w:t>
      </w:r>
      <w:r w:rsidR="00073456" w:rsidRPr="00467317">
        <w:t xml:space="preserve"> (through </w:t>
      </w:r>
      <w:r w:rsidR="0017770E" w:rsidRPr="00467317">
        <w:t xml:space="preserve">various </w:t>
      </w:r>
      <w:r w:rsidR="00073456" w:rsidRPr="00467317">
        <w:t>legal entities) embarked upon successful property developments.  T</w:t>
      </w:r>
      <w:r w:rsidR="000853D1" w:rsidRPr="00467317">
        <w:t>he plaintiff</w:t>
      </w:r>
      <w:r w:rsidR="00073456" w:rsidRPr="00467317">
        <w:t xml:space="preserve"> has</w:t>
      </w:r>
      <w:r w:rsidR="0017770E" w:rsidRPr="00467317">
        <w:t xml:space="preserve"> habitually</w:t>
      </w:r>
      <w:r w:rsidR="00073456" w:rsidRPr="00467317">
        <w:t xml:space="preserve"> been his banker and has provided loan or other financing, which obligations have been honoured to the mutual benefit of both parties.</w:t>
      </w:r>
    </w:p>
    <w:p w14:paraId="5C2D9057" w14:textId="61F257BB" w:rsidR="00073456"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[22.2]</w:t>
      </w:r>
      <w:r w:rsidRPr="00467317">
        <w:rPr>
          <w:color w:val="000000"/>
          <w:sz w:val="20"/>
          <w:szCs w:val="20"/>
        </w:rPr>
        <w:tab/>
      </w:r>
      <w:r w:rsidR="00073456" w:rsidRPr="00467317">
        <w:t>Prior to 2007 the opportunity to develop the Sable Hills Waterfront Estate development (</w:t>
      </w:r>
      <w:r w:rsidR="00073456" w:rsidRPr="00467317">
        <w:rPr>
          <w:i/>
          <w:iCs/>
        </w:rPr>
        <w:t>“the development”</w:t>
      </w:r>
      <w:r w:rsidR="00073456" w:rsidRPr="00467317">
        <w:t>) presented itself.  Mr Venter says that he partnered with t</w:t>
      </w:r>
      <w:r w:rsidR="000853D1" w:rsidRPr="00467317">
        <w:t>he plaintiff</w:t>
      </w:r>
      <w:r w:rsidR="00073456" w:rsidRPr="00467317">
        <w:t xml:space="preserve"> who would provide finance for the development.  To secure the loan funding business plans were submitted and vetted</w:t>
      </w:r>
      <w:r w:rsidR="00E036A3" w:rsidRPr="00467317">
        <w:t xml:space="preserve"> (which I take to mean approved)</w:t>
      </w:r>
      <w:r w:rsidR="00073456" w:rsidRPr="00467317">
        <w:t xml:space="preserve"> by t</w:t>
      </w:r>
      <w:r w:rsidR="000853D1" w:rsidRPr="00467317">
        <w:t>he plaintiff</w:t>
      </w:r>
      <w:r w:rsidR="00073456" w:rsidRPr="00467317">
        <w:t>.</w:t>
      </w:r>
    </w:p>
    <w:p w14:paraId="0B83426B" w14:textId="27577A0F" w:rsidR="00073456" w:rsidRPr="00467317" w:rsidRDefault="0070421C" w:rsidP="0070421C">
      <w:pPr>
        <w:pStyle w:val="Clause1Head"/>
        <w:tabs>
          <w:tab w:val="left" w:pos="1418"/>
        </w:tabs>
        <w:spacing w:after="360" w:line="480" w:lineRule="auto"/>
        <w:ind w:left="1418" w:hanging="738"/>
        <w:jc w:val="both"/>
      </w:pPr>
      <w:r w:rsidRPr="00467317">
        <w:rPr>
          <w:color w:val="000000"/>
          <w:sz w:val="20"/>
          <w:szCs w:val="20"/>
        </w:rPr>
        <w:lastRenderedPageBreak/>
        <w:t>[22.3]</w:t>
      </w:r>
      <w:r w:rsidRPr="00467317">
        <w:rPr>
          <w:color w:val="000000"/>
          <w:sz w:val="20"/>
          <w:szCs w:val="20"/>
        </w:rPr>
        <w:tab/>
      </w:r>
      <w:r w:rsidR="00073456" w:rsidRPr="00467317">
        <w:t xml:space="preserve">The initial </w:t>
      </w:r>
      <w:r w:rsidR="00E036A3" w:rsidRPr="00467317">
        <w:t xml:space="preserve">development </w:t>
      </w:r>
      <w:r w:rsidR="00073456" w:rsidRPr="00467317">
        <w:t>indebtedness incurred by Mr Venter was for R3,2 million together with an additional sum required for the costs of building houses and installing services for the development.</w:t>
      </w:r>
      <w:r w:rsidR="005539E4">
        <w:t> </w:t>
      </w:r>
      <w:r w:rsidR="00073456" w:rsidRPr="00467317">
        <w:rPr>
          <w:rStyle w:val="FootnoteReference"/>
        </w:rPr>
        <w:footnoteReference w:id="20"/>
      </w:r>
      <w:r w:rsidR="00073456" w:rsidRPr="00467317">
        <w:t xml:space="preserve">  </w:t>
      </w:r>
      <w:r w:rsidR="00DC7DA1" w:rsidRPr="00467317">
        <w:t xml:space="preserve">A corresponding bond was registered over Erven 292 and 293, Sable Hills Waterfront Estate Township.  This is the mortgage bond B192017/2007 which was registered on 27 November 2007 and is </w:t>
      </w:r>
      <w:r w:rsidR="00E036A3" w:rsidRPr="00467317">
        <w:t xml:space="preserve">referenced </w:t>
      </w:r>
      <w:r w:rsidR="00DC7DA1" w:rsidRPr="00467317">
        <w:t xml:space="preserve">in the </w:t>
      </w:r>
      <w:r w:rsidR="00A1645F" w:rsidRPr="00467317">
        <w:t>particulars of claim</w:t>
      </w:r>
      <w:r w:rsidR="00DC7DA1" w:rsidRPr="00467317">
        <w:t>.</w:t>
      </w:r>
    </w:p>
    <w:p w14:paraId="6A098341" w14:textId="480C9FB3" w:rsidR="00DC7DA1"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[22.4]</w:t>
      </w:r>
      <w:r w:rsidRPr="00467317">
        <w:rPr>
          <w:color w:val="000000"/>
          <w:sz w:val="20"/>
          <w:szCs w:val="20"/>
        </w:rPr>
        <w:tab/>
      </w:r>
      <w:r w:rsidR="00DC7DA1" w:rsidRPr="00467317">
        <w:t>Clause 15.2 of the mortgage bond contain</w:t>
      </w:r>
      <w:r w:rsidR="00E036A3" w:rsidRPr="00467317">
        <w:t>s</w:t>
      </w:r>
      <w:r w:rsidR="00DC7DA1" w:rsidRPr="00467317">
        <w:t xml:space="preserve"> the following condition:</w:t>
      </w:r>
    </w:p>
    <w:p w14:paraId="55A0794C" w14:textId="137BB81D" w:rsidR="00DC7DA1" w:rsidRPr="00467317" w:rsidRDefault="00DC7DA1" w:rsidP="00DC7DA1">
      <w:pPr>
        <w:pStyle w:val="Clause1Head"/>
        <w:spacing w:after="360" w:line="360" w:lineRule="auto"/>
        <w:ind w:left="1985" w:right="851"/>
        <w:jc w:val="both"/>
        <w:rPr>
          <w:i/>
          <w:iCs/>
          <w:sz w:val="22"/>
          <w:szCs w:val="26"/>
        </w:rPr>
      </w:pPr>
      <w:r w:rsidRPr="00467317">
        <w:rPr>
          <w:i/>
          <w:iCs/>
          <w:sz w:val="22"/>
          <w:szCs w:val="26"/>
        </w:rPr>
        <w:t>“</w:t>
      </w:r>
      <w:r w:rsidRPr="00467317">
        <w:rPr>
          <w:i/>
          <w:iCs/>
          <w:smallCaps/>
          <w:sz w:val="22"/>
          <w:szCs w:val="26"/>
        </w:rPr>
        <w:t>Subject to the conditions therein contained and further subject</w:t>
      </w:r>
      <w:r w:rsidRPr="00467317">
        <w:rPr>
          <w:i/>
          <w:iCs/>
          <w:sz w:val="22"/>
          <w:szCs w:val="26"/>
        </w:rPr>
        <w:t xml:space="preserve"> to conditions imposed in favour of </w:t>
      </w:r>
      <w:r w:rsidR="0076530C" w:rsidRPr="00467317">
        <w:rPr>
          <w:i/>
          <w:iCs/>
          <w:smallCaps/>
          <w:sz w:val="22"/>
          <w:szCs w:val="26"/>
        </w:rPr>
        <w:t>sable hills homeowners association</w:t>
      </w:r>
      <w:r w:rsidRPr="00467317">
        <w:rPr>
          <w:i/>
          <w:iCs/>
          <w:sz w:val="22"/>
          <w:szCs w:val="26"/>
        </w:rPr>
        <w:t xml:space="preserve"> (</w:t>
      </w:r>
      <w:r w:rsidR="0076530C" w:rsidRPr="00467317">
        <w:rPr>
          <w:i/>
          <w:iCs/>
          <w:sz w:val="22"/>
          <w:szCs w:val="26"/>
        </w:rPr>
        <w:t xml:space="preserve">registration nr: 2003/015759/08) (Association incorporated under Section 21 of Act 61 of 1973) </w:t>
      </w:r>
      <w:r w:rsidR="0076530C" w:rsidRPr="00467317">
        <w:rPr>
          <w:i/>
          <w:iCs/>
          <w:smallCaps/>
          <w:sz w:val="22"/>
          <w:szCs w:val="26"/>
        </w:rPr>
        <w:t>and more especially subject to the conditions imposed by the</w:t>
      </w:r>
      <w:r w:rsidR="0076530C" w:rsidRPr="00467317">
        <w:rPr>
          <w:i/>
          <w:iCs/>
          <w:sz w:val="22"/>
          <w:szCs w:val="26"/>
        </w:rPr>
        <w:t xml:space="preserve"> </w:t>
      </w:r>
      <w:r w:rsidR="0076530C" w:rsidRPr="00467317">
        <w:rPr>
          <w:i/>
          <w:iCs/>
          <w:smallCaps/>
          <w:sz w:val="22"/>
          <w:szCs w:val="26"/>
        </w:rPr>
        <w:t>sable hills waterfront estate homeowners association</w:t>
      </w:r>
      <w:r w:rsidR="0076530C" w:rsidRPr="00467317">
        <w:rPr>
          <w:i/>
          <w:iCs/>
          <w:sz w:val="22"/>
          <w:szCs w:val="26"/>
        </w:rPr>
        <w:t>.”</w:t>
      </w:r>
    </w:p>
    <w:p w14:paraId="3514217F" w14:textId="6E5E40C1" w:rsidR="00DC7DA1" w:rsidRPr="00467317" w:rsidRDefault="0076530C" w:rsidP="0076530C">
      <w:pPr>
        <w:pStyle w:val="Clause1Head"/>
        <w:spacing w:after="360" w:line="480" w:lineRule="auto"/>
        <w:ind w:left="1418"/>
        <w:jc w:val="both"/>
      </w:pPr>
      <w:r w:rsidRPr="00467317">
        <w:t>T</w:t>
      </w:r>
      <w:r w:rsidR="000853D1" w:rsidRPr="00467317">
        <w:t>he defendant</w:t>
      </w:r>
      <w:r w:rsidRPr="00467317">
        <w:t>s allege in their</w:t>
      </w:r>
      <w:r w:rsidR="00A1645F" w:rsidRPr="00467317">
        <w:t xml:space="preserve"> plea</w:t>
      </w:r>
      <w:r w:rsidRPr="00467317">
        <w:t xml:space="preserve"> that the conditions included the right to have a </w:t>
      </w:r>
      <w:r w:rsidRPr="00467317">
        <w:rPr>
          <w:i/>
          <w:iCs/>
        </w:rPr>
        <w:t>usufruct</w:t>
      </w:r>
      <w:r w:rsidRPr="00467317">
        <w:t xml:space="preserve"> registered in favour of the Association for an indefinite period over Erven 283, 285, 286, 291</w:t>
      </w:r>
      <w:r w:rsidR="00D01658" w:rsidRPr="00467317">
        <w:t>, 292, 293 and 295 of Sable Hills Waterfront Estate Township.</w:t>
      </w:r>
      <w:r w:rsidR="005539E4">
        <w:t> </w:t>
      </w:r>
      <w:r w:rsidR="00E456E6" w:rsidRPr="00467317">
        <w:rPr>
          <w:rStyle w:val="FootnoteReference"/>
        </w:rPr>
        <w:footnoteReference w:id="21"/>
      </w:r>
    </w:p>
    <w:p w14:paraId="53EB579B" w14:textId="79C2FA63" w:rsidR="0076530C"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[22.5]</w:t>
      </w:r>
      <w:r w:rsidRPr="00467317">
        <w:rPr>
          <w:color w:val="000000"/>
          <w:sz w:val="20"/>
          <w:szCs w:val="20"/>
        </w:rPr>
        <w:tab/>
      </w:r>
      <w:r w:rsidR="00D01658" w:rsidRPr="00467317">
        <w:t xml:space="preserve">To secure the registration of the </w:t>
      </w:r>
      <w:r w:rsidR="00D01658" w:rsidRPr="00467317">
        <w:rPr>
          <w:i/>
          <w:iCs/>
        </w:rPr>
        <w:t>usufruct</w:t>
      </w:r>
      <w:r w:rsidR="00D01658" w:rsidRPr="00467317">
        <w:t xml:space="preserve"> the consent of t</w:t>
      </w:r>
      <w:r w:rsidR="000853D1" w:rsidRPr="00467317">
        <w:t>he plaintiff</w:t>
      </w:r>
      <w:r w:rsidR="00D01658" w:rsidRPr="00467317">
        <w:t xml:space="preserve"> as bondholder was required in terms of Section 65(3) of the Deeds Registry’s Act, 47 of 1937.</w:t>
      </w:r>
      <w:r w:rsidR="005539E4">
        <w:t> </w:t>
      </w:r>
      <w:r w:rsidR="00B62705" w:rsidRPr="00467317">
        <w:rPr>
          <w:rStyle w:val="FootnoteReference"/>
        </w:rPr>
        <w:footnoteReference w:id="22"/>
      </w:r>
    </w:p>
    <w:p w14:paraId="61A7EEF4" w14:textId="24AC1C36" w:rsidR="00D01658" w:rsidRPr="00467317" w:rsidRDefault="0070421C" w:rsidP="0070421C">
      <w:pPr>
        <w:pStyle w:val="Clause1Head"/>
        <w:tabs>
          <w:tab w:val="left" w:pos="1418"/>
        </w:tabs>
        <w:spacing w:after="360" w:line="480" w:lineRule="auto"/>
        <w:ind w:left="1418" w:hanging="738"/>
        <w:jc w:val="both"/>
      </w:pPr>
      <w:r w:rsidRPr="00467317">
        <w:rPr>
          <w:color w:val="000000"/>
          <w:sz w:val="20"/>
          <w:szCs w:val="20"/>
        </w:rPr>
        <w:lastRenderedPageBreak/>
        <w:t>[22.6]</w:t>
      </w:r>
      <w:r w:rsidRPr="00467317">
        <w:rPr>
          <w:color w:val="000000"/>
          <w:sz w:val="20"/>
          <w:szCs w:val="20"/>
        </w:rPr>
        <w:tab/>
      </w:r>
      <w:r w:rsidR="00D01658" w:rsidRPr="00467317">
        <w:t>By 2010 the indebtedness for the development had been reduced through the sale of properties and this indebtedness together with further funding requirements were restructured through the loan set out in claim A.</w:t>
      </w:r>
    </w:p>
    <w:p w14:paraId="67A46B3B" w14:textId="0464A8CB" w:rsidR="00D01658"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[22.7]</w:t>
      </w:r>
      <w:r w:rsidRPr="00467317">
        <w:rPr>
          <w:color w:val="000000"/>
          <w:sz w:val="20"/>
          <w:szCs w:val="20"/>
        </w:rPr>
        <w:tab/>
      </w:r>
      <w:r w:rsidR="00D01658" w:rsidRPr="00467317">
        <w:t>However, from 2010 and on an on-going basis the Association engaged Sable Hills in</w:t>
      </w:r>
      <w:r w:rsidR="00784C22" w:rsidRPr="00467317">
        <w:t xml:space="preserve"> what was termed</w:t>
      </w:r>
      <w:r w:rsidR="00831A8F" w:rsidRPr="00467317">
        <w:t xml:space="preserve"> by t</w:t>
      </w:r>
      <w:r w:rsidR="000853D1" w:rsidRPr="00467317">
        <w:t>he defendant</w:t>
      </w:r>
      <w:r w:rsidR="00831A8F" w:rsidRPr="00467317">
        <w:t>s</w:t>
      </w:r>
      <w:r w:rsidR="006F25F1" w:rsidRPr="00467317">
        <w:t xml:space="preserve"> as</w:t>
      </w:r>
      <w:r w:rsidR="00D01658" w:rsidRPr="00467317">
        <w:t xml:space="preserve"> </w:t>
      </w:r>
      <w:r w:rsidR="00D01658" w:rsidRPr="00467317">
        <w:rPr>
          <w:i/>
          <w:iCs/>
        </w:rPr>
        <w:t xml:space="preserve">“a legal war of </w:t>
      </w:r>
      <w:r w:rsidR="001775C4" w:rsidRPr="00467317">
        <w:rPr>
          <w:i/>
          <w:iCs/>
        </w:rPr>
        <w:t>attrition</w:t>
      </w:r>
      <w:r w:rsidR="00D01658" w:rsidRPr="00467317">
        <w:rPr>
          <w:i/>
          <w:iCs/>
        </w:rPr>
        <w:t>”</w:t>
      </w:r>
      <w:r w:rsidR="00D01658" w:rsidRPr="00467317">
        <w:t xml:space="preserve"> to secure rights for members which t</w:t>
      </w:r>
      <w:r w:rsidR="000853D1" w:rsidRPr="00467317">
        <w:t>he defendant</w:t>
      </w:r>
      <w:r w:rsidR="00D01658" w:rsidRPr="00467317">
        <w:t xml:space="preserve">s say they are not entitled to.  This included various legal objections to rezoning applications and the attempt to have the </w:t>
      </w:r>
      <w:r w:rsidR="00D01658" w:rsidRPr="00467317">
        <w:rPr>
          <w:i/>
          <w:iCs/>
        </w:rPr>
        <w:t>usufruct</w:t>
      </w:r>
      <w:r w:rsidR="00D01658" w:rsidRPr="00467317">
        <w:t xml:space="preserve"> registered.</w:t>
      </w:r>
      <w:r w:rsidR="00D84C17" w:rsidRPr="00467317">
        <w:t> </w:t>
      </w:r>
      <w:r w:rsidR="00784C22" w:rsidRPr="00467317">
        <w:rPr>
          <w:rStyle w:val="FootnoteReference"/>
        </w:rPr>
        <w:footnoteReference w:id="23"/>
      </w:r>
      <w:r w:rsidR="00AE5D6D" w:rsidRPr="00467317">
        <w:t xml:space="preserve"> </w:t>
      </w:r>
      <w:r w:rsidR="00D84C17" w:rsidRPr="00467317">
        <w:t xml:space="preserve"> </w:t>
      </w:r>
      <w:r w:rsidR="00AE5D6D" w:rsidRPr="00467317">
        <w:t>T</w:t>
      </w:r>
      <w:r w:rsidR="000853D1" w:rsidRPr="00467317">
        <w:t>he plaintiff</w:t>
      </w:r>
      <w:r w:rsidR="00982207">
        <w:t>,</w:t>
      </w:r>
      <w:r w:rsidR="00AE5D6D" w:rsidRPr="00467317">
        <w:t xml:space="preserve"> however</w:t>
      </w:r>
      <w:r w:rsidR="00982207">
        <w:t>,</w:t>
      </w:r>
      <w:r w:rsidR="00AE5D6D" w:rsidRPr="00467317">
        <w:t xml:space="preserve"> declined to furnish its consent to </w:t>
      </w:r>
      <w:r w:rsidR="00E3336B" w:rsidRPr="00467317">
        <w:t>registration of the</w:t>
      </w:r>
      <w:r w:rsidR="00B62705" w:rsidRPr="00467317">
        <w:t xml:space="preserve"> personal servitude in the form of the</w:t>
      </w:r>
      <w:r w:rsidR="00E3336B" w:rsidRPr="00467317">
        <w:t xml:space="preserve"> </w:t>
      </w:r>
      <w:r w:rsidR="00B12C77" w:rsidRPr="00467317">
        <w:rPr>
          <w:i/>
          <w:iCs/>
        </w:rPr>
        <w:t>usufruct</w:t>
      </w:r>
      <w:r w:rsidR="00B12C77" w:rsidRPr="00467317">
        <w:t>.</w:t>
      </w:r>
      <w:r w:rsidR="00D84C17" w:rsidRPr="00467317">
        <w:t> </w:t>
      </w:r>
      <w:r w:rsidR="00A267C4" w:rsidRPr="00467317">
        <w:rPr>
          <w:rStyle w:val="FootnoteReference"/>
        </w:rPr>
        <w:footnoteReference w:id="24"/>
      </w:r>
    </w:p>
    <w:p w14:paraId="55A10CBE" w14:textId="130A1217" w:rsidR="00D01658"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[22.8]</w:t>
      </w:r>
      <w:r w:rsidRPr="00467317">
        <w:rPr>
          <w:color w:val="000000"/>
          <w:sz w:val="20"/>
          <w:szCs w:val="20"/>
        </w:rPr>
        <w:tab/>
      </w:r>
      <w:r w:rsidR="00D01658" w:rsidRPr="00467317">
        <w:t xml:space="preserve">During 2013 the access facility and overdraft facility were concluded (claims B and C respectively).  As security for these further loans </w:t>
      </w:r>
      <w:r w:rsidR="00CE40CC" w:rsidRPr="00467317">
        <w:t>Sable Hills</w:t>
      </w:r>
      <w:r w:rsidR="00D01658" w:rsidRPr="00467317">
        <w:t xml:space="preserve"> registered first covering mortgage bonds over units 52, 61, 62 and 77 of Erf 741, Sable Hills Waterfront Estate together with a limited suretyship of R8 million.</w:t>
      </w:r>
      <w:r w:rsidR="005539E4">
        <w:t> </w:t>
      </w:r>
      <w:r w:rsidR="00711D09" w:rsidRPr="00467317">
        <w:rPr>
          <w:rStyle w:val="FootnoteReference"/>
        </w:rPr>
        <w:footnoteReference w:id="25"/>
      </w:r>
    </w:p>
    <w:p w14:paraId="3C1A2E2B" w14:textId="5AB9554B" w:rsidR="00D01658" w:rsidRPr="00467317" w:rsidRDefault="0070421C" w:rsidP="0070421C">
      <w:pPr>
        <w:pStyle w:val="Clause1Head"/>
        <w:tabs>
          <w:tab w:val="left" w:pos="1418"/>
        </w:tabs>
        <w:spacing w:after="240" w:line="480" w:lineRule="auto"/>
        <w:ind w:left="1417" w:hanging="737"/>
        <w:jc w:val="both"/>
      </w:pPr>
      <w:r w:rsidRPr="00467317">
        <w:rPr>
          <w:color w:val="000000"/>
          <w:sz w:val="20"/>
          <w:szCs w:val="20"/>
        </w:rPr>
        <w:t>[22.9]</w:t>
      </w:r>
      <w:r w:rsidRPr="00467317">
        <w:rPr>
          <w:color w:val="000000"/>
          <w:sz w:val="20"/>
          <w:szCs w:val="20"/>
        </w:rPr>
        <w:tab/>
      </w:r>
      <w:r w:rsidR="00D01658" w:rsidRPr="00467317">
        <w:t>After a long period of refusal t</w:t>
      </w:r>
      <w:r w:rsidR="000853D1" w:rsidRPr="00467317">
        <w:t>he plaintiff</w:t>
      </w:r>
      <w:r w:rsidR="00D01658" w:rsidRPr="00467317">
        <w:t xml:space="preserve"> eventually on 23 February 2018 agreed to permit cancellation of the bonds over Erven 292 and 293 (this </w:t>
      </w:r>
      <w:r w:rsidR="00D815D8" w:rsidRPr="00467317">
        <w:lastRenderedPageBreak/>
        <w:t>apparently</w:t>
      </w:r>
      <w:r w:rsidR="00D01658" w:rsidRPr="00467317">
        <w:t xml:space="preserve"> necessary to permit the registration of the </w:t>
      </w:r>
      <w:r w:rsidR="00D01658" w:rsidRPr="00467317">
        <w:rPr>
          <w:i/>
          <w:iCs/>
        </w:rPr>
        <w:t>usufruct</w:t>
      </w:r>
      <w:r w:rsidR="00D01658" w:rsidRPr="00467317">
        <w:t>)</w:t>
      </w:r>
      <w:r w:rsidR="001C143D" w:rsidRPr="00467317">
        <w:t xml:space="preserve"> on the condition that a replacement bond would be registered by </w:t>
      </w:r>
      <w:r w:rsidR="00805931" w:rsidRPr="00467317">
        <w:t>the Trust</w:t>
      </w:r>
      <w:r w:rsidR="001C143D" w:rsidRPr="00467317">
        <w:t xml:space="preserve"> in favour of t</w:t>
      </w:r>
      <w:r w:rsidR="000853D1" w:rsidRPr="00467317">
        <w:t>he plaintiff</w:t>
      </w:r>
      <w:r w:rsidR="001C143D" w:rsidRPr="00467317">
        <w:t xml:space="preserve"> in the sum of R25 million over the remaining extent of Portion 112 of the Farm Tweefontein.</w:t>
      </w:r>
      <w:r w:rsidR="007C52E7" w:rsidRPr="00467317">
        <w:t xml:space="preserve">  The terms of the consent </w:t>
      </w:r>
      <w:r w:rsidR="00A51532" w:rsidRPr="00467317">
        <w:t>were</w:t>
      </w:r>
      <w:r w:rsidR="007C52E7" w:rsidRPr="00467317">
        <w:t xml:space="preserve"> contained in a letter</w:t>
      </w:r>
      <w:r w:rsidR="00B5679F" w:rsidRPr="00467317">
        <w:t xml:space="preserve"> from t</w:t>
      </w:r>
      <w:r w:rsidR="000853D1" w:rsidRPr="00467317">
        <w:t>he plaintiff</w:t>
      </w:r>
      <w:r w:rsidR="007C52E7" w:rsidRPr="00467317">
        <w:t xml:space="preserve"> dated 22 February 2018 addressed to the members of Sable Hills and marked for the attention of Mr Venter.  The letter was signed by Neville van Vuuren, whose designation is rendered as “Wealth Banker, ABSA Wealth, Sandton”.  I quote the body of the letter below:</w:t>
      </w:r>
    </w:p>
    <w:p w14:paraId="28B63163" w14:textId="14118E39" w:rsidR="007C52E7" w:rsidRPr="00467317" w:rsidRDefault="007C52E7" w:rsidP="00CA50BC">
      <w:pPr>
        <w:pStyle w:val="Clause1Head"/>
        <w:spacing w:after="120" w:line="360" w:lineRule="auto"/>
        <w:ind w:left="1985" w:right="851"/>
        <w:jc w:val="both"/>
        <w:rPr>
          <w:i/>
          <w:iCs/>
          <w:sz w:val="22"/>
          <w:szCs w:val="26"/>
        </w:rPr>
      </w:pPr>
      <w:r w:rsidRPr="00467317">
        <w:rPr>
          <w:i/>
          <w:iCs/>
          <w:sz w:val="22"/>
          <w:szCs w:val="26"/>
        </w:rPr>
        <w:t>“</w:t>
      </w:r>
      <w:r w:rsidRPr="00467317">
        <w:rPr>
          <w:b/>
          <w:bCs/>
          <w:i/>
          <w:iCs/>
          <w:sz w:val="22"/>
          <w:szCs w:val="26"/>
        </w:rPr>
        <w:t>Release of security: Erven 292 and 293 Sable Hills Waterfront Estate Township mortgage bond B192017/2017</w:t>
      </w:r>
    </w:p>
    <w:p w14:paraId="0089CA4C" w14:textId="068FD895" w:rsidR="007C52E7" w:rsidRPr="00467317" w:rsidRDefault="007C2F3A" w:rsidP="00CA50BC">
      <w:pPr>
        <w:pStyle w:val="Clause1Head"/>
        <w:spacing w:after="120" w:line="360" w:lineRule="auto"/>
        <w:ind w:left="1985" w:right="851"/>
        <w:jc w:val="both"/>
        <w:rPr>
          <w:i/>
          <w:iCs/>
          <w:sz w:val="22"/>
          <w:szCs w:val="26"/>
        </w:rPr>
      </w:pPr>
      <w:r w:rsidRPr="00467317">
        <w:rPr>
          <w:i/>
          <w:iCs/>
          <w:sz w:val="22"/>
          <w:szCs w:val="26"/>
        </w:rPr>
        <w:t xml:space="preserve">We hereby confirm that </w:t>
      </w:r>
      <w:r w:rsidRPr="00467317">
        <w:rPr>
          <w:i/>
          <w:iCs/>
          <w:sz w:val="22"/>
          <w:szCs w:val="26"/>
          <w:u w:val="single"/>
        </w:rPr>
        <w:t>we have received credit approval to release erven 292 and 293 Sable Hills Waterfront Estate Township and replace this with registering a first continuous covering mortgage bond for R25 million ifo Absa Wealth over the</w:t>
      </w:r>
      <w:r w:rsidR="00CA50BC" w:rsidRPr="00467317">
        <w:rPr>
          <w:i/>
          <w:iCs/>
          <w:sz w:val="22"/>
          <w:szCs w:val="26"/>
          <w:u w:val="single"/>
        </w:rPr>
        <w:t> </w:t>
      </w:r>
      <w:r w:rsidRPr="00467317">
        <w:rPr>
          <w:i/>
          <w:iCs/>
          <w:sz w:val="22"/>
          <w:szCs w:val="26"/>
          <w:u w:val="single"/>
        </w:rPr>
        <w:t>remaining Extent of Portion 112 of the Farm Tweefontein 413 JR.</w:t>
      </w:r>
    </w:p>
    <w:p w14:paraId="5F8DAEE5" w14:textId="2A2516FA" w:rsidR="007C2F3A" w:rsidRPr="00467317" w:rsidRDefault="007C2F3A" w:rsidP="00CA50BC">
      <w:pPr>
        <w:pStyle w:val="Clause1Head"/>
        <w:spacing w:after="120" w:line="360" w:lineRule="auto"/>
        <w:ind w:left="1985" w:right="851"/>
        <w:jc w:val="both"/>
        <w:rPr>
          <w:i/>
          <w:iCs/>
          <w:sz w:val="22"/>
          <w:szCs w:val="26"/>
        </w:rPr>
      </w:pPr>
      <w:r w:rsidRPr="00467317">
        <w:rPr>
          <w:i/>
          <w:iCs/>
          <w:sz w:val="22"/>
          <w:szCs w:val="26"/>
        </w:rPr>
        <w:t>The above release of security will only take place once all our securities have been perfected in accordance with our credit approval as well as all our internal terms and conditions associated with this transaction.</w:t>
      </w:r>
    </w:p>
    <w:p w14:paraId="6BEF3196" w14:textId="7AE7BBEA" w:rsidR="007C2F3A" w:rsidRPr="00467317" w:rsidRDefault="007C2F3A" w:rsidP="007C52E7">
      <w:pPr>
        <w:pStyle w:val="Clause1Head"/>
        <w:spacing w:after="360" w:line="360" w:lineRule="auto"/>
        <w:ind w:left="1985" w:right="851"/>
        <w:jc w:val="both"/>
      </w:pPr>
      <w:r w:rsidRPr="00467317">
        <w:rPr>
          <w:i/>
          <w:iCs/>
          <w:sz w:val="22"/>
          <w:szCs w:val="26"/>
        </w:rPr>
        <w:t>Please do not hesitate to contact me if you have any questions regarding this letter.”</w:t>
      </w:r>
      <w:r w:rsidRPr="00467317">
        <w:rPr>
          <w:sz w:val="22"/>
          <w:szCs w:val="26"/>
        </w:rPr>
        <w:t xml:space="preserve"> </w:t>
      </w:r>
      <w:r w:rsidRPr="00467317">
        <w:rPr>
          <w:rStyle w:val="FootnoteReference"/>
          <w:sz w:val="22"/>
          <w:szCs w:val="26"/>
        </w:rPr>
        <w:footnoteReference w:id="26"/>
      </w:r>
      <w:r w:rsidR="006C1CCC" w:rsidRPr="00467317">
        <w:rPr>
          <w:sz w:val="22"/>
          <w:szCs w:val="26"/>
        </w:rPr>
        <w:t xml:space="preserve"> [emphasis added]</w:t>
      </w:r>
    </w:p>
    <w:p w14:paraId="3774EADD" w14:textId="71EB0E42" w:rsidR="00A260BC" w:rsidRPr="00467317" w:rsidRDefault="00A260BC" w:rsidP="00A260BC">
      <w:pPr>
        <w:pStyle w:val="Clause1Head"/>
        <w:spacing w:after="360" w:line="480" w:lineRule="auto"/>
        <w:ind w:left="1418"/>
        <w:jc w:val="both"/>
      </w:pPr>
      <w:r w:rsidRPr="00467317">
        <w:t>I will refer to this as “the substitution letter”.</w:t>
      </w:r>
    </w:p>
    <w:p w14:paraId="512C6DB0" w14:textId="164E73B3" w:rsidR="007C52E7" w:rsidRPr="00467317" w:rsidRDefault="0070421C" w:rsidP="0070421C">
      <w:pPr>
        <w:pStyle w:val="Clause1Head"/>
        <w:tabs>
          <w:tab w:val="left" w:pos="1418"/>
        </w:tabs>
        <w:spacing w:after="360" w:line="480" w:lineRule="auto"/>
        <w:ind w:left="1418" w:hanging="738"/>
        <w:jc w:val="both"/>
      </w:pPr>
      <w:r w:rsidRPr="00467317">
        <w:rPr>
          <w:color w:val="000000"/>
          <w:sz w:val="20"/>
          <w:szCs w:val="20"/>
        </w:rPr>
        <w:lastRenderedPageBreak/>
        <w:t>[22.10]</w:t>
      </w:r>
      <w:r w:rsidRPr="00467317">
        <w:rPr>
          <w:color w:val="000000"/>
          <w:sz w:val="20"/>
          <w:szCs w:val="20"/>
        </w:rPr>
        <w:tab/>
      </w:r>
      <w:r w:rsidR="006C3C89" w:rsidRPr="00467317">
        <w:t>On 15 March 2018 a written instruction was given by t</w:t>
      </w:r>
      <w:r w:rsidR="000853D1" w:rsidRPr="00467317">
        <w:t>he plaintiff</w:t>
      </w:r>
      <w:r w:rsidR="006C3C89" w:rsidRPr="00467317">
        <w:t xml:space="preserve"> to its attorneys </w:t>
      </w:r>
      <w:r w:rsidR="00696CE1" w:rsidRPr="00467317">
        <w:t xml:space="preserve">Boshoff Inc </w:t>
      </w:r>
      <w:r w:rsidR="006C3C89" w:rsidRPr="00467317">
        <w:t>to attend to registration of a bond on the standard conditions for the amount of R25 million over the Farm Twee</w:t>
      </w:r>
      <w:r w:rsidR="006C3C89" w:rsidRPr="00467317">
        <w:softHyphen/>
        <w:t>fontein 413.</w:t>
      </w:r>
    </w:p>
    <w:p w14:paraId="0623C339" w14:textId="70D0D37E" w:rsidR="006C3C89"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[22.11]</w:t>
      </w:r>
      <w:r w:rsidRPr="00467317">
        <w:rPr>
          <w:color w:val="000000"/>
          <w:sz w:val="20"/>
          <w:szCs w:val="20"/>
        </w:rPr>
        <w:tab/>
      </w:r>
      <w:r w:rsidR="006C3C89" w:rsidRPr="00467317">
        <w:t xml:space="preserve">On 15 March 2018 attorneys Carol Coetzee &amp; Associates Inc. wrote to Boshoff Attorneys with the heading </w:t>
      </w:r>
      <w:r w:rsidR="006C3C89" w:rsidRPr="00467317">
        <w:rPr>
          <w:i/>
          <w:iCs/>
        </w:rPr>
        <w:t>“</w:t>
      </w:r>
      <w:r w:rsidR="006C3C89" w:rsidRPr="00467317">
        <w:rPr>
          <w:i/>
          <w:iCs/>
          <w:smallCaps/>
        </w:rPr>
        <w:t>O</w:t>
      </w:r>
      <w:r w:rsidR="006C3C89" w:rsidRPr="00467317">
        <w:rPr>
          <w:i/>
          <w:iCs/>
          <w:smallCaps/>
          <w:sz w:val="26"/>
          <w:szCs w:val="30"/>
        </w:rPr>
        <w:t xml:space="preserve">ur bond cancellation: </w:t>
      </w:r>
      <w:r w:rsidR="006C3C89" w:rsidRPr="00467317">
        <w:rPr>
          <w:i/>
          <w:iCs/>
          <w:smallCaps/>
        </w:rPr>
        <w:t>S</w:t>
      </w:r>
      <w:r w:rsidR="006C3C89" w:rsidRPr="00467317">
        <w:rPr>
          <w:i/>
          <w:iCs/>
          <w:smallCaps/>
          <w:sz w:val="26"/>
          <w:szCs w:val="30"/>
        </w:rPr>
        <w:t xml:space="preserve">able </w:t>
      </w:r>
      <w:r w:rsidR="006C3C89" w:rsidRPr="00467317">
        <w:rPr>
          <w:i/>
          <w:iCs/>
          <w:smallCaps/>
        </w:rPr>
        <w:t>H</w:t>
      </w:r>
      <w:r w:rsidR="006C3C89" w:rsidRPr="00467317">
        <w:rPr>
          <w:i/>
          <w:iCs/>
          <w:smallCaps/>
          <w:sz w:val="26"/>
          <w:szCs w:val="30"/>
        </w:rPr>
        <w:t xml:space="preserve">ills </w:t>
      </w:r>
      <w:r w:rsidR="006C3C89" w:rsidRPr="00467317">
        <w:rPr>
          <w:i/>
          <w:iCs/>
          <w:smallCaps/>
        </w:rPr>
        <w:t>W</w:t>
      </w:r>
      <w:r w:rsidR="006C3C89" w:rsidRPr="00467317">
        <w:rPr>
          <w:i/>
          <w:iCs/>
          <w:smallCaps/>
          <w:sz w:val="26"/>
          <w:szCs w:val="30"/>
        </w:rPr>
        <w:t xml:space="preserve">aterfront </w:t>
      </w:r>
      <w:r w:rsidR="006C3C89" w:rsidRPr="00467317">
        <w:rPr>
          <w:i/>
          <w:iCs/>
          <w:smallCaps/>
        </w:rPr>
        <w:t>E</w:t>
      </w:r>
      <w:r w:rsidR="006C3C89" w:rsidRPr="00467317">
        <w:rPr>
          <w:i/>
          <w:iCs/>
          <w:smallCaps/>
          <w:sz w:val="26"/>
          <w:szCs w:val="30"/>
        </w:rPr>
        <w:t xml:space="preserve">states </w:t>
      </w:r>
      <w:r w:rsidR="006C3C89" w:rsidRPr="00467317">
        <w:rPr>
          <w:i/>
          <w:iCs/>
          <w:smallCaps/>
        </w:rPr>
        <w:t>CC / A</w:t>
      </w:r>
      <w:r w:rsidR="006C3C89" w:rsidRPr="00467317">
        <w:rPr>
          <w:i/>
          <w:iCs/>
          <w:smallCaps/>
          <w:sz w:val="26"/>
          <w:szCs w:val="30"/>
        </w:rPr>
        <w:t xml:space="preserve">bsa </w:t>
      </w:r>
      <w:r w:rsidR="006C3C89" w:rsidRPr="00467317">
        <w:rPr>
          <w:i/>
          <w:iCs/>
          <w:smallCaps/>
        </w:rPr>
        <w:t>P</w:t>
      </w:r>
      <w:r w:rsidR="006C3C89" w:rsidRPr="00467317">
        <w:rPr>
          <w:i/>
          <w:iCs/>
          <w:smallCaps/>
          <w:sz w:val="26"/>
          <w:szCs w:val="30"/>
        </w:rPr>
        <w:t>roperty</w:t>
      </w:r>
      <w:r w:rsidR="006C3C89" w:rsidRPr="00467317">
        <w:rPr>
          <w:i/>
          <w:iCs/>
        </w:rPr>
        <w:t xml:space="preserve">: </w:t>
      </w:r>
      <w:r w:rsidR="006C3C89" w:rsidRPr="00467317">
        <w:rPr>
          <w:i/>
          <w:iCs/>
          <w:smallCaps/>
        </w:rPr>
        <w:t>E</w:t>
      </w:r>
      <w:r w:rsidR="006C3C89" w:rsidRPr="00467317">
        <w:rPr>
          <w:i/>
          <w:iCs/>
          <w:smallCaps/>
          <w:sz w:val="26"/>
          <w:szCs w:val="30"/>
        </w:rPr>
        <w:t xml:space="preserve">rven </w:t>
      </w:r>
      <w:r w:rsidR="006C3C89" w:rsidRPr="00467317">
        <w:rPr>
          <w:i/>
          <w:iCs/>
          <w:smallCaps/>
        </w:rPr>
        <w:t>292 and 293 S</w:t>
      </w:r>
      <w:r w:rsidR="006C3C89" w:rsidRPr="00467317">
        <w:rPr>
          <w:i/>
          <w:iCs/>
          <w:smallCaps/>
          <w:sz w:val="26"/>
          <w:szCs w:val="30"/>
        </w:rPr>
        <w:t xml:space="preserve">able </w:t>
      </w:r>
      <w:r w:rsidR="006C3C89" w:rsidRPr="00467317">
        <w:rPr>
          <w:i/>
          <w:iCs/>
          <w:smallCaps/>
        </w:rPr>
        <w:t>H</w:t>
      </w:r>
      <w:r w:rsidR="006C3C89" w:rsidRPr="00467317">
        <w:rPr>
          <w:i/>
          <w:iCs/>
          <w:smallCaps/>
          <w:sz w:val="26"/>
          <w:szCs w:val="30"/>
        </w:rPr>
        <w:t>ills</w:t>
      </w:r>
      <w:r w:rsidR="006C3C89" w:rsidRPr="00467317">
        <w:rPr>
          <w:i/>
          <w:iCs/>
        </w:rPr>
        <w:t>”</w:t>
      </w:r>
      <w:r w:rsidR="006C3C89" w:rsidRPr="00467317">
        <w:t>.  The letter confirms the instructions</w:t>
      </w:r>
      <w:r w:rsidR="007E4B6D" w:rsidRPr="00467317">
        <w:t xml:space="preserve"> received</w:t>
      </w:r>
      <w:r w:rsidR="006C3C89" w:rsidRPr="00467317">
        <w:t xml:space="preserve"> from </w:t>
      </w:r>
      <w:r w:rsidR="007E4B6D" w:rsidRPr="00467317">
        <w:t>t</w:t>
      </w:r>
      <w:r w:rsidR="000853D1" w:rsidRPr="00467317">
        <w:t>he plaintiff</w:t>
      </w:r>
      <w:r w:rsidR="006C3C89" w:rsidRPr="00467317">
        <w:t xml:space="preserve"> to attend to the cancellation of the bonds and goes on to deal with necessary documents and various matters pertaining to the cancellation</w:t>
      </w:r>
      <w:r w:rsidR="007E4B6D" w:rsidRPr="00467317">
        <w:t>,</w:t>
      </w:r>
      <w:r w:rsidR="006C3C89" w:rsidRPr="00467317">
        <w:t xml:space="preserve"> which are not relevant.</w:t>
      </w:r>
    </w:p>
    <w:p w14:paraId="5AD9E672" w14:textId="7AE6517B" w:rsidR="006C3C89" w:rsidRPr="00467317" w:rsidRDefault="0070421C" w:rsidP="0070421C">
      <w:pPr>
        <w:pStyle w:val="Clause1Head"/>
        <w:tabs>
          <w:tab w:val="left" w:pos="1418"/>
        </w:tabs>
        <w:spacing w:after="240" w:line="480" w:lineRule="auto"/>
        <w:ind w:left="1417" w:hanging="737"/>
        <w:jc w:val="both"/>
      </w:pPr>
      <w:r w:rsidRPr="00467317">
        <w:rPr>
          <w:color w:val="000000"/>
          <w:sz w:val="20"/>
          <w:szCs w:val="20"/>
        </w:rPr>
        <w:t>[22.12]</w:t>
      </w:r>
      <w:r w:rsidRPr="00467317">
        <w:rPr>
          <w:color w:val="000000"/>
          <w:sz w:val="20"/>
          <w:szCs w:val="20"/>
        </w:rPr>
        <w:tab/>
      </w:r>
      <w:r w:rsidR="006C3C89" w:rsidRPr="00467317">
        <w:t>The next document annexed to the opposing affidavit is an email</w:t>
      </w:r>
      <w:r w:rsidR="004B0368" w:rsidRPr="00467317">
        <w:t xml:space="preserve"> from</w:t>
      </w:r>
      <w:r w:rsidR="001B45C8" w:rsidRPr="00467317">
        <w:t xml:space="preserve"> ABSA</w:t>
      </w:r>
      <w:r w:rsidR="006C3C89" w:rsidRPr="00467317">
        <w:t xml:space="preserve"> dated 31 July 2018 to </w:t>
      </w:r>
      <w:r w:rsidR="004B0368" w:rsidRPr="00467317">
        <w:t xml:space="preserve">Boshoff </w:t>
      </w:r>
      <w:r w:rsidR="001B45C8" w:rsidRPr="00467317">
        <w:t>Inc</w:t>
      </w:r>
      <w:r w:rsidR="00F95BFF" w:rsidRPr="00467317">
        <w:t xml:space="preserve"> </w:t>
      </w:r>
      <w:r w:rsidR="005D02DF" w:rsidRPr="00467317">
        <w:t>(</w:t>
      </w:r>
      <w:r w:rsidR="00F95BFF" w:rsidRPr="00467317">
        <w:t>and</w:t>
      </w:r>
      <w:r w:rsidR="006C3C89" w:rsidRPr="00467317">
        <w:t xml:space="preserve"> copied to attorneys Carol Coetzee</w:t>
      </w:r>
      <w:r w:rsidR="005D02DF" w:rsidRPr="00467317">
        <w:t>)</w:t>
      </w:r>
      <w:r w:rsidR="006C3C89" w:rsidRPr="00467317">
        <w:t xml:space="preserve"> the body of which reads as follows:</w:t>
      </w:r>
    </w:p>
    <w:p w14:paraId="5BDB9E5F" w14:textId="3F130FEC" w:rsidR="006C3C89" w:rsidRPr="00467317" w:rsidRDefault="006C3C89" w:rsidP="00CA50BC">
      <w:pPr>
        <w:pStyle w:val="Clause1Head"/>
        <w:spacing w:after="120" w:line="360" w:lineRule="auto"/>
        <w:ind w:left="1985" w:right="851"/>
        <w:jc w:val="both"/>
        <w:rPr>
          <w:i/>
          <w:iCs/>
          <w:sz w:val="22"/>
          <w:szCs w:val="26"/>
        </w:rPr>
      </w:pPr>
      <w:r w:rsidRPr="00467317">
        <w:rPr>
          <w:i/>
          <w:iCs/>
          <w:sz w:val="22"/>
          <w:szCs w:val="26"/>
        </w:rPr>
        <w:t>“</w:t>
      </w:r>
      <w:r w:rsidR="00CA50BC" w:rsidRPr="00467317">
        <w:rPr>
          <w:i/>
          <w:iCs/>
          <w:sz w:val="22"/>
          <w:szCs w:val="26"/>
        </w:rPr>
        <w:t>Dear Hester</w:t>
      </w:r>
    </w:p>
    <w:p w14:paraId="5956ABFF" w14:textId="2C404209" w:rsidR="00CA50BC" w:rsidRPr="00467317" w:rsidRDefault="00CA50BC" w:rsidP="006C3C89">
      <w:pPr>
        <w:pStyle w:val="Clause1Head"/>
        <w:spacing w:after="360" w:line="360" w:lineRule="auto"/>
        <w:ind w:left="1985" w:right="851"/>
        <w:jc w:val="both"/>
        <w:rPr>
          <w:sz w:val="22"/>
          <w:szCs w:val="26"/>
        </w:rPr>
      </w:pPr>
      <w:r w:rsidRPr="00467317">
        <w:rPr>
          <w:i/>
          <w:iCs/>
          <w:sz w:val="22"/>
          <w:szCs w:val="26"/>
        </w:rPr>
        <w:t xml:space="preserve">I have spoken to Dries and </w:t>
      </w:r>
      <w:r w:rsidRPr="00467317">
        <w:rPr>
          <w:i/>
          <w:iCs/>
          <w:sz w:val="22"/>
          <w:szCs w:val="26"/>
          <w:u w:val="single"/>
        </w:rPr>
        <w:t>we agreed that we will cancel our bonds at a later stage</w:t>
      </w:r>
      <w:r w:rsidRPr="00467317">
        <w:rPr>
          <w:i/>
          <w:iCs/>
          <w:sz w:val="22"/>
          <w:szCs w:val="26"/>
        </w:rPr>
        <w:t xml:space="preserve"> but we need to lodge the Farm bond documentation immediately.  Please proceed.”</w:t>
      </w:r>
      <w:r w:rsidR="00F95BFF" w:rsidRPr="00467317">
        <w:rPr>
          <w:i/>
          <w:iCs/>
          <w:sz w:val="22"/>
          <w:szCs w:val="26"/>
        </w:rPr>
        <w:t xml:space="preserve"> </w:t>
      </w:r>
      <w:r w:rsidR="00F95BFF" w:rsidRPr="00467317">
        <w:rPr>
          <w:sz w:val="22"/>
          <w:szCs w:val="26"/>
        </w:rPr>
        <w:t>[emphasis added]</w:t>
      </w:r>
    </w:p>
    <w:p w14:paraId="1688266E" w14:textId="75A9427B" w:rsidR="006C3C89" w:rsidRPr="00467317" w:rsidRDefault="00CA50BC" w:rsidP="00CA50BC">
      <w:pPr>
        <w:pStyle w:val="Clause1Head"/>
        <w:spacing w:after="360" w:line="480" w:lineRule="auto"/>
        <w:ind w:left="1418"/>
        <w:jc w:val="both"/>
      </w:pPr>
      <w:r w:rsidRPr="00467317">
        <w:t>The email is in the name of Mr Neville van Vuuren</w:t>
      </w:r>
      <w:r w:rsidR="008D1612" w:rsidRPr="00467317">
        <w:t>, Wealth Banker</w:t>
      </w:r>
      <w:r w:rsidR="00BB10B4" w:rsidRPr="00467317">
        <w:t xml:space="preserve"> and</w:t>
      </w:r>
      <w:r w:rsidRPr="00467317">
        <w:t xml:space="preserve"> </w:t>
      </w:r>
      <w:r w:rsidR="002C0FCE" w:rsidRPr="00467317">
        <w:t>i</w:t>
      </w:r>
      <w:r w:rsidRPr="00467317">
        <w:t xml:space="preserve">t </w:t>
      </w:r>
      <w:r w:rsidR="00F21133" w:rsidRPr="00467317">
        <w:t>appears</w:t>
      </w:r>
      <w:r w:rsidRPr="00467317">
        <w:t xml:space="preserve"> that the reference to </w:t>
      </w:r>
      <w:r w:rsidRPr="00467317">
        <w:rPr>
          <w:i/>
          <w:iCs/>
        </w:rPr>
        <w:t>“Dries”</w:t>
      </w:r>
      <w:r w:rsidRPr="00467317">
        <w:t xml:space="preserve"> is to Mr Andries Venter. </w:t>
      </w:r>
      <w:r w:rsidRPr="00467317">
        <w:rPr>
          <w:rStyle w:val="FootnoteReference"/>
        </w:rPr>
        <w:footnoteReference w:id="27"/>
      </w:r>
    </w:p>
    <w:p w14:paraId="61D30D5F" w14:textId="34F01F1C" w:rsidR="00CA50BC" w:rsidRPr="00467317" w:rsidRDefault="0070421C" w:rsidP="0070421C">
      <w:pPr>
        <w:pStyle w:val="Clause1Head"/>
        <w:tabs>
          <w:tab w:val="left" w:pos="1418"/>
        </w:tabs>
        <w:spacing w:after="240" w:line="480" w:lineRule="auto"/>
        <w:ind w:left="1417" w:hanging="737"/>
        <w:jc w:val="both"/>
      </w:pPr>
      <w:r w:rsidRPr="00467317">
        <w:rPr>
          <w:color w:val="000000"/>
          <w:sz w:val="20"/>
          <w:szCs w:val="20"/>
        </w:rPr>
        <w:lastRenderedPageBreak/>
        <w:t>[22.13]</w:t>
      </w:r>
      <w:r w:rsidRPr="00467317">
        <w:rPr>
          <w:color w:val="000000"/>
          <w:sz w:val="20"/>
          <w:szCs w:val="20"/>
        </w:rPr>
        <w:tab/>
      </w:r>
      <w:r w:rsidR="00CA50BC" w:rsidRPr="00467317">
        <w:t xml:space="preserve">The </w:t>
      </w:r>
      <w:r w:rsidR="00CA7259" w:rsidRPr="00467317">
        <w:t>p</w:t>
      </w:r>
      <w:r w:rsidR="00CA50BC" w:rsidRPr="00467317">
        <w:t>lea explicitly references t</w:t>
      </w:r>
      <w:r w:rsidR="000853D1" w:rsidRPr="00467317">
        <w:t>he plaintiff</w:t>
      </w:r>
      <w:r w:rsidR="00CA50BC" w:rsidRPr="00467317">
        <w:t>’s consent to the release of Erven 292 and 293 and replacement with the bond over the Twee</w:t>
      </w:r>
      <w:r w:rsidR="00CA50BC" w:rsidRPr="00467317">
        <w:softHyphen/>
        <w:t xml:space="preserve">fontein property.  </w:t>
      </w:r>
      <w:r w:rsidR="008313A6" w:rsidRPr="00467317">
        <w:t>It</w:t>
      </w:r>
      <w:r w:rsidR="00CA50BC" w:rsidRPr="00467317">
        <w:t xml:space="preserve"> goes on to allege that the replacement bond over the Tweefontein property was registered on 24 August 2018, but that despite numerous requests t</w:t>
      </w:r>
      <w:r w:rsidR="000853D1" w:rsidRPr="00467317">
        <w:t>he plaintiff</w:t>
      </w:r>
      <w:r w:rsidR="00CA50BC" w:rsidRPr="00467317">
        <w:t xml:space="preserve"> failed to procure the cancellation of the bond over Erven 292 and 293.  It is </w:t>
      </w:r>
      <w:r w:rsidR="006E6067" w:rsidRPr="00467317">
        <w:t>said</w:t>
      </w:r>
      <w:r w:rsidR="00CA50BC" w:rsidRPr="00467317">
        <w:t xml:space="preserve"> that on 1 April 2020 t</w:t>
      </w:r>
      <w:r w:rsidR="000853D1" w:rsidRPr="00467317">
        <w:t>he plaintiff</w:t>
      </w:r>
      <w:r w:rsidR="00CA50BC" w:rsidRPr="00467317">
        <w:t xml:space="preserve"> advised that it did not consent to the cancellation.  The details </w:t>
      </w:r>
      <w:r w:rsidR="00A14FDE" w:rsidRPr="00467317">
        <w:t xml:space="preserve">of this </w:t>
      </w:r>
      <w:r w:rsidR="00CA50BC" w:rsidRPr="00467317">
        <w:t>appear from an email bearing this date from t</w:t>
      </w:r>
      <w:r w:rsidR="000853D1" w:rsidRPr="00467317">
        <w:t>he plaintiff</w:t>
      </w:r>
      <w:r w:rsidR="00CA50BC" w:rsidRPr="00467317">
        <w:t xml:space="preserve">’s attorneys of record in this </w:t>
      </w:r>
      <w:r w:rsidR="006E6067" w:rsidRPr="00467317">
        <w:t>litiga</w:t>
      </w:r>
      <w:r w:rsidR="00A00FA9" w:rsidRPr="00467317">
        <w:t>tion</w:t>
      </w:r>
      <w:r w:rsidR="00CA50BC" w:rsidRPr="00467317">
        <w:t xml:space="preserve"> to Carol Coetzee Attorneys.  The material portion says this:</w:t>
      </w:r>
    </w:p>
    <w:p w14:paraId="59117759" w14:textId="27DAFEBA" w:rsidR="00CA50BC" w:rsidRPr="00467317" w:rsidRDefault="00D161CE" w:rsidP="00D161CE">
      <w:pPr>
        <w:pStyle w:val="Clause1Head"/>
        <w:spacing w:after="120" w:line="360" w:lineRule="auto"/>
        <w:ind w:left="1985" w:right="851"/>
        <w:jc w:val="both"/>
        <w:rPr>
          <w:i/>
          <w:iCs/>
          <w:sz w:val="22"/>
          <w:szCs w:val="26"/>
        </w:rPr>
      </w:pPr>
      <w:r w:rsidRPr="00467317">
        <w:rPr>
          <w:i/>
          <w:iCs/>
          <w:sz w:val="22"/>
          <w:szCs w:val="26"/>
        </w:rPr>
        <w:t>“Our client does not consent to the cancellation of the mortgage bonds registered in its favour over Erven 292 and 293, Sable Hills Waterfront Estate for as long as there is any indebtedness owing to our client by Sable Hills Waterfront Estate CC.</w:t>
      </w:r>
    </w:p>
    <w:p w14:paraId="176ADFDE" w14:textId="343A2732" w:rsidR="00D161CE" w:rsidRPr="00467317" w:rsidRDefault="00D161CE" w:rsidP="00D161CE">
      <w:pPr>
        <w:pStyle w:val="Clause1Head"/>
        <w:spacing w:after="120" w:line="360" w:lineRule="auto"/>
        <w:ind w:left="1985" w:right="851"/>
        <w:jc w:val="both"/>
        <w:rPr>
          <w:i/>
          <w:iCs/>
          <w:sz w:val="22"/>
          <w:szCs w:val="26"/>
        </w:rPr>
      </w:pPr>
      <w:r w:rsidRPr="00467317">
        <w:rPr>
          <w:i/>
          <w:iCs/>
          <w:sz w:val="22"/>
          <w:szCs w:val="26"/>
        </w:rPr>
        <w:t>Any previous consents to cancellation were revoked, alternatively is hereby repealed.</w:t>
      </w:r>
    </w:p>
    <w:p w14:paraId="254BF04D" w14:textId="2A8772CF" w:rsidR="00D161CE" w:rsidRPr="00467317" w:rsidRDefault="00D161CE" w:rsidP="00D161CE">
      <w:pPr>
        <w:pStyle w:val="Clause1Head"/>
        <w:spacing w:after="360" w:line="360" w:lineRule="auto"/>
        <w:ind w:left="1985" w:right="851"/>
        <w:jc w:val="both"/>
        <w:rPr>
          <w:i/>
          <w:iCs/>
          <w:sz w:val="22"/>
          <w:szCs w:val="26"/>
        </w:rPr>
      </w:pPr>
      <w:r w:rsidRPr="00467317">
        <w:rPr>
          <w:i/>
          <w:iCs/>
          <w:sz w:val="22"/>
          <w:szCs w:val="26"/>
        </w:rPr>
        <w:t>Kindly urgently arrange for delivery of the original title deeds and mortgage bonds to our offices.  …”</w:t>
      </w:r>
    </w:p>
    <w:p w14:paraId="01CB1039" w14:textId="3B368098" w:rsidR="00CA50BC"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[22.14]</w:t>
      </w:r>
      <w:r w:rsidRPr="00467317">
        <w:rPr>
          <w:color w:val="000000"/>
          <w:sz w:val="20"/>
          <w:szCs w:val="20"/>
        </w:rPr>
        <w:tab/>
      </w:r>
      <w:r w:rsidR="00D161CE" w:rsidRPr="00467317">
        <w:t>The</w:t>
      </w:r>
      <w:r w:rsidR="00A1645F" w:rsidRPr="00467317">
        <w:t xml:space="preserve"> plea</w:t>
      </w:r>
      <w:r w:rsidR="00D161CE" w:rsidRPr="00467317">
        <w:t xml:space="preserve"> goes on to set out a rambling narrative of events concerning the development including references to the deleterious effect of </w:t>
      </w:r>
      <w:r w:rsidR="008A0922" w:rsidRPr="00467317">
        <w:t>Covid-19</w:t>
      </w:r>
      <w:r w:rsidR="00D161CE" w:rsidRPr="00467317">
        <w:t xml:space="preserve"> which had arrested the progress of the development and prevented the repayment of the loans.  T</w:t>
      </w:r>
      <w:r w:rsidR="000853D1" w:rsidRPr="00467317">
        <w:t>he defendant</w:t>
      </w:r>
      <w:r w:rsidR="00D161CE" w:rsidRPr="00467317">
        <w:t>s plead that the repayment in full will be made within a period of 12 months after the date of the</w:t>
      </w:r>
      <w:r w:rsidR="00A1645F" w:rsidRPr="00467317">
        <w:t xml:space="preserve"> plea</w:t>
      </w:r>
      <w:r w:rsidR="00D161CE" w:rsidRPr="00467317">
        <w:t xml:space="preserve"> and </w:t>
      </w:r>
      <w:r w:rsidR="00237D13" w:rsidRPr="00467317">
        <w:t>maintains</w:t>
      </w:r>
      <w:r w:rsidR="00D161CE" w:rsidRPr="00467317">
        <w:t xml:space="preserve"> that t</w:t>
      </w:r>
      <w:r w:rsidR="000853D1" w:rsidRPr="00467317">
        <w:t>he plaintiff</w:t>
      </w:r>
      <w:r w:rsidR="00D161CE" w:rsidRPr="00467317">
        <w:t xml:space="preserve"> has sufficient security in immovable property, </w:t>
      </w:r>
      <w:r w:rsidR="00D161CE" w:rsidRPr="00467317">
        <w:lastRenderedPageBreak/>
        <w:t xml:space="preserve">being the bond for R32 300 000,00 over Erven 292 and 293 and for R25 000 000,00 over </w:t>
      </w:r>
      <w:r w:rsidR="00530807" w:rsidRPr="00467317">
        <w:t>the Tweefontein property.</w:t>
      </w:r>
      <w:r w:rsidR="005539E4">
        <w:t> </w:t>
      </w:r>
      <w:r w:rsidR="000133E4" w:rsidRPr="00467317">
        <w:rPr>
          <w:rStyle w:val="FootnoteReference"/>
        </w:rPr>
        <w:footnoteReference w:id="28"/>
      </w:r>
    </w:p>
    <w:p w14:paraId="6200F57A" w14:textId="66969DF4" w:rsidR="00073456" w:rsidRPr="00467317" w:rsidRDefault="0070421C" w:rsidP="0070421C">
      <w:pPr>
        <w:pStyle w:val="Clause1Head"/>
        <w:tabs>
          <w:tab w:val="left" w:pos="680"/>
        </w:tabs>
        <w:spacing w:after="240" w:line="480" w:lineRule="auto"/>
        <w:jc w:val="both"/>
      </w:pPr>
      <w:r w:rsidRPr="00467317">
        <w:rPr>
          <w:sz w:val="22"/>
          <w:szCs w:val="22"/>
        </w:rPr>
        <w:t>[23]</w:t>
      </w:r>
      <w:r w:rsidRPr="00467317">
        <w:rPr>
          <w:sz w:val="22"/>
          <w:szCs w:val="22"/>
        </w:rPr>
        <w:tab/>
      </w:r>
      <w:r w:rsidR="00530807" w:rsidRPr="00467317">
        <w:t>T</w:t>
      </w:r>
      <w:r w:rsidR="000853D1" w:rsidRPr="00467317">
        <w:t>he plaintiff</w:t>
      </w:r>
      <w:r w:rsidR="00530807" w:rsidRPr="00467317">
        <w:t>’s affidavit in support of summary judgment was signed by a manageress in the business banking and wealth recoveries division of t</w:t>
      </w:r>
      <w:r w:rsidR="000853D1" w:rsidRPr="00467317">
        <w:t>he plaintiff</w:t>
      </w:r>
      <w:r w:rsidR="00530807" w:rsidRPr="00467317">
        <w:t xml:space="preserve"> who claims to have personal knowledge by virtue of her position as manageress, having familiarised herself with the file, documents and records relating to the indebtedness and to security.  This is followed by a paragraph in these terms:</w:t>
      </w:r>
    </w:p>
    <w:p w14:paraId="1B4B37C3" w14:textId="085E5E33" w:rsidR="00530807" w:rsidRPr="00467317" w:rsidRDefault="00530807" w:rsidP="00530807">
      <w:pPr>
        <w:pStyle w:val="Clause1Head"/>
        <w:spacing w:after="480" w:line="360" w:lineRule="auto"/>
        <w:ind w:left="1985" w:right="851" w:hanging="567"/>
        <w:jc w:val="both"/>
        <w:rPr>
          <w:i/>
          <w:iCs/>
          <w:sz w:val="22"/>
          <w:szCs w:val="26"/>
        </w:rPr>
      </w:pPr>
      <w:r w:rsidRPr="00467317">
        <w:rPr>
          <w:i/>
          <w:iCs/>
          <w:sz w:val="22"/>
          <w:szCs w:val="26"/>
        </w:rPr>
        <w:t>“4.</w:t>
      </w:r>
      <w:r w:rsidRPr="00467317">
        <w:rPr>
          <w:i/>
          <w:iCs/>
          <w:sz w:val="22"/>
          <w:szCs w:val="26"/>
        </w:rPr>
        <w:tab/>
        <w:t>To the extent necessary and in respect of that which I have not been personally involved within this matter, I submit that I have nonetheless familiarised myself with all facts and I can there</w:t>
      </w:r>
      <w:r w:rsidRPr="00467317">
        <w:rPr>
          <w:i/>
          <w:iCs/>
          <w:sz w:val="22"/>
          <w:szCs w:val="26"/>
        </w:rPr>
        <w:softHyphen/>
        <w:t>fore solemnly state that I am undoubtably the appropriate person to give evidence in these proceedings.”</w:t>
      </w:r>
    </w:p>
    <w:p w14:paraId="652E6241" w14:textId="002A01E0" w:rsidR="00530807" w:rsidRPr="00467317" w:rsidRDefault="0070421C" w:rsidP="0070421C">
      <w:pPr>
        <w:pStyle w:val="Clause1Head"/>
        <w:tabs>
          <w:tab w:val="left" w:pos="680"/>
        </w:tabs>
        <w:spacing w:after="360" w:line="480" w:lineRule="auto"/>
        <w:jc w:val="both"/>
      </w:pPr>
      <w:r w:rsidRPr="00467317">
        <w:rPr>
          <w:sz w:val="22"/>
          <w:szCs w:val="22"/>
        </w:rPr>
        <w:t>[24]</w:t>
      </w:r>
      <w:r w:rsidRPr="00467317">
        <w:rPr>
          <w:sz w:val="22"/>
          <w:szCs w:val="22"/>
        </w:rPr>
        <w:tab/>
      </w:r>
      <w:r w:rsidR="00530807" w:rsidRPr="00467317">
        <w:t xml:space="preserve">The unreported judgment in </w:t>
      </w:r>
      <w:r w:rsidR="00530807" w:rsidRPr="00467317">
        <w:rPr>
          <w:b/>
          <w:bCs/>
        </w:rPr>
        <w:t>Future Indefinite Investments</w:t>
      </w:r>
      <w:r w:rsidR="00530807" w:rsidRPr="00467317">
        <w:t xml:space="preserve"> that I have referred to above was justifiably critical of the affidavit of t</w:t>
      </w:r>
      <w:r w:rsidR="000853D1" w:rsidRPr="00467317">
        <w:t>he plaintiff</w:t>
      </w:r>
      <w:r w:rsidR="00530807" w:rsidRPr="00467317">
        <w:t xml:space="preserve">’s deponent in that matter.  This judgment was given in 2016 and appears prominently in </w:t>
      </w:r>
      <w:r w:rsidR="007523D9" w:rsidRPr="00467317">
        <w:rPr>
          <w:smallCaps/>
        </w:rPr>
        <w:t>Erasmus</w:t>
      </w:r>
      <w:r w:rsidR="007523D9" w:rsidRPr="00467317">
        <w:t>: Superior Court Practice which is one of the leading texts on the High Court Rules.  While the deponent to t</w:t>
      </w:r>
      <w:r w:rsidR="000853D1" w:rsidRPr="00467317">
        <w:t>he plaintiff</w:t>
      </w:r>
      <w:r w:rsidR="007523D9" w:rsidRPr="00467317">
        <w:t>’s affidavit may not be expected to study judgments or legal text</w:t>
      </w:r>
      <w:r w:rsidR="00DC1414" w:rsidRPr="00467317">
        <w:t>s</w:t>
      </w:r>
      <w:r w:rsidR="007523D9" w:rsidRPr="00467317">
        <w:t xml:space="preserve"> her affidavit would have been greatly improved </w:t>
      </w:r>
      <w:r w:rsidR="00933248" w:rsidRPr="00467317">
        <w:t>by receiving</w:t>
      </w:r>
      <w:r w:rsidR="007523D9" w:rsidRPr="00467317">
        <w:t xml:space="preserve"> guidance from t</w:t>
      </w:r>
      <w:r w:rsidR="000853D1" w:rsidRPr="00467317">
        <w:t>he plaintiff</w:t>
      </w:r>
      <w:r w:rsidR="007523D9" w:rsidRPr="00467317">
        <w:t>’s attorneys on a number of features, including these:</w:t>
      </w:r>
    </w:p>
    <w:p w14:paraId="6BC73F74" w14:textId="0BD4DCDF" w:rsidR="007523D9"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[24.1]</w:t>
      </w:r>
      <w:r w:rsidRPr="00467317">
        <w:rPr>
          <w:color w:val="000000"/>
          <w:sz w:val="20"/>
          <w:szCs w:val="20"/>
        </w:rPr>
        <w:tab/>
      </w:r>
      <w:r w:rsidR="007523D9" w:rsidRPr="00467317">
        <w:t xml:space="preserve">the introductory qualifying words, </w:t>
      </w:r>
      <w:r w:rsidR="007523D9" w:rsidRPr="00467317">
        <w:rPr>
          <w:i/>
          <w:iCs/>
        </w:rPr>
        <w:t>“[</w:t>
      </w:r>
      <w:r w:rsidR="00933248" w:rsidRPr="00467317">
        <w:rPr>
          <w:i/>
          <w:iCs/>
        </w:rPr>
        <w:t>t</w:t>
      </w:r>
      <w:r w:rsidR="007523D9" w:rsidRPr="00467317">
        <w:rPr>
          <w:i/>
          <w:iCs/>
        </w:rPr>
        <w:t>]o the extent necessary and in respect of that which I have not been personally involved …”</w:t>
      </w:r>
      <w:r w:rsidR="007523D9" w:rsidRPr="00467317">
        <w:t xml:space="preserve"> </w:t>
      </w:r>
      <w:r w:rsidR="00DC1414" w:rsidRPr="00467317">
        <w:t>are</w:t>
      </w:r>
      <w:r w:rsidR="007523D9" w:rsidRPr="00467317">
        <w:t xml:space="preserve"> prac</w:t>
      </w:r>
      <w:r w:rsidR="007523D9" w:rsidRPr="00467317">
        <w:softHyphen/>
        <w:t>tically meaningless.  It is clear from the affidavit that the deponent has no</w:t>
      </w:r>
      <w:r w:rsidR="00933248" w:rsidRPr="00467317">
        <w:t xml:space="preserve"> </w:t>
      </w:r>
      <w:r w:rsidR="00933248" w:rsidRPr="00467317">
        <w:lastRenderedPageBreak/>
        <w:t>personal</w:t>
      </w:r>
      <w:r w:rsidR="007523D9" w:rsidRPr="00467317">
        <w:t xml:space="preserve"> knowledge of the facts </w:t>
      </w:r>
      <w:r w:rsidR="007523D9" w:rsidRPr="00467317">
        <w:rPr>
          <w:u w:val="single"/>
        </w:rPr>
        <w:t>other than</w:t>
      </w:r>
      <w:r w:rsidR="007523D9" w:rsidRPr="00467317">
        <w:t xml:space="preserve"> as gleaned from the file </w:t>
      </w:r>
      <w:r w:rsidR="003B399B" w:rsidRPr="00467317">
        <w:t xml:space="preserve">of </w:t>
      </w:r>
      <w:r w:rsidR="007523D9" w:rsidRPr="00467317">
        <w:t xml:space="preserve">documents and records.  It is </w:t>
      </w:r>
      <w:r w:rsidR="003B399B" w:rsidRPr="00467317">
        <w:t xml:space="preserve">therefore </w:t>
      </w:r>
      <w:r w:rsidR="007523D9" w:rsidRPr="00467317">
        <w:t xml:space="preserve">wholly inaccurate to suggest any personal involvement in the </w:t>
      </w:r>
      <w:r w:rsidR="007523D9" w:rsidRPr="00467317">
        <w:rPr>
          <w:i/>
          <w:iCs/>
        </w:rPr>
        <w:t>“matter”</w:t>
      </w:r>
      <w:r w:rsidR="007523D9" w:rsidRPr="00467317">
        <w:t xml:space="preserve"> when the sole involvement has been through perusal of the file documents and records;</w:t>
      </w:r>
    </w:p>
    <w:p w14:paraId="373E79D5" w14:textId="35334B19" w:rsidR="007523D9"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[24.2]</w:t>
      </w:r>
      <w:r w:rsidRPr="00467317">
        <w:rPr>
          <w:color w:val="000000"/>
          <w:sz w:val="20"/>
          <w:szCs w:val="20"/>
        </w:rPr>
        <w:tab/>
      </w:r>
      <w:r w:rsidR="007523D9" w:rsidRPr="00467317">
        <w:t>the statement by the deponent that she is the appropriate person to give evidence is similarly inaccurate and in my view</w:t>
      </w:r>
      <w:r w:rsidR="00B50219" w:rsidRPr="00467317">
        <w:t xml:space="preserve">, </w:t>
      </w:r>
      <w:r w:rsidR="007523D9" w:rsidRPr="00467317">
        <w:t>misleading.  The appropriate person would have been Mr Neville van Vuuren who appears to have had the benefit of at least some individual engagements with Mr Venter.  Whether Mr van Vuuren was available to provide affidavit evidence is not disclosed;</w:t>
      </w:r>
    </w:p>
    <w:p w14:paraId="3D20F2D6" w14:textId="313E1188" w:rsidR="007523D9"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[24.3]</w:t>
      </w:r>
      <w:r w:rsidRPr="00467317">
        <w:rPr>
          <w:color w:val="000000"/>
          <w:sz w:val="20"/>
          <w:szCs w:val="20"/>
        </w:rPr>
        <w:tab/>
      </w:r>
      <w:r w:rsidR="007523D9" w:rsidRPr="00467317">
        <w:t xml:space="preserve">the sole reason that can be discerned for the selection of the deponent lies in the reference to her </w:t>
      </w:r>
      <w:r w:rsidR="00DB4770" w:rsidRPr="00467317">
        <w:t>employment</w:t>
      </w:r>
      <w:r w:rsidR="007523D9" w:rsidRPr="00467317">
        <w:t xml:space="preserve"> in the wealth recoveries division of t</w:t>
      </w:r>
      <w:r w:rsidR="000853D1" w:rsidRPr="00467317">
        <w:t>he plaintiff</w:t>
      </w:r>
      <w:r w:rsidR="007523D9" w:rsidRPr="00467317">
        <w:t>.  In common parlance she deals with bad debts.  But this position cannot serve as a universal qualification to depose to an affidavit in support of summary judgment.</w:t>
      </w:r>
    </w:p>
    <w:p w14:paraId="755F507F" w14:textId="19DF9404" w:rsidR="007523D9" w:rsidRPr="00467317" w:rsidRDefault="0070421C" w:rsidP="0070421C">
      <w:pPr>
        <w:pStyle w:val="Clause1Head"/>
        <w:tabs>
          <w:tab w:val="left" w:pos="680"/>
        </w:tabs>
        <w:spacing w:after="360" w:line="480" w:lineRule="auto"/>
        <w:jc w:val="both"/>
      </w:pPr>
      <w:r w:rsidRPr="00467317">
        <w:rPr>
          <w:sz w:val="22"/>
          <w:szCs w:val="22"/>
        </w:rPr>
        <w:t>[25]</w:t>
      </w:r>
      <w:r w:rsidRPr="00467317">
        <w:rPr>
          <w:sz w:val="22"/>
          <w:szCs w:val="22"/>
        </w:rPr>
        <w:tab/>
      </w:r>
      <w:r w:rsidR="00627E8A" w:rsidRPr="00467317">
        <w:t>The situation is not improved when t</w:t>
      </w:r>
      <w:r w:rsidR="000853D1" w:rsidRPr="00467317">
        <w:t>he plaintiff</w:t>
      </w:r>
      <w:r w:rsidR="00A94504" w:rsidRPr="00467317">
        <w:t xml:space="preserve">’s </w:t>
      </w:r>
      <w:r w:rsidR="00627E8A" w:rsidRPr="00467317">
        <w:t>deponent deals with the main point in contention in the summary judgment application relating to the release of the security over Erven 292 and 293.  The deponent concedes that t</w:t>
      </w:r>
      <w:r w:rsidR="000853D1" w:rsidRPr="00467317">
        <w:t>he plaintiff</w:t>
      </w:r>
      <w:r w:rsidR="00627E8A" w:rsidRPr="00467317">
        <w:t xml:space="preserve"> had agreed to this release but says that this was contingent upon the fulfilment of </w:t>
      </w:r>
      <w:r w:rsidR="00627E8A" w:rsidRPr="00467317">
        <w:rPr>
          <w:i/>
          <w:iCs/>
        </w:rPr>
        <w:t xml:space="preserve">“various preconditions which the </w:t>
      </w:r>
      <w:r w:rsidR="00C543BA" w:rsidRPr="00467317">
        <w:rPr>
          <w:i/>
          <w:iCs/>
        </w:rPr>
        <w:t>defendant</w:t>
      </w:r>
      <w:r w:rsidR="00627E8A" w:rsidRPr="00467317">
        <w:rPr>
          <w:i/>
          <w:iCs/>
        </w:rPr>
        <w:t>s failed to fulfil”</w:t>
      </w:r>
      <w:r w:rsidR="00627E8A" w:rsidRPr="00467317">
        <w:t>, including the registration of a replacement bond over the Tweefontein property for R44,5 million and the reduction of the overdraft account from R8 million to R6,05 million.  I deal with this further below.</w:t>
      </w:r>
    </w:p>
    <w:p w14:paraId="20296FF8" w14:textId="413B4555" w:rsidR="00DF7F4B" w:rsidRPr="00467317" w:rsidRDefault="0070421C" w:rsidP="0070421C">
      <w:pPr>
        <w:pStyle w:val="Clause1Head"/>
        <w:tabs>
          <w:tab w:val="left" w:pos="680"/>
        </w:tabs>
        <w:spacing w:after="360" w:line="480" w:lineRule="auto"/>
        <w:jc w:val="both"/>
      </w:pPr>
      <w:r w:rsidRPr="00467317">
        <w:rPr>
          <w:sz w:val="22"/>
          <w:szCs w:val="22"/>
        </w:rPr>
        <w:lastRenderedPageBreak/>
        <w:t>[26]</w:t>
      </w:r>
      <w:r w:rsidRPr="00467317">
        <w:rPr>
          <w:sz w:val="22"/>
          <w:szCs w:val="22"/>
        </w:rPr>
        <w:tab/>
      </w:r>
      <w:r w:rsidR="00DF7F4B" w:rsidRPr="00467317">
        <w:t>I accept that a bank such as the plaintiff</w:t>
      </w:r>
      <w:r w:rsidR="00C045CB" w:rsidRPr="00467317">
        <w:t xml:space="preserve"> seek</w:t>
      </w:r>
      <w:r w:rsidR="009C05CE" w:rsidRPr="00467317">
        <w:t>s</w:t>
      </w:r>
      <w:r w:rsidR="00C045CB" w:rsidRPr="00467317">
        <w:t xml:space="preserve"> to introduce some efficiency into its recovery process, including</w:t>
      </w:r>
      <w:r w:rsidR="001D47E0" w:rsidRPr="00467317">
        <w:t xml:space="preserve"> that part of the process involving court processes to enforce debts</w:t>
      </w:r>
      <w:r w:rsidR="0052629E">
        <w:t>.  O</w:t>
      </w:r>
      <w:r w:rsidR="00AC11F8" w:rsidRPr="00467317">
        <w:t xml:space="preserve">ur courts have recognised </w:t>
      </w:r>
      <w:r w:rsidR="00A84655" w:rsidRPr="00467317">
        <w:t xml:space="preserve">that </w:t>
      </w:r>
      <w:r w:rsidR="00D02BC7" w:rsidRPr="00467317">
        <w:t>financial institutions</w:t>
      </w:r>
      <w:r w:rsidR="009C05CE" w:rsidRPr="00467317">
        <w:t>,</w:t>
      </w:r>
      <w:r w:rsidR="00335D85" w:rsidRPr="00467317">
        <w:t xml:space="preserve"> including</w:t>
      </w:r>
      <w:r w:rsidR="00D02BC7" w:rsidRPr="00467317">
        <w:t xml:space="preserve"> banks</w:t>
      </w:r>
      <w:r w:rsidR="009C05CE" w:rsidRPr="00467317">
        <w:t>,</w:t>
      </w:r>
      <w:r w:rsidR="00D02BC7" w:rsidRPr="00467317">
        <w:t xml:space="preserve"> </w:t>
      </w:r>
      <w:r w:rsidR="00F9660F" w:rsidRPr="00467317">
        <w:t>face practical challenges</w:t>
      </w:r>
      <w:r w:rsidR="00627C9D" w:rsidRPr="00467317">
        <w:t xml:space="preserve"> in</w:t>
      </w:r>
      <w:r w:rsidR="00592B6D" w:rsidRPr="00467317">
        <w:t xml:space="preserve"> deposing to affidavits in support of summary judgment which demonstrate</w:t>
      </w:r>
      <w:r w:rsidR="00892984" w:rsidRPr="00467317">
        <w:t xml:space="preserve"> the ability to swear positively to the facts as required by subrule</w:t>
      </w:r>
      <w:r w:rsidR="005539E4">
        <w:t> </w:t>
      </w:r>
      <w:r w:rsidR="00892984" w:rsidRPr="00467317">
        <w:t>2(a)</w:t>
      </w:r>
      <w:r w:rsidR="00483C51" w:rsidRPr="00467317">
        <w:t>.</w:t>
      </w:r>
      <w:r w:rsidR="005539E4">
        <w:t> </w:t>
      </w:r>
      <w:r w:rsidR="00483C51" w:rsidRPr="00467317">
        <w:rPr>
          <w:rStyle w:val="FootnoteReference"/>
        </w:rPr>
        <w:footnoteReference w:id="29"/>
      </w:r>
      <w:r w:rsidR="005539E4">
        <w:t xml:space="preserve"> </w:t>
      </w:r>
      <w:r w:rsidR="00F9660F" w:rsidRPr="00467317">
        <w:t xml:space="preserve"> </w:t>
      </w:r>
      <w:r w:rsidR="00697866" w:rsidRPr="00467317">
        <w:t xml:space="preserve">What has </w:t>
      </w:r>
      <w:r w:rsidR="00150DB8" w:rsidRPr="00467317">
        <w:t>long</w:t>
      </w:r>
      <w:r w:rsidR="00697866" w:rsidRPr="00467317">
        <w:t xml:space="preserve"> been required</w:t>
      </w:r>
      <w:r w:rsidR="0030641D" w:rsidRPr="00467317">
        <w:t xml:space="preserve"> is personal knowledge</w:t>
      </w:r>
      <w:r w:rsidR="003F48C4" w:rsidRPr="00467317">
        <w:t>, which</w:t>
      </w:r>
      <w:r w:rsidR="00571542" w:rsidRPr="00467317">
        <w:t xml:space="preserve"> may not</w:t>
      </w:r>
      <w:r w:rsidR="008A7C7D" w:rsidRPr="00467317">
        <w:t xml:space="preserve"> equate to knowledge necessarily based on actual personal involvement or first-hand experience in the underlying transactions</w:t>
      </w:r>
      <w:r w:rsidR="0052629E">
        <w:t>.  W</w:t>
      </w:r>
      <w:r w:rsidR="008A7C7D" w:rsidRPr="00467317">
        <w:t>hat may be sufficient</w:t>
      </w:r>
      <w:r w:rsidR="008032E3" w:rsidRPr="00467317">
        <w:t>, depending on the circumstances would be knowledge derived from reference to records which are reliable and accurate.</w:t>
      </w:r>
      <w:r w:rsidR="005539E4">
        <w:t> </w:t>
      </w:r>
      <w:r w:rsidR="008032E3" w:rsidRPr="00467317">
        <w:rPr>
          <w:rStyle w:val="FootnoteReference"/>
        </w:rPr>
        <w:footnoteReference w:id="30"/>
      </w:r>
      <w:r w:rsidR="00A36BDB" w:rsidRPr="00467317">
        <w:t xml:space="preserve"> </w:t>
      </w:r>
      <w:r w:rsidR="00CD6A6F" w:rsidRPr="00467317">
        <w:t xml:space="preserve"> M</w:t>
      </w:r>
      <w:r w:rsidR="005979DC" w:rsidRPr="00467317">
        <w:t>ore on this below.</w:t>
      </w:r>
    </w:p>
    <w:p w14:paraId="604E4CCC" w14:textId="49BBB5D3" w:rsidR="00627E8A" w:rsidRPr="00467317" w:rsidRDefault="0070421C" w:rsidP="0070421C">
      <w:pPr>
        <w:pStyle w:val="Clause1Head"/>
        <w:tabs>
          <w:tab w:val="left" w:pos="680"/>
        </w:tabs>
        <w:spacing w:after="360" w:line="480" w:lineRule="auto"/>
        <w:jc w:val="both"/>
      </w:pPr>
      <w:r w:rsidRPr="00467317">
        <w:rPr>
          <w:sz w:val="22"/>
          <w:szCs w:val="22"/>
        </w:rPr>
        <w:t>[27]</w:t>
      </w:r>
      <w:r w:rsidRPr="00467317">
        <w:rPr>
          <w:sz w:val="22"/>
          <w:szCs w:val="22"/>
        </w:rPr>
        <w:tab/>
      </w:r>
      <w:r w:rsidR="00627E8A" w:rsidRPr="00467317">
        <w:t>T</w:t>
      </w:r>
      <w:r w:rsidR="000853D1" w:rsidRPr="00467317">
        <w:t>he defendant</w:t>
      </w:r>
      <w:r w:rsidR="00627E8A" w:rsidRPr="00467317">
        <w:t>s’ opposing affidavit is brief by comparison to its lengthy</w:t>
      </w:r>
      <w:r w:rsidR="00A1645F" w:rsidRPr="00467317">
        <w:t xml:space="preserve"> plea</w:t>
      </w:r>
      <w:r w:rsidR="00627E8A" w:rsidRPr="00467317">
        <w:t xml:space="preserve"> and its main purpose seems to be</w:t>
      </w:r>
      <w:r w:rsidR="00DB192A" w:rsidRPr="00467317">
        <w:t xml:space="preserve"> to</w:t>
      </w:r>
      <w:r w:rsidR="00627E8A" w:rsidRPr="00467317">
        <w:t xml:space="preserve"> attach the various documents referred to in the</w:t>
      </w:r>
      <w:r w:rsidR="00A1645F" w:rsidRPr="00467317">
        <w:t xml:space="preserve"> plea</w:t>
      </w:r>
      <w:r w:rsidR="00627E8A" w:rsidRPr="00467317">
        <w:t xml:space="preserve"> that were not annexed to that pleading</w:t>
      </w:r>
      <w:r w:rsidR="0052629E">
        <w:t>.  I</w:t>
      </w:r>
      <w:r w:rsidR="008B2873" w:rsidRPr="00467317">
        <w:t xml:space="preserve">t adds nothing material to the </w:t>
      </w:r>
      <w:r w:rsidR="00DF7F4B" w:rsidRPr="00467317">
        <w:t>defence.</w:t>
      </w:r>
    </w:p>
    <w:p w14:paraId="5131F4A9" w14:textId="2F2F6ED5" w:rsidR="008A0922" w:rsidRPr="00467317" w:rsidRDefault="0070421C" w:rsidP="0070421C">
      <w:pPr>
        <w:pStyle w:val="Clause1Head"/>
        <w:tabs>
          <w:tab w:val="left" w:pos="680"/>
        </w:tabs>
        <w:spacing w:after="360" w:line="480" w:lineRule="auto"/>
        <w:jc w:val="both"/>
      </w:pPr>
      <w:r w:rsidRPr="00467317">
        <w:rPr>
          <w:sz w:val="22"/>
          <w:szCs w:val="22"/>
        </w:rPr>
        <w:t>[28]</w:t>
      </w:r>
      <w:r w:rsidRPr="00467317">
        <w:rPr>
          <w:sz w:val="22"/>
          <w:szCs w:val="22"/>
        </w:rPr>
        <w:tab/>
      </w:r>
      <w:r w:rsidR="008A0922" w:rsidRPr="00467317">
        <w:t xml:space="preserve">As </w:t>
      </w:r>
      <w:r w:rsidR="00D510C4" w:rsidRPr="00467317">
        <w:t>noted</w:t>
      </w:r>
      <w:r w:rsidR="008A0922" w:rsidRPr="00467317">
        <w:t xml:space="preserve"> above the indebtedness of Sable Hills and the defaults on the loan agreements and overdraft facility </w:t>
      </w:r>
      <w:r w:rsidR="0047671B" w:rsidRPr="00467317">
        <w:t>is</w:t>
      </w:r>
      <w:r w:rsidR="008A0922" w:rsidRPr="00467317">
        <w:t xml:space="preserve"> not disputed by t</w:t>
      </w:r>
      <w:r w:rsidR="000853D1" w:rsidRPr="00467317">
        <w:t>he defendant</w:t>
      </w:r>
      <w:r w:rsidR="008A0922" w:rsidRPr="00467317">
        <w:t>s.  Although not unsympathetic I am unpersuaded that a proper case has been made out by t</w:t>
      </w:r>
      <w:r w:rsidR="000853D1" w:rsidRPr="00467317">
        <w:t>he defendant</w:t>
      </w:r>
      <w:r w:rsidR="008A0922" w:rsidRPr="00467317">
        <w:t>s that the lockdowns occasioned by the Covid-19 pandemic serve as a legal justification for a delay in payment</w:t>
      </w:r>
      <w:r w:rsidR="0052629E">
        <w:t>.  N</w:t>
      </w:r>
      <w:r w:rsidR="008A0922" w:rsidRPr="00467317">
        <w:t>or am I persuaded that t</w:t>
      </w:r>
      <w:r w:rsidR="000853D1" w:rsidRPr="00467317">
        <w:t>he plaintiff</w:t>
      </w:r>
      <w:r w:rsidR="008A0922" w:rsidRPr="00467317">
        <w:t xml:space="preserve"> was</w:t>
      </w:r>
      <w:r w:rsidR="004B27E7" w:rsidRPr="00467317">
        <w:t xml:space="preserve"> for this reason </w:t>
      </w:r>
      <w:r w:rsidR="008A0922" w:rsidRPr="00467317">
        <w:t>precluded from instituting action for recovery of the indebtedness.  An indulgence of the nature sought by t</w:t>
      </w:r>
      <w:r w:rsidR="000853D1" w:rsidRPr="00467317">
        <w:t>he defendant</w:t>
      </w:r>
      <w:r w:rsidR="008A0922" w:rsidRPr="00467317">
        <w:t xml:space="preserve">s </w:t>
      </w:r>
      <w:r w:rsidR="004B27E7" w:rsidRPr="00467317">
        <w:t>lacks</w:t>
      </w:r>
      <w:r w:rsidR="008A0922" w:rsidRPr="00467317">
        <w:t xml:space="preserve"> legal foundation.</w:t>
      </w:r>
    </w:p>
    <w:p w14:paraId="55754D24" w14:textId="0205AFA1" w:rsidR="009374D8" w:rsidRPr="00467317" w:rsidRDefault="0070421C" w:rsidP="0070421C">
      <w:pPr>
        <w:pStyle w:val="Clause1Head"/>
        <w:tabs>
          <w:tab w:val="left" w:pos="680"/>
        </w:tabs>
        <w:spacing w:after="360" w:line="480" w:lineRule="auto"/>
        <w:jc w:val="both"/>
      </w:pPr>
      <w:r w:rsidRPr="00467317">
        <w:rPr>
          <w:sz w:val="22"/>
          <w:szCs w:val="22"/>
        </w:rPr>
        <w:lastRenderedPageBreak/>
        <w:t>[29]</w:t>
      </w:r>
      <w:r w:rsidRPr="00467317">
        <w:rPr>
          <w:sz w:val="22"/>
          <w:szCs w:val="22"/>
        </w:rPr>
        <w:tab/>
      </w:r>
      <w:r w:rsidR="008A0922" w:rsidRPr="00467317">
        <w:t xml:space="preserve">This means that the fate of the summary judgment application depends upon whether the contentions regarding the release and substitution of immovable properties </w:t>
      </w:r>
      <w:r w:rsidR="002C0EDA" w:rsidRPr="00467317">
        <w:t>are</w:t>
      </w:r>
      <w:r w:rsidR="008A0922" w:rsidRPr="00467317">
        <w:t xml:space="preserve"> sufficient to constitute a </w:t>
      </w:r>
      <w:r w:rsidR="008A0922" w:rsidRPr="00467317">
        <w:rPr>
          <w:i/>
          <w:iCs/>
        </w:rPr>
        <w:t>bona fide</w:t>
      </w:r>
      <w:r w:rsidR="008A0922" w:rsidRPr="00467317">
        <w:t xml:space="preserve"> defence to the action.</w:t>
      </w:r>
      <w:r w:rsidR="005539E4">
        <w:t> </w:t>
      </w:r>
      <w:r w:rsidR="008A0922" w:rsidRPr="00467317">
        <w:rPr>
          <w:rStyle w:val="FootnoteReference"/>
        </w:rPr>
        <w:footnoteReference w:id="31"/>
      </w:r>
      <w:r w:rsidR="009D0A60" w:rsidRPr="00467317">
        <w:t xml:space="preserve">  I deal with this together with the contention that the enforcement by t</w:t>
      </w:r>
      <w:r w:rsidR="000853D1" w:rsidRPr="00467317">
        <w:t>he plaintiff</w:t>
      </w:r>
      <w:r w:rsidR="009D0A60" w:rsidRPr="00467317">
        <w:t xml:space="preserve"> of the terms of the various loan instruments and the execution against Erven 292 and 293 would be contrary to public policy.  I should point out that the</w:t>
      </w:r>
      <w:r w:rsidR="00A1645F" w:rsidRPr="00467317">
        <w:t xml:space="preserve"> plea</w:t>
      </w:r>
      <w:r w:rsidR="009D0A60" w:rsidRPr="00467317">
        <w:t xml:space="preserve"> filed on behalf of t</w:t>
      </w:r>
      <w:r w:rsidR="000853D1" w:rsidRPr="00467317">
        <w:t>he defendant</w:t>
      </w:r>
      <w:r w:rsidR="009D0A60" w:rsidRPr="00467317">
        <w:t>s restricted this argument on public policy to a prohibition against enforcement and recovery of the loans under claims B and C</w:t>
      </w:r>
      <w:r w:rsidR="002C0EDA" w:rsidRPr="00467317">
        <w:t>, said to</w:t>
      </w:r>
      <w:r w:rsidR="009D0A60" w:rsidRPr="00467317">
        <w:t xml:space="preserve"> be contrary to public policy if it occurred prior to the expiry of 12 months.  </w:t>
      </w:r>
      <w:r w:rsidR="00B24A2F" w:rsidRPr="00467317">
        <w:t>I</w:t>
      </w:r>
      <w:r w:rsidR="009D0A60" w:rsidRPr="00467317">
        <w:t xml:space="preserve">t was said that as the prayer seeking orders </w:t>
      </w:r>
      <w:r w:rsidR="002C0EDA" w:rsidRPr="00467317">
        <w:t>for</w:t>
      </w:r>
      <w:r w:rsidR="009D0A60" w:rsidRPr="00467317">
        <w:t xml:space="preserve"> the various immovable properties </w:t>
      </w:r>
      <w:r w:rsidR="002C0EDA" w:rsidRPr="00467317">
        <w:t>to</w:t>
      </w:r>
      <w:r w:rsidR="009D0A60" w:rsidRPr="00467317">
        <w:t xml:space="preserve"> be declared executable w</w:t>
      </w:r>
      <w:r w:rsidR="00B24A2F" w:rsidRPr="00467317">
        <w:t>ere</w:t>
      </w:r>
      <w:r w:rsidR="009D0A60" w:rsidRPr="00467317">
        <w:t xml:space="preserve"> contingent upon the valid enforceability of claims A, B and C, this should similarly not be permitted.  I accept the second proposition as logically correct</w:t>
      </w:r>
      <w:r w:rsidR="00B24A2F" w:rsidRPr="00467317">
        <w:t xml:space="preserve"> if</w:t>
      </w:r>
      <w:r w:rsidR="00A90D4C" w:rsidRPr="00467317">
        <w:t xml:space="preserve"> </w:t>
      </w:r>
      <w:r w:rsidR="009D6BD6" w:rsidRPr="00467317">
        <w:t xml:space="preserve">it can be shown that </w:t>
      </w:r>
      <w:r w:rsidR="00A90D4C" w:rsidRPr="00467317">
        <w:t xml:space="preserve">there is a bona fide defence to the </w:t>
      </w:r>
      <w:r w:rsidR="00EA6F3B" w:rsidRPr="00467317">
        <w:t>monetary claims</w:t>
      </w:r>
      <w:r w:rsidR="009D0A60" w:rsidRPr="00467317">
        <w:t xml:space="preserve">.  </w:t>
      </w:r>
    </w:p>
    <w:p w14:paraId="27B5A50C" w14:textId="526B8622" w:rsidR="008A0922" w:rsidRPr="00467317" w:rsidRDefault="0070421C" w:rsidP="0070421C">
      <w:pPr>
        <w:pStyle w:val="Clause1Head"/>
        <w:tabs>
          <w:tab w:val="left" w:pos="680"/>
        </w:tabs>
        <w:spacing w:after="360" w:line="480" w:lineRule="auto"/>
        <w:jc w:val="both"/>
      </w:pPr>
      <w:r w:rsidRPr="00467317">
        <w:rPr>
          <w:sz w:val="22"/>
          <w:szCs w:val="22"/>
        </w:rPr>
        <w:t>[30]</w:t>
      </w:r>
      <w:r w:rsidRPr="00467317">
        <w:rPr>
          <w:sz w:val="22"/>
          <w:szCs w:val="22"/>
        </w:rPr>
        <w:tab/>
      </w:r>
      <w:r w:rsidR="009D6BD6" w:rsidRPr="00467317">
        <w:t>I</w:t>
      </w:r>
      <w:r w:rsidR="009D0A60" w:rsidRPr="00467317">
        <w:t>n the affidavit resisting summary judgment t</w:t>
      </w:r>
      <w:r w:rsidR="000853D1" w:rsidRPr="00467317">
        <w:t>he defendant</w:t>
      </w:r>
      <w:r w:rsidR="009D0A60" w:rsidRPr="00467317">
        <w:t>s in confirming the allegations in the</w:t>
      </w:r>
      <w:r w:rsidR="00A1645F" w:rsidRPr="00467317">
        <w:t xml:space="preserve"> plea</w:t>
      </w:r>
      <w:r w:rsidR="009D0A60" w:rsidRPr="00467317">
        <w:t xml:space="preserve"> appear to broaden the basis of their contention to </w:t>
      </w:r>
      <w:r w:rsidR="00F21E95" w:rsidRPr="00467317">
        <w:t>something</w:t>
      </w:r>
      <w:r w:rsidR="009D0A60" w:rsidRPr="00467317">
        <w:t xml:space="preserve"> more general</w:t>
      </w:r>
      <w:r w:rsidR="00EA6F3B" w:rsidRPr="00467317">
        <w:t>,</w:t>
      </w:r>
      <w:r w:rsidR="009D0A60" w:rsidRPr="00467317">
        <w:t xml:space="preserve"> to the effect that t</w:t>
      </w:r>
      <w:r w:rsidR="000853D1" w:rsidRPr="00467317">
        <w:t>he plaintiff</w:t>
      </w:r>
      <w:r w:rsidR="009D0A60" w:rsidRPr="00467317">
        <w:t xml:space="preserve"> should not be permitted to profit from its own wrong and that it would be contrary to public policy to permit t</w:t>
      </w:r>
      <w:r w:rsidR="000853D1" w:rsidRPr="00467317">
        <w:t>he plaintiff</w:t>
      </w:r>
      <w:r w:rsidR="009D0A60" w:rsidRPr="00467317">
        <w:t xml:space="preserve"> to take judgment.  </w:t>
      </w:r>
      <w:r w:rsidR="00676441" w:rsidRPr="00467317">
        <w:t>Despite a suspicion that the</w:t>
      </w:r>
      <w:r w:rsidR="00D432B4" w:rsidRPr="00467317">
        <w:t xml:space="preserve"> defendants were trimming their sales to</w:t>
      </w:r>
      <w:r w:rsidR="00206B68" w:rsidRPr="00467317">
        <w:t xml:space="preserve"> the wind </w:t>
      </w:r>
      <w:r w:rsidR="0085325F" w:rsidRPr="00467317">
        <w:t xml:space="preserve">I </w:t>
      </w:r>
      <w:r w:rsidR="00F21B17" w:rsidRPr="00467317">
        <w:t>accept that</w:t>
      </w:r>
      <w:r w:rsidR="009D0A60" w:rsidRPr="00467317">
        <w:t xml:space="preserve"> the affidavit should in the instant case </w:t>
      </w:r>
      <w:r w:rsidR="00122385" w:rsidRPr="00467317">
        <w:t>stand</w:t>
      </w:r>
      <w:r w:rsidR="00206B68" w:rsidRPr="00467317">
        <w:t xml:space="preserve"> as the basis for the</w:t>
      </w:r>
      <w:r w:rsidR="0085325F" w:rsidRPr="00467317">
        <w:t xml:space="preserve"> determination of whether a</w:t>
      </w:r>
      <w:r w:rsidR="00206B68" w:rsidRPr="00467317">
        <w:t xml:space="preserve"> bona fide defence</w:t>
      </w:r>
      <w:r w:rsidR="00122385" w:rsidRPr="00467317">
        <w:t xml:space="preserve"> </w:t>
      </w:r>
      <w:r w:rsidR="009374D8" w:rsidRPr="00467317">
        <w:t xml:space="preserve">as </w:t>
      </w:r>
      <w:r w:rsidR="00122385" w:rsidRPr="00467317">
        <w:t>required</w:t>
      </w:r>
      <w:r w:rsidR="009374D8" w:rsidRPr="00467317">
        <w:t xml:space="preserve"> has been established</w:t>
      </w:r>
      <w:r w:rsidR="0052629E">
        <w:t>.  T</w:t>
      </w:r>
      <w:r w:rsidR="00D45C6A" w:rsidRPr="00467317">
        <w:t>he purpose of the delivery of the</w:t>
      </w:r>
      <w:r w:rsidR="00A1645F" w:rsidRPr="00467317">
        <w:t xml:space="preserve"> plea</w:t>
      </w:r>
      <w:r w:rsidR="00D45C6A" w:rsidRPr="00467317">
        <w:t xml:space="preserve"> before the application for summary judgment is to alert t</w:t>
      </w:r>
      <w:r w:rsidR="000853D1" w:rsidRPr="00467317">
        <w:t>he plaintiff</w:t>
      </w:r>
      <w:r w:rsidR="00D45C6A" w:rsidRPr="00467317">
        <w:t xml:space="preserve"> as to the substantive nature of the defence that will be proffered by t</w:t>
      </w:r>
      <w:r w:rsidR="000853D1" w:rsidRPr="00467317">
        <w:t>he defendant</w:t>
      </w:r>
      <w:r w:rsidR="00D45C6A" w:rsidRPr="00467317">
        <w:t xml:space="preserve">/s with the </w:t>
      </w:r>
      <w:r w:rsidR="005D38BA" w:rsidRPr="00467317">
        <w:t>aim</w:t>
      </w:r>
      <w:r w:rsidR="00D45C6A" w:rsidRPr="00467317">
        <w:t xml:space="preserve"> of encouraging t</w:t>
      </w:r>
      <w:r w:rsidR="000853D1" w:rsidRPr="00467317">
        <w:t>he plaintiff</w:t>
      </w:r>
      <w:r w:rsidR="00D45C6A" w:rsidRPr="00467317">
        <w:t xml:space="preserve"> to make an informed decision </w:t>
      </w:r>
      <w:r w:rsidR="00D45C6A" w:rsidRPr="00467317">
        <w:lastRenderedPageBreak/>
        <w:t xml:space="preserve">as to whether to apply for summary judgment, rather than to </w:t>
      </w:r>
      <w:r w:rsidR="00E869F7" w:rsidRPr="00467317">
        <w:t xml:space="preserve">do this </w:t>
      </w:r>
      <w:r w:rsidR="005D38BA" w:rsidRPr="00467317">
        <w:t>ritually</w:t>
      </w:r>
      <w:r w:rsidR="00E869F7" w:rsidRPr="00467317">
        <w:t>.  Save in extreme circumstances I do not believe that a forensic comparison between the</w:t>
      </w:r>
      <w:r w:rsidR="00A1645F" w:rsidRPr="00467317">
        <w:t xml:space="preserve"> plea</w:t>
      </w:r>
      <w:r w:rsidR="00E869F7" w:rsidRPr="00467317">
        <w:t xml:space="preserve"> and the opposing affidavit is required.  During </w:t>
      </w:r>
      <w:r w:rsidR="00BA499D" w:rsidRPr="00467317">
        <w:t>argument</w:t>
      </w:r>
      <w:r w:rsidR="00E869F7" w:rsidRPr="00467317">
        <w:t xml:space="preserve"> on the import and effect of the substitution letter the debate segued into whether the substitution letter constituted a parallel agreement with some independent contractual force.  At my invitation</w:t>
      </w:r>
      <w:r w:rsidR="00A94F8F">
        <w:t xml:space="preserve">, </w:t>
      </w:r>
      <w:r w:rsidR="00F21E95" w:rsidRPr="00467317">
        <w:t>both</w:t>
      </w:r>
      <w:r w:rsidR="00E869F7" w:rsidRPr="00467317">
        <w:t xml:space="preserve"> counsel filed brief supplementary submissions for which I am grateful.</w:t>
      </w:r>
    </w:p>
    <w:p w14:paraId="574B0AE2" w14:textId="37CD1A02" w:rsidR="00E869F7" w:rsidRPr="00467317" w:rsidRDefault="0070421C" w:rsidP="0070421C">
      <w:pPr>
        <w:pStyle w:val="Clause1Head"/>
        <w:tabs>
          <w:tab w:val="left" w:pos="680"/>
        </w:tabs>
        <w:spacing w:after="240" w:line="480" w:lineRule="auto"/>
        <w:jc w:val="both"/>
      </w:pPr>
      <w:r w:rsidRPr="00467317">
        <w:rPr>
          <w:sz w:val="22"/>
          <w:szCs w:val="22"/>
        </w:rPr>
        <w:t>[31]</w:t>
      </w:r>
      <w:r w:rsidRPr="00467317">
        <w:rPr>
          <w:sz w:val="22"/>
          <w:szCs w:val="22"/>
        </w:rPr>
        <w:tab/>
      </w:r>
      <w:r w:rsidR="00E869F7" w:rsidRPr="00467317">
        <w:t>T</w:t>
      </w:r>
      <w:r w:rsidR="000853D1" w:rsidRPr="00467317">
        <w:t>he plaintiff</w:t>
      </w:r>
      <w:r w:rsidR="00E869F7" w:rsidRPr="00467317">
        <w:t xml:space="preserve"> made two </w:t>
      </w:r>
      <w:r w:rsidR="00BA499D" w:rsidRPr="00467317">
        <w:t xml:space="preserve">supplementary </w:t>
      </w:r>
      <w:r w:rsidR="00E869F7" w:rsidRPr="00467317">
        <w:t xml:space="preserve">submissions.  First, reference was made to clause 11.3 of the </w:t>
      </w:r>
      <w:bookmarkStart w:id="6" w:name="_Hlk98154447"/>
      <w:r w:rsidR="00E869F7" w:rsidRPr="00467317">
        <w:t>mortgage loan agreement</w:t>
      </w:r>
      <w:bookmarkEnd w:id="6"/>
      <w:r w:rsidR="00E869F7" w:rsidRPr="00467317">
        <w:t>, in the following terms:</w:t>
      </w:r>
    </w:p>
    <w:p w14:paraId="12255024" w14:textId="760CEF36" w:rsidR="00E869F7" w:rsidRPr="00467317" w:rsidRDefault="00E869F7" w:rsidP="005539E4">
      <w:pPr>
        <w:pStyle w:val="Clause1Head"/>
        <w:keepNext/>
        <w:spacing w:after="120" w:line="360" w:lineRule="auto"/>
        <w:ind w:left="1985" w:right="851" w:hanging="851"/>
        <w:jc w:val="both"/>
        <w:rPr>
          <w:i/>
          <w:iCs/>
          <w:sz w:val="22"/>
          <w:szCs w:val="26"/>
        </w:rPr>
      </w:pPr>
      <w:r w:rsidRPr="00467317">
        <w:rPr>
          <w:i/>
          <w:iCs/>
          <w:sz w:val="22"/>
          <w:szCs w:val="26"/>
        </w:rPr>
        <w:t>“11.3</w:t>
      </w:r>
      <w:r w:rsidRPr="00467317">
        <w:rPr>
          <w:i/>
          <w:iCs/>
          <w:sz w:val="22"/>
          <w:szCs w:val="26"/>
        </w:rPr>
        <w:tab/>
      </w:r>
      <w:r w:rsidRPr="00467317">
        <w:rPr>
          <w:b/>
          <w:bCs/>
          <w:i/>
          <w:iCs/>
          <w:sz w:val="22"/>
          <w:szCs w:val="26"/>
        </w:rPr>
        <w:t>Variation of terms</w:t>
      </w:r>
    </w:p>
    <w:p w14:paraId="6941D012" w14:textId="7CD50975" w:rsidR="00E869F7" w:rsidRPr="00467317" w:rsidRDefault="00E869F7" w:rsidP="00C21395">
      <w:pPr>
        <w:pStyle w:val="Clause1Head"/>
        <w:spacing w:after="120" w:line="360" w:lineRule="auto"/>
        <w:ind w:left="1985" w:right="851" w:hanging="851"/>
        <w:jc w:val="both"/>
        <w:rPr>
          <w:i/>
          <w:iCs/>
          <w:sz w:val="22"/>
          <w:szCs w:val="26"/>
        </w:rPr>
      </w:pPr>
      <w:r w:rsidRPr="00467317">
        <w:rPr>
          <w:i/>
          <w:iCs/>
          <w:sz w:val="22"/>
          <w:szCs w:val="26"/>
        </w:rPr>
        <w:t>11.3.1</w:t>
      </w:r>
      <w:r w:rsidRPr="00467317">
        <w:rPr>
          <w:i/>
          <w:iCs/>
          <w:sz w:val="22"/>
          <w:szCs w:val="26"/>
        </w:rPr>
        <w:tab/>
        <w:t xml:space="preserve">No contract varying, adding to, deleting from or cancelling of </w:t>
      </w:r>
      <w:r w:rsidRPr="00467317">
        <w:rPr>
          <w:rFonts w:ascii="Times New Roman" w:hAnsi="Times New Roman"/>
          <w:i/>
          <w:iCs/>
        </w:rPr>
        <w:t>(sic)</w:t>
      </w:r>
      <w:r w:rsidRPr="00467317">
        <w:rPr>
          <w:i/>
          <w:iCs/>
          <w:sz w:val="22"/>
          <w:szCs w:val="26"/>
        </w:rPr>
        <w:t xml:space="preserve"> the facility document will be effective unless reduced to writing and </w:t>
      </w:r>
      <w:r w:rsidRPr="00467317">
        <w:rPr>
          <w:i/>
          <w:iCs/>
          <w:sz w:val="22"/>
          <w:szCs w:val="26"/>
          <w:u w:val="single"/>
        </w:rPr>
        <w:t>signed by or on behalf of the bank and the borrower</w:t>
      </w:r>
      <w:r w:rsidRPr="00467317">
        <w:rPr>
          <w:i/>
          <w:iCs/>
          <w:sz w:val="22"/>
          <w:szCs w:val="26"/>
        </w:rPr>
        <w:t>.</w:t>
      </w:r>
    </w:p>
    <w:p w14:paraId="13D8D354" w14:textId="3BC882ED" w:rsidR="00C21395" w:rsidRPr="00467317" w:rsidRDefault="00C21395" w:rsidP="00C21395">
      <w:pPr>
        <w:pStyle w:val="Clause1Head"/>
        <w:spacing w:after="120" w:line="360" w:lineRule="auto"/>
        <w:ind w:left="1985" w:right="851" w:hanging="851"/>
        <w:jc w:val="both"/>
        <w:rPr>
          <w:i/>
          <w:iCs/>
          <w:sz w:val="22"/>
          <w:szCs w:val="26"/>
        </w:rPr>
      </w:pPr>
      <w:r w:rsidRPr="00467317">
        <w:rPr>
          <w:i/>
          <w:iCs/>
          <w:sz w:val="22"/>
          <w:szCs w:val="26"/>
        </w:rPr>
        <w:t>11.3.2</w:t>
      </w:r>
      <w:r w:rsidRPr="00467317">
        <w:rPr>
          <w:i/>
          <w:iCs/>
          <w:sz w:val="22"/>
          <w:szCs w:val="26"/>
        </w:rPr>
        <w:tab/>
        <w:t>The expiry or termination of a facility document will not prejudice the rights of the bank in respect of any antecedent breach by the borrower of, or non-performance under, that facility document.”</w:t>
      </w:r>
    </w:p>
    <w:p w14:paraId="16538FC6" w14:textId="418784A7" w:rsidR="00C21395" w:rsidRPr="00467317" w:rsidRDefault="00C21395" w:rsidP="00C21395">
      <w:pPr>
        <w:pStyle w:val="Clause1Head"/>
        <w:spacing w:after="480" w:line="360" w:lineRule="auto"/>
        <w:ind w:left="1985" w:right="851" w:hanging="851"/>
        <w:jc w:val="right"/>
        <w:rPr>
          <w:sz w:val="22"/>
          <w:szCs w:val="26"/>
        </w:rPr>
      </w:pPr>
      <w:r w:rsidRPr="00467317">
        <w:rPr>
          <w:sz w:val="22"/>
          <w:szCs w:val="26"/>
        </w:rPr>
        <w:t>[Emphasis provided by t</w:t>
      </w:r>
      <w:r w:rsidR="000853D1" w:rsidRPr="00467317">
        <w:rPr>
          <w:sz w:val="22"/>
          <w:szCs w:val="26"/>
        </w:rPr>
        <w:t>he plaintiff</w:t>
      </w:r>
      <w:r w:rsidRPr="00467317">
        <w:rPr>
          <w:sz w:val="22"/>
          <w:szCs w:val="26"/>
        </w:rPr>
        <w:t>.]</w:t>
      </w:r>
    </w:p>
    <w:p w14:paraId="6D6D5DA4" w14:textId="11D47142" w:rsidR="00E869F7" w:rsidRPr="00467317" w:rsidRDefault="00C21395" w:rsidP="00C21395">
      <w:pPr>
        <w:pStyle w:val="Clause1Head"/>
        <w:spacing w:after="360" w:line="480" w:lineRule="auto"/>
        <w:ind w:firstLine="567"/>
        <w:jc w:val="both"/>
      </w:pPr>
      <w:r w:rsidRPr="00467317">
        <w:t xml:space="preserve">I do not believe that the substitution letter varied, added to or deleted from the </w:t>
      </w:r>
      <w:r w:rsidR="00AC5494" w:rsidRPr="00467317">
        <w:t>mortgage loan agreement</w:t>
      </w:r>
      <w:r w:rsidRPr="00467317">
        <w:t>.  But did it cancel that document or constitute the termination thereof?  To my mind the answer must be “No”.  The letter does not purport to alte</w:t>
      </w:r>
      <w:r w:rsidR="00490F81" w:rsidRPr="00467317">
        <w:t>r or vary</w:t>
      </w:r>
      <w:r w:rsidRPr="00467317">
        <w:t xml:space="preserve"> the indebtedness of t</w:t>
      </w:r>
      <w:r w:rsidR="000853D1" w:rsidRPr="00467317">
        <w:t>he defendant</w:t>
      </w:r>
      <w:r w:rsidRPr="00467317">
        <w:t>s; what it s</w:t>
      </w:r>
      <w:r w:rsidR="009F2F86" w:rsidRPr="00467317">
        <w:t>tates</w:t>
      </w:r>
      <w:r w:rsidRPr="00467317">
        <w:t xml:space="preserve"> is that t</w:t>
      </w:r>
      <w:r w:rsidR="000853D1" w:rsidRPr="00467317">
        <w:t>he plaintiff</w:t>
      </w:r>
      <w:r w:rsidRPr="00467317">
        <w:t xml:space="preserve"> agrees to the release of the security enjoyed over Erven 292 and 293 and </w:t>
      </w:r>
      <w:r w:rsidR="009F2F86" w:rsidRPr="00467317">
        <w:t xml:space="preserve">to </w:t>
      </w:r>
      <w:r w:rsidRPr="00467317">
        <w:t xml:space="preserve">substitution therefor by the Tweefontein Property.  I do not find any </w:t>
      </w:r>
      <w:r w:rsidR="00E020B6" w:rsidRPr="00467317">
        <w:t xml:space="preserve">express </w:t>
      </w:r>
      <w:r w:rsidRPr="00467317">
        <w:t>reference</w:t>
      </w:r>
      <w:r w:rsidR="0007125C" w:rsidRPr="00467317">
        <w:t xml:space="preserve"> in the mortgage bond agreement </w:t>
      </w:r>
      <w:r w:rsidRPr="00467317">
        <w:t>to Erven 292 or 293 or to any other immovable property.  Consequently, clause 11.3 does not</w:t>
      </w:r>
      <w:r w:rsidR="00A26239" w:rsidRPr="00467317">
        <w:t xml:space="preserve"> </w:t>
      </w:r>
      <w:r w:rsidR="00E020B6" w:rsidRPr="00467317">
        <w:t>in terms</w:t>
      </w:r>
      <w:r w:rsidRPr="00467317">
        <w:t xml:space="preserve"> preclude substitution of security.</w:t>
      </w:r>
    </w:p>
    <w:p w14:paraId="15CB0227" w14:textId="00BB9844" w:rsidR="00C21395" w:rsidRPr="00467317" w:rsidRDefault="0070421C" w:rsidP="0070421C">
      <w:pPr>
        <w:pStyle w:val="Clause1Head"/>
        <w:tabs>
          <w:tab w:val="left" w:pos="680"/>
        </w:tabs>
        <w:spacing w:after="240" w:line="480" w:lineRule="auto"/>
        <w:jc w:val="both"/>
      </w:pPr>
      <w:r w:rsidRPr="00467317">
        <w:rPr>
          <w:sz w:val="22"/>
          <w:szCs w:val="22"/>
        </w:rPr>
        <w:lastRenderedPageBreak/>
        <w:t>[32]</w:t>
      </w:r>
      <w:r w:rsidRPr="00467317">
        <w:rPr>
          <w:sz w:val="22"/>
          <w:szCs w:val="22"/>
        </w:rPr>
        <w:tab/>
      </w:r>
      <w:r w:rsidR="00C21395" w:rsidRPr="00467317">
        <w:t>The second contention by t</w:t>
      </w:r>
      <w:r w:rsidR="000853D1" w:rsidRPr="00467317">
        <w:t>he plaintiff</w:t>
      </w:r>
      <w:r w:rsidR="00C21395" w:rsidRPr="00467317">
        <w:t>, essentially repeating what was stated in the main submissions was</w:t>
      </w:r>
      <w:r w:rsidR="0034441F" w:rsidRPr="00467317">
        <w:t xml:space="preserve"> that</w:t>
      </w:r>
      <w:r w:rsidR="00C21395" w:rsidRPr="00467317">
        <w:t xml:space="preserve"> if the substitution letter is to be construed as a</w:t>
      </w:r>
      <w:r w:rsidR="0034441F" w:rsidRPr="00467317">
        <w:t xml:space="preserve"> separate</w:t>
      </w:r>
      <w:r w:rsidR="00C21395" w:rsidRPr="00467317">
        <w:t xml:space="preserve"> agree</w:t>
      </w:r>
      <w:r w:rsidR="00C21395" w:rsidRPr="00467317">
        <w:softHyphen/>
        <w:t>ment then t</w:t>
      </w:r>
      <w:r w:rsidR="000853D1" w:rsidRPr="00467317">
        <w:t>he defendant</w:t>
      </w:r>
      <w:r w:rsidR="00C21395" w:rsidRPr="00467317">
        <w:t xml:space="preserve">s had not demonstrated </w:t>
      </w:r>
      <w:r w:rsidR="00C21395" w:rsidRPr="00467317">
        <w:rPr>
          <w:i/>
          <w:iCs/>
        </w:rPr>
        <w:t>prima facie</w:t>
      </w:r>
      <w:r w:rsidR="00C21395" w:rsidRPr="00467317">
        <w:t xml:space="preserve"> that they had fulfilled the suspensive conditions contained in that letter.  This contention should be read with what is said by t</w:t>
      </w:r>
      <w:r w:rsidR="000853D1" w:rsidRPr="00467317">
        <w:t>he plaintiff</w:t>
      </w:r>
      <w:r w:rsidR="00C21395" w:rsidRPr="00467317">
        <w:t xml:space="preserve"> in its affidavit in support of summary judgment:</w:t>
      </w:r>
    </w:p>
    <w:p w14:paraId="33E6DBF4" w14:textId="4DC1DD32" w:rsidR="00C21395" w:rsidRPr="00467317" w:rsidRDefault="00C21395" w:rsidP="001F5B10">
      <w:pPr>
        <w:pStyle w:val="Clause1Head"/>
        <w:spacing w:after="120" w:line="360" w:lineRule="auto"/>
        <w:ind w:left="1985" w:right="851" w:hanging="851"/>
        <w:jc w:val="both"/>
        <w:rPr>
          <w:i/>
          <w:iCs/>
          <w:sz w:val="22"/>
          <w:szCs w:val="26"/>
        </w:rPr>
      </w:pPr>
      <w:r w:rsidRPr="00467317">
        <w:rPr>
          <w:i/>
          <w:iCs/>
          <w:sz w:val="22"/>
          <w:szCs w:val="26"/>
        </w:rPr>
        <w:t>“19</w:t>
      </w:r>
      <w:r w:rsidR="001F5B10" w:rsidRPr="00467317">
        <w:rPr>
          <w:i/>
          <w:iCs/>
          <w:sz w:val="22"/>
          <w:szCs w:val="26"/>
        </w:rPr>
        <w:t>.</w:t>
      </w:r>
      <w:r w:rsidRPr="00467317">
        <w:rPr>
          <w:i/>
          <w:iCs/>
          <w:sz w:val="22"/>
          <w:szCs w:val="26"/>
        </w:rPr>
        <w:tab/>
      </w:r>
      <w:r w:rsidR="001F5B10" w:rsidRPr="00467317">
        <w:rPr>
          <w:i/>
          <w:iCs/>
          <w:sz w:val="22"/>
          <w:szCs w:val="26"/>
        </w:rPr>
        <w:t xml:space="preserve">Whilst it is true that the </w:t>
      </w:r>
      <w:r w:rsidR="00131386" w:rsidRPr="00467317">
        <w:rPr>
          <w:i/>
          <w:iCs/>
          <w:sz w:val="22"/>
          <w:szCs w:val="26"/>
        </w:rPr>
        <w:t>Plaintiff</w:t>
      </w:r>
      <w:r w:rsidR="001F5B10" w:rsidRPr="00467317">
        <w:rPr>
          <w:i/>
          <w:iCs/>
          <w:sz w:val="22"/>
          <w:szCs w:val="26"/>
        </w:rPr>
        <w:t xml:space="preserve"> agreed to release bonds over Erven 292 and 293, such was contingent upon the fulfilment of various preconditions which the </w:t>
      </w:r>
      <w:r w:rsidR="00C543BA" w:rsidRPr="00467317">
        <w:rPr>
          <w:i/>
          <w:iCs/>
          <w:sz w:val="22"/>
          <w:szCs w:val="26"/>
        </w:rPr>
        <w:t>Defendant</w:t>
      </w:r>
      <w:r w:rsidR="001F5B10" w:rsidRPr="00467317">
        <w:rPr>
          <w:i/>
          <w:iCs/>
          <w:sz w:val="22"/>
          <w:szCs w:val="26"/>
        </w:rPr>
        <w:t>s failed to fulfil, such as:</w:t>
      </w:r>
    </w:p>
    <w:p w14:paraId="4BF6A590" w14:textId="51CB9D3F" w:rsidR="001F5B10" w:rsidRPr="00467317" w:rsidRDefault="001F5B10" w:rsidP="001F5B10">
      <w:pPr>
        <w:pStyle w:val="Clause1Head"/>
        <w:spacing w:after="120" w:line="360" w:lineRule="auto"/>
        <w:ind w:left="1985" w:right="851" w:hanging="851"/>
        <w:jc w:val="both"/>
        <w:rPr>
          <w:i/>
          <w:iCs/>
          <w:sz w:val="22"/>
          <w:szCs w:val="26"/>
        </w:rPr>
      </w:pPr>
      <w:r w:rsidRPr="00467317">
        <w:rPr>
          <w:i/>
          <w:iCs/>
          <w:sz w:val="22"/>
          <w:szCs w:val="26"/>
        </w:rPr>
        <w:t>19.1</w:t>
      </w:r>
      <w:r w:rsidRPr="00467317">
        <w:rPr>
          <w:i/>
          <w:iCs/>
          <w:sz w:val="22"/>
          <w:szCs w:val="26"/>
        </w:rPr>
        <w:tab/>
        <w:t>the registration of a replacement bond over Portion 112 of the Farm Tweefontein for R44,5 million;</w:t>
      </w:r>
    </w:p>
    <w:p w14:paraId="0B5C5E4B" w14:textId="3BEC0F8C" w:rsidR="001F5B10" w:rsidRPr="00467317" w:rsidRDefault="001F5B10" w:rsidP="001F5B10">
      <w:pPr>
        <w:pStyle w:val="Clause1Head"/>
        <w:spacing w:after="480" w:line="360" w:lineRule="auto"/>
        <w:ind w:left="1985" w:right="851" w:hanging="851"/>
        <w:jc w:val="both"/>
        <w:rPr>
          <w:i/>
          <w:iCs/>
          <w:sz w:val="22"/>
          <w:szCs w:val="26"/>
        </w:rPr>
      </w:pPr>
      <w:r w:rsidRPr="00467317">
        <w:rPr>
          <w:i/>
          <w:iCs/>
          <w:sz w:val="22"/>
          <w:szCs w:val="26"/>
        </w:rPr>
        <w:t>19.2</w:t>
      </w:r>
      <w:r w:rsidRPr="00467317">
        <w:rPr>
          <w:i/>
          <w:iCs/>
          <w:sz w:val="22"/>
          <w:szCs w:val="26"/>
        </w:rPr>
        <w:tab/>
        <w:t>the reduction of the overdraft account mentioned above from R8 million to R6,05 million.”</w:t>
      </w:r>
    </w:p>
    <w:p w14:paraId="6631FE8E" w14:textId="4A4DDD74" w:rsidR="00C21395" w:rsidRPr="00467317" w:rsidRDefault="001F5B10" w:rsidP="001F5B10">
      <w:pPr>
        <w:pStyle w:val="Clause1Head"/>
        <w:spacing w:after="360" w:line="480" w:lineRule="auto"/>
        <w:ind w:firstLine="567"/>
        <w:jc w:val="both"/>
      </w:pPr>
      <w:r w:rsidRPr="00467317">
        <w:t>The difficulty with this</w:t>
      </w:r>
      <w:r w:rsidR="00E94C28" w:rsidRPr="00467317">
        <w:t xml:space="preserve"> proposition</w:t>
      </w:r>
      <w:r w:rsidRPr="00467317">
        <w:t xml:space="preserve"> is that</w:t>
      </w:r>
      <w:r w:rsidR="00C460C4" w:rsidRPr="00467317">
        <w:t xml:space="preserve"> </w:t>
      </w:r>
      <w:r w:rsidRPr="00467317">
        <w:t>there is no evidence</w:t>
      </w:r>
      <w:r w:rsidR="00CF4019" w:rsidRPr="00467317">
        <w:t xml:space="preserve"> before me</w:t>
      </w:r>
      <w:r w:rsidRPr="00467317">
        <w:t xml:space="preserve"> that there were preconditions</w:t>
      </w:r>
      <w:r w:rsidR="00560841" w:rsidRPr="00467317">
        <w:t xml:space="preserve"> imposed by the plaintiff</w:t>
      </w:r>
      <w:r w:rsidR="00C460C4" w:rsidRPr="00467317">
        <w:t xml:space="preserve"> relating </w:t>
      </w:r>
      <w:r w:rsidR="002B3C8B" w:rsidRPr="00467317">
        <w:t>to the bond over Tweefontein being for R44</w:t>
      </w:r>
      <w:r w:rsidR="001F00AE" w:rsidRPr="00467317">
        <w:t>,5 million</w:t>
      </w:r>
      <w:r w:rsidR="002E4966" w:rsidRPr="00467317">
        <w:t>,</w:t>
      </w:r>
      <w:r w:rsidR="001F00AE" w:rsidRPr="00467317">
        <w:t xml:space="preserve"> or</w:t>
      </w:r>
      <w:r w:rsidR="002E4966" w:rsidRPr="00467317">
        <w:t xml:space="preserve"> to</w:t>
      </w:r>
      <w:r w:rsidR="001F00AE" w:rsidRPr="00467317">
        <w:t xml:space="preserve"> a reduction in the overdraft</w:t>
      </w:r>
      <w:r w:rsidR="00560841" w:rsidRPr="00467317">
        <w:t xml:space="preserve"> amount</w:t>
      </w:r>
      <w:r w:rsidRPr="00467317">
        <w:t>; the</w:t>
      </w:r>
      <w:r w:rsidR="002E4966" w:rsidRPr="00467317">
        <w:t>se</w:t>
      </w:r>
      <w:r w:rsidRPr="00467317">
        <w:t xml:space="preserve"> are certainly not </w:t>
      </w:r>
      <w:r w:rsidR="00E94C28" w:rsidRPr="00467317">
        <w:t xml:space="preserve">to be </w:t>
      </w:r>
      <w:r w:rsidRPr="00467317">
        <w:t>found in the substitution letter.  During argument I asked counsel for t</w:t>
      </w:r>
      <w:r w:rsidR="000853D1" w:rsidRPr="00467317">
        <w:t>he plaintiff</w:t>
      </w:r>
      <w:r w:rsidRPr="00467317">
        <w:t xml:space="preserve"> where I would find the internal terms and conditions referred to in the substitution letter</w:t>
      </w:r>
      <w:r w:rsidR="002E4966" w:rsidRPr="00467317">
        <w:t xml:space="preserve"> but</w:t>
      </w:r>
      <w:r w:rsidRPr="00467317">
        <w:t xml:space="preserve"> </w:t>
      </w:r>
      <w:r w:rsidR="002407A0" w:rsidRPr="00467317">
        <w:t>he</w:t>
      </w:r>
      <w:r w:rsidRPr="00467317">
        <w:t xml:space="preserve"> was unable to </w:t>
      </w:r>
      <w:r w:rsidR="002E4966" w:rsidRPr="00467317">
        <w:t>direct</w:t>
      </w:r>
      <w:r w:rsidRPr="00467317">
        <w:t xml:space="preserve"> me to any document </w:t>
      </w:r>
      <w:r w:rsidR="002407A0" w:rsidRPr="00467317">
        <w:t>containing these</w:t>
      </w:r>
      <w:r w:rsidRPr="00467317">
        <w:t>.  I further regard the reference in the letter to the need for all securities to have been perfected</w:t>
      </w:r>
      <w:r w:rsidR="007151F0" w:rsidRPr="00467317">
        <w:t xml:space="preserve"> to be</w:t>
      </w:r>
      <w:r w:rsidRPr="00467317">
        <w:t xml:space="preserve"> insufficiently certain </w:t>
      </w:r>
      <w:r w:rsidR="007151F0" w:rsidRPr="00467317">
        <w:t xml:space="preserve">for me </w:t>
      </w:r>
      <w:r w:rsidRPr="00467317">
        <w:t xml:space="preserve">to find that the </w:t>
      </w:r>
      <w:r w:rsidR="007151F0" w:rsidRPr="00467317">
        <w:t xml:space="preserve">specific </w:t>
      </w:r>
      <w:r w:rsidRPr="00467317">
        <w:t>preconditions relied on by t</w:t>
      </w:r>
      <w:r w:rsidR="000853D1" w:rsidRPr="00467317">
        <w:t>he plaintiff</w:t>
      </w:r>
      <w:r w:rsidRPr="00467317">
        <w:t xml:space="preserve"> were indeed in force.  On my reading this reference</w:t>
      </w:r>
      <w:r w:rsidR="009C6D08" w:rsidRPr="00467317">
        <w:t xml:space="preserve"> to securities being perfected</w:t>
      </w:r>
      <w:r w:rsidRPr="00467317">
        <w:t xml:space="preserve"> is compatible with the replacement of the existing securities (Erven 292 and 293) with the Tweefontein Farm property.  Of course, I cannot determine this with a sufficient degree of certainty to make </w:t>
      </w:r>
      <w:r w:rsidR="00FF231D" w:rsidRPr="00467317">
        <w:t xml:space="preserve">conclusive </w:t>
      </w:r>
      <w:r w:rsidRPr="00467317">
        <w:t xml:space="preserve">determination on these issues </w:t>
      </w:r>
      <w:r w:rsidR="00FF231D" w:rsidRPr="00467317">
        <w:t>n</w:t>
      </w:r>
      <w:r w:rsidRPr="00467317">
        <w:t>or</w:t>
      </w:r>
      <w:r w:rsidR="00FF231D" w:rsidRPr="00467317">
        <w:t xml:space="preserve"> need I</w:t>
      </w:r>
      <w:r w:rsidRPr="00467317">
        <w:t xml:space="preserve"> determine whether or not there is a balance of probabilities in favour of t</w:t>
      </w:r>
      <w:r w:rsidR="000853D1" w:rsidRPr="00467317">
        <w:t xml:space="preserve">he </w:t>
      </w:r>
      <w:r w:rsidR="000853D1" w:rsidRPr="00467317">
        <w:lastRenderedPageBreak/>
        <w:t>plaintiff</w:t>
      </w:r>
      <w:r w:rsidRPr="00467317">
        <w:t xml:space="preserve"> or t</w:t>
      </w:r>
      <w:r w:rsidR="000853D1" w:rsidRPr="00467317">
        <w:t>he defendant</w:t>
      </w:r>
      <w:r w:rsidRPr="00467317">
        <w:t>s.</w:t>
      </w:r>
      <w:r w:rsidR="005539E4">
        <w:t> </w:t>
      </w:r>
      <w:r w:rsidR="004A2F61" w:rsidRPr="00467317">
        <w:rPr>
          <w:rStyle w:val="FootnoteReference"/>
        </w:rPr>
        <w:footnoteReference w:id="32"/>
      </w:r>
      <w:r w:rsidR="004A2F61" w:rsidRPr="00467317">
        <w:t xml:space="preserve">  </w:t>
      </w:r>
      <w:r w:rsidR="00FF231D" w:rsidRPr="00467317">
        <w:t xml:space="preserve">For present purposes </w:t>
      </w:r>
      <w:r w:rsidR="004A2F61" w:rsidRPr="00467317">
        <w:t>I do not find it necessary to decide the exact legal nature of the substitution letter.  If it is to constitute an agreement then would the absence of t</w:t>
      </w:r>
      <w:r w:rsidR="000853D1" w:rsidRPr="00467317">
        <w:t>he defendant</w:t>
      </w:r>
      <w:r w:rsidR="004A2F61" w:rsidRPr="00467317">
        <w:t xml:space="preserve">s signature (as contemplated by clause 11.3.1 of the mortgage bond agreement) preclude reliance on this?  </w:t>
      </w:r>
      <w:r w:rsidR="0038780C" w:rsidRPr="00467317">
        <w:t xml:space="preserve">And if not, would enforcement of the terms of this agreement, separate from or together with the other loan agreements, be unfair, unreasonable or unduly harsh and consequently contrary to </w:t>
      </w:r>
      <w:r w:rsidR="009F4E10" w:rsidRPr="00467317">
        <w:t>public</w:t>
      </w:r>
      <w:r w:rsidR="0038780C" w:rsidRPr="00467317">
        <w:t xml:space="preserve"> policy?</w:t>
      </w:r>
      <w:r w:rsidR="005539E4">
        <w:t> </w:t>
      </w:r>
      <w:r w:rsidR="0038780C" w:rsidRPr="00467317">
        <w:rPr>
          <w:rStyle w:val="FootnoteReference"/>
        </w:rPr>
        <w:footnoteReference w:id="33"/>
      </w:r>
      <w:r w:rsidR="00D54842" w:rsidRPr="00467317">
        <w:t xml:space="preserve"> </w:t>
      </w:r>
      <w:r w:rsidR="005539E4">
        <w:t xml:space="preserve"> </w:t>
      </w:r>
      <w:r w:rsidR="00D54842" w:rsidRPr="00467317">
        <w:t xml:space="preserve">These are matters that </w:t>
      </w:r>
      <w:r w:rsidR="00476D91" w:rsidRPr="00467317">
        <w:t>can only</w:t>
      </w:r>
      <w:r w:rsidR="00D54842" w:rsidRPr="00467317">
        <w:t xml:space="preserve"> be determined </w:t>
      </w:r>
      <w:r w:rsidR="00476D91" w:rsidRPr="00467317">
        <w:t>in a trial.</w:t>
      </w:r>
    </w:p>
    <w:p w14:paraId="65B9B58A" w14:textId="08A6C40B" w:rsidR="00620074" w:rsidRPr="00467317" w:rsidRDefault="0070421C" w:rsidP="0070421C">
      <w:pPr>
        <w:pStyle w:val="Clause1Head"/>
        <w:tabs>
          <w:tab w:val="left" w:pos="680"/>
        </w:tabs>
        <w:spacing w:after="360" w:line="480" w:lineRule="auto"/>
        <w:jc w:val="both"/>
      </w:pPr>
      <w:r w:rsidRPr="00467317">
        <w:rPr>
          <w:sz w:val="22"/>
          <w:szCs w:val="22"/>
        </w:rPr>
        <w:t>[33]</w:t>
      </w:r>
      <w:r w:rsidRPr="00467317">
        <w:rPr>
          <w:sz w:val="22"/>
          <w:szCs w:val="22"/>
        </w:rPr>
        <w:tab/>
      </w:r>
      <w:r w:rsidR="00620074" w:rsidRPr="00467317">
        <w:t xml:space="preserve">I </w:t>
      </w:r>
      <w:r w:rsidR="00F84E43" w:rsidRPr="00467317">
        <w:t xml:space="preserve">also </w:t>
      </w:r>
      <w:r w:rsidR="00620074" w:rsidRPr="00467317">
        <w:t>have considerable difficulty with the email of 1 April 2020 from t</w:t>
      </w:r>
      <w:r w:rsidR="000853D1" w:rsidRPr="00467317">
        <w:t>he plaintiff</w:t>
      </w:r>
      <w:r w:rsidR="00620074" w:rsidRPr="00467317">
        <w:t xml:space="preserve">’s present attorneys of record to the conveyancing attorneys dealing with the cancellation of the bonds over Erven 292 and 293.  It will be recalled that the bond over the Tweefontein property was registered on </w:t>
      </w:r>
      <w:r w:rsidR="00620074" w:rsidRPr="00467317">
        <w:rPr>
          <w:u w:val="single"/>
        </w:rPr>
        <w:t>24 August 2018</w:t>
      </w:r>
      <w:r w:rsidR="00620074" w:rsidRPr="00467317">
        <w:t xml:space="preserve">.  </w:t>
      </w:r>
      <w:r w:rsidR="00620074" w:rsidRPr="00467317">
        <w:rPr>
          <w:i/>
          <w:iCs/>
        </w:rPr>
        <w:t>Prima facie</w:t>
      </w:r>
      <w:r w:rsidR="00620074" w:rsidRPr="00467317">
        <w:t xml:space="preserve"> this bond was intended to replace the previous security.  Why then some 18 months</w:t>
      </w:r>
      <w:r w:rsidR="00F82FFA" w:rsidRPr="00467317">
        <w:t xml:space="preserve"> later in </w:t>
      </w:r>
      <w:r w:rsidR="00F82FFA" w:rsidRPr="00467317">
        <w:rPr>
          <w:u w:val="single"/>
        </w:rPr>
        <w:t>April 2020</w:t>
      </w:r>
      <w:r w:rsidR="00620074" w:rsidRPr="00467317">
        <w:t xml:space="preserve"> </w:t>
      </w:r>
      <w:r w:rsidR="009572EC" w:rsidRPr="00467317">
        <w:t>d</w:t>
      </w:r>
      <w:r w:rsidR="00495259" w:rsidRPr="00467317">
        <w:t>id</w:t>
      </w:r>
      <w:r w:rsidR="00F82FFA" w:rsidRPr="00467317">
        <w:t xml:space="preserve"> the attorneys </w:t>
      </w:r>
      <w:r w:rsidR="00620074" w:rsidRPr="00467317">
        <w:t>advise that t</w:t>
      </w:r>
      <w:r w:rsidR="000853D1" w:rsidRPr="00467317">
        <w:t>he plaintiff</w:t>
      </w:r>
      <w:r w:rsidR="00620074" w:rsidRPr="00467317">
        <w:t xml:space="preserve"> declined to consent to the cancellation for as long as there was any indebtedness owed by Sable Hills?  </w:t>
      </w:r>
      <w:r w:rsidR="009572EC" w:rsidRPr="00467317">
        <w:t xml:space="preserve">If this was a condition of the substitution then </w:t>
      </w:r>
      <w:r w:rsidR="00DE03AD" w:rsidRPr="00467317">
        <w:t>it is not so recorded</w:t>
      </w:r>
      <w:r w:rsidR="0052629E">
        <w:t>.  S</w:t>
      </w:r>
      <w:r w:rsidR="00620074" w:rsidRPr="00467317">
        <w:t xml:space="preserve">imilarly </w:t>
      </w:r>
      <w:r w:rsidR="00463FFD" w:rsidRPr="00467317">
        <w:t>puzzling</w:t>
      </w:r>
      <w:r w:rsidR="00620074" w:rsidRPr="00467317">
        <w:t xml:space="preserve"> is the suggestion that previous consents to cancellation are revoked or repealed.  </w:t>
      </w:r>
      <w:r w:rsidR="00463FFD" w:rsidRPr="00467317">
        <w:t>If so w</w:t>
      </w:r>
      <w:r w:rsidR="00620074" w:rsidRPr="00467317">
        <w:t>hat then about the performance rendered by t</w:t>
      </w:r>
      <w:r w:rsidR="000853D1" w:rsidRPr="00467317">
        <w:t>he defendant</w:t>
      </w:r>
      <w:r w:rsidR="00620074" w:rsidRPr="00467317">
        <w:t xml:space="preserve">s in causing the bond over the Tweefontein property to be registered; are they not entitled to counter-performance?  If not, are they entitled to demand cancellation of this bond?  These are </w:t>
      </w:r>
      <w:r w:rsidR="00AC2BEF" w:rsidRPr="00467317">
        <w:t xml:space="preserve">also </w:t>
      </w:r>
      <w:r w:rsidR="00620074" w:rsidRPr="00467317">
        <w:t xml:space="preserve">matters that cannot be answered in the present </w:t>
      </w:r>
      <w:r w:rsidR="00CA2764" w:rsidRPr="00467317">
        <w:t xml:space="preserve">summary judgment </w:t>
      </w:r>
      <w:r w:rsidR="00620074" w:rsidRPr="00467317">
        <w:t>proceedings.</w:t>
      </w:r>
    </w:p>
    <w:p w14:paraId="636A1008" w14:textId="63C145FC" w:rsidR="001F5B10" w:rsidRPr="00467317" w:rsidRDefault="0070421C" w:rsidP="0070421C">
      <w:pPr>
        <w:pStyle w:val="Clause1Head"/>
        <w:tabs>
          <w:tab w:val="left" w:pos="680"/>
        </w:tabs>
        <w:spacing w:after="360" w:line="480" w:lineRule="auto"/>
        <w:jc w:val="both"/>
      </w:pPr>
      <w:r w:rsidRPr="00467317">
        <w:rPr>
          <w:sz w:val="22"/>
          <w:szCs w:val="22"/>
        </w:rPr>
        <w:t>[34]</w:t>
      </w:r>
      <w:r w:rsidRPr="00467317">
        <w:rPr>
          <w:sz w:val="22"/>
          <w:szCs w:val="22"/>
        </w:rPr>
        <w:tab/>
      </w:r>
      <w:r w:rsidR="0038780C" w:rsidRPr="00467317">
        <w:t>T</w:t>
      </w:r>
      <w:r w:rsidR="000853D1" w:rsidRPr="00467317">
        <w:t>he defendant</w:t>
      </w:r>
      <w:r w:rsidR="0038780C" w:rsidRPr="00467317">
        <w:t xml:space="preserve">s themselves are uncertain about the exact </w:t>
      </w:r>
      <w:r w:rsidR="00D217C2" w:rsidRPr="00467317">
        <w:t>nature</w:t>
      </w:r>
      <w:r w:rsidR="0038780C" w:rsidRPr="00467317">
        <w:t xml:space="preserve"> of their legal right underpinning their opposition to the application for summary judgment.  Their </w:t>
      </w:r>
      <w:r w:rsidR="0038780C" w:rsidRPr="00467317">
        <w:lastRenderedPageBreak/>
        <w:t>rendition of the nature and grounds of their defence and the material facts relied upon is not a picture of clarity, but I am not satisfied that t</w:t>
      </w:r>
      <w:r w:rsidR="000853D1" w:rsidRPr="00467317">
        <w:t>he plaintiff</w:t>
      </w:r>
      <w:r w:rsidR="0038780C" w:rsidRPr="00467317">
        <w:t>’s case is unimpeachable and that t</w:t>
      </w:r>
      <w:r w:rsidR="000853D1" w:rsidRPr="00467317">
        <w:t>he defendant</w:t>
      </w:r>
      <w:r w:rsidR="0038780C" w:rsidRPr="00467317">
        <w:t>s’ defence is bogus or bad in law. </w:t>
      </w:r>
      <w:r w:rsidR="0038780C" w:rsidRPr="00467317">
        <w:rPr>
          <w:rStyle w:val="FootnoteReference"/>
        </w:rPr>
        <w:footnoteReference w:id="34"/>
      </w:r>
      <w:r w:rsidR="0038780C" w:rsidRPr="00467317">
        <w:t xml:space="preserve">  </w:t>
      </w:r>
      <w:r w:rsidR="000A494E" w:rsidRPr="00467317">
        <w:t xml:space="preserve">I believe that </w:t>
      </w:r>
      <w:r w:rsidR="0038780C" w:rsidRPr="00467317">
        <w:t>the monetary claim is sufficient intertwined</w:t>
      </w:r>
      <w:r w:rsidR="00AF5A9A" w:rsidRPr="00467317">
        <w:t xml:space="preserve"> with the prayer for execution against immovable property</w:t>
      </w:r>
      <w:r w:rsidR="0038780C" w:rsidRPr="00467317">
        <w:t xml:space="preserve"> to </w:t>
      </w:r>
      <w:r w:rsidR="000A494E" w:rsidRPr="00467317">
        <w:t>find</w:t>
      </w:r>
      <w:r w:rsidR="0038780C" w:rsidRPr="00467317">
        <w:t xml:space="preserve"> that all disputed issues should be resolved at a trial.  I cannot accept t</w:t>
      </w:r>
      <w:r w:rsidR="000853D1" w:rsidRPr="00467317">
        <w:t>he plaintiff</w:t>
      </w:r>
      <w:r w:rsidR="0038780C" w:rsidRPr="00467317">
        <w:t>’s contention that the pleaded defence does not raise any issue for trial.</w:t>
      </w:r>
    </w:p>
    <w:p w14:paraId="3CC4B3C4" w14:textId="0CC103F3" w:rsidR="00E16567" w:rsidRPr="00467317" w:rsidRDefault="0070421C" w:rsidP="0070421C">
      <w:pPr>
        <w:pStyle w:val="Clause1Head"/>
        <w:tabs>
          <w:tab w:val="left" w:pos="680"/>
        </w:tabs>
        <w:spacing w:after="360" w:line="480" w:lineRule="auto"/>
        <w:jc w:val="both"/>
      </w:pPr>
      <w:r w:rsidRPr="00467317">
        <w:rPr>
          <w:sz w:val="22"/>
          <w:szCs w:val="22"/>
        </w:rPr>
        <w:t>[35]</w:t>
      </w:r>
      <w:r w:rsidRPr="00467317">
        <w:rPr>
          <w:sz w:val="22"/>
          <w:szCs w:val="22"/>
        </w:rPr>
        <w:tab/>
      </w:r>
      <w:r w:rsidR="00E16567" w:rsidRPr="00467317">
        <w:t>The nature of the defence raised in the</w:t>
      </w:r>
      <w:r w:rsidR="00A1645F" w:rsidRPr="00467317">
        <w:t xml:space="preserve"> plea</w:t>
      </w:r>
      <w:r w:rsidR="00E16567" w:rsidRPr="00467317">
        <w:t xml:space="preserve"> concerning the substitution letter in my view required t</w:t>
      </w:r>
      <w:r w:rsidR="000853D1" w:rsidRPr="00467317">
        <w:t>he plaintiff</w:t>
      </w:r>
      <w:r w:rsidR="00E16567" w:rsidRPr="00467317">
        <w:t xml:space="preserve">’s deponent to engage issuably with the defence </w:t>
      </w:r>
      <w:r w:rsidR="001E3377" w:rsidRPr="00467317">
        <w:t>through</w:t>
      </w:r>
      <w:r w:rsidR="00E16567" w:rsidRPr="00467317">
        <w:t xml:space="preserve"> a representative of t</w:t>
      </w:r>
      <w:r w:rsidR="000853D1" w:rsidRPr="00467317">
        <w:t>he plaintiff</w:t>
      </w:r>
      <w:r w:rsidR="00E16567" w:rsidRPr="00467317">
        <w:t xml:space="preserve"> with personal knowledge</w:t>
      </w:r>
      <w:r w:rsidR="00FB14BB" w:rsidRPr="00467317">
        <w:t xml:space="preserve"> of the facts relating to the substitution</w:t>
      </w:r>
      <w:r w:rsidR="00E16567" w:rsidRPr="00467317">
        <w:t xml:space="preserve">.  The email from Mr van Vuuren to the bond attorneys on 31 July 2018 which refers to a conversation with </w:t>
      </w:r>
      <w:r w:rsidR="00E16567" w:rsidRPr="00467317">
        <w:rPr>
          <w:i/>
          <w:iCs/>
        </w:rPr>
        <w:t>“Dries”</w:t>
      </w:r>
      <w:r w:rsidR="00E16567" w:rsidRPr="00467317">
        <w:t xml:space="preserve"> </w:t>
      </w:r>
      <w:r w:rsidR="00FB14BB" w:rsidRPr="00467317">
        <w:t xml:space="preserve">probably </w:t>
      </w:r>
      <w:r w:rsidR="00E16567" w:rsidRPr="00467317">
        <w:t>refer</w:t>
      </w:r>
      <w:r w:rsidR="00FB14BB" w:rsidRPr="00467317">
        <w:t>s</w:t>
      </w:r>
      <w:r w:rsidR="00E16567" w:rsidRPr="00467317">
        <w:t xml:space="preserve"> to a conversation with Mr Andries Venter, which could conceivably bear upon the </w:t>
      </w:r>
      <w:r w:rsidR="00E16567" w:rsidRPr="00467317">
        <w:rPr>
          <w:i/>
          <w:iCs/>
        </w:rPr>
        <w:t>bona fides</w:t>
      </w:r>
      <w:r w:rsidR="00E16567" w:rsidRPr="00467317">
        <w:t xml:space="preserve"> of the defence.</w:t>
      </w:r>
      <w:r w:rsidR="00E22D2A" w:rsidRPr="00467317">
        <w:t xml:space="preserve">  The email directly engages the question of release of security recorded in the security letter written by Mr van Vuuren.  I fail to see how t</w:t>
      </w:r>
      <w:r w:rsidR="000853D1" w:rsidRPr="00467317">
        <w:t>he plaintiff</w:t>
      </w:r>
      <w:r w:rsidR="00FB14BB" w:rsidRPr="00467317">
        <w:t xml:space="preserve">’s </w:t>
      </w:r>
      <w:r w:rsidR="00E22D2A" w:rsidRPr="00467317">
        <w:t>deponent who suggests no knowledge of this interaction</w:t>
      </w:r>
      <w:r w:rsidR="00D07661" w:rsidRPr="00467317">
        <w:t xml:space="preserve"> or of the substitution beyond the correspondence</w:t>
      </w:r>
      <w:r w:rsidR="00FE69DE" w:rsidRPr="00467317">
        <w:t>,</w:t>
      </w:r>
      <w:r w:rsidR="00E22D2A" w:rsidRPr="00467317">
        <w:t xml:space="preserve"> is able to state on oath that this defence </w:t>
      </w:r>
      <w:r w:rsidR="00D07661" w:rsidRPr="00467317">
        <w:t>is not bona fide</w:t>
      </w:r>
      <w:r w:rsidR="00E22D2A" w:rsidRPr="00467317">
        <w:t>.  I am of the view that t</w:t>
      </w:r>
      <w:r w:rsidR="000853D1" w:rsidRPr="00467317">
        <w:t>he defendant</w:t>
      </w:r>
      <w:r w:rsidR="00E22D2A" w:rsidRPr="00467317">
        <w:t xml:space="preserve">s have disclosed a </w:t>
      </w:r>
      <w:r w:rsidR="00E22D2A" w:rsidRPr="00467317">
        <w:rPr>
          <w:i/>
          <w:iCs/>
        </w:rPr>
        <w:t>bona fide</w:t>
      </w:r>
      <w:r w:rsidR="00E22D2A" w:rsidRPr="00467317">
        <w:t xml:space="preserve"> defence to the action</w:t>
      </w:r>
      <w:r w:rsidR="000B06A3" w:rsidRPr="00467317">
        <w:t xml:space="preserve"> and</w:t>
      </w:r>
      <w:r w:rsidR="00E22D2A" w:rsidRPr="00467317">
        <w:t xml:space="preserve"> t</w:t>
      </w:r>
      <w:r w:rsidR="000853D1" w:rsidRPr="00467317">
        <w:t>he plaintiff</w:t>
      </w:r>
      <w:r w:rsidR="00E22D2A" w:rsidRPr="00467317">
        <w:t xml:space="preserve"> is </w:t>
      </w:r>
      <w:r w:rsidR="000800B9" w:rsidRPr="00467317">
        <w:t xml:space="preserve">not </w:t>
      </w:r>
      <w:r w:rsidR="00E22D2A" w:rsidRPr="00467317">
        <w:t>entitled to summary judgment.</w:t>
      </w:r>
    </w:p>
    <w:p w14:paraId="6462BBB4" w14:textId="00D40D22" w:rsidR="00E22D2A" w:rsidRPr="00467317" w:rsidRDefault="00E22D2A" w:rsidP="00C33017">
      <w:pPr>
        <w:pStyle w:val="Clause1Head"/>
        <w:keepNext/>
        <w:spacing w:after="360" w:line="480" w:lineRule="auto"/>
        <w:jc w:val="both"/>
        <w:rPr>
          <w:b/>
          <w:bCs/>
        </w:rPr>
      </w:pPr>
      <w:r w:rsidRPr="00467317">
        <w:rPr>
          <w:b/>
          <w:bCs/>
        </w:rPr>
        <w:t>Case no. 2020/41768</w:t>
      </w:r>
    </w:p>
    <w:p w14:paraId="24A28458" w14:textId="2D0AA74D" w:rsidR="00E869F7" w:rsidRPr="00467317" w:rsidRDefault="0070421C" w:rsidP="0070421C">
      <w:pPr>
        <w:pStyle w:val="Clause1Head"/>
        <w:tabs>
          <w:tab w:val="left" w:pos="680"/>
        </w:tabs>
        <w:spacing w:after="360" w:line="480" w:lineRule="auto"/>
        <w:jc w:val="both"/>
      </w:pPr>
      <w:r w:rsidRPr="00467317">
        <w:rPr>
          <w:sz w:val="22"/>
          <w:szCs w:val="22"/>
        </w:rPr>
        <w:t>[36]</w:t>
      </w:r>
      <w:r w:rsidRPr="00467317">
        <w:rPr>
          <w:sz w:val="22"/>
          <w:szCs w:val="22"/>
        </w:rPr>
        <w:tab/>
      </w:r>
      <w:r w:rsidR="00433FFC" w:rsidRPr="00467317">
        <w:t>The plaintiff’s</w:t>
      </w:r>
      <w:r w:rsidR="00E22D2A" w:rsidRPr="00467317">
        <w:t xml:space="preserve"> </w:t>
      </w:r>
      <w:r w:rsidR="00687C8B" w:rsidRPr="00467317">
        <w:t>action</w:t>
      </w:r>
      <w:r w:rsidR="00E22D2A" w:rsidRPr="00467317">
        <w:t xml:space="preserve"> against the </w:t>
      </w:r>
      <w:r w:rsidR="00FE69DE" w:rsidRPr="00467317">
        <w:t>d</w:t>
      </w:r>
      <w:r w:rsidR="00C543BA" w:rsidRPr="00467317">
        <w:t>efendant</w:t>
      </w:r>
      <w:r w:rsidR="00E22D2A" w:rsidRPr="00467317">
        <w:t>s is</w:t>
      </w:r>
      <w:r w:rsidR="00A84ADC" w:rsidRPr="00467317">
        <w:t xml:space="preserve"> </w:t>
      </w:r>
      <w:r w:rsidR="00687C8B" w:rsidRPr="00467317">
        <w:t xml:space="preserve">for </w:t>
      </w:r>
      <w:r w:rsidR="00CF27CA" w:rsidRPr="00467317">
        <w:t>payment of R6</w:t>
      </w:r>
      <w:r w:rsidR="00306FEE" w:rsidRPr="00467317">
        <w:t> 273 714.24, interest and costs</w:t>
      </w:r>
      <w:r w:rsidR="0052629E">
        <w:t>.  T</w:t>
      </w:r>
      <w:r w:rsidR="00035E64" w:rsidRPr="00467317">
        <w:t>he claim is</w:t>
      </w:r>
      <w:r w:rsidR="00E22D2A" w:rsidRPr="00467317">
        <w:t xml:space="preserve"> based upon the following:</w:t>
      </w:r>
    </w:p>
    <w:p w14:paraId="00A08847" w14:textId="37149E53" w:rsidR="00E22D2A" w:rsidRPr="00467317" w:rsidRDefault="0070421C" w:rsidP="0070421C">
      <w:pPr>
        <w:pStyle w:val="Clause1Head"/>
        <w:tabs>
          <w:tab w:val="left" w:pos="1418"/>
        </w:tabs>
        <w:spacing w:after="360" w:line="480" w:lineRule="auto"/>
        <w:ind w:left="1418" w:hanging="738"/>
        <w:jc w:val="both"/>
      </w:pPr>
      <w:r w:rsidRPr="00467317">
        <w:rPr>
          <w:color w:val="000000"/>
          <w:sz w:val="20"/>
          <w:szCs w:val="20"/>
        </w:rPr>
        <w:lastRenderedPageBreak/>
        <w:t>[36.1]</w:t>
      </w:r>
      <w:r w:rsidRPr="00467317">
        <w:rPr>
          <w:color w:val="000000"/>
          <w:sz w:val="20"/>
          <w:szCs w:val="20"/>
        </w:rPr>
        <w:tab/>
      </w:r>
      <w:r w:rsidR="00E22D2A" w:rsidRPr="00467317">
        <w:t>a written loan agreement between t</w:t>
      </w:r>
      <w:r w:rsidR="000853D1" w:rsidRPr="00467317">
        <w:t>he plaintiff</w:t>
      </w:r>
      <w:r w:rsidR="00E22D2A" w:rsidRPr="00467317">
        <w:t xml:space="preserve"> and On Air concluded on 21 September 2011 for a cash loan facility up to R40 625 000,00.  The loan was to be prepaid in 120 equal monthly instalments commencing on the first month following the month on which the first drawdown was made</w:t>
      </w:r>
      <w:r w:rsidR="008A1DE2" w:rsidRPr="00467317">
        <w:t>,</w:t>
      </w:r>
      <w:r w:rsidR="00E22D2A" w:rsidRPr="00467317">
        <w:t xml:space="preserve"> and would bear interest at a fixed rate for an initial period of 24 months</w:t>
      </w:r>
      <w:r w:rsidR="008A1DE2" w:rsidRPr="00467317">
        <w:t xml:space="preserve"> and thereafter equal to t</w:t>
      </w:r>
      <w:r w:rsidR="000853D1" w:rsidRPr="00467317">
        <w:t>he plaintiff</w:t>
      </w:r>
      <w:r w:rsidR="008A1DE2" w:rsidRPr="00467317">
        <w:t>’s prime rate of interest.  It was a condition of the loan that further security as set out below would be provided</w:t>
      </w:r>
      <w:r w:rsidR="007351A2" w:rsidRPr="00467317">
        <w:t>.</w:t>
      </w:r>
    </w:p>
    <w:p w14:paraId="1634FECB" w14:textId="76E48022" w:rsidR="008A1DE2"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[36.2]</w:t>
      </w:r>
      <w:r w:rsidRPr="00467317">
        <w:rPr>
          <w:color w:val="000000"/>
          <w:sz w:val="20"/>
          <w:szCs w:val="20"/>
        </w:rPr>
        <w:tab/>
      </w:r>
      <w:r w:rsidR="00E51920" w:rsidRPr="00467317">
        <w:t>O</w:t>
      </w:r>
      <w:r w:rsidR="007351A2" w:rsidRPr="00467317">
        <w:t>n</w:t>
      </w:r>
      <w:r w:rsidR="00E51920" w:rsidRPr="00467317">
        <w:t xml:space="preserve"> Air</w:t>
      </w:r>
      <w:r w:rsidR="007351A2" w:rsidRPr="00467317">
        <w:t xml:space="preserve"> was</w:t>
      </w:r>
      <w:r w:rsidR="008A1DE2" w:rsidRPr="00467317">
        <w:t xml:space="preserve"> required to register a continuing covering mortgage bond over an office block situated in Woodmead Ext. 22 </w:t>
      </w:r>
      <w:r w:rsidR="004A775D" w:rsidRPr="00467317">
        <w:t xml:space="preserve">(“the property”) </w:t>
      </w:r>
      <w:r w:rsidR="008A1DE2" w:rsidRPr="00467317">
        <w:t>for the total loan amount plus an additional amount.  The mortgage bond was registered on 30 September 2011 with number B44291/2011</w:t>
      </w:r>
      <w:r w:rsidR="007351A2" w:rsidRPr="00467317">
        <w:t>.</w:t>
      </w:r>
    </w:p>
    <w:p w14:paraId="164E109A" w14:textId="6936D05D" w:rsidR="008A1DE2"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[36.3]</w:t>
      </w:r>
      <w:r w:rsidRPr="00467317">
        <w:rPr>
          <w:color w:val="000000"/>
          <w:sz w:val="20"/>
          <w:szCs w:val="20"/>
        </w:rPr>
        <w:tab/>
      </w:r>
      <w:r w:rsidR="008A1DE2" w:rsidRPr="00467317">
        <w:t xml:space="preserve">the </w:t>
      </w:r>
      <w:r w:rsidR="00242461" w:rsidRPr="00467317">
        <w:t>s</w:t>
      </w:r>
      <w:r w:rsidR="008A1DE2" w:rsidRPr="00467317">
        <w:t xml:space="preserve">econd to </w:t>
      </w:r>
      <w:r w:rsidR="00242461" w:rsidRPr="00467317">
        <w:t>f</w:t>
      </w:r>
      <w:r w:rsidR="008A1DE2" w:rsidRPr="00467317">
        <w:t xml:space="preserve">ourth </w:t>
      </w:r>
      <w:r w:rsidR="00242461" w:rsidRPr="00467317">
        <w:t>d</w:t>
      </w:r>
      <w:r w:rsidR="00C543BA" w:rsidRPr="00467317">
        <w:t>efendant</w:t>
      </w:r>
      <w:r w:rsidR="008A1DE2" w:rsidRPr="00467317">
        <w:t>s, being limited liability companies were required to bind themselves as securit</w:t>
      </w:r>
      <w:r w:rsidR="007351A2" w:rsidRPr="00467317">
        <w:t>ies</w:t>
      </w:r>
      <w:r w:rsidR="008A1DE2" w:rsidRPr="00467317">
        <w:t xml:space="preserve"> for and co-principal debtor</w:t>
      </w:r>
      <w:r w:rsidR="007351A2" w:rsidRPr="00467317">
        <w:t>s</w:t>
      </w:r>
      <w:r w:rsidR="008A1DE2" w:rsidRPr="00467317">
        <w:t xml:space="preserve"> with On Air for the maximum amount of R13 540 000,00 together with interest and costs.  All three deeds of suretyship are in identical terms and contain terms of the nature usually found in </w:t>
      </w:r>
      <w:r w:rsidR="00987DA7" w:rsidRPr="00467317">
        <w:t>such</w:t>
      </w:r>
      <w:r w:rsidR="008A1DE2" w:rsidRPr="00467317">
        <w:t xml:space="preserve"> documents.  The suretyship</w:t>
      </w:r>
      <w:r w:rsidR="007351A2" w:rsidRPr="00467317">
        <w:t>s</w:t>
      </w:r>
      <w:r w:rsidR="008A1DE2" w:rsidRPr="00467317">
        <w:t xml:space="preserve"> were executed by the </w:t>
      </w:r>
      <w:r w:rsidR="00242461" w:rsidRPr="00467317">
        <w:t>s</w:t>
      </w:r>
      <w:r w:rsidR="008A1DE2" w:rsidRPr="00467317">
        <w:t xml:space="preserve">econd, </w:t>
      </w:r>
      <w:r w:rsidR="00242461" w:rsidRPr="00467317">
        <w:t>t</w:t>
      </w:r>
      <w:r w:rsidR="008A1DE2" w:rsidRPr="00467317">
        <w:t xml:space="preserve">hird and </w:t>
      </w:r>
      <w:r w:rsidR="00242461" w:rsidRPr="00467317">
        <w:t>f</w:t>
      </w:r>
      <w:r w:rsidR="008A1DE2" w:rsidRPr="00467317">
        <w:t xml:space="preserve">ourth </w:t>
      </w:r>
      <w:r w:rsidR="00242461" w:rsidRPr="00467317">
        <w:t>d</w:t>
      </w:r>
      <w:r w:rsidR="00C543BA" w:rsidRPr="00467317">
        <w:t>efendant</w:t>
      </w:r>
      <w:r w:rsidR="008A1DE2" w:rsidRPr="00467317">
        <w:t>s on 26 August, 17 August and 12 August 2011, respectively.</w:t>
      </w:r>
    </w:p>
    <w:p w14:paraId="01A9E6E0" w14:textId="38D1F1D2" w:rsidR="008A1DE2" w:rsidRPr="00467317" w:rsidRDefault="0070421C" w:rsidP="0070421C">
      <w:pPr>
        <w:pStyle w:val="Clause1Head"/>
        <w:tabs>
          <w:tab w:val="left" w:pos="680"/>
        </w:tabs>
        <w:spacing w:after="360" w:line="480" w:lineRule="auto"/>
        <w:ind w:left="680" w:hanging="680"/>
        <w:jc w:val="both"/>
      </w:pPr>
      <w:r w:rsidRPr="00467317">
        <w:rPr>
          <w:sz w:val="22"/>
          <w:szCs w:val="22"/>
        </w:rPr>
        <w:t>[37]</w:t>
      </w:r>
      <w:r w:rsidRPr="00467317">
        <w:rPr>
          <w:sz w:val="22"/>
          <w:szCs w:val="22"/>
        </w:rPr>
        <w:tab/>
      </w:r>
      <w:r w:rsidR="00F867F9" w:rsidRPr="00467317">
        <w:t>On 6 August 2019 On Air sold the property for an amount of R31 004 000,00.  After registration of the transfer on 13 July 2020 an amount of R25 952 370,00 was paid to t</w:t>
      </w:r>
      <w:r w:rsidR="000853D1" w:rsidRPr="00467317">
        <w:t>he plaintiff</w:t>
      </w:r>
      <w:r w:rsidR="00F867F9" w:rsidRPr="00467317">
        <w:t>.  T</w:t>
      </w:r>
      <w:r w:rsidR="000853D1" w:rsidRPr="00467317">
        <w:t>he plaintiff</w:t>
      </w:r>
      <w:r w:rsidR="00F867F9" w:rsidRPr="00467317">
        <w:t xml:space="preserve"> alleges that on 22 October 2020 On Air was indebted to it in the amount of R6 273 714,24, plus interest on this sum at </w:t>
      </w:r>
      <w:r w:rsidR="00F867F9" w:rsidRPr="00467317">
        <w:lastRenderedPageBreak/>
        <w:t xml:space="preserve">the prime rate of interest, 7% </w:t>
      </w:r>
      <w:r w:rsidR="00F867F9" w:rsidRPr="00467317">
        <w:rPr>
          <w:i/>
          <w:iCs/>
        </w:rPr>
        <w:t>per annum</w:t>
      </w:r>
      <w:r w:rsidR="00F867F9" w:rsidRPr="00467317">
        <w:t>, calculated and capitalised monthly from 23 October 2020 to date of payment.  A certificate of balance, signed by a manager of t</w:t>
      </w:r>
      <w:r w:rsidR="000853D1" w:rsidRPr="00467317">
        <w:t>he plaintiff</w:t>
      </w:r>
      <w:r w:rsidR="00F867F9" w:rsidRPr="00467317">
        <w:t xml:space="preserve"> was attached</w:t>
      </w:r>
      <w:r w:rsidR="00D96908" w:rsidRPr="00467317">
        <w:t xml:space="preserve"> to the </w:t>
      </w:r>
      <w:r w:rsidR="00A1645F" w:rsidRPr="00467317">
        <w:t>particulars of claim</w:t>
      </w:r>
      <w:r w:rsidR="00F867F9" w:rsidRPr="00467317">
        <w:t xml:space="preserve"> confirming the indebtedness and amounts payable, which </w:t>
      </w:r>
      <w:r w:rsidR="004A775D" w:rsidRPr="00467317">
        <w:t>were</w:t>
      </w:r>
      <w:r w:rsidR="00F867F9" w:rsidRPr="00467317">
        <w:t xml:space="preserve"> unpaid.  T</w:t>
      </w:r>
      <w:r w:rsidR="000853D1" w:rsidRPr="00467317">
        <w:t>he plaintiff</w:t>
      </w:r>
      <w:r w:rsidR="00F867F9" w:rsidRPr="00467317">
        <w:t xml:space="preserve"> pleads that the loan agreement is not subject to the provisions of the National Credit Act, 34 of 2005 and that, consequently the suretyships are similarly excluded.  Judgment is prayed for against the </w:t>
      </w:r>
      <w:r w:rsidR="00242461" w:rsidRPr="00467317">
        <w:t>f</w:t>
      </w:r>
      <w:r w:rsidR="00F867F9" w:rsidRPr="00467317">
        <w:t xml:space="preserve">irst, </w:t>
      </w:r>
      <w:r w:rsidR="00242461" w:rsidRPr="00467317">
        <w:t>s</w:t>
      </w:r>
      <w:r w:rsidR="00F867F9" w:rsidRPr="00467317">
        <w:t xml:space="preserve">econd, </w:t>
      </w:r>
      <w:r w:rsidR="00242461" w:rsidRPr="00467317">
        <w:t>t</w:t>
      </w:r>
      <w:r w:rsidR="00F867F9" w:rsidRPr="00467317">
        <w:t xml:space="preserve">hird and </w:t>
      </w:r>
      <w:r w:rsidR="00242461" w:rsidRPr="00467317">
        <w:t>f</w:t>
      </w:r>
      <w:r w:rsidR="00F867F9" w:rsidRPr="00467317">
        <w:t xml:space="preserve">ourth </w:t>
      </w:r>
      <w:r w:rsidR="00242461" w:rsidRPr="00467317">
        <w:t>d</w:t>
      </w:r>
      <w:r w:rsidR="00C543BA" w:rsidRPr="00467317">
        <w:t>efendant</w:t>
      </w:r>
      <w:r w:rsidR="00F867F9" w:rsidRPr="00467317">
        <w:t>s, jointly and severally, for the amount of R6 273 714,24, interest and attorney-client cost, as provided for in the various instruments.</w:t>
      </w:r>
    </w:p>
    <w:p w14:paraId="4955A4D7" w14:textId="5637E17A" w:rsidR="00F867F9" w:rsidRPr="00467317" w:rsidRDefault="0070421C" w:rsidP="0070421C">
      <w:pPr>
        <w:pStyle w:val="Clause1Head"/>
        <w:tabs>
          <w:tab w:val="left" w:pos="680"/>
        </w:tabs>
        <w:spacing w:after="360" w:line="480" w:lineRule="auto"/>
        <w:ind w:left="680" w:hanging="680"/>
        <w:jc w:val="both"/>
      </w:pPr>
      <w:r w:rsidRPr="00467317">
        <w:rPr>
          <w:sz w:val="22"/>
          <w:szCs w:val="22"/>
        </w:rPr>
        <w:t>[38]</w:t>
      </w:r>
      <w:r w:rsidRPr="00467317">
        <w:rPr>
          <w:sz w:val="22"/>
          <w:szCs w:val="22"/>
        </w:rPr>
        <w:tab/>
      </w:r>
      <w:r w:rsidR="00F867F9" w:rsidRPr="00467317">
        <w:t>The</w:t>
      </w:r>
      <w:r w:rsidR="00A1645F" w:rsidRPr="00467317">
        <w:t xml:space="preserve"> plea</w:t>
      </w:r>
      <w:r w:rsidR="00F867F9" w:rsidRPr="00467317">
        <w:t xml:space="preserve"> delivered on behalf of t</w:t>
      </w:r>
      <w:r w:rsidR="000853D1" w:rsidRPr="00467317">
        <w:t>he defendant</w:t>
      </w:r>
      <w:r w:rsidR="00F867F9" w:rsidRPr="00467317">
        <w:t>s do</w:t>
      </w:r>
      <w:r w:rsidR="00E40D2D" w:rsidRPr="00467317">
        <w:t>es</w:t>
      </w:r>
      <w:r w:rsidR="00F867F9" w:rsidRPr="00467317">
        <w:t xml:space="preserve"> not dispute the conclusion</w:t>
      </w:r>
      <w:r w:rsidR="00E40D2D" w:rsidRPr="00467317">
        <w:t xml:space="preserve"> or validity</w:t>
      </w:r>
      <w:r w:rsidR="00F867F9" w:rsidRPr="00467317">
        <w:t xml:space="preserve"> of the various </w:t>
      </w:r>
      <w:r w:rsidR="00697ED0" w:rsidRPr="00467317">
        <w:t xml:space="preserve">debt and security </w:t>
      </w:r>
      <w:r w:rsidR="00F867F9" w:rsidRPr="00467317">
        <w:t>instruments concluded or that of the mortgage bond, nor do they take issue with the terms thereof.  Their pleaded defence is that on 31 July 2020 t</w:t>
      </w:r>
      <w:r w:rsidR="000853D1" w:rsidRPr="00467317">
        <w:t>he plaintiff</w:t>
      </w:r>
      <w:r w:rsidR="00F867F9" w:rsidRPr="00467317">
        <w:t xml:space="preserve"> (represented by various individuals, including a Mr Wikus de Jager) and t</w:t>
      </w:r>
      <w:r w:rsidR="000853D1" w:rsidRPr="00467317">
        <w:t>he defendant</w:t>
      </w:r>
      <w:r w:rsidR="00F867F9" w:rsidRPr="00467317">
        <w:t>s (represented by Mr Henning du Plessis) settled the dispute</w:t>
      </w:r>
      <w:r w:rsidR="00697ED0" w:rsidRPr="00467317">
        <w:t>,</w:t>
      </w:r>
      <w:r w:rsidR="00F867F9" w:rsidRPr="00467317">
        <w:t xml:space="preserve"> being the outstanding amount claimed.  In support of this settlement they attach an email from Mr du Plessis to Mr de Jager on 31 July 2020 which they contend confirms the settlement reached.  I deal with this further below.</w:t>
      </w:r>
    </w:p>
    <w:p w14:paraId="05AFB38E" w14:textId="01AFF432" w:rsidR="00DA446A" w:rsidRPr="00467317" w:rsidRDefault="0070421C" w:rsidP="0070421C">
      <w:pPr>
        <w:pStyle w:val="Clause1Head"/>
        <w:tabs>
          <w:tab w:val="left" w:pos="680"/>
        </w:tabs>
        <w:spacing w:after="240" w:line="480" w:lineRule="auto"/>
        <w:ind w:left="680" w:hanging="680"/>
        <w:jc w:val="both"/>
      </w:pPr>
      <w:r w:rsidRPr="00467317">
        <w:rPr>
          <w:sz w:val="22"/>
          <w:szCs w:val="22"/>
        </w:rPr>
        <w:t>[39]</w:t>
      </w:r>
      <w:r w:rsidRPr="00467317">
        <w:rPr>
          <w:sz w:val="22"/>
          <w:szCs w:val="22"/>
        </w:rPr>
        <w:tab/>
      </w:r>
      <w:r w:rsidR="00F867F9" w:rsidRPr="00467317">
        <w:t>T</w:t>
      </w:r>
      <w:r w:rsidR="000853D1" w:rsidRPr="00467317">
        <w:t>he plaintiff</w:t>
      </w:r>
      <w:r w:rsidR="00F867F9" w:rsidRPr="00467317">
        <w:t xml:space="preserve"> duly applied for summary judgment and delivered </w:t>
      </w:r>
      <w:r w:rsidR="00820670" w:rsidRPr="00467317">
        <w:t>an affidavit by a manageress of t</w:t>
      </w:r>
      <w:r w:rsidR="000853D1" w:rsidRPr="00467317">
        <w:t>he plaintiff</w:t>
      </w:r>
      <w:r w:rsidR="00820670" w:rsidRPr="00467317">
        <w:t xml:space="preserve"> whose authority is illustrated through a certificate of authority.  The affidavit contains the same wording as that referred to above under case no. 15210/2020.  The curious lack of particularity</w:t>
      </w:r>
      <w:r w:rsidR="00F844BE" w:rsidRPr="00467317">
        <w:t xml:space="preserve"> in this affidavit</w:t>
      </w:r>
      <w:r w:rsidR="00820670" w:rsidRPr="00467317">
        <w:t xml:space="preserve"> regarding what division or area of t</w:t>
      </w:r>
      <w:r w:rsidR="000853D1" w:rsidRPr="00467317">
        <w:t>he plaintiff</w:t>
      </w:r>
      <w:r w:rsidR="00820670" w:rsidRPr="00467317">
        <w:t xml:space="preserve"> the deponent is employed in is</w:t>
      </w:r>
      <w:r w:rsidR="00982207">
        <w:t>,</w:t>
      </w:r>
      <w:r w:rsidR="00820670" w:rsidRPr="00467317">
        <w:t xml:space="preserve"> however, not fatal</w:t>
      </w:r>
      <w:r w:rsidR="0052629E">
        <w:t>.  T</w:t>
      </w:r>
      <w:r w:rsidR="00820670" w:rsidRPr="00467317">
        <w:t xml:space="preserve">he deponent says in her affidavit that she has spoken to </w:t>
      </w:r>
      <w:r w:rsidR="00820670" w:rsidRPr="00467317">
        <w:lastRenderedPageBreak/>
        <w:t xml:space="preserve">Mr Lodewikus Tobias de Jager who informed her that he </w:t>
      </w:r>
      <w:r w:rsidR="00821317" w:rsidRPr="00467317">
        <w:t>did not at any stage agree to write off any portion of the debt and that the sale of the property was permitted so as to reduce the indebtedness.  A confirmatory affidavit by</w:t>
      </w:r>
      <w:r w:rsidR="00DA446A" w:rsidRPr="00467317">
        <w:t xml:space="preserve"> the said</w:t>
      </w:r>
      <w:r w:rsidR="00821317" w:rsidRPr="00467317">
        <w:t xml:space="preserve"> Mr de Jager confirming what is said in the main affidavit is attached.  I am satisfied that the deponent to the confirmatory affidavit is the individual referred to in the</w:t>
      </w:r>
      <w:r w:rsidR="00DA446A" w:rsidRPr="00467317">
        <w:t xml:space="preserve"> above</w:t>
      </w:r>
      <w:r w:rsidR="00821317" w:rsidRPr="00467317">
        <w:t xml:space="preserve"> email correspondence.  </w:t>
      </w:r>
    </w:p>
    <w:p w14:paraId="3B3A98F1" w14:textId="0BB03362" w:rsidR="00F867F9" w:rsidRPr="00467317" w:rsidRDefault="0070421C" w:rsidP="0070421C">
      <w:pPr>
        <w:pStyle w:val="Clause1Head"/>
        <w:tabs>
          <w:tab w:val="left" w:pos="680"/>
        </w:tabs>
        <w:spacing w:after="240" w:line="480" w:lineRule="auto"/>
        <w:ind w:left="680" w:hanging="680"/>
        <w:jc w:val="both"/>
      </w:pPr>
      <w:r w:rsidRPr="00467317">
        <w:rPr>
          <w:sz w:val="22"/>
          <w:szCs w:val="22"/>
        </w:rPr>
        <w:t>[40]</w:t>
      </w:r>
      <w:r w:rsidRPr="00467317">
        <w:rPr>
          <w:sz w:val="22"/>
          <w:szCs w:val="22"/>
        </w:rPr>
        <w:tab/>
      </w:r>
      <w:r w:rsidR="00821317" w:rsidRPr="00467317">
        <w:t>The main deponent</w:t>
      </w:r>
      <w:r w:rsidR="00DA446A" w:rsidRPr="00467317">
        <w:t xml:space="preserve"> to the affidavit supporting summary judg</w:t>
      </w:r>
      <w:r w:rsidR="00B57C25" w:rsidRPr="00467317">
        <w:t>ment</w:t>
      </w:r>
      <w:r w:rsidR="00821317" w:rsidRPr="00467317">
        <w:t xml:space="preserve"> refers to paragraph 24</w:t>
      </w:r>
      <w:r w:rsidR="00B57C25" w:rsidRPr="00467317">
        <w:t xml:space="preserve"> of </w:t>
      </w:r>
      <w:r w:rsidR="00E170F0" w:rsidRPr="00467317">
        <w:t>the Loan Agreement</w:t>
      </w:r>
      <w:r w:rsidR="00821317" w:rsidRPr="00467317">
        <w:t xml:space="preserve"> which is in these terms:</w:t>
      </w:r>
    </w:p>
    <w:p w14:paraId="302CC883" w14:textId="5CE2B004" w:rsidR="00821317" w:rsidRPr="00467317" w:rsidRDefault="00821317" w:rsidP="00C33017">
      <w:pPr>
        <w:pStyle w:val="Clause1Head"/>
        <w:keepNext/>
        <w:spacing w:after="120" w:line="360" w:lineRule="auto"/>
        <w:ind w:left="1985" w:right="851" w:hanging="567"/>
        <w:jc w:val="both"/>
        <w:rPr>
          <w:i/>
          <w:iCs/>
          <w:sz w:val="22"/>
          <w:szCs w:val="26"/>
        </w:rPr>
      </w:pPr>
      <w:r w:rsidRPr="00467317">
        <w:rPr>
          <w:i/>
          <w:iCs/>
          <w:sz w:val="22"/>
          <w:szCs w:val="26"/>
        </w:rPr>
        <w:t>“24.</w:t>
      </w:r>
      <w:r w:rsidRPr="00467317">
        <w:rPr>
          <w:i/>
          <w:iCs/>
          <w:sz w:val="22"/>
          <w:szCs w:val="26"/>
        </w:rPr>
        <w:tab/>
        <w:t>Variation and waiver</w:t>
      </w:r>
    </w:p>
    <w:p w14:paraId="7F877160" w14:textId="2E14320D" w:rsidR="00821317" w:rsidRPr="00467317" w:rsidRDefault="00821317" w:rsidP="00821317">
      <w:pPr>
        <w:pStyle w:val="Clause1Head"/>
        <w:spacing w:after="480" w:line="360" w:lineRule="auto"/>
        <w:ind w:left="1985" w:right="851" w:hanging="567"/>
        <w:jc w:val="both"/>
        <w:rPr>
          <w:i/>
          <w:iCs/>
          <w:sz w:val="22"/>
          <w:szCs w:val="26"/>
        </w:rPr>
      </w:pPr>
      <w:r w:rsidRPr="00467317">
        <w:rPr>
          <w:i/>
          <w:iCs/>
          <w:sz w:val="22"/>
          <w:szCs w:val="26"/>
        </w:rPr>
        <w:tab/>
        <w:t>No agreement varying or deleting any provision of the loan agreement or adding any provision, and no waiver of any rights, will be effective unless in writing and signed by the borrower and the bank.”</w:t>
      </w:r>
    </w:p>
    <w:p w14:paraId="60E6FA36" w14:textId="550253BA" w:rsidR="00821317" w:rsidRPr="00467317" w:rsidRDefault="009640B0" w:rsidP="009640B0">
      <w:pPr>
        <w:pStyle w:val="Clause1Head"/>
        <w:spacing w:after="240" w:line="480" w:lineRule="auto"/>
        <w:jc w:val="both"/>
      </w:pPr>
      <w:r w:rsidRPr="00467317">
        <w:t xml:space="preserve">         </w:t>
      </w:r>
      <w:r w:rsidR="008A6EFC" w:rsidRPr="00467317">
        <w:t>Also of relevance is clause 27:</w:t>
      </w:r>
    </w:p>
    <w:p w14:paraId="2335C591" w14:textId="36D987B5" w:rsidR="008A6EFC" w:rsidRPr="00467317" w:rsidRDefault="008A6EFC" w:rsidP="008A6EFC">
      <w:pPr>
        <w:pStyle w:val="Clause1Head"/>
        <w:spacing w:after="480" w:line="360" w:lineRule="auto"/>
        <w:ind w:left="1985" w:right="851" w:hanging="567"/>
        <w:jc w:val="both"/>
        <w:rPr>
          <w:i/>
          <w:iCs/>
          <w:sz w:val="22"/>
          <w:szCs w:val="26"/>
        </w:rPr>
      </w:pPr>
      <w:r w:rsidRPr="00467317">
        <w:rPr>
          <w:i/>
          <w:iCs/>
          <w:sz w:val="22"/>
          <w:szCs w:val="26"/>
        </w:rPr>
        <w:t>“27.</w:t>
      </w:r>
      <w:r w:rsidRPr="00467317">
        <w:rPr>
          <w:i/>
          <w:iCs/>
          <w:sz w:val="22"/>
          <w:szCs w:val="26"/>
        </w:rPr>
        <w:tab/>
        <w:t>No indulgence allowed by the bank will operate as a waiver or abandonment by the bank of its rights, or preclude the bank from exercising any of its rights, whether under the mortgage bond or the borrower’s indebtedness to the bank.”</w:t>
      </w:r>
    </w:p>
    <w:p w14:paraId="0672C707" w14:textId="44E476D9" w:rsidR="00DD1647" w:rsidRPr="00467317" w:rsidRDefault="0070421C" w:rsidP="0070421C">
      <w:pPr>
        <w:pStyle w:val="Clause1Head"/>
        <w:tabs>
          <w:tab w:val="left" w:pos="680"/>
        </w:tabs>
        <w:spacing w:after="360" w:line="480" w:lineRule="auto"/>
        <w:jc w:val="both"/>
      </w:pPr>
      <w:r w:rsidRPr="00467317">
        <w:rPr>
          <w:sz w:val="22"/>
          <w:szCs w:val="22"/>
        </w:rPr>
        <w:t>[41]</w:t>
      </w:r>
      <w:r w:rsidRPr="00467317">
        <w:rPr>
          <w:sz w:val="22"/>
          <w:szCs w:val="22"/>
        </w:rPr>
        <w:tab/>
      </w:r>
      <w:r w:rsidR="008A6EFC" w:rsidRPr="00467317">
        <w:t>T</w:t>
      </w:r>
      <w:r w:rsidR="000853D1" w:rsidRPr="00467317">
        <w:t>he defendant</w:t>
      </w:r>
      <w:r w:rsidR="008A6EFC" w:rsidRPr="00467317">
        <w:t xml:space="preserve">s delivered an extremely brief opposing affidavit in which they first asked for condonation for the late filing of their opposing affidavit.  This was not opposed and </w:t>
      </w:r>
      <w:r w:rsidR="000B3BDD" w:rsidRPr="00467317">
        <w:t xml:space="preserve">was </w:t>
      </w:r>
      <w:r w:rsidR="008A6EFC" w:rsidRPr="00467317">
        <w:t>granted.</w:t>
      </w:r>
      <w:r w:rsidR="000B3BDD" w:rsidRPr="00467317">
        <w:t xml:space="preserve">  The affidavit was along the same lines as set out in the</w:t>
      </w:r>
      <w:r w:rsidR="00A1645F" w:rsidRPr="00467317">
        <w:t xml:space="preserve"> plea</w:t>
      </w:r>
      <w:r w:rsidR="009640B0" w:rsidRPr="00467317">
        <w:t>,</w:t>
      </w:r>
      <w:r w:rsidR="000B3BDD" w:rsidRPr="00467317">
        <w:t xml:space="preserve"> alleging that on 31 July 2020 t</w:t>
      </w:r>
      <w:r w:rsidR="000853D1" w:rsidRPr="00467317">
        <w:t>he plaintiff</w:t>
      </w:r>
      <w:r w:rsidR="000B3BDD" w:rsidRPr="00467317">
        <w:t xml:space="preserve"> and t</w:t>
      </w:r>
      <w:r w:rsidR="000853D1" w:rsidRPr="00467317">
        <w:t>he defendant</w:t>
      </w:r>
      <w:r w:rsidR="000B3BDD" w:rsidRPr="00467317">
        <w:t>s settled the balance outstanding through a compromise by which t</w:t>
      </w:r>
      <w:r w:rsidR="000853D1" w:rsidRPr="00467317">
        <w:t>he plaintiff</w:t>
      </w:r>
      <w:r w:rsidR="000B3BDD" w:rsidRPr="00467317">
        <w:t xml:space="preserve"> agreed to write off the outstanding balance of R6 273 714,24</w:t>
      </w:r>
      <w:r w:rsidR="00E92265" w:rsidRPr="00467317">
        <w:t xml:space="preserve"> being</w:t>
      </w:r>
      <w:r w:rsidR="000B3BDD" w:rsidRPr="00467317">
        <w:t xml:space="preserve"> the balance owing after sale of the immovable property</w:t>
      </w:r>
      <w:r w:rsidR="00E92265" w:rsidRPr="00467317">
        <w:t xml:space="preserve"> and part payment to t</w:t>
      </w:r>
      <w:r w:rsidR="000853D1" w:rsidRPr="00467317">
        <w:t>he plaintiff</w:t>
      </w:r>
      <w:r w:rsidR="000B3BDD" w:rsidRPr="00467317">
        <w:t xml:space="preserve">.  The legal principles of </w:t>
      </w:r>
      <w:r w:rsidR="000B3BDD" w:rsidRPr="00467317">
        <w:lastRenderedPageBreak/>
        <w:t xml:space="preserve">compromise were extensively considered and analysed in the Full Bench judgment in </w:t>
      </w:r>
      <w:r w:rsidR="000B3BDD" w:rsidRPr="00467317">
        <w:rPr>
          <w:b/>
          <w:bCs/>
        </w:rPr>
        <w:t>Be Bop A Lula Manufacturing and Printing CC v Kingtex Marketing (Pty) Ltd</w:t>
      </w:r>
      <w:r w:rsidR="000B3BDD" w:rsidRPr="00467317">
        <w:t>.</w:t>
      </w:r>
      <w:r w:rsidR="00C33017">
        <w:t> </w:t>
      </w:r>
      <w:r w:rsidR="000B3BDD" w:rsidRPr="00467317">
        <w:rPr>
          <w:rStyle w:val="FootnoteReference"/>
        </w:rPr>
        <w:footnoteReference w:id="35"/>
      </w:r>
      <w:r w:rsidR="00C33017">
        <w:t xml:space="preserve">  </w:t>
      </w:r>
      <w:r w:rsidR="000B3BDD" w:rsidRPr="00467317">
        <w:t>A compromise (</w:t>
      </w:r>
      <w:r w:rsidR="000B3BDD" w:rsidRPr="00467317">
        <w:rPr>
          <w:i/>
          <w:iCs/>
        </w:rPr>
        <w:t>transactio</w:t>
      </w:r>
      <w:r w:rsidR="000B3BDD" w:rsidRPr="00467317">
        <w:t xml:space="preserve">) is an agreement in terms of which the parties to an obligation settle a dispute arising from such obligation.  Once consensus has been reached on the settlement of the dispute the original obligation is discharged and a new obligation, based on the terms of the settlement comes into existence.  The effect of a compromise is to </w:t>
      </w:r>
      <w:r w:rsidR="00377D20" w:rsidRPr="00467317">
        <w:t>put an end to the prior claim which may be disputed and uncertain</w:t>
      </w:r>
      <w:r w:rsidR="002A59F6" w:rsidRPr="00467317">
        <w:t>,</w:t>
      </w:r>
      <w:r w:rsidR="00377D20" w:rsidRPr="00467317">
        <w:t xml:space="preserve"> in the same way as if the matter were finally adjudicated on.  Compromises are to be strictly interpreted because they exclude everything which was probably not contemplated by the parties at the time they reached the compromise.  The party alleging a compromise bears the </w:t>
      </w:r>
      <w:r w:rsidR="00377D20" w:rsidRPr="00467317">
        <w:rPr>
          <w:i/>
          <w:iCs/>
        </w:rPr>
        <w:t>onus</w:t>
      </w:r>
      <w:r w:rsidR="00377D20" w:rsidRPr="00467317">
        <w:t xml:space="preserve"> of proving it.  In determining whether or not a compromise has been effected, the Court will have regard to the substance rather than the form in which it is couched or the description given to it by the parties. </w:t>
      </w:r>
      <w:r w:rsidR="00377D20" w:rsidRPr="00467317">
        <w:rPr>
          <w:rStyle w:val="FootnoteReference"/>
        </w:rPr>
        <w:footnoteReference w:id="36"/>
      </w:r>
    </w:p>
    <w:p w14:paraId="4415BEF0" w14:textId="7CDCFD0B" w:rsidR="00E22D2A" w:rsidRPr="00467317" w:rsidRDefault="0070421C" w:rsidP="0070421C">
      <w:pPr>
        <w:pStyle w:val="Clause1Head"/>
        <w:tabs>
          <w:tab w:val="left" w:pos="680"/>
        </w:tabs>
        <w:spacing w:after="360" w:line="480" w:lineRule="auto"/>
        <w:jc w:val="both"/>
      </w:pPr>
      <w:r w:rsidRPr="00467317">
        <w:rPr>
          <w:sz w:val="22"/>
          <w:szCs w:val="22"/>
        </w:rPr>
        <w:t>[42]</w:t>
      </w:r>
      <w:r w:rsidRPr="00467317">
        <w:rPr>
          <w:sz w:val="22"/>
          <w:szCs w:val="22"/>
        </w:rPr>
        <w:tab/>
      </w:r>
      <w:r w:rsidR="00377D20" w:rsidRPr="00467317">
        <w:t>Have t</w:t>
      </w:r>
      <w:r w:rsidR="000853D1" w:rsidRPr="00467317">
        <w:t>he defendant</w:t>
      </w:r>
      <w:r w:rsidR="00377D20" w:rsidRPr="00467317">
        <w:t xml:space="preserve">s established the compromise on a sufficient basis to avoid summary judgment?  I believe not.  </w:t>
      </w:r>
      <w:r w:rsidR="00A6792E" w:rsidRPr="00467317">
        <w:t>My view is based largely on</w:t>
      </w:r>
      <w:r w:rsidR="00377D20" w:rsidRPr="00467317">
        <w:t xml:space="preserve"> further emails</w:t>
      </w:r>
      <w:r w:rsidR="00A6792E" w:rsidRPr="00467317">
        <w:t xml:space="preserve"> annexed</w:t>
      </w:r>
      <w:r w:rsidR="00377D20" w:rsidRPr="00467317">
        <w:t xml:space="preserve"> to the opposing affidavit which assist in </w:t>
      </w:r>
      <w:r w:rsidR="00DD1647" w:rsidRPr="00467317">
        <w:t>an</w:t>
      </w:r>
      <w:r w:rsidR="00377D20" w:rsidRPr="00467317">
        <w:t xml:space="preserve"> evaluation of the compromise:</w:t>
      </w:r>
    </w:p>
    <w:p w14:paraId="3D9BA428" w14:textId="3FC82916" w:rsidR="00377D20"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[42.1]</w:t>
      </w:r>
      <w:r w:rsidRPr="00467317">
        <w:rPr>
          <w:color w:val="000000"/>
          <w:sz w:val="20"/>
          <w:szCs w:val="20"/>
        </w:rPr>
        <w:tab/>
      </w:r>
      <w:r w:rsidR="00377D20" w:rsidRPr="00467317">
        <w:t>on the morning of 9 March 2020 Mr du Plessis (representing t</w:t>
      </w:r>
      <w:r w:rsidR="000853D1" w:rsidRPr="00467317">
        <w:t>he defendant</w:t>
      </w:r>
      <w:r w:rsidR="00377D20" w:rsidRPr="00467317">
        <w:t>s) sent an email to Mr </w:t>
      </w:r>
      <w:r w:rsidR="0053790C" w:rsidRPr="00467317">
        <w:t xml:space="preserve">Wikus </w:t>
      </w:r>
      <w:r w:rsidR="00377D20" w:rsidRPr="00467317">
        <w:t xml:space="preserve">de Jager in which he </w:t>
      </w:r>
      <w:r w:rsidR="00297678" w:rsidRPr="00467317">
        <w:t>asked for definitive direction regarding a potential transaction with a purchaser.</w:t>
      </w:r>
      <w:r w:rsidR="00C33017">
        <w:t> </w:t>
      </w:r>
      <w:r w:rsidR="00297678" w:rsidRPr="00467317">
        <w:rPr>
          <w:rStyle w:val="FootnoteReference"/>
        </w:rPr>
        <w:footnoteReference w:id="37"/>
      </w:r>
      <w:r w:rsidR="00C33017">
        <w:t xml:space="preserve">  </w:t>
      </w:r>
      <w:r w:rsidR="00297678" w:rsidRPr="00467317">
        <w:t xml:space="preserve">Mr Henning records that the deal had been discussed between </w:t>
      </w:r>
      <w:r w:rsidR="00297678" w:rsidRPr="00467317">
        <w:rPr>
          <w:i/>
          <w:iCs/>
        </w:rPr>
        <w:t>“all parties on several occasions”</w:t>
      </w:r>
      <w:r w:rsidR="00297678" w:rsidRPr="00467317">
        <w:t xml:space="preserve"> and further advises that the deal requires </w:t>
      </w:r>
      <w:r w:rsidR="00297678" w:rsidRPr="00467317">
        <w:lastRenderedPageBreak/>
        <w:t>t</w:t>
      </w:r>
      <w:r w:rsidR="000853D1" w:rsidRPr="00467317">
        <w:t>he plaintiff</w:t>
      </w:r>
      <w:r w:rsidR="00297678" w:rsidRPr="00467317">
        <w:t xml:space="preserve"> to pay agent’s commission because the purchaser has paid all other costs;</w:t>
      </w:r>
    </w:p>
    <w:p w14:paraId="71C37A0D" w14:textId="598B94CC" w:rsidR="00297678" w:rsidRPr="00467317" w:rsidRDefault="0070421C" w:rsidP="0070421C">
      <w:pPr>
        <w:pStyle w:val="Clause1Head"/>
        <w:tabs>
          <w:tab w:val="left" w:pos="1418"/>
        </w:tabs>
        <w:spacing w:after="360" w:line="480" w:lineRule="auto"/>
        <w:ind w:left="1418" w:hanging="738"/>
        <w:jc w:val="both"/>
      </w:pPr>
      <w:r w:rsidRPr="00467317">
        <w:rPr>
          <w:color w:val="000000"/>
          <w:sz w:val="20"/>
          <w:szCs w:val="20"/>
        </w:rPr>
        <w:t>[42.2]</w:t>
      </w:r>
      <w:r w:rsidRPr="00467317">
        <w:rPr>
          <w:color w:val="000000"/>
          <w:sz w:val="20"/>
          <w:szCs w:val="20"/>
        </w:rPr>
        <w:tab/>
      </w:r>
      <w:r w:rsidR="00297678" w:rsidRPr="00467317">
        <w:t>later on the morning of that same day Mr de Jager responded by email asking to be informed what the net amount would be available to t</w:t>
      </w:r>
      <w:r w:rsidR="000853D1" w:rsidRPr="00467317">
        <w:t>he plaintiff</w:t>
      </w:r>
      <w:r w:rsidR="00297678" w:rsidRPr="00467317">
        <w:t xml:space="preserve"> should agent’s commission be deducted from the proceeds of the sale</w:t>
      </w:r>
      <w:r w:rsidR="00963185" w:rsidRPr="00467317">
        <w:t>,</w:t>
      </w:r>
      <w:r w:rsidR="00297678" w:rsidRPr="00467317">
        <w:t xml:space="preserve"> before the proposed transaction could be recommended;</w:t>
      </w:r>
    </w:p>
    <w:p w14:paraId="64B69530" w14:textId="19B89728" w:rsidR="00297678" w:rsidRPr="00467317" w:rsidRDefault="0070421C" w:rsidP="0070421C">
      <w:pPr>
        <w:pStyle w:val="Clause1Head"/>
        <w:tabs>
          <w:tab w:val="left" w:pos="1418"/>
        </w:tabs>
        <w:spacing w:after="240" w:line="480" w:lineRule="auto"/>
        <w:ind w:left="1417" w:hanging="737"/>
        <w:jc w:val="both"/>
      </w:pPr>
      <w:r w:rsidRPr="00467317">
        <w:rPr>
          <w:color w:val="000000"/>
          <w:sz w:val="20"/>
          <w:szCs w:val="20"/>
        </w:rPr>
        <w:t>[42.3]</w:t>
      </w:r>
      <w:r w:rsidRPr="00467317">
        <w:rPr>
          <w:color w:val="000000"/>
          <w:sz w:val="20"/>
          <w:szCs w:val="20"/>
        </w:rPr>
        <w:tab/>
      </w:r>
      <w:r w:rsidR="00297678" w:rsidRPr="00467317">
        <w:t>on 13 March 2020 Mr de Jager addressed a further email to t</w:t>
      </w:r>
      <w:r w:rsidR="000853D1" w:rsidRPr="00467317">
        <w:t>he defendant</w:t>
      </w:r>
      <w:r w:rsidR="00297678" w:rsidRPr="00467317">
        <w:t>s, which said the following:</w:t>
      </w:r>
    </w:p>
    <w:p w14:paraId="78C07F66" w14:textId="70A726AB" w:rsidR="00297678" w:rsidRPr="00467317" w:rsidRDefault="00297678" w:rsidP="0007057A">
      <w:pPr>
        <w:pStyle w:val="Clause1Head"/>
        <w:spacing w:after="120" w:line="360" w:lineRule="auto"/>
        <w:ind w:left="1985" w:right="851"/>
        <w:jc w:val="both"/>
        <w:rPr>
          <w:i/>
          <w:iCs/>
          <w:sz w:val="22"/>
          <w:szCs w:val="26"/>
        </w:rPr>
      </w:pPr>
      <w:r w:rsidRPr="00467317">
        <w:rPr>
          <w:i/>
          <w:iCs/>
          <w:sz w:val="22"/>
          <w:szCs w:val="26"/>
        </w:rPr>
        <w:t xml:space="preserve">“We considered the request and it was agreed that we will fund the commission from the proceeds of the sale.  </w:t>
      </w:r>
      <w:r w:rsidRPr="00467317">
        <w:rPr>
          <w:i/>
          <w:iCs/>
          <w:sz w:val="22"/>
          <w:szCs w:val="26"/>
          <w:u w:val="single"/>
        </w:rPr>
        <w:t>We will, however, require a binding contractual commitment from the share</w:t>
      </w:r>
      <w:r w:rsidRPr="00467317">
        <w:rPr>
          <w:i/>
          <w:iCs/>
          <w:sz w:val="22"/>
          <w:szCs w:val="26"/>
          <w:u w:val="single"/>
        </w:rPr>
        <w:softHyphen/>
        <w:t xml:space="preserve">holders / sureties / shareholders of the sureties as to how the shortfall of approximately </w:t>
      </w:r>
      <w:r w:rsidR="0007057A" w:rsidRPr="00467317">
        <w:rPr>
          <w:i/>
          <w:iCs/>
          <w:sz w:val="22"/>
          <w:szCs w:val="26"/>
          <w:u w:val="single"/>
        </w:rPr>
        <w:t>R5 m will be settled before we consent to cancellation.</w:t>
      </w:r>
      <w:r w:rsidR="0007057A" w:rsidRPr="00467317">
        <w:rPr>
          <w:i/>
          <w:iCs/>
          <w:sz w:val="22"/>
          <w:szCs w:val="26"/>
        </w:rPr>
        <w:t xml:space="preserve">  This can be either in the form of a once-off payment or monthly payments over a period.  We are open to proposals / settlement negotiations.</w:t>
      </w:r>
    </w:p>
    <w:p w14:paraId="578352C0" w14:textId="163D5EDB" w:rsidR="0007057A" w:rsidRPr="00467317" w:rsidRDefault="0007057A" w:rsidP="0007057A">
      <w:pPr>
        <w:pStyle w:val="Clause1Head"/>
        <w:spacing w:after="480" w:line="360" w:lineRule="auto"/>
        <w:ind w:left="1985" w:right="851"/>
        <w:jc w:val="both"/>
        <w:rPr>
          <w:sz w:val="22"/>
          <w:szCs w:val="26"/>
        </w:rPr>
      </w:pPr>
      <w:r w:rsidRPr="00467317">
        <w:rPr>
          <w:i/>
          <w:iCs/>
          <w:sz w:val="22"/>
          <w:szCs w:val="26"/>
        </w:rPr>
        <w:t>Please advise.  You are welcome to contact me should you wish to discuss.  If in agreement, we can instruct Cristine to proceed with the payment.”</w:t>
      </w:r>
      <w:r w:rsidRPr="00467317">
        <w:rPr>
          <w:sz w:val="22"/>
          <w:szCs w:val="26"/>
        </w:rPr>
        <w:t> </w:t>
      </w:r>
      <w:r w:rsidR="00963185" w:rsidRPr="00467317">
        <w:rPr>
          <w:sz w:val="22"/>
          <w:szCs w:val="26"/>
        </w:rPr>
        <w:t xml:space="preserve"> [emphasis added]</w:t>
      </w:r>
    </w:p>
    <w:p w14:paraId="07F9D587" w14:textId="6ED5C377" w:rsidR="00297678" w:rsidRPr="00467317" w:rsidRDefault="0070421C" w:rsidP="0070421C">
      <w:pPr>
        <w:pStyle w:val="Clause1Head"/>
        <w:tabs>
          <w:tab w:val="left" w:pos="1418"/>
        </w:tabs>
        <w:spacing w:after="240" w:line="480" w:lineRule="auto"/>
        <w:ind w:left="1417" w:hanging="737"/>
        <w:jc w:val="both"/>
      </w:pPr>
      <w:r w:rsidRPr="00467317">
        <w:rPr>
          <w:color w:val="000000"/>
          <w:sz w:val="20"/>
          <w:szCs w:val="20"/>
        </w:rPr>
        <w:t>[42.4]</w:t>
      </w:r>
      <w:r w:rsidRPr="00467317">
        <w:rPr>
          <w:color w:val="000000"/>
          <w:sz w:val="20"/>
          <w:szCs w:val="20"/>
        </w:rPr>
        <w:tab/>
      </w:r>
      <w:r w:rsidR="0007057A" w:rsidRPr="00467317">
        <w:t>later on the same day Mr de Jager sent a further email to Mr du Plessis, the body of which reads:</w:t>
      </w:r>
    </w:p>
    <w:p w14:paraId="62890DD7" w14:textId="2D51B526" w:rsidR="0007057A" w:rsidRPr="00467317" w:rsidRDefault="0007057A" w:rsidP="00B77119">
      <w:pPr>
        <w:pStyle w:val="Clause1Head"/>
        <w:spacing w:after="120" w:line="360" w:lineRule="auto"/>
        <w:ind w:left="1985" w:right="851"/>
        <w:jc w:val="both"/>
        <w:rPr>
          <w:i/>
          <w:iCs/>
          <w:sz w:val="22"/>
          <w:szCs w:val="26"/>
        </w:rPr>
      </w:pPr>
      <w:r w:rsidRPr="00467317">
        <w:rPr>
          <w:i/>
          <w:iCs/>
          <w:sz w:val="22"/>
          <w:szCs w:val="26"/>
        </w:rPr>
        <w:t xml:space="preserve">“With reference to our telephonic discussion, according to my records the following companies signed surety for On Air Investment Holdings (Pty) Ltd to the amount of R13,540,000 each: </w:t>
      </w:r>
    </w:p>
    <w:p w14:paraId="329F36B1" w14:textId="7DA2EFC8" w:rsidR="0007057A" w:rsidRPr="00467317" w:rsidRDefault="0070421C" w:rsidP="0070421C">
      <w:pPr>
        <w:pStyle w:val="Clause1Head"/>
        <w:spacing w:after="360" w:line="360" w:lineRule="auto"/>
        <w:ind w:left="2342" w:right="851" w:hanging="357"/>
        <w:contextualSpacing/>
        <w:jc w:val="both"/>
        <w:rPr>
          <w:i/>
          <w:iCs/>
          <w:sz w:val="22"/>
          <w:szCs w:val="26"/>
        </w:rPr>
      </w:pPr>
      <w:r w:rsidRPr="00467317">
        <w:rPr>
          <w:i/>
          <w:iCs/>
          <w:sz w:val="22"/>
          <w:szCs w:val="26"/>
        </w:rPr>
        <w:t>1.</w:t>
      </w:r>
      <w:r w:rsidRPr="00467317">
        <w:rPr>
          <w:i/>
          <w:iCs/>
          <w:sz w:val="22"/>
          <w:szCs w:val="26"/>
        </w:rPr>
        <w:tab/>
      </w:r>
      <w:r w:rsidR="0007057A" w:rsidRPr="00467317">
        <w:rPr>
          <w:i/>
          <w:iCs/>
          <w:sz w:val="22"/>
          <w:szCs w:val="26"/>
        </w:rPr>
        <w:t>First National Core (Pty) Ltd;</w:t>
      </w:r>
    </w:p>
    <w:p w14:paraId="148969D1" w14:textId="7A7535EE" w:rsidR="0007057A" w:rsidRPr="00467317" w:rsidRDefault="0070421C" w:rsidP="0070421C">
      <w:pPr>
        <w:pStyle w:val="Clause1Head"/>
        <w:spacing w:after="360" w:line="360" w:lineRule="auto"/>
        <w:ind w:left="2342" w:right="851" w:hanging="357"/>
        <w:contextualSpacing/>
        <w:jc w:val="both"/>
        <w:rPr>
          <w:i/>
          <w:iCs/>
          <w:sz w:val="22"/>
          <w:szCs w:val="26"/>
        </w:rPr>
      </w:pPr>
      <w:r w:rsidRPr="00467317">
        <w:rPr>
          <w:i/>
          <w:iCs/>
          <w:sz w:val="22"/>
          <w:szCs w:val="26"/>
        </w:rPr>
        <w:t>2.</w:t>
      </w:r>
      <w:r w:rsidRPr="00467317">
        <w:rPr>
          <w:i/>
          <w:iCs/>
          <w:sz w:val="22"/>
          <w:szCs w:val="26"/>
        </w:rPr>
        <w:tab/>
      </w:r>
      <w:r w:rsidR="0007057A" w:rsidRPr="00467317">
        <w:rPr>
          <w:i/>
          <w:iCs/>
          <w:sz w:val="22"/>
          <w:szCs w:val="26"/>
        </w:rPr>
        <w:t>Charge Up Trade and Invest (Pty) Ltd;</w:t>
      </w:r>
    </w:p>
    <w:p w14:paraId="1FC774BA" w14:textId="26573411" w:rsidR="0007057A" w:rsidRPr="00467317" w:rsidRDefault="0070421C" w:rsidP="0070421C">
      <w:pPr>
        <w:pStyle w:val="Clause1Head"/>
        <w:spacing w:after="120" w:line="360" w:lineRule="auto"/>
        <w:ind w:left="2342" w:right="851" w:hanging="357"/>
        <w:jc w:val="both"/>
        <w:rPr>
          <w:i/>
          <w:iCs/>
          <w:sz w:val="22"/>
          <w:szCs w:val="26"/>
        </w:rPr>
      </w:pPr>
      <w:r w:rsidRPr="00467317">
        <w:rPr>
          <w:i/>
          <w:iCs/>
          <w:sz w:val="22"/>
          <w:szCs w:val="26"/>
        </w:rPr>
        <w:lastRenderedPageBreak/>
        <w:t>3.</w:t>
      </w:r>
      <w:r w:rsidRPr="00467317">
        <w:rPr>
          <w:i/>
          <w:iCs/>
          <w:sz w:val="22"/>
          <w:szCs w:val="26"/>
        </w:rPr>
        <w:tab/>
      </w:r>
      <w:r w:rsidR="00B77119" w:rsidRPr="00467317">
        <w:rPr>
          <w:i/>
          <w:iCs/>
          <w:sz w:val="22"/>
          <w:szCs w:val="26"/>
        </w:rPr>
        <w:t>Sapling Trade and Invest 39 (Pty) Ltd.</w:t>
      </w:r>
    </w:p>
    <w:p w14:paraId="0BFCD02D" w14:textId="56A88294" w:rsidR="00B77119" w:rsidRPr="00467317" w:rsidRDefault="00B77119" w:rsidP="00B77119">
      <w:pPr>
        <w:pStyle w:val="Clause1Head"/>
        <w:spacing w:after="480" w:line="360" w:lineRule="auto"/>
        <w:ind w:left="1985" w:right="851"/>
        <w:jc w:val="both"/>
        <w:rPr>
          <w:i/>
          <w:iCs/>
          <w:sz w:val="22"/>
          <w:szCs w:val="26"/>
        </w:rPr>
      </w:pPr>
      <w:r w:rsidRPr="00467317">
        <w:rPr>
          <w:i/>
          <w:iCs/>
          <w:sz w:val="22"/>
          <w:szCs w:val="26"/>
        </w:rPr>
        <w:t>I will advise Christine that we will consent to the transfer of the properties against payment / guarantees to the amount of R25 952 370.00.”</w:t>
      </w:r>
    </w:p>
    <w:p w14:paraId="72CADE2C" w14:textId="7BA5E536" w:rsidR="0007057A" w:rsidRPr="00467317" w:rsidRDefault="0070421C" w:rsidP="0070421C">
      <w:pPr>
        <w:pStyle w:val="Clause1Head"/>
        <w:tabs>
          <w:tab w:val="left" w:pos="1418"/>
        </w:tabs>
        <w:spacing w:after="240" w:line="480" w:lineRule="auto"/>
        <w:ind w:left="1417" w:hanging="737"/>
        <w:jc w:val="both"/>
      </w:pPr>
      <w:r w:rsidRPr="00467317">
        <w:rPr>
          <w:color w:val="000000"/>
          <w:sz w:val="20"/>
          <w:szCs w:val="20"/>
        </w:rPr>
        <w:t>[42.5]</w:t>
      </w:r>
      <w:r w:rsidRPr="00467317">
        <w:rPr>
          <w:color w:val="000000"/>
          <w:sz w:val="20"/>
          <w:szCs w:val="20"/>
        </w:rPr>
        <w:tab/>
      </w:r>
      <w:r w:rsidR="00B77119" w:rsidRPr="00467317">
        <w:t>on 31 July 2020</w:t>
      </w:r>
      <w:r w:rsidR="00467317" w:rsidRPr="00467317">
        <w:t>,</w:t>
      </w:r>
      <w:r w:rsidR="00B77119" w:rsidRPr="00467317">
        <w:t xml:space="preserve"> Mr du Plessis wrote to Mr de Jager in the following terms:</w:t>
      </w:r>
    </w:p>
    <w:p w14:paraId="612596DA" w14:textId="5619200C" w:rsidR="00B77119" w:rsidRPr="00467317" w:rsidRDefault="00B77119" w:rsidP="00420B03">
      <w:pPr>
        <w:pStyle w:val="Clause1Head"/>
        <w:spacing w:after="120" w:line="360" w:lineRule="auto"/>
        <w:ind w:left="1985" w:right="851"/>
        <w:jc w:val="both"/>
        <w:rPr>
          <w:i/>
          <w:iCs/>
          <w:sz w:val="22"/>
          <w:szCs w:val="26"/>
        </w:rPr>
      </w:pPr>
      <w:r w:rsidRPr="00467317">
        <w:rPr>
          <w:i/>
          <w:iCs/>
          <w:sz w:val="22"/>
          <w:szCs w:val="26"/>
        </w:rPr>
        <w:t>“I need</w:t>
      </w:r>
      <w:r w:rsidR="000607E5" w:rsidRPr="00467317">
        <w:rPr>
          <w:i/>
          <w:iCs/>
          <w:sz w:val="22"/>
          <w:szCs w:val="26"/>
        </w:rPr>
        <w:t>ed</w:t>
      </w:r>
      <w:r w:rsidRPr="00467317">
        <w:rPr>
          <w:i/>
          <w:iCs/>
          <w:sz w:val="22"/>
          <w:szCs w:val="26"/>
        </w:rPr>
        <w:t xml:space="preserve"> to most sincerely thank you guys at Absa for the different roles you have played in the culmination of this sale.  We at OAI are most appreciative of the substantial write-offs that Absa eventually made and wish to reiterate that the deal would not have happened without your help.</w:t>
      </w:r>
    </w:p>
    <w:p w14:paraId="77224483" w14:textId="4DFD1034" w:rsidR="00B77119" w:rsidRPr="00467317" w:rsidRDefault="00B77119" w:rsidP="00420B03">
      <w:pPr>
        <w:pStyle w:val="Clause1Head"/>
        <w:spacing w:after="480" w:line="360" w:lineRule="auto"/>
        <w:ind w:left="1985" w:right="851"/>
        <w:jc w:val="both"/>
        <w:rPr>
          <w:i/>
          <w:iCs/>
          <w:sz w:val="22"/>
          <w:szCs w:val="26"/>
        </w:rPr>
      </w:pPr>
      <w:r w:rsidRPr="00467317">
        <w:rPr>
          <w:i/>
          <w:iCs/>
          <w:sz w:val="22"/>
          <w:szCs w:val="26"/>
        </w:rPr>
        <w:t xml:space="preserve">Your assistance was instrumental in making this happen and we are so grateful for your perseverance, </w:t>
      </w:r>
      <w:r w:rsidR="00420B03" w:rsidRPr="00467317">
        <w:rPr>
          <w:i/>
          <w:iCs/>
          <w:sz w:val="22"/>
          <w:szCs w:val="26"/>
        </w:rPr>
        <w:t>understanding and decisive action.”</w:t>
      </w:r>
    </w:p>
    <w:p w14:paraId="64672F8D" w14:textId="1D23A60C" w:rsidR="00905783" w:rsidRPr="00467317" w:rsidRDefault="0070421C" w:rsidP="0070421C">
      <w:pPr>
        <w:pStyle w:val="Clause1Head"/>
        <w:tabs>
          <w:tab w:val="left" w:pos="680"/>
        </w:tabs>
        <w:spacing w:after="360" w:line="480" w:lineRule="auto"/>
        <w:jc w:val="both"/>
      </w:pPr>
      <w:r w:rsidRPr="00467317">
        <w:rPr>
          <w:sz w:val="22"/>
          <w:szCs w:val="22"/>
        </w:rPr>
        <w:t>[43]</w:t>
      </w:r>
      <w:r w:rsidRPr="00467317">
        <w:rPr>
          <w:sz w:val="22"/>
          <w:szCs w:val="22"/>
        </w:rPr>
        <w:tab/>
      </w:r>
      <w:r w:rsidR="00420B03" w:rsidRPr="00467317">
        <w:t xml:space="preserve">The opposing affidavit does not provide any further context or background information to the string of emails.  No attempt is made to provide detail of the telephonic discussion referred to </w:t>
      </w:r>
      <w:r w:rsidR="0032094E" w:rsidRPr="00467317">
        <w:t>in the second email from Mr de Jager on 13 March 2020</w:t>
      </w:r>
      <w:r w:rsidR="00C1686C" w:rsidRPr="00467317">
        <w:t>, nor concerning the write-offs</w:t>
      </w:r>
      <w:r w:rsidR="0032094E" w:rsidRPr="00467317">
        <w:t>.  What was the discussion about the sureties which appear</w:t>
      </w:r>
      <w:r w:rsidR="00F03847" w:rsidRPr="00467317">
        <w:t>s</w:t>
      </w:r>
      <w:r w:rsidR="0032094E" w:rsidRPr="00467317">
        <w:t xml:space="preserve"> from </w:t>
      </w:r>
      <w:r w:rsidR="00F03847" w:rsidRPr="00467317">
        <w:t>Mr de Jager’s</w:t>
      </w:r>
      <w:r w:rsidR="0032094E" w:rsidRPr="00467317">
        <w:t xml:space="preserve"> email to have been important to t</w:t>
      </w:r>
      <w:r w:rsidR="000853D1" w:rsidRPr="00467317">
        <w:t>he plaintiff</w:t>
      </w:r>
      <w:r w:rsidR="0032094E" w:rsidRPr="00467317">
        <w:t xml:space="preserve">?  Reading this email without any </w:t>
      </w:r>
      <w:r w:rsidR="002C65C5" w:rsidRPr="00467317">
        <w:t>background or context</w:t>
      </w:r>
      <w:r w:rsidR="0032094E" w:rsidRPr="00467317">
        <w:t xml:space="preserve"> it appears to suggest some level of comfort on the part of t</w:t>
      </w:r>
      <w:r w:rsidR="000853D1" w:rsidRPr="00467317">
        <w:t>he plaintiff</w:t>
      </w:r>
      <w:r w:rsidR="0032094E" w:rsidRPr="00467317">
        <w:t xml:space="preserve"> to agree to the sale of the property because of the suretyships in place by the </w:t>
      </w:r>
      <w:r w:rsidR="00242461" w:rsidRPr="00467317">
        <w:t>s</w:t>
      </w:r>
      <w:r w:rsidR="0032094E" w:rsidRPr="00467317">
        <w:t xml:space="preserve">econd, </w:t>
      </w:r>
      <w:r w:rsidR="00242461" w:rsidRPr="00467317">
        <w:t>t</w:t>
      </w:r>
      <w:r w:rsidR="0032094E" w:rsidRPr="00467317">
        <w:t xml:space="preserve">hird and </w:t>
      </w:r>
      <w:r w:rsidR="00242461" w:rsidRPr="00467317">
        <w:t>f</w:t>
      </w:r>
      <w:r w:rsidR="0032094E" w:rsidRPr="00467317">
        <w:t xml:space="preserve">ourth </w:t>
      </w:r>
      <w:r w:rsidR="00242461" w:rsidRPr="00467317">
        <w:t>d</w:t>
      </w:r>
      <w:r w:rsidR="00C543BA" w:rsidRPr="00467317">
        <w:t>efendant</w:t>
      </w:r>
      <w:r w:rsidR="0032094E" w:rsidRPr="00467317">
        <w:t>s.  Did the discussion possibly concern the release of On Air from liability, but not the sureties?  I am unable to consider this because</w:t>
      </w:r>
      <w:r w:rsidR="002C65C5" w:rsidRPr="00467317">
        <w:t xml:space="preserve"> neither t</w:t>
      </w:r>
      <w:r w:rsidR="000853D1" w:rsidRPr="00467317">
        <w:t>he plaintiff</w:t>
      </w:r>
      <w:r w:rsidR="002C65C5" w:rsidRPr="00467317">
        <w:t xml:space="preserve"> nor</w:t>
      </w:r>
      <w:r w:rsidR="0032094E" w:rsidRPr="00467317">
        <w:t xml:space="preserve"> t</w:t>
      </w:r>
      <w:r w:rsidR="000853D1" w:rsidRPr="00467317">
        <w:t>he defendant</w:t>
      </w:r>
      <w:r w:rsidR="0032094E" w:rsidRPr="00467317">
        <w:t xml:space="preserve">s offered </w:t>
      </w:r>
      <w:r w:rsidR="002C65C5" w:rsidRPr="00467317">
        <w:t xml:space="preserve">any </w:t>
      </w:r>
      <w:r w:rsidR="0032094E" w:rsidRPr="00467317">
        <w:t>assistance.  The comfort of t</w:t>
      </w:r>
      <w:r w:rsidR="000853D1" w:rsidRPr="00467317">
        <w:t>he plaintiff</w:t>
      </w:r>
      <w:r w:rsidR="0032094E" w:rsidRPr="00467317">
        <w:t xml:space="preserve"> to permit the transaction to proceed because of the suretyships </w:t>
      </w:r>
      <w:r w:rsidR="002C65C5" w:rsidRPr="00467317">
        <w:t>is certainly suggested</w:t>
      </w:r>
      <w:r w:rsidR="00C60FA6" w:rsidRPr="00467317">
        <w:t xml:space="preserve"> in</w:t>
      </w:r>
      <w:r w:rsidR="0032094E" w:rsidRPr="00467317">
        <w:t xml:space="preserve"> Mr de Jager’s first email to Mr du Plessis on 13 March 2020.  The suggestion in this email that t</w:t>
      </w:r>
      <w:r w:rsidR="000853D1" w:rsidRPr="00467317">
        <w:t>he plaintiff</w:t>
      </w:r>
      <w:r w:rsidR="0032094E" w:rsidRPr="00467317">
        <w:t xml:space="preserve"> was open to proposals </w:t>
      </w:r>
      <w:r w:rsidR="0032094E" w:rsidRPr="00467317">
        <w:lastRenderedPageBreak/>
        <w:t xml:space="preserve">or settlement negotiations </w:t>
      </w:r>
      <w:r w:rsidR="00905783" w:rsidRPr="00467317">
        <w:t>is left hanging and</w:t>
      </w:r>
      <w:r w:rsidR="0032094E" w:rsidRPr="00467317">
        <w:t xml:space="preserve"> there is no objective evidence that the outstanding balance was written off or compromised</w:t>
      </w:r>
      <w:r w:rsidR="0052629E">
        <w:t>.  T</w:t>
      </w:r>
      <w:r w:rsidR="00905783" w:rsidRPr="00467317">
        <w:t xml:space="preserve">hese are matters on </w:t>
      </w:r>
      <w:r w:rsidR="008D7CA7" w:rsidRPr="00467317">
        <w:t>which t</w:t>
      </w:r>
      <w:r w:rsidR="000853D1" w:rsidRPr="00467317">
        <w:t>he defendant</w:t>
      </w:r>
      <w:r w:rsidR="008D7CA7" w:rsidRPr="00467317">
        <w:t xml:space="preserve">s </w:t>
      </w:r>
      <w:r w:rsidR="001D56B0" w:rsidRPr="00467317">
        <w:t xml:space="preserve">would at trail </w:t>
      </w:r>
      <w:r w:rsidR="008D7CA7" w:rsidRPr="00467317">
        <w:t xml:space="preserve">bear the onus. </w:t>
      </w:r>
    </w:p>
    <w:p w14:paraId="4D05180B" w14:textId="57C78AC6" w:rsidR="00EB7DE1" w:rsidRPr="00467317" w:rsidRDefault="0070421C" w:rsidP="0070421C">
      <w:pPr>
        <w:pStyle w:val="Clause1Head"/>
        <w:tabs>
          <w:tab w:val="left" w:pos="680"/>
        </w:tabs>
        <w:spacing w:after="360" w:line="480" w:lineRule="auto"/>
        <w:jc w:val="both"/>
      </w:pPr>
      <w:r w:rsidRPr="00467317">
        <w:rPr>
          <w:sz w:val="22"/>
          <w:szCs w:val="22"/>
        </w:rPr>
        <w:t>[44]</w:t>
      </w:r>
      <w:r w:rsidRPr="00467317">
        <w:rPr>
          <w:sz w:val="22"/>
          <w:szCs w:val="22"/>
        </w:rPr>
        <w:tab/>
      </w:r>
      <w:r w:rsidR="0032094E" w:rsidRPr="00467317">
        <w:t>The email from Mr du Plessis on 31 </w:t>
      </w:r>
      <w:r w:rsidR="00450EB3" w:rsidRPr="00467317">
        <w:t>July</w:t>
      </w:r>
      <w:r w:rsidR="0032094E" w:rsidRPr="00467317">
        <w:t xml:space="preserve"> 2020 referring to substantial right-offs made by t</w:t>
      </w:r>
      <w:r w:rsidR="000853D1" w:rsidRPr="00467317">
        <w:t>he plaintiff</w:t>
      </w:r>
      <w:r w:rsidR="0032094E" w:rsidRPr="00467317">
        <w:t xml:space="preserve"> is discordant with the preceding emails dealt with above.  It is</w:t>
      </w:r>
      <w:r w:rsidR="006F2A10" w:rsidRPr="00467317">
        <w:t xml:space="preserve"> commercially</w:t>
      </w:r>
      <w:r w:rsidR="0032094E" w:rsidRPr="00467317">
        <w:t xml:space="preserve"> unlikely that t</w:t>
      </w:r>
      <w:r w:rsidR="000853D1" w:rsidRPr="00467317">
        <w:t>he plaintiff</w:t>
      </w:r>
      <w:r w:rsidR="0032094E" w:rsidRPr="00467317">
        <w:t xml:space="preserve">, holding security in the form of suretyships from the </w:t>
      </w:r>
      <w:r w:rsidR="00242461" w:rsidRPr="00467317">
        <w:t>s</w:t>
      </w:r>
      <w:r w:rsidR="0032094E" w:rsidRPr="00467317">
        <w:t xml:space="preserve">econd to </w:t>
      </w:r>
      <w:r w:rsidR="00242461" w:rsidRPr="00467317">
        <w:t>f</w:t>
      </w:r>
      <w:r w:rsidR="0032094E" w:rsidRPr="00467317">
        <w:t xml:space="preserve">ourth </w:t>
      </w:r>
      <w:r w:rsidR="00242461" w:rsidRPr="00467317">
        <w:t>d</w:t>
      </w:r>
      <w:r w:rsidR="00C543BA" w:rsidRPr="00467317">
        <w:t>efendant</w:t>
      </w:r>
      <w:r w:rsidR="00450EB3" w:rsidRPr="00467317">
        <w:t>s</w:t>
      </w:r>
      <w:r w:rsidR="0032094E" w:rsidRPr="00467317">
        <w:t xml:space="preserve"> </w:t>
      </w:r>
      <w:r w:rsidR="00450EB3" w:rsidRPr="00467317">
        <w:t>would have regarded a write-off of the full outstanding balance as being an acceptable proposal or settlement.  Counsel for t</w:t>
      </w:r>
      <w:r w:rsidR="000853D1" w:rsidRPr="00467317">
        <w:t>he defendant</w:t>
      </w:r>
      <w:r w:rsidR="00450EB3" w:rsidRPr="00467317">
        <w:t>s urged me not to shut the door on t</w:t>
      </w:r>
      <w:r w:rsidR="000853D1" w:rsidRPr="00467317">
        <w:t>he defendant</w:t>
      </w:r>
      <w:r w:rsidR="00450EB3" w:rsidRPr="00467317">
        <w:t>s who</w:t>
      </w:r>
      <w:r w:rsidR="00D50EB5" w:rsidRPr="00467317">
        <w:t xml:space="preserve"> it was said</w:t>
      </w:r>
      <w:r w:rsidR="00450EB3" w:rsidRPr="00467317">
        <w:t xml:space="preserve"> have shown a triable issue.  The door has been shut by t</w:t>
      </w:r>
      <w:r w:rsidR="000853D1" w:rsidRPr="00467317">
        <w:t>he defendant</w:t>
      </w:r>
      <w:r w:rsidR="00450EB3" w:rsidRPr="00467317">
        <w:t>s themselves</w:t>
      </w:r>
      <w:r w:rsidR="00D50EB5" w:rsidRPr="00467317">
        <w:t xml:space="preserve"> through their failure</w:t>
      </w:r>
      <w:r w:rsidR="00F27861" w:rsidRPr="00467317">
        <w:t xml:space="preserve"> to</w:t>
      </w:r>
      <w:r w:rsidR="00450EB3" w:rsidRPr="00467317">
        <w:t xml:space="preserve"> demonstrate that they do indeed have a </w:t>
      </w:r>
      <w:r w:rsidR="00450EB3" w:rsidRPr="00467317">
        <w:rPr>
          <w:i/>
          <w:iCs/>
        </w:rPr>
        <w:t>bona fide</w:t>
      </w:r>
      <w:r w:rsidR="00450EB3" w:rsidRPr="00467317">
        <w:t xml:space="preserve"> defence to the action</w:t>
      </w:r>
      <w:r w:rsidR="0052629E">
        <w:t>.  I</w:t>
      </w:r>
      <w:r w:rsidR="005A053D" w:rsidRPr="00467317">
        <w:t xml:space="preserve"> should make it clear that </w:t>
      </w:r>
      <w:r w:rsidR="005A7E9B" w:rsidRPr="00467317">
        <w:t>my decision is not solely based on the affi</w:t>
      </w:r>
      <w:r w:rsidR="00F8778C" w:rsidRPr="00467317">
        <w:t>davit evidence of Mr de Jager which disputes the compromise</w:t>
      </w:r>
      <w:r w:rsidR="006F46DB">
        <w:t>.  B</w:t>
      </w:r>
      <w:r w:rsidR="00046DD9" w:rsidRPr="00467317">
        <w:t xml:space="preserve">ut this affidavit aligns sufficiently with the </w:t>
      </w:r>
      <w:r w:rsidR="00D178A4" w:rsidRPr="00467317">
        <w:t>emails to conclude that the defence of compromise has not been established as bona fide.</w:t>
      </w:r>
    </w:p>
    <w:p w14:paraId="3DF4E213" w14:textId="188F9804" w:rsidR="008A0922" w:rsidRPr="00467317" w:rsidRDefault="0070421C" w:rsidP="0070421C">
      <w:pPr>
        <w:pStyle w:val="Clause1Head"/>
        <w:tabs>
          <w:tab w:val="left" w:pos="680"/>
        </w:tabs>
        <w:spacing w:after="360" w:line="480" w:lineRule="auto"/>
        <w:jc w:val="both"/>
      </w:pPr>
      <w:r w:rsidRPr="00467317">
        <w:rPr>
          <w:sz w:val="22"/>
          <w:szCs w:val="22"/>
        </w:rPr>
        <w:t>[45]</w:t>
      </w:r>
      <w:r w:rsidRPr="00467317">
        <w:rPr>
          <w:sz w:val="22"/>
          <w:szCs w:val="22"/>
        </w:rPr>
        <w:tab/>
      </w:r>
      <w:r w:rsidR="00EB7DE1" w:rsidRPr="00467317">
        <w:t>The defendants</w:t>
      </w:r>
      <w:r w:rsidR="00F27861" w:rsidRPr="00467317">
        <w:t xml:space="preserve"> have not </w:t>
      </w:r>
      <w:r w:rsidR="002879A0" w:rsidRPr="00467317">
        <w:t xml:space="preserve">advanced a case that </w:t>
      </w:r>
      <w:r w:rsidR="00D513D3" w:rsidRPr="00467317">
        <w:t xml:space="preserve">is bona fide and which </w:t>
      </w:r>
      <w:r w:rsidR="0078110A" w:rsidRPr="00467317">
        <w:t xml:space="preserve">has </w:t>
      </w:r>
      <w:r w:rsidR="00FF1497" w:rsidRPr="00467317">
        <w:t xml:space="preserve">disclosed fully the nature and grounds of their defence and </w:t>
      </w:r>
      <w:r w:rsidR="00EC5EBD" w:rsidRPr="00467317">
        <w:t>the material facts relied on.</w:t>
      </w:r>
      <w:r w:rsidR="00450EB3" w:rsidRPr="00467317">
        <w:t xml:space="preserve">  In the result t</w:t>
      </w:r>
      <w:r w:rsidR="000853D1" w:rsidRPr="00467317">
        <w:t>he plaintiff</w:t>
      </w:r>
      <w:r w:rsidR="00450EB3" w:rsidRPr="00467317">
        <w:t xml:space="preserve"> is entitled to summary judgment.</w:t>
      </w:r>
    </w:p>
    <w:p w14:paraId="43080AEE" w14:textId="717109BD" w:rsidR="00E77AB3" w:rsidRPr="00467317" w:rsidRDefault="0070421C" w:rsidP="0070421C">
      <w:pPr>
        <w:pStyle w:val="Clause1Head"/>
        <w:tabs>
          <w:tab w:val="left" w:pos="680"/>
        </w:tabs>
        <w:spacing w:after="360" w:line="480" w:lineRule="auto"/>
        <w:ind w:left="680" w:hanging="680"/>
        <w:jc w:val="both"/>
      </w:pPr>
      <w:r w:rsidRPr="00467317">
        <w:rPr>
          <w:sz w:val="22"/>
          <w:szCs w:val="22"/>
        </w:rPr>
        <w:t>[46]</w:t>
      </w:r>
      <w:r w:rsidRPr="00467317">
        <w:rPr>
          <w:sz w:val="22"/>
          <w:szCs w:val="22"/>
        </w:rPr>
        <w:tab/>
      </w:r>
      <w:r w:rsidR="00E62E55" w:rsidRPr="00467317">
        <w:t>I make the following order</w:t>
      </w:r>
      <w:r w:rsidR="00EC5EBD" w:rsidRPr="00467317">
        <w:t>s</w:t>
      </w:r>
      <w:r w:rsidR="00E62E55" w:rsidRPr="00467317">
        <w:t>:</w:t>
      </w:r>
    </w:p>
    <w:p w14:paraId="159F481D" w14:textId="1C7E7A26" w:rsidR="00450EB3" w:rsidRPr="00467317" w:rsidRDefault="00450EB3" w:rsidP="00982207">
      <w:pPr>
        <w:pStyle w:val="Clause1Head"/>
        <w:spacing w:after="240" w:line="360" w:lineRule="auto"/>
        <w:ind w:left="1360" w:right="851" w:hanging="680"/>
        <w:jc w:val="both"/>
        <w:rPr>
          <w:i/>
          <w:sz w:val="22"/>
          <w:szCs w:val="22"/>
        </w:rPr>
      </w:pPr>
      <w:r w:rsidRPr="00467317">
        <w:rPr>
          <w:b/>
          <w:bCs/>
          <w:i/>
          <w:sz w:val="22"/>
          <w:szCs w:val="22"/>
        </w:rPr>
        <w:t>In case number 15210/2020</w:t>
      </w:r>
      <w:r w:rsidRPr="00467317">
        <w:rPr>
          <w:i/>
          <w:sz w:val="22"/>
          <w:szCs w:val="22"/>
        </w:rPr>
        <w:t>:</w:t>
      </w:r>
    </w:p>
    <w:p w14:paraId="2698245B" w14:textId="6972BAB1" w:rsidR="00E77AB3" w:rsidRPr="00467317" w:rsidRDefault="0070421C" w:rsidP="0070421C">
      <w:pPr>
        <w:pStyle w:val="Clause1Head"/>
        <w:spacing w:after="240" w:line="360" w:lineRule="auto"/>
        <w:ind w:left="1247" w:right="851" w:hanging="567"/>
        <w:jc w:val="both"/>
        <w:rPr>
          <w:i/>
          <w:szCs w:val="24"/>
        </w:rPr>
      </w:pPr>
      <w:r w:rsidRPr="00467317">
        <w:rPr>
          <w:i/>
          <w:szCs w:val="24"/>
        </w:rPr>
        <w:t>1.</w:t>
      </w:r>
      <w:r w:rsidRPr="00467317">
        <w:rPr>
          <w:i/>
          <w:szCs w:val="24"/>
        </w:rPr>
        <w:tab/>
      </w:r>
      <w:r w:rsidR="001214DD">
        <w:rPr>
          <w:i/>
          <w:szCs w:val="24"/>
        </w:rPr>
        <w:t>S</w:t>
      </w:r>
      <w:r w:rsidR="00450EB3" w:rsidRPr="00467317">
        <w:rPr>
          <w:i/>
          <w:szCs w:val="24"/>
        </w:rPr>
        <w:t>ummary judgment is refused.</w:t>
      </w:r>
    </w:p>
    <w:p w14:paraId="0678D55D" w14:textId="05AD6E72" w:rsidR="00450EB3" w:rsidRPr="00467317" w:rsidRDefault="0070421C" w:rsidP="0070421C">
      <w:pPr>
        <w:pStyle w:val="Clause1Head"/>
        <w:spacing w:after="240" w:line="360" w:lineRule="auto"/>
        <w:ind w:left="1247" w:right="851" w:hanging="567"/>
        <w:jc w:val="both"/>
        <w:rPr>
          <w:i/>
          <w:szCs w:val="24"/>
        </w:rPr>
      </w:pPr>
      <w:r w:rsidRPr="00467317">
        <w:rPr>
          <w:i/>
          <w:szCs w:val="24"/>
        </w:rPr>
        <w:t>2.</w:t>
      </w:r>
      <w:r w:rsidRPr="00467317">
        <w:rPr>
          <w:i/>
          <w:szCs w:val="24"/>
        </w:rPr>
        <w:tab/>
      </w:r>
      <w:r w:rsidR="00450EB3" w:rsidRPr="00467317">
        <w:rPr>
          <w:i/>
          <w:szCs w:val="24"/>
        </w:rPr>
        <w:t>The costs of the application are reserved for determination by the trial court.</w:t>
      </w:r>
    </w:p>
    <w:p w14:paraId="48E1A778" w14:textId="3AC5D41E" w:rsidR="00450EB3" w:rsidRPr="00467317" w:rsidRDefault="00450EB3" w:rsidP="00982207">
      <w:pPr>
        <w:pStyle w:val="Clause1Head"/>
        <w:spacing w:after="240" w:line="360" w:lineRule="auto"/>
        <w:ind w:left="680" w:right="851"/>
        <w:jc w:val="both"/>
        <w:rPr>
          <w:i/>
          <w:sz w:val="22"/>
          <w:szCs w:val="22"/>
        </w:rPr>
      </w:pPr>
      <w:r w:rsidRPr="00467317">
        <w:rPr>
          <w:b/>
          <w:bCs/>
          <w:i/>
          <w:sz w:val="22"/>
          <w:szCs w:val="22"/>
        </w:rPr>
        <w:t>In case number 41768/2020</w:t>
      </w:r>
      <w:r w:rsidRPr="00467317">
        <w:rPr>
          <w:i/>
          <w:sz w:val="22"/>
          <w:szCs w:val="22"/>
        </w:rPr>
        <w:t>:</w:t>
      </w:r>
    </w:p>
    <w:p w14:paraId="52676833" w14:textId="7D000ADB" w:rsidR="00450EB3" w:rsidRPr="00467317" w:rsidRDefault="0070421C" w:rsidP="0070421C">
      <w:pPr>
        <w:pStyle w:val="Clause1Head"/>
        <w:spacing w:after="240" w:line="360" w:lineRule="auto"/>
        <w:ind w:left="1247" w:right="851" w:hanging="567"/>
        <w:jc w:val="both"/>
        <w:rPr>
          <w:i/>
          <w:szCs w:val="24"/>
        </w:rPr>
      </w:pPr>
      <w:r w:rsidRPr="00467317">
        <w:rPr>
          <w:bCs/>
          <w:i/>
          <w:sz w:val="22"/>
          <w:szCs w:val="24"/>
        </w:rPr>
        <w:lastRenderedPageBreak/>
        <w:t>1.</w:t>
      </w:r>
      <w:r w:rsidRPr="00467317">
        <w:rPr>
          <w:bCs/>
          <w:i/>
          <w:sz w:val="22"/>
          <w:szCs w:val="24"/>
        </w:rPr>
        <w:tab/>
      </w:r>
      <w:r w:rsidR="00450EB3" w:rsidRPr="00467317">
        <w:rPr>
          <w:i/>
          <w:szCs w:val="24"/>
        </w:rPr>
        <w:t>Summary judgment is granted against t</w:t>
      </w:r>
      <w:r w:rsidR="000853D1" w:rsidRPr="00467317">
        <w:rPr>
          <w:i/>
          <w:szCs w:val="24"/>
        </w:rPr>
        <w:t>he defendant</w:t>
      </w:r>
      <w:r w:rsidR="00450EB3" w:rsidRPr="00467317">
        <w:rPr>
          <w:i/>
          <w:szCs w:val="24"/>
        </w:rPr>
        <w:t>s jointly and severally for:</w:t>
      </w:r>
    </w:p>
    <w:p w14:paraId="13A7588B" w14:textId="1BADFE43" w:rsidR="00844763" w:rsidRPr="00467317" w:rsidRDefault="0070421C" w:rsidP="0070421C">
      <w:pPr>
        <w:pStyle w:val="Clause1Head"/>
        <w:spacing w:after="240" w:line="360" w:lineRule="auto"/>
        <w:ind w:left="1814" w:right="851" w:hanging="567"/>
        <w:jc w:val="both"/>
        <w:rPr>
          <w:i/>
          <w:szCs w:val="24"/>
        </w:rPr>
      </w:pPr>
      <w:r w:rsidRPr="00467317">
        <w:rPr>
          <w:i/>
          <w:szCs w:val="24"/>
        </w:rPr>
        <w:t>(a)</w:t>
      </w:r>
      <w:r w:rsidRPr="00467317">
        <w:rPr>
          <w:i/>
          <w:szCs w:val="24"/>
        </w:rPr>
        <w:tab/>
      </w:r>
      <w:r w:rsidR="00844763" w:rsidRPr="00467317">
        <w:rPr>
          <w:i/>
          <w:szCs w:val="24"/>
        </w:rPr>
        <w:t>payment of the amount of R6 273 714,24;</w:t>
      </w:r>
    </w:p>
    <w:p w14:paraId="62FA80EE" w14:textId="4BF546E8" w:rsidR="00844763" w:rsidRPr="00467317" w:rsidRDefault="0070421C" w:rsidP="0070421C">
      <w:pPr>
        <w:pStyle w:val="Clause1Head"/>
        <w:spacing w:after="240" w:line="360" w:lineRule="auto"/>
        <w:ind w:left="1814" w:right="851" w:hanging="567"/>
        <w:jc w:val="both"/>
        <w:rPr>
          <w:i/>
          <w:szCs w:val="24"/>
        </w:rPr>
      </w:pPr>
      <w:r w:rsidRPr="00467317">
        <w:rPr>
          <w:i/>
          <w:szCs w:val="24"/>
        </w:rPr>
        <w:t>(b)</w:t>
      </w:r>
      <w:r w:rsidRPr="00467317">
        <w:rPr>
          <w:i/>
          <w:szCs w:val="24"/>
        </w:rPr>
        <w:tab/>
      </w:r>
      <w:r w:rsidR="00844763" w:rsidRPr="00467317">
        <w:rPr>
          <w:i/>
          <w:szCs w:val="24"/>
        </w:rPr>
        <w:t>interest on this amount at the rate of 7% per annum, calculated and capitalised monthly from 23 October 2020 to date of payment;</w:t>
      </w:r>
    </w:p>
    <w:p w14:paraId="084A2D30" w14:textId="63158752" w:rsidR="00450EB3" w:rsidRPr="00467317" w:rsidRDefault="0070421C" w:rsidP="0070421C">
      <w:pPr>
        <w:pStyle w:val="Clause1Head"/>
        <w:spacing w:after="240" w:line="360" w:lineRule="auto"/>
        <w:ind w:left="1247" w:right="851" w:hanging="567"/>
        <w:jc w:val="both"/>
        <w:rPr>
          <w:i/>
          <w:szCs w:val="24"/>
        </w:rPr>
      </w:pPr>
      <w:r w:rsidRPr="00467317">
        <w:rPr>
          <w:bCs/>
          <w:i/>
          <w:sz w:val="22"/>
          <w:szCs w:val="24"/>
        </w:rPr>
        <w:t>2.</w:t>
      </w:r>
      <w:r w:rsidRPr="00467317">
        <w:rPr>
          <w:bCs/>
          <w:i/>
          <w:sz w:val="22"/>
          <w:szCs w:val="24"/>
        </w:rPr>
        <w:tab/>
      </w:r>
      <w:r w:rsidR="00844763" w:rsidRPr="00467317">
        <w:rPr>
          <w:i/>
          <w:szCs w:val="24"/>
        </w:rPr>
        <w:t>Costs of suit on the scale as between attorney and client.</w:t>
      </w:r>
    </w:p>
    <w:p w14:paraId="35B76D02" w14:textId="16CD3EFA" w:rsidR="00E77AB3" w:rsidRPr="00467317" w:rsidRDefault="00E77AB3" w:rsidP="00E77AB3">
      <w:pPr>
        <w:pStyle w:val="Clause1Head"/>
        <w:spacing w:line="360" w:lineRule="auto"/>
        <w:ind w:right="851"/>
        <w:jc w:val="both"/>
        <w:rPr>
          <w:sz w:val="22"/>
          <w:szCs w:val="22"/>
        </w:rPr>
      </w:pPr>
    </w:p>
    <w:p w14:paraId="55BEAEF7" w14:textId="77777777" w:rsidR="003F7A6B" w:rsidRPr="00467317" w:rsidRDefault="003F7A6B" w:rsidP="003F7A6B">
      <w:pPr>
        <w:rPr>
          <w:rFonts w:cs="Arial"/>
          <w:szCs w:val="23"/>
        </w:rPr>
      </w:pPr>
    </w:p>
    <w:p w14:paraId="0F4B2ABA" w14:textId="346EC0BF" w:rsidR="003F7A6B" w:rsidRPr="00467317" w:rsidRDefault="0048667B" w:rsidP="003F7A6B">
      <w:pPr>
        <w:spacing w:line="360" w:lineRule="auto"/>
        <w:rPr>
          <w:rFonts w:cs="Arial"/>
          <w:szCs w:val="23"/>
        </w:rPr>
      </w:pPr>
      <w:r w:rsidRPr="00467317">
        <w:rPr>
          <w:rFonts w:cs="Arial"/>
          <w:szCs w:val="23"/>
        </w:rPr>
        <w:tab/>
      </w:r>
      <w:r w:rsidRPr="00467317">
        <w:rPr>
          <w:rFonts w:cs="Arial"/>
          <w:szCs w:val="23"/>
        </w:rPr>
        <w:tab/>
      </w:r>
      <w:r w:rsidR="003F7A6B" w:rsidRPr="00467317">
        <w:rPr>
          <w:rFonts w:cs="Arial"/>
          <w:szCs w:val="23"/>
        </w:rPr>
        <w:tab/>
      </w:r>
      <w:r w:rsidR="000E4B42" w:rsidRPr="00467317">
        <w:rPr>
          <w:rFonts w:cs="Arial"/>
          <w:szCs w:val="23"/>
        </w:rPr>
        <w:tab/>
      </w:r>
      <w:r w:rsidR="003F7A6B" w:rsidRPr="00467317">
        <w:rPr>
          <w:rFonts w:cs="Arial"/>
          <w:szCs w:val="23"/>
        </w:rPr>
        <w:tab/>
      </w:r>
      <w:r w:rsidR="003F7A6B" w:rsidRPr="00467317">
        <w:rPr>
          <w:rFonts w:cs="Arial"/>
          <w:szCs w:val="23"/>
        </w:rPr>
        <w:tab/>
      </w:r>
      <w:r w:rsidR="003F7A6B" w:rsidRPr="00467317">
        <w:rPr>
          <w:rFonts w:cs="Arial"/>
          <w:szCs w:val="23"/>
        </w:rPr>
        <w:tab/>
      </w:r>
      <w:r w:rsidR="003F7A6B" w:rsidRPr="00467317">
        <w:rPr>
          <w:rFonts w:cs="Arial"/>
          <w:szCs w:val="23"/>
        </w:rPr>
        <w:tab/>
      </w:r>
      <w:r w:rsidR="003F7A6B" w:rsidRPr="00467317">
        <w:rPr>
          <w:rFonts w:cs="Arial"/>
          <w:szCs w:val="23"/>
        </w:rPr>
        <w:tab/>
        <w:t>__________________________</w:t>
      </w:r>
    </w:p>
    <w:p w14:paraId="51B2D1C0" w14:textId="4F24BF80" w:rsidR="003F7A6B" w:rsidRPr="00467317" w:rsidRDefault="003F7A6B" w:rsidP="003F7A6B">
      <w:pPr>
        <w:rPr>
          <w:rFonts w:cs="Arial"/>
          <w:b/>
          <w:szCs w:val="23"/>
        </w:rPr>
      </w:pPr>
      <w:r w:rsidRPr="00467317">
        <w:rPr>
          <w:rFonts w:cs="Arial"/>
          <w:szCs w:val="23"/>
        </w:rPr>
        <w:tab/>
      </w:r>
      <w:r w:rsidRPr="00467317">
        <w:rPr>
          <w:rFonts w:cs="Arial"/>
          <w:szCs w:val="23"/>
        </w:rPr>
        <w:tab/>
      </w:r>
      <w:r w:rsidR="0048667B" w:rsidRPr="00467317">
        <w:rPr>
          <w:rFonts w:cs="Arial"/>
          <w:szCs w:val="23"/>
        </w:rPr>
        <w:tab/>
      </w:r>
      <w:r w:rsidR="0048667B" w:rsidRPr="00467317">
        <w:rPr>
          <w:rFonts w:cs="Arial"/>
          <w:szCs w:val="23"/>
        </w:rPr>
        <w:tab/>
      </w:r>
      <w:r w:rsidR="000E4B42" w:rsidRPr="00467317">
        <w:rPr>
          <w:rFonts w:cs="Arial"/>
          <w:szCs w:val="23"/>
        </w:rPr>
        <w:tab/>
      </w:r>
      <w:r w:rsidRPr="00467317">
        <w:rPr>
          <w:rFonts w:cs="Arial"/>
          <w:szCs w:val="23"/>
        </w:rPr>
        <w:tab/>
      </w:r>
      <w:r w:rsidRPr="00467317">
        <w:rPr>
          <w:rFonts w:cs="Arial"/>
          <w:szCs w:val="23"/>
        </w:rPr>
        <w:tab/>
      </w:r>
      <w:r w:rsidRPr="00467317">
        <w:rPr>
          <w:rFonts w:cs="Arial"/>
          <w:szCs w:val="23"/>
        </w:rPr>
        <w:tab/>
      </w:r>
      <w:r w:rsidRPr="00467317">
        <w:rPr>
          <w:rFonts w:cs="Arial"/>
          <w:szCs w:val="23"/>
        </w:rPr>
        <w:tab/>
      </w:r>
      <w:r w:rsidR="007B274B" w:rsidRPr="00467317">
        <w:rPr>
          <w:rFonts w:cs="Arial"/>
          <w:b/>
          <w:szCs w:val="23"/>
        </w:rPr>
        <w:t>N.J. GRAVES</w:t>
      </w:r>
    </w:p>
    <w:p w14:paraId="04DEF6E3" w14:textId="46D21E73" w:rsidR="00770A4E" w:rsidRPr="00467317" w:rsidRDefault="003F7A6B" w:rsidP="008E4289">
      <w:pPr>
        <w:ind w:left="720"/>
        <w:rPr>
          <w:rFonts w:cs="Arial"/>
          <w:sz w:val="22"/>
          <w:szCs w:val="23"/>
        </w:rPr>
      </w:pPr>
      <w:r w:rsidRPr="00467317">
        <w:rPr>
          <w:rFonts w:cs="Arial"/>
          <w:sz w:val="22"/>
          <w:szCs w:val="23"/>
        </w:rPr>
        <w:tab/>
      </w:r>
      <w:r w:rsidRPr="00467317">
        <w:rPr>
          <w:rFonts w:cs="Arial"/>
          <w:sz w:val="22"/>
          <w:szCs w:val="23"/>
        </w:rPr>
        <w:tab/>
      </w:r>
      <w:r w:rsidR="000E4B42" w:rsidRPr="00467317">
        <w:rPr>
          <w:rFonts w:cs="Arial"/>
          <w:sz w:val="22"/>
          <w:szCs w:val="23"/>
        </w:rPr>
        <w:tab/>
      </w:r>
      <w:r w:rsidR="0048667B" w:rsidRPr="00467317">
        <w:rPr>
          <w:rFonts w:cs="Arial"/>
          <w:sz w:val="22"/>
          <w:szCs w:val="23"/>
        </w:rPr>
        <w:tab/>
      </w:r>
      <w:r w:rsidR="0048667B" w:rsidRPr="00467317">
        <w:rPr>
          <w:rFonts w:cs="Arial"/>
          <w:sz w:val="22"/>
          <w:szCs w:val="23"/>
        </w:rPr>
        <w:tab/>
      </w:r>
      <w:r w:rsidRPr="00467317">
        <w:rPr>
          <w:rFonts w:cs="Arial"/>
          <w:sz w:val="22"/>
          <w:szCs w:val="23"/>
        </w:rPr>
        <w:tab/>
      </w:r>
      <w:r w:rsidRPr="00467317">
        <w:rPr>
          <w:rFonts w:cs="Arial"/>
          <w:sz w:val="22"/>
          <w:szCs w:val="23"/>
        </w:rPr>
        <w:tab/>
      </w:r>
      <w:r w:rsidRPr="00467317">
        <w:rPr>
          <w:rFonts w:cs="Arial"/>
          <w:sz w:val="22"/>
          <w:szCs w:val="23"/>
        </w:rPr>
        <w:tab/>
        <w:t xml:space="preserve">Acting Judge of the </w:t>
      </w:r>
      <w:r w:rsidR="00770A4E" w:rsidRPr="00467317">
        <w:rPr>
          <w:rFonts w:cs="Arial"/>
          <w:sz w:val="22"/>
          <w:szCs w:val="23"/>
        </w:rPr>
        <w:t>High Court of</w:t>
      </w:r>
    </w:p>
    <w:p w14:paraId="4130A2E2" w14:textId="59FC9584" w:rsidR="00770A4E" w:rsidRPr="00467317" w:rsidRDefault="0048667B" w:rsidP="00770A4E">
      <w:pPr>
        <w:ind w:left="5040"/>
        <w:rPr>
          <w:rFonts w:cs="Arial"/>
          <w:sz w:val="22"/>
          <w:szCs w:val="23"/>
        </w:rPr>
      </w:pPr>
      <w:r w:rsidRPr="00467317">
        <w:rPr>
          <w:rFonts w:cs="Arial"/>
          <w:sz w:val="22"/>
          <w:szCs w:val="23"/>
        </w:rPr>
        <w:t xml:space="preserve"> </w:t>
      </w:r>
      <w:r w:rsidR="00770A4E" w:rsidRPr="00467317">
        <w:rPr>
          <w:rFonts w:cs="Arial"/>
          <w:sz w:val="22"/>
          <w:szCs w:val="23"/>
        </w:rPr>
        <w:t>South Africa</w:t>
      </w:r>
    </w:p>
    <w:p w14:paraId="3E617C1B" w14:textId="1E4D0080" w:rsidR="008E4289" w:rsidRPr="00467317" w:rsidRDefault="0048667B" w:rsidP="00770A4E">
      <w:pPr>
        <w:ind w:left="5040"/>
        <w:rPr>
          <w:rFonts w:cs="Arial"/>
          <w:sz w:val="22"/>
          <w:szCs w:val="23"/>
        </w:rPr>
      </w:pPr>
      <w:r w:rsidRPr="00467317">
        <w:rPr>
          <w:rFonts w:cs="Arial"/>
          <w:sz w:val="22"/>
          <w:szCs w:val="23"/>
        </w:rPr>
        <w:t xml:space="preserve"> </w:t>
      </w:r>
      <w:r w:rsidR="003F7A6B" w:rsidRPr="00467317">
        <w:rPr>
          <w:rFonts w:cs="Arial"/>
          <w:sz w:val="22"/>
          <w:szCs w:val="23"/>
        </w:rPr>
        <w:t xml:space="preserve">Gauteng </w:t>
      </w:r>
      <w:r w:rsidR="008E4289" w:rsidRPr="00467317">
        <w:rPr>
          <w:rFonts w:cs="Arial"/>
          <w:sz w:val="22"/>
          <w:szCs w:val="23"/>
        </w:rPr>
        <w:t>Local</w:t>
      </w:r>
      <w:r w:rsidR="00770A4E" w:rsidRPr="00467317">
        <w:rPr>
          <w:rFonts w:cs="Arial"/>
          <w:sz w:val="22"/>
          <w:szCs w:val="23"/>
        </w:rPr>
        <w:t xml:space="preserve"> </w:t>
      </w:r>
      <w:r w:rsidR="008E4289" w:rsidRPr="00467317">
        <w:rPr>
          <w:rFonts w:cs="Arial"/>
          <w:sz w:val="22"/>
          <w:szCs w:val="23"/>
        </w:rPr>
        <w:t xml:space="preserve">Division </w:t>
      </w:r>
    </w:p>
    <w:p w14:paraId="3CE2FBEA" w14:textId="19A27E67" w:rsidR="003F7A6B" w:rsidRPr="00467317" w:rsidRDefault="0048667B" w:rsidP="000E4B42">
      <w:pPr>
        <w:spacing w:line="360" w:lineRule="auto"/>
        <w:ind w:left="4320" w:firstLine="720"/>
        <w:rPr>
          <w:rFonts w:cs="Arial"/>
          <w:sz w:val="22"/>
          <w:szCs w:val="23"/>
        </w:rPr>
      </w:pPr>
      <w:r w:rsidRPr="00467317">
        <w:rPr>
          <w:rFonts w:cs="Arial"/>
          <w:sz w:val="22"/>
          <w:szCs w:val="23"/>
        </w:rPr>
        <w:t xml:space="preserve"> </w:t>
      </w:r>
      <w:r w:rsidR="003F7A6B" w:rsidRPr="00467317">
        <w:rPr>
          <w:rFonts w:cs="Arial"/>
          <w:sz w:val="22"/>
          <w:szCs w:val="23"/>
        </w:rPr>
        <w:t>Johannesburg</w:t>
      </w:r>
    </w:p>
    <w:p w14:paraId="6AE70D42" w14:textId="45DA8796" w:rsidR="003F7A6B" w:rsidRPr="00467317" w:rsidRDefault="003F7A6B" w:rsidP="003F7A6B">
      <w:pPr>
        <w:spacing w:line="360" w:lineRule="auto"/>
        <w:rPr>
          <w:rFonts w:cs="Arial"/>
          <w:sz w:val="22"/>
          <w:szCs w:val="23"/>
        </w:rPr>
      </w:pPr>
    </w:p>
    <w:p w14:paraId="375ED59E" w14:textId="71F6C627" w:rsidR="00770A4E" w:rsidRPr="00467317" w:rsidRDefault="00770A4E" w:rsidP="003F7A6B">
      <w:pPr>
        <w:spacing w:line="360" w:lineRule="auto"/>
        <w:rPr>
          <w:rFonts w:cs="Arial"/>
          <w:sz w:val="22"/>
          <w:szCs w:val="23"/>
        </w:rPr>
      </w:pPr>
      <w:r w:rsidRPr="00467317">
        <w:rPr>
          <w:rFonts w:cs="Arial"/>
          <w:sz w:val="22"/>
          <w:szCs w:val="23"/>
          <w:u w:val="single"/>
        </w:rPr>
        <w:t>APPEARANCES</w:t>
      </w:r>
      <w:r w:rsidRPr="00467317">
        <w:rPr>
          <w:rFonts w:cs="Arial"/>
          <w:sz w:val="22"/>
          <w:szCs w:val="23"/>
        </w:rPr>
        <w:t>:</w:t>
      </w:r>
    </w:p>
    <w:p w14:paraId="4CC5CCB7" w14:textId="73F43EE3" w:rsidR="00770A4E" w:rsidRPr="00467317" w:rsidRDefault="00770A4E" w:rsidP="00467317">
      <w:pPr>
        <w:rPr>
          <w:rFonts w:cs="Arial"/>
          <w:sz w:val="22"/>
          <w:szCs w:val="23"/>
        </w:rPr>
      </w:pPr>
      <w:r w:rsidRPr="00467317">
        <w:rPr>
          <w:rFonts w:cs="Arial"/>
          <w:sz w:val="22"/>
          <w:szCs w:val="23"/>
        </w:rPr>
        <w:t>Date of hearing:</w:t>
      </w:r>
      <w:r w:rsidRPr="00467317">
        <w:rPr>
          <w:rFonts w:cs="Arial"/>
          <w:sz w:val="22"/>
          <w:szCs w:val="23"/>
        </w:rPr>
        <w:tab/>
      </w:r>
      <w:r w:rsidRPr="00467317">
        <w:rPr>
          <w:rFonts w:cs="Arial"/>
          <w:sz w:val="22"/>
          <w:szCs w:val="23"/>
        </w:rPr>
        <w:tab/>
      </w:r>
      <w:r w:rsidR="0048667B" w:rsidRPr="00467317">
        <w:rPr>
          <w:rFonts w:cs="Arial"/>
          <w:sz w:val="22"/>
          <w:szCs w:val="23"/>
        </w:rPr>
        <w:tab/>
      </w:r>
      <w:r w:rsidRPr="00467317">
        <w:rPr>
          <w:rFonts w:cs="Arial"/>
          <w:sz w:val="22"/>
          <w:szCs w:val="23"/>
        </w:rPr>
        <w:tab/>
      </w:r>
      <w:bookmarkStart w:id="7" w:name="_Hlk98149309"/>
      <w:r w:rsidR="00CE3EF4" w:rsidRPr="00467317">
        <w:rPr>
          <w:rFonts w:cs="Arial"/>
          <w:sz w:val="22"/>
          <w:szCs w:val="23"/>
        </w:rPr>
        <w:t xml:space="preserve">Case </w:t>
      </w:r>
      <w:r w:rsidR="00924674" w:rsidRPr="00467317">
        <w:rPr>
          <w:rFonts w:cs="Arial"/>
          <w:sz w:val="22"/>
          <w:szCs w:val="23"/>
        </w:rPr>
        <w:t>n</w:t>
      </w:r>
      <w:r w:rsidR="00CE3EF4" w:rsidRPr="00467317">
        <w:rPr>
          <w:rFonts w:cs="Arial"/>
          <w:sz w:val="22"/>
          <w:szCs w:val="23"/>
        </w:rPr>
        <w:t xml:space="preserve">o: </w:t>
      </w:r>
      <w:r w:rsidR="00BB4F2D" w:rsidRPr="00467317">
        <w:rPr>
          <w:rFonts w:cs="Arial"/>
          <w:sz w:val="22"/>
          <w:szCs w:val="23"/>
        </w:rPr>
        <w:t>2020/15210</w:t>
      </w:r>
      <w:bookmarkEnd w:id="7"/>
      <w:r w:rsidR="00BB4F2D" w:rsidRPr="00467317">
        <w:rPr>
          <w:rFonts w:cs="Arial"/>
          <w:sz w:val="22"/>
          <w:szCs w:val="23"/>
        </w:rPr>
        <w:t>: 11</w:t>
      </w:r>
      <w:r w:rsidRPr="00467317">
        <w:rPr>
          <w:rFonts w:cs="Arial"/>
          <w:sz w:val="22"/>
          <w:szCs w:val="23"/>
        </w:rPr>
        <w:t xml:space="preserve"> </w:t>
      </w:r>
      <w:r w:rsidR="007B274B" w:rsidRPr="00467317">
        <w:rPr>
          <w:rFonts w:cs="Arial"/>
          <w:sz w:val="22"/>
          <w:szCs w:val="23"/>
        </w:rPr>
        <w:t>October 2021</w:t>
      </w:r>
    </w:p>
    <w:p w14:paraId="3DBF84F2" w14:textId="0D28962E" w:rsidR="00BB4F2D" w:rsidRPr="00467317" w:rsidRDefault="00924674" w:rsidP="00467317">
      <w:pPr>
        <w:rPr>
          <w:rFonts w:cs="Arial"/>
          <w:sz w:val="22"/>
          <w:szCs w:val="23"/>
        </w:rPr>
      </w:pPr>
      <w:r w:rsidRPr="00467317">
        <w:rPr>
          <w:rFonts w:cs="Arial"/>
          <w:sz w:val="22"/>
          <w:szCs w:val="23"/>
        </w:rPr>
        <w:tab/>
      </w:r>
      <w:r w:rsidRPr="00467317">
        <w:rPr>
          <w:rFonts w:cs="Arial"/>
          <w:sz w:val="22"/>
          <w:szCs w:val="23"/>
        </w:rPr>
        <w:tab/>
      </w:r>
      <w:r w:rsidRPr="00467317">
        <w:rPr>
          <w:rFonts w:cs="Arial"/>
          <w:sz w:val="22"/>
          <w:szCs w:val="23"/>
        </w:rPr>
        <w:tab/>
        <w:t xml:space="preserve">                            Case no: </w:t>
      </w:r>
      <w:r w:rsidR="0062729A" w:rsidRPr="00467317">
        <w:rPr>
          <w:rFonts w:cs="Arial"/>
          <w:sz w:val="22"/>
          <w:szCs w:val="23"/>
        </w:rPr>
        <w:t xml:space="preserve">2020/41768: </w:t>
      </w:r>
      <w:r w:rsidR="00C676E4" w:rsidRPr="00467317">
        <w:rPr>
          <w:rFonts w:cs="Arial"/>
          <w:sz w:val="22"/>
          <w:szCs w:val="23"/>
        </w:rPr>
        <w:t>12 October 2021</w:t>
      </w:r>
    </w:p>
    <w:p w14:paraId="656B664F" w14:textId="1F585F13" w:rsidR="00770A4E" w:rsidRPr="00467317" w:rsidRDefault="00770A4E" w:rsidP="00770A4E">
      <w:pPr>
        <w:rPr>
          <w:rFonts w:cs="Arial"/>
          <w:sz w:val="22"/>
          <w:szCs w:val="23"/>
        </w:rPr>
      </w:pPr>
    </w:p>
    <w:p w14:paraId="5B4B6DEF" w14:textId="07DD1204" w:rsidR="00770A4E" w:rsidRPr="00467317" w:rsidRDefault="00770A4E" w:rsidP="00770A4E">
      <w:pPr>
        <w:rPr>
          <w:rFonts w:cs="Arial"/>
          <w:sz w:val="22"/>
          <w:szCs w:val="23"/>
        </w:rPr>
      </w:pPr>
      <w:r w:rsidRPr="00467317">
        <w:rPr>
          <w:rFonts w:cs="Arial"/>
          <w:sz w:val="22"/>
          <w:szCs w:val="23"/>
        </w:rPr>
        <w:t>Date of judgment:</w:t>
      </w:r>
      <w:r w:rsidRPr="00467317">
        <w:rPr>
          <w:rFonts w:cs="Arial"/>
          <w:sz w:val="22"/>
          <w:szCs w:val="23"/>
        </w:rPr>
        <w:tab/>
      </w:r>
      <w:r w:rsidR="0048667B" w:rsidRPr="00467317">
        <w:rPr>
          <w:rFonts w:cs="Arial"/>
          <w:sz w:val="22"/>
          <w:szCs w:val="23"/>
        </w:rPr>
        <w:tab/>
      </w:r>
      <w:r w:rsidRPr="00467317">
        <w:rPr>
          <w:rFonts w:cs="Arial"/>
          <w:sz w:val="22"/>
          <w:szCs w:val="23"/>
        </w:rPr>
        <w:tab/>
      </w:r>
      <w:r w:rsidR="00844763" w:rsidRPr="00467317">
        <w:rPr>
          <w:rFonts w:cs="Arial"/>
          <w:sz w:val="22"/>
          <w:szCs w:val="23"/>
        </w:rPr>
        <w:t>1</w:t>
      </w:r>
      <w:r w:rsidR="001C047B" w:rsidRPr="00467317">
        <w:rPr>
          <w:rFonts w:cs="Arial"/>
          <w:sz w:val="22"/>
          <w:szCs w:val="23"/>
        </w:rPr>
        <w:t>5</w:t>
      </w:r>
      <w:r w:rsidR="00DF1E39" w:rsidRPr="00467317">
        <w:rPr>
          <w:rFonts w:cs="Arial"/>
          <w:sz w:val="22"/>
          <w:szCs w:val="23"/>
        </w:rPr>
        <w:t xml:space="preserve"> </w:t>
      </w:r>
      <w:r w:rsidR="00546324" w:rsidRPr="00467317">
        <w:rPr>
          <w:rFonts w:cs="Arial"/>
          <w:sz w:val="22"/>
          <w:szCs w:val="23"/>
        </w:rPr>
        <w:t xml:space="preserve">March </w:t>
      </w:r>
      <w:r w:rsidR="007B274B" w:rsidRPr="00467317">
        <w:rPr>
          <w:rFonts w:cs="Arial"/>
          <w:sz w:val="22"/>
          <w:szCs w:val="23"/>
        </w:rPr>
        <w:t>202</w:t>
      </w:r>
      <w:r w:rsidR="00546324" w:rsidRPr="00467317">
        <w:rPr>
          <w:rFonts w:cs="Arial"/>
          <w:sz w:val="22"/>
          <w:szCs w:val="23"/>
        </w:rPr>
        <w:t>2</w:t>
      </w:r>
    </w:p>
    <w:p w14:paraId="19CC46D3" w14:textId="67A98E6E" w:rsidR="00770A4E" w:rsidRPr="00467317" w:rsidRDefault="00770A4E" w:rsidP="003F7A6B">
      <w:pPr>
        <w:spacing w:line="360" w:lineRule="auto"/>
        <w:rPr>
          <w:rFonts w:cs="Arial"/>
          <w:sz w:val="22"/>
          <w:szCs w:val="23"/>
        </w:rPr>
      </w:pPr>
    </w:p>
    <w:p w14:paraId="72CC06E9" w14:textId="5B720BC1" w:rsidR="00DA18FC" w:rsidRPr="00467317" w:rsidRDefault="003F7A6B" w:rsidP="003F7A6B">
      <w:pPr>
        <w:rPr>
          <w:rFonts w:cs="Arial"/>
          <w:sz w:val="22"/>
          <w:szCs w:val="23"/>
        </w:rPr>
      </w:pPr>
      <w:r w:rsidRPr="00467317">
        <w:rPr>
          <w:rFonts w:cs="Arial"/>
          <w:sz w:val="22"/>
          <w:szCs w:val="23"/>
        </w:rPr>
        <w:t xml:space="preserve">Counsel for the </w:t>
      </w:r>
      <w:r w:rsidR="0072353E" w:rsidRPr="00467317">
        <w:rPr>
          <w:rFonts w:cs="Arial"/>
          <w:sz w:val="22"/>
          <w:szCs w:val="23"/>
        </w:rPr>
        <w:t>plaintiff</w:t>
      </w:r>
      <w:r w:rsidR="00C676E4" w:rsidRPr="00467317">
        <w:rPr>
          <w:rFonts w:cs="Arial"/>
          <w:sz w:val="22"/>
          <w:szCs w:val="23"/>
        </w:rPr>
        <w:t xml:space="preserve"> (Case no: </w:t>
      </w:r>
      <w:bookmarkStart w:id="8" w:name="_Hlk98149592"/>
      <w:r w:rsidR="00C676E4" w:rsidRPr="00467317">
        <w:rPr>
          <w:rFonts w:cs="Arial"/>
          <w:sz w:val="22"/>
          <w:szCs w:val="23"/>
        </w:rPr>
        <w:t>2020/15210)</w:t>
      </w:r>
      <w:bookmarkEnd w:id="8"/>
      <w:r w:rsidRPr="00467317">
        <w:rPr>
          <w:rFonts w:cs="Arial"/>
          <w:sz w:val="22"/>
          <w:szCs w:val="23"/>
        </w:rPr>
        <w:t>:</w:t>
      </w:r>
      <w:r w:rsidRPr="00467317">
        <w:rPr>
          <w:rFonts w:cs="Arial"/>
          <w:sz w:val="22"/>
          <w:szCs w:val="23"/>
        </w:rPr>
        <w:tab/>
      </w:r>
      <w:r w:rsidR="00034C6E" w:rsidRPr="00467317">
        <w:rPr>
          <w:rFonts w:cs="Arial"/>
          <w:sz w:val="22"/>
          <w:szCs w:val="23"/>
        </w:rPr>
        <w:t xml:space="preserve">   </w:t>
      </w:r>
      <w:r w:rsidR="0046733C" w:rsidRPr="00467317">
        <w:rPr>
          <w:rFonts w:cs="Arial"/>
          <w:sz w:val="22"/>
          <w:szCs w:val="23"/>
        </w:rPr>
        <w:t xml:space="preserve">ADV. </w:t>
      </w:r>
      <w:r w:rsidR="00233539" w:rsidRPr="00467317">
        <w:rPr>
          <w:rFonts w:cs="Arial"/>
          <w:sz w:val="22"/>
          <w:szCs w:val="23"/>
        </w:rPr>
        <w:t>N Alli</w:t>
      </w:r>
    </w:p>
    <w:p w14:paraId="48AE6284" w14:textId="2CE9B5B4" w:rsidR="003F7A6B" w:rsidRPr="00467317" w:rsidRDefault="003F7A6B" w:rsidP="003F7A6B">
      <w:pPr>
        <w:rPr>
          <w:rFonts w:cs="Arial"/>
          <w:sz w:val="22"/>
          <w:szCs w:val="23"/>
        </w:rPr>
      </w:pPr>
      <w:r w:rsidRPr="00467317">
        <w:rPr>
          <w:rFonts w:cs="Arial"/>
          <w:sz w:val="22"/>
          <w:szCs w:val="23"/>
        </w:rPr>
        <w:t>Instructed by:</w:t>
      </w:r>
      <w:r w:rsidRPr="00467317">
        <w:rPr>
          <w:rFonts w:cs="Arial"/>
          <w:sz w:val="22"/>
          <w:szCs w:val="23"/>
        </w:rPr>
        <w:tab/>
      </w:r>
      <w:r w:rsidR="00233539" w:rsidRPr="00467317">
        <w:rPr>
          <w:rFonts w:cs="Arial"/>
          <w:sz w:val="22"/>
          <w:szCs w:val="23"/>
        </w:rPr>
        <w:t xml:space="preserve">                                                       </w:t>
      </w:r>
      <w:r w:rsidR="00034C6E" w:rsidRPr="00467317">
        <w:rPr>
          <w:rFonts w:cs="Arial"/>
          <w:sz w:val="22"/>
          <w:szCs w:val="23"/>
        </w:rPr>
        <w:t xml:space="preserve">   </w:t>
      </w:r>
      <w:r w:rsidR="00233539" w:rsidRPr="00467317">
        <w:rPr>
          <w:rFonts w:cs="Arial"/>
          <w:sz w:val="22"/>
          <w:szCs w:val="23"/>
        </w:rPr>
        <w:t xml:space="preserve">Jay Mothibi </w:t>
      </w:r>
      <w:r w:rsidR="00034C6E" w:rsidRPr="00467317">
        <w:rPr>
          <w:rFonts w:cs="Arial"/>
          <w:sz w:val="22"/>
          <w:szCs w:val="23"/>
        </w:rPr>
        <w:t>Inc</w:t>
      </w:r>
      <w:r w:rsidRPr="00467317">
        <w:rPr>
          <w:rFonts w:cs="Arial"/>
          <w:sz w:val="22"/>
          <w:szCs w:val="23"/>
        </w:rPr>
        <w:tab/>
      </w:r>
    </w:p>
    <w:p w14:paraId="650635A5" w14:textId="77777777" w:rsidR="003F7A6B" w:rsidRPr="00467317" w:rsidRDefault="003F7A6B" w:rsidP="003F7A6B">
      <w:pPr>
        <w:rPr>
          <w:rFonts w:cs="Arial"/>
          <w:sz w:val="22"/>
          <w:szCs w:val="23"/>
        </w:rPr>
      </w:pPr>
    </w:p>
    <w:p w14:paraId="02C5733B" w14:textId="65169709" w:rsidR="00CA2C41" w:rsidRPr="00467317" w:rsidRDefault="003F7A6B" w:rsidP="003F7A6B">
      <w:pPr>
        <w:rPr>
          <w:rFonts w:cs="Arial"/>
          <w:sz w:val="22"/>
          <w:szCs w:val="23"/>
        </w:rPr>
      </w:pPr>
      <w:r w:rsidRPr="00467317">
        <w:rPr>
          <w:rFonts w:cs="Arial"/>
          <w:sz w:val="22"/>
          <w:szCs w:val="23"/>
        </w:rPr>
        <w:t>Counsel for t</w:t>
      </w:r>
      <w:r w:rsidR="0048667B" w:rsidRPr="00467317">
        <w:rPr>
          <w:rFonts w:cs="Arial"/>
          <w:sz w:val="22"/>
          <w:szCs w:val="23"/>
        </w:rPr>
        <w:t>he</w:t>
      </w:r>
      <w:r w:rsidR="00F93FBA" w:rsidRPr="00467317">
        <w:rPr>
          <w:rFonts w:cs="Arial"/>
          <w:sz w:val="22"/>
          <w:szCs w:val="23"/>
        </w:rPr>
        <w:t xml:space="preserve"> defendants</w:t>
      </w:r>
      <w:r w:rsidR="0048667B" w:rsidRPr="00467317">
        <w:rPr>
          <w:rFonts w:cs="Arial"/>
          <w:sz w:val="22"/>
          <w:szCs w:val="23"/>
        </w:rPr>
        <w:t xml:space="preserve"> </w:t>
      </w:r>
      <w:r w:rsidR="00F93FBA" w:rsidRPr="00467317">
        <w:rPr>
          <w:rFonts w:cs="Arial"/>
          <w:sz w:val="22"/>
          <w:szCs w:val="23"/>
        </w:rPr>
        <w:t>(</w:t>
      </w:r>
      <w:r w:rsidR="00034C6E" w:rsidRPr="00467317">
        <w:rPr>
          <w:rFonts w:cs="Arial"/>
          <w:sz w:val="22"/>
          <w:szCs w:val="23"/>
        </w:rPr>
        <w:t>Case no (2020/15210)</w:t>
      </w:r>
      <w:r w:rsidR="00455D49" w:rsidRPr="00467317">
        <w:rPr>
          <w:rFonts w:cs="Arial"/>
          <w:sz w:val="22"/>
          <w:szCs w:val="23"/>
        </w:rPr>
        <w:t>:</w:t>
      </w:r>
      <w:r w:rsidR="00E0506E" w:rsidRPr="00467317">
        <w:rPr>
          <w:rFonts w:cs="Arial"/>
          <w:sz w:val="22"/>
          <w:szCs w:val="23"/>
        </w:rPr>
        <w:tab/>
      </w:r>
      <w:r w:rsidR="003E1B89" w:rsidRPr="00467317">
        <w:rPr>
          <w:rFonts w:cs="Arial"/>
          <w:sz w:val="22"/>
          <w:szCs w:val="23"/>
        </w:rPr>
        <w:t xml:space="preserve">   </w:t>
      </w:r>
      <w:r w:rsidR="0046733C" w:rsidRPr="00467317">
        <w:rPr>
          <w:rFonts w:cs="Arial"/>
          <w:sz w:val="22"/>
          <w:szCs w:val="23"/>
        </w:rPr>
        <w:t xml:space="preserve">ADV. </w:t>
      </w:r>
      <w:r w:rsidR="003E1B89" w:rsidRPr="00467317">
        <w:rPr>
          <w:rFonts w:cs="Arial"/>
          <w:sz w:val="22"/>
          <w:szCs w:val="23"/>
        </w:rPr>
        <w:t>D V</w:t>
      </w:r>
      <w:r w:rsidR="006F46DB">
        <w:rPr>
          <w:rFonts w:cs="Arial"/>
          <w:sz w:val="22"/>
          <w:szCs w:val="23"/>
        </w:rPr>
        <w:t>ETTEN</w:t>
      </w:r>
    </w:p>
    <w:p w14:paraId="63D4D02C" w14:textId="6DB86C74" w:rsidR="003F7A6B" w:rsidRPr="00467317" w:rsidRDefault="003F7A6B" w:rsidP="003F7A6B">
      <w:pPr>
        <w:rPr>
          <w:rFonts w:cs="Arial"/>
          <w:sz w:val="22"/>
          <w:szCs w:val="23"/>
        </w:rPr>
      </w:pPr>
      <w:r w:rsidRPr="00467317">
        <w:rPr>
          <w:rFonts w:cs="Arial"/>
          <w:sz w:val="22"/>
          <w:szCs w:val="23"/>
        </w:rPr>
        <w:t>Instructed by:</w:t>
      </w:r>
      <w:r w:rsidRPr="00467317">
        <w:rPr>
          <w:rFonts w:cs="Arial"/>
          <w:sz w:val="22"/>
          <w:szCs w:val="23"/>
        </w:rPr>
        <w:tab/>
      </w:r>
      <w:r w:rsidR="003E1B89" w:rsidRPr="00467317">
        <w:rPr>
          <w:rFonts w:cs="Arial"/>
          <w:sz w:val="22"/>
          <w:szCs w:val="23"/>
        </w:rPr>
        <w:t xml:space="preserve">                                                           </w:t>
      </w:r>
      <w:r w:rsidR="0084721F" w:rsidRPr="00467317">
        <w:rPr>
          <w:rFonts w:cs="Arial"/>
          <w:sz w:val="22"/>
          <w:szCs w:val="23"/>
        </w:rPr>
        <w:t>BDK Attorneys</w:t>
      </w:r>
    </w:p>
    <w:p w14:paraId="410C436A" w14:textId="77777777" w:rsidR="00A475C6" w:rsidRPr="00467317" w:rsidRDefault="00A475C6" w:rsidP="003F7A6B">
      <w:pPr>
        <w:rPr>
          <w:rFonts w:cs="Arial"/>
          <w:sz w:val="22"/>
          <w:szCs w:val="23"/>
        </w:rPr>
      </w:pPr>
    </w:p>
    <w:p w14:paraId="5678A445" w14:textId="77777777" w:rsidR="00A475C6" w:rsidRPr="00467317" w:rsidRDefault="00A475C6" w:rsidP="003F7A6B">
      <w:pPr>
        <w:rPr>
          <w:rFonts w:cs="Arial"/>
          <w:sz w:val="22"/>
          <w:szCs w:val="23"/>
        </w:rPr>
      </w:pPr>
    </w:p>
    <w:p w14:paraId="6595F2A5" w14:textId="0A328513" w:rsidR="00A475C6" w:rsidRPr="00467317" w:rsidRDefault="00A475C6" w:rsidP="00A475C6">
      <w:pPr>
        <w:rPr>
          <w:rFonts w:cs="Arial"/>
          <w:sz w:val="22"/>
          <w:szCs w:val="23"/>
        </w:rPr>
      </w:pPr>
      <w:r w:rsidRPr="00467317">
        <w:rPr>
          <w:rFonts w:cs="Arial"/>
          <w:sz w:val="22"/>
          <w:szCs w:val="23"/>
        </w:rPr>
        <w:t xml:space="preserve">Counsel for the </w:t>
      </w:r>
      <w:r w:rsidR="0072353E" w:rsidRPr="00467317">
        <w:rPr>
          <w:rFonts w:cs="Arial"/>
          <w:sz w:val="22"/>
          <w:szCs w:val="23"/>
        </w:rPr>
        <w:t>plaintiff</w:t>
      </w:r>
      <w:r w:rsidRPr="00467317">
        <w:rPr>
          <w:rFonts w:cs="Arial"/>
          <w:sz w:val="22"/>
          <w:szCs w:val="23"/>
        </w:rPr>
        <w:t xml:space="preserve"> (Case no: 2020/41768):</w:t>
      </w:r>
      <w:r w:rsidRPr="00467317">
        <w:rPr>
          <w:rFonts w:cs="Arial"/>
          <w:sz w:val="22"/>
          <w:szCs w:val="23"/>
        </w:rPr>
        <w:tab/>
        <w:t xml:space="preserve">   ADV. N A</w:t>
      </w:r>
      <w:r w:rsidR="006F46DB">
        <w:rPr>
          <w:rFonts w:cs="Arial"/>
          <w:sz w:val="22"/>
          <w:szCs w:val="23"/>
        </w:rPr>
        <w:t>LLI</w:t>
      </w:r>
    </w:p>
    <w:p w14:paraId="448A9B87" w14:textId="25F03005" w:rsidR="00A475C6" w:rsidRPr="00467317" w:rsidRDefault="00A475C6" w:rsidP="00A475C6">
      <w:pPr>
        <w:rPr>
          <w:rFonts w:cs="Arial"/>
          <w:sz w:val="22"/>
          <w:szCs w:val="23"/>
        </w:rPr>
      </w:pPr>
      <w:r w:rsidRPr="00467317">
        <w:rPr>
          <w:rFonts w:cs="Arial"/>
          <w:sz w:val="22"/>
          <w:szCs w:val="23"/>
        </w:rPr>
        <w:t>Instructed by:</w:t>
      </w:r>
      <w:r w:rsidRPr="00467317">
        <w:rPr>
          <w:rFonts w:cs="Arial"/>
          <w:sz w:val="22"/>
          <w:szCs w:val="23"/>
        </w:rPr>
        <w:tab/>
        <w:t xml:space="preserve">                                                          Jay Mothibi Inc</w:t>
      </w:r>
      <w:r w:rsidRPr="00467317">
        <w:rPr>
          <w:rFonts w:cs="Arial"/>
          <w:sz w:val="22"/>
          <w:szCs w:val="23"/>
        </w:rPr>
        <w:tab/>
      </w:r>
    </w:p>
    <w:p w14:paraId="147D5FFD" w14:textId="77777777" w:rsidR="00A475C6" w:rsidRPr="00467317" w:rsidRDefault="00A475C6" w:rsidP="00A475C6">
      <w:pPr>
        <w:rPr>
          <w:rFonts w:cs="Arial"/>
          <w:sz w:val="22"/>
          <w:szCs w:val="23"/>
        </w:rPr>
      </w:pPr>
    </w:p>
    <w:p w14:paraId="28D82D80" w14:textId="246BAA17" w:rsidR="00A475C6" w:rsidRPr="00467317" w:rsidRDefault="00A475C6" w:rsidP="00A475C6">
      <w:pPr>
        <w:rPr>
          <w:rFonts w:cs="Arial"/>
          <w:sz w:val="22"/>
          <w:szCs w:val="23"/>
        </w:rPr>
      </w:pPr>
      <w:r w:rsidRPr="00467317">
        <w:rPr>
          <w:rFonts w:cs="Arial"/>
          <w:sz w:val="22"/>
          <w:szCs w:val="23"/>
        </w:rPr>
        <w:t xml:space="preserve">Counsel for the </w:t>
      </w:r>
      <w:r w:rsidR="0072353E" w:rsidRPr="00467317">
        <w:rPr>
          <w:rFonts w:cs="Arial"/>
          <w:sz w:val="22"/>
          <w:szCs w:val="23"/>
        </w:rPr>
        <w:t>defendants</w:t>
      </w:r>
      <w:r w:rsidRPr="00467317">
        <w:rPr>
          <w:rFonts w:cs="Arial"/>
          <w:sz w:val="22"/>
          <w:szCs w:val="23"/>
        </w:rPr>
        <w:t xml:space="preserve"> </w:t>
      </w:r>
      <w:r w:rsidR="0072353E" w:rsidRPr="00467317">
        <w:rPr>
          <w:rFonts w:cs="Arial"/>
          <w:sz w:val="22"/>
          <w:szCs w:val="23"/>
        </w:rPr>
        <w:t>(</w:t>
      </w:r>
      <w:r w:rsidRPr="00467317">
        <w:rPr>
          <w:rFonts w:cs="Arial"/>
          <w:sz w:val="22"/>
          <w:szCs w:val="23"/>
        </w:rPr>
        <w:t>Case no (2020/</w:t>
      </w:r>
      <w:r w:rsidR="00E13140" w:rsidRPr="00467317">
        <w:rPr>
          <w:rFonts w:cs="Arial"/>
          <w:sz w:val="22"/>
          <w:szCs w:val="23"/>
        </w:rPr>
        <w:t>41768</w:t>
      </w:r>
      <w:r w:rsidRPr="00467317">
        <w:rPr>
          <w:rFonts w:cs="Arial"/>
          <w:sz w:val="22"/>
          <w:szCs w:val="23"/>
        </w:rPr>
        <w:t>):</w:t>
      </w:r>
      <w:r w:rsidRPr="00467317">
        <w:rPr>
          <w:rFonts w:cs="Arial"/>
          <w:sz w:val="22"/>
          <w:szCs w:val="23"/>
        </w:rPr>
        <w:tab/>
        <w:t xml:space="preserve">    ADV. </w:t>
      </w:r>
      <w:r w:rsidR="00427541" w:rsidRPr="00467317">
        <w:rPr>
          <w:rFonts w:cs="Arial"/>
          <w:sz w:val="22"/>
          <w:szCs w:val="23"/>
        </w:rPr>
        <w:t>S S</w:t>
      </w:r>
      <w:r w:rsidR="006F46DB">
        <w:rPr>
          <w:rFonts w:cs="Arial"/>
          <w:sz w:val="22"/>
          <w:szCs w:val="23"/>
        </w:rPr>
        <w:t>WARTZ</w:t>
      </w:r>
    </w:p>
    <w:p w14:paraId="35F3252B" w14:textId="62D0DBC9" w:rsidR="00A475C6" w:rsidRDefault="00A475C6" w:rsidP="003F7A6B">
      <w:pPr>
        <w:rPr>
          <w:rFonts w:cs="Arial"/>
          <w:sz w:val="22"/>
          <w:szCs w:val="23"/>
        </w:rPr>
      </w:pPr>
      <w:r w:rsidRPr="00467317">
        <w:rPr>
          <w:rFonts w:cs="Arial"/>
          <w:sz w:val="22"/>
          <w:szCs w:val="23"/>
        </w:rPr>
        <w:t>Instructed by:</w:t>
      </w:r>
      <w:r w:rsidRPr="00467317">
        <w:rPr>
          <w:rFonts w:cs="Arial"/>
          <w:sz w:val="22"/>
          <w:szCs w:val="23"/>
        </w:rPr>
        <w:tab/>
        <w:t xml:space="preserve">                                                           </w:t>
      </w:r>
      <w:r w:rsidR="00427541" w:rsidRPr="00467317">
        <w:rPr>
          <w:rFonts w:cs="Arial"/>
          <w:sz w:val="22"/>
          <w:szCs w:val="23"/>
        </w:rPr>
        <w:t xml:space="preserve"> </w:t>
      </w:r>
      <w:r w:rsidR="00E5138C" w:rsidRPr="00467317">
        <w:rPr>
          <w:rFonts w:cs="Arial"/>
          <w:sz w:val="22"/>
          <w:szCs w:val="23"/>
        </w:rPr>
        <w:t xml:space="preserve">Stan Fanaroff </w:t>
      </w:r>
      <w:r w:rsidR="007C2823" w:rsidRPr="00467317">
        <w:rPr>
          <w:rFonts w:cs="Arial"/>
          <w:sz w:val="22"/>
          <w:szCs w:val="23"/>
        </w:rPr>
        <w:t>&amp;</w:t>
      </w:r>
      <w:r w:rsidR="00E5138C" w:rsidRPr="00467317">
        <w:rPr>
          <w:rFonts w:cs="Arial"/>
          <w:sz w:val="22"/>
          <w:szCs w:val="23"/>
        </w:rPr>
        <w:t xml:space="preserve"> Associates</w:t>
      </w:r>
    </w:p>
    <w:p w14:paraId="018C865D" w14:textId="2CFE1316" w:rsidR="00FA7A48" w:rsidRPr="00467317" w:rsidRDefault="00FA7A48" w:rsidP="003F7A6B">
      <w:pPr>
        <w:rPr>
          <w:rFonts w:cs="Arial"/>
          <w:sz w:val="22"/>
          <w:szCs w:val="23"/>
        </w:rPr>
      </w:pPr>
    </w:p>
    <w:sectPr w:rsidR="00FA7A48" w:rsidRPr="00467317" w:rsidSect="00770A4E">
      <w:footerReference w:type="default" r:id="rId9"/>
      <w:foot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5E0F4" w14:textId="77777777" w:rsidR="00334397" w:rsidRDefault="00334397">
      <w:r>
        <w:separator/>
      </w:r>
    </w:p>
  </w:endnote>
  <w:endnote w:type="continuationSeparator" w:id="0">
    <w:p w14:paraId="6C4191DB" w14:textId="77777777" w:rsidR="00334397" w:rsidRDefault="0033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2EAB" w14:textId="7A79BC9E" w:rsidR="00770A4E" w:rsidRPr="00770A4E" w:rsidRDefault="00770A4E" w:rsidP="00770A4E">
    <w:pPr>
      <w:pStyle w:val="Footer"/>
      <w:spacing w:before="240" w:after="120"/>
      <w:jc w:val="center"/>
      <w:rPr>
        <w:caps/>
        <w:noProof/>
        <w:color w:val="404040" w:themeColor="text1" w:themeTint="BF"/>
      </w:rPr>
    </w:pPr>
    <w:r w:rsidRPr="00770A4E">
      <w:rPr>
        <w:caps/>
        <w:color w:val="404040" w:themeColor="text1" w:themeTint="BF"/>
      </w:rPr>
      <w:fldChar w:fldCharType="begin"/>
    </w:r>
    <w:r w:rsidRPr="00770A4E">
      <w:rPr>
        <w:caps/>
        <w:color w:val="404040" w:themeColor="text1" w:themeTint="BF"/>
      </w:rPr>
      <w:instrText xml:space="preserve"> PAGE   \* MERGEFORMAT </w:instrText>
    </w:r>
    <w:r w:rsidRPr="00770A4E">
      <w:rPr>
        <w:caps/>
        <w:color w:val="404040" w:themeColor="text1" w:themeTint="BF"/>
      </w:rPr>
      <w:fldChar w:fldCharType="separate"/>
    </w:r>
    <w:r w:rsidR="0070421C">
      <w:rPr>
        <w:caps/>
        <w:noProof/>
        <w:color w:val="404040" w:themeColor="text1" w:themeTint="BF"/>
      </w:rPr>
      <w:t>1</w:t>
    </w:r>
    <w:r w:rsidRPr="00770A4E">
      <w:rPr>
        <w:caps/>
        <w:noProof/>
        <w:color w:val="404040" w:themeColor="text1" w:themeTint="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ED752" w14:textId="471B554F" w:rsidR="00770A4E" w:rsidRPr="00770A4E" w:rsidRDefault="00770A4E" w:rsidP="00770A4E">
    <w:pPr>
      <w:pStyle w:val="Footer"/>
      <w:spacing w:before="240"/>
      <w:jc w:val="center"/>
      <w:rPr>
        <w:caps/>
        <w:noProof/>
        <w:color w:val="0D0D0D" w:themeColor="text1" w:themeTint="F2"/>
      </w:rPr>
    </w:pPr>
    <w:r w:rsidRPr="00770A4E">
      <w:rPr>
        <w:caps/>
        <w:color w:val="0D0D0D" w:themeColor="text1" w:themeTint="F2"/>
      </w:rPr>
      <w:fldChar w:fldCharType="begin"/>
    </w:r>
    <w:r w:rsidRPr="00770A4E">
      <w:rPr>
        <w:caps/>
        <w:color w:val="0D0D0D" w:themeColor="text1" w:themeTint="F2"/>
      </w:rPr>
      <w:instrText xml:space="preserve"> PAGE   \* MERGEFORMAT </w:instrText>
    </w:r>
    <w:r w:rsidRPr="00770A4E">
      <w:rPr>
        <w:caps/>
        <w:color w:val="0D0D0D" w:themeColor="text1" w:themeTint="F2"/>
      </w:rPr>
      <w:fldChar w:fldCharType="separate"/>
    </w:r>
    <w:r w:rsidRPr="00770A4E">
      <w:rPr>
        <w:caps/>
        <w:noProof/>
        <w:color w:val="0D0D0D" w:themeColor="text1" w:themeTint="F2"/>
      </w:rPr>
      <w:t>2</w:t>
    </w:r>
    <w:r w:rsidRPr="00770A4E">
      <w:rPr>
        <w:caps/>
        <w:noProof/>
        <w:color w:val="0D0D0D" w:themeColor="text1" w:themeTint="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2303F" w14:textId="77777777" w:rsidR="00334397" w:rsidRDefault="00334397">
      <w:r>
        <w:separator/>
      </w:r>
    </w:p>
  </w:footnote>
  <w:footnote w:type="continuationSeparator" w:id="0">
    <w:p w14:paraId="76360C3C" w14:textId="77777777" w:rsidR="00334397" w:rsidRDefault="00334397">
      <w:r>
        <w:continuationSeparator/>
      </w:r>
    </w:p>
  </w:footnote>
  <w:footnote w:id="1">
    <w:p w14:paraId="18F81EDD" w14:textId="024519F6" w:rsidR="00C966DE" w:rsidRPr="00C44535" w:rsidRDefault="00C966DE" w:rsidP="00C44535">
      <w:pPr>
        <w:pStyle w:val="FootnoteText"/>
        <w:spacing w:after="80"/>
        <w:ind w:left="567" w:hanging="567"/>
        <w:jc w:val="both"/>
      </w:pPr>
      <w:r w:rsidRPr="009F4E10">
        <w:rPr>
          <w:rStyle w:val="FootnoteReference"/>
        </w:rPr>
        <w:footnoteRef/>
      </w:r>
      <w:r w:rsidRPr="009F4E10">
        <w:t xml:space="preserve"> </w:t>
      </w:r>
      <w:r w:rsidRPr="009F4E10">
        <w:tab/>
      </w:r>
      <w:r w:rsidRPr="00C44535">
        <w:t>2020 (6) SA 624 (WCC)</w:t>
      </w:r>
      <w:r w:rsidR="0038780C" w:rsidRPr="00C44535">
        <w:t>.</w:t>
      </w:r>
    </w:p>
  </w:footnote>
  <w:footnote w:id="2">
    <w:p w14:paraId="1F976038" w14:textId="3CBB8E0B" w:rsidR="00C966DE" w:rsidRPr="00C44535" w:rsidRDefault="00C966DE" w:rsidP="00C44535">
      <w:pPr>
        <w:pStyle w:val="FootnoteText"/>
        <w:spacing w:after="80"/>
        <w:ind w:left="567" w:hanging="567"/>
        <w:jc w:val="both"/>
      </w:pPr>
      <w:r w:rsidRPr="00C44535">
        <w:rPr>
          <w:rStyle w:val="FootnoteReference"/>
        </w:rPr>
        <w:footnoteRef/>
      </w:r>
      <w:r w:rsidRPr="00C44535">
        <w:t xml:space="preserve"> </w:t>
      </w:r>
      <w:r w:rsidRPr="00C44535">
        <w:tab/>
        <w:t>At para [15]</w:t>
      </w:r>
      <w:r w:rsidR="0038780C" w:rsidRPr="00C44535">
        <w:t>.</w:t>
      </w:r>
    </w:p>
  </w:footnote>
  <w:footnote w:id="3">
    <w:p w14:paraId="1C53CD31" w14:textId="52F1F238" w:rsidR="00C966DE" w:rsidRPr="00C44535" w:rsidRDefault="00C966DE" w:rsidP="00C44535">
      <w:pPr>
        <w:pStyle w:val="FootnoteText"/>
        <w:spacing w:after="80"/>
        <w:ind w:left="567" w:hanging="567"/>
        <w:jc w:val="both"/>
      </w:pPr>
      <w:r w:rsidRPr="00C44535">
        <w:rPr>
          <w:rStyle w:val="FootnoteReference"/>
        </w:rPr>
        <w:footnoteRef/>
      </w:r>
      <w:r w:rsidRPr="00C44535">
        <w:t xml:space="preserve"> </w:t>
      </w:r>
      <w:r w:rsidRPr="00C44535">
        <w:tab/>
      </w:r>
      <w:r w:rsidR="00174C26" w:rsidRPr="00C44535">
        <w:t xml:space="preserve">Para 8.1.1 of the Task Team Memorandum referred to in para [8] of the </w:t>
      </w:r>
      <w:r w:rsidR="00174C26" w:rsidRPr="00C44535">
        <w:rPr>
          <w:b/>
          <w:bCs/>
        </w:rPr>
        <w:t>Tumileng</w:t>
      </w:r>
      <w:r w:rsidR="00174C26" w:rsidRPr="00C44535">
        <w:t xml:space="preserve"> judgment, read with para 3.1 of that Memorandum.</w:t>
      </w:r>
    </w:p>
    <w:p w14:paraId="26E62D48" w14:textId="78999756" w:rsidR="00174C26" w:rsidRPr="00C44535" w:rsidRDefault="00174C26" w:rsidP="00C44535">
      <w:pPr>
        <w:pStyle w:val="FootnoteText"/>
        <w:spacing w:after="80"/>
        <w:ind w:left="567" w:hanging="567"/>
        <w:jc w:val="both"/>
      </w:pPr>
      <w:r w:rsidRPr="00C44535">
        <w:tab/>
      </w:r>
      <w:r w:rsidR="00F52890" w:rsidRPr="00C44535">
        <w:t xml:space="preserve">I </w:t>
      </w:r>
      <w:r w:rsidRPr="00C44535">
        <w:t>disclos</w:t>
      </w:r>
      <w:r w:rsidR="007A3B94" w:rsidRPr="00C44535">
        <w:t>e</w:t>
      </w:r>
      <w:r w:rsidRPr="00C44535">
        <w:t xml:space="preserve"> </w:t>
      </w:r>
      <w:r w:rsidR="00F52890" w:rsidRPr="00C44535">
        <w:t xml:space="preserve">that </w:t>
      </w:r>
      <w:r w:rsidRPr="00C44535">
        <w:t xml:space="preserve">I was privileged to </w:t>
      </w:r>
      <w:r w:rsidR="000D7134" w:rsidRPr="00C44535">
        <w:t>be a member of</w:t>
      </w:r>
      <w:r w:rsidRPr="00C44535">
        <w:t xml:space="preserve"> the Task Team which considered this topic and made recommendations to the Rules Board, substantially captured in the Memorandum referred to in the </w:t>
      </w:r>
      <w:r w:rsidRPr="00C44535">
        <w:rPr>
          <w:b/>
          <w:bCs/>
        </w:rPr>
        <w:t>Tumileng</w:t>
      </w:r>
      <w:r w:rsidRPr="00C44535">
        <w:t xml:space="preserve"> judgment at </w:t>
      </w:r>
      <w:r w:rsidR="00183B2C" w:rsidRPr="00C44535">
        <w:t>para [8]</w:t>
      </w:r>
      <w:r w:rsidRPr="00C44535">
        <w:t>.</w:t>
      </w:r>
    </w:p>
  </w:footnote>
  <w:footnote w:id="4">
    <w:p w14:paraId="2F1D53CE" w14:textId="77777777" w:rsidR="00A1645F" w:rsidRPr="00C44535" w:rsidRDefault="00A1645F" w:rsidP="00C44535">
      <w:pPr>
        <w:pStyle w:val="FootnoteText"/>
        <w:spacing w:after="80"/>
        <w:ind w:left="567" w:hanging="567"/>
        <w:jc w:val="both"/>
      </w:pPr>
      <w:r w:rsidRPr="00C44535">
        <w:rPr>
          <w:rStyle w:val="FootnoteReference"/>
        </w:rPr>
        <w:footnoteRef/>
      </w:r>
      <w:r w:rsidRPr="00C44535">
        <w:t xml:space="preserve"> </w:t>
      </w:r>
      <w:r w:rsidRPr="00C44535">
        <w:tab/>
      </w:r>
      <w:r w:rsidRPr="00C44535">
        <w:rPr>
          <w:b/>
          <w:bCs/>
        </w:rPr>
        <w:t>Tumileng</w:t>
      </w:r>
      <w:r w:rsidRPr="00C44535">
        <w:t>, para [2].</w:t>
      </w:r>
    </w:p>
  </w:footnote>
  <w:footnote w:id="5">
    <w:p w14:paraId="40014CCF" w14:textId="77777777" w:rsidR="00A1645F" w:rsidRPr="00C44535" w:rsidRDefault="00A1645F" w:rsidP="00C44535">
      <w:pPr>
        <w:pStyle w:val="FootnoteText"/>
        <w:spacing w:after="80"/>
        <w:ind w:left="567" w:hanging="567"/>
        <w:jc w:val="both"/>
        <w:rPr>
          <w:i/>
          <w:iCs/>
        </w:rPr>
      </w:pPr>
      <w:r w:rsidRPr="00C44535">
        <w:rPr>
          <w:rStyle w:val="FootnoteReference"/>
        </w:rPr>
        <w:footnoteRef/>
      </w:r>
      <w:r w:rsidRPr="00C44535">
        <w:t xml:space="preserve"> </w:t>
      </w:r>
      <w:r w:rsidRPr="00C44535">
        <w:tab/>
      </w:r>
      <w:r w:rsidRPr="00C44535">
        <w:rPr>
          <w:rFonts w:ascii="Times New Roman" w:hAnsi="Times New Roman"/>
          <w:i/>
          <w:iCs/>
          <w:sz w:val="22"/>
          <w:szCs w:val="22"/>
        </w:rPr>
        <w:t>sv</w:t>
      </w:r>
      <w:r w:rsidRPr="00C44535">
        <w:rPr>
          <w:i/>
          <w:iCs/>
        </w:rPr>
        <w:t xml:space="preserve"> “</w:t>
      </w:r>
      <w:r w:rsidRPr="00C44535">
        <w:rPr>
          <w:i/>
          <w:iCs/>
          <w:smallCaps/>
        </w:rPr>
        <w:t>Rule 32 – Summary Judgment</w:t>
      </w:r>
      <w:r w:rsidRPr="00C44535">
        <w:rPr>
          <w:i/>
          <w:iCs/>
        </w:rPr>
        <w:t>”</w:t>
      </w:r>
      <w:r w:rsidRPr="00C44535">
        <w:t>, pp. 78 and onwards.</w:t>
      </w:r>
    </w:p>
  </w:footnote>
  <w:footnote w:id="6">
    <w:p w14:paraId="7A50EC2B" w14:textId="65836477" w:rsidR="00843075" w:rsidRPr="00C44535" w:rsidRDefault="00843075" w:rsidP="00C44535">
      <w:pPr>
        <w:pStyle w:val="FootnoteText"/>
        <w:spacing w:after="80"/>
        <w:ind w:left="567" w:hanging="567"/>
        <w:jc w:val="both"/>
      </w:pPr>
      <w:r w:rsidRPr="00C44535">
        <w:rPr>
          <w:rStyle w:val="FootnoteReference"/>
        </w:rPr>
        <w:footnoteRef/>
      </w:r>
      <w:r w:rsidRPr="00C44535">
        <w:t xml:space="preserve"> </w:t>
      </w:r>
      <w:r w:rsidRPr="00C44535">
        <w:tab/>
        <w:t>WCC case number 20266/</w:t>
      </w:r>
      <w:r w:rsidR="002C2259" w:rsidRPr="00C44535">
        <w:t>2015, dated 12 September 2016.</w:t>
      </w:r>
    </w:p>
  </w:footnote>
  <w:footnote w:id="7">
    <w:p w14:paraId="0D4AB7FC" w14:textId="69E90267" w:rsidR="002C2259" w:rsidRPr="00C44535" w:rsidRDefault="002C2259" w:rsidP="00C44535">
      <w:pPr>
        <w:pStyle w:val="FootnoteText"/>
        <w:spacing w:after="80"/>
        <w:ind w:left="567" w:hanging="567"/>
        <w:jc w:val="both"/>
        <w:rPr>
          <w:b/>
        </w:rPr>
      </w:pPr>
      <w:r w:rsidRPr="00C44535">
        <w:rPr>
          <w:rStyle w:val="FootnoteReference"/>
        </w:rPr>
        <w:footnoteRef/>
      </w:r>
      <w:r w:rsidRPr="00C44535">
        <w:t xml:space="preserve"> </w:t>
      </w:r>
      <w:r w:rsidRPr="00C44535">
        <w:tab/>
        <w:t xml:space="preserve">Most notably that of </w:t>
      </w:r>
      <w:r w:rsidRPr="00C44535">
        <w:rPr>
          <w:smallCaps/>
        </w:rPr>
        <w:t>Corbett</w:t>
      </w:r>
      <w:r w:rsidRPr="00C44535">
        <w:t xml:space="preserve"> JA in </w:t>
      </w:r>
      <w:r w:rsidRPr="00C44535">
        <w:rPr>
          <w:b/>
          <w:bCs/>
        </w:rPr>
        <w:t>Maharaj</w:t>
      </w:r>
      <w:r w:rsidR="007B4835" w:rsidRPr="00C44535">
        <w:rPr>
          <w:b/>
          <w:bCs/>
        </w:rPr>
        <w:t xml:space="preserve"> v Barclays National Bank Ltd</w:t>
      </w:r>
      <w:r w:rsidR="007B4835" w:rsidRPr="00C44535">
        <w:rPr>
          <w:bCs/>
        </w:rPr>
        <w:t> 1976 (1) SA 418 (A) at 423 D-H.</w:t>
      </w:r>
    </w:p>
  </w:footnote>
  <w:footnote w:id="8">
    <w:p w14:paraId="368ACC88" w14:textId="41F1EB96" w:rsidR="00422A6B" w:rsidRPr="00C44535" w:rsidRDefault="00422A6B" w:rsidP="00C44535">
      <w:pPr>
        <w:pStyle w:val="FootnoteText"/>
        <w:spacing w:after="80"/>
        <w:ind w:left="567" w:hanging="567"/>
        <w:jc w:val="both"/>
      </w:pPr>
      <w:r w:rsidRPr="00C44535">
        <w:rPr>
          <w:rStyle w:val="FootnoteReference"/>
        </w:rPr>
        <w:footnoteRef/>
      </w:r>
      <w:r w:rsidRPr="00C44535">
        <w:t xml:space="preserve"> </w:t>
      </w:r>
      <w:bookmarkStart w:id="2" w:name="_Hlk97991278"/>
      <w:r w:rsidR="00C44535">
        <w:tab/>
      </w:r>
      <w:r w:rsidRPr="00C44535">
        <w:rPr>
          <w:b/>
          <w:bCs/>
        </w:rPr>
        <w:t>Tumileng</w:t>
      </w:r>
      <w:r w:rsidR="00593A01" w:rsidRPr="00C44535">
        <w:t xml:space="preserve"> </w:t>
      </w:r>
      <w:bookmarkEnd w:id="2"/>
      <w:r w:rsidR="00593A01" w:rsidRPr="00C44535">
        <w:t>at para [</w:t>
      </w:r>
      <w:r w:rsidR="008D6F0B" w:rsidRPr="00C44535">
        <w:t>22]</w:t>
      </w:r>
      <w:r w:rsidR="006F46DB">
        <w:t xml:space="preserve">.  </w:t>
      </w:r>
      <w:r w:rsidR="006F46DB" w:rsidRPr="006F46DB">
        <w:rPr>
          <w:smallCaps/>
        </w:rPr>
        <w:t>Binns</w:t>
      </w:r>
      <w:r w:rsidR="008D6F0B" w:rsidRPr="006F46DB">
        <w:rPr>
          <w:smallCaps/>
        </w:rPr>
        <w:t>-W</w:t>
      </w:r>
      <w:r w:rsidR="006F46DB" w:rsidRPr="006F46DB">
        <w:rPr>
          <w:smallCaps/>
        </w:rPr>
        <w:t>ard</w:t>
      </w:r>
      <w:r w:rsidR="008D6F0B" w:rsidRPr="00C44535">
        <w:t xml:space="preserve"> J </w:t>
      </w:r>
      <w:r w:rsidR="001914DF" w:rsidRPr="00C44535">
        <w:t>makes this point by continuing to use the phrase ‘</w:t>
      </w:r>
      <w:r w:rsidR="001914DF" w:rsidRPr="00C44535">
        <w:rPr>
          <w:i/>
          <w:iCs/>
        </w:rPr>
        <w:t>bona fide</w:t>
      </w:r>
      <w:r w:rsidR="001914DF" w:rsidRPr="00C44535">
        <w:t xml:space="preserve"> defence’ from the </w:t>
      </w:r>
      <w:r w:rsidR="00A04DFF" w:rsidRPr="00C44535">
        <w:t>old rule</w:t>
      </w:r>
      <w:r w:rsidR="00467317">
        <w:t>.</w:t>
      </w:r>
    </w:p>
  </w:footnote>
  <w:footnote w:id="9">
    <w:p w14:paraId="603F78E8" w14:textId="06CEAF60" w:rsidR="009F0A51" w:rsidRPr="00C44535" w:rsidRDefault="009F0A51" w:rsidP="00C44535">
      <w:pPr>
        <w:pStyle w:val="FootnoteText"/>
        <w:spacing w:after="80"/>
        <w:ind w:left="567" w:hanging="567"/>
        <w:jc w:val="both"/>
      </w:pPr>
      <w:r w:rsidRPr="00C44535">
        <w:rPr>
          <w:rStyle w:val="FootnoteReference"/>
        </w:rPr>
        <w:footnoteRef/>
      </w:r>
      <w:r w:rsidRPr="00C44535">
        <w:t xml:space="preserve"> </w:t>
      </w:r>
      <w:r w:rsidR="00C44535">
        <w:tab/>
      </w:r>
      <w:r w:rsidR="00DE7E6C" w:rsidRPr="00C44535">
        <w:t>Compare t</w:t>
      </w:r>
      <w:r w:rsidR="00FC7E89" w:rsidRPr="00C44535">
        <w:t xml:space="preserve">he protections </w:t>
      </w:r>
      <w:r w:rsidR="00CB3AD9" w:rsidRPr="00C44535">
        <w:t>introduced</w:t>
      </w:r>
      <w:r w:rsidR="007F58F1" w:rsidRPr="00C44535">
        <w:t xml:space="preserve"> for a </w:t>
      </w:r>
      <w:r w:rsidR="00C543BA" w:rsidRPr="00C44535">
        <w:t>defendant</w:t>
      </w:r>
      <w:r w:rsidR="00CB3AD9" w:rsidRPr="00C44535">
        <w:t xml:space="preserve"> by the Constitutional Court in </w:t>
      </w:r>
      <w:r w:rsidR="004A61AE" w:rsidRPr="00C44535">
        <w:rPr>
          <w:b/>
          <w:bCs/>
        </w:rPr>
        <w:t xml:space="preserve">Twee Jonge Gezellen (Pty) Ltd v Land and Agricultural Development Bank of South Africa t/a The Land Bank </w:t>
      </w:r>
      <w:r w:rsidR="00DE7E6C" w:rsidRPr="00C44535">
        <w:t>2011 (1) SA 1 (CC)</w:t>
      </w:r>
      <w:r w:rsidR="0052629E">
        <w:t>.  T</w:t>
      </w:r>
      <w:r w:rsidR="00445D84" w:rsidRPr="00C44535">
        <w:t xml:space="preserve">he procedural advantages enjoyed by a </w:t>
      </w:r>
      <w:r w:rsidR="00131386" w:rsidRPr="00C44535">
        <w:t>plaintiff</w:t>
      </w:r>
      <w:r w:rsidR="00445D84" w:rsidRPr="00C44535">
        <w:t xml:space="preserve"> under Rule 8 arise from </w:t>
      </w:r>
      <w:r w:rsidR="00534641" w:rsidRPr="00C44535">
        <w:t>the status of the liquid document</w:t>
      </w:r>
      <w:r w:rsidR="007F58F1" w:rsidRPr="00C44535">
        <w:t>- se at para [15].</w:t>
      </w:r>
    </w:p>
  </w:footnote>
  <w:footnote w:id="10">
    <w:p w14:paraId="41B10F84" w14:textId="4FF3EB55" w:rsidR="00F86F12" w:rsidRPr="00C44535" w:rsidRDefault="00F86F12" w:rsidP="00C44535">
      <w:pPr>
        <w:pStyle w:val="FootnoteText"/>
        <w:spacing w:after="80"/>
        <w:ind w:left="567" w:hanging="567"/>
        <w:jc w:val="both"/>
      </w:pPr>
      <w:r w:rsidRPr="00C44535">
        <w:rPr>
          <w:rStyle w:val="FootnoteReference"/>
        </w:rPr>
        <w:footnoteRef/>
      </w:r>
      <w:r w:rsidRPr="00C44535">
        <w:t xml:space="preserve"> </w:t>
      </w:r>
      <w:r w:rsidR="00C44535">
        <w:tab/>
      </w:r>
      <w:r w:rsidRPr="00C44535">
        <w:t>The concern expressed here was</w:t>
      </w:r>
      <w:r w:rsidR="00FA171B" w:rsidRPr="00C44535">
        <w:t xml:space="preserve"> that if the phrase </w:t>
      </w:r>
      <w:r w:rsidR="00607732" w:rsidRPr="00C44535">
        <w:t>‘a</w:t>
      </w:r>
      <w:r w:rsidR="00FA171B" w:rsidRPr="00C44535">
        <w:t>n issue for trial</w:t>
      </w:r>
      <w:r w:rsidR="00607732" w:rsidRPr="00C44535">
        <w:t>’</w:t>
      </w:r>
      <w:r w:rsidR="001F1314" w:rsidRPr="00C44535">
        <w:t xml:space="preserve"> in </w:t>
      </w:r>
      <w:bookmarkStart w:id="3" w:name="_Hlk97991525"/>
      <w:r w:rsidR="001F1314" w:rsidRPr="00C44535">
        <w:t>subrule 32(2)(b</w:t>
      </w:r>
      <w:bookmarkEnd w:id="3"/>
      <w:r w:rsidR="001F1314" w:rsidRPr="00C44535">
        <w:t>) merely means the bones of a triable defence then</w:t>
      </w:r>
      <w:r w:rsidR="00B33002" w:rsidRPr="00C44535">
        <w:t xml:space="preserve"> it would be impossible</w:t>
      </w:r>
      <w:r w:rsidR="000D1FC3" w:rsidRPr="00C44535">
        <w:t xml:space="preserve"> to marry this with the requirement in subrule 32(3)(b)</w:t>
      </w:r>
      <w:r w:rsidR="007A110A" w:rsidRPr="00C44535">
        <w:t xml:space="preserve"> that a bona fide defence must be shown.</w:t>
      </w:r>
      <w:r w:rsidR="00C3637A" w:rsidRPr="00C44535">
        <w:t xml:space="preserve"> </w:t>
      </w:r>
      <w:bookmarkStart w:id="4" w:name="_Hlk97991757"/>
    </w:p>
    <w:bookmarkEnd w:id="4"/>
  </w:footnote>
  <w:footnote w:id="11">
    <w:p w14:paraId="3C700CD3" w14:textId="65C770C2" w:rsidR="00035D67" w:rsidRPr="00C44535" w:rsidRDefault="00035D67" w:rsidP="00C44535">
      <w:pPr>
        <w:pStyle w:val="FootnoteText"/>
        <w:spacing w:after="80"/>
        <w:ind w:left="567" w:hanging="567"/>
        <w:jc w:val="both"/>
      </w:pPr>
      <w:r w:rsidRPr="00C44535">
        <w:rPr>
          <w:rStyle w:val="FootnoteReference"/>
        </w:rPr>
        <w:footnoteRef/>
      </w:r>
      <w:r w:rsidRPr="00C44535">
        <w:t xml:space="preserve"> </w:t>
      </w:r>
      <w:r w:rsidR="00C44535">
        <w:tab/>
      </w:r>
      <w:r w:rsidR="00317426" w:rsidRPr="00C44535">
        <w:t xml:space="preserve">See: </w:t>
      </w:r>
      <w:r w:rsidR="00317426" w:rsidRPr="00C44535">
        <w:rPr>
          <w:b/>
          <w:bCs/>
        </w:rPr>
        <w:t>Easyair Limited (Trading as Open</w:t>
      </w:r>
      <w:r w:rsidR="009C47D1" w:rsidRPr="00C44535">
        <w:rPr>
          <w:b/>
          <w:bCs/>
        </w:rPr>
        <w:t>air) v Opal Telecom Limited</w:t>
      </w:r>
      <w:r w:rsidR="009C47D1" w:rsidRPr="00C44535">
        <w:t xml:space="preserve"> [2009]</w:t>
      </w:r>
      <w:r w:rsidR="009A6464" w:rsidRPr="00C44535">
        <w:t xml:space="preserve"> EWHC 399 (</w:t>
      </w:r>
      <w:r w:rsidR="00C248EA" w:rsidRPr="00C44535">
        <w:t>Ch) at para [15]</w:t>
      </w:r>
      <w:r w:rsidR="006F46DB">
        <w:t>.  D</w:t>
      </w:r>
      <w:r w:rsidR="0042698D" w:rsidRPr="00C44535">
        <w:t>espite the differences between</w:t>
      </w:r>
      <w:r w:rsidR="000457C7" w:rsidRPr="00C44535">
        <w:t xml:space="preserve"> our</w:t>
      </w:r>
      <w:r w:rsidR="00855C34" w:rsidRPr="00C44535">
        <w:t xml:space="preserve"> Rule 32</w:t>
      </w:r>
      <w:r w:rsidR="000457C7" w:rsidRPr="00C44535">
        <w:t xml:space="preserve"> and C.P.R 24 in England </w:t>
      </w:r>
      <w:r w:rsidR="00FD6CCD" w:rsidRPr="00C44535">
        <w:t>and Wales.</w:t>
      </w:r>
    </w:p>
  </w:footnote>
  <w:footnote w:id="12">
    <w:p w14:paraId="5C756E8C" w14:textId="77777777" w:rsidR="00A1645F" w:rsidRPr="00C44535" w:rsidRDefault="00A1645F" w:rsidP="00C44535">
      <w:pPr>
        <w:pStyle w:val="FootnoteText"/>
        <w:spacing w:after="80"/>
        <w:ind w:left="567" w:hanging="567"/>
        <w:jc w:val="both"/>
      </w:pPr>
      <w:r w:rsidRPr="00C44535">
        <w:rPr>
          <w:rStyle w:val="FootnoteReference"/>
        </w:rPr>
        <w:footnoteRef/>
      </w:r>
      <w:r w:rsidRPr="00C44535">
        <w:t xml:space="preserve"> </w:t>
      </w:r>
      <w:r w:rsidRPr="00C44535">
        <w:tab/>
      </w:r>
      <w:r w:rsidRPr="00C44535">
        <w:rPr>
          <w:i/>
          <w:iCs/>
        </w:rPr>
        <w:t>The Second Coming</w:t>
      </w:r>
      <w:r w:rsidRPr="00C44535">
        <w:t xml:space="preserve"> by W.B. </w:t>
      </w:r>
      <w:r w:rsidRPr="00C44535">
        <w:rPr>
          <w:smallCaps/>
        </w:rPr>
        <w:t>Yeats.</w:t>
      </w:r>
    </w:p>
  </w:footnote>
  <w:footnote w:id="13">
    <w:p w14:paraId="72C1BF47" w14:textId="7D720713" w:rsidR="001F375E" w:rsidRPr="00C44535" w:rsidRDefault="001F375E" w:rsidP="00C44535">
      <w:pPr>
        <w:pStyle w:val="FootnoteText"/>
        <w:spacing w:after="80"/>
        <w:ind w:left="567" w:hanging="567"/>
        <w:jc w:val="both"/>
      </w:pPr>
      <w:r w:rsidRPr="00C44535">
        <w:rPr>
          <w:rStyle w:val="FootnoteReference"/>
        </w:rPr>
        <w:footnoteRef/>
      </w:r>
      <w:r w:rsidRPr="00C44535">
        <w:t xml:space="preserve"> </w:t>
      </w:r>
      <w:r w:rsidRPr="00C44535">
        <w:tab/>
        <w:t xml:space="preserve">As carefully traced by Prof. J.A. Faris in his article </w:t>
      </w:r>
      <w:r w:rsidRPr="00C44535">
        <w:rPr>
          <w:i/>
          <w:iCs/>
        </w:rPr>
        <w:t>The Historical Context of Summary Judgment in South Africa: Politics, Policy and Procedure</w:t>
      </w:r>
      <w:r w:rsidRPr="00C44535">
        <w:t xml:space="preserve"> (2010) LXIII CILSA 352.</w:t>
      </w:r>
    </w:p>
  </w:footnote>
  <w:footnote w:id="14">
    <w:p w14:paraId="218501F7" w14:textId="7BD5AAA0" w:rsidR="001F375E" w:rsidRPr="00C44535" w:rsidRDefault="001F375E" w:rsidP="00C44535">
      <w:pPr>
        <w:pStyle w:val="FootnoteText"/>
        <w:spacing w:after="80"/>
        <w:ind w:left="567" w:hanging="567"/>
        <w:jc w:val="both"/>
      </w:pPr>
      <w:r w:rsidRPr="00C44535">
        <w:rPr>
          <w:rStyle w:val="FootnoteReference"/>
        </w:rPr>
        <w:footnoteRef/>
      </w:r>
      <w:r w:rsidRPr="00C44535">
        <w:t xml:space="preserve"> </w:t>
      </w:r>
      <w:r w:rsidRPr="00C44535">
        <w:tab/>
      </w:r>
      <w:r w:rsidRPr="00C44535">
        <w:rPr>
          <w:b/>
          <w:bCs/>
        </w:rPr>
        <w:t xml:space="preserve">Aquila WSA Aviation Opportunities II </w:t>
      </w:r>
      <w:r w:rsidR="00A40A4B" w:rsidRPr="00C44535">
        <w:rPr>
          <w:b/>
          <w:bCs/>
        </w:rPr>
        <w:t>Ltd v Onur Air Tasimacilik AS</w:t>
      </w:r>
      <w:r w:rsidR="00A40A4B" w:rsidRPr="00C44535">
        <w:t xml:space="preserve"> [2018] EWHC 519 (C</w:t>
      </w:r>
      <w:r w:rsidR="00D94A45" w:rsidRPr="00C44535">
        <w:t>o</w:t>
      </w:r>
      <w:r w:rsidR="00A40A4B" w:rsidRPr="00C44535">
        <w:t xml:space="preserve">mm), at </w:t>
      </w:r>
      <w:r w:rsidR="00D94A45" w:rsidRPr="00C44535">
        <w:t xml:space="preserve">para </w:t>
      </w:r>
      <w:r w:rsidR="00A40A4B" w:rsidRPr="00C44535">
        <w:t>[27]</w:t>
      </w:r>
      <w:r w:rsidR="0038780C" w:rsidRPr="00C44535">
        <w:t>.</w:t>
      </w:r>
    </w:p>
  </w:footnote>
  <w:footnote w:id="15">
    <w:p w14:paraId="5D110995" w14:textId="694F85E6" w:rsidR="00E841EB" w:rsidRPr="00C44535" w:rsidRDefault="00E841EB" w:rsidP="00C44535">
      <w:pPr>
        <w:pStyle w:val="FootnoteText"/>
        <w:spacing w:after="80"/>
        <w:ind w:left="567" w:hanging="567"/>
        <w:jc w:val="both"/>
      </w:pPr>
      <w:r w:rsidRPr="00C44535">
        <w:rPr>
          <w:rStyle w:val="FootnoteReference"/>
        </w:rPr>
        <w:footnoteRef/>
      </w:r>
      <w:r w:rsidRPr="00C44535">
        <w:t xml:space="preserve"> </w:t>
      </w:r>
      <w:r w:rsidRPr="00C44535">
        <w:tab/>
        <w:t xml:space="preserve">Both </w:t>
      </w:r>
      <w:r w:rsidR="009D0A60" w:rsidRPr="00C44535">
        <w:t>Subrule</w:t>
      </w:r>
      <w:r w:rsidRPr="00C44535">
        <w:t>s having been substituted by GN R842 of 31 May 2019</w:t>
      </w:r>
      <w:r w:rsidR="0038780C" w:rsidRPr="00C44535">
        <w:t>.</w:t>
      </w:r>
    </w:p>
  </w:footnote>
  <w:footnote w:id="16">
    <w:p w14:paraId="71A9706B" w14:textId="30019D4D" w:rsidR="00E841EB" w:rsidRPr="00C44535" w:rsidRDefault="00E841EB" w:rsidP="00C44535">
      <w:pPr>
        <w:pStyle w:val="FootnoteText"/>
        <w:spacing w:after="80"/>
        <w:ind w:left="567" w:hanging="567"/>
        <w:jc w:val="both"/>
      </w:pPr>
      <w:r w:rsidRPr="00C44535">
        <w:rPr>
          <w:rStyle w:val="FootnoteReference"/>
        </w:rPr>
        <w:footnoteRef/>
      </w:r>
      <w:r w:rsidRPr="00C44535">
        <w:t xml:space="preserve"> </w:t>
      </w:r>
      <w:r w:rsidRPr="00C44535">
        <w:tab/>
        <w:t>2009 (5) SA 1 (SCA)</w:t>
      </w:r>
      <w:r w:rsidR="0038780C" w:rsidRPr="00C44535">
        <w:t>.</w:t>
      </w:r>
    </w:p>
  </w:footnote>
  <w:footnote w:id="17">
    <w:p w14:paraId="0C4AAA2B" w14:textId="48FC6FE3" w:rsidR="00E841EB" w:rsidRPr="00C44535" w:rsidRDefault="00E841EB" w:rsidP="00C44535">
      <w:pPr>
        <w:pStyle w:val="FootnoteText"/>
        <w:spacing w:after="80"/>
        <w:ind w:left="567" w:hanging="567"/>
        <w:jc w:val="both"/>
      </w:pPr>
      <w:r w:rsidRPr="00C44535">
        <w:rPr>
          <w:rStyle w:val="FootnoteReference"/>
        </w:rPr>
        <w:footnoteRef/>
      </w:r>
      <w:r w:rsidRPr="00C44535">
        <w:t xml:space="preserve"> </w:t>
      </w:r>
      <w:r w:rsidRPr="00C44535">
        <w:tab/>
        <w:t>At para [32]</w:t>
      </w:r>
      <w:r w:rsidR="0038780C" w:rsidRPr="00C44535">
        <w:t>.</w:t>
      </w:r>
    </w:p>
  </w:footnote>
  <w:footnote w:id="18">
    <w:p w14:paraId="63D34FAA" w14:textId="2AF517AB" w:rsidR="00606499" w:rsidRPr="00C44535" w:rsidRDefault="00606499" w:rsidP="00C44535">
      <w:pPr>
        <w:pStyle w:val="FootnoteText"/>
        <w:spacing w:after="80"/>
        <w:ind w:left="567" w:hanging="567"/>
        <w:jc w:val="both"/>
      </w:pPr>
      <w:r w:rsidRPr="00C44535">
        <w:rPr>
          <w:rStyle w:val="FootnoteReference"/>
        </w:rPr>
        <w:footnoteRef/>
      </w:r>
      <w:r w:rsidRPr="00C44535">
        <w:t xml:space="preserve"> </w:t>
      </w:r>
      <w:r w:rsidRPr="00C44535">
        <w:tab/>
        <w:t>The</w:t>
      </w:r>
      <w:r w:rsidR="00A1645F" w:rsidRPr="00C44535">
        <w:t xml:space="preserve"> plea</w:t>
      </w:r>
      <w:r w:rsidRPr="00C44535">
        <w:t xml:space="preserve"> is an admixture of a standard pleading and an affidavit in narrative form.  Whether this was occasioned by the amended summary judgment procedure is notionally possible, but practically unimportant.</w:t>
      </w:r>
    </w:p>
  </w:footnote>
  <w:footnote w:id="19">
    <w:p w14:paraId="7146C373" w14:textId="7C4A955C" w:rsidR="00CD07F2" w:rsidRPr="00C44535" w:rsidRDefault="00CD07F2" w:rsidP="00C44535">
      <w:pPr>
        <w:pStyle w:val="FootnoteText"/>
        <w:spacing w:after="80"/>
        <w:ind w:left="567" w:hanging="567"/>
        <w:jc w:val="both"/>
      </w:pPr>
      <w:r w:rsidRPr="00C44535">
        <w:rPr>
          <w:rStyle w:val="FootnoteReference"/>
        </w:rPr>
        <w:footnoteRef/>
      </w:r>
      <w:r w:rsidRPr="00C44535">
        <w:t xml:space="preserve"> </w:t>
      </w:r>
      <w:r w:rsidR="00C44535">
        <w:tab/>
      </w:r>
      <w:r w:rsidRPr="00C44535">
        <w:t xml:space="preserve">For narrative purposes I refer </w:t>
      </w:r>
      <w:r w:rsidR="00E14C7B" w:rsidRPr="00C44535">
        <w:t>to documents mentioned in the plea, but not attached</w:t>
      </w:r>
      <w:r w:rsidR="0052629E">
        <w:t>.  T</w:t>
      </w:r>
      <w:r w:rsidR="00E14C7B" w:rsidRPr="00C44535">
        <w:t xml:space="preserve">hese were subsequently attached to the </w:t>
      </w:r>
      <w:r w:rsidR="00A66CFD" w:rsidRPr="00C44535">
        <w:t>affidavit opposing summary judgment.</w:t>
      </w:r>
    </w:p>
  </w:footnote>
  <w:footnote w:id="20">
    <w:p w14:paraId="35906AA8" w14:textId="57985639" w:rsidR="00073456" w:rsidRPr="00C44535" w:rsidRDefault="00073456" w:rsidP="00C44535">
      <w:pPr>
        <w:pStyle w:val="FootnoteText"/>
        <w:spacing w:after="80"/>
        <w:ind w:left="567" w:hanging="567"/>
        <w:jc w:val="both"/>
      </w:pPr>
      <w:r w:rsidRPr="00C44535">
        <w:rPr>
          <w:rStyle w:val="FootnoteReference"/>
        </w:rPr>
        <w:footnoteRef/>
      </w:r>
      <w:r w:rsidRPr="00C44535">
        <w:t xml:space="preserve"> </w:t>
      </w:r>
      <w:r w:rsidRPr="00C44535">
        <w:tab/>
        <w:t>It is unclear what commercial instruments were involved concerning this loan funding.</w:t>
      </w:r>
    </w:p>
  </w:footnote>
  <w:footnote w:id="21">
    <w:p w14:paraId="028E27D6" w14:textId="00A4AED7" w:rsidR="00E456E6" w:rsidRPr="00C44535" w:rsidRDefault="00E456E6" w:rsidP="00C44535">
      <w:pPr>
        <w:pStyle w:val="FootnoteText"/>
        <w:spacing w:after="80"/>
        <w:ind w:left="567" w:hanging="567"/>
        <w:jc w:val="both"/>
      </w:pPr>
      <w:r w:rsidRPr="00C44535">
        <w:rPr>
          <w:rStyle w:val="FootnoteReference"/>
        </w:rPr>
        <w:footnoteRef/>
      </w:r>
      <w:r w:rsidRPr="00C44535">
        <w:t xml:space="preserve"> </w:t>
      </w:r>
      <w:r w:rsidR="00C44535">
        <w:tab/>
      </w:r>
      <w:r w:rsidRPr="00C44535">
        <w:t xml:space="preserve">Erven 292 and 293 </w:t>
      </w:r>
      <w:r w:rsidR="003919A5" w:rsidRPr="00C44535">
        <w:t>are significant because of the covering bond in favour of the Plaintiff</w:t>
      </w:r>
      <w:r w:rsidR="00467317">
        <w:t>.</w:t>
      </w:r>
    </w:p>
  </w:footnote>
  <w:footnote w:id="22">
    <w:p w14:paraId="74762EDA" w14:textId="18B47536" w:rsidR="008F4625" w:rsidRPr="00C44535" w:rsidRDefault="00B62705" w:rsidP="00C44535">
      <w:pPr>
        <w:pStyle w:val="FootnoteText"/>
        <w:spacing w:after="80"/>
        <w:ind w:left="567" w:hanging="567"/>
        <w:jc w:val="both"/>
      </w:pPr>
      <w:r w:rsidRPr="00C44535">
        <w:rPr>
          <w:rStyle w:val="FootnoteReference"/>
        </w:rPr>
        <w:footnoteRef/>
      </w:r>
      <w:r w:rsidRPr="00C44535">
        <w:t xml:space="preserve"> </w:t>
      </w:r>
      <w:r w:rsidR="00C44535">
        <w:tab/>
      </w:r>
      <w:r w:rsidRPr="00C44535">
        <w:t>Section 68(3)</w:t>
      </w:r>
      <w:r w:rsidR="008F4625" w:rsidRPr="00C44535">
        <w:t xml:space="preserve"> of this statute provides:</w:t>
      </w:r>
    </w:p>
    <w:p w14:paraId="1119ADF4" w14:textId="0E4F603B" w:rsidR="00C1544F" w:rsidRPr="00C44535" w:rsidRDefault="005E3BF8" w:rsidP="00C44535">
      <w:pPr>
        <w:pStyle w:val="FootnoteText"/>
        <w:spacing w:after="80"/>
        <w:ind w:left="1701" w:right="851" w:hanging="567"/>
        <w:jc w:val="both"/>
        <w:rPr>
          <w:i/>
          <w:iCs/>
        </w:rPr>
      </w:pPr>
      <w:r w:rsidRPr="00C44535">
        <w:t>“</w:t>
      </w:r>
      <w:r w:rsidRPr="00C44535">
        <w:rPr>
          <w:i/>
          <w:iCs/>
        </w:rPr>
        <w:t xml:space="preserve">(3) </w:t>
      </w:r>
      <w:r w:rsidR="00D84C17" w:rsidRPr="00C44535">
        <w:rPr>
          <w:i/>
          <w:iCs/>
        </w:rPr>
        <w:tab/>
      </w:r>
      <w:r w:rsidRPr="00C44535">
        <w:rPr>
          <w:i/>
          <w:iCs/>
        </w:rPr>
        <w:t>If the land to be encumbered by a personal servitude is mortgaged or subject to any other real right with which the said personal servitude may conflict, the bond or other registered deed by which such right is held shall be produced to the registrar together with a consent in writing of the legal holder of such bond or other right to the registration of the said personal servitude and, in the case of a bond, free from the bond.”</w:t>
      </w:r>
      <w:r w:rsidR="00A267C4" w:rsidRPr="00C44535">
        <w:t xml:space="preserve">   </w:t>
      </w:r>
    </w:p>
  </w:footnote>
  <w:footnote w:id="23">
    <w:p w14:paraId="7EA336FB" w14:textId="2BC96C61" w:rsidR="00784C22" w:rsidRPr="00C44535" w:rsidRDefault="00784C22" w:rsidP="00C44535">
      <w:pPr>
        <w:pStyle w:val="FootnoteText"/>
        <w:spacing w:after="80"/>
        <w:ind w:left="567" w:hanging="567"/>
        <w:jc w:val="both"/>
      </w:pPr>
      <w:r w:rsidRPr="00C44535">
        <w:rPr>
          <w:rStyle w:val="FootnoteReference"/>
        </w:rPr>
        <w:footnoteRef/>
      </w:r>
      <w:r w:rsidRPr="00C44535">
        <w:t xml:space="preserve"> </w:t>
      </w:r>
      <w:r w:rsidR="00E05E27" w:rsidRPr="00C44535">
        <w:tab/>
      </w:r>
      <w:r w:rsidRPr="00C44535">
        <w:t>The latter right must be accep</w:t>
      </w:r>
      <w:r w:rsidR="006A004B" w:rsidRPr="00C44535">
        <w:t>ted as being legitimately claimed</w:t>
      </w:r>
      <w:r w:rsidR="0038780C" w:rsidRPr="00C44535">
        <w:t>.</w:t>
      </w:r>
    </w:p>
  </w:footnote>
  <w:footnote w:id="24">
    <w:p w14:paraId="06A71B82" w14:textId="50A5F3E7" w:rsidR="00A267C4" w:rsidRPr="00C44535" w:rsidRDefault="00A267C4" w:rsidP="00C44535">
      <w:pPr>
        <w:pStyle w:val="FootnoteText"/>
        <w:spacing w:after="80"/>
        <w:ind w:left="567" w:hanging="567"/>
        <w:jc w:val="both"/>
      </w:pPr>
      <w:r w:rsidRPr="00C44535">
        <w:rPr>
          <w:rStyle w:val="FootnoteReference"/>
        </w:rPr>
        <w:footnoteRef/>
      </w:r>
      <w:r w:rsidRPr="00C44535">
        <w:t xml:space="preserve"> </w:t>
      </w:r>
      <w:r w:rsidR="00E05E27" w:rsidRPr="00C44535">
        <w:tab/>
        <w:t>O</w:t>
      </w:r>
      <w:r w:rsidR="00973F5B" w:rsidRPr="00C44535">
        <w:t xml:space="preserve">n my reading of </w:t>
      </w:r>
      <w:r w:rsidRPr="00C44535">
        <w:t xml:space="preserve">section </w:t>
      </w:r>
      <w:r w:rsidR="00973F5B" w:rsidRPr="00C44535">
        <w:t xml:space="preserve">68(3) of Act 47 of 1937 </w:t>
      </w:r>
      <w:r w:rsidR="0036745A" w:rsidRPr="00C44535">
        <w:t xml:space="preserve">I understand this to </w:t>
      </w:r>
      <w:r w:rsidR="00973F5B" w:rsidRPr="00C44535">
        <w:t xml:space="preserve">require </w:t>
      </w:r>
      <w:r w:rsidR="0036745A" w:rsidRPr="00C44535">
        <w:t xml:space="preserve">that </w:t>
      </w:r>
      <w:r w:rsidR="00973F5B" w:rsidRPr="00C44535">
        <w:t xml:space="preserve">the servitude be registered </w:t>
      </w:r>
      <w:r w:rsidR="007853A8" w:rsidRPr="00C44535">
        <w:t>without any encumbrance of the bond</w:t>
      </w:r>
      <w:r w:rsidR="001A6EE9" w:rsidRPr="00C44535">
        <w:t>, which was in place over Erven 292 and 293.</w:t>
      </w:r>
    </w:p>
  </w:footnote>
  <w:footnote w:id="25">
    <w:p w14:paraId="4B766FD0" w14:textId="48D42361" w:rsidR="00711D09" w:rsidRPr="00C44535" w:rsidRDefault="00711D09" w:rsidP="00C44535">
      <w:pPr>
        <w:pStyle w:val="FootnoteText"/>
        <w:spacing w:after="80"/>
        <w:ind w:left="567" w:hanging="567"/>
        <w:jc w:val="both"/>
      </w:pPr>
      <w:r w:rsidRPr="00C44535">
        <w:rPr>
          <w:rStyle w:val="FootnoteReference"/>
        </w:rPr>
        <w:footnoteRef/>
      </w:r>
      <w:r w:rsidRPr="00C44535">
        <w:t xml:space="preserve"> </w:t>
      </w:r>
      <w:r w:rsidR="00C44535">
        <w:tab/>
      </w:r>
      <w:r w:rsidR="00EF233A" w:rsidRPr="00C44535">
        <w:t>T</w:t>
      </w:r>
      <w:r w:rsidR="00F1749B" w:rsidRPr="00C44535">
        <w:t>his bond does not feature in the action</w:t>
      </w:r>
      <w:r w:rsidR="00467317">
        <w:t>.</w:t>
      </w:r>
    </w:p>
  </w:footnote>
  <w:footnote w:id="26">
    <w:p w14:paraId="540AA635" w14:textId="03D38FCF" w:rsidR="007C2F3A" w:rsidRPr="00C44535" w:rsidRDefault="007C2F3A" w:rsidP="00C44535">
      <w:pPr>
        <w:pStyle w:val="FootnoteText"/>
        <w:spacing w:after="80"/>
        <w:ind w:left="567" w:hanging="567"/>
        <w:jc w:val="both"/>
      </w:pPr>
      <w:r w:rsidRPr="00C44535">
        <w:rPr>
          <w:rStyle w:val="FootnoteReference"/>
        </w:rPr>
        <w:footnoteRef/>
      </w:r>
      <w:r w:rsidRPr="00C44535">
        <w:t xml:space="preserve"> </w:t>
      </w:r>
      <w:r w:rsidRPr="00C44535">
        <w:tab/>
        <w:t>The letter was ultimately annexed to the affidavit opposing summary judgment.  This also occurred in respect of further documents which were referred to in the</w:t>
      </w:r>
      <w:r w:rsidR="00A1645F" w:rsidRPr="00C44535">
        <w:t xml:space="preserve"> plea</w:t>
      </w:r>
      <w:r w:rsidRPr="00C44535">
        <w:t>, but not annexed thereto.</w:t>
      </w:r>
    </w:p>
  </w:footnote>
  <w:footnote w:id="27">
    <w:p w14:paraId="132CBC56" w14:textId="3FA7897A" w:rsidR="00CA50BC" w:rsidRPr="00C44535" w:rsidRDefault="00CA50BC" w:rsidP="00C44535">
      <w:pPr>
        <w:pStyle w:val="FootnoteText"/>
        <w:spacing w:after="80"/>
        <w:ind w:left="567" w:hanging="567"/>
        <w:jc w:val="both"/>
      </w:pPr>
      <w:r w:rsidRPr="00C44535">
        <w:rPr>
          <w:rStyle w:val="FootnoteReference"/>
        </w:rPr>
        <w:footnoteRef/>
      </w:r>
      <w:r w:rsidRPr="00C44535">
        <w:t xml:space="preserve"> </w:t>
      </w:r>
      <w:r w:rsidRPr="00C44535">
        <w:tab/>
        <w:t xml:space="preserve">The header on this email refers to a </w:t>
      </w:r>
      <w:r w:rsidRPr="00C44535">
        <w:rPr>
          <w:u w:val="single"/>
        </w:rPr>
        <w:t>transfer</w:t>
      </w:r>
      <w:r w:rsidRPr="00C44535">
        <w:t xml:space="preserve"> from Sable Hills Waterfront Estate CC and references Erven 292 and 293, Sable Hills Waterfront Estate Township</w:t>
      </w:r>
      <w:r w:rsidR="0052629E">
        <w:t>.  T</w:t>
      </w:r>
      <w:r w:rsidR="00B7638C" w:rsidRPr="00C44535">
        <w:t>he meaning of this is unclear</w:t>
      </w:r>
      <w:r w:rsidR="002C0FCE" w:rsidRPr="00C44535">
        <w:t xml:space="preserve"> and as no suggestion of transfer </w:t>
      </w:r>
      <w:r w:rsidR="0045125A" w:rsidRPr="00C44535">
        <w:t xml:space="preserve">appears in the papers </w:t>
      </w:r>
      <w:r w:rsidR="002C0FCE" w:rsidRPr="00C44535">
        <w:t>it is likely</w:t>
      </w:r>
      <w:r w:rsidR="0045125A" w:rsidRPr="00C44535">
        <w:t xml:space="preserve"> that this was intended to refer to </w:t>
      </w:r>
      <w:r w:rsidR="002F179A" w:rsidRPr="00C44535">
        <w:t>cancellation of the bond</w:t>
      </w:r>
      <w:r w:rsidR="00B7638C" w:rsidRPr="00C44535">
        <w:t>.</w:t>
      </w:r>
    </w:p>
  </w:footnote>
  <w:footnote w:id="28">
    <w:p w14:paraId="02CEC764" w14:textId="1D331F1C" w:rsidR="000133E4" w:rsidRPr="00C44535" w:rsidRDefault="000133E4" w:rsidP="00C44535">
      <w:pPr>
        <w:pStyle w:val="FootnoteText"/>
        <w:spacing w:after="80"/>
        <w:ind w:left="567" w:hanging="567"/>
        <w:jc w:val="both"/>
      </w:pPr>
      <w:r w:rsidRPr="00C44535">
        <w:rPr>
          <w:rStyle w:val="FootnoteReference"/>
        </w:rPr>
        <w:footnoteRef/>
      </w:r>
      <w:r w:rsidRPr="00C44535">
        <w:t xml:space="preserve"> </w:t>
      </w:r>
      <w:r w:rsidR="00C44535">
        <w:tab/>
      </w:r>
      <w:r w:rsidR="00935E57" w:rsidRPr="00C44535">
        <w:t>The reliance on security over Erven 292 and 293 is contradictory of t</w:t>
      </w:r>
      <w:r w:rsidR="000853D1" w:rsidRPr="00C44535">
        <w:t>he defendant</w:t>
      </w:r>
      <w:r w:rsidR="00935E57" w:rsidRPr="00C44535">
        <w:t>s’ stance that this security should have been released in exchange for the bond over the Farm Tweefontein</w:t>
      </w:r>
      <w:r w:rsidR="00C44535">
        <w:t>.</w:t>
      </w:r>
    </w:p>
  </w:footnote>
  <w:footnote w:id="29">
    <w:p w14:paraId="4944CAD1" w14:textId="4D3D3DDA" w:rsidR="00483C51" w:rsidRPr="00C44535" w:rsidRDefault="00483C51" w:rsidP="00C44535">
      <w:pPr>
        <w:pStyle w:val="FootnoteText"/>
        <w:spacing w:after="80"/>
        <w:ind w:left="567" w:hanging="567"/>
        <w:jc w:val="both"/>
      </w:pPr>
      <w:r w:rsidRPr="00C44535">
        <w:rPr>
          <w:rStyle w:val="FootnoteReference"/>
        </w:rPr>
        <w:footnoteRef/>
      </w:r>
      <w:r w:rsidRPr="00C44535">
        <w:t xml:space="preserve"> </w:t>
      </w:r>
      <w:r w:rsidR="00C44535">
        <w:tab/>
      </w:r>
      <w:r w:rsidR="00670381" w:rsidRPr="00C44535">
        <w:t xml:space="preserve">See: </w:t>
      </w:r>
      <w:r w:rsidR="00670381" w:rsidRPr="00C44535">
        <w:rPr>
          <w:b/>
          <w:bCs/>
        </w:rPr>
        <w:t>Stamford Sales &amp; Distribution</w:t>
      </w:r>
      <w:r w:rsidR="00AE523A" w:rsidRPr="00C44535">
        <w:rPr>
          <w:b/>
          <w:bCs/>
        </w:rPr>
        <w:t xml:space="preserve"> (Pty) Ltd v Metraclark (Pty) Ltd</w:t>
      </w:r>
      <w:r w:rsidR="00AE523A" w:rsidRPr="00C44535">
        <w:t xml:space="preserve"> [2014</w:t>
      </w:r>
      <w:r w:rsidR="00B148FA" w:rsidRPr="00C44535">
        <w:t>] ZASCA 79 (29</w:t>
      </w:r>
      <w:r w:rsidR="00C44535">
        <w:t> </w:t>
      </w:r>
      <w:r w:rsidR="00B148FA" w:rsidRPr="00C44535">
        <w:t>May 2014)</w:t>
      </w:r>
      <w:r w:rsidR="00C44535">
        <w:t>.</w:t>
      </w:r>
    </w:p>
  </w:footnote>
  <w:footnote w:id="30">
    <w:p w14:paraId="71AF72D7" w14:textId="4610E0DE" w:rsidR="008032E3" w:rsidRPr="00C44535" w:rsidRDefault="008032E3" w:rsidP="00C44535">
      <w:pPr>
        <w:pStyle w:val="FootnoteText"/>
        <w:spacing w:after="80"/>
        <w:ind w:left="567" w:hanging="567"/>
        <w:jc w:val="both"/>
      </w:pPr>
      <w:r w:rsidRPr="00C44535">
        <w:rPr>
          <w:rStyle w:val="FootnoteReference"/>
        </w:rPr>
        <w:footnoteRef/>
      </w:r>
      <w:r w:rsidRPr="00C44535">
        <w:t xml:space="preserve"> </w:t>
      </w:r>
      <w:r w:rsidR="00C44535">
        <w:tab/>
      </w:r>
      <w:r w:rsidR="006C2212" w:rsidRPr="00C44535">
        <w:t>The</w:t>
      </w:r>
      <w:r w:rsidR="00BE746E" w:rsidRPr="00C44535">
        <w:t xml:space="preserve"> analysis of the </w:t>
      </w:r>
      <w:r w:rsidR="00BE746E" w:rsidRPr="00C44535">
        <w:rPr>
          <w:b/>
          <w:bCs/>
        </w:rPr>
        <w:t>Stamford Sales</w:t>
      </w:r>
      <w:r w:rsidR="00BE746E" w:rsidRPr="00C44535">
        <w:t xml:space="preserve"> judgment by </w:t>
      </w:r>
      <w:r w:rsidR="0028236F" w:rsidRPr="00982207">
        <w:rPr>
          <w:smallCaps/>
        </w:rPr>
        <w:t>B</w:t>
      </w:r>
      <w:r w:rsidR="00982207" w:rsidRPr="00982207">
        <w:rPr>
          <w:smallCaps/>
        </w:rPr>
        <w:t>inns</w:t>
      </w:r>
      <w:r w:rsidR="0028236F" w:rsidRPr="00982207">
        <w:rPr>
          <w:smallCaps/>
        </w:rPr>
        <w:t>-W</w:t>
      </w:r>
      <w:r w:rsidR="00982207" w:rsidRPr="00982207">
        <w:rPr>
          <w:smallCaps/>
        </w:rPr>
        <w:t>ard</w:t>
      </w:r>
      <w:r w:rsidR="00982207">
        <w:t> </w:t>
      </w:r>
      <w:r w:rsidR="0028236F" w:rsidRPr="00C44535">
        <w:t xml:space="preserve">J in </w:t>
      </w:r>
      <w:r w:rsidR="0028236F" w:rsidRPr="00C44535">
        <w:rPr>
          <w:b/>
          <w:bCs/>
        </w:rPr>
        <w:t xml:space="preserve">Absa Bank Ltd v Future Indefinite Investments 201 (Pty) Ltd </w:t>
      </w:r>
      <w:r w:rsidR="001A3533" w:rsidRPr="00C44535">
        <w:t xml:space="preserve">above explains how this judgment should be read </w:t>
      </w:r>
      <w:r w:rsidR="00BE26D0" w:rsidRPr="00C44535">
        <w:t>and I respectfully agree with the analysis</w:t>
      </w:r>
      <w:r w:rsidR="00467317">
        <w:t>.</w:t>
      </w:r>
    </w:p>
  </w:footnote>
  <w:footnote w:id="31">
    <w:p w14:paraId="03963021" w14:textId="50DD84C8" w:rsidR="008A0922" w:rsidRPr="00C44535" w:rsidRDefault="008A0922" w:rsidP="00C44535">
      <w:pPr>
        <w:pStyle w:val="FootnoteText"/>
        <w:spacing w:after="80"/>
        <w:ind w:left="567" w:hanging="567"/>
        <w:jc w:val="both"/>
      </w:pPr>
      <w:r w:rsidRPr="00C44535">
        <w:rPr>
          <w:rStyle w:val="FootnoteReference"/>
        </w:rPr>
        <w:footnoteRef/>
      </w:r>
      <w:r w:rsidRPr="00C44535">
        <w:t xml:space="preserve"> </w:t>
      </w:r>
      <w:r w:rsidRPr="00C44535">
        <w:tab/>
        <w:t xml:space="preserve">I leave aside for present purposes the justifiable observations in paragraph [40] of </w:t>
      </w:r>
      <w:r w:rsidRPr="00C44535">
        <w:rPr>
          <w:b/>
          <w:bCs/>
        </w:rPr>
        <w:t>Tumileng</w:t>
      </w:r>
      <w:r w:rsidRPr="00C44535">
        <w:t xml:space="preserve"> concerning the possible tension between subrule </w:t>
      </w:r>
      <w:r w:rsidR="009D0A60" w:rsidRPr="00C44535">
        <w:t>32(2)(b) and that in subrule (3)(b).</w:t>
      </w:r>
    </w:p>
  </w:footnote>
  <w:footnote w:id="32">
    <w:p w14:paraId="5E9CC437" w14:textId="3976D06C" w:rsidR="004A2F61" w:rsidRPr="00C44535" w:rsidRDefault="004A2F61" w:rsidP="00C44535">
      <w:pPr>
        <w:pStyle w:val="FootnoteText"/>
        <w:spacing w:after="80"/>
        <w:ind w:left="567" w:hanging="567"/>
        <w:jc w:val="both"/>
      </w:pPr>
      <w:r w:rsidRPr="00C44535">
        <w:rPr>
          <w:rStyle w:val="FootnoteReference"/>
        </w:rPr>
        <w:footnoteRef/>
      </w:r>
      <w:r w:rsidRPr="00C44535">
        <w:t xml:space="preserve"> </w:t>
      </w:r>
      <w:r w:rsidRPr="00C44535">
        <w:tab/>
        <w:t xml:space="preserve">Compare </w:t>
      </w:r>
      <w:r w:rsidRPr="00C44535">
        <w:rPr>
          <w:b/>
          <w:bCs/>
        </w:rPr>
        <w:t>Maharaj v Barclays National Bank</w:t>
      </w:r>
      <w:r w:rsidRPr="00C44535">
        <w:t xml:space="preserve"> 1976 (1) SA 418 (A), at 426 A-E; </w:t>
      </w:r>
      <w:r w:rsidRPr="00C44535">
        <w:rPr>
          <w:b/>
          <w:bCs/>
        </w:rPr>
        <w:t>Tesven CC and Another v South African Bank of Athens</w:t>
      </w:r>
      <w:r w:rsidRPr="00C44535">
        <w:t xml:space="preserve"> 2000 (1) SA 268 (SCA), para [22].</w:t>
      </w:r>
    </w:p>
  </w:footnote>
  <w:footnote w:id="33">
    <w:p w14:paraId="3D7FE330" w14:textId="3C476878" w:rsidR="0038780C" w:rsidRPr="00C44535" w:rsidRDefault="0038780C" w:rsidP="00C44535">
      <w:pPr>
        <w:pStyle w:val="FootnoteText"/>
        <w:spacing w:after="80"/>
        <w:ind w:left="567" w:hanging="567"/>
        <w:jc w:val="both"/>
      </w:pPr>
      <w:r w:rsidRPr="00C44535">
        <w:rPr>
          <w:rStyle w:val="FootnoteReference"/>
        </w:rPr>
        <w:footnoteRef/>
      </w:r>
      <w:r w:rsidRPr="00C44535">
        <w:t xml:space="preserve"> </w:t>
      </w:r>
      <w:r w:rsidRPr="00C44535">
        <w:tab/>
        <w:t xml:space="preserve">Compare </w:t>
      </w:r>
      <w:r w:rsidRPr="00C44535">
        <w:rPr>
          <w:b/>
          <w:bCs/>
        </w:rPr>
        <w:t>Beadica v Trustees, Oregon Trust</w:t>
      </w:r>
      <w:r w:rsidRPr="00C44535">
        <w:t xml:space="preserve"> 2020 (5) SA 247 (CC), at paras [80] and [87].</w:t>
      </w:r>
    </w:p>
  </w:footnote>
  <w:footnote w:id="34">
    <w:p w14:paraId="03FBDF46" w14:textId="5901B822" w:rsidR="0038780C" w:rsidRPr="00C44535" w:rsidRDefault="0038780C" w:rsidP="00C44535">
      <w:pPr>
        <w:pStyle w:val="FootnoteText"/>
        <w:spacing w:after="80"/>
        <w:ind w:left="567" w:hanging="567"/>
        <w:jc w:val="both"/>
      </w:pPr>
      <w:r w:rsidRPr="00C44535">
        <w:rPr>
          <w:rStyle w:val="FootnoteReference"/>
        </w:rPr>
        <w:footnoteRef/>
      </w:r>
      <w:r w:rsidRPr="00C44535">
        <w:t xml:space="preserve"> </w:t>
      </w:r>
      <w:r w:rsidRPr="00C44535">
        <w:tab/>
      </w:r>
      <w:r w:rsidRPr="00C44535">
        <w:rPr>
          <w:b/>
          <w:bCs/>
        </w:rPr>
        <w:t>Maharaj</w:t>
      </w:r>
      <w:r w:rsidRPr="00C44535">
        <w:t>, at 423 F.</w:t>
      </w:r>
    </w:p>
  </w:footnote>
  <w:footnote w:id="35">
    <w:p w14:paraId="1D99F7D0" w14:textId="773C9C96" w:rsidR="000B3BDD" w:rsidRPr="00C44535" w:rsidRDefault="000B3BDD" w:rsidP="00C44535">
      <w:pPr>
        <w:pStyle w:val="FootnoteText"/>
        <w:spacing w:after="80"/>
        <w:ind w:left="567" w:hanging="567"/>
        <w:jc w:val="both"/>
      </w:pPr>
      <w:r w:rsidRPr="00C44535">
        <w:rPr>
          <w:rStyle w:val="FootnoteReference"/>
        </w:rPr>
        <w:footnoteRef/>
      </w:r>
      <w:r w:rsidRPr="00C44535">
        <w:t xml:space="preserve"> </w:t>
      </w:r>
      <w:r w:rsidRPr="00C44535">
        <w:tab/>
        <w:t>2006 (6) SA 379 (C)</w:t>
      </w:r>
      <w:r w:rsidR="00467317">
        <w:t>.</w:t>
      </w:r>
    </w:p>
  </w:footnote>
  <w:footnote w:id="36">
    <w:p w14:paraId="70332C93" w14:textId="7881635C" w:rsidR="00377D20" w:rsidRPr="00C44535" w:rsidRDefault="00377D20" w:rsidP="00C44535">
      <w:pPr>
        <w:pStyle w:val="FootnoteText"/>
        <w:spacing w:after="80"/>
        <w:ind w:left="567" w:hanging="567"/>
        <w:jc w:val="both"/>
      </w:pPr>
      <w:r w:rsidRPr="00C44535">
        <w:rPr>
          <w:rStyle w:val="FootnoteReference"/>
        </w:rPr>
        <w:footnoteRef/>
      </w:r>
      <w:r w:rsidRPr="00C44535">
        <w:t xml:space="preserve"> </w:t>
      </w:r>
      <w:r w:rsidRPr="00C44535">
        <w:tab/>
        <w:t>At paras [18] to [25]</w:t>
      </w:r>
      <w:r w:rsidR="00297678" w:rsidRPr="00C44535">
        <w:t>.</w:t>
      </w:r>
    </w:p>
  </w:footnote>
  <w:footnote w:id="37">
    <w:p w14:paraId="6FA969B9" w14:textId="092200B2" w:rsidR="00297678" w:rsidRPr="00C44535" w:rsidRDefault="00297678" w:rsidP="00C44535">
      <w:pPr>
        <w:pStyle w:val="FootnoteText"/>
        <w:spacing w:after="80"/>
        <w:ind w:left="567" w:hanging="567"/>
        <w:jc w:val="both"/>
      </w:pPr>
      <w:r w:rsidRPr="00C44535">
        <w:rPr>
          <w:rStyle w:val="FootnoteReference"/>
        </w:rPr>
        <w:footnoteRef/>
      </w:r>
      <w:r w:rsidRPr="00C44535">
        <w:t xml:space="preserve"> </w:t>
      </w:r>
      <w:r w:rsidRPr="00C44535">
        <w:tab/>
        <w:t>This email refers to a trailing email which is curiously not attached.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9FF"/>
    <w:multiLevelType w:val="multilevel"/>
    <w:tmpl w:val="9F40D618"/>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700"/>
        </w:tabs>
        <w:ind w:left="1700" w:hanging="1020"/>
      </w:pPr>
      <w:rPr>
        <w:rFonts w:hint="default"/>
      </w:rPr>
    </w:lvl>
    <w:lvl w:ilvl="2">
      <w:start w:val="1"/>
      <w:numFmt w:val="decimal"/>
      <w:lvlText w:val="%1.%2.%3"/>
      <w:lvlJc w:val="left"/>
      <w:pPr>
        <w:tabs>
          <w:tab w:val="num" w:pos="2380"/>
        </w:tabs>
        <w:ind w:left="2380" w:hanging="1020"/>
      </w:pPr>
      <w:rPr>
        <w:rFonts w:hint="default"/>
      </w:rPr>
    </w:lvl>
    <w:lvl w:ilvl="3">
      <w:start w:val="1"/>
      <w:numFmt w:val="decimal"/>
      <w:lvlText w:val="%1.%2.%3.%4"/>
      <w:lvlJc w:val="left"/>
      <w:pPr>
        <w:tabs>
          <w:tab w:val="num" w:pos="3060"/>
        </w:tabs>
        <w:ind w:left="3060" w:hanging="10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132F36BC"/>
    <w:multiLevelType w:val="multilevel"/>
    <w:tmpl w:val="249CD81E"/>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1247"/>
        </w:tabs>
        <w:ind w:left="1247" w:hanging="680"/>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021"/>
      </w:pPr>
      <w:rPr>
        <w:rFonts w:ascii="Arial" w:hAnsi="Arial" w:hint="default"/>
        <w:b w:val="0"/>
        <w:i w:val="0"/>
        <w:sz w:val="20"/>
        <w:szCs w:val="20"/>
      </w:rPr>
    </w:lvl>
    <w:lvl w:ilvl="3">
      <w:start w:val="1"/>
      <w:numFmt w:val="decimal"/>
      <w:lvlText w:val="%1.%2.%3.%4"/>
      <w:lvlJc w:val="left"/>
      <w:pPr>
        <w:tabs>
          <w:tab w:val="num" w:pos="3402"/>
        </w:tabs>
        <w:ind w:left="3402" w:hanging="1134"/>
      </w:pPr>
      <w:rPr>
        <w:rFonts w:ascii="Arial" w:hAnsi="Arial" w:hint="default"/>
        <w:b w:val="0"/>
        <w:i w:val="0"/>
        <w:sz w:val="20"/>
        <w:szCs w:val="20"/>
      </w:rPr>
    </w:lvl>
    <w:lvl w:ilvl="4">
      <w:start w:val="1"/>
      <w:numFmt w:val="decimal"/>
      <w:lvlText w:val="%1.%2.%3.%4.%5"/>
      <w:lvlJc w:val="left"/>
      <w:pPr>
        <w:tabs>
          <w:tab w:val="num" w:pos="4649"/>
        </w:tabs>
        <w:ind w:left="4649" w:hanging="1360"/>
      </w:pPr>
      <w:rPr>
        <w:rFonts w:ascii="Arial" w:hAnsi="Arial" w:hint="default"/>
        <w:sz w:val="20"/>
        <w:szCs w:val="20"/>
      </w:rPr>
    </w:lvl>
    <w:lvl w:ilvl="5">
      <w:start w:val="1"/>
      <w:numFmt w:val="decimal"/>
      <w:lvlText w:val="%1.%2.%3.%4.%5.%6"/>
      <w:lvlJc w:val="left"/>
      <w:pPr>
        <w:tabs>
          <w:tab w:val="num" w:pos="5897"/>
        </w:tabs>
        <w:ind w:left="5897" w:hanging="124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3E1738"/>
    <w:multiLevelType w:val="hybridMultilevel"/>
    <w:tmpl w:val="F676BEE2"/>
    <w:lvl w:ilvl="0" w:tplc="1C3A48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C168E6"/>
    <w:multiLevelType w:val="multilevel"/>
    <w:tmpl w:val="1256B7D0"/>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1247"/>
        </w:tabs>
        <w:ind w:left="1247" w:hanging="680"/>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021"/>
      </w:pPr>
      <w:rPr>
        <w:rFonts w:ascii="Arial" w:hAnsi="Arial" w:hint="default"/>
        <w:b w:val="0"/>
        <w:i w:val="0"/>
        <w:sz w:val="20"/>
        <w:szCs w:val="20"/>
      </w:rPr>
    </w:lvl>
    <w:lvl w:ilvl="3">
      <w:start w:val="1"/>
      <w:numFmt w:val="decimal"/>
      <w:lvlText w:val="%1.%2.%3.%4"/>
      <w:lvlJc w:val="left"/>
      <w:pPr>
        <w:tabs>
          <w:tab w:val="num" w:pos="3402"/>
        </w:tabs>
        <w:ind w:left="3402" w:hanging="1134"/>
      </w:pPr>
      <w:rPr>
        <w:rFonts w:ascii="Arial" w:hAnsi="Arial" w:hint="default"/>
        <w:b w:val="0"/>
        <w:i w:val="0"/>
        <w:sz w:val="20"/>
        <w:szCs w:val="20"/>
      </w:rPr>
    </w:lvl>
    <w:lvl w:ilvl="4">
      <w:start w:val="1"/>
      <w:numFmt w:val="decimal"/>
      <w:lvlText w:val="%1.%2.%3.%4.%5"/>
      <w:lvlJc w:val="left"/>
      <w:pPr>
        <w:tabs>
          <w:tab w:val="num" w:pos="4649"/>
        </w:tabs>
        <w:ind w:left="4649" w:hanging="1360"/>
      </w:pPr>
      <w:rPr>
        <w:rFonts w:ascii="Arial" w:hAnsi="Arial" w:hint="default"/>
        <w:sz w:val="20"/>
        <w:szCs w:val="20"/>
      </w:rPr>
    </w:lvl>
    <w:lvl w:ilvl="5">
      <w:start w:val="1"/>
      <w:numFmt w:val="decimal"/>
      <w:lvlText w:val="%1.%2.%3.%4.%5.%6"/>
      <w:lvlJc w:val="left"/>
      <w:pPr>
        <w:tabs>
          <w:tab w:val="num" w:pos="5897"/>
        </w:tabs>
        <w:ind w:left="5897" w:hanging="124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B303A3"/>
    <w:multiLevelType w:val="hybridMultilevel"/>
    <w:tmpl w:val="E70EAB1E"/>
    <w:lvl w:ilvl="0" w:tplc="61AC7264">
      <w:start w:val="1"/>
      <w:numFmt w:val="decimal"/>
      <w:lvlText w:val="%1."/>
      <w:lvlJc w:val="left"/>
      <w:pPr>
        <w:ind w:left="1352" w:hanging="672"/>
      </w:pPr>
      <w:rPr>
        <w:rFonts w:hint="default"/>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6">
    <w:nsid w:val="50145456"/>
    <w:multiLevelType w:val="multilevel"/>
    <w:tmpl w:val="1256B7D0"/>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1247"/>
        </w:tabs>
        <w:ind w:left="1247" w:hanging="680"/>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021"/>
      </w:pPr>
      <w:rPr>
        <w:rFonts w:ascii="Arial" w:hAnsi="Arial" w:hint="default"/>
        <w:b w:val="0"/>
        <w:i w:val="0"/>
        <w:sz w:val="20"/>
        <w:szCs w:val="20"/>
      </w:rPr>
    </w:lvl>
    <w:lvl w:ilvl="3">
      <w:start w:val="1"/>
      <w:numFmt w:val="decimal"/>
      <w:lvlText w:val="%1.%2.%3.%4"/>
      <w:lvlJc w:val="left"/>
      <w:pPr>
        <w:tabs>
          <w:tab w:val="num" w:pos="3402"/>
        </w:tabs>
        <w:ind w:left="3402" w:hanging="1134"/>
      </w:pPr>
      <w:rPr>
        <w:rFonts w:ascii="Arial" w:hAnsi="Arial" w:hint="default"/>
        <w:b w:val="0"/>
        <w:i w:val="0"/>
        <w:sz w:val="20"/>
        <w:szCs w:val="20"/>
      </w:rPr>
    </w:lvl>
    <w:lvl w:ilvl="4">
      <w:start w:val="1"/>
      <w:numFmt w:val="decimal"/>
      <w:lvlText w:val="%1.%2.%3.%4.%5"/>
      <w:lvlJc w:val="left"/>
      <w:pPr>
        <w:tabs>
          <w:tab w:val="num" w:pos="4649"/>
        </w:tabs>
        <w:ind w:left="4649" w:hanging="1360"/>
      </w:pPr>
      <w:rPr>
        <w:rFonts w:ascii="Arial" w:hAnsi="Arial" w:hint="default"/>
        <w:sz w:val="20"/>
        <w:szCs w:val="20"/>
      </w:rPr>
    </w:lvl>
    <w:lvl w:ilvl="5">
      <w:start w:val="1"/>
      <w:numFmt w:val="decimal"/>
      <w:lvlText w:val="%1.%2.%3.%4.%5.%6"/>
      <w:lvlJc w:val="left"/>
      <w:pPr>
        <w:tabs>
          <w:tab w:val="num" w:pos="5897"/>
        </w:tabs>
        <w:ind w:left="5897" w:hanging="124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7397A9F"/>
    <w:multiLevelType w:val="hybridMultilevel"/>
    <w:tmpl w:val="E5F8162C"/>
    <w:lvl w:ilvl="0" w:tplc="E960B666">
      <w:start w:val="1"/>
      <w:numFmt w:val="decimal"/>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8">
    <w:nsid w:val="57B86B98"/>
    <w:multiLevelType w:val="multilevel"/>
    <w:tmpl w:val="FA4A99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2381"/>
        </w:tabs>
        <w:ind w:left="2381" w:hanging="1134"/>
      </w:pPr>
      <w:rPr>
        <w:rFonts w:hint="default"/>
      </w:rPr>
    </w:lvl>
    <w:lvl w:ilvl="3">
      <w:start w:val="1"/>
      <w:numFmt w:val="decimal"/>
      <w:lvlText w:val="%1.%2.%3.%4"/>
      <w:lvlJc w:val="left"/>
      <w:pPr>
        <w:tabs>
          <w:tab w:val="num" w:pos="3629"/>
        </w:tabs>
        <w:ind w:left="3629" w:hanging="12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8A75599"/>
    <w:multiLevelType w:val="multilevel"/>
    <w:tmpl w:val="A948BF2C"/>
    <w:lvl w:ilvl="0">
      <w:start w:val="1"/>
      <w:numFmt w:val="decimal"/>
      <w:lvlText w:val="%1."/>
      <w:lvlJc w:val="left"/>
      <w:pPr>
        <w:tabs>
          <w:tab w:val="num" w:pos="567"/>
        </w:tabs>
        <w:ind w:left="567" w:hanging="567"/>
      </w:pPr>
      <w:rPr>
        <w:rFonts w:ascii="Arial" w:hAnsi="Arial" w:hint="default"/>
        <w:b w:val="0"/>
        <w:i w:val="0"/>
      </w:rPr>
    </w:lvl>
    <w:lvl w:ilvl="1">
      <w:start w:val="1"/>
      <w:numFmt w:val="decimal"/>
      <w:lvlText w:val="%1.%2"/>
      <w:lvlJc w:val="left"/>
      <w:pPr>
        <w:tabs>
          <w:tab w:val="num" w:pos="1247"/>
        </w:tabs>
        <w:ind w:left="1247" w:hanging="680"/>
      </w:pPr>
      <w:rPr>
        <w:rFonts w:ascii="Arial" w:hAnsi="Arial" w:hint="default"/>
        <w:b w:val="0"/>
        <w:i w:val="0"/>
      </w:rPr>
    </w:lvl>
    <w:lvl w:ilvl="2">
      <w:start w:val="1"/>
      <w:numFmt w:val="decimal"/>
      <w:lvlText w:val="%1.%2.%3"/>
      <w:lvlJc w:val="left"/>
      <w:pPr>
        <w:tabs>
          <w:tab w:val="num" w:pos="2268"/>
        </w:tabs>
        <w:ind w:left="2268" w:hanging="1021"/>
      </w:pPr>
      <w:rPr>
        <w:rFonts w:ascii="Arial" w:hAnsi="Arial" w:hint="default"/>
        <w:b w:val="0"/>
        <w:i w:val="0"/>
      </w:rPr>
    </w:lvl>
    <w:lvl w:ilvl="3">
      <w:start w:val="1"/>
      <w:numFmt w:val="decimal"/>
      <w:lvlText w:val="%1.%2.%3.%4"/>
      <w:lvlJc w:val="left"/>
      <w:pPr>
        <w:tabs>
          <w:tab w:val="num" w:pos="3402"/>
        </w:tabs>
        <w:ind w:left="3402" w:hanging="1134"/>
      </w:pPr>
      <w:rPr>
        <w:rFonts w:ascii="Arial" w:hAnsi="Arial" w:hint="default"/>
        <w:b w:val="0"/>
        <w:i w:val="0"/>
      </w:rPr>
    </w:lvl>
    <w:lvl w:ilvl="4">
      <w:start w:val="1"/>
      <w:numFmt w:val="decimal"/>
      <w:lvlText w:val="%1.%2.%3.%4.%5"/>
      <w:lvlJc w:val="left"/>
      <w:pPr>
        <w:tabs>
          <w:tab w:val="num" w:pos="4649"/>
        </w:tabs>
        <w:ind w:left="4649" w:hanging="1360"/>
      </w:pPr>
      <w:rPr>
        <w:rFonts w:ascii="Arial" w:hAnsi="Arial" w:hint="default"/>
      </w:rPr>
    </w:lvl>
    <w:lvl w:ilvl="5">
      <w:start w:val="1"/>
      <w:numFmt w:val="decimal"/>
      <w:lvlText w:val="%1.%2.%3.%4.%5.%6"/>
      <w:lvlJc w:val="left"/>
      <w:pPr>
        <w:tabs>
          <w:tab w:val="num" w:pos="5897"/>
        </w:tabs>
        <w:ind w:left="5897" w:hanging="1248"/>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AC219E6"/>
    <w:multiLevelType w:val="multilevel"/>
    <w:tmpl w:val="0E481AF8"/>
    <w:lvl w:ilvl="0">
      <w:start w:val="1"/>
      <w:numFmt w:val="decimal"/>
      <w:isLgl/>
      <w:lvlText w:val="[%1]"/>
      <w:lvlJc w:val="left"/>
      <w:pPr>
        <w:tabs>
          <w:tab w:val="num" w:pos="680"/>
        </w:tabs>
        <w:ind w:left="680" w:hanging="680"/>
      </w:pPr>
      <w:rPr>
        <w:rFonts w:ascii="Arial" w:hAnsi="Arial" w:hint="default"/>
        <w:b w:val="0"/>
        <w:i w:val="0"/>
        <w:sz w:val="20"/>
        <w:szCs w:val="20"/>
      </w:rPr>
    </w:lvl>
    <w:lvl w:ilvl="1">
      <w:start w:val="1"/>
      <w:numFmt w:val="decimal"/>
      <w:lvlText w:val="[%1.%2]"/>
      <w:lvlJc w:val="left"/>
      <w:pPr>
        <w:tabs>
          <w:tab w:val="num" w:pos="1418"/>
        </w:tabs>
        <w:ind w:left="1418" w:hanging="738"/>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1134"/>
      </w:pPr>
      <w:rPr>
        <w:rFonts w:ascii="Arial" w:hAnsi="Arial" w:hint="default"/>
        <w:b w:val="0"/>
        <w:i w:val="0"/>
        <w:color w:val="auto"/>
        <w:sz w:val="20"/>
        <w:szCs w:val="20"/>
      </w:rPr>
    </w:lvl>
    <w:lvl w:ilvl="3">
      <w:start w:val="1"/>
      <w:numFmt w:val="decimal"/>
      <w:lvlText w:val="%1.%2.%3.%4."/>
      <w:lvlJc w:val="left"/>
      <w:pPr>
        <w:tabs>
          <w:tab w:val="num" w:pos="3600"/>
        </w:tabs>
        <w:ind w:left="3600" w:hanging="1048"/>
      </w:pPr>
      <w:rPr>
        <w:rFonts w:hint="default"/>
        <w:b w:val="0"/>
        <w:i w:val="0"/>
        <w:sz w:val="20"/>
        <w:szCs w:val="20"/>
      </w:rPr>
    </w:lvl>
    <w:lvl w:ilvl="4">
      <w:start w:val="1"/>
      <w:numFmt w:val="decimal"/>
      <w:lvlText w:val="%1.%2.%3.%4.%5."/>
      <w:lvlJc w:val="left"/>
      <w:pPr>
        <w:tabs>
          <w:tab w:val="num" w:pos="5041"/>
        </w:tabs>
        <w:ind w:left="5041" w:hanging="1441"/>
      </w:pPr>
      <w:rPr>
        <w:rFonts w:hint="default"/>
        <w:sz w:val="20"/>
        <w:szCs w:val="20"/>
      </w:rPr>
    </w:lvl>
    <w:lvl w:ilvl="5">
      <w:start w:val="1"/>
      <w:numFmt w:val="decimal"/>
      <w:lvlText w:val="%1.%2.%3.%4.%5.%6."/>
      <w:lvlJc w:val="left"/>
      <w:pPr>
        <w:tabs>
          <w:tab w:val="num" w:pos="6481"/>
        </w:tabs>
        <w:ind w:left="6481" w:hanging="1440"/>
      </w:pPr>
      <w:rPr>
        <w:rFonts w:hint="default"/>
        <w:sz w:val="22"/>
        <w:szCs w:val="22"/>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11">
    <w:nsid w:val="5CF03A7F"/>
    <w:multiLevelType w:val="multilevel"/>
    <w:tmpl w:val="A948BF2C"/>
    <w:lvl w:ilvl="0">
      <w:start w:val="1"/>
      <w:numFmt w:val="decimal"/>
      <w:lvlText w:val="%1."/>
      <w:lvlJc w:val="left"/>
      <w:pPr>
        <w:tabs>
          <w:tab w:val="num" w:pos="567"/>
        </w:tabs>
        <w:ind w:left="567" w:hanging="567"/>
      </w:pPr>
      <w:rPr>
        <w:rFonts w:ascii="Arial" w:hAnsi="Arial" w:hint="default"/>
        <w:b w:val="0"/>
        <w:i w:val="0"/>
      </w:rPr>
    </w:lvl>
    <w:lvl w:ilvl="1">
      <w:start w:val="1"/>
      <w:numFmt w:val="decimal"/>
      <w:lvlText w:val="%1.%2"/>
      <w:lvlJc w:val="left"/>
      <w:pPr>
        <w:tabs>
          <w:tab w:val="num" w:pos="1247"/>
        </w:tabs>
        <w:ind w:left="1247" w:hanging="680"/>
      </w:pPr>
      <w:rPr>
        <w:rFonts w:ascii="Arial" w:hAnsi="Arial" w:hint="default"/>
        <w:b w:val="0"/>
        <w:i w:val="0"/>
      </w:rPr>
    </w:lvl>
    <w:lvl w:ilvl="2">
      <w:start w:val="1"/>
      <w:numFmt w:val="decimal"/>
      <w:lvlText w:val="%1.%2.%3"/>
      <w:lvlJc w:val="left"/>
      <w:pPr>
        <w:tabs>
          <w:tab w:val="num" w:pos="2268"/>
        </w:tabs>
        <w:ind w:left="2268" w:hanging="1021"/>
      </w:pPr>
      <w:rPr>
        <w:rFonts w:ascii="Arial" w:hAnsi="Arial" w:hint="default"/>
        <w:b w:val="0"/>
        <w:i w:val="0"/>
      </w:rPr>
    </w:lvl>
    <w:lvl w:ilvl="3">
      <w:start w:val="1"/>
      <w:numFmt w:val="decimal"/>
      <w:lvlText w:val="%1.%2.%3.%4"/>
      <w:lvlJc w:val="left"/>
      <w:pPr>
        <w:tabs>
          <w:tab w:val="num" w:pos="3402"/>
        </w:tabs>
        <w:ind w:left="3402" w:hanging="1134"/>
      </w:pPr>
      <w:rPr>
        <w:rFonts w:ascii="Arial" w:hAnsi="Arial" w:hint="default"/>
        <w:b w:val="0"/>
        <w:i w:val="0"/>
      </w:rPr>
    </w:lvl>
    <w:lvl w:ilvl="4">
      <w:start w:val="1"/>
      <w:numFmt w:val="decimal"/>
      <w:lvlText w:val="%1.%2.%3.%4.%5"/>
      <w:lvlJc w:val="left"/>
      <w:pPr>
        <w:tabs>
          <w:tab w:val="num" w:pos="4649"/>
        </w:tabs>
        <w:ind w:left="4649" w:hanging="1360"/>
      </w:pPr>
      <w:rPr>
        <w:rFonts w:ascii="Arial" w:hAnsi="Arial" w:hint="default"/>
      </w:rPr>
    </w:lvl>
    <w:lvl w:ilvl="5">
      <w:start w:val="1"/>
      <w:numFmt w:val="decimal"/>
      <w:lvlText w:val="%1.%2.%3.%4.%5.%6"/>
      <w:lvlJc w:val="left"/>
      <w:pPr>
        <w:tabs>
          <w:tab w:val="num" w:pos="5897"/>
        </w:tabs>
        <w:ind w:left="5897" w:hanging="1248"/>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3B60896"/>
    <w:multiLevelType w:val="hybridMultilevel"/>
    <w:tmpl w:val="46C2FFBE"/>
    <w:lvl w:ilvl="0" w:tplc="E7C65722">
      <w:start w:val="1"/>
      <w:numFmt w:val="decimal"/>
      <w:lvlText w:val="%1."/>
      <w:lvlJc w:val="left"/>
      <w:pPr>
        <w:ind w:left="1040" w:hanging="360"/>
      </w:pPr>
      <w:rPr>
        <w:rFonts w:hint="default"/>
        <w:b w:val="0"/>
        <w:bCs/>
        <w:color w:val="auto"/>
        <w:sz w:val="22"/>
      </w:r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3">
    <w:nsid w:val="6BCC454A"/>
    <w:multiLevelType w:val="multilevel"/>
    <w:tmpl w:val="A948BF2C"/>
    <w:lvl w:ilvl="0">
      <w:start w:val="1"/>
      <w:numFmt w:val="decimal"/>
      <w:lvlText w:val="%1."/>
      <w:lvlJc w:val="left"/>
      <w:pPr>
        <w:tabs>
          <w:tab w:val="num" w:pos="567"/>
        </w:tabs>
        <w:ind w:left="567" w:hanging="567"/>
      </w:pPr>
      <w:rPr>
        <w:rFonts w:ascii="Arial" w:hAnsi="Arial" w:hint="default"/>
        <w:b w:val="0"/>
        <w:i w:val="0"/>
      </w:rPr>
    </w:lvl>
    <w:lvl w:ilvl="1">
      <w:start w:val="1"/>
      <w:numFmt w:val="decimal"/>
      <w:lvlText w:val="%1.%2"/>
      <w:lvlJc w:val="left"/>
      <w:pPr>
        <w:tabs>
          <w:tab w:val="num" w:pos="1247"/>
        </w:tabs>
        <w:ind w:left="1247" w:hanging="680"/>
      </w:pPr>
      <w:rPr>
        <w:rFonts w:ascii="Arial" w:hAnsi="Arial" w:hint="default"/>
        <w:b w:val="0"/>
        <w:i w:val="0"/>
      </w:rPr>
    </w:lvl>
    <w:lvl w:ilvl="2">
      <w:start w:val="1"/>
      <w:numFmt w:val="decimal"/>
      <w:lvlText w:val="%1.%2.%3"/>
      <w:lvlJc w:val="left"/>
      <w:pPr>
        <w:tabs>
          <w:tab w:val="num" w:pos="2268"/>
        </w:tabs>
        <w:ind w:left="2268" w:hanging="1021"/>
      </w:pPr>
      <w:rPr>
        <w:rFonts w:ascii="Arial" w:hAnsi="Arial" w:hint="default"/>
        <w:b w:val="0"/>
        <w:i w:val="0"/>
      </w:rPr>
    </w:lvl>
    <w:lvl w:ilvl="3">
      <w:start w:val="1"/>
      <w:numFmt w:val="decimal"/>
      <w:lvlText w:val="%1.%2.%3.%4"/>
      <w:lvlJc w:val="left"/>
      <w:pPr>
        <w:tabs>
          <w:tab w:val="num" w:pos="3402"/>
        </w:tabs>
        <w:ind w:left="3402" w:hanging="1134"/>
      </w:pPr>
      <w:rPr>
        <w:rFonts w:ascii="Arial" w:hAnsi="Arial" w:hint="default"/>
        <w:b w:val="0"/>
        <w:i w:val="0"/>
      </w:rPr>
    </w:lvl>
    <w:lvl w:ilvl="4">
      <w:start w:val="1"/>
      <w:numFmt w:val="decimal"/>
      <w:lvlText w:val="%1.%2.%3.%4.%5"/>
      <w:lvlJc w:val="left"/>
      <w:pPr>
        <w:tabs>
          <w:tab w:val="num" w:pos="4649"/>
        </w:tabs>
        <w:ind w:left="4649" w:hanging="1360"/>
      </w:pPr>
      <w:rPr>
        <w:rFonts w:ascii="Arial" w:hAnsi="Arial" w:hint="default"/>
      </w:rPr>
    </w:lvl>
    <w:lvl w:ilvl="5">
      <w:start w:val="1"/>
      <w:numFmt w:val="decimal"/>
      <w:lvlText w:val="%1.%2.%3.%4.%5.%6"/>
      <w:lvlJc w:val="left"/>
      <w:pPr>
        <w:tabs>
          <w:tab w:val="num" w:pos="5897"/>
        </w:tabs>
        <w:ind w:left="5897" w:hanging="1248"/>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F4A3BCC"/>
    <w:multiLevelType w:val="multilevel"/>
    <w:tmpl w:val="620AB886"/>
    <w:lvl w:ilvl="0">
      <w:start w:val="1"/>
      <w:numFmt w:val="decimal"/>
      <w:isLgl/>
      <w:lvlText w:val="[%1]"/>
      <w:lvlJc w:val="left"/>
      <w:pPr>
        <w:tabs>
          <w:tab w:val="num" w:pos="680"/>
        </w:tabs>
        <w:ind w:left="680" w:hanging="680"/>
      </w:pPr>
      <w:rPr>
        <w:rFonts w:ascii="Arial" w:hAnsi="Arial" w:hint="default"/>
        <w:b w:val="0"/>
        <w:i w:val="0"/>
        <w:sz w:val="22"/>
        <w:szCs w:val="22"/>
      </w:rPr>
    </w:lvl>
    <w:lvl w:ilvl="1">
      <w:start w:val="1"/>
      <w:numFmt w:val="decimal"/>
      <w:lvlText w:val="[%1.%2]"/>
      <w:lvlJc w:val="left"/>
      <w:pPr>
        <w:tabs>
          <w:tab w:val="num" w:pos="1418"/>
        </w:tabs>
        <w:ind w:left="1418" w:hanging="738"/>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1134"/>
      </w:pPr>
      <w:rPr>
        <w:rFonts w:ascii="Arial" w:hAnsi="Arial" w:hint="default"/>
        <w:b w:val="0"/>
        <w:i w:val="0"/>
        <w:color w:val="auto"/>
        <w:sz w:val="20"/>
        <w:szCs w:val="20"/>
      </w:rPr>
    </w:lvl>
    <w:lvl w:ilvl="3">
      <w:start w:val="1"/>
      <w:numFmt w:val="decimal"/>
      <w:lvlText w:val="%1.%2.%3.%4."/>
      <w:lvlJc w:val="left"/>
      <w:pPr>
        <w:tabs>
          <w:tab w:val="num" w:pos="3600"/>
        </w:tabs>
        <w:ind w:left="3600" w:hanging="1048"/>
      </w:pPr>
      <w:rPr>
        <w:rFonts w:hint="default"/>
        <w:b w:val="0"/>
        <w:i w:val="0"/>
        <w:sz w:val="20"/>
        <w:szCs w:val="20"/>
      </w:rPr>
    </w:lvl>
    <w:lvl w:ilvl="4">
      <w:start w:val="1"/>
      <w:numFmt w:val="decimal"/>
      <w:pStyle w:val="Clause3Sub"/>
      <w:lvlText w:val="%1.%2.%3.%4.%5."/>
      <w:lvlJc w:val="left"/>
      <w:pPr>
        <w:tabs>
          <w:tab w:val="num" w:pos="5041"/>
        </w:tabs>
        <w:ind w:left="5041" w:hanging="1441"/>
      </w:pPr>
      <w:rPr>
        <w:rFonts w:hint="default"/>
        <w:sz w:val="20"/>
        <w:szCs w:val="20"/>
      </w:rPr>
    </w:lvl>
    <w:lvl w:ilvl="5">
      <w:start w:val="1"/>
      <w:numFmt w:val="decimal"/>
      <w:lvlText w:val="%1.%2.%3.%4.%5.%6."/>
      <w:lvlJc w:val="left"/>
      <w:pPr>
        <w:tabs>
          <w:tab w:val="num" w:pos="6481"/>
        </w:tabs>
        <w:ind w:left="6481" w:hanging="1440"/>
      </w:pPr>
      <w:rPr>
        <w:rFonts w:hint="default"/>
        <w:sz w:val="22"/>
        <w:szCs w:val="22"/>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15">
    <w:nsid w:val="71E952CE"/>
    <w:multiLevelType w:val="hybridMultilevel"/>
    <w:tmpl w:val="B4F6E550"/>
    <w:lvl w:ilvl="0" w:tplc="D3889F32">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nsid w:val="75B158CC"/>
    <w:multiLevelType w:val="hybridMultilevel"/>
    <w:tmpl w:val="AD9CC868"/>
    <w:lvl w:ilvl="0" w:tplc="5D72357E">
      <w:start w:val="1"/>
      <w:numFmt w:val="lowerLetter"/>
      <w:lvlText w:val="(%1)"/>
      <w:lvlJc w:val="left"/>
      <w:pPr>
        <w:ind w:left="1607" w:hanging="360"/>
      </w:pPr>
      <w:rPr>
        <w:rFonts w:hint="default"/>
      </w:rPr>
    </w:lvl>
    <w:lvl w:ilvl="1" w:tplc="1C090019" w:tentative="1">
      <w:start w:val="1"/>
      <w:numFmt w:val="lowerLetter"/>
      <w:lvlText w:val="%2."/>
      <w:lvlJc w:val="left"/>
      <w:pPr>
        <w:ind w:left="2327" w:hanging="360"/>
      </w:pPr>
    </w:lvl>
    <w:lvl w:ilvl="2" w:tplc="1C09001B" w:tentative="1">
      <w:start w:val="1"/>
      <w:numFmt w:val="lowerRoman"/>
      <w:lvlText w:val="%3."/>
      <w:lvlJc w:val="right"/>
      <w:pPr>
        <w:ind w:left="3047" w:hanging="180"/>
      </w:pPr>
    </w:lvl>
    <w:lvl w:ilvl="3" w:tplc="1C09000F" w:tentative="1">
      <w:start w:val="1"/>
      <w:numFmt w:val="decimal"/>
      <w:lvlText w:val="%4."/>
      <w:lvlJc w:val="left"/>
      <w:pPr>
        <w:ind w:left="3767" w:hanging="360"/>
      </w:pPr>
    </w:lvl>
    <w:lvl w:ilvl="4" w:tplc="1C090019" w:tentative="1">
      <w:start w:val="1"/>
      <w:numFmt w:val="lowerLetter"/>
      <w:lvlText w:val="%5."/>
      <w:lvlJc w:val="left"/>
      <w:pPr>
        <w:ind w:left="4487" w:hanging="360"/>
      </w:pPr>
    </w:lvl>
    <w:lvl w:ilvl="5" w:tplc="1C09001B" w:tentative="1">
      <w:start w:val="1"/>
      <w:numFmt w:val="lowerRoman"/>
      <w:lvlText w:val="%6."/>
      <w:lvlJc w:val="right"/>
      <w:pPr>
        <w:ind w:left="5207" w:hanging="180"/>
      </w:pPr>
    </w:lvl>
    <w:lvl w:ilvl="6" w:tplc="1C09000F" w:tentative="1">
      <w:start w:val="1"/>
      <w:numFmt w:val="decimal"/>
      <w:lvlText w:val="%7."/>
      <w:lvlJc w:val="left"/>
      <w:pPr>
        <w:ind w:left="5927" w:hanging="360"/>
      </w:pPr>
    </w:lvl>
    <w:lvl w:ilvl="7" w:tplc="1C090019" w:tentative="1">
      <w:start w:val="1"/>
      <w:numFmt w:val="lowerLetter"/>
      <w:lvlText w:val="%8."/>
      <w:lvlJc w:val="left"/>
      <w:pPr>
        <w:ind w:left="6647" w:hanging="360"/>
      </w:pPr>
    </w:lvl>
    <w:lvl w:ilvl="8" w:tplc="1C09001B" w:tentative="1">
      <w:start w:val="1"/>
      <w:numFmt w:val="lowerRoman"/>
      <w:lvlText w:val="%9."/>
      <w:lvlJc w:val="right"/>
      <w:pPr>
        <w:ind w:left="7367" w:hanging="180"/>
      </w:pPr>
    </w:lvl>
  </w:abstractNum>
  <w:abstractNum w:abstractNumId="17">
    <w:nsid w:val="7E0E3F82"/>
    <w:multiLevelType w:val="multilevel"/>
    <w:tmpl w:val="D1180B5A"/>
    <w:lvl w:ilvl="0">
      <w:start w:val="1"/>
      <w:numFmt w:val="decimal"/>
      <w:isLgl/>
      <w:lvlText w:val="[%1]"/>
      <w:lvlJc w:val="left"/>
      <w:pPr>
        <w:tabs>
          <w:tab w:val="num" w:pos="680"/>
        </w:tabs>
        <w:ind w:left="680" w:hanging="680"/>
      </w:pPr>
      <w:rPr>
        <w:rFonts w:ascii="Arial" w:hAnsi="Arial" w:hint="default"/>
        <w:b w:val="0"/>
        <w:i w:val="0"/>
        <w:sz w:val="20"/>
        <w:szCs w:val="20"/>
      </w:rPr>
    </w:lvl>
    <w:lvl w:ilvl="1">
      <w:start w:val="1"/>
      <w:numFmt w:val="decimal"/>
      <w:lvlText w:val="[%1.%2]"/>
      <w:lvlJc w:val="left"/>
      <w:pPr>
        <w:tabs>
          <w:tab w:val="num" w:pos="1418"/>
        </w:tabs>
        <w:ind w:left="1418" w:hanging="738"/>
      </w:pPr>
      <w:rPr>
        <w:rFonts w:ascii="Arial" w:hAnsi="Arial" w:hint="default"/>
        <w:b w:val="0"/>
        <w:i w:val="0"/>
        <w:caps w:val="0"/>
        <w:strike w:val="0"/>
        <w:dstrike w:val="0"/>
        <w:vanish w:val="0"/>
        <w:color w:val="000000"/>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1134"/>
      </w:pPr>
      <w:rPr>
        <w:rFonts w:ascii="Arial" w:hAnsi="Arial" w:hint="default"/>
        <w:b w:val="0"/>
        <w:i w:val="0"/>
        <w:color w:val="auto"/>
        <w:sz w:val="20"/>
        <w:szCs w:val="20"/>
      </w:rPr>
    </w:lvl>
    <w:lvl w:ilvl="3">
      <w:start w:val="1"/>
      <w:numFmt w:val="decimal"/>
      <w:lvlText w:val="%1.%2.%3.%4."/>
      <w:lvlJc w:val="left"/>
      <w:pPr>
        <w:tabs>
          <w:tab w:val="num" w:pos="3600"/>
        </w:tabs>
        <w:ind w:left="3600" w:hanging="1048"/>
      </w:pPr>
      <w:rPr>
        <w:rFonts w:hint="default"/>
        <w:b w:val="0"/>
        <w:i w:val="0"/>
        <w:sz w:val="20"/>
        <w:szCs w:val="20"/>
      </w:rPr>
    </w:lvl>
    <w:lvl w:ilvl="4">
      <w:start w:val="1"/>
      <w:numFmt w:val="decimal"/>
      <w:lvlText w:val="%1.%2.%3.%4.%5."/>
      <w:lvlJc w:val="left"/>
      <w:pPr>
        <w:tabs>
          <w:tab w:val="num" w:pos="5041"/>
        </w:tabs>
        <w:ind w:left="5041" w:hanging="1441"/>
      </w:pPr>
      <w:rPr>
        <w:rFonts w:hint="default"/>
        <w:sz w:val="20"/>
        <w:szCs w:val="20"/>
      </w:rPr>
    </w:lvl>
    <w:lvl w:ilvl="5">
      <w:start w:val="1"/>
      <w:numFmt w:val="decimal"/>
      <w:lvlText w:val="%1.%2.%3.%4.%5.%6."/>
      <w:lvlJc w:val="left"/>
      <w:pPr>
        <w:tabs>
          <w:tab w:val="num" w:pos="6481"/>
        </w:tabs>
        <w:ind w:left="6481" w:hanging="1440"/>
      </w:pPr>
      <w:rPr>
        <w:rFonts w:hint="default"/>
        <w:sz w:val="22"/>
        <w:szCs w:val="22"/>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num w:numId="1">
    <w:abstractNumId w:val="8"/>
  </w:num>
  <w:num w:numId="2">
    <w:abstractNumId w:val="13"/>
  </w:num>
  <w:num w:numId="3">
    <w:abstractNumId w:val="9"/>
  </w:num>
  <w:num w:numId="4">
    <w:abstractNumId w:val="14"/>
  </w:num>
  <w:num w:numId="5">
    <w:abstractNumId w:val="11"/>
  </w:num>
  <w:num w:numId="6">
    <w:abstractNumId w:val="4"/>
  </w:num>
  <w:num w:numId="7">
    <w:abstractNumId w:val="6"/>
  </w:num>
  <w:num w:numId="8">
    <w:abstractNumId w:val="2"/>
  </w:num>
  <w:num w:numId="9">
    <w:abstractNumId w:val="10"/>
  </w:num>
  <w:num w:numId="10">
    <w:abstractNumId w:val="17"/>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5"/>
  </w:num>
  <w:num w:numId="16">
    <w:abstractNumId w:val="12"/>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B1"/>
    <w:rsid w:val="000044A7"/>
    <w:rsid w:val="00004502"/>
    <w:rsid w:val="00004FAF"/>
    <w:rsid w:val="000104AC"/>
    <w:rsid w:val="00010698"/>
    <w:rsid w:val="000106AD"/>
    <w:rsid w:val="00010C3E"/>
    <w:rsid w:val="00011300"/>
    <w:rsid w:val="00011C9E"/>
    <w:rsid w:val="000133E4"/>
    <w:rsid w:val="000137F9"/>
    <w:rsid w:val="000157AC"/>
    <w:rsid w:val="00015DC9"/>
    <w:rsid w:val="000209FE"/>
    <w:rsid w:val="00021454"/>
    <w:rsid w:val="0002502A"/>
    <w:rsid w:val="00034069"/>
    <w:rsid w:val="00034C6E"/>
    <w:rsid w:val="00034E48"/>
    <w:rsid w:val="00035D67"/>
    <w:rsid w:val="00035E64"/>
    <w:rsid w:val="00037F1C"/>
    <w:rsid w:val="00040218"/>
    <w:rsid w:val="0004063E"/>
    <w:rsid w:val="00040DB3"/>
    <w:rsid w:val="000425E5"/>
    <w:rsid w:val="0004387A"/>
    <w:rsid w:val="000448FD"/>
    <w:rsid w:val="000457C7"/>
    <w:rsid w:val="000463DC"/>
    <w:rsid w:val="00046DD9"/>
    <w:rsid w:val="00047CAC"/>
    <w:rsid w:val="000514B6"/>
    <w:rsid w:val="0005169C"/>
    <w:rsid w:val="00051EB8"/>
    <w:rsid w:val="000568C2"/>
    <w:rsid w:val="000607E5"/>
    <w:rsid w:val="00062F3D"/>
    <w:rsid w:val="0007057A"/>
    <w:rsid w:val="0007125C"/>
    <w:rsid w:val="00071DE0"/>
    <w:rsid w:val="0007234A"/>
    <w:rsid w:val="00073456"/>
    <w:rsid w:val="000734D5"/>
    <w:rsid w:val="000745C7"/>
    <w:rsid w:val="0007534D"/>
    <w:rsid w:val="00076994"/>
    <w:rsid w:val="000800B9"/>
    <w:rsid w:val="00082C5E"/>
    <w:rsid w:val="00083B87"/>
    <w:rsid w:val="00084BAE"/>
    <w:rsid w:val="000853D1"/>
    <w:rsid w:val="000870E8"/>
    <w:rsid w:val="00093498"/>
    <w:rsid w:val="00094FD1"/>
    <w:rsid w:val="000A1C8A"/>
    <w:rsid w:val="000A2178"/>
    <w:rsid w:val="000A2D83"/>
    <w:rsid w:val="000A35B6"/>
    <w:rsid w:val="000A494E"/>
    <w:rsid w:val="000A4A42"/>
    <w:rsid w:val="000A6187"/>
    <w:rsid w:val="000A6BCE"/>
    <w:rsid w:val="000B06A3"/>
    <w:rsid w:val="000B1423"/>
    <w:rsid w:val="000B3BDD"/>
    <w:rsid w:val="000B4DBF"/>
    <w:rsid w:val="000C324B"/>
    <w:rsid w:val="000D077C"/>
    <w:rsid w:val="000D110A"/>
    <w:rsid w:val="000D1C73"/>
    <w:rsid w:val="000D1FC3"/>
    <w:rsid w:val="000D434E"/>
    <w:rsid w:val="000D631F"/>
    <w:rsid w:val="000D68BD"/>
    <w:rsid w:val="000D7134"/>
    <w:rsid w:val="000E0BBF"/>
    <w:rsid w:val="000E2638"/>
    <w:rsid w:val="000E3A11"/>
    <w:rsid w:val="000E40E9"/>
    <w:rsid w:val="000E4356"/>
    <w:rsid w:val="000E4B42"/>
    <w:rsid w:val="000E558C"/>
    <w:rsid w:val="000F1186"/>
    <w:rsid w:val="000F4429"/>
    <w:rsid w:val="000F4A87"/>
    <w:rsid w:val="001029FC"/>
    <w:rsid w:val="00102C93"/>
    <w:rsid w:val="0010528D"/>
    <w:rsid w:val="001056F5"/>
    <w:rsid w:val="001062EB"/>
    <w:rsid w:val="00106ED7"/>
    <w:rsid w:val="00110111"/>
    <w:rsid w:val="00110A6C"/>
    <w:rsid w:val="00111D43"/>
    <w:rsid w:val="0011335C"/>
    <w:rsid w:val="00113D05"/>
    <w:rsid w:val="001157FA"/>
    <w:rsid w:val="00115DE3"/>
    <w:rsid w:val="00120B85"/>
    <w:rsid w:val="00120CE3"/>
    <w:rsid w:val="001214DD"/>
    <w:rsid w:val="001215EB"/>
    <w:rsid w:val="00122385"/>
    <w:rsid w:val="001244E4"/>
    <w:rsid w:val="0012615F"/>
    <w:rsid w:val="001277D7"/>
    <w:rsid w:val="00131386"/>
    <w:rsid w:val="001320FA"/>
    <w:rsid w:val="00132AF9"/>
    <w:rsid w:val="0013415A"/>
    <w:rsid w:val="001352B4"/>
    <w:rsid w:val="001401C6"/>
    <w:rsid w:val="0014071E"/>
    <w:rsid w:val="00143EE3"/>
    <w:rsid w:val="00145AD0"/>
    <w:rsid w:val="001505C5"/>
    <w:rsid w:val="00150DB8"/>
    <w:rsid w:val="00157B0A"/>
    <w:rsid w:val="00160586"/>
    <w:rsid w:val="00163049"/>
    <w:rsid w:val="001648F5"/>
    <w:rsid w:val="001651E9"/>
    <w:rsid w:val="00166F61"/>
    <w:rsid w:val="00171527"/>
    <w:rsid w:val="001745F5"/>
    <w:rsid w:val="001746A1"/>
    <w:rsid w:val="00174C26"/>
    <w:rsid w:val="00175588"/>
    <w:rsid w:val="0017570F"/>
    <w:rsid w:val="00175BE3"/>
    <w:rsid w:val="001775C4"/>
    <w:rsid w:val="0017770E"/>
    <w:rsid w:val="001816BF"/>
    <w:rsid w:val="00183B2C"/>
    <w:rsid w:val="00184444"/>
    <w:rsid w:val="001849D9"/>
    <w:rsid w:val="001914DF"/>
    <w:rsid w:val="0019484A"/>
    <w:rsid w:val="001958CB"/>
    <w:rsid w:val="001A0D24"/>
    <w:rsid w:val="001A1292"/>
    <w:rsid w:val="001A3533"/>
    <w:rsid w:val="001A3C32"/>
    <w:rsid w:val="001A59B0"/>
    <w:rsid w:val="001A6EE9"/>
    <w:rsid w:val="001B0519"/>
    <w:rsid w:val="001B18F6"/>
    <w:rsid w:val="001B45C8"/>
    <w:rsid w:val="001B506D"/>
    <w:rsid w:val="001B7D73"/>
    <w:rsid w:val="001C047B"/>
    <w:rsid w:val="001C0E55"/>
    <w:rsid w:val="001C143D"/>
    <w:rsid w:val="001C16DC"/>
    <w:rsid w:val="001C19C7"/>
    <w:rsid w:val="001C28A7"/>
    <w:rsid w:val="001C587B"/>
    <w:rsid w:val="001C5A44"/>
    <w:rsid w:val="001C6CD9"/>
    <w:rsid w:val="001C6F41"/>
    <w:rsid w:val="001C7A9D"/>
    <w:rsid w:val="001D2163"/>
    <w:rsid w:val="001D29CE"/>
    <w:rsid w:val="001D2D16"/>
    <w:rsid w:val="001D3009"/>
    <w:rsid w:val="001D39BB"/>
    <w:rsid w:val="001D421C"/>
    <w:rsid w:val="001D47E0"/>
    <w:rsid w:val="001D56B0"/>
    <w:rsid w:val="001D58E1"/>
    <w:rsid w:val="001D5ABA"/>
    <w:rsid w:val="001E2EBA"/>
    <w:rsid w:val="001E3377"/>
    <w:rsid w:val="001E4465"/>
    <w:rsid w:val="001E6B80"/>
    <w:rsid w:val="001E7FE0"/>
    <w:rsid w:val="001F00AE"/>
    <w:rsid w:val="001F1314"/>
    <w:rsid w:val="001F25A2"/>
    <w:rsid w:val="001F275A"/>
    <w:rsid w:val="001F375E"/>
    <w:rsid w:val="001F3D90"/>
    <w:rsid w:val="001F48B8"/>
    <w:rsid w:val="001F48EC"/>
    <w:rsid w:val="001F4FA9"/>
    <w:rsid w:val="001F5B10"/>
    <w:rsid w:val="00202654"/>
    <w:rsid w:val="002059AA"/>
    <w:rsid w:val="00206B68"/>
    <w:rsid w:val="00213456"/>
    <w:rsid w:val="002164A7"/>
    <w:rsid w:val="00222010"/>
    <w:rsid w:val="0022333B"/>
    <w:rsid w:val="00223BB7"/>
    <w:rsid w:val="00224869"/>
    <w:rsid w:val="00227871"/>
    <w:rsid w:val="00230AC9"/>
    <w:rsid w:val="0023340C"/>
    <w:rsid w:val="00233539"/>
    <w:rsid w:val="00233E6F"/>
    <w:rsid w:val="00233F0C"/>
    <w:rsid w:val="0023401C"/>
    <w:rsid w:val="00234AED"/>
    <w:rsid w:val="00236C80"/>
    <w:rsid w:val="00237D13"/>
    <w:rsid w:val="00237D37"/>
    <w:rsid w:val="002407A0"/>
    <w:rsid w:val="00242461"/>
    <w:rsid w:val="00242F7F"/>
    <w:rsid w:val="00245097"/>
    <w:rsid w:val="00254231"/>
    <w:rsid w:val="00256060"/>
    <w:rsid w:val="00256C8A"/>
    <w:rsid w:val="00257F90"/>
    <w:rsid w:val="00264119"/>
    <w:rsid w:val="0026558E"/>
    <w:rsid w:val="00267FF3"/>
    <w:rsid w:val="0027122D"/>
    <w:rsid w:val="0027240E"/>
    <w:rsid w:val="002729C2"/>
    <w:rsid w:val="00274F30"/>
    <w:rsid w:val="002755EC"/>
    <w:rsid w:val="00277DE0"/>
    <w:rsid w:val="00280C72"/>
    <w:rsid w:val="00282027"/>
    <w:rsid w:val="0028236F"/>
    <w:rsid w:val="002843A6"/>
    <w:rsid w:val="0028699A"/>
    <w:rsid w:val="002879A0"/>
    <w:rsid w:val="00287E46"/>
    <w:rsid w:val="002902D7"/>
    <w:rsid w:val="00292A0B"/>
    <w:rsid w:val="00292CFD"/>
    <w:rsid w:val="002931BF"/>
    <w:rsid w:val="00293DCF"/>
    <w:rsid w:val="0029520C"/>
    <w:rsid w:val="00297678"/>
    <w:rsid w:val="002A07D4"/>
    <w:rsid w:val="002A268B"/>
    <w:rsid w:val="002A27C9"/>
    <w:rsid w:val="002A4D2E"/>
    <w:rsid w:val="002A57B9"/>
    <w:rsid w:val="002A59F6"/>
    <w:rsid w:val="002A6407"/>
    <w:rsid w:val="002A6ADB"/>
    <w:rsid w:val="002A7EC2"/>
    <w:rsid w:val="002B2C0D"/>
    <w:rsid w:val="002B3C8B"/>
    <w:rsid w:val="002B4437"/>
    <w:rsid w:val="002B7FF5"/>
    <w:rsid w:val="002C07D9"/>
    <w:rsid w:val="002C0EDA"/>
    <w:rsid w:val="002C0FCE"/>
    <w:rsid w:val="002C153F"/>
    <w:rsid w:val="002C2259"/>
    <w:rsid w:val="002C2875"/>
    <w:rsid w:val="002C3541"/>
    <w:rsid w:val="002C36F2"/>
    <w:rsid w:val="002C65C5"/>
    <w:rsid w:val="002D0064"/>
    <w:rsid w:val="002D171E"/>
    <w:rsid w:val="002D3C5C"/>
    <w:rsid w:val="002D5292"/>
    <w:rsid w:val="002D5A3A"/>
    <w:rsid w:val="002D6D25"/>
    <w:rsid w:val="002D7A7A"/>
    <w:rsid w:val="002E3C4D"/>
    <w:rsid w:val="002E4966"/>
    <w:rsid w:val="002F0248"/>
    <w:rsid w:val="002F179A"/>
    <w:rsid w:val="002F2B6C"/>
    <w:rsid w:val="002F3A81"/>
    <w:rsid w:val="002F4F8E"/>
    <w:rsid w:val="002F6B0A"/>
    <w:rsid w:val="002F73F2"/>
    <w:rsid w:val="002F74FC"/>
    <w:rsid w:val="00300A92"/>
    <w:rsid w:val="00300FC2"/>
    <w:rsid w:val="00301817"/>
    <w:rsid w:val="00301ABF"/>
    <w:rsid w:val="00303000"/>
    <w:rsid w:val="00303E9E"/>
    <w:rsid w:val="00304A48"/>
    <w:rsid w:val="00304A74"/>
    <w:rsid w:val="0030641D"/>
    <w:rsid w:val="00306FEE"/>
    <w:rsid w:val="00317426"/>
    <w:rsid w:val="0032094E"/>
    <w:rsid w:val="00320DE1"/>
    <w:rsid w:val="00322856"/>
    <w:rsid w:val="00323570"/>
    <w:rsid w:val="00326D34"/>
    <w:rsid w:val="003301EE"/>
    <w:rsid w:val="00330A58"/>
    <w:rsid w:val="00334397"/>
    <w:rsid w:val="00335111"/>
    <w:rsid w:val="00335D85"/>
    <w:rsid w:val="00340810"/>
    <w:rsid w:val="003440D1"/>
    <w:rsid w:val="0034441F"/>
    <w:rsid w:val="003447A6"/>
    <w:rsid w:val="00344A22"/>
    <w:rsid w:val="003470AE"/>
    <w:rsid w:val="003475B8"/>
    <w:rsid w:val="003477D0"/>
    <w:rsid w:val="00352F6B"/>
    <w:rsid w:val="00353C4E"/>
    <w:rsid w:val="00355813"/>
    <w:rsid w:val="00360E2F"/>
    <w:rsid w:val="00360F08"/>
    <w:rsid w:val="00361D7B"/>
    <w:rsid w:val="0036334E"/>
    <w:rsid w:val="00363CD2"/>
    <w:rsid w:val="0036676A"/>
    <w:rsid w:val="0036745A"/>
    <w:rsid w:val="0036757F"/>
    <w:rsid w:val="00373403"/>
    <w:rsid w:val="00374BD0"/>
    <w:rsid w:val="003759B5"/>
    <w:rsid w:val="0037676E"/>
    <w:rsid w:val="00377D20"/>
    <w:rsid w:val="00380D09"/>
    <w:rsid w:val="00381CC1"/>
    <w:rsid w:val="00382E5D"/>
    <w:rsid w:val="00383320"/>
    <w:rsid w:val="0038443F"/>
    <w:rsid w:val="00384C50"/>
    <w:rsid w:val="003853B4"/>
    <w:rsid w:val="003866A0"/>
    <w:rsid w:val="0038780C"/>
    <w:rsid w:val="003919A5"/>
    <w:rsid w:val="003926B5"/>
    <w:rsid w:val="00393595"/>
    <w:rsid w:val="0039364B"/>
    <w:rsid w:val="00396182"/>
    <w:rsid w:val="00396197"/>
    <w:rsid w:val="003975F5"/>
    <w:rsid w:val="003976D6"/>
    <w:rsid w:val="003A10A7"/>
    <w:rsid w:val="003A3721"/>
    <w:rsid w:val="003A46AF"/>
    <w:rsid w:val="003A600C"/>
    <w:rsid w:val="003A7ED3"/>
    <w:rsid w:val="003B259E"/>
    <w:rsid w:val="003B2F06"/>
    <w:rsid w:val="003B399B"/>
    <w:rsid w:val="003B4976"/>
    <w:rsid w:val="003B5A50"/>
    <w:rsid w:val="003B69CF"/>
    <w:rsid w:val="003C0F40"/>
    <w:rsid w:val="003C1448"/>
    <w:rsid w:val="003C23D0"/>
    <w:rsid w:val="003C2EFB"/>
    <w:rsid w:val="003C319F"/>
    <w:rsid w:val="003C51CA"/>
    <w:rsid w:val="003C696B"/>
    <w:rsid w:val="003C6E0A"/>
    <w:rsid w:val="003C72C3"/>
    <w:rsid w:val="003D0F8F"/>
    <w:rsid w:val="003D210B"/>
    <w:rsid w:val="003D2507"/>
    <w:rsid w:val="003D26FF"/>
    <w:rsid w:val="003D34E3"/>
    <w:rsid w:val="003D5AA1"/>
    <w:rsid w:val="003D6C1A"/>
    <w:rsid w:val="003E1684"/>
    <w:rsid w:val="003E1B89"/>
    <w:rsid w:val="003E3926"/>
    <w:rsid w:val="003E4AC0"/>
    <w:rsid w:val="003E569B"/>
    <w:rsid w:val="003E5C12"/>
    <w:rsid w:val="003E661D"/>
    <w:rsid w:val="003E6C72"/>
    <w:rsid w:val="003E7DA4"/>
    <w:rsid w:val="003F076D"/>
    <w:rsid w:val="003F18A5"/>
    <w:rsid w:val="003F48C4"/>
    <w:rsid w:val="003F4C51"/>
    <w:rsid w:val="003F53E1"/>
    <w:rsid w:val="003F760D"/>
    <w:rsid w:val="003F799F"/>
    <w:rsid w:val="003F7A6B"/>
    <w:rsid w:val="00402B96"/>
    <w:rsid w:val="00403855"/>
    <w:rsid w:val="004040A6"/>
    <w:rsid w:val="00404798"/>
    <w:rsid w:val="004049EB"/>
    <w:rsid w:val="004065D4"/>
    <w:rsid w:val="0040711C"/>
    <w:rsid w:val="00410C86"/>
    <w:rsid w:val="00411841"/>
    <w:rsid w:val="004127B2"/>
    <w:rsid w:val="004129E9"/>
    <w:rsid w:val="0041421D"/>
    <w:rsid w:val="00414863"/>
    <w:rsid w:val="004170C0"/>
    <w:rsid w:val="0041749E"/>
    <w:rsid w:val="004177C8"/>
    <w:rsid w:val="00420B03"/>
    <w:rsid w:val="00421169"/>
    <w:rsid w:val="00421ED0"/>
    <w:rsid w:val="0042237A"/>
    <w:rsid w:val="00422A6B"/>
    <w:rsid w:val="0042302A"/>
    <w:rsid w:val="004237D9"/>
    <w:rsid w:val="00423D4C"/>
    <w:rsid w:val="004243E1"/>
    <w:rsid w:val="00424E6F"/>
    <w:rsid w:val="0042522B"/>
    <w:rsid w:val="004253CC"/>
    <w:rsid w:val="0042698D"/>
    <w:rsid w:val="00426A3D"/>
    <w:rsid w:val="004270F9"/>
    <w:rsid w:val="00427541"/>
    <w:rsid w:val="0042790B"/>
    <w:rsid w:val="00430C36"/>
    <w:rsid w:val="00430FB7"/>
    <w:rsid w:val="00432428"/>
    <w:rsid w:val="00432F1A"/>
    <w:rsid w:val="00433FE2"/>
    <w:rsid w:val="00433FFC"/>
    <w:rsid w:val="0044119A"/>
    <w:rsid w:val="004428B6"/>
    <w:rsid w:val="00442CDD"/>
    <w:rsid w:val="00443BD9"/>
    <w:rsid w:val="00444F75"/>
    <w:rsid w:val="00445D84"/>
    <w:rsid w:val="00445F9E"/>
    <w:rsid w:val="00446AF1"/>
    <w:rsid w:val="00446D95"/>
    <w:rsid w:val="00450EB3"/>
    <w:rsid w:val="0045125A"/>
    <w:rsid w:val="00453CE6"/>
    <w:rsid w:val="004543F9"/>
    <w:rsid w:val="0045497B"/>
    <w:rsid w:val="00455D49"/>
    <w:rsid w:val="00460A6D"/>
    <w:rsid w:val="00463FFD"/>
    <w:rsid w:val="00467317"/>
    <w:rsid w:val="0046733C"/>
    <w:rsid w:val="00467ACF"/>
    <w:rsid w:val="00467DC8"/>
    <w:rsid w:val="004705D9"/>
    <w:rsid w:val="004712DC"/>
    <w:rsid w:val="0047156D"/>
    <w:rsid w:val="0047671B"/>
    <w:rsid w:val="00476D91"/>
    <w:rsid w:val="0048374C"/>
    <w:rsid w:val="00483C51"/>
    <w:rsid w:val="004853E9"/>
    <w:rsid w:val="0048667B"/>
    <w:rsid w:val="00490F81"/>
    <w:rsid w:val="004917E7"/>
    <w:rsid w:val="004927B3"/>
    <w:rsid w:val="004943FB"/>
    <w:rsid w:val="00494854"/>
    <w:rsid w:val="00495259"/>
    <w:rsid w:val="0049679A"/>
    <w:rsid w:val="00497BD3"/>
    <w:rsid w:val="004A10C0"/>
    <w:rsid w:val="004A1462"/>
    <w:rsid w:val="004A228B"/>
    <w:rsid w:val="004A2F61"/>
    <w:rsid w:val="004A3F7F"/>
    <w:rsid w:val="004A4135"/>
    <w:rsid w:val="004A4390"/>
    <w:rsid w:val="004A61AE"/>
    <w:rsid w:val="004A775D"/>
    <w:rsid w:val="004B0368"/>
    <w:rsid w:val="004B0A47"/>
    <w:rsid w:val="004B2122"/>
    <w:rsid w:val="004B27E7"/>
    <w:rsid w:val="004B5EBA"/>
    <w:rsid w:val="004C0397"/>
    <w:rsid w:val="004C097C"/>
    <w:rsid w:val="004C1946"/>
    <w:rsid w:val="004C31F2"/>
    <w:rsid w:val="004D3D8E"/>
    <w:rsid w:val="004D4F42"/>
    <w:rsid w:val="004D6FE9"/>
    <w:rsid w:val="004D71C6"/>
    <w:rsid w:val="004D750E"/>
    <w:rsid w:val="004D7989"/>
    <w:rsid w:val="004E0577"/>
    <w:rsid w:val="004E139A"/>
    <w:rsid w:val="004E4611"/>
    <w:rsid w:val="004E4C0C"/>
    <w:rsid w:val="004E66AB"/>
    <w:rsid w:val="004E6F30"/>
    <w:rsid w:val="004F1609"/>
    <w:rsid w:val="004F3C9E"/>
    <w:rsid w:val="004F4F18"/>
    <w:rsid w:val="00501DA3"/>
    <w:rsid w:val="00502757"/>
    <w:rsid w:val="00503662"/>
    <w:rsid w:val="00503DA1"/>
    <w:rsid w:val="00504B89"/>
    <w:rsid w:val="00504D46"/>
    <w:rsid w:val="00505F92"/>
    <w:rsid w:val="00506AE6"/>
    <w:rsid w:val="00507C67"/>
    <w:rsid w:val="005104FE"/>
    <w:rsid w:val="00510ADD"/>
    <w:rsid w:val="005136C0"/>
    <w:rsid w:val="00513729"/>
    <w:rsid w:val="0051480C"/>
    <w:rsid w:val="0051560D"/>
    <w:rsid w:val="0052111B"/>
    <w:rsid w:val="00522200"/>
    <w:rsid w:val="00523036"/>
    <w:rsid w:val="00523931"/>
    <w:rsid w:val="0052435F"/>
    <w:rsid w:val="005244C7"/>
    <w:rsid w:val="005253F7"/>
    <w:rsid w:val="0052629E"/>
    <w:rsid w:val="005301B4"/>
    <w:rsid w:val="005306B2"/>
    <w:rsid w:val="00530807"/>
    <w:rsid w:val="00532178"/>
    <w:rsid w:val="00532F32"/>
    <w:rsid w:val="0053375A"/>
    <w:rsid w:val="00534641"/>
    <w:rsid w:val="00536738"/>
    <w:rsid w:val="0053790C"/>
    <w:rsid w:val="00542530"/>
    <w:rsid w:val="00542657"/>
    <w:rsid w:val="00543D51"/>
    <w:rsid w:val="00546324"/>
    <w:rsid w:val="0055328B"/>
    <w:rsid w:val="0055336E"/>
    <w:rsid w:val="005539E4"/>
    <w:rsid w:val="00554442"/>
    <w:rsid w:val="00560841"/>
    <w:rsid w:val="00561566"/>
    <w:rsid w:val="00567D7B"/>
    <w:rsid w:val="005702EB"/>
    <w:rsid w:val="00571542"/>
    <w:rsid w:val="00573B00"/>
    <w:rsid w:val="00573E79"/>
    <w:rsid w:val="005742F0"/>
    <w:rsid w:val="0057443E"/>
    <w:rsid w:val="005750B1"/>
    <w:rsid w:val="005759D5"/>
    <w:rsid w:val="00577674"/>
    <w:rsid w:val="00583A8B"/>
    <w:rsid w:val="00585482"/>
    <w:rsid w:val="0058565A"/>
    <w:rsid w:val="00586823"/>
    <w:rsid w:val="005908F1"/>
    <w:rsid w:val="005929F1"/>
    <w:rsid w:val="00592B6D"/>
    <w:rsid w:val="0059325F"/>
    <w:rsid w:val="005934BB"/>
    <w:rsid w:val="00593A01"/>
    <w:rsid w:val="00593F20"/>
    <w:rsid w:val="0059448C"/>
    <w:rsid w:val="005951AD"/>
    <w:rsid w:val="005951D9"/>
    <w:rsid w:val="005951F8"/>
    <w:rsid w:val="00595678"/>
    <w:rsid w:val="005979DC"/>
    <w:rsid w:val="005A053D"/>
    <w:rsid w:val="005A7E9B"/>
    <w:rsid w:val="005B19A8"/>
    <w:rsid w:val="005B2135"/>
    <w:rsid w:val="005B374C"/>
    <w:rsid w:val="005B7761"/>
    <w:rsid w:val="005C218B"/>
    <w:rsid w:val="005D02DF"/>
    <w:rsid w:val="005D1311"/>
    <w:rsid w:val="005D2B04"/>
    <w:rsid w:val="005D38BA"/>
    <w:rsid w:val="005D3EA2"/>
    <w:rsid w:val="005D52BF"/>
    <w:rsid w:val="005D5A29"/>
    <w:rsid w:val="005E083F"/>
    <w:rsid w:val="005E1ED7"/>
    <w:rsid w:val="005E264D"/>
    <w:rsid w:val="005E30E4"/>
    <w:rsid w:val="005E3BF8"/>
    <w:rsid w:val="005E3F4C"/>
    <w:rsid w:val="005E40CE"/>
    <w:rsid w:val="005E4F08"/>
    <w:rsid w:val="005E5B4F"/>
    <w:rsid w:val="005E740E"/>
    <w:rsid w:val="005E7FB0"/>
    <w:rsid w:val="005F0B02"/>
    <w:rsid w:val="005F3351"/>
    <w:rsid w:val="005F48CF"/>
    <w:rsid w:val="005F69BE"/>
    <w:rsid w:val="005F75E4"/>
    <w:rsid w:val="005F7AFC"/>
    <w:rsid w:val="00600904"/>
    <w:rsid w:val="006015A4"/>
    <w:rsid w:val="006026E1"/>
    <w:rsid w:val="00603E39"/>
    <w:rsid w:val="00604901"/>
    <w:rsid w:val="00606499"/>
    <w:rsid w:val="00607732"/>
    <w:rsid w:val="00607CF6"/>
    <w:rsid w:val="0061173E"/>
    <w:rsid w:val="00612F09"/>
    <w:rsid w:val="00613AFC"/>
    <w:rsid w:val="00615373"/>
    <w:rsid w:val="006158A1"/>
    <w:rsid w:val="0061639A"/>
    <w:rsid w:val="00617CF9"/>
    <w:rsid w:val="00620074"/>
    <w:rsid w:val="00620EE1"/>
    <w:rsid w:val="0062214C"/>
    <w:rsid w:val="006228DA"/>
    <w:rsid w:val="00622D55"/>
    <w:rsid w:val="0062729A"/>
    <w:rsid w:val="00627C9D"/>
    <w:rsid w:val="00627E8A"/>
    <w:rsid w:val="00630B08"/>
    <w:rsid w:val="00630D77"/>
    <w:rsid w:val="00630EE1"/>
    <w:rsid w:val="00632498"/>
    <w:rsid w:val="006344CF"/>
    <w:rsid w:val="00634531"/>
    <w:rsid w:val="006401FF"/>
    <w:rsid w:val="00640FAB"/>
    <w:rsid w:val="00641BEF"/>
    <w:rsid w:val="00642849"/>
    <w:rsid w:val="00642C45"/>
    <w:rsid w:val="00653B3F"/>
    <w:rsid w:val="0065485D"/>
    <w:rsid w:val="00654E88"/>
    <w:rsid w:val="006554F8"/>
    <w:rsid w:val="00655B29"/>
    <w:rsid w:val="00657004"/>
    <w:rsid w:val="00661665"/>
    <w:rsid w:val="00663AC3"/>
    <w:rsid w:val="006642F3"/>
    <w:rsid w:val="00664F81"/>
    <w:rsid w:val="006669D8"/>
    <w:rsid w:val="00666C6B"/>
    <w:rsid w:val="0066731F"/>
    <w:rsid w:val="00670267"/>
    <w:rsid w:val="00670381"/>
    <w:rsid w:val="00675323"/>
    <w:rsid w:val="00675989"/>
    <w:rsid w:val="00675AB0"/>
    <w:rsid w:val="00676441"/>
    <w:rsid w:val="0068041D"/>
    <w:rsid w:val="00682687"/>
    <w:rsid w:val="006830D4"/>
    <w:rsid w:val="00684D60"/>
    <w:rsid w:val="00685477"/>
    <w:rsid w:val="00686CF9"/>
    <w:rsid w:val="0068711D"/>
    <w:rsid w:val="00687C8B"/>
    <w:rsid w:val="006914CE"/>
    <w:rsid w:val="00692202"/>
    <w:rsid w:val="00692541"/>
    <w:rsid w:val="006965EA"/>
    <w:rsid w:val="00696CE1"/>
    <w:rsid w:val="00697866"/>
    <w:rsid w:val="00697ED0"/>
    <w:rsid w:val="00697FC8"/>
    <w:rsid w:val="006A004B"/>
    <w:rsid w:val="006A18BC"/>
    <w:rsid w:val="006A33F6"/>
    <w:rsid w:val="006A3B64"/>
    <w:rsid w:val="006A3EA1"/>
    <w:rsid w:val="006A433C"/>
    <w:rsid w:val="006A4F86"/>
    <w:rsid w:val="006B04BA"/>
    <w:rsid w:val="006B09E0"/>
    <w:rsid w:val="006B21A5"/>
    <w:rsid w:val="006B2309"/>
    <w:rsid w:val="006B2CF1"/>
    <w:rsid w:val="006B3291"/>
    <w:rsid w:val="006B38D8"/>
    <w:rsid w:val="006B52AD"/>
    <w:rsid w:val="006B5A0B"/>
    <w:rsid w:val="006B698F"/>
    <w:rsid w:val="006B77F4"/>
    <w:rsid w:val="006B7F2A"/>
    <w:rsid w:val="006C0056"/>
    <w:rsid w:val="006C1CCC"/>
    <w:rsid w:val="006C2212"/>
    <w:rsid w:val="006C3093"/>
    <w:rsid w:val="006C3C33"/>
    <w:rsid w:val="006C3C89"/>
    <w:rsid w:val="006C4E74"/>
    <w:rsid w:val="006D019C"/>
    <w:rsid w:val="006D0A5F"/>
    <w:rsid w:val="006D1D94"/>
    <w:rsid w:val="006E495F"/>
    <w:rsid w:val="006E5057"/>
    <w:rsid w:val="006E5483"/>
    <w:rsid w:val="006E6067"/>
    <w:rsid w:val="006E79AB"/>
    <w:rsid w:val="006F1240"/>
    <w:rsid w:val="006F25F1"/>
    <w:rsid w:val="006F2A10"/>
    <w:rsid w:val="006F46DB"/>
    <w:rsid w:val="006F5704"/>
    <w:rsid w:val="006F7687"/>
    <w:rsid w:val="00703F63"/>
    <w:rsid w:val="0070421C"/>
    <w:rsid w:val="00705147"/>
    <w:rsid w:val="00706732"/>
    <w:rsid w:val="00707BAC"/>
    <w:rsid w:val="00711D09"/>
    <w:rsid w:val="00711D95"/>
    <w:rsid w:val="007151F0"/>
    <w:rsid w:val="00717BA8"/>
    <w:rsid w:val="007216FD"/>
    <w:rsid w:val="0072337A"/>
    <w:rsid w:val="0072353E"/>
    <w:rsid w:val="00723C65"/>
    <w:rsid w:val="00725653"/>
    <w:rsid w:val="00727C72"/>
    <w:rsid w:val="007313CE"/>
    <w:rsid w:val="007319C6"/>
    <w:rsid w:val="0073402D"/>
    <w:rsid w:val="00734CDE"/>
    <w:rsid w:val="007351A2"/>
    <w:rsid w:val="007353A9"/>
    <w:rsid w:val="0073635D"/>
    <w:rsid w:val="00737F41"/>
    <w:rsid w:val="0074282D"/>
    <w:rsid w:val="007429CC"/>
    <w:rsid w:val="0074714D"/>
    <w:rsid w:val="00750119"/>
    <w:rsid w:val="007522CA"/>
    <w:rsid w:val="007523D9"/>
    <w:rsid w:val="00756E1F"/>
    <w:rsid w:val="00760F2D"/>
    <w:rsid w:val="007637BA"/>
    <w:rsid w:val="0076530C"/>
    <w:rsid w:val="007667A6"/>
    <w:rsid w:val="00770130"/>
    <w:rsid w:val="00770A4E"/>
    <w:rsid w:val="007727DD"/>
    <w:rsid w:val="0077363D"/>
    <w:rsid w:val="0077639C"/>
    <w:rsid w:val="007773F8"/>
    <w:rsid w:val="0078110A"/>
    <w:rsid w:val="007837AA"/>
    <w:rsid w:val="00783E15"/>
    <w:rsid w:val="00784C22"/>
    <w:rsid w:val="00785379"/>
    <w:rsid w:val="007853A8"/>
    <w:rsid w:val="00790246"/>
    <w:rsid w:val="00792CDB"/>
    <w:rsid w:val="007939A2"/>
    <w:rsid w:val="00794AF3"/>
    <w:rsid w:val="0079644E"/>
    <w:rsid w:val="00796FAE"/>
    <w:rsid w:val="00796FB8"/>
    <w:rsid w:val="007A110A"/>
    <w:rsid w:val="007A3166"/>
    <w:rsid w:val="007A3B94"/>
    <w:rsid w:val="007A70DF"/>
    <w:rsid w:val="007A7D60"/>
    <w:rsid w:val="007A7DBA"/>
    <w:rsid w:val="007B274B"/>
    <w:rsid w:val="007B4835"/>
    <w:rsid w:val="007B4E07"/>
    <w:rsid w:val="007B54B9"/>
    <w:rsid w:val="007B569E"/>
    <w:rsid w:val="007B5E94"/>
    <w:rsid w:val="007B68D4"/>
    <w:rsid w:val="007C0EBB"/>
    <w:rsid w:val="007C2823"/>
    <w:rsid w:val="007C2E06"/>
    <w:rsid w:val="007C2F3A"/>
    <w:rsid w:val="007C52E7"/>
    <w:rsid w:val="007C64B3"/>
    <w:rsid w:val="007D09DB"/>
    <w:rsid w:val="007D47A4"/>
    <w:rsid w:val="007D7419"/>
    <w:rsid w:val="007E09B3"/>
    <w:rsid w:val="007E1460"/>
    <w:rsid w:val="007E20A5"/>
    <w:rsid w:val="007E33B6"/>
    <w:rsid w:val="007E3B14"/>
    <w:rsid w:val="007E4B6D"/>
    <w:rsid w:val="007E52BD"/>
    <w:rsid w:val="007E576D"/>
    <w:rsid w:val="007F04B0"/>
    <w:rsid w:val="007F0C85"/>
    <w:rsid w:val="007F0E3F"/>
    <w:rsid w:val="007F4065"/>
    <w:rsid w:val="007F4601"/>
    <w:rsid w:val="007F58F1"/>
    <w:rsid w:val="007F5B1B"/>
    <w:rsid w:val="007F79F2"/>
    <w:rsid w:val="007F7D1A"/>
    <w:rsid w:val="00800C57"/>
    <w:rsid w:val="008024F6"/>
    <w:rsid w:val="008031AD"/>
    <w:rsid w:val="008032E3"/>
    <w:rsid w:val="00805931"/>
    <w:rsid w:val="00805A22"/>
    <w:rsid w:val="008102E1"/>
    <w:rsid w:val="00810BE0"/>
    <w:rsid w:val="0081149D"/>
    <w:rsid w:val="00814AA1"/>
    <w:rsid w:val="00820188"/>
    <w:rsid w:val="00820670"/>
    <w:rsid w:val="00821317"/>
    <w:rsid w:val="00823063"/>
    <w:rsid w:val="008248DF"/>
    <w:rsid w:val="00824C19"/>
    <w:rsid w:val="00827108"/>
    <w:rsid w:val="008313A6"/>
    <w:rsid w:val="008318A9"/>
    <w:rsid w:val="00831A8F"/>
    <w:rsid w:val="00835656"/>
    <w:rsid w:val="00836B8A"/>
    <w:rsid w:val="00843075"/>
    <w:rsid w:val="008433F8"/>
    <w:rsid w:val="008435F3"/>
    <w:rsid w:val="00844548"/>
    <w:rsid w:val="00844763"/>
    <w:rsid w:val="00845596"/>
    <w:rsid w:val="00847130"/>
    <w:rsid w:val="0084721F"/>
    <w:rsid w:val="008500C7"/>
    <w:rsid w:val="00852D60"/>
    <w:rsid w:val="0085325F"/>
    <w:rsid w:val="00853A38"/>
    <w:rsid w:val="008540AC"/>
    <w:rsid w:val="00854464"/>
    <w:rsid w:val="008544AF"/>
    <w:rsid w:val="00854613"/>
    <w:rsid w:val="0085507A"/>
    <w:rsid w:val="00855C34"/>
    <w:rsid w:val="008569E1"/>
    <w:rsid w:val="00860D1C"/>
    <w:rsid w:val="00862411"/>
    <w:rsid w:val="00862CDE"/>
    <w:rsid w:val="00862EE0"/>
    <w:rsid w:val="00863C78"/>
    <w:rsid w:val="00864BB4"/>
    <w:rsid w:val="00864D00"/>
    <w:rsid w:val="00865E81"/>
    <w:rsid w:val="00866180"/>
    <w:rsid w:val="00871D50"/>
    <w:rsid w:val="00873516"/>
    <w:rsid w:val="00874D6C"/>
    <w:rsid w:val="008756F4"/>
    <w:rsid w:val="00875A83"/>
    <w:rsid w:val="008765BC"/>
    <w:rsid w:val="00877C5F"/>
    <w:rsid w:val="00881240"/>
    <w:rsid w:val="008814A5"/>
    <w:rsid w:val="00882EA9"/>
    <w:rsid w:val="00884B57"/>
    <w:rsid w:val="00884F5D"/>
    <w:rsid w:val="00886F29"/>
    <w:rsid w:val="008879AF"/>
    <w:rsid w:val="008900CF"/>
    <w:rsid w:val="0089178A"/>
    <w:rsid w:val="00892984"/>
    <w:rsid w:val="00894942"/>
    <w:rsid w:val="008953A1"/>
    <w:rsid w:val="00896F2D"/>
    <w:rsid w:val="008979FA"/>
    <w:rsid w:val="008A0922"/>
    <w:rsid w:val="008A1AB1"/>
    <w:rsid w:val="008A1DE2"/>
    <w:rsid w:val="008A20B2"/>
    <w:rsid w:val="008A2E73"/>
    <w:rsid w:val="008A4A66"/>
    <w:rsid w:val="008A697F"/>
    <w:rsid w:val="008A6EBF"/>
    <w:rsid w:val="008A6EFC"/>
    <w:rsid w:val="008A7C7D"/>
    <w:rsid w:val="008B2873"/>
    <w:rsid w:val="008B28D4"/>
    <w:rsid w:val="008B2CD6"/>
    <w:rsid w:val="008B604F"/>
    <w:rsid w:val="008B705D"/>
    <w:rsid w:val="008B791C"/>
    <w:rsid w:val="008C01B7"/>
    <w:rsid w:val="008C0865"/>
    <w:rsid w:val="008C423E"/>
    <w:rsid w:val="008C479E"/>
    <w:rsid w:val="008C52DC"/>
    <w:rsid w:val="008C61EF"/>
    <w:rsid w:val="008C62DF"/>
    <w:rsid w:val="008C6460"/>
    <w:rsid w:val="008D0FA3"/>
    <w:rsid w:val="008D1612"/>
    <w:rsid w:val="008D3E68"/>
    <w:rsid w:val="008D6F0B"/>
    <w:rsid w:val="008D7CA7"/>
    <w:rsid w:val="008E0068"/>
    <w:rsid w:val="008E0BEC"/>
    <w:rsid w:val="008E1C8B"/>
    <w:rsid w:val="008E3DED"/>
    <w:rsid w:val="008E4289"/>
    <w:rsid w:val="008E5306"/>
    <w:rsid w:val="008F10F0"/>
    <w:rsid w:val="008F4625"/>
    <w:rsid w:val="008F55E9"/>
    <w:rsid w:val="00902C45"/>
    <w:rsid w:val="009055B4"/>
    <w:rsid w:val="00905783"/>
    <w:rsid w:val="00907304"/>
    <w:rsid w:val="00910580"/>
    <w:rsid w:val="00910DBD"/>
    <w:rsid w:val="00912063"/>
    <w:rsid w:val="00913293"/>
    <w:rsid w:val="00914773"/>
    <w:rsid w:val="009164E5"/>
    <w:rsid w:val="00922DE7"/>
    <w:rsid w:val="00924246"/>
    <w:rsid w:val="00924674"/>
    <w:rsid w:val="00930767"/>
    <w:rsid w:val="00930E2B"/>
    <w:rsid w:val="00931A8F"/>
    <w:rsid w:val="0093249D"/>
    <w:rsid w:val="00932BFE"/>
    <w:rsid w:val="00932EEC"/>
    <w:rsid w:val="00933248"/>
    <w:rsid w:val="00934D68"/>
    <w:rsid w:val="00935E57"/>
    <w:rsid w:val="009368C9"/>
    <w:rsid w:val="009374D8"/>
    <w:rsid w:val="009376CC"/>
    <w:rsid w:val="00940DB7"/>
    <w:rsid w:val="009421CA"/>
    <w:rsid w:val="00944190"/>
    <w:rsid w:val="009444DB"/>
    <w:rsid w:val="00944B88"/>
    <w:rsid w:val="009471C0"/>
    <w:rsid w:val="009504EB"/>
    <w:rsid w:val="00952120"/>
    <w:rsid w:val="0095382E"/>
    <w:rsid w:val="00956F47"/>
    <w:rsid w:val="009572EC"/>
    <w:rsid w:val="00963185"/>
    <w:rsid w:val="009640B0"/>
    <w:rsid w:val="009645F6"/>
    <w:rsid w:val="00973DA4"/>
    <w:rsid w:val="00973F5B"/>
    <w:rsid w:val="00976CA9"/>
    <w:rsid w:val="00976DFD"/>
    <w:rsid w:val="00980247"/>
    <w:rsid w:val="00981198"/>
    <w:rsid w:val="00982207"/>
    <w:rsid w:val="0098251A"/>
    <w:rsid w:val="00984D95"/>
    <w:rsid w:val="009854FA"/>
    <w:rsid w:val="00987DA7"/>
    <w:rsid w:val="00991841"/>
    <w:rsid w:val="009924FE"/>
    <w:rsid w:val="009928BF"/>
    <w:rsid w:val="00992F32"/>
    <w:rsid w:val="0099504F"/>
    <w:rsid w:val="00995630"/>
    <w:rsid w:val="0099686D"/>
    <w:rsid w:val="00996BCB"/>
    <w:rsid w:val="009A05DC"/>
    <w:rsid w:val="009A0A61"/>
    <w:rsid w:val="009A3687"/>
    <w:rsid w:val="009A368D"/>
    <w:rsid w:val="009A6464"/>
    <w:rsid w:val="009A6D6A"/>
    <w:rsid w:val="009A7712"/>
    <w:rsid w:val="009A7D41"/>
    <w:rsid w:val="009B4A89"/>
    <w:rsid w:val="009B7E6C"/>
    <w:rsid w:val="009C05CE"/>
    <w:rsid w:val="009C1967"/>
    <w:rsid w:val="009C47D1"/>
    <w:rsid w:val="009C6D08"/>
    <w:rsid w:val="009D0A60"/>
    <w:rsid w:val="009D313C"/>
    <w:rsid w:val="009D6A21"/>
    <w:rsid w:val="009D6BD6"/>
    <w:rsid w:val="009E00F5"/>
    <w:rsid w:val="009E0D47"/>
    <w:rsid w:val="009E20C4"/>
    <w:rsid w:val="009E3ECC"/>
    <w:rsid w:val="009E4146"/>
    <w:rsid w:val="009E45C3"/>
    <w:rsid w:val="009E4795"/>
    <w:rsid w:val="009E58D9"/>
    <w:rsid w:val="009F0332"/>
    <w:rsid w:val="009F0A51"/>
    <w:rsid w:val="009F2F86"/>
    <w:rsid w:val="009F4E10"/>
    <w:rsid w:val="009F668F"/>
    <w:rsid w:val="009F7937"/>
    <w:rsid w:val="009F7BEA"/>
    <w:rsid w:val="00A00FA9"/>
    <w:rsid w:val="00A0274B"/>
    <w:rsid w:val="00A04DFF"/>
    <w:rsid w:val="00A0609C"/>
    <w:rsid w:val="00A10F1E"/>
    <w:rsid w:val="00A14FDE"/>
    <w:rsid w:val="00A1645F"/>
    <w:rsid w:val="00A16D0E"/>
    <w:rsid w:val="00A16D12"/>
    <w:rsid w:val="00A17068"/>
    <w:rsid w:val="00A1761D"/>
    <w:rsid w:val="00A2178A"/>
    <w:rsid w:val="00A2437B"/>
    <w:rsid w:val="00A249DC"/>
    <w:rsid w:val="00A2573E"/>
    <w:rsid w:val="00A25D72"/>
    <w:rsid w:val="00A25E40"/>
    <w:rsid w:val="00A260BC"/>
    <w:rsid w:val="00A26239"/>
    <w:rsid w:val="00A267C4"/>
    <w:rsid w:val="00A26B48"/>
    <w:rsid w:val="00A27A53"/>
    <w:rsid w:val="00A27D41"/>
    <w:rsid w:val="00A3353F"/>
    <w:rsid w:val="00A36561"/>
    <w:rsid w:val="00A3672B"/>
    <w:rsid w:val="00A36BDB"/>
    <w:rsid w:val="00A37AE1"/>
    <w:rsid w:val="00A40A4B"/>
    <w:rsid w:val="00A41131"/>
    <w:rsid w:val="00A473C4"/>
    <w:rsid w:val="00A475C6"/>
    <w:rsid w:val="00A51118"/>
    <w:rsid w:val="00A51532"/>
    <w:rsid w:val="00A62565"/>
    <w:rsid w:val="00A6324C"/>
    <w:rsid w:val="00A642DC"/>
    <w:rsid w:val="00A65459"/>
    <w:rsid w:val="00A65E16"/>
    <w:rsid w:val="00A65FC3"/>
    <w:rsid w:val="00A6686A"/>
    <w:rsid w:val="00A66CFD"/>
    <w:rsid w:val="00A6792E"/>
    <w:rsid w:val="00A71DDE"/>
    <w:rsid w:val="00A73157"/>
    <w:rsid w:val="00A74E23"/>
    <w:rsid w:val="00A75159"/>
    <w:rsid w:val="00A7530B"/>
    <w:rsid w:val="00A7656D"/>
    <w:rsid w:val="00A81D49"/>
    <w:rsid w:val="00A84655"/>
    <w:rsid w:val="00A84ADC"/>
    <w:rsid w:val="00A86F31"/>
    <w:rsid w:val="00A87341"/>
    <w:rsid w:val="00A87D8F"/>
    <w:rsid w:val="00A90D4C"/>
    <w:rsid w:val="00A918A4"/>
    <w:rsid w:val="00A92B85"/>
    <w:rsid w:val="00A93796"/>
    <w:rsid w:val="00A94504"/>
    <w:rsid w:val="00A94EDA"/>
    <w:rsid w:val="00A94F8F"/>
    <w:rsid w:val="00A9630D"/>
    <w:rsid w:val="00A9633E"/>
    <w:rsid w:val="00A96C17"/>
    <w:rsid w:val="00A97BFF"/>
    <w:rsid w:val="00AA2D05"/>
    <w:rsid w:val="00AA44A0"/>
    <w:rsid w:val="00AA6799"/>
    <w:rsid w:val="00AA702B"/>
    <w:rsid w:val="00AA70B1"/>
    <w:rsid w:val="00AB0FC8"/>
    <w:rsid w:val="00AB10DA"/>
    <w:rsid w:val="00AB1AA3"/>
    <w:rsid w:val="00AB4A50"/>
    <w:rsid w:val="00AB6470"/>
    <w:rsid w:val="00AB67D2"/>
    <w:rsid w:val="00AB6E17"/>
    <w:rsid w:val="00AB70CC"/>
    <w:rsid w:val="00AC11F8"/>
    <w:rsid w:val="00AC154F"/>
    <w:rsid w:val="00AC187E"/>
    <w:rsid w:val="00AC2BEF"/>
    <w:rsid w:val="00AC3D11"/>
    <w:rsid w:val="00AC432D"/>
    <w:rsid w:val="00AC435C"/>
    <w:rsid w:val="00AC5115"/>
    <w:rsid w:val="00AC5494"/>
    <w:rsid w:val="00AC6F09"/>
    <w:rsid w:val="00AD0FA3"/>
    <w:rsid w:val="00AD3A4A"/>
    <w:rsid w:val="00AD4C8C"/>
    <w:rsid w:val="00AD51F5"/>
    <w:rsid w:val="00AD53C8"/>
    <w:rsid w:val="00AD6C75"/>
    <w:rsid w:val="00AD6F55"/>
    <w:rsid w:val="00AE173B"/>
    <w:rsid w:val="00AE2E4B"/>
    <w:rsid w:val="00AE4262"/>
    <w:rsid w:val="00AE523A"/>
    <w:rsid w:val="00AE56BF"/>
    <w:rsid w:val="00AE5D6D"/>
    <w:rsid w:val="00AE7C8D"/>
    <w:rsid w:val="00AF02DF"/>
    <w:rsid w:val="00AF1186"/>
    <w:rsid w:val="00AF1B7B"/>
    <w:rsid w:val="00AF25BC"/>
    <w:rsid w:val="00AF2B61"/>
    <w:rsid w:val="00AF5A9A"/>
    <w:rsid w:val="00AF6CE0"/>
    <w:rsid w:val="00AF7A78"/>
    <w:rsid w:val="00B0180C"/>
    <w:rsid w:val="00B02370"/>
    <w:rsid w:val="00B0682C"/>
    <w:rsid w:val="00B07269"/>
    <w:rsid w:val="00B07316"/>
    <w:rsid w:val="00B109DC"/>
    <w:rsid w:val="00B11690"/>
    <w:rsid w:val="00B12369"/>
    <w:rsid w:val="00B12C77"/>
    <w:rsid w:val="00B148FA"/>
    <w:rsid w:val="00B17A66"/>
    <w:rsid w:val="00B208BA"/>
    <w:rsid w:val="00B236A7"/>
    <w:rsid w:val="00B24A2F"/>
    <w:rsid w:val="00B260EB"/>
    <w:rsid w:val="00B26B5A"/>
    <w:rsid w:val="00B279E3"/>
    <w:rsid w:val="00B30186"/>
    <w:rsid w:val="00B30D03"/>
    <w:rsid w:val="00B33002"/>
    <w:rsid w:val="00B33542"/>
    <w:rsid w:val="00B34740"/>
    <w:rsid w:val="00B377ED"/>
    <w:rsid w:val="00B37FAC"/>
    <w:rsid w:val="00B44382"/>
    <w:rsid w:val="00B44CD9"/>
    <w:rsid w:val="00B47831"/>
    <w:rsid w:val="00B50219"/>
    <w:rsid w:val="00B521B0"/>
    <w:rsid w:val="00B52674"/>
    <w:rsid w:val="00B530CD"/>
    <w:rsid w:val="00B534B0"/>
    <w:rsid w:val="00B55D2B"/>
    <w:rsid w:val="00B5679F"/>
    <w:rsid w:val="00B57C25"/>
    <w:rsid w:val="00B6010C"/>
    <w:rsid w:val="00B62705"/>
    <w:rsid w:val="00B6282F"/>
    <w:rsid w:val="00B6335E"/>
    <w:rsid w:val="00B64892"/>
    <w:rsid w:val="00B6629C"/>
    <w:rsid w:val="00B675EE"/>
    <w:rsid w:val="00B70285"/>
    <w:rsid w:val="00B72D66"/>
    <w:rsid w:val="00B739D4"/>
    <w:rsid w:val="00B74A8A"/>
    <w:rsid w:val="00B7638C"/>
    <w:rsid w:val="00B77119"/>
    <w:rsid w:val="00B7724F"/>
    <w:rsid w:val="00B80075"/>
    <w:rsid w:val="00B81B0E"/>
    <w:rsid w:val="00B82662"/>
    <w:rsid w:val="00B852EE"/>
    <w:rsid w:val="00B8586B"/>
    <w:rsid w:val="00B85888"/>
    <w:rsid w:val="00B860F4"/>
    <w:rsid w:val="00B8747F"/>
    <w:rsid w:val="00B87C6A"/>
    <w:rsid w:val="00B90124"/>
    <w:rsid w:val="00B91D52"/>
    <w:rsid w:val="00B93EDF"/>
    <w:rsid w:val="00B95B02"/>
    <w:rsid w:val="00B95B67"/>
    <w:rsid w:val="00B96BA0"/>
    <w:rsid w:val="00BA0514"/>
    <w:rsid w:val="00BA2A6A"/>
    <w:rsid w:val="00BA3AE8"/>
    <w:rsid w:val="00BA499D"/>
    <w:rsid w:val="00BA658B"/>
    <w:rsid w:val="00BA6748"/>
    <w:rsid w:val="00BB10B4"/>
    <w:rsid w:val="00BB177B"/>
    <w:rsid w:val="00BB1CEE"/>
    <w:rsid w:val="00BB3EF7"/>
    <w:rsid w:val="00BB402A"/>
    <w:rsid w:val="00BB4F2D"/>
    <w:rsid w:val="00BB5351"/>
    <w:rsid w:val="00BB5526"/>
    <w:rsid w:val="00BB5696"/>
    <w:rsid w:val="00BB59DF"/>
    <w:rsid w:val="00BB5A11"/>
    <w:rsid w:val="00BB62AC"/>
    <w:rsid w:val="00BB7A9D"/>
    <w:rsid w:val="00BC00A9"/>
    <w:rsid w:val="00BC0FF0"/>
    <w:rsid w:val="00BC1EF5"/>
    <w:rsid w:val="00BC1F2D"/>
    <w:rsid w:val="00BC2FB9"/>
    <w:rsid w:val="00BC3443"/>
    <w:rsid w:val="00BC4524"/>
    <w:rsid w:val="00BC4B46"/>
    <w:rsid w:val="00BC57EC"/>
    <w:rsid w:val="00BC5F3A"/>
    <w:rsid w:val="00BD0BC9"/>
    <w:rsid w:val="00BD24C6"/>
    <w:rsid w:val="00BD529C"/>
    <w:rsid w:val="00BE2081"/>
    <w:rsid w:val="00BE26D0"/>
    <w:rsid w:val="00BE3885"/>
    <w:rsid w:val="00BE4544"/>
    <w:rsid w:val="00BE5CCD"/>
    <w:rsid w:val="00BE746E"/>
    <w:rsid w:val="00BE75ED"/>
    <w:rsid w:val="00BF04E0"/>
    <w:rsid w:val="00BF18DA"/>
    <w:rsid w:val="00BF24EC"/>
    <w:rsid w:val="00BF3B5E"/>
    <w:rsid w:val="00BF791A"/>
    <w:rsid w:val="00C003A4"/>
    <w:rsid w:val="00C01BE1"/>
    <w:rsid w:val="00C026F8"/>
    <w:rsid w:val="00C032BC"/>
    <w:rsid w:val="00C045CB"/>
    <w:rsid w:val="00C051A7"/>
    <w:rsid w:val="00C074E1"/>
    <w:rsid w:val="00C124D5"/>
    <w:rsid w:val="00C1544F"/>
    <w:rsid w:val="00C1686C"/>
    <w:rsid w:val="00C21395"/>
    <w:rsid w:val="00C21C61"/>
    <w:rsid w:val="00C23C27"/>
    <w:rsid w:val="00C248EA"/>
    <w:rsid w:val="00C24FF2"/>
    <w:rsid w:val="00C3074A"/>
    <w:rsid w:val="00C30874"/>
    <w:rsid w:val="00C30D36"/>
    <w:rsid w:val="00C312BB"/>
    <w:rsid w:val="00C3140F"/>
    <w:rsid w:val="00C32C7D"/>
    <w:rsid w:val="00C33017"/>
    <w:rsid w:val="00C3386F"/>
    <w:rsid w:val="00C34ABF"/>
    <w:rsid w:val="00C354FB"/>
    <w:rsid w:val="00C361C7"/>
    <w:rsid w:val="00C3637A"/>
    <w:rsid w:val="00C37BCE"/>
    <w:rsid w:val="00C37F96"/>
    <w:rsid w:val="00C41C6C"/>
    <w:rsid w:val="00C43AB2"/>
    <w:rsid w:val="00C44535"/>
    <w:rsid w:val="00C460C4"/>
    <w:rsid w:val="00C474CF"/>
    <w:rsid w:val="00C501D2"/>
    <w:rsid w:val="00C507D2"/>
    <w:rsid w:val="00C508FC"/>
    <w:rsid w:val="00C52550"/>
    <w:rsid w:val="00C52D8C"/>
    <w:rsid w:val="00C53B66"/>
    <w:rsid w:val="00C543BA"/>
    <w:rsid w:val="00C5442C"/>
    <w:rsid w:val="00C57020"/>
    <w:rsid w:val="00C60620"/>
    <w:rsid w:val="00C60B73"/>
    <w:rsid w:val="00C60FA6"/>
    <w:rsid w:val="00C62854"/>
    <w:rsid w:val="00C63D6F"/>
    <w:rsid w:val="00C66374"/>
    <w:rsid w:val="00C66FE2"/>
    <w:rsid w:val="00C676E4"/>
    <w:rsid w:val="00C67EBE"/>
    <w:rsid w:val="00C768C7"/>
    <w:rsid w:val="00C769FD"/>
    <w:rsid w:val="00C76C94"/>
    <w:rsid w:val="00C77410"/>
    <w:rsid w:val="00C83A7A"/>
    <w:rsid w:val="00C84BE5"/>
    <w:rsid w:val="00C84CEE"/>
    <w:rsid w:val="00C8548A"/>
    <w:rsid w:val="00C86310"/>
    <w:rsid w:val="00C86B97"/>
    <w:rsid w:val="00C87659"/>
    <w:rsid w:val="00C87CD7"/>
    <w:rsid w:val="00C931D5"/>
    <w:rsid w:val="00C9427C"/>
    <w:rsid w:val="00C966DE"/>
    <w:rsid w:val="00CA22FF"/>
    <w:rsid w:val="00CA2764"/>
    <w:rsid w:val="00CA2C41"/>
    <w:rsid w:val="00CA3A20"/>
    <w:rsid w:val="00CA3F9E"/>
    <w:rsid w:val="00CA3F9F"/>
    <w:rsid w:val="00CA4113"/>
    <w:rsid w:val="00CA50BC"/>
    <w:rsid w:val="00CA5FBA"/>
    <w:rsid w:val="00CA62A8"/>
    <w:rsid w:val="00CA6C40"/>
    <w:rsid w:val="00CA7259"/>
    <w:rsid w:val="00CA7840"/>
    <w:rsid w:val="00CB33BF"/>
    <w:rsid w:val="00CB3AD9"/>
    <w:rsid w:val="00CB4979"/>
    <w:rsid w:val="00CB4D7B"/>
    <w:rsid w:val="00CB627A"/>
    <w:rsid w:val="00CC19A2"/>
    <w:rsid w:val="00CC39B8"/>
    <w:rsid w:val="00CC7A82"/>
    <w:rsid w:val="00CD0124"/>
    <w:rsid w:val="00CD07F2"/>
    <w:rsid w:val="00CD2A2F"/>
    <w:rsid w:val="00CD343E"/>
    <w:rsid w:val="00CD392D"/>
    <w:rsid w:val="00CD45F7"/>
    <w:rsid w:val="00CD5CA6"/>
    <w:rsid w:val="00CD6A6F"/>
    <w:rsid w:val="00CD6CC0"/>
    <w:rsid w:val="00CE09AA"/>
    <w:rsid w:val="00CE1833"/>
    <w:rsid w:val="00CE24E0"/>
    <w:rsid w:val="00CE32F1"/>
    <w:rsid w:val="00CE332D"/>
    <w:rsid w:val="00CE3EF4"/>
    <w:rsid w:val="00CE40CC"/>
    <w:rsid w:val="00CE4DD2"/>
    <w:rsid w:val="00CE4FB0"/>
    <w:rsid w:val="00CE5D82"/>
    <w:rsid w:val="00CE65C1"/>
    <w:rsid w:val="00CE7A5B"/>
    <w:rsid w:val="00CE7A6E"/>
    <w:rsid w:val="00CF0D8F"/>
    <w:rsid w:val="00CF138A"/>
    <w:rsid w:val="00CF1BC6"/>
    <w:rsid w:val="00CF27CA"/>
    <w:rsid w:val="00CF304C"/>
    <w:rsid w:val="00CF4019"/>
    <w:rsid w:val="00CF460A"/>
    <w:rsid w:val="00CF5296"/>
    <w:rsid w:val="00CF557B"/>
    <w:rsid w:val="00D00A34"/>
    <w:rsid w:val="00D00D95"/>
    <w:rsid w:val="00D01658"/>
    <w:rsid w:val="00D02BC7"/>
    <w:rsid w:val="00D035D6"/>
    <w:rsid w:val="00D052E5"/>
    <w:rsid w:val="00D07500"/>
    <w:rsid w:val="00D07661"/>
    <w:rsid w:val="00D07EF2"/>
    <w:rsid w:val="00D12EBE"/>
    <w:rsid w:val="00D139BC"/>
    <w:rsid w:val="00D149B2"/>
    <w:rsid w:val="00D161CE"/>
    <w:rsid w:val="00D178A4"/>
    <w:rsid w:val="00D17B24"/>
    <w:rsid w:val="00D2003F"/>
    <w:rsid w:val="00D217C2"/>
    <w:rsid w:val="00D21E91"/>
    <w:rsid w:val="00D260E1"/>
    <w:rsid w:val="00D269A8"/>
    <w:rsid w:val="00D26D3F"/>
    <w:rsid w:val="00D42189"/>
    <w:rsid w:val="00D432B4"/>
    <w:rsid w:val="00D4343C"/>
    <w:rsid w:val="00D43F66"/>
    <w:rsid w:val="00D44379"/>
    <w:rsid w:val="00D45C6A"/>
    <w:rsid w:val="00D45FF4"/>
    <w:rsid w:val="00D4636B"/>
    <w:rsid w:val="00D502B3"/>
    <w:rsid w:val="00D50EB5"/>
    <w:rsid w:val="00D510C4"/>
    <w:rsid w:val="00D513D3"/>
    <w:rsid w:val="00D51CD0"/>
    <w:rsid w:val="00D51EF2"/>
    <w:rsid w:val="00D53B87"/>
    <w:rsid w:val="00D54842"/>
    <w:rsid w:val="00D557ED"/>
    <w:rsid w:val="00D6451E"/>
    <w:rsid w:val="00D67B47"/>
    <w:rsid w:val="00D67F26"/>
    <w:rsid w:val="00D70494"/>
    <w:rsid w:val="00D70EE8"/>
    <w:rsid w:val="00D71BB2"/>
    <w:rsid w:val="00D7249A"/>
    <w:rsid w:val="00D72D1F"/>
    <w:rsid w:val="00D75C51"/>
    <w:rsid w:val="00D76FBC"/>
    <w:rsid w:val="00D76FE0"/>
    <w:rsid w:val="00D77AAA"/>
    <w:rsid w:val="00D77F85"/>
    <w:rsid w:val="00D815D8"/>
    <w:rsid w:val="00D84C17"/>
    <w:rsid w:val="00D87B02"/>
    <w:rsid w:val="00D9029D"/>
    <w:rsid w:val="00D911E0"/>
    <w:rsid w:val="00D93B57"/>
    <w:rsid w:val="00D94A45"/>
    <w:rsid w:val="00D9588B"/>
    <w:rsid w:val="00D96908"/>
    <w:rsid w:val="00D9743D"/>
    <w:rsid w:val="00DA000D"/>
    <w:rsid w:val="00DA10F3"/>
    <w:rsid w:val="00DA18FC"/>
    <w:rsid w:val="00DA3993"/>
    <w:rsid w:val="00DA446A"/>
    <w:rsid w:val="00DA4E75"/>
    <w:rsid w:val="00DA53A3"/>
    <w:rsid w:val="00DA584D"/>
    <w:rsid w:val="00DB192A"/>
    <w:rsid w:val="00DB2C99"/>
    <w:rsid w:val="00DB4611"/>
    <w:rsid w:val="00DB4770"/>
    <w:rsid w:val="00DB57E4"/>
    <w:rsid w:val="00DB61FB"/>
    <w:rsid w:val="00DB6812"/>
    <w:rsid w:val="00DB6B57"/>
    <w:rsid w:val="00DB6C17"/>
    <w:rsid w:val="00DB77D0"/>
    <w:rsid w:val="00DC1071"/>
    <w:rsid w:val="00DC1414"/>
    <w:rsid w:val="00DC17E0"/>
    <w:rsid w:val="00DC6944"/>
    <w:rsid w:val="00DC6F8C"/>
    <w:rsid w:val="00DC7DA1"/>
    <w:rsid w:val="00DD1647"/>
    <w:rsid w:val="00DD26B3"/>
    <w:rsid w:val="00DD467D"/>
    <w:rsid w:val="00DD58D3"/>
    <w:rsid w:val="00DD70BB"/>
    <w:rsid w:val="00DD7256"/>
    <w:rsid w:val="00DE03AD"/>
    <w:rsid w:val="00DE1BC3"/>
    <w:rsid w:val="00DE1F22"/>
    <w:rsid w:val="00DE20EF"/>
    <w:rsid w:val="00DE304C"/>
    <w:rsid w:val="00DE3791"/>
    <w:rsid w:val="00DE4471"/>
    <w:rsid w:val="00DE56BA"/>
    <w:rsid w:val="00DE696D"/>
    <w:rsid w:val="00DE7E6C"/>
    <w:rsid w:val="00DF1E39"/>
    <w:rsid w:val="00DF629F"/>
    <w:rsid w:val="00DF785F"/>
    <w:rsid w:val="00DF7F4B"/>
    <w:rsid w:val="00E01703"/>
    <w:rsid w:val="00E01C79"/>
    <w:rsid w:val="00E020B6"/>
    <w:rsid w:val="00E021C1"/>
    <w:rsid w:val="00E02A6F"/>
    <w:rsid w:val="00E02D34"/>
    <w:rsid w:val="00E036A3"/>
    <w:rsid w:val="00E0506E"/>
    <w:rsid w:val="00E05E27"/>
    <w:rsid w:val="00E06995"/>
    <w:rsid w:val="00E11D8E"/>
    <w:rsid w:val="00E13140"/>
    <w:rsid w:val="00E132D9"/>
    <w:rsid w:val="00E1333D"/>
    <w:rsid w:val="00E14C7B"/>
    <w:rsid w:val="00E16567"/>
    <w:rsid w:val="00E170F0"/>
    <w:rsid w:val="00E17CFC"/>
    <w:rsid w:val="00E21260"/>
    <w:rsid w:val="00E21C3C"/>
    <w:rsid w:val="00E22D2A"/>
    <w:rsid w:val="00E24F0E"/>
    <w:rsid w:val="00E25E31"/>
    <w:rsid w:val="00E2716A"/>
    <w:rsid w:val="00E27480"/>
    <w:rsid w:val="00E27632"/>
    <w:rsid w:val="00E27CC4"/>
    <w:rsid w:val="00E308EF"/>
    <w:rsid w:val="00E3093A"/>
    <w:rsid w:val="00E31A95"/>
    <w:rsid w:val="00E32700"/>
    <w:rsid w:val="00E3336B"/>
    <w:rsid w:val="00E33937"/>
    <w:rsid w:val="00E350F5"/>
    <w:rsid w:val="00E35731"/>
    <w:rsid w:val="00E358D3"/>
    <w:rsid w:val="00E36305"/>
    <w:rsid w:val="00E372A7"/>
    <w:rsid w:val="00E37B8B"/>
    <w:rsid w:val="00E4085F"/>
    <w:rsid w:val="00E409EC"/>
    <w:rsid w:val="00E40D2D"/>
    <w:rsid w:val="00E419E9"/>
    <w:rsid w:val="00E431BA"/>
    <w:rsid w:val="00E44C65"/>
    <w:rsid w:val="00E45366"/>
    <w:rsid w:val="00E456DC"/>
    <w:rsid w:val="00E456E6"/>
    <w:rsid w:val="00E501CB"/>
    <w:rsid w:val="00E5138C"/>
    <w:rsid w:val="00E51920"/>
    <w:rsid w:val="00E54C6A"/>
    <w:rsid w:val="00E54E04"/>
    <w:rsid w:val="00E575C3"/>
    <w:rsid w:val="00E61EC7"/>
    <w:rsid w:val="00E62E55"/>
    <w:rsid w:val="00E63988"/>
    <w:rsid w:val="00E64371"/>
    <w:rsid w:val="00E654A8"/>
    <w:rsid w:val="00E65AD6"/>
    <w:rsid w:val="00E665CD"/>
    <w:rsid w:val="00E7029C"/>
    <w:rsid w:val="00E717D7"/>
    <w:rsid w:val="00E72542"/>
    <w:rsid w:val="00E7381B"/>
    <w:rsid w:val="00E74B82"/>
    <w:rsid w:val="00E74DCE"/>
    <w:rsid w:val="00E75999"/>
    <w:rsid w:val="00E7612F"/>
    <w:rsid w:val="00E77953"/>
    <w:rsid w:val="00E77AB3"/>
    <w:rsid w:val="00E807FB"/>
    <w:rsid w:val="00E83A88"/>
    <w:rsid w:val="00E841EB"/>
    <w:rsid w:val="00E869E5"/>
    <w:rsid w:val="00E869F7"/>
    <w:rsid w:val="00E86F1F"/>
    <w:rsid w:val="00E87386"/>
    <w:rsid w:val="00E91F04"/>
    <w:rsid w:val="00E92265"/>
    <w:rsid w:val="00E94C28"/>
    <w:rsid w:val="00EA16D5"/>
    <w:rsid w:val="00EA217A"/>
    <w:rsid w:val="00EA2472"/>
    <w:rsid w:val="00EA307D"/>
    <w:rsid w:val="00EA33DA"/>
    <w:rsid w:val="00EA343F"/>
    <w:rsid w:val="00EA6F3B"/>
    <w:rsid w:val="00EB0535"/>
    <w:rsid w:val="00EB31ED"/>
    <w:rsid w:val="00EB55BF"/>
    <w:rsid w:val="00EB60BE"/>
    <w:rsid w:val="00EB63AC"/>
    <w:rsid w:val="00EB7DE1"/>
    <w:rsid w:val="00EC03E3"/>
    <w:rsid w:val="00EC057E"/>
    <w:rsid w:val="00EC4F87"/>
    <w:rsid w:val="00EC5847"/>
    <w:rsid w:val="00EC5EBD"/>
    <w:rsid w:val="00EC754F"/>
    <w:rsid w:val="00ED0678"/>
    <w:rsid w:val="00ED16E2"/>
    <w:rsid w:val="00ED384F"/>
    <w:rsid w:val="00ED3CDC"/>
    <w:rsid w:val="00ED4AE7"/>
    <w:rsid w:val="00ED5398"/>
    <w:rsid w:val="00ED7338"/>
    <w:rsid w:val="00ED7C95"/>
    <w:rsid w:val="00EE1BA6"/>
    <w:rsid w:val="00EE3603"/>
    <w:rsid w:val="00EE7D73"/>
    <w:rsid w:val="00EF233A"/>
    <w:rsid w:val="00EF41F4"/>
    <w:rsid w:val="00EF4349"/>
    <w:rsid w:val="00EF4AFA"/>
    <w:rsid w:val="00EF4B96"/>
    <w:rsid w:val="00EF7279"/>
    <w:rsid w:val="00F01A79"/>
    <w:rsid w:val="00F02178"/>
    <w:rsid w:val="00F02C0F"/>
    <w:rsid w:val="00F02D8C"/>
    <w:rsid w:val="00F03847"/>
    <w:rsid w:val="00F0505A"/>
    <w:rsid w:val="00F06727"/>
    <w:rsid w:val="00F07AB1"/>
    <w:rsid w:val="00F10D3D"/>
    <w:rsid w:val="00F117CD"/>
    <w:rsid w:val="00F13EE0"/>
    <w:rsid w:val="00F166B6"/>
    <w:rsid w:val="00F17308"/>
    <w:rsid w:val="00F1749B"/>
    <w:rsid w:val="00F20DBA"/>
    <w:rsid w:val="00F2107C"/>
    <w:rsid w:val="00F21133"/>
    <w:rsid w:val="00F21B17"/>
    <w:rsid w:val="00F21E1F"/>
    <w:rsid w:val="00F21E95"/>
    <w:rsid w:val="00F22EFD"/>
    <w:rsid w:val="00F237EA"/>
    <w:rsid w:val="00F23DFB"/>
    <w:rsid w:val="00F25006"/>
    <w:rsid w:val="00F25772"/>
    <w:rsid w:val="00F27861"/>
    <w:rsid w:val="00F312F0"/>
    <w:rsid w:val="00F31956"/>
    <w:rsid w:val="00F342D0"/>
    <w:rsid w:val="00F34F89"/>
    <w:rsid w:val="00F419D7"/>
    <w:rsid w:val="00F4236B"/>
    <w:rsid w:val="00F426F2"/>
    <w:rsid w:val="00F43342"/>
    <w:rsid w:val="00F4368A"/>
    <w:rsid w:val="00F45BA5"/>
    <w:rsid w:val="00F50D91"/>
    <w:rsid w:val="00F510DD"/>
    <w:rsid w:val="00F520A8"/>
    <w:rsid w:val="00F5261D"/>
    <w:rsid w:val="00F52890"/>
    <w:rsid w:val="00F54DB2"/>
    <w:rsid w:val="00F5520F"/>
    <w:rsid w:val="00F632A2"/>
    <w:rsid w:val="00F6372B"/>
    <w:rsid w:val="00F65277"/>
    <w:rsid w:val="00F6578B"/>
    <w:rsid w:val="00F66759"/>
    <w:rsid w:val="00F668FA"/>
    <w:rsid w:val="00F66DE8"/>
    <w:rsid w:val="00F67D9D"/>
    <w:rsid w:val="00F71E56"/>
    <w:rsid w:val="00F7248B"/>
    <w:rsid w:val="00F81156"/>
    <w:rsid w:val="00F82FFA"/>
    <w:rsid w:val="00F83732"/>
    <w:rsid w:val="00F844BE"/>
    <w:rsid w:val="00F84661"/>
    <w:rsid w:val="00F84E43"/>
    <w:rsid w:val="00F85965"/>
    <w:rsid w:val="00F85D1B"/>
    <w:rsid w:val="00F867F9"/>
    <w:rsid w:val="00F86F12"/>
    <w:rsid w:val="00F8778C"/>
    <w:rsid w:val="00F909EE"/>
    <w:rsid w:val="00F91585"/>
    <w:rsid w:val="00F93FBA"/>
    <w:rsid w:val="00F9529F"/>
    <w:rsid w:val="00F95BFF"/>
    <w:rsid w:val="00F9660F"/>
    <w:rsid w:val="00F97D9E"/>
    <w:rsid w:val="00FA0031"/>
    <w:rsid w:val="00FA00C6"/>
    <w:rsid w:val="00FA0C2A"/>
    <w:rsid w:val="00FA123F"/>
    <w:rsid w:val="00FA171B"/>
    <w:rsid w:val="00FA1DEC"/>
    <w:rsid w:val="00FA2210"/>
    <w:rsid w:val="00FA3138"/>
    <w:rsid w:val="00FA4BD1"/>
    <w:rsid w:val="00FA54ED"/>
    <w:rsid w:val="00FA5C18"/>
    <w:rsid w:val="00FA607D"/>
    <w:rsid w:val="00FA6C83"/>
    <w:rsid w:val="00FA7180"/>
    <w:rsid w:val="00FA7A48"/>
    <w:rsid w:val="00FB14BB"/>
    <w:rsid w:val="00FB1623"/>
    <w:rsid w:val="00FB1D78"/>
    <w:rsid w:val="00FB29EB"/>
    <w:rsid w:val="00FB2EA9"/>
    <w:rsid w:val="00FB3A8D"/>
    <w:rsid w:val="00FB589D"/>
    <w:rsid w:val="00FB6B21"/>
    <w:rsid w:val="00FC0553"/>
    <w:rsid w:val="00FC1C22"/>
    <w:rsid w:val="00FC1C97"/>
    <w:rsid w:val="00FC2071"/>
    <w:rsid w:val="00FC349F"/>
    <w:rsid w:val="00FC4407"/>
    <w:rsid w:val="00FC6DD1"/>
    <w:rsid w:val="00FC7E89"/>
    <w:rsid w:val="00FD0197"/>
    <w:rsid w:val="00FD2958"/>
    <w:rsid w:val="00FD2BF9"/>
    <w:rsid w:val="00FD6CCD"/>
    <w:rsid w:val="00FE002E"/>
    <w:rsid w:val="00FE1935"/>
    <w:rsid w:val="00FE400C"/>
    <w:rsid w:val="00FE641A"/>
    <w:rsid w:val="00FE69DE"/>
    <w:rsid w:val="00FE7316"/>
    <w:rsid w:val="00FE7FCF"/>
    <w:rsid w:val="00FF1497"/>
    <w:rsid w:val="00FF231D"/>
    <w:rsid w:val="00FF4124"/>
    <w:rsid w:val="00FF59F9"/>
    <w:rsid w:val="00FF648B"/>
    <w:rsid w:val="00FF6F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EF461"/>
  <w15:chartTrackingRefBased/>
  <w15:docId w15:val="{6AA26C1F-B57E-4318-BC95-52B6D20B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8"/>
      <w:lang w:val="en-GB"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spacing w:line="480" w:lineRule="auto"/>
      <w:jc w:val="center"/>
      <w:outlineLvl w:val="4"/>
    </w:pPr>
    <w:rPr>
      <w:b/>
      <w:bCs/>
      <w:u w:val="single"/>
    </w:rPr>
  </w:style>
  <w:style w:type="paragraph" w:styleId="Heading6">
    <w:name w:val="heading 6"/>
    <w:basedOn w:val="Normal"/>
    <w:next w:val="Normal"/>
    <w:qFormat/>
    <w:pPr>
      <w:keepNext/>
      <w:spacing w:line="480" w:lineRule="auto"/>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Text0">
    <w:name w:val="BodyText"/>
    <w:basedOn w:val="Normal"/>
    <w:pPr>
      <w:spacing w:after="560" w:line="480" w:lineRule="auto"/>
      <w:jc w:val="both"/>
    </w:pPr>
    <w:rPr>
      <w:rFonts w:ascii="Times New Roman" w:hAnsi="Times New Roman"/>
      <w:sz w:val="28"/>
    </w:rPr>
  </w:style>
  <w:style w:type="paragraph" w:customStyle="1" w:styleId="ListLevel1">
    <w:name w:val="ListLevel1"/>
    <w:basedOn w:val="BodyText0"/>
  </w:style>
  <w:style w:type="paragraph" w:customStyle="1" w:styleId="ListLevel2">
    <w:name w:val="ListLevel2"/>
    <w:basedOn w:val="ListLevel1"/>
  </w:style>
  <w:style w:type="paragraph" w:customStyle="1" w:styleId="ListLevel3">
    <w:name w:val="ListLevel3"/>
    <w:basedOn w:val="ListLevel1"/>
  </w:style>
  <w:style w:type="paragraph" w:customStyle="1" w:styleId="ListLevel4">
    <w:name w:val="ListLevel4"/>
    <w:basedOn w:val="ListLevel1"/>
  </w:style>
  <w:style w:type="table" w:styleId="TableGrid">
    <w:name w:val="Table Grid"/>
    <w:basedOn w:val="TableNormal"/>
    <w:rsid w:val="006A3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1Head">
    <w:name w:val="Clause1Head"/>
    <w:basedOn w:val="Normal"/>
    <w:rsid w:val="00F909EE"/>
  </w:style>
  <w:style w:type="paragraph" w:customStyle="1" w:styleId="Clause2Sub">
    <w:name w:val="Clause2Sub"/>
    <w:basedOn w:val="Normal"/>
    <w:rsid w:val="00F909EE"/>
  </w:style>
  <w:style w:type="paragraph" w:customStyle="1" w:styleId="Clause3Sub">
    <w:name w:val="Clause3Sub"/>
    <w:basedOn w:val="Normal"/>
    <w:rsid w:val="00F909EE"/>
    <w:pPr>
      <w:numPr>
        <w:ilvl w:val="4"/>
        <w:numId w:val="4"/>
      </w:numPr>
    </w:pPr>
  </w:style>
  <w:style w:type="paragraph" w:styleId="FootnoteText">
    <w:name w:val="footnote text"/>
    <w:basedOn w:val="Normal"/>
    <w:link w:val="FootnoteTextChar"/>
    <w:rsid w:val="00854464"/>
    <w:rPr>
      <w:sz w:val="20"/>
      <w:szCs w:val="20"/>
    </w:rPr>
  </w:style>
  <w:style w:type="character" w:customStyle="1" w:styleId="FootnoteTextChar">
    <w:name w:val="Footnote Text Char"/>
    <w:link w:val="FootnoteText"/>
    <w:rsid w:val="00854464"/>
    <w:rPr>
      <w:rFonts w:ascii="Arial" w:hAnsi="Arial"/>
      <w:lang w:val="en-GB" w:eastAsia="en-US"/>
    </w:rPr>
  </w:style>
  <w:style w:type="character" w:styleId="FootnoteReference">
    <w:name w:val="footnote reference"/>
    <w:rsid w:val="00854464"/>
    <w:rPr>
      <w:vertAlign w:val="superscript"/>
    </w:rPr>
  </w:style>
  <w:style w:type="paragraph" w:styleId="BalloonText">
    <w:name w:val="Balloon Text"/>
    <w:basedOn w:val="Normal"/>
    <w:link w:val="BalloonTextChar"/>
    <w:rsid w:val="00344A22"/>
    <w:rPr>
      <w:rFonts w:ascii="Tahoma" w:hAnsi="Tahoma" w:cs="Tahoma"/>
      <w:sz w:val="16"/>
      <w:szCs w:val="16"/>
    </w:rPr>
  </w:style>
  <w:style w:type="character" w:customStyle="1" w:styleId="BalloonTextChar">
    <w:name w:val="Balloon Text Char"/>
    <w:link w:val="BalloonText"/>
    <w:rsid w:val="00344A22"/>
    <w:rPr>
      <w:rFonts w:ascii="Tahoma" w:hAnsi="Tahoma" w:cs="Tahoma"/>
      <w:sz w:val="16"/>
      <w:szCs w:val="16"/>
      <w:lang w:val="en-GB" w:eastAsia="en-US"/>
    </w:rPr>
  </w:style>
  <w:style w:type="character" w:customStyle="1" w:styleId="FooterChar">
    <w:name w:val="Footer Char"/>
    <w:basedOn w:val="DefaultParagraphFont"/>
    <w:link w:val="Footer"/>
    <w:uiPriority w:val="99"/>
    <w:rsid w:val="00770A4E"/>
    <w:rPr>
      <w:rFonts w:ascii="Arial" w:hAnsi="Arial"/>
      <w:sz w:val="24"/>
      <w:szCs w:val="28"/>
      <w:lang w:val="en-GB" w:eastAsia="en-US"/>
    </w:rPr>
  </w:style>
  <w:style w:type="paragraph" w:styleId="ListParagraph">
    <w:name w:val="List Paragraph"/>
    <w:basedOn w:val="Normal"/>
    <w:uiPriority w:val="34"/>
    <w:qFormat/>
    <w:rsid w:val="00905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1C5F-5EE5-42CA-B740-E3802E29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53436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Dalene E. Mostert</dc:creator>
  <cp:keywords/>
  <cp:lastModifiedBy>Mokone</cp:lastModifiedBy>
  <cp:revision>3</cp:revision>
  <cp:lastPrinted>2022-03-15T12:31:00Z</cp:lastPrinted>
  <dcterms:created xsi:type="dcterms:W3CDTF">2022-05-30T08:59:00Z</dcterms:created>
  <dcterms:modified xsi:type="dcterms:W3CDTF">2022-05-30T08:59:00Z</dcterms:modified>
</cp:coreProperties>
</file>