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72" w:rsidRDefault="005F1772" w:rsidP="005F1772">
      <w:pPr>
        <w:jc w:val="center"/>
        <w:rPr>
          <w:rFonts w:asciiTheme="minorHAnsi" w:hAnsiTheme="minorHAnsi" w:cstheme="minorHAnsi"/>
          <w:b/>
          <w:sz w:val="26"/>
          <w:szCs w:val="26"/>
        </w:rPr>
      </w:pPr>
      <w:bookmarkStart w:id="0" w:name="_GoBack"/>
      <w:bookmarkEnd w:id="0"/>
    </w:p>
    <w:p w:rsidR="005F1772" w:rsidRDefault="005F1772" w:rsidP="005F1772">
      <w:pPr>
        <w:jc w:val="center"/>
        <w:rPr>
          <w:rFonts w:asciiTheme="minorHAnsi" w:hAnsiTheme="minorHAnsi" w:cstheme="minorHAnsi"/>
          <w:b/>
          <w:sz w:val="26"/>
          <w:szCs w:val="26"/>
        </w:rPr>
      </w:pPr>
    </w:p>
    <w:p w:rsidR="005F1772" w:rsidRDefault="005F1772" w:rsidP="005F1772">
      <w:pPr>
        <w:jc w:val="center"/>
        <w:rPr>
          <w:rFonts w:asciiTheme="minorHAnsi" w:hAnsiTheme="minorHAnsi" w:cstheme="minorHAnsi"/>
          <w:b/>
          <w:sz w:val="26"/>
          <w:szCs w:val="26"/>
        </w:rPr>
      </w:pPr>
    </w:p>
    <w:p w:rsidR="005F1772" w:rsidRDefault="005F1772" w:rsidP="005F1772">
      <w:pPr>
        <w:jc w:val="center"/>
        <w:rPr>
          <w:rFonts w:asciiTheme="minorHAnsi" w:hAnsiTheme="minorHAnsi" w:cstheme="minorHAnsi"/>
          <w:b/>
          <w:sz w:val="26"/>
          <w:szCs w:val="26"/>
        </w:rPr>
      </w:pPr>
    </w:p>
    <w:p w:rsidR="005F1772" w:rsidRDefault="005F1772" w:rsidP="005F1772">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5F1772" w:rsidRPr="00C201B8" w:rsidRDefault="005F1772" w:rsidP="005F1772">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5F1772" w:rsidRPr="00C201B8" w:rsidRDefault="005F1772" w:rsidP="005F1772">
      <w:pPr>
        <w:pStyle w:val="Heading3"/>
      </w:pPr>
    </w:p>
    <w:p w:rsidR="005F1772" w:rsidRPr="00C201B8" w:rsidRDefault="005F1772" w:rsidP="005F1772">
      <w:pPr>
        <w:jc w:val="cente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654A884D" wp14:editId="775BEE0D">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4B1EB6" w:rsidRPr="008B34AE" w:rsidRDefault="004B1EB6" w:rsidP="005F1772">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4B1EB6" w:rsidRPr="008B34AE" w:rsidRDefault="004B1EB6" w:rsidP="005F1772">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4B1EB6" w:rsidRDefault="004B1EB6" w:rsidP="005F1772">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4B1EB6" w:rsidRPr="00AB7D21" w:rsidRDefault="004B1EB6" w:rsidP="005F1772">
                            <w:pPr>
                              <w:spacing w:after="200" w:line="276" w:lineRule="auto"/>
                              <w:ind w:left="360"/>
                              <w:suppressOverlap/>
                              <w:rPr>
                                <w:b/>
                                <w:sz w:val="16"/>
                                <w:szCs w:val="16"/>
                              </w:rPr>
                            </w:pPr>
                            <w:r w:rsidRPr="00AB7D21">
                              <w:rPr>
                                <w:b/>
                                <w:sz w:val="16"/>
                                <w:szCs w:val="16"/>
                              </w:rPr>
                              <w:t>Date</w:t>
                            </w:r>
                            <w:r w:rsidR="00E803AE">
                              <w:rPr>
                                <w:b/>
                                <w:sz w:val="16"/>
                                <w:szCs w:val="16"/>
                              </w:rPr>
                              <w:t xml:space="preserve"> </w:t>
                            </w:r>
                            <w:r w:rsidRPr="00AB7D21">
                              <w:rPr>
                                <w:b/>
                                <w:sz w:val="16"/>
                                <w:szCs w:val="16"/>
                              </w:rPr>
                              <w:t>:</w:t>
                            </w:r>
                            <w:r w:rsidR="00E803AE">
                              <w:rPr>
                                <w:b/>
                                <w:sz w:val="16"/>
                                <w:szCs w:val="16"/>
                              </w:rPr>
                              <w:t>5</w:t>
                            </w:r>
                            <w:r w:rsidRPr="00AB7D21">
                              <w:rPr>
                                <w:b/>
                                <w:sz w:val="16"/>
                                <w:szCs w:val="16"/>
                              </w:rPr>
                              <w:t>/</w:t>
                            </w:r>
                            <w:r>
                              <w:rPr>
                                <w:b/>
                                <w:sz w:val="16"/>
                                <w:szCs w:val="16"/>
                              </w:rPr>
                              <w:t>04</w:t>
                            </w:r>
                            <w:r w:rsidRPr="00AB7D21">
                              <w:rPr>
                                <w:b/>
                                <w:sz w:val="16"/>
                                <w:szCs w:val="16"/>
                              </w:rPr>
                              <w:t>/20</w:t>
                            </w:r>
                            <w:r>
                              <w:rPr>
                                <w:b/>
                                <w:sz w:val="16"/>
                                <w:szCs w:val="16"/>
                              </w:rPr>
                              <w:t>22</w:t>
                            </w:r>
                          </w:p>
                          <w:p w:rsidR="004B1EB6" w:rsidRDefault="004B1EB6" w:rsidP="005F1772">
                            <w:pPr>
                              <w:suppressOverlap/>
                              <w:rPr>
                                <w:b/>
                                <w:sz w:val="16"/>
                                <w:szCs w:val="16"/>
                              </w:rPr>
                            </w:pPr>
                            <w:r>
                              <w:rPr>
                                <w:b/>
                                <w:sz w:val="16"/>
                                <w:szCs w:val="16"/>
                              </w:rPr>
                              <w:t xml:space="preserve"> _____________</w:t>
                            </w:r>
                          </w:p>
                          <w:p w:rsidR="004B1EB6" w:rsidRDefault="004B1EB6" w:rsidP="005F1772">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4A884D"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4B1EB6" w:rsidRPr="008B34AE" w:rsidRDefault="004B1EB6" w:rsidP="005F1772">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4B1EB6" w:rsidRPr="008B34AE" w:rsidRDefault="004B1EB6" w:rsidP="005F1772">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4B1EB6" w:rsidRDefault="004B1EB6" w:rsidP="005F1772">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4B1EB6" w:rsidRPr="00AB7D21" w:rsidRDefault="004B1EB6" w:rsidP="005F1772">
                      <w:pPr>
                        <w:spacing w:after="200" w:line="276" w:lineRule="auto"/>
                        <w:ind w:left="360"/>
                        <w:suppressOverlap/>
                        <w:rPr>
                          <w:b/>
                          <w:sz w:val="16"/>
                          <w:szCs w:val="16"/>
                        </w:rPr>
                      </w:pPr>
                      <w:r w:rsidRPr="00AB7D21">
                        <w:rPr>
                          <w:b/>
                          <w:sz w:val="16"/>
                          <w:szCs w:val="16"/>
                        </w:rPr>
                        <w:t>Date</w:t>
                      </w:r>
                      <w:r w:rsidR="00E803AE">
                        <w:rPr>
                          <w:b/>
                          <w:sz w:val="16"/>
                          <w:szCs w:val="16"/>
                        </w:rPr>
                        <w:t xml:space="preserve"> </w:t>
                      </w:r>
                      <w:r w:rsidRPr="00AB7D21">
                        <w:rPr>
                          <w:b/>
                          <w:sz w:val="16"/>
                          <w:szCs w:val="16"/>
                        </w:rPr>
                        <w:t>:</w:t>
                      </w:r>
                      <w:r w:rsidR="00E803AE">
                        <w:rPr>
                          <w:b/>
                          <w:sz w:val="16"/>
                          <w:szCs w:val="16"/>
                        </w:rPr>
                        <w:t>5</w:t>
                      </w:r>
                      <w:r w:rsidRPr="00AB7D21">
                        <w:rPr>
                          <w:b/>
                          <w:sz w:val="16"/>
                          <w:szCs w:val="16"/>
                        </w:rPr>
                        <w:t>/</w:t>
                      </w:r>
                      <w:r>
                        <w:rPr>
                          <w:b/>
                          <w:sz w:val="16"/>
                          <w:szCs w:val="16"/>
                        </w:rPr>
                        <w:t>04</w:t>
                      </w:r>
                      <w:r w:rsidRPr="00AB7D21">
                        <w:rPr>
                          <w:b/>
                          <w:sz w:val="16"/>
                          <w:szCs w:val="16"/>
                        </w:rPr>
                        <w:t>/20</w:t>
                      </w:r>
                      <w:r>
                        <w:rPr>
                          <w:b/>
                          <w:sz w:val="16"/>
                          <w:szCs w:val="16"/>
                        </w:rPr>
                        <w:t>22</w:t>
                      </w:r>
                    </w:p>
                    <w:p w:rsidR="004B1EB6" w:rsidRDefault="004B1EB6" w:rsidP="005F1772">
                      <w:pPr>
                        <w:suppressOverlap/>
                        <w:rPr>
                          <w:b/>
                          <w:sz w:val="16"/>
                          <w:szCs w:val="16"/>
                        </w:rPr>
                      </w:pPr>
                      <w:r>
                        <w:rPr>
                          <w:b/>
                          <w:sz w:val="16"/>
                          <w:szCs w:val="16"/>
                        </w:rPr>
                        <w:t xml:space="preserve"> _____________</w:t>
                      </w:r>
                    </w:p>
                    <w:p w:rsidR="004B1EB6" w:rsidRDefault="004B1EB6" w:rsidP="005F1772">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1CC86123" wp14:editId="4E432B4B">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5F1772" w:rsidRDefault="005F1772" w:rsidP="005F1772">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2020/19791</w:t>
      </w:r>
    </w:p>
    <w:p w:rsidR="005F1772" w:rsidRDefault="005F1772" w:rsidP="005F1772">
      <w:pPr>
        <w:spacing w:after="120"/>
        <w:jc w:val="right"/>
        <w:rPr>
          <w:rFonts w:asciiTheme="minorHAnsi" w:hAnsiTheme="minorHAnsi" w:cstheme="minorHAnsi"/>
          <w:sz w:val="26"/>
          <w:szCs w:val="26"/>
        </w:rPr>
      </w:pPr>
    </w:p>
    <w:p w:rsidR="005F1772" w:rsidRDefault="005F1772" w:rsidP="005F1772">
      <w:pPr>
        <w:jc w:val="both"/>
        <w:rPr>
          <w:rFonts w:asciiTheme="minorHAnsi" w:hAnsiTheme="minorHAnsi" w:cstheme="minorHAnsi"/>
          <w:sz w:val="26"/>
          <w:szCs w:val="26"/>
        </w:rPr>
      </w:pPr>
    </w:p>
    <w:p w:rsidR="005F1772" w:rsidRDefault="005F1772" w:rsidP="005F1772">
      <w:pPr>
        <w:jc w:val="both"/>
        <w:rPr>
          <w:rFonts w:asciiTheme="minorHAnsi" w:hAnsiTheme="minorHAnsi" w:cstheme="minorHAnsi"/>
          <w:sz w:val="26"/>
          <w:szCs w:val="26"/>
        </w:rPr>
      </w:pPr>
    </w:p>
    <w:p w:rsidR="005F1772" w:rsidRPr="00C201B8" w:rsidRDefault="005F1772" w:rsidP="005F1772">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intervening application between</w:t>
      </w:r>
      <w:r w:rsidRPr="00C201B8">
        <w:rPr>
          <w:rFonts w:asciiTheme="minorHAnsi" w:hAnsiTheme="minorHAnsi" w:cstheme="minorHAnsi"/>
          <w:sz w:val="26"/>
          <w:szCs w:val="26"/>
        </w:rPr>
        <w:t>:</w:t>
      </w:r>
    </w:p>
    <w:p w:rsidR="005F1772" w:rsidRDefault="005F1772" w:rsidP="005F1772">
      <w:pPr>
        <w:ind w:right="-46"/>
        <w:rPr>
          <w:rFonts w:asciiTheme="minorHAnsi" w:hAnsiTheme="minorHAnsi" w:cstheme="minorHAnsi"/>
          <w:b/>
          <w:sz w:val="26"/>
          <w:szCs w:val="26"/>
        </w:rPr>
      </w:pPr>
    </w:p>
    <w:p w:rsidR="005F1772" w:rsidRDefault="005F1772" w:rsidP="005F1772">
      <w:pPr>
        <w:ind w:right="-46"/>
        <w:rPr>
          <w:rFonts w:asciiTheme="minorHAnsi" w:hAnsiTheme="minorHAnsi" w:cstheme="minorHAnsi"/>
          <w:sz w:val="26"/>
          <w:szCs w:val="26"/>
        </w:rPr>
      </w:pPr>
      <w:r>
        <w:rPr>
          <w:rFonts w:asciiTheme="minorHAnsi" w:hAnsiTheme="minorHAnsi" w:cstheme="minorHAnsi"/>
          <w:b/>
          <w:sz w:val="26"/>
          <w:szCs w:val="26"/>
        </w:rPr>
        <w:t>MICHELLE BEVERLEY ROSS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F57549">
        <w:rPr>
          <w:rFonts w:asciiTheme="minorHAnsi" w:hAnsiTheme="minorHAnsi" w:cstheme="minorHAnsi"/>
          <w:sz w:val="26"/>
          <w:szCs w:val="26"/>
        </w:rPr>
        <w:tab/>
      </w:r>
      <w:r>
        <w:rPr>
          <w:rFonts w:asciiTheme="minorHAnsi" w:hAnsiTheme="minorHAnsi" w:cstheme="minorHAnsi"/>
          <w:sz w:val="26"/>
          <w:szCs w:val="26"/>
        </w:rPr>
        <w:t>Intervening Party</w:t>
      </w:r>
    </w:p>
    <w:p w:rsidR="005F1772" w:rsidRDefault="005F1772" w:rsidP="005F1772">
      <w:pPr>
        <w:ind w:right="-46"/>
        <w:rPr>
          <w:rFonts w:asciiTheme="minorHAnsi" w:hAnsiTheme="minorHAnsi" w:cstheme="minorHAnsi"/>
          <w:sz w:val="26"/>
          <w:szCs w:val="26"/>
        </w:rPr>
      </w:pPr>
    </w:p>
    <w:p w:rsidR="005F1772" w:rsidRDefault="005F1772" w:rsidP="005F1772">
      <w:pPr>
        <w:ind w:right="-46"/>
        <w:rPr>
          <w:rFonts w:asciiTheme="minorHAnsi" w:hAnsiTheme="minorHAnsi" w:cstheme="minorHAnsi"/>
          <w:sz w:val="26"/>
          <w:szCs w:val="26"/>
        </w:rPr>
      </w:pPr>
      <w:r>
        <w:rPr>
          <w:rFonts w:asciiTheme="minorHAnsi" w:hAnsiTheme="minorHAnsi" w:cstheme="minorHAnsi"/>
          <w:sz w:val="26"/>
          <w:szCs w:val="26"/>
        </w:rPr>
        <w:t>In re:</w:t>
      </w:r>
    </w:p>
    <w:p w:rsidR="005F1772" w:rsidRDefault="005F1772" w:rsidP="005F1772">
      <w:pPr>
        <w:ind w:right="-46"/>
        <w:rPr>
          <w:rFonts w:asciiTheme="minorHAnsi" w:hAnsiTheme="minorHAnsi" w:cstheme="minorHAnsi"/>
          <w:b/>
          <w:sz w:val="26"/>
          <w:szCs w:val="26"/>
        </w:rPr>
      </w:pPr>
    </w:p>
    <w:p w:rsidR="005F1772" w:rsidRPr="005F1772" w:rsidRDefault="005F1772" w:rsidP="005F1772">
      <w:pPr>
        <w:ind w:right="-46"/>
        <w:rPr>
          <w:rFonts w:asciiTheme="minorHAnsi" w:hAnsiTheme="minorHAnsi" w:cstheme="minorHAnsi"/>
          <w:sz w:val="26"/>
          <w:szCs w:val="26"/>
        </w:rPr>
      </w:pPr>
      <w:r>
        <w:rPr>
          <w:rFonts w:asciiTheme="minorHAnsi" w:hAnsiTheme="minorHAnsi" w:cstheme="minorHAnsi"/>
          <w:b/>
          <w:sz w:val="26"/>
          <w:szCs w:val="26"/>
        </w:rPr>
        <w:t>MERCANTILE BANK LIMITED</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00F57549">
        <w:rPr>
          <w:rFonts w:asciiTheme="minorHAnsi" w:hAnsiTheme="minorHAnsi" w:cstheme="minorHAnsi"/>
          <w:b/>
          <w:sz w:val="26"/>
          <w:szCs w:val="26"/>
        </w:rPr>
        <w:tab/>
      </w:r>
      <w:r w:rsidR="00F57549">
        <w:rPr>
          <w:rFonts w:asciiTheme="minorHAnsi" w:hAnsiTheme="minorHAnsi" w:cstheme="minorHAnsi"/>
          <w:b/>
          <w:sz w:val="26"/>
          <w:szCs w:val="26"/>
        </w:rPr>
        <w:tab/>
      </w:r>
      <w:r w:rsidR="00F57549" w:rsidRPr="00F57549">
        <w:rPr>
          <w:rFonts w:asciiTheme="minorHAnsi" w:hAnsiTheme="minorHAnsi" w:cstheme="minorHAnsi"/>
          <w:sz w:val="26"/>
          <w:szCs w:val="26"/>
        </w:rPr>
        <w:t xml:space="preserve">  </w:t>
      </w:r>
      <w:r>
        <w:rPr>
          <w:rFonts w:asciiTheme="minorHAnsi" w:hAnsiTheme="minorHAnsi" w:cstheme="minorHAnsi"/>
          <w:sz w:val="26"/>
          <w:szCs w:val="26"/>
        </w:rPr>
        <w:t>Applicant</w:t>
      </w:r>
    </w:p>
    <w:p w:rsidR="005F1772" w:rsidRDefault="005F1772" w:rsidP="005F1772">
      <w:pPr>
        <w:ind w:right="-46"/>
        <w:rPr>
          <w:rFonts w:asciiTheme="minorHAnsi" w:hAnsiTheme="minorHAnsi" w:cstheme="minorHAnsi"/>
          <w:sz w:val="26"/>
          <w:szCs w:val="26"/>
        </w:rPr>
      </w:pPr>
    </w:p>
    <w:p w:rsidR="005F1772" w:rsidRPr="006168BD" w:rsidRDefault="005F1772" w:rsidP="005F1772">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5F1772" w:rsidRPr="00B13FBA" w:rsidRDefault="005F1772" w:rsidP="005F1772">
      <w:pPr>
        <w:ind w:right="-46"/>
        <w:rPr>
          <w:rFonts w:asciiTheme="minorHAnsi" w:hAnsiTheme="minorHAnsi" w:cstheme="minorHAnsi"/>
          <w:sz w:val="26"/>
          <w:szCs w:val="26"/>
        </w:rPr>
      </w:pPr>
    </w:p>
    <w:p w:rsidR="005F1772" w:rsidRDefault="005F1772" w:rsidP="005F1772">
      <w:pPr>
        <w:ind w:right="-46"/>
        <w:rPr>
          <w:rFonts w:asciiTheme="minorHAnsi" w:hAnsiTheme="minorHAnsi" w:cstheme="minorHAnsi"/>
          <w:sz w:val="26"/>
          <w:szCs w:val="26"/>
        </w:rPr>
      </w:pPr>
      <w:r>
        <w:rPr>
          <w:rFonts w:asciiTheme="minorHAnsi" w:hAnsiTheme="minorHAnsi" w:cstheme="minorHAnsi"/>
          <w:b/>
          <w:sz w:val="26"/>
          <w:szCs w:val="26"/>
        </w:rPr>
        <w:t>MICHALE MAURICE ROSS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F57549">
        <w:rPr>
          <w:rFonts w:asciiTheme="minorHAnsi" w:hAnsiTheme="minorHAnsi" w:cstheme="minorHAnsi"/>
          <w:sz w:val="26"/>
          <w:szCs w:val="26"/>
        </w:rPr>
        <w:tab/>
        <w:t xml:space="preserve">          </w:t>
      </w:r>
      <w:r>
        <w:rPr>
          <w:rFonts w:asciiTheme="minorHAnsi" w:hAnsiTheme="minorHAnsi" w:cstheme="minorHAnsi"/>
          <w:sz w:val="26"/>
          <w:szCs w:val="26"/>
        </w:rPr>
        <w:t>Respondent</w:t>
      </w:r>
    </w:p>
    <w:p w:rsidR="005F1772" w:rsidRDefault="005F1772" w:rsidP="005F1772">
      <w:pPr>
        <w:ind w:right="-46"/>
        <w:rPr>
          <w:rFonts w:asciiTheme="minorHAnsi" w:hAnsiTheme="minorHAnsi" w:cstheme="minorHAnsi"/>
          <w:sz w:val="26"/>
          <w:szCs w:val="26"/>
        </w:rPr>
      </w:pPr>
    </w:p>
    <w:p w:rsidR="005F1772" w:rsidRPr="006C65AB" w:rsidRDefault="005F1772" w:rsidP="005F1772">
      <w:pPr>
        <w:ind w:right="-46"/>
        <w:rPr>
          <w:rFonts w:asciiTheme="minorHAnsi" w:hAnsiTheme="minorHAnsi" w:cstheme="minorHAnsi"/>
          <w:sz w:val="26"/>
          <w:szCs w:val="26"/>
        </w:rPr>
      </w:pPr>
    </w:p>
    <w:p w:rsidR="005F1772" w:rsidRPr="00C201B8" w:rsidRDefault="005F1772" w:rsidP="005F1772">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r w:rsidR="00F57549">
        <w:rPr>
          <w:rFonts w:asciiTheme="minorHAnsi" w:hAnsiTheme="minorHAnsi" w:cstheme="minorHAnsi"/>
          <w:sz w:val="26"/>
          <w:szCs w:val="26"/>
        </w:rPr>
        <w:t>_</w:t>
      </w:r>
    </w:p>
    <w:p w:rsidR="005F1772" w:rsidRPr="00C201B8" w:rsidRDefault="005F1772" w:rsidP="005F1772">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5F1772" w:rsidRPr="00C201B8" w:rsidRDefault="005F1772" w:rsidP="005F1772">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r w:rsidR="00F57549">
        <w:rPr>
          <w:rFonts w:asciiTheme="minorHAnsi" w:hAnsiTheme="minorHAnsi" w:cstheme="minorHAnsi"/>
          <w:sz w:val="26"/>
          <w:szCs w:val="26"/>
        </w:rPr>
        <w:t>_</w:t>
      </w:r>
    </w:p>
    <w:p w:rsidR="005F1772" w:rsidRDefault="005F1772" w:rsidP="005F1772">
      <w:pPr>
        <w:rPr>
          <w:rFonts w:asciiTheme="minorHAnsi" w:hAnsiTheme="minorHAnsi" w:cstheme="minorHAnsi"/>
          <w:b/>
          <w:sz w:val="26"/>
          <w:szCs w:val="26"/>
        </w:rPr>
      </w:pPr>
    </w:p>
    <w:p w:rsidR="005F1772" w:rsidRPr="009706D5" w:rsidRDefault="005F1772" w:rsidP="005F1772">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5F1772" w:rsidRDefault="005F1772" w:rsidP="005F1772">
      <w:pPr>
        <w:rPr>
          <w:rFonts w:asciiTheme="minorHAnsi" w:hAnsiTheme="minorHAnsi" w:cstheme="minorHAnsi"/>
          <w:sz w:val="26"/>
          <w:szCs w:val="26"/>
        </w:rPr>
      </w:pPr>
    </w:p>
    <w:p w:rsidR="006E78DF" w:rsidRDefault="00B30294" w:rsidP="005F1772">
      <w:pPr>
        <w:pStyle w:val="ListParagraph"/>
        <w:numPr>
          <w:ilvl w:val="0"/>
          <w:numId w:val="3"/>
        </w:numPr>
        <w:spacing w:after="200" w:line="360" w:lineRule="auto"/>
        <w:jc w:val="both"/>
        <w:rPr>
          <w:rFonts w:asciiTheme="minorHAnsi" w:hAnsiTheme="minorHAnsi" w:cstheme="minorHAnsi"/>
          <w:sz w:val="26"/>
          <w:szCs w:val="26"/>
        </w:rPr>
      </w:pPr>
      <w:r w:rsidRPr="001120B8">
        <w:rPr>
          <w:rFonts w:asciiTheme="minorHAnsi" w:hAnsiTheme="minorHAnsi" w:cstheme="minorHAnsi"/>
          <w:sz w:val="26"/>
          <w:szCs w:val="26"/>
        </w:rPr>
        <w:t xml:space="preserve">In this application, the intervening party, who is the ex-wife of the respondent, seeks leave to intervene in the main sequestration application brought by the applicant against the respondent, in order to oppose the </w:t>
      </w:r>
      <w:r w:rsidR="001120B8">
        <w:rPr>
          <w:rFonts w:asciiTheme="minorHAnsi" w:hAnsiTheme="minorHAnsi" w:cstheme="minorHAnsi"/>
          <w:sz w:val="26"/>
          <w:szCs w:val="26"/>
        </w:rPr>
        <w:t xml:space="preserve">grant of a final order. </w:t>
      </w:r>
    </w:p>
    <w:p w:rsidR="001778EF" w:rsidRDefault="001120B8"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On 13 August 2021, the respondent</w:t>
      </w:r>
      <w:r w:rsidR="006E78DF">
        <w:rPr>
          <w:rFonts w:asciiTheme="minorHAnsi" w:hAnsiTheme="minorHAnsi" w:cstheme="minorHAnsi"/>
          <w:sz w:val="26"/>
          <w:szCs w:val="26"/>
        </w:rPr>
        <w:t>’s estate was provisionally sequestrated by order of court</w:t>
      </w:r>
      <w:r w:rsidR="0079328B">
        <w:rPr>
          <w:rFonts w:asciiTheme="minorHAnsi" w:hAnsiTheme="minorHAnsi" w:cstheme="minorHAnsi"/>
          <w:sz w:val="26"/>
          <w:szCs w:val="26"/>
        </w:rPr>
        <w:t>, per the judgment of Weiner J</w:t>
      </w:r>
      <w:r w:rsidR="006E78DF">
        <w:rPr>
          <w:rFonts w:asciiTheme="minorHAnsi" w:hAnsiTheme="minorHAnsi" w:cstheme="minorHAnsi"/>
          <w:sz w:val="26"/>
          <w:szCs w:val="26"/>
        </w:rPr>
        <w:t>.</w:t>
      </w:r>
      <w:r w:rsidR="00E95AC2" w:rsidRPr="00E95AC2">
        <w:rPr>
          <w:rStyle w:val="FootnoteReference"/>
          <w:rFonts w:asciiTheme="minorHAnsi" w:hAnsiTheme="minorHAnsi" w:cstheme="minorHAnsi"/>
          <w:sz w:val="26"/>
          <w:szCs w:val="26"/>
        </w:rPr>
        <w:t xml:space="preserve"> </w:t>
      </w:r>
      <w:r w:rsidR="00E95AC2">
        <w:rPr>
          <w:rStyle w:val="FootnoteReference"/>
          <w:rFonts w:asciiTheme="minorHAnsi" w:hAnsiTheme="minorHAnsi" w:cstheme="minorHAnsi"/>
          <w:sz w:val="26"/>
          <w:szCs w:val="26"/>
        </w:rPr>
        <w:footnoteReference w:id="1"/>
      </w:r>
      <w:r>
        <w:rPr>
          <w:rFonts w:asciiTheme="minorHAnsi" w:hAnsiTheme="minorHAnsi" w:cstheme="minorHAnsi"/>
          <w:sz w:val="26"/>
          <w:szCs w:val="26"/>
        </w:rPr>
        <w:t xml:space="preserve"> </w:t>
      </w:r>
      <w:r w:rsidR="0079328B">
        <w:rPr>
          <w:rFonts w:asciiTheme="minorHAnsi" w:hAnsiTheme="minorHAnsi" w:cstheme="minorHAnsi"/>
          <w:sz w:val="26"/>
          <w:szCs w:val="26"/>
        </w:rPr>
        <w:t xml:space="preserve">The learned Judge </w:t>
      </w:r>
      <w:r w:rsidR="006E78DF">
        <w:rPr>
          <w:rFonts w:asciiTheme="minorHAnsi" w:hAnsiTheme="minorHAnsi" w:cstheme="minorHAnsi"/>
          <w:sz w:val="26"/>
          <w:szCs w:val="26"/>
        </w:rPr>
        <w:t>found</w:t>
      </w:r>
      <w:r w:rsidR="00FE0AC4">
        <w:rPr>
          <w:rFonts w:asciiTheme="minorHAnsi" w:hAnsiTheme="minorHAnsi" w:cstheme="minorHAnsi"/>
          <w:sz w:val="26"/>
          <w:szCs w:val="26"/>
        </w:rPr>
        <w:t xml:space="preserve">, </w:t>
      </w:r>
      <w:r w:rsidR="0091166E">
        <w:rPr>
          <w:rFonts w:asciiTheme="minorHAnsi" w:hAnsiTheme="minorHAnsi" w:cstheme="minorHAnsi"/>
          <w:sz w:val="26"/>
          <w:szCs w:val="26"/>
        </w:rPr>
        <w:t>amongst others,</w:t>
      </w:r>
      <w:r w:rsidR="006E78DF">
        <w:rPr>
          <w:rFonts w:asciiTheme="minorHAnsi" w:hAnsiTheme="minorHAnsi" w:cstheme="minorHAnsi"/>
          <w:sz w:val="26"/>
          <w:szCs w:val="26"/>
        </w:rPr>
        <w:t xml:space="preserve"> that</w:t>
      </w:r>
      <w:r>
        <w:rPr>
          <w:rFonts w:asciiTheme="minorHAnsi" w:hAnsiTheme="minorHAnsi" w:cstheme="minorHAnsi"/>
          <w:sz w:val="26"/>
          <w:szCs w:val="26"/>
        </w:rPr>
        <w:t xml:space="preserve"> that the applicant had </w:t>
      </w:r>
      <w:r>
        <w:rPr>
          <w:rFonts w:asciiTheme="minorHAnsi" w:hAnsiTheme="minorHAnsi" w:cstheme="minorHAnsi"/>
          <w:i/>
          <w:sz w:val="26"/>
          <w:szCs w:val="26"/>
        </w:rPr>
        <w:t xml:space="preserve">prima facie </w:t>
      </w:r>
      <w:r w:rsidR="0079328B">
        <w:rPr>
          <w:rFonts w:asciiTheme="minorHAnsi" w:hAnsiTheme="minorHAnsi" w:cstheme="minorHAnsi"/>
          <w:sz w:val="26"/>
          <w:szCs w:val="26"/>
        </w:rPr>
        <w:t xml:space="preserve">proven the requirements for the grant of a provisional sequestration order, </w:t>
      </w:r>
      <w:r w:rsidR="0079328B">
        <w:rPr>
          <w:rFonts w:asciiTheme="minorHAnsi" w:hAnsiTheme="minorHAnsi" w:cstheme="minorHAnsi"/>
          <w:i/>
          <w:sz w:val="26"/>
          <w:szCs w:val="26"/>
        </w:rPr>
        <w:t>inter alia,</w:t>
      </w:r>
      <w:r>
        <w:rPr>
          <w:rFonts w:asciiTheme="minorHAnsi" w:hAnsiTheme="minorHAnsi" w:cstheme="minorHAnsi"/>
          <w:sz w:val="26"/>
          <w:szCs w:val="26"/>
        </w:rPr>
        <w:t xml:space="preserve"> the indebtedness owed to it by the respondent</w:t>
      </w:r>
      <w:r w:rsidR="006E78DF">
        <w:rPr>
          <w:rFonts w:asciiTheme="minorHAnsi" w:hAnsiTheme="minorHAnsi" w:cstheme="minorHAnsi"/>
          <w:sz w:val="26"/>
          <w:szCs w:val="26"/>
        </w:rPr>
        <w:t>;</w:t>
      </w:r>
      <w:r>
        <w:rPr>
          <w:rFonts w:asciiTheme="minorHAnsi" w:hAnsiTheme="minorHAnsi" w:cstheme="minorHAnsi"/>
          <w:sz w:val="26"/>
          <w:szCs w:val="26"/>
        </w:rPr>
        <w:t xml:space="preserve"> the act of insolvency </w:t>
      </w:r>
      <w:r w:rsidR="001778EF">
        <w:rPr>
          <w:rFonts w:asciiTheme="minorHAnsi" w:hAnsiTheme="minorHAnsi" w:cstheme="minorHAnsi"/>
          <w:sz w:val="26"/>
          <w:szCs w:val="26"/>
        </w:rPr>
        <w:t>committed by the respondent</w:t>
      </w:r>
      <w:r w:rsidR="006E78DF">
        <w:rPr>
          <w:rFonts w:asciiTheme="minorHAnsi" w:hAnsiTheme="minorHAnsi" w:cstheme="minorHAnsi"/>
          <w:sz w:val="26"/>
          <w:szCs w:val="26"/>
        </w:rPr>
        <w:t>;</w:t>
      </w:r>
      <w:r w:rsidR="001778EF">
        <w:rPr>
          <w:rFonts w:asciiTheme="minorHAnsi" w:hAnsiTheme="minorHAnsi" w:cstheme="minorHAnsi"/>
          <w:sz w:val="26"/>
          <w:szCs w:val="26"/>
        </w:rPr>
        <w:t xml:space="preserve"> </w:t>
      </w:r>
      <w:r>
        <w:rPr>
          <w:rFonts w:asciiTheme="minorHAnsi" w:hAnsiTheme="minorHAnsi" w:cstheme="minorHAnsi"/>
          <w:sz w:val="26"/>
          <w:szCs w:val="26"/>
        </w:rPr>
        <w:t xml:space="preserve">and </w:t>
      </w:r>
      <w:r w:rsidR="001778EF">
        <w:rPr>
          <w:rFonts w:asciiTheme="minorHAnsi" w:hAnsiTheme="minorHAnsi" w:cstheme="minorHAnsi"/>
          <w:sz w:val="26"/>
          <w:szCs w:val="26"/>
        </w:rPr>
        <w:t>the requirement of</w:t>
      </w:r>
      <w:r>
        <w:rPr>
          <w:rFonts w:asciiTheme="minorHAnsi" w:hAnsiTheme="minorHAnsi" w:cstheme="minorHAnsi"/>
          <w:sz w:val="26"/>
          <w:szCs w:val="26"/>
        </w:rPr>
        <w:t xml:space="preserve"> advantage to creditors</w:t>
      </w:r>
      <w:r w:rsidR="006E78DF">
        <w:rPr>
          <w:rFonts w:asciiTheme="minorHAnsi" w:hAnsiTheme="minorHAnsi" w:cstheme="minorHAnsi"/>
          <w:sz w:val="26"/>
          <w:szCs w:val="26"/>
        </w:rPr>
        <w:t>,</w:t>
      </w:r>
      <w:r w:rsidR="00B30294" w:rsidRPr="001120B8">
        <w:rPr>
          <w:rFonts w:asciiTheme="minorHAnsi" w:hAnsiTheme="minorHAnsi" w:cstheme="minorHAnsi"/>
          <w:sz w:val="26"/>
          <w:szCs w:val="26"/>
        </w:rPr>
        <w:t xml:space="preserve"> </w:t>
      </w:r>
      <w:r w:rsidR="00FE0AC4">
        <w:rPr>
          <w:rFonts w:asciiTheme="minorHAnsi" w:hAnsiTheme="minorHAnsi" w:cstheme="minorHAnsi"/>
          <w:sz w:val="26"/>
          <w:szCs w:val="26"/>
        </w:rPr>
        <w:t>such as to justify</w:t>
      </w:r>
      <w:r w:rsidR="006E78DF">
        <w:rPr>
          <w:rFonts w:asciiTheme="minorHAnsi" w:hAnsiTheme="minorHAnsi" w:cstheme="minorHAnsi"/>
          <w:sz w:val="26"/>
          <w:szCs w:val="26"/>
        </w:rPr>
        <w:t xml:space="preserve"> the grant of a provisional order. A rule nisi was granted, returnable on a specified date, for </w:t>
      </w:r>
      <w:r w:rsidR="00FE0AC4">
        <w:rPr>
          <w:rFonts w:asciiTheme="minorHAnsi" w:hAnsiTheme="minorHAnsi" w:cstheme="minorHAnsi"/>
          <w:sz w:val="26"/>
          <w:szCs w:val="26"/>
        </w:rPr>
        <w:t>a</w:t>
      </w:r>
      <w:r w:rsidR="006E78DF">
        <w:rPr>
          <w:rFonts w:asciiTheme="minorHAnsi" w:hAnsiTheme="minorHAnsi" w:cstheme="minorHAnsi"/>
          <w:sz w:val="26"/>
          <w:szCs w:val="26"/>
        </w:rPr>
        <w:t xml:space="preserve"> hearing </w:t>
      </w:r>
      <w:r w:rsidR="00FE0AC4">
        <w:rPr>
          <w:rFonts w:asciiTheme="minorHAnsi" w:hAnsiTheme="minorHAnsi" w:cstheme="minorHAnsi"/>
          <w:sz w:val="26"/>
          <w:szCs w:val="26"/>
        </w:rPr>
        <w:t>to determine whether a final order should be granted.</w:t>
      </w:r>
    </w:p>
    <w:p w:rsidR="001778EF" w:rsidRDefault="001778EF" w:rsidP="001778EF">
      <w:pPr>
        <w:pStyle w:val="ListParagraph"/>
        <w:rPr>
          <w:rFonts w:asciiTheme="minorHAnsi" w:hAnsiTheme="minorHAnsi" w:cstheme="minorHAnsi"/>
          <w:sz w:val="26"/>
          <w:szCs w:val="26"/>
        </w:rPr>
      </w:pPr>
    </w:p>
    <w:p w:rsidR="004A7621" w:rsidRDefault="001778EF"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the main application, as is apparent from the judgment of Weiner J, the applicant relies on the fact that the respondent committed an act of insolvency in terms of s 8(c) of the Insolvency Act, in that he disposed of his immovable property (</w:t>
      </w:r>
      <w:r w:rsidR="006E78DF">
        <w:rPr>
          <w:rFonts w:asciiTheme="minorHAnsi" w:hAnsiTheme="minorHAnsi" w:cstheme="minorHAnsi"/>
          <w:sz w:val="26"/>
          <w:szCs w:val="26"/>
        </w:rPr>
        <w:t xml:space="preserve">referred to </w:t>
      </w:r>
      <w:r w:rsidR="0091166E">
        <w:rPr>
          <w:rFonts w:asciiTheme="minorHAnsi" w:hAnsiTheme="minorHAnsi" w:cstheme="minorHAnsi"/>
          <w:sz w:val="26"/>
          <w:szCs w:val="26"/>
        </w:rPr>
        <w:t xml:space="preserve">in the papers </w:t>
      </w:r>
      <w:r w:rsidR="006E78DF">
        <w:rPr>
          <w:rFonts w:asciiTheme="minorHAnsi" w:hAnsiTheme="minorHAnsi" w:cstheme="minorHAnsi"/>
          <w:sz w:val="26"/>
          <w:szCs w:val="26"/>
        </w:rPr>
        <w:t>as ‘</w:t>
      </w:r>
      <w:r>
        <w:rPr>
          <w:rFonts w:asciiTheme="minorHAnsi" w:hAnsiTheme="minorHAnsi" w:cstheme="minorHAnsi"/>
          <w:sz w:val="26"/>
          <w:szCs w:val="26"/>
        </w:rPr>
        <w:t>the Gallo Ma</w:t>
      </w:r>
      <w:r w:rsidR="004A7621">
        <w:rPr>
          <w:rFonts w:asciiTheme="minorHAnsi" w:hAnsiTheme="minorHAnsi" w:cstheme="minorHAnsi"/>
          <w:sz w:val="26"/>
          <w:szCs w:val="26"/>
        </w:rPr>
        <w:t>n</w:t>
      </w:r>
      <w:r>
        <w:rPr>
          <w:rFonts w:asciiTheme="minorHAnsi" w:hAnsiTheme="minorHAnsi" w:cstheme="minorHAnsi"/>
          <w:sz w:val="26"/>
          <w:szCs w:val="26"/>
        </w:rPr>
        <w:t>or property</w:t>
      </w:r>
      <w:r w:rsidR="006E78DF">
        <w:rPr>
          <w:rFonts w:asciiTheme="minorHAnsi" w:hAnsiTheme="minorHAnsi" w:cstheme="minorHAnsi"/>
          <w:sz w:val="26"/>
          <w:szCs w:val="26"/>
        </w:rPr>
        <w:t>’</w:t>
      </w:r>
      <w:r>
        <w:rPr>
          <w:rFonts w:asciiTheme="minorHAnsi" w:hAnsiTheme="minorHAnsi" w:cstheme="minorHAnsi"/>
          <w:sz w:val="26"/>
          <w:szCs w:val="26"/>
        </w:rPr>
        <w:t xml:space="preserve">) to the prejudice of his creditors, at a time when he was insolvent. The applicant </w:t>
      </w:r>
      <w:r w:rsidR="00E95AC2">
        <w:rPr>
          <w:rFonts w:asciiTheme="minorHAnsi" w:hAnsiTheme="minorHAnsi" w:cstheme="minorHAnsi"/>
          <w:sz w:val="26"/>
          <w:szCs w:val="26"/>
        </w:rPr>
        <w:t>has also alleged</w:t>
      </w:r>
      <w:r>
        <w:rPr>
          <w:rFonts w:asciiTheme="minorHAnsi" w:hAnsiTheme="minorHAnsi" w:cstheme="minorHAnsi"/>
          <w:sz w:val="26"/>
          <w:szCs w:val="26"/>
        </w:rPr>
        <w:t xml:space="preserve"> that the respondent is factually insolvent.</w:t>
      </w:r>
    </w:p>
    <w:p w:rsidR="004A7621" w:rsidRPr="004A7621" w:rsidRDefault="004A7621" w:rsidP="004A7621">
      <w:pPr>
        <w:pStyle w:val="ListParagraph"/>
        <w:rPr>
          <w:rFonts w:asciiTheme="minorHAnsi" w:hAnsiTheme="minorHAnsi" w:cstheme="minorHAnsi"/>
          <w:sz w:val="26"/>
          <w:szCs w:val="26"/>
        </w:rPr>
      </w:pPr>
    </w:p>
    <w:p w:rsidR="00F57549" w:rsidRPr="001120B8" w:rsidRDefault="004A7621"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not in dispute that the Gallo Manor property was transferred by the respondent to </w:t>
      </w:r>
      <w:r w:rsidR="00347FE5">
        <w:rPr>
          <w:rFonts w:asciiTheme="minorHAnsi" w:hAnsiTheme="minorHAnsi" w:cstheme="minorHAnsi"/>
          <w:sz w:val="26"/>
          <w:szCs w:val="26"/>
        </w:rPr>
        <w:t>his then wife (</w:t>
      </w:r>
      <w:r>
        <w:rPr>
          <w:rFonts w:asciiTheme="minorHAnsi" w:hAnsiTheme="minorHAnsi" w:cstheme="minorHAnsi"/>
          <w:sz w:val="26"/>
          <w:szCs w:val="26"/>
        </w:rPr>
        <w:t>the intervening creditor</w:t>
      </w:r>
      <w:r w:rsidR="00347FE5">
        <w:rPr>
          <w:rFonts w:asciiTheme="minorHAnsi" w:hAnsiTheme="minorHAnsi" w:cstheme="minorHAnsi"/>
          <w:sz w:val="26"/>
          <w:szCs w:val="26"/>
        </w:rPr>
        <w:t>)</w:t>
      </w:r>
      <w:r>
        <w:rPr>
          <w:rFonts w:asciiTheme="minorHAnsi" w:hAnsiTheme="minorHAnsi" w:cstheme="minorHAnsi"/>
          <w:sz w:val="26"/>
          <w:szCs w:val="26"/>
        </w:rPr>
        <w:t xml:space="preserve"> in settlement of the latter’s claim for maintenance</w:t>
      </w:r>
      <w:r w:rsidR="00A21E14">
        <w:rPr>
          <w:rFonts w:asciiTheme="minorHAnsi" w:hAnsiTheme="minorHAnsi" w:cstheme="minorHAnsi"/>
          <w:sz w:val="26"/>
          <w:szCs w:val="26"/>
        </w:rPr>
        <w:t>,</w:t>
      </w:r>
      <w:r>
        <w:rPr>
          <w:rFonts w:asciiTheme="minorHAnsi" w:hAnsiTheme="minorHAnsi" w:cstheme="minorHAnsi"/>
          <w:sz w:val="26"/>
          <w:szCs w:val="26"/>
        </w:rPr>
        <w:t xml:space="preserve"> </w:t>
      </w:r>
      <w:r w:rsidR="00A21E14">
        <w:rPr>
          <w:rFonts w:asciiTheme="minorHAnsi" w:hAnsiTheme="minorHAnsi" w:cstheme="minorHAnsi"/>
          <w:sz w:val="26"/>
          <w:szCs w:val="26"/>
        </w:rPr>
        <w:t>including</w:t>
      </w:r>
      <w:r>
        <w:rPr>
          <w:rFonts w:asciiTheme="minorHAnsi" w:hAnsiTheme="minorHAnsi" w:cstheme="minorHAnsi"/>
          <w:sz w:val="26"/>
          <w:szCs w:val="26"/>
        </w:rPr>
        <w:t xml:space="preserve"> </w:t>
      </w:r>
      <w:r w:rsidR="0091166E">
        <w:rPr>
          <w:rFonts w:asciiTheme="minorHAnsi" w:hAnsiTheme="minorHAnsi" w:cstheme="minorHAnsi"/>
          <w:sz w:val="26"/>
          <w:szCs w:val="26"/>
        </w:rPr>
        <w:t>a</w:t>
      </w:r>
      <w:r>
        <w:rPr>
          <w:rFonts w:asciiTheme="minorHAnsi" w:hAnsiTheme="minorHAnsi" w:cstheme="minorHAnsi"/>
          <w:sz w:val="26"/>
          <w:szCs w:val="26"/>
        </w:rPr>
        <w:t xml:space="preserve"> proprietary claim in terms of s7(3) of the Divorce Act</w:t>
      </w:r>
      <w:r w:rsidR="00A21E14">
        <w:rPr>
          <w:rFonts w:asciiTheme="minorHAnsi" w:hAnsiTheme="minorHAnsi" w:cstheme="minorHAnsi"/>
          <w:sz w:val="26"/>
          <w:szCs w:val="26"/>
        </w:rPr>
        <w:t>,</w:t>
      </w:r>
      <w:r>
        <w:rPr>
          <w:rFonts w:asciiTheme="minorHAnsi" w:hAnsiTheme="minorHAnsi" w:cstheme="minorHAnsi"/>
          <w:sz w:val="26"/>
          <w:szCs w:val="26"/>
        </w:rPr>
        <w:t xml:space="preserve"> </w:t>
      </w:r>
      <w:r w:rsidR="00A21E14">
        <w:rPr>
          <w:rFonts w:asciiTheme="minorHAnsi" w:hAnsiTheme="minorHAnsi" w:cstheme="minorHAnsi"/>
          <w:sz w:val="26"/>
          <w:szCs w:val="26"/>
        </w:rPr>
        <w:t>pursuant to an action for divorce</w:t>
      </w:r>
      <w:r>
        <w:rPr>
          <w:rFonts w:asciiTheme="minorHAnsi" w:hAnsiTheme="minorHAnsi" w:cstheme="minorHAnsi"/>
          <w:sz w:val="26"/>
          <w:szCs w:val="26"/>
        </w:rPr>
        <w:t xml:space="preserve"> between </w:t>
      </w:r>
      <w:r w:rsidR="00A21E14">
        <w:rPr>
          <w:rFonts w:asciiTheme="minorHAnsi" w:hAnsiTheme="minorHAnsi" w:cstheme="minorHAnsi"/>
          <w:sz w:val="26"/>
          <w:szCs w:val="26"/>
        </w:rPr>
        <w:t>the respondent and his then wife, instituted</w:t>
      </w:r>
      <w:r>
        <w:rPr>
          <w:rFonts w:asciiTheme="minorHAnsi" w:hAnsiTheme="minorHAnsi" w:cstheme="minorHAnsi"/>
          <w:sz w:val="26"/>
          <w:szCs w:val="26"/>
        </w:rPr>
        <w:t xml:space="preserve"> on 11 November 2019.</w:t>
      </w:r>
      <w:r w:rsidR="00A21E14">
        <w:rPr>
          <w:rFonts w:asciiTheme="minorHAnsi" w:hAnsiTheme="minorHAnsi" w:cstheme="minorHAnsi"/>
          <w:sz w:val="26"/>
          <w:szCs w:val="26"/>
        </w:rPr>
        <w:t xml:space="preserve"> On </w:t>
      </w:r>
      <w:r w:rsidR="00347FE5">
        <w:rPr>
          <w:rFonts w:asciiTheme="minorHAnsi" w:hAnsiTheme="minorHAnsi" w:cstheme="minorHAnsi"/>
          <w:sz w:val="26"/>
          <w:szCs w:val="26"/>
        </w:rPr>
        <w:t>22 January 2020,</w:t>
      </w:r>
      <w:r w:rsidR="00A21E14">
        <w:rPr>
          <w:rFonts w:asciiTheme="minorHAnsi" w:hAnsiTheme="minorHAnsi" w:cstheme="minorHAnsi"/>
          <w:sz w:val="26"/>
          <w:szCs w:val="26"/>
        </w:rPr>
        <w:t xml:space="preserve"> the court granted a decree of divorce incorporating the settlement agreement concluded between such parties, </w:t>
      </w:r>
      <w:r w:rsidR="00A21E14" w:rsidRPr="00A21E14">
        <w:rPr>
          <w:rFonts w:asciiTheme="minorHAnsi" w:hAnsiTheme="minorHAnsi" w:cstheme="minorHAnsi"/>
          <w:i/>
          <w:sz w:val="26"/>
          <w:szCs w:val="26"/>
        </w:rPr>
        <w:t>inter alia</w:t>
      </w:r>
      <w:r w:rsidR="00A21E14">
        <w:rPr>
          <w:rFonts w:asciiTheme="minorHAnsi" w:hAnsiTheme="minorHAnsi" w:cstheme="minorHAnsi"/>
          <w:sz w:val="26"/>
          <w:szCs w:val="26"/>
        </w:rPr>
        <w:t xml:space="preserve">, </w:t>
      </w:r>
      <w:r w:rsidR="00347FE5">
        <w:rPr>
          <w:rFonts w:asciiTheme="minorHAnsi" w:hAnsiTheme="minorHAnsi" w:cstheme="minorHAnsi"/>
          <w:sz w:val="26"/>
          <w:szCs w:val="26"/>
        </w:rPr>
        <w:t xml:space="preserve">pertaining </w:t>
      </w:r>
      <w:r w:rsidR="00A21E14">
        <w:rPr>
          <w:rFonts w:asciiTheme="minorHAnsi" w:hAnsiTheme="minorHAnsi" w:cstheme="minorHAnsi"/>
          <w:sz w:val="26"/>
          <w:szCs w:val="26"/>
        </w:rPr>
        <w:t xml:space="preserve">to such claims. </w:t>
      </w:r>
      <w:r w:rsidR="0091166E">
        <w:rPr>
          <w:rFonts w:asciiTheme="minorHAnsi" w:hAnsiTheme="minorHAnsi" w:cstheme="minorHAnsi"/>
          <w:sz w:val="26"/>
          <w:szCs w:val="26"/>
        </w:rPr>
        <w:t>Pursuant to that order, o</w:t>
      </w:r>
      <w:r w:rsidR="00A21E14">
        <w:rPr>
          <w:rFonts w:asciiTheme="minorHAnsi" w:hAnsiTheme="minorHAnsi" w:cstheme="minorHAnsi"/>
          <w:sz w:val="26"/>
          <w:szCs w:val="26"/>
        </w:rPr>
        <w:t xml:space="preserve">n 19 March 2020, transfer of the Gallo manor property was registered in the name of the </w:t>
      </w:r>
      <w:r w:rsidR="00347FE5">
        <w:rPr>
          <w:rFonts w:asciiTheme="minorHAnsi" w:hAnsiTheme="minorHAnsi" w:cstheme="minorHAnsi"/>
          <w:sz w:val="26"/>
          <w:szCs w:val="26"/>
        </w:rPr>
        <w:t xml:space="preserve">present </w:t>
      </w:r>
      <w:r w:rsidR="00A21E14">
        <w:rPr>
          <w:rFonts w:asciiTheme="minorHAnsi" w:hAnsiTheme="minorHAnsi" w:cstheme="minorHAnsi"/>
          <w:sz w:val="26"/>
          <w:szCs w:val="26"/>
        </w:rPr>
        <w:t>intervening creditor.</w:t>
      </w:r>
    </w:p>
    <w:p w:rsidR="005F1772" w:rsidRDefault="005F1772" w:rsidP="005F1772">
      <w:pPr>
        <w:pStyle w:val="ListParagraph"/>
        <w:rPr>
          <w:rFonts w:asciiTheme="minorHAnsi" w:hAnsiTheme="minorHAnsi" w:cstheme="minorHAnsi"/>
          <w:sz w:val="26"/>
          <w:szCs w:val="26"/>
        </w:rPr>
      </w:pPr>
    </w:p>
    <w:p w:rsidR="005F1772" w:rsidRDefault="00897E70"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The disposal of the Gallo Manor property </w:t>
      </w:r>
      <w:r w:rsidR="006A7CA5">
        <w:rPr>
          <w:rFonts w:asciiTheme="minorHAnsi" w:hAnsiTheme="minorHAnsi" w:cstheme="minorHAnsi"/>
          <w:sz w:val="26"/>
          <w:szCs w:val="26"/>
        </w:rPr>
        <w:t xml:space="preserve">(hereinafter referred to as ‘the property’) </w:t>
      </w:r>
      <w:r>
        <w:rPr>
          <w:rFonts w:asciiTheme="minorHAnsi" w:hAnsiTheme="minorHAnsi" w:cstheme="minorHAnsi"/>
          <w:sz w:val="26"/>
          <w:szCs w:val="26"/>
        </w:rPr>
        <w:t>is dealt with in paragraphs 22 to 27 of the judgment of Weiner J. The judgment records, in paragraph 22(g)</w:t>
      </w:r>
      <w:r w:rsidR="00347FE5">
        <w:rPr>
          <w:rFonts w:asciiTheme="minorHAnsi" w:hAnsiTheme="minorHAnsi" w:cstheme="minorHAnsi"/>
          <w:sz w:val="26"/>
          <w:szCs w:val="26"/>
        </w:rPr>
        <w:t xml:space="preserve"> thereof</w:t>
      </w:r>
      <w:r>
        <w:rPr>
          <w:rFonts w:asciiTheme="minorHAnsi" w:hAnsiTheme="minorHAnsi" w:cstheme="minorHAnsi"/>
          <w:sz w:val="26"/>
          <w:szCs w:val="26"/>
        </w:rPr>
        <w:t xml:space="preserve"> that the applicant contended that the divorce between the respondent and his wife was one of convenience, with the main purpose of disposing of an unencumbered immovable property to prevent creditors from laying claim to it. In paragraph 27 of the judgment, the learned judge concluded that the ‘disposition of the property obviously caused prejudice to the respondent’s creditors, because it resulted in the respondent’s financial position deteriorating, and rendering him insolvent. This directly affects the creditors and the applicant’s prospects of recovering the debt due to it appear minimal.’</w:t>
      </w:r>
    </w:p>
    <w:p w:rsidR="0071515D" w:rsidRPr="0071515D" w:rsidRDefault="0071515D" w:rsidP="0071515D">
      <w:pPr>
        <w:pStyle w:val="ListParagraph"/>
        <w:rPr>
          <w:rFonts w:asciiTheme="minorHAnsi" w:hAnsiTheme="minorHAnsi" w:cstheme="minorHAnsi"/>
          <w:sz w:val="26"/>
          <w:szCs w:val="26"/>
        </w:rPr>
      </w:pPr>
    </w:p>
    <w:p w:rsidR="0071515D" w:rsidRPr="0071515D" w:rsidRDefault="0071515D" w:rsidP="0071515D">
      <w:pPr>
        <w:pStyle w:val="ListParagraph"/>
        <w:numPr>
          <w:ilvl w:val="0"/>
          <w:numId w:val="3"/>
        </w:numPr>
        <w:spacing w:after="200" w:line="360" w:lineRule="auto"/>
        <w:jc w:val="both"/>
        <w:rPr>
          <w:rFonts w:asciiTheme="minorHAnsi" w:hAnsiTheme="minorHAnsi" w:cstheme="minorHAnsi"/>
          <w:sz w:val="26"/>
          <w:szCs w:val="26"/>
        </w:rPr>
      </w:pPr>
      <w:r w:rsidRPr="0071515D">
        <w:rPr>
          <w:rFonts w:asciiTheme="minorHAnsi" w:hAnsiTheme="minorHAnsi" w:cstheme="minorHAnsi"/>
          <w:sz w:val="26"/>
          <w:szCs w:val="26"/>
        </w:rPr>
        <w:t xml:space="preserve">A party seeking to intervene in proceedings can either do so in terms of rule 12 of the Uniform Rules of Court, or in terms of the common law. </w:t>
      </w:r>
      <w:r w:rsidR="00347FE5">
        <w:rPr>
          <w:rFonts w:asciiTheme="minorHAnsi" w:hAnsiTheme="minorHAnsi" w:cstheme="minorHAnsi"/>
          <w:sz w:val="26"/>
          <w:szCs w:val="26"/>
        </w:rPr>
        <w:t>The applicant referred to cases relating to Rule 12 applications that state that a</w:t>
      </w:r>
      <w:r w:rsidRPr="0071515D">
        <w:rPr>
          <w:rFonts w:asciiTheme="minorHAnsi" w:hAnsiTheme="minorHAnsi" w:cstheme="minorHAnsi"/>
          <w:sz w:val="26"/>
          <w:szCs w:val="26"/>
        </w:rPr>
        <w:t xml:space="preserve"> party seeking leave to intervene must prove that:</w:t>
      </w:r>
    </w:p>
    <w:p w:rsidR="0071515D" w:rsidRPr="0071515D" w:rsidRDefault="0071515D" w:rsidP="0071515D">
      <w:pPr>
        <w:spacing w:line="360" w:lineRule="auto"/>
        <w:ind w:left="1418" w:hanging="567"/>
        <w:rPr>
          <w:rFonts w:asciiTheme="minorHAnsi" w:hAnsiTheme="minorHAnsi" w:cstheme="minorHAnsi"/>
          <w:sz w:val="26"/>
          <w:szCs w:val="26"/>
        </w:rPr>
      </w:pPr>
      <w:r>
        <w:rPr>
          <w:rFonts w:asciiTheme="minorHAnsi" w:hAnsiTheme="minorHAnsi" w:cstheme="minorHAnsi"/>
          <w:sz w:val="26"/>
          <w:szCs w:val="26"/>
        </w:rPr>
        <w:t>(a)</w:t>
      </w:r>
      <w:r>
        <w:rPr>
          <w:rFonts w:asciiTheme="minorHAnsi" w:hAnsiTheme="minorHAnsi" w:cstheme="minorHAnsi"/>
          <w:sz w:val="26"/>
          <w:szCs w:val="26"/>
        </w:rPr>
        <w:tab/>
      </w:r>
      <w:r w:rsidRPr="0071515D">
        <w:rPr>
          <w:rFonts w:asciiTheme="minorHAnsi" w:hAnsiTheme="minorHAnsi" w:cstheme="minorHAnsi"/>
          <w:sz w:val="26"/>
          <w:szCs w:val="26"/>
        </w:rPr>
        <w:t>He or she has a direct and substantial interest in the subject-matter of the litigation which could be prejudiced by the judgment of the court; and</w:t>
      </w:r>
    </w:p>
    <w:p w:rsidR="0071515D" w:rsidRPr="0071515D" w:rsidRDefault="0071515D" w:rsidP="0071515D">
      <w:pPr>
        <w:spacing w:line="360" w:lineRule="auto"/>
        <w:ind w:left="1418" w:hanging="567"/>
        <w:rPr>
          <w:rFonts w:asciiTheme="minorHAnsi" w:hAnsiTheme="minorHAnsi" w:cstheme="minorHAnsi"/>
          <w:sz w:val="26"/>
          <w:szCs w:val="26"/>
        </w:rPr>
      </w:pPr>
      <w:r w:rsidRPr="0071515D">
        <w:rPr>
          <w:rFonts w:asciiTheme="minorHAnsi" w:hAnsiTheme="minorHAnsi" w:cstheme="minorHAnsi"/>
          <w:sz w:val="26"/>
          <w:szCs w:val="26"/>
        </w:rPr>
        <w:t>(b)</w:t>
      </w:r>
      <w:r>
        <w:rPr>
          <w:rFonts w:asciiTheme="minorHAnsi" w:hAnsiTheme="minorHAnsi" w:cstheme="minorHAnsi"/>
          <w:sz w:val="26"/>
          <w:szCs w:val="26"/>
        </w:rPr>
        <w:tab/>
      </w:r>
      <w:r w:rsidRPr="0071515D">
        <w:rPr>
          <w:rFonts w:asciiTheme="minorHAnsi" w:hAnsiTheme="minorHAnsi" w:cstheme="minorHAnsi"/>
          <w:sz w:val="26"/>
          <w:szCs w:val="26"/>
        </w:rPr>
        <w:t>the application is made seriously and is not frivolous, and that the allegations made by the applicants constitute a prima facie defence to the relief sought in the main application.</w:t>
      </w:r>
      <w:r w:rsidRPr="0071515D">
        <w:rPr>
          <w:rStyle w:val="FootnoteReference"/>
          <w:rFonts w:asciiTheme="minorHAnsi" w:hAnsiTheme="minorHAnsi" w:cstheme="minorHAnsi"/>
          <w:sz w:val="26"/>
          <w:szCs w:val="26"/>
        </w:rPr>
        <w:footnoteReference w:id="2"/>
      </w:r>
      <w:r w:rsidRPr="0071515D">
        <w:rPr>
          <w:rFonts w:asciiTheme="minorHAnsi" w:hAnsiTheme="minorHAnsi" w:cstheme="minorHAnsi"/>
          <w:sz w:val="26"/>
          <w:szCs w:val="26"/>
        </w:rPr>
        <w:t>.</w:t>
      </w:r>
    </w:p>
    <w:p w:rsidR="0071515D" w:rsidRPr="0071515D" w:rsidRDefault="0071515D" w:rsidP="0071515D">
      <w:pPr>
        <w:pStyle w:val="ListParagraph"/>
        <w:spacing w:line="360" w:lineRule="auto"/>
        <w:rPr>
          <w:rFonts w:asciiTheme="minorHAnsi" w:hAnsiTheme="minorHAnsi" w:cstheme="minorHAnsi"/>
          <w:sz w:val="26"/>
          <w:szCs w:val="26"/>
        </w:rPr>
      </w:pPr>
    </w:p>
    <w:p w:rsidR="0071515D" w:rsidRDefault="00442927" w:rsidP="0071515D">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that context, a</w:t>
      </w:r>
      <w:r w:rsidR="0071515D" w:rsidRPr="0071515D">
        <w:rPr>
          <w:rFonts w:asciiTheme="minorHAnsi" w:hAnsiTheme="minorHAnsi" w:cstheme="minorHAnsi"/>
          <w:sz w:val="26"/>
          <w:szCs w:val="26"/>
        </w:rPr>
        <w:t xml:space="preserve"> 'direct and substantial interest' means a legal interest in the subject-matter of the action which could be prejudicially affected by the </w:t>
      </w:r>
      <w:r w:rsidR="0071515D" w:rsidRPr="0071515D">
        <w:rPr>
          <w:rFonts w:asciiTheme="minorHAnsi" w:hAnsiTheme="minorHAnsi" w:cstheme="minorHAnsi"/>
          <w:sz w:val="26"/>
          <w:szCs w:val="26"/>
        </w:rPr>
        <w:lastRenderedPageBreak/>
        <w:t>judgment of the court. A mere financial interest is only an indirect interest in such litigation and is insufficient.</w:t>
      </w:r>
      <w:r w:rsidR="0071515D" w:rsidRPr="0071515D">
        <w:rPr>
          <w:rStyle w:val="FootnoteReference"/>
          <w:rFonts w:asciiTheme="minorHAnsi" w:hAnsiTheme="minorHAnsi" w:cstheme="minorHAnsi"/>
          <w:sz w:val="26"/>
          <w:szCs w:val="26"/>
        </w:rPr>
        <w:footnoteReference w:id="3"/>
      </w:r>
    </w:p>
    <w:p w:rsidR="00843562" w:rsidRDefault="00843562" w:rsidP="00843562">
      <w:pPr>
        <w:pStyle w:val="ListParagraph"/>
        <w:rPr>
          <w:rFonts w:asciiTheme="minorHAnsi" w:hAnsiTheme="minorHAnsi" w:cstheme="minorHAnsi"/>
          <w:sz w:val="26"/>
          <w:szCs w:val="26"/>
        </w:rPr>
      </w:pPr>
    </w:p>
    <w:p w:rsidR="005E1298" w:rsidRPr="00D77229" w:rsidRDefault="005E1298" w:rsidP="00843562">
      <w:pPr>
        <w:pStyle w:val="ListParagraph"/>
        <w:numPr>
          <w:ilvl w:val="0"/>
          <w:numId w:val="3"/>
        </w:numPr>
        <w:spacing w:after="200" w:line="360" w:lineRule="auto"/>
        <w:jc w:val="both"/>
        <w:rPr>
          <w:rFonts w:asciiTheme="minorHAnsi" w:hAnsiTheme="minorHAnsi" w:cstheme="minorHAnsi"/>
          <w:sz w:val="26"/>
          <w:szCs w:val="26"/>
        </w:rPr>
      </w:pPr>
      <w:r w:rsidRPr="00D77229">
        <w:rPr>
          <w:rFonts w:asciiTheme="minorHAnsi" w:hAnsiTheme="minorHAnsi" w:cstheme="minorHAnsi"/>
          <w:sz w:val="26"/>
          <w:szCs w:val="26"/>
        </w:rPr>
        <w:t>An intervening creditor may be given leave to intervene at any stage, either to oppose a sequestration or to have a rule nisi discharged.</w:t>
      </w:r>
      <w:r w:rsidRPr="00D77229">
        <w:rPr>
          <w:rStyle w:val="FootnoteReference"/>
          <w:rFonts w:asciiTheme="minorHAnsi" w:hAnsiTheme="minorHAnsi" w:cstheme="minorHAnsi"/>
          <w:sz w:val="26"/>
          <w:szCs w:val="26"/>
        </w:rPr>
        <w:footnoteReference w:id="4"/>
      </w:r>
      <w:r w:rsidR="00D77229" w:rsidRPr="00D77229">
        <w:rPr>
          <w:rFonts w:asciiTheme="minorHAnsi" w:hAnsiTheme="minorHAnsi" w:cstheme="minorHAnsi"/>
          <w:sz w:val="26"/>
          <w:szCs w:val="26"/>
        </w:rPr>
        <w:t xml:space="preserve"> A creditor may also intervene when an applicant for a sequestration order does not proceed with his application or does not succeed therein. The court takes a practical view in these matters and also bears in mind the interests of the general body of creditors.</w:t>
      </w:r>
      <w:r w:rsidR="00D77229" w:rsidRPr="00D77229">
        <w:rPr>
          <w:rStyle w:val="FootnoteReference"/>
          <w:rFonts w:asciiTheme="minorHAnsi" w:hAnsiTheme="minorHAnsi" w:cstheme="minorHAnsi"/>
          <w:sz w:val="26"/>
          <w:szCs w:val="26"/>
        </w:rPr>
        <w:footnoteReference w:id="5"/>
      </w:r>
    </w:p>
    <w:p w:rsidR="00D77229" w:rsidRPr="00D77229" w:rsidRDefault="00D77229" w:rsidP="00D77229">
      <w:pPr>
        <w:pStyle w:val="ListParagraph"/>
        <w:rPr>
          <w:rFonts w:asciiTheme="minorHAnsi" w:hAnsiTheme="minorHAnsi" w:cstheme="minorHAnsi"/>
          <w:sz w:val="26"/>
          <w:szCs w:val="26"/>
        </w:rPr>
      </w:pPr>
    </w:p>
    <w:p w:rsidR="00D77229" w:rsidRPr="00D77229" w:rsidRDefault="00D77229" w:rsidP="00843562">
      <w:pPr>
        <w:pStyle w:val="ListParagraph"/>
        <w:numPr>
          <w:ilvl w:val="0"/>
          <w:numId w:val="3"/>
        </w:numPr>
        <w:spacing w:after="200" w:line="360" w:lineRule="auto"/>
        <w:jc w:val="both"/>
        <w:rPr>
          <w:rFonts w:asciiTheme="minorHAnsi" w:hAnsiTheme="minorHAnsi" w:cstheme="minorHAnsi"/>
          <w:sz w:val="26"/>
          <w:szCs w:val="26"/>
        </w:rPr>
      </w:pPr>
      <w:r w:rsidRPr="00D77229">
        <w:rPr>
          <w:rFonts w:asciiTheme="minorHAnsi" w:hAnsiTheme="minorHAnsi" w:cstheme="minorHAnsi"/>
          <w:sz w:val="26"/>
          <w:szCs w:val="26"/>
        </w:rPr>
        <w:t>The practice in insolvencies is unique</w:t>
      </w:r>
      <w:r w:rsidR="00442927">
        <w:rPr>
          <w:rFonts w:asciiTheme="minorHAnsi" w:hAnsiTheme="minorHAnsi" w:cstheme="minorHAnsi"/>
          <w:sz w:val="26"/>
          <w:szCs w:val="26"/>
        </w:rPr>
        <w:t>, however,</w:t>
      </w:r>
      <w:r w:rsidRPr="00D77229">
        <w:rPr>
          <w:rFonts w:asciiTheme="minorHAnsi" w:hAnsiTheme="minorHAnsi" w:cstheme="minorHAnsi"/>
          <w:sz w:val="26"/>
          <w:szCs w:val="26"/>
        </w:rPr>
        <w:t xml:space="preserve"> as it is neither a pure intervention nor a substitution and is </w:t>
      </w:r>
      <w:r w:rsidRPr="00442927">
        <w:rPr>
          <w:rFonts w:asciiTheme="minorHAnsi" w:hAnsiTheme="minorHAnsi" w:cstheme="minorHAnsi"/>
          <w:i/>
          <w:sz w:val="26"/>
          <w:szCs w:val="26"/>
        </w:rPr>
        <w:t>sui generis</w:t>
      </w:r>
      <w:r w:rsidRPr="00D77229">
        <w:rPr>
          <w:rFonts w:asciiTheme="minorHAnsi" w:hAnsiTheme="minorHAnsi" w:cstheme="minorHAnsi"/>
          <w:sz w:val="26"/>
          <w:szCs w:val="26"/>
        </w:rPr>
        <w:t xml:space="preserve"> from a procedural point of view.</w:t>
      </w:r>
      <w:r w:rsidRPr="00D77229">
        <w:rPr>
          <w:rStyle w:val="FootnoteReference"/>
          <w:rFonts w:asciiTheme="minorHAnsi" w:hAnsiTheme="minorHAnsi" w:cstheme="minorHAnsi"/>
          <w:sz w:val="26"/>
          <w:szCs w:val="26"/>
        </w:rPr>
        <w:footnoteReference w:id="6"/>
      </w:r>
    </w:p>
    <w:p w:rsidR="005E1298" w:rsidRPr="005E1298" w:rsidRDefault="005E1298" w:rsidP="005E1298">
      <w:pPr>
        <w:pStyle w:val="ListParagraph"/>
        <w:rPr>
          <w:rFonts w:asciiTheme="minorHAnsi" w:hAnsiTheme="minorHAnsi" w:cstheme="minorHAnsi"/>
          <w:sz w:val="26"/>
          <w:szCs w:val="26"/>
        </w:rPr>
      </w:pPr>
    </w:p>
    <w:p w:rsidR="005F1772" w:rsidRDefault="00897E70"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One of the issues the court hearing the application for a final sequestration order</w:t>
      </w:r>
      <w:r w:rsidR="006A7CA5">
        <w:rPr>
          <w:rFonts w:asciiTheme="minorHAnsi" w:hAnsiTheme="minorHAnsi" w:cstheme="minorHAnsi"/>
          <w:sz w:val="26"/>
          <w:szCs w:val="26"/>
        </w:rPr>
        <w:t xml:space="preserve"> </w:t>
      </w:r>
      <w:r w:rsidR="0091166E">
        <w:rPr>
          <w:rFonts w:asciiTheme="minorHAnsi" w:hAnsiTheme="minorHAnsi" w:cstheme="minorHAnsi"/>
          <w:sz w:val="26"/>
          <w:szCs w:val="26"/>
        </w:rPr>
        <w:t xml:space="preserve">will be </w:t>
      </w:r>
      <w:r w:rsidR="004603FD">
        <w:rPr>
          <w:rFonts w:asciiTheme="minorHAnsi" w:hAnsiTheme="minorHAnsi" w:cstheme="minorHAnsi"/>
          <w:sz w:val="26"/>
          <w:szCs w:val="26"/>
        </w:rPr>
        <w:t>required</w:t>
      </w:r>
      <w:r w:rsidR="0091166E">
        <w:rPr>
          <w:rFonts w:asciiTheme="minorHAnsi" w:hAnsiTheme="minorHAnsi" w:cstheme="minorHAnsi"/>
          <w:sz w:val="26"/>
          <w:szCs w:val="26"/>
        </w:rPr>
        <w:t xml:space="preserve"> to consider</w:t>
      </w:r>
      <w:r>
        <w:rPr>
          <w:rFonts w:asciiTheme="minorHAnsi" w:hAnsiTheme="minorHAnsi" w:cstheme="minorHAnsi"/>
          <w:sz w:val="26"/>
          <w:szCs w:val="26"/>
        </w:rPr>
        <w:t xml:space="preserve">, is whether or not the respondent committed an act of insolvency </w:t>
      </w:r>
      <w:r w:rsidR="00E6132C">
        <w:rPr>
          <w:rFonts w:asciiTheme="minorHAnsi" w:hAnsiTheme="minorHAnsi" w:cstheme="minorHAnsi"/>
          <w:sz w:val="26"/>
          <w:szCs w:val="26"/>
        </w:rPr>
        <w:t>in terms of s 8(c)</w:t>
      </w:r>
      <w:r w:rsidR="00E6132C">
        <w:rPr>
          <w:rStyle w:val="FootnoteReference"/>
          <w:rFonts w:asciiTheme="minorHAnsi" w:hAnsiTheme="minorHAnsi" w:cstheme="minorHAnsi"/>
          <w:sz w:val="26"/>
          <w:szCs w:val="26"/>
        </w:rPr>
        <w:footnoteReference w:id="7"/>
      </w:r>
      <w:r w:rsidR="00E6132C">
        <w:rPr>
          <w:rFonts w:asciiTheme="minorHAnsi" w:hAnsiTheme="minorHAnsi" w:cstheme="minorHAnsi"/>
          <w:sz w:val="26"/>
          <w:szCs w:val="26"/>
        </w:rPr>
        <w:t xml:space="preserve"> of the Insolvency Act </w:t>
      </w:r>
      <w:r>
        <w:rPr>
          <w:rFonts w:asciiTheme="minorHAnsi" w:hAnsiTheme="minorHAnsi" w:cstheme="minorHAnsi"/>
          <w:sz w:val="26"/>
          <w:szCs w:val="26"/>
        </w:rPr>
        <w:t xml:space="preserve">when he caused the property to be transferred to the intervening party in terms of a </w:t>
      </w:r>
      <w:r w:rsidR="00E6132C">
        <w:rPr>
          <w:rFonts w:asciiTheme="minorHAnsi" w:hAnsiTheme="minorHAnsi" w:cstheme="minorHAnsi"/>
          <w:sz w:val="26"/>
          <w:szCs w:val="26"/>
        </w:rPr>
        <w:t xml:space="preserve">valid </w:t>
      </w:r>
      <w:r>
        <w:rPr>
          <w:rFonts w:asciiTheme="minorHAnsi" w:hAnsiTheme="minorHAnsi" w:cstheme="minorHAnsi"/>
          <w:sz w:val="26"/>
          <w:szCs w:val="26"/>
        </w:rPr>
        <w:t>court order.</w:t>
      </w:r>
      <w:r w:rsidR="004603FD">
        <w:rPr>
          <w:rStyle w:val="FootnoteReference"/>
          <w:rFonts w:asciiTheme="minorHAnsi" w:hAnsiTheme="minorHAnsi" w:cstheme="minorHAnsi"/>
          <w:sz w:val="26"/>
          <w:szCs w:val="26"/>
        </w:rPr>
        <w:footnoteReference w:id="8"/>
      </w:r>
      <w:r>
        <w:rPr>
          <w:rFonts w:asciiTheme="minorHAnsi" w:hAnsiTheme="minorHAnsi" w:cstheme="minorHAnsi"/>
          <w:sz w:val="26"/>
          <w:szCs w:val="26"/>
        </w:rPr>
        <w:t xml:space="preserve"> </w:t>
      </w:r>
      <w:r w:rsidR="00E6132C">
        <w:rPr>
          <w:rFonts w:asciiTheme="minorHAnsi" w:hAnsiTheme="minorHAnsi" w:cstheme="minorHAnsi"/>
          <w:sz w:val="26"/>
          <w:szCs w:val="26"/>
        </w:rPr>
        <w:t>The applicant allege</w:t>
      </w:r>
      <w:r w:rsidR="006A7CA5">
        <w:rPr>
          <w:rFonts w:asciiTheme="minorHAnsi" w:hAnsiTheme="minorHAnsi" w:cstheme="minorHAnsi"/>
          <w:sz w:val="26"/>
          <w:szCs w:val="26"/>
        </w:rPr>
        <w:t>d</w:t>
      </w:r>
      <w:r w:rsidR="00E6132C">
        <w:rPr>
          <w:rFonts w:asciiTheme="minorHAnsi" w:hAnsiTheme="minorHAnsi" w:cstheme="minorHAnsi"/>
          <w:sz w:val="26"/>
          <w:szCs w:val="26"/>
        </w:rPr>
        <w:t xml:space="preserve"> in its </w:t>
      </w:r>
      <w:r w:rsidR="006A7CA5">
        <w:rPr>
          <w:rFonts w:asciiTheme="minorHAnsi" w:hAnsiTheme="minorHAnsi" w:cstheme="minorHAnsi"/>
          <w:sz w:val="26"/>
          <w:szCs w:val="26"/>
        </w:rPr>
        <w:t xml:space="preserve">founding </w:t>
      </w:r>
      <w:r w:rsidR="00E6132C">
        <w:rPr>
          <w:rFonts w:asciiTheme="minorHAnsi" w:hAnsiTheme="minorHAnsi" w:cstheme="minorHAnsi"/>
          <w:sz w:val="26"/>
          <w:szCs w:val="26"/>
        </w:rPr>
        <w:t xml:space="preserve">papers that the </w:t>
      </w:r>
      <w:r w:rsidR="00E6132C">
        <w:rPr>
          <w:rFonts w:asciiTheme="minorHAnsi" w:hAnsiTheme="minorHAnsi" w:cstheme="minorHAnsi"/>
          <w:sz w:val="26"/>
          <w:szCs w:val="26"/>
        </w:rPr>
        <w:lastRenderedPageBreak/>
        <w:t xml:space="preserve">property was not </w:t>
      </w:r>
      <w:r w:rsidR="00E6132C" w:rsidRPr="006A7CA5">
        <w:rPr>
          <w:rFonts w:asciiTheme="minorHAnsi" w:hAnsiTheme="minorHAnsi" w:cstheme="minorHAnsi"/>
          <w:i/>
          <w:sz w:val="26"/>
          <w:szCs w:val="26"/>
        </w:rPr>
        <w:t>bona fide</w:t>
      </w:r>
      <w:r w:rsidR="00E6132C">
        <w:rPr>
          <w:rFonts w:asciiTheme="minorHAnsi" w:hAnsiTheme="minorHAnsi" w:cstheme="minorHAnsi"/>
          <w:sz w:val="26"/>
          <w:szCs w:val="26"/>
        </w:rPr>
        <w:t xml:space="preserve"> disposed of but that it was the result of collusive dealings by the respondent and the intervening creditor (his </w:t>
      </w:r>
      <w:r w:rsidR="006A7CA5">
        <w:rPr>
          <w:rFonts w:asciiTheme="minorHAnsi" w:hAnsiTheme="minorHAnsi" w:cstheme="minorHAnsi"/>
          <w:sz w:val="26"/>
          <w:szCs w:val="26"/>
        </w:rPr>
        <w:t xml:space="preserve">then </w:t>
      </w:r>
      <w:r w:rsidR="00E6132C">
        <w:rPr>
          <w:rFonts w:asciiTheme="minorHAnsi" w:hAnsiTheme="minorHAnsi" w:cstheme="minorHAnsi"/>
          <w:sz w:val="26"/>
          <w:szCs w:val="26"/>
        </w:rPr>
        <w:t>wife) to prejudice the applicant in pursuing its claim; that the purpose of the divorce was to commit a voidable disposition</w:t>
      </w:r>
      <w:r w:rsidR="0079328B">
        <w:rPr>
          <w:rStyle w:val="FootnoteReference"/>
          <w:rFonts w:asciiTheme="minorHAnsi" w:hAnsiTheme="minorHAnsi" w:cstheme="minorHAnsi"/>
          <w:sz w:val="26"/>
          <w:szCs w:val="26"/>
        </w:rPr>
        <w:footnoteReference w:id="9"/>
      </w:r>
      <w:r w:rsidR="00E6132C">
        <w:rPr>
          <w:rFonts w:asciiTheme="minorHAnsi" w:hAnsiTheme="minorHAnsi" w:cstheme="minorHAnsi"/>
          <w:sz w:val="26"/>
          <w:szCs w:val="26"/>
        </w:rPr>
        <w:t xml:space="preserve"> of the i</w:t>
      </w:r>
      <w:r w:rsidR="007D75F9">
        <w:rPr>
          <w:rFonts w:asciiTheme="minorHAnsi" w:hAnsiTheme="minorHAnsi" w:cstheme="minorHAnsi"/>
          <w:sz w:val="26"/>
          <w:szCs w:val="26"/>
        </w:rPr>
        <w:t xml:space="preserve">mmovable property to the </w:t>
      </w:r>
      <w:r w:rsidR="00E6132C">
        <w:rPr>
          <w:rFonts w:asciiTheme="minorHAnsi" w:hAnsiTheme="minorHAnsi" w:cstheme="minorHAnsi"/>
          <w:sz w:val="26"/>
          <w:szCs w:val="26"/>
        </w:rPr>
        <w:t xml:space="preserve">prejudice of the applicant and other creditors; that the divorce between the respondent and the intervening creditor was one of convenience with the main purpose of disposing of an </w:t>
      </w:r>
      <w:r w:rsidR="007D75F9">
        <w:rPr>
          <w:rFonts w:asciiTheme="minorHAnsi" w:hAnsiTheme="minorHAnsi" w:cstheme="minorHAnsi"/>
          <w:sz w:val="26"/>
          <w:szCs w:val="26"/>
        </w:rPr>
        <w:t>unencumbered immovable property to prevent creditors from laying claim to it; and that the advantage to creditors in sequestrating the respondent’s estate lies</w:t>
      </w:r>
      <w:r w:rsidR="00E6132C">
        <w:rPr>
          <w:rFonts w:asciiTheme="minorHAnsi" w:hAnsiTheme="minorHAnsi" w:cstheme="minorHAnsi"/>
          <w:sz w:val="26"/>
          <w:szCs w:val="26"/>
        </w:rPr>
        <w:t xml:space="preserve"> </w:t>
      </w:r>
      <w:r w:rsidR="007D75F9">
        <w:rPr>
          <w:rFonts w:asciiTheme="minorHAnsi" w:hAnsiTheme="minorHAnsi" w:cstheme="minorHAnsi"/>
          <w:sz w:val="26"/>
          <w:szCs w:val="26"/>
        </w:rPr>
        <w:t>in the fact that it will enable the appointed trustee to recover disposed of assets to the benefit of creditors</w:t>
      </w:r>
      <w:r w:rsidR="006A7CA5">
        <w:rPr>
          <w:rFonts w:asciiTheme="minorHAnsi" w:hAnsiTheme="minorHAnsi" w:cstheme="minorHAnsi"/>
          <w:sz w:val="26"/>
          <w:szCs w:val="26"/>
        </w:rPr>
        <w:t>, including</w:t>
      </w:r>
      <w:r w:rsidR="007D75F9">
        <w:rPr>
          <w:rFonts w:asciiTheme="minorHAnsi" w:hAnsiTheme="minorHAnsi" w:cstheme="minorHAnsi"/>
          <w:sz w:val="26"/>
          <w:szCs w:val="26"/>
        </w:rPr>
        <w:t xml:space="preserve"> that the appointed trustee would have greater flexibility in disposing of assets which may be found and/or recovered at the best value obtainable.</w:t>
      </w:r>
    </w:p>
    <w:p w:rsidR="005F1772" w:rsidRDefault="005F1772" w:rsidP="005F1772">
      <w:pPr>
        <w:pStyle w:val="ListParagraph"/>
        <w:rPr>
          <w:rFonts w:asciiTheme="minorHAnsi" w:hAnsiTheme="minorHAnsi" w:cstheme="minorHAnsi"/>
          <w:sz w:val="26"/>
          <w:szCs w:val="26"/>
        </w:rPr>
      </w:pPr>
    </w:p>
    <w:p w:rsidR="005F1772" w:rsidRPr="001D3B95" w:rsidRDefault="007D75F9"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intervening </w:t>
      </w:r>
      <w:r w:rsidR="00A36CF0">
        <w:rPr>
          <w:rFonts w:asciiTheme="minorHAnsi" w:hAnsiTheme="minorHAnsi" w:cstheme="minorHAnsi"/>
          <w:sz w:val="26"/>
          <w:szCs w:val="26"/>
        </w:rPr>
        <w:t>party</w:t>
      </w:r>
      <w:r>
        <w:rPr>
          <w:rFonts w:asciiTheme="minorHAnsi" w:hAnsiTheme="minorHAnsi" w:cstheme="minorHAnsi"/>
          <w:sz w:val="26"/>
          <w:szCs w:val="26"/>
        </w:rPr>
        <w:t xml:space="preserve"> </w:t>
      </w:r>
      <w:r w:rsidR="00763673">
        <w:rPr>
          <w:rFonts w:asciiTheme="minorHAnsi" w:hAnsiTheme="minorHAnsi" w:cstheme="minorHAnsi"/>
          <w:sz w:val="26"/>
          <w:szCs w:val="26"/>
        </w:rPr>
        <w:t>s</w:t>
      </w:r>
      <w:r>
        <w:rPr>
          <w:rFonts w:asciiTheme="minorHAnsi" w:hAnsiTheme="minorHAnsi" w:cstheme="minorHAnsi"/>
          <w:sz w:val="26"/>
          <w:szCs w:val="26"/>
        </w:rPr>
        <w:t xml:space="preserve">eeks to protect her </w:t>
      </w:r>
      <w:r w:rsidR="00AE39FC">
        <w:rPr>
          <w:rFonts w:asciiTheme="minorHAnsi" w:hAnsiTheme="minorHAnsi" w:cstheme="minorHAnsi"/>
          <w:sz w:val="26"/>
          <w:szCs w:val="26"/>
        </w:rPr>
        <w:t xml:space="preserve">interest </w:t>
      </w:r>
      <w:r>
        <w:rPr>
          <w:rFonts w:asciiTheme="minorHAnsi" w:hAnsiTheme="minorHAnsi" w:cstheme="minorHAnsi"/>
          <w:sz w:val="26"/>
          <w:szCs w:val="26"/>
        </w:rPr>
        <w:t xml:space="preserve">in the property and to rebut </w:t>
      </w:r>
      <w:r w:rsidR="00AE39FC">
        <w:rPr>
          <w:rFonts w:asciiTheme="minorHAnsi" w:hAnsiTheme="minorHAnsi" w:cstheme="minorHAnsi"/>
          <w:sz w:val="26"/>
          <w:szCs w:val="26"/>
        </w:rPr>
        <w:t xml:space="preserve">obviously prejudicial </w:t>
      </w:r>
      <w:r>
        <w:rPr>
          <w:rFonts w:asciiTheme="minorHAnsi" w:hAnsiTheme="minorHAnsi" w:cstheme="minorHAnsi"/>
          <w:sz w:val="26"/>
          <w:szCs w:val="26"/>
        </w:rPr>
        <w:t xml:space="preserve">allegations </w:t>
      </w:r>
      <w:r w:rsidR="00AE39FC">
        <w:rPr>
          <w:rFonts w:asciiTheme="minorHAnsi" w:hAnsiTheme="minorHAnsi" w:cstheme="minorHAnsi"/>
          <w:sz w:val="26"/>
          <w:szCs w:val="26"/>
        </w:rPr>
        <w:t>pertaining to</w:t>
      </w:r>
      <w:r>
        <w:rPr>
          <w:rFonts w:asciiTheme="minorHAnsi" w:hAnsiTheme="minorHAnsi" w:cstheme="minorHAnsi"/>
          <w:sz w:val="26"/>
          <w:szCs w:val="26"/>
        </w:rPr>
        <w:t xml:space="preserve"> </w:t>
      </w:r>
      <w:r w:rsidR="004603FD">
        <w:rPr>
          <w:rFonts w:asciiTheme="minorHAnsi" w:hAnsiTheme="minorHAnsi" w:cstheme="minorHAnsi"/>
          <w:sz w:val="26"/>
          <w:szCs w:val="26"/>
        </w:rPr>
        <w:t xml:space="preserve">the </w:t>
      </w:r>
      <w:r w:rsidR="000B32ED">
        <w:rPr>
          <w:rFonts w:asciiTheme="minorHAnsi" w:hAnsiTheme="minorHAnsi" w:cstheme="minorHAnsi"/>
          <w:sz w:val="26"/>
          <w:szCs w:val="26"/>
        </w:rPr>
        <w:t xml:space="preserve">alleged </w:t>
      </w:r>
      <w:r>
        <w:rPr>
          <w:rFonts w:asciiTheme="minorHAnsi" w:hAnsiTheme="minorHAnsi" w:cstheme="minorHAnsi"/>
          <w:sz w:val="26"/>
          <w:szCs w:val="26"/>
        </w:rPr>
        <w:t xml:space="preserve">collusion between herself and the respondent in </w:t>
      </w:r>
      <w:r w:rsidR="00AE39FC">
        <w:rPr>
          <w:rFonts w:asciiTheme="minorHAnsi" w:hAnsiTheme="minorHAnsi" w:cstheme="minorHAnsi"/>
          <w:sz w:val="26"/>
          <w:szCs w:val="26"/>
        </w:rPr>
        <w:t>‘</w:t>
      </w:r>
      <w:r>
        <w:rPr>
          <w:rFonts w:asciiTheme="minorHAnsi" w:hAnsiTheme="minorHAnsi" w:cstheme="minorHAnsi"/>
          <w:sz w:val="26"/>
          <w:szCs w:val="26"/>
        </w:rPr>
        <w:t>orchestrating a divorce of convenience</w:t>
      </w:r>
      <w:r w:rsidR="00AE39FC">
        <w:rPr>
          <w:rFonts w:asciiTheme="minorHAnsi" w:hAnsiTheme="minorHAnsi" w:cstheme="minorHAnsi"/>
          <w:sz w:val="26"/>
          <w:szCs w:val="26"/>
        </w:rPr>
        <w:t>’</w:t>
      </w:r>
      <w:r>
        <w:rPr>
          <w:rFonts w:asciiTheme="minorHAnsi" w:hAnsiTheme="minorHAnsi" w:cstheme="minorHAnsi"/>
          <w:sz w:val="26"/>
          <w:szCs w:val="26"/>
        </w:rPr>
        <w:t xml:space="preserve">, with the </w:t>
      </w:r>
      <w:r w:rsidR="006A7CA5">
        <w:rPr>
          <w:rFonts w:asciiTheme="minorHAnsi" w:hAnsiTheme="minorHAnsi" w:cstheme="minorHAnsi"/>
          <w:sz w:val="26"/>
          <w:szCs w:val="26"/>
        </w:rPr>
        <w:t xml:space="preserve">alleged </w:t>
      </w:r>
      <w:r>
        <w:rPr>
          <w:rFonts w:asciiTheme="minorHAnsi" w:hAnsiTheme="minorHAnsi" w:cstheme="minorHAnsi"/>
          <w:sz w:val="26"/>
          <w:szCs w:val="26"/>
        </w:rPr>
        <w:t xml:space="preserve">main purpose of disposing of the property to prevent the </w:t>
      </w:r>
      <w:r w:rsidR="00AE39FC">
        <w:rPr>
          <w:rFonts w:asciiTheme="minorHAnsi" w:hAnsiTheme="minorHAnsi" w:cstheme="minorHAnsi"/>
          <w:sz w:val="26"/>
          <w:szCs w:val="26"/>
        </w:rPr>
        <w:t xml:space="preserve">respondent’s </w:t>
      </w:r>
      <w:r>
        <w:rPr>
          <w:rFonts w:asciiTheme="minorHAnsi" w:hAnsiTheme="minorHAnsi" w:cstheme="minorHAnsi"/>
          <w:sz w:val="26"/>
          <w:szCs w:val="26"/>
        </w:rPr>
        <w:t>creditors from laying claim to it</w:t>
      </w:r>
      <w:r w:rsidR="004603FD">
        <w:rPr>
          <w:rFonts w:asciiTheme="minorHAnsi" w:hAnsiTheme="minorHAnsi" w:cstheme="minorHAnsi"/>
          <w:sz w:val="26"/>
          <w:szCs w:val="26"/>
        </w:rPr>
        <w:t xml:space="preserve">, </w:t>
      </w:r>
      <w:r w:rsidR="00174BBA">
        <w:rPr>
          <w:rFonts w:asciiTheme="minorHAnsi" w:hAnsiTheme="minorHAnsi" w:cstheme="minorHAnsi"/>
          <w:sz w:val="26"/>
          <w:szCs w:val="26"/>
        </w:rPr>
        <w:t xml:space="preserve">or with the </w:t>
      </w:r>
      <w:r w:rsidR="004603FD">
        <w:rPr>
          <w:rFonts w:asciiTheme="minorHAnsi" w:hAnsiTheme="minorHAnsi" w:cstheme="minorHAnsi"/>
          <w:sz w:val="26"/>
          <w:szCs w:val="26"/>
        </w:rPr>
        <w:t xml:space="preserve">purpose of </w:t>
      </w:r>
      <w:r w:rsidR="00174BBA">
        <w:rPr>
          <w:rFonts w:asciiTheme="minorHAnsi" w:hAnsiTheme="minorHAnsi" w:cstheme="minorHAnsi"/>
          <w:sz w:val="26"/>
          <w:szCs w:val="26"/>
        </w:rPr>
        <w:t>committing</w:t>
      </w:r>
      <w:r>
        <w:rPr>
          <w:rFonts w:asciiTheme="minorHAnsi" w:hAnsiTheme="minorHAnsi" w:cstheme="minorHAnsi"/>
          <w:sz w:val="26"/>
          <w:szCs w:val="26"/>
        </w:rPr>
        <w:t xml:space="preserve"> a voidable disposition</w:t>
      </w:r>
      <w:r w:rsidR="00763673">
        <w:rPr>
          <w:rFonts w:asciiTheme="minorHAnsi" w:hAnsiTheme="minorHAnsi" w:cstheme="minorHAnsi"/>
          <w:sz w:val="26"/>
          <w:szCs w:val="26"/>
        </w:rPr>
        <w:t xml:space="preserve"> of the property to the prejudice of the applicant and any other creditors.</w:t>
      </w:r>
    </w:p>
    <w:p w:rsidR="005F1772" w:rsidRPr="001D3B95" w:rsidRDefault="005F1772" w:rsidP="005F1772">
      <w:pPr>
        <w:pStyle w:val="ListParagraph"/>
        <w:rPr>
          <w:rFonts w:asciiTheme="minorHAnsi" w:hAnsiTheme="minorHAnsi" w:cstheme="minorHAnsi"/>
          <w:sz w:val="26"/>
          <w:szCs w:val="26"/>
        </w:rPr>
      </w:pPr>
    </w:p>
    <w:p w:rsidR="005E1298" w:rsidRPr="005E1298" w:rsidRDefault="00AE39FC" w:rsidP="005F1772">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0B32ED">
        <w:rPr>
          <w:rFonts w:asciiTheme="minorHAnsi" w:hAnsiTheme="minorHAnsi" w:cstheme="minorHAnsi"/>
          <w:color w:val="242121"/>
          <w:sz w:val="26"/>
          <w:szCs w:val="26"/>
          <w:shd w:val="clear" w:color="auto" w:fill="FFFFFF"/>
        </w:rPr>
        <w:t xml:space="preserve">The </w:t>
      </w:r>
      <w:r w:rsidR="00682C01">
        <w:rPr>
          <w:rFonts w:asciiTheme="minorHAnsi" w:hAnsiTheme="minorHAnsi" w:cstheme="minorHAnsi"/>
          <w:color w:val="242121"/>
          <w:sz w:val="26"/>
          <w:szCs w:val="26"/>
          <w:shd w:val="clear" w:color="auto" w:fill="FFFFFF"/>
        </w:rPr>
        <w:t>papers</w:t>
      </w:r>
      <w:r w:rsidR="000B32ED">
        <w:rPr>
          <w:rFonts w:asciiTheme="minorHAnsi" w:hAnsiTheme="minorHAnsi" w:cstheme="minorHAnsi"/>
          <w:color w:val="242121"/>
          <w:sz w:val="26"/>
          <w:szCs w:val="26"/>
          <w:shd w:val="clear" w:color="auto" w:fill="FFFFFF"/>
        </w:rPr>
        <w:t xml:space="preserve"> reveal that the </w:t>
      </w:r>
      <w:r w:rsidRPr="000B32ED">
        <w:rPr>
          <w:rFonts w:asciiTheme="minorHAnsi" w:hAnsiTheme="minorHAnsi" w:cstheme="minorHAnsi"/>
          <w:color w:val="242121"/>
          <w:sz w:val="26"/>
          <w:szCs w:val="26"/>
          <w:shd w:val="clear" w:color="auto" w:fill="FFFFFF"/>
        </w:rPr>
        <w:t xml:space="preserve">intervening party </w:t>
      </w:r>
      <w:r w:rsidR="00682C01">
        <w:rPr>
          <w:rFonts w:asciiTheme="minorHAnsi" w:hAnsiTheme="minorHAnsi" w:cstheme="minorHAnsi"/>
          <w:color w:val="242121"/>
          <w:sz w:val="26"/>
          <w:szCs w:val="26"/>
          <w:shd w:val="clear" w:color="auto" w:fill="FFFFFF"/>
        </w:rPr>
        <w:t xml:space="preserve">is and will </w:t>
      </w:r>
      <w:r w:rsidRPr="000B32ED">
        <w:rPr>
          <w:rFonts w:asciiTheme="minorHAnsi" w:hAnsiTheme="minorHAnsi" w:cstheme="minorHAnsi"/>
          <w:color w:val="242121"/>
          <w:sz w:val="26"/>
          <w:szCs w:val="26"/>
          <w:shd w:val="clear" w:color="auto" w:fill="FFFFFF"/>
        </w:rPr>
        <w:t xml:space="preserve">remain a creditor in the estate of the respondent vis-a vis her ongoing claim for maintenance, not only in so far as the </w:t>
      </w:r>
      <w:r w:rsidR="00591096">
        <w:rPr>
          <w:rFonts w:asciiTheme="minorHAnsi" w:hAnsiTheme="minorHAnsi" w:cstheme="minorHAnsi"/>
          <w:color w:val="242121"/>
          <w:sz w:val="26"/>
          <w:szCs w:val="26"/>
          <w:shd w:val="clear" w:color="auto" w:fill="FFFFFF"/>
        </w:rPr>
        <w:t xml:space="preserve">respondent’s obligation for payment of the </w:t>
      </w:r>
      <w:r w:rsidR="006A7CA5" w:rsidRPr="000B32ED">
        <w:rPr>
          <w:rFonts w:asciiTheme="minorHAnsi" w:hAnsiTheme="minorHAnsi" w:cstheme="minorHAnsi"/>
          <w:color w:val="242121"/>
          <w:sz w:val="26"/>
          <w:szCs w:val="26"/>
          <w:shd w:val="clear" w:color="auto" w:fill="FFFFFF"/>
        </w:rPr>
        <w:t xml:space="preserve">monthly </w:t>
      </w:r>
      <w:r w:rsidRPr="000B32ED">
        <w:rPr>
          <w:rFonts w:asciiTheme="minorHAnsi" w:hAnsiTheme="minorHAnsi" w:cstheme="minorHAnsi"/>
          <w:color w:val="242121"/>
          <w:sz w:val="26"/>
          <w:szCs w:val="26"/>
          <w:shd w:val="clear" w:color="auto" w:fill="FFFFFF"/>
        </w:rPr>
        <w:lastRenderedPageBreak/>
        <w:t xml:space="preserve">monetary </w:t>
      </w:r>
      <w:r w:rsidR="00591096">
        <w:rPr>
          <w:rFonts w:asciiTheme="minorHAnsi" w:hAnsiTheme="minorHAnsi" w:cstheme="minorHAnsi"/>
          <w:color w:val="242121"/>
          <w:sz w:val="26"/>
          <w:szCs w:val="26"/>
          <w:shd w:val="clear" w:color="auto" w:fill="FFFFFF"/>
        </w:rPr>
        <w:t>component</w:t>
      </w:r>
      <w:r w:rsidR="006A7CA5" w:rsidRPr="000B32ED">
        <w:rPr>
          <w:rFonts w:asciiTheme="minorHAnsi" w:hAnsiTheme="minorHAnsi" w:cstheme="minorHAnsi"/>
          <w:color w:val="242121"/>
          <w:sz w:val="26"/>
          <w:szCs w:val="26"/>
          <w:shd w:val="clear" w:color="auto" w:fill="FFFFFF"/>
        </w:rPr>
        <w:t xml:space="preserve"> of R10</w:t>
      </w:r>
      <w:r w:rsidR="002D64B6">
        <w:rPr>
          <w:rFonts w:asciiTheme="minorHAnsi" w:hAnsiTheme="minorHAnsi" w:cstheme="minorHAnsi"/>
          <w:color w:val="242121"/>
          <w:sz w:val="26"/>
          <w:szCs w:val="26"/>
          <w:shd w:val="clear" w:color="auto" w:fill="FFFFFF"/>
        </w:rPr>
        <w:t>,</w:t>
      </w:r>
      <w:r w:rsidR="006A7CA5" w:rsidRPr="000B32ED">
        <w:rPr>
          <w:rFonts w:asciiTheme="minorHAnsi" w:hAnsiTheme="minorHAnsi" w:cstheme="minorHAnsi"/>
          <w:color w:val="242121"/>
          <w:sz w:val="26"/>
          <w:szCs w:val="26"/>
          <w:shd w:val="clear" w:color="auto" w:fill="FFFFFF"/>
        </w:rPr>
        <w:t>000.00</w:t>
      </w:r>
      <w:r w:rsidRPr="000B32ED">
        <w:rPr>
          <w:rFonts w:asciiTheme="minorHAnsi" w:hAnsiTheme="minorHAnsi" w:cstheme="minorHAnsi"/>
          <w:color w:val="242121"/>
          <w:sz w:val="26"/>
          <w:szCs w:val="26"/>
          <w:shd w:val="clear" w:color="auto" w:fill="FFFFFF"/>
        </w:rPr>
        <w:t xml:space="preserve"> is concerned, but also in relation to the </w:t>
      </w:r>
      <w:r w:rsidR="00255D5C" w:rsidRPr="000B32ED">
        <w:rPr>
          <w:rFonts w:asciiTheme="minorHAnsi" w:hAnsiTheme="minorHAnsi" w:cstheme="minorHAnsi"/>
          <w:color w:val="242121"/>
          <w:sz w:val="26"/>
          <w:szCs w:val="26"/>
          <w:shd w:val="clear" w:color="auto" w:fill="FFFFFF"/>
        </w:rPr>
        <w:t xml:space="preserve">monetary </w:t>
      </w:r>
      <w:r w:rsidRPr="000B32ED">
        <w:rPr>
          <w:rFonts w:asciiTheme="minorHAnsi" w:hAnsiTheme="minorHAnsi" w:cstheme="minorHAnsi"/>
          <w:color w:val="242121"/>
          <w:sz w:val="26"/>
          <w:szCs w:val="26"/>
          <w:shd w:val="clear" w:color="auto" w:fill="FFFFFF"/>
        </w:rPr>
        <w:t xml:space="preserve">shortfall that </w:t>
      </w:r>
      <w:r w:rsidR="00594753" w:rsidRPr="000B32ED">
        <w:rPr>
          <w:rFonts w:asciiTheme="minorHAnsi" w:hAnsiTheme="minorHAnsi" w:cstheme="minorHAnsi"/>
          <w:color w:val="242121"/>
          <w:sz w:val="26"/>
          <w:szCs w:val="26"/>
          <w:shd w:val="clear" w:color="auto" w:fill="FFFFFF"/>
        </w:rPr>
        <w:t xml:space="preserve">could not be met by the respondent </w:t>
      </w:r>
      <w:r w:rsidR="006A7CA5" w:rsidRPr="000B32ED">
        <w:rPr>
          <w:rFonts w:asciiTheme="minorHAnsi" w:hAnsiTheme="minorHAnsi" w:cstheme="minorHAnsi"/>
          <w:color w:val="242121"/>
          <w:sz w:val="26"/>
          <w:szCs w:val="26"/>
          <w:shd w:val="clear" w:color="auto" w:fill="FFFFFF"/>
        </w:rPr>
        <w:t>at the time</w:t>
      </w:r>
      <w:r w:rsidR="000B32ED" w:rsidRPr="000B32ED">
        <w:rPr>
          <w:rFonts w:asciiTheme="minorHAnsi" w:hAnsiTheme="minorHAnsi" w:cstheme="minorHAnsi"/>
          <w:color w:val="242121"/>
          <w:sz w:val="26"/>
          <w:szCs w:val="26"/>
          <w:shd w:val="clear" w:color="auto" w:fill="FFFFFF"/>
        </w:rPr>
        <w:t>,</w:t>
      </w:r>
      <w:r w:rsidR="006A7CA5">
        <w:rPr>
          <w:rStyle w:val="FootnoteReference"/>
          <w:rFonts w:asciiTheme="minorHAnsi" w:hAnsiTheme="minorHAnsi" w:cstheme="minorHAnsi"/>
          <w:color w:val="242121"/>
          <w:sz w:val="26"/>
          <w:szCs w:val="26"/>
          <w:shd w:val="clear" w:color="auto" w:fill="FFFFFF"/>
        </w:rPr>
        <w:footnoteReference w:id="10"/>
      </w:r>
      <w:r w:rsidR="006A7CA5" w:rsidRPr="000B32ED">
        <w:rPr>
          <w:rFonts w:asciiTheme="minorHAnsi" w:hAnsiTheme="minorHAnsi" w:cstheme="minorHAnsi"/>
          <w:color w:val="242121"/>
          <w:sz w:val="26"/>
          <w:szCs w:val="26"/>
          <w:shd w:val="clear" w:color="auto" w:fill="FFFFFF"/>
        </w:rPr>
        <w:t xml:space="preserve"> </w:t>
      </w:r>
      <w:r w:rsidR="000B32ED" w:rsidRPr="000B32ED">
        <w:rPr>
          <w:rFonts w:asciiTheme="minorHAnsi" w:hAnsiTheme="minorHAnsi" w:cstheme="minorHAnsi"/>
          <w:color w:val="242121"/>
          <w:sz w:val="26"/>
          <w:szCs w:val="26"/>
          <w:shd w:val="clear" w:color="auto" w:fill="FFFFFF"/>
        </w:rPr>
        <w:t xml:space="preserve">the value of </w:t>
      </w:r>
      <w:r w:rsidR="00594753" w:rsidRPr="000B32ED">
        <w:rPr>
          <w:rFonts w:asciiTheme="minorHAnsi" w:hAnsiTheme="minorHAnsi" w:cstheme="minorHAnsi"/>
          <w:color w:val="242121"/>
          <w:sz w:val="26"/>
          <w:szCs w:val="26"/>
          <w:shd w:val="clear" w:color="auto" w:fill="FFFFFF"/>
        </w:rPr>
        <w:t>which</w:t>
      </w:r>
      <w:r w:rsidR="000B32ED" w:rsidRPr="000B32ED">
        <w:rPr>
          <w:rFonts w:asciiTheme="minorHAnsi" w:hAnsiTheme="minorHAnsi" w:cstheme="minorHAnsi"/>
          <w:color w:val="242121"/>
          <w:sz w:val="26"/>
          <w:szCs w:val="26"/>
          <w:shd w:val="clear" w:color="auto" w:fill="FFFFFF"/>
        </w:rPr>
        <w:t xml:space="preserve"> - computed over the lifetime of the claimant, -</w:t>
      </w:r>
      <w:r w:rsidR="00594753" w:rsidRPr="000B32ED">
        <w:rPr>
          <w:rFonts w:asciiTheme="minorHAnsi" w:hAnsiTheme="minorHAnsi" w:cstheme="minorHAnsi"/>
          <w:color w:val="242121"/>
          <w:sz w:val="26"/>
          <w:szCs w:val="26"/>
          <w:shd w:val="clear" w:color="auto" w:fill="FFFFFF"/>
        </w:rPr>
        <w:t xml:space="preserve"> </w:t>
      </w:r>
      <w:r w:rsidRPr="000B32ED">
        <w:rPr>
          <w:rFonts w:asciiTheme="minorHAnsi" w:hAnsiTheme="minorHAnsi" w:cstheme="minorHAnsi"/>
          <w:color w:val="242121"/>
          <w:sz w:val="26"/>
          <w:szCs w:val="26"/>
          <w:shd w:val="clear" w:color="auto" w:fill="FFFFFF"/>
        </w:rPr>
        <w:t xml:space="preserve">was </w:t>
      </w:r>
      <w:r w:rsidR="000B32ED" w:rsidRPr="000B32ED">
        <w:rPr>
          <w:rFonts w:asciiTheme="minorHAnsi" w:hAnsiTheme="minorHAnsi" w:cstheme="minorHAnsi"/>
          <w:color w:val="242121"/>
          <w:sz w:val="26"/>
          <w:szCs w:val="26"/>
          <w:shd w:val="clear" w:color="auto" w:fill="FFFFFF"/>
        </w:rPr>
        <w:t>covered, together with the accrual/redistribution claim, by</w:t>
      </w:r>
      <w:r w:rsidRPr="000B32ED">
        <w:rPr>
          <w:rFonts w:asciiTheme="minorHAnsi" w:hAnsiTheme="minorHAnsi" w:cstheme="minorHAnsi"/>
          <w:color w:val="242121"/>
          <w:sz w:val="26"/>
          <w:szCs w:val="26"/>
          <w:shd w:val="clear" w:color="auto" w:fill="FFFFFF"/>
        </w:rPr>
        <w:t xml:space="preserve"> the value of the property that was transferred to her</w:t>
      </w:r>
      <w:r w:rsidR="00594753" w:rsidRPr="000B32ED">
        <w:rPr>
          <w:rFonts w:asciiTheme="minorHAnsi" w:hAnsiTheme="minorHAnsi" w:cstheme="minorHAnsi"/>
          <w:color w:val="242121"/>
          <w:sz w:val="26"/>
          <w:szCs w:val="26"/>
          <w:shd w:val="clear" w:color="auto" w:fill="FFFFFF"/>
        </w:rPr>
        <w:t xml:space="preserve"> </w:t>
      </w:r>
      <w:r w:rsidR="00591096">
        <w:rPr>
          <w:rFonts w:asciiTheme="minorHAnsi" w:hAnsiTheme="minorHAnsi" w:cstheme="minorHAnsi"/>
          <w:color w:val="242121"/>
          <w:sz w:val="26"/>
          <w:szCs w:val="26"/>
          <w:shd w:val="clear" w:color="auto" w:fill="FFFFFF"/>
        </w:rPr>
        <w:t xml:space="preserve">pursuant to </w:t>
      </w:r>
      <w:r w:rsidR="00594753" w:rsidRPr="000B32ED">
        <w:rPr>
          <w:rFonts w:asciiTheme="minorHAnsi" w:hAnsiTheme="minorHAnsi" w:cstheme="minorHAnsi"/>
          <w:color w:val="242121"/>
          <w:sz w:val="26"/>
          <w:szCs w:val="26"/>
          <w:shd w:val="clear" w:color="auto" w:fill="FFFFFF"/>
        </w:rPr>
        <w:t>the divorce</w:t>
      </w:r>
      <w:r w:rsidR="00A36CF0">
        <w:rPr>
          <w:rFonts w:asciiTheme="minorHAnsi" w:hAnsiTheme="minorHAnsi" w:cstheme="minorHAnsi"/>
          <w:color w:val="242121"/>
          <w:sz w:val="26"/>
          <w:szCs w:val="26"/>
          <w:shd w:val="clear" w:color="auto" w:fill="FFFFFF"/>
        </w:rPr>
        <w:t>, i.e.,</w:t>
      </w:r>
      <w:r w:rsidR="00E80291">
        <w:rPr>
          <w:rFonts w:asciiTheme="minorHAnsi" w:hAnsiTheme="minorHAnsi" w:cstheme="minorHAnsi"/>
          <w:color w:val="242121"/>
          <w:sz w:val="26"/>
          <w:szCs w:val="26"/>
          <w:shd w:val="clear" w:color="auto" w:fill="FFFFFF"/>
        </w:rPr>
        <w:t xml:space="preserve"> </w:t>
      </w:r>
      <w:r w:rsidR="002D64B6">
        <w:rPr>
          <w:rFonts w:asciiTheme="minorHAnsi" w:hAnsiTheme="minorHAnsi" w:cstheme="minorHAnsi"/>
          <w:color w:val="242121"/>
          <w:sz w:val="26"/>
          <w:szCs w:val="26"/>
          <w:shd w:val="clear" w:color="auto" w:fill="FFFFFF"/>
        </w:rPr>
        <w:t xml:space="preserve">the property was transferred </w:t>
      </w:r>
      <w:r w:rsidR="00E80291">
        <w:rPr>
          <w:rFonts w:asciiTheme="minorHAnsi" w:hAnsiTheme="minorHAnsi" w:cstheme="minorHAnsi"/>
          <w:color w:val="242121"/>
          <w:sz w:val="26"/>
          <w:szCs w:val="26"/>
          <w:shd w:val="clear" w:color="auto" w:fill="FFFFFF"/>
        </w:rPr>
        <w:t xml:space="preserve">in lieu of </w:t>
      </w:r>
      <w:r w:rsidR="00A36CF0">
        <w:rPr>
          <w:rFonts w:asciiTheme="minorHAnsi" w:hAnsiTheme="minorHAnsi" w:cstheme="minorHAnsi"/>
          <w:color w:val="242121"/>
          <w:sz w:val="26"/>
          <w:szCs w:val="26"/>
          <w:shd w:val="clear" w:color="auto" w:fill="FFFFFF"/>
        </w:rPr>
        <w:t>a</w:t>
      </w:r>
      <w:r w:rsidR="00E80291">
        <w:rPr>
          <w:rFonts w:asciiTheme="minorHAnsi" w:hAnsiTheme="minorHAnsi" w:cstheme="minorHAnsi"/>
          <w:color w:val="242121"/>
          <w:sz w:val="26"/>
          <w:szCs w:val="26"/>
          <w:shd w:val="clear" w:color="auto" w:fill="FFFFFF"/>
        </w:rPr>
        <w:t xml:space="preserve"> monetary payment of the shortfall </w:t>
      </w:r>
      <w:r w:rsidR="007220BE">
        <w:rPr>
          <w:rFonts w:asciiTheme="minorHAnsi" w:hAnsiTheme="minorHAnsi" w:cstheme="minorHAnsi"/>
          <w:color w:val="242121"/>
          <w:sz w:val="26"/>
          <w:szCs w:val="26"/>
          <w:shd w:val="clear" w:color="auto" w:fill="FFFFFF"/>
        </w:rPr>
        <w:t>apropos</w:t>
      </w:r>
      <w:r w:rsidR="00174BBA">
        <w:rPr>
          <w:rFonts w:asciiTheme="minorHAnsi" w:hAnsiTheme="minorHAnsi" w:cstheme="minorHAnsi"/>
          <w:color w:val="242121"/>
          <w:sz w:val="26"/>
          <w:szCs w:val="26"/>
          <w:shd w:val="clear" w:color="auto" w:fill="FFFFFF"/>
        </w:rPr>
        <w:t xml:space="preserve"> her maintenance claim</w:t>
      </w:r>
      <w:r w:rsidR="007220BE">
        <w:rPr>
          <w:rFonts w:asciiTheme="minorHAnsi" w:hAnsiTheme="minorHAnsi" w:cstheme="minorHAnsi"/>
          <w:color w:val="242121"/>
          <w:sz w:val="26"/>
          <w:szCs w:val="26"/>
          <w:shd w:val="clear" w:color="auto" w:fill="FFFFFF"/>
        </w:rPr>
        <w:t>,</w:t>
      </w:r>
      <w:r w:rsidR="00174BBA">
        <w:rPr>
          <w:rFonts w:asciiTheme="minorHAnsi" w:hAnsiTheme="minorHAnsi" w:cstheme="minorHAnsi"/>
          <w:color w:val="242121"/>
          <w:sz w:val="26"/>
          <w:szCs w:val="26"/>
          <w:shd w:val="clear" w:color="auto" w:fill="FFFFFF"/>
        </w:rPr>
        <w:t xml:space="preserve"> </w:t>
      </w:r>
      <w:r w:rsidR="00E80291">
        <w:rPr>
          <w:rFonts w:asciiTheme="minorHAnsi" w:hAnsiTheme="minorHAnsi" w:cstheme="minorHAnsi"/>
          <w:color w:val="242121"/>
          <w:sz w:val="26"/>
          <w:szCs w:val="26"/>
          <w:shd w:val="clear" w:color="auto" w:fill="FFFFFF"/>
        </w:rPr>
        <w:t xml:space="preserve">and </w:t>
      </w:r>
      <w:r w:rsidR="007220BE">
        <w:rPr>
          <w:rFonts w:asciiTheme="minorHAnsi" w:hAnsiTheme="minorHAnsi" w:cstheme="minorHAnsi"/>
          <w:color w:val="242121"/>
          <w:sz w:val="26"/>
          <w:szCs w:val="26"/>
          <w:shd w:val="clear" w:color="auto" w:fill="FFFFFF"/>
        </w:rPr>
        <w:t xml:space="preserve">in </w:t>
      </w:r>
      <w:r w:rsidR="00A36CF0">
        <w:rPr>
          <w:rFonts w:asciiTheme="minorHAnsi" w:hAnsiTheme="minorHAnsi" w:cstheme="minorHAnsi"/>
          <w:color w:val="242121"/>
          <w:sz w:val="26"/>
          <w:szCs w:val="26"/>
          <w:shd w:val="clear" w:color="auto" w:fill="FFFFFF"/>
        </w:rPr>
        <w:t>satisfaction</w:t>
      </w:r>
      <w:r w:rsidR="007220BE">
        <w:rPr>
          <w:rFonts w:asciiTheme="minorHAnsi" w:hAnsiTheme="minorHAnsi" w:cstheme="minorHAnsi"/>
          <w:color w:val="242121"/>
          <w:sz w:val="26"/>
          <w:szCs w:val="26"/>
          <w:shd w:val="clear" w:color="auto" w:fill="FFFFFF"/>
        </w:rPr>
        <w:t xml:space="preserve"> of </w:t>
      </w:r>
      <w:r w:rsidR="00E80291">
        <w:rPr>
          <w:rFonts w:asciiTheme="minorHAnsi" w:hAnsiTheme="minorHAnsi" w:cstheme="minorHAnsi"/>
          <w:color w:val="242121"/>
          <w:sz w:val="26"/>
          <w:szCs w:val="26"/>
          <w:shd w:val="clear" w:color="auto" w:fill="FFFFFF"/>
        </w:rPr>
        <w:t>her patrimonial claim</w:t>
      </w:r>
      <w:r w:rsidRPr="000B32ED">
        <w:rPr>
          <w:rFonts w:asciiTheme="minorHAnsi" w:hAnsiTheme="minorHAnsi" w:cstheme="minorHAnsi"/>
          <w:color w:val="242121"/>
          <w:sz w:val="26"/>
          <w:szCs w:val="26"/>
          <w:shd w:val="clear" w:color="auto" w:fill="FFFFFF"/>
        </w:rPr>
        <w:t>.</w:t>
      </w:r>
      <w:r w:rsidR="009E25E6" w:rsidRPr="000B32ED">
        <w:rPr>
          <w:rFonts w:asciiTheme="minorHAnsi" w:hAnsiTheme="minorHAnsi" w:cstheme="minorHAnsi"/>
          <w:color w:val="242121"/>
          <w:sz w:val="26"/>
          <w:szCs w:val="26"/>
          <w:shd w:val="clear" w:color="auto" w:fill="FFFFFF"/>
        </w:rPr>
        <w:t xml:space="preserve"> </w:t>
      </w:r>
      <w:r w:rsidR="00773804">
        <w:rPr>
          <w:rFonts w:asciiTheme="minorHAnsi" w:hAnsiTheme="minorHAnsi" w:cstheme="minorHAnsi"/>
          <w:color w:val="242121"/>
          <w:sz w:val="26"/>
          <w:szCs w:val="26"/>
          <w:shd w:val="clear" w:color="auto" w:fill="FFFFFF"/>
        </w:rPr>
        <w:t xml:space="preserve">In her capacity as creditor, </w:t>
      </w:r>
      <w:r w:rsidR="007220BE">
        <w:rPr>
          <w:rFonts w:asciiTheme="minorHAnsi" w:hAnsiTheme="minorHAnsi" w:cstheme="minorHAnsi"/>
          <w:color w:val="242121"/>
          <w:sz w:val="26"/>
          <w:szCs w:val="26"/>
          <w:shd w:val="clear" w:color="auto" w:fill="FFFFFF"/>
        </w:rPr>
        <w:t>the intervening party</w:t>
      </w:r>
      <w:r w:rsidR="00773804">
        <w:rPr>
          <w:rFonts w:asciiTheme="minorHAnsi" w:hAnsiTheme="minorHAnsi" w:cstheme="minorHAnsi"/>
          <w:color w:val="242121"/>
          <w:sz w:val="26"/>
          <w:szCs w:val="26"/>
          <w:shd w:val="clear" w:color="auto" w:fill="FFFFFF"/>
        </w:rPr>
        <w:t xml:space="preserve"> has locus standi to intervene in the sequestration application and need not establish an additional legal </w:t>
      </w:r>
      <w:r w:rsidR="005E1298">
        <w:rPr>
          <w:rFonts w:asciiTheme="minorHAnsi" w:hAnsiTheme="minorHAnsi" w:cstheme="minorHAnsi"/>
          <w:color w:val="242121"/>
          <w:sz w:val="26"/>
          <w:szCs w:val="26"/>
          <w:shd w:val="clear" w:color="auto" w:fill="FFFFFF"/>
        </w:rPr>
        <w:t xml:space="preserve">or other </w:t>
      </w:r>
      <w:r w:rsidR="00773804">
        <w:rPr>
          <w:rFonts w:asciiTheme="minorHAnsi" w:hAnsiTheme="minorHAnsi" w:cstheme="minorHAnsi"/>
          <w:color w:val="242121"/>
          <w:sz w:val="26"/>
          <w:szCs w:val="26"/>
          <w:shd w:val="clear" w:color="auto" w:fill="FFFFFF"/>
        </w:rPr>
        <w:t>interest.</w:t>
      </w:r>
      <w:r w:rsidR="00773804" w:rsidRPr="00773804">
        <w:rPr>
          <w:rStyle w:val="FootnoteReference"/>
          <w:rFonts w:asciiTheme="minorHAnsi" w:hAnsiTheme="minorHAnsi" w:cstheme="minorHAnsi"/>
          <w:color w:val="242121"/>
          <w:sz w:val="26"/>
          <w:szCs w:val="26"/>
          <w:shd w:val="clear" w:color="auto" w:fill="FFFFFF"/>
        </w:rPr>
        <w:t xml:space="preserve"> </w:t>
      </w:r>
      <w:r w:rsidR="00773804">
        <w:rPr>
          <w:rStyle w:val="FootnoteReference"/>
          <w:rFonts w:asciiTheme="minorHAnsi" w:hAnsiTheme="minorHAnsi" w:cstheme="minorHAnsi"/>
          <w:color w:val="242121"/>
          <w:sz w:val="26"/>
          <w:szCs w:val="26"/>
          <w:shd w:val="clear" w:color="auto" w:fill="FFFFFF"/>
        </w:rPr>
        <w:footnoteReference w:id="11"/>
      </w:r>
      <w:r w:rsidR="00773804">
        <w:rPr>
          <w:rFonts w:asciiTheme="minorHAnsi" w:hAnsiTheme="minorHAnsi" w:cstheme="minorHAnsi"/>
          <w:color w:val="242121"/>
          <w:sz w:val="26"/>
          <w:szCs w:val="26"/>
          <w:shd w:val="clear" w:color="auto" w:fill="FFFFFF"/>
        </w:rPr>
        <w:t xml:space="preserve">  </w:t>
      </w:r>
      <w:r w:rsidR="00773804">
        <w:rPr>
          <w:rFonts w:asciiTheme="minorHAnsi" w:hAnsiTheme="minorHAnsi" w:cstheme="minorHAnsi"/>
          <w:sz w:val="26"/>
          <w:szCs w:val="26"/>
        </w:rPr>
        <w:t xml:space="preserve">As pointed out in </w:t>
      </w:r>
      <w:r w:rsidR="005E1298" w:rsidRPr="005E1298">
        <w:rPr>
          <w:rFonts w:asciiTheme="minorHAnsi" w:hAnsiTheme="minorHAnsi" w:cstheme="minorHAnsi"/>
          <w:i/>
          <w:sz w:val="26"/>
          <w:szCs w:val="26"/>
        </w:rPr>
        <w:t>Levay</w:t>
      </w:r>
      <w:r w:rsidR="005E1298">
        <w:rPr>
          <w:rFonts w:asciiTheme="minorHAnsi" w:hAnsiTheme="minorHAnsi" w:cstheme="minorHAnsi"/>
          <w:sz w:val="26"/>
          <w:szCs w:val="26"/>
        </w:rPr>
        <w:t xml:space="preserve"> at </w:t>
      </w:r>
      <w:r w:rsidR="00773804" w:rsidRPr="005E1298">
        <w:rPr>
          <w:rFonts w:asciiTheme="minorHAnsi" w:hAnsiTheme="minorHAnsi" w:cstheme="minorHAnsi"/>
          <w:sz w:val="26"/>
          <w:szCs w:val="26"/>
        </w:rPr>
        <w:t>para</w:t>
      </w:r>
      <w:r w:rsidR="00773804">
        <w:rPr>
          <w:rFonts w:asciiTheme="minorHAnsi" w:hAnsiTheme="minorHAnsi" w:cstheme="minorHAnsi"/>
          <w:sz w:val="26"/>
          <w:szCs w:val="26"/>
        </w:rPr>
        <w:t xml:space="preserve"> 15</w:t>
      </w:r>
      <w:r w:rsidR="005E1298">
        <w:rPr>
          <w:rFonts w:asciiTheme="minorHAnsi" w:hAnsiTheme="minorHAnsi" w:cstheme="minorHAnsi"/>
          <w:sz w:val="26"/>
          <w:szCs w:val="26"/>
        </w:rPr>
        <w:t>:</w:t>
      </w:r>
    </w:p>
    <w:p w:rsidR="005E1298" w:rsidRPr="005E1298" w:rsidRDefault="005E1298" w:rsidP="005E1298">
      <w:pPr>
        <w:pStyle w:val="ListParagraph"/>
        <w:spacing w:after="200" w:line="276" w:lineRule="auto"/>
        <w:ind w:left="851"/>
        <w:jc w:val="both"/>
        <w:rPr>
          <w:rFonts w:asciiTheme="minorHAnsi" w:hAnsiTheme="minorHAnsi" w:cstheme="minorHAnsi"/>
          <w:color w:val="242121"/>
          <w:sz w:val="22"/>
          <w:szCs w:val="22"/>
          <w:shd w:val="clear" w:color="auto" w:fill="FFFFFF"/>
        </w:rPr>
      </w:pPr>
      <w:r w:rsidRPr="005E1298">
        <w:rPr>
          <w:rFonts w:asciiTheme="minorHAnsi" w:hAnsiTheme="minorHAnsi" w:cstheme="minorHAnsi"/>
          <w:color w:val="242121"/>
          <w:sz w:val="22"/>
          <w:szCs w:val="22"/>
          <w:shd w:val="clear" w:color="auto" w:fill="FFFFFF"/>
        </w:rPr>
        <w:t>“</w:t>
      </w:r>
      <w:r w:rsidRPr="005E1298">
        <w:rPr>
          <w:rFonts w:asciiTheme="minorHAnsi" w:hAnsiTheme="minorHAnsi" w:cstheme="minorHAnsi"/>
          <w:sz w:val="22"/>
          <w:szCs w:val="22"/>
        </w:rPr>
        <w:t>Over the years it has been accepted without argument in a number of cases and textbooks that creditors have a right to intervene in sequestration or winding-up applications in order to oppose the application.</w:t>
      </w:r>
      <w:r>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w:t>
      </w:r>
      <w:r w:rsidRPr="005E1298">
        <w:rPr>
          <w:rFonts w:asciiTheme="minorHAnsi" w:hAnsiTheme="minorHAnsi" w:cstheme="minorHAnsi"/>
          <w:sz w:val="22"/>
          <w:szCs w:val="22"/>
        </w:rPr>
        <w:t>Catherine Smith expressed the opinion that creditors in insolvency proceedings may be added to joint owners, joint contractors and partners as parties who are allowed as of right to intervene in proceedings</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3"/>
      </w:r>
      <w:r>
        <w:rPr>
          <w:rFonts w:asciiTheme="minorHAnsi" w:hAnsiTheme="minorHAnsi" w:cstheme="minorHAnsi"/>
          <w:sz w:val="22"/>
          <w:szCs w:val="22"/>
        </w:rPr>
        <w:t>”</w:t>
      </w:r>
    </w:p>
    <w:p w:rsidR="007B617C" w:rsidRPr="007B617C" w:rsidRDefault="007B617C" w:rsidP="007B617C">
      <w:pPr>
        <w:pStyle w:val="ListParagraph"/>
        <w:rPr>
          <w:rFonts w:asciiTheme="minorHAnsi" w:hAnsiTheme="minorHAnsi" w:cstheme="minorHAnsi"/>
          <w:color w:val="242121"/>
          <w:sz w:val="26"/>
          <w:szCs w:val="26"/>
          <w:shd w:val="clear" w:color="auto" w:fill="FFFFFF"/>
        </w:rPr>
      </w:pPr>
    </w:p>
    <w:p w:rsidR="001C32C1" w:rsidRDefault="002D64B6" w:rsidP="005F1772">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applicant opposed the intervention application </w:t>
      </w:r>
      <w:r w:rsidR="006C3DC5">
        <w:rPr>
          <w:rFonts w:asciiTheme="minorHAnsi" w:hAnsiTheme="minorHAnsi" w:cstheme="minorHAnsi"/>
          <w:color w:val="242121"/>
          <w:sz w:val="26"/>
          <w:szCs w:val="26"/>
          <w:shd w:val="clear" w:color="auto" w:fill="FFFFFF"/>
        </w:rPr>
        <w:t xml:space="preserve">based on applicable principles governing applications under Rule 12. </w:t>
      </w:r>
      <w:r>
        <w:rPr>
          <w:rFonts w:asciiTheme="minorHAnsi" w:hAnsiTheme="minorHAnsi" w:cstheme="minorHAnsi"/>
          <w:color w:val="242121"/>
          <w:sz w:val="26"/>
          <w:szCs w:val="26"/>
          <w:shd w:val="clear" w:color="auto" w:fill="FFFFFF"/>
        </w:rPr>
        <w:t xml:space="preserve"> </w:t>
      </w:r>
      <w:r w:rsidR="00D900A5">
        <w:rPr>
          <w:rFonts w:asciiTheme="minorHAnsi" w:hAnsiTheme="minorHAnsi" w:cstheme="minorHAnsi"/>
          <w:color w:val="242121"/>
          <w:sz w:val="26"/>
          <w:szCs w:val="26"/>
          <w:shd w:val="clear" w:color="auto" w:fill="FFFFFF"/>
        </w:rPr>
        <w:t xml:space="preserve">The applicant </w:t>
      </w:r>
      <w:r w:rsidR="003D0ACB">
        <w:rPr>
          <w:rFonts w:asciiTheme="minorHAnsi" w:hAnsiTheme="minorHAnsi" w:cstheme="minorHAnsi"/>
          <w:color w:val="242121"/>
          <w:sz w:val="26"/>
          <w:szCs w:val="26"/>
          <w:shd w:val="clear" w:color="auto" w:fill="FFFFFF"/>
        </w:rPr>
        <w:t>submit</w:t>
      </w:r>
      <w:r w:rsidR="004B1EB6">
        <w:rPr>
          <w:rFonts w:asciiTheme="minorHAnsi" w:hAnsiTheme="minorHAnsi" w:cstheme="minorHAnsi"/>
          <w:color w:val="242121"/>
          <w:sz w:val="26"/>
          <w:szCs w:val="26"/>
          <w:shd w:val="clear" w:color="auto" w:fill="FFFFFF"/>
        </w:rPr>
        <w:t>s</w:t>
      </w:r>
      <w:r w:rsidR="00D900A5">
        <w:rPr>
          <w:rFonts w:asciiTheme="minorHAnsi" w:hAnsiTheme="minorHAnsi" w:cstheme="minorHAnsi"/>
          <w:color w:val="242121"/>
          <w:sz w:val="26"/>
          <w:szCs w:val="26"/>
          <w:shd w:val="clear" w:color="auto" w:fill="FFFFFF"/>
        </w:rPr>
        <w:t xml:space="preserve"> that </w:t>
      </w:r>
      <w:r w:rsidR="00D900A5" w:rsidRPr="00D900A5">
        <w:rPr>
          <w:rFonts w:asciiTheme="minorHAnsi" w:hAnsiTheme="minorHAnsi" w:cstheme="minorHAnsi"/>
          <w:color w:val="000000"/>
          <w:sz w:val="26"/>
          <w:szCs w:val="26"/>
        </w:rPr>
        <w:t xml:space="preserve">that </w:t>
      </w:r>
      <w:r w:rsidR="004B1EB6">
        <w:rPr>
          <w:rFonts w:asciiTheme="minorHAnsi" w:hAnsiTheme="minorHAnsi" w:cstheme="minorHAnsi"/>
          <w:color w:val="000000"/>
          <w:sz w:val="26"/>
          <w:szCs w:val="26"/>
        </w:rPr>
        <w:t>any appointed</w:t>
      </w:r>
      <w:r w:rsidR="00D900A5" w:rsidRPr="00D900A5">
        <w:rPr>
          <w:rFonts w:asciiTheme="minorHAnsi" w:hAnsiTheme="minorHAnsi" w:cstheme="minorHAnsi"/>
          <w:color w:val="000000"/>
          <w:sz w:val="26"/>
          <w:szCs w:val="26"/>
        </w:rPr>
        <w:t xml:space="preserve"> trustee will investigate and decide whether he will apply to set aside the transfer of the property to the intervening party on the basis </w:t>
      </w:r>
      <w:r w:rsidR="00E73454">
        <w:rPr>
          <w:rFonts w:asciiTheme="minorHAnsi" w:hAnsiTheme="minorHAnsi" w:cstheme="minorHAnsi"/>
          <w:color w:val="000000"/>
          <w:sz w:val="26"/>
          <w:szCs w:val="26"/>
        </w:rPr>
        <w:t xml:space="preserve">that it amounts to </w:t>
      </w:r>
      <w:r w:rsidR="00D900A5" w:rsidRPr="00D900A5">
        <w:rPr>
          <w:rFonts w:asciiTheme="minorHAnsi" w:hAnsiTheme="minorHAnsi" w:cstheme="minorHAnsi"/>
          <w:color w:val="000000"/>
          <w:sz w:val="26"/>
          <w:szCs w:val="26"/>
        </w:rPr>
        <w:t>a voidable disposition.</w:t>
      </w:r>
      <w:r w:rsidR="00E4770F">
        <w:rPr>
          <w:rFonts w:asciiTheme="minorHAnsi" w:hAnsiTheme="minorHAnsi" w:cstheme="minorHAnsi"/>
          <w:color w:val="000000"/>
          <w:sz w:val="26"/>
          <w:szCs w:val="26"/>
        </w:rPr>
        <w:t xml:space="preserve"> Thus, so </w:t>
      </w:r>
      <w:r w:rsidR="00E73454">
        <w:rPr>
          <w:rFonts w:asciiTheme="minorHAnsi" w:hAnsiTheme="minorHAnsi" w:cstheme="minorHAnsi"/>
          <w:color w:val="000000"/>
          <w:sz w:val="26"/>
          <w:szCs w:val="26"/>
        </w:rPr>
        <w:t>it was submitted</w:t>
      </w:r>
      <w:r w:rsidR="00E4770F">
        <w:rPr>
          <w:rFonts w:asciiTheme="minorHAnsi" w:hAnsiTheme="minorHAnsi" w:cstheme="minorHAnsi"/>
          <w:color w:val="000000"/>
          <w:sz w:val="26"/>
          <w:szCs w:val="26"/>
        </w:rPr>
        <w:t xml:space="preserve">, even if the intervening party’s evidence were to be accepted, it would not serve to </w:t>
      </w:r>
      <w:r w:rsidR="00E4770F">
        <w:rPr>
          <w:rFonts w:asciiTheme="minorHAnsi" w:hAnsiTheme="minorHAnsi" w:cstheme="minorHAnsi"/>
          <w:color w:val="000000"/>
          <w:sz w:val="26"/>
          <w:szCs w:val="26"/>
        </w:rPr>
        <w:lastRenderedPageBreak/>
        <w:t xml:space="preserve">affect the outcome of the main application which can still be pursued on the </w:t>
      </w:r>
      <w:r w:rsidR="004B1EB6">
        <w:rPr>
          <w:rFonts w:asciiTheme="minorHAnsi" w:hAnsiTheme="minorHAnsi" w:cstheme="minorHAnsi"/>
          <w:color w:val="000000"/>
          <w:sz w:val="26"/>
          <w:szCs w:val="26"/>
        </w:rPr>
        <w:t>ground of</w:t>
      </w:r>
      <w:r w:rsidR="00E4770F">
        <w:rPr>
          <w:rFonts w:asciiTheme="minorHAnsi" w:hAnsiTheme="minorHAnsi" w:cstheme="minorHAnsi"/>
          <w:color w:val="000000"/>
          <w:sz w:val="26"/>
          <w:szCs w:val="26"/>
        </w:rPr>
        <w:t xml:space="preserve"> actual insolvency of the respondent. </w:t>
      </w:r>
      <w:r w:rsidR="003D0ACB">
        <w:rPr>
          <w:rFonts w:asciiTheme="minorHAnsi" w:hAnsiTheme="minorHAnsi" w:cstheme="minorHAnsi"/>
          <w:color w:val="242121"/>
          <w:sz w:val="26"/>
          <w:szCs w:val="26"/>
          <w:shd w:val="clear" w:color="auto" w:fill="FFFFFF"/>
        </w:rPr>
        <w:t xml:space="preserve">The applicant submits that </w:t>
      </w:r>
      <w:r w:rsidR="004B1EB6">
        <w:rPr>
          <w:rFonts w:asciiTheme="minorHAnsi" w:hAnsiTheme="minorHAnsi" w:cstheme="minorHAnsi"/>
          <w:color w:val="242121"/>
          <w:sz w:val="26"/>
          <w:szCs w:val="26"/>
          <w:shd w:val="clear" w:color="auto" w:fill="FFFFFF"/>
        </w:rPr>
        <w:t xml:space="preserve">the case of </w:t>
      </w:r>
      <w:r w:rsidR="003D0ACB">
        <w:rPr>
          <w:rFonts w:asciiTheme="minorHAnsi" w:hAnsiTheme="minorHAnsi" w:cstheme="minorHAnsi"/>
          <w:i/>
          <w:color w:val="242121"/>
          <w:sz w:val="26"/>
          <w:szCs w:val="26"/>
          <w:shd w:val="clear" w:color="auto" w:fill="FFFFFF"/>
        </w:rPr>
        <w:t>Maritz</w:t>
      </w:r>
      <w:r w:rsidR="004B1EB6">
        <w:rPr>
          <w:rFonts w:asciiTheme="minorHAnsi" w:hAnsiTheme="minorHAnsi" w:cstheme="minorHAnsi"/>
          <w:i/>
          <w:color w:val="242121"/>
          <w:sz w:val="26"/>
          <w:szCs w:val="26"/>
          <w:shd w:val="clear" w:color="auto" w:fill="FFFFFF"/>
        </w:rPr>
        <w:t>,</w:t>
      </w:r>
      <w:r w:rsidR="004B1EB6">
        <w:rPr>
          <w:rStyle w:val="FootnoteReference"/>
          <w:rFonts w:asciiTheme="minorHAnsi" w:hAnsiTheme="minorHAnsi" w:cstheme="minorHAnsi"/>
          <w:color w:val="242121"/>
          <w:sz w:val="26"/>
          <w:szCs w:val="26"/>
          <w:shd w:val="clear" w:color="auto" w:fill="FFFFFF"/>
        </w:rPr>
        <w:footnoteReference w:id="14"/>
      </w:r>
      <w:r w:rsidR="003D0ACB">
        <w:rPr>
          <w:rFonts w:asciiTheme="minorHAnsi" w:hAnsiTheme="minorHAnsi" w:cstheme="minorHAnsi"/>
          <w:i/>
          <w:color w:val="242121"/>
          <w:sz w:val="26"/>
          <w:szCs w:val="26"/>
          <w:shd w:val="clear" w:color="auto" w:fill="FFFFFF"/>
        </w:rPr>
        <w:t xml:space="preserve"> </w:t>
      </w:r>
      <w:r w:rsidR="004B1EB6">
        <w:rPr>
          <w:rFonts w:asciiTheme="minorHAnsi" w:hAnsiTheme="minorHAnsi" w:cstheme="minorHAnsi"/>
          <w:color w:val="242121"/>
          <w:sz w:val="26"/>
          <w:szCs w:val="26"/>
          <w:shd w:val="clear" w:color="auto" w:fill="FFFFFF"/>
        </w:rPr>
        <w:t xml:space="preserve">which is </w:t>
      </w:r>
      <w:r w:rsidR="004B1EB6" w:rsidRPr="004B1EB6">
        <w:rPr>
          <w:rFonts w:asciiTheme="minorHAnsi" w:hAnsiTheme="minorHAnsi" w:cstheme="minorHAnsi"/>
          <w:color w:val="242121"/>
          <w:sz w:val="26"/>
          <w:szCs w:val="26"/>
          <w:shd w:val="clear" w:color="auto" w:fill="FFFFFF"/>
        </w:rPr>
        <w:t>relied on by the intervening creditor</w:t>
      </w:r>
      <w:r w:rsidR="004B1EB6">
        <w:rPr>
          <w:rFonts w:asciiTheme="minorHAnsi" w:hAnsiTheme="minorHAnsi" w:cstheme="minorHAnsi"/>
          <w:color w:val="242121"/>
          <w:sz w:val="26"/>
          <w:szCs w:val="26"/>
          <w:shd w:val="clear" w:color="auto" w:fill="FFFFFF"/>
        </w:rPr>
        <w:t>,</w:t>
      </w:r>
      <w:r w:rsidR="004B1EB6">
        <w:rPr>
          <w:rFonts w:asciiTheme="minorHAnsi" w:hAnsiTheme="minorHAnsi" w:cstheme="minorHAnsi"/>
          <w:i/>
          <w:color w:val="242121"/>
          <w:sz w:val="26"/>
          <w:szCs w:val="26"/>
          <w:shd w:val="clear" w:color="auto" w:fill="FFFFFF"/>
        </w:rPr>
        <w:t xml:space="preserve"> </w:t>
      </w:r>
      <w:r w:rsidR="00D900A5">
        <w:rPr>
          <w:rFonts w:asciiTheme="minorHAnsi" w:hAnsiTheme="minorHAnsi" w:cstheme="minorHAnsi"/>
          <w:color w:val="242121"/>
          <w:sz w:val="26"/>
          <w:szCs w:val="26"/>
          <w:shd w:val="clear" w:color="auto" w:fill="FFFFFF"/>
        </w:rPr>
        <w:t>is distinguishable on its facts</w:t>
      </w:r>
      <w:r w:rsidR="00A36CF0">
        <w:rPr>
          <w:rFonts w:asciiTheme="minorHAnsi" w:hAnsiTheme="minorHAnsi" w:cstheme="minorHAnsi"/>
          <w:color w:val="242121"/>
          <w:sz w:val="26"/>
          <w:szCs w:val="26"/>
          <w:shd w:val="clear" w:color="auto" w:fill="FFFFFF"/>
        </w:rPr>
        <w:t>,</w:t>
      </w:r>
      <w:r w:rsidR="00D900A5">
        <w:rPr>
          <w:rFonts w:asciiTheme="minorHAnsi" w:hAnsiTheme="minorHAnsi" w:cstheme="minorHAnsi"/>
          <w:color w:val="242121"/>
          <w:sz w:val="26"/>
          <w:szCs w:val="26"/>
          <w:shd w:val="clear" w:color="auto" w:fill="FFFFFF"/>
        </w:rPr>
        <w:t xml:space="preserve"> does not constitute binding precedent and should therefore not be followed. </w:t>
      </w:r>
    </w:p>
    <w:p w:rsidR="00591096" w:rsidRPr="00591096" w:rsidRDefault="00591096" w:rsidP="00591096">
      <w:pPr>
        <w:pStyle w:val="ListParagraph"/>
        <w:rPr>
          <w:rFonts w:asciiTheme="minorHAnsi" w:hAnsiTheme="minorHAnsi" w:cstheme="minorHAnsi"/>
          <w:color w:val="242121"/>
          <w:sz w:val="26"/>
          <w:szCs w:val="26"/>
          <w:shd w:val="clear" w:color="auto" w:fill="FFFFFF"/>
        </w:rPr>
      </w:pPr>
    </w:p>
    <w:p w:rsidR="00843105" w:rsidRPr="00843105" w:rsidRDefault="003D0ACB" w:rsidP="005F1772">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4B1EB6">
        <w:rPr>
          <w:rFonts w:asciiTheme="minorHAnsi" w:hAnsiTheme="minorHAnsi" w:cstheme="minorHAnsi"/>
          <w:color w:val="000000"/>
          <w:sz w:val="26"/>
          <w:szCs w:val="26"/>
        </w:rPr>
        <w:t xml:space="preserve">The applicant further submits that the court hearing the sequestration application will not be required to decide whether or not the transfer of the property to the respondent’s ex-wife is liable to be set </w:t>
      </w:r>
      <w:r w:rsidR="00E73454">
        <w:rPr>
          <w:rFonts w:asciiTheme="minorHAnsi" w:hAnsiTheme="minorHAnsi" w:cstheme="minorHAnsi"/>
          <w:color w:val="000000"/>
          <w:sz w:val="26"/>
          <w:szCs w:val="26"/>
        </w:rPr>
        <w:t>asid</w:t>
      </w:r>
      <w:r w:rsidRPr="004B1EB6">
        <w:rPr>
          <w:rFonts w:asciiTheme="minorHAnsi" w:hAnsiTheme="minorHAnsi" w:cstheme="minorHAnsi"/>
          <w:color w:val="000000"/>
          <w:sz w:val="26"/>
          <w:szCs w:val="26"/>
        </w:rPr>
        <w:t xml:space="preserve">e, </w:t>
      </w:r>
      <w:r w:rsidR="00E73454">
        <w:rPr>
          <w:rFonts w:asciiTheme="minorHAnsi" w:hAnsiTheme="minorHAnsi" w:cstheme="minorHAnsi"/>
          <w:color w:val="000000"/>
          <w:sz w:val="26"/>
          <w:szCs w:val="26"/>
        </w:rPr>
        <w:t xml:space="preserve">and </w:t>
      </w:r>
      <w:r w:rsidRPr="004B1EB6">
        <w:rPr>
          <w:rFonts w:asciiTheme="minorHAnsi" w:hAnsiTheme="minorHAnsi" w:cstheme="minorHAnsi"/>
          <w:color w:val="000000"/>
          <w:sz w:val="26"/>
          <w:szCs w:val="26"/>
        </w:rPr>
        <w:t xml:space="preserve">no such </w:t>
      </w:r>
      <w:r w:rsidR="00E73454">
        <w:rPr>
          <w:rFonts w:asciiTheme="minorHAnsi" w:hAnsiTheme="minorHAnsi" w:cstheme="minorHAnsi"/>
          <w:color w:val="000000"/>
          <w:sz w:val="26"/>
          <w:szCs w:val="26"/>
        </w:rPr>
        <w:t xml:space="preserve">relief is </w:t>
      </w:r>
      <w:r w:rsidR="00A36CF0">
        <w:rPr>
          <w:rFonts w:asciiTheme="minorHAnsi" w:hAnsiTheme="minorHAnsi" w:cstheme="minorHAnsi"/>
          <w:color w:val="000000"/>
          <w:sz w:val="26"/>
          <w:szCs w:val="26"/>
        </w:rPr>
        <w:t xml:space="preserve">being </w:t>
      </w:r>
      <w:r w:rsidR="00E73454">
        <w:rPr>
          <w:rFonts w:asciiTheme="minorHAnsi" w:hAnsiTheme="minorHAnsi" w:cstheme="minorHAnsi"/>
          <w:color w:val="000000"/>
          <w:sz w:val="26"/>
          <w:szCs w:val="26"/>
        </w:rPr>
        <w:t>sought in the main application.</w:t>
      </w:r>
      <w:r w:rsidRPr="004B1EB6">
        <w:rPr>
          <w:rFonts w:asciiTheme="minorHAnsi" w:hAnsiTheme="minorHAnsi" w:cstheme="minorHAnsi"/>
          <w:color w:val="000000"/>
          <w:sz w:val="26"/>
          <w:szCs w:val="26"/>
        </w:rPr>
        <w:t xml:space="preserve"> Should the appointed trustee decide to apply to court in due course under the relevant provisions in the Insolvency Act, the intervening party would have the opportunity to oppose such application at that juncture.</w:t>
      </w:r>
      <w:r w:rsidRPr="004B1EB6">
        <w:rPr>
          <w:rFonts w:asciiTheme="minorHAnsi" w:hAnsiTheme="minorHAnsi" w:cstheme="minorHAnsi"/>
          <w:sz w:val="26"/>
          <w:szCs w:val="26"/>
        </w:rPr>
        <w:t xml:space="preserve"> </w:t>
      </w:r>
      <w:r w:rsidR="00A36CF0">
        <w:rPr>
          <w:rFonts w:asciiTheme="minorHAnsi" w:hAnsiTheme="minorHAnsi" w:cstheme="minorHAnsi"/>
          <w:sz w:val="26"/>
          <w:szCs w:val="26"/>
        </w:rPr>
        <w:t>Finally, the applicant submits that t</w:t>
      </w:r>
      <w:r w:rsidRPr="004B1EB6">
        <w:rPr>
          <w:rFonts w:asciiTheme="minorHAnsi" w:hAnsiTheme="minorHAnsi" w:cstheme="minorHAnsi"/>
          <w:sz w:val="26"/>
          <w:szCs w:val="26"/>
        </w:rPr>
        <w:t xml:space="preserve">he intervening </w:t>
      </w:r>
      <w:r w:rsidRPr="004B1EB6">
        <w:rPr>
          <w:rFonts w:asciiTheme="minorHAnsi" w:hAnsiTheme="minorHAnsi" w:cstheme="minorHAnsi"/>
          <w:sz w:val="26"/>
          <w:szCs w:val="26"/>
        </w:rPr>
        <w:lastRenderedPageBreak/>
        <w:t>party has failed to demonstrate that she has a legal interest to protect, which is not just a financial interest in the matter</w:t>
      </w:r>
      <w:r w:rsidR="00A36CF0">
        <w:rPr>
          <w:rFonts w:asciiTheme="minorHAnsi" w:hAnsiTheme="minorHAnsi" w:cstheme="minorHAnsi"/>
          <w:sz w:val="26"/>
          <w:szCs w:val="26"/>
        </w:rPr>
        <w:t>,</w:t>
      </w:r>
      <w:r w:rsidRPr="004B1EB6">
        <w:rPr>
          <w:rFonts w:asciiTheme="minorHAnsi" w:hAnsiTheme="minorHAnsi" w:cstheme="minorHAnsi"/>
          <w:sz w:val="26"/>
          <w:szCs w:val="26"/>
        </w:rPr>
        <w:t xml:space="preserve"> and that the legal interest is material enough to affect the outcome of the winding-up application. </w:t>
      </w:r>
      <w:r w:rsidR="004B1EB6">
        <w:rPr>
          <w:rFonts w:asciiTheme="minorHAnsi" w:hAnsiTheme="minorHAnsi" w:cstheme="minorHAnsi"/>
          <w:sz w:val="26"/>
          <w:szCs w:val="26"/>
        </w:rPr>
        <w:t xml:space="preserve">She </w:t>
      </w:r>
      <w:r w:rsidRPr="004B1EB6">
        <w:rPr>
          <w:rFonts w:asciiTheme="minorHAnsi" w:hAnsiTheme="minorHAnsi" w:cstheme="minorHAnsi"/>
          <w:sz w:val="26"/>
          <w:szCs w:val="26"/>
        </w:rPr>
        <w:t xml:space="preserve">lacks a legal interest in the subject matter of the proceedings and </w:t>
      </w:r>
      <w:r w:rsidR="004B1EB6" w:rsidRPr="004B1EB6">
        <w:rPr>
          <w:rFonts w:asciiTheme="minorHAnsi" w:hAnsiTheme="minorHAnsi" w:cstheme="minorHAnsi"/>
          <w:sz w:val="26"/>
          <w:szCs w:val="26"/>
        </w:rPr>
        <w:t xml:space="preserve">her </w:t>
      </w:r>
      <w:r w:rsidRPr="004B1EB6">
        <w:rPr>
          <w:rFonts w:asciiTheme="minorHAnsi" w:hAnsiTheme="minorHAnsi" w:cstheme="minorHAnsi"/>
          <w:sz w:val="26"/>
          <w:szCs w:val="26"/>
        </w:rPr>
        <w:t>opposition at this stage is premature.</w:t>
      </w:r>
      <w:r w:rsidR="00E553CF">
        <w:rPr>
          <w:rFonts w:asciiTheme="minorHAnsi" w:hAnsiTheme="minorHAnsi" w:cstheme="minorHAnsi"/>
          <w:sz w:val="26"/>
          <w:szCs w:val="26"/>
        </w:rPr>
        <w:t xml:space="preserve"> I disagree, not only because the intervening party is by virtue of her status</w:t>
      </w:r>
      <w:r w:rsidR="00843105">
        <w:rPr>
          <w:rFonts w:asciiTheme="minorHAnsi" w:hAnsiTheme="minorHAnsi" w:cstheme="minorHAnsi"/>
          <w:sz w:val="26"/>
          <w:szCs w:val="26"/>
        </w:rPr>
        <w:t>,</w:t>
      </w:r>
      <w:r w:rsidR="00E553CF">
        <w:rPr>
          <w:rFonts w:asciiTheme="minorHAnsi" w:hAnsiTheme="minorHAnsi" w:cstheme="minorHAnsi"/>
          <w:sz w:val="26"/>
          <w:szCs w:val="26"/>
        </w:rPr>
        <w:t xml:space="preserve"> as creditor, entitled to intervene, but</w:t>
      </w:r>
      <w:r w:rsidR="00E803AE">
        <w:rPr>
          <w:rFonts w:asciiTheme="minorHAnsi" w:hAnsiTheme="minorHAnsi" w:cstheme="minorHAnsi"/>
          <w:sz w:val="26"/>
          <w:szCs w:val="26"/>
        </w:rPr>
        <w:t>,</w:t>
      </w:r>
      <w:r w:rsidR="00E553CF">
        <w:rPr>
          <w:rFonts w:asciiTheme="minorHAnsi" w:hAnsiTheme="minorHAnsi" w:cstheme="minorHAnsi"/>
          <w:sz w:val="26"/>
          <w:szCs w:val="26"/>
        </w:rPr>
        <w:t xml:space="preserve"> </w:t>
      </w:r>
      <w:r w:rsidR="00E803AE">
        <w:rPr>
          <w:rFonts w:asciiTheme="minorHAnsi" w:hAnsiTheme="minorHAnsi" w:cstheme="minorHAnsi"/>
          <w:sz w:val="26"/>
          <w:szCs w:val="26"/>
        </w:rPr>
        <w:t xml:space="preserve">even were that not the position, </w:t>
      </w:r>
      <w:r w:rsidR="00E553CF">
        <w:rPr>
          <w:rFonts w:asciiTheme="minorHAnsi" w:hAnsiTheme="minorHAnsi" w:cstheme="minorHAnsi"/>
          <w:sz w:val="26"/>
          <w:szCs w:val="26"/>
        </w:rPr>
        <w:t xml:space="preserve">because I align myself with the views of </w:t>
      </w:r>
      <w:r w:rsidR="00843105">
        <w:rPr>
          <w:rFonts w:asciiTheme="minorHAnsi" w:hAnsiTheme="minorHAnsi" w:cstheme="minorHAnsi"/>
          <w:sz w:val="26"/>
          <w:szCs w:val="26"/>
        </w:rPr>
        <w:t>Mac William AJ</w:t>
      </w:r>
      <w:r w:rsidR="00E553CF">
        <w:rPr>
          <w:rFonts w:asciiTheme="minorHAnsi" w:hAnsiTheme="minorHAnsi" w:cstheme="minorHAnsi"/>
          <w:sz w:val="26"/>
          <w:szCs w:val="26"/>
        </w:rPr>
        <w:t xml:space="preserve"> in Maritz that </w:t>
      </w:r>
      <w:r w:rsidR="00E553CF" w:rsidRPr="00843105">
        <w:rPr>
          <w:rFonts w:asciiTheme="minorHAnsi" w:hAnsiTheme="minorHAnsi" w:cstheme="minorHAnsi"/>
          <w:i/>
          <w:sz w:val="26"/>
          <w:szCs w:val="26"/>
        </w:rPr>
        <w:t>‘</w:t>
      </w:r>
      <w:r w:rsidR="00E553CF" w:rsidRPr="00843105">
        <w:rPr>
          <w:rFonts w:asciiTheme="minorHAnsi" w:hAnsiTheme="minorHAnsi" w:cstheme="minorHAnsi"/>
          <w:i/>
          <w:color w:val="000000"/>
          <w:sz w:val="22"/>
          <w:szCs w:val="22"/>
        </w:rPr>
        <w:t>that it can hardly be said that the intervening respondent does not have an interest in the present litigation where the expressly stated purpose of the litigation is to have a trustee appointed so that he can set aside the transaction which the intervening respondent seeks to protect’</w:t>
      </w:r>
      <w:r w:rsidR="00843105" w:rsidRPr="00843105">
        <w:rPr>
          <w:rFonts w:asciiTheme="minorHAnsi" w:hAnsiTheme="minorHAnsi" w:cstheme="minorHAnsi"/>
          <w:color w:val="000000"/>
          <w:sz w:val="26"/>
          <w:szCs w:val="26"/>
        </w:rPr>
        <w:t xml:space="preserve">, given the </w:t>
      </w:r>
      <w:r w:rsidR="00843105">
        <w:rPr>
          <w:rFonts w:asciiTheme="minorHAnsi" w:hAnsiTheme="minorHAnsi" w:cstheme="minorHAnsi"/>
          <w:color w:val="000000"/>
          <w:sz w:val="26"/>
          <w:szCs w:val="26"/>
        </w:rPr>
        <w:t>same or similar purpose revealed in the main application.</w:t>
      </w:r>
      <w:r w:rsidR="00843105" w:rsidRPr="00843105">
        <w:rPr>
          <w:rFonts w:asciiTheme="minorHAnsi" w:hAnsiTheme="minorHAnsi" w:cstheme="minorHAnsi"/>
          <w:color w:val="000000"/>
          <w:sz w:val="26"/>
          <w:szCs w:val="26"/>
        </w:rPr>
        <w:t xml:space="preserve"> </w:t>
      </w:r>
    </w:p>
    <w:p w:rsidR="008957FF" w:rsidRPr="008957FF" w:rsidRDefault="008957FF" w:rsidP="008957FF">
      <w:pPr>
        <w:pStyle w:val="ListParagraph"/>
        <w:rPr>
          <w:rFonts w:asciiTheme="minorHAnsi" w:hAnsiTheme="minorHAnsi" w:cstheme="minorHAnsi"/>
          <w:color w:val="242121"/>
          <w:sz w:val="26"/>
          <w:szCs w:val="26"/>
          <w:shd w:val="clear" w:color="auto" w:fill="FFFFFF"/>
        </w:rPr>
      </w:pPr>
    </w:p>
    <w:p w:rsidR="00591096" w:rsidRPr="004B1EB6" w:rsidRDefault="00843105" w:rsidP="005F1772">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sz w:val="26"/>
          <w:szCs w:val="26"/>
        </w:rPr>
        <w:t xml:space="preserve">In any event, </w:t>
      </w:r>
      <w:r w:rsidR="003E2B9B">
        <w:rPr>
          <w:rFonts w:asciiTheme="minorHAnsi" w:hAnsiTheme="minorHAnsi" w:cstheme="minorHAnsi"/>
          <w:sz w:val="26"/>
          <w:szCs w:val="26"/>
        </w:rPr>
        <w:t>the fact remains that</w:t>
      </w:r>
      <w:r>
        <w:rPr>
          <w:rFonts w:asciiTheme="minorHAnsi" w:hAnsiTheme="minorHAnsi" w:cstheme="minorHAnsi"/>
          <w:sz w:val="26"/>
          <w:szCs w:val="26"/>
        </w:rPr>
        <w:t xml:space="preserve"> </w:t>
      </w:r>
      <w:r w:rsidR="00E553CF">
        <w:rPr>
          <w:rFonts w:asciiTheme="minorHAnsi" w:hAnsiTheme="minorHAnsi" w:cstheme="minorHAnsi"/>
          <w:sz w:val="26"/>
          <w:szCs w:val="26"/>
        </w:rPr>
        <w:t xml:space="preserve">the applicant persists with its reliance on s8(c) of the Insolvency Act </w:t>
      </w:r>
      <w:r>
        <w:rPr>
          <w:rFonts w:asciiTheme="minorHAnsi" w:hAnsiTheme="minorHAnsi" w:cstheme="minorHAnsi"/>
          <w:sz w:val="26"/>
          <w:szCs w:val="26"/>
        </w:rPr>
        <w:t xml:space="preserve">for </w:t>
      </w:r>
      <w:r w:rsidR="00E553CF">
        <w:rPr>
          <w:rFonts w:asciiTheme="minorHAnsi" w:hAnsiTheme="minorHAnsi" w:cstheme="minorHAnsi"/>
          <w:sz w:val="26"/>
          <w:szCs w:val="26"/>
        </w:rPr>
        <w:t>the act of insolvency allegedly committed by the respondent</w:t>
      </w:r>
      <w:r>
        <w:rPr>
          <w:rFonts w:asciiTheme="minorHAnsi" w:hAnsiTheme="minorHAnsi" w:cstheme="minorHAnsi"/>
          <w:sz w:val="26"/>
          <w:szCs w:val="26"/>
        </w:rPr>
        <w:t xml:space="preserve">. The </w:t>
      </w:r>
      <w:r w:rsidR="003E2B9B">
        <w:rPr>
          <w:rFonts w:asciiTheme="minorHAnsi" w:hAnsiTheme="minorHAnsi" w:cstheme="minorHAnsi"/>
          <w:sz w:val="26"/>
          <w:szCs w:val="26"/>
        </w:rPr>
        <w:t>allegations made</w:t>
      </w:r>
      <w:r>
        <w:rPr>
          <w:rFonts w:asciiTheme="minorHAnsi" w:hAnsiTheme="minorHAnsi" w:cstheme="minorHAnsi"/>
          <w:sz w:val="26"/>
          <w:szCs w:val="26"/>
        </w:rPr>
        <w:t xml:space="preserve"> directly adversely</w:t>
      </w:r>
      <w:r w:rsidR="003E2B9B">
        <w:rPr>
          <w:rFonts w:asciiTheme="minorHAnsi" w:hAnsiTheme="minorHAnsi" w:cstheme="minorHAnsi"/>
          <w:sz w:val="26"/>
          <w:szCs w:val="26"/>
        </w:rPr>
        <w:t xml:space="preserve"> involve and</w:t>
      </w:r>
      <w:r>
        <w:rPr>
          <w:rFonts w:asciiTheme="minorHAnsi" w:hAnsiTheme="minorHAnsi" w:cstheme="minorHAnsi"/>
          <w:sz w:val="26"/>
          <w:szCs w:val="26"/>
        </w:rPr>
        <w:t xml:space="preserve"> implicate the intervening party. A failure to give her an opportunity to rebut </w:t>
      </w:r>
      <w:r w:rsidR="003E2B9B">
        <w:rPr>
          <w:rFonts w:asciiTheme="minorHAnsi" w:hAnsiTheme="minorHAnsi" w:cstheme="minorHAnsi"/>
          <w:sz w:val="26"/>
          <w:szCs w:val="26"/>
        </w:rPr>
        <w:t>the obviously prejudicial allegations</w:t>
      </w:r>
      <w:r w:rsidR="00E553CF">
        <w:rPr>
          <w:rFonts w:asciiTheme="minorHAnsi" w:hAnsiTheme="minorHAnsi" w:cstheme="minorHAnsi"/>
          <w:sz w:val="26"/>
          <w:szCs w:val="26"/>
        </w:rPr>
        <w:t xml:space="preserve">, </w:t>
      </w:r>
      <w:r w:rsidR="003E2B9B">
        <w:rPr>
          <w:rFonts w:asciiTheme="minorHAnsi" w:hAnsiTheme="minorHAnsi" w:cstheme="minorHAnsi"/>
          <w:sz w:val="26"/>
          <w:szCs w:val="26"/>
        </w:rPr>
        <w:t xml:space="preserve">which </w:t>
      </w:r>
      <w:r w:rsidR="00E553CF">
        <w:rPr>
          <w:rFonts w:asciiTheme="minorHAnsi" w:hAnsiTheme="minorHAnsi" w:cstheme="minorHAnsi"/>
          <w:sz w:val="26"/>
          <w:szCs w:val="26"/>
        </w:rPr>
        <w:t>require proof on a balance of probabilities on the return date</w:t>
      </w:r>
      <w:r w:rsidR="003E2B9B">
        <w:rPr>
          <w:rFonts w:asciiTheme="minorHAnsi" w:hAnsiTheme="minorHAnsi" w:cstheme="minorHAnsi"/>
          <w:sz w:val="26"/>
          <w:szCs w:val="26"/>
        </w:rPr>
        <w:t xml:space="preserve">, would mean that her property would remain at risk based on </w:t>
      </w:r>
      <w:r w:rsidR="003E2B9B" w:rsidRPr="008957FF">
        <w:rPr>
          <w:rFonts w:asciiTheme="minorHAnsi" w:hAnsiTheme="minorHAnsi" w:cstheme="minorHAnsi"/>
          <w:i/>
          <w:sz w:val="26"/>
          <w:szCs w:val="26"/>
        </w:rPr>
        <w:t>prima facie</w:t>
      </w:r>
      <w:r w:rsidR="003E2B9B">
        <w:rPr>
          <w:rFonts w:asciiTheme="minorHAnsi" w:hAnsiTheme="minorHAnsi" w:cstheme="minorHAnsi"/>
          <w:sz w:val="26"/>
          <w:szCs w:val="26"/>
        </w:rPr>
        <w:t xml:space="preserve"> conclusions reached by </w:t>
      </w:r>
      <w:r w:rsidR="00E803AE">
        <w:rPr>
          <w:rFonts w:asciiTheme="minorHAnsi" w:hAnsiTheme="minorHAnsi" w:cstheme="minorHAnsi"/>
          <w:sz w:val="26"/>
          <w:szCs w:val="26"/>
        </w:rPr>
        <w:t>a</w:t>
      </w:r>
      <w:r w:rsidR="003E2B9B">
        <w:rPr>
          <w:rFonts w:asciiTheme="minorHAnsi" w:hAnsiTheme="minorHAnsi" w:cstheme="minorHAnsi"/>
          <w:sz w:val="26"/>
          <w:szCs w:val="26"/>
        </w:rPr>
        <w:t xml:space="preserve"> Judge and which, in the absence of controverting evidence, would result in conclusive proof. In that sense she has a material interest in the subject matter of the litigation and any judgment that the court hearing the main application will be tasked to give. </w:t>
      </w:r>
      <w:r w:rsidR="00E553CF">
        <w:rPr>
          <w:rFonts w:asciiTheme="minorHAnsi" w:hAnsiTheme="minorHAnsi" w:cstheme="minorHAnsi"/>
          <w:sz w:val="26"/>
          <w:szCs w:val="26"/>
        </w:rPr>
        <w:t xml:space="preserve"> It is not for this court to pre-empt what evidence may still be provided by the respondent in the main application in opposition to the relief sought by the applicant therein</w:t>
      </w:r>
      <w:r w:rsidR="008957FF">
        <w:rPr>
          <w:rFonts w:asciiTheme="minorHAnsi" w:hAnsiTheme="minorHAnsi" w:cstheme="minorHAnsi"/>
          <w:sz w:val="26"/>
          <w:szCs w:val="26"/>
        </w:rPr>
        <w:t xml:space="preserve"> on the return day</w:t>
      </w:r>
      <w:r w:rsidR="00E553CF">
        <w:rPr>
          <w:rFonts w:asciiTheme="minorHAnsi" w:hAnsiTheme="minorHAnsi" w:cstheme="minorHAnsi"/>
          <w:sz w:val="26"/>
          <w:szCs w:val="26"/>
        </w:rPr>
        <w:t>.</w:t>
      </w:r>
      <w:r w:rsidR="003E2B9B">
        <w:rPr>
          <w:rFonts w:asciiTheme="minorHAnsi" w:hAnsiTheme="minorHAnsi" w:cstheme="minorHAnsi"/>
          <w:sz w:val="26"/>
          <w:szCs w:val="26"/>
        </w:rPr>
        <w:t xml:space="preserve"> </w:t>
      </w:r>
    </w:p>
    <w:p w:rsidR="005F1772" w:rsidRPr="00346533" w:rsidRDefault="005F1772" w:rsidP="005F1772">
      <w:pPr>
        <w:pStyle w:val="ListParagraph"/>
        <w:rPr>
          <w:rFonts w:asciiTheme="minorHAnsi" w:hAnsiTheme="minorHAnsi" w:cstheme="minorHAnsi"/>
          <w:sz w:val="26"/>
          <w:szCs w:val="26"/>
        </w:rPr>
      </w:pPr>
    </w:p>
    <w:p w:rsidR="004B1EB6" w:rsidRPr="004B1EB6" w:rsidRDefault="003E2B9B" w:rsidP="004B1EB6">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It is apposite to quote the arguments proffered i</w:t>
      </w:r>
      <w:r w:rsidR="004B1EB6" w:rsidRPr="004B1EB6">
        <w:rPr>
          <w:rFonts w:asciiTheme="minorHAnsi" w:hAnsiTheme="minorHAnsi" w:cstheme="minorHAnsi"/>
          <w:sz w:val="26"/>
          <w:szCs w:val="26"/>
        </w:rPr>
        <w:t xml:space="preserve">n </w:t>
      </w:r>
      <w:r w:rsidR="004B1EB6" w:rsidRPr="004B1EB6">
        <w:rPr>
          <w:rFonts w:asciiTheme="minorHAnsi" w:hAnsiTheme="minorHAnsi" w:cstheme="minorHAnsi"/>
          <w:i/>
          <w:sz w:val="26"/>
          <w:szCs w:val="26"/>
        </w:rPr>
        <w:t>Maritz</w:t>
      </w:r>
      <w:r>
        <w:rPr>
          <w:rFonts w:asciiTheme="minorHAnsi" w:hAnsiTheme="minorHAnsi" w:cstheme="minorHAnsi"/>
          <w:i/>
          <w:sz w:val="26"/>
          <w:szCs w:val="26"/>
        </w:rPr>
        <w:t>:</w:t>
      </w:r>
      <w:r w:rsidR="004B1EB6" w:rsidRPr="004B1EB6">
        <w:rPr>
          <w:rStyle w:val="FootnoteReference"/>
          <w:rFonts w:asciiTheme="minorHAnsi" w:hAnsiTheme="minorHAnsi" w:cstheme="minorHAnsi"/>
          <w:i/>
          <w:sz w:val="26"/>
          <w:szCs w:val="26"/>
        </w:rPr>
        <w:footnoteReference w:id="15"/>
      </w:r>
      <w:r w:rsidR="004B1EB6" w:rsidRPr="004B1EB6">
        <w:rPr>
          <w:rFonts w:asciiTheme="minorHAnsi" w:hAnsiTheme="minorHAnsi" w:cstheme="minorHAnsi"/>
          <w:i/>
          <w:sz w:val="26"/>
          <w:szCs w:val="26"/>
        </w:rPr>
        <w:t xml:space="preserve"> </w:t>
      </w:r>
    </w:p>
    <w:p w:rsidR="004B1EB6" w:rsidRPr="00EB1BCE" w:rsidRDefault="004B1EB6" w:rsidP="004B1EB6">
      <w:pPr>
        <w:spacing w:line="276" w:lineRule="auto"/>
        <w:ind w:left="851" w:hanging="131"/>
        <w:jc w:val="both"/>
        <w:rPr>
          <w:rFonts w:asciiTheme="minorHAnsi" w:hAnsiTheme="minorHAnsi" w:cstheme="minorHAnsi"/>
          <w:sz w:val="22"/>
          <w:szCs w:val="22"/>
        </w:rPr>
      </w:pPr>
      <w:r w:rsidRPr="00EB1BCE">
        <w:rPr>
          <w:sz w:val="22"/>
          <w:szCs w:val="22"/>
        </w:rPr>
        <w:lastRenderedPageBreak/>
        <w:t>“</w:t>
      </w:r>
      <w:r>
        <w:t xml:space="preserve"> </w:t>
      </w:r>
      <w:r w:rsidRPr="00EB1BCE">
        <w:rPr>
          <w:rFonts w:asciiTheme="minorHAnsi" w:hAnsiTheme="minorHAnsi" w:cstheme="minorHAnsi"/>
          <w:color w:val="000000"/>
          <w:sz w:val="22"/>
          <w:szCs w:val="22"/>
        </w:rPr>
        <w:t>Both the applicant and the intervening creditor submitted that the intervening respondent did not have</w:t>
      </w:r>
      <w:r>
        <w:rPr>
          <w:rFonts w:cstheme="minorHAnsi"/>
          <w:color w:val="000000"/>
        </w:rPr>
        <w:t xml:space="preserve"> </w:t>
      </w:r>
      <w:r w:rsidRPr="00EB1BCE">
        <w:rPr>
          <w:rFonts w:asciiTheme="minorHAnsi" w:hAnsiTheme="minorHAnsi" w:cstheme="minorHAnsi"/>
          <w:i/>
          <w:iCs/>
          <w:color w:val="000000"/>
          <w:sz w:val="22"/>
          <w:szCs w:val="22"/>
        </w:rPr>
        <w:t>locus standi</w:t>
      </w:r>
      <w:r>
        <w:rPr>
          <w:rFonts w:cstheme="minorHAnsi"/>
          <w:color w:val="000000"/>
        </w:rPr>
        <w:t xml:space="preserve"> </w:t>
      </w:r>
      <w:r w:rsidRPr="00EB1BCE">
        <w:rPr>
          <w:rFonts w:asciiTheme="minorHAnsi" w:hAnsiTheme="minorHAnsi" w:cstheme="minorHAnsi"/>
          <w:color w:val="000000"/>
          <w:sz w:val="22"/>
          <w:szCs w:val="22"/>
        </w:rPr>
        <w:t>to intervene in the proceedings.</w:t>
      </w:r>
    </w:p>
    <w:p w:rsidR="004B1EB6" w:rsidRPr="00EB1BCE" w:rsidRDefault="004B1EB6" w:rsidP="004B1EB6">
      <w:pPr>
        <w:spacing w:line="276" w:lineRule="auto"/>
        <w:ind w:left="851"/>
        <w:jc w:val="both"/>
        <w:rPr>
          <w:rFonts w:asciiTheme="minorHAnsi" w:hAnsiTheme="minorHAnsi" w:cstheme="minorHAnsi"/>
          <w:sz w:val="22"/>
          <w:szCs w:val="22"/>
        </w:rPr>
      </w:pPr>
      <w:r w:rsidRPr="00EB1BCE">
        <w:rPr>
          <w:rFonts w:asciiTheme="minorHAnsi" w:hAnsiTheme="minorHAnsi" w:cstheme="minorHAnsi"/>
          <w:color w:val="000000"/>
          <w:sz w:val="22"/>
          <w:szCs w:val="22"/>
        </w:rPr>
        <w:t>They argued that the farm purchased by the intervening respondent does not form the subject-matter of the present applications and that the intervening respondent's interest is a</w:t>
      </w:r>
      <w:r>
        <w:rPr>
          <w:rFonts w:cstheme="minorHAnsi"/>
          <w:color w:val="000000"/>
        </w:rPr>
        <w:t xml:space="preserve"> </w:t>
      </w:r>
      <w:r w:rsidRPr="00EB1BCE">
        <w:rPr>
          <w:rFonts w:asciiTheme="minorHAnsi" w:hAnsiTheme="minorHAnsi" w:cstheme="minorHAnsi"/>
          <w:color w:val="000000"/>
          <w:sz w:val="22"/>
          <w:szCs w:val="22"/>
        </w:rPr>
        <w:t>financial interest which was only an indirect interest in the present litigation where the respondents' sequestration was sought. Moreover, the applicant disputed that the intervening respondent was a creditor of the respondents. Accordingly they alleged that the intervening respo</w:t>
      </w:r>
      <w:r>
        <w:rPr>
          <w:rFonts w:cstheme="minorHAnsi"/>
          <w:color w:val="000000"/>
        </w:rPr>
        <w:t xml:space="preserve">ndent did not have a direct and </w:t>
      </w:r>
      <w:r w:rsidRPr="00EB1BCE">
        <w:rPr>
          <w:rFonts w:asciiTheme="minorHAnsi" w:hAnsiTheme="minorHAnsi" w:cstheme="minorHAnsi"/>
          <w:color w:val="000000"/>
          <w:sz w:val="22"/>
          <w:szCs w:val="22"/>
        </w:rPr>
        <w:t>substantial interest in the subject-matter before the Court (cf</w:t>
      </w:r>
      <w:r>
        <w:rPr>
          <w:rFonts w:cstheme="minorHAnsi"/>
          <w:color w:val="000000"/>
        </w:rPr>
        <w:t xml:space="preserve"> </w:t>
      </w:r>
      <w:r w:rsidRPr="00EB1BCE">
        <w:rPr>
          <w:rFonts w:asciiTheme="minorHAnsi" w:hAnsiTheme="minorHAnsi" w:cstheme="minorHAnsi"/>
          <w:i/>
          <w:iCs/>
          <w:color w:val="000000"/>
          <w:sz w:val="22"/>
          <w:szCs w:val="22"/>
        </w:rPr>
        <w:t>Amalgamated Engineering Union v Minister of Labour</w:t>
      </w:r>
      <w:r>
        <w:rPr>
          <w:rFonts w:cstheme="minorHAnsi"/>
          <w:i/>
          <w:iCs/>
          <w:color w:val="000000"/>
        </w:rPr>
        <w:t xml:space="preserve"> </w:t>
      </w:r>
      <w:hyperlink r:id="rId9" w:tgtFrame="main" w:history="1">
        <w:r w:rsidRPr="008957FF">
          <w:rPr>
            <w:rStyle w:val="Hyperlink"/>
            <w:rFonts w:asciiTheme="minorHAnsi" w:eastAsiaTheme="majorEastAsia" w:hAnsiTheme="minorHAnsi" w:cstheme="minorHAnsi"/>
            <w:color w:val="auto"/>
            <w:sz w:val="22"/>
            <w:szCs w:val="22"/>
            <w:u w:val="none"/>
          </w:rPr>
          <w:t>1949 (3) SA 637 (A)</w:t>
        </w:r>
      </w:hyperlink>
      <w:r w:rsidRPr="008957FF">
        <w:rPr>
          <w:rStyle w:val="Hyperlink"/>
          <w:rFonts w:cstheme="minorHAnsi"/>
          <w:color w:val="auto"/>
          <w:u w:val="none"/>
        </w:rPr>
        <w:t xml:space="preserve"> </w:t>
      </w:r>
      <w:r w:rsidRPr="00EB1BCE">
        <w:rPr>
          <w:rFonts w:asciiTheme="minorHAnsi" w:hAnsiTheme="minorHAnsi" w:cstheme="minorHAnsi"/>
          <w:color w:val="000000"/>
          <w:sz w:val="22"/>
          <w:szCs w:val="22"/>
        </w:rPr>
        <w:t>at 657) and that its interest was only an indirect financial inter</w:t>
      </w:r>
      <w:r w:rsidR="008957FF">
        <w:rPr>
          <w:rFonts w:asciiTheme="minorHAnsi" w:hAnsiTheme="minorHAnsi" w:cstheme="minorHAnsi"/>
          <w:color w:val="000000"/>
          <w:sz w:val="22"/>
          <w:szCs w:val="22"/>
        </w:rPr>
        <w:t xml:space="preserve">est in the litigation (cf </w:t>
      </w:r>
      <w:r w:rsidRPr="00EB1BCE">
        <w:rPr>
          <w:rFonts w:asciiTheme="minorHAnsi" w:hAnsiTheme="minorHAnsi" w:cstheme="minorHAnsi"/>
          <w:i/>
          <w:iCs/>
          <w:color w:val="000000"/>
          <w:sz w:val="22"/>
          <w:szCs w:val="22"/>
        </w:rPr>
        <w:t>Henri Viljoen (Pty) Ltd v Awerbuch Brothers</w:t>
      </w:r>
      <w:r>
        <w:rPr>
          <w:rFonts w:cstheme="minorHAnsi"/>
          <w:i/>
          <w:iCs/>
          <w:color w:val="000000"/>
        </w:rPr>
        <w:t xml:space="preserve"> </w:t>
      </w:r>
      <w:hyperlink r:id="rId10" w:tgtFrame="main" w:history="1">
        <w:r w:rsidRPr="008957FF">
          <w:rPr>
            <w:rStyle w:val="Hyperlink"/>
            <w:rFonts w:asciiTheme="minorHAnsi" w:eastAsiaTheme="majorEastAsia" w:hAnsiTheme="minorHAnsi" w:cstheme="minorHAnsi"/>
            <w:color w:val="auto"/>
            <w:sz w:val="22"/>
            <w:szCs w:val="22"/>
            <w:u w:val="none"/>
          </w:rPr>
          <w:t>1953 (2) SA 151 (O)</w:t>
        </w:r>
      </w:hyperlink>
      <w:r w:rsidRPr="008957FF">
        <w:rPr>
          <w:rStyle w:val="Hyperlink"/>
          <w:rFonts w:cstheme="minorHAnsi"/>
          <w:color w:val="auto"/>
          <w:u w:val="none"/>
        </w:rPr>
        <w:t xml:space="preserve"> </w:t>
      </w:r>
      <w:r w:rsidRPr="00EB1BCE">
        <w:rPr>
          <w:rFonts w:asciiTheme="minorHAnsi" w:hAnsiTheme="minorHAnsi" w:cstheme="minorHAnsi"/>
          <w:color w:val="000000"/>
          <w:sz w:val="22"/>
          <w:szCs w:val="22"/>
        </w:rPr>
        <w:t>at 169).</w:t>
      </w:r>
      <w:r w:rsidRPr="00EB1BCE">
        <w:rPr>
          <w:rFonts w:cstheme="minorHAnsi"/>
          <w:color w:val="000000"/>
          <w:sz w:val="22"/>
          <w:szCs w:val="22"/>
        </w:rPr>
        <w:t>”</w:t>
      </w:r>
    </w:p>
    <w:p w:rsidR="004B1EB6" w:rsidRDefault="004B1EB6" w:rsidP="004B1EB6">
      <w:pPr>
        <w:spacing w:line="276" w:lineRule="auto"/>
        <w:jc w:val="both"/>
        <w:rPr>
          <w:rFonts w:asciiTheme="minorHAnsi" w:hAnsiTheme="minorHAnsi" w:cstheme="minorHAnsi"/>
          <w:color w:val="000000"/>
          <w:sz w:val="26"/>
          <w:szCs w:val="26"/>
        </w:rPr>
      </w:pPr>
    </w:p>
    <w:p w:rsidR="004B1EB6" w:rsidRPr="004B1EB6" w:rsidRDefault="004B1EB6" w:rsidP="004B1EB6">
      <w:pPr>
        <w:pStyle w:val="ListParagraph"/>
        <w:spacing w:after="200" w:line="360" w:lineRule="auto"/>
        <w:ind w:left="851"/>
        <w:jc w:val="both"/>
        <w:rPr>
          <w:rFonts w:asciiTheme="minorHAnsi" w:hAnsiTheme="minorHAnsi" w:cstheme="minorHAnsi"/>
          <w:sz w:val="26"/>
          <w:szCs w:val="26"/>
        </w:rPr>
      </w:pPr>
      <w:r w:rsidRPr="004B1EB6">
        <w:rPr>
          <w:rFonts w:asciiTheme="minorHAnsi" w:hAnsiTheme="minorHAnsi" w:cstheme="minorHAnsi"/>
          <w:color w:val="000000"/>
          <w:sz w:val="26"/>
          <w:szCs w:val="26"/>
        </w:rPr>
        <w:t>The court dealt with such arguments as follows:</w:t>
      </w:r>
      <w:r w:rsidRPr="004B1EB6">
        <w:rPr>
          <w:rStyle w:val="FootnoteReference"/>
          <w:rFonts w:asciiTheme="minorHAnsi" w:hAnsiTheme="minorHAnsi" w:cstheme="minorHAnsi"/>
          <w:color w:val="000000"/>
          <w:sz w:val="26"/>
          <w:szCs w:val="26"/>
        </w:rPr>
        <w:footnoteReference w:id="16"/>
      </w:r>
    </w:p>
    <w:p w:rsidR="004B1EB6" w:rsidRDefault="004B1EB6" w:rsidP="004B1EB6">
      <w:pPr>
        <w:spacing w:line="276" w:lineRule="auto"/>
        <w:ind w:left="142" w:hanging="142"/>
        <w:jc w:val="both"/>
        <w:rPr>
          <w:rFonts w:cstheme="minorHAnsi"/>
          <w:color w:val="000000"/>
          <w:sz w:val="22"/>
          <w:szCs w:val="22"/>
        </w:rPr>
      </w:pPr>
    </w:p>
    <w:p w:rsidR="004B1EB6" w:rsidRPr="00EB1BCE" w:rsidRDefault="004B1EB6" w:rsidP="004B1EB6">
      <w:pPr>
        <w:spacing w:line="276" w:lineRule="auto"/>
        <w:ind w:left="851" w:hanging="131"/>
        <w:jc w:val="both"/>
        <w:rPr>
          <w:rFonts w:asciiTheme="minorHAnsi" w:hAnsiTheme="minorHAnsi" w:cstheme="minorHAnsi"/>
          <w:sz w:val="22"/>
          <w:szCs w:val="22"/>
        </w:rPr>
      </w:pPr>
      <w:r w:rsidRPr="00EB1BCE">
        <w:rPr>
          <w:rFonts w:cstheme="minorHAnsi"/>
          <w:color w:val="000000"/>
          <w:sz w:val="22"/>
          <w:szCs w:val="22"/>
        </w:rPr>
        <w:t>“</w:t>
      </w:r>
      <w:r>
        <w:rPr>
          <w:rFonts w:cstheme="minorHAnsi"/>
          <w:color w:val="000000"/>
        </w:rPr>
        <w:t xml:space="preserve"> </w:t>
      </w:r>
      <w:r w:rsidRPr="00EB1BCE">
        <w:rPr>
          <w:rFonts w:asciiTheme="minorHAnsi" w:hAnsiTheme="minorHAnsi" w:cstheme="minorHAnsi"/>
          <w:color w:val="000000"/>
          <w:sz w:val="22"/>
          <w:szCs w:val="22"/>
        </w:rPr>
        <w:t xml:space="preserve">Moreover, as pointed out by Catherine Smith </w:t>
      </w:r>
      <w:r w:rsidR="008957FF">
        <w:rPr>
          <w:rFonts w:asciiTheme="minorHAnsi" w:hAnsiTheme="minorHAnsi" w:cstheme="minorHAnsi"/>
          <w:color w:val="000000"/>
          <w:sz w:val="22"/>
          <w:szCs w:val="22"/>
        </w:rPr>
        <w:t xml:space="preserve">in </w:t>
      </w:r>
      <w:r w:rsidRPr="00EB1BCE">
        <w:rPr>
          <w:rFonts w:asciiTheme="minorHAnsi" w:hAnsiTheme="minorHAnsi" w:cstheme="minorHAnsi"/>
          <w:i/>
          <w:iCs/>
          <w:color w:val="000000"/>
          <w:sz w:val="22"/>
          <w:szCs w:val="22"/>
        </w:rPr>
        <w:t>The Law of Insolvency</w:t>
      </w:r>
      <w:r w:rsidR="008957FF">
        <w:rPr>
          <w:rFonts w:asciiTheme="minorHAnsi" w:hAnsiTheme="minorHAnsi" w:cstheme="minorHAnsi"/>
          <w:color w:val="000000"/>
          <w:sz w:val="22"/>
          <w:szCs w:val="22"/>
        </w:rPr>
        <w:t xml:space="preserve"> </w:t>
      </w:r>
      <w:r w:rsidRPr="00EB1BCE">
        <w:rPr>
          <w:rFonts w:asciiTheme="minorHAnsi" w:hAnsiTheme="minorHAnsi" w:cstheme="minorHAnsi"/>
          <w:color w:val="000000"/>
          <w:sz w:val="22"/>
          <w:szCs w:val="22"/>
        </w:rPr>
        <w:t xml:space="preserve">3rd ed at 79, there is nothing in the Insolvency Act which in any way limits the common-law powers of the Courts in respect of intervention in sequestration proceedings. See also </w:t>
      </w:r>
      <w:r w:rsidRPr="008957FF">
        <w:rPr>
          <w:rFonts w:asciiTheme="minorHAnsi" w:hAnsiTheme="minorHAnsi" w:cstheme="minorHAnsi"/>
          <w:color w:val="000000"/>
          <w:sz w:val="22"/>
          <w:szCs w:val="22"/>
        </w:rPr>
        <w:t>Meskin </w:t>
      </w:r>
      <w:r w:rsidRPr="008957FF">
        <w:rPr>
          <w:rFonts w:asciiTheme="minorHAnsi" w:hAnsiTheme="minorHAnsi" w:cstheme="minorHAnsi"/>
          <w:i/>
          <w:iCs/>
          <w:color w:val="000000"/>
          <w:sz w:val="22"/>
          <w:szCs w:val="22"/>
        </w:rPr>
        <w:t>Insolvency Law</w:t>
      </w:r>
      <w:r w:rsidR="008957FF">
        <w:rPr>
          <w:rFonts w:asciiTheme="minorHAnsi" w:hAnsiTheme="minorHAnsi" w:cstheme="minorHAnsi"/>
          <w:color w:val="000000"/>
          <w:sz w:val="22"/>
          <w:szCs w:val="22"/>
        </w:rPr>
        <w:t xml:space="preserve"> </w:t>
      </w:r>
      <w:r w:rsidRPr="008957FF">
        <w:rPr>
          <w:rFonts w:asciiTheme="minorHAnsi" w:hAnsiTheme="minorHAnsi" w:cstheme="minorHAnsi"/>
          <w:color w:val="000000"/>
          <w:sz w:val="22"/>
          <w:szCs w:val="22"/>
        </w:rPr>
        <w:t>at 2-37 para 2.1.11</w:t>
      </w:r>
    </w:p>
    <w:p w:rsidR="004B1EB6" w:rsidRDefault="004B1EB6" w:rsidP="004B1EB6">
      <w:pPr>
        <w:spacing w:line="276" w:lineRule="auto"/>
        <w:ind w:left="851"/>
        <w:jc w:val="both"/>
        <w:rPr>
          <w:rFonts w:asciiTheme="minorHAnsi" w:hAnsiTheme="minorHAnsi" w:cstheme="minorHAnsi"/>
          <w:color w:val="000000"/>
          <w:sz w:val="22"/>
          <w:szCs w:val="22"/>
        </w:rPr>
      </w:pPr>
    </w:p>
    <w:p w:rsidR="004B1EB6" w:rsidRPr="00EB1BCE" w:rsidRDefault="004B1EB6" w:rsidP="004B1EB6">
      <w:pPr>
        <w:spacing w:line="276" w:lineRule="auto"/>
        <w:ind w:left="851"/>
        <w:jc w:val="both"/>
        <w:rPr>
          <w:rFonts w:asciiTheme="minorHAnsi" w:hAnsiTheme="minorHAnsi" w:cstheme="minorHAnsi"/>
          <w:sz w:val="22"/>
          <w:szCs w:val="22"/>
        </w:rPr>
      </w:pPr>
      <w:r w:rsidRPr="00EB1BCE">
        <w:rPr>
          <w:rFonts w:asciiTheme="minorHAnsi" w:hAnsiTheme="minorHAnsi" w:cstheme="minorHAnsi"/>
          <w:color w:val="000000"/>
          <w:sz w:val="22"/>
          <w:szCs w:val="22"/>
        </w:rPr>
        <w:t xml:space="preserve">In these circumstances </w:t>
      </w:r>
      <w:r w:rsidRPr="00EB1BCE">
        <w:rPr>
          <w:rFonts w:asciiTheme="minorHAnsi" w:hAnsiTheme="minorHAnsi" w:cstheme="minorHAnsi"/>
          <w:b/>
          <w:color w:val="000000"/>
          <w:sz w:val="22"/>
          <w:szCs w:val="22"/>
        </w:rPr>
        <w:t>I am of the opinion that it can hardly be said that the intervening respondent does not have an interest in the present litigation where the expressly stated purpose of the litigation is to have a trustee appointed so that he can set aside the transaction which the intervening respondent seeks to protect</w:t>
      </w:r>
      <w:r w:rsidRPr="00EB1BCE">
        <w:rPr>
          <w:rFonts w:asciiTheme="minorHAnsi" w:hAnsiTheme="minorHAnsi" w:cstheme="minorHAnsi"/>
          <w:color w:val="000000"/>
          <w:sz w:val="22"/>
          <w:szCs w:val="22"/>
        </w:rPr>
        <w:t>.</w:t>
      </w:r>
    </w:p>
    <w:p w:rsidR="004B1EB6" w:rsidRDefault="004B1EB6" w:rsidP="004B1EB6">
      <w:pPr>
        <w:pStyle w:val="ListParagraph"/>
        <w:spacing w:after="200" w:line="276" w:lineRule="auto"/>
        <w:ind w:left="851"/>
        <w:jc w:val="both"/>
        <w:rPr>
          <w:rFonts w:asciiTheme="minorHAnsi" w:hAnsiTheme="minorHAnsi" w:cstheme="minorHAnsi"/>
          <w:b/>
          <w:color w:val="000000"/>
          <w:sz w:val="22"/>
          <w:szCs w:val="22"/>
        </w:rPr>
      </w:pPr>
    </w:p>
    <w:p w:rsidR="005F1772" w:rsidRPr="004B1EB6" w:rsidRDefault="004B1EB6" w:rsidP="004B1EB6">
      <w:pPr>
        <w:pStyle w:val="ListParagraph"/>
        <w:spacing w:after="200" w:line="276" w:lineRule="auto"/>
        <w:ind w:left="851"/>
        <w:jc w:val="both"/>
        <w:rPr>
          <w:rFonts w:asciiTheme="minorHAnsi" w:hAnsiTheme="minorHAnsi" w:cstheme="minorHAnsi"/>
          <w:sz w:val="26"/>
          <w:szCs w:val="26"/>
        </w:rPr>
      </w:pPr>
      <w:r w:rsidRPr="00EB1BCE">
        <w:rPr>
          <w:rFonts w:asciiTheme="minorHAnsi" w:hAnsiTheme="minorHAnsi" w:cstheme="minorHAnsi"/>
          <w:b/>
          <w:color w:val="000000"/>
          <w:sz w:val="22"/>
          <w:szCs w:val="22"/>
        </w:rPr>
        <w:t>While this may be correct, the fact is that the Court has a discretion to allow the intervention of a party on the grounds of convenience and in my opinion this is clearly a matter in which I should exercise such a discretion in the intervening respondent's favour and allow him to join in the proceedings</w:t>
      </w:r>
      <w:r w:rsidRPr="00EB1BCE">
        <w:rPr>
          <w:rFonts w:asciiTheme="minorHAnsi" w:hAnsiTheme="minorHAnsi" w:cstheme="minorHAnsi"/>
          <w:color w:val="000000"/>
          <w:sz w:val="22"/>
          <w:szCs w:val="22"/>
        </w:rPr>
        <w:t xml:space="preserve"> notwithstanding the defects in the formulation of this claim. See</w:t>
      </w:r>
      <w:r>
        <w:rPr>
          <w:rFonts w:cstheme="minorHAnsi"/>
          <w:color w:val="000000"/>
        </w:rPr>
        <w:t xml:space="preserve"> </w:t>
      </w:r>
      <w:r w:rsidRPr="00EB1BCE">
        <w:rPr>
          <w:rFonts w:asciiTheme="minorHAnsi" w:hAnsiTheme="minorHAnsi" w:cstheme="minorHAnsi"/>
          <w:i/>
          <w:iCs/>
          <w:color w:val="000000"/>
          <w:sz w:val="22"/>
          <w:szCs w:val="22"/>
        </w:rPr>
        <w:t>Ex parte Pearson and Hutton NNO</w:t>
      </w:r>
      <w:r>
        <w:rPr>
          <w:rFonts w:cstheme="minorHAnsi"/>
          <w:color w:val="000000"/>
        </w:rPr>
        <w:t xml:space="preserve"> </w:t>
      </w:r>
      <w:hyperlink r:id="rId11" w:tgtFrame="main" w:history="1">
        <w:r w:rsidRPr="008957FF">
          <w:rPr>
            <w:rStyle w:val="Hyperlink"/>
            <w:rFonts w:asciiTheme="minorHAnsi" w:eastAsiaTheme="majorEastAsia" w:hAnsiTheme="minorHAnsi" w:cstheme="minorHAnsi"/>
            <w:color w:val="auto"/>
            <w:sz w:val="22"/>
            <w:szCs w:val="22"/>
            <w:u w:val="none"/>
          </w:rPr>
          <w:t>1967 (1) SA 103 (E)</w:t>
        </w:r>
      </w:hyperlink>
      <w:r>
        <w:rPr>
          <w:rFonts w:cstheme="minorHAnsi"/>
          <w:color w:val="000000"/>
        </w:rPr>
        <w:t xml:space="preserve"> at 106H - 108H; </w:t>
      </w:r>
      <w:r w:rsidRPr="00EB1BCE">
        <w:rPr>
          <w:rFonts w:asciiTheme="minorHAnsi" w:hAnsiTheme="minorHAnsi" w:cstheme="minorHAnsi"/>
          <w:i/>
          <w:iCs/>
          <w:color w:val="000000"/>
          <w:sz w:val="22"/>
          <w:szCs w:val="22"/>
        </w:rPr>
        <w:t>Rabinowitz and Another NNO v Ned-Equity Insurance Co Ltd and Another</w:t>
      </w:r>
      <w:r>
        <w:rPr>
          <w:rFonts w:cstheme="minorHAnsi"/>
          <w:color w:val="000000"/>
        </w:rPr>
        <w:t xml:space="preserve"> </w:t>
      </w:r>
      <w:r w:rsidRPr="00EB1BCE">
        <w:rPr>
          <w:rFonts w:asciiTheme="minorHAnsi" w:hAnsiTheme="minorHAnsi" w:cstheme="minorHAnsi"/>
          <w:color w:val="000000"/>
          <w:sz w:val="22"/>
          <w:szCs w:val="22"/>
        </w:rPr>
        <w:t>1980 (3)</w:t>
      </w:r>
      <w:r>
        <w:rPr>
          <w:rFonts w:cstheme="minorHAnsi"/>
          <w:color w:val="000000"/>
        </w:rPr>
        <w:t xml:space="preserve"> SA 415 (W) at 419D - F; </w:t>
      </w:r>
      <w:r w:rsidRPr="00EB1BCE">
        <w:rPr>
          <w:rFonts w:asciiTheme="minorHAnsi" w:hAnsiTheme="minorHAnsi" w:cstheme="minorHAnsi"/>
          <w:i/>
          <w:iCs/>
          <w:color w:val="000000"/>
          <w:sz w:val="22"/>
          <w:szCs w:val="22"/>
        </w:rPr>
        <w:t>Hetz v Empire Auctioneers &amp; Estate Agents</w:t>
      </w:r>
      <w:r>
        <w:rPr>
          <w:rFonts w:cstheme="minorHAnsi"/>
          <w:color w:val="000000"/>
        </w:rPr>
        <w:t xml:space="preserve"> </w:t>
      </w:r>
      <w:hyperlink r:id="rId12" w:tgtFrame="main" w:history="1">
        <w:r w:rsidRPr="008957FF">
          <w:rPr>
            <w:rStyle w:val="Hyperlink"/>
            <w:rFonts w:asciiTheme="minorHAnsi" w:eastAsiaTheme="majorEastAsia" w:hAnsiTheme="minorHAnsi" w:cstheme="minorHAnsi"/>
            <w:color w:val="auto"/>
            <w:sz w:val="22"/>
            <w:szCs w:val="22"/>
            <w:u w:val="none"/>
          </w:rPr>
          <w:t>1962 (1) SA 558 (T)</w:t>
        </w:r>
      </w:hyperlink>
      <w:r>
        <w:rPr>
          <w:rFonts w:cstheme="minorHAnsi"/>
          <w:color w:val="000000"/>
        </w:rPr>
        <w:t xml:space="preserve">; </w:t>
      </w:r>
      <w:r w:rsidRPr="00EB1BCE">
        <w:rPr>
          <w:rFonts w:asciiTheme="minorHAnsi" w:hAnsiTheme="minorHAnsi" w:cstheme="minorHAnsi"/>
          <w:i/>
          <w:iCs/>
          <w:color w:val="000000"/>
          <w:sz w:val="22"/>
          <w:szCs w:val="22"/>
        </w:rPr>
        <w:t>Holzman NO and Another v Knights Engineering and Precision Works (Pty) Ltd</w:t>
      </w:r>
      <w:r>
        <w:rPr>
          <w:rFonts w:cstheme="minorHAnsi"/>
          <w:color w:val="000000"/>
        </w:rPr>
        <w:t xml:space="preserve"> </w:t>
      </w:r>
      <w:hyperlink r:id="rId13" w:tgtFrame="main" w:history="1">
        <w:r w:rsidRPr="008957FF">
          <w:rPr>
            <w:rStyle w:val="Hyperlink"/>
            <w:rFonts w:asciiTheme="minorHAnsi" w:eastAsiaTheme="majorEastAsia" w:hAnsiTheme="minorHAnsi" w:cstheme="minorHAnsi"/>
            <w:color w:val="auto"/>
            <w:sz w:val="22"/>
            <w:szCs w:val="22"/>
            <w:u w:val="none"/>
          </w:rPr>
          <w:t>1979 (2) SA 784 (W)</w:t>
        </w:r>
      </w:hyperlink>
      <w:r>
        <w:rPr>
          <w:rFonts w:cstheme="minorHAnsi"/>
          <w:color w:val="000000"/>
        </w:rPr>
        <w:t xml:space="preserve"> </w:t>
      </w:r>
      <w:r w:rsidRPr="00EB1BCE">
        <w:rPr>
          <w:rFonts w:asciiTheme="minorHAnsi" w:hAnsiTheme="minorHAnsi" w:cstheme="minorHAnsi"/>
          <w:color w:val="000000"/>
          <w:sz w:val="22"/>
          <w:szCs w:val="22"/>
        </w:rPr>
        <w:t>at 796H.</w:t>
      </w:r>
      <w:r w:rsidRPr="00EB1BCE">
        <w:rPr>
          <w:rFonts w:cstheme="minorHAnsi"/>
          <w:color w:val="000000"/>
          <w:sz w:val="22"/>
          <w:szCs w:val="22"/>
        </w:rPr>
        <w:t>”</w:t>
      </w:r>
      <w:r>
        <w:rPr>
          <w:rFonts w:cstheme="minorHAnsi"/>
          <w:color w:val="000000"/>
        </w:rPr>
        <w:t xml:space="preserve"> </w:t>
      </w:r>
      <w:r w:rsidRPr="004B1EB6">
        <w:rPr>
          <w:rFonts w:asciiTheme="minorHAnsi" w:hAnsiTheme="minorHAnsi" w:cstheme="minorHAnsi"/>
          <w:color w:val="000000"/>
          <w:sz w:val="26"/>
          <w:szCs w:val="26"/>
        </w:rPr>
        <w:t>(emphasis</w:t>
      </w:r>
      <w:r w:rsidR="002D64B6">
        <w:rPr>
          <w:rFonts w:asciiTheme="minorHAnsi" w:hAnsiTheme="minorHAnsi" w:cstheme="minorHAnsi"/>
          <w:color w:val="000000"/>
          <w:sz w:val="26"/>
          <w:szCs w:val="26"/>
        </w:rPr>
        <w:t xml:space="preserve"> added</w:t>
      </w:r>
      <w:r w:rsidRPr="004B1EB6">
        <w:rPr>
          <w:rFonts w:asciiTheme="minorHAnsi" w:hAnsiTheme="minorHAnsi" w:cstheme="minorHAnsi"/>
          <w:color w:val="000000"/>
          <w:sz w:val="26"/>
          <w:szCs w:val="26"/>
        </w:rPr>
        <w:t>)</w:t>
      </w:r>
    </w:p>
    <w:p w:rsidR="005F1772" w:rsidRPr="00E85CE9" w:rsidRDefault="005F1772" w:rsidP="005F1772">
      <w:pPr>
        <w:pStyle w:val="ListParagraph"/>
        <w:rPr>
          <w:rFonts w:asciiTheme="minorHAnsi" w:hAnsiTheme="minorHAnsi" w:cstheme="minorHAnsi"/>
          <w:sz w:val="26"/>
          <w:szCs w:val="26"/>
        </w:rPr>
      </w:pPr>
    </w:p>
    <w:p w:rsidR="004B1EB6" w:rsidRPr="004B1EB6" w:rsidRDefault="004B1EB6" w:rsidP="004B1EB6">
      <w:pPr>
        <w:pStyle w:val="ListParagraph"/>
        <w:numPr>
          <w:ilvl w:val="0"/>
          <w:numId w:val="3"/>
        </w:numPr>
        <w:spacing w:after="200" w:line="360" w:lineRule="auto"/>
        <w:jc w:val="both"/>
        <w:rPr>
          <w:rFonts w:asciiTheme="minorHAnsi" w:hAnsiTheme="minorHAnsi" w:cstheme="minorHAnsi"/>
          <w:sz w:val="22"/>
          <w:szCs w:val="22"/>
        </w:rPr>
      </w:pPr>
      <w:r w:rsidRPr="004B1EB6">
        <w:rPr>
          <w:rFonts w:asciiTheme="minorHAnsi" w:hAnsiTheme="minorHAnsi" w:cstheme="minorHAnsi"/>
          <w:sz w:val="26"/>
          <w:szCs w:val="26"/>
        </w:rPr>
        <w:t xml:space="preserve">Albeit that the facts in </w:t>
      </w:r>
      <w:r w:rsidRPr="004B1EB6">
        <w:rPr>
          <w:rFonts w:asciiTheme="minorHAnsi" w:hAnsiTheme="minorHAnsi" w:cstheme="minorHAnsi"/>
          <w:i/>
          <w:sz w:val="26"/>
          <w:szCs w:val="26"/>
        </w:rPr>
        <w:t>Martiz</w:t>
      </w:r>
      <w:r w:rsidRPr="004B1EB6">
        <w:rPr>
          <w:rFonts w:asciiTheme="minorHAnsi" w:hAnsiTheme="minorHAnsi" w:cstheme="minorHAnsi"/>
          <w:sz w:val="26"/>
          <w:szCs w:val="26"/>
        </w:rPr>
        <w:t xml:space="preserve"> are not exactly the same as in </w:t>
      </w:r>
      <w:r w:rsidRPr="004B1EB6">
        <w:rPr>
          <w:rFonts w:asciiTheme="minorHAnsi" w:hAnsiTheme="minorHAnsi" w:cstheme="minorHAnsi"/>
          <w:i/>
          <w:sz w:val="26"/>
          <w:szCs w:val="26"/>
        </w:rPr>
        <w:t>casu</w:t>
      </w:r>
      <w:r w:rsidRPr="004B1EB6">
        <w:rPr>
          <w:rFonts w:asciiTheme="minorHAnsi" w:hAnsiTheme="minorHAnsi" w:cstheme="minorHAnsi"/>
          <w:sz w:val="26"/>
          <w:szCs w:val="26"/>
        </w:rPr>
        <w:t>,</w:t>
      </w:r>
      <w:r w:rsidRPr="004B1EB6">
        <w:rPr>
          <w:rStyle w:val="FootnoteReference"/>
          <w:rFonts w:asciiTheme="minorHAnsi" w:hAnsiTheme="minorHAnsi" w:cstheme="minorHAnsi"/>
          <w:sz w:val="26"/>
          <w:szCs w:val="26"/>
        </w:rPr>
        <w:footnoteReference w:id="17"/>
      </w:r>
      <w:r w:rsidRPr="004B1EB6">
        <w:rPr>
          <w:rFonts w:asciiTheme="minorHAnsi" w:hAnsiTheme="minorHAnsi" w:cstheme="minorHAnsi"/>
          <w:sz w:val="26"/>
          <w:szCs w:val="26"/>
        </w:rPr>
        <w:t xml:space="preserve"> the fact remains that the court </w:t>
      </w:r>
      <w:r>
        <w:rPr>
          <w:rFonts w:asciiTheme="minorHAnsi" w:hAnsiTheme="minorHAnsi" w:cstheme="minorHAnsi"/>
          <w:sz w:val="26"/>
          <w:szCs w:val="26"/>
        </w:rPr>
        <w:t>in that case</w:t>
      </w:r>
      <w:r w:rsidRPr="004B1EB6">
        <w:rPr>
          <w:rFonts w:asciiTheme="minorHAnsi" w:hAnsiTheme="minorHAnsi" w:cstheme="minorHAnsi"/>
          <w:sz w:val="26"/>
          <w:szCs w:val="26"/>
        </w:rPr>
        <w:t xml:space="preserve"> dealt with a similar argument to that </w:t>
      </w:r>
      <w:r w:rsidRPr="004B1EB6">
        <w:rPr>
          <w:rFonts w:asciiTheme="minorHAnsi" w:hAnsiTheme="minorHAnsi" w:cstheme="minorHAnsi"/>
          <w:sz w:val="26"/>
          <w:szCs w:val="26"/>
        </w:rPr>
        <w:lastRenderedPageBreak/>
        <w:t xml:space="preserve">proffered </w:t>
      </w:r>
      <w:r w:rsidR="008957FF">
        <w:rPr>
          <w:rFonts w:asciiTheme="minorHAnsi" w:hAnsiTheme="minorHAnsi" w:cstheme="minorHAnsi"/>
          <w:sz w:val="26"/>
          <w:szCs w:val="26"/>
        </w:rPr>
        <w:t xml:space="preserve">by the applicant </w:t>
      </w:r>
      <w:r w:rsidRPr="004B1EB6">
        <w:rPr>
          <w:rFonts w:asciiTheme="minorHAnsi" w:hAnsiTheme="minorHAnsi" w:cstheme="minorHAnsi"/>
          <w:sz w:val="26"/>
          <w:szCs w:val="26"/>
        </w:rPr>
        <w:t xml:space="preserve">in the present application. In paragraphs 44 and 45 of </w:t>
      </w:r>
      <w:r w:rsidR="008957FF">
        <w:rPr>
          <w:rFonts w:asciiTheme="minorHAnsi" w:hAnsiTheme="minorHAnsi" w:cstheme="minorHAnsi"/>
          <w:sz w:val="26"/>
          <w:szCs w:val="26"/>
        </w:rPr>
        <w:t>the Maritz</w:t>
      </w:r>
      <w:r w:rsidRPr="004B1EB6">
        <w:rPr>
          <w:rFonts w:asciiTheme="minorHAnsi" w:hAnsiTheme="minorHAnsi" w:cstheme="minorHAnsi"/>
          <w:sz w:val="26"/>
          <w:szCs w:val="26"/>
        </w:rPr>
        <w:t xml:space="preserve"> judgment, the argument was recapped and dealt with as follows:</w:t>
      </w:r>
    </w:p>
    <w:p w:rsidR="004B1EB6" w:rsidRPr="00D8549B" w:rsidRDefault="004B1EB6" w:rsidP="004B1EB6">
      <w:pPr>
        <w:spacing w:line="276" w:lineRule="auto"/>
        <w:ind w:left="851" w:hanging="131"/>
        <w:jc w:val="both"/>
        <w:rPr>
          <w:rFonts w:asciiTheme="minorHAnsi" w:hAnsiTheme="minorHAnsi" w:cstheme="minorHAnsi"/>
          <w:sz w:val="22"/>
          <w:szCs w:val="22"/>
        </w:rPr>
      </w:pPr>
      <w:r w:rsidRPr="00D8549B">
        <w:rPr>
          <w:rFonts w:cstheme="minorHAnsi"/>
          <w:color w:val="000000"/>
          <w:sz w:val="22"/>
          <w:szCs w:val="22"/>
        </w:rPr>
        <w:t>“…</w:t>
      </w:r>
      <w:r w:rsidRPr="00D8549B">
        <w:rPr>
          <w:rFonts w:asciiTheme="minorHAnsi" w:hAnsiTheme="minorHAnsi" w:cstheme="minorHAnsi"/>
          <w:color w:val="000000"/>
          <w:sz w:val="22"/>
          <w:szCs w:val="22"/>
        </w:rPr>
        <w:t>Indeed it is the applicant's and the intervening creditor's argument that it is only upon the appointment of a trustee that the</w:t>
      </w:r>
      <w:r>
        <w:rPr>
          <w:rFonts w:cstheme="minorHAnsi"/>
          <w:color w:val="000000"/>
        </w:rPr>
        <w:t xml:space="preserve"> </w:t>
      </w:r>
      <w:r w:rsidRPr="00D8549B">
        <w:rPr>
          <w:rFonts w:asciiTheme="minorHAnsi" w:hAnsiTheme="minorHAnsi" w:cstheme="minorHAnsi"/>
          <w:color w:val="000000"/>
          <w:sz w:val="22"/>
          <w:szCs w:val="22"/>
        </w:rPr>
        <w:t>trustee will investigate and decide whether he will apply to set aside the sale in execution.</w:t>
      </w:r>
    </w:p>
    <w:p w:rsidR="004B1EB6" w:rsidRDefault="004B1EB6" w:rsidP="004B1EB6">
      <w:pPr>
        <w:pStyle w:val="ListParagraph"/>
        <w:spacing w:after="200" w:line="276" w:lineRule="auto"/>
        <w:ind w:left="851"/>
        <w:jc w:val="both"/>
        <w:rPr>
          <w:rFonts w:asciiTheme="minorHAnsi" w:hAnsiTheme="minorHAnsi" w:cstheme="minorHAnsi"/>
          <w:b/>
          <w:color w:val="000000"/>
          <w:sz w:val="22"/>
          <w:szCs w:val="22"/>
        </w:rPr>
      </w:pPr>
    </w:p>
    <w:p w:rsidR="005F1772" w:rsidRDefault="004B1EB6" w:rsidP="004B1EB6">
      <w:pPr>
        <w:pStyle w:val="ListParagraph"/>
        <w:spacing w:after="200" w:line="276" w:lineRule="auto"/>
        <w:ind w:left="851"/>
        <w:jc w:val="both"/>
        <w:rPr>
          <w:rFonts w:asciiTheme="minorHAnsi" w:hAnsiTheme="minorHAnsi" w:cstheme="minorHAnsi"/>
          <w:sz w:val="26"/>
          <w:szCs w:val="26"/>
        </w:rPr>
      </w:pPr>
      <w:r w:rsidRPr="00EA1B28">
        <w:rPr>
          <w:rFonts w:asciiTheme="minorHAnsi" w:hAnsiTheme="minorHAnsi" w:cstheme="minorHAnsi"/>
          <w:b/>
          <w:color w:val="000000"/>
          <w:sz w:val="22"/>
          <w:szCs w:val="22"/>
        </w:rPr>
        <w:t xml:space="preserve">Moreover, the intervening respondent when seeking to intervene need provide no more than </w:t>
      </w:r>
      <w:r w:rsidRPr="00EA1B28">
        <w:rPr>
          <w:rFonts w:asciiTheme="minorHAnsi" w:hAnsiTheme="minorHAnsi" w:cstheme="minorHAnsi"/>
          <w:b/>
          <w:i/>
          <w:iCs/>
          <w:color w:val="000000"/>
          <w:sz w:val="22"/>
          <w:szCs w:val="22"/>
        </w:rPr>
        <w:t>prima facie</w:t>
      </w:r>
      <w:r w:rsidRPr="00EA1B28">
        <w:rPr>
          <w:rFonts w:asciiTheme="minorHAnsi" w:hAnsiTheme="minorHAnsi" w:cstheme="minorHAnsi"/>
          <w:b/>
          <w:color w:val="000000"/>
          <w:sz w:val="22"/>
          <w:szCs w:val="22"/>
        </w:rPr>
        <w:t xml:space="preserve"> proof of his interest, albeit in a sale which may be set aside, and his right to intervene, which in my opinion the intervening respondent has done</w:t>
      </w:r>
      <w:r w:rsidRPr="00EA1B28">
        <w:rPr>
          <w:rFonts w:asciiTheme="minorHAnsi" w:hAnsiTheme="minorHAnsi" w:cstheme="minorHAnsi"/>
          <w:color w:val="000000"/>
          <w:sz w:val="22"/>
          <w:szCs w:val="22"/>
        </w:rPr>
        <w:t>.</w:t>
      </w:r>
      <w:r>
        <w:rPr>
          <w:rFonts w:cstheme="minorHAnsi"/>
          <w:color w:val="000000"/>
        </w:rPr>
        <w:t xml:space="preserve"> See </w:t>
      </w:r>
      <w:r w:rsidRPr="00D8549B">
        <w:rPr>
          <w:rFonts w:asciiTheme="minorHAnsi" w:hAnsiTheme="minorHAnsi" w:cstheme="minorHAnsi"/>
          <w:i/>
          <w:iCs/>
          <w:color w:val="000000"/>
          <w:sz w:val="22"/>
          <w:szCs w:val="22"/>
        </w:rPr>
        <w:t>Elliott v Bax</w:t>
      </w:r>
      <w:r>
        <w:rPr>
          <w:rFonts w:cstheme="minorHAnsi"/>
          <w:color w:val="000000"/>
        </w:rPr>
        <w:t xml:space="preserve"> 1923 WLD 228; </w:t>
      </w:r>
      <w:r w:rsidRPr="00D8549B">
        <w:rPr>
          <w:rFonts w:asciiTheme="minorHAnsi" w:hAnsiTheme="minorHAnsi" w:cstheme="minorHAnsi"/>
          <w:i/>
          <w:iCs/>
          <w:color w:val="000000"/>
          <w:sz w:val="22"/>
          <w:szCs w:val="22"/>
        </w:rPr>
        <w:t>Ex parte Marshall: In re Insolvent Estate Brown</w:t>
      </w:r>
      <w:r>
        <w:rPr>
          <w:rFonts w:cstheme="minorHAnsi"/>
          <w:color w:val="000000"/>
        </w:rPr>
        <w:t xml:space="preserve"> </w:t>
      </w:r>
      <w:hyperlink r:id="rId14" w:tgtFrame="main" w:history="1">
        <w:r w:rsidRPr="00D8549B">
          <w:rPr>
            <w:rStyle w:val="Hyperlink"/>
            <w:rFonts w:asciiTheme="minorHAnsi" w:eastAsiaTheme="majorEastAsia" w:hAnsiTheme="minorHAnsi" w:cstheme="minorHAnsi"/>
            <w:color w:val="auto"/>
            <w:sz w:val="22"/>
            <w:szCs w:val="22"/>
            <w:u w:val="none"/>
          </w:rPr>
          <w:t>1951 (2) SA 129 (N)</w:t>
        </w:r>
      </w:hyperlink>
      <w:r w:rsidRPr="00D8549B">
        <w:rPr>
          <w:rFonts w:asciiTheme="minorHAnsi" w:hAnsiTheme="minorHAnsi" w:cstheme="minorHAnsi"/>
          <w:color w:val="000000"/>
          <w:sz w:val="22"/>
          <w:szCs w:val="22"/>
        </w:rPr>
        <w:t>.</w:t>
      </w:r>
      <w:r w:rsidRPr="00D8549B">
        <w:rPr>
          <w:rFonts w:cstheme="minorHAnsi"/>
          <w:color w:val="000000"/>
          <w:sz w:val="22"/>
          <w:szCs w:val="22"/>
        </w:rPr>
        <w:t>”</w:t>
      </w:r>
      <w:r>
        <w:rPr>
          <w:rFonts w:cstheme="minorHAnsi"/>
          <w:color w:val="000000"/>
        </w:rPr>
        <w:t xml:space="preserve"> </w:t>
      </w:r>
      <w:r w:rsidRPr="004B1EB6">
        <w:rPr>
          <w:rFonts w:asciiTheme="minorHAnsi" w:hAnsiTheme="minorHAnsi" w:cstheme="minorHAnsi"/>
          <w:color w:val="000000"/>
          <w:sz w:val="26"/>
          <w:szCs w:val="26"/>
        </w:rPr>
        <w:t>(emphasis</w:t>
      </w:r>
      <w:r w:rsidR="008957FF">
        <w:rPr>
          <w:rFonts w:asciiTheme="minorHAnsi" w:hAnsiTheme="minorHAnsi" w:cstheme="minorHAnsi"/>
          <w:color w:val="000000"/>
          <w:sz w:val="26"/>
          <w:szCs w:val="26"/>
        </w:rPr>
        <w:t xml:space="preserve"> added</w:t>
      </w:r>
      <w:r w:rsidRPr="004B1EB6">
        <w:rPr>
          <w:rFonts w:asciiTheme="minorHAnsi" w:hAnsiTheme="minorHAnsi" w:cstheme="minorHAnsi"/>
          <w:color w:val="000000"/>
          <w:sz w:val="26"/>
          <w:szCs w:val="26"/>
        </w:rPr>
        <w:t>)</w:t>
      </w:r>
    </w:p>
    <w:p w:rsidR="005F1772" w:rsidRPr="00DA398F" w:rsidRDefault="005F1772" w:rsidP="005F1772">
      <w:pPr>
        <w:pStyle w:val="ListParagraph"/>
        <w:rPr>
          <w:rFonts w:asciiTheme="minorHAnsi" w:hAnsiTheme="minorHAnsi" w:cstheme="minorHAnsi"/>
          <w:sz w:val="26"/>
          <w:szCs w:val="26"/>
        </w:rPr>
      </w:pPr>
    </w:p>
    <w:p w:rsidR="005F1772" w:rsidRDefault="00EA1B28"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For all the reasons given, I am inclined to exercise my discretion in favour of the intervening party. The general rule is that costs follow the result. I see no reason to depart therefrom.</w:t>
      </w:r>
      <w:r w:rsidR="00750D15">
        <w:rPr>
          <w:rFonts w:asciiTheme="minorHAnsi" w:hAnsiTheme="minorHAnsi" w:cstheme="minorHAnsi"/>
          <w:sz w:val="26"/>
          <w:szCs w:val="26"/>
        </w:rPr>
        <w:t xml:space="preserve"> In her notice of motion, the intervening party gave notice that she would seek costs against any party who opposed the intervention application.</w:t>
      </w:r>
    </w:p>
    <w:p w:rsidR="005F1772" w:rsidRPr="000F4445" w:rsidRDefault="005F1772" w:rsidP="005F1772">
      <w:pPr>
        <w:pStyle w:val="ListParagraph"/>
        <w:rPr>
          <w:rFonts w:asciiTheme="minorHAnsi" w:hAnsiTheme="minorHAnsi" w:cstheme="minorHAnsi"/>
          <w:sz w:val="26"/>
          <w:szCs w:val="26"/>
        </w:rPr>
      </w:pPr>
    </w:p>
    <w:p w:rsidR="005F1772" w:rsidRDefault="00EA1B28" w:rsidP="005F177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Accordingly, the following order is granted:</w:t>
      </w:r>
    </w:p>
    <w:p w:rsidR="00EA1B28" w:rsidRDefault="00EA1B28" w:rsidP="00EA1B28">
      <w:pPr>
        <w:pStyle w:val="ListParagraph"/>
        <w:spacing w:after="200" w:line="360" w:lineRule="auto"/>
        <w:ind w:left="851"/>
        <w:jc w:val="both"/>
        <w:rPr>
          <w:rFonts w:asciiTheme="minorHAnsi" w:hAnsiTheme="minorHAnsi" w:cstheme="minorHAnsi"/>
          <w:b/>
          <w:sz w:val="26"/>
          <w:szCs w:val="26"/>
        </w:rPr>
      </w:pPr>
    </w:p>
    <w:p w:rsidR="005F1772" w:rsidRPr="0098343D" w:rsidRDefault="005F1772" w:rsidP="005F1772">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EA1B28" w:rsidRDefault="00EA1B28" w:rsidP="00EA1B28">
      <w:pPr>
        <w:pStyle w:val="ListParagraph"/>
        <w:spacing w:after="200" w:line="360" w:lineRule="auto"/>
        <w:ind w:left="1211"/>
        <w:jc w:val="both"/>
        <w:rPr>
          <w:rFonts w:asciiTheme="minorHAnsi" w:hAnsiTheme="minorHAnsi" w:cstheme="minorHAnsi"/>
          <w:sz w:val="26"/>
          <w:szCs w:val="26"/>
        </w:rPr>
      </w:pPr>
    </w:p>
    <w:p w:rsidR="005F1772" w:rsidRDefault="00EA1B28" w:rsidP="005F1772">
      <w:pPr>
        <w:pStyle w:val="ListParagraph"/>
        <w:numPr>
          <w:ilvl w:val="0"/>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Michelle Beverley Ross (the intervening party) is granted leave to intervene in the application brought by Mercantile Bank Limited against Michael Maurice Ross under case no. 19791/20 (the main application) and to join the main application as the second respondent.</w:t>
      </w:r>
      <w:r w:rsidR="005F1772">
        <w:rPr>
          <w:rFonts w:asciiTheme="minorHAnsi" w:hAnsiTheme="minorHAnsi" w:cstheme="minorHAnsi"/>
          <w:sz w:val="26"/>
          <w:szCs w:val="26"/>
        </w:rPr>
        <w:t xml:space="preserve"> </w:t>
      </w:r>
    </w:p>
    <w:p w:rsidR="005F1772" w:rsidRDefault="00ED59EA" w:rsidP="00ED59EA">
      <w:pPr>
        <w:pStyle w:val="ListParagraph"/>
        <w:numPr>
          <w:ilvl w:val="0"/>
          <w:numId w:val="4"/>
        </w:numPr>
        <w:spacing w:line="360" w:lineRule="auto"/>
        <w:jc w:val="both"/>
        <w:rPr>
          <w:rFonts w:asciiTheme="minorHAnsi" w:hAnsiTheme="minorHAnsi" w:cstheme="minorHAnsi"/>
          <w:sz w:val="26"/>
          <w:szCs w:val="26"/>
        </w:rPr>
      </w:pPr>
      <w:r>
        <w:rPr>
          <w:rFonts w:asciiTheme="minorHAnsi" w:hAnsiTheme="minorHAnsi" w:cstheme="minorHAnsi"/>
          <w:sz w:val="26"/>
          <w:szCs w:val="26"/>
        </w:rPr>
        <w:t>The applicant is ordered to pay the costs of the intervening party in the application for intervention.</w:t>
      </w:r>
    </w:p>
    <w:p w:rsidR="005F1772" w:rsidRDefault="005F1772" w:rsidP="005F1772">
      <w:pPr>
        <w:pStyle w:val="ListParagraph"/>
        <w:rPr>
          <w:rFonts w:asciiTheme="minorHAnsi" w:hAnsiTheme="minorHAnsi" w:cstheme="minorHAnsi"/>
          <w:sz w:val="26"/>
          <w:szCs w:val="26"/>
        </w:rPr>
      </w:pPr>
    </w:p>
    <w:p w:rsidR="005F1772" w:rsidRPr="00175B5A" w:rsidRDefault="005F1772" w:rsidP="005F1772">
      <w:pPr>
        <w:pStyle w:val="ListParagraph"/>
        <w:rPr>
          <w:rFonts w:asciiTheme="minorHAnsi" w:hAnsiTheme="minorHAnsi" w:cstheme="minorHAnsi"/>
          <w:sz w:val="26"/>
          <w:szCs w:val="26"/>
        </w:rPr>
      </w:pPr>
    </w:p>
    <w:p w:rsidR="005F1772" w:rsidRPr="00C5002D" w:rsidRDefault="005F1772" w:rsidP="005F1772">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5F1772" w:rsidRPr="00877F1E" w:rsidRDefault="005F1772" w:rsidP="005F177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lastRenderedPageBreak/>
        <w:t xml:space="preserve">AVRILLE MAIER-FRAWLEY </w:t>
      </w:r>
    </w:p>
    <w:p w:rsidR="005F1772" w:rsidRPr="00877F1E" w:rsidRDefault="005F1772" w:rsidP="005F177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5F1772" w:rsidRPr="00877F1E" w:rsidRDefault="005F1772" w:rsidP="005F177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5F1772" w:rsidRDefault="005F1772" w:rsidP="005F1772">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5F1772" w:rsidRDefault="005F1772" w:rsidP="005F1772">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5F1772" w:rsidRPr="008E28FB" w:rsidRDefault="005F1772" w:rsidP="005F177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14 March 2022</w:t>
      </w:r>
    </w:p>
    <w:p w:rsidR="005F1772" w:rsidRPr="008E28FB" w:rsidRDefault="005F1772" w:rsidP="005F177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750D15">
        <w:rPr>
          <w:rFonts w:asciiTheme="minorHAnsi" w:hAnsiTheme="minorHAnsi" w:cstheme="minorHAnsi"/>
          <w:sz w:val="24"/>
          <w:szCs w:val="24"/>
        </w:rPr>
        <w:t>5 April 2022</w:t>
      </w:r>
    </w:p>
    <w:p w:rsidR="005F1772" w:rsidRDefault="005F1772" w:rsidP="005F1772">
      <w:pPr>
        <w:pStyle w:val="ListParagraph"/>
        <w:ind w:left="0"/>
        <w:rPr>
          <w:rFonts w:asciiTheme="minorHAnsi" w:hAnsiTheme="minorHAnsi" w:cstheme="minorHAnsi"/>
          <w:sz w:val="24"/>
          <w:szCs w:val="24"/>
        </w:rPr>
      </w:pPr>
    </w:p>
    <w:p w:rsidR="005F1772" w:rsidRDefault="005F1772" w:rsidP="005F1772">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750D15">
        <w:rPr>
          <w:i/>
        </w:rPr>
        <w:t>5</w:t>
      </w:r>
      <w:r w:rsidRPr="00D626A3">
        <w:rPr>
          <w:i/>
        </w:rPr>
        <w:t xml:space="preserve"> </w:t>
      </w:r>
      <w:r w:rsidR="00750D15">
        <w:rPr>
          <w:i/>
        </w:rPr>
        <w:t>April</w:t>
      </w:r>
      <w:r w:rsidRPr="00D626A3">
        <w:rPr>
          <w:i/>
        </w:rPr>
        <w:t xml:space="preserve"> 202</w:t>
      </w:r>
      <w:r>
        <w:rPr>
          <w:i/>
        </w:rPr>
        <w:t>2</w:t>
      </w:r>
      <w:r w:rsidRPr="00D626A3">
        <w:rPr>
          <w:i/>
        </w:rPr>
        <w:t>.</w:t>
      </w:r>
    </w:p>
    <w:p w:rsidR="005F1772" w:rsidRDefault="005F1772" w:rsidP="005F1772">
      <w:pPr>
        <w:pStyle w:val="ListParagraph"/>
        <w:ind w:left="0"/>
        <w:rPr>
          <w:rFonts w:asciiTheme="minorHAnsi" w:hAnsiTheme="minorHAnsi" w:cstheme="minorHAnsi"/>
          <w:sz w:val="24"/>
          <w:szCs w:val="24"/>
        </w:rPr>
      </w:pPr>
    </w:p>
    <w:p w:rsidR="005F1772" w:rsidRPr="008E28FB" w:rsidRDefault="005F1772" w:rsidP="005F1772">
      <w:pPr>
        <w:pStyle w:val="ListParagraph"/>
        <w:ind w:left="0"/>
        <w:rPr>
          <w:rFonts w:asciiTheme="minorHAnsi" w:hAnsiTheme="minorHAnsi" w:cstheme="minorHAnsi"/>
          <w:sz w:val="24"/>
          <w:szCs w:val="24"/>
        </w:rPr>
      </w:pPr>
    </w:p>
    <w:p w:rsidR="005F1772" w:rsidRPr="008E28FB" w:rsidRDefault="005F1772" w:rsidP="005F1772">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5F1772" w:rsidRPr="008E28FB" w:rsidRDefault="005F1772" w:rsidP="005F1772">
      <w:pPr>
        <w:pStyle w:val="ListParagraph"/>
        <w:ind w:left="0"/>
        <w:rPr>
          <w:rFonts w:asciiTheme="minorHAnsi" w:hAnsiTheme="minorHAnsi" w:cstheme="minorHAnsi"/>
          <w:sz w:val="24"/>
          <w:szCs w:val="24"/>
        </w:rPr>
      </w:pPr>
    </w:p>
    <w:p w:rsidR="005F1772" w:rsidRPr="008E28FB" w:rsidRDefault="005F1772" w:rsidP="005F1772">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Plaintiff:</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Ms </w:t>
      </w:r>
      <w:r w:rsidR="00750D15">
        <w:rPr>
          <w:rFonts w:asciiTheme="minorHAnsi" w:hAnsiTheme="minorHAnsi" w:cstheme="minorHAnsi"/>
          <w:sz w:val="24"/>
          <w:szCs w:val="24"/>
        </w:rPr>
        <w:t>I. Oshman</w:t>
      </w:r>
    </w:p>
    <w:p w:rsidR="005F1772" w:rsidRDefault="005F1772" w:rsidP="005F177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Plaintiff</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sidR="00750D15">
        <w:rPr>
          <w:rFonts w:asciiTheme="minorHAnsi" w:hAnsiTheme="minorHAnsi" w:cstheme="minorHAnsi"/>
          <w:sz w:val="24"/>
          <w:szCs w:val="24"/>
        </w:rPr>
        <w:t>Taners and Associates</w:t>
      </w:r>
      <w:r>
        <w:rPr>
          <w:rFonts w:asciiTheme="minorHAnsi" w:hAnsiTheme="minorHAnsi" w:cstheme="minorHAnsi"/>
          <w:sz w:val="24"/>
          <w:szCs w:val="24"/>
        </w:rPr>
        <w:t xml:space="preserve"> </w:t>
      </w:r>
    </w:p>
    <w:p w:rsidR="005F1772" w:rsidRPr="008E28FB" w:rsidRDefault="005F1772" w:rsidP="005F1772">
      <w:pPr>
        <w:ind w:left="4320" w:hanging="4320"/>
        <w:jc w:val="both"/>
        <w:rPr>
          <w:rFonts w:asciiTheme="minorHAnsi" w:hAnsiTheme="minorHAnsi" w:cstheme="minorHAnsi"/>
          <w:sz w:val="24"/>
          <w:szCs w:val="24"/>
        </w:rPr>
      </w:pPr>
    </w:p>
    <w:p w:rsidR="005F1772" w:rsidRDefault="005F1772" w:rsidP="005F1772">
      <w:r>
        <w:t>Counsel for First Defendant:</w:t>
      </w:r>
      <w:r>
        <w:tab/>
      </w:r>
      <w:r>
        <w:tab/>
      </w:r>
      <w:r>
        <w:tab/>
      </w:r>
      <w:r w:rsidR="00750D15">
        <w:t>Ms M. Naidoo</w:t>
      </w:r>
    </w:p>
    <w:p w:rsidR="005F1772" w:rsidRDefault="005F1772" w:rsidP="005F1772">
      <w:r>
        <w:t>Attorneys for First Defendant:</w:t>
      </w:r>
      <w:r>
        <w:tab/>
      </w:r>
      <w:r>
        <w:tab/>
      </w:r>
      <w:r w:rsidR="00750D15">
        <w:t xml:space="preserve">Bezuidenhout Van Zyl &amp; Associates Inc </w:t>
      </w:r>
    </w:p>
    <w:p w:rsidR="005F1772" w:rsidRDefault="005F1772" w:rsidP="005F1772"/>
    <w:p w:rsidR="005F1772" w:rsidRDefault="005F1772" w:rsidP="005F1772">
      <w:r>
        <w:t>Counsel for Second Defendant:</w:t>
      </w:r>
      <w:r>
        <w:tab/>
      </w:r>
      <w:r>
        <w:tab/>
        <w:t>No appearance</w:t>
      </w:r>
    </w:p>
    <w:p w:rsidR="005F1772" w:rsidRDefault="005F1772" w:rsidP="005F1772">
      <w:r>
        <w:t>Attorneys for Second Defendant:</w:t>
      </w:r>
      <w:r>
        <w:tab/>
      </w:r>
      <w:r>
        <w:tab/>
        <w:t>No appearance</w:t>
      </w:r>
    </w:p>
    <w:p w:rsidR="0068613B" w:rsidRDefault="0068613B"/>
    <w:sectPr w:rsidR="0068613B" w:rsidSect="004B1EB6">
      <w:headerReference w:type="default" r:id="rId15"/>
      <w:head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19" w:rsidRDefault="007A7D19" w:rsidP="005F1772">
      <w:r>
        <w:separator/>
      </w:r>
    </w:p>
  </w:endnote>
  <w:endnote w:type="continuationSeparator" w:id="0">
    <w:p w:rsidR="007A7D19" w:rsidRDefault="007A7D19" w:rsidP="005F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19" w:rsidRDefault="007A7D19" w:rsidP="005F1772">
      <w:r>
        <w:separator/>
      </w:r>
    </w:p>
  </w:footnote>
  <w:footnote w:type="continuationSeparator" w:id="0">
    <w:p w:rsidR="007A7D19" w:rsidRDefault="007A7D19" w:rsidP="005F1772">
      <w:r>
        <w:continuationSeparator/>
      </w:r>
    </w:p>
  </w:footnote>
  <w:footnote w:id="1">
    <w:p w:rsidR="00E95AC2" w:rsidRPr="00486B4D" w:rsidRDefault="00E95AC2" w:rsidP="00E95AC2">
      <w:pPr>
        <w:pStyle w:val="FootnoteText"/>
        <w:jc w:val="both"/>
        <w:rPr>
          <w:lang w:val="en-US"/>
        </w:rPr>
      </w:pPr>
      <w:r>
        <w:rPr>
          <w:rStyle w:val="FootnoteReference"/>
        </w:rPr>
        <w:footnoteRef/>
      </w:r>
      <w:r>
        <w:t xml:space="preserve"> The order is to be found in the judgment of Weiner J in </w:t>
      </w:r>
      <w:r w:rsidRPr="001A6293">
        <w:rPr>
          <w:rFonts w:eastAsia="Times New Roman"/>
          <w:i/>
          <w:lang w:eastAsia="en-ZA"/>
        </w:rPr>
        <w:t>Mercantile Bank (A Division of Capitec Bank Limited) v Ross</w:t>
      </w:r>
      <w:r w:rsidRPr="001A6293">
        <w:rPr>
          <w:rFonts w:eastAsia="Times New Roman"/>
          <w:lang w:eastAsia="en-ZA"/>
        </w:rPr>
        <w:t xml:space="preserve"> (2020/19791) [2021] ZAGPJHC 149 (13 August 2021)</w:t>
      </w:r>
      <w:r>
        <w:rPr>
          <w:rFonts w:eastAsia="Times New Roman"/>
          <w:lang w:eastAsia="en-ZA"/>
        </w:rPr>
        <w:t xml:space="preserve"> (‘Mercantile Bank’). </w:t>
      </w:r>
      <w:r w:rsidRPr="006E78DF">
        <w:t>The court also found that the respondent had failed to demonstrate that he was factually solvent, having failed to deal with his financial position to demonstrate that his assets exceeded his liabilities, and that thus, ‘the position of factual solvency has also been established.’</w:t>
      </w:r>
    </w:p>
  </w:footnote>
  <w:footnote w:id="2">
    <w:p w:rsidR="004B1EB6" w:rsidRPr="0071515D" w:rsidRDefault="004B1EB6">
      <w:pPr>
        <w:pStyle w:val="FootnoteText"/>
        <w:rPr>
          <w:lang w:val="en-US"/>
        </w:rPr>
      </w:pPr>
      <w:r>
        <w:rPr>
          <w:rStyle w:val="FootnoteReference"/>
        </w:rPr>
        <w:footnoteRef/>
      </w:r>
      <w:r>
        <w:t xml:space="preserve"> </w:t>
      </w:r>
      <w:r w:rsidR="00347FE5">
        <w:t xml:space="preserve">These included: </w:t>
      </w:r>
      <w:r w:rsidR="00347FE5">
        <w:rPr>
          <w:i/>
        </w:rPr>
        <w:t xml:space="preserve">SA Riding for the Disabled Association v Regional Land Claims Commissioner </w:t>
      </w:r>
      <w:r w:rsidR="00347FE5">
        <w:t xml:space="preserve">2017 (5) SA 1 (CC);  </w:t>
      </w:r>
      <w:r w:rsidR="00347FE5">
        <w:rPr>
          <w:i/>
        </w:rPr>
        <w:t xml:space="preserve">Peermont Global (KZN) (Pty) Ltd v Afrisun KZN (Pty) Ltd t/a Sibaya Casino and Entertainment Kingdom </w:t>
      </w:r>
      <w:r w:rsidR="00347FE5">
        <w:t xml:space="preserve">[2020] 2 All SA 226 (KZP]; </w:t>
      </w:r>
      <w:r w:rsidR="00347FE5">
        <w:rPr>
          <w:i/>
        </w:rPr>
        <w:t xml:space="preserve">Ex Parte Moosa: In re Hassim v Harrop-Allin </w:t>
      </w:r>
      <w:r w:rsidR="00347FE5">
        <w:t>1974 (4) SA 412 (T</w:t>
      </w:r>
      <w:r w:rsidR="00442927">
        <w:t xml:space="preserve">). See too: </w:t>
      </w:r>
      <w:r w:rsidRPr="00174BBA">
        <w:rPr>
          <w:i/>
        </w:rPr>
        <w:t>Minister of Local Government and Land Tenure and Another v Sizwe Development and Others: In re Sizwe Development v Flagstaff Municipality</w:t>
      </w:r>
      <w:r w:rsidRPr="00FC3BE4">
        <w:t xml:space="preserve"> 1991 (1) SA 677 (Tk); </w:t>
      </w:r>
      <w:r w:rsidRPr="00174BBA">
        <w:rPr>
          <w:i/>
        </w:rPr>
        <w:t>Ansari v Barakat</w:t>
      </w:r>
      <w:r w:rsidRPr="00FC3BE4">
        <w:t xml:space="preserve"> [2012] ZAKZDHC 1, paras 9 and 10, and </w:t>
      </w:r>
      <w:r w:rsidR="00442927">
        <w:t xml:space="preserve">the </w:t>
      </w:r>
      <w:r w:rsidRPr="00FC3BE4">
        <w:t xml:space="preserve">authorities </w:t>
      </w:r>
      <w:r w:rsidR="00442927">
        <w:t xml:space="preserve">cited </w:t>
      </w:r>
      <w:r w:rsidRPr="00FC3BE4">
        <w:t xml:space="preserve"> therein</w:t>
      </w:r>
      <w:r>
        <w:t>.</w:t>
      </w:r>
    </w:p>
  </w:footnote>
  <w:footnote w:id="3">
    <w:p w:rsidR="004B1EB6" w:rsidRPr="0071515D" w:rsidRDefault="004B1EB6">
      <w:pPr>
        <w:pStyle w:val="FootnoteText"/>
        <w:rPr>
          <w:lang w:val="en-US"/>
        </w:rPr>
      </w:pPr>
      <w:r>
        <w:rPr>
          <w:rStyle w:val="FootnoteReference"/>
        </w:rPr>
        <w:footnoteRef/>
      </w:r>
      <w:r>
        <w:t xml:space="preserve"> </w:t>
      </w:r>
      <w:r w:rsidRPr="00FC3BE4">
        <w:t>Henri Viljoen (Pty) Ltd v Awerbuch Brothers 1953 (2) SA 151 (O) at 177 and 169H; Minister of Local Government and Land Tenure and Another v Sizwe Development and Others: In re Sizwe Development v Flagstaff Municipality 1991 (1) SA 677 (Tk) at 679.</w:t>
      </w:r>
    </w:p>
  </w:footnote>
  <w:footnote w:id="4">
    <w:p w:rsidR="004B1EB6" w:rsidRPr="005E1298" w:rsidRDefault="004B1EB6" w:rsidP="00D77229">
      <w:pPr>
        <w:pStyle w:val="FootnoteText"/>
        <w:jc w:val="both"/>
        <w:rPr>
          <w:lang w:val="en-US"/>
        </w:rPr>
      </w:pPr>
      <w:r>
        <w:rPr>
          <w:rStyle w:val="FootnoteReference"/>
        </w:rPr>
        <w:footnoteRef/>
      </w:r>
      <w:r>
        <w:t xml:space="preserve"> </w:t>
      </w:r>
      <w:r w:rsidRPr="00D30C6A">
        <w:rPr>
          <w:i/>
        </w:rPr>
        <w:t>Uys and Another v Du Plessis (Ferreira Intervening)</w:t>
      </w:r>
      <w:r w:rsidRPr="00943B7A">
        <w:t xml:space="preserve"> 2001 (3) SA 250 (C) at 252; </w:t>
      </w:r>
      <w:r w:rsidRPr="00D30C6A">
        <w:rPr>
          <w:i/>
        </w:rPr>
        <w:t>Fullard v Fullard</w:t>
      </w:r>
      <w:r>
        <w:t xml:space="preserve"> </w:t>
      </w:r>
      <w:r w:rsidRPr="00943B7A">
        <w:t>1979 (1) SA 368 (T) at 371F – 372G. See also</w:t>
      </w:r>
      <w:r>
        <w:t>:</w:t>
      </w:r>
      <w:r w:rsidRPr="00943B7A">
        <w:t xml:space="preserve"> </w:t>
      </w:r>
      <w:r w:rsidRPr="00D30C6A">
        <w:rPr>
          <w:i/>
        </w:rPr>
        <w:t>Maritz t/a Maritz &amp; Kie Rekenmeester v Walters and Others</w:t>
      </w:r>
      <w:r w:rsidRPr="00943B7A">
        <w:t xml:space="preserve"> 2002 (1) SA 689 (C) where it was accepted that the intervening party would have locus standi to oppose the sequestration if it could be found that he was a creditor</w:t>
      </w:r>
      <w:r>
        <w:t>.</w:t>
      </w:r>
    </w:p>
  </w:footnote>
  <w:footnote w:id="5">
    <w:p w:rsidR="004B1EB6" w:rsidRPr="00D77229" w:rsidRDefault="004B1EB6">
      <w:pPr>
        <w:pStyle w:val="FootnoteText"/>
        <w:rPr>
          <w:lang w:val="en-US"/>
        </w:rPr>
      </w:pPr>
      <w:r>
        <w:rPr>
          <w:rStyle w:val="FootnoteReference"/>
        </w:rPr>
        <w:footnoteRef/>
      </w:r>
      <w:r>
        <w:t xml:space="preserve"> Fullard </w:t>
      </w:r>
      <w:r w:rsidRPr="00D77229">
        <w:rPr>
          <w:i/>
        </w:rPr>
        <w:t>supra</w:t>
      </w:r>
      <w:r>
        <w:t>,</w:t>
      </w:r>
      <w:r w:rsidRPr="00D60DF7">
        <w:t xml:space="preserve"> at 372B; </w:t>
      </w:r>
      <w:r w:rsidRPr="00D77229">
        <w:rPr>
          <w:i/>
        </w:rPr>
        <w:t>Jhatam and Others v Jhatam</w:t>
      </w:r>
      <w:r w:rsidRPr="00D60DF7">
        <w:t xml:space="preserve"> 1958 (4) SA 36 (N).</w:t>
      </w:r>
    </w:p>
  </w:footnote>
  <w:footnote w:id="6">
    <w:p w:rsidR="004B1EB6" w:rsidRPr="00D77229" w:rsidRDefault="004B1EB6">
      <w:pPr>
        <w:pStyle w:val="FootnoteText"/>
        <w:rPr>
          <w:lang w:val="en-US"/>
        </w:rPr>
      </w:pPr>
      <w:r>
        <w:rPr>
          <w:rStyle w:val="FootnoteReference"/>
        </w:rPr>
        <w:footnoteRef/>
      </w:r>
      <w:r>
        <w:t xml:space="preserve"> </w:t>
      </w:r>
      <w:r>
        <w:rPr>
          <w:i/>
          <w:lang w:val="en-US"/>
        </w:rPr>
        <w:t xml:space="preserve">Levay and another vVan Den Heever and Others NNo </w:t>
      </w:r>
      <w:r>
        <w:rPr>
          <w:lang w:val="en-US"/>
        </w:rPr>
        <w:t xml:space="preserve"> 2018 (4) SA 473 GJ, par 11; </w:t>
      </w:r>
      <w:r w:rsidRPr="00D60DF7">
        <w:t xml:space="preserve">Fullard </w:t>
      </w:r>
      <w:r w:rsidRPr="00D77229">
        <w:rPr>
          <w:i/>
        </w:rPr>
        <w:t>supra</w:t>
      </w:r>
      <w:r w:rsidRPr="00D60DF7">
        <w:t xml:space="preserve"> at 372B</w:t>
      </w:r>
    </w:p>
  </w:footnote>
  <w:footnote w:id="7">
    <w:p w:rsidR="004B1EB6" w:rsidRPr="00E6132C" w:rsidRDefault="004B1EB6" w:rsidP="00E6132C">
      <w:pPr>
        <w:pStyle w:val="FootnoteText"/>
        <w:jc w:val="both"/>
        <w:rPr>
          <w:lang w:val="en-US"/>
        </w:rPr>
      </w:pPr>
      <w:r>
        <w:rPr>
          <w:rStyle w:val="FootnoteReference"/>
        </w:rPr>
        <w:footnoteRef/>
      </w:r>
      <w:r>
        <w:t xml:space="preserve"> </w:t>
      </w:r>
      <w:r>
        <w:rPr>
          <w:lang w:val="en-US"/>
        </w:rPr>
        <w:t xml:space="preserve">In terms of s 8 (c), a debtor commits an act of insolvency’ if he makes or attempts to make any disposition of any of his property, which has or would have the effect of prejudicing his creditors or of preferring one creditor above another.’ The applicant relies, amongst others, on such requirement, which it will be required to establish on a balance of probabilities on the return date. (See Mercantile Bank </w:t>
      </w:r>
      <w:r>
        <w:rPr>
          <w:i/>
          <w:lang w:val="en-US"/>
        </w:rPr>
        <w:t xml:space="preserve">supra </w:t>
      </w:r>
      <w:r w:rsidRPr="00174BBA">
        <w:rPr>
          <w:lang w:val="en-US"/>
        </w:rPr>
        <w:t>(cited in fn 1</w:t>
      </w:r>
      <w:r>
        <w:rPr>
          <w:i/>
          <w:lang w:val="en-US"/>
        </w:rPr>
        <w:t>)</w:t>
      </w:r>
      <w:r>
        <w:rPr>
          <w:lang w:val="en-US"/>
        </w:rPr>
        <w:t xml:space="preserve"> par 41 and the authority there cited. On the return date, the respondent may well tender additional evidence to oppose the grant of a final order. One cannot therefore preempt the outcome of the main application at this stage.</w:t>
      </w:r>
    </w:p>
  </w:footnote>
  <w:footnote w:id="8">
    <w:p w:rsidR="004B1EB6" w:rsidRPr="004603FD" w:rsidRDefault="004B1EB6" w:rsidP="004603FD">
      <w:pPr>
        <w:pStyle w:val="FootnoteText"/>
        <w:jc w:val="both"/>
        <w:rPr>
          <w:lang w:val="en-US"/>
        </w:rPr>
      </w:pPr>
      <w:r>
        <w:rPr>
          <w:rStyle w:val="FootnoteReference"/>
        </w:rPr>
        <w:footnoteRef/>
      </w:r>
      <w:r>
        <w:t xml:space="preserve"> </w:t>
      </w:r>
      <w:r w:rsidR="00442927">
        <w:t>It is worth mentioning that t</w:t>
      </w:r>
      <w:r>
        <w:rPr>
          <w:lang w:val="en-US"/>
        </w:rPr>
        <w:t xml:space="preserve">he definition of ‘disposition’ in s 2 of the Insolvency act is the following: “ </w:t>
      </w:r>
      <w:r w:rsidRPr="007A1A5A">
        <w:t xml:space="preserve">'disposition' means any transfer or abandonment of rights to property and includes a sale, lease, mortgage, pledge, delivery, payment, release, compromise, donation or any contract therefor, </w:t>
      </w:r>
      <w:r w:rsidRPr="007A1A5A">
        <w:rPr>
          <w:b/>
        </w:rPr>
        <w:t>but does not include a disposition in compliance with an order of the court;</w:t>
      </w:r>
      <w:r w:rsidRPr="007A1A5A">
        <w:t xml:space="preserve"> and 'dispose' has a corresponding meaning;</w:t>
      </w:r>
      <w:r>
        <w:t>” (own emphasis)</w:t>
      </w:r>
    </w:p>
  </w:footnote>
  <w:footnote w:id="9">
    <w:p w:rsidR="0079328B" w:rsidRPr="0079328B" w:rsidRDefault="0079328B" w:rsidP="0079328B">
      <w:pPr>
        <w:pStyle w:val="FootnoteText"/>
        <w:spacing w:line="276" w:lineRule="auto"/>
        <w:jc w:val="both"/>
        <w:rPr>
          <w:lang w:val="en-US"/>
        </w:rPr>
      </w:pPr>
      <w:r>
        <w:rPr>
          <w:rStyle w:val="FootnoteReference"/>
        </w:rPr>
        <w:footnoteRef/>
      </w:r>
      <w:r>
        <w:t xml:space="preserve"> </w:t>
      </w:r>
      <w:r w:rsidRPr="00455E70">
        <w:rPr>
          <w:shd w:val="clear" w:color="auto" w:fill="FFFFFF"/>
        </w:rPr>
        <w:t xml:space="preserve">Section 29 of the Insolvency Act regulates ‘voidable dispositions’, where an insolvent disposes of any property in his estate less than 6 months before his sequestration </w:t>
      </w:r>
      <w:r w:rsidRPr="0079328B">
        <w:rPr>
          <w:b/>
          <w:shd w:val="clear" w:color="auto" w:fill="FFFFFF"/>
        </w:rPr>
        <w:t>which has the effect of preferring one of his creditors over another</w:t>
      </w:r>
      <w:r w:rsidRPr="00455E70">
        <w:rPr>
          <w:shd w:val="clear" w:color="auto" w:fill="FFFFFF"/>
        </w:rPr>
        <w:t>. A voidable disposition can be set aside by the court if the debtor’s liabilities exceeded the value of his assets immediately after the disposition, unless the person who received the disposition is able to prove that the disposition was made in the ordinary course of business and was not intended to prefer one creditor over another</w:t>
      </w:r>
      <w:r w:rsidRPr="00455E70">
        <w:rPr>
          <w:color w:val="777777"/>
          <w:shd w:val="clear" w:color="auto" w:fill="FFFFFF"/>
        </w:rPr>
        <w:t>.</w:t>
      </w:r>
      <w:r>
        <w:rPr>
          <w:color w:val="777777"/>
          <w:shd w:val="clear" w:color="auto" w:fill="FFFFFF"/>
        </w:rPr>
        <w:t xml:space="preserve"> </w:t>
      </w:r>
      <w:r w:rsidRPr="0079328B">
        <w:rPr>
          <w:shd w:val="clear" w:color="auto" w:fill="FFFFFF"/>
        </w:rPr>
        <w:t xml:space="preserve">Implicit in the allegations made in the main application concerning </w:t>
      </w:r>
      <w:r>
        <w:rPr>
          <w:shd w:val="clear" w:color="auto" w:fill="FFFFFF"/>
        </w:rPr>
        <w:t>the commission of a</w:t>
      </w:r>
      <w:r w:rsidRPr="0079328B">
        <w:rPr>
          <w:shd w:val="clear" w:color="auto" w:fill="FFFFFF"/>
        </w:rPr>
        <w:t xml:space="preserve"> ‘voidable disposition’</w:t>
      </w:r>
      <w:r>
        <w:rPr>
          <w:shd w:val="clear" w:color="auto" w:fill="FFFFFF"/>
        </w:rPr>
        <w:t xml:space="preserve">, is an </w:t>
      </w:r>
      <w:r w:rsidRPr="0079328B">
        <w:rPr>
          <w:shd w:val="clear" w:color="auto" w:fill="FFFFFF"/>
        </w:rPr>
        <w:t xml:space="preserve">acknowledgment </w:t>
      </w:r>
      <w:r>
        <w:rPr>
          <w:shd w:val="clear" w:color="auto" w:fill="FFFFFF"/>
        </w:rPr>
        <w:t xml:space="preserve">by the applicant </w:t>
      </w:r>
      <w:r w:rsidRPr="0079328B">
        <w:rPr>
          <w:shd w:val="clear" w:color="auto" w:fill="FFFFFF"/>
        </w:rPr>
        <w:t xml:space="preserve">that the respondent’s ex-wife (the intervening party herein) </w:t>
      </w:r>
      <w:r>
        <w:rPr>
          <w:shd w:val="clear" w:color="auto" w:fill="FFFFFF"/>
        </w:rPr>
        <w:t>is a creditor in the estate of the respondent.</w:t>
      </w:r>
    </w:p>
  </w:footnote>
  <w:footnote w:id="10">
    <w:p w:rsidR="004B1EB6" w:rsidRPr="006A7CA5" w:rsidRDefault="004B1EB6">
      <w:pPr>
        <w:pStyle w:val="FootnoteText"/>
        <w:rPr>
          <w:lang w:val="en-US"/>
        </w:rPr>
      </w:pPr>
      <w:r>
        <w:rPr>
          <w:rStyle w:val="FootnoteReference"/>
        </w:rPr>
        <w:footnoteRef/>
      </w:r>
      <w:r>
        <w:t xml:space="preserve"> The shortfall amounting to approximately</w:t>
      </w:r>
      <w:r>
        <w:rPr>
          <w:lang w:val="en-US"/>
        </w:rPr>
        <w:t xml:space="preserve"> R10,000.00 per month.</w:t>
      </w:r>
    </w:p>
  </w:footnote>
  <w:footnote w:id="11">
    <w:p w:rsidR="00E73454" w:rsidRDefault="004B1EB6" w:rsidP="00773804">
      <w:pPr>
        <w:pStyle w:val="FootnoteText"/>
        <w:jc w:val="both"/>
      </w:pPr>
      <w:r>
        <w:rPr>
          <w:rStyle w:val="FootnoteReference"/>
        </w:rPr>
        <w:footnoteRef/>
      </w:r>
      <w:r>
        <w:t xml:space="preserve"> </w:t>
      </w:r>
      <w:r>
        <w:rPr>
          <w:i/>
          <w:lang w:val="en-US"/>
        </w:rPr>
        <w:t xml:space="preserve">Levay and another vVan Den Heever and Others NNo </w:t>
      </w:r>
      <w:r>
        <w:rPr>
          <w:lang w:val="en-US"/>
        </w:rPr>
        <w:t xml:space="preserve"> 2018 (4) SA 473 GJ, par 28. </w:t>
      </w:r>
      <w:r w:rsidRPr="00773804">
        <w:rPr>
          <w:color w:val="242121"/>
          <w:shd w:val="clear" w:color="auto" w:fill="FFFFFF"/>
        </w:rPr>
        <w:t xml:space="preserve">I agree with the reasoning of Van der Bergh AJ </w:t>
      </w:r>
      <w:r>
        <w:rPr>
          <w:color w:val="242121"/>
          <w:shd w:val="clear" w:color="auto" w:fill="FFFFFF"/>
        </w:rPr>
        <w:t xml:space="preserve">by reference to several cases </w:t>
      </w:r>
      <w:r w:rsidRPr="00773804">
        <w:rPr>
          <w:color w:val="242121"/>
          <w:shd w:val="clear" w:color="auto" w:fill="FFFFFF"/>
        </w:rPr>
        <w:t xml:space="preserve">in </w:t>
      </w:r>
      <w:r w:rsidRPr="00773804">
        <w:rPr>
          <w:i/>
          <w:color w:val="242121"/>
          <w:shd w:val="clear" w:color="auto" w:fill="FFFFFF"/>
        </w:rPr>
        <w:t>Levay</w:t>
      </w:r>
      <w:r>
        <w:rPr>
          <w:i/>
          <w:color w:val="242121"/>
          <w:shd w:val="clear" w:color="auto" w:fill="FFFFFF"/>
        </w:rPr>
        <w:t xml:space="preserve">, </w:t>
      </w:r>
      <w:r w:rsidRPr="00773804">
        <w:rPr>
          <w:color w:val="242121"/>
          <w:shd w:val="clear" w:color="auto" w:fill="FFFFFF"/>
        </w:rPr>
        <w:t xml:space="preserve">in concluding that </w:t>
      </w:r>
      <w:r w:rsidRPr="00773804">
        <w:t xml:space="preserve">a creditor does have locus standi to intervene in a liquidation application without having to prove an additional legal </w:t>
      </w:r>
      <w:r>
        <w:t xml:space="preserve">or other </w:t>
      </w:r>
      <w:r w:rsidRPr="00773804">
        <w:t>interest</w:t>
      </w:r>
      <w:r>
        <w:t xml:space="preserve">, notwithstanding a contrary conclusion arrived at by </w:t>
      </w:r>
      <w:r>
        <w:rPr>
          <w:lang w:val="en-US"/>
        </w:rPr>
        <w:t xml:space="preserve">Vally J in </w:t>
      </w:r>
      <w:r w:rsidRPr="00843562">
        <w:rPr>
          <w:i/>
        </w:rPr>
        <w:t>Absa Bank Ltd v Africa's Best Minerals 146 Ltd; In re Sekhukhune NO v Absa Bank Ltd</w:t>
      </w:r>
      <w:r w:rsidRPr="00843562">
        <w:t xml:space="preserve"> [2015] 2 All SA 8 (GJ)</w:t>
      </w:r>
      <w:r>
        <w:t xml:space="preserve"> par 17, a decision in this division. </w:t>
      </w:r>
    </w:p>
    <w:p w:rsidR="004B1EB6" w:rsidRPr="00E80291" w:rsidRDefault="00E73454" w:rsidP="00773804">
      <w:pPr>
        <w:pStyle w:val="FootnoteText"/>
        <w:jc w:val="both"/>
        <w:rPr>
          <w:lang w:val="en-US"/>
        </w:rPr>
      </w:pPr>
      <w:r w:rsidRPr="0022131D">
        <w:rPr>
          <w:color w:val="000000"/>
        </w:rPr>
        <w:t xml:space="preserve">See too: </w:t>
      </w:r>
      <w:r w:rsidRPr="0022131D">
        <w:rPr>
          <w:i/>
          <w:color w:val="000000"/>
        </w:rPr>
        <w:t>Fullard v Fullard</w:t>
      </w:r>
      <w:r w:rsidRPr="0022131D">
        <w:rPr>
          <w:color w:val="000000"/>
        </w:rPr>
        <w:t xml:space="preserve"> 1979 (1) SA 368T at 372C-E, where the following caution was sounded: “Omrede hy skuldeiser is, het hy </w:t>
      </w:r>
      <w:r w:rsidRPr="0022131D">
        <w:rPr>
          <w:i/>
          <w:iCs/>
          <w:color w:val="000000"/>
        </w:rPr>
        <w:t>locus standi</w:t>
      </w:r>
      <w:r w:rsidR="00A36CF0">
        <w:rPr>
          <w:color w:val="000000"/>
        </w:rPr>
        <w:t xml:space="preserve"> </w:t>
      </w:r>
      <w:r w:rsidRPr="0022131D">
        <w:rPr>
          <w:color w:val="000000"/>
        </w:rPr>
        <w:t xml:space="preserve">om aangehoor te word in 'n </w:t>
      </w:r>
      <w:r w:rsidRPr="0022131D">
        <w:rPr>
          <w:i/>
          <w:iCs/>
          <w:color w:val="000000"/>
        </w:rPr>
        <w:t xml:space="preserve">concursus creditorum </w:t>
      </w:r>
      <w:r w:rsidRPr="0022131D">
        <w:rPr>
          <w:color w:val="000000"/>
        </w:rPr>
        <w:t xml:space="preserve">wat </w:t>
      </w:r>
      <w:r w:rsidRPr="0022131D">
        <w:rPr>
          <w:i/>
          <w:iCs/>
          <w:color w:val="000000"/>
        </w:rPr>
        <w:t xml:space="preserve">reeds bestaan </w:t>
      </w:r>
      <w:r w:rsidRPr="0022131D">
        <w:rPr>
          <w:color w:val="000000"/>
        </w:rPr>
        <w:t xml:space="preserve">en die sogenaamde verlof om tussenbeide te tree is eintlik 'n formaliteit. 'n Mens moet dus versigtig wees om, by die beoordeling van die problem </w:t>
      </w:r>
      <w:r w:rsidRPr="0022131D">
        <w:rPr>
          <w:i/>
          <w:iCs/>
          <w:color w:val="000000"/>
        </w:rPr>
        <w:t>in casu</w:t>
      </w:r>
      <w:r w:rsidRPr="0022131D">
        <w:rPr>
          <w:color w:val="000000"/>
        </w:rPr>
        <w:t>, nie oorwegings wat geld in 'n konvensionele proses klakkeloos toe te pas nie</w:t>
      </w:r>
      <w:r>
        <w:rPr>
          <w:color w:val="000000"/>
        </w:rPr>
        <w:t>.”</w:t>
      </w:r>
    </w:p>
  </w:footnote>
  <w:footnote w:id="12">
    <w:p w:rsidR="004B1EB6" w:rsidRPr="005E1298" w:rsidRDefault="004B1EB6" w:rsidP="005E1298">
      <w:pPr>
        <w:pStyle w:val="FootnoteText"/>
        <w:jc w:val="both"/>
        <w:rPr>
          <w:lang w:val="en-US"/>
        </w:rPr>
      </w:pPr>
      <w:r>
        <w:rPr>
          <w:rStyle w:val="FootnoteReference"/>
        </w:rPr>
        <w:footnoteRef/>
      </w:r>
      <w:r>
        <w:t xml:space="preserve"> </w:t>
      </w:r>
      <w:r w:rsidRPr="00D30C6A">
        <w:t xml:space="preserve">For example: </w:t>
      </w:r>
      <w:r w:rsidRPr="00D30C6A">
        <w:rPr>
          <w:i/>
        </w:rPr>
        <w:t xml:space="preserve">F &amp; C Building Construction Co (Pty) Ltd v Macsheil Investments (Pty) Ltd </w:t>
      </w:r>
      <w:r w:rsidRPr="00D30C6A">
        <w:t xml:space="preserve">1959 (3) SA 841 (N); </w:t>
      </w:r>
      <w:r w:rsidRPr="00D30C6A">
        <w:rPr>
          <w:i/>
        </w:rPr>
        <w:t>Gilliatt v Sassin</w:t>
      </w:r>
      <w:r w:rsidRPr="00D30C6A">
        <w:t xml:space="preserve"> 1954 (2) SA 278 (C) at 280; </w:t>
      </w:r>
      <w:r w:rsidRPr="00D30C6A">
        <w:rPr>
          <w:i/>
        </w:rPr>
        <w:t>Ex parte Arntzen (Nedbank Ltd as Intervening Creditor)</w:t>
      </w:r>
      <w:r w:rsidRPr="00D30C6A">
        <w:t xml:space="preserve"> 2013 (1) SA 49 (KZP) para 1; </w:t>
      </w:r>
      <w:r w:rsidRPr="00D30C6A">
        <w:rPr>
          <w:i/>
        </w:rPr>
        <w:t xml:space="preserve">Ex parte Clifford Homes Construction (Pty) Ltd </w:t>
      </w:r>
      <w:r w:rsidRPr="00D30C6A">
        <w:t>1989 (4) SA 610 (W) at 612D – F; Bertelsmann et al Mars: Law of Insolvency in South Africa 9 ed paras 5.26 and 5.27, p 129 – 30; and earlier editions</w:t>
      </w:r>
      <w:r>
        <w:t>.</w:t>
      </w:r>
    </w:p>
  </w:footnote>
  <w:footnote w:id="13">
    <w:p w:rsidR="004B1EB6" w:rsidRPr="005E1298" w:rsidRDefault="004B1EB6">
      <w:pPr>
        <w:pStyle w:val="FootnoteText"/>
        <w:rPr>
          <w:lang w:val="en-US"/>
        </w:rPr>
      </w:pPr>
      <w:r>
        <w:rPr>
          <w:rStyle w:val="FootnoteReference"/>
        </w:rPr>
        <w:footnoteRef/>
      </w:r>
      <w:r>
        <w:t xml:space="preserve"> </w:t>
      </w:r>
      <w:r w:rsidRPr="00D30C6A">
        <w:t>Catherine Smith Law of Insolvency 3 ed p 79</w:t>
      </w:r>
      <w:r>
        <w:t>.</w:t>
      </w:r>
    </w:p>
  </w:footnote>
  <w:footnote w:id="14">
    <w:p w:rsidR="004B1EB6" w:rsidRPr="00C5229C" w:rsidRDefault="004B1EB6" w:rsidP="004B1EB6">
      <w:pPr>
        <w:jc w:val="both"/>
        <w:rPr>
          <w:rFonts w:ascii="Arial" w:hAnsi="Arial" w:cs="Arial"/>
          <w:color w:val="000000"/>
        </w:rPr>
      </w:pPr>
      <w:r>
        <w:rPr>
          <w:rStyle w:val="FootnoteReference"/>
        </w:rPr>
        <w:footnoteRef/>
      </w:r>
      <w:r>
        <w:t xml:space="preserve"> </w:t>
      </w:r>
      <w:r w:rsidRPr="003D0ACB">
        <w:rPr>
          <w:rFonts w:ascii="Arial" w:hAnsi="Arial" w:cs="Arial"/>
        </w:rPr>
        <w:t>Id</w:t>
      </w:r>
      <w:r w:rsidRPr="003D0ACB">
        <w:rPr>
          <w:rFonts w:ascii="Arial" w:hAnsi="Arial" w:cs="Arial"/>
          <w:i/>
        </w:rPr>
        <w:t xml:space="preserve"> Maritz, (</w:t>
      </w:r>
      <w:r w:rsidRPr="003D0ACB">
        <w:rPr>
          <w:rFonts w:ascii="Arial" w:hAnsi="Arial" w:cs="Arial"/>
        </w:rPr>
        <w:t>c</w:t>
      </w:r>
      <w:r w:rsidRPr="003D0ACB">
        <w:rPr>
          <w:rFonts w:ascii="Arial" w:hAnsi="Arial" w:cs="Arial"/>
          <w:lang w:val="en-US"/>
        </w:rPr>
        <w:t>ited in fn 4 above)</w:t>
      </w:r>
      <w:r w:rsidR="00A36CF0">
        <w:rPr>
          <w:rFonts w:ascii="Arial" w:hAnsi="Arial" w:cs="Arial"/>
          <w:lang w:val="en-US"/>
        </w:rPr>
        <w:t>. There, a</w:t>
      </w:r>
      <w:r w:rsidRPr="003D0ACB">
        <w:rPr>
          <w:rFonts w:ascii="Arial" w:hAnsi="Arial" w:cs="Arial"/>
          <w:lang w:val="en-US"/>
        </w:rPr>
        <w:t>n application was brought for the sequestration of the respondents who were married in community of property. An immovable property owned by them had been attached and sold to the intervening respondent who had purchased same at a sale in execution.</w:t>
      </w:r>
      <w:r w:rsidRPr="003D0ACB">
        <w:rPr>
          <w:rFonts w:ascii="Arial" w:hAnsi="Arial" w:cs="Arial"/>
          <w:color w:val="000000"/>
        </w:rPr>
        <w:t xml:space="preserve"> </w:t>
      </w:r>
      <w:r w:rsidRPr="00C5229C">
        <w:rPr>
          <w:rFonts w:ascii="Arial" w:hAnsi="Arial" w:cs="Arial"/>
          <w:color w:val="000000"/>
        </w:rPr>
        <w:t>The application was made by their accountant, who alleged that the respondents had committed an act of insolvency as intended in s 8</w:t>
      </w:r>
      <w:r w:rsidRPr="00C5229C">
        <w:rPr>
          <w:rFonts w:ascii="Arial" w:hAnsi="Arial" w:cs="Arial"/>
          <w:i/>
          <w:iCs/>
          <w:color w:val="000000"/>
        </w:rPr>
        <w:t>(g)</w:t>
      </w:r>
      <w:r w:rsidR="00A36CF0">
        <w:rPr>
          <w:rFonts w:ascii="Arial" w:hAnsi="Arial" w:cs="Arial"/>
          <w:color w:val="000000"/>
        </w:rPr>
        <w:t xml:space="preserve"> </w:t>
      </w:r>
      <w:r w:rsidRPr="00C5229C">
        <w:rPr>
          <w:rFonts w:ascii="Arial" w:hAnsi="Arial" w:cs="Arial"/>
          <w:color w:val="000000"/>
        </w:rPr>
        <w:t>of the Insolvency Act 24 of 1936 by informing him in a letter that they were unable to pay their account. The applicant alleged that the respondents were in fact insolvent and that it would be to the advantage of their creditors if their estate were to be sequestrated. The respondents were the owners of a farm which had been sold at a sale in execution to one ‘S’ (the intervening respondent) at a price that was, according to the applicant, well below its market value. S applied to intervene in the sequestration application, alleging that he had a direct interest in the sequestration proceedings because he had purchased the respondents' farm at the sale in execution, which interest he intended to protect by opposing the application for sequestration on the ground that it amounted to a 'friendly sequestration' ‘F Bank’ also sought to intervene in the sequestration proceedings as intervening creditor, averring that most of the first respondent's debt to it (some R396</w:t>
      </w:r>
      <w:r w:rsidR="00A36CF0">
        <w:rPr>
          <w:rFonts w:ascii="Arial" w:hAnsi="Arial" w:cs="Arial"/>
          <w:color w:val="000000"/>
        </w:rPr>
        <w:t>,</w:t>
      </w:r>
      <w:r w:rsidRPr="00C5229C">
        <w:rPr>
          <w:rFonts w:ascii="Arial" w:hAnsi="Arial" w:cs="Arial"/>
          <w:color w:val="000000"/>
        </w:rPr>
        <w:t>000</w:t>
      </w:r>
      <w:r w:rsidR="00750D15">
        <w:rPr>
          <w:rFonts w:ascii="Arial" w:hAnsi="Arial" w:cs="Arial"/>
          <w:color w:val="000000"/>
        </w:rPr>
        <w:t>.00</w:t>
      </w:r>
      <w:r w:rsidRPr="00C5229C">
        <w:rPr>
          <w:rFonts w:ascii="Arial" w:hAnsi="Arial" w:cs="Arial"/>
          <w:color w:val="000000"/>
        </w:rPr>
        <w:t>) was secured by a second mortgage bond over the farm and that the farm had been declared specially executable. The applicant and the bank in turn contended that S did not have</w:t>
      </w:r>
      <w:r w:rsidR="00A36CF0">
        <w:rPr>
          <w:rFonts w:ascii="Arial" w:hAnsi="Arial" w:cs="Arial"/>
          <w:color w:val="000000"/>
        </w:rPr>
        <w:t xml:space="preserve"> </w:t>
      </w:r>
      <w:r w:rsidRPr="00C5229C">
        <w:rPr>
          <w:rFonts w:ascii="Arial" w:hAnsi="Arial" w:cs="Arial"/>
          <w:i/>
          <w:iCs/>
          <w:color w:val="000000"/>
        </w:rPr>
        <w:t>locus standi</w:t>
      </w:r>
      <w:r w:rsidR="00A36CF0">
        <w:rPr>
          <w:rFonts w:ascii="Arial" w:hAnsi="Arial" w:cs="Arial"/>
          <w:color w:val="000000"/>
        </w:rPr>
        <w:t xml:space="preserve"> </w:t>
      </w:r>
      <w:r w:rsidRPr="00C5229C">
        <w:rPr>
          <w:rFonts w:ascii="Arial" w:hAnsi="Arial" w:cs="Arial"/>
          <w:color w:val="000000"/>
        </w:rPr>
        <w:t xml:space="preserve">to intervene in the proceedings because he was not a creditor of the respondents and thus lacked a direct and substantial interest in the subject-matter before the Court. </w:t>
      </w:r>
    </w:p>
    <w:p w:rsidR="004B1EB6" w:rsidRPr="00D900A5" w:rsidRDefault="004B1EB6" w:rsidP="004B1EB6">
      <w:pPr>
        <w:pStyle w:val="FootnoteText"/>
        <w:jc w:val="both"/>
        <w:rPr>
          <w:lang w:val="en-US"/>
        </w:rPr>
      </w:pPr>
      <w:r w:rsidRPr="00C5229C">
        <w:rPr>
          <w:iCs/>
          <w:color w:val="000000"/>
        </w:rPr>
        <w:t>The court held that</w:t>
      </w:r>
      <w:r w:rsidRPr="00C5229C">
        <w:rPr>
          <w:color w:val="000000"/>
        </w:rPr>
        <w:t xml:space="preserve"> that it was the </w:t>
      </w:r>
      <w:r w:rsidRPr="00A36CF0">
        <w:rPr>
          <w:iCs/>
          <w:color w:val="000000"/>
        </w:rPr>
        <w:t>respondents'</w:t>
      </w:r>
      <w:r w:rsidRPr="00C5229C">
        <w:rPr>
          <w:color w:val="000000"/>
        </w:rPr>
        <w:t xml:space="preserve"> rights of ownership in the farm which S wished to have transferred to him. While the sale had taken place at the instance of the execution creditor, the rights to be transferred to S pursuant thereto were those of the respondents themselves, and in this respect, S had a direct claim against the respondents. On that basis, it was held that S's right to transfer of the farm was not a derivative right but one in which the respondents' rights of ownership was to be transferred directly to the intervening respondent. There was, moreover, nothing in the Insolvency Act which in any way limited the common-law powers of the Courts in respect of intervention in sequestration proceedings. The court stated, at para 31, that it could hardly be said that S lacked an interest in the litigation in circumstances in which the expressly stated purpose thereof was to have a trustee appointed so that he might be able to set aside the transaction which S sought to protect. Having found that there was nothing in the Insolvency Act which in any way limited the common-law powers of the Courts in respect of intervention in sequestration proceedings, the Court exercised its discretion to allow a party to intervene on grounds of convenience in favour of S so as to allow him to join the proceedings.</w:t>
      </w:r>
    </w:p>
  </w:footnote>
  <w:footnote w:id="15">
    <w:p w:rsidR="004B1EB6" w:rsidRPr="00EB1BCE" w:rsidRDefault="004B1EB6" w:rsidP="004B1EB6">
      <w:pPr>
        <w:pStyle w:val="FootnoteText"/>
        <w:rPr>
          <w:lang w:val="en-US"/>
        </w:rPr>
      </w:pPr>
      <w:r>
        <w:rPr>
          <w:rStyle w:val="FootnoteReference"/>
        </w:rPr>
        <w:footnoteRef/>
      </w:r>
      <w:r>
        <w:t xml:space="preserve"> </w:t>
      </w:r>
      <w:r>
        <w:rPr>
          <w:i/>
        </w:rPr>
        <w:t>Maritz,</w:t>
      </w:r>
      <w:r>
        <w:t xml:space="preserve"> paras 21 &amp; 22. </w:t>
      </w:r>
    </w:p>
  </w:footnote>
  <w:footnote w:id="16">
    <w:p w:rsidR="004B1EB6" w:rsidRPr="00EB1BCE" w:rsidRDefault="004B1EB6" w:rsidP="004B1EB6">
      <w:pPr>
        <w:pStyle w:val="FootnoteText"/>
        <w:rPr>
          <w:lang w:val="en-US"/>
        </w:rPr>
      </w:pPr>
      <w:r>
        <w:rPr>
          <w:rStyle w:val="FootnoteReference"/>
        </w:rPr>
        <w:footnoteRef/>
      </w:r>
      <w:r>
        <w:t xml:space="preserve"> </w:t>
      </w:r>
      <w:r>
        <w:rPr>
          <w:i/>
        </w:rPr>
        <w:t xml:space="preserve">Maritz, </w:t>
      </w:r>
      <w:r>
        <w:t>paras 27, 31 and 35.</w:t>
      </w:r>
    </w:p>
  </w:footnote>
  <w:footnote w:id="17">
    <w:p w:rsidR="004B1EB6" w:rsidRPr="00952D0A" w:rsidRDefault="004B1EB6" w:rsidP="004B1EB6">
      <w:pPr>
        <w:pStyle w:val="FootnoteText"/>
        <w:jc w:val="both"/>
        <w:rPr>
          <w:lang w:val="en-US"/>
        </w:rPr>
      </w:pPr>
      <w:r>
        <w:rPr>
          <w:rStyle w:val="FootnoteReference"/>
        </w:rPr>
        <w:footnoteRef/>
      </w:r>
      <w:r>
        <w:t xml:space="preserve"> I</w:t>
      </w:r>
      <w:r w:rsidRPr="00952D0A">
        <w:t xml:space="preserve">n </w:t>
      </w:r>
      <w:r w:rsidRPr="00952D0A">
        <w:rPr>
          <w:i/>
        </w:rPr>
        <w:t>Maritz</w:t>
      </w:r>
      <w:r>
        <w:rPr>
          <w:i/>
        </w:rPr>
        <w:t>,</w:t>
      </w:r>
      <w:r w:rsidRPr="00952D0A">
        <w:t xml:space="preserve"> the property </w:t>
      </w:r>
      <w:r>
        <w:t xml:space="preserve">that was purchased by </w:t>
      </w:r>
      <w:r w:rsidRPr="00952D0A">
        <w:t xml:space="preserve">the intervening respondent had not yet been transferred to him </w:t>
      </w:r>
      <w:r>
        <w:t xml:space="preserve">at the time the sequestration proceedings were pending, </w:t>
      </w:r>
      <w:r w:rsidRPr="00952D0A">
        <w:t xml:space="preserve">as opposed to the </w:t>
      </w:r>
      <w:r w:rsidR="008957FF">
        <w:t xml:space="preserve">present matter </w:t>
      </w:r>
      <w:r w:rsidRPr="00952D0A">
        <w:t>where the property had been transferred to the intervening creditor some 6 months prior to the launch of the sequestration application</w:t>
      </w:r>
      <w:r>
        <w:t>.</w:t>
      </w:r>
      <w:r w:rsidR="00750D15">
        <w:t xml:space="preserve"> Further, in </w:t>
      </w:r>
      <w:r w:rsidR="00750D15" w:rsidRPr="00750D15">
        <w:rPr>
          <w:i/>
        </w:rPr>
        <w:t>M</w:t>
      </w:r>
      <w:r w:rsidR="00750D15">
        <w:rPr>
          <w:i/>
        </w:rPr>
        <w:t>aritz,</w:t>
      </w:r>
      <w:r>
        <w:t xml:space="preserve"> </w:t>
      </w:r>
      <w:r w:rsidR="00750D15">
        <w:t xml:space="preserve">the status of the intervening respondent </w:t>
      </w:r>
      <w:r w:rsidR="008957FF">
        <w:t xml:space="preserve">as creditor </w:t>
      </w:r>
      <w:r w:rsidR="00750D15">
        <w:t xml:space="preserve">was disputed. </w:t>
      </w:r>
      <w:r>
        <w:t xml:space="preserve">Moreover, the intervening applications were considered by the same court hearing the sequestration application, which took place in one composite hearing. </w:t>
      </w:r>
      <w:r w:rsidR="00750D15">
        <w:t xml:space="preserve">Although the intervention application succeeded, ultimately a sequestration order was granted.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4B1EB6" w:rsidRDefault="004B1EB6">
        <w:pPr>
          <w:pStyle w:val="Header"/>
          <w:jc w:val="right"/>
        </w:pPr>
        <w:r>
          <w:fldChar w:fldCharType="begin"/>
        </w:r>
        <w:r>
          <w:instrText xml:space="preserve"> PAGE   \* MERGEFORMAT </w:instrText>
        </w:r>
        <w:r>
          <w:fldChar w:fldCharType="separate"/>
        </w:r>
        <w:r w:rsidR="003F6C07">
          <w:rPr>
            <w:noProof/>
          </w:rPr>
          <w:t>2</w:t>
        </w:r>
        <w:r>
          <w:rPr>
            <w:noProof/>
          </w:rPr>
          <w:fldChar w:fldCharType="end"/>
        </w:r>
      </w:p>
    </w:sdtContent>
  </w:sdt>
  <w:p w:rsidR="004B1EB6" w:rsidRDefault="004B1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B6" w:rsidRDefault="004B1EB6">
    <w:pPr>
      <w:pStyle w:val="Header"/>
      <w:jc w:val="center"/>
    </w:pPr>
  </w:p>
  <w:p w:rsidR="004B1EB6" w:rsidRDefault="004B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671F3"/>
    <w:multiLevelType w:val="hybridMultilevel"/>
    <w:tmpl w:val="0C8E05D4"/>
    <w:lvl w:ilvl="0" w:tplc="A462C01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
    <w:nsid w:val="4FB1076A"/>
    <w:multiLevelType w:val="hybridMultilevel"/>
    <w:tmpl w:val="F5F0A576"/>
    <w:lvl w:ilvl="0" w:tplc="DBB4203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50F7650A"/>
    <w:multiLevelType w:val="multilevel"/>
    <w:tmpl w:val="FBFA6894"/>
    <w:numStyleLink w:val="Style3"/>
  </w:abstractNum>
  <w:abstractNum w:abstractNumId="4">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72"/>
    <w:rsid w:val="0001353C"/>
    <w:rsid w:val="000B32ED"/>
    <w:rsid w:val="001120B8"/>
    <w:rsid w:val="00174BBA"/>
    <w:rsid w:val="001778EF"/>
    <w:rsid w:val="00196A0E"/>
    <w:rsid w:val="001C32C1"/>
    <w:rsid w:val="00205270"/>
    <w:rsid w:val="00253736"/>
    <w:rsid w:val="00255D5C"/>
    <w:rsid w:val="002634E5"/>
    <w:rsid w:val="002D64B6"/>
    <w:rsid w:val="00304E2A"/>
    <w:rsid w:val="00347FE5"/>
    <w:rsid w:val="003D0ACB"/>
    <w:rsid w:val="003E2B9B"/>
    <w:rsid w:val="003F6C07"/>
    <w:rsid w:val="00442927"/>
    <w:rsid w:val="004603FD"/>
    <w:rsid w:val="00486B4D"/>
    <w:rsid w:val="004A7621"/>
    <w:rsid w:val="004B1EB6"/>
    <w:rsid w:val="00580FFA"/>
    <w:rsid w:val="00591096"/>
    <w:rsid w:val="00594753"/>
    <w:rsid w:val="005C5A8E"/>
    <w:rsid w:val="005E1298"/>
    <w:rsid w:val="005F1772"/>
    <w:rsid w:val="00671A92"/>
    <w:rsid w:val="00677EF2"/>
    <w:rsid w:val="00682C01"/>
    <w:rsid w:val="0068613B"/>
    <w:rsid w:val="006A7CA5"/>
    <w:rsid w:val="006C3DC5"/>
    <w:rsid w:val="006E78DF"/>
    <w:rsid w:val="0071515D"/>
    <w:rsid w:val="007220BE"/>
    <w:rsid w:val="00750D15"/>
    <w:rsid w:val="00763673"/>
    <w:rsid w:val="00773804"/>
    <w:rsid w:val="0079328B"/>
    <w:rsid w:val="007A7D19"/>
    <w:rsid w:val="007B617C"/>
    <w:rsid w:val="007D75F9"/>
    <w:rsid w:val="00843105"/>
    <w:rsid w:val="00843562"/>
    <w:rsid w:val="008957FF"/>
    <w:rsid w:val="00897E70"/>
    <w:rsid w:val="008C73B8"/>
    <w:rsid w:val="008F6378"/>
    <w:rsid w:val="0091166E"/>
    <w:rsid w:val="009C3442"/>
    <w:rsid w:val="009E25E6"/>
    <w:rsid w:val="00A21E14"/>
    <w:rsid w:val="00A36CF0"/>
    <w:rsid w:val="00A70028"/>
    <w:rsid w:val="00A875FC"/>
    <w:rsid w:val="00AE39FC"/>
    <w:rsid w:val="00B30294"/>
    <w:rsid w:val="00BE1EDA"/>
    <w:rsid w:val="00C10C6F"/>
    <w:rsid w:val="00CE6229"/>
    <w:rsid w:val="00D77229"/>
    <w:rsid w:val="00D900A5"/>
    <w:rsid w:val="00DC4F52"/>
    <w:rsid w:val="00E205F7"/>
    <w:rsid w:val="00E4770F"/>
    <w:rsid w:val="00E553CF"/>
    <w:rsid w:val="00E6132C"/>
    <w:rsid w:val="00E73454"/>
    <w:rsid w:val="00E80291"/>
    <w:rsid w:val="00E803AE"/>
    <w:rsid w:val="00E95AC2"/>
    <w:rsid w:val="00EA1B28"/>
    <w:rsid w:val="00ED59EA"/>
    <w:rsid w:val="00F57549"/>
    <w:rsid w:val="00FD55C9"/>
    <w:rsid w:val="00FE0A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BDC6C-9D2E-4101-AB7C-238FF01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72"/>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5F17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772"/>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5F1772"/>
    <w:pPr>
      <w:ind w:left="720"/>
      <w:contextualSpacing/>
    </w:pPr>
  </w:style>
  <w:style w:type="paragraph" w:styleId="FootnoteText">
    <w:name w:val="footnote text"/>
    <w:basedOn w:val="Normal"/>
    <w:link w:val="FootnoteTextChar"/>
    <w:uiPriority w:val="99"/>
    <w:unhideWhenUsed/>
    <w:rsid w:val="005F1772"/>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5F1772"/>
    <w:rPr>
      <w:rFonts w:ascii="Arial" w:hAnsi="Arial" w:cs="Arial"/>
      <w:sz w:val="20"/>
      <w:szCs w:val="20"/>
      <w:lang w:val="en-GB"/>
    </w:rPr>
  </w:style>
  <w:style w:type="character" w:styleId="FootnoteReference">
    <w:name w:val="footnote reference"/>
    <w:basedOn w:val="DefaultParagraphFont"/>
    <w:uiPriority w:val="99"/>
    <w:semiHidden/>
    <w:unhideWhenUsed/>
    <w:rsid w:val="005F1772"/>
    <w:rPr>
      <w:vertAlign w:val="superscript"/>
    </w:rPr>
  </w:style>
  <w:style w:type="numbering" w:customStyle="1" w:styleId="Style3">
    <w:name w:val="Style3"/>
    <w:rsid w:val="005F1772"/>
    <w:pPr>
      <w:numPr>
        <w:numId w:val="2"/>
      </w:numPr>
    </w:pPr>
  </w:style>
  <w:style w:type="paragraph" w:styleId="NormalWeb">
    <w:name w:val="Normal (Web)"/>
    <w:basedOn w:val="Normal"/>
    <w:uiPriority w:val="99"/>
    <w:unhideWhenUsed/>
    <w:rsid w:val="005F1772"/>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5F1772"/>
    <w:pPr>
      <w:tabs>
        <w:tab w:val="center" w:pos="4513"/>
        <w:tab w:val="right" w:pos="9026"/>
      </w:tabs>
    </w:pPr>
  </w:style>
  <w:style w:type="character" w:customStyle="1" w:styleId="HeaderChar">
    <w:name w:val="Header Char"/>
    <w:basedOn w:val="DefaultParagraphFont"/>
    <w:link w:val="Header"/>
    <w:uiPriority w:val="99"/>
    <w:rsid w:val="005F1772"/>
    <w:rPr>
      <w:rFonts w:ascii="Verdana" w:eastAsia="Times New Roman" w:hAnsi="Verdana" w:cs="Times New Roman"/>
      <w:sz w:val="20"/>
      <w:szCs w:val="20"/>
      <w:lang w:val="en-GB" w:eastAsia="en-GB"/>
    </w:rPr>
  </w:style>
  <w:style w:type="paragraph" w:styleId="BalloonText">
    <w:name w:val="Balloon Text"/>
    <w:basedOn w:val="Normal"/>
    <w:link w:val="BalloonTextChar"/>
    <w:uiPriority w:val="99"/>
    <w:semiHidden/>
    <w:unhideWhenUsed/>
    <w:rsid w:val="005F1772"/>
    <w:rPr>
      <w:rFonts w:ascii="Tahoma" w:hAnsi="Tahoma" w:cs="Tahoma"/>
      <w:sz w:val="16"/>
      <w:szCs w:val="16"/>
    </w:rPr>
  </w:style>
  <w:style w:type="character" w:customStyle="1" w:styleId="BalloonTextChar">
    <w:name w:val="Balloon Text Char"/>
    <w:basedOn w:val="DefaultParagraphFont"/>
    <w:link w:val="BalloonText"/>
    <w:uiPriority w:val="99"/>
    <w:semiHidden/>
    <w:rsid w:val="005F1772"/>
    <w:rPr>
      <w:rFonts w:ascii="Tahoma" w:eastAsia="Times New Roman" w:hAnsi="Tahoma" w:cs="Tahoma"/>
      <w:sz w:val="16"/>
      <w:szCs w:val="16"/>
      <w:lang w:val="en-GB" w:eastAsia="en-GB"/>
    </w:rPr>
  </w:style>
  <w:style w:type="character" w:customStyle="1" w:styleId="mc">
    <w:name w:val="mc"/>
    <w:basedOn w:val="DefaultParagraphFont"/>
    <w:rsid w:val="00D900A5"/>
  </w:style>
  <w:style w:type="character" w:styleId="Hyperlink">
    <w:name w:val="Hyperlink"/>
    <w:basedOn w:val="DefaultParagraphFont"/>
    <w:uiPriority w:val="99"/>
    <w:semiHidden/>
    <w:unhideWhenUsed/>
    <w:rsid w:val="004B1E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92784%27%5d&amp;xhitlist_md=target-id=0-0-0-183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21558%27%5d&amp;xhitlist_md=target-id=0-0-0-4125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71103%27%5d&amp;xhitlist_md=target-id=0-0-0-30087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32151%27%5d&amp;xhitlist_md=target-id=0-0-0-3917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93637%27%5d&amp;xhitlist_md=target-id=0-0-0-3265"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12129%27%5d&amp;xhitlist_md=target-id=0-0-0-324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42AB-B527-4456-BCED-101B67C2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2</cp:revision>
  <dcterms:created xsi:type="dcterms:W3CDTF">2022-05-30T10:26:00Z</dcterms:created>
  <dcterms:modified xsi:type="dcterms:W3CDTF">2022-05-30T10:26:00Z</dcterms:modified>
</cp:coreProperties>
</file>