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AE56" w14:textId="545033FE" w:rsidR="00845BBF" w:rsidRPr="006B754F" w:rsidRDefault="00E11DAE" w:rsidP="00845BBF">
      <w:pPr>
        <w:spacing w:after="0" w:line="480" w:lineRule="auto"/>
        <w:jc w:val="center"/>
        <w:rPr>
          <w:rFonts w:ascii="Arial" w:eastAsia="Times New Roman" w:hAnsi="Arial" w:cs="Arial"/>
          <w:b/>
          <w:sz w:val="24"/>
          <w:szCs w:val="24"/>
          <w:lang w:eastAsia="en-GB"/>
        </w:rPr>
      </w:pPr>
      <w:bookmarkStart w:id="0" w:name="_GoBack"/>
      <w:bookmarkEnd w:id="0"/>
      <w:r>
        <w:rPr>
          <w:rFonts w:ascii="Arial" w:eastAsia="Times New Roman" w:hAnsi="Arial" w:cs="Arial"/>
          <w:b/>
          <w:sz w:val="24"/>
          <w:szCs w:val="24"/>
          <w:lang w:eastAsia="en-GB"/>
        </w:rPr>
        <w:t>b</w:t>
      </w:r>
      <w:r w:rsidR="00845BBF" w:rsidRPr="006B754F">
        <w:rPr>
          <w:rFonts w:ascii="Arial" w:eastAsia="Times New Roman" w:hAnsi="Arial" w:cs="Arial"/>
          <w:b/>
          <w:sz w:val="24"/>
          <w:szCs w:val="24"/>
          <w:lang w:eastAsia="en-GB"/>
        </w:rPr>
        <w:t>REPUBLIC OF SOUTH AFRICA</w:t>
      </w:r>
    </w:p>
    <w:p w14:paraId="0FCFFF99" w14:textId="77777777" w:rsidR="00845BBF" w:rsidRPr="006B754F" w:rsidRDefault="00845BBF" w:rsidP="00845BBF">
      <w:pPr>
        <w:spacing w:line="480" w:lineRule="auto"/>
        <w:jc w:val="center"/>
        <w:rPr>
          <w:rFonts w:ascii="Arial" w:hAnsi="Arial" w:cs="Arial"/>
          <w:sz w:val="24"/>
          <w:szCs w:val="24"/>
          <w:lang w:val="en-GB"/>
        </w:rPr>
      </w:pPr>
      <w:r w:rsidRPr="006B754F">
        <w:rPr>
          <w:rFonts w:ascii="Arial" w:eastAsia="Calibri" w:hAnsi="Arial" w:cs="Arial"/>
          <w:noProof/>
          <w:sz w:val="24"/>
          <w:szCs w:val="24"/>
          <w:lang w:eastAsia="en-ZA"/>
        </w:rPr>
        <w:drawing>
          <wp:inline distT="0" distB="0" distL="0" distR="0" wp14:anchorId="0E905C0A" wp14:editId="5962BF80">
            <wp:extent cx="16573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19225"/>
                    </a:xfrm>
                    <a:prstGeom prst="rect">
                      <a:avLst/>
                    </a:prstGeom>
                    <a:noFill/>
                    <a:ln>
                      <a:noFill/>
                    </a:ln>
                  </pic:spPr>
                </pic:pic>
              </a:graphicData>
            </a:graphic>
          </wp:inline>
        </w:drawing>
      </w:r>
    </w:p>
    <w:p w14:paraId="398D48DB" w14:textId="77777777" w:rsidR="00845BBF" w:rsidRPr="006B754F" w:rsidRDefault="00845BBF" w:rsidP="006315C9">
      <w:pPr>
        <w:spacing w:after="200" w:line="276" w:lineRule="auto"/>
        <w:jc w:val="center"/>
        <w:rPr>
          <w:rFonts w:ascii="Arial" w:eastAsia="Calibri" w:hAnsi="Arial" w:cs="Arial"/>
          <w:b/>
          <w:bCs/>
          <w:sz w:val="24"/>
          <w:szCs w:val="24"/>
        </w:rPr>
      </w:pPr>
      <w:r w:rsidRPr="006B754F">
        <w:rPr>
          <w:rFonts w:ascii="Arial" w:eastAsia="Calibri" w:hAnsi="Arial" w:cs="Arial"/>
          <w:b/>
          <w:sz w:val="24"/>
          <w:szCs w:val="24"/>
        </w:rPr>
        <w:t xml:space="preserve">IN THE </w:t>
      </w:r>
      <w:r w:rsidRPr="006B754F">
        <w:rPr>
          <w:rFonts w:ascii="Arial" w:eastAsia="Calibri" w:hAnsi="Arial" w:cs="Arial"/>
          <w:b/>
          <w:bCs/>
          <w:sz w:val="24"/>
          <w:szCs w:val="24"/>
        </w:rPr>
        <w:t>HIGH COURT OF SOUTH AFRICA</w:t>
      </w:r>
    </w:p>
    <w:p w14:paraId="7C30BCD7" w14:textId="77777777" w:rsidR="00845BBF" w:rsidRPr="006B754F" w:rsidRDefault="00845BBF" w:rsidP="006315C9">
      <w:pPr>
        <w:spacing w:after="200" w:line="276" w:lineRule="auto"/>
        <w:jc w:val="center"/>
        <w:rPr>
          <w:rFonts w:ascii="Arial" w:eastAsia="Calibri" w:hAnsi="Arial" w:cs="Arial"/>
          <w:b/>
          <w:sz w:val="24"/>
          <w:szCs w:val="24"/>
        </w:rPr>
      </w:pPr>
      <w:r w:rsidRPr="006B754F">
        <w:rPr>
          <w:rFonts w:ascii="Arial" w:eastAsia="Calibri" w:hAnsi="Arial" w:cs="Arial"/>
          <w:b/>
          <w:sz w:val="24"/>
          <w:szCs w:val="24"/>
        </w:rPr>
        <w:t>GAUTENG LOCAL DIVISION, JOHANNESBURG</w:t>
      </w:r>
    </w:p>
    <w:p w14:paraId="74C988A7" w14:textId="77777777" w:rsidR="00845BBF" w:rsidRPr="006B754F" w:rsidRDefault="00845BBF" w:rsidP="00845BBF">
      <w:pPr>
        <w:spacing w:line="480" w:lineRule="auto"/>
        <w:jc w:val="both"/>
        <w:rPr>
          <w:rFonts w:ascii="Arial" w:eastAsia="Calibri" w:hAnsi="Arial" w:cs="Arial"/>
          <w:b/>
          <w:sz w:val="24"/>
          <w:szCs w:val="24"/>
        </w:rPr>
      </w:pPr>
      <w:r w:rsidRPr="006B754F">
        <w:rPr>
          <w:rFonts w:ascii="Arial" w:eastAsia="Calibri" w:hAnsi="Arial" w:cs="Arial"/>
          <w:noProof/>
          <w:sz w:val="24"/>
          <w:szCs w:val="24"/>
          <w:lang w:eastAsia="en-ZA"/>
        </w:rPr>
        <mc:AlternateContent>
          <mc:Choice Requires="wps">
            <w:drawing>
              <wp:anchor distT="0" distB="0" distL="114300" distR="114300" simplePos="0" relativeHeight="251659264" behindDoc="0" locked="0" layoutInCell="1" allowOverlap="1" wp14:anchorId="322F656C" wp14:editId="5F52B2A7">
                <wp:simplePos x="0" y="0"/>
                <wp:positionH relativeFrom="column">
                  <wp:posOffset>-97277</wp:posOffset>
                </wp:positionH>
                <wp:positionV relativeFrom="paragraph">
                  <wp:posOffset>406482</wp:posOffset>
                </wp:positionV>
                <wp:extent cx="4195621" cy="1245140"/>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621" cy="1245140"/>
                        </a:xfrm>
                        <a:prstGeom prst="rect">
                          <a:avLst/>
                        </a:prstGeom>
                        <a:solidFill>
                          <a:srgbClr val="FFFFFF"/>
                        </a:solidFill>
                        <a:ln w="9525">
                          <a:solidFill>
                            <a:srgbClr val="000000"/>
                          </a:solidFill>
                          <a:miter lim="800000"/>
                          <a:headEnd/>
                          <a:tailEnd/>
                        </a:ln>
                      </wps:spPr>
                      <wps:txbx>
                        <w:txbxContent>
                          <w:p w14:paraId="468275FE"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REPORTABLE: </w:t>
                            </w:r>
                            <w:r w:rsidRPr="007A3709">
                              <w:rPr>
                                <w:rFonts w:ascii="Arial" w:hAnsi="Arial" w:cs="Arial"/>
                                <w:b/>
                                <w:sz w:val="20"/>
                                <w:szCs w:val="20"/>
                              </w:rPr>
                              <w:t>NO</w:t>
                            </w:r>
                          </w:p>
                          <w:p w14:paraId="15F569B1"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OF INTEREST TO OTHER JUDGES: </w:t>
                            </w:r>
                            <w:r w:rsidRPr="007A3709">
                              <w:rPr>
                                <w:rFonts w:ascii="Arial" w:hAnsi="Arial" w:cs="Arial"/>
                                <w:b/>
                                <w:sz w:val="20"/>
                                <w:szCs w:val="20"/>
                              </w:rPr>
                              <w:t>NO</w:t>
                            </w:r>
                          </w:p>
                          <w:p w14:paraId="02E46BAB"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REVISED. </w:t>
                            </w:r>
                          </w:p>
                          <w:p w14:paraId="100333B9" w14:textId="77777777" w:rsidR="00E4234F" w:rsidRPr="007A3709" w:rsidRDefault="00E4234F" w:rsidP="00845BBF">
                            <w:pPr>
                              <w:spacing w:after="0" w:line="240" w:lineRule="auto"/>
                              <w:ind w:left="180"/>
                              <w:rPr>
                                <w:rFonts w:ascii="Arial" w:hAnsi="Arial" w:cs="Arial"/>
                                <w:sz w:val="20"/>
                                <w:szCs w:val="20"/>
                              </w:rPr>
                            </w:pPr>
                          </w:p>
                          <w:p w14:paraId="65E40750" w14:textId="77777777" w:rsidR="00E4234F" w:rsidRPr="007A3709" w:rsidRDefault="00E4234F" w:rsidP="008A4BAC">
                            <w:pPr>
                              <w:spacing w:after="0" w:line="240" w:lineRule="auto"/>
                              <w:ind w:left="180"/>
                              <w:rPr>
                                <w:rFonts w:ascii="Arial" w:hAnsi="Arial" w:cs="Arial"/>
                                <w:b/>
                                <w:sz w:val="20"/>
                                <w:szCs w:val="20"/>
                              </w:rPr>
                            </w:pPr>
                            <w:r w:rsidRPr="007A3709">
                              <w:rPr>
                                <w:rFonts w:ascii="Arial" w:eastAsia="Calibri" w:hAnsi="Arial" w:cs="Arial"/>
                                <w:noProof/>
                                <w:sz w:val="20"/>
                                <w:szCs w:val="20"/>
                                <w:lang w:eastAsia="en-ZA"/>
                              </w:rPr>
                              <w:t xml:space="preserve">                       </w:t>
                            </w:r>
                          </w:p>
                          <w:p w14:paraId="77F9875D" w14:textId="77777777" w:rsidR="00E4234F" w:rsidRPr="007A3709" w:rsidRDefault="00E4234F" w:rsidP="00845BBF">
                            <w:pPr>
                              <w:rPr>
                                <w:rFonts w:ascii="Arial" w:hAnsi="Arial" w:cs="Arial"/>
                                <w:b/>
                                <w:sz w:val="20"/>
                                <w:szCs w:val="20"/>
                              </w:rPr>
                            </w:pPr>
                            <w:r w:rsidRPr="007A3709">
                              <w:rPr>
                                <w:rFonts w:ascii="Arial" w:hAnsi="Arial" w:cs="Arial"/>
                                <w:b/>
                                <w:sz w:val="20"/>
                                <w:szCs w:val="20"/>
                              </w:rPr>
                              <w:t xml:space="preserve"> ……………………..</w:t>
                            </w:r>
                            <w:r w:rsidRPr="007A3709">
                              <w:rPr>
                                <w:rFonts w:ascii="Arial" w:hAnsi="Arial" w:cs="Arial"/>
                                <w:b/>
                                <w:sz w:val="20"/>
                                <w:szCs w:val="20"/>
                              </w:rPr>
                              <w:tab/>
                            </w:r>
                            <w:r w:rsidRPr="007A3709">
                              <w:rPr>
                                <w:rFonts w:ascii="Arial" w:hAnsi="Arial" w:cs="Arial"/>
                                <w:b/>
                                <w:sz w:val="20"/>
                                <w:szCs w:val="20"/>
                              </w:rPr>
                              <w:tab/>
                              <w:t>………………………...</w:t>
                            </w:r>
                          </w:p>
                          <w:p w14:paraId="3ACAEBED" w14:textId="2871F95F" w:rsidR="00E4234F" w:rsidRPr="007A3709" w:rsidRDefault="00E4234F" w:rsidP="00845BBF">
                            <w:pPr>
                              <w:rPr>
                                <w:rFonts w:ascii="Arial" w:hAnsi="Arial" w:cs="Arial"/>
                                <w:b/>
                                <w:sz w:val="20"/>
                                <w:szCs w:val="20"/>
                              </w:rPr>
                            </w:pPr>
                            <w:r w:rsidRPr="007A3709">
                              <w:rPr>
                                <w:rFonts w:ascii="Arial" w:hAnsi="Arial" w:cs="Arial"/>
                                <w:sz w:val="20"/>
                                <w:szCs w:val="20"/>
                              </w:rPr>
                              <w:t xml:space="preserve"> </w:t>
                            </w:r>
                            <w:r w:rsidR="008A4BAC" w:rsidRPr="007A3709">
                              <w:rPr>
                                <w:rFonts w:ascii="Arial" w:hAnsi="Arial" w:cs="Arial"/>
                                <w:b/>
                                <w:sz w:val="20"/>
                                <w:szCs w:val="20"/>
                              </w:rPr>
                              <w:t>DATE</w:t>
                            </w:r>
                            <w:r w:rsidR="00561ACB">
                              <w:rPr>
                                <w:rFonts w:ascii="Arial" w:hAnsi="Arial" w:cs="Arial"/>
                                <w:b/>
                                <w:sz w:val="20"/>
                                <w:szCs w:val="20"/>
                              </w:rPr>
                              <w:t xml:space="preserve">                                  SIGNATURE</w:t>
                            </w:r>
                            <w:r w:rsidRPr="007A3709">
                              <w:rPr>
                                <w:rFonts w:ascii="Arial" w:hAnsi="Arial" w:cs="Arial"/>
                                <w:b/>
                                <w:sz w:val="20"/>
                                <w:szCs w:val="20"/>
                              </w:rPr>
                              <w:tab/>
                            </w:r>
                            <w:r w:rsidRPr="007A3709">
                              <w:rPr>
                                <w:rFonts w:ascii="Arial" w:hAnsi="Arial" w:cs="Arial"/>
                                <w:b/>
                                <w:sz w:val="20"/>
                                <w:szCs w:val="20"/>
                              </w:rPr>
                              <w:tab/>
                            </w:r>
                            <w:r w:rsidRPr="007A3709">
                              <w:rPr>
                                <w:rFonts w:ascii="Arial" w:hAnsi="Arial" w:cs="Arial"/>
                                <w:b/>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656C" id="_x0000_t202" coordsize="21600,21600" o:spt="202" path="m,l,21600r21600,l21600,xe">
                <v:stroke joinstyle="miter"/>
                <v:path gradientshapeok="t" o:connecttype="rect"/>
              </v:shapetype>
              <v:shape id="Text Box 2" o:spid="_x0000_s1026" type="#_x0000_t202" style="position:absolute;left:0;text-align:left;margin-left:-7.65pt;margin-top:32pt;width:330.35pt;height:9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">
                <v:textbox>
                  <w:txbxContent>
                    <w:p w14:paraId="468275FE"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REPORTABLE: </w:t>
                      </w:r>
                      <w:r w:rsidRPr="007A3709">
                        <w:rPr>
                          <w:rFonts w:ascii="Arial" w:hAnsi="Arial" w:cs="Arial"/>
                          <w:b/>
                          <w:sz w:val="20"/>
                          <w:szCs w:val="20"/>
                        </w:rPr>
                        <w:t>NO</w:t>
                      </w:r>
                    </w:p>
                    <w:p w14:paraId="15F569B1"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OF INTEREST TO OTHER JUDGES: </w:t>
                      </w:r>
                      <w:r w:rsidRPr="007A3709">
                        <w:rPr>
                          <w:rFonts w:ascii="Arial" w:hAnsi="Arial" w:cs="Arial"/>
                          <w:b/>
                          <w:sz w:val="20"/>
                          <w:szCs w:val="20"/>
                        </w:rPr>
                        <w:t>NO</w:t>
                      </w:r>
                    </w:p>
                    <w:p w14:paraId="02E46BAB" w14:textId="77777777" w:rsidR="00E4234F" w:rsidRPr="007A3709" w:rsidRDefault="00E4234F" w:rsidP="00845BBF">
                      <w:pPr>
                        <w:numPr>
                          <w:ilvl w:val="0"/>
                          <w:numId w:val="1"/>
                        </w:numPr>
                        <w:spacing w:after="0" w:line="240" w:lineRule="auto"/>
                        <w:rPr>
                          <w:rFonts w:ascii="Arial" w:hAnsi="Arial" w:cs="Arial"/>
                          <w:sz w:val="20"/>
                          <w:szCs w:val="20"/>
                        </w:rPr>
                      </w:pPr>
                      <w:r w:rsidRPr="007A3709">
                        <w:rPr>
                          <w:rFonts w:ascii="Arial" w:hAnsi="Arial" w:cs="Arial"/>
                          <w:sz w:val="20"/>
                          <w:szCs w:val="20"/>
                        </w:rPr>
                        <w:t xml:space="preserve">REVISED. </w:t>
                      </w:r>
                    </w:p>
                    <w:p w14:paraId="100333B9" w14:textId="77777777" w:rsidR="00E4234F" w:rsidRPr="007A3709" w:rsidRDefault="00E4234F" w:rsidP="00845BBF">
                      <w:pPr>
                        <w:spacing w:after="0" w:line="240" w:lineRule="auto"/>
                        <w:ind w:left="180"/>
                        <w:rPr>
                          <w:rFonts w:ascii="Arial" w:hAnsi="Arial" w:cs="Arial"/>
                          <w:sz w:val="20"/>
                          <w:szCs w:val="20"/>
                        </w:rPr>
                      </w:pPr>
                    </w:p>
                    <w:p w14:paraId="65E40750" w14:textId="77777777" w:rsidR="00E4234F" w:rsidRPr="007A3709" w:rsidRDefault="00E4234F" w:rsidP="008A4BAC">
                      <w:pPr>
                        <w:spacing w:after="0" w:line="240" w:lineRule="auto"/>
                        <w:ind w:left="180"/>
                        <w:rPr>
                          <w:rFonts w:ascii="Arial" w:hAnsi="Arial" w:cs="Arial"/>
                          <w:b/>
                          <w:sz w:val="20"/>
                          <w:szCs w:val="20"/>
                        </w:rPr>
                      </w:pPr>
                      <w:r w:rsidRPr="007A3709">
                        <w:rPr>
                          <w:rFonts w:ascii="Arial" w:eastAsia="Calibri" w:hAnsi="Arial" w:cs="Arial"/>
                          <w:noProof/>
                          <w:sz w:val="20"/>
                          <w:szCs w:val="20"/>
                          <w:lang w:eastAsia="en-ZA"/>
                        </w:rPr>
                        <w:t xml:space="preserve">                       </w:t>
                      </w:r>
                    </w:p>
                    <w:p w14:paraId="77F9875D" w14:textId="77777777" w:rsidR="00E4234F" w:rsidRPr="007A3709" w:rsidRDefault="00E4234F" w:rsidP="00845BBF">
                      <w:pPr>
                        <w:rPr>
                          <w:rFonts w:ascii="Arial" w:hAnsi="Arial" w:cs="Arial"/>
                          <w:b/>
                          <w:sz w:val="20"/>
                          <w:szCs w:val="20"/>
                        </w:rPr>
                      </w:pPr>
                      <w:r w:rsidRPr="007A3709">
                        <w:rPr>
                          <w:rFonts w:ascii="Arial" w:hAnsi="Arial" w:cs="Arial"/>
                          <w:b/>
                          <w:sz w:val="20"/>
                          <w:szCs w:val="20"/>
                        </w:rPr>
                        <w:t xml:space="preserve"> ……………………..</w:t>
                      </w:r>
                      <w:r w:rsidRPr="007A3709">
                        <w:rPr>
                          <w:rFonts w:ascii="Arial" w:hAnsi="Arial" w:cs="Arial"/>
                          <w:b/>
                          <w:sz w:val="20"/>
                          <w:szCs w:val="20"/>
                        </w:rPr>
                        <w:tab/>
                      </w:r>
                      <w:r w:rsidRPr="007A3709">
                        <w:rPr>
                          <w:rFonts w:ascii="Arial" w:hAnsi="Arial" w:cs="Arial"/>
                          <w:b/>
                          <w:sz w:val="20"/>
                          <w:szCs w:val="20"/>
                        </w:rPr>
                        <w:tab/>
                        <w:t>………………………...</w:t>
                      </w:r>
                    </w:p>
                    <w:p w14:paraId="3ACAEBED" w14:textId="2871F95F" w:rsidR="00E4234F" w:rsidRPr="007A3709" w:rsidRDefault="00E4234F" w:rsidP="00845BBF">
                      <w:pPr>
                        <w:rPr>
                          <w:rFonts w:ascii="Arial" w:hAnsi="Arial" w:cs="Arial"/>
                          <w:b/>
                          <w:sz w:val="20"/>
                          <w:szCs w:val="20"/>
                        </w:rPr>
                      </w:pPr>
                      <w:r w:rsidRPr="007A3709">
                        <w:rPr>
                          <w:rFonts w:ascii="Arial" w:hAnsi="Arial" w:cs="Arial"/>
                          <w:sz w:val="20"/>
                          <w:szCs w:val="20"/>
                        </w:rPr>
                        <w:t xml:space="preserve"> </w:t>
                      </w:r>
                      <w:r w:rsidR="008A4BAC" w:rsidRPr="007A3709">
                        <w:rPr>
                          <w:rFonts w:ascii="Arial" w:hAnsi="Arial" w:cs="Arial"/>
                          <w:b/>
                          <w:sz w:val="20"/>
                          <w:szCs w:val="20"/>
                        </w:rPr>
                        <w:t>DATE</w:t>
                      </w:r>
                      <w:r w:rsidR="00561ACB">
                        <w:rPr>
                          <w:rFonts w:ascii="Arial" w:hAnsi="Arial" w:cs="Arial"/>
                          <w:b/>
                          <w:sz w:val="20"/>
                          <w:szCs w:val="20"/>
                        </w:rPr>
                        <w:t xml:space="preserve">                                  SIGNATURE</w:t>
                      </w:r>
                      <w:r w:rsidRPr="007A3709">
                        <w:rPr>
                          <w:rFonts w:ascii="Arial" w:hAnsi="Arial" w:cs="Arial"/>
                          <w:b/>
                          <w:sz w:val="20"/>
                          <w:szCs w:val="20"/>
                        </w:rPr>
                        <w:tab/>
                      </w:r>
                      <w:r w:rsidRPr="007A3709">
                        <w:rPr>
                          <w:rFonts w:ascii="Arial" w:hAnsi="Arial" w:cs="Arial"/>
                          <w:b/>
                          <w:sz w:val="20"/>
                          <w:szCs w:val="20"/>
                        </w:rPr>
                        <w:tab/>
                      </w:r>
                      <w:r w:rsidRPr="007A3709">
                        <w:rPr>
                          <w:rFonts w:ascii="Arial" w:hAnsi="Arial" w:cs="Arial"/>
                          <w:b/>
                          <w:sz w:val="20"/>
                          <w:szCs w:val="20"/>
                        </w:rPr>
                        <w:tab/>
                        <w:t xml:space="preserve">      </w:t>
                      </w:r>
                    </w:p>
                  </w:txbxContent>
                </v:textbox>
              </v:shape>
            </w:pict>
          </mc:Fallback>
        </mc:AlternateContent>
      </w:r>
      <w:r w:rsidRPr="006B754F">
        <w:rPr>
          <w:rFonts w:ascii="Arial" w:eastAsia="Calibri" w:hAnsi="Arial" w:cs="Arial"/>
          <w:b/>
          <w:sz w:val="24"/>
          <w:szCs w:val="24"/>
        </w:rPr>
        <w:t xml:space="preserve">                                                                                            CASE NO: A5015/2019</w:t>
      </w:r>
    </w:p>
    <w:p w14:paraId="728C54F1" w14:textId="77777777" w:rsidR="00845BBF" w:rsidRPr="006B754F" w:rsidRDefault="00845BBF" w:rsidP="00845BBF">
      <w:pPr>
        <w:spacing w:line="480" w:lineRule="auto"/>
        <w:jc w:val="both"/>
        <w:rPr>
          <w:rFonts w:ascii="Arial" w:eastAsia="Calibri" w:hAnsi="Arial" w:cs="Arial"/>
          <w:b/>
          <w:sz w:val="24"/>
          <w:szCs w:val="24"/>
        </w:rPr>
      </w:pPr>
    </w:p>
    <w:p w14:paraId="0CA39F82" w14:textId="77777777" w:rsidR="00845BBF" w:rsidRPr="006B754F" w:rsidRDefault="00845BBF" w:rsidP="00845BBF">
      <w:pPr>
        <w:spacing w:line="480" w:lineRule="auto"/>
        <w:jc w:val="both"/>
        <w:rPr>
          <w:rFonts w:ascii="Arial" w:eastAsia="Calibri" w:hAnsi="Arial" w:cs="Arial"/>
          <w:b/>
          <w:sz w:val="24"/>
          <w:szCs w:val="24"/>
        </w:rPr>
      </w:pPr>
    </w:p>
    <w:p w14:paraId="7C2AFEBD" w14:textId="77777777" w:rsidR="00845BBF" w:rsidRPr="002E3A26" w:rsidRDefault="00845BBF" w:rsidP="00845BBF">
      <w:pPr>
        <w:spacing w:line="480" w:lineRule="auto"/>
        <w:jc w:val="both"/>
        <w:rPr>
          <w:rFonts w:ascii="Arial" w:hAnsi="Arial" w:cs="Arial"/>
          <w:sz w:val="24"/>
          <w:szCs w:val="24"/>
          <w:lang w:val="en-GB"/>
        </w:rPr>
      </w:pPr>
    </w:p>
    <w:p w14:paraId="187B8190" w14:textId="77777777" w:rsidR="00845BBF" w:rsidRPr="002E3A26" w:rsidRDefault="00845BBF" w:rsidP="00845BBF">
      <w:pPr>
        <w:spacing w:after="200" w:line="480" w:lineRule="auto"/>
        <w:jc w:val="both"/>
        <w:rPr>
          <w:rFonts w:ascii="Arial" w:eastAsia="Calibri" w:hAnsi="Arial" w:cs="Arial"/>
          <w:sz w:val="24"/>
          <w:szCs w:val="24"/>
        </w:rPr>
      </w:pPr>
      <w:r w:rsidRPr="002E3A26">
        <w:rPr>
          <w:rFonts w:ascii="Arial" w:eastAsia="Calibri" w:hAnsi="Arial" w:cs="Arial"/>
          <w:sz w:val="24"/>
          <w:szCs w:val="24"/>
        </w:rPr>
        <w:t>In the matter between:</w:t>
      </w:r>
    </w:p>
    <w:p w14:paraId="5526302D" w14:textId="77777777" w:rsidR="00845BBF" w:rsidRPr="002E3A26" w:rsidRDefault="008A4BAC" w:rsidP="00845BBF">
      <w:pPr>
        <w:spacing w:after="200" w:line="480" w:lineRule="auto"/>
        <w:jc w:val="both"/>
        <w:rPr>
          <w:rFonts w:ascii="Arial" w:eastAsia="Calibri" w:hAnsi="Arial" w:cs="Arial"/>
          <w:b/>
          <w:sz w:val="24"/>
          <w:szCs w:val="24"/>
        </w:rPr>
      </w:pPr>
      <w:r w:rsidRPr="002E3A26">
        <w:rPr>
          <w:rFonts w:ascii="Arial" w:eastAsia="Calibri" w:hAnsi="Arial" w:cs="Arial"/>
          <w:b/>
          <w:sz w:val="24"/>
          <w:szCs w:val="24"/>
        </w:rPr>
        <w:t>GERHARD CHRISTOPHER HEYDENRYCH                                                   APPELLANT</w:t>
      </w:r>
    </w:p>
    <w:p w14:paraId="35131766" w14:textId="77777777" w:rsidR="00845BBF" w:rsidRPr="002E3A26" w:rsidRDefault="008A4BAC" w:rsidP="00845BBF">
      <w:pPr>
        <w:spacing w:after="200" w:line="480" w:lineRule="auto"/>
        <w:jc w:val="both"/>
        <w:rPr>
          <w:rFonts w:ascii="Arial" w:eastAsia="Calibri" w:hAnsi="Arial" w:cs="Arial"/>
          <w:b/>
          <w:sz w:val="24"/>
          <w:szCs w:val="24"/>
        </w:rPr>
      </w:pPr>
      <w:r w:rsidRPr="002E3A26">
        <w:rPr>
          <w:rFonts w:ascii="Arial" w:eastAsia="Calibri" w:hAnsi="Arial" w:cs="Arial"/>
          <w:b/>
          <w:sz w:val="24"/>
          <w:szCs w:val="24"/>
        </w:rPr>
        <w:t>AND</w:t>
      </w:r>
    </w:p>
    <w:p w14:paraId="387570DB" w14:textId="77777777" w:rsidR="00845BBF" w:rsidRPr="002E3A26" w:rsidRDefault="008A4BAC" w:rsidP="00845BBF">
      <w:pPr>
        <w:spacing w:after="0" w:line="480" w:lineRule="auto"/>
        <w:jc w:val="both"/>
        <w:rPr>
          <w:rFonts w:ascii="Arial" w:eastAsia="Calibri" w:hAnsi="Arial" w:cs="Arial"/>
          <w:b/>
          <w:sz w:val="24"/>
          <w:szCs w:val="24"/>
        </w:rPr>
      </w:pPr>
      <w:r w:rsidRPr="002E3A26">
        <w:rPr>
          <w:rFonts w:ascii="Arial" w:eastAsia="Calibri" w:hAnsi="Arial" w:cs="Arial"/>
          <w:b/>
          <w:sz w:val="24"/>
          <w:szCs w:val="24"/>
        </w:rPr>
        <w:t xml:space="preserve">HOWARD BRUCE MORTIMER FORSYTH                                                    </w:t>
      </w:r>
      <w:r w:rsidR="00845BBF" w:rsidRPr="002E3A26">
        <w:rPr>
          <w:rFonts w:ascii="Arial" w:eastAsia="Calibri" w:hAnsi="Arial" w:cs="Arial"/>
          <w:b/>
          <w:sz w:val="24"/>
          <w:szCs w:val="24"/>
        </w:rPr>
        <w:t>RESPONDENT</w:t>
      </w:r>
    </w:p>
    <w:tbl>
      <w:tblPr>
        <w:tblW w:w="9060" w:type="dxa"/>
        <w:tblInd w:w="-30" w:type="dxa"/>
        <w:tblBorders>
          <w:top w:val="single" w:sz="4" w:space="0" w:color="auto"/>
        </w:tblBorders>
        <w:tblLook w:val="0000" w:firstRow="0" w:lastRow="0" w:firstColumn="0" w:lastColumn="0" w:noHBand="0" w:noVBand="0"/>
      </w:tblPr>
      <w:tblGrid>
        <w:gridCol w:w="9060"/>
      </w:tblGrid>
      <w:tr w:rsidR="00845BBF" w:rsidRPr="002E3A26" w14:paraId="5B057DB3" w14:textId="77777777" w:rsidTr="00E4234F">
        <w:trPr>
          <w:trHeight w:val="100"/>
        </w:trPr>
        <w:tc>
          <w:tcPr>
            <w:tcW w:w="9060" w:type="dxa"/>
          </w:tcPr>
          <w:p w14:paraId="0C77625F" w14:textId="77777777" w:rsidR="00845BBF" w:rsidRPr="002E3A26" w:rsidRDefault="00845BBF" w:rsidP="00E4234F">
            <w:pPr>
              <w:spacing w:after="0" w:line="480" w:lineRule="auto"/>
              <w:jc w:val="both"/>
              <w:rPr>
                <w:rFonts w:ascii="Arial" w:eastAsia="Calibri" w:hAnsi="Arial" w:cs="Arial"/>
                <w:b/>
                <w:sz w:val="24"/>
                <w:szCs w:val="24"/>
              </w:rPr>
            </w:pPr>
          </w:p>
        </w:tc>
      </w:tr>
    </w:tbl>
    <w:p w14:paraId="7CB415CA" w14:textId="717BB4E1" w:rsidR="00845BBF" w:rsidRPr="002E3A26" w:rsidRDefault="00845BBF" w:rsidP="00845BBF">
      <w:pPr>
        <w:spacing w:after="0" w:line="480" w:lineRule="auto"/>
        <w:jc w:val="center"/>
        <w:rPr>
          <w:rFonts w:ascii="Arial" w:eastAsia="Calibri" w:hAnsi="Arial" w:cs="Arial"/>
          <w:b/>
          <w:sz w:val="24"/>
          <w:szCs w:val="24"/>
        </w:rPr>
      </w:pPr>
      <w:r w:rsidRPr="002E3A26">
        <w:rPr>
          <w:rFonts w:ascii="Arial" w:eastAsia="Calibri" w:hAnsi="Arial" w:cs="Arial"/>
          <w:b/>
          <w:sz w:val="24"/>
          <w:szCs w:val="24"/>
        </w:rPr>
        <w:t>JUDGMENT</w:t>
      </w:r>
    </w:p>
    <w:tbl>
      <w:tblPr>
        <w:tblW w:w="0" w:type="auto"/>
        <w:tblBorders>
          <w:top w:val="single" w:sz="4" w:space="0" w:color="auto"/>
        </w:tblBorders>
        <w:tblLook w:val="0000" w:firstRow="0" w:lastRow="0" w:firstColumn="0" w:lastColumn="0" w:noHBand="0" w:noVBand="0"/>
      </w:tblPr>
      <w:tblGrid>
        <w:gridCol w:w="8985"/>
      </w:tblGrid>
      <w:tr w:rsidR="00845BBF" w:rsidRPr="002E3A26" w14:paraId="6BBA345C" w14:textId="77777777" w:rsidTr="00E4234F">
        <w:trPr>
          <w:trHeight w:val="100"/>
        </w:trPr>
        <w:tc>
          <w:tcPr>
            <w:tcW w:w="8985" w:type="dxa"/>
          </w:tcPr>
          <w:p w14:paraId="23B4D774" w14:textId="77777777" w:rsidR="00845BBF" w:rsidRPr="002E3A26" w:rsidRDefault="00845BBF" w:rsidP="00E4234F">
            <w:pPr>
              <w:spacing w:after="0" w:line="480" w:lineRule="auto"/>
              <w:jc w:val="both"/>
              <w:rPr>
                <w:rFonts w:ascii="Arial" w:hAnsi="Arial" w:cs="Arial"/>
                <w:sz w:val="24"/>
                <w:szCs w:val="24"/>
                <w:lang w:val="en-GB"/>
              </w:rPr>
            </w:pPr>
          </w:p>
        </w:tc>
      </w:tr>
    </w:tbl>
    <w:p w14:paraId="6177A89A" w14:textId="77777777" w:rsidR="00845BBF" w:rsidRPr="002E3A26" w:rsidRDefault="00845BBF" w:rsidP="00845BBF">
      <w:pPr>
        <w:spacing w:after="0" w:line="480" w:lineRule="auto"/>
        <w:jc w:val="both"/>
        <w:rPr>
          <w:rFonts w:ascii="Arial" w:eastAsia="Calibri" w:hAnsi="Arial" w:cs="Arial"/>
          <w:b/>
          <w:sz w:val="24"/>
          <w:szCs w:val="24"/>
          <w:u w:val="single"/>
        </w:rPr>
      </w:pPr>
      <w:r w:rsidRPr="002E3A26">
        <w:rPr>
          <w:rFonts w:ascii="Arial" w:eastAsia="Calibri" w:hAnsi="Arial" w:cs="Arial"/>
          <w:b/>
          <w:sz w:val="24"/>
          <w:szCs w:val="24"/>
          <w:u w:val="single"/>
        </w:rPr>
        <w:t>THE COURT:</w:t>
      </w:r>
    </w:p>
    <w:p w14:paraId="7B0FA223" w14:textId="77777777" w:rsidR="008A4BAC" w:rsidRDefault="00845BBF" w:rsidP="00845BBF">
      <w:pPr>
        <w:spacing w:after="240" w:line="480" w:lineRule="auto"/>
        <w:jc w:val="both"/>
        <w:rPr>
          <w:rFonts w:ascii="Arial" w:hAnsi="Arial" w:cs="Arial"/>
          <w:b/>
          <w:sz w:val="24"/>
          <w:szCs w:val="24"/>
        </w:rPr>
      </w:pPr>
      <w:r w:rsidRPr="002E3A26">
        <w:rPr>
          <w:rFonts w:ascii="Arial" w:hAnsi="Arial" w:cs="Arial"/>
          <w:b/>
          <w:sz w:val="24"/>
          <w:szCs w:val="24"/>
        </w:rPr>
        <w:t>INTRODUCTION</w:t>
      </w:r>
    </w:p>
    <w:p w14:paraId="111DD1AC" w14:textId="66E366A2" w:rsidR="00845BBF" w:rsidRPr="008A4BAC" w:rsidRDefault="00845BBF" w:rsidP="00845BBF">
      <w:pPr>
        <w:spacing w:after="240" w:line="480" w:lineRule="auto"/>
        <w:jc w:val="both"/>
        <w:rPr>
          <w:rFonts w:ascii="Arial" w:hAnsi="Arial" w:cs="Arial"/>
          <w:b/>
          <w:sz w:val="24"/>
          <w:szCs w:val="24"/>
        </w:rPr>
      </w:pPr>
      <w:r w:rsidRPr="002E3A26">
        <w:rPr>
          <w:rFonts w:ascii="Arial" w:hAnsi="Arial" w:cs="Arial"/>
          <w:bCs/>
          <w:sz w:val="24"/>
          <w:szCs w:val="24"/>
        </w:rPr>
        <w:t xml:space="preserve">[1] The core issue that arises for determination in this appeal is the question whether the </w:t>
      </w:r>
      <w:r w:rsidR="008A4BAC">
        <w:rPr>
          <w:rFonts w:ascii="Arial" w:hAnsi="Arial" w:cs="Arial"/>
          <w:bCs/>
          <w:sz w:val="24"/>
          <w:szCs w:val="24"/>
        </w:rPr>
        <w:t>credit</w:t>
      </w:r>
      <w:r w:rsidRPr="002E3A26">
        <w:rPr>
          <w:rFonts w:ascii="Arial" w:hAnsi="Arial" w:cs="Arial"/>
          <w:bCs/>
          <w:sz w:val="24"/>
          <w:szCs w:val="24"/>
        </w:rPr>
        <w:t xml:space="preserve"> agreement concluded between the appellant and the respondent (“the </w:t>
      </w:r>
      <w:r w:rsidRPr="002E3A26">
        <w:rPr>
          <w:rFonts w:ascii="Arial" w:hAnsi="Arial" w:cs="Arial"/>
          <w:bCs/>
          <w:sz w:val="24"/>
          <w:szCs w:val="24"/>
        </w:rPr>
        <w:lastRenderedPageBreak/>
        <w:t xml:space="preserve">agreement”) was one at arm’s length, and hence subject to the National Credit </w:t>
      </w:r>
      <w:r w:rsidR="00B70F25">
        <w:rPr>
          <w:rFonts w:ascii="Arial" w:hAnsi="Arial" w:cs="Arial"/>
          <w:bCs/>
          <w:sz w:val="24"/>
          <w:szCs w:val="24"/>
        </w:rPr>
        <w:t xml:space="preserve">Act </w:t>
      </w:r>
      <w:r w:rsidRPr="002E3A26">
        <w:rPr>
          <w:rFonts w:ascii="Arial" w:hAnsi="Arial" w:cs="Arial"/>
          <w:bCs/>
          <w:sz w:val="24"/>
          <w:szCs w:val="24"/>
        </w:rPr>
        <w:t>34 of 2005 (“the NCA”). More particularly, whether the respondent had to be registered as a credit provider in terms of section 41 of the NCA.</w:t>
      </w:r>
    </w:p>
    <w:p w14:paraId="400177D2" w14:textId="77777777" w:rsidR="00845BBF" w:rsidRPr="002E3A26" w:rsidRDefault="00845BBF" w:rsidP="00845BBF">
      <w:pPr>
        <w:spacing w:after="240" w:line="480" w:lineRule="auto"/>
        <w:jc w:val="both"/>
        <w:rPr>
          <w:rFonts w:ascii="Arial" w:hAnsi="Arial" w:cs="Arial"/>
          <w:bCs/>
          <w:sz w:val="24"/>
          <w:szCs w:val="24"/>
        </w:rPr>
      </w:pPr>
      <w:r w:rsidRPr="002E3A26">
        <w:rPr>
          <w:rFonts w:ascii="Arial" w:hAnsi="Arial" w:cs="Arial"/>
          <w:bCs/>
          <w:sz w:val="24"/>
          <w:szCs w:val="24"/>
        </w:rPr>
        <w:t xml:space="preserve">[2] </w:t>
      </w:r>
      <w:r w:rsidR="008A4BAC">
        <w:rPr>
          <w:rFonts w:ascii="Arial" w:hAnsi="Arial" w:cs="Arial"/>
          <w:bCs/>
          <w:sz w:val="24"/>
          <w:szCs w:val="24"/>
        </w:rPr>
        <w:t xml:space="preserve">The parties are both natural persons. It is trite that </w:t>
      </w:r>
      <w:r w:rsidR="008A4BAC" w:rsidRPr="008A4BAC">
        <w:rPr>
          <w:rFonts w:ascii="Arial" w:hAnsi="Arial" w:cs="Arial"/>
          <w:bCs/>
          <w:sz w:val="24"/>
          <w:szCs w:val="24"/>
        </w:rPr>
        <w:t>the requirement to register as a credi</w:t>
      </w:r>
      <w:r w:rsidR="008A4BAC">
        <w:rPr>
          <w:rFonts w:ascii="Arial" w:hAnsi="Arial" w:cs="Arial"/>
          <w:bCs/>
          <w:sz w:val="24"/>
          <w:szCs w:val="24"/>
        </w:rPr>
        <w:t xml:space="preserve">t provider is applicable to all </w:t>
      </w:r>
      <w:r w:rsidR="008A4BAC" w:rsidRPr="008A4BAC">
        <w:rPr>
          <w:rFonts w:ascii="Arial" w:hAnsi="Arial" w:cs="Arial"/>
          <w:bCs/>
          <w:sz w:val="24"/>
          <w:szCs w:val="24"/>
        </w:rPr>
        <w:t>credit agreements once the prescribed threshold is reached, irrespective of whether the credit provider is involved in the credit industry and irrespective of whether the credit agreement is a once-off transaction.</w:t>
      </w:r>
      <w:r w:rsidR="008A4BAC">
        <w:rPr>
          <w:rStyle w:val="FootnoteReference"/>
          <w:rFonts w:ascii="Arial" w:hAnsi="Arial" w:cs="Arial"/>
          <w:bCs/>
          <w:sz w:val="24"/>
          <w:szCs w:val="24"/>
        </w:rPr>
        <w:footnoteReference w:id="1"/>
      </w:r>
      <w:r w:rsidR="008A4BAC" w:rsidRPr="008A4BAC">
        <w:rPr>
          <w:rFonts w:ascii="Arial" w:hAnsi="Arial" w:cs="Arial"/>
          <w:bCs/>
          <w:sz w:val="24"/>
          <w:szCs w:val="24"/>
        </w:rPr>
        <w:t xml:space="preserve"> </w:t>
      </w:r>
      <w:r w:rsidRPr="002E3A26">
        <w:rPr>
          <w:rFonts w:ascii="Arial" w:hAnsi="Arial" w:cs="Arial"/>
          <w:bCs/>
          <w:sz w:val="24"/>
          <w:szCs w:val="24"/>
        </w:rPr>
        <w:t>It is common cause that the respondent did not apply to be registered as a credit provider.</w:t>
      </w:r>
    </w:p>
    <w:p w14:paraId="135E7FF2" w14:textId="77777777" w:rsidR="00845BBF" w:rsidRPr="002E3A26" w:rsidRDefault="00845BBF" w:rsidP="00845BBF">
      <w:pPr>
        <w:spacing w:after="240" w:line="480" w:lineRule="auto"/>
        <w:jc w:val="both"/>
        <w:rPr>
          <w:rFonts w:ascii="Arial" w:hAnsi="Arial" w:cs="Arial"/>
          <w:bCs/>
          <w:sz w:val="24"/>
          <w:szCs w:val="24"/>
        </w:rPr>
      </w:pPr>
      <w:r w:rsidRPr="002E3A26">
        <w:rPr>
          <w:rFonts w:ascii="Arial" w:hAnsi="Arial" w:cs="Arial"/>
          <w:bCs/>
          <w:sz w:val="24"/>
          <w:szCs w:val="24"/>
        </w:rPr>
        <w:t xml:space="preserve">[3] The court </w:t>
      </w:r>
      <w:r w:rsidRPr="002E3A26">
        <w:rPr>
          <w:rFonts w:ascii="Arial" w:hAnsi="Arial" w:cs="Arial"/>
          <w:bCs/>
          <w:i/>
          <w:sz w:val="24"/>
          <w:szCs w:val="24"/>
        </w:rPr>
        <w:t>a quo</w:t>
      </w:r>
      <w:r w:rsidRPr="002E3A26">
        <w:rPr>
          <w:rFonts w:ascii="Arial" w:hAnsi="Arial" w:cs="Arial"/>
          <w:bCs/>
          <w:sz w:val="24"/>
          <w:szCs w:val="24"/>
        </w:rPr>
        <w:t xml:space="preserve"> agreed with the respondent that the agreement was not one at arm’s length and hence not subject to the NCA. The appellant seeks to overturn this finding; leave to appeal having been granted by the </w:t>
      </w:r>
      <w:r>
        <w:rPr>
          <w:rFonts w:ascii="Arial" w:hAnsi="Arial" w:cs="Arial"/>
          <w:bCs/>
          <w:sz w:val="24"/>
          <w:szCs w:val="24"/>
        </w:rPr>
        <w:t>c</w:t>
      </w:r>
      <w:r w:rsidRPr="002E3A26">
        <w:rPr>
          <w:rFonts w:ascii="Arial" w:hAnsi="Arial" w:cs="Arial"/>
          <w:bCs/>
          <w:sz w:val="24"/>
          <w:szCs w:val="24"/>
        </w:rPr>
        <w:t xml:space="preserve">ourt </w:t>
      </w:r>
      <w:r w:rsidRPr="002E3A26">
        <w:rPr>
          <w:rFonts w:ascii="Arial" w:hAnsi="Arial" w:cs="Arial"/>
          <w:bCs/>
          <w:i/>
          <w:iCs/>
          <w:sz w:val="24"/>
          <w:szCs w:val="24"/>
        </w:rPr>
        <w:t>a quo</w:t>
      </w:r>
      <w:r w:rsidRPr="002E3A26">
        <w:rPr>
          <w:rFonts w:ascii="Arial" w:hAnsi="Arial" w:cs="Arial"/>
          <w:bCs/>
          <w:sz w:val="24"/>
          <w:szCs w:val="24"/>
        </w:rPr>
        <w:t>.</w:t>
      </w:r>
    </w:p>
    <w:p w14:paraId="2B5F136C" w14:textId="77777777" w:rsidR="00845BBF" w:rsidRPr="002E3A26" w:rsidRDefault="00845BBF" w:rsidP="00845BBF">
      <w:pPr>
        <w:spacing w:after="240" w:line="480" w:lineRule="auto"/>
        <w:jc w:val="both"/>
        <w:rPr>
          <w:rFonts w:ascii="Arial" w:hAnsi="Arial" w:cs="Arial"/>
          <w:b/>
          <w:bCs/>
          <w:sz w:val="24"/>
          <w:szCs w:val="24"/>
          <w:lang w:val="en-GB"/>
        </w:rPr>
      </w:pPr>
      <w:r w:rsidRPr="002E3A26">
        <w:rPr>
          <w:rFonts w:ascii="Arial" w:hAnsi="Arial" w:cs="Arial"/>
          <w:b/>
          <w:bCs/>
          <w:sz w:val="24"/>
          <w:szCs w:val="24"/>
          <w:lang w:val="en-GB"/>
        </w:rPr>
        <w:t>CONDONATION</w:t>
      </w:r>
    </w:p>
    <w:p w14:paraId="7978EC06" w14:textId="77777777" w:rsidR="00845BBF" w:rsidRPr="002E3A26" w:rsidRDefault="00845BBF" w:rsidP="00845BBF">
      <w:pPr>
        <w:spacing w:after="240" w:line="480" w:lineRule="auto"/>
        <w:jc w:val="both"/>
        <w:rPr>
          <w:rFonts w:ascii="Arial" w:hAnsi="Arial" w:cs="Arial"/>
          <w:vanish/>
          <w:sz w:val="24"/>
          <w:szCs w:val="24"/>
          <w:lang w:val="en-GB"/>
        </w:rPr>
      </w:pPr>
    </w:p>
    <w:p w14:paraId="2F03A18F" w14:textId="77777777" w:rsidR="00845BBF" w:rsidRPr="002E3A26" w:rsidRDefault="00845BBF" w:rsidP="00845BBF">
      <w:pPr>
        <w:spacing w:after="240" w:line="480" w:lineRule="auto"/>
        <w:jc w:val="both"/>
        <w:rPr>
          <w:rFonts w:ascii="Arial" w:hAnsi="Arial" w:cs="Arial"/>
          <w:vanish/>
          <w:sz w:val="24"/>
          <w:szCs w:val="24"/>
          <w:lang w:val="en-GB"/>
        </w:rPr>
      </w:pPr>
    </w:p>
    <w:p w14:paraId="3959BCB2" w14:textId="77777777" w:rsidR="00845BBF" w:rsidRPr="002E3A26" w:rsidRDefault="00845BBF" w:rsidP="00845BBF">
      <w:pPr>
        <w:spacing w:after="240" w:line="480" w:lineRule="auto"/>
        <w:jc w:val="both"/>
        <w:rPr>
          <w:rFonts w:ascii="Arial" w:hAnsi="Arial" w:cs="Arial"/>
          <w:vanish/>
          <w:sz w:val="24"/>
          <w:szCs w:val="24"/>
          <w:lang w:val="en-GB"/>
        </w:rPr>
      </w:pPr>
    </w:p>
    <w:p w14:paraId="42A8D906" w14:textId="77777777" w:rsidR="00845BBF" w:rsidRPr="002E3A26" w:rsidRDefault="00845BBF" w:rsidP="00845BBF">
      <w:pPr>
        <w:spacing w:after="240" w:line="480" w:lineRule="auto"/>
        <w:jc w:val="both"/>
        <w:rPr>
          <w:rFonts w:ascii="Arial" w:hAnsi="Arial" w:cs="Arial"/>
          <w:vanish/>
          <w:sz w:val="24"/>
          <w:szCs w:val="24"/>
          <w:lang w:val="en-GB"/>
        </w:rPr>
      </w:pPr>
    </w:p>
    <w:p w14:paraId="629A8548" w14:textId="77777777" w:rsidR="00845BBF" w:rsidRPr="002E3A26" w:rsidRDefault="00845BBF" w:rsidP="00845BBF">
      <w:pPr>
        <w:spacing w:after="240" w:line="480" w:lineRule="auto"/>
        <w:jc w:val="both"/>
        <w:rPr>
          <w:rFonts w:ascii="Arial" w:hAnsi="Arial" w:cs="Arial"/>
          <w:vanish/>
          <w:sz w:val="24"/>
          <w:szCs w:val="24"/>
          <w:lang w:val="en-GB"/>
        </w:rPr>
      </w:pPr>
    </w:p>
    <w:p w14:paraId="5CF80DA5" w14:textId="77777777" w:rsidR="00845BBF" w:rsidRPr="002E3A26" w:rsidRDefault="00845BBF" w:rsidP="00845BBF">
      <w:pPr>
        <w:spacing w:after="240" w:line="480" w:lineRule="auto"/>
        <w:jc w:val="both"/>
        <w:rPr>
          <w:rFonts w:ascii="Arial" w:hAnsi="Arial" w:cs="Arial"/>
          <w:vanish/>
          <w:sz w:val="24"/>
          <w:szCs w:val="24"/>
          <w:lang w:val="en-GB"/>
        </w:rPr>
      </w:pPr>
    </w:p>
    <w:p w14:paraId="333061C3" w14:textId="77777777" w:rsidR="00845BBF" w:rsidRPr="002E3A26" w:rsidRDefault="00845BBF" w:rsidP="00845BBF">
      <w:pPr>
        <w:spacing w:after="240" w:line="480" w:lineRule="auto"/>
        <w:jc w:val="both"/>
        <w:rPr>
          <w:rFonts w:ascii="Arial" w:hAnsi="Arial" w:cs="Arial"/>
          <w:vanish/>
          <w:sz w:val="24"/>
          <w:szCs w:val="24"/>
          <w:lang w:val="en-GB"/>
        </w:rPr>
      </w:pPr>
    </w:p>
    <w:p w14:paraId="6223421D" w14:textId="77777777" w:rsidR="00845BBF" w:rsidRPr="002E3A26" w:rsidRDefault="00845BBF" w:rsidP="00845BBF">
      <w:pPr>
        <w:spacing w:after="240" w:line="480" w:lineRule="auto"/>
        <w:jc w:val="both"/>
        <w:rPr>
          <w:rFonts w:ascii="Arial" w:hAnsi="Arial" w:cs="Arial"/>
          <w:vanish/>
          <w:sz w:val="24"/>
          <w:szCs w:val="24"/>
          <w:lang w:val="en-GB"/>
        </w:rPr>
      </w:pPr>
    </w:p>
    <w:p w14:paraId="7DAC4F4A" w14:textId="77777777" w:rsidR="00845BBF" w:rsidRPr="002E3A26" w:rsidRDefault="00845BBF" w:rsidP="00845BBF">
      <w:pPr>
        <w:spacing w:after="240" w:line="480" w:lineRule="auto"/>
        <w:jc w:val="both"/>
        <w:rPr>
          <w:rFonts w:ascii="Arial" w:hAnsi="Arial" w:cs="Arial"/>
          <w:vanish/>
          <w:sz w:val="24"/>
          <w:szCs w:val="24"/>
          <w:lang w:val="en-GB"/>
        </w:rPr>
      </w:pPr>
    </w:p>
    <w:p w14:paraId="566AB448" w14:textId="77777777" w:rsidR="00845BBF" w:rsidRPr="002E3A26" w:rsidRDefault="00845BBF" w:rsidP="00845BBF">
      <w:pPr>
        <w:spacing w:after="240" w:line="480" w:lineRule="auto"/>
        <w:jc w:val="both"/>
        <w:rPr>
          <w:rFonts w:ascii="Arial" w:hAnsi="Arial" w:cs="Arial"/>
          <w:vanish/>
          <w:sz w:val="24"/>
          <w:szCs w:val="24"/>
          <w:lang w:val="en-GB"/>
        </w:rPr>
      </w:pPr>
    </w:p>
    <w:p w14:paraId="5693054C" w14:textId="77777777" w:rsidR="00845BBF" w:rsidRPr="002E3A26" w:rsidRDefault="00845BBF" w:rsidP="00845BBF">
      <w:pPr>
        <w:spacing w:after="240" w:line="480" w:lineRule="auto"/>
        <w:jc w:val="both"/>
        <w:rPr>
          <w:rFonts w:ascii="Arial" w:hAnsi="Arial" w:cs="Arial"/>
          <w:vanish/>
          <w:sz w:val="24"/>
          <w:szCs w:val="24"/>
          <w:lang w:val="en-GB"/>
        </w:rPr>
      </w:pPr>
    </w:p>
    <w:p w14:paraId="613F17F6" w14:textId="77777777" w:rsidR="00845BBF" w:rsidRPr="002E3A26" w:rsidRDefault="00845BBF" w:rsidP="00845BBF">
      <w:pPr>
        <w:spacing w:after="240" w:line="480" w:lineRule="auto"/>
        <w:jc w:val="both"/>
        <w:rPr>
          <w:rFonts w:ascii="Arial" w:hAnsi="Arial" w:cs="Arial"/>
          <w:vanish/>
          <w:sz w:val="24"/>
          <w:szCs w:val="24"/>
          <w:lang w:val="en-GB"/>
        </w:rPr>
      </w:pPr>
    </w:p>
    <w:p w14:paraId="4C873306" w14:textId="77777777" w:rsidR="00845BBF" w:rsidRPr="002E3A26" w:rsidRDefault="00845BBF" w:rsidP="00845BBF">
      <w:pPr>
        <w:spacing w:after="240" w:line="480" w:lineRule="auto"/>
        <w:jc w:val="both"/>
        <w:rPr>
          <w:rFonts w:ascii="Arial" w:hAnsi="Arial" w:cs="Arial"/>
          <w:vanish/>
          <w:sz w:val="24"/>
          <w:szCs w:val="24"/>
          <w:lang w:val="en-GB"/>
        </w:rPr>
      </w:pPr>
    </w:p>
    <w:p w14:paraId="79BD5447" w14:textId="28AC8359"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[4] The appellant seeks condonation for his non-compliance with Rule 49(6)(a) and (b) of the Uniform Rules of Court</w:t>
      </w:r>
      <w:r>
        <w:rPr>
          <w:rFonts w:ascii="Arial" w:hAnsi="Arial" w:cs="Arial"/>
          <w:sz w:val="24"/>
          <w:szCs w:val="24"/>
          <w:lang w:val="en-GB"/>
        </w:rPr>
        <w:t>,</w:t>
      </w:r>
      <w:r w:rsidRPr="002E3A26">
        <w:rPr>
          <w:rFonts w:ascii="Arial" w:hAnsi="Arial" w:cs="Arial"/>
          <w:sz w:val="24"/>
          <w:szCs w:val="24"/>
          <w:lang w:val="en-GB"/>
        </w:rPr>
        <w:t xml:space="preserve"> </w:t>
      </w:r>
      <w:r w:rsidR="00561ACB">
        <w:rPr>
          <w:rFonts w:ascii="Arial" w:hAnsi="Arial" w:cs="Arial"/>
          <w:sz w:val="24"/>
          <w:szCs w:val="24"/>
          <w:lang w:val="en-GB"/>
        </w:rPr>
        <w:t xml:space="preserve">that is, </w:t>
      </w:r>
      <w:r w:rsidRPr="002E3A26">
        <w:rPr>
          <w:rFonts w:ascii="Arial" w:hAnsi="Arial" w:cs="Arial"/>
          <w:sz w:val="24"/>
          <w:szCs w:val="24"/>
          <w:lang w:val="en-GB"/>
        </w:rPr>
        <w:t>the failure to prosecute the appeal timeously. Leave to appeal was granted on the 25 March 2019. The appellant filed his application for a hearing date and the filing of the record on 19 August 2019, which was 24 days after the due date.</w:t>
      </w:r>
      <w:r w:rsidRPr="002E3A26">
        <w:rPr>
          <w:rFonts w:ascii="Arial" w:hAnsi="Arial" w:cs="Arial"/>
          <w:sz w:val="24"/>
          <w:szCs w:val="24"/>
        </w:rPr>
        <w:t xml:space="preserve"> </w:t>
      </w:r>
    </w:p>
    <w:p w14:paraId="6F572598" w14:textId="19FAE873"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 xml:space="preserve">[5] </w:t>
      </w:r>
      <w:r w:rsidRPr="002E3A26">
        <w:rPr>
          <w:rFonts w:ascii="Arial" w:eastAsia="Times New Roman" w:hAnsi="Arial" w:cs="Arial"/>
          <w:color w:val="000000"/>
          <w:sz w:val="24"/>
          <w:szCs w:val="24"/>
          <w:lang w:eastAsia="en-ZA"/>
        </w:rPr>
        <w:t xml:space="preserve">In </w:t>
      </w:r>
      <w:r w:rsidRPr="002E3A26">
        <w:rPr>
          <w:rFonts w:ascii="Arial" w:eastAsia="Times New Roman" w:hAnsi="Arial" w:cs="Arial"/>
          <w:i/>
          <w:color w:val="000000"/>
          <w:sz w:val="24"/>
          <w:szCs w:val="24"/>
          <w:lang w:eastAsia="en-ZA"/>
        </w:rPr>
        <w:t xml:space="preserve">Bertie </w:t>
      </w:r>
      <w:r w:rsidRPr="002E3A26">
        <w:rPr>
          <w:rFonts w:ascii="Arial" w:eastAsia="Times New Roman" w:hAnsi="Arial" w:cs="Arial"/>
          <w:bCs/>
          <w:i/>
          <w:color w:val="000000"/>
          <w:sz w:val="24"/>
          <w:szCs w:val="24"/>
          <w:lang w:eastAsia="en-ZA"/>
        </w:rPr>
        <w:t>Van Zyl (Pty) Ltd and Another v Minister for Safety and Security and Others,</w:t>
      </w:r>
      <w:r w:rsidRPr="002E3A26">
        <w:rPr>
          <w:rStyle w:val="FootnoteReference"/>
          <w:rFonts w:ascii="Arial" w:eastAsia="Times New Roman" w:hAnsi="Arial" w:cs="Arial"/>
          <w:bCs/>
          <w:color w:val="000000"/>
          <w:sz w:val="24"/>
          <w:szCs w:val="24"/>
          <w:lang w:eastAsia="en-ZA"/>
        </w:rPr>
        <w:footnoteReference w:id="2"/>
      </w:r>
      <w:r w:rsidRPr="002E3A26">
        <w:rPr>
          <w:rFonts w:ascii="Arial" w:eastAsia="Times New Roman" w:hAnsi="Arial" w:cs="Arial"/>
          <w:bCs/>
          <w:color w:val="000000"/>
          <w:sz w:val="24"/>
          <w:szCs w:val="24"/>
          <w:lang w:eastAsia="en-ZA"/>
        </w:rPr>
        <w:t xml:space="preserve"> the Constitutional Court held that i</w:t>
      </w:r>
      <w:r w:rsidRPr="002E3A26">
        <w:rPr>
          <w:rFonts w:ascii="Arial" w:eastAsia="Times New Roman" w:hAnsi="Arial" w:cs="Arial"/>
          <w:color w:val="000000"/>
          <w:sz w:val="24"/>
          <w:szCs w:val="24"/>
          <w:lang w:eastAsia="en-ZA"/>
        </w:rPr>
        <w:t>n determining whether condonation may be granted, lateness is not the only consideration. The test for condonation is whether it is in the interests of ju</w:t>
      </w:r>
      <w:r w:rsidR="007A194E">
        <w:rPr>
          <w:rFonts w:ascii="Arial" w:eastAsia="Times New Roman" w:hAnsi="Arial" w:cs="Arial"/>
          <w:color w:val="000000"/>
          <w:sz w:val="24"/>
          <w:szCs w:val="24"/>
          <w:lang w:eastAsia="en-ZA"/>
        </w:rPr>
        <w:t xml:space="preserve">stice to grant condonation. Factors </w:t>
      </w:r>
      <w:r w:rsidRPr="002E3A26">
        <w:rPr>
          <w:rFonts w:ascii="Arial" w:eastAsia="Times New Roman" w:hAnsi="Arial" w:cs="Arial"/>
          <w:color w:val="000000"/>
          <w:sz w:val="24"/>
          <w:szCs w:val="24"/>
          <w:lang w:eastAsia="en-ZA"/>
        </w:rPr>
        <w:t xml:space="preserve">relevant to a condonation </w:t>
      </w:r>
      <w:r w:rsidRPr="002E3A26">
        <w:rPr>
          <w:rFonts w:ascii="Arial" w:eastAsia="Times New Roman" w:hAnsi="Arial" w:cs="Arial"/>
          <w:color w:val="000000"/>
          <w:sz w:val="24"/>
          <w:szCs w:val="24"/>
          <w:lang w:eastAsia="en-ZA"/>
        </w:rPr>
        <w:lastRenderedPageBreak/>
        <w:t>enquiry include, but are not limited to, the extent and the cause of delay</w:t>
      </w:r>
      <w:r w:rsidR="002E27EA">
        <w:rPr>
          <w:rFonts w:ascii="Arial" w:eastAsia="Times New Roman" w:hAnsi="Arial" w:cs="Arial"/>
          <w:color w:val="000000"/>
          <w:sz w:val="24"/>
          <w:szCs w:val="24"/>
          <w:lang w:eastAsia="en-ZA"/>
        </w:rPr>
        <w:t>;</w:t>
      </w:r>
      <w:r w:rsidRPr="002E3A26">
        <w:rPr>
          <w:rFonts w:ascii="Arial" w:eastAsia="Times New Roman" w:hAnsi="Arial" w:cs="Arial"/>
          <w:color w:val="000000"/>
          <w:sz w:val="24"/>
          <w:szCs w:val="24"/>
          <w:lang w:eastAsia="en-ZA"/>
        </w:rPr>
        <w:t xml:space="preserve"> the prejudice to other litigants</w:t>
      </w:r>
      <w:r w:rsidR="002E27EA">
        <w:rPr>
          <w:rFonts w:ascii="Arial" w:eastAsia="Times New Roman" w:hAnsi="Arial" w:cs="Arial"/>
          <w:color w:val="000000"/>
          <w:sz w:val="24"/>
          <w:szCs w:val="24"/>
          <w:lang w:eastAsia="en-ZA"/>
        </w:rPr>
        <w:t>;</w:t>
      </w:r>
      <w:r w:rsidRPr="002E3A26">
        <w:rPr>
          <w:rFonts w:ascii="Arial" w:eastAsia="Times New Roman" w:hAnsi="Arial" w:cs="Arial"/>
          <w:color w:val="000000"/>
          <w:sz w:val="24"/>
          <w:szCs w:val="24"/>
          <w:lang w:eastAsia="en-ZA"/>
        </w:rPr>
        <w:t xml:space="preserve"> the reasonableness of the explanation for the delay</w:t>
      </w:r>
      <w:r w:rsidR="002E27EA">
        <w:rPr>
          <w:rFonts w:ascii="Arial" w:eastAsia="Times New Roman" w:hAnsi="Arial" w:cs="Arial"/>
          <w:color w:val="000000"/>
          <w:sz w:val="24"/>
          <w:szCs w:val="24"/>
          <w:lang w:eastAsia="en-ZA"/>
        </w:rPr>
        <w:t>;</w:t>
      </w:r>
      <w:r w:rsidRPr="002E3A26">
        <w:rPr>
          <w:rFonts w:ascii="Arial" w:eastAsia="Times New Roman" w:hAnsi="Arial" w:cs="Arial"/>
          <w:color w:val="000000"/>
          <w:sz w:val="24"/>
          <w:szCs w:val="24"/>
          <w:lang w:eastAsia="en-ZA"/>
        </w:rPr>
        <w:t xml:space="preserve"> the importance of the issues to be decided in the intended appeal</w:t>
      </w:r>
      <w:r w:rsidR="002E27EA">
        <w:rPr>
          <w:rFonts w:ascii="Arial" w:eastAsia="Times New Roman" w:hAnsi="Arial" w:cs="Arial"/>
          <w:color w:val="000000"/>
          <w:sz w:val="24"/>
          <w:szCs w:val="24"/>
          <w:lang w:eastAsia="en-ZA"/>
        </w:rPr>
        <w:t>;</w:t>
      </w:r>
      <w:r w:rsidRPr="002E3A26">
        <w:rPr>
          <w:rFonts w:ascii="Arial" w:eastAsia="Times New Roman" w:hAnsi="Arial" w:cs="Arial"/>
          <w:color w:val="000000"/>
          <w:sz w:val="24"/>
          <w:szCs w:val="24"/>
          <w:lang w:eastAsia="en-ZA"/>
        </w:rPr>
        <w:t xml:space="preserve"> and the</w:t>
      </w:r>
      <w:r w:rsidRPr="002E3A26">
        <w:rPr>
          <w:rFonts w:ascii="Arial" w:eastAsia="Times New Roman" w:hAnsi="Arial" w:cs="Arial"/>
          <w:b/>
          <w:bCs/>
          <w:color w:val="000000"/>
          <w:sz w:val="24"/>
          <w:szCs w:val="24"/>
          <w:lang w:eastAsia="en-ZA"/>
        </w:rPr>
        <w:t xml:space="preserve"> </w:t>
      </w:r>
      <w:r w:rsidRPr="002E3A26">
        <w:rPr>
          <w:rFonts w:ascii="Arial" w:eastAsia="Times New Roman" w:hAnsi="Arial" w:cs="Arial"/>
          <w:color w:val="000000"/>
          <w:sz w:val="24"/>
          <w:szCs w:val="24"/>
          <w:lang w:eastAsia="en-ZA"/>
        </w:rPr>
        <w:t>prospects of success. None of these f</w:t>
      </w:r>
      <w:r>
        <w:rPr>
          <w:rFonts w:ascii="Arial" w:eastAsia="Times New Roman" w:hAnsi="Arial" w:cs="Arial"/>
          <w:color w:val="000000"/>
          <w:sz w:val="24"/>
          <w:szCs w:val="24"/>
          <w:lang w:eastAsia="en-ZA"/>
        </w:rPr>
        <w:t>actors</w:t>
      </w:r>
      <w:r w:rsidRPr="002E3A26">
        <w:rPr>
          <w:rFonts w:ascii="Arial" w:eastAsia="Times New Roman" w:hAnsi="Arial" w:cs="Arial"/>
          <w:color w:val="000000"/>
          <w:sz w:val="24"/>
          <w:szCs w:val="24"/>
          <w:lang w:eastAsia="en-ZA"/>
        </w:rPr>
        <w:t xml:space="preserve"> is however decisive</w:t>
      </w:r>
      <w:r w:rsidR="002E27EA">
        <w:rPr>
          <w:rFonts w:ascii="Arial" w:eastAsia="Times New Roman" w:hAnsi="Arial" w:cs="Arial"/>
          <w:color w:val="000000"/>
          <w:sz w:val="24"/>
          <w:szCs w:val="24"/>
          <w:lang w:eastAsia="en-ZA"/>
        </w:rPr>
        <w:t>:</w:t>
      </w:r>
      <w:r w:rsidRPr="002E3A26">
        <w:rPr>
          <w:rFonts w:ascii="Arial" w:eastAsia="Times New Roman" w:hAnsi="Arial" w:cs="Arial"/>
          <w:color w:val="000000"/>
          <w:sz w:val="24"/>
          <w:szCs w:val="24"/>
          <w:lang w:eastAsia="en-ZA"/>
        </w:rPr>
        <w:t xml:space="preserve"> the enquiry is one of weighing each against the others and determining what the interests of justice dictate.</w:t>
      </w:r>
      <w:r w:rsidRPr="002E3A26">
        <w:rPr>
          <w:rStyle w:val="FootnoteReference"/>
          <w:rFonts w:ascii="Arial" w:eastAsia="Times New Roman" w:hAnsi="Arial" w:cs="Arial"/>
          <w:color w:val="000000"/>
          <w:sz w:val="24"/>
          <w:szCs w:val="24"/>
          <w:lang w:eastAsia="en-ZA"/>
        </w:rPr>
        <w:footnoteReference w:id="3"/>
      </w:r>
      <w:r w:rsidRPr="002E3A26">
        <w:rPr>
          <w:rFonts w:ascii="Arial" w:hAnsi="Arial" w:cs="Arial"/>
          <w:bCs/>
          <w:sz w:val="24"/>
          <w:szCs w:val="24"/>
          <w:lang w:val="en-GB"/>
        </w:rPr>
        <w:t xml:space="preserve"> In </w:t>
      </w:r>
      <w:r w:rsidRPr="002E3A26">
        <w:rPr>
          <w:rFonts w:ascii="Arial" w:hAnsi="Arial" w:cs="Arial"/>
          <w:bCs/>
          <w:i/>
          <w:iCs/>
          <w:sz w:val="24"/>
          <w:szCs w:val="24"/>
          <w:lang w:val="en-GB"/>
        </w:rPr>
        <w:t>United Plant Hire v Hills,</w:t>
      </w:r>
      <w:r w:rsidRPr="002E3A26">
        <w:rPr>
          <w:rStyle w:val="FootnoteReference"/>
          <w:rFonts w:ascii="Arial" w:hAnsi="Arial" w:cs="Arial"/>
          <w:bCs/>
          <w:i/>
          <w:iCs/>
          <w:sz w:val="24"/>
          <w:szCs w:val="24"/>
          <w:lang w:val="en-GB"/>
        </w:rPr>
        <w:footnoteReference w:id="4"/>
      </w:r>
      <w:r w:rsidRPr="002E3A26">
        <w:rPr>
          <w:rFonts w:ascii="Arial" w:hAnsi="Arial" w:cs="Arial"/>
          <w:bCs/>
          <w:i/>
          <w:iCs/>
          <w:sz w:val="24"/>
          <w:szCs w:val="24"/>
          <w:lang w:val="en-GB"/>
        </w:rPr>
        <w:t xml:space="preserve"> </w:t>
      </w:r>
      <w:r w:rsidRPr="002E3A26">
        <w:rPr>
          <w:rFonts w:ascii="Arial" w:hAnsi="Arial" w:cs="Arial"/>
          <w:sz w:val="24"/>
          <w:szCs w:val="24"/>
          <w:lang w:val="en-GB"/>
        </w:rPr>
        <w:t xml:space="preserve">the </w:t>
      </w:r>
      <w:r w:rsidR="00AC0E8E">
        <w:rPr>
          <w:rFonts w:ascii="Arial" w:hAnsi="Arial" w:cs="Arial"/>
          <w:sz w:val="24"/>
          <w:szCs w:val="24"/>
          <w:lang w:val="en-GB"/>
        </w:rPr>
        <w:t>c</w:t>
      </w:r>
      <w:r w:rsidRPr="002E3A26">
        <w:rPr>
          <w:rFonts w:ascii="Arial" w:hAnsi="Arial" w:cs="Arial"/>
          <w:sz w:val="24"/>
          <w:szCs w:val="24"/>
          <w:lang w:val="en-GB"/>
        </w:rPr>
        <w:t xml:space="preserve">ourt held that a reasonable prospect of success on the appeal is not a </w:t>
      </w:r>
      <w:r w:rsidRPr="002E3A26">
        <w:rPr>
          <w:rFonts w:ascii="Arial" w:hAnsi="Arial" w:cs="Arial"/>
          <w:i/>
          <w:sz w:val="24"/>
          <w:szCs w:val="24"/>
          <w:lang w:val="en-GB"/>
        </w:rPr>
        <w:t>sine qua non f</w:t>
      </w:r>
      <w:r w:rsidRPr="002E3A26">
        <w:rPr>
          <w:rFonts w:ascii="Arial" w:hAnsi="Arial" w:cs="Arial"/>
          <w:sz w:val="24"/>
          <w:szCs w:val="24"/>
          <w:lang w:val="en-GB"/>
        </w:rPr>
        <w:t xml:space="preserve">or condonation. It is sufficient if the appeal is </w:t>
      </w:r>
      <w:r w:rsidRPr="002E3A26">
        <w:rPr>
          <w:rFonts w:ascii="Arial" w:hAnsi="Arial" w:cs="Arial"/>
          <w:i/>
          <w:sz w:val="24"/>
          <w:szCs w:val="24"/>
          <w:lang w:val="en-GB"/>
        </w:rPr>
        <w:t>prima facie</w:t>
      </w:r>
      <w:r w:rsidRPr="002E3A26">
        <w:rPr>
          <w:rFonts w:ascii="Arial" w:hAnsi="Arial" w:cs="Arial"/>
          <w:sz w:val="24"/>
          <w:szCs w:val="24"/>
          <w:lang w:val="en-GB"/>
        </w:rPr>
        <w:t xml:space="preserve"> arguable.</w:t>
      </w:r>
      <w:r w:rsidRPr="002E3A26">
        <w:rPr>
          <w:rStyle w:val="FootnoteReference"/>
          <w:rFonts w:ascii="Arial" w:hAnsi="Arial" w:cs="Arial"/>
          <w:sz w:val="24"/>
          <w:szCs w:val="24"/>
          <w:lang w:val="en-GB"/>
        </w:rPr>
        <w:footnoteReference w:id="5"/>
      </w:r>
      <w:r w:rsidRPr="002E3A26">
        <w:rPr>
          <w:rFonts w:ascii="Arial" w:hAnsi="Arial" w:cs="Arial"/>
          <w:sz w:val="24"/>
          <w:szCs w:val="24"/>
          <w:lang w:val="en-GB"/>
        </w:rPr>
        <w:t xml:space="preserve">  </w:t>
      </w:r>
    </w:p>
    <w:p w14:paraId="7D4A3785" w14:textId="49B4341B" w:rsidR="00845BBF" w:rsidRPr="002E3A26" w:rsidRDefault="00845BBF" w:rsidP="00845BBF">
      <w:pPr>
        <w:spacing w:after="240" w:line="480" w:lineRule="auto"/>
        <w:jc w:val="both"/>
        <w:rPr>
          <w:rFonts w:ascii="Arial" w:hAnsi="Arial" w:cs="Arial"/>
          <w:bCs/>
          <w:sz w:val="24"/>
          <w:szCs w:val="24"/>
          <w:lang w:val="en-GB"/>
        </w:rPr>
      </w:pPr>
      <w:r w:rsidRPr="002E3A26">
        <w:rPr>
          <w:rFonts w:ascii="Arial" w:eastAsia="Times New Roman" w:hAnsi="Arial" w:cs="Arial"/>
          <w:bCs/>
          <w:color w:val="000000"/>
          <w:sz w:val="24"/>
          <w:szCs w:val="24"/>
          <w:lang w:eastAsia="en-ZA"/>
        </w:rPr>
        <w:t xml:space="preserve">[6] </w:t>
      </w:r>
      <w:r w:rsidRPr="002E3A26">
        <w:rPr>
          <w:rFonts w:ascii="Arial" w:hAnsi="Arial" w:cs="Arial"/>
          <w:sz w:val="24"/>
          <w:szCs w:val="24"/>
          <w:lang w:val="en-GB"/>
        </w:rPr>
        <w:t>The appellant demonstrated good cause for his non-compliance with the Rules. The delay was occasioned by his failure to find the court file timeously having made various attempts to find it. Thereafter he had difficulties in getting the transcripts. The delay is also of a relatively short duration and there is no prejudice to any party including the respondent.</w:t>
      </w:r>
    </w:p>
    <w:p w14:paraId="2340DA89" w14:textId="77777777" w:rsidR="00845BBF" w:rsidRDefault="00845BBF" w:rsidP="00845BBF">
      <w:pPr>
        <w:spacing w:after="240" w:line="480" w:lineRule="auto"/>
        <w:jc w:val="both"/>
        <w:rPr>
          <w:rFonts w:ascii="Arial" w:hAnsi="Arial" w:cs="Arial"/>
          <w:sz w:val="24"/>
          <w:szCs w:val="24"/>
          <w:lang w:val="en-GB"/>
        </w:rPr>
      </w:pPr>
      <w:r w:rsidRPr="002E3A26">
        <w:rPr>
          <w:rFonts w:ascii="Arial" w:hAnsi="Arial" w:cs="Arial"/>
          <w:bCs/>
          <w:sz w:val="24"/>
          <w:szCs w:val="24"/>
          <w:lang w:val="en-GB"/>
        </w:rPr>
        <w:t>[7]</w:t>
      </w:r>
      <w:r w:rsidRPr="002E3A26" w:rsidDel="00F05461">
        <w:rPr>
          <w:rFonts w:ascii="Arial" w:hAnsi="Arial" w:cs="Arial"/>
          <w:bCs/>
          <w:sz w:val="24"/>
          <w:szCs w:val="24"/>
          <w:lang w:val="en-GB"/>
        </w:rPr>
        <w:t xml:space="preserve"> </w:t>
      </w:r>
      <w:r w:rsidRPr="002E3A26">
        <w:rPr>
          <w:rFonts w:ascii="Arial" w:hAnsi="Arial" w:cs="Arial"/>
          <w:sz w:val="24"/>
          <w:szCs w:val="24"/>
          <w:lang w:val="en-GB"/>
        </w:rPr>
        <w:t>Consequently, we are inclined to grant the appellant condonation for the delay in prosecuting the appeal.</w:t>
      </w:r>
    </w:p>
    <w:p w14:paraId="1C6E3D0A" w14:textId="7D37BEED" w:rsidR="00845BBF" w:rsidRPr="002E3A26" w:rsidRDefault="00845BBF" w:rsidP="00845BBF">
      <w:pPr>
        <w:spacing w:after="240" w:line="480" w:lineRule="auto"/>
        <w:jc w:val="both"/>
        <w:rPr>
          <w:rFonts w:ascii="Arial" w:hAnsi="Arial" w:cs="Arial"/>
          <w:b/>
          <w:sz w:val="24"/>
          <w:szCs w:val="24"/>
        </w:rPr>
      </w:pPr>
      <w:r w:rsidRPr="002E3A26">
        <w:rPr>
          <w:rFonts w:ascii="Arial" w:hAnsi="Arial" w:cs="Arial"/>
          <w:b/>
          <w:sz w:val="24"/>
          <w:szCs w:val="24"/>
        </w:rPr>
        <w:t>THE FACTS</w:t>
      </w:r>
    </w:p>
    <w:p w14:paraId="4C287489" w14:textId="77777777" w:rsidR="00845BBF" w:rsidRPr="002E3A26" w:rsidRDefault="00845BBF" w:rsidP="00845BBF">
      <w:pPr>
        <w:spacing w:after="240" w:line="480" w:lineRule="auto"/>
        <w:jc w:val="both"/>
        <w:rPr>
          <w:rFonts w:ascii="Arial" w:hAnsi="Arial" w:cs="Arial"/>
          <w:vanish/>
          <w:sz w:val="24"/>
          <w:szCs w:val="24"/>
          <w:lang w:val="en-GB"/>
        </w:rPr>
      </w:pPr>
    </w:p>
    <w:p w14:paraId="470B85AF" w14:textId="77777777" w:rsidR="00845BBF" w:rsidRPr="002E3A26" w:rsidRDefault="00845BBF" w:rsidP="00845BBF">
      <w:pPr>
        <w:spacing w:after="240" w:line="480" w:lineRule="auto"/>
        <w:jc w:val="both"/>
        <w:rPr>
          <w:rFonts w:ascii="Arial" w:hAnsi="Arial" w:cs="Arial"/>
          <w:vanish/>
          <w:sz w:val="24"/>
          <w:szCs w:val="24"/>
          <w:lang w:val="en-GB"/>
        </w:rPr>
      </w:pPr>
    </w:p>
    <w:p w14:paraId="20146337" w14:textId="77777777" w:rsidR="00845BBF" w:rsidRPr="002E3A26" w:rsidRDefault="00845BBF" w:rsidP="00845BBF">
      <w:pPr>
        <w:spacing w:after="240" w:line="480" w:lineRule="auto"/>
        <w:jc w:val="both"/>
        <w:rPr>
          <w:rFonts w:ascii="Arial" w:hAnsi="Arial" w:cs="Arial"/>
          <w:vanish/>
          <w:sz w:val="24"/>
          <w:szCs w:val="24"/>
          <w:lang w:val="en-GB"/>
        </w:rPr>
      </w:pPr>
    </w:p>
    <w:p w14:paraId="492F0A40" w14:textId="28108C81" w:rsidR="00845BBF" w:rsidRPr="002E3A26" w:rsidRDefault="00845BBF" w:rsidP="00845BBF">
      <w:pPr>
        <w:spacing w:after="240" w:line="480" w:lineRule="auto"/>
        <w:jc w:val="both"/>
        <w:rPr>
          <w:rFonts w:ascii="Arial" w:hAnsi="Arial" w:cs="Arial"/>
          <w:sz w:val="24"/>
          <w:szCs w:val="24"/>
        </w:rPr>
      </w:pPr>
      <w:r w:rsidRPr="002E3A26">
        <w:rPr>
          <w:rFonts w:ascii="Arial" w:hAnsi="Arial" w:cs="Arial"/>
          <w:sz w:val="24"/>
          <w:szCs w:val="24"/>
          <w:lang w:val="en-GB"/>
        </w:rPr>
        <w:t xml:space="preserve">[8] The respondent and the appellant </w:t>
      </w:r>
      <w:r w:rsidR="00E521E7">
        <w:rPr>
          <w:rFonts w:ascii="Arial" w:hAnsi="Arial" w:cs="Arial"/>
          <w:sz w:val="24"/>
          <w:szCs w:val="24"/>
          <w:lang w:val="en-GB"/>
        </w:rPr>
        <w:t xml:space="preserve">have </w:t>
      </w:r>
      <w:r w:rsidRPr="002E3A26">
        <w:rPr>
          <w:rFonts w:ascii="Arial" w:hAnsi="Arial" w:cs="Arial"/>
          <w:sz w:val="24"/>
          <w:szCs w:val="24"/>
          <w:lang w:val="en-GB"/>
        </w:rPr>
        <w:t>know</w:t>
      </w:r>
      <w:r w:rsidR="00E521E7">
        <w:rPr>
          <w:rFonts w:ascii="Arial" w:hAnsi="Arial" w:cs="Arial"/>
          <w:sz w:val="24"/>
          <w:szCs w:val="24"/>
          <w:lang w:val="en-GB"/>
        </w:rPr>
        <w:t>n</w:t>
      </w:r>
      <w:r w:rsidRPr="002E3A26">
        <w:rPr>
          <w:rFonts w:ascii="Arial" w:hAnsi="Arial" w:cs="Arial"/>
          <w:sz w:val="24"/>
          <w:szCs w:val="24"/>
          <w:lang w:val="en-GB"/>
        </w:rPr>
        <w:t xml:space="preserve"> each other for a period of 35 years. The appellant and the respondent </w:t>
      </w:r>
      <w:r w:rsidR="007A194E">
        <w:rPr>
          <w:rFonts w:ascii="Arial" w:hAnsi="Arial" w:cs="Arial"/>
          <w:sz w:val="24"/>
          <w:szCs w:val="24"/>
          <w:lang w:val="en-GB"/>
        </w:rPr>
        <w:t>were</w:t>
      </w:r>
      <w:r w:rsidRPr="002E3A26">
        <w:rPr>
          <w:rFonts w:ascii="Arial" w:hAnsi="Arial" w:cs="Arial"/>
          <w:sz w:val="24"/>
          <w:szCs w:val="24"/>
          <w:lang w:val="en-GB"/>
        </w:rPr>
        <w:t xml:space="preserve"> brothers-in-law; the respondent </w:t>
      </w:r>
      <w:r w:rsidR="007A194E">
        <w:rPr>
          <w:rFonts w:ascii="Arial" w:hAnsi="Arial" w:cs="Arial"/>
          <w:sz w:val="24"/>
          <w:szCs w:val="24"/>
          <w:lang w:val="en-GB"/>
        </w:rPr>
        <w:t>was</w:t>
      </w:r>
      <w:r w:rsidRPr="002E3A26">
        <w:rPr>
          <w:rFonts w:ascii="Arial" w:hAnsi="Arial" w:cs="Arial"/>
          <w:sz w:val="24"/>
          <w:szCs w:val="24"/>
          <w:lang w:val="en-GB"/>
        </w:rPr>
        <w:t xml:space="preserve"> married to the appellant’s elder sister for 33 years. </w:t>
      </w:r>
    </w:p>
    <w:p w14:paraId="2CA907DA" w14:textId="77908848"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[9] In 2007</w:t>
      </w:r>
      <w:r w:rsidR="002E27EA">
        <w:rPr>
          <w:rFonts w:ascii="Arial" w:hAnsi="Arial" w:cs="Arial"/>
          <w:sz w:val="24"/>
          <w:szCs w:val="24"/>
          <w:lang w:val="en-GB"/>
        </w:rPr>
        <w:t>,</w:t>
      </w:r>
      <w:r w:rsidRPr="002E3A26">
        <w:rPr>
          <w:rFonts w:ascii="Arial" w:hAnsi="Arial" w:cs="Arial"/>
          <w:sz w:val="24"/>
          <w:szCs w:val="24"/>
          <w:lang w:val="en-GB"/>
        </w:rPr>
        <w:t xml:space="preserve"> the appellant acquired a business, a property holding entity named West Dunes Property 232 (Pty) Limited (</w:t>
      </w:r>
      <w:r w:rsidR="002E27EA">
        <w:rPr>
          <w:rFonts w:ascii="Arial" w:hAnsi="Arial" w:cs="Arial"/>
          <w:sz w:val="24"/>
          <w:szCs w:val="24"/>
          <w:lang w:val="en-GB"/>
        </w:rPr>
        <w:t>“</w:t>
      </w:r>
      <w:r w:rsidRPr="002E3A26">
        <w:rPr>
          <w:rFonts w:ascii="Arial" w:hAnsi="Arial" w:cs="Arial"/>
          <w:sz w:val="24"/>
          <w:szCs w:val="24"/>
          <w:lang w:val="en-GB"/>
        </w:rPr>
        <w:t>West Dunes</w:t>
      </w:r>
      <w:r w:rsidR="002E27EA">
        <w:rPr>
          <w:rFonts w:ascii="Arial" w:hAnsi="Arial" w:cs="Arial"/>
          <w:sz w:val="24"/>
          <w:szCs w:val="24"/>
          <w:lang w:val="en-GB"/>
        </w:rPr>
        <w:t>”</w:t>
      </w:r>
      <w:r w:rsidRPr="002E3A26">
        <w:rPr>
          <w:rFonts w:ascii="Arial" w:hAnsi="Arial" w:cs="Arial"/>
          <w:sz w:val="24"/>
          <w:szCs w:val="24"/>
          <w:lang w:val="en-GB"/>
        </w:rPr>
        <w:t xml:space="preserve">) which owned an immovable </w:t>
      </w:r>
      <w:r w:rsidRPr="002E3A26">
        <w:rPr>
          <w:rFonts w:ascii="Arial" w:hAnsi="Arial" w:cs="Arial"/>
          <w:sz w:val="24"/>
          <w:szCs w:val="24"/>
          <w:lang w:val="en-GB"/>
        </w:rPr>
        <w:lastRenderedPageBreak/>
        <w:t xml:space="preserve">property. This business entailed the renovation of the immovable property and then renting out rooms to university students for profit. Appellant sought investors </w:t>
      </w:r>
      <w:r w:rsidR="007A194E">
        <w:rPr>
          <w:rFonts w:ascii="Arial" w:hAnsi="Arial" w:cs="Arial"/>
          <w:sz w:val="24"/>
          <w:szCs w:val="24"/>
          <w:lang w:val="en-GB"/>
        </w:rPr>
        <w:t>for</w:t>
      </w:r>
      <w:r w:rsidRPr="002E3A26">
        <w:rPr>
          <w:rFonts w:ascii="Arial" w:hAnsi="Arial" w:cs="Arial"/>
          <w:sz w:val="24"/>
          <w:szCs w:val="24"/>
          <w:lang w:val="en-GB"/>
        </w:rPr>
        <w:t xml:space="preserve"> this venture and the respondent agreed to invest by buying a percentage of the shares in West Dunes, hoping for a dividend return on his investment.</w:t>
      </w:r>
    </w:p>
    <w:p w14:paraId="1A71CB20" w14:textId="591B6C4E"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[10] In May 2008</w:t>
      </w:r>
      <w:r w:rsidR="002E27EA">
        <w:rPr>
          <w:rFonts w:ascii="Arial" w:hAnsi="Arial" w:cs="Arial"/>
          <w:sz w:val="24"/>
          <w:szCs w:val="24"/>
          <w:lang w:val="en-GB"/>
        </w:rPr>
        <w:t>,</w:t>
      </w:r>
      <w:r w:rsidRPr="002E3A26">
        <w:rPr>
          <w:rFonts w:ascii="Arial" w:hAnsi="Arial" w:cs="Arial"/>
          <w:sz w:val="24"/>
          <w:szCs w:val="24"/>
          <w:lang w:val="en-GB"/>
        </w:rPr>
        <w:t xml:space="preserve"> appellant acquired a further immovable property, Blue Moonlight. He again</w:t>
      </w:r>
      <w:r>
        <w:rPr>
          <w:rFonts w:ascii="Arial" w:hAnsi="Arial" w:cs="Arial"/>
          <w:sz w:val="24"/>
          <w:szCs w:val="24"/>
          <w:lang w:val="en-GB"/>
        </w:rPr>
        <w:t xml:space="preserve"> </w:t>
      </w:r>
      <w:r w:rsidRPr="002E3A26">
        <w:rPr>
          <w:rFonts w:ascii="Arial" w:hAnsi="Arial" w:cs="Arial"/>
          <w:sz w:val="24"/>
          <w:szCs w:val="24"/>
          <w:lang w:val="en-GB"/>
        </w:rPr>
        <w:t xml:space="preserve">sought investors in order to fund both the purchase and renovation of the property in question. The respondent </w:t>
      </w:r>
      <w:r>
        <w:rPr>
          <w:rFonts w:ascii="Arial" w:hAnsi="Arial" w:cs="Arial"/>
          <w:sz w:val="24"/>
          <w:szCs w:val="24"/>
          <w:lang w:val="en-GB"/>
        </w:rPr>
        <w:t xml:space="preserve">again </w:t>
      </w:r>
      <w:r w:rsidRPr="002E3A26">
        <w:rPr>
          <w:rFonts w:ascii="Arial" w:hAnsi="Arial" w:cs="Arial"/>
          <w:sz w:val="24"/>
          <w:szCs w:val="24"/>
          <w:lang w:val="en-GB"/>
        </w:rPr>
        <w:t xml:space="preserve">agreed to invest and purchased 25 shares at R44 000 a share at a total cost of R1 100 000.00. </w:t>
      </w:r>
    </w:p>
    <w:p w14:paraId="1A8A3FE7" w14:textId="77777777"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[11] West Dunes also sought to acquire shares in Blue Moonlight, but did not have the funds to buy any shares, nor could it raise such funds from a financial institution.</w:t>
      </w:r>
    </w:p>
    <w:p w14:paraId="44C23A03" w14:textId="784EE338" w:rsidR="00845BBF"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 xml:space="preserve">[12] The appellant was aware that the respondent had </w:t>
      </w:r>
      <w:r w:rsidR="006E7E5B">
        <w:rPr>
          <w:rFonts w:ascii="Arial" w:hAnsi="Arial" w:cs="Arial"/>
          <w:sz w:val="24"/>
          <w:szCs w:val="24"/>
          <w:lang w:val="en-GB"/>
        </w:rPr>
        <w:t xml:space="preserve">recently obtained </w:t>
      </w:r>
      <w:r w:rsidRPr="002E3A26">
        <w:rPr>
          <w:rFonts w:ascii="Arial" w:hAnsi="Arial" w:cs="Arial"/>
          <w:sz w:val="24"/>
          <w:szCs w:val="24"/>
          <w:lang w:val="en-GB"/>
        </w:rPr>
        <w:t>an access facility from Standard Bank of South Africa</w:t>
      </w:r>
      <w:r w:rsidR="00715728">
        <w:rPr>
          <w:rFonts w:ascii="Arial" w:hAnsi="Arial" w:cs="Arial"/>
          <w:sz w:val="24"/>
          <w:szCs w:val="24"/>
          <w:lang w:val="en-GB"/>
        </w:rPr>
        <w:t xml:space="preserve"> (</w:t>
      </w:r>
      <w:r w:rsidR="002E27EA">
        <w:rPr>
          <w:rFonts w:ascii="Arial" w:hAnsi="Arial" w:cs="Arial"/>
          <w:sz w:val="24"/>
          <w:szCs w:val="24"/>
          <w:lang w:val="en-GB"/>
        </w:rPr>
        <w:t>“</w:t>
      </w:r>
      <w:r w:rsidR="00715728">
        <w:rPr>
          <w:rFonts w:ascii="Arial" w:hAnsi="Arial" w:cs="Arial"/>
          <w:sz w:val="24"/>
          <w:szCs w:val="24"/>
          <w:lang w:val="en-GB"/>
        </w:rPr>
        <w:t>Standard Bank</w:t>
      </w:r>
      <w:r w:rsidR="002E27EA">
        <w:rPr>
          <w:rFonts w:ascii="Arial" w:hAnsi="Arial" w:cs="Arial"/>
          <w:sz w:val="24"/>
          <w:szCs w:val="24"/>
          <w:lang w:val="en-GB"/>
        </w:rPr>
        <w:t>”</w:t>
      </w:r>
      <w:r w:rsidR="00715728">
        <w:rPr>
          <w:rFonts w:ascii="Arial" w:hAnsi="Arial" w:cs="Arial"/>
          <w:sz w:val="24"/>
          <w:szCs w:val="24"/>
          <w:lang w:val="en-GB"/>
        </w:rPr>
        <w:t>)</w:t>
      </w:r>
      <w:r w:rsidRPr="002E3A26">
        <w:rPr>
          <w:rFonts w:ascii="Arial" w:hAnsi="Arial" w:cs="Arial"/>
          <w:sz w:val="24"/>
          <w:szCs w:val="24"/>
          <w:lang w:val="en-GB"/>
        </w:rPr>
        <w:t xml:space="preserve"> through a mortgage facility over his home. The respondent’s home was not registered in his name, but was registered in the name of his property holding company, Ceefax Property (Pty) Limited (</w:t>
      </w:r>
      <w:r w:rsidR="002E27EA">
        <w:rPr>
          <w:rFonts w:ascii="Arial" w:hAnsi="Arial" w:cs="Arial"/>
          <w:sz w:val="24"/>
          <w:szCs w:val="24"/>
          <w:lang w:val="en-GB"/>
        </w:rPr>
        <w:t>“</w:t>
      </w:r>
      <w:r w:rsidRPr="002E3A26">
        <w:rPr>
          <w:rFonts w:ascii="Arial" w:hAnsi="Arial" w:cs="Arial"/>
          <w:sz w:val="24"/>
          <w:szCs w:val="24"/>
          <w:lang w:val="en-GB"/>
        </w:rPr>
        <w:t>Ceefax</w:t>
      </w:r>
      <w:r w:rsidR="002E27EA">
        <w:rPr>
          <w:rFonts w:ascii="Arial" w:hAnsi="Arial" w:cs="Arial"/>
          <w:sz w:val="24"/>
          <w:szCs w:val="24"/>
          <w:lang w:val="en-GB"/>
        </w:rPr>
        <w:t>”</w:t>
      </w:r>
      <w:r w:rsidRPr="002E3A26">
        <w:rPr>
          <w:rFonts w:ascii="Arial" w:hAnsi="Arial" w:cs="Arial"/>
          <w:sz w:val="24"/>
          <w:szCs w:val="24"/>
          <w:lang w:val="en-GB"/>
        </w:rPr>
        <w:t xml:space="preserve">). The bond was also in the name of Ceefax. </w:t>
      </w:r>
      <w:r w:rsidR="007A194E">
        <w:rPr>
          <w:rFonts w:ascii="Arial" w:hAnsi="Arial" w:cs="Arial"/>
          <w:sz w:val="24"/>
          <w:szCs w:val="24"/>
          <w:lang w:val="en-GB"/>
        </w:rPr>
        <w:t>During the trial, the appellant contended</w:t>
      </w:r>
      <w:r>
        <w:rPr>
          <w:rFonts w:ascii="Arial" w:hAnsi="Arial" w:cs="Arial"/>
          <w:sz w:val="24"/>
          <w:szCs w:val="24"/>
          <w:lang w:val="en-GB"/>
        </w:rPr>
        <w:t xml:space="preserve"> that h</w:t>
      </w:r>
      <w:r w:rsidRPr="00C40D0C">
        <w:rPr>
          <w:rFonts w:ascii="Arial" w:hAnsi="Arial" w:cs="Arial"/>
          <w:sz w:val="24"/>
          <w:szCs w:val="24"/>
          <w:lang w:val="en-GB"/>
        </w:rPr>
        <w:t>e did not know that the respondent's home was r</w:t>
      </w:r>
      <w:r>
        <w:rPr>
          <w:rFonts w:ascii="Arial" w:hAnsi="Arial" w:cs="Arial"/>
          <w:sz w:val="24"/>
          <w:szCs w:val="24"/>
          <w:lang w:val="en-GB"/>
        </w:rPr>
        <w:t xml:space="preserve">egistered in the name of Ceefax, and had </w:t>
      </w:r>
      <w:r w:rsidRPr="00C40D0C">
        <w:rPr>
          <w:rFonts w:ascii="Arial" w:hAnsi="Arial" w:cs="Arial"/>
          <w:sz w:val="24"/>
          <w:szCs w:val="24"/>
          <w:lang w:val="en-GB"/>
        </w:rPr>
        <w:t>he known, he would not have ente</w:t>
      </w:r>
      <w:r>
        <w:rPr>
          <w:rFonts w:ascii="Arial" w:hAnsi="Arial" w:cs="Arial"/>
          <w:sz w:val="24"/>
          <w:szCs w:val="24"/>
          <w:lang w:val="en-GB"/>
        </w:rPr>
        <w:t xml:space="preserve">red into the agreement because he </w:t>
      </w:r>
      <w:r w:rsidRPr="00C40D0C">
        <w:rPr>
          <w:rFonts w:ascii="Arial" w:hAnsi="Arial" w:cs="Arial"/>
          <w:sz w:val="24"/>
          <w:szCs w:val="24"/>
          <w:lang w:val="en-GB"/>
        </w:rPr>
        <w:t>did not want to borrow money from Ceefax</w:t>
      </w:r>
      <w:r>
        <w:rPr>
          <w:rFonts w:ascii="Arial" w:hAnsi="Arial" w:cs="Arial"/>
          <w:sz w:val="24"/>
          <w:szCs w:val="24"/>
          <w:lang w:val="en-GB"/>
        </w:rPr>
        <w:t>.</w:t>
      </w:r>
    </w:p>
    <w:p w14:paraId="6A386EA9" w14:textId="19D4116C"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[13] The appellant</w:t>
      </w:r>
      <w:r w:rsidR="00647588">
        <w:rPr>
          <w:rFonts w:ascii="Arial" w:hAnsi="Arial" w:cs="Arial"/>
          <w:sz w:val="24"/>
          <w:szCs w:val="24"/>
          <w:lang w:val="en-GB"/>
        </w:rPr>
        <w:t xml:space="preserve">, </w:t>
      </w:r>
      <w:r w:rsidRPr="002E3A26">
        <w:rPr>
          <w:rFonts w:ascii="Arial" w:hAnsi="Arial" w:cs="Arial"/>
          <w:sz w:val="24"/>
          <w:szCs w:val="24"/>
          <w:lang w:val="en-GB"/>
        </w:rPr>
        <w:t>on behalf of West Dunes</w:t>
      </w:r>
      <w:r w:rsidR="002E27EA">
        <w:rPr>
          <w:rFonts w:ascii="Arial" w:hAnsi="Arial" w:cs="Arial"/>
          <w:sz w:val="24"/>
          <w:szCs w:val="24"/>
          <w:lang w:val="en-GB"/>
        </w:rPr>
        <w:t>,</w:t>
      </w:r>
      <w:r w:rsidRPr="002E3A26">
        <w:rPr>
          <w:rFonts w:ascii="Arial" w:hAnsi="Arial" w:cs="Arial"/>
          <w:sz w:val="24"/>
          <w:szCs w:val="24"/>
          <w:lang w:val="en-GB"/>
        </w:rPr>
        <w:t xml:space="preserve"> approached the respondent for a possible loan to West Dunes. The respondent agreed to loan such funds to West Dunes at an interest rate of prime minus 1.7%.  That is the same interest rate the respondent was paying on </w:t>
      </w:r>
      <w:r w:rsidR="00B6526D">
        <w:rPr>
          <w:rFonts w:ascii="Arial" w:hAnsi="Arial" w:cs="Arial"/>
          <w:sz w:val="24"/>
          <w:szCs w:val="24"/>
          <w:lang w:val="en-GB"/>
        </w:rPr>
        <w:t>the</w:t>
      </w:r>
      <w:r w:rsidR="00752105">
        <w:rPr>
          <w:rFonts w:ascii="Arial" w:hAnsi="Arial" w:cs="Arial"/>
          <w:sz w:val="24"/>
          <w:szCs w:val="24"/>
          <w:lang w:val="en-GB"/>
        </w:rPr>
        <w:t xml:space="preserve"> </w:t>
      </w:r>
      <w:r w:rsidRPr="002E3A26">
        <w:rPr>
          <w:rFonts w:ascii="Arial" w:hAnsi="Arial" w:cs="Arial"/>
          <w:sz w:val="24"/>
          <w:szCs w:val="24"/>
          <w:lang w:val="en-GB"/>
        </w:rPr>
        <w:t>mortgage bond</w:t>
      </w:r>
      <w:r w:rsidR="002131C2">
        <w:rPr>
          <w:rFonts w:ascii="Arial" w:hAnsi="Arial" w:cs="Arial"/>
          <w:sz w:val="24"/>
          <w:szCs w:val="24"/>
          <w:lang w:val="en-GB"/>
        </w:rPr>
        <w:t xml:space="preserve"> over </w:t>
      </w:r>
      <w:r w:rsidR="00752105">
        <w:rPr>
          <w:rFonts w:ascii="Arial" w:hAnsi="Arial" w:cs="Arial"/>
          <w:sz w:val="24"/>
          <w:szCs w:val="24"/>
          <w:lang w:val="en-GB"/>
        </w:rPr>
        <w:t>the</w:t>
      </w:r>
      <w:r w:rsidR="002131C2">
        <w:rPr>
          <w:rFonts w:ascii="Arial" w:hAnsi="Arial" w:cs="Arial"/>
          <w:sz w:val="24"/>
          <w:szCs w:val="24"/>
          <w:lang w:val="en-GB"/>
        </w:rPr>
        <w:t xml:space="preserve"> property</w:t>
      </w:r>
      <w:r w:rsidR="002E27EA">
        <w:rPr>
          <w:rFonts w:ascii="Arial" w:hAnsi="Arial" w:cs="Arial"/>
          <w:sz w:val="24"/>
          <w:szCs w:val="24"/>
          <w:lang w:val="en-GB"/>
        </w:rPr>
        <w:t xml:space="preserve">. </w:t>
      </w:r>
      <w:r w:rsidR="00997193">
        <w:rPr>
          <w:rFonts w:ascii="Arial" w:hAnsi="Arial" w:cs="Arial"/>
          <w:sz w:val="24"/>
          <w:szCs w:val="24"/>
          <w:lang w:val="en-GB"/>
        </w:rPr>
        <w:t>The respondent would acquire such funds through Ceefax’s access facility with Standard Bank</w:t>
      </w:r>
      <w:r w:rsidR="00752105">
        <w:rPr>
          <w:rFonts w:ascii="Arial" w:hAnsi="Arial" w:cs="Arial"/>
          <w:sz w:val="24"/>
          <w:szCs w:val="24"/>
          <w:lang w:val="en-GB"/>
        </w:rPr>
        <w:t>.</w:t>
      </w:r>
    </w:p>
    <w:p w14:paraId="11FA46FA" w14:textId="3572D1A7"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lastRenderedPageBreak/>
        <w:t>[14] Not long thereafter the appellant asked the respondent to lend him R660 000.00 to pay for the 15 shares he (the appellant) had subscribed for in Blue Moonlight at a cost of R44 000.00 per share. The respondent agreed to assist the appellant and to lend him the money. The parties accordingly signed the agreement in respect of such a loan on 12 October 2008</w:t>
      </w:r>
      <w:r w:rsidR="008851B0">
        <w:rPr>
          <w:rFonts w:ascii="Arial" w:hAnsi="Arial" w:cs="Arial"/>
          <w:sz w:val="24"/>
          <w:szCs w:val="24"/>
          <w:lang w:val="en-GB"/>
        </w:rPr>
        <w:t xml:space="preserve">, </w:t>
      </w:r>
      <w:r w:rsidR="008851B0" w:rsidRPr="008851B0">
        <w:rPr>
          <w:rFonts w:ascii="Arial" w:hAnsi="Arial" w:cs="Arial"/>
          <w:sz w:val="24"/>
          <w:szCs w:val="24"/>
          <w:lang w:val="en-GB"/>
        </w:rPr>
        <w:t xml:space="preserve">just over a month after a similar agreement in respect of the West Dunes loan was </w:t>
      </w:r>
      <w:r w:rsidR="007A194E">
        <w:rPr>
          <w:rFonts w:ascii="Arial" w:hAnsi="Arial" w:cs="Arial"/>
          <w:sz w:val="24"/>
          <w:szCs w:val="24"/>
          <w:lang w:val="en-GB"/>
        </w:rPr>
        <w:t>entered into on 10 September 2008.</w:t>
      </w:r>
      <w:r w:rsidR="008851B0" w:rsidRPr="008851B0">
        <w:rPr>
          <w:rFonts w:ascii="Arial" w:hAnsi="Arial" w:cs="Arial"/>
          <w:sz w:val="24"/>
          <w:szCs w:val="24"/>
          <w:lang w:val="en-GB"/>
        </w:rPr>
        <w:t xml:space="preserve"> </w:t>
      </w:r>
      <w:r w:rsidRPr="002E3A26">
        <w:rPr>
          <w:rFonts w:ascii="Arial" w:hAnsi="Arial" w:cs="Arial"/>
          <w:sz w:val="24"/>
          <w:szCs w:val="24"/>
          <w:lang w:val="en-GB"/>
        </w:rPr>
        <w:t>In terms of the agreement the respondent lent the appellant an amount of R660 000.00, again at the same rate that the respondent was paying on the access facility on the bond over his home</w:t>
      </w:r>
      <w:r w:rsidR="007A194E">
        <w:rPr>
          <w:rFonts w:ascii="Arial" w:hAnsi="Arial" w:cs="Arial"/>
          <w:sz w:val="24"/>
          <w:szCs w:val="24"/>
          <w:lang w:val="en-GB"/>
        </w:rPr>
        <w:t xml:space="preserve"> i.e. prime minus 1.7%</w:t>
      </w:r>
      <w:r w:rsidRPr="002E3A26">
        <w:rPr>
          <w:rFonts w:ascii="Arial" w:hAnsi="Arial" w:cs="Arial"/>
          <w:sz w:val="24"/>
          <w:szCs w:val="24"/>
          <w:lang w:val="en-GB"/>
        </w:rPr>
        <w:t>.</w:t>
      </w:r>
    </w:p>
    <w:p w14:paraId="4981A8C8" w14:textId="58ED3C44" w:rsidR="00845BBF"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 xml:space="preserve">[15] Pursuant to the above, the respondent paid R660 000.00 from </w:t>
      </w:r>
      <w:r w:rsidR="004C68A6">
        <w:rPr>
          <w:rFonts w:ascii="Arial" w:hAnsi="Arial" w:cs="Arial"/>
          <w:sz w:val="24"/>
          <w:szCs w:val="24"/>
          <w:lang w:val="en-GB"/>
        </w:rPr>
        <w:t xml:space="preserve">Ceefax’s </w:t>
      </w:r>
      <w:r w:rsidRPr="002E3A26">
        <w:rPr>
          <w:rFonts w:ascii="Arial" w:hAnsi="Arial" w:cs="Arial"/>
          <w:sz w:val="24"/>
          <w:szCs w:val="24"/>
          <w:lang w:val="en-GB"/>
        </w:rPr>
        <w:t xml:space="preserve">mortgage bond facility directly to the appellant. The appellant made regular payments into the Ceefax bond account until 31 July 2017. Thereafter he made no further payments.  </w:t>
      </w:r>
      <w:r w:rsidR="00395B0A">
        <w:rPr>
          <w:rFonts w:ascii="Arial" w:hAnsi="Arial" w:cs="Arial"/>
          <w:sz w:val="24"/>
          <w:szCs w:val="24"/>
          <w:lang w:val="en-GB"/>
        </w:rPr>
        <w:t xml:space="preserve">Ten years later </w:t>
      </w:r>
      <w:r w:rsidRPr="002E3A26">
        <w:rPr>
          <w:rFonts w:ascii="Arial" w:hAnsi="Arial" w:cs="Arial"/>
          <w:sz w:val="24"/>
          <w:szCs w:val="24"/>
          <w:lang w:val="en-GB"/>
        </w:rPr>
        <w:t xml:space="preserve">the loan </w:t>
      </w:r>
      <w:r w:rsidR="00395B0A">
        <w:rPr>
          <w:rFonts w:ascii="Arial" w:hAnsi="Arial" w:cs="Arial"/>
          <w:sz w:val="24"/>
          <w:szCs w:val="24"/>
          <w:lang w:val="en-GB"/>
        </w:rPr>
        <w:t>was</w:t>
      </w:r>
      <w:r w:rsidRPr="002E3A26">
        <w:rPr>
          <w:rFonts w:ascii="Arial" w:hAnsi="Arial" w:cs="Arial"/>
          <w:sz w:val="24"/>
          <w:szCs w:val="24"/>
          <w:lang w:val="en-GB"/>
        </w:rPr>
        <w:t xml:space="preserve"> still </w:t>
      </w:r>
      <w:r w:rsidRPr="00E227A5">
        <w:rPr>
          <w:rFonts w:ascii="Arial" w:hAnsi="Arial" w:cs="Arial"/>
          <w:sz w:val="24"/>
          <w:szCs w:val="24"/>
          <w:lang w:val="en-GB"/>
        </w:rPr>
        <w:t>outstanding.</w:t>
      </w:r>
      <w:r w:rsidR="00395B0A" w:rsidRPr="00E227A5">
        <w:rPr>
          <w:rFonts w:ascii="Arial" w:hAnsi="Arial" w:cs="Arial"/>
          <w:sz w:val="24"/>
          <w:szCs w:val="24"/>
        </w:rPr>
        <w:t xml:space="preserve"> As a result, the</w:t>
      </w:r>
      <w:r w:rsidR="00395B0A" w:rsidRPr="00E227A5">
        <w:rPr>
          <w:rFonts w:ascii="Arial" w:hAnsi="Arial" w:cs="Arial"/>
          <w:sz w:val="24"/>
          <w:szCs w:val="24"/>
          <w:lang w:val="en-GB"/>
        </w:rPr>
        <w:t xml:space="preserve"> respondent, as</w:t>
      </w:r>
      <w:r w:rsidR="00395B0A" w:rsidRPr="00395B0A">
        <w:rPr>
          <w:rFonts w:ascii="Arial" w:hAnsi="Arial" w:cs="Arial"/>
          <w:sz w:val="24"/>
          <w:szCs w:val="24"/>
          <w:lang w:val="en-GB"/>
        </w:rPr>
        <w:t xml:space="preserve"> plaintiff </w:t>
      </w:r>
      <w:r w:rsidR="00395B0A" w:rsidRPr="00C66575">
        <w:rPr>
          <w:rFonts w:ascii="Arial" w:hAnsi="Arial" w:cs="Arial"/>
          <w:i/>
          <w:sz w:val="24"/>
          <w:szCs w:val="24"/>
          <w:lang w:val="en-GB"/>
        </w:rPr>
        <w:t>a</w:t>
      </w:r>
      <w:r w:rsidR="00395B0A" w:rsidRPr="00395B0A">
        <w:rPr>
          <w:rFonts w:ascii="Arial" w:hAnsi="Arial" w:cs="Arial"/>
          <w:sz w:val="24"/>
          <w:szCs w:val="24"/>
          <w:lang w:val="en-GB"/>
        </w:rPr>
        <w:t xml:space="preserve"> </w:t>
      </w:r>
      <w:r w:rsidR="00395B0A" w:rsidRPr="00C66575">
        <w:rPr>
          <w:rFonts w:ascii="Arial" w:hAnsi="Arial" w:cs="Arial"/>
          <w:i/>
          <w:sz w:val="24"/>
          <w:szCs w:val="24"/>
          <w:lang w:val="en-GB"/>
        </w:rPr>
        <w:t>quo</w:t>
      </w:r>
      <w:r w:rsidR="00395B0A" w:rsidRPr="00395B0A">
        <w:rPr>
          <w:rFonts w:ascii="Arial" w:hAnsi="Arial" w:cs="Arial"/>
          <w:sz w:val="24"/>
          <w:szCs w:val="24"/>
          <w:lang w:val="en-GB"/>
        </w:rPr>
        <w:t xml:space="preserve">, instituted action against the appellant, as defendant </w:t>
      </w:r>
      <w:r w:rsidR="00395B0A" w:rsidRPr="00C66575">
        <w:rPr>
          <w:rFonts w:ascii="Arial" w:hAnsi="Arial" w:cs="Arial"/>
          <w:i/>
          <w:sz w:val="24"/>
          <w:szCs w:val="24"/>
          <w:lang w:val="en-GB"/>
        </w:rPr>
        <w:t>a quo</w:t>
      </w:r>
      <w:r w:rsidR="00395B0A" w:rsidRPr="00395B0A">
        <w:rPr>
          <w:rFonts w:ascii="Arial" w:hAnsi="Arial" w:cs="Arial"/>
          <w:sz w:val="24"/>
          <w:szCs w:val="24"/>
          <w:lang w:val="en-GB"/>
        </w:rPr>
        <w:t xml:space="preserve">, for repayment of monies lent and advanced by the respondent to the appellant pursuant to </w:t>
      </w:r>
      <w:r w:rsidR="008851B0">
        <w:rPr>
          <w:rFonts w:ascii="Arial" w:hAnsi="Arial" w:cs="Arial"/>
          <w:sz w:val="24"/>
          <w:szCs w:val="24"/>
          <w:lang w:val="en-GB"/>
        </w:rPr>
        <w:t>the agreement between the parties</w:t>
      </w:r>
      <w:r w:rsidR="00395B0A" w:rsidRPr="00395B0A">
        <w:rPr>
          <w:rFonts w:ascii="Arial" w:hAnsi="Arial" w:cs="Arial"/>
          <w:sz w:val="24"/>
          <w:szCs w:val="24"/>
          <w:lang w:val="en-GB"/>
        </w:rPr>
        <w:t>.</w:t>
      </w:r>
    </w:p>
    <w:p w14:paraId="1B3C3C7F" w14:textId="5EA482E1" w:rsidR="00845BBF" w:rsidRPr="002E3A26" w:rsidRDefault="00845BBF" w:rsidP="00845BBF">
      <w:pPr>
        <w:spacing w:after="240" w:line="480" w:lineRule="auto"/>
        <w:jc w:val="both"/>
        <w:rPr>
          <w:rFonts w:ascii="Arial" w:hAnsi="Arial" w:cs="Arial"/>
          <w:b/>
          <w:sz w:val="24"/>
          <w:szCs w:val="24"/>
          <w:lang w:val="en-GB"/>
        </w:rPr>
      </w:pPr>
      <w:r w:rsidRPr="002E3A26">
        <w:rPr>
          <w:rFonts w:ascii="Arial" w:hAnsi="Arial" w:cs="Arial"/>
          <w:b/>
          <w:sz w:val="24"/>
          <w:szCs w:val="24"/>
          <w:lang w:val="en-GB"/>
        </w:rPr>
        <w:t>SECTION  4 OF THE NCA</w:t>
      </w:r>
    </w:p>
    <w:p w14:paraId="70E981B1" w14:textId="77777777" w:rsidR="00845BBF" w:rsidRPr="002E3A26" w:rsidRDefault="00845BBF" w:rsidP="00845BBF">
      <w:pPr>
        <w:spacing w:after="240" w:line="480" w:lineRule="auto"/>
        <w:jc w:val="both"/>
        <w:rPr>
          <w:rFonts w:ascii="Arial" w:hAnsi="Arial" w:cs="Arial"/>
          <w:vanish/>
          <w:sz w:val="24"/>
          <w:szCs w:val="24"/>
          <w:lang w:val="en-GB"/>
        </w:rPr>
      </w:pPr>
    </w:p>
    <w:p w14:paraId="49214DEC" w14:textId="77777777" w:rsidR="00845BBF" w:rsidRPr="002E3A26" w:rsidRDefault="00845BBF" w:rsidP="00845BBF">
      <w:pPr>
        <w:spacing w:after="240" w:line="480" w:lineRule="auto"/>
        <w:jc w:val="both"/>
        <w:rPr>
          <w:rFonts w:ascii="Arial" w:hAnsi="Arial" w:cs="Arial"/>
          <w:vanish/>
          <w:sz w:val="24"/>
          <w:szCs w:val="24"/>
          <w:lang w:val="en-GB"/>
        </w:rPr>
      </w:pPr>
    </w:p>
    <w:p w14:paraId="1DB742DC" w14:textId="77777777" w:rsidR="00845BBF" w:rsidRPr="002E3A26" w:rsidRDefault="00845BBF" w:rsidP="00845BBF">
      <w:pPr>
        <w:spacing w:after="240" w:line="480" w:lineRule="auto"/>
        <w:jc w:val="both"/>
        <w:rPr>
          <w:rFonts w:ascii="Arial" w:hAnsi="Arial" w:cs="Arial"/>
          <w:vanish/>
          <w:sz w:val="24"/>
          <w:szCs w:val="24"/>
          <w:lang w:val="en-GB"/>
        </w:rPr>
      </w:pPr>
    </w:p>
    <w:p w14:paraId="1A8CA985" w14:textId="77777777" w:rsidR="00845BBF" w:rsidRPr="002E3A26" w:rsidRDefault="00845BBF" w:rsidP="00845BBF">
      <w:pPr>
        <w:spacing w:after="240" w:line="480" w:lineRule="auto"/>
        <w:jc w:val="both"/>
        <w:rPr>
          <w:rFonts w:ascii="Arial" w:hAnsi="Arial" w:cs="Arial"/>
          <w:vanish/>
          <w:sz w:val="24"/>
          <w:szCs w:val="24"/>
          <w:lang w:val="en-GB"/>
        </w:rPr>
      </w:pPr>
    </w:p>
    <w:p w14:paraId="2150249E" w14:textId="77777777" w:rsidR="00845BBF" w:rsidRPr="002E3A26" w:rsidRDefault="00845BBF" w:rsidP="00845BBF">
      <w:pPr>
        <w:spacing w:after="240" w:line="480" w:lineRule="auto"/>
        <w:jc w:val="both"/>
        <w:rPr>
          <w:rFonts w:ascii="Arial" w:hAnsi="Arial" w:cs="Arial"/>
          <w:vanish/>
          <w:sz w:val="24"/>
          <w:szCs w:val="24"/>
          <w:lang w:val="en-GB"/>
        </w:rPr>
      </w:pPr>
    </w:p>
    <w:p w14:paraId="1A9977F3" w14:textId="77777777" w:rsidR="00845BBF" w:rsidRPr="002E3A26" w:rsidRDefault="00845BBF" w:rsidP="00845BBF">
      <w:pPr>
        <w:spacing w:after="240" w:line="480" w:lineRule="auto"/>
        <w:jc w:val="both"/>
        <w:rPr>
          <w:rFonts w:ascii="Arial" w:hAnsi="Arial" w:cs="Arial"/>
          <w:vanish/>
          <w:sz w:val="24"/>
          <w:szCs w:val="24"/>
          <w:lang w:val="en-GB"/>
        </w:rPr>
      </w:pPr>
    </w:p>
    <w:p w14:paraId="0C9B61BF" w14:textId="77777777" w:rsidR="00845BBF" w:rsidRPr="002E3A26" w:rsidRDefault="00845BBF" w:rsidP="00845BBF">
      <w:pPr>
        <w:spacing w:after="240" w:line="480" w:lineRule="auto"/>
        <w:jc w:val="both"/>
        <w:rPr>
          <w:rFonts w:ascii="Arial" w:hAnsi="Arial" w:cs="Arial"/>
          <w:vanish/>
          <w:sz w:val="24"/>
          <w:szCs w:val="24"/>
          <w:lang w:val="en-GB"/>
        </w:rPr>
      </w:pPr>
    </w:p>
    <w:p w14:paraId="4001A644" w14:textId="77777777" w:rsidR="00845BBF" w:rsidRPr="002E3A26" w:rsidRDefault="00845BBF" w:rsidP="00845BBF">
      <w:pPr>
        <w:spacing w:after="240" w:line="480" w:lineRule="auto"/>
        <w:jc w:val="both"/>
        <w:rPr>
          <w:rFonts w:ascii="Arial" w:hAnsi="Arial" w:cs="Arial"/>
          <w:vanish/>
          <w:sz w:val="24"/>
          <w:szCs w:val="24"/>
          <w:lang w:val="en-GB"/>
        </w:rPr>
      </w:pPr>
    </w:p>
    <w:p w14:paraId="1A545C4B" w14:textId="77777777" w:rsidR="00845BBF" w:rsidRPr="002E3A26" w:rsidRDefault="00845BBF" w:rsidP="00845BBF">
      <w:pPr>
        <w:spacing w:after="240" w:line="480" w:lineRule="auto"/>
        <w:jc w:val="both"/>
        <w:rPr>
          <w:rFonts w:ascii="Arial" w:hAnsi="Arial" w:cs="Arial"/>
          <w:vanish/>
          <w:sz w:val="24"/>
          <w:szCs w:val="24"/>
          <w:lang w:val="en-GB"/>
        </w:rPr>
      </w:pPr>
    </w:p>
    <w:p w14:paraId="316557B4" w14:textId="77777777" w:rsidR="00845BBF" w:rsidRPr="002E3A26" w:rsidRDefault="00845BBF" w:rsidP="00845BBF">
      <w:pPr>
        <w:spacing w:after="240" w:line="480" w:lineRule="auto"/>
        <w:jc w:val="both"/>
        <w:rPr>
          <w:rFonts w:ascii="Arial" w:hAnsi="Arial" w:cs="Arial"/>
          <w:vanish/>
          <w:sz w:val="24"/>
          <w:szCs w:val="24"/>
          <w:lang w:val="en-GB"/>
        </w:rPr>
      </w:pPr>
    </w:p>
    <w:p w14:paraId="17E25F8C" w14:textId="77777777" w:rsidR="00845BBF" w:rsidRPr="002E3A26" w:rsidRDefault="00845BBF" w:rsidP="00845BBF">
      <w:pPr>
        <w:spacing w:after="240" w:line="480" w:lineRule="auto"/>
        <w:jc w:val="both"/>
        <w:rPr>
          <w:rFonts w:ascii="Arial" w:hAnsi="Arial" w:cs="Arial"/>
          <w:vanish/>
          <w:sz w:val="24"/>
          <w:szCs w:val="24"/>
          <w:lang w:val="en-GB"/>
        </w:rPr>
      </w:pPr>
    </w:p>
    <w:p w14:paraId="62783874" w14:textId="77777777" w:rsidR="00845BBF" w:rsidRPr="002E3A26" w:rsidRDefault="00845BBF" w:rsidP="00845BBF">
      <w:pPr>
        <w:spacing w:after="240" w:line="480" w:lineRule="auto"/>
        <w:jc w:val="both"/>
        <w:rPr>
          <w:rFonts w:ascii="Arial" w:hAnsi="Arial" w:cs="Arial"/>
          <w:vanish/>
          <w:sz w:val="24"/>
          <w:szCs w:val="24"/>
          <w:lang w:val="en-GB"/>
        </w:rPr>
      </w:pPr>
    </w:p>
    <w:p w14:paraId="391A95A1" w14:textId="77777777" w:rsidR="00845BBF" w:rsidRPr="002E3A26" w:rsidRDefault="00845BBF" w:rsidP="00845BBF">
      <w:pPr>
        <w:spacing w:after="240" w:line="480" w:lineRule="auto"/>
        <w:jc w:val="both"/>
        <w:rPr>
          <w:rFonts w:ascii="Arial" w:hAnsi="Arial" w:cs="Arial"/>
          <w:vanish/>
          <w:sz w:val="24"/>
          <w:szCs w:val="24"/>
          <w:lang w:val="en-GB"/>
        </w:rPr>
      </w:pPr>
    </w:p>
    <w:p w14:paraId="4BEB1303" w14:textId="77777777" w:rsidR="00845BBF" w:rsidRPr="002E3A26" w:rsidRDefault="00845BBF" w:rsidP="00845BBF">
      <w:pPr>
        <w:spacing w:after="240" w:line="480" w:lineRule="auto"/>
        <w:jc w:val="both"/>
        <w:rPr>
          <w:rFonts w:ascii="Arial" w:hAnsi="Arial" w:cs="Arial"/>
          <w:vanish/>
          <w:sz w:val="24"/>
          <w:szCs w:val="24"/>
          <w:lang w:val="en-GB"/>
        </w:rPr>
      </w:pPr>
    </w:p>
    <w:p w14:paraId="1445258C" w14:textId="77777777" w:rsidR="00845BBF" w:rsidRPr="002E3A26" w:rsidRDefault="00845BBF" w:rsidP="00845BBF">
      <w:pPr>
        <w:spacing w:after="240" w:line="480" w:lineRule="auto"/>
        <w:jc w:val="both"/>
        <w:rPr>
          <w:rFonts w:ascii="Arial" w:hAnsi="Arial" w:cs="Arial"/>
          <w:vanish/>
          <w:sz w:val="24"/>
          <w:szCs w:val="24"/>
          <w:lang w:val="en-GB"/>
        </w:rPr>
      </w:pPr>
    </w:p>
    <w:p w14:paraId="3BBE1BF7" w14:textId="77777777" w:rsidR="00845BBF" w:rsidRPr="002E3A26" w:rsidRDefault="00845BBF" w:rsidP="00845BBF">
      <w:pPr>
        <w:spacing w:after="240" w:line="480" w:lineRule="auto"/>
        <w:jc w:val="both"/>
        <w:rPr>
          <w:rFonts w:ascii="Arial" w:hAnsi="Arial" w:cs="Arial"/>
          <w:vanish/>
          <w:sz w:val="24"/>
          <w:szCs w:val="24"/>
          <w:lang w:val="en-GB"/>
        </w:rPr>
      </w:pPr>
    </w:p>
    <w:p w14:paraId="07439DBD" w14:textId="77777777" w:rsidR="00845BBF" w:rsidRPr="002E3A26" w:rsidRDefault="00845BBF" w:rsidP="00845BBF">
      <w:pPr>
        <w:spacing w:after="240" w:line="480" w:lineRule="auto"/>
        <w:jc w:val="both"/>
        <w:rPr>
          <w:rFonts w:ascii="Arial" w:hAnsi="Arial" w:cs="Arial"/>
          <w:vanish/>
          <w:sz w:val="24"/>
          <w:szCs w:val="24"/>
          <w:lang w:val="en-GB"/>
        </w:rPr>
      </w:pPr>
    </w:p>
    <w:p w14:paraId="48070851" w14:textId="77777777" w:rsidR="00845BBF" w:rsidRPr="002E3A26" w:rsidRDefault="00845BBF" w:rsidP="00845BBF">
      <w:pPr>
        <w:spacing w:after="240" w:line="480" w:lineRule="auto"/>
        <w:jc w:val="both"/>
        <w:rPr>
          <w:rFonts w:ascii="Arial" w:hAnsi="Arial" w:cs="Arial"/>
          <w:vanish/>
          <w:sz w:val="24"/>
          <w:szCs w:val="24"/>
          <w:lang w:val="en-GB"/>
        </w:rPr>
      </w:pPr>
    </w:p>
    <w:p w14:paraId="50D6EF28" w14:textId="77777777" w:rsidR="00845BBF" w:rsidRPr="002E3A26" w:rsidRDefault="00845BBF" w:rsidP="00845BBF">
      <w:pPr>
        <w:spacing w:after="240" w:line="480" w:lineRule="auto"/>
        <w:jc w:val="both"/>
        <w:rPr>
          <w:rFonts w:ascii="Arial" w:hAnsi="Arial" w:cs="Arial"/>
          <w:vanish/>
          <w:sz w:val="24"/>
          <w:szCs w:val="24"/>
          <w:lang w:val="en-GB"/>
        </w:rPr>
      </w:pPr>
    </w:p>
    <w:p w14:paraId="60A1A24D" w14:textId="77777777" w:rsidR="00845BBF" w:rsidRPr="002E3A26" w:rsidRDefault="00845BBF" w:rsidP="00845BBF">
      <w:pPr>
        <w:spacing w:after="240" w:line="480" w:lineRule="auto"/>
        <w:jc w:val="both"/>
        <w:rPr>
          <w:rFonts w:ascii="Arial" w:hAnsi="Arial" w:cs="Arial"/>
          <w:vanish/>
          <w:sz w:val="24"/>
          <w:szCs w:val="24"/>
          <w:lang w:val="en-GB"/>
        </w:rPr>
      </w:pPr>
    </w:p>
    <w:p w14:paraId="33DC5CD5" w14:textId="77777777" w:rsidR="00845BBF" w:rsidRPr="002E3A26" w:rsidRDefault="00845BBF" w:rsidP="00845BBF">
      <w:pPr>
        <w:spacing w:after="240" w:line="480" w:lineRule="auto"/>
        <w:jc w:val="both"/>
        <w:rPr>
          <w:rFonts w:ascii="Arial" w:hAnsi="Arial" w:cs="Arial"/>
          <w:vanish/>
          <w:sz w:val="24"/>
          <w:szCs w:val="24"/>
          <w:lang w:val="en-GB"/>
        </w:rPr>
      </w:pPr>
    </w:p>
    <w:p w14:paraId="27E230B2" w14:textId="77777777" w:rsidR="00845BBF" w:rsidRPr="002E3A26" w:rsidRDefault="00845BBF" w:rsidP="00845BBF">
      <w:pPr>
        <w:spacing w:after="240" w:line="480" w:lineRule="auto"/>
        <w:jc w:val="both"/>
        <w:rPr>
          <w:rFonts w:ascii="Arial" w:hAnsi="Arial" w:cs="Arial"/>
          <w:vanish/>
          <w:sz w:val="24"/>
          <w:szCs w:val="24"/>
          <w:lang w:val="en-GB"/>
        </w:rPr>
      </w:pPr>
    </w:p>
    <w:p w14:paraId="2B72E3EC" w14:textId="77777777" w:rsidR="00845BBF" w:rsidRPr="002E3A26" w:rsidRDefault="00845BBF" w:rsidP="00845BBF">
      <w:pPr>
        <w:spacing w:after="240" w:line="480" w:lineRule="auto"/>
        <w:jc w:val="both"/>
        <w:rPr>
          <w:rFonts w:ascii="Arial" w:hAnsi="Arial" w:cs="Arial"/>
          <w:vanish/>
          <w:sz w:val="24"/>
          <w:szCs w:val="24"/>
          <w:lang w:val="en-GB"/>
        </w:rPr>
      </w:pPr>
    </w:p>
    <w:p w14:paraId="719EA49B" w14:textId="77777777" w:rsidR="00845BBF" w:rsidRPr="002E3A26" w:rsidRDefault="00845BBF" w:rsidP="00845BBF">
      <w:pPr>
        <w:spacing w:after="240" w:line="480" w:lineRule="auto"/>
        <w:jc w:val="both"/>
        <w:rPr>
          <w:rFonts w:ascii="Arial" w:hAnsi="Arial" w:cs="Arial"/>
          <w:vanish/>
          <w:sz w:val="24"/>
          <w:szCs w:val="24"/>
          <w:lang w:val="en-GB"/>
        </w:rPr>
      </w:pPr>
    </w:p>
    <w:p w14:paraId="6E1DC046" w14:textId="77777777" w:rsidR="00845BBF" w:rsidRPr="002E3A26" w:rsidRDefault="00845BBF" w:rsidP="00845BBF">
      <w:pPr>
        <w:spacing w:after="240" w:line="480" w:lineRule="auto"/>
        <w:jc w:val="both"/>
        <w:rPr>
          <w:rFonts w:ascii="Arial" w:hAnsi="Arial" w:cs="Arial"/>
          <w:vanish/>
          <w:sz w:val="24"/>
          <w:szCs w:val="24"/>
          <w:lang w:val="en-GB"/>
        </w:rPr>
      </w:pPr>
    </w:p>
    <w:p w14:paraId="066621EA" w14:textId="77777777" w:rsidR="00845BBF" w:rsidRPr="002E3A26" w:rsidRDefault="00845BBF" w:rsidP="00845BBF">
      <w:pPr>
        <w:spacing w:after="240" w:line="480" w:lineRule="auto"/>
        <w:jc w:val="both"/>
        <w:rPr>
          <w:rFonts w:ascii="Arial" w:hAnsi="Arial" w:cs="Arial"/>
          <w:vanish/>
          <w:sz w:val="24"/>
          <w:szCs w:val="24"/>
          <w:lang w:val="en-GB"/>
        </w:rPr>
      </w:pPr>
    </w:p>
    <w:p w14:paraId="172FB174" w14:textId="77777777" w:rsidR="00845BBF" w:rsidRPr="002E3A26" w:rsidRDefault="00845BBF" w:rsidP="00845BBF">
      <w:pPr>
        <w:spacing w:after="240" w:line="480" w:lineRule="auto"/>
        <w:jc w:val="both"/>
        <w:rPr>
          <w:rFonts w:ascii="Arial" w:hAnsi="Arial" w:cs="Arial"/>
          <w:vanish/>
          <w:sz w:val="24"/>
          <w:szCs w:val="24"/>
          <w:lang w:val="en-GB"/>
        </w:rPr>
      </w:pPr>
    </w:p>
    <w:p w14:paraId="1BB75F66" w14:textId="77777777" w:rsidR="00845BBF" w:rsidRPr="002E3A26" w:rsidRDefault="00845BBF" w:rsidP="00845BBF">
      <w:pPr>
        <w:spacing w:after="240" w:line="480" w:lineRule="auto"/>
        <w:jc w:val="both"/>
        <w:rPr>
          <w:rFonts w:ascii="Arial" w:hAnsi="Arial" w:cs="Arial"/>
          <w:vanish/>
          <w:sz w:val="24"/>
          <w:szCs w:val="24"/>
          <w:lang w:val="en-GB"/>
        </w:rPr>
      </w:pPr>
    </w:p>
    <w:p w14:paraId="64D37EA1" w14:textId="77777777"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[16] In terms of section 40(1)(b) of the NCA, subject to certain exceptions, a person must register as a credit provider if the total of the loan amounts lent out by that person to individuals (and small juristic persons) exceeds the prescribed threshold</w:t>
      </w:r>
      <w:r w:rsidR="00DB2EA6">
        <w:rPr>
          <w:rStyle w:val="FootnoteReference"/>
          <w:rFonts w:ascii="Arial" w:hAnsi="Arial" w:cs="Arial"/>
          <w:sz w:val="24"/>
          <w:szCs w:val="24"/>
          <w:lang w:val="en-GB"/>
        </w:rPr>
        <w:footnoteReference w:id="6"/>
      </w:r>
      <w:r w:rsidRPr="002E3A26">
        <w:rPr>
          <w:rFonts w:ascii="Arial" w:hAnsi="Arial" w:cs="Arial"/>
          <w:sz w:val="24"/>
          <w:szCs w:val="24"/>
          <w:lang w:val="en-GB"/>
        </w:rPr>
        <w:t xml:space="preserve">. The exceptions are listed in section 4 of the NCA. Section 4(1) provides that the NCA applies to every credit agreement between parties dealing at arm’s length, meaning </w:t>
      </w:r>
      <w:r w:rsidRPr="002E3A26">
        <w:rPr>
          <w:rFonts w:ascii="Arial" w:hAnsi="Arial" w:cs="Arial"/>
          <w:sz w:val="24"/>
          <w:szCs w:val="24"/>
          <w:lang w:val="en-GB"/>
        </w:rPr>
        <w:lastRenderedPageBreak/>
        <w:t>that if the parties were not dealing at arm’s length, then this would constitute an exception to the rule that all credit providers need to register as such.</w:t>
      </w:r>
    </w:p>
    <w:p w14:paraId="20ADD7A2" w14:textId="77777777"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[17] The appellant submits that the agreement was an agreement concluded at arm’s length and that the respondent ought to have complied with section 40(1)(b) of the NCA and be registered as a credit provider.</w:t>
      </w:r>
    </w:p>
    <w:p w14:paraId="48361FF8" w14:textId="77777777" w:rsidR="00845BBF" w:rsidRPr="002E3A26" w:rsidRDefault="00845BBF" w:rsidP="00845BBF">
      <w:pPr>
        <w:spacing w:after="240" w:line="480" w:lineRule="auto"/>
        <w:jc w:val="both"/>
        <w:rPr>
          <w:rFonts w:ascii="Arial" w:hAnsi="Arial" w:cs="Arial"/>
          <w:bCs/>
          <w:iCs/>
          <w:sz w:val="24"/>
          <w:szCs w:val="24"/>
          <w:lang w:val="en-GB"/>
        </w:rPr>
      </w:pPr>
      <w:r w:rsidRPr="002E3A26">
        <w:rPr>
          <w:rFonts w:ascii="Arial" w:hAnsi="Arial" w:cs="Arial"/>
          <w:bCs/>
          <w:iCs/>
          <w:sz w:val="24"/>
          <w:szCs w:val="24"/>
          <w:lang w:val="en-GB"/>
        </w:rPr>
        <w:t>[18]</w:t>
      </w:r>
      <w:r w:rsidRPr="002E3A26">
        <w:rPr>
          <w:rFonts w:ascii="Arial" w:hAnsi="Arial" w:cs="Arial"/>
          <w:bCs/>
          <w:iCs/>
          <w:sz w:val="24"/>
          <w:szCs w:val="24"/>
          <w:lang w:val="en-GB"/>
        </w:rPr>
        <w:tab/>
        <w:t xml:space="preserve">Section 4(2)(b) (iii) and (iv) of the NCA provides that in any of the following arrangements, the parties are not dealing at arm’s length: </w:t>
      </w:r>
    </w:p>
    <w:p w14:paraId="5F7536D2" w14:textId="77777777" w:rsidR="00845BBF" w:rsidRPr="002E3A26" w:rsidRDefault="00845BBF" w:rsidP="00845BBF">
      <w:pPr>
        <w:spacing w:after="240" w:line="480" w:lineRule="auto"/>
        <w:ind w:left="720"/>
        <w:jc w:val="both"/>
        <w:rPr>
          <w:rFonts w:ascii="Arial" w:hAnsi="Arial" w:cs="Arial"/>
          <w:i/>
          <w:sz w:val="24"/>
          <w:szCs w:val="24"/>
          <w:lang w:val="en-GB"/>
        </w:rPr>
      </w:pPr>
      <w:r w:rsidRPr="002E3A26" w:rsidDel="001C44FE">
        <w:rPr>
          <w:rFonts w:ascii="Arial" w:hAnsi="Arial" w:cs="Arial"/>
          <w:sz w:val="24"/>
          <w:szCs w:val="24"/>
          <w:lang w:val="en-GB"/>
        </w:rPr>
        <w:t xml:space="preserve"> </w:t>
      </w:r>
      <w:r w:rsidRPr="002E3A26">
        <w:rPr>
          <w:rFonts w:ascii="Arial" w:hAnsi="Arial" w:cs="Arial"/>
          <w:i/>
          <w:sz w:val="24"/>
          <w:szCs w:val="24"/>
          <w:lang w:val="en-GB"/>
        </w:rPr>
        <w:t xml:space="preserve">“(iii) </w:t>
      </w:r>
      <w:r w:rsidRPr="002E3A26">
        <w:rPr>
          <w:rFonts w:ascii="Arial" w:hAnsi="Arial" w:cs="Arial"/>
          <w:i/>
          <w:iCs/>
          <w:sz w:val="24"/>
          <w:szCs w:val="24"/>
          <w:lang w:val="en-GB"/>
        </w:rPr>
        <w:t>A credit agreement between natural persons, who are on a familial</w:t>
      </w:r>
      <w:r w:rsidRPr="002E3A26">
        <w:rPr>
          <w:rFonts w:ascii="Arial" w:hAnsi="Arial" w:cs="Arial"/>
          <w:i/>
          <w:sz w:val="24"/>
          <w:szCs w:val="24"/>
          <w:lang w:val="en-GB"/>
        </w:rPr>
        <w:t xml:space="preserve"> </w:t>
      </w:r>
      <w:r w:rsidRPr="002E3A26">
        <w:rPr>
          <w:rFonts w:ascii="Arial" w:hAnsi="Arial" w:cs="Arial"/>
          <w:i/>
          <w:iCs/>
          <w:sz w:val="24"/>
          <w:szCs w:val="24"/>
          <w:lang w:val="en-GB"/>
        </w:rPr>
        <w:t>relationship and</w:t>
      </w:r>
      <w:r w:rsidRPr="002E3A26">
        <w:rPr>
          <w:rFonts w:ascii="Arial" w:hAnsi="Arial" w:cs="Arial"/>
          <w:i/>
          <w:sz w:val="24"/>
          <w:szCs w:val="24"/>
          <w:lang w:val="en-GB"/>
        </w:rPr>
        <w:t xml:space="preserve">- </w:t>
      </w:r>
    </w:p>
    <w:p w14:paraId="2EC50C4D" w14:textId="77777777" w:rsidR="00845BBF" w:rsidRPr="002E3A26" w:rsidRDefault="00845BBF" w:rsidP="006E7E5B">
      <w:pPr>
        <w:spacing w:after="240" w:line="480" w:lineRule="auto"/>
        <w:ind w:left="720" w:firstLine="720"/>
        <w:jc w:val="both"/>
        <w:rPr>
          <w:rFonts w:ascii="Arial" w:hAnsi="Arial" w:cs="Arial"/>
          <w:i/>
          <w:iCs/>
          <w:sz w:val="24"/>
          <w:szCs w:val="24"/>
          <w:lang w:val="en-GB"/>
        </w:rPr>
      </w:pPr>
      <w:r w:rsidRPr="002E3A26">
        <w:rPr>
          <w:rFonts w:ascii="Arial" w:hAnsi="Arial" w:cs="Arial"/>
          <w:i/>
          <w:sz w:val="24"/>
          <w:szCs w:val="24"/>
          <w:lang w:val="en-GB"/>
        </w:rPr>
        <w:t>(aa</w:t>
      </w:r>
      <w:r w:rsidRPr="002E3A26">
        <w:rPr>
          <w:rFonts w:ascii="Arial" w:hAnsi="Arial" w:cs="Arial"/>
          <w:i/>
          <w:iCs/>
          <w:sz w:val="24"/>
          <w:szCs w:val="24"/>
          <w:lang w:val="en-GB"/>
        </w:rPr>
        <w:t xml:space="preserve">) are co- dependent on each other; or </w:t>
      </w:r>
    </w:p>
    <w:p w14:paraId="5875C308" w14:textId="77777777" w:rsidR="00845BBF" w:rsidRPr="002E3A26" w:rsidRDefault="00845BBF" w:rsidP="006E7E5B">
      <w:pPr>
        <w:spacing w:after="240" w:line="480" w:lineRule="auto"/>
        <w:ind w:left="720" w:firstLine="720"/>
        <w:jc w:val="both"/>
        <w:rPr>
          <w:rFonts w:ascii="Arial" w:hAnsi="Arial" w:cs="Arial"/>
          <w:i/>
          <w:iCs/>
          <w:sz w:val="24"/>
          <w:szCs w:val="24"/>
          <w:lang w:val="en-GB"/>
        </w:rPr>
      </w:pPr>
      <w:r w:rsidRPr="002E3A26">
        <w:rPr>
          <w:rFonts w:ascii="Arial" w:hAnsi="Arial" w:cs="Arial"/>
          <w:i/>
          <w:sz w:val="24"/>
          <w:szCs w:val="24"/>
          <w:lang w:val="en-GB"/>
        </w:rPr>
        <w:t xml:space="preserve">(bb) </w:t>
      </w:r>
      <w:r w:rsidRPr="002E3A26">
        <w:rPr>
          <w:rFonts w:ascii="Arial" w:hAnsi="Arial" w:cs="Arial"/>
          <w:i/>
          <w:iCs/>
          <w:sz w:val="24"/>
          <w:szCs w:val="24"/>
          <w:lang w:val="en-GB"/>
        </w:rPr>
        <w:t>one is dependent on the other; and</w:t>
      </w:r>
    </w:p>
    <w:p w14:paraId="38C7FAAD" w14:textId="77777777" w:rsidR="00845BBF" w:rsidRPr="002E3A26" w:rsidRDefault="00845BBF" w:rsidP="00845BBF">
      <w:pPr>
        <w:spacing w:after="240" w:line="480" w:lineRule="auto"/>
        <w:ind w:firstLine="720"/>
        <w:jc w:val="both"/>
        <w:rPr>
          <w:rFonts w:ascii="Arial" w:hAnsi="Arial" w:cs="Arial"/>
          <w:i/>
          <w:iCs/>
          <w:sz w:val="24"/>
          <w:szCs w:val="24"/>
          <w:lang w:val="en-GB"/>
        </w:rPr>
      </w:pPr>
      <w:r w:rsidRPr="002E3A26">
        <w:rPr>
          <w:rFonts w:ascii="Arial" w:hAnsi="Arial" w:cs="Arial"/>
          <w:i/>
          <w:sz w:val="24"/>
          <w:szCs w:val="24"/>
          <w:lang w:val="en-GB"/>
        </w:rPr>
        <w:t>(iv</w:t>
      </w:r>
      <w:r w:rsidRPr="002E3A26">
        <w:rPr>
          <w:rFonts w:ascii="Arial" w:hAnsi="Arial" w:cs="Arial"/>
          <w:i/>
          <w:iCs/>
          <w:sz w:val="24"/>
          <w:szCs w:val="24"/>
          <w:lang w:val="en-GB"/>
        </w:rPr>
        <w:t>) any other agreement-</w:t>
      </w:r>
    </w:p>
    <w:p w14:paraId="6AE8807C" w14:textId="77777777" w:rsidR="00845BBF" w:rsidRPr="002E3A26" w:rsidRDefault="00845BBF" w:rsidP="006E7E5B">
      <w:pPr>
        <w:spacing w:after="240" w:line="480" w:lineRule="auto"/>
        <w:ind w:left="1440"/>
        <w:jc w:val="both"/>
        <w:rPr>
          <w:rFonts w:ascii="Arial" w:hAnsi="Arial" w:cs="Arial"/>
          <w:i/>
          <w:iCs/>
          <w:sz w:val="24"/>
          <w:szCs w:val="24"/>
          <w:lang w:val="en-GB"/>
        </w:rPr>
      </w:pPr>
      <w:r w:rsidRPr="002E3A26">
        <w:rPr>
          <w:rFonts w:ascii="Arial" w:hAnsi="Arial" w:cs="Arial"/>
          <w:i/>
          <w:sz w:val="24"/>
          <w:szCs w:val="24"/>
          <w:lang w:val="en-GB"/>
        </w:rPr>
        <w:t xml:space="preserve">(aa) </w:t>
      </w:r>
      <w:r w:rsidRPr="002E3A26">
        <w:rPr>
          <w:rFonts w:ascii="Arial" w:hAnsi="Arial" w:cs="Arial"/>
          <w:i/>
          <w:iCs/>
          <w:sz w:val="24"/>
          <w:szCs w:val="24"/>
          <w:lang w:val="en-GB"/>
        </w:rPr>
        <w:t>in which each party is not independent of the other and consequently does</w:t>
      </w:r>
      <w:r w:rsidRPr="002E3A26">
        <w:rPr>
          <w:rFonts w:ascii="Arial" w:hAnsi="Arial" w:cs="Arial"/>
          <w:i/>
          <w:sz w:val="24"/>
          <w:szCs w:val="24"/>
          <w:lang w:val="en-GB"/>
        </w:rPr>
        <w:t xml:space="preserve"> </w:t>
      </w:r>
      <w:r w:rsidRPr="002E3A26">
        <w:rPr>
          <w:rFonts w:ascii="Arial" w:hAnsi="Arial" w:cs="Arial"/>
          <w:i/>
          <w:iCs/>
          <w:sz w:val="24"/>
          <w:szCs w:val="24"/>
          <w:lang w:val="en-GB"/>
        </w:rPr>
        <w:t>not necessarily strive to obtain the outmost possible advantage out of the</w:t>
      </w:r>
      <w:r w:rsidRPr="002E3A26">
        <w:rPr>
          <w:rFonts w:ascii="Arial" w:hAnsi="Arial" w:cs="Arial"/>
          <w:i/>
          <w:sz w:val="24"/>
          <w:szCs w:val="24"/>
          <w:lang w:val="en-GB"/>
        </w:rPr>
        <w:t xml:space="preserve"> </w:t>
      </w:r>
      <w:r w:rsidRPr="002E3A26">
        <w:rPr>
          <w:rFonts w:ascii="Arial" w:hAnsi="Arial" w:cs="Arial"/>
          <w:i/>
          <w:iCs/>
          <w:sz w:val="24"/>
          <w:szCs w:val="24"/>
          <w:lang w:val="en-GB"/>
        </w:rPr>
        <w:t>transaction; or</w:t>
      </w:r>
    </w:p>
    <w:p w14:paraId="7495F361" w14:textId="77777777" w:rsidR="00845BBF" w:rsidRPr="002E3A26" w:rsidRDefault="00845BBF" w:rsidP="006E7E5B">
      <w:pPr>
        <w:spacing w:after="240" w:line="480" w:lineRule="auto"/>
        <w:ind w:left="1440"/>
        <w:jc w:val="both"/>
        <w:rPr>
          <w:rFonts w:ascii="Arial" w:hAnsi="Arial" w:cs="Arial"/>
          <w:i/>
          <w:sz w:val="24"/>
          <w:szCs w:val="24"/>
          <w:lang w:val="en-GB"/>
        </w:rPr>
      </w:pPr>
      <w:r w:rsidRPr="002E3A26">
        <w:rPr>
          <w:rFonts w:ascii="Arial" w:hAnsi="Arial" w:cs="Arial"/>
          <w:i/>
          <w:sz w:val="24"/>
          <w:szCs w:val="24"/>
          <w:lang w:val="en-GB"/>
        </w:rPr>
        <w:t>(bb) that is of a type that has been held in law to be between parties who are not dealing are not dealing at arm’s length;”</w:t>
      </w:r>
    </w:p>
    <w:p w14:paraId="37A6C474" w14:textId="77777777" w:rsidR="00845BBF" w:rsidRPr="002E3A26" w:rsidRDefault="00845BBF" w:rsidP="00845BBF">
      <w:pPr>
        <w:spacing w:after="240" w:line="480" w:lineRule="auto"/>
        <w:jc w:val="both"/>
        <w:rPr>
          <w:rFonts w:ascii="Arial" w:hAnsi="Arial" w:cs="Arial"/>
          <w:vanish/>
          <w:sz w:val="24"/>
          <w:szCs w:val="24"/>
          <w:lang w:val="en-GB"/>
        </w:rPr>
      </w:pPr>
    </w:p>
    <w:p w14:paraId="13CB657E" w14:textId="77777777" w:rsidR="00845BBF" w:rsidRPr="002E3A26" w:rsidRDefault="00845BBF" w:rsidP="00845BBF">
      <w:pPr>
        <w:spacing w:after="240" w:line="480" w:lineRule="auto"/>
        <w:jc w:val="both"/>
        <w:rPr>
          <w:rFonts w:ascii="Arial" w:hAnsi="Arial" w:cs="Arial"/>
          <w:vanish/>
          <w:sz w:val="24"/>
          <w:szCs w:val="24"/>
          <w:lang w:val="en-GB"/>
        </w:rPr>
      </w:pPr>
    </w:p>
    <w:p w14:paraId="7D0153F5" w14:textId="77777777" w:rsidR="00845BBF" w:rsidRPr="002E3A26" w:rsidRDefault="00845BBF" w:rsidP="00845BBF">
      <w:pPr>
        <w:spacing w:after="240" w:line="480" w:lineRule="auto"/>
        <w:jc w:val="both"/>
        <w:rPr>
          <w:rFonts w:ascii="Arial" w:hAnsi="Arial" w:cs="Arial"/>
          <w:vanish/>
          <w:sz w:val="24"/>
          <w:szCs w:val="24"/>
          <w:lang w:val="en-GB"/>
        </w:rPr>
      </w:pPr>
    </w:p>
    <w:p w14:paraId="36FEDF42" w14:textId="77777777" w:rsidR="00845BBF" w:rsidRPr="002E3A26" w:rsidRDefault="00845BBF" w:rsidP="00845BBF">
      <w:pPr>
        <w:spacing w:after="240" w:line="480" w:lineRule="auto"/>
        <w:jc w:val="both"/>
        <w:rPr>
          <w:rFonts w:ascii="Arial" w:hAnsi="Arial" w:cs="Arial"/>
          <w:vanish/>
          <w:sz w:val="24"/>
          <w:szCs w:val="24"/>
          <w:lang w:val="en-GB"/>
        </w:rPr>
      </w:pPr>
    </w:p>
    <w:p w14:paraId="6AC7A730" w14:textId="77777777" w:rsidR="00845BBF" w:rsidRPr="002E3A26" w:rsidRDefault="00845BBF" w:rsidP="00845BBF">
      <w:pPr>
        <w:spacing w:after="240" w:line="480" w:lineRule="auto"/>
        <w:jc w:val="both"/>
        <w:rPr>
          <w:rFonts w:ascii="Arial" w:hAnsi="Arial" w:cs="Arial"/>
          <w:vanish/>
          <w:sz w:val="24"/>
          <w:szCs w:val="24"/>
          <w:lang w:val="en-GB"/>
        </w:rPr>
      </w:pPr>
    </w:p>
    <w:p w14:paraId="0865CFD5" w14:textId="77777777" w:rsidR="00845BBF" w:rsidRPr="002E3A26" w:rsidRDefault="00845BBF" w:rsidP="00845BBF">
      <w:pPr>
        <w:spacing w:after="240" w:line="480" w:lineRule="auto"/>
        <w:jc w:val="both"/>
        <w:rPr>
          <w:rFonts w:ascii="Arial" w:hAnsi="Arial" w:cs="Arial"/>
          <w:vanish/>
          <w:sz w:val="24"/>
          <w:szCs w:val="24"/>
          <w:lang w:val="en-GB"/>
        </w:rPr>
      </w:pPr>
    </w:p>
    <w:p w14:paraId="44E2C75D" w14:textId="77777777" w:rsidR="00845BBF" w:rsidRPr="002E3A26" w:rsidRDefault="00845BBF" w:rsidP="00845BBF">
      <w:pPr>
        <w:spacing w:after="240" w:line="480" w:lineRule="auto"/>
        <w:jc w:val="both"/>
        <w:rPr>
          <w:rFonts w:ascii="Arial" w:hAnsi="Arial" w:cs="Arial"/>
          <w:vanish/>
          <w:sz w:val="24"/>
          <w:szCs w:val="24"/>
          <w:lang w:val="en-GB"/>
        </w:rPr>
      </w:pPr>
    </w:p>
    <w:p w14:paraId="4B072256" w14:textId="77777777" w:rsidR="00845BBF" w:rsidRPr="002E3A26" w:rsidRDefault="00845BBF" w:rsidP="00845BBF">
      <w:pPr>
        <w:spacing w:after="240" w:line="480" w:lineRule="auto"/>
        <w:jc w:val="both"/>
        <w:rPr>
          <w:rFonts w:ascii="Arial" w:hAnsi="Arial" w:cs="Arial"/>
          <w:vanish/>
          <w:sz w:val="24"/>
          <w:szCs w:val="24"/>
          <w:lang w:val="en-GB"/>
        </w:rPr>
      </w:pPr>
    </w:p>
    <w:p w14:paraId="6BBD1821" w14:textId="77777777" w:rsidR="00845BBF" w:rsidRPr="002E3A26" w:rsidRDefault="00845BBF" w:rsidP="00845BBF">
      <w:pPr>
        <w:spacing w:after="240" w:line="480" w:lineRule="auto"/>
        <w:jc w:val="both"/>
        <w:rPr>
          <w:rFonts w:ascii="Arial" w:hAnsi="Arial" w:cs="Arial"/>
          <w:vanish/>
          <w:sz w:val="24"/>
          <w:szCs w:val="24"/>
          <w:lang w:val="en-GB"/>
        </w:rPr>
      </w:pPr>
    </w:p>
    <w:p w14:paraId="5053907D" w14:textId="77777777" w:rsidR="00845BBF" w:rsidRPr="002E3A26" w:rsidRDefault="00845BBF" w:rsidP="00845BBF">
      <w:pPr>
        <w:spacing w:after="240" w:line="480" w:lineRule="auto"/>
        <w:jc w:val="both"/>
        <w:rPr>
          <w:rFonts w:ascii="Arial" w:hAnsi="Arial" w:cs="Arial"/>
          <w:vanish/>
          <w:sz w:val="24"/>
          <w:szCs w:val="24"/>
          <w:lang w:val="en-GB"/>
        </w:rPr>
      </w:pPr>
    </w:p>
    <w:p w14:paraId="30DAF7D5" w14:textId="77777777" w:rsidR="00845BBF" w:rsidRPr="002E3A26" w:rsidRDefault="00845BBF" w:rsidP="00845BBF">
      <w:pPr>
        <w:spacing w:after="240" w:line="480" w:lineRule="auto"/>
        <w:jc w:val="both"/>
        <w:rPr>
          <w:rFonts w:ascii="Arial" w:hAnsi="Arial" w:cs="Arial"/>
          <w:vanish/>
          <w:sz w:val="24"/>
          <w:szCs w:val="24"/>
          <w:lang w:val="en-GB"/>
        </w:rPr>
      </w:pPr>
    </w:p>
    <w:p w14:paraId="5B6279D9" w14:textId="77777777" w:rsidR="00845BBF" w:rsidRPr="002E3A26" w:rsidRDefault="00845BBF" w:rsidP="00845BBF">
      <w:pPr>
        <w:spacing w:after="240" w:line="480" w:lineRule="auto"/>
        <w:jc w:val="both"/>
        <w:rPr>
          <w:rFonts w:ascii="Arial" w:hAnsi="Arial" w:cs="Arial"/>
          <w:vanish/>
          <w:sz w:val="24"/>
          <w:szCs w:val="24"/>
          <w:lang w:val="en-GB"/>
        </w:rPr>
      </w:pPr>
    </w:p>
    <w:p w14:paraId="6BE96102" w14:textId="77777777" w:rsidR="00845BBF" w:rsidRPr="002E3A26" w:rsidRDefault="00845BBF" w:rsidP="00845BBF">
      <w:pPr>
        <w:spacing w:after="240" w:line="480" w:lineRule="auto"/>
        <w:jc w:val="both"/>
        <w:rPr>
          <w:rFonts w:ascii="Arial" w:hAnsi="Arial" w:cs="Arial"/>
          <w:vanish/>
          <w:sz w:val="24"/>
          <w:szCs w:val="24"/>
          <w:lang w:val="en-GB"/>
        </w:rPr>
      </w:pPr>
    </w:p>
    <w:p w14:paraId="733B6822" w14:textId="77777777" w:rsidR="00845BBF" w:rsidRPr="002E3A26" w:rsidRDefault="00845BBF" w:rsidP="00845BBF">
      <w:pPr>
        <w:spacing w:after="240" w:line="480" w:lineRule="auto"/>
        <w:jc w:val="both"/>
        <w:rPr>
          <w:rFonts w:ascii="Arial" w:hAnsi="Arial" w:cs="Arial"/>
          <w:vanish/>
          <w:sz w:val="24"/>
          <w:szCs w:val="24"/>
          <w:lang w:val="en-GB"/>
        </w:rPr>
      </w:pPr>
    </w:p>
    <w:p w14:paraId="4916DB75" w14:textId="77777777" w:rsidR="00845BBF" w:rsidRPr="002E3A26" w:rsidRDefault="00845BBF" w:rsidP="00845BBF">
      <w:pPr>
        <w:spacing w:after="240" w:line="480" w:lineRule="auto"/>
        <w:jc w:val="both"/>
        <w:rPr>
          <w:rFonts w:ascii="Arial" w:hAnsi="Arial" w:cs="Arial"/>
          <w:vanish/>
          <w:sz w:val="24"/>
          <w:szCs w:val="24"/>
          <w:lang w:val="en-GB"/>
        </w:rPr>
      </w:pPr>
    </w:p>
    <w:p w14:paraId="0CEE0221" w14:textId="77777777" w:rsidR="00845BBF" w:rsidRPr="002E3A26" w:rsidRDefault="00845BBF" w:rsidP="00845BBF">
      <w:pPr>
        <w:spacing w:after="240" w:line="480" w:lineRule="auto"/>
        <w:jc w:val="both"/>
        <w:rPr>
          <w:rFonts w:ascii="Arial" w:hAnsi="Arial" w:cs="Arial"/>
          <w:vanish/>
          <w:sz w:val="24"/>
          <w:szCs w:val="24"/>
          <w:lang w:val="en-GB"/>
        </w:rPr>
      </w:pPr>
    </w:p>
    <w:p w14:paraId="21D471AC" w14:textId="77777777" w:rsidR="00845BBF" w:rsidRPr="002E3A26" w:rsidRDefault="00845BBF" w:rsidP="00845BBF">
      <w:pPr>
        <w:spacing w:after="240" w:line="480" w:lineRule="auto"/>
        <w:jc w:val="both"/>
        <w:rPr>
          <w:rFonts w:ascii="Arial" w:hAnsi="Arial" w:cs="Arial"/>
          <w:vanish/>
          <w:sz w:val="24"/>
          <w:szCs w:val="24"/>
          <w:lang w:val="en-GB"/>
        </w:rPr>
      </w:pPr>
    </w:p>
    <w:p w14:paraId="6E19AA79" w14:textId="77777777" w:rsidR="00845BBF" w:rsidRPr="002E3A26" w:rsidRDefault="00845BBF" w:rsidP="00845BBF">
      <w:pPr>
        <w:spacing w:after="240" w:line="480" w:lineRule="auto"/>
        <w:jc w:val="both"/>
        <w:rPr>
          <w:rFonts w:ascii="Arial" w:hAnsi="Arial" w:cs="Arial"/>
          <w:vanish/>
          <w:sz w:val="24"/>
          <w:szCs w:val="24"/>
          <w:lang w:val="en-GB"/>
        </w:rPr>
      </w:pPr>
    </w:p>
    <w:p w14:paraId="69ADDFBD" w14:textId="77777777" w:rsidR="00845BBF" w:rsidRPr="002E3A26" w:rsidRDefault="00845BBF" w:rsidP="00845BBF">
      <w:pPr>
        <w:spacing w:after="240" w:line="480" w:lineRule="auto"/>
        <w:jc w:val="both"/>
        <w:rPr>
          <w:rFonts w:ascii="Arial" w:hAnsi="Arial" w:cs="Arial"/>
          <w:vanish/>
          <w:sz w:val="24"/>
          <w:szCs w:val="24"/>
          <w:lang w:val="en-GB"/>
        </w:rPr>
      </w:pPr>
    </w:p>
    <w:p w14:paraId="4E6D3232" w14:textId="77777777" w:rsidR="00845BBF" w:rsidRPr="002E3A26" w:rsidRDefault="00845BBF" w:rsidP="00845BBF">
      <w:pPr>
        <w:spacing w:after="240" w:line="480" w:lineRule="auto"/>
        <w:jc w:val="both"/>
        <w:rPr>
          <w:rFonts w:ascii="Arial" w:hAnsi="Arial" w:cs="Arial"/>
          <w:vanish/>
          <w:sz w:val="24"/>
          <w:szCs w:val="24"/>
          <w:lang w:val="en-GB"/>
        </w:rPr>
      </w:pPr>
    </w:p>
    <w:p w14:paraId="4E2B8E84" w14:textId="77777777" w:rsidR="00845BBF" w:rsidRPr="002E3A26" w:rsidRDefault="00845BBF" w:rsidP="00845BBF">
      <w:pPr>
        <w:spacing w:after="240" w:line="480" w:lineRule="auto"/>
        <w:jc w:val="both"/>
        <w:rPr>
          <w:rFonts w:ascii="Arial" w:hAnsi="Arial" w:cs="Arial"/>
          <w:vanish/>
          <w:sz w:val="24"/>
          <w:szCs w:val="24"/>
          <w:lang w:val="en-GB"/>
        </w:rPr>
      </w:pPr>
    </w:p>
    <w:p w14:paraId="78073C6F" w14:textId="77777777" w:rsidR="00845BBF" w:rsidRPr="002E3A26" w:rsidRDefault="00845BBF" w:rsidP="00845BBF">
      <w:pPr>
        <w:spacing w:after="240" w:line="480" w:lineRule="auto"/>
        <w:jc w:val="both"/>
        <w:rPr>
          <w:rFonts w:ascii="Arial" w:hAnsi="Arial" w:cs="Arial"/>
          <w:vanish/>
          <w:sz w:val="24"/>
          <w:szCs w:val="24"/>
          <w:lang w:val="en-GB"/>
        </w:rPr>
      </w:pPr>
    </w:p>
    <w:p w14:paraId="48A67066" w14:textId="77777777" w:rsidR="00845BBF" w:rsidRPr="002E3A26" w:rsidRDefault="00845BBF" w:rsidP="00845BBF">
      <w:pPr>
        <w:spacing w:after="240" w:line="480" w:lineRule="auto"/>
        <w:jc w:val="both"/>
        <w:rPr>
          <w:rFonts w:ascii="Arial" w:hAnsi="Arial" w:cs="Arial"/>
          <w:vanish/>
          <w:sz w:val="24"/>
          <w:szCs w:val="24"/>
          <w:lang w:val="en-GB"/>
        </w:rPr>
      </w:pPr>
    </w:p>
    <w:p w14:paraId="3432DF7C" w14:textId="77777777" w:rsidR="00845BBF" w:rsidRPr="002E3A26" w:rsidRDefault="00845BBF" w:rsidP="00845BBF">
      <w:pPr>
        <w:spacing w:after="240" w:line="480" w:lineRule="auto"/>
        <w:jc w:val="both"/>
        <w:rPr>
          <w:rFonts w:ascii="Arial" w:hAnsi="Arial" w:cs="Arial"/>
          <w:vanish/>
          <w:sz w:val="24"/>
          <w:szCs w:val="24"/>
          <w:lang w:val="en-GB"/>
        </w:rPr>
      </w:pPr>
    </w:p>
    <w:p w14:paraId="1EB45724" w14:textId="77777777" w:rsidR="00845BBF" w:rsidRPr="002E3A26" w:rsidRDefault="00845BBF" w:rsidP="00845BBF">
      <w:pPr>
        <w:spacing w:after="240" w:line="480" w:lineRule="auto"/>
        <w:jc w:val="both"/>
        <w:rPr>
          <w:rFonts w:ascii="Arial" w:hAnsi="Arial" w:cs="Arial"/>
          <w:vanish/>
          <w:sz w:val="24"/>
          <w:szCs w:val="24"/>
          <w:lang w:val="en-GB"/>
        </w:rPr>
      </w:pPr>
    </w:p>
    <w:p w14:paraId="077FB14F" w14:textId="77777777" w:rsidR="00845BBF" w:rsidRPr="002E3A26" w:rsidRDefault="00845BBF" w:rsidP="00845BBF">
      <w:pPr>
        <w:spacing w:after="240" w:line="480" w:lineRule="auto"/>
        <w:jc w:val="both"/>
        <w:rPr>
          <w:rFonts w:ascii="Arial" w:hAnsi="Arial" w:cs="Arial"/>
          <w:vanish/>
          <w:sz w:val="24"/>
          <w:szCs w:val="24"/>
          <w:lang w:val="en-GB"/>
        </w:rPr>
      </w:pPr>
    </w:p>
    <w:p w14:paraId="48C1E423" w14:textId="77777777" w:rsidR="00845BBF" w:rsidRPr="002E3A26" w:rsidRDefault="00845BBF" w:rsidP="00845BBF">
      <w:pPr>
        <w:spacing w:after="240" w:line="480" w:lineRule="auto"/>
        <w:jc w:val="both"/>
        <w:rPr>
          <w:rFonts w:ascii="Arial" w:hAnsi="Arial" w:cs="Arial"/>
          <w:vanish/>
          <w:sz w:val="24"/>
          <w:szCs w:val="24"/>
          <w:lang w:val="en-GB"/>
        </w:rPr>
      </w:pPr>
    </w:p>
    <w:p w14:paraId="5159F4A5" w14:textId="77777777" w:rsidR="00845BBF" w:rsidRPr="002E3A26" w:rsidRDefault="00845BBF" w:rsidP="00845BBF">
      <w:pPr>
        <w:spacing w:after="240" w:line="480" w:lineRule="auto"/>
        <w:jc w:val="both"/>
        <w:rPr>
          <w:rFonts w:ascii="Arial" w:hAnsi="Arial" w:cs="Arial"/>
          <w:vanish/>
          <w:sz w:val="24"/>
          <w:szCs w:val="24"/>
          <w:lang w:val="en-GB"/>
        </w:rPr>
      </w:pPr>
    </w:p>
    <w:p w14:paraId="030B474B" w14:textId="77777777" w:rsidR="00845BBF" w:rsidRPr="002E3A26" w:rsidRDefault="00845BBF" w:rsidP="00845BBF">
      <w:pPr>
        <w:spacing w:after="240" w:line="480" w:lineRule="auto"/>
        <w:jc w:val="both"/>
        <w:rPr>
          <w:rFonts w:ascii="Arial" w:hAnsi="Arial" w:cs="Arial"/>
          <w:vanish/>
          <w:sz w:val="24"/>
          <w:szCs w:val="24"/>
          <w:lang w:val="en-GB"/>
        </w:rPr>
      </w:pPr>
    </w:p>
    <w:p w14:paraId="62BACA8E" w14:textId="77777777" w:rsidR="00845BBF" w:rsidRPr="002E3A26" w:rsidRDefault="00845BBF" w:rsidP="00845BBF">
      <w:pPr>
        <w:spacing w:after="240" w:line="480" w:lineRule="auto"/>
        <w:jc w:val="both"/>
        <w:rPr>
          <w:rFonts w:ascii="Arial" w:hAnsi="Arial" w:cs="Arial"/>
          <w:vanish/>
          <w:sz w:val="24"/>
          <w:szCs w:val="24"/>
          <w:lang w:val="en-GB"/>
        </w:rPr>
      </w:pPr>
    </w:p>
    <w:p w14:paraId="32F9A047" w14:textId="373DCA7A" w:rsidR="00845BBF" w:rsidRPr="002E3A26" w:rsidRDefault="00845BBF" w:rsidP="00845BBF">
      <w:pPr>
        <w:spacing w:after="240" w:line="480" w:lineRule="auto"/>
        <w:jc w:val="both"/>
        <w:rPr>
          <w:rFonts w:ascii="Arial" w:hAnsi="Arial" w:cs="Arial"/>
          <w:sz w:val="24"/>
          <w:szCs w:val="24"/>
          <w:lang w:val="en-GB"/>
        </w:rPr>
      </w:pPr>
      <w:r w:rsidRPr="002E3A26">
        <w:rPr>
          <w:rFonts w:ascii="Arial" w:hAnsi="Arial" w:cs="Arial"/>
          <w:sz w:val="24"/>
          <w:szCs w:val="24"/>
          <w:lang w:val="en-GB"/>
        </w:rPr>
        <w:t xml:space="preserve">[19] </w:t>
      </w:r>
      <w:r w:rsidR="00E4234F">
        <w:rPr>
          <w:rFonts w:ascii="Arial" w:hAnsi="Arial" w:cs="Arial"/>
          <w:sz w:val="24"/>
          <w:szCs w:val="24"/>
          <w:lang w:val="en-GB"/>
        </w:rPr>
        <w:t>Section 4(2)(b)(iv) consists of two parts, section 4(2)(</w:t>
      </w:r>
      <w:r w:rsidR="006315C9">
        <w:rPr>
          <w:rFonts w:ascii="Arial" w:hAnsi="Arial" w:cs="Arial"/>
          <w:sz w:val="24"/>
          <w:szCs w:val="24"/>
          <w:lang w:val="en-GB"/>
        </w:rPr>
        <w:t>b)(</w:t>
      </w:r>
      <w:r w:rsidR="00E4234F">
        <w:rPr>
          <w:rFonts w:ascii="Arial" w:hAnsi="Arial" w:cs="Arial"/>
          <w:sz w:val="24"/>
          <w:szCs w:val="24"/>
          <w:lang w:val="en-GB"/>
        </w:rPr>
        <w:t xml:space="preserve">iv(aa) and (bb). </w:t>
      </w:r>
      <w:r w:rsidRPr="002E3A26">
        <w:rPr>
          <w:rFonts w:ascii="Arial" w:hAnsi="Arial" w:cs="Arial"/>
          <w:sz w:val="24"/>
          <w:szCs w:val="24"/>
          <w:lang w:val="en-GB"/>
        </w:rPr>
        <w:t xml:space="preserve">Although the NCA does not define “dealing at arm’s length”, it is apparent that the Legislature intended that credit agreements between natural persons who are (a) in a familial relationship, and who are co- dependent on each other or where the one is dependent </w:t>
      </w:r>
      <w:r w:rsidRPr="002E3A26">
        <w:rPr>
          <w:rFonts w:ascii="Arial" w:hAnsi="Arial" w:cs="Arial"/>
          <w:sz w:val="24"/>
          <w:szCs w:val="24"/>
          <w:lang w:val="en-GB"/>
        </w:rPr>
        <w:lastRenderedPageBreak/>
        <w:t>upon the other, and (b) any agreement where each party is not independent o</w:t>
      </w:r>
      <w:r w:rsidR="00CA7AB8">
        <w:rPr>
          <w:rFonts w:ascii="Arial" w:hAnsi="Arial" w:cs="Arial"/>
          <w:sz w:val="24"/>
          <w:szCs w:val="24"/>
          <w:lang w:val="en-GB"/>
        </w:rPr>
        <w:t>f</w:t>
      </w:r>
      <w:r w:rsidRPr="002E3A26">
        <w:rPr>
          <w:rFonts w:ascii="Arial" w:hAnsi="Arial" w:cs="Arial"/>
          <w:sz w:val="24"/>
          <w:szCs w:val="24"/>
          <w:lang w:val="en-GB"/>
        </w:rPr>
        <w:t xml:space="preserve"> the other and does not strive to obtain the utmost advantage out of the transaction, are </w:t>
      </w:r>
      <w:r>
        <w:rPr>
          <w:rFonts w:ascii="Arial" w:hAnsi="Arial" w:cs="Arial"/>
          <w:sz w:val="24"/>
          <w:szCs w:val="24"/>
          <w:lang w:val="en-GB"/>
        </w:rPr>
        <w:t xml:space="preserve">not </w:t>
      </w:r>
      <w:r w:rsidRPr="002E3A26">
        <w:rPr>
          <w:rFonts w:ascii="Arial" w:hAnsi="Arial" w:cs="Arial"/>
          <w:sz w:val="24"/>
          <w:szCs w:val="24"/>
          <w:lang w:val="en-GB"/>
        </w:rPr>
        <w:t xml:space="preserve">within arm’s length and thus not susceptible to the provisions of the NCA. In this regard the </w:t>
      </w:r>
      <w:r w:rsidR="007A194E">
        <w:rPr>
          <w:rFonts w:ascii="Arial" w:hAnsi="Arial" w:cs="Arial"/>
          <w:sz w:val="24"/>
          <w:szCs w:val="24"/>
          <w:lang w:val="en-GB"/>
        </w:rPr>
        <w:t>dictum in</w:t>
      </w:r>
      <w:r w:rsidRPr="002E3A26">
        <w:rPr>
          <w:rFonts w:ascii="Arial" w:hAnsi="Arial" w:cs="Arial"/>
          <w:sz w:val="24"/>
          <w:szCs w:val="24"/>
          <w:lang w:val="en-GB"/>
        </w:rPr>
        <w:t xml:space="preserve"> </w:t>
      </w:r>
      <w:r w:rsidRPr="002E3A26">
        <w:rPr>
          <w:rFonts w:ascii="Arial" w:hAnsi="Arial" w:cs="Arial"/>
          <w:i/>
          <w:sz w:val="24"/>
          <w:szCs w:val="24"/>
          <w:lang w:val="en-GB"/>
        </w:rPr>
        <w:t>Hicklin v Secretary for Inland Revenue</w:t>
      </w:r>
      <w:r w:rsidRPr="002E3A26">
        <w:rPr>
          <w:rFonts w:ascii="Arial" w:hAnsi="Arial" w:cs="Arial"/>
          <w:sz w:val="24"/>
          <w:szCs w:val="24"/>
          <w:lang w:val="en-GB"/>
        </w:rPr>
        <w:t>,</w:t>
      </w:r>
      <w:r w:rsidRPr="002E3A26">
        <w:rPr>
          <w:rStyle w:val="FootnoteReference"/>
          <w:rFonts w:ascii="Arial" w:hAnsi="Arial" w:cs="Arial"/>
          <w:sz w:val="24"/>
          <w:szCs w:val="24"/>
          <w:lang w:val="en-GB"/>
        </w:rPr>
        <w:footnoteReference w:id="7"/>
      </w:r>
      <w:r w:rsidRPr="002E3A26">
        <w:rPr>
          <w:rFonts w:ascii="Arial" w:hAnsi="Arial" w:cs="Arial"/>
          <w:sz w:val="24"/>
          <w:szCs w:val="24"/>
          <w:lang w:val="en-GB"/>
        </w:rPr>
        <w:t xml:space="preserve"> is instructive. Trollip JA stated:</w:t>
      </w:r>
    </w:p>
    <w:p w14:paraId="2D86837C" w14:textId="77777777" w:rsidR="00845BBF" w:rsidRPr="002E3A26" w:rsidRDefault="00845BBF" w:rsidP="00845BBF">
      <w:pPr>
        <w:spacing w:after="240" w:line="480" w:lineRule="auto"/>
        <w:ind w:left="720"/>
        <w:jc w:val="both"/>
        <w:rPr>
          <w:rFonts w:ascii="Arial" w:hAnsi="Arial" w:cs="Arial"/>
          <w:i/>
          <w:sz w:val="24"/>
          <w:szCs w:val="24"/>
          <w:lang w:val="en-GB"/>
        </w:rPr>
      </w:pPr>
      <w:r>
        <w:rPr>
          <w:rFonts w:ascii="Arial" w:hAnsi="Arial" w:cs="Arial"/>
          <w:i/>
          <w:sz w:val="24"/>
          <w:szCs w:val="24"/>
          <w:lang w:val="en-GB"/>
        </w:rPr>
        <w:t>“</w:t>
      </w:r>
      <w:r w:rsidRPr="002E3A26">
        <w:rPr>
          <w:rFonts w:ascii="Arial" w:hAnsi="Arial" w:cs="Arial"/>
          <w:i/>
          <w:sz w:val="24"/>
          <w:szCs w:val="24"/>
          <w:lang w:val="en-GB"/>
        </w:rPr>
        <w:t xml:space="preserve">For </w:t>
      </w:r>
      <w:r>
        <w:rPr>
          <w:rFonts w:ascii="Arial" w:hAnsi="Arial" w:cs="Arial"/>
          <w:i/>
          <w:sz w:val="24"/>
          <w:szCs w:val="24"/>
          <w:lang w:val="en-GB"/>
        </w:rPr>
        <w:t>‘</w:t>
      </w:r>
      <w:r w:rsidRPr="002E3A26">
        <w:rPr>
          <w:rFonts w:ascii="Arial" w:hAnsi="Arial" w:cs="Arial"/>
          <w:i/>
          <w:sz w:val="24"/>
          <w:szCs w:val="24"/>
          <w:lang w:val="en-GB"/>
        </w:rPr>
        <w:t>dealing at arm's length</w:t>
      </w:r>
      <w:r>
        <w:rPr>
          <w:rFonts w:ascii="Arial" w:hAnsi="Arial" w:cs="Arial"/>
          <w:i/>
          <w:sz w:val="24"/>
          <w:szCs w:val="24"/>
          <w:lang w:val="en-GB"/>
        </w:rPr>
        <w:t>’ is</w:t>
      </w:r>
      <w:r w:rsidRPr="002E3A26">
        <w:rPr>
          <w:rFonts w:ascii="Arial" w:hAnsi="Arial" w:cs="Arial"/>
          <w:i/>
          <w:sz w:val="24"/>
          <w:szCs w:val="24"/>
          <w:lang w:val="en-GB"/>
        </w:rPr>
        <w:t xml:space="preserve"> a useful and often easily determinable premise from which to start the inquiry. It connotes that each party is independent of the other and, in so dealing, will strive to get the utmost possible advantage out of the transaction for himself. Indeed, in the Afrikaans text the corresponding phrase is "die uiterste voorwaardes beding".</w:t>
      </w:r>
    </w:p>
    <w:p w14:paraId="1C6EEEA9" w14:textId="088BCA6B" w:rsidR="00845BBF" w:rsidRPr="002E3A26" w:rsidRDefault="00845BBF" w:rsidP="00845BBF">
      <w:pPr>
        <w:spacing w:after="240" w:line="480" w:lineRule="auto"/>
        <w:jc w:val="both"/>
        <w:rPr>
          <w:rFonts w:ascii="Arial" w:hAnsi="Arial" w:cs="Arial"/>
          <w:sz w:val="24"/>
          <w:szCs w:val="24"/>
          <w:lang w:val="en-GB"/>
        </w:rPr>
      </w:pPr>
      <w:r w:rsidRPr="002E3A26" w:rsidDel="00D23435">
        <w:rPr>
          <w:rFonts w:ascii="Arial" w:hAnsi="Arial" w:cs="Arial"/>
          <w:sz w:val="24"/>
          <w:szCs w:val="24"/>
          <w:lang w:val="en-GB"/>
        </w:rPr>
        <w:t xml:space="preserve"> </w:t>
      </w:r>
      <w:r w:rsidR="006245CE">
        <w:rPr>
          <w:rFonts w:ascii="Arial" w:hAnsi="Arial" w:cs="Arial"/>
          <w:bCs/>
          <w:sz w:val="24"/>
          <w:szCs w:val="24"/>
          <w:lang w:val="en-GB"/>
        </w:rPr>
        <w:t>[20</w:t>
      </w:r>
      <w:r w:rsidRPr="002E3A26">
        <w:rPr>
          <w:rFonts w:ascii="Arial" w:hAnsi="Arial" w:cs="Arial"/>
          <w:bCs/>
          <w:sz w:val="24"/>
          <w:szCs w:val="24"/>
          <w:lang w:val="en-GB"/>
        </w:rPr>
        <w:t>]</w:t>
      </w:r>
      <w:r w:rsidRPr="002E3A26">
        <w:rPr>
          <w:rFonts w:ascii="Arial" w:hAnsi="Arial" w:cs="Arial"/>
          <w:bCs/>
          <w:sz w:val="24"/>
          <w:szCs w:val="24"/>
          <w:lang w:val="en-GB"/>
        </w:rPr>
        <w:tab/>
      </w:r>
      <w:r>
        <w:rPr>
          <w:rFonts w:ascii="Arial" w:hAnsi="Arial" w:cs="Arial"/>
          <w:bCs/>
          <w:sz w:val="24"/>
          <w:szCs w:val="24"/>
          <w:lang w:val="en-GB"/>
        </w:rPr>
        <w:t>As far as the term “familial relationship” is concerned, there is also no definition found in the NCA.</w:t>
      </w:r>
      <w:r w:rsidRPr="002E3A26">
        <w:rPr>
          <w:rFonts w:ascii="Arial" w:hAnsi="Arial" w:cs="Arial"/>
          <w:bCs/>
          <w:sz w:val="24"/>
          <w:szCs w:val="24"/>
          <w:lang w:val="en-GB"/>
        </w:rPr>
        <w:t xml:space="preserve">  This being so, it is useful to have regard to other legislation containing similar provisions. </w:t>
      </w:r>
      <w:r>
        <w:rPr>
          <w:rFonts w:ascii="Arial" w:hAnsi="Arial" w:cs="Arial"/>
          <w:bCs/>
          <w:sz w:val="24"/>
          <w:szCs w:val="24"/>
          <w:lang w:val="en-GB"/>
        </w:rPr>
        <w:t>S</w:t>
      </w:r>
      <w:r w:rsidRPr="002E3A26">
        <w:rPr>
          <w:rFonts w:ascii="Arial" w:hAnsi="Arial" w:cs="Arial"/>
          <w:sz w:val="24"/>
          <w:szCs w:val="24"/>
          <w:lang w:val="en-GB"/>
        </w:rPr>
        <w:t>ection 2(1) of the Companies Act</w:t>
      </w:r>
      <w:r w:rsidRPr="002E3A26">
        <w:rPr>
          <w:rStyle w:val="FootnoteReference"/>
          <w:rFonts w:ascii="Arial" w:hAnsi="Arial" w:cs="Arial"/>
          <w:sz w:val="24"/>
          <w:szCs w:val="24"/>
          <w:lang w:val="en-GB"/>
        </w:rPr>
        <w:footnoteReference w:id="8"/>
      </w:r>
      <w:r w:rsidRPr="002E3A26">
        <w:rPr>
          <w:rFonts w:ascii="Arial" w:hAnsi="Arial" w:cs="Arial"/>
          <w:sz w:val="24"/>
          <w:szCs w:val="24"/>
          <w:lang w:val="en-GB"/>
        </w:rPr>
        <w:t xml:space="preserve"> provides:</w:t>
      </w:r>
    </w:p>
    <w:p w14:paraId="66C68F3A" w14:textId="77777777" w:rsidR="00845BBF" w:rsidRPr="002E3A26" w:rsidRDefault="00845BBF" w:rsidP="00845BBF">
      <w:pPr>
        <w:spacing w:after="240" w:line="480" w:lineRule="auto"/>
        <w:ind w:left="720"/>
        <w:jc w:val="both"/>
        <w:rPr>
          <w:rFonts w:ascii="Arial" w:hAnsi="Arial" w:cs="Arial"/>
          <w:i/>
          <w:sz w:val="24"/>
          <w:szCs w:val="24"/>
          <w:lang w:val="en-GB"/>
        </w:rPr>
      </w:pPr>
      <w:r>
        <w:rPr>
          <w:rFonts w:ascii="Arial" w:hAnsi="Arial" w:cs="Arial"/>
          <w:sz w:val="24"/>
          <w:szCs w:val="24"/>
          <w:lang w:val="en-GB"/>
        </w:rPr>
        <w:t>“</w:t>
      </w:r>
      <w:r w:rsidRPr="002E3A26">
        <w:rPr>
          <w:rFonts w:ascii="Arial" w:hAnsi="Arial" w:cs="Arial"/>
          <w:sz w:val="24"/>
          <w:szCs w:val="24"/>
          <w:lang w:val="en-GB"/>
        </w:rPr>
        <w:t>(</w:t>
      </w:r>
      <w:r w:rsidRPr="002E3A26">
        <w:rPr>
          <w:rFonts w:ascii="Arial" w:hAnsi="Arial" w:cs="Arial"/>
          <w:i/>
          <w:sz w:val="24"/>
          <w:szCs w:val="24"/>
          <w:lang w:val="en-GB"/>
        </w:rPr>
        <w:t>1) For all purposes of this Act— (a) an individual is related to another individual if they—</w:t>
      </w:r>
    </w:p>
    <w:p w14:paraId="6A7188FF" w14:textId="1D0BB7DF" w:rsidR="00845BBF" w:rsidRPr="002E3A26" w:rsidRDefault="00845BBF" w:rsidP="00845BBF">
      <w:pPr>
        <w:spacing w:after="240" w:line="480" w:lineRule="auto"/>
        <w:ind w:firstLine="720"/>
        <w:jc w:val="both"/>
        <w:rPr>
          <w:rFonts w:ascii="Arial" w:hAnsi="Arial" w:cs="Arial"/>
          <w:i/>
          <w:sz w:val="24"/>
          <w:szCs w:val="24"/>
          <w:lang w:val="en-GB"/>
        </w:rPr>
      </w:pPr>
      <w:r w:rsidRPr="002E3A26">
        <w:rPr>
          <w:rFonts w:ascii="Arial" w:hAnsi="Arial" w:cs="Arial"/>
          <w:i/>
          <w:sz w:val="24"/>
          <w:szCs w:val="24"/>
          <w:lang w:val="en-GB"/>
        </w:rPr>
        <w:t xml:space="preserve"> </w:t>
      </w:r>
      <w:r w:rsidR="0078222A">
        <w:rPr>
          <w:rFonts w:ascii="Arial" w:hAnsi="Arial" w:cs="Arial"/>
          <w:i/>
          <w:sz w:val="24"/>
          <w:szCs w:val="24"/>
          <w:lang w:val="en-GB"/>
        </w:rPr>
        <w:tab/>
      </w:r>
      <w:r w:rsidRPr="002E3A26">
        <w:rPr>
          <w:rFonts w:ascii="Arial" w:hAnsi="Arial" w:cs="Arial"/>
          <w:i/>
          <w:sz w:val="24"/>
          <w:szCs w:val="24"/>
          <w:lang w:val="en-GB"/>
        </w:rPr>
        <w:t>(i) are married, or live together in a relationship similar to marriage; or</w:t>
      </w:r>
    </w:p>
    <w:p w14:paraId="20A1922E" w14:textId="3B2801A5" w:rsidR="00845BBF" w:rsidRPr="002E3A26" w:rsidRDefault="00845BBF" w:rsidP="0078222A">
      <w:pPr>
        <w:spacing w:after="240" w:line="480" w:lineRule="auto"/>
        <w:ind w:left="1440"/>
        <w:jc w:val="both"/>
        <w:rPr>
          <w:rFonts w:ascii="Arial" w:hAnsi="Arial" w:cs="Arial"/>
          <w:bCs/>
          <w:i/>
          <w:sz w:val="24"/>
          <w:szCs w:val="24"/>
          <w:lang w:val="en-GB"/>
        </w:rPr>
      </w:pPr>
      <w:r w:rsidRPr="002E3A26">
        <w:rPr>
          <w:rFonts w:ascii="Arial" w:hAnsi="Arial" w:cs="Arial"/>
          <w:i/>
          <w:sz w:val="24"/>
          <w:szCs w:val="24"/>
          <w:lang w:val="en-GB"/>
        </w:rPr>
        <w:t xml:space="preserve"> (ii) are separated by no more than two degrees of natural or adopted consanguinity of affinity.</w:t>
      </w:r>
      <w:r>
        <w:rPr>
          <w:rFonts w:ascii="Arial" w:hAnsi="Arial" w:cs="Arial"/>
          <w:i/>
          <w:sz w:val="24"/>
          <w:szCs w:val="24"/>
          <w:lang w:val="en-GB"/>
        </w:rPr>
        <w:t>”</w:t>
      </w:r>
    </w:p>
    <w:p w14:paraId="7171A5A1" w14:textId="4CF80208" w:rsidR="00845BBF" w:rsidRPr="002E3A26" w:rsidRDefault="006245CE" w:rsidP="00845BBF">
      <w:pPr>
        <w:spacing w:after="240" w:line="480" w:lineRule="auto"/>
        <w:jc w:val="both"/>
        <w:rPr>
          <w:rFonts w:ascii="Arial" w:hAnsi="Arial" w:cs="Arial"/>
          <w:sz w:val="24"/>
          <w:szCs w:val="24"/>
          <w:lang w:val="en-GB"/>
        </w:rPr>
      </w:pPr>
      <w:r>
        <w:rPr>
          <w:rFonts w:ascii="Arial" w:hAnsi="Arial" w:cs="Arial"/>
          <w:sz w:val="24"/>
          <w:szCs w:val="24"/>
          <w:lang w:val="en-GB"/>
        </w:rPr>
        <w:t>[21</w:t>
      </w:r>
      <w:r w:rsidR="00845BBF" w:rsidRPr="002E3A26">
        <w:rPr>
          <w:rFonts w:ascii="Arial" w:hAnsi="Arial" w:cs="Arial"/>
          <w:sz w:val="24"/>
          <w:szCs w:val="24"/>
          <w:lang w:val="en-GB"/>
        </w:rPr>
        <w:t>] Section 1 of the Income Tax</w:t>
      </w:r>
      <w:r w:rsidR="00F4604A">
        <w:rPr>
          <w:rFonts w:ascii="Arial" w:hAnsi="Arial" w:cs="Arial"/>
          <w:sz w:val="24"/>
          <w:szCs w:val="24"/>
          <w:lang w:val="en-GB"/>
        </w:rPr>
        <w:t xml:space="preserve"> Act</w:t>
      </w:r>
      <w:r w:rsidR="00845BBF">
        <w:rPr>
          <w:rStyle w:val="FootnoteReference"/>
          <w:rFonts w:ascii="Arial" w:hAnsi="Arial" w:cs="Arial"/>
          <w:sz w:val="24"/>
          <w:szCs w:val="24"/>
          <w:lang w:val="en-GB"/>
        </w:rPr>
        <w:footnoteReference w:id="9"/>
      </w:r>
      <w:r w:rsidR="00845BBF" w:rsidRPr="002E3A26">
        <w:rPr>
          <w:rFonts w:ascii="Arial" w:hAnsi="Arial" w:cs="Arial"/>
          <w:sz w:val="24"/>
          <w:szCs w:val="24"/>
          <w:lang w:val="en-GB"/>
        </w:rPr>
        <w:t xml:space="preserve"> is also of assistance. It contains a definition of "connected persons", which means:</w:t>
      </w:r>
    </w:p>
    <w:p w14:paraId="2FEC1729" w14:textId="77777777" w:rsidR="00845BBF" w:rsidRDefault="00845BBF" w:rsidP="00845BBF">
      <w:pPr>
        <w:spacing w:after="240" w:line="480" w:lineRule="auto"/>
        <w:ind w:left="720"/>
        <w:jc w:val="both"/>
        <w:rPr>
          <w:rFonts w:ascii="Arial" w:hAnsi="Arial" w:cs="Arial"/>
          <w:i/>
          <w:sz w:val="24"/>
          <w:szCs w:val="24"/>
          <w:lang w:val="en-GB"/>
        </w:rPr>
      </w:pPr>
      <w:r w:rsidRPr="002E3A26">
        <w:rPr>
          <w:rFonts w:ascii="Arial" w:hAnsi="Arial" w:cs="Arial"/>
          <w:i/>
          <w:sz w:val="24"/>
          <w:szCs w:val="24"/>
          <w:lang w:val="en-GB"/>
        </w:rPr>
        <w:lastRenderedPageBreak/>
        <w:t>“(a) ln relation to a natural person—</w:t>
      </w:r>
    </w:p>
    <w:p w14:paraId="0F415B89" w14:textId="77777777" w:rsidR="00845BBF" w:rsidRPr="002E3A26" w:rsidRDefault="00845BBF" w:rsidP="00845BBF">
      <w:pPr>
        <w:pStyle w:val="ListParagraph"/>
        <w:numPr>
          <w:ilvl w:val="0"/>
          <w:numId w:val="2"/>
        </w:numPr>
        <w:spacing w:after="240" w:line="480" w:lineRule="auto"/>
        <w:jc w:val="both"/>
        <w:rPr>
          <w:rFonts w:ascii="Arial" w:hAnsi="Arial" w:cs="Arial"/>
          <w:i/>
          <w:sz w:val="24"/>
          <w:szCs w:val="24"/>
          <w:lang w:val="en-GB"/>
        </w:rPr>
      </w:pPr>
      <w:r w:rsidRPr="002E3A26">
        <w:rPr>
          <w:rFonts w:ascii="Arial" w:hAnsi="Arial" w:cs="Arial"/>
          <w:i/>
          <w:sz w:val="24"/>
          <w:szCs w:val="24"/>
          <w:lang w:val="en-GB"/>
        </w:rPr>
        <w:t>Any relative; and</w:t>
      </w:r>
    </w:p>
    <w:p w14:paraId="59614FDD" w14:textId="77777777" w:rsidR="00845BBF" w:rsidRPr="002E3A26" w:rsidRDefault="00845BBF" w:rsidP="00845BBF">
      <w:pPr>
        <w:pStyle w:val="ListParagraph"/>
        <w:numPr>
          <w:ilvl w:val="0"/>
          <w:numId w:val="2"/>
        </w:numPr>
        <w:spacing w:after="240" w:line="480" w:lineRule="auto"/>
        <w:jc w:val="both"/>
        <w:rPr>
          <w:rFonts w:ascii="Arial" w:hAnsi="Arial" w:cs="Arial"/>
          <w:i/>
          <w:sz w:val="24"/>
          <w:szCs w:val="24"/>
          <w:lang w:val="en-GB"/>
        </w:rPr>
      </w:pPr>
      <w:r w:rsidRPr="002E3A26">
        <w:rPr>
          <w:rFonts w:ascii="Arial" w:hAnsi="Arial" w:cs="Arial"/>
          <w:i/>
          <w:sz w:val="24"/>
          <w:szCs w:val="24"/>
          <w:lang w:val="en-GB"/>
        </w:rPr>
        <w:t xml:space="preserve"> Any trust (other than a portfolio of a collective investment scheme in securities or a portfolio of a collective investment scheme in property) of which such natural person or such relative is a beneficiary.</w:t>
      </w:r>
    </w:p>
    <w:p w14:paraId="0541BADD" w14:textId="0B0493A6" w:rsidR="00845BBF" w:rsidRPr="002E3A26" w:rsidRDefault="006245CE" w:rsidP="00845BBF">
      <w:pPr>
        <w:spacing w:after="240" w:line="480" w:lineRule="auto"/>
        <w:jc w:val="both"/>
        <w:rPr>
          <w:rFonts w:ascii="Arial" w:hAnsi="Arial" w:cs="Arial"/>
          <w:sz w:val="24"/>
          <w:szCs w:val="24"/>
          <w:lang w:val="en-GB"/>
        </w:rPr>
      </w:pPr>
      <w:r>
        <w:rPr>
          <w:rFonts w:ascii="Arial" w:hAnsi="Arial" w:cs="Arial"/>
          <w:sz w:val="24"/>
          <w:szCs w:val="24"/>
          <w:lang w:val="en-GB"/>
        </w:rPr>
        <w:t>[22</w:t>
      </w:r>
      <w:r w:rsidR="00845BBF" w:rsidRPr="002E3A26">
        <w:rPr>
          <w:rFonts w:ascii="Arial" w:hAnsi="Arial" w:cs="Arial"/>
          <w:sz w:val="24"/>
          <w:szCs w:val="24"/>
          <w:lang w:val="en-GB"/>
        </w:rPr>
        <w:t>] A "relative" is defined in the Income Tax Act as:</w:t>
      </w:r>
    </w:p>
    <w:p w14:paraId="45AA6123" w14:textId="77777777" w:rsidR="00845BBF" w:rsidRPr="002E3A26" w:rsidRDefault="00845BBF" w:rsidP="00845BBF">
      <w:pPr>
        <w:spacing w:after="240" w:line="480" w:lineRule="auto"/>
        <w:ind w:left="720"/>
        <w:jc w:val="both"/>
        <w:rPr>
          <w:rFonts w:ascii="Arial" w:hAnsi="Arial" w:cs="Arial"/>
          <w:i/>
          <w:sz w:val="24"/>
          <w:szCs w:val="24"/>
          <w:lang w:val="en-GB"/>
        </w:rPr>
      </w:pPr>
      <w:r w:rsidRPr="002E3A26">
        <w:rPr>
          <w:rFonts w:ascii="Arial" w:hAnsi="Arial" w:cs="Arial"/>
          <w:i/>
          <w:sz w:val="24"/>
          <w:szCs w:val="24"/>
          <w:lang w:val="en-GB"/>
        </w:rPr>
        <w:t>“</w:t>
      </w:r>
      <w:r>
        <w:rPr>
          <w:rFonts w:ascii="Arial" w:hAnsi="Arial" w:cs="Arial"/>
          <w:i/>
          <w:sz w:val="24"/>
          <w:szCs w:val="24"/>
          <w:lang w:val="en-GB"/>
        </w:rPr>
        <w:t>I</w:t>
      </w:r>
      <w:r w:rsidRPr="002E3A26">
        <w:rPr>
          <w:rFonts w:ascii="Arial" w:hAnsi="Arial" w:cs="Arial"/>
          <w:i/>
          <w:sz w:val="24"/>
          <w:szCs w:val="24"/>
          <w:lang w:val="en-GB"/>
        </w:rPr>
        <w:t>n relation to any person, means the spouse of that person or anybody related to that person or that person's spouse within the third degree of consanguinity, or any spouse of anybody so related, and for the purpose of determining the relationship between any child referred to in the definition of 'child' in this section and any other person, that child shall be deemed to be related to the adoptive parent of that child within the first degree of consanguinity.</w:t>
      </w:r>
      <w:r>
        <w:rPr>
          <w:rFonts w:ascii="Arial" w:hAnsi="Arial" w:cs="Arial"/>
          <w:i/>
          <w:sz w:val="24"/>
          <w:szCs w:val="24"/>
          <w:lang w:val="en-GB"/>
        </w:rPr>
        <w:t>”</w:t>
      </w:r>
      <w:r w:rsidRPr="002E3A26">
        <w:rPr>
          <w:rFonts w:ascii="Arial" w:hAnsi="Arial" w:cs="Arial"/>
          <w:i/>
          <w:sz w:val="24"/>
          <w:szCs w:val="24"/>
          <w:lang w:val="en-GB"/>
        </w:rPr>
        <w:t xml:space="preserve"> </w:t>
      </w:r>
    </w:p>
    <w:p w14:paraId="345D660A" w14:textId="5C7B45D6" w:rsidR="00845BBF" w:rsidRPr="002E3A26" w:rsidRDefault="006245CE" w:rsidP="00845BBF">
      <w:pPr>
        <w:spacing w:after="240" w:line="480" w:lineRule="auto"/>
        <w:jc w:val="both"/>
        <w:rPr>
          <w:rFonts w:ascii="Arial" w:hAnsi="Arial" w:cs="Arial"/>
          <w:iCs/>
          <w:sz w:val="24"/>
          <w:szCs w:val="24"/>
          <w:lang w:val="en-GB"/>
        </w:rPr>
      </w:pPr>
      <w:r>
        <w:rPr>
          <w:rFonts w:ascii="Arial" w:hAnsi="Arial" w:cs="Arial"/>
          <w:sz w:val="24"/>
          <w:szCs w:val="24"/>
          <w:lang w:val="en-GB"/>
        </w:rPr>
        <w:t>[23</w:t>
      </w:r>
      <w:r w:rsidR="00845BBF" w:rsidRPr="002E3A26">
        <w:rPr>
          <w:rFonts w:ascii="Arial" w:hAnsi="Arial" w:cs="Arial"/>
          <w:sz w:val="24"/>
          <w:szCs w:val="24"/>
          <w:lang w:val="en-GB"/>
        </w:rPr>
        <w:t xml:space="preserve">] </w:t>
      </w:r>
      <w:r w:rsidR="00845BBF">
        <w:rPr>
          <w:rFonts w:ascii="Arial" w:hAnsi="Arial" w:cs="Arial"/>
          <w:sz w:val="24"/>
          <w:szCs w:val="24"/>
          <w:lang w:val="en-GB"/>
        </w:rPr>
        <w:t>Taking into consideration the above definitions, and applying a common sense approach to the meaning of the word “familial relationships”, there is</w:t>
      </w:r>
      <w:r w:rsidR="00845BBF" w:rsidRPr="002E3A26">
        <w:rPr>
          <w:rFonts w:ascii="Arial" w:hAnsi="Arial" w:cs="Arial"/>
          <w:sz w:val="24"/>
          <w:szCs w:val="24"/>
          <w:lang w:val="en-GB"/>
        </w:rPr>
        <w:t xml:space="preserve"> no reason to exclude brothers-in-law. The appellant and the respondent were clearly in a familial relationship. </w:t>
      </w:r>
      <w:r w:rsidR="00845BBF">
        <w:rPr>
          <w:rFonts w:ascii="Arial" w:hAnsi="Arial" w:cs="Arial"/>
          <w:sz w:val="24"/>
          <w:szCs w:val="24"/>
          <w:lang w:val="en-GB"/>
        </w:rPr>
        <w:t>That being said, t</w:t>
      </w:r>
      <w:r w:rsidR="00845BBF" w:rsidRPr="002E3A26">
        <w:rPr>
          <w:rFonts w:ascii="Arial" w:hAnsi="Arial" w:cs="Arial"/>
          <w:sz w:val="24"/>
          <w:szCs w:val="24"/>
          <w:lang w:val="en-GB"/>
        </w:rPr>
        <w:t xml:space="preserve">wo questions </w:t>
      </w:r>
      <w:r w:rsidR="006315C9">
        <w:rPr>
          <w:rFonts w:ascii="Arial" w:hAnsi="Arial" w:cs="Arial"/>
          <w:sz w:val="24"/>
          <w:szCs w:val="24"/>
          <w:lang w:val="en-GB"/>
        </w:rPr>
        <w:t>arose:</w:t>
      </w:r>
      <w:r w:rsidR="00845BBF" w:rsidRPr="002E3A26">
        <w:rPr>
          <w:rFonts w:ascii="Arial" w:hAnsi="Arial" w:cs="Arial"/>
          <w:sz w:val="24"/>
          <w:szCs w:val="24"/>
          <w:lang w:val="en-GB"/>
        </w:rPr>
        <w:t xml:space="preserve"> One, were they </w:t>
      </w:r>
      <w:r w:rsidR="00845BBF" w:rsidRPr="002E3A26">
        <w:rPr>
          <w:rFonts w:ascii="Arial" w:hAnsi="Arial" w:cs="Arial"/>
          <w:iCs/>
          <w:sz w:val="24"/>
          <w:szCs w:val="24"/>
          <w:lang w:val="en-GB"/>
        </w:rPr>
        <w:t xml:space="preserve">co-dependent on each other; or was one dependent on the other, and two, did the parties strive to obtain the utmost advantage out of the transaction? </w:t>
      </w:r>
    </w:p>
    <w:p w14:paraId="7E205DCD" w14:textId="361252BE" w:rsidR="00324B08" w:rsidRDefault="00845BBF" w:rsidP="00845BBF">
      <w:pPr>
        <w:spacing w:after="240" w:line="480" w:lineRule="auto"/>
        <w:jc w:val="both"/>
        <w:rPr>
          <w:rFonts w:ascii="Arial" w:hAnsi="Arial" w:cs="Arial"/>
          <w:bCs/>
          <w:sz w:val="24"/>
          <w:szCs w:val="24"/>
          <w:lang w:val="en-GB"/>
        </w:rPr>
      </w:pPr>
      <w:r w:rsidRPr="002E3A26">
        <w:rPr>
          <w:rFonts w:ascii="Arial" w:hAnsi="Arial" w:cs="Arial"/>
          <w:sz w:val="24"/>
          <w:szCs w:val="24"/>
          <w:lang w:val="en-GB"/>
        </w:rPr>
        <w:t>[24] The terms "dependent" and "co-dependent", as used in section 4(2)(b)(iii) of the NCA, are similarly not defined in the NCA. The meaning of the word "dependent” is, however, variously defined as: Relying on or requiring the aid or support of another;</w:t>
      </w:r>
      <w:r w:rsidRPr="002E3A26">
        <w:rPr>
          <w:rStyle w:val="FootnoteReference"/>
          <w:rFonts w:ascii="Arial" w:hAnsi="Arial" w:cs="Arial"/>
          <w:sz w:val="24"/>
          <w:szCs w:val="24"/>
          <w:lang w:val="en-GB"/>
        </w:rPr>
        <w:footnoteReference w:id="10"/>
      </w:r>
      <w:r w:rsidRPr="002E3A26">
        <w:rPr>
          <w:rFonts w:ascii="Arial" w:hAnsi="Arial" w:cs="Arial"/>
          <w:sz w:val="24"/>
          <w:szCs w:val="24"/>
          <w:lang w:val="en-GB"/>
        </w:rPr>
        <w:t xml:space="preserve"> </w:t>
      </w:r>
      <w:r w:rsidRPr="002E3A26">
        <w:rPr>
          <w:rFonts w:ascii="Arial" w:hAnsi="Arial" w:cs="Arial"/>
          <w:sz w:val="24"/>
          <w:szCs w:val="24"/>
          <w:lang w:val="en-GB"/>
        </w:rPr>
        <w:lastRenderedPageBreak/>
        <w:t>Relying on someone or something else for aid, support, etc.;</w:t>
      </w:r>
      <w:r w:rsidRPr="002E3A26">
        <w:rPr>
          <w:rStyle w:val="FootnoteReference"/>
          <w:rFonts w:ascii="Arial" w:hAnsi="Arial" w:cs="Arial"/>
          <w:sz w:val="24"/>
          <w:szCs w:val="24"/>
          <w:lang w:val="en-GB"/>
        </w:rPr>
        <w:footnoteReference w:id="11"/>
      </w:r>
      <w:r w:rsidRPr="002E3A26">
        <w:rPr>
          <w:rFonts w:ascii="Arial" w:hAnsi="Arial" w:cs="Arial"/>
          <w:sz w:val="24"/>
          <w:szCs w:val="24"/>
          <w:lang w:val="en-GB"/>
        </w:rPr>
        <w:t xml:space="preserve"> Requiring someone or something for financial support;</w:t>
      </w:r>
      <w:r w:rsidRPr="002E3A26">
        <w:rPr>
          <w:rStyle w:val="FootnoteReference"/>
          <w:rFonts w:ascii="Arial" w:hAnsi="Arial" w:cs="Arial"/>
          <w:sz w:val="24"/>
          <w:szCs w:val="24"/>
          <w:lang w:val="en-GB"/>
        </w:rPr>
        <w:footnoteReference w:id="12"/>
      </w:r>
      <w:r w:rsidRPr="002E3A26">
        <w:rPr>
          <w:rFonts w:ascii="Arial" w:hAnsi="Arial" w:cs="Arial"/>
          <w:sz w:val="24"/>
          <w:szCs w:val="24"/>
          <w:lang w:val="en-GB"/>
        </w:rPr>
        <w:t xml:space="preserve"> and</w:t>
      </w:r>
      <w:r w:rsidR="0078222A">
        <w:rPr>
          <w:rFonts w:ascii="Arial" w:hAnsi="Arial" w:cs="Arial"/>
          <w:sz w:val="24"/>
          <w:szCs w:val="24"/>
          <w:lang w:val="en-GB"/>
        </w:rPr>
        <w:t>,</w:t>
      </w:r>
      <w:r w:rsidRPr="002E3A26">
        <w:rPr>
          <w:rFonts w:ascii="Arial" w:hAnsi="Arial" w:cs="Arial"/>
          <w:sz w:val="24"/>
          <w:szCs w:val="24"/>
          <w:lang w:val="en-GB"/>
        </w:rPr>
        <w:t xml:space="preserve"> </w:t>
      </w:r>
      <w:r>
        <w:rPr>
          <w:rFonts w:ascii="Arial" w:hAnsi="Arial" w:cs="Arial"/>
          <w:sz w:val="24"/>
          <w:szCs w:val="24"/>
          <w:lang w:val="en-GB"/>
        </w:rPr>
        <w:t>n</w:t>
      </w:r>
      <w:r w:rsidRPr="002E3A26">
        <w:rPr>
          <w:rFonts w:ascii="Arial" w:hAnsi="Arial" w:cs="Arial"/>
          <w:sz w:val="24"/>
          <w:szCs w:val="24"/>
          <w:lang w:val="en-GB"/>
        </w:rPr>
        <w:t>eeding somebody/something in order to survive or be successful.</w:t>
      </w:r>
      <w:r w:rsidRPr="002E3A26">
        <w:rPr>
          <w:rStyle w:val="FootnoteReference"/>
          <w:rFonts w:ascii="Arial" w:hAnsi="Arial" w:cs="Arial"/>
          <w:sz w:val="24"/>
          <w:szCs w:val="24"/>
          <w:lang w:val="en-GB"/>
        </w:rPr>
        <w:footnoteReference w:id="13"/>
      </w:r>
      <w:r w:rsidR="00324B08">
        <w:rPr>
          <w:rFonts w:ascii="Arial" w:hAnsi="Arial" w:cs="Arial"/>
          <w:bCs/>
          <w:sz w:val="24"/>
          <w:szCs w:val="24"/>
          <w:lang w:val="en-GB"/>
        </w:rPr>
        <w:t xml:space="preserve"> </w:t>
      </w:r>
      <w:r w:rsidR="00324B08" w:rsidRPr="00324B08">
        <w:rPr>
          <w:rFonts w:ascii="Arial" w:hAnsi="Arial" w:cs="Arial"/>
          <w:bCs/>
          <w:sz w:val="24"/>
          <w:szCs w:val="24"/>
          <w:lang w:val="en-GB"/>
        </w:rPr>
        <w:t xml:space="preserve">In this vein, loans between related parties or loans between parties where the one has some influence or measure of control over the other are not loans between independent parties. </w:t>
      </w:r>
    </w:p>
    <w:p w14:paraId="3ABB8F50" w14:textId="69A59797" w:rsidR="00845BBF" w:rsidRPr="002E3A26" w:rsidRDefault="006245CE" w:rsidP="00845BBF">
      <w:pPr>
        <w:spacing w:after="240" w:line="480" w:lineRule="auto"/>
        <w:jc w:val="both"/>
        <w:rPr>
          <w:rFonts w:ascii="Arial" w:hAnsi="Arial" w:cs="Arial"/>
          <w:bCs/>
          <w:sz w:val="24"/>
          <w:szCs w:val="24"/>
          <w:lang w:val="en-GB"/>
        </w:rPr>
      </w:pPr>
      <w:r>
        <w:rPr>
          <w:rFonts w:ascii="Arial" w:hAnsi="Arial" w:cs="Arial"/>
          <w:bCs/>
          <w:sz w:val="24"/>
          <w:szCs w:val="24"/>
          <w:lang w:val="en-GB"/>
        </w:rPr>
        <w:t>[25</w:t>
      </w:r>
      <w:r w:rsidR="00324B08">
        <w:rPr>
          <w:rFonts w:ascii="Arial" w:hAnsi="Arial" w:cs="Arial"/>
          <w:bCs/>
          <w:sz w:val="24"/>
          <w:szCs w:val="24"/>
          <w:lang w:val="en-GB"/>
        </w:rPr>
        <w:t>] I</w:t>
      </w:r>
      <w:r w:rsidR="00845BBF" w:rsidRPr="002E3A26">
        <w:rPr>
          <w:rFonts w:ascii="Arial" w:hAnsi="Arial" w:cs="Arial"/>
          <w:bCs/>
          <w:sz w:val="24"/>
          <w:szCs w:val="24"/>
          <w:lang w:val="en-GB"/>
        </w:rPr>
        <w:t xml:space="preserve">n </w:t>
      </w:r>
      <w:r w:rsidR="00845BBF" w:rsidRPr="002E3A26">
        <w:rPr>
          <w:rFonts w:ascii="Arial" w:hAnsi="Arial" w:cs="Arial"/>
          <w:bCs/>
          <w:i/>
          <w:sz w:val="24"/>
          <w:szCs w:val="24"/>
          <w:lang w:val="en-GB"/>
        </w:rPr>
        <w:t>Dayan v Dayan</w:t>
      </w:r>
      <w:r w:rsidR="006315C9">
        <w:rPr>
          <w:rFonts w:ascii="Arial" w:hAnsi="Arial" w:cs="Arial"/>
          <w:bCs/>
          <w:i/>
          <w:sz w:val="24"/>
          <w:szCs w:val="24"/>
          <w:lang w:val="en-GB"/>
        </w:rPr>
        <w:t>,</w:t>
      </w:r>
      <w:r w:rsidR="00845BBF" w:rsidRPr="002E3A26">
        <w:rPr>
          <w:rStyle w:val="FootnoteReference"/>
          <w:rFonts w:ascii="Arial" w:hAnsi="Arial" w:cs="Arial"/>
          <w:bCs/>
          <w:i/>
          <w:sz w:val="24"/>
          <w:szCs w:val="24"/>
          <w:lang w:val="en-GB"/>
        </w:rPr>
        <w:footnoteReference w:id="14"/>
      </w:r>
      <w:r w:rsidR="00845BBF" w:rsidRPr="002E3A26">
        <w:rPr>
          <w:rFonts w:ascii="Arial" w:hAnsi="Arial" w:cs="Arial"/>
          <w:bCs/>
          <w:sz w:val="24"/>
          <w:szCs w:val="24"/>
          <w:lang w:val="en-GB"/>
        </w:rPr>
        <w:t xml:space="preserve">a judgment of the Full Court of this Division, the court was, </w:t>
      </w:r>
      <w:r w:rsidR="00845BBF" w:rsidRPr="002E3A26">
        <w:rPr>
          <w:rFonts w:ascii="Arial" w:hAnsi="Arial" w:cs="Arial"/>
          <w:bCs/>
          <w:i/>
          <w:sz w:val="24"/>
          <w:szCs w:val="24"/>
          <w:lang w:val="en-GB"/>
        </w:rPr>
        <w:t>inter alia,</w:t>
      </w:r>
      <w:r w:rsidR="00845BBF" w:rsidRPr="002E3A26">
        <w:rPr>
          <w:rFonts w:ascii="Arial" w:hAnsi="Arial" w:cs="Arial"/>
          <w:bCs/>
          <w:sz w:val="24"/>
          <w:szCs w:val="24"/>
          <w:lang w:val="en-GB"/>
        </w:rPr>
        <w:t xml:space="preserve"> concerned with the question whether the agreement between the appellant and respondent was one at arm’s length and hence subject to the provisions of the NCA. At paragraph [9] of its judgment, the court approvingly referred to </w:t>
      </w:r>
      <w:r w:rsidR="00845BBF" w:rsidRPr="006315C9">
        <w:rPr>
          <w:rFonts w:ascii="Arial" w:hAnsi="Arial" w:cs="Arial"/>
          <w:bCs/>
          <w:i/>
          <w:sz w:val="24"/>
          <w:szCs w:val="24"/>
          <w:lang w:val="en-GB"/>
        </w:rPr>
        <w:t>Hicklin</w:t>
      </w:r>
      <w:r w:rsidR="001B2E37" w:rsidRPr="006315C9">
        <w:rPr>
          <w:rStyle w:val="FootnoteReference"/>
          <w:rFonts w:ascii="Arial" w:hAnsi="Arial" w:cs="Arial"/>
          <w:bCs/>
          <w:i/>
          <w:sz w:val="24"/>
          <w:szCs w:val="24"/>
          <w:lang w:val="en-GB"/>
        </w:rPr>
        <w:footnoteReference w:id="15"/>
      </w:r>
      <w:r w:rsidR="00845BBF" w:rsidRPr="006315C9">
        <w:rPr>
          <w:rFonts w:ascii="Arial" w:hAnsi="Arial" w:cs="Arial"/>
          <w:bCs/>
          <w:sz w:val="24"/>
          <w:szCs w:val="24"/>
          <w:lang w:val="en-GB"/>
        </w:rPr>
        <w:t>,</w:t>
      </w:r>
      <w:r w:rsidR="00845BBF" w:rsidRPr="002E3A26">
        <w:rPr>
          <w:rFonts w:ascii="Arial" w:hAnsi="Arial" w:cs="Arial"/>
          <w:bCs/>
          <w:sz w:val="24"/>
          <w:szCs w:val="24"/>
          <w:lang w:val="en-GB"/>
        </w:rPr>
        <w:t xml:space="preserve"> and held as follows:</w:t>
      </w:r>
    </w:p>
    <w:p w14:paraId="4875C40F" w14:textId="77777777" w:rsidR="00845BBF" w:rsidRPr="002E3A26" w:rsidRDefault="00845BBF" w:rsidP="008851B0">
      <w:pPr>
        <w:spacing w:after="240" w:line="480" w:lineRule="auto"/>
        <w:ind w:left="720"/>
        <w:jc w:val="both"/>
        <w:rPr>
          <w:rFonts w:ascii="Arial" w:hAnsi="Arial" w:cs="Arial"/>
          <w:bCs/>
          <w:sz w:val="24"/>
          <w:szCs w:val="24"/>
          <w:lang w:val="en-GB"/>
        </w:rPr>
      </w:pPr>
      <w:r w:rsidRPr="002E3A26">
        <w:rPr>
          <w:rFonts w:ascii="Arial" w:hAnsi="Arial" w:cs="Arial"/>
          <w:bCs/>
          <w:sz w:val="24"/>
          <w:szCs w:val="24"/>
          <w:lang w:val="en-GB"/>
        </w:rPr>
        <w:t>“</w:t>
      </w:r>
      <w:r w:rsidRPr="002E3A26">
        <w:rPr>
          <w:rFonts w:ascii="Arial" w:hAnsi="Arial" w:cs="Arial"/>
          <w:bCs/>
          <w:i/>
          <w:sz w:val="24"/>
          <w:szCs w:val="24"/>
          <w:lang w:val="en-GB"/>
        </w:rPr>
        <w:t>In addition the agreement was entered into by half-brothers who had a close relationship and who concluded a number of transactions over the period. The transactions included loans, transfer of immovable property, an employment contract and a number of payments of salary. These two persons were related as contemplated by the Section. When they concluded the loan agreement in question they were not dealing at arm's length. The parties were not independent of each other and were not striving to gain utmost advantage for themselves out of the transaction.</w:t>
      </w:r>
      <w:r>
        <w:rPr>
          <w:rFonts w:ascii="Arial" w:hAnsi="Arial" w:cs="Arial"/>
          <w:bCs/>
          <w:i/>
          <w:sz w:val="24"/>
          <w:szCs w:val="24"/>
          <w:lang w:val="en-GB"/>
        </w:rPr>
        <w:t>”</w:t>
      </w:r>
    </w:p>
    <w:p w14:paraId="68EF3EAD" w14:textId="183280B6" w:rsidR="00845BBF" w:rsidRPr="00AF537B" w:rsidRDefault="006245CE" w:rsidP="00845BBF">
      <w:pPr>
        <w:spacing w:after="240" w:line="480" w:lineRule="auto"/>
        <w:jc w:val="both"/>
        <w:rPr>
          <w:rFonts w:ascii="Arial" w:hAnsi="Arial" w:cs="Arial"/>
          <w:sz w:val="24"/>
          <w:szCs w:val="24"/>
          <w:lang w:val="en-GB"/>
        </w:rPr>
      </w:pPr>
      <w:r>
        <w:rPr>
          <w:rFonts w:ascii="Arial" w:hAnsi="Arial" w:cs="Arial"/>
          <w:sz w:val="24"/>
          <w:szCs w:val="24"/>
        </w:rPr>
        <w:t>[26</w:t>
      </w:r>
      <w:r w:rsidR="00845BBF" w:rsidRPr="002E3A26">
        <w:rPr>
          <w:rFonts w:ascii="Arial" w:hAnsi="Arial" w:cs="Arial"/>
          <w:sz w:val="24"/>
          <w:szCs w:val="24"/>
        </w:rPr>
        <w:t xml:space="preserve">] </w:t>
      </w:r>
      <w:r w:rsidR="00324B08">
        <w:rPr>
          <w:rFonts w:ascii="Arial" w:hAnsi="Arial" w:cs="Arial"/>
          <w:sz w:val="24"/>
          <w:szCs w:val="24"/>
        </w:rPr>
        <w:t xml:space="preserve">In </w:t>
      </w:r>
      <w:r w:rsidR="00845BBF" w:rsidRPr="002E3A26">
        <w:rPr>
          <w:rFonts w:ascii="Arial" w:hAnsi="Arial" w:cs="Arial"/>
          <w:sz w:val="24"/>
          <w:szCs w:val="24"/>
          <w:lang w:val="en-GB"/>
        </w:rPr>
        <w:t xml:space="preserve">the matter of </w:t>
      </w:r>
      <w:r w:rsidR="00845BBF" w:rsidRPr="002E3A26">
        <w:rPr>
          <w:rFonts w:ascii="Arial" w:hAnsi="Arial" w:cs="Arial"/>
          <w:i/>
          <w:sz w:val="24"/>
          <w:szCs w:val="24"/>
          <w:lang w:val="en-GB"/>
        </w:rPr>
        <w:t>Fourie v Geyer</w:t>
      </w:r>
      <w:r w:rsidR="00845BBF" w:rsidRPr="002E3A26">
        <w:rPr>
          <w:rFonts w:ascii="Arial" w:hAnsi="Arial" w:cs="Arial"/>
          <w:sz w:val="24"/>
          <w:szCs w:val="24"/>
          <w:lang w:val="en-GB"/>
        </w:rPr>
        <w:t>,</w:t>
      </w:r>
      <w:r w:rsidR="00845BBF" w:rsidRPr="002E3A26">
        <w:rPr>
          <w:rStyle w:val="FootnoteReference"/>
          <w:rFonts w:ascii="Arial" w:hAnsi="Arial" w:cs="Arial"/>
          <w:sz w:val="24"/>
          <w:szCs w:val="24"/>
          <w:lang w:val="en-GB"/>
        </w:rPr>
        <w:footnoteReference w:id="16"/>
      </w:r>
      <w:r w:rsidR="00845BBF">
        <w:rPr>
          <w:rFonts w:ascii="Arial" w:hAnsi="Arial" w:cs="Arial"/>
          <w:sz w:val="24"/>
          <w:szCs w:val="24"/>
          <w:lang w:val="en-GB"/>
        </w:rPr>
        <w:t xml:space="preserve"> </w:t>
      </w:r>
      <w:r w:rsidR="00324B08">
        <w:rPr>
          <w:rFonts w:ascii="Arial" w:hAnsi="Arial" w:cs="Arial"/>
          <w:sz w:val="24"/>
          <w:szCs w:val="24"/>
          <w:lang w:val="en-GB"/>
        </w:rPr>
        <w:t>the plaintiff</w:t>
      </w:r>
      <w:r w:rsidR="00845BBF" w:rsidRPr="002E3A26">
        <w:rPr>
          <w:rFonts w:ascii="Arial" w:hAnsi="Arial" w:cs="Arial"/>
          <w:sz w:val="24"/>
          <w:szCs w:val="24"/>
          <w:lang w:val="en-GB"/>
        </w:rPr>
        <w:t xml:space="preserve"> claimed that the relationship was not at arm’s length due to the 18 year relationship between the parties. The court rejected </w:t>
      </w:r>
      <w:r w:rsidR="00845BBF" w:rsidRPr="002E3A26">
        <w:rPr>
          <w:rFonts w:ascii="Arial" w:hAnsi="Arial" w:cs="Arial"/>
          <w:sz w:val="24"/>
          <w:szCs w:val="24"/>
          <w:lang w:val="en-GB"/>
        </w:rPr>
        <w:lastRenderedPageBreak/>
        <w:t>this argument due to the commercial nature of the agreement and the salie</w:t>
      </w:r>
      <w:r w:rsidR="00324B08">
        <w:rPr>
          <w:rFonts w:ascii="Arial" w:hAnsi="Arial" w:cs="Arial"/>
          <w:sz w:val="24"/>
          <w:szCs w:val="24"/>
          <w:lang w:val="en-GB"/>
        </w:rPr>
        <w:t>nt features thereof. The court held that it was evident</w:t>
      </w:r>
      <w:r w:rsidR="00845BBF" w:rsidRPr="002E3A26">
        <w:rPr>
          <w:rFonts w:ascii="Arial" w:hAnsi="Arial" w:cs="Arial"/>
          <w:sz w:val="24"/>
          <w:szCs w:val="24"/>
          <w:lang w:val="en-GB"/>
        </w:rPr>
        <w:t xml:space="preserve"> that the parties were striving to gain the best possible advantage. I</w:t>
      </w:r>
      <w:r w:rsidR="00324B08">
        <w:rPr>
          <w:rFonts w:ascii="Arial" w:hAnsi="Arial" w:cs="Arial"/>
          <w:sz w:val="24"/>
          <w:szCs w:val="24"/>
          <w:lang w:val="en-GB"/>
        </w:rPr>
        <w:t xml:space="preserve">n </w:t>
      </w:r>
      <w:r w:rsidR="00845BBF" w:rsidRPr="002E3A26">
        <w:rPr>
          <w:rFonts w:ascii="Arial" w:hAnsi="Arial" w:cs="Arial"/>
          <w:i/>
          <w:sz w:val="24"/>
          <w:szCs w:val="24"/>
          <w:lang w:val="en-GB"/>
        </w:rPr>
        <w:t>Claasen t/a Mostly Media v Delport t/a AD Industrial Chemicals</w:t>
      </w:r>
      <w:r w:rsidR="00845BBF" w:rsidRPr="002E3A26">
        <w:rPr>
          <w:rFonts w:ascii="Arial" w:hAnsi="Arial" w:cs="Arial"/>
          <w:sz w:val="24"/>
          <w:szCs w:val="24"/>
          <w:lang w:val="en-GB"/>
        </w:rPr>
        <w:t>,</w:t>
      </w:r>
      <w:r w:rsidR="00845BBF" w:rsidRPr="002E3A26">
        <w:rPr>
          <w:rStyle w:val="FootnoteReference"/>
          <w:rFonts w:ascii="Arial" w:hAnsi="Arial" w:cs="Arial"/>
          <w:sz w:val="24"/>
          <w:szCs w:val="24"/>
          <w:lang w:val="en-GB"/>
        </w:rPr>
        <w:footnoteReference w:id="17"/>
      </w:r>
      <w:r w:rsidR="00845BBF" w:rsidRPr="002E3A26">
        <w:rPr>
          <w:rFonts w:ascii="Arial" w:hAnsi="Arial" w:cs="Arial"/>
          <w:sz w:val="24"/>
          <w:szCs w:val="24"/>
          <w:lang w:val="en-GB"/>
        </w:rPr>
        <w:t xml:space="preserve"> reliance was placed on the NCA because the parties were friends, mixed socially and did business together. The plaintiff contended that the defendant was dependent on him for financial assistance and that the relationship thus was not</w:t>
      </w:r>
      <w:r w:rsidR="00AC0E8E">
        <w:rPr>
          <w:rFonts w:ascii="Arial" w:hAnsi="Arial" w:cs="Arial"/>
          <w:sz w:val="24"/>
          <w:szCs w:val="24"/>
          <w:lang w:val="en-GB"/>
        </w:rPr>
        <w:t xml:space="preserve"> at</w:t>
      </w:r>
      <w:r w:rsidR="00845BBF" w:rsidRPr="002E3A26">
        <w:rPr>
          <w:rFonts w:ascii="Arial" w:hAnsi="Arial" w:cs="Arial"/>
          <w:sz w:val="24"/>
          <w:szCs w:val="24"/>
          <w:lang w:val="en-GB"/>
        </w:rPr>
        <w:t xml:space="preserve"> arm’s length. The court held that the parties were independent of each other and that the agreement was concluded at arm’s length. </w:t>
      </w:r>
      <w:r w:rsidR="00324B08">
        <w:rPr>
          <w:rFonts w:ascii="Arial" w:hAnsi="Arial" w:cs="Arial"/>
          <w:sz w:val="24"/>
          <w:szCs w:val="24"/>
          <w:lang w:val="en-GB"/>
        </w:rPr>
        <w:t>The court however placed g</w:t>
      </w:r>
      <w:r w:rsidR="00845BBF" w:rsidRPr="002E3A26">
        <w:rPr>
          <w:rFonts w:ascii="Arial" w:hAnsi="Arial" w:cs="Arial"/>
          <w:sz w:val="24"/>
          <w:szCs w:val="24"/>
          <w:lang w:val="en-GB"/>
        </w:rPr>
        <w:t>reat reliance on the terms of the agreement which imposed interest and penalties on the arrears.</w:t>
      </w:r>
      <w:r w:rsidR="00AF537B">
        <w:rPr>
          <w:rFonts w:ascii="Arial" w:hAnsi="Arial" w:cs="Arial"/>
          <w:sz w:val="24"/>
          <w:szCs w:val="24"/>
          <w:lang w:val="en-GB"/>
        </w:rPr>
        <w:t xml:space="preserve"> </w:t>
      </w:r>
      <w:r w:rsidR="007A194E">
        <w:rPr>
          <w:rFonts w:ascii="Arial" w:hAnsi="Arial" w:cs="Arial"/>
          <w:sz w:val="24"/>
          <w:szCs w:val="24"/>
          <w:lang w:val="en-GB"/>
        </w:rPr>
        <w:t>In</w:t>
      </w:r>
      <w:r w:rsidR="00AF537B">
        <w:rPr>
          <w:rFonts w:ascii="Arial" w:hAnsi="Arial" w:cs="Arial"/>
          <w:sz w:val="24"/>
          <w:szCs w:val="24"/>
          <w:lang w:val="en-GB"/>
        </w:rPr>
        <w:t xml:space="preserve"> </w:t>
      </w:r>
      <w:r w:rsidR="00AF537B" w:rsidRPr="00AF537B">
        <w:rPr>
          <w:rFonts w:ascii="Arial" w:hAnsi="Arial" w:cs="Arial"/>
          <w:i/>
          <w:sz w:val="24"/>
          <w:szCs w:val="24"/>
          <w:lang w:val="en-GB"/>
        </w:rPr>
        <w:t>Cloete v Van den Heever NO</w:t>
      </w:r>
      <w:r w:rsidR="00AF537B">
        <w:rPr>
          <w:rFonts w:ascii="Arial" w:hAnsi="Arial" w:cs="Arial"/>
          <w:i/>
          <w:sz w:val="24"/>
          <w:szCs w:val="24"/>
          <w:lang w:val="en-GB"/>
        </w:rPr>
        <w:t>,</w:t>
      </w:r>
      <w:r w:rsidR="00AF537B">
        <w:rPr>
          <w:rStyle w:val="FootnoteReference"/>
          <w:rFonts w:ascii="Arial" w:hAnsi="Arial" w:cs="Arial"/>
          <w:sz w:val="24"/>
          <w:szCs w:val="24"/>
          <w:lang w:val="en-GB"/>
        </w:rPr>
        <w:footnoteReference w:id="18"/>
      </w:r>
      <w:r w:rsidR="007A194E" w:rsidRPr="007A194E">
        <w:rPr>
          <w:rFonts w:ascii="Arial" w:hAnsi="Arial" w:cs="Arial"/>
          <w:sz w:val="24"/>
          <w:szCs w:val="24"/>
          <w:lang w:val="en-GB"/>
        </w:rPr>
        <w:t xml:space="preserve">however, </w:t>
      </w:r>
      <w:r w:rsidR="00AF537B" w:rsidRPr="007A194E">
        <w:rPr>
          <w:rFonts w:ascii="Arial" w:hAnsi="Arial" w:cs="Arial"/>
          <w:sz w:val="24"/>
          <w:szCs w:val="24"/>
          <w:lang w:val="en-GB"/>
        </w:rPr>
        <w:t>the</w:t>
      </w:r>
      <w:r w:rsidR="00AF537B" w:rsidRPr="00AF537B">
        <w:rPr>
          <w:rFonts w:ascii="Arial" w:hAnsi="Arial" w:cs="Arial"/>
          <w:sz w:val="24"/>
          <w:szCs w:val="24"/>
          <w:lang w:val="en-GB"/>
        </w:rPr>
        <w:t xml:space="preserve"> court held that an agreement between close acquaintances, at an interest rate charged to the credit provider by his bank, was not at arm’s length</w:t>
      </w:r>
      <w:r w:rsidR="00AF537B">
        <w:rPr>
          <w:rFonts w:ascii="Arial" w:hAnsi="Arial" w:cs="Arial"/>
          <w:sz w:val="24"/>
          <w:szCs w:val="24"/>
          <w:lang w:val="en-GB"/>
        </w:rPr>
        <w:t>.</w:t>
      </w:r>
    </w:p>
    <w:p w14:paraId="3D445AC6" w14:textId="1F5C0D7D" w:rsidR="00845BBF" w:rsidRPr="002E3A26" w:rsidRDefault="006245CE" w:rsidP="00845BBF">
      <w:pPr>
        <w:spacing w:after="240" w:line="480" w:lineRule="auto"/>
        <w:jc w:val="both"/>
        <w:rPr>
          <w:rFonts w:ascii="Arial" w:hAnsi="Arial" w:cs="Arial"/>
          <w:sz w:val="24"/>
          <w:szCs w:val="24"/>
          <w:lang w:val="en-GB"/>
        </w:rPr>
      </w:pPr>
      <w:r>
        <w:rPr>
          <w:rFonts w:ascii="Arial" w:hAnsi="Arial" w:cs="Arial"/>
          <w:sz w:val="24"/>
          <w:szCs w:val="24"/>
          <w:lang w:val="en-GB"/>
        </w:rPr>
        <w:t>[27</w:t>
      </w:r>
      <w:r w:rsidR="00845BBF" w:rsidRPr="002E3A26">
        <w:rPr>
          <w:rFonts w:ascii="Arial" w:hAnsi="Arial" w:cs="Arial"/>
          <w:sz w:val="24"/>
          <w:szCs w:val="24"/>
          <w:lang w:val="en-GB"/>
        </w:rPr>
        <w:t xml:space="preserve">] </w:t>
      </w:r>
      <w:r w:rsidR="00E4234F">
        <w:rPr>
          <w:rFonts w:ascii="Arial" w:hAnsi="Arial" w:cs="Arial"/>
          <w:sz w:val="24"/>
          <w:szCs w:val="24"/>
          <w:lang w:val="en-GB"/>
        </w:rPr>
        <w:t xml:space="preserve">Although decided cases are a useful tool, it is well established that every case should be decided on its own facts. </w:t>
      </w:r>
      <w:r w:rsidR="00845BBF" w:rsidRPr="002E3A26">
        <w:rPr>
          <w:rFonts w:ascii="Arial" w:hAnsi="Arial" w:cs="Arial"/>
          <w:sz w:val="24"/>
          <w:szCs w:val="24"/>
          <w:lang w:val="en-GB"/>
        </w:rPr>
        <w:t>In the present matter the parties are brothers- in- law. They have known each other for 35 years. They spent many Christmas</w:t>
      </w:r>
      <w:r w:rsidR="00AC0E8E">
        <w:rPr>
          <w:rFonts w:ascii="Arial" w:hAnsi="Arial" w:cs="Arial"/>
          <w:sz w:val="24"/>
          <w:szCs w:val="24"/>
          <w:lang w:val="en-GB"/>
        </w:rPr>
        <w:t>’</w:t>
      </w:r>
      <w:r w:rsidR="00845BBF" w:rsidRPr="002E3A26">
        <w:rPr>
          <w:rFonts w:ascii="Arial" w:hAnsi="Arial" w:cs="Arial"/>
          <w:sz w:val="24"/>
          <w:szCs w:val="24"/>
          <w:lang w:val="en-GB"/>
        </w:rPr>
        <w:t xml:space="preserve">, Easters, birthdays and family gatherings together. </w:t>
      </w:r>
      <w:r w:rsidR="00324B08">
        <w:rPr>
          <w:rFonts w:ascii="Arial" w:hAnsi="Arial" w:cs="Arial"/>
          <w:sz w:val="24"/>
          <w:szCs w:val="24"/>
          <w:lang w:val="en-GB"/>
        </w:rPr>
        <w:t xml:space="preserve">They </w:t>
      </w:r>
      <w:r w:rsidR="00845BBF" w:rsidRPr="002E3A26">
        <w:rPr>
          <w:rFonts w:ascii="Arial" w:hAnsi="Arial" w:cs="Arial"/>
          <w:sz w:val="24"/>
          <w:szCs w:val="24"/>
          <w:lang w:val="en-GB"/>
        </w:rPr>
        <w:t xml:space="preserve">were also extremely close on an emotional level. The respondent was the first person the appellant turned to on the day the appellant’s son tragically committed suicide. </w:t>
      </w:r>
      <w:r w:rsidR="00324B08">
        <w:rPr>
          <w:rFonts w:ascii="Arial" w:hAnsi="Arial" w:cs="Arial"/>
          <w:sz w:val="24"/>
          <w:szCs w:val="24"/>
          <w:lang w:val="en-GB"/>
        </w:rPr>
        <w:t>Moreover, t</w:t>
      </w:r>
      <w:r w:rsidR="00845BBF" w:rsidRPr="002E3A26">
        <w:rPr>
          <w:rFonts w:ascii="Arial" w:hAnsi="Arial" w:cs="Arial"/>
          <w:sz w:val="24"/>
          <w:szCs w:val="24"/>
          <w:lang w:val="en-GB"/>
        </w:rPr>
        <w:t>he respondent invested in three of the appellant’s business ventures because he saw that as support for his brother</w:t>
      </w:r>
      <w:r w:rsidR="00AC0E8E">
        <w:rPr>
          <w:rFonts w:ascii="Arial" w:hAnsi="Arial" w:cs="Arial"/>
          <w:sz w:val="24"/>
          <w:szCs w:val="24"/>
          <w:lang w:val="en-GB"/>
        </w:rPr>
        <w:t>-</w:t>
      </w:r>
      <w:r w:rsidR="00845BBF" w:rsidRPr="002E3A26">
        <w:rPr>
          <w:rFonts w:ascii="Arial" w:hAnsi="Arial" w:cs="Arial"/>
          <w:sz w:val="24"/>
          <w:szCs w:val="24"/>
          <w:lang w:val="en-GB"/>
        </w:rPr>
        <w:t>in</w:t>
      </w:r>
      <w:r w:rsidR="00AC0E8E">
        <w:rPr>
          <w:rFonts w:ascii="Arial" w:hAnsi="Arial" w:cs="Arial"/>
          <w:sz w:val="24"/>
          <w:szCs w:val="24"/>
          <w:lang w:val="en-GB"/>
        </w:rPr>
        <w:t>-</w:t>
      </w:r>
      <w:r w:rsidR="00845BBF" w:rsidRPr="002E3A26">
        <w:rPr>
          <w:rFonts w:ascii="Arial" w:hAnsi="Arial" w:cs="Arial"/>
          <w:sz w:val="24"/>
          <w:szCs w:val="24"/>
          <w:lang w:val="en-GB"/>
        </w:rPr>
        <w:t>law.</w:t>
      </w:r>
    </w:p>
    <w:p w14:paraId="025B354D" w14:textId="2A756966" w:rsidR="00845BBF" w:rsidRDefault="006245CE" w:rsidP="00845BBF">
      <w:pPr>
        <w:spacing w:after="240" w:line="480" w:lineRule="auto"/>
        <w:jc w:val="both"/>
        <w:rPr>
          <w:rFonts w:ascii="Arial" w:hAnsi="Arial" w:cs="Arial"/>
          <w:sz w:val="24"/>
          <w:szCs w:val="24"/>
          <w:lang w:val="en-GB"/>
        </w:rPr>
      </w:pPr>
      <w:r>
        <w:rPr>
          <w:rFonts w:ascii="Arial" w:hAnsi="Arial" w:cs="Arial"/>
          <w:sz w:val="24"/>
          <w:szCs w:val="24"/>
          <w:lang w:val="en-GB"/>
        </w:rPr>
        <w:t>[28</w:t>
      </w:r>
      <w:r w:rsidR="00845BBF" w:rsidRPr="002E3A26">
        <w:rPr>
          <w:rFonts w:ascii="Arial" w:hAnsi="Arial" w:cs="Arial"/>
          <w:sz w:val="24"/>
          <w:szCs w:val="24"/>
          <w:lang w:val="en-GB"/>
        </w:rPr>
        <w:t xml:space="preserve">] At the trial the respondent testified that he and appellant were in a familial relationship and that the appellant was dependent on the respondent in many respects. He also testified that the original agreement was concluded on terms which </w:t>
      </w:r>
      <w:r w:rsidR="00845BBF" w:rsidRPr="002E3A26">
        <w:rPr>
          <w:rFonts w:ascii="Arial" w:hAnsi="Arial" w:cs="Arial"/>
          <w:sz w:val="24"/>
          <w:szCs w:val="24"/>
          <w:lang w:val="en-GB"/>
        </w:rPr>
        <w:lastRenderedPageBreak/>
        <w:t>in no way benefit</w:t>
      </w:r>
      <w:r w:rsidR="00845BBF">
        <w:rPr>
          <w:rFonts w:ascii="Arial" w:hAnsi="Arial" w:cs="Arial"/>
          <w:sz w:val="24"/>
          <w:szCs w:val="24"/>
          <w:lang w:val="en-GB"/>
        </w:rPr>
        <w:t>ted him</w:t>
      </w:r>
      <w:r w:rsidR="00845BBF" w:rsidRPr="002E3A26">
        <w:rPr>
          <w:rFonts w:ascii="Arial" w:hAnsi="Arial" w:cs="Arial"/>
          <w:sz w:val="24"/>
          <w:szCs w:val="24"/>
          <w:lang w:val="en-GB"/>
        </w:rPr>
        <w:t xml:space="preserve">, meaning that </w:t>
      </w:r>
      <w:r w:rsidR="00845BBF">
        <w:rPr>
          <w:rFonts w:ascii="Arial" w:hAnsi="Arial" w:cs="Arial"/>
          <w:sz w:val="24"/>
          <w:szCs w:val="24"/>
          <w:lang w:val="en-GB"/>
        </w:rPr>
        <w:t>he did not strive</w:t>
      </w:r>
      <w:r w:rsidR="00845BBF" w:rsidRPr="002E3A26">
        <w:rPr>
          <w:rFonts w:ascii="Arial" w:hAnsi="Arial" w:cs="Arial"/>
          <w:sz w:val="24"/>
          <w:szCs w:val="24"/>
          <w:lang w:val="en-GB"/>
        </w:rPr>
        <w:t xml:space="preserve"> to obtain the utmost possible advantage out of the transaction.</w:t>
      </w:r>
      <w:r w:rsidR="00845BBF">
        <w:rPr>
          <w:rFonts w:ascii="Arial" w:hAnsi="Arial" w:cs="Arial"/>
          <w:sz w:val="24"/>
          <w:szCs w:val="24"/>
          <w:lang w:val="en-GB"/>
        </w:rPr>
        <w:t xml:space="preserve"> </w:t>
      </w:r>
      <w:r w:rsidR="00845BBF" w:rsidRPr="002E3A26">
        <w:rPr>
          <w:rFonts w:ascii="Arial" w:hAnsi="Arial" w:cs="Arial"/>
          <w:sz w:val="24"/>
          <w:szCs w:val="24"/>
          <w:lang w:val="en-GB"/>
        </w:rPr>
        <w:t>The appellant would repay the same amount plus interest that the respondent would have paid the mortgagee (i.e. Standard Bank) on the amount withdrawn from the bond.</w:t>
      </w:r>
      <w:r w:rsidR="00845BBF" w:rsidRPr="00845BBF">
        <w:rPr>
          <w:rFonts w:ascii="Arial" w:hAnsi="Arial" w:cs="Arial"/>
          <w:sz w:val="24"/>
          <w:szCs w:val="24"/>
          <w:lang w:val="en-GB"/>
        </w:rPr>
        <w:t xml:space="preserve"> </w:t>
      </w:r>
      <w:r w:rsidR="00845BBF">
        <w:rPr>
          <w:rFonts w:ascii="Arial" w:hAnsi="Arial" w:cs="Arial"/>
          <w:sz w:val="24"/>
          <w:szCs w:val="24"/>
          <w:lang w:val="en-GB"/>
        </w:rPr>
        <w:t>The</w:t>
      </w:r>
      <w:r w:rsidR="00845BBF" w:rsidRPr="004C6EE3">
        <w:rPr>
          <w:rFonts w:ascii="Arial" w:hAnsi="Arial" w:cs="Arial"/>
          <w:sz w:val="24"/>
          <w:szCs w:val="24"/>
          <w:lang w:val="en-GB"/>
        </w:rPr>
        <w:t xml:space="preserve"> appellant was not concerned that Ceefax appeared to be the bond holder. His sister had instructed him in writing on 03 October 2008, to make the monthly payments in respect of the West Dunes loan into </w:t>
      </w:r>
      <w:r w:rsidR="007F5F7A">
        <w:rPr>
          <w:rFonts w:ascii="Arial" w:hAnsi="Arial" w:cs="Arial"/>
          <w:sz w:val="24"/>
          <w:szCs w:val="24"/>
          <w:lang w:val="en-GB"/>
        </w:rPr>
        <w:t xml:space="preserve">the </w:t>
      </w:r>
      <w:r w:rsidR="00845BBF" w:rsidRPr="004C6EE3">
        <w:rPr>
          <w:rFonts w:ascii="Arial" w:hAnsi="Arial" w:cs="Arial"/>
          <w:sz w:val="24"/>
          <w:szCs w:val="24"/>
          <w:lang w:val="en-GB"/>
        </w:rPr>
        <w:t>Ceefax bond account at the Standard Bank</w:t>
      </w:r>
      <w:r w:rsidR="00845BBF">
        <w:rPr>
          <w:rFonts w:ascii="Arial" w:hAnsi="Arial" w:cs="Arial"/>
          <w:sz w:val="24"/>
          <w:szCs w:val="24"/>
          <w:lang w:val="en-GB"/>
        </w:rPr>
        <w:t xml:space="preserve">, to which he did not object. </w:t>
      </w:r>
      <w:r w:rsidR="00845BBF" w:rsidRPr="002E3A26">
        <w:rPr>
          <w:rFonts w:ascii="Arial" w:hAnsi="Arial" w:cs="Arial"/>
          <w:sz w:val="24"/>
          <w:szCs w:val="24"/>
          <w:lang w:val="en-GB"/>
        </w:rPr>
        <w:t xml:space="preserve"> The appellant also chose not to obtain finance from any arm’s length finance institution due to his impending divorce. He approached the respondent who loaned him an amount of R660 000,00 which money he would not have lent to anybody other than a very familiar family member.</w:t>
      </w:r>
    </w:p>
    <w:p w14:paraId="00187683" w14:textId="670AEEBF" w:rsidR="00845BBF" w:rsidRPr="002E3A26" w:rsidRDefault="006245CE" w:rsidP="00845BBF">
      <w:pPr>
        <w:spacing w:after="240" w:line="480" w:lineRule="auto"/>
        <w:jc w:val="both"/>
        <w:rPr>
          <w:rFonts w:ascii="Arial" w:hAnsi="Arial" w:cs="Arial"/>
          <w:sz w:val="24"/>
          <w:szCs w:val="24"/>
          <w:lang w:val="en-GB"/>
        </w:rPr>
      </w:pPr>
      <w:r>
        <w:rPr>
          <w:rFonts w:ascii="Arial" w:hAnsi="Arial" w:cs="Arial"/>
          <w:sz w:val="24"/>
          <w:szCs w:val="24"/>
          <w:lang w:val="en-GB"/>
        </w:rPr>
        <w:t>[29</w:t>
      </w:r>
      <w:r w:rsidR="00845BBF" w:rsidRPr="002E3A26">
        <w:rPr>
          <w:rFonts w:ascii="Arial" w:hAnsi="Arial" w:cs="Arial"/>
          <w:sz w:val="24"/>
          <w:szCs w:val="24"/>
          <w:lang w:val="en-GB"/>
        </w:rPr>
        <w:t xml:space="preserve">] </w:t>
      </w:r>
      <w:r w:rsidR="00E4234F">
        <w:rPr>
          <w:rFonts w:ascii="Arial" w:hAnsi="Arial" w:cs="Arial"/>
          <w:sz w:val="24"/>
          <w:szCs w:val="24"/>
          <w:lang w:val="en-GB"/>
        </w:rPr>
        <w:t xml:space="preserve">The respondent bore the onus to prove his case. The </w:t>
      </w:r>
      <w:r w:rsidR="00324B08">
        <w:rPr>
          <w:rFonts w:ascii="Arial" w:hAnsi="Arial" w:cs="Arial"/>
          <w:sz w:val="24"/>
          <w:szCs w:val="24"/>
          <w:lang w:val="en-GB"/>
        </w:rPr>
        <w:t xml:space="preserve">evidence </w:t>
      </w:r>
      <w:r w:rsidR="00E4234F">
        <w:rPr>
          <w:rFonts w:ascii="Arial" w:hAnsi="Arial" w:cs="Arial"/>
          <w:sz w:val="24"/>
          <w:szCs w:val="24"/>
          <w:lang w:val="en-GB"/>
        </w:rPr>
        <w:t>demonstrated, at least</w:t>
      </w:r>
      <w:r w:rsidR="00EE3D90">
        <w:rPr>
          <w:rFonts w:ascii="Arial" w:hAnsi="Arial" w:cs="Arial"/>
          <w:sz w:val="24"/>
          <w:szCs w:val="24"/>
          <w:lang w:val="en-GB"/>
        </w:rPr>
        <w:t>,</w:t>
      </w:r>
      <w:r w:rsidR="00E4234F">
        <w:rPr>
          <w:rFonts w:ascii="Arial" w:hAnsi="Arial" w:cs="Arial"/>
          <w:sz w:val="24"/>
          <w:szCs w:val="24"/>
          <w:lang w:val="en-GB"/>
        </w:rPr>
        <w:t xml:space="preserve"> on a balance of probabilities, </w:t>
      </w:r>
      <w:r w:rsidR="00324B08">
        <w:rPr>
          <w:rFonts w:ascii="Arial" w:hAnsi="Arial" w:cs="Arial"/>
          <w:sz w:val="24"/>
          <w:szCs w:val="24"/>
          <w:lang w:val="en-GB"/>
        </w:rPr>
        <w:t xml:space="preserve">that the appellant and the respondent </w:t>
      </w:r>
      <w:r w:rsidR="00324B08" w:rsidRPr="00324B08">
        <w:rPr>
          <w:rFonts w:ascii="Arial" w:hAnsi="Arial" w:cs="Arial"/>
          <w:sz w:val="24"/>
          <w:szCs w:val="24"/>
          <w:lang w:val="en-GB"/>
        </w:rPr>
        <w:t xml:space="preserve">were not independent of each other, </w:t>
      </w:r>
      <w:r w:rsidR="00AB39F1">
        <w:rPr>
          <w:rFonts w:ascii="Arial" w:hAnsi="Arial" w:cs="Arial"/>
          <w:sz w:val="24"/>
          <w:szCs w:val="24"/>
          <w:lang w:val="en-GB"/>
        </w:rPr>
        <w:t>and</w:t>
      </w:r>
      <w:r w:rsidR="00324B08" w:rsidRPr="00324B08">
        <w:rPr>
          <w:rFonts w:ascii="Arial" w:hAnsi="Arial" w:cs="Arial"/>
          <w:sz w:val="24"/>
          <w:szCs w:val="24"/>
          <w:lang w:val="en-GB"/>
        </w:rPr>
        <w:t xml:space="preserve"> did not strive to obtain the utmost possible advantage out of the tr</w:t>
      </w:r>
      <w:r w:rsidR="00324B08">
        <w:rPr>
          <w:rFonts w:ascii="Arial" w:hAnsi="Arial" w:cs="Arial"/>
          <w:sz w:val="24"/>
          <w:szCs w:val="24"/>
          <w:lang w:val="en-GB"/>
        </w:rPr>
        <w:t>ansaction.</w:t>
      </w:r>
      <w:r w:rsidR="00324B08" w:rsidRPr="00324B08">
        <w:rPr>
          <w:rFonts w:ascii="Arial" w:hAnsi="Arial" w:cs="Arial"/>
          <w:sz w:val="24"/>
          <w:szCs w:val="24"/>
          <w:lang w:val="en-GB"/>
        </w:rPr>
        <w:t xml:space="preserve"> </w:t>
      </w:r>
      <w:r w:rsidR="00845BBF">
        <w:rPr>
          <w:rFonts w:ascii="Arial" w:hAnsi="Arial" w:cs="Arial"/>
          <w:sz w:val="24"/>
          <w:szCs w:val="24"/>
          <w:lang w:val="en-GB"/>
        </w:rPr>
        <w:t xml:space="preserve">The court </w:t>
      </w:r>
      <w:r w:rsidR="00845BBF" w:rsidRPr="002E3A26">
        <w:rPr>
          <w:rFonts w:ascii="Arial" w:hAnsi="Arial" w:cs="Arial"/>
          <w:i/>
          <w:sz w:val="24"/>
          <w:szCs w:val="24"/>
          <w:lang w:val="en-GB"/>
        </w:rPr>
        <w:t>a quo</w:t>
      </w:r>
      <w:r w:rsidR="00845BBF">
        <w:rPr>
          <w:rFonts w:ascii="Arial" w:hAnsi="Arial" w:cs="Arial"/>
          <w:sz w:val="24"/>
          <w:szCs w:val="24"/>
          <w:lang w:val="en-GB"/>
        </w:rPr>
        <w:t xml:space="preserve"> </w:t>
      </w:r>
      <w:r w:rsidR="00845BBF" w:rsidRPr="00C40D0C">
        <w:rPr>
          <w:rFonts w:ascii="Arial" w:hAnsi="Arial" w:cs="Arial"/>
          <w:sz w:val="24"/>
          <w:szCs w:val="24"/>
          <w:lang w:val="en-GB"/>
        </w:rPr>
        <w:t>correctly concluded that</w:t>
      </w:r>
      <w:r w:rsidR="00845BBF">
        <w:rPr>
          <w:rFonts w:ascii="Arial" w:hAnsi="Arial" w:cs="Arial"/>
          <w:sz w:val="24"/>
          <w:szCs w:val="24"/>
          <w:lang w:val="en-GB"/>
        </w:rPr>
        <w:t xml:space="preserve"> the</w:t>
      </w:r>
      <w:r w:rsidR="00845BBF" w:rsidRPr="00C40D0C">
        <w:rPr>
          <w:rFonts w:ascii="Arial" w:hAnsi="Arial" w:cs="Arial"/>
          <w:sz w:val="24"/>
          <w:szCs w:val="24"/>
          <w:lang w:val="en-GB"/>
        </w:rPr>
        <w:t xml:space="preserve"> loan agreement between the </w:t>
      </w:r>
      <w:r w:rsidR="00845BBF">
        <w:rPr>
          <w:rFonts w:ascii="Arial" w:hAnsi="Arial" w:cs="Arial"/>
          <w:sz w:val="24"/>
          <w:szCs w:val="24"/>
          <w:lang w:val="en-GB"/>
        </w:rPr>
        <w:t xml:space="preserve">parties </w:t>
      </w:r>
      <w:r w:rsidR="00845BBF" w:rsidRPr="00C40D0C">
        <w:rPr>
          <w:rFonts w:ascii="Arial" w:hAnsi="Arial" w:cs="Arial"/>
          <w:sz w:val="24"/>
          <w:szCs w:val="24"/>
          <w:lang w:val="en-GB"/>
        </w:rPr>
        <w:t>was not one at arm's length</w:t>
      </w:r>
      <w:r w:rsidR="00845BBF">
        <w:rPr>
          <w:rFonts w:ascii="Arial" w:hAnsi="Arial" w:cs="Arial"/>
          <w:sz w:val="24"/>
          <w:szCs w:val="24"/>
          <w:lang w:val="en-GB"/>
        </w:rPr>
        <w:t xml:space="preserve">. </w:t>
      </w:r>
      <w:r w:rsidR="00845BBF" w:rsidRPr="00C40D0C">
        <w:rPr>
          <w:rFonts w:ascii="Arial" w:hAnsi="Arial" w:cs="Arial"/>
          <w:sz w:val="24"/>
          <w:szCs w:val="24"/>
          <w:lang w:val="en-GB"/>
        </w:rPr>
        <w:t xml:space="preserve"> </w:t>
      </w:r>
      <w:r w:rsidR="00845BBF" w:rsidRPr="002E3A26">
        <w:rPr>
          <w:rFonts w:ascii="Arial" w:hAnsi="Arial" w:cs="Arial"/>
          <w:sz w:val="24"/>
          <w:szCs w:val="24"/>
          <w:lang w:val="en-GB"/>
        </w:rPr>
        <w:t>The transaction therefore falls within the ambit of the</w:t>
      </w:r>
      <w:r w:rsidR="00AB39F1">
        <w:rPr>
          <w:rFonts w:ascii="Arial" w:hAnsi="Arial" w:cs="Arial"/>
          <w:sz w:val="24"/>
          <w:szCs w:val="24"/>
          <w:lang w:val="en-GB"/>
        </w:rPr>
        <w:t xml:space="preserve"> provisions of section 4 (2)(b)</w:t>
      </w:r>
      <w:r w:rsidR="00845BBF" w:rsidRPr="002E3A26">
        <w:rPr>
          <w:rFonts w:ascii="Arial" w:hAnsi="Arial" w:cs="Arial"/>
          <w:sz w:val="24"/>
          <w:szCs w:val="24"/>
          <w:lang w:val="en-GB"/>
        </w:rPr>
        <w:t>(iii) of the NCA.</w:t>
      </w:r>
    </w:p>
    <w:p w14:paraId="45872129" w14:textId="7021CF64" w:rsidR="00845BBF" w:rsidRPr="002E3A26" w:rsidRDefault="00845BBF" w:rsidP="00845BBF">
      <w:pPr>
        <w:spacing w:after="240" w:line="480" w:lineRule="auto"/>
        <w:jc w:val="both"/>
        <w:rPr>
          <w:rFonts w:ascii="Arial" w:hAnsi="Arial" w:cs="Arial"/>
          <w:sz w:val="24"/>
          <w:szCs w:val="24"/>
          <w:lang w:val="en-GB"/>
        </w:rPr>
      </w:pPr>
      <w:r w:rsidRPr="002E3A26" w:rsidDel="00F55615">
        <w:rPr>
          <w:rFonts w:ascii="Arial" w:hAnsi="Arial" w:cs="Arial"/>
          <w:b/>
          <w:bCs/>
          <w:sz w:val="24"/>
          <w:szCs w:val="24"/>
          <w:lang w:val="en-GB"/>
        </w:rPr>
        <w:t xml:space="preserve"> </w:t>
      </w:r>
      <w:r w:rsidR="006245CE">
        <w:rPr>
          <w:rFonts w:ascii="Arial" w:hAnsi="Arial" w:cs="Arial"/>
          <w:sz w:val="24"/>
          <w:szCs w:val="24"/>
          <w:lang w:val="en-GB"/>
        </w:rPr>
        <w:t>[30</w:t>
      </w:r>
      <w:r w:rsidRPr="002E3A26">
        <w:rPr>
          <w:rFonts w:ascii="Arial" w:hAnsi="Arial" w:cs="Arial"/>
          <w:sz w:val="24"/>
          <w:szCs w:val="24"/>
          <w:lang w:val="en-GB"/>
        </w:rPr>
        <w:t>]</w:t>
      </w:r>
      <w:r w:rsidRPr="002E3A26">
        <w:rPr>
          <w:rFonts w:ascii="Arial" w:hAnsi="Arial" w:cs="Arial"/>
          <w:sz w:val="24"/>
          <w:szCs w:val="24"/>
          <w:lang w:val="en-GB"/>
        </w:rPr>
        <w:tab/>
        <w:t>As a result the following order is made:</w:t>
      </w:r>
    </w:p>
    <w:p w14:paraId="6C0FFAC0" w14:textId="73090258" w:rsidR="00845BBF" w:rsidRPr="00845BBF" w:rsidRDefault="00AB39F1" w:rsidP="00AB39F1">
      <w:pPr>
        <w:spacing w:after="240" w:line="480" w:lineRule="auto"/>
        <w:ind w:firstLine="720"/>
        <w:jc w:val="both"/>
        <w:rPr>
          <w:rFonts w:ascii="Arial" w:hAnsi="Arial" w:cs="Arial"/>
          <w:sz w:val="24"/>
          <w:szCs w:val="24"/>
          <w:lang w:val="en-GB"/>
        </w:rPr>
      </w:pPr>
      <w:r>
        <w:rPr>
          <w:rFonts w:ascii="Arial" w:hAnsi="Arial" w:cs="Arial"/>
          <w:sz w:val="24"/>
          <w:szCs w:val="24"/>
          <w:lang w:val="en-GB"/>
        </w:rPr>
        <w:t xml:space="preserve">1. </w:t>
      </w:r>
      <w:r w:rsidR="00845BBF" w:rsidRPr="002E3A26">
        <w:rPr>
          <w:rFonts w:ascii="Arial" w:hAnsi="Arial" w:cs="Arial"/>
          <w:sz w:val="24"/>
          <w:szCs w:val="24"/>
          <w:lang w:val="en-GB"/>
        </w:rPr>
        <w:t>The</w:t>
      </w:r>
      <w:r w:rsidR="00845BBF">
        <w:rPr>
          <w:rFonts w:ascii="Arial" w:hAnsi="Arial" w:cs="Arial"/>
          <w:sz w:val="24"/>
          <w:szCs w:val="24"/>
          <w:lang w:val="en-GB"/>
        </w:rPr>
        <w:t xml:space="preserve"> appeal is dismissed with costs.</w:t>
      </w:r>
    </w:p>
    <w:p w14:paraId="3C13975A" w14:textId="77777777" w:rsidR="00845BBF" w:rsidRPr="002E3A26" w:rsidRDefault="00845BBF" w:rsidP="00845BBF">
      <w:pPr>
        <w:spacing w:after="0" w:line="480" w:lineRule="auto"/>
        <w:jc w:val="both"/>
        <w:rPr>
          <w:rFonts w:ascii="Arial" w:eastAsia="Calibri" w:hAnsi="Arial" w:cs="Arial"/>
          <w:sz w:val="24"/>
          <w:szCs w:val="24"/>
        </w:rPr>
      </w:pPr>
    </w:p>
    <w:p w14:paraId="56A23E6C" w14:textId="77777777" w:rsidR="00845BBF" w:rsidRPr="002E3A26" w:rsidRDefault="00845BBF" w:rsidP="00845BBF">
      <w:pPr>
        <w:spacing w:after="0" w:line="480" w:lineRule="auto"/>
        <w:ind w:firstLine="720"/>
        <w:jc w:val="right"/>
        <w:rPr>
          <w:rFonts w:ascii="Arial" w:eastAsia="Calibri" w:hAnsi="Arial" w:cs="Arial"/>
          <w:b/>
          <w:sz w:val="24"/>
          <w:szCs w:val="24"/>
        </w:rPr>
      </w:pPr>
      <w:r w:rsidRPr="002E3A26">
        <w:rPr>
          <w:rFonts w:ascii="Arial" w:eastAsia="Calibri" w:hAnsi="Arial" w:cs="Arial"/>
          <w:b/>
          <w:sz w:val="24"/>
          <w:szCs w:val="24"/>
        </w:rPr>
        <w:t xml:space="preserve">                                                                  _________________</w:t>
      </w:r>
    </w:p>
    <w:p w14:paraId="29419033" w14:textId="77777777" w:rsidR="00845BBF" w:rsidRPr="002E3A26" w:rsidRDefault="00845BBF" w:rsidP="006315C9">
      <w:pPr>
        <w:spacing w:after="0" w:line="480" w:lineRule="auto"/>
        <w:ind w:firstLine="720"/>
        <w:jc w:val="right"/>
        <w:rPr>
          <w:rFonts w:ascii="Arial" w:eastAsia="Calibri" w:hAnsi="Arial" w:cs="Arial"/>
          <w:b/>
          <w:sz w:val="24"/>
          <w:szCs w:val="24"/>
        </w:rPr>
      </w:pPr>
      <w:r w:rsidRPr="002E3A26">
        <w:rPr>
          <w:rFonts w:ascii="Arial" w:eastAsia="Calibri" w:hAnsi="Arial" w:cs="Arial"/>
          <w:b/>
          <w:sz w:val="24"/>
          <w:szCs w:val="24"/>
        </w:rPr>
        <w:t xml:space="preserve">                                                                   </w:t>
      </w:r>
      <w:r w:rsidRPr="002E3A26">
        <w:rPr>
          <w:rFonts w:ascii="Arial" w:eastAsia="Calibri" w:hAnsi="Arial" w:cs="Arial"/>
          <w:b/>
          <w:sz w:val="24"/>
          <w:szCs w:val="24"/>
        </w:rPr>
        <w:tab/>
        <w:t xml:space="preserve">      WEINER J</w:t>
      </w:r>
    </w:p>
    <w:p w14:paraId="5345BBA2" w14:textId="77777777" w:rsidR="00845BBF" w:rsidRPr="002E3A26" w:rsidRDefault="00845BBF" w:rsidP="006315C9">
      <w:pPr>
        <w:spacing w:after="0" w:line="480" w:lineRule="auto"/>
        <w:jc w:val="right"/>
        <w:rPr>
          <w:rFonts w:ascii="Arial" w:eastAsia="Calibri" w:hAnsi="Arial" w:cs="Arial"/>
          <w:sz w:val="24"/>
          <w:szCs w:val="24"/>
        </w:rPr>
      </w:pPr>
      <w:r w:rsidRPr="002E3A26">
        <w:rPr>
          <w:rFonts w:ascii="Arial" w:eastAsia="Calibri" w:hAnsi="Arial" w:cs="Arial"/>
          <w:b/>
          <w:sz w:val="24"/>
          <w:szCs w:val="24"/>
        </w:rPr>
        <w:t xml:space="preserve">                          JUDGE OF THE HIGH COURT OF SOUTH AFRICA</w:t>
      </w:r>
    </w:p>
    <w:p w14:paraId="5E5D9203" w14:textId="3D018DCF" w:rsidR="00845BBF" w:rsidRPr="002E3A26" w:rsidRDefault="00845BBF" w:rsidP="006315C9">
      <w:pPr>
        <w:tabs>
          <w:tab w:val="left" w:pos="2410"/>
        </w:tabs>
        <w:spacing w:after="0" w:line="480" w:lineRule="auto"/>
        <w:ind w:left="720" w:hanging="720"/>
        <w:jc w:val="right"/>
        <w:rPr>
          <w:rFonts w:ascii="Arial" w:eastAsia="Calibri" w:hAnsi="Arial" w:cs="Arial"/>
          <w:b/>
          <w:sz w:val="24"/>
          <w:szCs w:val="24"/>
        </w:rPr>
      </w:pPr>
      <w:r w:rsidRPr="002E3A26">
        <w:rPr>
          <w:rFonts w:ascii="Arial" w:eastAsia="Calibri" w:hAnsi="Arial" w:cs="Arial"/>
          <w:b/>
          <w:sz w:val="24"/>
          <w:szCs w:val="24"/>
        </w:rPr>
        <w:t xml:space="preserve">                                                               GAUTENG LOCAL DIVISION</w:t>
      </w:r>
    </w:p>
    <w:p w14:paraId="46B760BF" w14:textId="77777777" w:rsidR="00845BBF" w:rsidRPr="002E3A26" w:rsidRDefault="00845BBF" w:rsidP="00845BBF">
      <w:pPr>
        <w:tabs>
          <w:tab w:val="left" w:pos="2410"/>
        </w:tabs>
        <w:spacing w:before="240" w:after="0" w:line="480" w:lineRule="auto"/>
        <w:ind w:left="720" w:hanging="720"/>
        <w:jc w:val="both"/>
        <w:rPr>
          <w:rFonts w:ascii="Arial" w:eastAsia="Times New Roman" w:hAnsi="Arial" w:cs="Arial"/>
          <w:b/>
          <w:sz w:val="24"/>
          <w:szCs w:val="24"/>
        </w:rPr>
      </w:pPr>
      <w:r w:rsidRPr="002E3A26">
        <w:rPr>
          <w:rFonts w:ascii="Arial" w:eastAsia="Times New Roman" w:hAnsi="Arial" w:cs="Arial"/>
          <w:b/>
          <w:sz w:val="24"/>
          <w:szCs w:val="24"/>
        </w:rPr>
        <w:lastRenderedPageBreak/>
        <w:t xml:space="preserve"> </w:t>
      </w:r>
    </w:p>
    <w:p w14:paraId="04074932" w14:textId="77777777" w:rsidR="00845BBF" w:rsidRPr="002E3A26" w:rsidRDefault="00845BBF" w:rsidP="00845BBF">
      <w:pPr>
        <w:spacing w:after="0" w:line="480" w:lineRule="auto"/>
        <w:jc w:val="both"/>
        <w:rPr>
          <w:rFonts w:ascii="Arial" w:eastAsia="Calibri" w:hAnsi="Arial" w:cs="Arial"/>
          <w:sz w:val="24"/>
          <w:szCs w:val="24"/>
        </w:rPr>
      </w:pPr>
      <w:r w:rsidRPr="002E3A26">
        <w:rPr>
          <w:rFonts w:ascii="Arial" w:eastAsia="Calibri" w:hAnsi="Arial" w:cs="Arial"/>
          <w:sz w:val="24"/>
          <w:szCs w:val="24"/>
        </w:rPr>
        <w:t xml:space="preserve">I agree. </w:t>
      </w:r>
    </w:p>
    <w:p w14:paraId="71E2E8CF" w14:textId="7FAA176F" w:rsidR="00845BBF" w:rsidRPr="002E3A26" w:rsidRDefault="00845BBF" w:rsidP="00845BBF">
      <w:pPr>
        <w:spacing w:after="0" w:line="480" w:lineRule="auto"/>
        <w:jc w:val="both"/>
        <w:rPr>
          <w:rFonts w:ascii="Arial" w:eastAsia="Calibri" w:hAnsi="Arial" w:cs="Arial"/>
          <w:sz w:val="24"/>
          <w:szCs w:val="24"/>
        </w:rPr>
      </w:pPr>
    </w:p>
    <w:p w14:paraId="290A3E58" w14:textId="77777777" w:rsidR="00845BBF" w:rsidRPr="002E3A26" w:rsidRDefault="00845BBF" w:rsidP="00845BBF">
      <w:pPr>
        <w:spacing w:after="0" w:line="480" w:lineRule="auto"/>
        <w:ind w:firstLine="720"/>
        <w:jc w:val="right"/>
        <w:rPr>
          <w:rFonts w:ascii="Arial" w:eastAsia="Calibri" w:hAnsi="Arial" w:cs="Arial"/>
          <w:b/>
          <w:sz w:val="24"/>
          <w:szCs w:val="24"/>
        </w:rPr>
      </w:pPr>
      <w:r w:rsidRPr="002E3A26">
        <w:rPr>
          <w:rFonts w:ascii="Arial" w:eastAsia="Calibri" w:hAnsi="Arial" w:cs="Arial"/>
          <w:b/>
          <w:sz w:val="24"/>
          <w:szCs w:val="24"/>
        </w:rPr>
        <w:t xml:space="preserve">                                                                  _________________</w:t>
      </w:r>
    </w:p>
    <w:p w14:paraId="0906743D" w14:textId="77777777" w:rsidR="00845BBF" w:rsidRPr="002E3A26" w:rsidRDefault="00845BBF" w:rsidP="006315C9">
      <w:pPr>
        <w:spacing w:after="0" w:line="276" w:lineRule="auto"/>
        <w:ind w:firstLine="720"/>
        <w:jc w:val="right"/>
        <w:rPr>
          <w:rFonts w:ascii="Arial" w:eastAsia="Calibri" w:hAnsi="Arial" w:cs="Arial"/>
          <w:b/>
          <w:sz w:val="24"/>
          <w:szCs w:val="24"/>
        </w:rPr>
      </w:pPr>
      <w:r w:rsidRPr="002E3A26">
        <w:rPr>
          <w:rFonts w:ascii="Arial" w:eastAsia="Calibri" w:hAnsi="Arial" w:cs="Arial"/>
          <w:b/>
          <w:sz w:val="24"/>
          <w:szCs w:val="24"/>
        </w:rPr>
        <w:t xml:space="preserve">                                                                   </w:t>
      </w:r>
      <w:r w:rsidRPr="002E3A26">
        <w:rPr>
          <w:rFonts w:ascii="Arial" w:eastAsia="Calibri" w:hAnsi="Arial" w:cs="Arial"/>
          <w:b/>
          <w:sz w:val="24"/>
          <w:szCs w:val="24"/>
        </w:rPr>
        <w:tab/>
        <w:t xml:space="preserve">       WINDELL J</w:t>
      </w:r>
    </w:p>
    <w:p w14:paraId="57A5F976" w14:textId="77777777" w:rsidR="00845BBF" w:rsidRPr="002E3A26" w:rsidRDefault="00845BBF" w:rsidP="006315C9">
      <w:pPr>
        <w:tabs>
          <w:tab w:val="left" w:pos="2410"/>
        </w:tabs>
        <w:spacing w:before="240" w:after="0" w:line="276" w:lineRule="auto"/>
        <w:ind w:left="720" w:hanging="720"/>
        <w:jc w:val="right"/>
        <w:rPr>
          <w:rFonts w:ascii="Arial" w:eastAsia="Calibri" w:hAnsi="Arial" w:cs="Arial"/>
          <w:b/>
          <w:sz w:val="24"/>
          <w:szCs w:val="24"/>
        </w:rPr>
      </w:pPr>
      <w:r w:rsidRPr="002E3A26">
        <w:rPr>
          <w:rFonts w:ascii="Arial" w:eastAsia="Calibri" w:hAnsi="Arial" w:cs="Arial"/>
          <w:b/>
          <w:sz w:val="24"/>
          <w:szCs w:val="24"/>
        </w:rPr>
        <w:t xml:space="preserve">                           JUDGE OF THE HIGH COURT OF SOUTH AFRICA</w:t>
      </w:r>
    </w:p>
    <w:p w14:paraId="156011A4" w14:textId="77777777" w:rsidR="00845BBF" w:rsidRDefault="00845BBF" w:rsidP="006315C9">
      <w:pPr>
        <w:tabs>
          <w:tab w:val="left" w:pos="2410"/>
        </w:tabs>
        <w:spacing w:before="240" w:after="0" w:line="276" w:lineRule="auto"/>
        <w:ind w:left="720" w:hanging="720"/>
        <w:jc w:val="right"/>
        <w:rPr>
          <w:rFonts w:ascii="Arial" w:eastAsia="Times New Roman" w:hAnsi="Arial" w:cs="Arial"/>
          <w:b/>
          <w:sz w:val="24"/>
          <w:szCs w:val="24"/>
        </w:rPr>
      </w:pPr>
      <w:r w:rsidRPr="002E3A26">
        <w:rPr>
          <w:rFonts w:ascii="Arial" w:eastAsia="Calibri" w:hAnsi="Arial" w:cs="Arial"/>
          <w:b/>
          <w:sz w:val="24"/>
          <w:szCs w:val="24"/>
        </w:rPr>
        <w:t xml:space="preserve">                                                               GAUTENG LOCAL DIVISION</w:t>
      </w:r>
      <w:r w:rsidRPr="002E3A26">
        <w:rPr>
          <w:rFonts w:ascii="Arial" w:eastAsia="Times New Roman" w:hAnsi="Arial" w:cs="Arial"/>
          <w:b/>
          <w:sz w:val="24"/>
          <w:szCs w:val="24"/>
        </w:rPr>
        <w:t xml:space="preserve"> </w:t>
      </w:r>
    </w:p>
    <w:p w14:paraId="21917807" w14:textId="77777777" w:rsidR="00845BBF" w:rsidRDefault="00845BBF" w:rsidP="00845BBF">
      <w:pPr>
        <w:tabs>
          <w:tab w:val="left" w:pos="2410"/>
        </w:tabs>
        <w:spacing w:before="240" w:after="0" w:line="480" w:lineRule="auto"/>
        <w:ind w:left="720" w:hanging="720"/>
        <w:jc w:val="right"/>
        <w:rPr>
          <w:rFonts w:ascii="Arial" w:eastAsia="Times New Roman" w:hAnsi="Arial" w:cs="Arial"/>
          <w:b/>
          <w:sz w:val="24"/>
          <w:szCs w:val="24"/>
        </w:rPr>
      </w:pPr>
    </w:p>
    <w:p w14:paraId="64B667E7" w14:textId="77777777" w:rsidR="00845BBF" w:rsidRPr="00C66575" w:rsidRDefault="00845BBF" w:rsidP="00845BBF">
      <w:pPr>
        <w:tabs>
          <w:tab w:val="left" w:pos="2410"/>
        </w:tabs>
        <w:spacing w:before="240" w:after="0" w:line="480" w:lineRule="auto"/>
        <w:ind w:left="720" w:hanging="720"/>
        <w:rPr>
          <w:rFonts w:ascii="Arial" w:eastAsia="Calibri" w:hAnsi="Arial" w:cs="Arial"/>
          <w:sz w:val="24"/>
          <w:szCs w:val="24"/>
        </w:rPr>
      </w:pPr>
      <w:r w:rsidRPr="00C66575">
        <w:rPr>
          <w:rFonts w:ascii="Arial" w:eastAsia="Times New Roman" w:hAnsi="Arial" w:cs="Arial"/>
          <w:sz w:val="24"/>
          <w:szCs w:val="24"/>
        </w:rPr>
        <w:t>I agree.</w:t>
      </w:r>
    </w:p>
    <w:p w14:paraId="44BCEE12" w14:textId="77777777" w:rsidR="00845BBF" w:rsidRPr="002E3A26" w:rsidRDefault="00845BBF" w:rsidP="00845BBF">
      <w:pPr>
        <w:spacing w:after="0" w:line="480" w:lineRule="auto"/>
        <w:jc w:val="right"/>
        <w:rPr>
          <w:rFonts w:ascii="Arial" w:eastAsia="Calibri" w:hAnsi="Arial" w:cs="Arial"/>
          <w:b/>
          <w:sz w:val="24"/>
          <w:szCs w:val="24"/>
        </w:rPr>
      </w:pPr>
      <w:r w:rsidRPr="002E3A26">
        <w:rPr>
          <w:rFonts w:ascii="Arial" w:eastAsia="Calibri" w:hAnsi="Arial" w:cs="Arial"/>
          <w:b/>
          <w:sz w:val="24"/>
          <w:szCs w:val="24"/>
        </w:rPr>
        <w:t xml:space="preserve">                                                                                  _________________</w:t>
      </w:r>
    </w:p>
    <w:p w14:paraId="1F060A9F" w14:textId="77777777" w:rsidR="00845BBF" w:rsidRPr="002E3A26" w:rsidRDefault="00845BBF" w:rsidP="006315C9">
      <w:pPr>
        <w:spacing w:after="0" w:line="360" w:lineRule="auto"/>
        <w:jc w:val="right"/>
        <w:rPr>
          <w:rFonts w:ascii="Arial" w:eastAsia="Calibri" w:hAnsi="Arial" w:cs="Arial"/>
          <w:sz w:val="24"/>
          <w:szCs w:val="24"/>
        </w:rPr>
      </w:pPr>
      <w:r w:rsidRPr="002E3A26">
        <w:rPr>
          <w:rFonts w:ascii="Arial" w:eastAsia="Calibri" w:hAnsi="Arial" w:cs="Arial"/>
          <w:b/>
          <w:sz w:val="24"/>
          <w:szCs w:val="24"/>
        </w:rPr>
        <w:t xml:space="preserve">                                                                                          NEMAVHIDI AJ</w:t>
      </w:r>
    </w:p>
    <w:p w14:paraId="45D246AF" w14:textId="3B520A57" w:rsidR="00845BBF" w:rsidRDefault="00845BBF" w:rsidP="006315C9">
      <w:pPr>
        <w:tabs>
          <w:tab w:val="left" w:pos="2410"/>
        </w:tabs>
        <w:spacing w:before="240" w:after="0" w:line="360" w:lineRule="auto"/>
        <w:ind w:left="720" w:hanging="720"/>
        <w:jc w:val="right"/>
        <w:rPr>
          <w:rFonts w:ascii="Arial" w:eastAsia="Calibri" w:hAnsi="Arial" w:cs="Arial"/>
          <w:b/>
          <w:sz w:val="24"/>
          <w:szCs w:val="24"/>
        </w:rPr>
      </w:pPr>
      <w:r w:rsidRPr="002E3A26">
        <w:rPr>
          <w:rFonts w:ascii="Arial" w:eastAsia="Calibri" w:hAnsi="Arial" w:cs="Arial"/>
          <w:b/>
          <w:sz w:val="24"/>
          <w:szCs w:val="24"/>
        </w:rPr>
        <w:t xml:space="preserve">                 </w:t>
      </w:r>
      <w:r w:rsidR="001E30E7">
        <w:rPr>
          <w:rFonts w:ascii="Arial" w:eastAsia="Calibri" w:hAnsi="Arial" w:cs="Arial"/>
          <w:b/>
          <w:sz w:val="24"/>
          <w:szCs w:val="24"/>
        </w:rPr>
        <w:t xml:space="preserve">ACTING </w:t>
      </w:r>
      <w:r w:rsidRPr="002E3A26">
        <w:rPr>
          <w:rFonts w:ascii="Arial" w:eastAsia="Calibri" w:hAnsi="Arial" w:cs="Arial"/>
          <w:b/>
          <w:sz w:val="24"/>
          <w:szCs w:val="24"/>
        </w:rPr>
        <w:t>JUDGE OF THE HIGH COURT OF SOUTH AFRICA</w:t>
      </w:r>
    </w:p>
    <w:p w14:paraId="664754C9" w14:textId="31B64696" w:rsidR="006315C9" w:rsidRDefault="006315C9" w:rsidP="006315C9">
      <w:pPr>
        <w:tabs>
          <w:tab w:val="left" w:pos="2410"/>
        </w:tabs>
        <w:spacing w:before="240" w:after="0" w:line="360" w:lineRule="auto"/>
        <w:ind w:left="720" w:hanging="720"/>
        <w:jc w:val="right"/>
        <w:rPr>
          <w:rFonts w:ascii="Arial" w:eastAsia="Calibri" w:hAnsi="Arial" w:cs="Arial"/>
          <w:b/>
          <w:sz w:val="24"/>
          <w:szCs w:val="24"/>
        </w:rPr>
      </w:pPr>
      <w:r>
        <w:rPr>
          <w:rFonts w:ascii="Arial" w:eastAsia="Calibri" w:hAnsi="Arial" w:cs="Arial"/>
          <w:b/>
          <w:sz w:val="24"/>
          <w:szCs w:val="24"/>
        </w:rPr>
        <w:t>GAUTENG LOCAL DIVISION</w:t>
      </w:r>
    </w:p>
    <w:p w14:paraId="323B96D6" w14:textId="26C17236" w:rsidR="00C36BAE" w:rsidRPr="008D17E7" w:rsidRDefault="00C36BAE" w:rsidP="00C66575">
      <w:pPr>
        <w:suppressAutoHyphens/>
        <w:spacing w:before="240" w:line="240" w:lineRule="auto"/>
        <w:jc w:val="both"/>
        <w:rPr>
          <w:rFonts w:ascii="Arial" w:eastAsia="Times New Roman" w:hAnsi="Arial" w:cs="Arial"/>
          <w:sz w:val="24"/>
          <w:szCs w:val="24"/>
        </w:rPr>
      </w:pPr>
      <w:r w:rsidRPr="008B7898">
        <w:rPr>
          <w:rFonts w:ascii="Arial" w:eastAsia="Times New Roman" w:hAnsi="Arial" w:cs="Arial"/>
          <w:b/>
          <w:sz w:val="24"/>
          <w:szCs w:val="24"/>
          <w:u w:val="single" w:color="000000"/>
        </w:rPr>
        <w:t>APPEARANCES</w:t>
      </w:r>
    </w:p>
    <w:p w14:paraId="33166696" w14:textId="0C60F462" w:rsidR="00C36BAE" w:rsidRDefault="00647588" w:rsidP="00C36BA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Counsel for the appellant: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Adv. N.J. Riley</w:t>
      </w:r>
    </w:p>
    <w:p w14:paraId="7D6A4FF8" w14:textId="5018632D" w:rsidR="00C36BAE" w:rsidRDefault="00C36BAE" w:rsidP="00C36BA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Ins</w:t>
      </w:r>
      <w:r w:rsidR="00647588">
        <w:rPr>
          <w:rFonts w:ascii="Arial" w:eastAsia="Times New Roman" w:hAnsi="Arial" w:cs="Arial"/>
          <w:sz w:val="24"/>
          <w:szCs w:val="24"/>
        </w:rPr>
        <w:t>tructed by:</w:t>
      </w:r>
      <w:r w:rsidR="00647588">
        <w:rPr>
          <w:rFonts w:ascii="Arial" w:eastAsia="Times New Roman" w:hAnsi="Arial" w:cs="Arial"/>
          <w:sz w:val="24"/>
          <w:szCs w:val="24"/>
        </w:rPr>
        <w:tab/>
      </w:r>
      <w:r w:rsidR="00647588">
        <w:rPr>
          <w:rFonts w:ascii="Arial" w:eastAsia="Times New Roman" w:hAnsi="Arial" w:cs="Arial"/>
          <w:sz w:val="24"/>
          <w:szCs w:val="24"/>
        </w:rPr>
        <w:tab/>
      </w:r>
      <w:r w:rsidR="00647588">
        <w:rPr>
          <w:rFonts w:ascii="Arial" w:eastAsia="Times New Roman" w:hAnsi="Arial" w:cs="Arial"/>
          <w:sz w:val="24"/>
          <w:szCs w:val="24"/>
        </w:rPr>
        <w:tab/>
      </w:r>
      <w:r w:rsidR="00647588">
        <w:rPr>
          <w:rFonts w:ascii="Arial" w:eastAsia="Times New Roman" w:hAnsi="Arial" w:cs="Arial"/>
          <w:sz w:val="24"/>
          <w:szCs w:val="24"/>
        </w:rPr>
        <w:tab/>
      </w:r>
      <w:r w:rsidR="006245CE">
        <w:rPr>
          <w:rFonts w:ascii="Arial" w:eastAsia="Times New Roman" w:hAnsi="Arial" w:cs="Arial"/>
          <w:sz w:val="24"/>
          <w:szCs w:val="24"/>
        </w:rPr>
        <w:t>Mendelson</w:t>
      </w:r>
      <w:r w:rsidR="00647588">
        <w:rPr>
          <w:rFonts w:ascii="Arial" w:eastAsia="Times New Roman" w:hAnsi="Arial" w:cs="Arial"/>
          <w:sz w:val="24"/>
          <w:szCs w:val="24"/>
        </w:rPr>
        <w:t xml:space="preserve"> Attorneys</w:t>
      </w:r>
      <w:r w:rsidR="006245CE">
        <w:rPr>
          <w:rFonts w:ascii="Arial" w:eastAsia="Times New Roman" w:hAnsi="Arial" w:cs="Arial"/>
          <w:sz w:val="24"/>
          <w:szCs w:val="24"/>
        </w:rPr>
        <w:t xml:space="preserve"> Inc.</w:t>
      </w:r>
    </w:p>
    <w:p w14:paraId="728AE83C" w14:textId="7DC156BD" w:rsidR="00C36BAE" w:rsidRDefault="00C36BAE" w:rsidP="00C36BAE">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Counsel for the </w:t>
      </w:r>
      <w:r w:rsidR="00647588">
        <w:rPr>
          <w:rFonts w:ascii="Arial" w:eastAsia="Times New Roman" w:hAnsi="Arial" w:cs="Arial"/>
          <w:sz w:val="24"/>
          <w:szCs w:val="24"/>
        </w:rPr>
        <w:t>respondent:</w:t>
      </w:r>
      <w:r w:rsidR="00647588">
        <w:rPr>
          <w:rFonts w:ascii="Arial" w:eastAsia="Times New Roman" w:hAnsi="Arial" w:cs="Arial"/>
          <w:sz w:val="24"/>
          <w:szCs w:val="24"/>
        </w:rPr>
        <w:tab/>
      </w:r>
      <w:r w:rsidR="00647588">
        <w:rPr>
          <w:rFonts w:ascii="Arial" w:eastAsia="Times New Roman" w:hAnsi="Arial" w:cs="Arial"/>
          <w:sz w:val="24"/>
          <w:szCs w:val="24"/>
        </w:rPr>
        <w:tab/>
        <w:t>Adv. A. Williamson</w:t>
      </w:r>
    </w:p>
    <w:p w14:paraId="4074E80F" w14:textId="21C2F9B7" w:rsidR="0078222A" w:rsidRDefault="00C36BAE" w:rsidP="00647588">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Instructed by: </w:t>
      </w:r>
      <w:r w:rsidR="00647588">
        <w:rPr>
          <w:rFonts w:ascii="Arial" w:eastAsia="Times New Roman" w:hAnsi="Arial" w:cs="Arial"/>
          <w:sz w:val="24"/>
          <w:szCs w:val="24"/>
        </w:rPr>
        <w:tab/>
      </w:r>
      <w:r w:rsidR="00647588">
        <w:rPr>
          <w:rFonts w:ascii="Arial" w:eastAsia="Times New Roman" w:hAnsi="Arial" w:cs="Arial"/>
          <w:sz w:val="24"/>
          <w:szCs w:val="24"/>
        </w:rPr>
        <w:tab/>
      </w:r>
      <w:r w:rsidR="00647588">
        <w:rPr>
          <w:rFonts w:ascii="Arial" w:eastAsia="Times New Roman" w:hAnsi="Arial" w:cs="Arial"/>
          <w:sz w:val="24"/>
          <w:szCs w:val="24"/>
        </w:rPr>
        <w:tab/>
      </w:r>
      <w:r w:rsidR="00647588">
        <w:rPr>
          <w:rFonts w:ascii="Arial" w:eastAsia="Times New Roman" w:hAnsi="Arial" w:cs="Arial"/>
          <w:sz w:val="24"/>
          <w:szCs w:val="24"/>
        </w:rPr>
        <w:tab/>
      </w:r>
      <w:r w:rsidR="0078222A">
        <w:rPr>
          <w:rFonts w:ascii="Arial" w:eastAsia="Times New Roman" w:hAnsi="Arial" w:cs="Arial"/>
          <w:sz w:val="24"/>
          <w:szCs w:val="24"/>
        </w:rPr>
        <w:t>Wayne Venter Attorneys</w:t>
      </w:r>
    </w:p>
    <w:p w14:paraId="461CAD87" w14:textId="152E19E1" w:rsidR="00C36BAE" w:rsidRDefault="0078222A" w:rsidP="00647588">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 xml:space="preserve">Date of hearing:                                       </w:t>
      </w:r>
      <w:r w:rsidR="00647588">
        <w:rPr>
          <w:rFonts w:ascii="Arial" w:eastAsia="Times New Roman" w:hAnsi="Arial" w:cs="Arial"/>
          <w:sz w:val="24"/>
          <w:szCs w:val="24"/>
        </w:rPr>
        <w:t>26 January 2022</w:t>
      </w:r>
    </w:p>
    <w:p w14:paraId="6C55F446" w14:textId="4C0314F3" w:rsidR="00C36BAE" w:rsidRPr="00867DE1" w:rsidRDefault="00C36BAE" w:rsidP="00C36BAE">
      <w:pPr>
        <w:suppressAutoHyphens/>
        <w:spacing w:after="320" w:line="276" w:lineRule="auto"/>
        <w:ind w:left="1361" w:hanging="1361"/>
        <w:jc w:val="both"/>
        <w:outlineLvl w:val="1"/>
        <w:rPr>
          <w:rFonts w:ascii="Arial" w:hAnsi="Arial" w:cs="Arial"/>
          <w:sz w:val="24"/>
          <w:szCs w:val="24"/>
        </w:rPr>
      </w:pPr>
      <w:r>
        <w:rPr>
          <w:rFonts w:ascii="Arial" w:eastAsia="Times New Roman" w:hAnsi="Arial" w:cs="Arial"/>
          <w:sz w:val="24"/>
          <w:szCs w:val="24"/>
        </w:rPr>
        <w:t xml:space="preserve">Date of judgment:                  </w:t>
      </w:r>
      <w:r w:rsidR="00647588">
        <w:rPr>
          <w:rFonts w:ascii="Arial" w:eastAsia="Times New Roman" w:hAnsi="Arial" w:cs="Arial"/>
          <w:sz w:val="24"/>
          <w:szCs w:val="24"/>
        </w:rPr>
        <w:t xml:space="preserve">                   </w:t>
      </w:r>
      <w:r w:rsidR="006315C9">
        <w:rPr>
          <w:rFonts w:ascii="Arial" w:eastAsia="Times New Roman" w:hAnsi="Arial" w:cs="Arial"/>
          <w:sz w:val="24"/>
          <w:szCs w:val="24"/>
        </w:rPr>
        <w:t>31 May 2022</w:t>
      </w:r>
    </w:p>
    <w:p w14:paraId="4CEDD17A" w14:textId="77777777" w:rsidR="00845BBF" w:rsidRPr="002E3A26" w:rsidRDefault="00845BBF" w:rsidP="00845BBF">
      <w:pPr>
        <w:tabs>
          <w:tab w:val="left" w:pos="2410"/>
        </w:tabs>
        <w:spacing w:before="240" w:after="0" w:line="480" w:lineRule="auto"/>
        <w:ind w:left="720" w:hanging="720"/>
        <w:jc w:val="both"/>
        <w:rPr>
          <w:rFonts w:ascii="Arial" w:eastAsia="Calibri" w:hAnsi="Arial" w:cs="Arial"/>
          <w:b/>
          <w:sz w:val="24"/>
          <w:szCs w:val="24"/>
        </w:rPr>
      </w:pPr>
    </w:p>
    <w:p w14:paraId="5A8A2483" w14:textId="77777777" w:rsidR="00845BBF" w:rsidRPr="002E3A26" w:rsidRDefault="00845BBF" w:rsidP="00845BBF">
      <w:pPr>
        <w:tabs>
          <w:tab w:val="left" w:pos="2835"/>
        </w:tabs>
        <w:spacing w:after="0" w:line="480" w:lineRule="auto"/>
        <w:jc w:val="both"/>
        <w:rPr>
          <w:rFonts w:ascii="Arial" w:eastAsia="Calibri" w:hAnsi="Arial" w:cs="Arial"/>
          <w:b/>
          <w:sz w:val="24"/>
          <w:szCs w:val="24"/>
        </w:rPr>
      </w:pPr>
    </w:p>
    <w:p w14:paraId="00A7A4B6" w14:textId="77777777" w:rsidR="00845BBF" w:rsidRPr="002E3A26" w:rsidRDefault="00845BBF" w:rsidP="00845BBF">
      <w:pPr>
        <w:tabs>
          <w:tab w:val="left" w:pos="2835"/>
        </w:tabs>
        <w:spacing w:after="0" w:line="480" w:lineRule="auto"/>
        <w:jc w:val="both"/>
        <w:rPr>
          <w:rFonts w:ascii="Arial" w:eastAsia="Times New Roman" w:hAnsi="Arial" w:cs="Arial"/>
          <w:b/>
          <w:sz w:val="24"/>
          <w:szCs w:val="24"/>
        </w:rPr>
      </w:pPr>
    </w:p>
    <w:p w14:paraId="33DBB3E0" w14:textId="77777777" w:rsidR="00E4234F" w:rsidRDefault="00E4234F"/>
    <w:sectPr w:rsidR="00E4234F" w:rsidSect="00C66575">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E4107" w16cex:dateUtc="2022-05-29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3266C" w16cid:durableId="263E41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4AAB" w14:textId="77777777" w:rsidR="00D20BE4" w:rsidRDefault="00D20BE4" w:rsidP="00845BBF">
      <w:pPr>
        <w:spacing w:after="0" w:line="240" w:lineRule="auto"/>
      </w:pPr>
      <w:r>
        <w:separator/>
      </w:r>
    </w:p>
  </w:endnote>
  <w:endnote w:type="continuationSeparator" w:id="0">
    <w:p w14:paraId="2137A92E" w14:textId="77777777" w:rsidR="00D20BE4" w:rsidRDefault="00D20BE4" w:rsidP="0084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21AC" w14:textId="77777777" w:rsidR="00D20BE4" w:rsidRDefault="00D20BE4" w:rsidP="00845BBF">
      <w:pPr>
        <w:spacing w:after="0" w:line="240" w:lineRule="auto"/>
      </w:pPr>
      <w:r>
        <w:separator/>
      </w:r>
    </w:p>
  </w:footnote>
  <w:footnote w:type="continuationSeparator" w:id="0">
    <w:p w14:paraId="70587231" w14:textId="77777777" w:rsidR="00D20BE4" w:rsidRDefault="00D20BE4" w:rsidP="00845BBF">
      <w:pPr>
        <w:spacing w:after="0" w:line="240" w:lineRule="auto"/>
      </w:pPr>
      <w:r>
        <w:continuationSeparator/>
      </w:r>
    </w:p>
  </w:footnote>
  <w:footnote w:id="1">
    <w:p w14:paraId="60120775" w14:textId="3A349451" w:rsidR="008A4BAC" w:rsidRPr="008A4BAC" w:rsidRDefault="008A4BAC">
      <w:pPr>
        <w:pStyle w:val="FootnoteText"/>
        <w:rPr>
          <w:rFonts w:ascii="Arial" w:hAnsi="Arial" w:cs="Arial"/>
          <w:lang w:val="en-GB"/>
        </w:rPr>
      </w:pPr>
      <w:r w:rsidRPr="008A4BAC">
        <w:rPr>
          <w:rStyle w:val="FootnoteReference"/>
          <w:rFonts w:ascii="Arial" w:hAnsi="Arial" w:cs="Arial"/>
        </w:rPr>
        <w:footnoteRef/>
      </w:r>
      <w:r w:rsidRPr="008A4BAC">
        <w:rPr>
          <w:rFonts w:ascii="Arial" w:hAnsi="Arial" w:cs="Arial"/>
        </w:rPr>
        <w:t xml:space="preserve"> </w:t>
      </w:r>
      <w:r w:rsidRPr="00AB39F1">
        <w:rPr>
          <w:rFonts w:ascii="Arial" w:hAnsi="Arial" w:cs="Arial"/>
          <w:i/>
          <w:lang w:val="en-GB"/>
        </w:rPr>
        <w:t>Du Bruyn NO and Others v Karsten</w:t>
      </w:r>
      <w:r w:rsidRPr="008A4BAC">
        <w:rPr>
          <w:rFonts w:ascii="Arial" w:hAnsi="Arial" w:cs="Arial"/>
          <w:lang w:val="en-GB"/>
        </w:rPr>
        <w:t xml:space="preserve"> 2019 (1) SA 403 (SCA) at [28</w:t>
      </w:r>
      <w:r w:rsidR="00561ACB">
        <w:rPr>
          <w:rFonts w:ascii="Arial" w:hAnsi="Arial" w:cs="Arial"/>
          <w:lang w:val="en-GB"/>
        </w:rPr>
        <w:t>]</w:t>
      </w:r>
      <w:r w:rsidRPr="008A4BAC">
        <w:rPr>
          <w:rFonts w:ascii="Arial" w:hAnsi="Arial" w:cs="Arial"/>
          <w:lang w:val="en-GB"/>
        </w:rPr>
        <w:t xml:space="preserve">. </w:t>
      </w:r>
    </w:p>
  </w:footnote>
  <w:footnote w:id="2">
    <w:p w14:paraId="2EB50373" w14:textId="697681E0" w:rsidR="00E4234F" w:rsidRPr="00BD32A0" w:rsidRDefault="00E4234F" w:rsidP="00845BBF">
      <w:pPr>
        <w:pStyle w:val="FootnoteText"/>
        <w:rPr>
          <w:rFonts w:ascii="Arial" w:hAnsi="Arial" w:cs="Arial"/>
          <w:lang w:val="en-GB"/>
        </w:rPr>
      </w:pPr>
      <w:r w:rsidRPr="00BD32A0">
        <w:rPr>
          <w:rStyle w:val="FootnoteReference"/>
          <w:rFonts w:ascii="Arial" w:hAnsi="Arial" w:cs="Arial"/>
        </w:rPr>
        <w:footnoteRef/>
      </w:r>
      <w:r w:rsidRPr="00BD32A0">
        <w:rPr>
          <w:rFonts w:ascii="Arial" w:hAnsi="Arial" w:cs="Arial"/>
        </w:rPr>
        <w:t xml:space="preserve"> </w:t>
      </w:r>
      <w:r w:rsidRPr="00BD32A0">
        <w:rPr>
          <w:rFonts w:ascii="Arial" w:eastAsia="Times New Roman" w:hAnsi="Arial" w:cs="Arial"/>
          <w:bCs/>
          <w:color w:val="000000"/>
          <w:lang w:eastAsia="en-ZA"/>
        </w:rPr>
        <w:t>2010 (2) SA 181 (CC)</w:t>
      </w:r>
      <w:r w:rsidR="00DC0128">
        <w:rPr>
          <w:rFonts w:ascii="Arial" w:eastAsia="Times New Roman" w:hAnsi="Arial" w:cs="Arial"/>
          <w:bCs/>
          <w:color w:val="000000"/>
          <w:lang w:eastAsia="en-ZA"/>
        </w:rPr>
        <w:t>.</w:t>
      </w:r>
    </w:p>
  </w:footnote>
  <w:footnote w:id="3">
    <w:p w14:paraId="7152147D" w14:textId="781C6108" w:rsidR="00E4234F" w:rsidRPr="006B0B29" w:rsidRDefault="00E4234F" w:rsidP="00845BBF">
      <w:pPr>
        <w:pStyle w:val="FootnoteText"/>
        <w:rPr>
          <w:rFonts w:ascii="Arial" w:hAnsi="Arial" w:cs="Arial"/>
          <w:lang w:val="en-GB"/>
        </w:rPr>
      </w:pPr>
      <w:r w:rsidRPr="006B0B29">
        <w:rPr>
          <w:rStyle w:val="FootnoteReference"/>
          <w:rFonts w:ascii="Arial" w:hAnsi="Arial" w:cs="Arial"/>
        </w:rPr>
        <w:footnoteRef/>
      </w:r>
      <w:r w:rsidRPr="006B0B29">
        <w:rPr>
          <w:rFonts w:ascii="Arial" w:hAnsi="Arial" w:cs="Arial"/>
        </w:rPr>
        <w:t xml:space="preserve"> </w:t>
      </w:r>
      <w:r w:rsidRPr="002E3A26">
        <w:rPr>
          <w:rFonts w:ascii="Arial" w:eastAsia="Times New Roman" w:hAnsi="Arial" w:cs="Arial"/>
          <w:bCs/>
          <w:i/>
          <w:color w:val="000000"/>
          <w:lang w:eastAsia="en-ZA"/>
        </w:rPr>
        <w:t xml:space="preserve">Bernert v Absa Bank Ltd </w:t>
      </w:r>
      <w:r w:rsidRPr="006B0B29">
        <w:rPr>
          <w:rFonts w:ascii="Arial" w:eastAsia="Times New Roman" w:hAnsi="Arial" w:cs="Arial"/>
          <w:bCs/>
          <w:color w:val="000000"/>
          <w:lang w:eastAsia="en-ZA"/>
        </w:rPr>
        <w:t>2011 (3) SA 92 (CC) a</w:t>
      </w:r>
      <w:r w:rsidRPr="006B0B29">
        <w:rPr>
          <w:rFonts w:ascii="Arial" w:hAnsi="Arial" w:cs="Arial"/>
          <w:lang w:val="en-GB"/>
        </w:rPr>
        <w:t>t [14]</w:t>
      </w:r>
      <w:r w:rsidR="00DC0128">
        <w:rPr>
          <w:rFonts w:ascii="Arial" w:hAnsi="Arial" w:cs="Arial"/>
          <w:lang w:val="en-GB"/>
        </w:rPr>
        <w:t>.</w:t>
      </w:r>
    </w:p>
  </w:footnote>
  <w:footnote w:id="4">
    <w:p w14:paraId="74E8E4B6" w14:textId="77777777" w:rsidR="00E4234F" w:rsidRPr="002E3A26" w:rsidRDefault="00E4234F" w:rsidP="00845BBF">
      <w:pPr>
        <w:pStyle w:val="FootnoteText"/>
        <w:rPr>
          <w:rFonts w:ascii="Arial" w:hAnsi="Arial" w:cs="Arial"/>
          <w:lang w:val="en-GB"/>
        </w:rPr>
      </w:pPr>
      <w:r w:rsidRPr="002E3A26">
        <w:rPr>
          <w:rStyle w:val="FootnoteReference"/>
          <w:rFonts w:ascii="Arial" w:hAnsi="Arial" w:cs="Arial"/>
        </w:rPr>
        <w:footnoteRef/>
      </w:r>
      <w:r w:rsidRPr="002E3A26">
        <w:rPr>
          <w:rFonts w:ascii="Arial" w:hAnsi="Arial" w:cs="Arial"/>
        </w:rPr>
        <w:t xml:space="preserve"> </w:t>
      </w:r>
      <w:r w:rsidRPr="002E3A26">
        <w:rPr>
          <w:rFonts w:ascii="Arial" w:hAnsi="Arial" w:cs="Arial"/>
          <w:bCs/>
          <w:iCs/>
          <w:lang w:val="en-GB"/>
        </w:rPr>
        <w:t>1976(1) SA 717 (A)</w:t>
      </w:r>
      <w:r w:rsidRPr="002E3A26">
        <w:rPr>
          <w:rFonts w:ascii="Arial" w:hAnsi="Arial" w:cs="Arial"/>
          <w:iCs/>
          <w:lang w:val="en-GB"/>
        </w:rPr>
        <w:t xml:space="preserve"> at 720 E-G</w:t>
      </w:r>
      <w:r w:rsidRPr="002E3A26">
        <w:rPr>
          <w:rFonts w:ascii="Arial" w:hAnsi="Arial" w:cs="Arial"/>
          <w:lang w:val="en-GB"/>
        </w:rPr>
        <w:t>.</w:t>
      </w:r>
    </w:p>
  </w:footnote>
  <w:footnote w:id="5">
    <w:p w14:paraId="259B0A23" w14:textId="77777777" w:rsidR="00E4234F" w:rsidRPr="002E3A26" w:rsidRDefault="00E4234F" w:rsidP="00845BBF">
      <w:pPr>
        <w:spacing w:after="240" w:line="360" w:lineRule="auto"/>
        <w:jc w:val="both"/>
        <w:rPr>
          <w:rFonts w:ascii="Arial" w:hAnsi="Arial" w:cs="Arial"/>
          <w:sz w:val="20"/>
          <w:szCs w:val="20"/>
          <w:lang w:val="en-GB"/>
        </w:rPr>
      </w:pPr>
      <w:r w:rsidRPr="002E3A26">
        <w:rPr>
          <w:rStyle w:val="FootnoteReference"/>
          <w:rFonts w:ascii="Arial" w:hAnsi="Arial" w:cs="Arial"/>
          <w:sz w:val="20"/>
          <w:szCs w:val="20"/>
        </w:rPr>
        <w:footnoteRef/>
      </w:r>
      <w:r w:rsidRPr="002E3A26">
        <w:rPr>
          <w:rFonts w:ascii="Arial" w:hAnsi="Arial" w:cs="Arial"/>
          <w:sz w:val="20"/>
          <w:szCs w:val="20"/>
        </w:rPr>
        <w:t xml:space="preserve"> </w:t>
      </w:r>
      <w:r w:rsidRPr="002E3A26">
        <w:rPr>
          <w:rFonts w:ascii="Arial" w:hAnsi="Arial" w:cs="Arial"/>
          <w:i/>
          <w:iCs/>
          <w:sz w:val="20"/>
          <w:szCs w:val="20"/>
          <w:lang w:val="en-GB"/>
        </w:rPr>
        <w:t xml:space="preserve"> </w:t>
      </w:r>
      <w:r w:rsidRPr="002E3A26">
        <w:rPr>
          <w:rFonts w:ascii="Arial" w:hAnsi="Arial" w:cs="Arial"/>
          <w:bCs/>
          <w:i/>
          <w:iCs/>
          <w:sz w:val="20"/>
          <w:szCs w:val="20"/>
          <w:lang w:val="en-GB"/>
        </w:rPr>
        <w:t>Van der Merwe v</w:t>
      </w:r>
      <w:r w:rsidRPr="002E3A26">
        <w:rPr>
          <w:rFonts w:ascii="Arial" w:hAnsi="Arial" w:cs="Arial"/>
          <w:sz w:val="20"/>
          <w:szCs w:val="20"/>
          <w:lang w:val="en-GB"/>
        </w:rPr>
        <w:t xml:space="preserve"> </w:t>
      </w:r>
      <w:r w:rsidRPr="002E3A26">
        <w:rPr>
          <w:rFonts w:ascii="Arial" w:hAnsi="Arial" w:cs="Arial"/>
          <w:bCs/>
          <w:i/>
          <w:iCs/>
          <w:sz w:val="20"/>
          <w:szCs w:val="20"/>
          <w:lang w:val="en-GB"/>
        </w:rPr>
        <w:t xml:space="preserve">Steenkamp </w:t>
      </w:r>
      <w:r w:rsidRPr="002E3A26">
        <w:rPr>
          <w:rFonts w:ascii="Arial" w:hAnsi="Arial" w:cs="Arial"/>
          <w:bCs/>
          <w:iCs/>
          <w:sz w:val="20"/>
          <w:szCs w:val="20"/>
          <w:lang w:val="en-GB"/>
        </w:rPr>
        <w:t>1925 OPD 179.</w:t>
      </w:r>
    </w:p>
    <w:p w14:paraId="47E0A978" w14:textId="77777777" w:rsidR="00E4234F" w:rsidRPr="002E3A26" w:rsidRDefault="00E4234F" w:rsidP="00845BBF">
      <w:pPr>
        <w:pStyle w:val="FootnoteText"/>
        <w:rPr>
          <w:lang w:val="en-GB"/>
        </w:rPr>
      </w:pPr>
    </w:p>
  </w:footnote>
  <w:footnote w:id="6">
    <w:p w14:paraId="10D248BF" w14:textId="4B0C91B2" w:rsidR="00DB2EA6" w:rsidRPr="00AB39F1" w:rsidRDefault="00DB2EA6" w:rsidP="00C66575">
      <w:pPr>
        <w:pStyle w:val="FootnoteText"/>
        <w:jc w:val="both"/>
        <w:rPr>
          <w:lang w:val="en-GB"/>
        </w:rPr>
      </w:pPr>
      <w:r>
        <w:rPr>
          <w:rStyle w:val="FootnoteReference"/>
        </w:rPr>
        <w:footnoteRef/>
      </w:r>
      <w:r>
        <w:t xml:space="preserve"> </w:t>
      </w:r>
      <w:r w:rsidR="00AB39F1" w:rsidRPr="00C66575">
        <w:rPr>
          <w:rFonts w:ascii="Arial" w:hAnsi="Arial" w:cs="Arial"/>
        </w:rPr>
        <w:t>At the time of the conclusion of the agreement the prescribed threshold was</w:t>
      </w:r>
      <w:r w:rsidR="00752105" w:rsidRPr="00C66575">
        <w:rPr>
          <w:rFonts w:ascii="Arial" w:hAnsi="Arial" w:cs="Arial"/>
        </w:rPr>
        <w:t xml:space="preserve"> R500 000,00</w:t>
      </w:r>
      <w:r w:rsidR="00AB39F1" w:rsidRPr="00C66575">
        <w:rPr>
          <w:rFonts w:ascii="Arial" w:hAnsi="Arial" w:cs="Arial"/>
        </w:rPr>
        <w:t>.</w:t>
      </w:r>
      <w:r w:rsidR="00752105" w:rsidRPr="00C66575">
        <w:rPr>
          <w:rFonts w:ascii="Arial" w:hAnsi="Arial" w:cs="Arial"/>
        </w:rPr>
        <w:t xml:space="preserve"> </w:t>
      </w:r>
      <w:r w:rsidR="00AB39F1" w:rsidRPr="00C66575">
        <w:rPr>
          <w:rFonts w:ascii="Arial" w:hAnsi="Arial" w:cs="Arial"/>
        </w:rPr>
        <w:t>See</w:t>
      </w:r>
      <w:r w:rsidR="00752105" w:rsidRPr="00C66575">
        <w:rPr>
          <w:rFonts w:ascii="Arial" w:hAnsi="Arial" w:cs="Arial"/>
        </w:rPr>
        <w:t xml:space="preserve"> Government Gazette 28893 of 1 June 2006. </w:t>
      </w:r>
    </w:p>
  </w:footnote>
  <w:footnote w:id="7">
    <w:p w14:paraId="6E3D8D4B" w14:textId="77777777" w:rsidR="00E4234F" w:rsidRPr="002E3A26" w:rsidRDefault="00E4234F" w:rsidP="00845BBF">
      <w:pPr>
        <w:pStyle w:val="FootnoteText"/>
        <w:rPr>
          <w:rFonts w:ascii="Arial" w:hAnsi="Arial" w:cs="Arial"/>
          <w:lang w:val="en-GB"/>
        </w:rPr>
      </w:pPr>
      <w:r w:rsidRPr="002E3A26">
        <w:rPr>
          <w:rStyle w:val="FootnoteReference"/>
          <w:rFonts w:ascii="Arial" w:hAnsi="Arial" w:cs="Arial"/>
        </w:rPr>
        <w:footnoteRef/>
      </w:r>
      <w:r w:rsidRPr="002E3A26">
        <w:rPr>
          <w:rFonts w:ascii="Arial" w:hAnsi="Arial" w:cs="Arial"/>
        </w:rPr>
        <w:t xml:space="preserve"> 1980 (1) SA 481 (A) at 495A-B.</w:t>
      </w:r>
    </w:p>
  </w:footnote>
  <w:footnote w:id="8">
    <w:p w14:paraId="4A626224" w14:textId="77777777" w:rsidR="00E4234F" w:rsidRPr="00AB39F1" w:rsidRDefault="00E4234F" w:rsidP="00845BBF">
      <w:pPr>
        <w:pStyle w:val="FootnoteText"/>
        <w:rPr>
          <w:rFonts w:ascii="Arial" w:hAnsi="Arial" w:cs="Arial"/>
          <w:lang w:val="en-GB"/>
        </w:rPr>
      </w:pPr>
      <w:r w:rsidRPr="00AB39F1">
        <w:rPr>
          <w:rStyle w:val="FootnoteReference"/>
          <w:rFonts w:ascii="Arial" w:hAnsi="Arial" w:cs="Arial"/>
        </w:rPr>
        <w:footnoteRef/>
      </w:r>
      <w:r w:rsidRPr="00AB39F1">
        <w:rPr>
          <w:rFonts w:ascii="Arial" w:hAnsi="Arial" w:cs="Arial"/>
        </w:rPr>
        <w:t xml:space="preserve"> </w:t>
      </w:r>
      <w:r w:rsidRPr="00AB39F1">
        <w:rPr>
          <w:rFonts w:ascii="Arial" w:hAnsi="Arial" w:cs="Arial"/>
          <w:lang w:val="en-GB"/>
        </w:rPr>
        <w:t>Act 71 of 2008.</w:t>
      </w:r>
    </w:p>
  </w:footnote>
  <w:footnote w:id="9">
    <w:p w14:paraId="3B5BEE7F" w14:textId="603A2FDD" w:rsidR="00E4234F" w:rsidRPr="002E3A26" w:rsidRDefault="00E4234F" w:rsidP="00845BBF">
      <w:pPr>
        <w:pStyle w:val="FootnoteText"/>
        <w:rPr>
          <w:lang w:val="en-GB"/>
        </w:rPr>
      </w:pPr>
      <w:r w:rsidRPr="00AB39F1">
        <w:rPr>
          <w:rStyle w:val="FootnoteReference"/>
          <w:rFonts w:ascii="Arial" w:hAnsi="Arial" w:cs="Arial"/>
        </w:rPr>
        <w:footnoteRef/>
      </w:r>
      <w:r w:rsidRPr="00AB39F1">
        <w:rPr>
          <w:rFonts w:ascii="Arial" w:hAnsi="Arial" w:cs="Arial"/>
        </w:rPr>
        <w:t xml:space="preserve"> </w:t>
      </w:r>
      <w:r w:rsidRPr="00AB39F1">
        <w:rPr>
          <w:rFonts w:ascii="Arial" w:hAnsi="Arial" w:cs="Arial"/>
          <w:lang w:val="en-GB"/>
        </w:rPr>
        <w:t xml:space="preserve">Act </w:t>
      </w:r>
      <w:r w:rsidR="00AB39F1" w:rsidRPr="00AB39F1">
        <w:rPr>
          <w:rFonts w:ascii="Arial" w:hAnsi="Arial" w:cs="Arial"/>
          <w:lang w:val="en-GB"/>
        </w:rPr>
        <w:t>58 of 1962.</w:t>
      </w:r>
    </w:p>
  </w:footnote>
  <w:footnote w:id="10">
    <w:p w14:paraId="50D95BCC" w14:textId="77777777" w:rsidR="00E4234F" w:rsidRPr="00C66575" w:rsidRDefault="00E4234F" w:rsidP="00845BB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C66575">
        <w:rPr>
          <w:rFonts w:ascii="Arial" w:hAnsi="Arial" w:cs="Arial"/>
          <w:lang w:val="en-GB"/>
        </w:rPr>
        <w:t>Thefreedictionary.com</w:t>
      </w:r>
    </w:p>
  </w:footnote>
  <w:footnote w:id="11">
    <w:p w14:paraId="3DA37CE6" w14:textId="77777777" w:rsidR="00E4234F" w:rsidRPr="00C66575" w:rsidRDefault="00E4234F" w:rsidP="00845BB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C66575">
        <w:rPr>
          <w:rFonts w:ascii="Arial" w:hAnsi="Arial" w:cs="Arial"/>
          <w:lang w:val="en-GB"/>
        </w:rPr>
        <w:t>Dictionary.com.</w:t>
      </w:r>
    </w:p>
  </w:footnote>
  <w:footnote w:id="12">
    <w:p w14:paraId="43FB4A96" w14:textId="77777777" w:rsidR="00E4234F" w:rsidRPr="00C66575" w:rsidRDefault="00E4234F" w:rsidP="00845BB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C66575">
        <w:rPr>
          <w:rFonts w:ascii="Arial" w:hAnsi="Arial" w:cs="Arial"/>
          <w:lang w:val="en-GB"/>
        </w:rPr>
        <w:t>Lexico.com</w:t>
      </w:r>
    </w:p>
  </w:footnote>
  <w:footnote w:id="13">
    <w:p w14:paraId="1A693DD4" w14:textId="77777777" w:rsidR="00E4234F" w:rsidRPr="00C66575" w:rsidRDefault="00E4234F" w:rsidP="00845BB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oxfordleamersdictionartes.com</w:t>
      </w:r>
    </w:p>
  </w:footnote>
  <w:footnote w:id="14">
    <w:p w14:paraId="52759F9E" w14:textId="77777777" w:rsidR="00E4234F" w:rsidRPr="002E3A26" w:rsidRDefault="00E4234F" w:rsidP="00845BBF">
      <w:pPr>
        <w:pStyle w:val="FootnoteText"/>
        <w:rPr>
          <w:lang w:val="en-GB"/>
        </w:rPr>
      </w:pPr>
      <w:r w:rsidRPr="001B2E37">
        <w:rPr>
          <w:rStyle w:val="FootnoteReference"/>
          <w:rFonts w:ascii="Arial" w:hAnsi="Arial" w:cs="Arial"/>
        </w:rPr>
        <w:footnoteRef/>
      </w:r>
      <w:r w:rsidRPr="001B2E37">
        <w:rPr>
          <w:rFonts w:ascii="Arial" w:hAnsi="Arial" w:cs="Arial"/>
        </w:rPr>
        <w:t xml:space="preserve"> </w:t>
      </w:r>
      <w:r w:rsidRPr="001B2E37">
        <w:rPr>
          <w:rFonts w:ascii="Arial" w:hAnsi="Arial" w:cs="Arial"/>
          <w:bCs/>
          <w:lang w:val="en-GB"/>
        </w:rPr>
        <w:t>[2011] JOL 27225 GSJ.</w:t>
      </w:r>
    </w:p>
  </w:footnote>
  <w:footnote w:id="15">
    <w:p w14:paraId="23A8D57E" w14:textId="4B8389EA" w:rsidR="001B2E37" w:rsidRPr="00C66575" w:rsidRDefault="001B2E37">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C66575">
        <w:rPr>
          <w:rFonts w:ascii="Arial" w:hAnsi="Arial" w:cs="Arial"/>
          <w:i/>
          <w:lang w:val="en-GB"/>
        </w:rPr>
        <w:t>Supra</w:t>
      </w:r>
    </w:p>
  </w:footnote>
  <w:footnote w:id="16">
    <w:p w14:paraId="057953AF" w14:textId="77777777" w:rsidR="00E4234F" w:rsidRPr="001B2E37" w:rsidRDefault="00E4234F" w:rsidP="00845BBF">
      <w:pPr>
        <w:pStyle w:val="FootnoteText"/>
        <w:rPr>
          <w:rFonts w:ascii="Arial" w:hAnsi="Arial" w:cs="Arial"/>
          <w:lang w:val="en-GB"/>
        </w:rPr>
      </w:pPr>
      <w:r w:rsidRPr="001B2E37">
        <w:rPr>
          <w:rStyle w:val="FootnoteReference"/>
          <w:rFonts w:ascii="Arial" w:hAnsi="Arial" w:cs="Arial"/>
        </w:rPr>
        <w:footnoteRef/>
      </w:r>
      <w:r w:rsidRPr="001B2E37">
        <w:rPr>
          <w:rFonts w:ascii="Arial" w:hAnsi="Arial" w:cs="Arial"/>
        </w:rPr>
        <w:t xml:space="preserve"> </w:t>
      </w:r>
      <w:r w:rsidRPr="001B2E37">
        <w:rPr>
          <w:rFonts w:ascii="Arial" w:hAnsi="Arial" w:cs="Arial"/>
          <w:lang w:val="en-GB"/>
        </w:rPr>
        <w:t>(MKP27/2018) [2019] ZANWHC (22 August 2019)</w:t>
      </w:r>
    </w:p>
  </w:footnote>
  <w:footnote w:id="17">
    <w:p w14:paraId="1A8C078A" w14:textId="77777777" w:rsidR="00E4234F" w:rsidRPr="00C66575" w:rsidRDefault="00E4234F" w:rsidP="00845BB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1B2E37">
        <w:rPr>
          <w:rFonts w:ascii="Arial" w:hAnsi="Arial" w:cs="Arial"/>
          <w:lang w:val="en-GB"/>
        </w:rPr>
        <w:t>(16123I2008) [2009] ZAWCHC 84 (4 June 2009)</w:t>
      </w:r>
    </w:p>
  </w:footnote>
  <w:footnote w:id="18">
    <w:p w14:paraId="0909FDFF" w14:textId="77777777" w:rsidR="00E4234F" w:rsidRPr="00C66575" w:rsidRDefault="00E4234F">
      <w:pPr>
        <w:pStyle w:val="FootnoteText"/>
        <w:rPr>
          <w:rFonts w:ascii="Arial" w:hAnsi="Arial" w:cs="Arial"/>
          <w:lang w:val="en-GB"/>
        </w:rPr>
      </w:pPr>
      <w:r w:rsidRPr="00C66575">
        <w:rPr>
          <w:rStyle w:val="FootnoteReference"/>
          <w:rFonts w:ascii="Arial" w:hAnsi="Arial" w:cs="Arial"/>
        </w:rPr>
        <w:footnoteRef/>
      </w:r>
      <w:r w:rsidRPr="00C66575">
        <w:rPr>
          <w:rFonts w:ascii="Arial" w:hAnsi="Arial" w:cs="Arial"/>
        </w:rPr>
        <w:t xml:space="preserve"> </w:t>
      </w:r>
      <w:r w:rsidRPr="00C66575">
        <w:rPr>
          <w:rFonts w:ascii="Arial" w:hAnsi="Arial" w:cs="Arial"/>
          <w:lang w:val="en-GB"/>
        </w:rPr>
        <w:t>2013 JDR 1075 (GNP)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0C386BD8"/>
    <w:multiLevelType w:val="hybridMultilevel"/>
    <w:tmpl w:val="F852E42E"/>
    <w:lvl w:ilvl="0" w:tplc="BB16DD94">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BF"/>
    <w:rsid w:val="0004143B"/>
    <w:rsid w:val="00153ECB"/>
    <w:rsid w:val="001914A7"/>
    <w:rsid w:val="001B2E37"/>
    <w:rsid w:val="001E30E7"/>
    <w:rsid w:val="002131C2"/>
    <w:rsid w:val="002B3453"/>
    <w:rsid w:val="002E27EA"/>
    <w:rsid w:val="00324B08"/>
    <w:rsid w:val="00395B0A"/>
    <w:rsid w:val="00435D06"/>
    <w:rsid w:val="004515BE"/>
    <w:rsid w:val="004C68A6"/>
    <w:rsid w:val="0050355D"/>
    <w:rsid w:val="0054346F"/>
    <w:rsid w:val="0055176B"/>
    <w:rsid w:val="00561ACB"/>
    <w:rsid w:val="006245CE"/>
    <w:rsid w:val="006315C9"/>
    <w:rsid w:val="00647588"/>
    <w:rsid w:val="006778EF"/>
    <w:rsid w:val="006E7E5B"/>
    <w:rsid w:val="00715728"/>
    <w:rsid w:val="00752105"/>
    <w:rsid w:val="0078222A"/>
    <w:rsid w:val="007A194E"/>
    <w:rsid w:val="007F4CDA"/>
    <w:rsid w:val="007F5F7A"/>
    <w:rsid w:val="00801BCD"/>
    <w:rsid w:val="0080464E"/>
    <w:rsid w:val="00845BBF"/>
    <w:rsid w:val="008851B0"/>
    <w:rsid w:val="008A4BAC"/>
    <w:rsid w:val="008B346E"/>
    <w:rsid w:val="008F5A7B"/>
    <w:rsid w:val="0091114C"/>
    <w:rsid w:val="00944FDA"/>
    <w:rsid w:val="00997193"/>
    <w:rsid w:val="00A0155D"/>
    <w:rsid w:val="00AB39F1"/>
    <w:rsid w:val="00AB55D6"/>
    <w:rsid w:val="00AC0E8E"/>
    <w:rsid w:val="00AF537B"/>
    <w:rsid w:val="00B6526D"/>
    <w:rsid w:val="00B70F25"/>
    <w:rsid w:val="00C36BAE"/>
    <w:rsid w:val="00C66575"/>
    <w:rsid w:val="00CA7AB8"/>
    <w:rsid w:val="00CC5724"/>
    <w:rsid w:val="00D20BE4"/>
    <w:rsid w:val="00D436CC"/>
    <w:rsid w:val="00D55115"/>
    <w:rsid w:val="00D64646"/>
    <w:rsid w:val="00DB2EA6"/>
    <w:rsid w:val="00DB5352"/>
    <w:rsid w:val="00DC0128"/>
    <w:rsid w:val="00E11DAE"/>
    <w:rsid w:val="00E2148C"/>
    <w:rsid w:val="00E227A5"/>
    <w:rsid w:val="00E4234F"/>
    <w:rsid w:val="00E46556"/>
    <w:rsid w:val="00E521E7"/>
    <w:rsid w:val="00E657B1"/>
    <w:rsid w:val="00EC720F"/>
    <w:rsid w:val="00EE3D90"/>
    <w:rsid w:val="00F41A65"/>
    <w:rsid w:val="00F46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8990"/>
  <w15:chartTrackingRefBased/>
  <w15:docId w15:val="{EF46FF67-D7EB-45BA-B59B-09A08921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BF"/>
    <w:pPr>
      <w:ind w:left="720"/>
      <w:contextualSpacing/>
    </w:pPr>
  </w:style>
  <w:style w:type="paragraph" w:styleId="Footer">
    <w:name w:val="footer"/>
    <w:basedOn w:val="Normal"/>
    <w:link w:val="FooterChar"/>
    <w:uiPriority w:val="99"/>
    <w:unhideWhenUsed/>
    <w:rsid w:val="00845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BF"/>
  </w:style>
  <w:style w:type="paragraph" w:styleId="FootnoteText">
    <w:name w:val="footnote text"/>
    <w:basedOn w:val="Normal"/>
    <w:link w:val="FootnoteTextChar"/>
    <w:uiPriority w:val="99"/>
    <w:semiHidden/>
    <w:unhideWhenUsed/>
    <w:rsid w:val="00845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BBF"/>
    <w:rPr>
      <w:sz w:val="20"/>
      <w:szCs w:val="20"/>
    </w:rPr>
  </w:style>
  <w:style w:type="character" w:styleId="FootnoteReference">
    <w:name w:val="footnote reference"/>
    <w:basedOn w:val="DefaultParagraphFont"/>
    <w:uiPriority w:val="99"/>
    <w:semiHidden/>
    <w:unhideWhenUsed/>
    <w:rsid w:val="00845BBF"/>
    <w:rPr>
      <w:vertAlign w:val="superscript"/>
    </w:rPr>
  </w:style>
  <w:style w:type="paragraph" w:styleId="BalloonText">
    <w:name w:val="Balloon Text"/>
    <w:basedOn w:val="Normal"/>
    <w:link w:val="BalloonTextChar"/>
    <w:uiPriority w:val="99"/>
    <w:semiHidden/>
    <w:unhideWhenUsed/>
    <w:rsid w:val="0032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08"/>
    <w:rPr>
      <w:rFonts w:ascii="Segoe UI" w:hAnsi="Segoe UI" w:cs="Segoe UI"/>
      <w:sz w:val="18"/>
      <w:szCs w:val="18"/>
    </w:rPr>
  </w:style>
  <w:style w:type="character" w:styleId="CommentReference">
    <w:name w:val="annotation reference"/>
    <w:basedOn w:val="DefaultParagraphFont"/>
    <w:uiPriority w:val="99"/>
    <w:semiHidden/>
    <w:unhideWhenUsed/>
    <w:rsid w:val="0054346F"/>
    <w:rPr>
      <w:sz w:val="16"/>
      <w:szCs w:val="16"/>
    </w:rPr>
  </w:style>
  <w:style w:type="paragraph" w:styleId="CommentText">
    <w:name w:val="annotation text"/>
    <w:basedOn w:val="Normal"/>
    <w:link w:val="CommentTextChar"/>
    <w:uiPriority w:val="99"/>
    <w:semiHidden/>
    <w:unhideWhenUsed/>
    <w:rsid w:val="0054346F"/>
    <w:pPr>
      <w:spacing w:line="240" w:lineRule="auto"/>
    </w:pPr>
    <w:rPr>
      <w:sz w:val="20"/>
      <w:szCs w:val="20"/>
    </w:rPr>
  </w:style>
  <w:style w:type="character" w:customStyle="1" w:styleId="CommentTextChar">
    <w:name w:val="Comment Text Char"/>
    <w:basedOn w:val="DefaultParagraphFont"/>
    <w:link w:val="CommentText"/>
    <w:uiPriority w:val="99"/>
    <w:semiHidden/>
    <w:rsid w:val="0054346F"/>
    <w:rPr>
      <w:sz w:val="20"/>
      <w:szCs w:val="20"/>
    </w:rPr>
  </w:style>
  <w:style w:type="paragraph" w:styleId="CommentSubject">
    <w:name w:val="annotation subject"/>
    <w:basedOn w:val="CommentText"/>
    <w:next w:val="CommentText"/>
    <w:link w:val="CommentSubjectChar"/>
    <w:uiPriority w:val="99"/>
    <w:semiHidden/>
    <w:unhideWhenUsed/>
    <w:rsid w:val="0054346F"/>
    <w:rPr>
      <w:b/>
      <w:bCs/>
    </w:rPr>
  </w:style>
  <w:style w:type="character" w:customStyle="1" w:styleId="CommentSubjectChar">
    <w:name w:val="Comment Subject Char"/>
    <w:basedOn w:val="CommentTextChar"/>
    <w:link w:val="CommentSubject"/>
    <w:uiPriority w:val="99"/>
    <w:semiHidden/>
    <w:rsid w:val="0054346F"/>
    <w:rPr>
      <w:b/>
      <w:bCs/>
      <w:sz w:val="20"/>
      <w:szCs w:val="20"/>
    </w:rPr>
  </w:style>
  <w:style w:type="paragraph" w:styleId="Revision">
    <w:name w:val="Revision"/>
    <w:hidden/>
    <w:uiPriority w:val="99"/>
    <w:semiHidden/>
    <w:rsid w:val="00561ACB"/>
    <w:pPr>
      <w:spacing w:after="0" w:line="240" w:lineRule="auto"/>
    </w:pPr>
  </w:style>
  <w:style w:type="paragraph" w:styleId="Header">
    <w:name w:val="header"/>
    <w:basedOn w:val="Normal"/>
    <w:link w:val="HeaderChar"/>
    <w:uiPriority w:val="99"/>
    <w:unhideWhenUsed/>
    <w:rsid w:val="0056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9740-58D3-4762-8E25-8E45ED4C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Lazarus Rakgwale</cp:lastModifiedBy>
  <cp:revision>2</cp:revision>
  <cp:lastPrinted>2022-05-31T08:09:00Z</cp:lastPrinted>
  <dcterms:created xsi:type="dcterms:W3CDTF">2022-06-16T08:03:00Z</dcterms:created>
  <dcterms:modified xsi:type="dcterms:W3CDTF">2022-06-16T08:03:00Z</dcterms:modified>
</cp:coreProperties>
</file>