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3B6C" w14:textId="77777777" w:rsidR="00EC4C36" w:rsidRPr="00AC68AC" w:rsidRDefault="00EC4C36" w:rsidP="00EC4C36">
      <w:pPr>
        <w:spacing w:after="0" w:line="240" w:lineRule="auto"/>
        <w:rPr>
          <w:rFonts w:ascii="Arial" w:hAnsi="Arial" w:cs="Arial"/>
          <w:b/>
          <w:sz w:val="24"/>
          <w:szCs w:val="24"/>
        </w:rPr>
      </w:pPr>
      <w:bookmarkStart w:id="0" w:name="_GoBack"/>
      <w:bookmarkEnd w:id="0"/>
    </w:p>
    <w:p w14:paraId="6A17784C" w14:textId="77777777" w:rsidR="00EC4C36" w:rsidRPr="00AC68AC" w:rsidRDefault="00EC4C36" w:rsidP="00EC4C36">
      <w:pPr>
        <w:jc w:val="center"/>
        <w:rPr>
          <w:rFonts w:ascii="Arial" w:hAnsi="Arial" w:cs="Arial"/>
          <w:b/>
          <w:sz w:val="24"/>
          <w:szCs w:val="24"/>
        </w:rPr>
      </w:pPr>
      <w:r w:rsidRPr="00AC68AC">
        <w:rPr>
          <w:rFonts w:ascii="Arial" w:hAnsi="Arial" w:cs="Arial"/>
          <w:noProof/>
          <w:sz w:val="24"/>
          <w:szCs w:val="24"/>
          <w:lang w:val="en-ZA" w:eastAsia="en-ZA"/>
        </w:rPr>
        <w:drawing>
          <wp:inline distT="0" distB="0" distL="0" distR="0" wp14:anchorId="2899654A" wp14:editId="1FCF9968">
            <wp:extent cx="962025" cy="8286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216EE230" w14:textId="77777777" w:rsidR="00EC4C36" w:rsidRPr="00AC68AC" w:rsidRDefault="00EC4C36" w:rsidP="00EC4C36">
      <w:pPr>
        <w:spacing w:after="0"/>
        <w:jc w:val="center"/>
        <w:rPr>
          <w:rFonts w:ascii="Arial" w:hAnsi="Arial" w:cs="Arial"/>
          <w:b/>
          <w:sz w:val="24"/>
          <w:szCs w:val="24"/>
          <w:lang w:val="en-ZA"/>
        </w:rPr>
      </w:pPr>
      <w:r w:rsidRPr="00AC68AC">
        <w:rPr>
          <w:rFonts w:ascii="Arial" w:hAnsi="Arial" w:cs="Arial"/>
          <w:b/>
          <w:sz w:val="24"/>
          <w:szCs w:val="24"/>
        </w:rPr>
        <w:t>HIGH COURT OF SOUTH AFRICA</w:t>
      </w:r>
    </w:p>
    <w:p w14:paraId="35E81877" w14:textId="77777777" w:rsidR="00EC4C36" w:rsidRPr="00AC68AC" w:rsidRDefault="00EC4C36" w:rsidP="00EC4C36">
      <w:pPr>
        <w:jc w:val="center"/>
        <w:rPr>
          <w:rFonts w:ascii="Arial" w:hAnsi="Arial" w:cs="Arial"/>
          <w:b/>
          <w:sz w:val="24"/>
          <w:szCs w:val="24"/>
        </w:rPr>
      </w:pPr>
      <w:r w:rsidRPr="00AC68AC">
        <w:rPr>
          <w:rFonts w:ascii="Arial" w:hAnsi="Arial" w:cs="Arial"/>
          <w:b/>
          <w:sz w:val="24"/>
          <w:szCs w:val="24"/>
        </w:rPr>
        <w:t>(GAUTENG DIVISION, JOHANNESBURG)</w:t>
      </w:r>
    </w:p>
    <w:p w14:paraId="23FF5C95" w14:textId="77777777" w:rsidR="00EC4C36" w:rsidRPr="00AC68AC" w:rsidRDefault="00EC4C36" w:rsidP="00EC4C36">
      <w:pPr>
        <w:spacing w:line="480" w:lineRule="auto"/>
        <w:jc w:val="both"/>
        <w:rPr>
          <w:rFonts w:ascii="Arial" w:hAnsi="Arial" w:cs="Arial"/>
          <w:sz w:val="24"/>
          <w:szCs w:val="24"/>
        </w:rPr>
      </w:pPr>
      <w:r w:rsidRPr="00AC68AC">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7A3CF63B" wp14:editId="692E1B57">
                <wp:simplePos x="0" y="0"/>
                <wp:positionH relativeFrom="margin">
                  <wp:align>left</wp:align>
                </wp:positionH>
                <wp:positionV relativeFrom="paragraph">
                  <wp:posOffset>29845</wp:posOffset>
                </wp:positionV>
                <wp:extent cx="3511550" cy="21844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184400"/>
                        </a:xfrm>
                        <a:prstGeom prst="rect">
                          <a:avLst/>
                        </a:prstGeom>
                        <a:solidFill>
                          <a:srgbClr val="FFFFFF"/>
                        </a:solidFill>
                        <a:ln w="9525">
                          <a:solidFill>
                            <a:srgbClr val="000000"/>
                          </a:solidFill>
                          <a:miter lim="800000"/>
                          <a:headEnd/>
                          <a:tailEnd/>
                        </a:ln>
                      </wps:spPr>
                      <wps:txbx>
                        <w:txbxContent>
                          <w:p w14:paraId="6A4057DF" w14:textId="77777777" w:rsidR="00B9702C" w:rsidRDefault="00B9702C" w:rsidP="00EC4C36">
                            <w:pPr>
                              <w:jc w:val="center"/>
                              <w:rPr>
                                <w:rFonts w:ascii="Century Gothic" w:hAnsi="Century Gothic"/>
                                <w:b/>
                                <w:sz w:val="20"/>
                                <w:szCs w:val="20"/>
                              </w:rPr>
                            </w:pPr>
                          </w:p>
                          <w:p w14:paraId="417807F0" w14:textId="77B9A2D1" w:rsidR="00B9702C" w:rsidRDefault="00B1007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REPORTABLE: </w:t>
                            </w:r>
                            <w:r w:rsidR="00B9702C">
                              <w:rPr>
                                <w:rFonts w:ascii="Century Gothic" w:hAnsi="Century Gothic"/>
                                <w:sz w:val="20"/>
                                <w:szCs w:val="20"/>
                              </w:rPr>
                              <w:t xml:space="preserve"> No</w:t>
                            </w:r>
                          </w:p>
                          <w:p w14:paraId="34D55AAE" w14:textId="328F182D" w:rsidR="00B9702C" w:rsidRDefault="00B9702C"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OF </w:t>
                            </w:r>
                            <w:r w:rsidR="00B1007D">
                              <w:rPr>
                                <w:rFonts w:ascii="Century Gothic" w:hAnsi="Century Gothic"/>
                                <w:sz w:val="20"/>
                                <w:szCs w:val="20"/>
                              </w:rPr>
                              <w:t xml:space="preserve">INTEREST TO OTHER JUDGES: </w:t>
                            </w:r>
                            <w:r>
                              <w:rPr>
                                <w:rFonts w:ascii="Century Gothic" w:hAnsi="Century Gothic"/>
                                <w:sz w:val="20"/>
                                <w:szCs w:val="20"/>
                              </w:rPr>
                              <w:t>No</w:t>
                            </w:r>
                          </w:p>
                          <w:p w14:paraId="78048C8A" w14:textId="77777777" w:rsidR="00B9702C" w:rsidRDefault="00B9702C"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423E49A" w14:textId="6602CBF3" w:rsidR="006F3913" w:rsidRDefault="006F3913" w:rsidP="00EC4C36">
                            <w:pPr>
                              <w:rPr>
                                <w:rFonts w:ascii="Century Gothic" w:hAnsi="Century Gothic"/>
                                <w:b/>
                                <w:sz w:val="18"/>
                                <w:szCs w:val="18"/>
                              </w:rPr>
                            </w:pPr>
                          </w:p>
                          <w:p w14:paraId="14570E6F" w14:textId="77777777" w:rsidR="00E91ACE" w:rsidRDefault="00E91ACE" w:rsidP="00EC4C36">
                            <w:pPr>
                              <w:rPr>
                                <w:rFonts w:ascii="Century Gothic" w:hAnsi="Century Gothic"/>
                                <w:b/>
                                <w:sz w:val="18"/>
                                <w:szCs w:val="18"/>
                              </w:rPr>
                            </w:pPr>
                          </w:p>
                          <w:p w14:paraId="00A4DC2B" w14:textId="3ACF717C" w:rsidR="00B9702C" w:rsidRDefault="00B9702C" w:rsidP="00EC4C36">
                            <w:pPr>
                              <w:spacing w:after="0"/>
                              <w:rPr>
                                <w:rFonts w:ascii="Century Gothic" w:hAnsi="Century Gothic"/>
                                <w:b/>
                                <w:sz w:val="18"/>
                                <w:szCs w:val="18"/>
                              </w:rPr>
                            </w:pPr>
                            <w:r>
                              <w:rPr>
                                <w:rFonts w:ascii="Century Gothic" w:hAnsi="Century Gothic"/>
                                <w:b/>
                                <w:sz w:val="18"/>
                                <w:szCs w:val="18"/>
                              </w:rPr>
                              <w:t xml:space="preserve">      </w:t>
                            </w:r>
                            <w:r w:rsidR="00023D5B">
                              <w:rPr>
                                <w:rFonts w:ascii="Century Gothic" w:hAnsi="Century Gothic"/>
                                <w:b/>
                                <w:sz w:val="18"/>
                                <w:szCs w:val="18"/>
                              </w:rPr>
                              <w:t>27 MAY 2022</w:t>
                            </w:r>
                            <w:r w:rsidR="00023D5B">
                              <w:rPr>
                                <w:rFonts w:ascii="Century Gothic" w:hAnsi="Century Gothic"/>
                                <w:b/>
                                <w:sz w:val="18"/>
                                <w:szCs w:val="18"/>
                              </w:rPr>
                              <w:tab/>
                            </w:r>
                            <w:r w:rsidR="00023D5B">
                              <w:rPr>
                                <w:rFonts w:ascii="Century Gothic" w:hAnsi="Century Gothic"/>
                                <w:b/>
                                <w:sz w:val="18"/>
                                <w:szCs w:val="18"/>
                              </w:rPr>
                              <w:tab/>
                              <w:t xml:space="preserve">             </w:t>
                            </w:r>
                          </w:p>
                          <w:p w14:paraId="4F9EFCA4" w14:textId="61055527" w:rsidR="00B9702C" w:rsidRDefault="00B9702C"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023D5B">
                              <w:rPr>
                                <w:rFonts w:ascii="Century Gothic" w:hAnsi="Century Gothic"/>
                                <w:sz w:val="18"/>
                                <w:szCs w:val="18"/>
                              </w:rPr>
                              <w:t xml:space="preserve">       </w:t>
                            </w:r>
                            <w:r>
                              <w:rPr>
                                <w:rFonts w:ascii="Century Gothic" w:hAnsi="Century Gothic"/>
                                <w:sz w:val="18"/>
                                <w:szCs w:val="18"/>
                              </w:rPr>
                              <w:t>Judge M.L. 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3CF63B" id="_x0000_t202" coordsize="21600,21600" o:spt="202" path="m,l,21600r21600,l21600,xe">
                <v:stroke joinstyle="miter"/>
                <v:path gradientshapeok="t" o:connecttype="rect"/>
              </v:shapetype>
              <v:shape id="Text Box 2" o:spid="_x0000_s1026" type="#_x0000_t202" style="position:absolute;left:0;text-align:left;margin-left:0;margin-top:2.35pt;width:276.5pt;height:1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">
                <v:textbox>
                  <w:txbxContent>
                    <w:p w14:paraId="6A4057DF" w14:textId="77777777" w:rsidR="00B9702C" w:rsidRDefault="00B9702C" w:rsidP="00EC4C36">
                      <w:pPr>
                        <w:jc w:val="center"/>
                        <w:rPr>
                          <w:rFonts w:ascii="Century Gothic" w:hAnsi="Century Gothic"/>
                          <w:b/>
                          <w:sz w:val="20"/>
                          <w:szCs w:val="20"/>
                        </w:rPr>
                      </w:pPr>
                    </w:p>
                    <w:p w14:paraId="417807F0" w14:textId="77B9A2D1" w:rsidR="00B9702C" w:rsidRDefault="00B1007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REPORTABLE: </w:t>
                      </w:r>
                      <w:r w:rsidR="00B9702C">
                        <w:rPr>
                          <w:rFonts w:ascii="Century Gothic" w:hAnsi="Century Gothic"/>
                          <w:sz w:val="20"/>
                          <w:szCs w:val="20"/>
                        </w:rPr>
                        <w:t xml:space="preserve"> No</w:t>
                      </w:r>
                    </w:p>
                    <w:p w14:paraId="34D55AAE" w14:textId="328F182D" w:rsidR="00B9702C" w:rsidRDefault="00B9702C"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OF </w:t>
                      </w:r>
                      <w:r w:rsidR="00B1007D">
                        <w:rPr>
                          <w:rFonts w:ascii="Century Gothic" w:hAnsi="Century Gothic"/>
                          <w:sz w:val="20"/>
                          <w:szCs w:val="20"/>
                        </w:rPr>
                        <w:t xml:space="preserve">INTEREST TO OTHER JUDGES: </w:t>
                      </w:r>
                      <w:r>
                        <w:rPr>
                          <w:rFonts w:ascii="Century Gothic" w:hAnsi="Century Gothic"/>
                          <w:sz w:val="20"/>
                          <w:szCs w:val="20"/>
                        </w:rPr>
                        <w:t>No</w:t>
                      </w:r>
                    </w:p>
                    <w:p w14:paraId="78048C8A" w14:textId="77777777" w:rsidR="00B9702C" w:rsidRDefault="00B9702C"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423E49A" w14:textId="6602CBF3" w:rsidR="006F3913" w:rsidRDefault="006F3913" w:rsidP="00EC4C36">
                      <w:pPr>
                        <w:rPr>
                          <w:rFonts w:ascii="Century Gothic" w:hAnsi="Century Gothic"/>
                          <w:b/>
                          <w:sz w:val="18"/>
                          <w:szCs w:val="18"/>
                        </w:rPr>
                      </w:pPr>
                    </w:p>
                    <w:p w14:paraId="14570E6F" w14:textId="77777777" w:rsidR="00E91ACE" w:rsidRDefault="00E91ACE" w:rsidP="00EC4C36">
                      <w:pPr>
                        <w:rPr>
                          <w:rFonts w:ascii="Century Gothic" w:hAnsi="Century Gothic"/>
                          <w:b/>
                          <w:sz w:val="18"/>
                          <w:szCs w:val="18"/>
                        </w:rPr>
                      </w:pPr>
                    </w:p>
                    <w:p w14:paraId="00A4DC2B" w14:textId="3ACF717C" w:rsidR="00B9702C" w:rsidRDefault="00B9702C" w:rsidP="00EC4C36">
                      <w:pPr>
                        <w:spacing w:after="0"/>
                        <w:rPr>
                          <w:rFonts w:ascii="Century Gothic" w:hAnsi="Century Gothic"/>
                          <w:b/>
                          <w:sz w:val="18"/>
                          <w:szCs w:val="18"/>
                        </w:rPr>
                      </w:pPr>
                      <w:r>
                        <w:rPr>
                          <w:rFonts w:ascii="Century Gothic" w:hAnsi="Century Gothic"/>
                          <w:b/>
                          <w:sz w:val="18"/>
                          <w:szCs w:val="18"/>
                        </w:rPr>
                        <w:t xml:space="preserve">      </w:t>
                      </w:r>
                      <w:r w:rsidR="00023D5B">
                        <w:rPr>
                          <w:rFonts w:ascii="Century Gothic" w:hAnsi="Century Gothic"/>
                          <w:b/>
                          <w:sz w:val="18"/>
                          <w:szCs w:val="18"/>
                        </w:rPr>
                        <w:t>27 MAY 2022</w:t>
                      </w:r>
                      <w:r w:rsidR="00023D5B">
                        <w:rPr>
                          <w:rFonts w:ascii="Century Gothic" w:hAnsi="Century Gothic"/>
                          <w:b/>
                          <w:sz w:val="18"/>
                          <w:szCs w:val="18"/>
                        </w:rPr>
                        <w:tab/>
                      </w:r>
                      <w:r w:rsidR="00023D5B">
                        <w:rPr>
                          <w:rFonts w:ascii="Century Gothic" w:hAnsi="Century Gothic"/>
                          <w:b/>
                          <w:sz w:val="18"/>
                          <w:szCs w:val="18"/>
                        </w:rPr>
                        <w:tab/>
                        <w:t xml:space="preserve">             </w:t>
                      </w:r>
                    </w:p>
                    <w:p w14:paraId="4F9EFCA4" w14:textId="61055527" w:rsidR="00B9702C" w:rsidRDefault="00B9702C"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023D5B">
                        <w:rPr>
                          <w:rFonts w:ascii="Century Gothic" w:hAnsi="Century Gothic"/>
                          <w:sz w:val="18"/>
                          <w:szCs w:val="18"/>
                        </w:rPr>
                        <w:t xml:space="preserve">       </w:t>
                      </w:r>
                      <w:r>
                        <w:rPr>
                          <w:rFonts w:ascii="Century Gothic" w:hAnsi="Century Gothic"/>
                          <w:sz w:val="18"/>
                          <w:szCs w:val="18"/>
                        </w:rPr>
                        <w:t>Judge M.L. Senyatsi</w:t>
                      </w:r>
                    </w:p>
                  </w:txbxContent>
                </v:textbox>
                <w10:wrap anchorx="margin"/>
              </v:shape>
            </w:pict>
          </mc:Fallback>
        </mc:AlternateContent>
      </w:r>
    </w:p>
    <w:p w14:paraId="168F8152" w14:textId="77777777" w:rsidR="00EC4C36" w:rsidRPr="00AC68AC" w:rsidRDefault="00EC4C36" w:rsidP="00EC4C36">
      <w:pPr>
        <w:spacing w:line="480" w:lineRule="auto"/>
        <w:jc w:val="both"/>
        <w:rPr>
          <w:rFonts w:ascii="Arial" w:hAnsi="Arial" w:cs="Arial"/>
          <w:sz w:val="24"/>
          <w:szCs w:val="24"/>
        </w:rPr>
      </w:pPr>
    </w:p>
    <w:p w14:paraId="1A60DB51" w14:textId="77777777" w:rsidR="00EC4C36" w:rsidRPr="00AC68AC" w:rsidRDefault="00EC4C36" w:rsidP="00EC4C36">
      <w:pPr>
        <w:autoSpaceDE w:val="0"/>
        <w:autoSpaceDN w:val="0"/>
        <w:adjustRightInd w:val="0"/>
        <w:spacing w:line="480" w:lineRule="auto"/>
        <w:jc w:val="center"/>
        <w:rPr>
          <w:rFonts w:ascii="Arial" w:hAnsi="Arial" w:cs="Arial"/>
          <w:b/>
          <w:bCs/>
          <w:sz w:val="24"/>
          <w:szCs w:val="24"/>
        </w:rPr>
      </w:pPr>
    </w:p>
    <w:p w14:paraId="10CA7291" w14:textId="77777777" w:rsidR="00EC4C36" w:rsidRPr="00AC68AC" w:rsidRDefault="00EC4C36" w:rsidP="00EC4C36">
      <w:pPr>
        <w:spacing w:line="360" w:lineRule="auto"/>
        <w:rPr>
          <w:rFonts w:ascii="Arial" w:hAnsi="Arial" w:cs="Arial"/>
          <w:b/>
          <w:sz w:val="24"/>
          <w:szCs w:val="24"/>
        </w:rPr>
      </w:pPr>
    </w:p>
    <w:p w14:paraId="4199EABC" w14:textId="027BCA2F" w:rsidR="00EC4C36" w:rsidRPr="00AC68AC" w:rsidRDefault="00AA7C41" w:rsidP="00EC4C36">
      <w:pPr>
        <w:spacing w:line="240" w:lineRule="auto"/>
        <w:jc w:val="right"/>
        <w:rPr>
          <w:rFonts w:ascii="Arial" w:hAnsi="Arial" w:cs="Arial"/>
          <w:sz w:val="24"/>
          <w:szCs w:val="24"/>
        </w:rPr>
      </w:pPr>
      <w:r>
        <w:rPr>
          <w:rFonts w:ascii="Arial" w:hAnsi="Arial" w:cs="Arial"/>
          <w:sz w:val="24"/>
          <w:szCs w:val="24"/>
        </w:rPr>
        <w:t>Case no: 7843</w:t>
      </w:r>
      <w:r w:rsidR="006A4FAB">
        <w:rPr>
          <w:rFonts w:ascii="Arial" w:hAnsi="Arial" w:cs="Arial"/>
          <w:sz w:val="24"/>
          <w:szCs w:val="24"/>
        </w:rPr>
        <w:t>/2</w:t>
      </w:r>
      <w:r w:rsidR="00BD033A">
        <w:rPr>
          <w:rFonts w:ascii="Arial" w:hAnsi="Arial" w:cs="Arial"/>
          <w:sz w:val="24"/>
          <w:szCs w:val="24"/>
        </w:rPr>
        <w:t>0</w:t>
      </w:r>
    </w:p>
    <w:p w14:paraId="48CF01C4" w14:textId="77777777" w:rsidR="00070805" w:rsidRPr="00AC68AC" w:rsidRDefault="00EC4C36" w:rsidP="00EC4C36">
      <w:pPr>
        <w:spacing w:line="360" w:lineRule="auto"/>
        <w:rPr>
          <w:rFonts w:ascii="Arial" w:hAnsi="Arial" w:cs="Arial"/>
          <w:sz w:val="24"/>
          <w:szCs w:val="24"/>
        </w:rPr>
      </w:pPr>
      <w:r w:rsidRPr="00AC68AC">
        <w:rPr>
          <w:rFonts w:ascii="Arial" w:hAnsi="Arial" w:cs="Arial"/>
          <w:sz w:val="24"/>
          <w:szCs w:val="24"/>
        </w:rPr>
        <w:t>In the matter between:</w:t>
      </w:r>
    </w:p>
    <w:p w14:paraId="081885FC" w14:textId="5DD4EAEB" w:rsidR="00EC4C36" w:rsidRDefault="00AA7C41" w:rsidP="00EC4C36">
      <w:pPr>
        <w:spacing w:after="0" w:line="240" w:lineRule="auto"/>
        <w:rPr>
          <w:rFonts w:ascii="Arial" w:hAnsi="Arial" w:cs="Arial"/>
          <w:sz w:val="24"/>
          <w:szCs w:val="24"/>
        </w:rPr>
      </w:pPr>
      <w:r>
        <w:rPr>
          <w:rFonts w:ascii="Arial" w:hAnsi="Arial" w:cs="Arial"/>
          <w:b/>
          <w:bCs/>
          <w:sz w:val="24"/>
          <w:szCs w:val="24"/>
        </w:rPr>
        <w:t>TUHF LIMITED</w:t>
      </w:r>
      <w:r>
        <w:rPr>
          <w:rFonts w:ascii="Arial" w:hAnsi="Arial" w:cs="Arial"/>
          <w:b/>
          <w:bCs/>
          <w:sz w:val="24"/>
          <w:szCs w:val="24"/>
        </w:rPr>
        <w:tab/>
      </w:r>
      <w:r>
        <w:rPr>
          <w:rFonts w:ascii="Arial" w:hAnsi="Arial" w:cs="Arial"/>
          <w:b/>
          <w:bCs/>
          <w:sz w:val="24"/>
          <w:szCs w:val="24"/>
        </w:rPr>
        <w:tab/>
      </w:r>
      <w:r w:rsidR="00355D4F">
        <w:rPr>
          <w:rFonts w:ascii="Arial" w:hAnsi="Arial" w:cs="Arial"/>
          <w:b/>
          <w:bCs/>
          <w:sz w:val="24"/>
          <w:szCs w:val="24"/>
        </w:rPr>
        <w:tab/>
      </w:r>
      <w:r w:rsidR="00355D4F">
        <w:rPr>
          <w:rFonts w:ascii="Arial" w:hAnsi="Arial" w:cs="Arial"/>
          <w:b/>
          <w:bCs/>
          <w:sz w:val="24"/>
          <w:szCs w:val="24"/>
        </w:rPr>
        <w:tab/>
      </w:r>
      <w:r w:rsidR="00A00E40">
        <w:rPr>
          <w:rFonts w:ascii="Arial" w:hAnsi="Arial" w:cs="Arial"/>
          <w:b/>
          <w:bCs/>
          <w:sz w:val="24"/>
          <w:szCs w:val="24"/>
        </w:rPr>
        <w:t xml:space="preserve"> </w:t>
      </w:r>
      <w:r w:rsidR="00A00E40">
        <w:rPr>
          <w:rFonts w:ascii="Arial" w:hAnsi="Arial" w:cs="Arial"/>
          <w:b/>
          <w:bCs/>
          <w:sz w:val="24"/>
          <w:szCs w:val="24"/>
        </w:rPr>
        <w:tab/>
      </w:r>
      <w:r w:rsidR="00A00E40">
        <w:rPr>
          <w:rFonts w:ascii="Arial" w:hAnsi="Arial" w:cs="Arial"/>
          <w:b/>
          <w:bCs/>
          <w:sz w:val="24"/>
          <w:szCs w:val="24"/>
        </w:rPr>
        <w:tab/>
      </w:r>
      <w:r w:rsidR="00AC68AC"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D75E50"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A00E40">
        <w:rPr>
          <w:rFonts w:ascii="Arial" w:hAnsi="Arial" w:cs="Arial"/>
          <w:b/>
          <w:bCs/>
          <w:sz w:val="24"/>
          <w:szCs w:val="24"/>
        </w:rPr>
        <w:t xml:space="preserve">  </w:t>
      </w:r>
      <w:r w:rsidR="006A4FAB">
        <w:rPr>
          <w:rFonts w:ascii="Arial" w:hAnsi="Arial" w:cs="Arial"/>
          <w:bCs/>
          <w:sz w:val="24"/>
          <w:szCs w:val="24"/>
        </w:rPr>
        <w:tab/>
        <w:t xml:space="preserve">     </w:t>
      </w:r>
      <w:r w:rsidR="00433359">
        <w:rPr>
          <w:rFonts w:ascii="Arial" w:hAnsi="Arial" w:cs="Arial"/>
          <w:b/>
          <w:bCs/>
          <w:sz w:val="24"/>
          <w:szCs w:val="24"/>
        </w:rPr>
        <w:t xml:space="preserve"> </w:t>
      </w:r>
      <w:r w:rsidR="00082668" w:rsidRPr="00AC68AC">
        <w:rPr>
          <w:rFonts w:ascii="Arial" w:hAnsi="Arial" w:cs="Arial"/>
          <w:sz w:val="24"/>
          <w:szCs w:val="24"/>
        </w:rPr>
        <w:t>Applicant</w:t>
      </w:r>
    </w:p>
    <w:p w14:paraId="6928A325" w14:textId="4F901AC9" w:rsidR="00AC68AC" w:rsidRPr="00AC68AC" w:rsidRDefault="00AC68AC" w:rsidP="00EC4C36">
      <w:pPr>
        <w:spacing w:after="0" w:line="240" w:lineRule="auto"/>
        <w:rPr>
          <w:rFonts w:ascii="Arial" w:hAnsi="Arial" w:cs="Arial"/>
          <w:sz w:val="24"/>
          <w:szCs w:val="24"/>
        </w:rPr>
      </w:pPr>
    </w:p>
    <w:p w14:paraId="1DDA8832" w14:textId="6F60CBD6" w:rsidR="00F61A0E" w:rsidRPr="00AC68AC" w:rsidRDefault="00F61A0E" w:rsidP="00EC4C36">
      <w:pPr>
        <w:spacing w:after="0" w:line="480" w:lineRule="auto"/>
        <w:rPr>
          <w:rFonts w:ascii="Arial" w:hAnsi="Arial" w:cs="Arial"/>
          <w:sz w:val="24"/>
          <w:szCs w:val="24"/>
        </w:rPr>
      </w:pPr>
      <w:r w:rsidRPr="00AC68AC">
        <w:rPr>
          <w:rFonts w:ascii="Arial" w:hAnsi="Arial" w:cs="Arial"/>
          <w:sz w:val="24"/>
          <w:szCs w:val="24"/>
        </w:rPr>
        <w:t>A</w:t>
      </w:r>
      <w:r w:rsidR="006D28DB" w:rsidRPr="00AC68AC">
        <w:rPr>
          <w:rFonts w:ascii="Arial" w:hAnsi="Arial" w:cs="Arial"/>
          <w:sz w:val="24"/>
          <w:szCs w:val="24"/>
        </w:rPr>
        <w:t>nd</w:t>
      </w:r>
    </w:p>
    <w:p w14:paraId="7A068B03" w14:textId="424FDC9C" w:rsidR="006D28DB" w:rsidRDefault="00EC2E78" w:rsidP="0057338B">
      <w:pPr>
        <w:pBdr>
          <w:bottom w:val="single" w:sz="12" w:space="1" w:color="auto"/>
        </w:pBdr>
        <w:spacing w:line="360" w:lineRule="auto"/>
        <w:rPr>
          <w:rFonts w:ascii="Arial" w:hAnsi="Arial" w:cs="Arial"/>
          <w:sz w:val="24"/>
          <w:szCs w:val="24"/>
        </w:rPr>
      </w:pPr>
      <w:r>
        <w:rPr>
          <w:rFonts w:ascii="Arial" w:hAnsi="Arial" w:cs="Arial"/>
          <w:b/>
          <w:bCs/>
          <w:sz w:val="24"/>
          <w:szCs w:val="24"/>
        </w:rPr>
        <w:t xml:space="preserve">28 </w:t>
      </w:r>
      <w:r w:rsidR="00AA7C41">
        <w:rPr>
          <w:rFonts w:ascii="Arial" w:hAnsi="Arial" w:cs="Arial"/>
          <w:b/>
          <w:bCs/>
          <w:sz w:val="24"/>
          <w:szCs w:val="24"/>
        </w:rPr>
        <w:t xml:space="preserve">ESSELEN STREET HILLBROW </w:t>
      </w:r>
      <w:r w:rsidR="006F3913">
        <w:rPr>
          <w:rFonts w:ascii="Arial" w:hAnsi="Arial" w:cs="Arial"/>
          <w:b/>
          <w:bCs/>
          <w:sz w:val="24"/>
          <w:szCs w:val="24"/>
        </w:rPr>
        <w:tab/>
      </w:r>
      <w:r w:rsidR="006F3913">
        <w:rPr>
          <w:rFonts w:ascii="Arial" w:hAnsi="Arial" w:cs="Arial"/>
          <w:b/>
          <w:bCs/>
          <w:sz w:val="24"/>
          <w:szCs w:val="24"/>
        </w:rPr>
        <w:tab/>
      </w:r>
      <w:r w:rsidR="00AA7C41">
        <w:rPr>
          <w:rFonts w:ascii="Arial" w:hAnsi="Arial" w:cs="Arial"/>
          <w:b/>
          <w:bCs/>
          <w:sz w:val="24"/>
          <w:szCs w:val="24"/>
        </w:rPr>
        <w:tab/>
      </w:r>
      <w:r w:rsidR="006A4FAB">
        <w:rPr>
          <w:rFonts w:ascii="Arial" w:hAnsi="Arial" w:cs="Arial"/>
          <w:b/>
          <w:bCs/>
          <w:sz w:val="24"/>
          <w:szCs w:val="24"/>
        </w:rPr>
        <w:t xml:space="preserve"> </w:t>
      </w:r>
      <w:r w:rsidR="00F61A0E">
        <w:rPr>
          <w:rFonts w:ascii="Arial" w:hAnsi="Arial" w:cs="Arial"/>
          <w:b/>
          <w:bCs/>
          <w:sz w:val="24"/>
          <w:szCs w:val="24"/>
        </w:rPr>
        <w:t xml:space="preserve">                         </w:t>
      </w:r>
      <w:r w:rsidR="00F61A0E">
        <w:rPr>
          <w:rFonts w:ascii="Arial" w:hAnsi="Arial" w:cs="Arial"/>
          <w:bCs/>
          <w:sz w:val="24"/>
          <w:szCs w:val="24"/>
        </w:rPr>
        <w:t>First</w:t>
      </w:r>
      <w:r w:rsidR="006A4FAB">
        <w:rPr>
          <w:rFonts w:ascii="Arial" w:hAnsi="Arial" w:cs="Arial"/>
          <w:b/>
          <w:bCs/>
          <w:sz w:val="24"/>
          <w:szCs w:val="24"/>
        </w:rPr>
        <w:t xml:space="preserve"> </w:t>
      </w:r>
      <w:r w:rsidR="00082668" w:rsidRPr="00AC68AC">
        <w:rPr>
          <w:rFonts w:ascii="Arial" w:hAnsi="Arial" w:cs="Arial"/>
          <w:sz w:val="24"/>
          <w:szCs w:val="24"/>
        </w:rPr>
        <w:t>Respondent</w:t>
      </w:r>
    </w:p>
    <w:p w14:paraId="241E9283" w14:textId="110DF391" w:rsidR="00F61A0E" w:rsidRPr="00F61A0E" w:rsidRDefault="00F61A0E" w:rsidP="0057338B">
      <w:pPr>
        <w:pBdr>
          <w:bottom w:val="single" w:sz="12" w:space="1" w:color="auto"/>
        </w:pBdr>
        <w:spacing w:line="360" w:lineRule="auto"/>
        <w:rPr>
          <w:rFonts w:ascii="Arial" w:hAnsi="Arial" w:cs="Arial"/>
          <w:b/>
          <w:sz w:val="24"/>
          <w:szCs w:val="24"/>
        </w:rPr>
      </w:pPr>
      <w:r w:rsidRPr="00F61A0E">
        <w:rPr>
          <w:rFonts w:ascii="Arial" w:hAnsi="Arial" w:cs="Arial"/>
          <w:b/>
          <w:sz w:val="24"/>
          <w:szCs w:val="24"/>
        </w:rPr>
        <w:t xml:space="preserve">266 BREE STREET JOHANNESBURG (PTY) LTD </w:t>
      </w:r>
      <w:r>
        <w:rPr>
          <w:rFonts w:ascii="Arial" w:hAnsi="Arial" w:cs="Arial"/>
          <w:b/>
          <w:sz w:val="24"/>
          <w:szCs w:val="24"/>
        </w:rPr>
        <w:tab/>
      </w:r>
      <w:r>
        <w:rPr>
          <w:rFonts w:ascii="Arial" w:hAnsi="Arial" w:cs="Arial"/>
          <w:b/>
          <w:sz w:val="24"/>
          <w:szCs w:val="24"/>
        </w:rPr>
        <w:tab/>
        <w:t xml:space="preserve">          </w:t>
      </w:r>
      <w:r w:rsidRPr="00F61A0E">
        <w:rPr>
          <w:rFonts w:ascii="Arial" w:hAnsi="Arial" w:cs="Arial"/>
          <w:sz w:val="24"/>
          <w:szCs w:val="24"/>
        </w:rPr>
        <w:t>Second Respondent</w:t>
      </w:r>
      <w:r w:rsidRPr="00F61A0E">
        <w:rPr>
          <w:rFonts w:ascii="Arial" w:hAnsi="Arial" w:cs="Arial"/>
          <w:b/>
          <w:sz w:val="24"/>
          <w:szCs w:val="24"/>
        </w:rPr>
        <w:t xml:space="preserve"> </w:t>
      </w:r>
    </w:p>
    <w:p w14:paraId="536CE9BC" w14:textId="59ED7C59" w:rsidR="00F61A0E" w:rsidRPr="00F61A0E" w:rsidRDefault="00F61A0E" w:rsidP="0057338B">
      <w:pPr>
        <w:pBdr>
          <w:bottom w:val="single" w:sz="12" w:space="1" w:color="auto"/>
        </w:pBdr>
        <w:spacing w:line="360" w:lineRule="auto"/>
        <w:rPr>
          <w:rFonts w:ascii="Arial" w:hAnsi="Arial" w:cs="Arial"/>
          <w:b/>
          <w:sz w:val="24"/>
          <w:szCs w:val="24"/>
        </w:rPr>
      </w:pPr>
      <w:r w:rsidRPr="00F61A0E">
        <w:rPr>
          <w:rFonts w:ascii="Arial" w:hAnsi="Arial" w:cs="Arial"/>
          <w:b/>
          <w:sz w:val="24"/>
          <w:szCs w:val="24"/>
        </w:rPr>
        <w:t xml:space="preserve">10 FIFE AVENUE BEREA (PTY) LTD </w:t>
      </w:r>
      <w:r>
        <w:rPr>
          <w:rFonts w:ascii="Arial" w:hAnsi="Arial" w:cs="Arial"/>
          <w:b/>
          <w:sz w:val="24"/>
          <w:szCs w:val="24"/>
        </w:rPr>
        <w:t xml:space="preserve">                                                 </w:t>
      </w:r>
      <w:r w:rsidRPr="00F61A0E">
        <w:rPr>
          <w:rFonts w:ascii="Arial" w:hAnsi="Arial" w:cs="Arial"/>
          <w:sz w:val="24"/>
          <w:szCs w:val="24"/>
        </w:rPr>
        <w:t>Third Respondent</w:t>
      </w:r>
      <w:r w:rsidRPr="00F61A0E">
        <w:rPr>
          <w:rFonts w:ascii="Arial" w:hAnsi="Arial" w:cs="Arial"/>
          <w:b/>
          <w:sz w:val="24"/>
          <w:szCs w:val="24"/>
        </w:rPr>
        <w:t xml:space="preserve"> </w:t>
      </w:r>
    </w:p>
    <w:p w14:paraId="1E063443" w14:textId="65B291D3" w:rsidR="00F61A0E" w:rsidRPr="00F61A0E" w:rsidRDefault="00F61A0E" w:rsidP="0057338B">
      <w:pPr>
        <w:pBdr>
          <w:bottom w:val="single" w:sz="12" w:space="1" w:color="auto"/>
        </w:pBdr>
        <w:spacing w:line="360" w:lineRule="auto"/>
        <w:rPr>
          <w:rFonts w:ascii="Arial" w:hAnsi="Arial" w:cs="Arial"/>
          <w:b/>
          <w:sz w:val="24"/>
          <w:szCs w:val="24"/>
        </w:rPr>
      </w:pPr>
      <w:r w:rsidRPr="00F61A0E">
        <w:rPr>
          <w:rFonts w:ascii="Arial" w:hAnsi="Arial" w:cs="Arial"/>
          <w:b/>
          <w:sz w:val="24"/>
          <w:szCs w:val="24"/>
        </w:rPr>
        <w:t xml:space="preserve">68 WOLMARANS STREET JOHANNESBURG (PTY) LTD </w:t>
      </w:r>
      <w:r>
        <w:rPr>
          <w:rFonts w:ascii="Arial" w:hAnsi="Arial" w:cs="Arial"/>
          <w:b/>
          <w:sz w:val="24"/>
          <w:szCs w:val="24"/>
        </w:rPr>
        <w:t xml:space="preserve">              </w:t>
      </w:r>
      <w:r w:rsidRPr="00F61A0E">
        <w:rPr>
          <w:rFonts w:ascii="Arial" w:hAnsi="Arial" w:cs="Arial"/>
          <w:sz w:val="24"/>
          <w:szCs w:val="24"/>
        </w:rPr>
        <w:t>Fourth Respondent</w:t>
      </w:r>
      <w:r w:rsidRPr="00F61A0E">
        <w:rPr>
          <w:rFonts w:ascii="Arial" w:hAnsi="Arial" w:cs="Arial"/>
          <w:b/>
          <w:sz w:val="24"/>
          <w:szCs w:val="24"/>
        </w:rPr>
        <w:t xml:space="preserve"> </w:t>
      </w:r>
    </w:p>
    <w:p w14:paraId="7A5ED646" w14:textId="651F10FE" w:rsidR="00F61A0E" w:rsidRPr="00F61A0E" w:rsidRDefault="00F61A0E" w:rsidP="0057338B">
      <w:pPr>
        <w:pBdr>
          <w:bottom w:val="single" w:sz="12" w:space="1" w:color="auto"/>
        </w:pBdr>
        <w:spacing w:line="360" w:lineRule="auto"/>
        <w:rPr>
          <w:rFonts w:ascii="Arial" w:hAnsi="Arial" w:cs="Arial"/>
          <w:b/>
          <w:sz w:val="24"/>
          <w:szCs w:val="24"/>
        </w:rPr>
      </w:pPr>
      <w:r w:rsidRPr="00F61A0E">
        <w:rPr>
          <w:rFonts w:ascii="Arial" w:hAnsi="Arial" w:cs="Arial"/>
          <w:b/>
          <w:sz w:val="24"/>
          <w:szCs w:val="24"/>
        </w:rPr>
        <w:t xml:space="preserve">HILLBROW CONSOLIDATED INVESTMENTS CC </w:t>
      </w:r>
      <w:r>
        <w:rPr>
          <w:rFonts w:ascii="Arial" w:hAnsi="Arial" w:cs="Arial"/>
          <w:b/>
          <w:sz w:val="24"/>
          <w:szCs w:val="24"/>
        </w:rPr>
        <w:t xml:space="preserve">                             </w:t>
      </w:r>
      <w:r w:rsidRPr="00F61A0E">
        <w:rPr>
          <w:rFonts w:ascii="Arial" w:hAnsi="Arial" w:cs="Arial"/>
          <w:sz w:val="24"/>
          <w:szCs w:val="24"/>
        </w:rPr>
        <w:t>Fifth Respondent</w:t>
      </w:r>
      <w:r w:rsidRPr="00F61A0E">
        <w:rPr>
          <w:rFonts w:ascii="Arial" w:hAnsi="Arial" w:cs="Arial"/>
          <w:b/>
          <w:sz w:val="24"/>
          <w:szCs w:val="24"/>
        </w:rPr>
        <w:t xml:space="preserve"> </w:t>
      </w:r>
    </w:p>
    <w:p w14:paraId="62AEA1B1" w14:textId="5ECF31E1" w:rsidR="00F61A0E" w:rsidRPr="00F61A0E" w:rsidRDefault="00F61A0E" w:rsidP="0057338B">
      <w:pPr>
        <w:pBdr>
          <w:bottom w:val="single" w:sz="12" w:space="1" w:color="auto"/>
        </w:pBdr>
        <w:spacing w:line="360" w:lineRule="auto"/>
        <w:rPr>
          <w:rFonts w:ascii="Arial" w:hAnsi="Arial" w:cs="Arial"/>
          <w:b/>
          <w:sz w:val="24"/>
          <w:szCs w:val="24"/>
        </w:rPr>
      </w:pPr>
      <w:r w:rsidRPr="00F61A0E">
        <w:rPr>
          <w:rFonts w:ascii="Arial" w:hAnsi="Arial" w:cs="Arial"/>
          <w:b/>
          <w:sz w:val="24"/>
          <w:szCs w:val="24"/>
        </w:rPr>
        <w:t xml:space="preserve">MARK MORRIS FARBER </w:t>
      </w:r>
      <w:r>
        <w:rPr>
          <w:rFonts w:ascii="Arial" w:hAnsi="Arial" w:cs="Arial"/>
          <w:b/>
          <w:sz w:val="24"/>
          <w:szCs w:val="24"/>
        </w:rPr>
        <w:t xml:space="preserve">                                                                    </w:t>
      </w:r>
      <w:r w:rsidRPr="00F61A0E">
        <w:rPr>
          <w:rFonts w:ascii="Arial" w:hAnsi="Arial" w:cs="Arial"/>
          <w:sz w:val="24"/>
          <w:szCs w:val="24"/>
        </w:rPr>
        <w:t>Sixth Respondent</w:t>
      </w:r>
    </w:p>
    <w:p w14:paraId="680FF4FD" w14:textId="23F4CB24" w:rsidR="0057338B" w:rsidRPr="00AC68AC" w:rsidRDefault="002851D1" w:rsidP="00FF61A8">
      <w:pPr>
        <w:pBdr>
          <w:bottom w:val="single" w:sz="12" w:space="1" w:color="auto"/>
        </w:pBdr>
        <w:spacing w:after="0" w:line="240" w:lineRule="auto"/>
        <w:jc w:val="both"/>
        <w:rPr>
          <w:rFonts w:ascii="Arial" w:hAnsi="Arial" w:cs="Arial"/>
          <w:b/>
          <w:bCs/>
          <w:sz w:val="24"/>
          <w:szCs w:val="24"/>
        </w:rPr>
      </w:pPr>
      <w:r w:rsidRPr="00AC68AC">
        <w:rPr>
          <w:rFonts w:ascii="Arial" w:hAnsi="Arial" w:cs="Arial"/>
          <w:b/>
          <w:bCs/>
          <w:i/>
          <w:iCs/>
          <w:sz w:val="24"/>
          <w:szCs w:val="24"/>
        </w:rPr>
        <w:t>Case Summary</w:t>
      </w:r>
      <w:r w:rsidRPr="00AC68AC">
        <w:rPr>
          <w:rFonts w:ascii="Arial" w:hAnsi="Arial" w:cs="Arial"/>
          <w:b/>
          <w:bCs/>
          <w:sz w:val="24"/>
          <w:szCs w:val="24"/>
        </w:rPr>
        <w:t>:</w:t>
      </w:r>
      <w:r w:rsidR="00AA4E18">
        <w:rPr>
          <w:rFonts w:ascii="Arial" w:hAnsi="Arial" w:cs="Arial"/>
          <w:b/>
          <w:bCs/>
          <w:sz w:val="24"/>
          <w:szCs w:val="24"/>
        </w:rPr>
        <w:t xml:space="preserve"> </w:t>
      </w:r>
      <w:r w:rsidR="00AA7C41">
        <w:rPr>
          <w:rFonts w:ascii="Arial" w:hAnsi="Arial" w:cs="Arial"/>
          <w:b/>
          <w:bCs/>
          <w:sz w:val="24"/>
          <w:szCs w:val="24"/>
        </w:rPr>
        <w:t xml:space="preserve">APPLICATION – MONEY JUDGMENT </w:t>
      </w:r>
    </w:p>
    <w:p w14:paraId="47367456" w14:textId="77777777" w:rsidR="009B712E" w:rsidRPr="00AC68AC" w:rsidRDefault="009B712E" w:rsidP="005568C9">
      <w:pPr>
        <w:pBdr>
          <w:bottom w:val="single" w:sz="12" w:space="1" w:color="auto"/>
        </w:pBdr>
        <w:spacing w:after="0"/>
        <w:jc w:val="center"/>
        <w:rPr>
          <w:rFonts w:ascii="Arial" w:hAnsi="Arial" w:cs="Arial"/>
          <w:sz w:val="24"/>
          <w:szCs w:val="24"/>
        </w:rPr>
      </w:pPr>
    </w:p>
    <w:p w14:paraId="0F19ECB3" w14:textId="4B794654" w:rsidR="00C27042" w:rsidRPr="00AC68AC" w:rsidRDefault="00AC68AC" w:rsidP="00EC4C36">
      <w:pPr>
        <w:spacing w:before="240" w:after="0" w:line="240" w:lineRule="auto"/>
        <w:jc w:val="center"/>
        <w:rPr>
          <w:rFonts w:ascii="Arial" w:hAnsi="Arial" w:cs="Arial"/>
          <w:b/>
          <w:bCs/>
          <w:sz w:val="24"/>
          <w:szCs w:val="24"/>
        </w:rPr>
      </w:pPr>
      <w:r w:rsidRPr="00AC68AC">
        <w:rPr>
          <w:rFonts w:ascii="Arial" w:hAnsi="Arial" w:cs="Arial"/>
          <w:b/>
          <w:bCs/>
          <w:sz w:val="24"/>
          <w:szCs w:val="24"/>
        </w:rPr>
        <w:t>JUDGMENT</w:t>
      </w:r>
    </w:p>
    <w:p w14:paraId="709A4041" w14:textId="77777777" w:rsidR="00EC4C36" w:rsidRPr="00AC68AC" w:rsidRDefault="00EC4C36" w:rsidP="00EC4C36">
      <w:pPr>
        <w:spacing w:after="0" w:line="360" w:lineRule="auto"/>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66D0A190" w14:textId="77777777" w:rsidR="00F61A0E" w:rsidRDefault="00F61A0E" w:rsidP="00EC4C36">
      <w:pPr>
        <w:spacing w:before="240" w:after="120" w:line="360" w:lineRule="auto"/>
        <w:jc w:val="both"/>
        <w:rPr>
          <w:rFonts w:ascii="Arial" w:hAnsi="Arial" w:cs="Arial"/>
          <w:b/>
          <w:bCs/>
          <w:sz w:val="24"/>
          <w:szCs w:val="24"/>
        </w:rPr>
      </w:pPr>
    </w:p>
    <w:p w14:paraId="6E5EAB86" w14:textId="0EB87A9D" w:rsidR="00FF61A8" w:rsidRDefault="000C73BA" w:rsidP="00EC4C36">
      <w:pPr>
        <w:spacing w:before="240" w:after="120" w:line="360" w:lineRule="auto"/>
        <w:jc w:val="both"/>
        <w:rPr>
          <w:rFonts w:ascii="Arial" w:hAnsi="Arial" w:cs="Arial"/>
          <w:b/>
          <w:bCs/>
          <w:sz w:val="24"/>
          <w:szCs w:val="24"/>
        </w:rPr>
      </w:pPr>
      <w:r w:rsidRPr="00AC68AC">
        <w:rPr>
          <w:rFonts w:ascii="Arial" w:hAnsi="Arial" w:cs="Arial"/>
          <w:b/>
          <w:bCs/>
          <w:sz w:val="24"/>
          <w:szCs w:val="24"/>
        </w:rPr>
        <w:lastRenderedPageBreak/>
        <w:t>SENYATSI</w:t>
      </w:r>
      <w:r w:rsidR="00727499">
        <w:rPr>
          <w:rFonts w:ascii="Arial" w:hAnsi="Arial" w:cs="Arial"/>
          <w:b/>
          <w:bCs/>
          <w:sz w:val="24"/>
          <w:szCs w:val="24"/>
        </w:rPr>
        <w:t xml:space="preserve"> J</w:t>
      </w:r>
    </w:p>
    <w:p w14:paraId="041E50C7" w14:textId="02EA47BB" w:rsidR="00C72E03" w:rsidRPr="00C72E03" w:rsidRDefault="00FE3076" w:rsidP="00C72E03">
      <w:pPr>
        <w:pStyle w:val="WerksmansStyle1"/>
        <w:tabs>
          <w:tab w:val="clear" w:pos="720"/>
        </w:tabs>
        <w:spacing w:after="240" w:line="360" w:lineRule="auto"/>
        <w:ind w:left="0" w:firstLine="0"/>
        <w:rPr>
          <w:rFonts w:cs="Arial"/>
          <w:color w:val="000000" w:themeColor="text1"/>
          <w:sz w:val="24"/>
          <w:szCs w:val="24"/>
          <w:lang w:val="en-US"/>
        </w:rPr>
      </w:pPr>
      <w:r w:rsidRPr="00AC68AC">
        <w:rPr>
          <w:rFonts w:cs="Arial"/>
          <w:sz w:val="24"/>
          <w:szCs w:val="24"/>
          <w:lang w:val="en-US"/>
        </w:rPr>
        <w:t>[1]</w:t>
      </w:r>
      <w:r w:rsidR="00942258" w:rsidRPr="00AC68AC">
        <w:rPr>
          <w:rFonts w:cs="Arial"/>
          <w:sz w:val="24"/>
          <w:szCs w:val="24"/>
          <w:lang w:val="en-US"/>
        </w:rPr>
        <w:tab/>
      </w:r>
      <w:r w:rsidR="00AA7C41">
        <w:rPr>
          <w:rFonts w:cs="Arial"/>
          <w:sz w:val="24"/>
          <w:szCs w:val="24"/>
          <w:lang w:val="en-US"/>
        </w:rPr>
        <w:t>This is an opposed application</w:t>
      </w:r>
      <w:r w:rsidR="0066242C">
        <w:rPr>
          <w:rFonts w:cs="Arial"/>
          <w:sz w:val="24"/>
          <w:szCs w:val="24"/>
          <w:lang w:val="en-US"/>
        </w:rPr>
        <w:t xml:space="preserve"> </w:t>
      </w:r>
      <w:r w:rsidR="0008756C">
        <w:rPr>
          <w:rFonts w:cs="Arial"/>
          <w:sz w:val="24"/>
          <w:szCs w:val="24"/>
          <w:lang w:val="en-US"/>
        </w:rPr>
        <w:t xml:space="preserve">for money judgment and the authority to take </w:t>
      </w:r>
      <w:r w:rsidR="00C72E03" w:rsidRPr="00C72E03">
        <w:rPr>
          <w:rFonts w:cs="Arial"/>
          <w:color w:val="000000" w:themeColor="text1"/>
          <w:sz w:val="24"/>
          <w:szCs w:val="24"/>
          <w:lang w:val="en-US"/>
        </w:rPr>
        <w:t>cession</w:t>
      </w:r>
      <w:r w:rsidR="00C72E03">
        <w:rPr>
          <w:rFonts w:cs="Arial"/>
          <w:sz w:val="24"/>
          <w:szCs w:val="24"/>
          <w:lang w:val="en-US"/>
        </w:rPr>
        <w:t xml:space="preserve"> of any rental amounts payable by the tenants of the first respondent.  As an alternative, the applicant prays that its duly authorized agent take </w:t>
      </w:r>
      <w:r w:rsidR="00C72E03" w:rsidRPr="00C72E03">
        <w:rPr>
          <w:rFonts w:cs="Arial"/>
          <w:color w:val="000000" w:themeColor="text1"/>
          <w:sz w:val="24"/>
          <w:szCs w:val="24"/>
          <w:lang w:val="en-US"/>
        </w:rPr>
        <w:t>cession</w:t>
      </w:r>
      <w:r w:rsidR="00C72E03" w:rsidRPr="00C72E03">
        <w:rPr>
          <w:rFonts w:cs="Arial"/>
          <w:color w:val="FF0000"/>
          <w:sz w:val="24"/>
          <w:szCs w:val="24"/>
          <w:lang w:val="en-US"/>
        </w:rPr>
        <w:t xml:space="preserve"> </w:t>
      </w:r>
      <w:r w:rsidR="00C72E03">
        <w:rPr>
          <w:rFonts w:cs="Arial"/>
          <w:color w:val="000000" w:themeColor="text1"/>
          <w:sz w:val="24"/>
          <w:szCs w:val="24"/>
          <w:lang w:val="en-US"/>
        </w:rPr>
        <w:t xml:space="preserve">of any rental amounts payable by the tenants of the first respondents with the amount claimed in the main prayer </w:t>
      </w:r>
      <w:r w:rsidR="00B1007D">
        <w:rPr>
          <w:rFonts w:cs="Arial"/>
          <w:color w:val="000000" w:themeColor="text1"/>
          <w:sz w:val="24"/>
          <w:szCs w:val="24"/>
          <w:lang w:val="en-US"/>
        </w:rPr>
        <w:t>is paid in full.  The applicant</w:t>
      </w:r>
      <w:r w:rsidR="00C72E03">
        <w:rPr>
          <w:rFonts w:cs="Arial"/>
          <w:color w:val="000000" w:themeColor="text1"/>
          <w:sz w:val="24"/>
          <w:szCs w:val="24"/>
          <w:lang w:val="en-US"/>
        </w:rPr>
        <w:t xml:space="preserve"> also prays for the respondents to sign all documents necessary to facilitate the cession prayed for, failing which the Sheriff be authorized to sign all documents necessary to give effect to the cession.</w:t>
      </w:r>
    </w:p>
    <w:p w14:paraId="143577BB" w14:textId="5DB4CBB5" w:rsidR="006A4FAB" w:rsidRDefault="00AC68AC" w:rsidP="003F0D2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72E03">
        <w:rPr>
          <w:rFonts w:ascii="Arial" w:hAnsi="Arial" w:cs="Arial"/>
          <w:sz w:val="24"/>
          <w:szCs w:val="24"/>
        </w:rPr>
        <w:t xml:space="preserve">The applicant </w:t>
      </w:r>
      <w:r w:rsidR="003E56ED">
        <w:rPr>
          <w:rFonts w:ascii="Arial" w:hAnsi="Arial" w:cs="Arial"/>
          <w:sz w:val="24"/>
          <w:szCs w:val="24"/>
        </w:rPr>
        <w:t xml:space="preserve">furthermore prays that the names of all tenants including copies of their lease agreements and contact information of every tenant who occupies the Waldorf Heights be made available to it.  The </w:t>
      </w:r>
      <w:r w:rsidR="009041E6">
        <w:rPr>
          <w:rFonts w:ascii="Arial" w:hAnsi="Arial" w:cs="Arial"/>
          <w:sz w:val="24"/>
          <w:szCs w:val="24"/>
        </w:rPr>
        <w:t xml:space="preserve">applicant also </w:t>
      </w:r>
      <w:r w:rsidR="00FF09FB">
        <w:rPr>
          <w:rFonts w:ascii="Arial" w:hAnsi="Arial" w:cs="Arial"/>
          <w:sz w:val="24"/>
          <w:szCs w:val="24"/>
        </w:rPr>
        <w:t>ask</w:t>
      </w:r>
      <w:r w:rsidR="009041E6">
        <w:rPr>
          <w:rFonts w:ascii="Arial" w:hAnsi="Arial" w:cs="Arial"/>
          <w:sz w:val="24"/>
          <w:szCs w:val="24"/>
        </w:rPr>
        <w:t xml:space="preserve"> this court to declare the immovable property at Erf 3209 Johannesburg Township, Registration Division I.R. the Province of Gauteng</w:t>
      </w:r>
      <w:r w:rsidR="00DD261C">
        <w:rPr>
          <w:rFonts w:ascii="Arial" w:hAnsi="Arial" w:cs="Arial"/>
          <w:sz w:val="24"/>
          <w:szCs w:val="24"/>
        </w:rPr>
        <w:t xml:space="preserve"> reassuring 495 (four hundred and </w:t>
      </w:r>
      <w:r w:rsidR="00FF09FB">
        <w:rPr>
          <w:rFonts w:ascii="Arial" w:hAnsi="Arial" w:cs="Arial"/>
          <w:sz w:val="24"/>
          <w:szCs w:val="24"/>
        </w:rPr>
        <w:t>ninety-five</w:t>
      </w:r>
      <w:r w:rsidR="00DD261C">
        <w:rPr>
          <w:rFonts w:ascii="Arial" w:hAnsi="Arial" w:cs="Arial"/>
          <w:sz w:val="24"/>
          <w:szCs w:val="24"/>
        </w:rPr>
        <w:t>) square mete</w:t>
      </w:r>
      <w:r w:rsidR="006F3913">
        <w:rPr>
          <w:rFonts w:ascii="Arial" w:hAnsi="Arial" w:cs="Arial"/>
          <w:sz w:val="24"/>
          <w:szCs w:val="24"/>
        </w:rPr>
        <w:t>r</w:t>
      </w:r>
      <w:r w:rsidR="00DD261C">
        <w:rPr>
          <w:rFonts w:ascii="Arial" w:hAnsi="Arial" w:cs="Arial"/>
          <w:sz w:val="24"/>
          <w:szCs w:val="24"/>
        </w:rPr>
        <w:t>s held by need of transfer under T24467/2003 be declared executable, and that a writ of attachment be issued authorizing the Sheriff of the court to attach the immovable property and to sell it in execution of the court order.</w:t>
      </w:r>
    </w:p>
    <w:p w14:paraId="71521A46" w14:textId="47578F25" w:rsidR="00B70F1F" w:rsidRPr="00594268" w:rsidRDefault="00B70F1F" w:rsidP="003F0D2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D261C">
        <w:rPr>
          <w:rFonts w:ascii="Arial" w:hAnsi="Arial" w:cs="Arial"/>
          <w:sz w:val="24"/>
          <w:szCs w:val="24"/>
        </w:rPr>
        <w:t>The applicant is a public company with limited liability duly registered and incorporated in terms of the company laws of South Africa.</w:t>
      </w:r>
    </w:p>
    <w:p w14:paraId="758AD8BC" w14:textId="504F5ECF" w:rsidR="00B70F1F" w:rsidRDefault="00B70F1F" w:rsidP="003F0D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D261C">
        <w:rPr>
          <w:rFonts w:ascii="Arial" w:hAnsi="Arial" w:cs="Arial"/>
          <w:sz w:val="24"/>
          <w:szCs w:val="24"/>
        </w:rPr>
        <w:t>The applicant is the successor in title of a non-profit company, Trust for Urban Housing Finance, an association incorporated in terms of section 21 of the Companies Act 1973 with registration number 1993/00217/08.</w:t>
      </w:r>
    </w:p>
    <w:p w14:paraId="1B119BCC" w14:textId="795A9863" w:rsidR="004B227C" w:rsidRDefault="004B227C" w:rsidP="003F0D2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255D">
        <w:rPr>
          <w:rFonts w:ascii="Arial" w:hAnsi="Arial" w:cs="Arial"/>
          <w:sz w:val="24"/>
          <w:szCs w:val="24"/>
        </w:rPr>
        <w:t xml:space="preserve"> </w:t>
      </w:r>
      <w:r w:rsidR="00DD261C">
        <w:rPr>
          <w:rFonts w:ascii="Arial" w:hAnsi="Arial" w:cs="Arial"/>
          <w:sz w:val="24"/>
          <w:szCs w:val="24"/>
        </w:rPr>
        <w:t>The applicant converted to a private company (registration number:  2007/02/5898/07), which subsequently converted to a public company on 4 November 2014.</w:t>
      </w:r>
    </w:p>
    <w:p w14:paraId="513AFE33" w14:textId="72BABA7C" w:rsidR="002F255D" w:rsidRDefault="002F255D" w:rsidP="003F0D2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D261C">
        <w:rPr>
          <w:rFonts w:ascii="Arial" w:hAnsi="Arial" w:cs="Arial"/>
          <w:sz w:val="24"/>
          <w:szCs w:val="24"/>
        </w:rPr>
        <w:t xml:space="preserve">The first respondent is a close corporation duly registered and incorporated in terms of the laws of South Africa with a chosen </w:t>
      </w:r>
      <w:r w:rsidR="00DD261C" w:rsidRPr="00D90E70">
        <w:rPr>
          <w:rFonts w:ascii="Arial" w:hAnsi="Arial" w:cs="Arial"/>
          <w:i/>
          <w:sz w:val="24"/>
          <w:szCs w:val="24"/>
        </w:rPr>
        <w:t xml:space="preserve">domicilium citandi et executandi </w:t>
      </w:r>
      <w:r w:rsidR="00B1007D">
        <w:rPr>
          <w:rFonts w:ascii="Arial" w:hAnsi="Arial" w:cs="Arial"/>
          <w:sz w:val="24"/>
          <w:szCs w:val="24"/>
        </w:rPr>
        <w:t>within the area of jurisdiction of this court.</w:t>
      </w:r>
    </w:p>
    <w:p w14:paraId="50B22138" w14:textId="04B25F63" w:rsidR="007F69B2" w:rsidRDefault="00227C4A" w:rsidP="003F0D2B">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BC6A5D">
        <w:rPr>
          <w:rFonts w:ascii="Arial" w:hAnsi="Arial" w:cs="Arial"/>
          <w:sz w:val="24"/>
          <w:szCs w:val="24"/>
        </w:rPr>
        <w:t xml:space="preserve">The second respondent is 266 Bree Street, Johannesburg (Pty) Ltd, a private company duly registered and incorporated in terms of the laws of South Africa with a chosen </w:t>
      </w:r>
      <w:r w:rsidR="00BC6A5D" w:rsidRPr="00D90E70">
        <w:rPr>
          <w:rFonts w:ascii="Arial" w:hAnsi="Arial" w:cs="Arial"/>
          <w:i/>
          <w:sz w:val="24"/>
          <w:szCs w:val="24"/>
        </w:rPr>
        <w:t>domicilium citandi et executandi</w:t>
      </w:r>
      <w:r w:rsidR="00BC6A5D">
        <w:rPr>
          <w:rFonts w:ascii="Arial" w:hAnsi="Arial" w:cs="Arial"/>
          <w:sz w:val="24"/>
          <w:szCs w:val="24"/>
        </w:rPr>
        <w:t xml:space="preserve"> </w:t>
      </w:r>
      <w:r w:rsidR="00B1007D">
        <w:rPr>
          <w:rFonts w:ascii="Arial" w:hAnsi="Arial" w:cs="Arial"/>
          <w:sz w:val="24"/>
          <w:szCs w:val="24"/>
        </w:rPr>
        <w:t>within the area of jurisdiction of this court.</w:t>
      </w:r>
    </w:p>
    <w:p w14:paraId="0CEF6E53" w14:textId="50AF5465" w:rsidR="001E528D" w:rsidRDefault="001E528D" w:rsidP="003F0D2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BC6A5D">
        <w:rPr>
          <w:rFonts w:ascii="Arial" w:hAnsi="Arial" w:cs="Arial"/>
          <w:sz w:val="24"/>
          <w:szCs w:val="24"/>
        </w:rPr>
        <w:t xml:space="preserve">The third respondent is 10 Five Avenue Berea (Pty) Ltd, a private company duly registered and incorporated in terms of the laws of South Africa with the chosen </w:t>
      </w:r>
      <w:r w:rsidR="00BC6A5D" w:rsidRPr="00D90E70">
        <w:rPr>
          <w:rFonts w:ascii="Arial" w:hAnsi="Arial" w:cs="Arial"/>
          <w:i/>
          <w:sz w:val="24"/>
          <w:szCs w:val="24"/>
        </w:rPr>
        <w:t>domicilium citandi et executandi</w:t>
      </w:r>
      <w:r w:rsidR="00BC6A5D">
        <w:rPr>
          <w:rFonts w:ascii="Arial" w:hAnsi="Arial" w:cs="Arial"/>
          <w:sz w:val="24"/>
          <w:szCs w:val="24"/>
        </w:rPr>
        <w:t xml:space="preserve"> </w:t>
      </w:r>
      <w:r w:rsidR="00B1007D">
        <w:rPr>
          <w:rFonts w:ascii="Arial" w:hAnsi="Arial" w:cs="Arial"/>
          <w:sz w:val="24"/>
          <w:szCs w:val="24"/>
        </w:rPr>
        <w:t>within the area of jurisdiction of this court.</w:t>
      </w:r>
    </w:p>
    <w:p w14:paraId="0B627538" w14:textId="70FC0428" w:rsidR="001E528D" w:rsidRDefault="001E528D" w:rsidP="003F0D2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BC6A5D">
        <w:rPr>
          <w:rFonts w:ascii="Arial" w:hAnsi="Arial" w:cs="Arial"/>
          <w:sz w:val="24"/>
          <w:szCs w:val="24"/>
        </w:rPr>
        <w:t xml:space="preserve">The </w:t>
      </w:r>
      <w:r w:rsidR="00B1007D">
        <w:rPr>
          <w:rFonts w:ascii="Arial" w:hAnsi="Arial" w:cs="Arial"/>
          <w:sz w:val="24"/>
          <w:szCs w:val="24"/>
        </w:rPr>
        <w:t>f</w:t>
      </w:r>
      <w:r w:rsidR="00BC6A5D">
        <w:rPr>
          <w:rFonts w:ascii="Arial" w:hAnsi="Arial" w:cs="Arial"/>
          <w:sz w:val="24"/>
          <w:szCs w:val="24"/>
        </w:rPr>
        <w:t>ou</w:t>
      </w:r>
      <w:r w:rsidR="00B1007D">
        <w:rPr>
          <w:rFonts w:ascii="Arial" w:hAnsi="Arial" w:cs="Arial"/>
          <w:sz w:val="24"/>
          <w:szCs w:val="24"/>
        </w:rPr>
        <w:t>r</w:t>
      </w:r>
      <w:r w:rsidR="00BC6A5D">
        <w:rPr>
          <w:rFonts w:ascii="Arial" w:hAnsi="Arial" w:cs="Arial"/>
          <w:sz w:val="24"/>
          <w:szCs w:val="24"/>
        </w:rPr>
        <w:t xml:space="preserve">th respondent is 68 Wolmarans Street, Johannesburg (Pty) Ltd, a private company duly registered and incorporated in terms of the laws of the South Africa with the chosen </w:t>
      </w:r>
      <w:r w:rsidR="00BC6A5D" w:rsidRPr="00D90E70">
        <w:rPr>
          <w:rFonts w:ascii="Arial" w:hAnsi="Arial" w:cs="Arial"/>
          <w:i/>
          <w:sz w:val="24"/>
          <w:szCs w:val="24"/>
        </w:rPr>
        <w:t>domicilium citandi et executandi</w:t>
      </w:r>
      <w:r w:rsidR="00BC6A5D">
        <w:rPr>
          <w:rFonts w:ascii="Arial" w:hAnsi="Arial" w:cs="Arial"/>
          <w:sz w:val="24"/>
          <w:szCs w:val="24"/>
        </w:rPr>
        <w:t xml:space="preserve"> </w:t>
      </w:r>
      <w:r w:rsidR="00B1007D">
        <w:rPr>
          <w:rFonts w:ascii="Arial" w:hAnsi="Arial" w:cs="Arial"/>
          <w:sz w:val="24"/>
          <w:szCs w:val="24"/>
        </w:rPr>
        <w:t>within the area of jurisdiction of this court.</w:t>
      </w:r>
    </w:p>
    <w:p w14:paraId="51E8B6EB" w14:textId="6485D138" w:rsidR="001E528D" w:rsidRDefault="001E528D" w:rsidP="003F0D2B">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80BDC">
        <w:rPr>
          <w:rFonts w:ascii="Arial" w:hAnsi="Arial" w:cs="Arial"/>
          <w:sz w:val="24"/>
          <w:szCs w:val="24"/>
        </w:rPr>
        <w:t>The fifth respondent is Hillbrow Consolidated Investments CC a close corporation duly registered and incorporated in terms of the laws of South Africa with the c</w:t>
      </w:r>
      <w:r w:rsidR="00636F12">
        <w:rPr>
          <w:rFonts w:ascii="Arial" w:hAnsi="Arial" w:cs="Arial"/>
          <w:sz w:val="24"/>
          <w:szCs w:val="24"/>
        </w:rPr>
        <w:t xml:space="preserve">hosen </w:t>
      </w:r>
      <w:r w:rsidR="00636F12" w:rsidRPr="00D90E70">
        <w:rPr>
          <w:rFonts w:ascii="Arial" w:hAnsi="Arial" w:cs="Arial"/>
          <w:i/>
          <w:sz w:val="24"/>
          <w:szCs w:val="24"/>
        </w:rPr>
        <w:t>domicilium citandi et executandi</w:t>
      </w:r>
      <w:r w:rsidR="00636F12">
        <w:rPr>
          <w:rFonts w:ascii="Arial" w:hAnsi="Arial" w:cs="Arial"/>
          <w:sz w:val="24"/>
          <w:szCs w:val="24"/>
        </w:rPr>
        <w:t xml:space="preserve"> </w:t>
      </w:r>
      <w:r w:rsidR="00B1007D">
        <w:rPr>
          <w:rFonts w:ascii="Arial" w:hAnsi="Arial" w:cs="Arial"/>
          <w:sz w:val="24"/>
          <w:szCs w:val="24"/>
        </w:rPr>
        <w:t>within the area of jurisdiction of this court.</w:t>
      </w:r>
    </w:p>
    <w:p w14:paraId="162719A0" w14:textId="08102BCC" w:rsidR="00C661EA" w:rsidRDefault="00980463" w:rsidP="003F0D2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661EA">
        <w:rPr>
          <w:rFonts w:ascii="Arial" w:hAnsi="Arial" w:cs="Arial"/>
          <w:sz w:val="24"/>
          <w:szCs w:val="24"/>
        </w:rPr>
        <w:t xml:space="preserve"> </w:t>
      </w:r>
      <w:r w:rsidR="00636F12">
        <w:rPr>
          <w:rFonts w:ascii="Arial" w:hAnsi="Arial" w:cs="Arial"/>
          <w:sz w:val="24"/>
          <w:szCs w:val="24"/>
        </w:rPr>
        <w:t>The six respondent is Mark Morris Farber, an adult male businessman who resides within the area of jurisdiction of this court.</w:t>
      </w:r>
    </w:p>
    <w:p w14:paraId="11A513AF" w14:textId="691E9D2C" w:rsidR="00C661EA" w:rsidRDefault="006650B3" w:rsidP="003F0D2B">
      <w:pPr>
        <w:spacing w:line="360" w:lineRule="auto"/>
        <w:jc w:val="both"/>
        <w:rPr>
          <w:rFonts w:ascii="Arial" w:hAnsi="Arial" w:cs="Arial"/>
          <w:sz w:val="24"/>
          <w:szCs w:val="24"/>
        </w:rPr>
      </w:pPr>
      <w:r>
        <w:rPr>
          <w:rFonts w:ascii="Arial" w:hAnsi="Arial" w:cs="Arial"/>
          <w:sz w:val="24"/>
          <w:szCs w:val="24"/>
        </w:rPr>
        <w:t>[12</w:t>
      </w:r>
      <w:r w:rsidR="00C661EA">
        <w:rPr>
          <w:rFonts w:ascii="Arial" w:hAnsi="Arial" w:cs="Arial"/>
          <w:sz w:val="24"/>
          <w:szCs w:val="24"/>
        </w:rPr>
        <w:t>]</w:t>
      </w:r>
      <w:r w:rsidR="00C661EA">
        <w:rPr>
          <w:rFonts w:ascii="Arial" w:hAnsi="Arial" w:cs="Arial"/>
          <w:sz w:val="24"/>
          <w:szCs w:val="24"/>
        </w:rPr>
        <w:tab/>
      </w:r>
      <w:r w:rsidR="00636F12">
        <w:rPr>
          <w:rFonts w:ascii="Arial" w:hAnsi="Arial" w:cs="Arial"/>
          <w:sz w:val="24"/>
          <w:szCs w:val="24"/>
        </w:rPr>
        <w:t xml:space="preserve"> All the respondents will be collectively referred to as such.</w:t>
      </w:r>
    </w:p>
    <w:p w14:paraId="44400770" w14:textId="3EA3ABE8" w:rsidR="00DD4B83" w:rsidRPr="00DD4B83" w:rsidRDefault="006650B3" w:rsidP="006A4FAB">
      <w:pPr>
        <w:spacing w:line="360" w:lineRule="auto"/>
        <w:jc w:val="both"/>
        <w:rPr>
          <w:rFonts w:ascii="Arial" w:hAnsi="Arial" w:cs="Arial"/>
          <w:b/>
          <w:sz w:val="24"/>
          <w:szCs w:val="24"/>
          <w:u w:val="single"/>
        </w:rPr>
      </w:pPr>
      <w:r>
        <w:rPr>
          <w:rFonts w:ascii="Arial" w:hAnsi="Arial" w:cs="Arial"/>
          <w:sz w:val="24"/>
          <w:szCs w:val="24"/>
        </w:rPr>
        <w:t>[13</w:t>
      </w:r>
      <w:r w:rsidR="00CE5415">
        <w:rPr>
          <w:rFonts w:ascii="Arial" w:hAnsi="Arial" w:cs="Arial"/>
          <w:sz w:val="24"/>
          <w:szCs w:val="24"/>
        </w:rPr>
        <w:t>]</w:t>
      </w:r>
      <w:r w:rsidR="00CE5415">
        <w:rPr>
          <w:rFonts w:ascii="Arial" w:hAnsi="Arial" w:cs="Arial"/>
          <w:sz w:val="24"/>
          <w:szCs w:val="24"/>
        </w:rPr>
        <w:tab/>
      </w:r>
      <w:r w:rsidR="00636F12">
        <w:rPr>
          <w:rFonts w:ascii="Arial" w:hAnsi="Arial" w:cs="Arial"/>
          <w:sz w:val="24"/>
          <w:szCs w:val="24"/>
        </w:rPr>
        <w:t>The applicant advanced a loan in favour of the first respondent in order to assist the second and sixth respondents with the purchase and refurbishment of a building known as Metro Centre Erf 1292, Johannesburg (“Metro Centre”).</w:t>
      </w:r>
    </w:p>
    <w:p w14:paraId="01093B30" w14:textId="730E55FE" w:rsidR="009251D5" w:rsidRPr="00DD4B83" w:rsidRDefault="006650B3" w:rsidP="003F0D2B">
      <w:pPr>
        <w:spacing w:line="360" w:lineRule="auto"/>
        <w:jc w:val="both"/>
        <w:rPr>
          <w:rFonts w:ascii="Arial" w:hAnsi="Arial" w:cs="Arial"/>
          <w:sz w:val="24"/>
          <w:szCs w:val="24"/>
        </w:rPr>
      </w:pPr>
      <w:r>
        <w:rPr>
          <w:rFonts w:ascii="Arial" w:hAnsi="Arial" w:cs="Arial"/>
          <w:sz w:val="24"/>
          <w:szCs w:val="24"/>
        </w:rPr>
        <w:t>[14</w:t>
      </w:r>
      <w:r w:rsidR="009251D5">
        <w:rPr>
          <w:rFonts w:ascii="Arial" w:hAnsi="Arial" w:cs="Arial"/>
          <w:sz w:val="24"/>
          <w:szCs w:val="24"/>
        </w:rPr>
        <w:t>]</w:t>
      </w:r>
      <w:r w:rsidR="009251D5">
        <w:rPr>
          <w:rFonts w:ascii="Arial" w:hAnsi="Arial" w:cs="Arial"/>
          <w:sz w:val="24"/>
          <w:szCs w:val="24"/>
        </w:rPr>
        <w:tab/>
      </w:r>
      <w:r w:rsidR="00636F12">
        <w:rPr>
          <w:rFonts w:ascii="Arial" w:hAnsi="Arial" w:cs="Arial"/>
          <w:sz w:val="24"/>
          <w:szCs w:val="24"/>
        </w:rPr>
        <w:t>Waldorf Heights on the immovable property is the subject of this litigation and was used as security of the loan for the equity release payment to the first respondent.  The security registered was a mortgage bond parsed in favour of the applicant.</w:t>
      </w:r>
    </w:p>
    <w:p w14:paraId="52915AC5" w14:textId="1E79D82A" w:rsidR="00677359" w:rsidRPr="006650B3" w:rsidRDefault="006650B3" w:rsidP="006A4FAB">
      <w:pPr>
        <w:spacing w:line="360" w:lineRule="auto"/>
        <w:jc w:val="both"/>
        <w:rPr>
          <w:rFonts w:ascii="Arial" w:hAnsi="Arial" w:cs="Arial"/>
          <w:color w:val="FF0000"/>
          <w:sz w:val="24"/>
          <w:szCs w:val="24"/>
        </w:rPr>
      </w:pPr>
      <w:r>
        <w:rPr>
          <w:rFonts w:ascii="Arial" w:hAnsi="Arial" w:cs="Arial"/>
          <w:sz w:val="24"/>
          <w:szCs w:val="24"/>
        </w:rPr>
        <w:t>[15</w:t>
      </w:r>
      <w:r w:rsidR="009E219F">
        <w:rPr>
          <w:rFonts w:ascii="Arial" w:hAnsi="Arial" w:cs="Arial"/>
          <w:sz w:val="24"/>
          <w:szCs w:val="24"/>
        </w:rPr>
        <w:t>]</w:t>
      </w:r>
      <w:r w:rsidR="009E219F">
        <w:rPr>
          <w:rFonts w:ascii="Arial" w:hAnsi="Arial" w:cs="Arial"/>
          <w:sz w:val="24"/>
          <w:szCs w:val="24"/>
        </w:rPr>
        <w:tab/>
      </w:r>
      <w:r w:rsidR="00636F12">
        <w:rPr>
          <w:rFonts w:ascii="Arial" w:hAnsi="Arial" w:cs="Arial"/>
          <w:sz w:val="24"/>
          <w:szCs w:val="24"/>
        </w:rPr>
        <w:t>In terms of the loan agreement the equity release component of the facility amount was to be dis</w:t>
      </w:r>
      <w:r w:rsidR="00B1007D">
        <w:rPr>
          <w:rFonts w:ascii="Arial" w:hAnsi="Arial" w:cs="Arial"/>
          <w:sz w:val="24"/>
          <w:szCs w:val="24"/>
        </w:rPr>
        <w:t>bursed</w:t>
      </w:r>
      <w:r w:rsidR="001C5E20">
        <w:rPr>
          <w:rFonts w:ascii="Arial" w:hAnsi="Arial" w:cs="Arial"/>
          <w:sz w:val="24"/>
          <w:szCs w:val="24"/>
        </w:rPr>
        <w:t xml:space="preserve"> </w:t>
      </w:r>
      <w:r w:rsidR="00636F12">
        <w:rPr>
          <w:rFonts w:ascii="Arial" w:hAnsi="Arial" w:cs="Arial"/>
          <w:sz w:val="24"/>
          <w:szCs w:val="24"/>
        </w:rPr>
        <w:t>to th</w:t>
      </w:r>
      <w:r w:rsidR="00B1007D">
        <w:rPr>
          <w:rFonts w:ascii="Arial" w:hAnsi="Arial" w:cs="Arial"/>
          <w:sz w:val="24"/>
          <w:szCs w:val="24"/>
        </w:rPr>
        <w:t>e</w:t>
      </w:r>
      <w:r w:rsidR="00636F12">
        <w:rPr>
          <w:rFonts w:ascii="Arial" w:hAnsi="Arial" w:cs="Arial"/>
          <w:sz w:val="24"/>
          <w:szCs w:val="24"/>
        </w:rPr>
        <w:t xml:space="preserve"> account of Brits Muller </w:t>
      </w:r>
      <w:r w:rsidR="00B1007D">
        <w:rPr>
          <w:rFonts w:ascii="Arial" w:hAnsi="Arial" w:cs="Arial"/>
          <w:sz w:val="24"/>
          <w:szCs w:val="24"/>
        </w:rPr>
        <w:t xml:space="preserve">Attorneys </w:t>
      </w:r>
      <w:r w:rsidR="00636F12">
        <w:rPr>
          <w:rFonts w:ascii="Arial" w:hAnsi="Arial" w:cs="Arial"/>
          <w:sz w:val="24"/>
          <w:szCs w:val="24"/>
        </w:rPr>
        <w:t>as part of the settlement of the equity contribution due in respect of the purchase of Metro Centre the purchase price of which was the sum of R7</w:t>
      </w:r>
      <w:r w:rsidR="00B1007D">
        <w:rPr>
          <w:rFonts w:ascii="Arial" w:hAnsi="Arial" w:cs="Arial"/>
          <w:sz w:val="24"/>
          <w:szCs w:val="24"/>
        </w:rPr>
        <w:t> </w:t>
      </w:r>
      <w:r w:rsidR="00636F12">
        <w:rPr>
          <w:rFonts w:ascii="Arial" w:hAnsi="Arial" w:cs="Arial"/>
          <w:sz w:val="24"/>
          <w:szCs w:val="24"/>
        </w:rPr>
        <w:t>422</w:t>
      </w:r>
      <w:r w:rsidR="00B1007D">
        <w:rPr>
          <w:rFonts w:ascii="Arial" w:hAnsi="Arial" w:cs="Arial"/>
          <w:sz w:val="24"/>
          <w:szCs w:val="24"/>
        </w:rPr>
        <w:t> </w:t>
      </w:r>
      <w:r w:rsidR="00636F12">
        <w:rPr>
          <w:rFonts w:ascii="Arial" w:hAnsi="Arial" w:cs="Arial"/>
          <w:sz w:val="24"/>
          <w:szCs w:val="24"/>
        </w:rPr>
        <w:t>660</w:t>
      </w:r>
      <w:r w:rsidR="00B1007D">
        <w:rPr>
          <w:rFonts w:ascii="Arial" w:hAnsi="Arial" w:cs="Arial"/>
          <w:sz w:val="24"/>
          <w:szCs w:val="24"/>
        </w:rPr>
        <w:t xml:space="preserve">(seven million four hundred and twenty two </w:t>
      </w:r>
      <w:r w:rsidR="001C5E20">
        <w:rPr>
          <w:rFonts w:ascii="Arial" w:hAnsi="Arial" w:cs="Arial"/>
          <w:sz w:val="24"/>
          <w:szCs w:val="24"/>
        </w:rPr>
        <w:t xml:space="preserve">thousand six hundred sixty </w:t>
      </w:r>
      <w:r w:rsidR="00B1007D">
        <w:rPr>
          <w:rFonts w:ascii="Arial" w:hAnsi="Arial" w:cs="Arial"/>
          <w:sz w:val="24"/>
          <w:szCs w:val="24"/>
        </w:rPr>
        <w:t>rand</w:t>
      </w:r>
      <w:r w:rsidR="001C5E20">
        <w:rPr>
          <w:rFonts w:ascii="Arial" w:hAnsi="Arial" w:cs="Arial"/>
          <w:sz w:val="24"/>
          <w:szCs w:val="24"/>
        </w:rPr>
        <w:t>)</w:t>
      </w:r>
      <w:r w:rsidR="00636F12">
        <w:rPr>
          <w:rFonts w:ascii="Arial" w:hAnsi="Arial" w:cs="Arial"/>
          <w:sz w:val="24"/>
          <w:szCs w:val="24"/>
        </w:rPr>
        <w:t xml:space="preserve"> and also funded by the applicant.</w:t>
      </w:r>
    </w:p>
    <w:p w14:paraId="00C08FD2" w14:textId="1AFAD586" w:rsidR="00677359" w:rsidRDefault="006650B3" w:rsidP="00677359">
      <w:pPr>
        <w:spacing w:line="360" w:lineRule="auto"/>
        <w:jc w:val="both"/>
        <w:rPr>
          <w:rFonts w:ascii="Arial" w:hAnsi="Arial" w:cs="Arial"/>
          <w:sz w:val="24"/>
          <w:szCs w:val="24"/>
        </w:rPr>
      </w:pPr>
      <w:r>
        <w:rPr>
          <w:rFonts w:ascii="Arial" w:hAnsi="Arial" w:cs="Arial"/>
          <w:sz w:val="24"/>
          <w:szCs w:val="24"/>
        </w:rPr>
        <w:t>[16</w:t>
      </w:r>
      <w:r w:rsidR="00677359">
        <w:rPr>
          <w:rFonts w:ascii="Arial" w:hAnsi="Arial" w:cs="Arial"/>
          <w:sz w:val="24"/>
          <w:szCs w:val="24"/>
        </w:rPr>
        <w:t>]</w:t>
      </w:r>
      <w:r w:rsidR="00677359">
        <w:rPr>
          <w:rFonts w:ascii="Arial" w:hAnsi="Arial" w:cs="Arial"/>
          <w:sz w:val="24"/>
          <w:szCs w:val="24"/>
        </w:rPr>
        <w:tab/>
      </w:r>
      <w:r w:rsidR="00636F12">
        <w:rPr>
          <w:rFonts w:ascii="Arial" w:hAnsi="Arial" w:cs="Arial"/>
          <w:sz w:val="24"/>
          <w:szCs w:val="24"/>
        </w:rPr>
        <w:t xml:space="preserve">The terms of the loan agreement concluded between the parties on 16 October 2016 to 2 November 2016 were </w:t>
      </w:r>
      <w:r w:rsidR="00636F12" w:rsidRPr="00BB2972">
        <w:rPr>
          <w:rFonts w:ascii="Arial" w:hAnsi="Arial" w:cs="Arial"/>
          <w:i/>
          <w:sz w:val="24"/>
          <w:szCs w:val="24"/>
        </w:rPr>
        <w:t>inter alia</w:t>
      </w:r>
      <w:r w:rsidR="00636F12">
        <w:rPr>
          <w:rFonts w:ascii="Arial" w:hAnsi="Arial" w:cs="Arial"/>
          <w:sz w:val="24"/>
          <w:szCs w:val="24"/>
        </w:rPr>
        <w:t xml:space="preserve"> as follows:</w:t>
      </w:r>
    </w:p>
    <w:p w14:paraId="23DE3E83" w14:textId="76C80D20" w:rsidR="00636F12" w:rsidRDefault="00636F12" w:rsidP="00677359">
      <w:pPr>
        <w:spacing w:line="360" w:lineRule="auto"/>
        <w:jc w:val="both"/>
        <w:rPr>
          <w:rFonts w:ascii="Arial" w:hAnsi="Arial" w:cs="Arial"/>
          <w:sz w:val="24"/>
          <w:szCs w:val="24"/>
        </w:rPr>
      </w:pPr>
      <w:r>
        <w:rPr>
          <w:rFonts w:ascii="Arial" w:hAnsi="Arial" w:cs="Arial"/>
          <w:sz w:val="24"/>
          <w:szCs w:val="24"/>
        </w:rPr>
        <w:lastRenderedPageBreak/>
        <w:t>16.1</w:t>
      </w:r>
      <w:r>
        <w:rPr>
          <w:rFonts w:ascii="Arial" w:hAnsi="Arial" w:cs="Arial"/>
          <w:sz w:val="24"/>
          <w:szCs w:val="24"/>
        </w:rPr>
        <w:tab/>
        <w:t>The applicant advanced to the first respondent a fa</w:t>
      </w:r>
      <w:r w:rsidR="001C5E20">
        <w:rPr>
          <w:rFonts w:ascii="Arial" w:hAnsi="Arial" w:cs="Arial"/>
          <w:sz w:val="24"/>
          <w:szCs w:val="24"/>
        </w:rPr>
        <w:t xml:space="preserve">cility </w:t>
      </w:r>
      <w:r>
        <w:rPr>
          <w:rFonts w:ascii="Arial" w:hAnsi="Arial" w:cs="Arial"/>
          <w:sz w:val="24"/>
          <w:szCs w:val="24"/>
        </w:rPr>
        <w:t xml:space="preserve">amount in the sum of R19 980 000 </w:t>
      </w:r>
      <w:r w:rsidR="001C5E20">
        <w:rPr>
          <w:rFonts w:ascii="Arial" w:hAnsi="Arial" w:cs="Arial"/>
          <w:sz w:val="24"/>
          <w:szCs w:val="24"/>
        </w:rPr>
        <w:t xml:space="preserve">(nineteen million nine hundred and eighty thousand rand) </w:t>
      </w:r>
      <w:r w:rsidR="00A96DD8">
        <w:rPr>
          <w:rFonts w:ascii="Arial" w:hAnsi="Arial" w:cs="Arial"/>
          <w:sz w:val="24"/>
          <w:szCs w:val="24"/>
        </w:rPr>
        <w:t>(“the fa</w:t>
      </w:r>
      <w:r w:rsidR="001C5E20">
        <w:rPr>
          <w:rFonts w:ascii="Arial" w:hAnsi="Arial" w:cs="Arial"/>
          <w:sz w:val="24"/>
          <w:szCs w:val="24"/>
        </w:rPr>
        <w:t xml:space="preserve">cility </w:t>
      </w:r>
      <w:r w:rsidR="00A96DD8">
        <w:rPr>
          <w:rFonts w:ascii="Arial" w:hAnsi="Arial" w:cs="Arial"/>
          <w:sz w:val="24"/>
          <w:szCs w:val="24"/>
        </w:rPr>
        <w:t>amount”) for drawdown by the first respondent;</w:t>
      </w:r>
    </w:p>
    <w:p w14:paraId="3429FE42" w14:textId="69A50F0C" w:rsidR="00A96DD8" w:rsidRDefault="00A96DD8" w:rsidP="00677359">
      <w:pPr>
        <w:spacing w:line="360" w:lineRule="auto"/>
        <w:jc w:val="both"/>
        <w:rPr>
          <w:rFonts w:ascii="Arial" w:hAnsi="Arial" w:cs="Arial"/>
          <w:sz w:val="24"/>
          <w:szCs w:val="24"/>
        </w:rPr>
      </w:pPr>
      <w:r>
        <w:rPr>
          <w:rFonts w:ascii="Arial" w:hAnsi="Arial" w:cs="Arial"/>
          <w:sz w:val="24"/>
          <w:szCs w:val="24"/>
        </w:rPr>
        <w:t>16.2</w:t>
      </w:r>
      <w:r>
        <w:rPr>
          <w:rFonts w:ascii="Arial" w:hAnsi="Arial" w:cs="Arial"/>
          <w:sz w:val="24"/>
          <w:szCs w:val="24"/>
        </w:rPr>
        <w:tab/>
        <w:t>The first respondent would pay promptly all rates, water and electricity charges and other like prompts that may be payable in respect of the immovable property and provide the applicant with proof of such payments when requested;</w:t>
      </w:r>
    </w:p>
    <w:p w14:paraId="7C3F3CC9" w14:textId="48A17A55" w:rsidR="00A96DD8" w:rsidRDefault="00A96DD8" w:rsidP="00677359">
      <w:pPr>
        <w:spacing w:line="360" w:lineRule="auto"/>
        <w:jc w:val="both"/>
        <w:rPr>
          <w:rFonts w:ascii="Arial" w:hAnsi="Arial" w:cs="Arial"/>
          <w:sz w:val="24"/>
          <w:szCs w:val="24"/>
        </w:rPr>
      </w:pPr>
      <w:r>
        <w:rPr>
          <w:rFonts w:ascii="Arial" w:hAnsi="Arial" w:cs="Arial"/>
          <w:sz w:val="24"/>
          <w:szCs w:val="24"/>
        </w:rPr>
        <w:t>16.3</w:t>
      </w:r>
      <w:r>
        <w:rPr>
          <w:rFonts w:ascii="Arial" w:hAnsi="Arial" w:cs="Arial"/>
          <w:sz w:val="24"/>
          <w:szCs w:val="24"/>
        </w:rPr>
        <w:tab/>
        <w:t>The trigger event of default by the first respondent is failure to pay any amounts due by it in terms of the loan agreement on the due date for payment thereof in breach of any other provision of the loan agreement and failure to remedy any such breach within any applicable cure period;</w:t>
      </w:r>
    </w:p>
    <w:p w14:paraId="75DEEA83" w14:textId="2D6674C4" w:rsidR="00A96DD8" w:rsidRPr="003E6E55" w:rsidRDefault="00A96DD8" w:rsidP="00677359">
      <w:pPr>
        <w:spacing w:line="360" w:lineRule="auto"/>
        <w:jc w:val="both"/>
        <w:rPr>
          <w:rFonts w:ascii="Arial" w:hAnsi="Arial" w:cs="Arial"/>
          <w:sz w:val="24"/>
          <w:szCs w:val="24"/>
        </w:rPr>
      </w:pPr>
      <w:r>
        <w:rPr>
          <w:rFonts w:ascii="Arial" w:hAnsi="Arial" w:cs="Arial"/>
          <w:sz w:val="24"/>
          <w:szCs w:val="24"/>
        </w:rPr>
        <w:t>16.4</w:t>
      </w:r>
      <w:r>
        <w:rPr>
          <w:rFonts w:ascii="Arial" w:hAnsi="Arial" w:cs="Arial"/>
          <w:sz w:val="24"/>
          <w:szCs w:val="24"/>
        </w:rPr>
        <w:tab/>
        <w:t>If the first respondent triggers an event of default and fails to remedy the default, the applicant would be entitled to accelerate and declare all amounts owing in terms of the loan agreement immediately due and payable.</w:t>
      </w:r>
    </w:p>
    <w:p w14:paraId="43E49F0B" w14:textId="7E4318F4" w:rsidR="00DD4B83" w:rsidRPr="00DD4B83" w:rsidRDefault="006650B3" w:rsidP="00677359">
      <w:pPr>
        <w:spacing w:line="360" w:lineRule="auto"/>
        <w:jc w:val="both"/>
        <w:rPr>
          <w:rFonts w:ascii="Arial" w:hAnsi="Arial" w:cs="Arial"/>
          <w:sz w:val="24"/>
          <w:szCs w:val="24"/>
        </w:rPr>
      </w:pPr>
      <w:r>
        <w:rPr>
          <w:rFonts w:ascii="Arial" w:hAnsi="Arial" w:cs="Arial"/>
          <w:sz w:val="24"/>
          <w:szCs w:val="24"/>
        </w:rPr>
        <w:t>[17</w:t>
      </w:r>
      <w:r w:rsidR="00677359">
        <w:rPr>
          <w:rFonts w:ascii="Arial" w:hAnsi="Arial" w:cs="Arial"/>
          <w:sz w:val="24"/>
          <w:szCs w:val="24"/>
        </w:rPr>
        <w:t>]</w:t>
      </w:r>
      <w:r w:rsidR="00677359">
        <w:rPr>
          <w:rFonts w:ascii="Arial" w:hAnsi="Arial" w:cs="Arial"/>
          <w:sz w:val="24"/>
          <w:szCs w:val="24"/>
        </w:rPr>
        <w:tab/>
      </w:r>
      <w:r w:rsidR="00D73194">
        <w:rPr>
          <w:rFonts w:ascii="Arial" w:hAnsi="Arial" w:cs="Arial"/>
          <w:sz w:val="24"/>
          <w:szCs w:val="24"/>
        </w:rPr>
        <w:t>As a further security to the loan, the parties concluded a written unlimited suretyship in favour of the applicant by all the respondents during 19 October 2016.</w:t>
      </w:r>
    </w:p>
    <w:p w14:paraId="1AECFF58" w14:textId="0731B85E" w:rsidR="009E219F" w:rsidRDefault="006650B3" w:rsidP="003F0D2B">
      <w:pPr>
        <w:spacing w:line="360" w:lineRule="auto"/>
        <w:jc w:val="both"/>
        <w:rPr>
          <w:rFonts w:ascii="Arial" w:hAnsi="Arial" w:cs="Arial"/>
          <w:sz w:val="24"/>
          <w:szCs w:val="24"/>
        </w:rPr>
      </w:pPr>
      <w:r>
        <w:rPr>
          <w:rFonts w:ascii="Arial" w:hAnsi="Arial" w:cs="Arial"/>
          <w:sz w:val="24"/>
          <w:szCs w:val="24"/>
        </w:rPr>
        <w:t>[18</w:t>
      </w:r>
      <w:r w:rsidR="009E219F">
        <w:rPr>
          <w:rFonts w:ascii="Arial" w:hAnsi="Arial" w:cs="Arial"/>
          <w:sz w:val="24"/>
          <w:szCs w:val="24"/>
        </w:rPr>
        <w:t>]</w:t>
      </w:r>
      <w:r w:rsidR="009E219F">
        <w:rPr>
          <w:rFonts w:ascii="Arial" w:hAnsi="Arial" w:cs="Arial"/>
          <w:sz w:val="24"/>
          <w:szCs w:val="24"/>
        </w:rPr>
        <w:tab/>
      </w:r>
      <w:r w:rsidR="00D73194">
        <w:rPr>
          <w:rFonts w:ascii="Arial" w:hAnsi="Arial" w:cs="Arial"/>
          <w:sz w:val="24"/>
          <w:szCs w:val="24"/>
        </w:rPr>
        <w:t xml:space="preserve">A mortgage bond was registered in favour of the applicant over the immovable property for an amount of R14 971 000 (fourteen million nine hundred and </w:t>
      </w:r>
      <w:r w:rsidR="00D873C1">
        <w:rPr>
          <w:rFonts w:ascii="Arial" w:hAnsi="Arial" w:cs="Arial"/>
          <w:sz w:val="24"/>
          <w:szCs w:val="24"/>
        </w:rPr>
        <w:t>seventy-one</w:t>
      </w:r>
      <w:r w:rsidR="00D73194">
        <w:rPr>
          <w:rFonts w:ascii="Arial" w:hAnsi="Arial" w:cs="Arial"/>
          <w:sz w:val="24"/>
          <w:szCs w:val="24"/>
        </w:rPr>
        <w:t xml:space="preserve"> thousand rand</w:t>
      </w:r>
      <w:r w:rsidR="001C5E20">
        <w:rPr>
          <w:rFonts w:ascii="Arial" w:hAnsi="Arial" w:cs="Arial"/>
          <w:sz w:val="24"/>
          <w:szCs w:val="24"/>
        </w:rPr>
        <w:t>)</w:t>
      </w:r>
      <w:r w:rsidR="00D73194">
        <w:rPr>
          <w:rFonts w:ascii="Arial" w:hAnsi="Arial" w:cs="Arial"/>
          <w:sz w:val="24"/>
          <w:szCs w:val="24"/>
        </w:rPr>
        <w:t xml:space="preserve"> together with an additional 30% (thirty percent) provision to contingent costs.</w:t>
      </w:r>
    </w:p>
    <w:p w14:paraId="3DF7E05A" w14:textId="4D72CC66" w:rsidR="00A55D23" w:rsidRDefault="006650B3" w:rsidP="003F0D2B">
      <w:pPr>
        <w:spacing w:line="360" w:lineRule="auto"/>
        <w:jc w:val="both"/>
        <w:rPr>
          <w:rFonts w:ascii="Arial" w:hAnsi="Arial" w:cs="Arial"/>
          <w:sz w:val="24"/>
          <w:szCs w:val="24"/>
        </w:rPr>
      </w:pPr>
      <w:r>
        <w:rPr>
          <w:rFonts w:ascii="Arial" w:hAnsi="Arial" w:cs="Arial"/>
          <w:sz w:val="24"/>
          <w:szCs w:val="24"/>
        </w:rPr>
        <w:t>[19</w:t>
      </w:r>
      <w:r w:rsidR="00A55D23">
        <w:rPr>
          <w:rFonts w:ascii="Arial" w:hAnsi="Arial" w:cs="Arial"/>
          <w:sz w:val="24"/>
          <w:szCs w:val="24"/>
        </w:rPr>
        <w:t>]</w:t>
      </w:r>
      <w:r w:rsidR="00A55D23">
        <w:rPr>
          <w:rFonts w:ascii="Arial" w:hAnsi="Arial" w:cs="Arial"/>
          <w:sz w:val="24"/>
          <w:szCs w:val="24"/>
        </w:rPr>
        <w:tab/>
      </w:r>
      <w:r w:rsidR="008B7260">
        <w:rPr>
          <w:rFonts w:ascii="Arial" w:hAnsi="Arial" w:cs="Arial"/>
          <w:sz w:val="24"/>
          <w:szCs w:val="24"/>
        </w:rPr>
        <w:t>In terms of the mortgage bond were that:</w:t>
      </w:r>
    </w:p>
    <w:p w14:paraId="48183C7F" w14:textId="2F32994A" w:rsidR="008B7260" w:rsidRDefault="008B7260" w:rsidP="003F0D2B">
      <w:pPr>
        <w:spacing w:line="360" w:lineRule="auto"/>
        <w:jc w:val="both"/>
        <w:rPr>
          <w:rFonts w:ascii="Arial" w:hAnsi="Arial" w:cs="Arial"/>
          <w:sz w:val="24"/>
          <w:szCs w:val="24"/>
        </w:rPr>
      </w:pPr>
      <w:r>
        <w:rPr>
          <w:rFonts w:ascii="Arial" w:hAnsi="Arial" w:cs="Arial"/>
          <w:sz w:val="24"/>
          <w:szCs w:val="24"/>
        </w:rPr>
        <w:t>19.1</w:t>
      </w:r>
      <w:r>
        <w:rPr>
          <w:rFonts w:ascii="Arial" w:hAnsi="Arial" w:cs="Arial"/>
          <w:sz w:val="24"/>
          <w:szCs w:val="24"/>
        </w:rPr>
        <w:tab/>
        <w:t xml:space="preserve">The first respondent is obliged to pay the rates and taxes and other like imposts that may be payable in respect of the immovable property and provide the applicant with proof of such payments; </w:t>
      </w:r>
    </w:p>
    <w:p w14:paraId="432F6A26" w14:textId="72E57A32" w:rsidR="00D4580A" w:rsidRDefault="00D4580A" w:rsidP="003F0D2B">
      <w:pPr>
        <w:spacing w:line="360" w:lineRule="auto"/>
        <w:jc w:val="both"/>
        <w:rPr>
          <w:rFonts w:ascii="Arial" w:hAnsi="Arial" w:cs="Arial"/>
          <w:sz w:val="24"/>
          <w:szCs w:val="24"/>
        </w:rPr>
      </w:pPr>
      <w:r>
        <w:rPr>
          <w:rFonts w:ascii="Arial" w:hAnsi="Arial" w:cs="Arial"/>
          <w:sz w:val="24"/>
          <w:szCs w:val="24"/>
        </w:rPr>
        <w:t>19.2</w:t>
      </w:r>
      <w:r>
        <w:rPr>
          <w:rFonts w:ascii="Arial" w:hAnsi="Arial" w:cs="Arial"/>
          <w:sz w:val="24"/>
          <w:szCs w:val="24"/>
        </w:rPr>
        <w:tab/>
        <w:t>As a further collateral security, and in the event of a default, the first respondent ceded its right to rental income and the applicant may recover and receive all rents, income and fruits from the immovable property (“the cession provision”).</w:t>
      </w:r>
    </w:p>
    <w:p w14:paraId="0CE3A853" w14:textId="713E5AE0" w:rsidR="00C648F7" w:rsidRPr="004B3C8F" w:rsidRDefault="006650B3" w:rsidP="00355D4F">
      <w:pPr>
        <w:spacing w:line="360" w:lineRule="auto"/>
        <w:jc w:val="both"/>
        <w:rPr>
          <w:rFonts w:ascii="Arial" w:hAnsi="Arial" w:cs="Arial"/>
          <w:color w:val="FF0000"/>
          <w:sz w:val="24"/>
          <w:szCs w:val="24"/>
        </w:rPr>
      </w:pPr>
      <w:r>
        <w:rPr>
          <w:rFonts w:ascii="Arial" w:hAnsi="Arial" w:cs="Arial"/>
          <w:sz w:val="24"/>
          <w:szCs w:val="24"/>
        </w:rPr>
        <w:lastRenderedPageBreak/>
        <w:t>[20</w:t>
      </w:r>
      <w:r w:rsidR="00C648F7">
        <w:rPr>
          <w:rFonts w:ascii="Arial" w:hAnsi="Arial" w:cs="Arial"/>
          <w:sz w:val="24"/>
          <w:szCs w:val="24"/>
        </w:rPr>
        <w:t>]</w:t>
      </w:r>
      <w:r w:rsidR="00C648F7">
        <w:rPr>
          <w:rFonts w:ascii="Arial" w:hAnsi="Arial" w:cs="Arial"/>
          <w:sz w:val="24"/>
          <w:szCs w:val="24"/>
        </w:rPr>
        <w:tab/>
      </w:r>
      <w:r w:rsidR="00D4580A">
        <w:rPr>
          <w:rFonts w:ascii="Arial" w:hAnsi="Arial" w:cs="Arial"/>
          <w:sz w:val="24"/>
          <w:szCs w:val="24"/>
        </w:rPr>
        <w:t xml:space="preserve">During August 2017, the first respondent requested a drawdown for equity release and payment of R9 500 000 </w:t>
      </w:r>
      <w:r w:rsidR="001C5E20">
        <w:rPr>
          <w:rFonts w:ascii="Arial" w:hAnsi="Arial" w:cs="Arial"/>
          <w:sz w:val="24"/>
          <w:szCs w:val="24"/>
        </w:rPr>
        <w:t xml:space="preserve">(nine million five hundred thousand rand) </w:t>
      </w:r>
      <w:r w:rsidR="00D4580A">
        <w:rPr>
          <w:rFonts w:ascii="Arial" w:hAnsi="Arial" w:cs="Arial"/>
          <w:sz w:val="24"/>
          <w:szCs w:val="24"/>
        </w:rPr>
        <w:t>was made in its favour.</w:t>
      </w:r>
    </w:p>
    <w:p w14:paraId="09C40F09" w14:textId="311DCFA2" w:rsidR="004B3C8F" w:rsidRPr="004B3C8F" w:rsidRDefault="006650B3" w:rsidP="00355D4F">
      <w:pPr>
        <w:spacing w:line="360" w:lineRule="auto"/>
        <w:jc w:val="both"/>
        <w:rPr>
          <w:rFonts w:ascii="Arial" w:hAnsi="Arial" w:cs="Arial"/>
          <w:sz w:val="24"/>
          <w:szCs w:val="24"/>
        </w:rPr>
      </w:pPr>
      <w:r>
        <w:rPr>
          <w:rFonts w:ascii="Arial" w:hAnsi="Arial" w:cs="Arial"/>
          <w:sz w:val="24"/>
          <w:szCs w:val="24"/>
        </w:rPr>
        <w:t>[21</w:t>
      </w:r>
      <w:r w:rsidR="00C648F7">
        <w:rPr>
          <w:rFonts w:ascii="Arial" w:hAnsi="Arial" w:cs="Arial"/>
          <w:sz w:val="24"/>
          <w:szCs w:val="24"/>
        </w:rPr>
        <w:t>]</w:t>
      </w:r>
      <w:r w:rsidR="00C648F7">
        <w:rPr>
          <w:rFonts w:ascii="Arial" w:hAnsi="Arial" w:cs="Arial"/>
          <w:sz w:val="24"/>
          <w:szCs w:val="24"/>
        </w:rPr>
        <w:tab/>
      </w:r>
      <w:r w:rsidR="00D4580A">
        <w:rPr>
          <w:rFonts w:ascii="Arial" w:hAnsi="Arial" w:cs="Arial"/>
          <w:sz w:val="24"/>
          <w:szCs w:val="24"/>
        </w:rPr>
        <w:t>Applicant avers that the first respondent or the respondents or its duly authorized agent is the landlord of Waldorf Heights and collects monthly rental from its various tenants who are residents of Waldorf Heights (“the Waldorf</w:t>
      </w:r>
      <w:r w:rsidR="00EE62DE">
        <w:rPr>
          <w:rFonts w:ascii="Arial" w:hAnsi="Arial" w:cs="Arial"/>
          <w:sz w:val="24"/>
          <w:szCs w:val="24"/>
        </w:rPr>
        <w:t xml:space="preserve"> Heights</w:t>
      </w:r>
      <w:r w:rsidR="00D4580A">
        <w:rPr>
          <w:rFonts w:ascii="Arial" w:hAnsi="Arial" w:cs="Arial"/>
          <w:sz w:val="24"/>
          <w:szCs w:val="24"/>
        </w:rPr>
        <w:t>”).</w:t>
      </w:r>
    </w:p>
    <w:p w14:paraId="4AEF5982" w14:textId="787AE40B" w:rsidR="00521E42" w:rsidRPr="004B3C8F" w:rsidRDefault="006650B3" w:rsidP="003F0D2B">
      <w:pPr>
        <w:spacing w:line="360" w:lineRule="auto"/>
        <w:jc w:val="both"/>
        <w:rPr>
          <w:rFonts w:ascii="Arial" w:hAnsi="Arial" w:cs="Arial"/>
          <w:sz w:val="24"/>
          <w:szCs w:val="24"/>
        </w:rPr>
      </w:pPr>
      <w:r>
        <w:rPr>
          <w:rFonts w:ascii="Arial" w:hAnsi="Arial" w:cs="Arial"/>
          <w:sz w:val="24"/>
          <w:szCs w:val="24"/>
        </w:rPr>
        <w:t>[22</w:t>
      </w:r>
      <w:r w:rsidR="00521E42">
        <w:rPr>
          <w:rFonts w:ascii="Arial" w:hAnsi="Arial" w:cs="Arial"/>
          <w:sz w:val="24"/>
          <w:szCs w:val="24"/>
        </w:rPr>
        <w:t>]</w:t>
      </w:r>
      <w:r w:rsidR="00521E42">
        <w:rPr>
          <w:rFonts w:ascii="Arial" w:hAnsi="Arial" w:cs="Arial"/>
          <w:sz w:val="24"/>
          <w:szCs w:val="24"/>
        </w:rPr>
        <w:tab/>
      </w:r>
      <w:r w:rsidR="00D4580A">
        <w:rPr>
          <w:rFonts w:ascii="Arial" w:hAnsi="Arial" w:cs="Arial"/>
          <w:sz w:val="24"/>
          <w:szCs w:val="24"/>
        </w:rPr>
        <w:t>Applicant contends that the first respondent is meeting its monthly instalments towards repayment of the loan amount but fails to comply with the municipal by laws and fails to provide payments of municipal rates, taxes, utilities and fails to provide the applicant with proof of payment of such municipal account as agreed to in terms of the loan agreement.</w:t>
      </w:r>
    </w:p>
    <w:p w14:paraId="5A995ADD" w14:textId="0CFE3928" w:rsidR="009C6E1B" w:rsidRPr="000C4C1B" w:rsidRDefault="006650B3" w:rsidP="003F0D2B">
      <w:pPr>
        <w:spacing w:line="360" w:lineRule="auto"/>
        <w:jc w:val="both"/>
        <w:rPr>
          <w:rFonts w:ascii="Arial" w:hAnsi="Arial" w:cs="Arial"/>
          <w:sz w:val="24"/>
          <w:szCs w:val="24"/>
        </w:rPr>
      </w:pPr>
      <w:r>
        <w:rPr>
          <w:rFonts w:ascii="Arial" w:hAnsi="Arial" w:cs="Arial"/>
          <w:sz w:val="24"/>
          <w:szCs w:val="24"/>
        </w:rPr>
        <w:t>[23</w:t>
      </w:r>
      <w:r w:rsidR="009C6E1B">
        <w:rPr>
          <w:rFonts w:ascii="Arial" w:hAnsi="Arial" w:cs="Arial"/>
          <w:sz w:val="24"/>
          <w:szCs w:val="24"/>
        </w:rPr>
        <w:t>]</w:t>
      </w:r>
      <w:r w:rsidR="009C6E1B">
        <w:rPr>
          <w:rFonts w:ascii="Arial" w:hAnsi="Arial" w:cs="Arial"/>
          <w:sz w:val="24"/>
          <w:szCs w:val="24"/>
        </w:rPr>
        <w:tab/>
      </w:r>
      <w:r w:rsidR="00C421F9">
        <w:rPr>
          <w:rFonts w:ascii="Arial" w:hAnsi="Arial" w:cs="Arial"/>
          <w:sz w:val="24"/>
          <w:szCs w:val="24"/>
        </w:rPr>
        <w:t>Applicant furthermore contends that the first respondent fail</w:t>
      </w:r>
      <w:r w:rsidR="00EE62DE">
        <w:rPr>
          <w:rFonts w:ascii="Arial" w:hAnsi="Arial" w:cs="Arial"/>
          <w:sz w:val="24"/>
          <w:szCs w:val="24"/>
        </w:rPr>
        <w:t>ed</w:t>
      </w:r>
      <w:r w:rsidR="00C421F9">
        <w:rPr>
          <w:rFonts w:ascii="Arial" w:hAnsi="Arial" w:cs="Arial"/>
          <w:sz w:val="24"/>
          <w:szCs w:val="24"/>
        </w:rPr>
        <w:t xml:space="preserve"> to update electrical compliance certificate in respect of the elevator at Waldorf Heights and fail</w:t>
      </w:r>
      <w:r w:rsidR="00EE62DE">
        <w:rPr>
          <w:rFonts w:ascii="Arial" w:hAnsi="Arial" w:cs="Arial"/>
          <w:sz w:val="24"/>
          <w:szCs w:val="24"/>
        </w:rPr>
        <w:t>ed</w:t>
      </w:r>
      <w:r w:rsidR="00C421F9">
        <w:rPr>
          <w:rFonts w:ascii="Arial" w:hAnsi="Arial" w:cs="Arial"/>
          <w:sz w:val="24"/>
          <w:szCs w:val="24"/>
        </w:rPr>
        <w:t xml:space="preserve"> to update the fire safety certificate at Waldorf Heights.</w:t>
      </w:r>
    </w:p>
    <w:p w14:paraId="2BD1B596" w14:textId="76FD02FF" w:rsidR="009C6E1B" w:rsidRDefault="006650B3" w:rsidP="003F0D2B">
      <w:pPr>
        <w:spacing w:line="360" w:lineRule="auto"/>
        <w:jc w:val="both"/>
        <w:rPr>
          <w:rFonts w:ascii="Arial" w:hAnsi="Arial" w:cs="Arial"/>
          <w:sz w:val="24"/>
          <w:szCs w:val="24"/>
        </w:rPr>
      </w:pPr>
      <w:r>
        <w:rPr>
          <w:rFonts w:ascii="Arial" w:hAnsi="Arial" w:cs="Arial"/>
          <w:sz w:val="24"/>
          <w:szCs w:val="24"/>
        </w:rPr>
        <w:t>[24</w:t>
      </w:r>
      <w:r w:rsidR="009C6E1B">
        <w:rPr>
          <w:rFonts w:ascii="Arial" w:hAnsi="Arial" w:cs="Arial"/>
          <w:sz w:val="24"/>
          <w:szCs w:val="24"/>
        </w:rPr>
        <w:t>]</w:t>
      </w:r>
      <w:r w:rsidR="009C6E1B">
        <w:rPr>
          <w:rFonts w:ascii="Arial" w:hAnsi="Arial" w:cs="Arial"/>
          <w:sz w:val="24"/>
          <w:szCs w:val="24"/>
        </w:rPr>
        <w:tab/>
      </w:r>
      <w:r w:rsidR="00B54827">
        <w:rPr>
          <w:rFonts w:ascii="Arial" w:hAnsi="Arial" w:cs="Arial"/>
          <w:sz w:val="24"/>
          <w:szCs w:val="24"/>
        </w:rPr>
        <w:t>As a consequence, so contends the applicant furthermore</w:t>
      </w:r>
      <w:r w:rsidR="003B7450">
        <w:rPr>
          <w:rFonts w:ascii="Arial" w:hAnsi="Arial" w:cs="Arial"/>
          <w:sz w:val="24"/>
          <w:szCs w:val="24"/>
        </w:rPr>
        <w:t xml:space="preserve">, </w:t>
      </w:r>
      <w:r w:rsidR="00B54827">
        <w:rPr>
          <w:rFonts w:ascii="Arial" w:hAnsi="Arial" w:cs="Arial"/>
          <w:sz w:val="24"/>
          <w:szCs w:val="24"/>
        </w:rPr>
        <w:t>the first respondent is in breach of the loan and the mortgage bond agreement</w:t>
      </w:r>
      <w:r w:rsidR="00EE62DE">
        <w:rPr>
          <w:rFonts w:ascii="Arial" w:hAnsi="Arial" w:cs="Arial"/>
          <w:sz w:val="24"/>
          <w:szCs w:val="24"/>
        </w:rPr>
        <w:t>s</w:t>
      </w:r>
      <w:r w:rsidR="00B54827">
        <w:rPr>
          <w:rFonts w:ascii="Arial" w:hAnsi="Arial" w:cs="Arial"/>
          <w:sz w:val="24"/>
          <w:szCs w:val="24"/>
        </w:rPr>
        <w:t>.</w:t>
      </w:r>
    </w:p>
    <w:p w14:paraId="529A4176" w14:textId="5A315CED" w:rsidR="009C6E1B" w:rsidRDefault="00F557F7" w:rsidP="003F0D2B">
      <w:pPr>
        <w:spacing w:line="360" w:lineRule="auto"/>
        <w:jc w:val="both"/>
        <w:rPr>
          <w:rFonts w:ascii="Arial" w:hAnsi="Arial" w:cs="Arial"/>
          <w:sz w:val="24"/>
          <w:szCs w:val="24"/>
        </w:rPr>
      </w:pPr>
      <w:r>
        <w:rPr>
          <w:rFonts w:ascii="Arial" w:hAnsi="Arial" w:cs="Arial"/>
          <w:sz w:val="24"/>
          <w:szCs w:val="24"/>
        </w:rPr>
        <w:t>[25</w:t>
      </w:r>
      <w:r w:rsidR="009C6E1B">
        <w:rPr>
          <w:rFonts w:ascii="Arial" w:hAnsi="Arial" w:cs="Arial"/>
          <w:sz w:val="24"/>
          <w:szCs w:val="24"/>
        </w:rPr>
        <w:t>]</w:t>
      </w:r>
      <w:r w:rsidR="009C6E1B">
        <w:rPr>
          <w:rFonts w:ascii="Arial" w:hAnsi="Arial" w:cs="Arial"/>
          <w:sz w:val="24"/>
          <w:szCs w:val="24"/>
        </w:rPr>
        <w:tab/>
      </w:r>
      <w:r w:rsidR="003B7450">
        <w:rPr>
          <w:rFonts w:ascii="Arial" w:hAnsi="Arial" w:cs="Arial"/>
          <w:sz w:val="24"/>
          <w:szCs w:val="24"/>
        </w:rPr>
        <w:t>A demand letter was addressed to the respondents calling upon them to remedy the breaches.  The demand was addressed to them on 20 December 2019.  The first respondent avers that the respondents failed to remedy the breaches and that as a consequence, it is entitled to accelerate and declare all amounts owing in terms of the loan agreement, being R9 370 515.22 (nine million three hundred</w:t>
      </w:r>
      <w:r w:rsidR="00000E2B">
        <w:rPr>
          <w:rFonts w:ascii="Arial" w:hAnsi="Arial" w:cs="Arial"/>
          <w:sz w:val="24"/>
          <w:szCs w:val="24"/>
        </w:rPr>
        <w:t xml:space="preserve"> and seventy thousand five hundred</w:t>
      </w:r>
      <w:r w:rsidR="003B7450">
        <w:rPr>
          <w:rFonts w:ascii="Arial" w:hAnsi="Arial" w:cs="Arial"/>
          <w:sz w:val="24"/>
          <w:szCs w:val="24"/>
        </w:rPr>
        <w:t xml:space="preserve"> and fifteen rand</w:t>
      </w:r>
      <w:r w:rsidR="00EE62DE">
        <w:rPr>
          <w:rFonts w:ascii="Arial" w:hAnsi="Arial" w:cs="Arial"/>
          <w:sz w:val="24"/>
          <w:szCs w:val="24"/>
        </w:rPr>
        <w:t xml:space="preserve"> and twenty</w:t>
      </w:r>
      <w:r w:rsidR="00093880">
        <w:rPr>
          <w:rFonts w:ascii="Arial" w:hAnsi="Arial" w:cs="Arial"/>
          <w:sz w:val="24"/>
          <w:szCs w:val="24"/>
        </w:rPr>
        <w:t xml:space="preserve"> </w:t>
      </w:r>
      <w:r w:rsidR="00607496">
        <w:rPr>
          <w:rFonts w:ascii="Arial" w:hAnsi="Arial" w:cs="Arial"/>
          <w:sz w:val="24"/>
          <w:szCs w:val="24"/>
        </w:rPr>
        <w:t>t</w:t>
      </w:r>
      <w:r w:rsidR="00EE62DE">
        <w:rPr>
          <w:rFonts w:ascii="Arial" w:hAnsi="Arial" w:cs="Arial"/>
          <w:sz w:val="24"/>
          <w:szCs w:val="24"/>
        </w:rPr>
        <w:t>wo rand</w:t>
      </w:r>
      <w:r w:rsidR="003B7450">
        <w:rPr>
          <w:rFonts w:ascii="Arial" w:hAnsi="Arial" w:cs="Arial"/>
          <w:sz w:val="24"/>
          <w:szCs w:val="24"/>
        </w:rPr>
        <w:t>) as 17 January 2020 including any fees, penalties, costs and charges.</w:t>
      </w:r>
    </w:p>
    <w:p w14:paraId="03B2737A" w14:textId="45C3BB7A" w:rsidR="009C6E1B" w:rsidRPr="00F532C3" w:rsidRDefault="00F557F7" w:rsidP="003F0D2B">
      <w:pPr>
        <w:spacing w:line="360" w:lineRule="auto"/>
        <w:jc w:val="both"/>
        <w:rPr>
          <w:rFonts w:ascii="Arial" w:hAnsi="Arial" w:cs="Arial"/>
          <w:sz w:val="24"/>
          <w:szCs w:val="24"/>
        </w:rPr>
      </w:pPr>
      <w:r>
        <w:rPr>
          <w:rFonts w:ascii="Arial" w:hAnsi="Arial" w:cs="Arial"/>
          <w:sz w:val="24"/>
          <w:szCs w:val="24"/>
        </w:rPr>
        <w:t>[26</w:t>
      </w:r>
      <w:r w:rsidR="009C6E1B">
        <w:rPr>
          <w:rFonts w:ascii="Arial" w:hAnsi="Arial" w:cs="Arial"/>
          <w:sz w:val="24"/>
          <w:szCs w:val="24"/>
        </w:rPr>
        <w:t>]</w:t>
      </w:r>
      <w:r w:rsidR="009C6E1B">
        <w:rPr>
          <w:rFonts w:ascii="Arial" w:hAnsi="Arial" w:cs="Arial"/>
          <w:sz w:val="24"/>
          <w:szCs w:val="24"/>
        </w:rPr>
        <w:tab/>
      </w:r>
      <w:r w:rsidR="003B4D59">
        <w:rPr>
          <w:rFonts w:ascii="Arial" w:hAnsi="Arial" w:cs="Arial"/>
          <w:sz w:val="24"/>
          <w:szCs w:val="24"/>
        </w:rPr>
        <w:t xml:space="preserve">Furthermore, the applicant contends that as a result of the breaches, it is entitled, in terms of the cession provision in the mortgage bond, to all the rights, title and interest to any rental amount payable by the tenants of Waldorf Heights tenants and contends that the first respondent has unlawfully and intentionally refused to facilitate the cession of the rental amounts </w:t>
      </w:r>
      <w:r w:rsidR="00F532C3">
        <w:rPr>
          <w:rFonts w:ascii="Arial" w:hAnsi="Arial" w:cs="Arial"/>
          <w:sz w:val="24"/>
          <w:szCs w:val="24"/>
        </w:rPr>
        <w:t>received from the Waldorf Heights tenants.</w:t>
      </w:r>
    </w:p>
    <w:p w14:paraId="0658C069" w14:textId="767F8A23" w:rsidR="00E05125" w:rsidRDefault="00F557F7" w:rsidP="00355D4F">
      <w:pPr>
        <w:spacing w:line="360" w:lineRule="auto"/>
        <w:jc w:val="both"/>
        <w:rPr>
          <w:rFonts w:ascii="Arial" w:hAnsi="Arial" w:cs="Arial"/>
          <w:sz w:val="24"/>
          <w:szCs w:val="24"/>
        </w:rPr>
      </w:pPr>
      <w:r>
        <w:rPr>
          <w:rFonts w:ascii="Arial" w:hAnsi="Arial" w:cs="Arial"/>
          <w:sz w:val="24"/>
          <w:szCs w:val="24"/>
        </w:rPr>
        <w:lastRenderedPageBreak/>
        <w:t>[27</w:t>
      </w:r>
      <w:r w:rsidR="0074273F">
        <w:rPr>
          <w:rFonts w:ascii="Arial" w:hAnsi="Arial" w:cs="Arial"/>
          <w:sz w:val="24"/>
          <w:szCs w:val="24"/>
        </w:rPr>
        <w:t>]</w:t>
      </w:r>
      <w:r w:rsidR="0074273F">
        <w:rPr>
          <w:rFonts w:ascii="Arial" w:hAnsi="Arial" w:cs="Arial"/>
          <w:sz w:val="24"/>
          <w:szCs w:val="24"/>
        </w:rPr>
        <w:tab/>
      </w:r>
      <w:r w:rsidR="00F532C3">
        <w:rPr>
          <w:rFonts w:ascii="Arial" w:hAnsi="Arial" w:cs="Arial"/>
          <w:sz w:val="24"/>
          <w:szCs w:val="24"/>
        </w:rPr>
        <w:t>The respondents</w:t>
      </w:r>
      <w:r w:rsidR="00607496">
        <w:rPr>
          <w:rFonts w:ascii="Arial" w:hAnsi="Arial" w:cs="Arial"/>
          <w:sz w:val="24"/>
          <w:szCs w:val="24"/>
        </w:rPr>
        <w:t>’</w:t>
      </w:r>
      <w:r w:rsidR="00F532C3">
        <w:rPr>
          <w:rFonts w:ascii="Arial" w:hAnsi="Arial" w:cs="Arial"/>
          <w:sz w:val="24"/>
          <w:szCs w:val="24"/>
        </w:rPr>
        <w:t xml:space="preserve"> case is that all monthly loan repayments obligations have been honoured.  As a consequence, the applicant is not entitled to foreclose the mortgage bond and accelerate payment of the full balance of the loan.  As a </w:t>
      </w:r>
      <w:r w:rsidR="00D873C1">
        <w:rPr>
          <w:rFonts w:ascii="Arial" w:hAnsi="Arial" w:cs="Arial"/>
          <w:sz w:val="24"/>
          <w:szCs w:val="24"/>
        </w:rPr>
        <w:t>consequence,</w:t>
      </w:r>
      <w:r w:rsidR="00F532C3">
        <w:rPr>
          <w:rFonts w:ascii="Arial" w:hAnsi="Arial" w:cs="Arial"/>
          <w:sz w:val="24"/>
          <w:szCs w:val="24"/>
        </w:rPr>
        <w:t xml:space="preserve"> so avers the first respondent</w:t>
      </w:r>
      <w:r w:rsidR="00093880">
        <w:rPr>
          <w:rFonts w:ascii="Arial" w:hAnsi="Arial" w:cs="Arial"/>
          <w:sz w:val="24"/>
          <w:szCs w:val="24"/>
        </w:rPr>
        <w:t xml:space="preserve"> furthermore that </w:t>
      </w:r>
      <w:r w:rsidR="00F532C3">
        <w:rPr>
          <w:rFonts w:ascii="Arial" w:hAnsi="Arial" w:cs="Arial"/>
          <w:sz w:val="24"/>
          <w:szCs w:val="24"/>
        </w:rPr>
        <w:t>the applicants is also not entitled to exercise its rights in terms of cession of rental of all tenants of Waldorf Heights to give effect to acceleration of the full outstanding loan.</w:t>
      </w:r>
    </w:p>
    <w:p w14:paraId="3139EC7B" w14:textId="1E30C740" w:rsidR="002820EC" w:rsidRDefault="00F557F7" w:rsidP="00355D4F">
      <w:pPr>
        <w:spacing w:line="360" w:lineRule="auto"/>
        <w:jc w:val="both"/>
        <w:rPr>
          <w:rFonts w:ascii="Arial" w:hAnsi="Arial" w:cs="Arial"/>
          <w:sz w:val="24"/>
          <w:szCs w:val="24"/>
        </w:rPr>
      </w:pPr>
      <w:r>
        <w:rPr>
          <w:rFonts w:ascii="Arial" w:hAnsi="Arial" w:cs="Arial"/>
          <w:sz w:val="24"/>
          <w:szCs w:val="24"/>
        </w:rPr>
        <w:t>[28</w:t>
      </w:r>
      <w:r w:rsidR="00E05125">
        <w:rPr>
          <w:rFonts w:ascii="Arial" w:hAnsi="Arial" w:cs="Arial"/>
          <w:sz w:val="24"/>
          <w:szCs w:val="24"/>
        </w:rPr>
        <w:t>]</w:t>
      </w:r>
      <w:r w:rsidR="00E05125">
        <w:rPr>
          <w:rFonts w:ascii="Arial" w:hAnsi="Arial" w:cs="Arial"/>
          <w:sz w:val="24"/>
          <w:szCs w:val="24"/>
        </w:rPr>
        <w:tab/>
      </w:r>
      <w:r w:rsidR="00F532C3">
        <w:rPr>
          <w:rFonts w:ascii="Arial" w:hAnsi="Arial" w:cs="Arial"/>
          <w:sz w:val="24"/>
          <w:szCs w:val="24"/>
        </w:rPr>
        <w:t>It is also the first respondent’s case, with regards to the alleged breach of the loan agreement by failure to pay the municipal charges as the latter were not due and payable to the City of Johannesburg at the time of that the applicant purported to place the first respondent on terms to remedy such breach.</w:t>
      </w:r>
    </w:p>
    <w:p w14:paraId="21D68254" w14:textId="0352C022" w:rsidR="002820EC" w:rsidRDefault="00F557F7" w:rsidP="003F0D2B">
      <w:pPr>
        <w:spacing w:line="360" w:lineRule="auto"/>
        <w:jc w:val="both"/>
        <w:rPr>
          <w:rFonts w:ascii="Arial" w:hAnsi="Arial" w:cs="Arial"/>
          <w:sz w:val="24"/>
          <w:szCs w:val="24"/>
        </w:rPr>
      </w:pPr>
      <w:r>
        <w:rPr>
          <w:rFonts w:ascii="Arial" w:hAnsi="Arial" w:cs="Arial"/>
          <w:sz w:val="24"/>
          <w:szCs w:val="24"/>
        </w:rPr>
        <w:t>[29</w:t>
      </w:r>
      <w:r w:rsidR="002820EC">
        <w:rPr>
          <w:rFonts w:ascii="Arial" w:hAnsi="Arial" w:cs="Arial"/>
          <w:sz w:val="24"/>
          <w:szCs w:val="24"/>
        </w:rPr>
        <w:t>]</w:t>
      </w:r>
      <w:r w:rsidR="002820EC">
        <w:rPr>
          <w:rFonts w:ascii="Arial" w:hAnsi="Arial" w:cs="Arial"/>
          <w:sz w:val="24"/>
          <w:szCs w:val="24"/>
        </w:rPr>
        <w:tab/>
      </w:r>
      <w:r w:rsidR="00EC72A4">
        <w:rPr>
          <w:rFonts w:ascii="Arial" w:hAnsi="Arial" w:cs="Arial"/>
          <w:sz w:val="24"/>
          <w:szCs w:val="24"/>
        </w:rPr>
        <w:t>The first respondent contends as regards the alleged failure to provide a</w:t>
      </w:r>
      <w:r w:rsidR="00D90E70">
        <w:rPr>
          <w:rFonts w:ascii="Arial" w:hAnsi="Arial" w:cs="Arial"/>
          <w:sz w:val="24"/>
          <w:szCs w:val="24"/>
        </w:rPr>
        <w:t>n</w:t>
      </w:r>
      <w:r w:rsidR="00EC72A4">
        <w:rPr>
          <w:rFonts w:ascii="Arial" w:hAnsi="Arial" w:cs="Arial"/>
          <w:sz w:val="24"/>
          <w:szCs w:val="24"/>
        </w:rPr>
        <w:t xml:space="preserve"> electrical compliance certificate in respect of the elevators at Waldorf Heights   that the certificate is in place and was furnished to the applicant as a pre-condition of the mortgage registration.</w:t>
      </w:r>
    </w:p>
    <w:p w14:paraId="0DEB28F4" w14:textId="6D6ED8A0" w:rsidR="002820EC" w:rsidRDefault="00F557F7" w:rsidP="003F0D2B">
      <w:pPr>
        <w:spacing w:line="360" w:lineRule="auto"/>
        <w:jc w:val="both"/>
        <w:rPr>
          <w:rFonts w:ascii="Arial" w:hAnsi="Arial" w:cs="Arial"/>
          <w:sz w:val="24"/>
          <w:szCs w:val="24"/>
        </w:rPr>
      </w:pPr>
      <w:r>
        <w:rPr>
          <w:rFonts w:ascii="Arial" w:hAnsi="Arial" w:cs="Arial"/>
          <w:sz w:val="24"/>
          <w:szCs w:val="24"/>
        </w:rPr>
        <w:t>[30</w:t>
      </w:r>
      <w:r w:rsidR="002820EC">
        <w:rPr>
          <w:rFonts w:ascii="Arial" w:hAnsi="Arial" w:cs="Arial"/>
          <w:sz w:val="24"/>
          <w:szCs w:val="24"/>
        </w:rPr>
        <w:t>]</w:t>
      </w:r>
      <w:r w:rsidR="002820EC">
        <w:rPr>
          <w:rFonts w:ascii="Arial" w:hAnsi="Arial" w:cs="Arial"/>
          <w:sz w:val="24"/>
          <w:szCs w:val="24"/>
        </w:rPr>
        <w:tab/>
      </w:r>
      <w:r w:rsidR="002C0CD1">
        <w:rPr>
          <w:rFonts w:ascii="Arial" w:hAnsi="Arial" w:cs="Arial"/>
          <w:sz w:val="24"/>
          <w:szCs w:val="24"/>
        </w:rPr>
        <w:t xml:space="preserve"> </w:t>
      </w:r>
      <w:r w:rsidR="00206C19">
        <w:rPr>
          <w:rFonts w:ascii="Arial" w:hAnsi="Arial" w:cs="Arial"/>
          <w:sz w:val="24"/>
          <w:szCs w:val="24"/>
        </w:rPr>
        <w:t>The first respondent also contends that the obligation to furnish the applicant with a Fire Safety certificate was a pre-condition for registration of the mortgage bond and not a term of the loan agreement, which, if breached, can be a reason for acceleration of the full balance of the loan.  It contends that the certificate is in place and was furnished to the applicant</w:t>
      </w:r>
      <w:r w:rsidR="00093880">
        <w:rPr>
          <w:rFonts w:ascii="Arial" w:hAnsi="Arial" w:cs="Arial"/>
          <w:sz w:val="24"/>
          <w:szCs w:val="24"/>
        </w:rPr>
        <w:t xml:space="preserve"> before the mortgage bond was registered</w:t>
      </w:r>
    </w:p>
    <w:p w14:paraId="383908EB" w14:textId="03DAD221" w:rsidR="000A36CF" w:rsidRDefault="00F557F7" w:rsidP="006A4FAB">
      <w:pPr>
        <w:spacing w:line="360" w:lineRule="auto"/>
        <w:jc w:val="both"/>
        <w:rPr>
          <w:rFonts w:ascii="Arial" w:hAnsi="Arial" w:cs="Arial"/>
          <w:sz w:val="24"/>
          <w:szCs w:val="24"/>
        </w:rPr>
      </w:pPr>
      <w:r>
        <w:rPr>
          <w:rFonts w:ascii="Arial" w:hAnsi="Arial" w:cs="Arial"/>
          <w:sz w:val="24"/>
          <w:szCs w:val="24"/>
        </w:rPr>
        <w:t>[31</w:t>
      </w:r>
      <w:r w:rsidR="000B5B77">
        <w:rPr>
          <w:rFonts w:ascii="Arial" w:hAnsi="Arial" w:cs="Arial"/>
          <w:sz w:val="24"/>
          <w:szCs w:val="24"/>
        </w:rPr>
        <w:t>]</w:t>
      </w:r>
      <w:r w:rsidR="000B5B77">
        <w:rPr>
          <w:rFonts w:ascii="Arial" w:hAnsi="Arial" w:cs="Arial"/>
          <w:sz w:val="24"/>
          <w:szCs w:val="24"/>
        </w:rPr>
        <w:tab/>
      </w:r>
      <w:r w:rsidR="002F427C">
        <w:rPr>
          <w:rFonts w:ascii="Arial" w:hAnsi="Arial" w:cs="Arial"/>
          <w:sz w:val="24"/>
          <w:szCs w:val="24"/>
        </w:rPr>
        <w:t xml:space="preserve">With regards to further alleged breaches as contended by the applicant in terms of which the applicant asserts that the first respondent breached the loan agreement by: </w:t>
      </w:r>
    </w:p>
    <w:p w14:paraId="7CBBF335" w14:textId="29B540F5" w:rsidR="002F427C" w:rsidRDefault="002F427C" w:rsidP="006A4FAB">
      <w:pPr>
        <w:spacing w:line="360" w:lineRule="auto"/>
        <w:jc w:val="both"/>
        <w:rPr>
          <w:rFonts w:ascii="Arial" w:hAnsi="Arial" w:cs="Arial"/>
          <w:sz w:val="24"/>
          <w:szCs w:val="24"/>
        </w:rPr>
      </w:pPr>
      <w:r>
        <w:rPr>
          <w:rFonts w:ascii="Arial" w:hAnsi="Arial" w:cs="Arial"/>
          <w:sz w:val="24"/>
          <w:szCs w:val="24"/>
        </w:rPr>
        <w:t>31.1</w:t>
      </w:r>
      <w:r>
        <w:rPr>
          <w:rFonts w:ascii="Arial" w:hAnsi="Arial" w:cs="Arial"/>
          <w:sz w:val="24"/>
          <w:szCs w:val="24"/>
        </w:rPr>
        <w:tab/>
        <w:t>failing to provide the applicant with proof of payment of municipal charges and</w:t>
      </w:r>
    </w:p>
    <w:p w14:paraId="2989C109" w14:textId="4DE6F0DF" w:rsidR="002F427C" w:rsidRDefault="002F427C" w:rsidP="006A4FAB">
      <w:pPr>
        <w:spacing w:line="360" w:lineRule="auto"/>
        <w:jc w:val="both"/>
        <w:rPr>
          <w:rFonts w:ascii="Arial" w:hAnsi="Arial" w:cs="Arial"/>
          <w:sz w:val="24"/>
          <w:szCs w:val="24"/>
        </w:rPr>
      </w:pPr>
      <w:r>
        <w:rPr>
          <w:rFonts w:ascii="Arial" w:hAnsi="Arial" w:cs="Arial"/>
          <w:sz w:val="24"/>
          <w:szCs w:val="24"/>
        </w:rPr>
        <w:t>31.2</w:t>
      </w:r>
      <w:r>
        <w:rPr>
          <w:rFonts w:ascii="Arial" w:hAnsi="Arial" w:cs="Arial"/>
          <w:sz w:val="24"/>
          <w:szCs w:val="24"/>
        </w:rPr>
        <w:tab/>
        <w:t xml:space="preserve">failing to provide the applicant with copies of municipal statements, </w:t>
      </w:r>
    </w:p>
    <w:p w14:paraId="2FB38CC1" w14:textId="0EDEBD92" w:rsidR="002F427C" w:rsidRPr="00EB6786" w:rsidRDefault="002F427C" w:rsidP="006A4FAB">
      <w:pPr>
        <w:spacing w:line="360" w:lineRule="auto"/>
        <w:jc w:val="both"/>
        <w:rPr>
          <w:rFonts w:ascii="Arial" w:hAnsi="Arial" w:cs="Arial"/>
          <w:i/>
          <w:color w:val="FF0000"/>
          <w:sz w:val="24"/>
          <w:szCs w:val="24"/>
        </w:rPr>
      </w:pPr>
      <w:r>
        <w:rPr>
          <w:rFonts w:ascii="Arial" w:hAnsi="Arial" w:cs="Arial"/>
          <w:sz w:val="24"/>
          <w:szCs w:val="24"/>
        </w:rPr>
        <w:t xml:space="preserve">the first respondent contends that there are presently no charges due and payable by the first respondent to the City of Johannesburg and / </w:t>
      </w:r>
      <w:r w:rsidR="00EB6786">
        <w:rPr>
          <w:rFonts w:ascii="Arial" w:hAnsi="Arial" w:cs="Arial"/>
          <w:sz w:val="24"/>
          <w:szCs w:val="24"/>
        </w:rPr>
        <w:t xml:space="preserve">or there were no such charges payable at the time that the applicant purported to place the first respondents on terms to remedy such breach then, so furthermore contends the first respondent, it follows that the first </w:t>
      </w:r>
      <w:r w:rsidR="00EB6786">
        <w:rPr>
          <w:rFonts w:ascii="Arial" w:hAnsi="Arial" w:cs="Arial"/>
          <w:sz w:val="24"/>
          <w:szCs w:val="24"/>
        </w:rPr>
        <w:lastRenderedPageBreak/>
        <w:t xml:space="preserve">respondent is not in breach of the loan agreement and / or mortgage bond for failing to provide proof of payment of such charges to the applicant. </w:t>
      </w:r>
    </w:p>
    <w:p w14:paraId="2ACAFADD" w14:textId="6F884C83" w:rsidR="000B5B77" w:rsidRDefault="00F557F7" w:rsidP="00355D4F">
      <w:pPr>
        <w:spacing w:line="360" w:lineRule="auto"/>
        <w:jc w:val="both"/>
        <w:rPr>
          <w:rFonts w:ascii="Arial" w:hAnsi="Arial" w:cs="Arial"/>
          <w:sz w:val="24"/>
          <w:szCs w:val="24"/>
        </w:rPr>
      </w:pPr>
      <w:r>
        <w:rPr>
          <w:rFonts w:ascii="Arial" w:hAnsi="Arial" w:cs="Arial"/>
          <w:sz w:val="24"/>
          <w:szCs w:val="24"/>
        </w:rPr>
        <w:t>[32</w:t>
      </w:r>
      <w:r w:rsidR="000B5B77">
        <w:rPr>
          <w:rFonts w:ascii="Arial" w:hAnsi="Arial" w:cs="Arial"/>
          <w:sz w:val="24"/>
          <w:szCs w:val="24"/>
        </w:rPr>
        <w:t>]</w:t>
      </w:r>
      <w:r w:rsidR="000B5B77">
        <w:rPr>
          <w:rFonts w:ascii="Arial" w:hAnsi="Arial" w:cs="Arial"/>
          <w:sz w:val="24"/>
          <w:szCs w:val="24"/>
        </w:rPr>
        <w:tab/>
      </w:r>
      <w:r w:rsidR="0029074D">
        <w:rPr>
          <w:rFonts w:ascii="Arial" w:hAnsi="Arial" w:cs="Arial"/>
          <w:sz w:val="24"/>
          <w:szCs w:val="24"/>
        </w:rPr>
        <w:t xml:space="preserve">The first respondent contends furthermore, in addition to its response to alleged various breaches of the loan agreement that it has two further defences, </w:t>
      </w:r>
      <w:r w:rsidR="00D873C1">
        <w:rPr>
          <w:rFonts w:ascii="Arial" w:hAnsi="Arial" w:cs="Arial"/>
          <w:sz w:val="24"/>
          <w:szCs w:val="24"/>
        </w:rPr>
        <w:t>namely: -</w:t>
      </w:r>
    </w:p>
    <w:p w14:paraId="6A674891" w14:textId="2590BDD4" w:rsidR="0029074D" w:rsidRDefault="0029074D" w:rsidP="00355D4F">
      <w:pPr>
        <w:spacing w:line="360" w:lineRule="auto"/>
        <w:jc w:val="both"/>
        <w:rPr>
          <w:rFonts w:ascii="Arial" w:hAnsi="Arial" w:cs="Arial"/>
          <w:sz w:val="24"/>
          <w:szCs w:val="24"/>
        </w:rPr>
      </w:pPr>
      <w:r>
        <w:rPr>
          <w:rFonts w:ascii="Arial" w:hAnsi="Arial" w:cs="Arial"/>
          <w:sz w:val="24"/>
          <w:szCs w:val="24"/>
        </w:rPr>
        <w:t>32.1</w:t>
      </w:r>
      <w:r>
        <w:rPr>
          <w:rFonts w:ascii="Arial" w:hAnsi="Arial" w:cs="Arial"/>
          <w:sz w:val="24"/>
          <w:szCs w:val="24"/>
        </w:rPr>
        <w:tab/>
        <w:t xml:space="preserve">that this application has been instituted for an ulterior purpose in as much as the applicant seeks to exit its relationship with the respondents at any cost and this, so contends the respondents contributes an abuse of court process; </w:t>
      </w:r>
    </w:p>
    <w:p w14:paraId="3CCF25FD" w14:textId="31937763" w:rsidR="0029074D" w:rsidRDefault="0029074D" w:rsidP="00355D4F">
      <w:pPr>
        <w:spacing w:line="360" w:lineRule="auto"/>
        <w:jc w:val="both"/>
        <w:rPr>
          <w:rFonts w:ascii="Arial" w:hAnsi="Arial" w:cs="Arial"/>
          <w:sz w:val="24"/>
          <w:szCs w:val="24"/>
        </w:rPr>
      </w:pPr>
      <w:r>
        <w:rPr>
          <w:rFonts w:ascii="Arial" w:hAnsi="Arial" w:cs="Arial"/>
          <w:sz w:val="24"/>
          <w:szCs w:val="24"/>
        </w:rPr>
        <w:t>32.2</w:t>
      </w:r>
      <w:r>
        <w:rPr>
          <w:rFonts w:ascii="Arial" w:hAnsi="Arial" w:cs="Arial"/>
          <w:sz w:val="24"/>
          <w:szCs w:val="24"/>
        </w:rPr>
        <w:tab/>
        <w:t xml:space="preserve">the applicant has failed to comply in a number of material respects with the provisions of Uniform Rule of Court 46A and </w:t>
      </w:r>
    </w:p>
    <w:p w14:paraId="0157E2F1" w14:textId="37D08748" w:rsidR="0029074D" w:rsidRPr="00D94FBD" w:rsidRDefault="0029074D" w:rsidP="00355D4F">
      <w:pPr>
        <w:spacing w:line="360" w:lineRule="auto"/>
        <w:jc w:val="both"/>
        <w:rPr>
          <w:rFonts w:ascii="Arial" w:hAnsi="Arial" w:cs="Arial"/>
          <w:color w:val="FF0000"/>
          <w:sz w:val="24"/>
          <w:szCs w:val="24"/>
        </w:rPr>
      </w:pPr>
      <w:r>
        <w:rPr>
          <w:rFonts w:ascii="Arial" w:hAnsi="Arial" w:cs="Arial"/>
          <w:sz w:val="24"/>
          <w:szCs w:val="24"/>
        </w:rPr>
        <w:t>32.3</w:t>
      </w:r>
      <w:r>
        <w:rPr>
          <w:rFonts w:ascii="Arial" w:hAnsi="Arial" w:cs="Arial"/>
          <w:sz w:val="24"/>
          <w:szCs w:val="24"/>
        </w:rPr>
        <w:tab/>
        <w:t>the applicant has failed to comply with Rule 4(a) of the Uniform Rules of Court</w:t>
      </w:r>
    </w:p>
    <w:p w14:paraId="2C366958" w14:textId="424CECC3" w:rsidR="00767717" w:rsidRDefault="00F557F7" w:rsidP="00355D4F">
      <w:pPr>
        <w:spacing w:line="360" w:lineRule="auto"/>
        <w:jc w:val="both"/>
        <w:rPr>
          <w:rFonts w:ascii="Arial" w:hAnsi="Arial" w:cs="Arial"/>
          <w:sz w:val="24"/>
          <w:szCs w:val="24"/>
        </w:rPr>
      </w:pPr>
      <w:r>
        <w:rPr>
          <w:rFonts w:ascii="Arial" w:hAnsi="Arial" w:cs="Arial"/>
          <w:sz w:val="24"/>
          <w:szCs w:val="24"/>
        </w:rPr>
        <w:t>[33</w:t>
      </w:r>
      <w:r w:rsidR="00040F8E">
        <w:rPr>
          <w:rFonts w:ascii="Arial" w:hAnsi="Arial" w:cs="Arial"/>
          <w:sz w:val="24"/>
          <w:szCs w:val="24"/>
        </w:rPr>
        <w:t>]</w:t>
      </w:r>
      <w:r w:rsidR="0029074D">
        <w:rPr>
          <w:rFonts w:ascii="Arial" w:hAnsi="Arial" w:cs="Arial"/>
          <w:sz w:val="24"/>
          <w:szCs w:val="24"/>
        </w:rPr>
        <w:tab/>
        <w:t xml:space="preserve">The issue for determination is whether the applicant has made out a case </w:t>
      </w:r>
      <w:r w:rsidR="00D873C1">
        <w:rPr>
          <w:rFonts w:ascii="Arial" w:hAnsi="Arial" w:cs="Arial"/>
          <w:sz w:val="24"/>
          <w:szCs w:val="24"/>
        </w:rPr>
        <w:t>for foreclosure</w:t>
      </w:r>
      <w:r w:rsidR="0029074D">
        <w:rPr>
          <w:rFonts w:ascii="Arial" w:hAnsi="Arial" w:cs="Arial"/>
          <w:sz w:val="24"/>
          <w:szCs w:val="24"/>
        </w:rPr>
        <w:t xml:space="preserve"> of </w:t>
      </w:r>
      <w:r w:rsidR="00EB6786">
        <w:rPr>
          <w:rFonts w:ascii="Arial" w:hAnsi="Arial" w:cs="Arial"/>
          <w:sz w:val="24"/>
          <w:szCs w:val="24"/>
        </w:rPr>
        <w:t>mortgage bond based on the alleged breaches of the loan agreement.  Furthermore, another issue for determination is whether or not there is a genuine dispute of fact which must be determined in these motion proceedings.</w:t>
      </w:r>
    </w:p>
    <w:p w14:paraId="764D0897" w14:textId="708A0FF2" w:rsidR="00767717" w:rsidRDefault="00F557F7" w:rsidP="003F0D2B">
      <w:pPr>
        <w:spacing w:line="360" w:lineRule="auto"/>
        <w:jc w:val="both"/>
        <w:rPr>
          <w:rFonts w:ascii="Arial" w:hAnsi="Arial" w:cs="Arial"/>
          <w:sz w:val="24"/>
          <w:szCs w:val="24"/>
        </w:rPr>
      </w:pPr>
      <w:r>
        <w:rPr>
          <w:rFonts w:ascii="Arial" w:hAnsi="Arial" w:cs="Arial"/>
          <w:sz w:val="24"/>
          <w:szCs w:val="24"/>
        </w:rPr>
        <w:t>[34</w:t>
      </w:r>
      <w:r w:rsidR="00767717">
        <w:rPr>
          <w:rFonts w:ascii="Arial" w:hAnsi="Arial" w:cs="Arial"/>
          <w:sz w:val="24"/>
          <w:szCs w:val="24"/>
        </w:rPr>
        <w:t>]</w:t>
      </w:r>
      <w:r w:rsidR="00767717">
        <w:rPr>
          <w:rFonts w:ascii="Arial" w:hAnsi="Arial" w:cs="Arial"/>
          <w:sz w:val="24"/>
          <w:szCs w:val="24"/>
        </w:rPr>
        <w:tab/>
      </w:r>
      <w:r w:rsidR="00EB6786">
        <w:rPr>
          <w:rFonts w:ascii="Arial" w:hAnsi="Arial" w:cs="Arial"/>
          <w:sz w:val="24"/>
          <w:szCs w:val="24"/>
        </w:rPr>
        <w:t>The legal framework of principles on dispute of fact will be dealt with first and thereafter a determination whether the applicant has made out a case on papers for the foreclosure of the mortgage bond.</w:t>
      </w:r>
    </w:p>
    <w:p w14:paraId="7B3810E2" w14:textId="47393124" w:rsidR="00767717" w:rsidRDefault="00F557F7" w:rsidP="003F0D2B">
      <w:pPr>
        <w:spacing w:line="360" w:lineRule="auto"/>
        <w:jc w:val="both"/>
        <w:rPr>
          <w:rFonts w:ascii="Arial" w:hAnsi="Arial" w:cs="Arial"/>
          <w:sz w:val="24"/>
          <w:szCs w:val="24"/>
        </w:rPr>
      </w:pPr>
      <w:r>
        <w:rPr>
          <w:rFonts w:ascii="Arial" w:hAnsi="Arial" w:cs="Arial"/>
          <w:sz w:val="24"/>
          <w:szCs w:val="24"/>
        </w:rPr>
        <w:t>[35</w:t>
      </w:r>
      <w:r w:rsidR="00767717">
        <w:rPr>
          <w:rFonts w:ascii="Arial" w:hAnsi="Arial" w:cs="Arial"/>
          <w:sz w:val="24"/>
          <w:szCs w:val="24"/>
        </w:rPr>
        <w:t>]</w:t>
      </w:r>
      <w:r w:rsidR="00767717">
        <w:rPr>
          <w:rFonts w:ascii="Arial" w:hAnsi="Arial" w:cs="Arial"/>
          <w:sz w:val="24"/>
          <w:szCs w:val="24"/>
        </w:rPr>
        <w:tab/>
      </w:r>
      <w:r w:rsidR="00852311">
        <w:rPr>
          <w:rFonts w:ascii="Arial" w:hAnsi="Arial" w:cs="Arial"/>
          <w:sz w:val="24"/>
          <w:szCs w:val="24"/>
        </w:rPr>
        <w:t xml:space="preserve"> </w:t>
      </w:r>
      <w:r w:rsidR="00EB6786">
        <w:rPr>
          <w:rFonts w:ascii="Arial" w:hAnsi="Arial" w:cs="Arial"/>
          <w:sz w:val="24"/>
          <w:szCs w:val="24"/>
        </w:rPr>
        <w:t>The principles</w:t>
      </w:r>
      <w:r w:rsidR="00D873C1">
        <w:rPr>
          <w:rFonts w:ascii="Arial" w:hAnsi="Arial" w:cs="Arial"/>
          <w:sz w:val="24"/>
          <w:szCs w:val="24"/>
        </w:rPr>
        <w:t xml:space="preserve"> applicable to adjudicating dispute of fact in </w:t>
      </w:r>
      <w:r w:rsidR="00EB6786">
        <w:rPr>
          <w:rFonts w:ascii="Arial" w:hAnsi="Arial" w:cs="Arial"/>
          <w:sz w:val="24"/>
          <w:szCs w:val="24"/>
        </w:rPr>
        <w:t>motion proceedings are trite in our law.  In motion proceeding only the affidavits are before court and not witnesses, whereas in trial proceedings there is evidence person and witnesses can be cross-examined.</w:t>
      </w:r>
    </w:p>
    <w:p w14:paraId="57A99830" w14:textId="6A00FD50" w:rsidR="0007687D" w:rsidRDefault="00F557F7" w:rsidP="00355D4F">
      <w:pPr>
        <w:spacing w:line="360" w:lineRule="auto"/>
        <w:jc w:val="both"/>
        <w:rPr>
          <w:rFonts w:ascii="Arial" w:hAnsi="Arial" w:cs="Arial"/>
          <w:sz w:val="24"/>
          <w:szCs w:val="24"/>
        </w:rPr>
      </w:pPr>
      <w:r>
        <w:rPr>
          <w:rFonts w:ascii="Arial" w:hAnsi="Arial" w:cs="Arial"/>
          <w:sz w:val="24"/>
          <w:szCs w:val="24"/>
        </w:rPr>
        <w:t>[36</w:t>
      </w:r>
      <w:r w:rsidR="00E634D2">
        <w:rPr>
          <w:rFonts w:ascii="Arial" w:hAnsi="Arial" w:cs="Arial"/>
          <w:sz w:val="24"/>
          <w:szCs w:val="24"/>
        </w:rPr>
        <w:t>]</w:t>
      </w:r>
      <w:r w:rsidR="00E634D2">
        <w:rPr>
          <w:rFonts w:ascii="Arial" w:hAnsi="Arial" w:cs="Arial"/>
          <w:sz w:val="24"/>
          <w:szCs w:val="24"/>
        </w:rPr>
        <w:tab/>
      </w:r>
      <w:r w:rsidR="00EB6786">
        <w:rPr>
          <w:rFonts w:ascii="Arial" w:hAnsi="Arial" w:cs="Arial"/>
          <w:sz w:val="24"/>
          <w:szCs w:val="24"/>
        </w:rPr>
        <w:t>The leading case on the subject</w:t>
      </w:r>
      <w:r w:rsidR="00D6386E">
        <w:rPr>
          <w:rFonts w:ascii="Arial" w:hAnsi="Arial" w:cs="Arial"/>
          <w:sz w:val="24"/>
          <w:szCs w:val="24"/>
        </w:rPr>
        <w:t xml:space="preserve"> where there is a dispute of facts is</w:t>
      </w:r>
      <w:r w:rsidR="00EB6786">
        <w:rPr>
          <w:rFonts w:ascii="Arial" w:hAnsi="Arial" w:cs="Arial"/>
          <w:sz w:val="24"/>
          <w:szCs w:val="24"/>
        </w:rPr>
        <w:t xml:space="preserve"> </w:t>
      </w:r>
      <w:r w:rsidR="00EB6786" w:rsidRPr="00C008D9">
        <w:rPr>
          <w:rFonts w:ascii="Arial" w:hAnsi="Arial" w:cs="Arial"/>
          <w:i/>
          <w:sz w:val="24"/>
          <w:szCs w:val="24"/>
        </w:rPr>
        <w:t>Plascon Evan</w:t>
      </w:r>
      <w:r w:rsidR="00DF2CD6">
        <w:rPr>
          <w:rFonts w:ascii="Arial" w:hAnsi="Arial" w:cs="Arial"/>
          <w:i/>
          <w:sz w:val="24"/>
          <w:szCs w:val="24"/>
        </w:rPr>
        <w:t>s Paints Ltd v Van Riebe</w:t>
      </w:r>
      <w:r w:rsidR="00EB6786" w:rsidRPr="00C008D9">
        <w:rPr>
          <w:rFonts w:ascii="Arial" w:hAnsi="Arial" w:cs="Arial"/>
          <w:i/>
          <w:sz w:val="24"/>
          <w:szCs w:val="24"/>
        </w:rPr>
        <w:t>ck Paints (Pty) Ltd</w:t>
      </w:r>
      <w:r w:rsidR="00EB6786">
        <w:rPr>
          <w:rStyle w:val="FootnoteReference"/>
          <w:rFonts w:ascii="Arial" w:hAnsi="Arial" w:cs="Arial"/>
          <w:sz w:val="24"/>
          <w:szCs w:val="24"/>
        </w:rPr>
        <w:footnoteReference w:id="1"/>
      </w:r>
      <w:r w:rsidR="00EB6786">
        <w:rPr>
          <w:rFonts w:ascii="Arial" w:hAnsi="Arial" w:cs="Arial"/>
          <w:sz w:val="24"/>
          <w:szCs w:val="24"/>
        </w:rPr>
        <w:t xml:space="preserve"> where the court restated a general rule as stated in </w:t>
      </w:r>
      <w:r w:rsidR="00EB6786" w:rsidRPr="00C008D9">
        <w:rPr>
          <w:rFonts w:ascii="Arial" w:hAnsi="Arial" w:cs="Arial"/>
          <w:i/>
          <w:sz w:val="24"/>
          <w:szCs w:val="24"/>
        </w:rPr>
        <w:t>Stellenbosch</w:t>
      </w:r>
      <w:r w:rsidR="00C008D9" w:rsidRPr="00C008D9">
        <w:rPr>
          <w:rFonts w:ascii="Arial" w:hAnsi="Arial" w:cs="Arial"/>
          <w:i/>
          <w:sz w:val="24"/>
          <w:szCs w:val="24"/>
        </w:rPr>
        <w:t xml:space="preserve"> Farmers Winery Ltd v Stellenvale Winery (Pty) Ltd</w:t>
      </w:r>
      <w:r w:rsidR="00C008D9">
        <w:rPr>
          <w:rStyle w:val="FootnoteReference"/>
          <w:rFonts w:ascii="Arial" w:hAnsi="Arial" w:cs="Arial"/>
          <w:sz w:val="24"/>
          <w:szCs w:val="24"/>
        </w:rPr>
        <w:footnoteReference w:id="2"/>
      </w:r>
      <w:r w:rsidR="00C008D9">
        <w:rPr>
          <w:rFonts w:ascii="Arial" w:hAnsi="Arial" w:cs="Arial"/>
          <w:sz w:val="24"/>
          <w:szCs w:val="24"/>
        </w:rPr>
        <w:t xml:space="preserve"> to be:</w:t>
      </w:r>
    </w:p>
    <w:p w14:paraId="280EB2E1" w14:textId="24A7C233" w:rsidR="00C008D9" w:rsidRPr="00C008D9" w:rsidRDefault="00C008D9" w:rsidP="00355D4F">
      <w:pPr>
        <w:spacing w:line="360" w:lineRule="auto"/>
        <w:jc w:val="both"/>
        <w:rPr>
          <w:rFonts w:ascii="Arial" w:hAnsi="Arial" w:cs="Arial"/>
          <w:i/>
          <w:sz w:val="24"/>
          <w:szCs w:val="24"/>
        </w:rPr>
      </w:pPr>
      <w:r>
        <w:rPr>
          <w:rFonts w:ascii="Arial" w:hAnsi="Arial" w:cs="Arial"/>
          <w:sz w:val="24"/>
          <w:szCs w:val="24"/>
        </w:rPr>
        <w:t>“</w:t>
      </w:r>
      <w:r>
        <w:rPr>
          <w:rFonts w:ascii="Arial" w:hAnsi="Arial" w:cs="Arial"/>
          <w:i/>
          <w:sz w:val="24"/>
          <w:szCs w:val="24"/>
        </w:rPr>
        <w:t xml:space="preserve">…where there is a dispute to the facts a final interdict should only be granted in notice of motion proceedings if the facts as stated by the respondent together with the admitted </w:t>
      </w:r>
      <w:r>
        <w:rPr>
          <w:rFonts w:ascii="Arial" w:hAnsi="Arial" w:cs="Arial"/>
          <w:i/>
          <w:sz w:val="24"/>
          <w:szCs w:val="24"/>
        </w:rPr>
        <w:lastRenderedPageBreak/>
        <w:t xml:space="preserve">facts in the applicant’s affidavit justify such an order…  Where it is clear that facts, though not formally admitted, cannot be denied they must be regarded as admitted.” </w:t>
      </w:r>
    </w:p>
    <w:p w14:paraId="35E7EA8F" w14:textId="5CAF7823" w:rsidR="00040F8E" w:rsidRDefault="00F557F7" w:rsidP="003F0D2B">
      <w:pPr>
        <w:spacing w:line="360" w:lineRule="auto"/>
        <w:jc w:val="both"/>
        <w:rPr>
          <w:rFonts w:ascii="Arial" w:hAnsi="Arial" w:cs="Arial"/>
          <w:sz w:val="24"/>
          <w:szCs w:val="24"/>
        </w:rPr>
      </w:pPr>
      <w:r>
        <w:rPr>
          <w:rFonts w:ascii="Arial" w:hAnsi="Arial" w:cs="Arial"/>
          <w:sz w:val="24"/>
          <w:szCs w:val="24"/>
        </w:rPr>
        <w:t>[37</w:t>
      </w:r>
      <w:r w:rsidR="0007687D">
        <w:rPr>
          <w:rFonts w:ascii="Arial" w:hAnsi="Arial" w:cs="Arial"/>
          <w:sz w:val="24"/>
          <w:szCs w:val="24"/>
        </w:rPr>
        <w:t>]</w:t>
      </w:r>
      <w:r w:rsidR="0007687D">
        <w:rPr>
          <w:rFonts w:ascii="Arial" w:hAnsi="Arial" w:cs="Arial"/>
          <w:sz w:val="24"/>
          <w:szCs w:val="24"/>
        </w:rPr>
        <w:tab/>
      </w:r>
      <w:r w:rsidR="00C008D9">
        <w:rPr>
          <w:rFonts w:ascii="Arial" w:hAnsi="Arial" w:cs="Arial"/>
          <w:sz w:val="24"/>
          <w:szCs w:val="24"/>
        </w:rPr>
        <w:t>This rule has been referred to several times by court.</w:t>
      </w:r>
      <w:r w:rsidR="00C008D9">
        <w:rPr>
          <w:rStyle w:val="FootnoteReference"/>
          <w:rFonts w:ascii="Arial" w:hAnsi="Arial" w:cs="Arial"/>
          <w:sz w:val="24"/>
          <w:szCs w:val="24"/>
        </w:rPr>
        <w:footnoteReference w:id="3"/>
      </w:r>
      <w:r w:rsidR="00C008D9">
        <w:rPr>
          <w:rFonts w:ascii="Arial" w:hAnsi="Arial" w:cs="Arial"/>
          <w:sz w:val="24"/>
          <w:szCs w:val="24"/>
        </w:rPr>
        <w:t xml:space="preserve">  The court in </w:t>
      </w:r>
      <w:r w:rsidR="00DF2CD6">
        <w:rPr>
          <w:rFonts w:ascii="Arial" w:hAnsi="Arial" w:cs="Arial"/>
          <w:i/>
          <w:sz w:val="24"/>
          <w:szCs w:val="24"/>
        </w:rPr>
        <w:t>Plascon Evan</w:t>
      </w:r>
      <w:r w:rsidR="00C008D9" w:rsidRPr="00D873C1">
        <w:rPr>
          <w:rFonts w:ascii="Arial" w:hAnsi="Arial" w:cs="Arial"/>
          <w:i/>
          <w:sz w:val="24"/>
          <w:szCs w:val="24"/>
        </w:rPr>
        <w:t>s</w:t>
      </w:r>
      <w:r w:rsidR="00C008D9">
        <w:rPr>
          <w:rFonts w:ascii="Arial" w:hAnsi="Arial" w:cs="Arial"/>
          <w:sz w:val="24"/>
          <w:szCs w:val="24"/>
        </w:rPr>
        <w:t xml:space="preserve"> stated furthermore that the formulation of the general rule requires some clarification and qualification.  It is correct that, where in proceedings on </w:t>
      </w:r>
      <w:r w:rsidR="00593630">
        <w:rPr>
          <w:rFonts w:ascii="Arial" w:hAnsi="Arial" w:cs="Arial"/>
          <w:sz w:val="24"/>
          <w:szCs w:val="24"/>
        </w:rPr>
        <w:t>notice of motion disputes of facts have arisen on the affidavits a final order, whether it be interdict or some other form of relief, may be granted if those facts averred in the applicant’s affidavits which have been admitted by the respondent together with the facts alleged by the respondent, justify such order.</w:t>
      </w:r>
      <w:r w:rsidR="00EB3905">
        <w:rPr>
          <w:rFonts w:ascii="Arial" w:hAnsi="Arial" w:cs="Arial"/>
          <w:sz w:val="24"/>
          <w:szCs w:val="24"/>
        </w:rPr>
        <w:t xml:space="preserve"> In absence of that, no final relief can be made.</w:t>
      </w:r>
    </w:p>
    <w:p w14:paraId="3F915844" w14:textId="28564775" w:rsidR="00AA402A" w:rsidRPr="00C33874" w:rsidRDefault="00F557F7" w:rsidP="003F0D2B">
      <w:pPr>
        <w:spacing w:line="360" w:lineRule="auto"/>
        <w:jc w:val="both"/>
        <w:rPr>
          <w:rFonts w:ascii="Arial" w:hAnsi="Arial" w:cs="Arial"/>
          <w:color w:val="FF0000"/>
          <w:sz w:val="24"/>
          <w:szCs w:val="24"/>
        </w:rPr>
      </w:pPr>
      <w:r>
        <w:rPr>
          <w:rFonts w:ascii="Arial" w:hAnsi="Arial" w:cs="Arial"/>
          <w:sz w:val="24"/>
          <w:szCs w:val="24"/>
        </w:rPr>
        <w:t>[38</w:t>
      </w:r>
      <w:r w:rsidR="00AA402A">
        <w:rPr>
          <w:rFonts w:ascii="Arial" w:hAnsi="Arial" w:cs="Arial"/>
          <w:sz w:val="24"/>
          <w:szCs w:val="24"/>
        </w:rPr>
        <w:t>]</w:t>
      </w:r>
      <w:r w:rsidR="00AA402A">
        <w:rPr>
          <w:rFonts w:ascii="Arial" w:hAnsi="Arial" w:cs="Arial"/>
          <w:sz w:val="24"/>
          <w:szCs w:val="24"/>
        </w:rPr>
        <w:tab/>
      </w:r>
      <w:r w:rsidR="00593630">
        <w:rPr>
          <w:rFonts w:ascii="Arial" w:hAnsi="Arial" w:cs="Arial"/>
          <w:sz w:val="24"/>
          <w:szCs w:val="24"/>
        </w:rPr>
        <w:t>The power of the court to give such final relief on papers before it</w:t>
      </w:r>
      <w:r w:rsidR="00EB3905">
        <w:rPr>
          <w:rFonts w:ascii="Arial" w:hAnsi="Arial" w:cs="Arial"/>
          <w:sz w:val="24"/>
          <w:szCs w:val="24"/>
        </w:rPr>
        <w:t>,</w:t>
      </w:r>
      <w:r w:rsidR="00BB2972">
        <w:rPr>
          <w:rFonts w:ascii="Arial" w:hAnsi="Arial" w:cs="Arial"/>
          <w:sz w:val="24"/>
          <w:szCs w:val="24"/>
        </w:rPr>
        <w:t xml:space="preserve"> </w:t>
      </w:r>
      <w:r w:rsidR="00593630">
        <w:rPr>
          <w:rFonts w:ascii="Arial" w:hAnsi="Arial" w:cs="Arial"/>
          <w:sz w:val="24"/>
          <w:szCs w:val="24"/>
        </w:rPr>
        <w:t>is however, not confi</w:t>
      </w:r>
      <w:r w:rsidR="00EB3905">
        <w:rPr>
          <w:rFonts w:ascii="Arial" w:hAnsi="Arial" w:cs="Arial"/>
          <w:sz w:val="24"/>
          <w:szCs w:val="24"/>
        </w:rPr>
        <w:t>n</w:t>
      </w:r>
      <w:r w:rsidR="00593630">
        <w:rPr>
          <w:rFonts w:ascii="Arial" w:hAnsi="Arial" w:cs="Arial"/>
          <w:sz w:val="24"/>
          <w:szCs w:val="24"/>
        </w:rPr>
        <w:t>ed to such a situation.  In certain instances the denial by respondent of a fact alleged by the applicant may not be such as to raise a real, genuine or bona fide dispute of fact.</w:t>
      </w:r>
      <w:r w:rsidR="00593630">
        <w:rPr>
          <w:rStyle w:val="FootnoteReference"/>
          <w:rFonts w:ascii="Arial" w:hAnsi="Arial" w:cs="Arial"/>
          <w:sz w:val="24"/>
          <w:szCs w:val="24"/>
        </w:rPr>
        <w:footnoteReference w:id="4"/>
      </w:r>
      <w:r w:rsidR="00EB3905">
        <w:rPr>
          <w:rFonts w:ascii="Arial" w:hAnsi="Arial" w:cs="Arial"/>
          <w:sz w:val="24"/>
          <w:szCs w:val="24"/>
        </w:rPr>
        <w:t xml:space="preserve"> This is so in a case of bare denial without setting out facts upon which such denial is based.</w:t>
      </w:r>
    </w:p>
    <w:p w14:paraId="4D36E8FE" w14:textId="681E300D" w:rsidR="0023529D" w:rsidRPr="00C33874" w:rsidRDefault="00F557F7" w:rsidP="00355D4F">
      <w:pPr>
        <w:spacing w:line="360" w:lineRule="auto"/>
        <w:jc w:val="both"/>
        <w:rPr>
          <w:rFonts w:ascii="Arial" w:hAnsi="Arial" w:cs="Arial"/>
          <w:color w:val="FF0000"/>
          <w:sz w:val="24"/>
          <w:szCs w:val="24"/>
        </w:rPr>
      </w:pPr>
      <w:r>
        <w:rPr>
          <w:rFonts w:ascii="Arial" w:hAnsi="Arial" w:cs="Arial"/>
          <w:sz w:val="24"/>
          <w:szCs w:val="24"/>
        </w:rPr>
        <w:t>[39</w:t>
      </w:r>
      <w:r w:rsidR="00AA402A">
        <w:rPr>
          <w:rFonts w:ascii="Arial" w:hAnsi="Arial" w:cs="Arial"/>
          <w:sz w:val="24"/>
          <w:szCs w:val="24"/>
        </w:rPr>
        <w:t>]</w:t>
      </w:r>
      <w:r w:rsidR="00AA402A">
        <w:rPr>
          <w:rFonts w:ascii="Arial" w:hAnsi="Arial" w:cs="Arial"/>
          <w:sz w:val="24"/>
          <w:szCs w:val="24"/>
        </w:rPr>
        <w:tab/>
      </w:r>
      <w:r w:rsidR="00593630">
        <w:rPr>
          <w:rFonts w:ascii="Arial" w:hAnsi="Arial" w:cs="Arial"/>
          <w:sz w:val="24"/>
          <w:szCs w:val="24"/>
        </w:rPr>
        <w:t>There may be exceptions to this general as, for example, where the allegations or denials of the respondent are so farfetched or clearly untenable that the court is justified in rejecting them merely on papers.</w:t>
      </w:r>
      <w:r w:rsidR="00593630">
        <w:rPr>
          <w:rStyle w:val="FootnoteReference"/>
          <w:rFonts w:ascii="Arial" w:hAnsi="Arial" w:cs="Arial"/>
          <w:sz w:val="24"/>
          <w:szCs w:val="24"/>
        </w:rPr>
        <w:footnoteReference w:id="5"/>
      </w:r>
    </w:p>
    <w:p w14:paraId="3E001F48" w14:textId="0BB762F9" w:rsidR="0023529D" w:rsidRDefault="00F557F7" w:rsidP="003F0D2B">
      <w:pPr>
        <w:spacing w:line="360" w:lineRule="auto"/>
        <w:jc w:val="both"/>
        <w:rPr>
          <w:rFonts w:ascii="Arial" w:hAnsi="Arial" w:cs="Arial"/>
          <w:sz w:val="24"/>
          <w:szCs w:val="24"/>
        </w:rPr>
      </w:pPr>
      <w:r>
        <w:rPr>
          <w:rFonts w:ascii="Arial" w:hAnsi="Arial" w:cs="Arial"/>
          <w:sz w:val="24"/>
          <w:szCs w:val="24"/>
        </w:rPr>
        <w:t>[40</w:t>
      </w:r>
      <w:r w:rsidR="0023529D">
        <w:rPr>
          <w:rFonts w:ascii="Arial" w:hAnsi="Arial" w:cs="Arial"/>
          <w:sz w:val="24"/>
          <w:szCs w:val="24"/>
        </w:rPr>
        <w:t>]</w:t>
      </w:r>
      <w:r w:rsidR="0023529D">
        <w:rPr>
          <w:rFonts w:ascii="Arial" w:hAnsi="Arial" w:cs="Arial"/>
          <w:sz w:val="24"/>
          <w:szCs w:val="24"/>
        </w:rPr>
        <w:tab/>
      </w:r>
      <w:r w:rsidR="00593630">
        <w:rPr>
          <w:rFonts w:ascii="Arial" w:hAnsi="Arial" w:cs="Arial"/>
          <w:sz w:val="24"/>
          <w:szCs w:val="24"/>
        </w:rPr>
        <w:t>In the instant case, the application concerns</w:t>
      </w:r>
      <w:r w:rsidR="009F76B1">
        <w:rPr>
          <w:rFonts w:ascii="Arial" w:hAnsi="Arial" w:cs="Arial"/>
          <w:sz w:val="24"/>
          <w:szCs w:val="24"/>
        </w:rPr>
        <w:t xml:space="preserve"> three different and separate municipal accounts, </w:t>
      </w:r>
      <w:r w:rsidR="00D873C1">
        <w:rPr>
          <w:rFonts w:ascii="Arial" w:hAnsi="Arial" w:cs="Arial"/>
          <w:sz w:val="24"/>
          <w:szCs w:val="24"/>
        </w:rPr>
        <w:t>namely: -</w:t>
      </w:r>
    </w:p>
    <w:p w14:paraId="793C2221" w14:textId="4BF2F6EA" w:rsidR="009F76B1" w:rsidRDefault="009F76B1" w:rsidP="003F0D2B">
      <w:pPr>
        <w:spacing w:line="360" w:lineRule="auto"/>
        <w:jc w:val="both"/>
        <w:rPr>
          <w:rFonts w:ascii="Arial" w:hAnsi="Arial" w:cs="Arial"/>
          <w:sz w:val="24"/>
          <w:szCs w:val="24"/>
        </w:rPr>
      </w:pPr>
      <w:r>
        <w:rPr>
          <w:rFonts w:ascii="Arial" w:hAnsi="Arial" w:cs="Arial"/>
          <w:sz w:val="24"/>
          <w:szCs w:val="24"/>
        </w:rPr>
        <w:t>40.1</w:t>
      </w:r>
      <w:r>
        <w:rPr>
          <w:rFonts w:ascii="Arial" w:hAnsi="Arial" w:cs="Arial"/>
          <w:sz w:val="24"/>
          <w:szCs w:val="24"/>
        </w:rPr>
        <w:tab/>
        <w:t>Account Number 206839417- Historic Account;</w:t>
      </w:r>
    </w:p>
    <w:p w14:paraId="0B58CFDF" w14:textId="3E75A899" w:rsidR="009F76B1" w:rsidRDefault="009F76B1" w:rsidP="003F0D2B">
      <w:pPr>
        <w:spacing w:line="360" w:lineRule="auto"/>
        <w:jc w:val="both"/>
        <w:rPr>
          <w:rFonts w:ascii="Arial" w:hAnsi="Arial" w:cs="Arial"/>
          <w:sz w:val="24"/>
          <w:szCs w:val="24"/>
        </w:rPr>
      </w:pPr>
      <w:r>
        <w:rPr>
          <w:rFonts w:ascii="Arial" w:hAnsi="Arial" w:cs="Arial"/>
          <w:sz w:val="24"/>
          <w:szCs w:val="24"/>
        </w:rPr>
        <w:t>40.2</w:t>
      </w:r>
      <w:r>
        <w:rPr>
          <w:rFonts w:ascii="Arial" w:hAnsi="Arial" w:cs="Arial"/>
          <w:sz w:val="24"/>
          <w:szCs w:val="24"/>
        </w:rPr>
        <w:tab/>
        <w:t>Account Number 206840035 – Rates Account;</w:t>
      </w:r>
    </w:p>
    <w:p w14:paraId="42D1CB73" w14:textId="7861FA85" w:rsidR="009F76B1" w:rsidRDefault="009F76B1" w:rsidP="003F0D2B">
      <w:pPr>
        <w:spacing w:line="360" w:lineRule="auto"/>
        <w:jc w:val="both"/>
        <w:rPr>
          <w:rFonts w:ascii="Arial" w:hAnsi="Arial" w:cs="Arial"/>
          <w:sz w:val="24"/>
          <w:szCs w:val="24"/>
        </w:rPr>
      </w:pPr>
      <w:r>
        <w:rPr>
          <w:rFonts w:ascii="Arial" w:hAnsi="Arial" w:cs="Arial"/>
          <w:sz w:val="24"/>
          <w:szCs w:val="24"/>
        </w:rPr>
        <w:t>40.3</w:t>
      </w:r>
      <w:r>
        <w:rPr>
          <w:rFonts w:ascii="Arial" w:hAnsi="Arial" w:cs="Arial"/>
          <w:sz w:val="24"/>
          <w:szCs w:val="24"/>
        </w:rPr>
        <w:tab/>
        <w:t>Account Number 206142566 – Waldorf Heights Tenants A</w:t>
      </w:r>
      <w:r w:rsidR="001C41AC">
        <w:rPr>
          <w:rFonts w:ascii="Arial" w:hAnsi="Arial" w:cs="Arial"/>
          <w:sz w:val="24"/>
          <w:szCs w:val="24"/>
        </w:rPr>
        <w:t>ccount.</w:t>
      </w:r>
    </w:p>
    <w:p w14:paraId="3327DB3C" w14:textId="6912EF14" w:rsidR="00C008D9" w:rsidRDefault="00F557F7" w:rsidP="003F0D2B">
      <w:pPr>
        <w:spacing w:line="360" w:lineRule="auto"/>
        <w:jc w:val="both"/>
        <w:rPr>
          <w:rFonts w:ascii="Arial" w:hAnsi="Arial" w:cs="Arial"/>
          <w:sz w:val="24"/>
          <w:szCs w:val="24"/>
        </w:rPr>
      </w:pPr>
      <w:r>
        <w:rPr>
          <w:rFonts w:ascii="Arial" w:hAnsi="Arial" w:cs="Arial"/>
          <w:sz w:val="24"/>
          <w:szCs w:val="24"/>
        </w:rPr>
        <w:t>[41</w:t>
      </w:r>
      <w:r w:rsidR="0023529D">
        <w:rPr>
          <w:rFonts w:ascii="Arial" w:hAnsi="Arial" w:cs="Arial"/>
          <w:sz w:val="24"/>
          <w:szCs w:val="24"/>
        </w:rPr>
        <w:t>]</w:t>
      </w:r>
      <w:r w:rsidR="0023529D">
        <w:rPr>
          <w:rFonts w:ascii="Arial" w:hAnsi="Arial" w:cs="Arial"/>
          <w:sz w:val="24"/>
          <w:szCs w:val="24"/>
        </w:rPr>
        <w:tab/>
      </w:r>
      <w:r w:rsidR="001C41AC">
        <w:rPr>
          <w:rFonts w:ascii="Arial" w:hAnsi="Arial" w:cs="Arial"/>
          <w:sz w:val="24"/>
          <w:szCs w:val="24"/>
        </w:rPr>
        <w:t xml:space="preserve">With respect to the Historic Account number 206839417, the first respondent avers that it acquired ownership of Waldorf Heights during April 2003.  From that time, the </w:t>
      </w:r>
      <w:r w:rsidR="001C41AC">
        <w:rPr>
          <w:rFonts w:ascii="Arial" w:hAnsi="Arial" w:cs="Arial"/>
          <w:sz w:val="24"/>
          <w:szCs w:val="24"/>
        </w:rPr>
        <w:lastRenderedPageBreak/>
        <w:t>electricity consumed at Waldorf Heights were debited to the Historic Account using readings of electricity meters numbers 00680749, 00081099 and 00081155.  It avers that the City of Johannesburg closed the Historic Account in 2015 and states that all liable charges have prescribed in terms of section 11 (d) and 12 (1) of the Prescription Act.  It contends that charges levied to the Historic Account show that the first respondent in credit by R26 856.00 as at October 2015.</w:t>
      </w:r>
    </w:p>
    <w:p w14:paraId="59F36428" w14:textId="7DB3003A" w:rsidR="00C008D9" w:rsidRDefault="00C008D9" w:rsidP="003F0D2B">
      <w:pPr>
        <w:spacing w:line="360" w:lineRule="auto"/>
        <w:jc w:val="both"/>
        <w:rPr>
          <w:rFonts w:ascii="Arial" w:hAnsi="Arial" w:cs="Arial"/>
          <w:sz w:val="24"/>
          <w:szCs w:val="24"/>
        </w:rPr>
      </w:pPr>
      <w:r>
        <w:rPr>
          <w:rFonts w:ascii="Arial" w:hAnsi="Arial" w:cs="Arial"/>
          <w:sz w:val="24"/>
          <w:szCs w:val="24"/>
        </w:rPr>
        <w:t>[42]</w:t>
      </w:r>
      <w:r w:rsidR="00D015C2">
        <w:rPr>
          <w:rFonts w:ascii="Arial" w:hAnsi="Arial" w:cs="Arial"/>
          <w:sz w:val="24"/>
          <w:szCs w:val="24"/>
        </w:rPr>
        <w:tab/>
        <w:t>In answer to the contention on the historical account, the applicant contends that the first respondent did not pay anything since 12 February 2015.  This contention overlooks the fact that first respondent engaged and even obtained an interdict order against the City of Johannesburg not to switch of</w:t>
      </w:r>
      <w:r w:rsidR="00EB3905">
        <w:rPr>
          <w:rFonts w:ascii="Arial" w:hAnsi="Arial" w:cs="Arial"/>
          <w:sz w:val="24"/>
          <w:szCs w:val="24"/>
        </w:rPr>
        <w:t>f</w:t>
      </w:r>
      <w:r w:rsidR="00D015C2">
        <w:rPr>
          <w:rFonts w:ascii="Arial" w:hAnsi="Arial" w:cs="Arial"/>
          <w:sz w:val="24"/>
          <w:szCs w:val="24"/>
        </w:rPr>
        <w:t xml:space="preserve"> the electricity </w:t>
      </w:r>
      <w:r w:rsidR="008473E6">
        <w:rPr>
          <w:rFonts w:ascii="Arial" w:hAnsi="Arial" w:cs="Arial"/>
          <w:sz w:val="24"/>
          <w:szCs w:val="24"/>
        </w:rPr>
        <w:t xml:space="preserve">pending the debatement of account.  It is therefore, in my view, not up to the applicant to rely on the none payment of this account when there is clearly litigation going on and the City of Johannesburg has </w:t>
      </w:r>
      <w:r w:rsidR="00EB3905">
        <w:rPr>
          <w:rFonts w:ascii="Arial" w:hAnsi="Arial" w:cs="Arial"/>
          <w:sz w:val="24"/>
          <w:szCs w:val="24"/>
        </w:rPr>
        <w:t xml:space="preserve">not </w:t>
      </w:r>
      <w:r w:rsidR="008473E6">
        <w:rPr>
          <w:rFonts w:ascii="Arial" w:hAnsi="Arial" w:cs="Arial"/>
          <w:sz w:val="24"/>
          <w:szCs w:val="24"/>
        </w:rPr>
        <w:t xml:space="preserve">taken steps to recover </w:t>
      </w:r>
      <w:r w:rsidR="00EB3905">
        <w:rPr>
          <w:rFonts w:ascii="Arial" w:hAnsi="Arial" w:cs="Arial"/>
          <w:sz w:val="24"/>
          <w:szCs w:val="24"/>
        </w:rPr>
        <w:t>the so-called overdue charges and as such, this cannot be regarded as a</w:t>
      </w:r>
      <w:r w:rsidR="008473E6">
        <w:rPr>
          <w:rFonts w:ascii="Arial" w:hAnsi="Arial" w:cs="Arial"/>
          <w:sz w:val="24"/>
          <w:szCs w:val="24"/>
        </w:rPr>
        <w:t xml:space="preserve"> trigger event to</w:t>
      </w:r>
      <w:r w:rsidR="00EB3905">
        <w:rPr>
          <w:rFonts w:ascii="Arial" w:hAnsi="Arial" w:cs="Arial"/>
          <w:sz w:val="24"/>
          <w:szCs w:val="24"/>
        </w:rPr>
        <w:t xml:space="preserve"> entitle the applicant to</w:t>
      </w:r>
      <w:r w:rsidR="008473E6">
        <w:rPr>
          <w:rFonts w:ascii="Arial" w:hAnsi="Arial" w:cs="Arial"/>
          <w:sz w:val="24"/>
          <w:szCs w:val="24"/>
        </w:rPr>
        <w:t xml:space="preserve"> accelerate payment.  It follows in my view, that the principles spelt of in the </w:t>
      </w:r>
      <w:r w:rsidR="00DF2CD6">
        <w:rPr>
          <w:rFonts w:ascii="Arial" w:hAnsi="Arial" w:cs="Arial"/>
          <w:i/>
          <w:sz w:val="24"/>
          <w:szCs w:val="24"/>
        </w:rPr>
        <w:t>Plascon Evan</w:t>
      </w:r>
      <w:r w:rsidR="008473E6" w:rsidRPr="00D873C1">
        <w:rPr>
          <w:rFonts w:ascii="Arial" w:hAnsi="Arial" w:cs="Arial"/>
          <w:i/>
          <w:sz w:val="24"/>
          <w:szCs w:val="24"/>
        </w:rPr>
        <w:t>s</w:t>
      </w:r>
      <w:r w:rsidR="008473E6">
        <w:rPr>
          <w:rFonts w:ascii="Arial" w:hAnsi="Arial" w:cs="Arial"/>
          <w:sz w:val="24"/>
          <w:szCs w:val="24"/>
        </w:rPr>
        <w:t xml:space="preserve"> on the approach why if there are dispute of fact, no relief on this point can be granted and the version of the respondent should be accepted.  The claim of trigger event on the basis of alleged none payment of the charges under these circumstances is pre-mature </w:t>
      </w:r>
      <w:r w:rsidR="00EB3905">
        <w:rPr>
          <w:rFonts w:ascii="Arial" w:hAnsi="Arial" w:cs="Arial"/>
          <w:sz w:val="24"/>
          <w:szCs w:val="24"/>
        </w:rPr>
        <w:t>because</w:t>
      </w:r>
      <w:r w:rsidR="008473E6">
        <w:rPr>
          <w:rFonts w:ascii="Arial" w:hAnsi="Arial" w:cs="Arial"/>
          <w:sz w:val="24"/>
          <w:szCs w:val="24"/>
        </w:rPr>
        <w:t xml:space="preserve"> the City of Johannesburg has </w:t>
      </w:r>
      <w:r w:rsidR="00EB3905">
        <w:rPr>
          <w:rFonts w:ascii="Arial" w:hAnsi="Arial" w:cs="Arial"/>
          <w:sz w:val="24"/>
          <w:szCs w:val="24"/>
        </w:rPr>
        <w:t xml:space="preserve">not </w:t>
      </w:r>
      <w:r w:rsidR="008473E6">
        <w:rPr>
          <w:rFonts w:ascii="Arial" w:hAnsi="Arial" w:cs="Arial"/>
          <w:sz w:val="24"/>
          <w:szCs w:val="24"/>
        </w:rPr>
        <w:t>asserted its rights by enforcing payments from the first respondent.</w:t>
      </w:r>
      <w:r w:rsidR="00EB3905">
        <w:rPr>
          <w:rFonts w:ascii="Arial" w:hAnsi="Arial" w:cs="Arial"/>
          <w:sz w:val="24"/>
          <w:szCs w:val="24"/>
        </w:rPr>
        <w:t xml:space="preserve"> The City of Johannesburg can clearly not take any steps until the account has been debated and the dispute with the first respondent is resolved.</w:t>
      </w:r>
    </w:p>
    <w:p w14:paraId="77FA90D5" w14:textId="0793B4EA" w:rsidR="00C008D9" w:rsidRDefault="00C008D9" w:rsidP="003F0D2B">
      <w:pPr>
        <w:spacing w:line="360" w:lineRule="auto"/>
        <w:jc w:val="both"/>
        <w:rPr>
          <w:rFonts w:ascii="Arial" w:hAnsi="Arial" w:cs="Arial"/>
          <w:sz w:val="24"/>
          <w:szCs w:val="24"/>
        </w:rPr>
      </w:pPr>
      <w:r>
        <w:rPr>
          <w:rFonts w:ascii="Arial" w:hAnsi="Arial" w:cs="Arial"/>
          <w:sz w:val="24"/>
          <w:szCs w:val="24"/>
        </w:rPr>
        <w:t>[43]</w:t>
      </w:r>
      <w:r w:rsidR="008473E6">
        <w:rPr>
          <w:rFonts w:ascii="Arial" w:hAnsi="Arial" w:cs="Arial"/>
          <w:sz w:val="24"/>
          <w:szCs w:val="24"/>
        </w:rPr>
        <w:tab/>
        <w:t>It is trite in terms of section 11(a) of the Prescription Act 68 of 1969 that charges debited to the Historic Account prescribe three years after they become due, being around the time that they were debited to the Historic Account.</w:t>
      </w:r>
      <w:r w:rsidR="008473E6">
        <w:rPr>
          <w:rStyle w:val="FootnoteReference"/>
          <w:rFonts w:ascii="Arial" w:hAnsi="Arial" w:cs="Arial"/>
          <w:sz w:val="24"/>
          <w:szCs w:val="24"/>
        </w:rPr>
        <w:footnoteReference w:id="6"/>
      </w:r>
      <w:r w:rsidR="00443EF4">
        <w:rPr>
          <w:rFonts w:ascii="Arial" w:hAnsi="Arial" w:cs="Arial"/>
          <w:sz w:val="24"/>
          <w:szCs w:val="24"/>
        </w:rPr>
        <w:t xml:space="preserve"> It is for that reason that it likely that when the City of Johannesburg and the first respondent debate the account, this will be a factor to consider by the parties.</w:t>
      </w:r>
    </w:p>
    <w:p w14:paraId="0889DC04" w14:textId="6F729F96" w:rsidR="00C008D9" w:rsidRDefault="00C008D9" w:rsidP="003F0D2B">
      <w:pPr>
        <w:spacing w:line="360" w:lineRule="auto"/>
        <w:jc w:val="both"/>
        <w:rPr>
          <w:rFonts w:ascii="Arial" w:hAnsi="Arial" w:cs="Arial"/>
          <w:sz w:val="24"/>
          <w:szCs w:val="24"/>
        </w:rPr>
      </w:pPr>
      <w:r>
        <w:rPr>
          <w:rFonts w:ascii="Arial" w:hAnsi="Arial" w:cs="Arial"/>
          <w:sz w:val="24"/>
          <w:szCs w:val="24"/>
        </w:rPr>
        <w:t>[44]</w:t>
      </w:r>
      <w:r w:rsidR="008473E6">
        <w:rPr>
          <w:rFonts w:ascii="Arial" w:hAnsi="Arial" w:cs="Arial"/>
          <w:sz w:val="24"/>
          <w:szCs w:val="24"/>
        </w:rPr>
        <w:tab/>
        <w:t xml:space="preserve">In regard to the Rates Account Number </w:t>
      </w:r>
      <w:r w:rsidR="00D94320">
        <w:rPr>
          <w:rFonts w:ascii="Arial" w:hAnsi="Arial" w:cs="Arial"/>
          <w:sz w:val="24"/>
          <w:szCs w:val="24"/>
        </w:rPr>
        <w:t xml:space="preserve">206840035, it is the first respondent’s defence that the charges for electricity consumed at the property were, after the closing </w:t>
      </w:r>
      <w:r w:rsidR="00D94320">
        <w:rPr>
          <w:rFonts w:ascii="Arial" w:hAnsi="Arial" w:cs="Arial"/>
          <w:sz w:val="24"/>
          <w:szCs w:val="24"/>
        </w:rPr>
        <w:lastRenderedPageBreak/>
        <w:t>of the Historical Account</w:t>
      </w:r>
      <w:r w:rsidR="00443EF4">
        <w:rPr>
          <w:rFonts w:ascii="Arial" w:hAnsi="Arial" w:cs="Arial"/>
          <w:sz w:val="24"/>
          <w:szCs w:val="24"/>
        </w:rPr>
        <w:t>,</w:t>
      </w:r>
      <w:r w:rsidR="00D94320">
        <w:rPr>
          <w:rFonts w:ascii="Arial" w:hAnsi="Arial" w:cs="Arial"/>
          <w:sz w:val="24"/>
          <w:szCs w:val="24"/>
        </w:rPr>
        <w:t xml:space="preserve"> debited to the Rates Account and the electricity meters that were used in respect of the Historical Account were not reflected on the Rates Account and instead electricity meter number 84368431 was reflected.  No charges were levied on the Rates Account for electricity (between May 2019 to March 2020 until April 2020) when the estimated electricity consumption were reflected.  Nothing was reflected for May and June 2020.</w:t>
      </w:r>
    </w:p>
    <w:p w14:paraId="53DE566C" w14:textId="3DC4DBFF" w:rsidR="00C008D9" w:rsidRDefault="00C008D9" w:rsidP="003F0D2B">
      <w:pPr>
        <w:spacing w:line="360" w:lineRule="auto"/>
        <w:jc w:val="both"/>
        <w:rPr>
          <w:rFonts w:ascii="Arial" w:hAnsi="Arial" w:cs="Arial"/>
          <w:sz w:val="24"/>
          <w:szCs w:val="24"/>
        </w:rPr>
      </w:pPr>
      <w:r>
        <w:rPr>
          <w:rFonts w:ascii="Arial" w:hAnsi="Arial" w:cs="Arial"/>
          <w:sz w:val="24"/>
          <w:szCs w:val="24"/>
        </w:rPr>
        <w:t>[45]</w:t>
      </w:r>
      <w:r w:rsidR="00D94320">
        <w:rPr>
          <w:rFonts w:ascii="Arial" w:hAnsi="Arial" w:cs="Arial"/>
          <w:sz w:val="24"/>
          <w:szCs w:val="24"/>
        </w:rPr>
        <w:tab/>
        <w:t>I</w:t>
      </w:r>
      <w:r w:rsidR="00443EF4">
        <w:rPr>
          <w:rFonts w:ascii="Arial" w:hAnsi="Arial" w:cs="Arial"/>
          <w:sz w:val="24"/>
          <w:szCs w:val="24"/>
        </w:rPr>
        <w:t xml:space="preserve">t is </w:t>
      </w:r>
      <w:r w:rsidR="00D94320">
        <w:rPr>
          <w:rFonts w:ascii="Arial" w:hAnsi="Arial" w:cs="Arial"/>
          <w:sz w:val="24"/>
          <w:szCs w:val="24"/>
        </w:rPr>
        <w:t>the first respondent’s case that electricity meter number 84368431 is not installed at the property.  The actual electricity meter which is installed on the property, so avers the first respondent, is electricity meter number 63153853 and it is from this meter that readings should be taken.</w:t>
      </w:r>
    </w:p>
    <w:p w14:paraId="7F07D501" w14:textId="56939601" w:rsidR="00C008D9" w:rsidRDefault="00C008D9" w:rsidP="003F0D2B">
      <w:pPr>
        <w:spacing w:line="360" w:lineRule="auto"/>
        <w:jc w:val="both"/>
        <w:rPr>
          <w:rFonts w:ascii="Arial" w:hAnsi="Arial" w:cs="Arial"/>
          <w:sz w:val="24"/>
          <w:szCs w:val="24"/>
        </w:rPr>
      </w:pPr>
      <w:r>
        <w:rPr>
          <w:rFonts w:ascii="Arial" w:hAnsi="Arial" w:cs="Arial"/>
          <w:sz w:val="24"/>
          <w:szCs w:val="24"/>
        </w:rPr>
        <w:t>[46]</w:t>
      </w:r>
      <w:r w:rsidR="002008CF">
        <w:rPr>
          <w:rFonts w:ascii="Arial" w:hAnsi="Arial" w:cs="Arial"/>
          <w:sz w:val="24"/>
          <w:szCs w:val="24"/>
        </w:rPr>
        <w:tab/>
        <w:t xml:space="preserve">The services of an attorney </w:t>
      </w:r>
      <w:r w:rsidR="00DF2CD6">
        <w:rPr>
          <w:rFonts w:ascii="Arial" w:hAnsi="Arial" w:cs="Arial"/>
          <w:sz w:val="24"/>
          <w:szCs w:val="24"/>
        </w:rPr>
        <w:t>Mr.</w:t>
      </w:r>
      <w:r w:rsidR="002008CF">
        <w:rPr>
          <w:rFonts w:ascii="Arial" w:hAnsi="Arial" w:cs="Arial"/>
          <w:sz w:val="24"/>
          <w:szCs w:val="24"/>
        </w:rPr>
        <w:t xml:space="preserve"> Ziyaad Patel of Patel Incorporated were engaged to resolve the dispute.  The respondent also avers that the administrative assistant of </w:t>
      </w:r>
      <w:r w:rsidR="00DF2CD6">
        <w:rPr>
          <w:rFonts w:ascii="Arial" w:hAnsi="Arial" w:cs="Arial"/>
          <w:sz w:val="24"/>
          <w:szCs w:val="24"/>
        </w:rPr>
        <w:t>Mr.</w:t>
      </w:r>
      <w:r w:rsidR="002008CF">
        <w:rPr>
          <w:rFonts w:ascii="Arial" w:hAnsi="Arial" w:cs="Arial"/>
          <w:sz w:val="24"/>
          <w:szCs w:val="24"/>
        </w:rPr>
        <w:t xml:space="preserve"> Faber the shareholder in all the five respondent also engaged the City of Johannesburg to try and resolve the challenge.</w:t>
      </w:r>
    </w:p>
    <w:p w14:paraId="58EC9884" w14:textId="1AD1196C" w:rsidR="00C008D9" w:rsidRDefault="00C008D9" w:rsidP="003F0D2B">
      <w:pPr>
        <w:spacing w:line="360" w:lineRule="auto"/>
        <w:jc w:val="both"/>
        <w:rPr>
          <w:rFonts w:ascii="Arial" w:hAnsi="Arial" w:cs="Arial"/>
          <w:sz w:val="24"/>
          <w:szCs w:val="24"/>
        </w:rPr>
      </w:pPr>
      <w:r>
        <w:rPr>
          <w:rFonts w:ascii="Arial" w:hAnsi="Arial" w:cs="Arial"/>
          <w:sz w:val="24"/>
          <w:szCs w:val="24"/>
        </w:rPr>
        <w:t>[47]</w:t>
      </w:r>
      <w:r w:rsidR="002008CF">
        <w:rPr>
          <w:rFonts w:ascii="Arial" w:hAnsi="Arial" w:cs="Arial"/>
          <w:sz w:val="24"/>
          <w:szCs w:val="24"/>
        </w:rPr>
        <w:tab/>
        <w:t xml:space="preserve">The engagements culminated, when nothing was achieved to resolve the problem, in the City of Johannesburg terminating the supply of electricity at Waldorf </w:t>
      </w:r>
      <w:r w:rsidR="008D0CB4">
        <w:rPr>
          <w:rFonts w:ascii="Arial" w:hAnsi="Arial" w:cs="Arial"/>
          <w:sz w:val="24"/>
          <w:szCs w:val="24"/>
        </w:rPr>
        <w:t>Heights during March 2018.  This led to litigation and the court ordered the City of Johannesburg to restore electricity and subject itself and the first respondent to the debatement of account.</w:t>
      </w:r>
    </w:p>
    <w:p w14:paraId="078C7727" w14:textId="3463A068" w:rsidR="00CB4AED" w:rsidRDefault="00C008D9" w:rsidP="003F0D2B">
      <w:pPr>
        <w:spacing w:line="360" w:lineRule="auto"/>
        <w:jc w:val="both"/>
        <w:rPr>
          <w:rFonts w:ascii="Arial" w:hAnsi="Arial" w:cs="Arial"/>
          <w:sz w:val="24"/>
          <w:szCs w:val="24"/>
        </w:rPr>
      </w:pPr>
      <w:r>
        <w:rPr>
          <w:rFonts w:ascii="Arial" w:hAnsi="Arial" w:cs="Arial"/>
          <w:sz w:val="24"/>
          <w:szCs w:val="24"/>
        </w:rPr>
        <w:t>[48]</w:t>
      </w:r>
      <w:r w:rsidR="008D0CB4">
        <w:rPr>
          <w:rFonts w:ascii="Arial" w:hAnsi="Arial" w:cs="Arial"/>
          <w:sz w:val="24"/>
          <w:szCs w:val="24"/>
        </w:rPr>
        <w:tab/>
        <w:t xml:space="preserve">It was only during September 2019 that the City of Johannesburg agreed to </w:t>
      </w:r>
      <w:r w:rsidR="00CB4AED">
        <w:rPr>
          <w:rFonts w:ascii="Arial" w:hAnsi="Arial" w:cs="Arial"/>
          <w:sz w:val="24"/>
          <w:szCs w:val="24"/>
        </w:rPr>
        <w:t>furnish Mr. Patel or Mr. Faber with meter readings for electricity meter at Waldorf Heights and job cards.</w:t>
      </w:r>
    </w:p>
    <w:p w14:paraId="54AFBBC8" w14:textId="3DE383A9" w:rsidR="00C008D9" w:rsidRDefault="00CB4AED" w:rsidP="003F0D2B">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 xml:space="preserve">In reply to the contention made by the first respondent the applicant contends that the average amount ought to have been paid by the first respondent to the City of Johannesburg.  The applicant relies on section 11(3) of the City of Johannesburg’s Credit Control of Debt Collection By-Law.  The reliance on this section is without merit because there was no average amount that was due and payable in respect of the municipal service concerned, </w:t>
      </w:r>
      <w:r w:rsidR="00443EF4">
        <w:rPr>
          <w:rFonts w:ascii="Arial" w:hAnsi="Arial" w:cs="Arial"/>
          <w:sz w:val="24"/>
          <w:szCs w:val="24"/>
        </w:rPr>
        <w:t>as</w:t>
      </w:r>
      <w:r>
        <w:rPr>
          <w:rFonts w:ascii="Arial" w:hAnsi="Arial" w:cs="Arial"/>
          <w:sz w:val="24"/>
          <w:szCs w:val="24"/>
        </w:rPr>
        <w:t xml:space="preserve"> specified in the accounts for the preceding three months which are not in dispute.  This creates a dispute of fact and just on this ground alone it will not be justified to find in favour of the applicant and hold that the first respondent has triggered </w:t>
      </w:r>
      <w:r w:rsidR="008D0CB4">
        <w:rPr>
          <w:rFonts w:ascii="Arial" w:hAnsi="Arial" w:cs="Arial"/>
          <w:sz w:val="24"/>
          <w:szCs w:val="24"/>
        </w:rPr>
        <w:lastRenderedPageBreak/>
        <w:t>an event of default by failing to pay the charges when the readings were not taken from the correct meter number.</w:t>
      </w:r>
    </w:p>
    <w:p w14:paraId="6241E747" w14:textId="7F0FAEF5" w:rsidR="00C008D9" w:rsidRDefault="00CB4AED" w:rsidP="003F0D2B">
      <w:pPr>
        <w:spacing w:line="360" w:lineRule="auto"/>
        <w:jc w:val="both"/>
        <w:rPr>
          <w:rFonts w:ascii="Arial" w:hAnsi="Arial" w:cs="Arial"/>
          <w:sz w:val="24"/>
          <w:szCs w:val="24"/>
        </w:rPr>
      </w:pPr>
      <w:r>
        <w:rPr>
          <w:rFonts w:ascii="Arial" w:hAnsi="Arial" w:cs="Arial"/>
          <w:sz w:val="24"/>
          <w:szCs w:val="24"/>
        </w:rPr>
        <w:t>[50</w:t>
      </w:r>
      <w:r w:rsidR="00C008D9">
        <w:rPr>
          <w:rFonts w:ascii="Arial" w:hAnsi="Arial" w:cs="Arial"/>
          <w:sz w:val="24"/>
          <w:szCs w:val="24"/>
        </w:rPr>
        <w:t>]</w:t>
      </w:r>
      <w:r w:rsidR="00EF3966">
        <w:rPr>
          <w:rFonts w:ascii="Arial" w:hAnsi="Arial" w:cs="Arial"/>
          <w:sz w:val="24"/>
          <w:szCs w:val="24"/>
        </w:rPr>
        <w:tab/>
        <w:t>The first respondent also contends that in addition to the electricity charges on the Rates Account, the City of Johannesburg also debited property meters and taxes, sewer availability charge and waste management services.</w:t>
      </w:r>
    </w:p>
    <w:p w14:paraId="24593DAF" w14:textId="52242E9C" w:rsidR="0023529D" w:rsidRPr="00307DAD" w:rsidRDefault="00CB4AED" w:rsidP="003F0D2B">
      <w:pPr>
        <w:spacing w:line="360" w:lineRule="auto"/>
        <w:jc w:val="both"/>
        <w:rPr>
          <w:rFonts w:ascii="Arial" w:hAnsi="Arial" w:cs="Arial"/>
          <w:color w:val="FF0000"/>
          <w:sz w:val="24"/>
          <w:szCs w:val="24"/>
        </w:rPr>
      </w:pPr>
      <w:r>
        <w:rPr>
          <w:rFonts w:ascii="Arial" w:hAnsi="Arial" w:cs="Arial"/>
          <w:sz w:val="24"/>
          <w:szCs w:val="24"/>
        </w:rPr>
        <w:t>[51</w:t>
      </w:r>
      <w:r w:rsidR="00EF3966">
        <w:rPr>
          <w:rFonts w:ascii="Arial" w:hAnsi="Arial" w:cs="Arial"/>
          <w:sz w:val="24"/>
          <w:szCs w:val="24"/>
        </w:rPr>
        <w:t>]</w:t>
      </w:r>
      <w:r w:rsidR="00EF3966">
        <w:rPr>
          <w:rFonts w:ascii="Arial" w:hAnsi="Arial" w:cs="Arial"/>
          <w:sz w:val="24"/>
          <w:szCs w:val="24"/>
        </w:rPr>
        <w:tab/>
        <w:t xml:space="preserve">The charges and penalty traffic for alleged violation of the By-Law were </w:t>
      </w:r>
      <w:r w:rsidR="003F3E9F">
        <w:rPr>
          <w:rFonts w:ascii="Arial" w:hAnsi="Arial" w:cs="Arial"/>
          <w:sz w:val="24"/>
          <w:szCs w:val="24"/>
        </w:rPr>
        <w:t>querie</w:t>
      </w:r>
      <w:r w:rsidR="00443EF4">
        <w:rPr>
          <w:rFonts w:ascii="Arial" w:hAnsi="Arial" w:cs="Arial"/>
          <w:sz w:val="24"/>
          <w:szCs w:val="24"/>
        </w:rPr>
        <w:t>d</w:t>
      </w:r>
      <w:r w:rsidR="00EF3966">
        <w:rPr>
          <w:rFonts w:ascii="Arial" w:hAnsi="Arial" w:cs="Arial"/>
          <w:sz w:val="24"/>
          <w:szCs w:val="24"/>
        </w:rPr>
        <w:t xml:space="preserve"> formally on 23 May 2016.  It is the first respondent’s case that the City of Johannesburg finally agreed to reverse the penalty tariff and credit the dates account.  The reversal of the tariff is estimated to be R820</w:t>
      </w:r>
      <w:r w:rsidR="00C37148">
        <w:rPr>
          <w:rFonts w:ascii="Arial" w:hAnsi="Arial" w:cs="Arial"/>
          <w:sz w:val="24"/>
          <w:szCs w:val="24"/>
        </w:rPr>
        <w:t xml:space="preserve"> </w:t>
      </w:r>
      <w:r w:rsidR="00EF3966">
        <w:rPr>
          <w:rFonts w:ascii="Arial" w:hAnsi="Arial" w:cs="Arial"/>
          <w:sz w:val="24"/>
          <w:szCs w:val="24"/>
        </w:rPr>
        <w:t>000</w:t>
      </w:r>
      <w:r w:rsidR="00443EF4">
        <w:rPr>
          <w:rFonts w:ascii="Arial" w:hAnsi="Arial" w:cs="Arial"/>
          <w:sz w:val="24"/>
          <w:szCs w:val="24"/>
        </w:rPr>
        <w:t>.0</w:t>
      </w:r>
      <w:r w:rsidR="00EF3966">
        <w:rPr>
          <w:rFonts w:ascii="Arial" w:hAnsi="Arial" w:cs="Arial"/>
          <w:sz w:val="24"/>
          <w:szCs w:val="24"/>
        </w:rPr>
        <w:t>0</w:t>
      </w:r>
      <w:r w:rsidR="00443EF4">
        <w:rPr>
          <w:rFonts w:ascii="Arial" w:hAnsi="Arial" w:cs="Arial"/>
          <w:sz w:val="24"/>
          <w:szCs w:val="24"/>
        </w:rPr>
        <w:t xml:space="preserve"> (eight hundred </w:t>
      </w:r>
      <w:r w:rsidR="00C37148">
        <w:rPr>
          <w:rFonts w:ascii="Arial" w:hAnsi="Arial" w:cs="Arial"/>
          <w:sz w:val="24"/>
          <w:szCs w:val="24"/>
        </w:rPr>
        <w:t>and twenty thousand rand)</w:t>
      </w:r>
      <w:r w:rsidR="00EF3966">
        <w:rPr>
          <w:rFonts w:ascii="Arial" w:hAnsi="Arial" w:cs="Arial"/>
          <w:sz w:val="24"/>
          <w:szCs w:val="24"/>
        </w:rPr>
        <w:t>.  The amount has not yet been credited by the City of Johannesburg due to the alleged backlog in the City of Johannesburg.</w:t>
      </w:r>
    </w:p>
    <w:p w14:paraId="0D05B5C4" w14:textId="29DF2255" w:rsidR="00EF3966" w:rsidRDefault="00CB4AED" w:rsidP="003F0D2B">
      <w:pPr>
        <w:spacing w:line="360" w:lineRule="auto"/>
        <w:jc w:val="both"/>
        <w:rPr>
          <w:rFonts w:ascii="Arial" w:hAnsi="Arial" w:cs="Arial"/>
          <w:sz w:val="24"/>
          <w:szCs w:val="24"/>
        </w:rPr>
      </w:pPr>
      <w:r>
        <w:rPr>
          <w:rFonts w:ascii="Arial" w:hAnsi="Arial" w:cs="Arial"/>
          <w:sz w:val="24"/>
          <w:szCs w:val="24"/>
        </w:rPr>
        <w:t>[52</w:t>
      </w:r>
      <w:r w:rsidR="00EF3966">
        <w:rPr>
          <w:rFonts w:ascii="Arial" w:hAnsi="Arial" w:cs="Arial"/>
          <w:sz w:val="24"/>
          <w:szCs w:val="24"/>
        </w:rPr>
        <w:t>]</w:t>
      </w:r>
      <w:r w:rsidR="00D873C1">
        <w:rPr>
          <w:rFonts w:ascii="Arial" w:hAnsi="Arial" w:cs="Arial"/>
          <w:sz w:val="24"/>
          <w:szCs w:val="24"/>
        </w:rPr>
        <w:tab/>
        <w:t xml:space="preserve">The applicant contends that no </w:t>
      </w:r>
      <w:r w:rsidR="00AA5C3B">
        <w:rPr>
          <w:rFonts w:ascii="Arial" w:hAnsi="Arial" w:cs="Arial"/>
          <w:sz w:val="24"/>
          <w:szCs w:val="24"/>
        </w:rPr>
        <w:t xml:space="preserve">rand value has been set out regarding the amount of R820 000 </w:t>
      </w:r>
      <w:r w:rsidR="00C37148">
        <w:rPr>
          <w:rFonts w:ascii="Arial" w:hAnsi="Arial" w:cs="Arial"/>
          <w:sz w:val="24"/>
          <w:szCs w:val="24"/>
        </w:rPr>
        <w:t xml:space="preserve">(eight hundred and twenty thousand rand) </w:t>
      </w:r>
      <w:r w:rsidR="00AA5C3B">
        <w:rPr>
          <w:rFonts w:ascii="Arial" w:hAnsi="Arial" w:cs="Arial"/>
          <w:sz w:val="24"/>
          <w:szCs w:val="24"/>
        </w:rPr>
        <w:t xml:space="preserve">as contended by the first respondent.  This cannot be so as the rand value amount has been stated in the affidavit.  It follows therefore, applying the approach court should follow in the event of conflict facts in motion proceedings that the version of the first respondent on this point should be accepted.  Accordingly, furthermore, I do not find that the version of the first respondent of this point is so </w:t>
      </w:r>
      <w:r w:rsidR="004B1044">
        <w:rPr>
          <w:rFonts w:ascii="Arial" w:hAnsi="Arial" w:cs="Arial"/>
          <w:sz w:val="24"/>
          <w:szCs w:val="24"/>
        </w:rPr>
        <w:t>farfetched</w:t>
      </w:r>
      <w:r w:rsidR="00AA5C3B">
        <w:rPr>
          <w:rFonts w:ascii="Arial" w:hAnsi="Arial" w:cs="Arial"/>
          <w:sz w:val="24"/>
          <w:szCs w:val="24"/>
        </w:rPr>
        <w:t xml:space="preserve"> that it should be rejected out of hand.  The applicant should therefore fail on this ground to discharge the onus that it is entitled to accelerate the full loan repayment based on alleged failure to pay the municipal charges by the first respondent.</w:t>
      </w:r>
    </w:p>
    <w:p w14:paraId="3C658171" w14:textId="58268254" w:rsidR="00EF3966" w:rsidRDefault="00CB4AED" w:rsidP="003F0D2B">
      <w:pPr>
        <w:spacing w:line="360" w:lineRule="auto"/>
        <w:jc w:val="both"/>
        <w:rPr>
          <w:rFonts w:ascii="Arial" w:hAnsi="Arial" w:cs="Arial"/>
          <w:sz w:val="24"/>
          <w:szCs w:val="24"/>
        </w:rPr>
      </w:pPr>
      <w:r>
        <w:rPr>
          <w:rFonts w:ascii="Arial" w:hAnsi="Arial" w:cs="Arial"/>
          <w:sz w:val="24"/>
          <w:szCs w:val="24"/>
        </w:rPr>
        <w:t>[53</w:t>
      </w:r>
      <w:r w:rsidR="00EF3966">
        <w:rPr>
          <w:rFonts w:ascii="Arial" w:hAnsi="Arial" w:cs="Arial"/>
          <w:sz w:val="24"/>
          <w:szCs w:val="24"/>
        </w:rPr>
        <w:t>]</w:t>
      </w:r>
      <w:r w:rsidR="00AA5C3B">
        <w:rPr>
          <w:rFonts w:ascii="Arial" w:hAnsi="Arial" w:cs="Arial"/>
          <w:sz w:val="24"/>
          <w:szCs w:val="24"/>
        </w:rPr>
        <w:tab/>
        <w:t>I deal with the alleged failure to pay the “sewer availability charge” reflected in the Rates Account.  The first respondent state</w:t>
      </w:r>
      <w:r w:rsidR="00C37148">
        <w:rPr>
          <w:rFonts w:ascii="Arial" w:hAnsi="Arial" w:cs="Arial"/>
          <w:sz w:val="24"/>
          <w:szCs w:val="24"/>
        </w:rPr>
        <w:t>s</w:t>
      </w:r>
      <w:r w:rsidR="00AA5C3B">
        <w:rPr>
          <w:rFonts w:ascii="Arial" w:hAnsi="Arial" w:cs="Arial"/>
          <w:sz w:val="24"/>
          <w:szCs w:val="24"/>
        </w:rPr>
        <w:t xml:space="preserve"> that this line item is a charge </w:t>
      </w:r>
      <w:r w:rsidR="00307DAD">
        <w:rPr>
          <w:rFonts w:ascii="Arial" w:hAnsi="Arial" w:cs="Arial"/>
          <w:sz w:val="24"/>
          <w:szCs w:val="24"/>
        </w:rPr>
        <w:t>meant to be applicable to property owners of undeveloped vacant stands that are able to connect to the main sewerage system.  It furthermore states that the Mayoral Committee convened a meeting on 6 March 2019 to amen</w:t>
      </w:r>
      <w:r w:rsidR="00C37148">
        <w:rPr>
          <w:rFonts w:ascii="Arial" w:hAnsi="Arial" w:cs="Arial"/>
          <w:sz w:val="24"/>
          <w:szCs w:val="24"/>
        </w:rPr>
        <w:t>d</w:t>
      </w:r>
      <w:r w:rsidR="00307DAD">
        <w:rPr>
          <w:rFonts w:ascii="Arial" w:hAnsi="Arial" w:cs="Arial"/>
          <w:sz w:val="24"/>
          <w:szCs w:val="24"/>
        </w:rPr>
        <w:t xml:space="preserve"> the City’s tariff charges for Water Services and Sewerage and Sanitation Services:  2019/2020.  The first respondent states that it was proposed that “availability” charges would be designated for certain properties not including the property type of Waldorf Heights where water is supplied to residential properties of the type with water meters.</w:t>
      </w:r>
    </w:p>
    <w:p w14:paraId="6CCDC956" w14:textId="40090D56" w:rsidR="00307DAD" w:rsidRDefault="00CB4AED" w:rsidP="003F0D2B">
      <w:pPr>
        <w:spacing w:line="360" w:lineRule="auto"/>
        <w:jc w:val="both"/>
        <w:rPr>
          <w:rFonts w:ascii="Arial" w:hAnsi="Arial" w:cs="Arial"/>
          <w:sz w:val="24"/>
          <w:szCs w:val="24"/>
        </w:rPr>
      </w:pPr>
      <w:r>
        <w:rPr>
          <w:rFonts w:ascii="Arial" w:hAnsi="Arial" w:cs="Arial"/>
          <w:sz w:val="24"/>
          <w:szCs w:val="24"/>
        </w:rPr>
        <w:lastRenderedPageBreak/>
        <w:t>[54</w:t>
      </w:r>
      <w:r w:rsidR="00307DAD">
        <w:rPr>
          <w:rFonts w:ascii="Arial" w:hAnsi="Arial" w:cs="Arial"/>
          <w:sz w:val="24"/>
          <w:szCs w:val="24"/>
        </w:rPr>
        <w:t>]</w:t>
      </w:r>
      <w:r w:rsidR="00307DAD">
        <w:rPr>
          <w:rFonts w:ascii="Arial" w:hAnsi="Arial" w:cs="Arial"/>
          <w:sz w:val="24"/>
          <w:szCs w:val="24"/>
        </w:rPr>
        <w:tab/>
        <w:t>The first respondent argues that the “severe availability charge” reflected on the Rates Account is not due and payable by it to the City of Johannesburg.  It estimates the amount to about R540 000 and submit that the non-payment thereof cannot be a ground for breach of the loan agreement.</w:t>
      </w:r>
    </w:p>
    <w:p w14:paraId="08B26C6F" w14:textId="5C1935DC" w:rsidR="00307DAD" w:rsidRDefault="00CB4AED" w:rsidP="003F0D2B">
      <w:pPr>
        <w:spacing w:line="360" w:lineRule="auto"/>
        <w:jc w:val="both"/>
        <w:rPr>
          <w:rFonts w:ascii="Arial" w:hAnsi="Arial" w:cs="Arial"/>
          <w:sz w:val="24"/>
          <w:szCs w:val="24"/>
        </w:rPr>
      </w:pPr>
      <w:r>
        <w:rPr>
          <w:rFonts w:ascii="Arial" w:hAnsi="Arial" w:cs="Arial"/>
          <w:sz w:val="24"/>
          <w:szCs w:val="24"/>
        </w:rPr>
        <w:t>[55</w:t>
      </w:r>
      <w:r w:rsidR="00307DAD">
        <w:rPr>
          <w:rFonts w:ascii="Arial" w:hAnsi="Arial" w:cs="Arial"/>
          <w:sz w:val="24"/>
          <w:szCs w:val="24"/>
        </w:rPr>
        <w:t>]</w:t>
      </w:r>
      <w:r w:rsidR="00307DAD">
        <w:rPr>
          <w:rFonts w:ascii="Arial" w:hAnsi="Arial" w:cs="Arial"/>
          <w:sz w:val="24"/>
          <w:szCs w:val="24"/>
        </w:rPr>
        <w:tab/>
        <w:t>In reply thereto, the applicant submits that the “sewerage availability” charge should be paid by the first respondent to the City of Johannesburg in order to comply with the By-</w:t>
      </w:r>
      <w:r w:rsidR="00660332">
        <w:rPr>
          <w:rFonts w:ascii="Arial" w:hAnsi="Arial" w:cs="Arial"/>
          <w:sz w:val="24"/>
          <w:szCs w:val="24"/>
        </w:rPr>
        <w:t>L</w:t>
      </w:r>
      <w:r w:rsidR="00307DAD">
        <w:rPr>
          <w:rFonts w:ascii="Arial" w:hAnsi="Arial" w:cs="Arial"/>
          <w:sz w:val="24"/>
          <w:szCs w:val="24"/>
        </w:rPr>
        <w:t>aws.  There is clearly conflict of fact on this point.  Again using the approach already referred to</w:t>
      </w:r>
      <w:r w:rsidR="00C37148">
        <w:rPr>
          <w:rFonts w:ascii="Arial" w:hAnsi="Arial" w:cs="Arial"/>
          <w:sz w:val="24"/>
          <w:szCs w:val="24"/>
        </w:rPr>
        <w:t>,</w:t>
      </w:r>
      <w:r w:rsidR="00307DAD">
        <w:rPr>
          <w:rFonts w:ascii="Arial" w:hAnsi="Arial" w:cs="Arial"/>
          <w:sz w:val="24"/>
          <w:szCs w:val="24"/>
        </w:rPr>
        <w:t xml:space="preserve"> I am not able to reject the version of the first respondent out of hand as farfetched and untenable and it follows that the first respondent is accepted.  The applicant’s ground to accelerate the full loan repayment on the alleged breach of the loan agreement on this ground must therefore fail.</w:t>
      </w:r>
    </w:p>
    <w:p w14:paraId="0F737B37" w14:textId="71F7ED19" w:rsidR="00307DAD" w:rsidRDefault="00CB4AED" w:rsidP="003F0D2B">
      <w:pPr>
        <w:spacing w:line="360" w:lineRule="auto"/>
        <w:jc w:val="both"/>
        <w:rPr>
          <w:rFonts w:ascii="Arial" w:hAnsi="Arial" w:cs="Arial"/>
          <w:sz w:val="24"/>
          <w:szCs w:val="24"/>
        </w:rPr>
      </w:pPr>
      <w:r>
        <w:rPr>
          <w:rFonts w:ascii="Arial" w:hAnsi="Arial" w:cs="Arial"/>
          <w:sz w:val="24"/>
          <w:szCs w:val="24"/>
        </w:rPr>
        <w:t>[56</w:t>
      </w:r>
      <w:r w:rsidR="00307DAD">
        <w:rPr>
          <w:rFonts w:ascii="Arial" w:hAnsi="Arial" w:cs="Arial"/>
          <w:sz w:val="24"/>
          <w:szCs w:val="24"/>
        </w:rPr>
        <w:t>]</w:t>
      </w:r>
      <w:r w:rsidR="00307DAD">
        <w:rPr>
          <w:rFonts w:ascii="Arial" w:hAnsi="Arial" w:cs="Arial"/>
          <w:sz w:val="24"/>
          <w:szCs w:val="24"/>
        </w:rPr>
        <w:tab/>
        <w:t>I now deal with the line item of “Waste Management Service” from the statement of account, no charge has been raised for such service and has never been charged historically.  Although the line item was used by the applicant in the letter of demand to the first respondent, this is clearly pre-mature and ought not to have featured in the letter of demand.</w:t>
      </w:r>
    </w:p>
    <w:p w14:paraId="07803CA5" w14:textId="0DF3CF61" w:rsidR="00660332" w:rsidRDefault="00CB4AED" w:rsidP="003F0D2B">
      <w:pPr>
        <w:spacing w:line="360" w:lineRule="auto"/>
        <w:jc w:val="both"/>
        <w:rPr>
          <w:rFonts w:ascii="Arial" w:hAnsi="Arial" w:cs="Arial"/>
          <w:sz w:val="24"/>
          <w:szCs w:val="24"/>
        </w:rPr>
      </w:pPr>
      <w:r>
        <w:rPr>
          <w:rFonts w:ascii="Arial" w:hAnsi="Arial" w:cs="Arial"/>
          <w:sz w:val="24"/>
          <w:szCs w:val="24"/>
        </w:rPr>
        <w:t>[57</w:t>
      </w:r>
      <w:r w:rsidR="00660332">
        <w:rPr>
          <w:rFonts w:ascii="Arial" w:hAnsi="Arial" w:cs="Arial"/>
          <w:sz w:val="24"/>
          <w:szCs w:val="24"/>
        </w:rPr>
        <w:t>]</w:t>
      </w:r>
      <w:r w:rsidR="00660332">
        <w:rPr>
          <w:rFonts w:ascii="Arial" w:hAnsi="Arial" w:cs="Arial"/>
          <w:sz w:val="24"/>
          <w:szCs w:val="24"/>
        </w:rPr>
        <w:tab/>
        <w:t>The other account to be dealt with in this judgment is the Waldorf Heights Tenant</w:t>
      </w:r>
      <w:r w:rsidR="00C37148">
        <w:rPr>
          <w:rFonts w:ascii="Arial" w:hAnsi="Arial" w:cs="Arial"/>
          <w:sz w:val="24"/>
          <w:szCs w:val="24"/>
        </w:rPr>
        <w:t>s</w:t>
      </w:r>
      <w:r w:rsidR="00660332">
        <w:rPr>
          <w:rFonts w:ascii="Arial" w:hAnsi="Arial" w:cs="Arial"/>
          <w:sz w:val="24"/>
          <w:szCs w:val="24"/>
        </w:rPr>
        <w:t xml:space="preserve"> Account number 206142566.</w:t>
      </w:r>
    </w:p>
    <w:p w14:paraId="6DEB2785" w14:textId="5CD7B09E" w:rsidR="00660332" w:rsidRDefault="00CB4AED" w:rsidP="003F0D2B">
      <w:pPr>
        <w:spacing w:line="360" w:lineRule="auto"/>
        <w:jc w:val="both"/>
        <w:rPr>
          <w:rFonts w:ascii="Arial" w:hAnsi="Arial" w:cs="Arial"/>
          <w:sz w:val="24"/>
          <w:szCs w:val="24"/>
        </w:rPr>
      </w:pPr>
      <w:r>
        <w:rPr>
          <w:rFonts w:ascii="Arial" w:hAnsi="Arial" w:cs="Arial"/>
          <w:sz w:val="24"/>
          <w:szCs w:val="24"/>
        </w:rPr>
        <w:t>[58</w:t>
      </w:r>
      <w:r w:rsidR="00660332">
        <w:rPr>
          <w:rFonts w:ascii="Arial" w:hAnsi="Arial" w:cs="Arial"/>
          <w:sz w:val="24"/>
          <w:szCs w:val="24"/>
        </w:rPr>
        <w:t>]</w:t>
      </w:r>
      <w:r w:rsidR="00660332">
        <w:rPr>
          <w:rFonts w:ascii="Arial" w:hAnsi="Arial" w:cs="Arial"/>
          <w:sz w:val="24"/>
          <w:szCs w:val="24"/>
        </w:rPr>
        <w:tab/>
        <w:t>The account is not in the name of the first respondent.</w:t>
      </w:r>
      <w:r w:rsidR="00C37148">
        <w:rPr>
          <w:rFonts w:ascii="Arial" w:hAnsi="Arial" w:cs="Arial"/>
          <w:sz w:val="24"/>
          <w:szCs w:val="24"/>
        </w:rPr>
        <w:t xml:space="preserve"> As the name suggests, it is the Tenants Account at Waldorf Heights. </w:t>
      </w:r>
      <w:r w:rsidR="00660332">
        <w:rPr>
          <w:rFonts w:ascii="Arial" w:hAnsi="Arial" w:cs="Arial"/>
          <w:sz w:val="24"/>
          <w:szCs w:val="24"/>
        </w:rPr>
        <w:t xml:space="preserve">  From the evidence adduced on behalf of the first respondent, in terms of the City of Johannesburg’s Credit Control and Debt Collection Policy which should </w:t>
      </w:r>
      <w:r w:rsidR="00C37148">
        <w:rPr>
          <w:rFonts w:ascii="Arial" w:hAnsi="Arial" w:cs="Arial"/>
          <w:sz w:val="24"/>
          <w:szCs w:val="24"/>
        </w:rPr>
        <w:t xml:space="preserve">be </w:t>
      </w:r>
      <w:r w:rsidR="00660332">
        <w:rPr>
          <w:rFonts w:ascii="Arial" w:hAnsi="Arial" w:cs="Arial"/>
          <w:sz w:val="24"/>
          <w:szCs w:val="24"/>
        </w:rPr>
        <w:t>read together with By-Laws</w:t>
      </w:r>
      <w:r w:rsidR="00C37148">
        <w:rPr>
          <w:rFonts w:ascii="Arial" w:hAnsi="Arial" w:cs="Arial"/>
          <w:sz w:val="24"/>
          <w:szCs w:val="24"/>
        </w:rPr>
        <w:t>,</w:t>
      </w:r>
      <w:r w:rsidR="00660332">
        <w:rPr>
          <w:rFonts w:ascii="Arial" w:hAnsi="Arial" w:cs="Arial"/>
          <w:sz w:val="24"/>
          <w:szCs w:val="24"/>
        </w:rPr>
        <w:t xml:space="preserve"> the indigent tenants or tenants of the abandoned or high</w:t>
      </w:r>
      <w:r w:rsidR="00C37148">
        <w:rPr>
          <w:rFonts w:ascii="Arial" w:hAnsi="Arial" w:cs="Arial"/>
          <w:sz w:val="24"/>
          <w:szCs w:val="24"/>
        </w:rPr>
        <w:t>-</w:t>
      </w:r>
      <w:r w:rsidR="00660332">
        <w:rPr>
          <w:rFonts w:ascii="Arial" w:hAnsi="Arial" w:cs="Arial"/>
          <w:sz w:val="24"/>
          <w:szCs w:val="24"/>
        </w:rPr>
        <w:t xml:space="preserve">jacked buildings are allowed to open tenants accounts for municipal services.  The Policy allows the City of Johannesburg to consolidate various accounts.  The City of Johannesburg, so states the first respondent, has not done this or opened an account for water services to Waldorf Heights in the name of the first respondent. </w:t>
      </w:r>
    </w:p>
    <w:p w14:paraId="3E37CF60" w14:textId="439F1D49" w:rsidR="00926361" w:rsidRDefault="00CB4AED" w:rsidP="003F0D2B">
      <w:pPr>
        <w:spacing w:line="360" w:lineRule="auto"/>
        <w:jc w:val="both"/>
        <w:rPr>
          <w:rFonts w:ascii="Arial" w:hAnsi="Arial" w:cs="Arial"/>
          <w:color w:val="FF0000"/>
          <w:sz w:val="24"/>
          <w:szCs w:val="24"/>
        </w:rPr>
      </w:pPr>
      <w:r>
        <w:rPr>
          <w:rFonts w:ascii="Arial" w:hAnsi="Arial" w:cs="Arial"/>
          <w:sz w:val="24"/>
          <w:szCs w:val="24"/>
        </w:rPr>
        <w:t>[59</w:t>
      </w:r>
      <w:r w:rsidR="00926361">
        <w:rPr>
          <w:rFonts w:ascii="Arial" w:hAnsi="Arial" w:cs="Arial"/>
          <w:sz w:val="24"/>
          <w:szCs w:val="24"/>
        </w:rPr>
        <w:t>]</w:t>
      </w:r>
      <w:r w:rsidR="00926361">
        <w:rPr>
          <w:rFonts w:ascii="Arial" w:hAnsi="Arial" w:cs="Arial"/>
          <w:sz w:val="24"/>
          <w:szCs w:val="24"/>
        </w:rPr>
        <w:tab/>
        <w:t>The applicant relies on the Ordinance 17 of 1939 to hold the first respondent liable for the tenants accou</w:t>
      </w:r>
      <w:r w:rsidR="00DB6457">
        <w:rPr>
          <w:rFonts w:ascii="Arial" w:hAnsi="Arial" w:cs="Arial"/>
          <w:sz w:val="24"/>
          <w:szCs w:val="24"/>
        </w:rPr>
        <w:t xml:space="preserve">nt.  Section 49 of the </w:t>
      </w:r>
      <w:r w:rsidR="00775E07">
        <w:rPr>
          <w:rFonts w:ascii="Arial" w:hAnsi="Arial" w:cs="Arial"/>
          <w:sz w:val="24"/>
          <w:szCs w:val="24"/>
        </w:rPr>
        <w:t>Ordinance</w:t>
      </w:r>
      <w:r w:rsidR="00DB6457">
        <w:rPr>
          <w:rFonts w:ascii="Arial" w:hAnsi="Arial" w:cs="Arial"/>
          <w:sz w:val="24"/>
          <w:szCs w:val="24"/>
        </w:rPr>
        <w:t xml:space="preserve"> provides for the joint and several </w:t>
      </w:r>
      <w:r w:rsidR="00DB6457">
        <w:rPr>
          <w:rFonts w:ascii="Arial" w:hAnsi="Arial" w:cs="Arial"/>
          <w:sz w:val="24"/>
          <w:szCs w:val="24"/>
        </w:rPr>
        <w:lastRenderedPageBreak/>
        <w:t>liability of owners and occupiers.  The section does not however, provide that the City of Johannesburg can hold one liable for the charges credited to another’s account.</w:t>
      </w:r>
    </w:p>
    <w:p w14:paraId="392DE77E" w14:textId="3C9C6F6A" w:rsidR="00926361" w:rsidRDefault="00CB4AED" w:rsidP="003F0D2B">
      <w:pPr>
        <w:spacing w:line="360" w:lineRule="auto"/>
        <w:jc w:val="both"/>
        <w:rPr>
          <w:rFonts w:ascii="Arial" w:hAnsi="Arial" w:cs="Arial"/>
          <w:sz w:val="24"/>
          <w:szCs w:val="24"/>
        </w:rPr>
      </w:pPr>
      <w:r>
        <w:rPr>
          <w:rFonts w:ascii="Arial" w:hAnsi="Arial" w:cs="Arial"/>
          <w:sz w:val="24"/>
          <w:szCs w:val="24"/>
        </w:rPr>
        <w:t>[60</w:t>
      </w:r>
      <w:r w:rsidR="00926361" w:rsidRPr="00926361">
        <w:rPr>
          <w:rFonts w:ascii="Arial" w:hAnsi="Arial" w:cs="Arial"/>
          <w:sz w:val="24"/>
          <w:szCs w:val="24"/>
        </w:rPr>
        <w:t>]</w:t>
      </w:r>
      <w:r w:rsidR="00DB6457">
        <w:rPr>
          <w:rFonts w:ascii="Arial" w:hAnsi="Arial" w:cs="Arial"/>
          <w:sz w:val="24"/>
          <w:szCs w:val="24"/>
        </w:rPr>
        <w:tab/>
        <w:t xml:space="preserve">There has not been evidence adduced on behalf of the applicant that the City of Johannesburg has issued a requirement notice in terms of section 49 of the Ordinance to the first respondent liable.  As and when the City of Johannesburg does consolidate the accounts or opens a separate water account in the name of the first respondent that will hopefully be dealt with at the appropriate time by the City and the first respondent.  It is therefore not up to the applicant to enforce the By-Laws on this line item on behalf of the City of Johannesburg.  Accordingly, the </w:t>
      </w:r>
      <w:r w:rsidR="00C37148">
        <w:rPr>
          <w:rFonts w:ascii="Arial" w:hAnsi="Arial" w:cs="Arial"/>
          <w:sz w:val="24"/>
          <w:szCs w:val="24"/>
        </w:rPr>
        <w:t>version</w:t>
      </w:r>
      <w:r w:rsidR="00DB6457">
        <w:rPr>
          <w:rFonts w:ascii="Arial" w:hAnsi="Arial" w:cs="Arial"/>
          <w:sz w:val="24"/>
          <w:szCs w:val="24"/>
        </w:rPr>
        <w:t xml:space="preserve"> of the first respondent on this line item must be accepted.  It follows therefore that the </w:t>
      </w:r>
      <w:r w:rsidR="00926361">
        <w:rPr>
          <w:rFonts w:ascii="Arial" w:hAnsi="Arial" w:cs="Arial"/>
          <w:sz w:val="24"/>
          <w:szCs w:val="24"/>
        </w:rPr>
        <w:t>alleged breach of the loan agreement by the applicant on this ground must fail.</w:t>
      </w:r>
    </w:p>
    <w:p w14:paraId="43C7B642" w14:textId="5BE4C325" w:rsidR="00926361" w:rsidRDefault="00CB4AED" w:rsidP="003F0D2B">
      <w:pPr>
        <w:spacing w:line="360" w:lineRule="auto"/>
        <w:jc w:val="both"/>
        <w:rPr>
          <w:rFonts w:ascii="Arial" w:hAnsi="Arial" w:cs="Arial"/>
          <w:sz w:val="24"/>
          <w:szCs w:val="24"/>
        </w:rPr>
      </w:pPr>
      <w:r>
        <w:rPr>
          <w:rFonts w:ascii="Arial" w:hAnsi="Arial" w:cs="Arial"/>
          <w:sz w:val="24"/>
          <w:szCs w:val="24"/>
        </w:rPr>
        <w:t>[61</w:t>
      </w:r>
      <w:r w:rsidR="00926361">
        <w:rPr>
          <w:rFonts w:ascii="Arial" w:hAnsi="Arial" w:cs="Arial"/>
          <w:sz w:val="24"/>
          <w:szCs w:val="24"/>
        </w:rPr>
        <w:t>]</w:t>
      </w:r>
      <w:r w:rsidR="00926361">
        <w:rPr>
          <w:rFonts w:ascii="Arial" w:hAnsi="Arial" w:cs="Arial"/>
          <w:sz w:val="24"/>
          <w:szCs w:val="24"/>
        </w:rPr>
        <w:tab/>
      </w:r>
      <w:r w:rsidR="00930AF5">
        <w:rPr>
          <w:rFonts w:ascii="Arial" w:hAnsi="Arial" w:cs="Arial"/>
          <w:sz w:val="24"/>
          <w:szCs w:val="24"/>
        </w:rPr>
        <w:t>What follows is now an analysis of the alleged breach of the loan agreement based on the alleged failure to provide the applicant with an electrical compliance certificate by the first respondent in respect of Waldorf Heights.</w:t>
      </w:r>
    </w:p>
    <w:p w14:paraId="6088C1B4" w14:textId="3DC61544" w:rsidR="00930AF5" w:rsidRDefault="00CB4AED" w:rsidP="003F0D2B">
      <w:pPr>
        <w:spacing w:line="360" w:lineRule="auto"/>
        <w:jc w:val="both"/>
        <w:rPr>
          <w:rFonts w:ascii="Arial" w:hAnsi="Arial" w:cs="Arial"/>
          <w:sz w:val="24"/>
          <w:szCs w:val="24"/>
        </w:rPr>
      </w:pPr>
      <w:r>
        <w:rPr>
          <w:rFonts w:ascii="Arial" w:hAnsi="Arial" w:cs="Arial"/>
          <w:sz w:val="24"/>
          <w:szCs w:val="24"/>
        </w:rPr>
        <w:t>[62</w:t>
      </w:r>
      <w:r w:rsidR="00930AF5">
        <w:rPr>
          <w:rFonts w:ascii="Arial" w:hAnsi="Arial" w:cs="Arial"/>
          <w:sz w:val="24"/>
          <w:szCs w:val="24"/>
        </w:rPr>
        <w:t>]</w:t>
      </w:r>
      <w:r w:rsidR="00930AF5">
        <w:rPr>
          <w:rFonts w:ascii="Arial" w:hAnsi="Arial" w:cs="Arial"/>
          <w:sz w:val="24"/>
          <w:szCs w:val="24"/>
        </w:rPr>
        <w:tab/>
        <w:t>The first respondent contends that the requirement to provide the electrical certificate for elevators at Waldorf Heights is not in terms of the loan agreement.</w:t>
      </w:r>
    </w:p>
    <w:p w14:paraId="596EDCF5" w14:textId="6B2F9D90" w:rsidR="00930AF5" w:rsidRDefault="00CB4AED" w:rsidP="003F0D2B">
      <w:pPr>
        <w:spacing w:line="360" w:lineRule="auto"/>
        <w:jc w:val="both"/>
        <w:rPr>
          <w:rFonts w:ascii="Arial" w:hAnsi="Arial" w:cs="Arial"/>
          <w:sz w:val="24"/>
          <w:szCs w:val="24"/>
        </w:rPr>
      </w:pPr>
      <w:r>
        <w:rPr>
          <w:rFonts w:ascii="Arial" w:hAnsi="Arial" w:cs="Arial"/>
          <w:sz w:val="24"/>
          <w:szCs w:val="24"/>
        </w:rPr>
        <w:t>[63</w:t>
      </w:r>
      <w:r w:rsidR="00930AF5">
        <w:rPr>
          <w:rFonts w:ascii="Arial" w:hAnsi="Arial" w:cs="Arial"/>
          <w:sz w:val="24"/>
          <w:szCs w:val="24"/>
        </w:rPr>
        <w:t>]</w:t>
      </w:r>
      <w:r w:rsidR="00930AF5">
        <w:rPr>
          <w:rFonts w:ascii="Arial" w:hAnsi="Arial" w:cs="Arial"/>
          <w:sz w:val="24"/>
          <w:szCs w:val="24"/>
        </w:rPr>
        <w:tab/>
        <w:t xml:space="preserve">Clause 40 of the Special Conditions Module provides as follows:  </w:t>
      </w:r>
    </w:p>
    <w:p w14:paraId="2DF4020D" w14:textId="78C904DA" w:rsidR="00930AF5" w:rsidRDefault="00930AF5" w:rsidP="003F0D2B">
      <w:pPr>
        <w:spacing w:line="360" w:lineRule="auto"/>
        <w:jc w:val="both"/>
        <w:rPr>
          <w:rFonts w:ascii="Arial" w:hAnsi="Arial" w:cs="Arial"/>
          <w:i/>
          <w:sz w:val="24"/>
          <w:szCs w:val="24"/>
        </w:rPr>
      </w:pPr>
      <w:r>
        <w:rPr>
          <w:rFonts w:ascii="Arial" w:hAnsi="Arial" w:cs="Arial"/>
          <w:sz w:val="24"/>
          <w:szCs w:val="24"/>
        </w:rPr>
        <w:t>“</w:t>
      </w:r>
      <w:r>
        <w:rPr>
          <w:rFonts w:ascii="Arial" w:hAnsi="Arial" w:cs="Arial"/>
          <w:i/>
          <w:sz w:val="24"/>
          <w:szCs w:val="24"/>
        </w:rPr>
        <w:t>40 Pre- Registration Conditions</w:t>
      </w:r>
    </w:p>
    <w:p w14:paraId="52CC19DA" w14:textId="0F82A50B" w:rsidR="00930AF5" w:rsidRDefault="00930AF5" w:rsidP="003F0D2B">
      <w:pPr>
        <w:spacing w:line="360" w:lineRule="auto"/>
        <w:jc w:val="both"/>
        <w:rPr>
          <w:rFonts w:ascii="Arial" w:hAnsi="Arial" w:cs="Arial"/>
          <w:i/>
          <w:sz w:val="24"/>
          <w:szCs w:val="24"/>
        </w:rPr>
      </w:pPr>
      <w:r>
        <w:rPr>
          <w:rFonts w:ascii="Arial" w:hAnsi="Arial" w:cs="Arial"/>
          <w:i/>
          <w:sz w:val="24"/>
          <w:szCs w:val="24"/>
        </w:rPr>
        <w:t xml:space="preserve">Prior to the registration of the Mortgage Bond- </w:t>
      </w:r>
    </w:p>
    <w:p w14:paraId="22025F14" w14:textId="676D58EA" w:rsidR="000B04E2" w:rsidRDefault="000B04E2" w:rsidP="003F0D2B">
      <w:pPr>
        <w:spacing w:line="360" w:lineRule="auto"/>
        <w:jc w:val="both"/>
        <w:rPr>
          <w:rFonts w:ascii="Arial" w:hAnsi="Arial" w:cs="Arial"/>
          <w:i/>
          <w:sz w:val="24"/>
          <w:szCs w:val="24"/>
        </w:rPr>
      </w:pPr>
      <w:r>
        <w:rPr>
          <w:rFonts w:ascii="Arial" w:hAnsi="Arial" w:cs="Arial"/>
          <w:i/>
          <w:sz w:val="24"/>
          <w:szCs w:val="24"/>
        </w:rPr>
        <w:t>40.1</w:t>
      </w:r>
      <w:r>
        <w:rPr>
          <w:rFonts w:ascii="Arial" w:hAnsi="Arial" w:cs="Arial"/>
          <w:i/>
          <w:sz w:val="24"/>
          <w:szCs w:val="24"/>
        </w:rPr>
        <w:tab/>
        <w:t xml:space="preserve">The Borrower will prove and submit to the Lender: </w:t>
      </w:r>
    </w:p>
    <w:p w14:paraId="6E992774" w14:textId="77777777" w:rsidR="000B04E2" w:rsidRDefault="000B04E2" w:rsidP="003F0D2B">
      <w:pPr>
        <w:spacing w:line="360" w:lineRule="auto"/>
        <w:jc w:val="both"/>
        <w:rPr>
          <w:rFonts w:ascii="Arial" w:hAnsi="Arial" w:cs="Arial"/>
          <w:i/>
          <w:sz w:val="24"/>
          <w:szCs w:val="24"/>
        </w:rPr>
      </w:pPr>
      <w:r>
        <w:rPr>
          <w:rFonts w:ascii="Arial" w:hAnsi="Arial" w:cs="Arial"/>
          <w:i/>
          <w:sz w:val="24"/>
          <w:szCs w:val="24"/>
        </w:rPr>
        <w:t>40.1.1</w:t>
      </w:r>
      <w:r>
        <w:rPr>
          <w:rFonts w:ascii="Arial" w:hAnsi="Arial" w:cs="Arial"/>
          <w:i/>
          <w:sz w:val="24"/>
          <w:szCs w:val="24"/>
        </w:rPr>
        <w:tab/>
        <w:t>Proof that a specific, dedicated business account has been opened to accommodate all financial transactions (including the monthly loan instalment) relevant to the Property;</w:t>
      </w:r>
    </w:p>
    <w:p w14:paraId="316DD8C7" w14:textId="0D54A5C5" w:rsidR="00507886" w:rsidRDefault="000B04E2" w:rsidP="003F0D2B">
      <w:pPr>
        <w:spacing w:line="360" w:lineRule="auto"/>
        <w:jc w:val="both"/>
        <w:rPr>
          <w:rFonts w:ascii="Arial" w:hAnsi="Arial" w:cs="Arial"/>
          <w:i/>
          <w:sz w:val="24"/>
          <w:szCs w:val="24"/>
        </w:rPr>
      </w:pPr>
      <w:r>
        <w:rPr>
          <w:rFonts w:ascii="Arial" w:hAnsi="Arial" w:cs="Arial"/>
          <w:i/>
          <w:sz w:val="24"/>
          <w:szCs w:val="24"/>
        </w:rPr>
        <w:t>40.1.2</w:t>
      </w:r>
      <w:r w:rsidR="00775E07">
        <w:rPr>
          <w:rFonts w:ascii="Arial" w:hAnsi="Arial" w:cs="Arial"/>
          <w:i/>
          <w:sz w:val="24"/>
          <w:szCs w:val="24"/>
        </w:rPr>
        <w:tab/>
        <w:t xml:space="preserve"> A</w:t>
      </w:r>
      <w:r w:rsidR="00507886">
        <w:rPr>
          <w:rFonts w:ascii="Arial" w:hAnsi="Arial" w:cs="Arial"/>
          <w:i/>
          <w:sz w:val="24"/>
          <w:szCs w:val="24"/>
        </w:rPr>
        <w:t xml:space="preserve"> copy of a current Electrical Certificate issued in respect of the Property, by an accredited electrician confirming that the electrical installations with the building on the property conforms to the standards as stipulated by the relevant authority in terms of the Registrations published in the Government Notice R242 dated 6 March 2009 which </w:t>
      </w:r>
      <w:r w:rsidR="00507886">
        <w:rPr>
          <w:rFonts w:ascii="Arial" w:hAnsi="Arial" w:cs="Arial"/>
          <w:i/>
          <w:sz w:val="24"/>
          <w:szCs w:val="24"/>
        </w:rPr>
        <w:lastRenderedPageBreak/>
        <w:t>regulations have been issued in terms of the Occupational Health and Safety Act, 85 of 1993.”</w:t>
      </w:r>
    </w:p>
    <w:p w14:paraId="7981D50A" w14:textId="698680CB" w:rsidR="006C5AD1" w:rsidRDefault="00CB4AED" w:rsidP="003F0D2B">
      <w:pPr>
        <w:spacing w:line="360" w:lineRule="auto"/>
        <w:jc w:val="both"/>
        <w:rPr>
          <w:rFonts w:ascii="Arial" w:hAnsi="Arial" w:cs="Arial"/>
          <w:sz w:val="24"/>
          <w:szCs w:val="24"/>
        </w:rPr>
      </w:pPr>
      <w:r>
        <w:rPr>
          <w:rFonts w:ascii="Arial" w:hAnsi="Arial" w:cs="Arial"/>
          <w:sz w:val="24"/>
          <w:szCs w:val="24"/>
        </w:rPr>
        <w:t>[64</w:t>
      </w:r>
      <w:r w:rsidR="006C5AD1">
        <w:rPr>
          <w:rFonts w:ascii="Arial" w:hAnsi="Arial" w:cs="Arial"/>
          <w:sz w:val="24"/>
          <w:szCs w:val="24"/>
        </w:rPr>
        <w:t>]</w:t>
      </w:r>
      <w:r w:rsidR="006C5AD1">
        <w:rPr>
          <w:rFonts w:ascii="Arial" w:hAnsi="Arial" w:cs="Arial"/>
          <w:sz w:val="24"/>
          <w:szCs w:val="24"/>
        </w:rPr>
        <w:tab/>
        <w:t xml:space="preserve">The clause quoted above has no mention of elevators.  It relates to the pre-mortgage bond registration.  I have also had regard to clause 41 of the loan agreement under </w:t>
      </w:r>
      <w:r w:rsidR="00822241">
        <w:rPr>
          <w:rFonts w:ascii="Arial" w:hAnsi="Arial" w:cs="Arial"/>
          <w:sz w:val="24"/>
          <w:szCs w:val="24"/>
        </w:rPr>
        <w:t>S</w:t>
      </w:r>
      <w:r w:rsidR="006C5AD1">
        <w:rPr>
          <w:rFonts w:ascii="Arial" w:hAnsi="Arial" w:cs="Arial"/>
          <w:sz w:val="24"/>
          <w:szCs w:val="24"/>
        </w:rPr>
        <w:t xml:space="preserve">pecial </w:t>
      </w:r>
      <w:r w:rsidR="00822241">
        <w:rPr>
          <w:rFonts w:ascii="Arial" w:hAnsi="Arial" w:cs="Arial"/>
          <w:sz w:val="24"/>
          <w:szCs w:val="24"/>
        </w:rPr>
        <w:t>C</w:t>
      </w:r>
      <w:r w:rsidR="006C5AD1">
        <w:rPr>
          <w:rFonts w:ascii="Arial" w:hAnsi="Arial" w:cs="Arial"/>
          <w:sz w:val="24"/>
          <w:szCs w:val="24"/>
        </w:rPr>
        <w:t>onditions which are also part of the Special Conditions Module.  No reference is made to the elevators at Waldorf Heights.</w:t>
      </w:r>
    </w:p>
    <w:p w14:paraId="68F8E432" w14:textId="37AE915B" w:rsidR="000B04E2" w:rsidRDefault="00CB4AED" w:rsidP="003F0D2B">
      <w:pPr>
        <w:spacing w:line="360" w:lineRule="auto"/>
        <w:jc w:val="both"/>
        <w:rPr>
          <w:rFonts w:ascii="Arial" w:hAnsi="Arial" w:cs="Arial"/>
          <w:sz w:val="24"/>
          <w:szCs w:val="24"/>
        </w:rPr>
      </w:pPr>
      <w:r>
        <w:rPr>
          <w:rFonts w:ascii="Arial" w:hAnsi="Arial" w:cs="Arial"/>
          <w:sz w:val="24"/>
          <w:szCs w:val="24"/>
        </w:rPr>
        <w:t>[65</w:t>
      </w:r>
      <w:r w:rsidR="006C5AD1">
        <w:rPr>
          <w:rFonts w:ascii="Arial" w:hAnsi="Arial" w:cs="Arial"/>
          <w:sz w:val="24"/>
          <w:szCs w:val="24"/>
        </w:rPr>
        <w:t>]</w:t>
      </w:r>
      <w:r w:rsidR="006C5AD1">
        <w:rPr>
          <w:rFonts w:ascii="Arial" w:hAnsi="Arial" w:cs="Arial"/>
          <w:sz w:val="24"/>
          <w:szCs w:val="24"/>
        </w:rPr>
        <w:tab/>
        <w:t>The applicant avers that the first respondent failed to provide the electrical certificate for the elevators and the first respondents states that the certificates were provided prior to the mortgage bond registration.  In my view it is highly unlikely that the conveyancers responsible for the mortgage bond registration in favour of the applicant whom they act for in such instance would have failed to insist on compliance with the electrical compliance certificate.</w:t>
      </w:r>
      <w:r w:rsidR="006C5AD1">
        <w:rPr>
          <w:rFonts w:ascii="Arial" w:hAnsi="Arial" w:cs="Arial"/>
          <w:i/>
          <w:sz w:val="24"/>
          <w:szCs w:val="24"/>
        </w:rPr>
        <w:t xml:space="preserve">  </w:t>
      </w:r>
      <w:r w:rsidR="006C5AD1">
        <w:rPr>
          <w:rFonts w:ascii="Arial" w:hAnsi="Arial" w:cs="Arial"/>
          <w:sz w:val="24"/>
          <w:szCs w:val="24"/>
        </w:rPr>
        <w:t xml:space="preserve">It follows therefore that as part of the </w:t>
      </w:r>
      <w:r w:rsidR="00BB2972">
        <w:rPr>
          <w:rFonts w:ascii="Arial" w:hAnsi="Arial" w:cs="Arial"/>
          <w:sz w:val="24"/>
          <w:szCs w:val="24"/>
        </w:rPr>
        <w:t>drawdown</w:t>
      </w:r>
      <w:r w:rsidR="006C5AD1">
        <w:rPr>
          <w:rFonts w:ascii="Arial" w:hAnsi="Arial" w:cs="Arial"/>
          <w:sz w:val="24"/>
          <w:szCs w:val="24"/>
        </w:rPr>
        <w:t xml:space="preserve"> conditions of the l</w:t>
      </w:r>
      <w:r w:rsidR="00822241">
        <w:rPr>
          <w:rFonts w:ascii="Arial" w:hAnsi="Arial" w:cs="Arial"/>
          <w:sz w:val="24"/>
          <w:szCs w:val="24"/>
        </w:rPr>
        <w:t>oan</w:t>
      </w:r>
      <w:r w:rsidR="006C5AD1">
        <w:rPr>
          <w:rFonts w:ascii="Arial" w:hAnsi="Arial" w:cs="Arial"/>
          <w:sz w:val="24"/>
          <w:szCs w:val="24"/>
        </w:rPr>
        <w:t xml:space="preserve"> amount that any disb</w:t>
      </w:r>
      <w:r w:rsidR="00822241">
        <w:rPr>
          <w:rFonts w:ascii="Arial" w:hAnsi="Arial" w:cs="Arial"/>
          <w:sz w:val="24"/>
          <w:szCs w:val="24"/>
        </w:rPr>
        <w:t>urse</w:t>
      </w:r>
      <w:r w:rsidR="006C5AD1">
        <w:rPr>
          <w:rFonts w:ascii="Arial" w:hAnsi="Arial" w:cs="Arial"/>
          <w:sz w:val="24"/>
          <w:szCs w:val="24"/>
        </w:rPr>
        <w:t xml:space="preserve">ment of the loan facility would have been given </w:t>
      </w:r>
      <w:r w:rsidR="00822241">
        <w:rPr>
          <w:rFonts w:ascii="Arial" w:hAnsi="Arial" w:cs="Arial"/>
          <w:sz w:val="24"/>
          <w:szCs w:val="24"/>
        </w:rPr>
        <w:t>a</w:t>
      </w:r>
      <w:r w:rsidR="006C5AD1">
        <w:rPr>
          <w:rFonts w:ascii="Arial" w:hAnsi="Arial" w:cs="Arial"/>
          <w:sz w:val="24"/>
          <w:szCs w:val="24"/>
        </w:rPr>
        <w:t xml:space="preserve"> go</w:t>
      </w:r>
      <w:r w:rsidR="00822241">
        <w:rPr>
          <w:rFonts w:ascii="Arial" w:hAnsi="Arial" w:cs="Arial"/>
          <w:sz w:val="24"/>
          <w:szCs w:val="24"/>
        </w:rPr>
        <w:t>-</w:t>
      </w:r>
      <w:r w:rsidR="006C5AD1">
        <w:rPr>
          <w:rFonts w:ascii="Arial" w:hAnsi="Arial" w:cs="Arial"/>
          <w:sz w:val="24"/>
          <w:szCs w:val="24"/>
        </w:rPr>
        <w:t xml:space="preserve">ahead without the basic compliance with the </w:t>
      </w:r>
      <w:r w:rsidR="00822241">
        <w:rPr>
          <w:rFonts w:ascii="Arial" w:hAnsi="Arial" w:cs="Arial"/>
          <w:sz w:val="24"/>
          <w:szCs w:val="24"/>
        </w:rPr>
        <w:t xml:space="preserve">mortgage bond </w:t>
      </w:r>
      <w:r w:rsidR="006C5AD1">
        <w:rPr>
          <w:rFonts w:ascii="Arial" w:hAnsi="Arial" w:cs="Arial"/>
          <w:sz w:val="24"/>
          <w:szCs w:val="24"/>
        </w:rPr>
        <w:t>pre-registration condition.</w:t>
      </w:r>
      <w:r w:rsidR="00B9702C">
        <w:rPr>
          <w:rFonts w:ascii="Arial" w:hAnsi="Arial" w:cs="Arial"/>
          <w:sz w:val="24"/>
          <w:szCs w:val="24"/>
        </w:rPr>
        <w:t xml:space="preserve">  It is my considered view therefore that the applicant has failed to discharge the onus that the alleged failure to provide proof of the electrical compliance certificate for the elevators at Waldorf Heights can be a ground of breach in terms of the loan agreement.  It follows that cancellation of the full loan agreement on this ground must fail.</w:t>
      </w:r>
    </w:p>
    <w:p w14:paraId="6EA5DBC2" w14:textId="63CAC649" w:rsidR="00B9702C" w:rsidRDefault="00CB4AED" w:rsidP="003F0D2B">
      <w:pPr>
        <w:spacing w:line="360" w:lineRule="auto"/>
        <w:jc w:val="both"/>
        <w:rPr>
          <w:rFonts w:ascii="Arial" w:hAnsi="Arial" w:cs="Arial"/>
          <w:sz w:val="24"/>
          <w:szCs w:val="24"/>
        </w:rPr>
      </w:pPr>
      <w:r>
        <w:rPr>
          <w:rFonts w:ascii="Arial" w:hAnsi="Arial" w:cs="Arial"/>
          <w:sz w:val="24"/>
          <w:szCs w:val="24"/>
        </w:rPr>
        <w:t>[66</w:t>
      </w:r>
      <w:r w:rsidR="00B9702C">
        <w:rPr>
          <w:rFonts w:ascii="Arial" w:hAnsi="Arial" w:cs="Arial"/>
          <w:sz w:val="24"/>
          <w:szCs w:val="24"/>
        </w:rPr>
        <w:t>]</w:t>
      </w:r>
      <w:r w:rsidR="00B9702C">
        <w:rPr>
          <w:rFonts w:ascii="Arial" w:hAnsi="Arial" w:cs="Arial"/>
          <w:sz w:val="24"/>
          <w:szCs w:val="24"/>
        </w:rPr>
        <w:tab/>
        <w:t>I now deal with the alleged failure to provide fire safety certificate as a ground of breach which the applicant claims entitle it to accelerate the full loan balance.  The first respondent</w:t>
      </w:r>
      <w:r w:rsidR="00822241">
        <w:rPr>
          <w:rFonts w:ascii="Arial" w:hAnsi="Arial" w:cs="Arial"/>
          <w:sz w:val="24"/>
          <w:szCs w:val="24"/>
        </w:rPr>
        <w:t xml:space="preserve"> </w:t>
      </w:r>
      <w:r w:rsidR="00B9702C">
        <w:rPr>
          <w:rFonts w:ascii="Arial" w:hAnsi="Arial" w:cs="Arial"/>
          <w:sz w:val="24"/>
          <w:szCs w:val="24"/>
        </w:rPr>
        <w:t xml:space="preserve">protests that failure to provide the fire safety certificate was not addressed or used in the demand letter as a ground to call up the loan but rather an afterthought.  The first respondent states that it provided the applicant with Fire Safety Certificate during October 2019.  </w:t>
      </w:r>
    </w:p>
    <w:p w14:paraId="3798F557" w14:textId="18D54724" w:rsidR="00B9702C" w:rsidRDefault="00CB4AED" w:rsidP="003F0D2B">
      <w:pPr>
        <w:spacing w:line="360" w:lineRule="auto"/>
        <w:jc w:val="both"/>
        <w:rPr>
          <w:rFonts w:ascii="Arial" w:hAnsi="Arial" w:cs="Arial"/>
          <w:sz w:val="24"/>
          <w:szCs w:val="24"/>
        </w:rPr>
      </w:pPr>
      <w:r>
        <w:rPr>
          <w:rFonts w:ascii="Arial" w:hAnsi="Arial" w:cs="Arial"/>
          <w:sz w:val="24"/>
          <w:szCs w:val="24"/>
        </w:rPr>
        <w:t>[67</w:t>
      </w:r>
      <w:r w:rsidR="00B9702C">
        <w:rPr>
          <w:rFonts w:ascii="Arial" w:hAnsi="Arial" w:cs="Arial"/>
          <w:sz w:val="24"/>
          <w:szCs w:val="24"/>
        </w:rPr>
        <w:t>]</w:t>
      </w:r>
      <w:r w:rsidR="00B9702C">
        <w:rPr>
          <w:rFonts w:ascii="Arial" w:hAnsi="Arial" w:cs="Arial"/>
          <w:sz w:val="24"/>
          <w:szCs w:val="24"/>
        </w:rPr>
        <w:tab/>
        <w:t>From papers before me, it appears that the applicant abandoned, quite correctly in my view, this ground as founding a breach of the loan agreement and / or mortgage bond.</w:t>
      </w:r>
    </w:p>
    <w:p w14:paraId="41DA9BD5" w14:textId="2FA35B4C" w:rsidR="00B9702C" w:rsidRDefault="00CB4AED" w:rsidP="003F0D2B">
      <w:pPr>
        <w:spacing w:line="360" w:lineRule="auto"/>
        <w:jc w:val="both"/>
        <w:rPr>
          <w:rFonts w:ascii="Arial" w:hAnsi="Arial" w:cs="Arial"/>
          <w:sz w:val="24"/>
          <w:szCs w:val="24"/>
        </w:rPr>
      </w:pPr>
      <w:r>
        <w:rPr>
          <w:rFonts w:ascii="Arial" w:hAnsi="Arial" w:cs="Arial"/>
          <w:sz w:val="24"/>
          <w:szCs w:val="24"/>
        </w:rPr>
        <w:t>[68</w:t>
      </w:r>
      <w:r w:rsidR="00B9702C">
        <w:rPr>
          <w:rFonts w:ascii="Arial" w:hAnsi="Arial" w:cs="Arial"/>
          <w:sz w:val="24"/>
          <w:szCs w:val="24"/>
        </w:rPr>
        <w:t>]</w:t>
      </w:r>
      <w:r w:rsidR="00B9702C">
        <w:rPr>
          <w:rFonts w:ascii="Arial" w:hAnsi="Arial" w:cs="Arial"/>
          <w:sz w:val="24"/>
          <w:szCs w:val="24"/>
        </w:rPr>
        <w:tab/>
        <w:t>I now deal with the contention by the first respondent that the applicant has engaged in the abuse of court process.</w:t>
      </w:r>
    </w:p>
    <w:p w14:paraId="5CBE1C0E" w14:textId="68579BF0" w:rsidR="00B9702C" w:rsidRDefault="00CB4AED" w:rsidP="003F0D2B">
      <w:pPr>
        <w:spacing w:line="360" w:lineRule="auto"/>
        <w:jc w:val="both"/>
        <w:rPr>
          <w:rFonts w:ascii="Arial" w:hAnsi="Arial" w:cs="Arial"/>
          <w:sz w:val="24"/>
          <w:szCs w:val="24"/>
        </w:rPr>
      </w:pPr>
      <w:r>
        <w:rPr>
          <w:rFonts w:ascii="Arial" w:hAnsi="Arial" w:cs="Arial"/>
          <w:sz w:val="24"/>
          <w:szCs w:val="24"/>
        </w:rPr>
        <w:lastRenderedPageBreak/>
        <w:t>[69</w:t>
      </w:r>
      <w:r w:rsidR="00B9702C">
        <w:rPr>
          <w:rFonts w:ascii="Arial" w:hAnsi="Arial" w:cs="Arial"/>
          <w:sz w:val="24"/>
          <w:szCs w:val="24"/>
        </w:rPr>
        <w:t>]</w:t>
      </w:r>
      <w:r w:rsidR="00B9702C">
        <w:rPr>
          <w:rFonts w:ascii="Arial" w:hAnsi="Arial" w:cs="Arial"/>
          <w:sz w:val="24"/>
          <w:szCs w:val="24"/>
        </w:rPr>
        <w:tab/>
        <w:t xml:space="preserve">The “abuse of court” process </w:t>
      </w:r>
      <w:r w:rsidR="00822241">
        <w:rPr>
          <w:rFonts w:ascii="Arial" w:hAnsi="Arial" w:cs="Arial"/>
          <w:sz w:val="24"/>
          <w:szCs w:val="24"/>
        </w:rPr>
        <w:t>is</w:t>
      </w:r>
      <w:r w:rsidR="00B9702C">
        <w:rPr>
          <w:rFonts w:ascii="Arial" w:hAnsi="Arial" w:cs="Arial"/>
          <w:sz w:val="24"/>
          <w:szCs w:val="24"/>
        </w:rPr>
        <w:t xml:space="preserve"> recognized in our law.  The Supreme Court of Appeal in </w:t>
      </w:r>
      <w:r w:rsidR="00B9702C" w:rsidRPr="00B9702C">
        <w:rPr>
          <w:rFonts w:ascii="Arial" w:hAnsi="Arial" w:cs="Arial"/>
          <w:i/>
          <w:sz w:val="24"/>
          <w:szCs w:val="24"/>
        </w:rPr>
        <w:t>Phillips v Botha</w:t>
      </w:r>
      <w:r w:rsidR="00B9702C">
        <w:rPr>
          <w:rStyle w:val="FootnoteReference"/>
          <w:rFonts w:ascii="Arial" w:hAnsi="Arial" w:cs="Arial"/>
          <w:sz w:val="24"/>
          <w:szCs w:val="24"/>
        </w:rPr>
        <w:footnoteReference w:id="7"/>
      </w:r>
      <w:r w:rsidR="00B9702C">
        <w:rPr>
          <w:rFonts w:ascii="Arial" w:hAnsi="Arial" w:cs="Arial"/>
          <w:sz w:val="24"/>
          <w:szCs w:val="24"/>
        </w:rPr>
        <w:t xml:space="preserve"> defines “abuse of court process” as follows:-</w:t>
      </w:r>
    </w:p>
    <w:p w14:paraId="4B981880" w14:textId="10D6AF42" w:rsidR="001F2095" w:rsidRDefault="00822241" w:rsidP="003F0D2B">
      <w:pPr>
        <w:spacing w:line="360" w:lineRule="auto"/>
        <w:jc w:val="both"/>
        <w:rPr>
          <w:rFonts w:ascii="Arial" w:hAnsi="Arial" w:cs="Arial"/>
          <w:i/>
          <w:sz w:val="24"/>
          <w:szCs w:val="24"/>
        </w:rPr>
      </w:pPr>
      <w:r>
        <w:rPr>
          <w:rFonts w:ascii="Arial" w:hAnsi="Arial" w:cs="Arial"/>
          <w:i/>
          <w:sz w:val="24"/>
          <w:szCs w:val="24"/>
        </w:rPr>
        <w:t>“</w:t>
      </w:r>
      <w:r w:rsidR="001F2095">
        <w:rPr>
          <w:rFonts w:ascii="Arial" w:hAnsi="Arial" w:cs="Arial"/>
          <w:i/>
          <w:sz w:val="24"/>
          <w:szCs w:val="24"/>
        </w:rPr>
        <w:t xml:space="preserve">The terse but useful definition of abuse of civil </w:t>
      </w:r>
      <w:r w:rsidR="00023D5B">
        <w:rPr>
          <w:rFonts w:ascii="Arial" w:hAnsi="Arial" w:cs="Arial"/>
          <w:i/>
          <w:sz w:val="24"/>
          <w:szCs w:val="24"/>
        </w:rPr>
        <w:t>process is</w:t>
      </w:r>
      <w:r w:rsidR="001F2095">
        <w:rPr>
          <w:rFonts w:ascii="Arial" w:hAnsi="Arial" w:cs="Arial"/>
          <w:i/>
          <w:sz w:val="24"/>
          <w:szCs w:val="24"/>
        </w:rPr>
        <w:t xml:space="preserve"> to be found in the judgment of Isaacs J in the Australia High Court case of Varawa v Howards Smith Co Ltd </w:t>
      </w:r>
      <w:r>
        <w:rPr>
          <w:rFonts w:ascii="Arial" w:hAnsi="Arial" w:cs="Arial"/>
          <w:i/>
          <w:sz w:val="24"/>
          <w:szCs w:val="24"/>
        </w:rPr>
        <w:t>V</w:t>
      </w:r>
      <w:r w:rsidR="001F2095">
        <w:rPr>
          <w:rFonts w:ascii="Arial" w:hAnsi="Arial" w:cs="Arial"/>
          <w:i/>
          <w:sz w:val="24"/>
          <w:szCs w:val="24"/>
        </w:rPr>
        <w:t xml:space="preserve">ol 13 CLR (1911) 35 at 91: </w:t>
      </w:r>
    </w:p>
    <w:p w14:paraId="0E90BE21" w14:textId="50DF921F" w:rsidR="001F2095" w:rsidRDefault="00A144FF" w:rsidP="003F0D2B">
      <w:pPr>
        <w:spacing w:line="360" w:lineRule="auto"/>
        <w:jc w:val="both"/>
        <w:rPr>
          <w:rFonts w:ascii="Arial" w:hAnsi="Arial" w:cs="Arial"/>
          <w:i/>
          <w:sz w:val="24"/>
          <w:szCs w:val="24"/>
        </w:rPr>
      </w:pPr>
      <w:r>
        <w:rPr>
          <w:rFonts w:ascii="Arial" w:hAnsi="Arial" w:cs="Arial"/>
          <w:i/>
          <w:sz w:val="24"/>
          <w:szCs w:val="24"/>
        </w:rPr>
        <w:t>‘</w:t>
      </w:r>
      <w:r w:rsidR="001F2095">
        <w:rPr>
          <w:rFonts w:ascii="Arial" w:hAnsi="Arial" w:cs="Arial"/>
          <w:i/>
          <w:sz w:val="24"/>
          <w:szCs w:val="24"/>
        </w:rPr>
        <w:t>… the term ‘abuse of process’ co</w:t>
      </w:r>
      <w:r>
        <w:rPr>
          <w:rFonts w:ascii="Arial" w:hAnsi="Arial" w:cs="Arial"/>
          <w:i/>
          <w:sz w:val="24"/>
          <w:szCs w:val="24"/>
        </w:rPr>
        <w:t xml:space="preserve">nnotes </w:t>
      </w:r>
      <w:r w:rsidR="001F2095">
        <w:rPr>
          <w:rFonts w:ascii="Arial" w:hAnsi="Arial" w:cs="Arial"/>
          <w:i/>
          <w:sz w:val="24"/>
          <w:szCs w:val="24"/>
        </w:rPr>
        <w:t>that the process is employed for some purpose other than the attainment of the claim in the action.  If the proceedings are merely a stalking – horse to coerce the defendant in some way entirely outside the ambit of the legal claim upon which the court is asked to adjudicate they are regarded as an abuse for this process…”</w:t>
      </w:r>
    </w:p>
    <w:p w14:paraId="68637AE1" w14:textId="1C9C041F" w:rsidR="001F2095" w:rsidRDefault="00CB4AED" w:rsidP="003F0D2B">
      <w:pPr>
        <w:spacing w:line="360" w:lineRule="auto"/>
        <w:jc w:val="both"/>
        <w:rPr>
          <w:rFonts w:ascii="Arial" w:hAnsi="Arial" w:cs="Arial"/>
          <w:sz w:val="24"/>
          <w:szCs w:val="24"/>
        </w:rPr>
      </w:pPr>
      <w:r>
        <w:rPr>
          <w:rFonts w:ascii="Arial" w:hAnsi="Arial" w:cs="Arial"/>
          <w:sz w:val="24"/>
          <w:szCs w:val="24"/>
        </w:rPr>
        <w:t>[70</w:t>
      </w:r>
      <w:r w:rsidR="001F2095">
        <w:rPr>
          <w:rFonts w:ascii="Arial" w:hAnsi="Arial" w:cs="Arial"/>
          <w:sz w:val="24"/>
          <w:szCs w:val="24"/>
        </w:rPr>
        <w:t>]</w:t>
      </w:r>
      <w:r w:rsidR="001F2095">
        <w:rPr>
          <w:rFonts w:ascii="Arial" w:hAnsi="Arial" w:cs="Arial"/>
          <w:sz w:val="24"/>
          <w:szCs w:val="24"/>
        </w:rPr>
        <w:tab/>
        <w:t xml:space="preserve">In </w:t>
      </w:r>
      <w:r w:rsidR="001F2095">
        <w:rPr>
          <w:rFonts w:ascii="Arial" w:hAnsi="Arial" w:cs="Arial"/>
          <w:i/>
          <w:sz w:val="24"/>
          <w:szCs w:val="24"/>
        </w:rPr>
        <w:t>Solomon v Magistrate, Pretoria and Another</w:t>
      </w:r>
      <w:r w:rsidR="001F2095">
        <w:rPr>
          <w:rStyle w:val="FootnoteReference"/>
          <w:rFonts w:ascii="Arial" w:hAnsi="Arial" w:cs="Arial"/>
          <w:i/>
          <w:sz w:val="24"/>
          <w:szCs w:val="24"/>
        </w:rPr>
        <w:footnoteReference w:id="8"/>
      </w:r>
      <w:r w:rsidR="001F2095">
        <w:rPr>
          <w:rFonts w:ascii="Arial" w:hAnsi="Arial" w:cs="Arial"/>
          <w:i/>
          <w:sz w:val="24"/>
          <w:szCs w:val="24"/>
        </w:rPr>
        <w:t xml:space="preserve"> </w:t>
      </w:r>
      <w:r w:rsidR="001F2095" w:rsidRPr="001F2095">
        <w:rPr>
          <w:rFonts w:ascii="Arial" w:hAnsi="Arial" w:cs="Arial"/>
          <w:sz w:val="24"/>
          <w:szCs w:val="24"/>
        </w:rPr>
        <w:t xml:space="preserve">it was held that the court has an inherent power to prevent abuse </w:t>
      </w:r>
      <w:r w:rsidR="00C80430">
        <w:rPr>
          <w:rFonts w:ascii="Arial" w:hAnsi="Arial" w:cs="Arial"/>
          <w:sz w:val="24"/>
          <w:szCs w:val="24"/>
        </w:rPr>
        <w:t>of its process by frivolous or vexatious proceedings.</w:t>
      </w:r>
    </w:p>
    <w:p w14:paraId="7DD57B97" w14:textId="3AA32086" w:rsidR="00C80430" w:rsidRDefault="00CB4AED" w:rsidP="003F0D2B">
      <w:pPr>
        <w:spacing w:line="360" w:lineRule="auto"/>
        <w:jc w:val="both"/>
        <w:rPr>
          <w:rFonts w:ascii="Arial" w:hAnsi="Arial" w:cs="Arial"/>
          <w:sz w:val="24"/>
          <w:szCs w:val="24"/>
        </w:rPr>
      </w:pPr>
      <w:r>
        <w:rPr>
          <w:rFonts w:ascii="Arial" w:hAnsi="Arial" w:cs="Arial"/>
          <w:sz w:val="24"/>
          <w:szCs w:val="24"/>
        </w:rPr>
        <w:t>[71</w:t>
      </w:r>
      <w:r w:rsidR="00C80430">
        <w:rPr>
          <w:rFonts w:ascii="Arial" w:hAnsi="Arial" w:cs="Arial"/>
          <w:sz w:val="24"/>
          <w:szCs w:val="24"/>
        </w:rPr>
        <w:t>]</w:t>
      </w:r>
      <w:r w:rsidR="00C80430">
        <w:rPr>
          <w:rFonts w:ascii="Arial" w:hAnsi="Arial" w:cs="Arial"/>
          <w:sz w:val="24"/>
          <w:szCs w:val="24"/>
        </w:rPr>
        <w:tab/>
        <w:t>Where the court finds an attempt made to use for ulterior purposes machinery devised for the better administration of justice it is the court’s duty to prevent such abuse.  This power, however, is to be exercised with great caution and only in a clear case.</w:t>
      </w:r>
      <w:r w:rsidR="00C80430">
        <w:rPr>
          <w:rStyle w:val="FootnoteReference"/>
          <w:rFonts w:ascii="Arial" w:hAnsi="Arial" w:cs="Arial"/>
          <w:sz w:val="24"/>
          <w:szCs w:val="24"/>
        </w:rPr>
        <w:footnoteReference w:id="9"/>
      </w:r>
    </w:p>
    <w:p w14:paraId="5C62925C" w14:textId="2EA576CB" w:rsidR="000C58E6" w:rsidRDefault="00CB4AED" w:rsidP="003F0D2B">
      <w:pPr>
        <w:spacing w:line="360" w:lineRule="auto"/>
        <w:jc w:val="both"/>
        <w:rPr>
          <w:rFonts w:ascii="Arial" w:hAnsi="Arial" w:cs="Arial"/>
          <w:sz w:val="24"/>
          <w:szCs w:val="24"/>
        </w:rPr>
      </w:pPr>
      <w:r>
        <w:rPr>
          <w:rFonts w:ascii="Arial" w:hAnsi="Arial" w:cs="Arial"/>
          <w:sz w:val="24"/>
          <w:szCs w:val="24"/>
        </w:rPr>
        <w:t>[72</w:t>
      </w:r>
      <w:r w:rsidR="00C80430">
        <w:rPr>
          <w:rFonts w:ascii="Arial" w:hAnsi="Arial" w:cs="Arial"/>
          <w:sz w:val="24"/>
          <w:szCs w:val="24"/>
        </w:rPr>
        <w:t>]</w:t>
      </w:r>
      <w:r w:rsidR="00C80430">
        <w:rPr>
          <w:rFonts w:ascii="Arial" w:hAnsi="Arial" w:cs="Arial"/>
          <w:sz w:val="24"/>
          <w:szCs w:val="24"/>
        </w:rPr>
        <w:tab/>
        <w:t>In the money lending business, prime objective of any lender is to ensure that monthly loan repayment commitments are met.</w:t>
      </w:r>
      <w:r w:rsidR="00814776">
        <w:rPr>
          <w:rFonts w:ascii="Arial" w:hAnsi="Arial" w:cs="Arial"/>
          <w:sz w:val="24"/>
          <w:szCs w:val="24"/>
        </w:rPr>
        <w:t xml:space="preserve">  For as long as that objective is met, hardly any lender would bring a borrower before the court to accelerate full loan repayment on the basis that some other municipal</w:t>
      </w:r>
      <w:r w:rsidR="000C58E6">
        <w:rPr>
          <w:rFonts w:ascii="Arial" w:hAnsi="Arial" w:cs="Arial"/>
          <w:sz w:val="24"/>
          <w:szCs w:val="24"/>
        </w:rPr>
        <w:t xml:space="preserve"> charges have not been paid.</w:t>
      </w:r>
      <w:r w:rsidR="00A144FF">
        <w:rPr>
          <w:rFonts w:ascii="Arial" w:hAnsi="Arial" w:cs="Arial"/>
          <w:sz w:val="24"/>
          <w:szCs w:val="24"/>
        </w:rPr>
        <w:t xml:space="preserve"> This is a strange case indeed because the applicant does concede that, except two short payments in May and June 2020 made during the state of disaster declared by the head of State due to Covid-19, all other subsequent payments were made and are up to date. This court fails to understand why </w:t>
      </w:r>
      <w:r w:rsidR="00182270">
        <w:rPr>
          <w:rFonts w:ascii="Arial" w:hAnsi="Arial" w:cs="Arial"/>
          <w:sz w:val="24"/>
          <w:szCs w:val="24"/>
        </w:rPr>
        <w:t>would a lender under these circumstances would want to pull the plug.</w:t>
      </w:r>
    </w:p>
    <w:p w14:paraId="29338737" w14:textId="52B035C1" w:rsidR="00C80430" w:rsidRDefault="000C58E6" w:rsidP="003F0D2B">
      <w:pPr>
        <w:spacing w:line="360" w:lineRule="auto"/>
        <w:jc w:val="both"/>
        <w:rPr>
          <w:rFonts w:ascii="Arial" w:hAnsi="Arial" w:cs="Arial"/>
          <w:sz w:val="24"/>
          <w:szCs w:val="24"/>
        </w:rPr>
      </w:pPr>
      <w:r>
        <w:rPr>
          <w:rFonts w:ascii="Arial" w:hAnsi="Arial" w:cs="Arial"/>
          <w:sz w:val="24"/>
          <w:szCs w:val="24"/>
        </w:rPr>
        <w:t>[</w:t>
      </w:r>
      <w:r w:rsidR="00CB4AED">
        <w:rPr>
          <w:rFonts w:ascii="Arial" w:hAnsi="Arial" w:cs="Arial"/>
          <w:sz w:val="24"/>
          <w:szCs w:val="24"/>
        </w:rPr>
        <w:t>73</w:t>
      </w:r>
      <w:r>
        <w:rPr>
          <w:rFonts w:ascii="Arial" w:hAnsi="Arial" w:cs="Arial"/>
          <w:sz w:val="24"/>
          <w:szCs w:val="24"/>
        </w:rPr>
        <w:t>]</w:t>
      </w:r>
      <w:r>
        <w:rPr>
          <w:rFonts w:ascii="Arial" w:hAnsi="Arial" w:cs="Arial"/>
          <w:sz w:val="24"/>
          <w:szCs w:val="24"/>
        </w:rPr>
        <w:tab/>
        <w:t>In the instant case, the applicant has a P</w:t>
      </w:r>
      <w:r w:rsidR="0040364B">
        <w:rPr>
          <w:rFonts w:ascii="Arial" w:hAnsi="Arial" w:cs="Arial"/>
          <w:sz w:val="24"/>
          <w:szCs w:val="24"/>
        </w:rPr>
        <w:t>IN</w:t>
      </w:r>
      <w:r>
        <w:rPr>
          <w:rFonts w:ascii="Arial" w:hAnsi="Arial" w:cs="Arial"/>
          <w:sz w:val="24"/>
          <w:szCs w:val="24"/>
        </w:rPr>
        <w:t xml:space="preserve"> in terms of which it is able to access the City of Johannesburg statements that are sent to the first respondent on public utility </w:t>
      </w:r>
      <w:r>
        <w:rPr>
          <w:rFonts w:ascii="Arial" w:hAnsi="Arial" w:cs="Arial"/>
          <w:sz w:val="24"/>
          <w:szCs w:val="24"/>
        </w:rPr>
        <w:lastRenderedPageBreak/>
        <w:t xml:space="preserve">charges.  It is obvious that armed with that information together with its engagement of both City of Johannesburg </w:t>
      </w:r>
      <w:r w:rsidR="0040364B">
        <w:rPr>
          <w:rFonts w:ascii="Arial" w:hAnsi="Arial" w:cs="Arial"/>
          <w:sz w:val="24"/>
          <w:szCs w:val="24"/>
        </w:rPr>
        <w:t>B</w:t>
      </w:r>
      <w:r>
        <w:rPr>
          <w:rFonts w:ascii="Arial" w:hAnsi="Arial" w:cs="Arial"/>
          <w:sz w:val="24"/>
          <w:szCs w:val="24"/>
        </w:rPr>
        <w:t xml:space="preserve">illing </w:t>
      </w:r>
      <w:r w:rsidR="0040364B">
        <w:rPr>
          <w:rFonts w:ascii="Arial" w:hAnsi="Arial" w:cs="Arial"/>
          <w:sz w:val="24"/>
          <w:szCs w:val="24"/>
        </w:rPr>
        <w:t>D</w:t>
      </w:r>
      <w:r>
        <w:rPr>
          <w:rFonts w:ascii="Arial" w:hAnsi="Arial" w:cs="Arial"/>
          <w:sz w:val="24"/>
          <w:szCs w:val="24"/>
        </w:rPr>
        <w:t>epartment</w:t>
      </w:r>
      <w:r w:rsidR="0040364B">
        <w:rPr>
          <w:rFonts w:ascii="Arial" w:hAnsi="Arial" w:cs="Arial"/>
          <w:sz w:val="24"/>
          <w:szCs w:val="24"/>
        </w:rPr>
        <w:t xml:space="preserve"> the challenges faced by the first respondent with the billing queries should be manifest</w:t>
      </w:r>
      <w:r>
        <w:rPr>
          <w:rFonts w:ascii="Arial" w:hAnsi="Arial" w:cs="Arial"/>
          <w:sz w:val="24"/>
          <w:szCs w:val="24"/>
        </w:rPr>
        <w:t>.</w:t>
      </w:r>
      <w:r w:rsidR="0040364B">
        <w:rPr>
          <w:rFonts w:ascii="Arial" w:hAnsi="Arial" w:cs="Arial"/>
          <w:sz w:val="24"/>
          <w:szCs w:val="24"/>
        </w:rPr>
        <w:t xml:space="preserve"> </w:t>
      </w:r>
      <w:r>
        <w:rPr>
          <w:rFonts w:ascii="Arial" w:hAnsi="Arial" w:cs="Arial"/>
          <w:sz w:val="24"/>
          <w:szCs w:val="24"/>
        </w:rPr>
        <w:t xml:space="preserve"> </w:t>
      </w:r>
    </w:p>
    <w:p w14:paraId="37FE9709" w14:textId="7B459095" w:rsidR="000C58E6" w:rsidRDefault="00CB4AED" w:rsidP="003F0D2B">
      <w:pPr>
        <w:spacing w:line="360" w:lineRule="auto"/>
        <w:jc w:val="both"/>
        <w:rPr>
          <w:rFonts w:ascii="Arial" w:hAnsi="Arial" w:cs="Arial"/>
          <w:sz w:val="24"/>
          <w:szCs w:val="24"/>
        </w:rPr>
      </w:pPr>
      <w:r>
        <w:rPr>
          <w:rFonts w:ascii="Arial" w:hAnsi="Arial" w:cs="Arial"/>
          <w:sz w:val="24"/>
          <w:szCs w:val="24"/>
        </w:rPr>
        <w:t>[74</w:t>
      </w:r>
      <w:r w:rsidR="000C58E6">
        <w:rPr>
          <w:rFonts w:ascii="Arial" w:hAnsi="Arial" w:cs="Arial"/>
          <w:sz w:val="24"/>
          <w:szCs w:val="24"/>
        </w:rPr>
        <w:t>]</w:t>
      </w:r>
      <w:r w:rsidR="000C58E6">
        <w:rPr>
          <w:rFonts w:ascii="Arial" w:hAnsi="Arial" w:cs="Arial"/>
          <w:sz w:val="24"/>
          <w:szCs w:val="24"/>
        </w:rPr>
        <w:tab/>
        <w:t>The billing crisis in the City of Johannesburg is well documented.  The applicant is aware that the first respondent has a court order forcing the City of Johannesburg to debate the account with the first respondent due to the many challenges related to the accounts.</w:t>
      </w:r>
    </w:p>
    <w:p w14:paraId="09FAE05C" w14:textId="16821757" w:rsidR="000C58E6" w:rsidRDefault="00CB4AED" w:rsidP="003F0D2B">
      <w:pPr>
        <w:spacing w:line="360" w:lineRule="auto"/>
        <w:jc w:val="both"/>
        <w:rPr>
          <w:rFonts w:ascii="Arial" w:hAnsi="Arial" w:cs="Arial"/>
          <w:sz w:val="24"/>
          <w:szCs w:val="24"/>
        </w:rPr>
      </w:pPr>
      <w:r>
        <w:rPr>
          <w:rFonts w:ascii="Arial" w:hAnsi="Arial" w:cs="Arial"/>
          <w:sz w:val="24"/>
          <w:szCs w:val="24"/>
        </w:rPr>
        <w:t>[75</w:t>
      </w:r>
      <w:r w:rsidR="000C58E6">
        <w:rPr>
          <w:rFonts w:ascii="Arial" w:hAnsi="Arial" w:cs="Arial"/>
          <w:sz w:val="24"/>
          <w:szCs w:val="24"/>
        </w:rPr>
        <w:t>]</w:t>
      </w:r>
      <w:r w:rsidR="000C58E6">
        <w:rPr>
          <w:rFonts w:ascii="Arial" w:hAnsi="Arial" w:cs="Arial"/>
          <w:sz w:val="24"/>
          <w:szCs w:val="24"/>
        </w:rPr>
        <w:tab/>
        <w:t xml:space="preserve">It is absurd for the applicant to insist on the payment on behalf of the City of Johannesburg when the </w:t>
      </w:r>
      <w:r w:rsidR="0040364B">
        <w:rPr>
          <w:rFonts w:ascii="Arial" w:hAnsi="Arial" w:cs="Arial"/>
          <w:sz w:val="24"/>
          <w:szCs w:val="24"/>
        </w:rPr>
        <w:t>la</w:t>
      </w:r>
      <w:r w:rsidR="000C58E6">
        <w:rPr>
          <w:rFonts w:ascii="Arial" w:hAnsi="Arial" w:cs="Arial"/>
          <w:sz w:val="24"/>
          <w:szCs w:val="24"/>
        </w:rPr>
        <w:t>tter is not asserting its rights due to challenges it has with its billing system.  To press the first respondent to pay the charges that are clearly challenged</w:t>
      </w:r>
      <w:r w:rsidR="0040364B">
        <w:rPr>
          <w:rFonts w:ascii="Arial" w:hAnsi="Arial" w:cs="Arial"/>
          <w:sz w:val="24"/>
          <w:szCs w:val="24"/>
        </w:rPr>
        <w:t xml:space="preserve"> and the subject of litigation,</w:t>
      </w:r>
      <w:r w:rsidR="000C58E6">
        <w:rPr>
          <w:rFonts w:ascii="Arial" w:hAnsi="Arial" w:cs="Arial"/>
          <w:sz w:val="24"/>
          <w:szCs w:val="24"/>
        </w:rPr>
        <w:t xml:space="preserve"> clearly amounts to abuse especially when regard is had that the first respondent meets its monthly loan repayment obligations.  It would be </w:t>
      </w:r>
      <w:r w:rsidR="00376174">
        <w:rPr>
          <w:rFonts w:ascii="Arial" w:hAnsi="Arial" w:cs="Arial"/>
          <w:sz w:val="24"/>
          <w:szCs w:val="24"/>
        </w:rPr>
        <w:t xml:space="preserve">a different scenario, in my respective view, if the first respondent was clearly </w:t>
      </w:r>
      <w:r w:rsidR="006F5FDF">
        <w:rPr>
          <w:rFonts w:ascii="Arial" w:hAnsi="Arial" w:cs="Arial"/>
          <w:sz w:val="24"/>
          <w:szCs w:val="24"/>
        </w:rPr>
        <w:t>in arrear</w:t>
      </w:r>
      <w:r w:rsidR="0040364B">
        <w:rPr>
          <w:rFonts w:ascii="Arial" w:hAnsi="Arial" w:cs="Arial"/>
          <w:sz w:val="24"/>
          <w:szCs w:val="24"/>
        </w:rPr>
        <w:t>s</w:t>
      </w:r>
      <w:r w:rsidR="006F5FDF">
        <w:rPr>
          <w:rFonts w:ascii="Arial" w:hAnsi="Arial" w:cs="Arial"/>
          <w:sz w:val="24"/>
          <w:szCs w:val="24"/>
        </w:rPr>
        <w:t xml:space="preserve"> with </w:t>
      </w:r>
      <w:r w:rsidR="0040364B">
        <w:rPr>
          <w:rFonts w:ascii="Arial" w:hAnsi="Arial" w:cs="Arial"/>
          <w:sz w:val="24"/>
          <w:szCs w:val="24"/>
        </w:rPr>
        <w:t>its</w:t>
      </w:r>
      <w:r w:rsidR="006F5FDF">
        <w:rPr>
          <w:rFonts w:ascii="Arial" w:hAnsi="Arial" w:cs="Arial"/>
          <w:sz w:val="24"/>
          <w:szCs w:val="24"/>
        </w:rPr>
        <w:t xml:space="preserve"> utility charges accounts which were not the subject of a court process initiated by the first respondent</w:t>
      </w:r>
      <w:r w:rsidR="0040364B">
        <w:rPr>
          <w:rFonts w:ascii="Arial" w:hAnsi="Arial" w:cs="Arial"/>
          <w:sz w:val="24"/>
          <w:szCs w:val="24"/>
        </w:rPr>
        <w:t>.</w:t>
      </w:r>
      <w:r w:rsidR="006F5FDF">
        <w:rPr>
          <w:rFonts w:ascii="Arial" w:hAnsi="Arial" w:cs="Arial"/>
          <w:sz w:val="24"/>
          <w:szCs w:val="24"/>
        </w:rPr>
        <w:t xml:space="preserve"> </w:t>
      </w:r>
      <w:r w:rsidR="0040364B">
        <w:rPr>
          <w:rFonts w:ascii="Arial" w:hAnsi="Arial" w:cs="Arial"/>
          <w:sz w:val="24"/>
          <w:szCs w:val="24"/>
        </w:rPr>
        <w:t>P</w:t>
      </w:r>
      <w:r w:rsidR="006F5FDF">
        <w:rPr>
          <w:rFonts w:ascii="Arial" w:hAnsi="Arial" w:cs="Arial"/>
          <w:sz w:val="24"/>
          <w:szCs w:val="24"/>
        </w:rPr>
        <w:t xml:space="preserve">ut differently, if the City of Johannesburg had </w:t>
      </w:r>
      <w:r w:rsidR="0040364B">
        <w:rPr>
          <w:rFonts w:ascii="Arial" w:hAnsi="Arial" w:cs="Arial"/>
          <w:sz w:val="24"/>
          <w:szCs w:val="24"/>
        </w:rPr>
        <w:t>initiated</w:t>
      </w:r>
      <w:r w:rsidR="006F5FDF">
        <w:rPr>
          <w:rFonts w:ascii="Arial" w:hAnsi="Arial" w:cs="Arial"/>
          <w:sz w:val="24"/>
          <w:szCs w:val="24"/>
        </w:rPr>
        <w:t xml:space="preserve"> </w:t>
      </w:r>
      <w:r w:rsidR="0040364B">
        <w:rPr>
          <w:rFonts w:ascii="Arial" w:hAnsi="Arial" w:cs="Arial"/>
          <w:sz w:val="24"/>
          <w:szCs w:val="24"/>
        </w:rPr>
        <w:t>the</w:t>
      </w:r>
      <w:r w:rsidR="006F5FDF">
        <w:rPr>
          <w:rFonts w:ascii="Arial" w:hAnsi="Arial" w:cs="Arial"/>
          <w:sz w:val="24"/>
          <w:szCs w:val="24"/>
        </w:rPr>
        <w:t xml:space="preserve"> recovery court process against the first respondent with no defence by the latter, then of course</w:t>
      </w:r>
      <w:r w:rsidR="0040364B">
        <w:rPr>
          <w:rFonts w:ascii="Arial" w:hAnsi="Arial" w:cs="Arial"/>
          <w:sz w:val="24"/>
          <w:szCs w:val="24"/>
        </w:rPr>
        <w:t>,</w:t>
      </w:r>
      <w:r w:rsidR="006F5FDF">
        <w:rPr>
          <w:rFonts w:ascii="Arial" w:hAnsi="Arial" w:cs="Arial"/>
          <w:sz w:val="24"/>
          <w:szCs w:val="24"/>
        </w:rPr>
        <w:t xml:space="preserve"> the applicant would be entitled to invoke the terms of the loan agreement as a ground for breach thereof.</w:t>
      </w:r>
      <w:r w:rsidR="0040364B">
        <w:rPr>
          <w:rFonts w:ascii="Arial" w:hAnsi="Arial" w:cs="Arial"/>
          <w:sz w:val="24"/>
          <w:szCs w:val="24"/>
        </w:rPr>
        <w:t xml:space="preserve"> In such a scenario, the applicant would clearly be acting within the tenor of the agreement and would correctly be entitled to accelerate the full loan repayment.</w:t>
      </w:r>
    </w:p>
    <w:p w14:paraId="3E5205AF" w14:textId="59B87E95" w:rsidR="006F5FDF" w:rsidRDefault="006F5FDF" w:rsidP="003F0D2B">
      <w:pPr>
        <w:spacing w:line="360" w:lineRule="auto"/>
        <w:jc w:val="both"/>
        <w:rPr>
          <w:rFonts w:ascii="Arial" w:hAnsi="Arial" w:cs="Arial"/>
          <w:sz w:val="24"/>
          <w:szCs w:val="24"/>
        </w:rPr>
      </w:pPr>
      <w:r>
        <w:rPr>
          <w:rFonts w:ascii="Arial" w:hAnsi="Arial" w:cs="Arial"/>
          <w:sz w:val="24"/>
          <w:szCs w:val="24"/>
        </w:rPr>
        <w:t>[</w:t>
      </w:r>
      <w:r w:rsidR="00CB4AED">
        <w:rPr>
          <w:rFonts w:ascii="Arial" w:hAnsi="Arial" w:cs="Arial"/>
          <w:sz w:val="24"/>
          <w:szCs w:val="24"/>
        </w:rPr>
        <w:t>76</w:t>
      </w:r>
      <w:r>
        <w:rPr>
          <w:rFonts w:ascii="Arial" w:hAnsi="Arial" w:cs="Arial"/>
          <w:sz w:val="24"/>
          <w:szCs w:val="24"/>
        </w:rPr>
        <w:t>]</w:t>
      </w:r>
      <w:r>
        <w:rPr>
          <w:rFonts w:ascii="Arial" w:hAnsi="Arial" w:cs="Arial"/>
          <w:sz w:val="24"/>
          <w:szCs w:val="24"/>
        </w:rPr>
        <w:tab/>
        <w:t xml:space="preserve">I am of the view therefore that the litigation initiated by the applicant against the respondent is designed to exhaust and </w:t>
      </w:r>
      <w:r w:rsidR="00D77A9F">
        <w:rPr>
          <w:rFonts w:ascii="Arial" w:hAnsi="Arial" w:cs="Arial"/>
          <w:sz w:val="24"/>
          <w:szCs w:val="24"/>
        </w:rPr>
        <w:t>paralyze</w:t>
      </w:r>
      <w:r>
        <w:rPr>
          <w:rFonts w:ascii="Arial" w:hAnsi="Arial" w:cs="Arial"/>
          <w:sz w:val="24"/>
          <w:szCs w:val="24"/>
        </w:rPr>
        <w:t xml:space="preserve"> them through a court process so that the applicant can exit its relationship with the respondents.</w:t>
      </w:r>
    </w:p>
    <w:p w14:paraId="33A3060B" w14:textId="5090F352" w:rsidR="00926361" w:rsidRPr="00D77A9F" w:rsidRDefault="006F5FDF" w:rsidP="003F0D2B">
      <w:pPr>
        <w:spacing w:line="360" w:lineRule="auto"/>
        <w:jc w:val="both"/>
        <w:rPr>
          <w:rFonts w:ascii="Arial" w:hAnsi="Arial" w:cs="Arial"/>
          <w:sz w:val="24"/>
          <w:szCs w:val="24"/>
        </w:rPr>
      </w:pPr>
      <w:r>
        <w:rPr>
          <w:rFonts w:ascii="Arial" w:hAnsi="Arial" w:cs="Arial"/>
          <w:sz w:val="24"/>
          <w:szCs w:val="24"/>
        </w:rPr>
        <w:t>[</w:t>
      </w:r>
      <w:r w:rsidR="00CB4AED">
        <w:rPr>
          <w:rFonts w:ascii="Arial" w:hAnsi="Arial" w:cs="Arial"/>
          <w:sz w:val="24"/>
          <w:szCs w:val="24"/>
        </w:rPr>
        <w:t>77</w:t>
      </w:r>
      <w:r>
        <w:rPr>
          <w:rFonts w:ascii="Arial" w:hAnsi="Arial" w:cs="Arial"/>
          <w:sz w:val="24"/>
          <w:szCs w:val="24"/>
        </w:rPr>
        <w:t>]</w:t>
      </w:r>
      <w:r>
        <w:rPr>
          <w:rFonts w:ascii="Arial" w:hAnsi="Arial" w:cs="Arial"/>
          <w:sz w:val="24"/>
          <w:szCs w:val="24"/>
        </w:rPr>
        <w:tab/>
      </w:r>
      <w:r w:rsidR="00D77A9F">
        <w:rPr>
          <w:rFonts w:ascii="Arial" w:hAnsi="Arial" w:cs="Arial"/>
          <w:sz w:val="24"/>
          <w:szCs w:val="24"/>
        </w:rPr>
        <w:t>The abuse of process must and will be stopped by this court.  It is therefore appropriate that an appropriate punitive cost order should follow.</w:t>
      </w:r>
    </w:p>
    <w:p w14:paraId="7E3FEF0B" w14:textId="45A3390A" w:rsidR="00935AC6" w:rsidRPr="00935AC6" w:rsidRDefault="00935AC6" w:rsidP="003F0D2B">
      <w:pPr>
        <w:spacing w:line="360" w:lineRule="auto"/>
        <w:jc w:val="both"/>
        <w:rPr>
          <w:rFonts w:ascii="Arial" w:hAnsi="Arial" w:cs="Arial"/>
          <w:b/>
          <w:sz w:val="24"/>
          <w:szCs w:val="24"/>
          <w:u w:val="single"/>
        </w:rPr>
      </w:pPr>
      <w:r>
        <w:rPr>
          <w:rFonts w:ascii="Arial" w:hAnsi="Arial" w:cs="Arial"/>
          <w:b/>
          <w:sz w:val="24"/>
          <w:szCs w:val="24"/>
          <w:u w:val="single"/>
        </w:rPr>
        <w:t xml:space="preserve">ORDER </w:t>
      </w:r>
    </w:p>
    <w:p w14:paraId="0C68B252" w14:textId="3E4C2E3D" w:rsidR="009C13B4" w:rsidRDefault="00CB4AED" w:rsidP="003F0D2B">
      <w:pPr>
        <w:spacing w:line="360" w:lineRule="auto"/>
        <w:jc w:val="both"/>
        <w:rPr>
          <w:rFonts w:ascii="Arial" w:hAnsi="Arial" w:cs="Arial"/>
          <w:sz w:val="24"/>
          <w:szCs w:val="24"/>
        </w:rPr>
      </w:pPr>
      <w:r>
        <w:rPr>
          <w:rFonts w:ascii="Arial" w:hAnsi="Arial" w:cs="Arial"/>
          <w:sz w:val="24"/>
          <w:szCs w:val="24"/>
        </w:rPr>
        <w:t>[78</w:t>
      </w:r>
      <w:r w:rsidR="00577CFD">
        <w:rPr>
          <w:rFonts w:ascii="Arial" w:hAnsi="Arial" w:cs="Arial"/>
          <w:sz w:val="24"/>
          <w:szCs w:val="24"/>
        </w:rPr>
        <w:t>]</w:t>
      </w:r>
      <w:r w:rsidR="00577CFD">
        <w:rPr>
          <w:rFonts w:ascii="Arial" w:hAnsi="Arial" w:cs="Arial"/>
          <w:sz w:val="24"/>
          <w:szCs w:val="24"/>
        </w:rPr>
        <w:tab/>
      </w:r>
      <w:r w:rsidR="00935AC6">
        <w:rPr>
          <w:rFonts w:ascii="Arial" w:hAnsi="Arial" w:cs="Arial"/>
          <w:sz w:val="24"/>
          <w:szCs w:val="24"/>
        </w:rPr>
        <w:t>The following order is made:</w:t>
      </w:r>
    </w:p>
    <w:p w14:paraId="4BA4C145" w14:textId="2AA807D3" w:rsidR="00D77A9F" w:rsidRDefault="00D77A9F"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application for relief in terms of the notice of motion is dismissed.</w:t>
      </w:r>
    </w:p>
    <w:p w14:paraId="0B40EA05" w14:textId="12B4D83A" w:rsidR="00D77A9F" w:rsidRDefault="00D77A9F" w:rsidP="003F0D2B">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applicant is ordered to pay costs at the scale between client and attorney.</w:t>
      </w:r>
    </w:p>
    <w:p w14:paraId="0C5B69FA" w14:textId="35AEE17C" w:rsidR="007F28E5" w:rsidRPr="007F28E5" w:rsidRDefault="007F28E5" w:rsidP="00355D4F">
      <w:pPr>
        <w:spacing w:line="360" w:lineRule="auto"/>
        <w:jc w:val="both"/>
        <w:rPr>
          <w:rFonts w:ascii="Arial" w:hAnsi="Arial" w:cs="Arial"/>
          <w:sz w:val="24"/>
          <w:szCs w:val="24"/>
        </w:rPr>
      </w:pPr>
    </w:p>
    <w:p w14:paraId="51CFC02F" w14:textId="77777777" w:rsidR="007F28E5" w:rsidRPr="007F28E5" w:rsidRDefault="007F28E5" w:rsidP="003F0D2B">
      <w:pPr>
        <w:spacing w:line="360" w:lineRule="auto"/>
        <w:jc w:val="both"/>
        <w:rPr>
          <w:rFonts w:ascii="Arial" w:hAnsi="Arial" w:cs="Arial"/>
          <w:b/>
          <w:sz w:val="24"/>
          <w:szCs w:val="24"/>
          <w:u w:val="single"/>
        </w:rPr>
      </w:pPr>
    </w:p>
    <w:p w14:paraId="07D3B0E2" w14:textId="26C49739" w:rsidR="0035010D" w:rsidRPr="00AC68AC" w:rsidRDefault="00023D5B" w:rsidP="00752D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043D09" w14:textId="77777777" w:rsidR="00752D47" w:rsidRPr="00AC68AC" w:rsidRDefault="00752D47" w:rsidP="00752D47">
      <w:pPr>
        <w:spacing w:after="0" w:line="240" w:lineRule="auto"/>
        <w:jc w:val="right"/>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31A63DFD" w14:textId="7AB5812E" w:rsidR="00752D47" w:rsidRPr="00AC68AC" w:rsidRDefault="000C73BA" w:rsidP="00752D47">
      <w:pPr>
        <w:spacing w:after="0" w:line="240" w:lineRule="auto"/>
        <w:jc w:val="right"/>
        <w:rPr>
          <w:rFonts w:ascii="Arial" w:hAnsi="Arial" w:cs="Arial"/>
          <w:b/>
          <w:bCs/>
          <w:sz w:val="24"/>
          <w:szCs w:val="24"/>
        </w:rPr>
      </w:pPr>
      <w:r w:rsidRPr="00AC68AC">
        <w:rPr>
          <w:rFonts w:ascii="Arial" w:hAnsi="Arial" w:cs="Arial"/>
          <w:b/>
          <w:bCs/>
          <w:sz w:val="24"/>
          <w:szCs w:val="24"/>
        </w:rPr>
        <w:t>M.</w:t>
      </w:r>
      <w:r w:rsidR="00EF677C">
        <w:rPr>
          <w:rFonts w:ascii="Arial" w:hAnsi="Arial" w:cs="Arial"/>
          <w:b/>
          <w:bCs/>
          <w:sz w:val="24"/>
          <w:szCs w:val="24"/>
        </w:rPr>
        <w:t>L.</w:t>
      </w:r>
      <w:r w:rsidRPr="00AC68AC">
        <w:rPr>
          <w:rFonts w:ascii="Arial" w:hAnsi="Arial" w:cs="Arial"/>
          <w:b/>
          <w:bCs/>
          <w:sz w:val="24"/>
          <w:szCs w:val="24"/>
        </w:rPr>
        <w:t xml:space="preserve"> SENYATSI</w:t>
      </w:r>
    </w:p>
    <w:p w14:paraId="51A4E3D5" w14:textId="77777777" w:rsidR="00752D47" w:rsidRPr="00AC68AC" w:rsidRDefault="00752D47" w:rsidP="00752D47">
      <w:pPr>
        <w:spacing w:after="0" w:line="240" w:lineRule="auto"/>
        <w:jc w:val="right"/>
        <w:rPr>
          <w:rFonts w:ascii="Arial" w:hAnsi="Arial" w:cs="Arial"/>
          <w:b/>
          <w:bCs/>
          <w:sz w:val="24"/>
          <w:szCs w:val="24"/>
        </w:rPr>
      </w:pPr>
      <w:r w:rsidRPr="00AC68AC">
        <w:rPr>
          <w:rFonts w:ascii="Arial" w:hAnsi="Arial" w:cs="Arial"/>
          <w:b/>
          <w:bCs/>
          <w:sz w:val="24"/>
          <w:szCs w:val="24"/>
        </w:rPr>
        <w:t>JUDGE OF THE HIGH COURT</w:t>
      </w:r>
    </w:p>
    <w:p w14:paraId="3DC542D0" w14:textId="6119E183" w:rsidR="00752D47" w:rsidRDefault="00752D47" w:rsidP="00752D47">
      <w:pPr>
        <w:spacing w:after="0" w:line="240" w:lineRule="auto"/>
        <w:jc w:val="both"/>
        <w:rPr>
          <w:rFonts w:ascii="Arial" w:hAnsi="Arial" w:cs="Arial"/>
          <w:sz w:val="24"/>
          <w:szCs w:val="24"/>
        </w:rPr>
      </w:pPr>
    </w:p>
    <w:p w14:paraId="38ED4385" w14:textId="2F90E3AD" w:rsidR="002637CD" w:rsidRDefault="002637CD" w:rsidP="00752D47">
      <w:pPr>
        <w:spacing w:after="0" w:line="240" w:lineRule="auto"/>
        <w:jc w:val="both"/>
        <w:rPr>
          <w:rFonts w:ascii="Arial" w:hAnsi="Arial" w:cs="Arial"/>
          <w:sz w:val="24"/>
          <w:szCs w:val="24"/>
        </w:rPr>
      </w:pPr>
    </w:p>
    <w:p w14:paraId="647B3212" w14:textId="77777777" w:rsidR="002637CD" w:rsidRPr="00AC68AC" w:rsidRDefault="002637CD" w:rsidP="00752D47">
      <w:pPr>
        <w:spacing w:after="0" w:line="240" w:lineRule="auto"/>
        <w:jc w:val="both"/>
        <w:rPr>
          <w:rFonts w:ascii="Arial" w:hAnsi="Arial" w:cs="Arial"/>
          <w:sz w:val="24"/>
          <w:szCs w:val="24"/>
        </w:rPr>
      </w:pPr>
    </w:p>
    <w:p w14:paraId="53A0F6A2" w14:textId="77777777" w:rsidR="00752D47" w:rsidRPr="00AC68AC" w:rsidRDefault="00752D47" w:rsidP="00752D47">
      <w:pPr>
        <w:spacing w:after="0" w:line="240" w:lineRule="auto"/>
        <w:jc w:val="both"/>
        <w:rPr>
          <w:rFonts w:ascii="Arial" w:hAnsi="Arial" w:cs="Arial"/>
          <w:sz w:val="24"/>
          <w:szCs w:val="24"/>
        </w:rPr>
      </w:pPr>
    </w:p>
    <w:p w14:paraId="2A5DE96E" w14:textId="77777777" w:rsidR="002419FE" w:rsidRPr="00AC68AC" w:rsidRDefault="002419FE" w:rsidP="00752D47">
      <w:pPr>
        <w:spacing w:after="0" w:line="240" w:lineRule="auto"/>
        <w:jc w:val="both"/>
        <w:rPr>
          <w:rFonts w:ascii="Arial" w:hAnsi="Arial" w:cs="Arial"/>
          <w:sz w:val="24"/>
          <w:szCs w:val="24"/>
        </w:rPr>
      </w:pPr>
    </w:p>
    <w:p w14:paraId="2A16D74F" w14:textId="57BB8B66"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Heard:</w:t>
      </w:r>
      <w:r w:rsidRPr="00AC68AC">
        <w:rPr>
          <w:rFonts w:ascii="Arial" w:hAnsi="Arial" w:cs="Arial"/>
          <w:sz w:val="24"/>
          <w:szCs w:val="24"/>
        </w:rPr>
        <w:tab/>
      </w:r>
      <w:r w:rsidR="00401E39">
        <w:rPr>
          <w:rFonts w:ascii="Arial" w:hAnsi="Arial" w:cs="Arial"/>
          <w:sz w:val="24"/>
          <w:szCs w:val="24"/>
        </w:rPr>
        <w:tab/>
      </w:r>
      <w:r w:rsidR="00775E07">
        <w:rPr>
          <w:rFonts w:ascii="Arial" w:hAnsi="Arial" w:cs="Arial"/>
          <w:sz w:val="24"/>
          <w:szCs w:val="24"/>
        </w:rPr>
        <w:tab/>
      </w:r>
      <w:r w:rsidR="00613A29">
        <w:rPr>
          <w:rFonts w:ascii="Arial" w:hAnsi="Arial" w:cs="Arial"/>
          <w:sz w:val="24"/>
          <w:szCs w:val="24"/>
        </w:rPr>
        <w:t>26 October 2021</w:t>
      </w:r>
      <w:r w:rsidR="00613A29">
        <w:rPr>
          <w:rFonts w:ascii="Arial" w:hAnsi="Arial" w:cs="Arial"/>
          <w:sz w:val="24"/>
          <w:szCs w:val="24"/>
        </w:rPr>
        <w:tab/>
      </w:r>
      <w:r w:rsidR="00775E07">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Pr="00AC68AC">
        <w:rPr>
          <w:rFonts w:ascii="Arial" w:hAnsi="Arial" w:cs="Arial"/>
          <w:sz w:val="24"/>
          <w:szCs w:val="24"/>
        </w:rPr>
        <w:tab/>
        <w:t xml:space="preserve"> </w:t>
      </w:r>
      <w:r w:rsidRPr="00AC68AC">
        <w:rPr>
          <w:rFonts w:ascii="Arial" w:hAnsi="Arial" w:cs="Arial"/>
          <w:sz w:val="24"/>
          <w:szCs w:val="24"/>
        </w:rPr>
        <w:tab/>
      </w:r>
      <w:r w:rsidRPr="00AC68AC">
        <w:rPr>
          <w:rFonts w:ascii="Arial" w:hAnsi="Arial" w:cs="Arial"/>
          <w:sz w:val="24"/>
          <w:szCs w:val="24"/>
        </w:rPr>
        <w:tab/>
      </w:r>
    </w:p>
    <w:p w14:paraId="494EC1B9" w14:textId="69D71939"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Judgment:</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613A29">
        <w:rPr>
          <w:rFonts w:ascii="Arial" w:hAnsi="Arial" w:cs="Arial"/>
          <w:sz w:val="24"/>
          <w:szCs w:val="24"/>
        </w:rPr>
        <w:t>27 May 2022</w:t>
      </w:r>
      <w:r w:rsidR="00401E39">
        <w:rPr>
          <w:rFonts w:ascii="Arial" w:hAnsi="Arial" w:cs="Arial"/>
          <w:sz w:val="24"/>
          <w:szCs w:val="24"/>
        </w:rPr>
        <w:tab/>
      </w:r>
      <w:r w:rsidR="00AA0FE9">
        <w:rPr>
          <w:rFonts w:ascii="Arial" w:hAnsi="Arial" w:cs="Arial"/>
          <w:sz w:val="24"/>
          <w:szCs w:val="24"/>
        </w:rPr>
        <w:tab/>
      </w:r>
      <w:r w:rsidRPr="00AC68AC">
        <w:rPr>
          <w:rFonts w:ascii="Arial" w:hAnsi="Arial" w:cs="Arial"/>
          <w:sz w:val="24"/>
          <w:szCs w:val="24"/>
        </w:rPr>
        <w:tab/>
      </w:r>
      <w:r w:rsidRPr="00AC68AC">
        <w:rPr>
          <w:rFonts w:ascii="Arial" w:hAnsi="Arial" w:cs="Arial"/>
          <w:sz w:val="24"/>
          <w:szCs w:val="24"/>
        </w:rPr>
        <w:tab/>
      </w:r>
    </w:p>
    <w:p w14:paraId="6D6AAFBE" w14:textId="282278B3"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 Applicant</w:t>
      </w:r>
      <w:r w:rsidR="00752D47" w:rsidRPr="00AC68AC">
        <w:rPr>
          <w:rFonts w:ascii="Arial" w:hAnsi="Arial" w:cs="Arial"/>
          <w:sz w:val="24"/>
          <w:szCs w:val="24"/>
        </w:rPr>
        <w:t>:</w:t>
      </w:r>
      <w:r w:rsidR="00935AC6">
        <w:rPr>
          <w:rFonts w:ascii="Arial" w:hAnsi="Arial" w:cs="Arial"/>
          <w:sz w:val="24"/>
          <w:szCs w:val="24"/>
        </w:rPr>
        <w:tab/>
      </w:r>
      <w:r w:rsidR="00613A29">
        <w:rPr>
          <w:rFonts w:ascii="Arial" w:hAnsi="Arial" w:cs="Arial"/>
          <w:sz w:val="24"/>
          <w:szCs w:val="24"/>
        </w:rPr>
        <w:t>Adv L Peter</w:t>
      </w:r>
      <w:r w:rsidR="00935AC6">
        <w:rPr>
          <w:rFonts w:ascii="Arial" w:hAnsi="Arial" w:cs="Arial"/>
          <w:sz w:val="24"/>
          <w:szCs w:val="24"/>
        </w:rPr>
        <w:tab/>
      </w:r>
      <w:r w:rsidR="00752D47" w:rsidRPr="00AC68AC">
        <w:rPr>
          <w:rFonts w:ascii="Arial" w:hAnsi="Arial" w:cs="Arial"/>
          <w:sz w:val="24"/>
          <w:szCs w:val="24"/>
        </w:rPr>
        <w:tab/>
      </w:r>
      <w:r w:rsidR="00752D47" w:rsidRPr="00AC68AC">
        <w:rPr>
          <w:rFonts w:ascii="Arial" w:hAnsi="Arial" w:cs="Arial"/>
          <w:sz w:val="24"/>
          <w:szCs w:val="24"/>
        </w:rPr>
        <w:tab/>
      </w:r>
    </w:p>
    <w:p w14:paraId="30E50E8D" w14:textId="6D75CC3C" w:rsidR="00752D47" w:rsidRPr="00AC68AC" w:rsidRDefault="00752D47" w:rsidP="00752D47">
      <w:pPr>
        <w:spacing w:after="0" w:line="240" w:lineRule="auto"/>
        <w:ind w:left="2880" w:hanging="2880"/>
        <w:jc w:val="both"/>
        <w:rPr>
          <w:rFonts w:ascii="Arial" w:hAnsi="Arial" w:cs="Arial"/>
          <w:sz w:val="24"/>
          <w:szCs w:val="24"/>
        </w:rPr>
      </w:pPr>
      <w:r w:rsidRPr="00AC68AC">
        <w:rPr>
          <w:rFonts w:ascii="Arial" w:hAnsi="Arial" w:cs="Arial"/>
          <w:sz w:val="24"/>
          <w:szCs w:val="24"/>
        </w:rPr>
        <w:t xml:space="preserve">Instructed by:              </w:t>
      </w:r>
      <w:r w:rsidRPr="00AC68AC">
        <w:rPr>
          <w:rFonts w:ascii="Arial" w:hAnsi="Arial" w:cs="Arial"/>
          <w:sz w:val="24"/>
          <w:szCs w:val="24"/>
        </w:rPr>
        <w:tab/>
      </w:r>
      <w:r w:rsidR="00613A29">
        <w:rPr>
          <w:rFonts w:ascii="Arial" w:hAnsi="Arial" w:cs="Arial"/>
          <w:sz w:val="24"/>
          <w:szCs w:val="24"/>
        </w:rPr>
        <w:t>S</w:t>
      </w:r>
      <w:r w:rsidR="00023D5B">
        <w:rPr>
          <w:rFonts w:ascii="Arial" w:hAnsi="Arial" w:cs="Arial"/>
          <w:sz w:val="24"/>
          <w:szCs w:val="24"/>
        </w:rPr>
        <w:t>c</w:t>
      </w:r>
      <w:r w:rsidR="00613A29">
        <w:rPr>
          <w:rFonts w:ascii="Arial" w:hAnsi="Arial" w:cs="Arial"/>
          <w:sz w:val="24"/>
          <w:szCs w:val="24"/>
        </w:rPr>
        <w:t>hindlers Attorneys</w:t>
      </w:r>
    </w:p>
    <w:p w14:paraId="5E6BFAE2" w14:textId="2DFDE900"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 Respondent</w:t>
      </w:r>
      <w:r w:rsidR="00752D47" w:rsidRPr="00AC68AC">
        <w:rPr>
          <w:rFonts w:ascii="Arial" w:hAnsi="Arial" w:cs="Arial"/>
          <w:sz w:val="24"/>
          <w:szCs w:val="24"/>
        </w:rPr>
        <w:t>:</w:t>
      </w:r>
      <w:r w:rsidR="00752D47" w:rsidRPr="00AC68AC">
        <w:rPr>
          <w:rFonts w:ascii="Arial" w:hAnsi="Arial" w:cs="Arial"/>
          <w:sz w:val="24"/>
          <w:szCs w:val="24"/>
        </w:rPr>
        <w:tab/>
      </w:r>
      <w:r w:rsidR="00613A29">
        <w:rPr>
          <w:rFonts w:ascii="Arial" w:hAnsi="Arial" w:cs="Arial"/>
          <w:sz w:val="24"/>
          <w:szCs w:val="24"/>
        </w:rPr>
        <w:t>Adv M De Oliveira</w:t>
      </w:r>
      <w:r w:rsidR="00752D47" w:rsidRPr="00AC68AC">
        <w:rPr>
          <w:rFonts w:ascii="Arial" w:hAnsi="Arial" w:cs="Arial"/>
          <w:sz w:val="24"/>
          <w:szCs w:val="24"/>
        </w:rPr>
        <w:tab/>
      </w:r>
    </w:p>
    <w:p w14:paraId="5F3AF9C2" w14:textId="4EDA94ED" w:rsidR="00752D47" w:rsidRPr="00AC68AC" w:rsidRDefault="00752D47" w:rsidP="00401E39">
      <w:pPr>
        <w:spacing w:after="0" w:line="240" w:lineRule="auto"/>
        <w:ind w:left="3600" w:hanging="3600"/>
        <w:jc w:val="both"/>
        <w:rPr>
          <w:rFonts w:ascii="Arial" w:hAnsi="Arial" w:cs="Arial"/>
          <w:sz w:val="24"/>
          <w:szCs w:val="24"/>
        </w:rPr>
      </w:pPr>
      <w:r w:rsidRPr="00AC68AC">
        <w:rPr>
          <w:rFonts w:ascii="Arial" w:hAnsi="Arial" w:cs="Arial"/>
          <w:sz w:val="24"/>
          <w:szCs w:val="24"/>
        </w:rPr>
        <w:t>Instructed by:</w:t>
      </w:r>
      <w:r w:rsidR="00613A29">
        <w:rPr>
          <w:rFonts w:ascii="Arial" w:hAnsi="Arial" w:cs="Arial"/>
          <w:sz w:val="24"/>
          <w:szCs w:val="24"/>
        </w:rPr>
        <w:t xml:space="preserve">                     Gavin Simpson Attorneys,  </w:t>
      </w:r>
      <w:r w:rsidR="00613A29">
        <w:rPr>
          <w:rFonts w:ascii="Arial" w:hAnsi="Arial" w:cs="Arial"/>
          <w:sz w:val="24"/>
          <w:szCs w:val="24"/>
        </w:rPr>
        <w:tab/>
      </w:r>
      <w:r w:rsidRPr="00AC68AC">
        <w:rPr>
          <w:rFonts w:ascii="Arial" w:hAnsi="Arial" w:cs="Arial"/>
          <w:sz w:val="24"/>
          <w:szCs w:val="24"/>
        </w:rPr>
        <w:tab/>
      </w:r>
    </w:p>
    <w:sectPr w:rsidR="00752D47" w:rsidRPr="00AC68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7373" w14:textId="77777777" w:rsidR="00D3107A" w:rsidRDefault="00D3107A" w:rsidP="00BF1D23">
      <w:pPr>
        <w:spacing w:after="0" w:line="240" w:lineRule="auto"/>
      </w:pPr>
      <w:r>
        <w:separator/>
      </w:r>
    </w:p>
  </w:endnote>
  <w:endnote w:type="continuationSeparator" w:id="0">
    <w:p w14:paraId="28C2915A" w14:textId="77777777" w:rsidR="00D3107A" w:rsidRDefault="00D3107A" w:rsidP="00BF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35021"/>
      <w:docPartObj>
        <w:docPartGallery w:val="Page Numbers (Bottom of Page)"/>
        <w:docPartUnique/>
      </w:docPartObj>
    </w:sdtPr>
    <w:sdtEndPr>
      <w:rPr>
        <w:noProof/>
      </w:rPr>
    </w:sdtEndPr>
    <w:sdtContent>
      <w:p w14:paraId="25AE743B" w14:textId="2A2B6D34" w:rsidR="00B9702C" w:rsidRDefault="00B9702C">
        <w:pPr>
          <w:pStyle w:val="Footer"/>
          <w:jc w:val="right"/>
        </w:pPr>
        <w:r>
          <w:fldChar w:fldCharType="begin"/>
        </w:r>
        <w:r>
          <w:instrText xml:space="preserve"> PAGE   \* MERGEFORMAT </w:instrText>
        </w:r>
        <w:r>
          <w:fldChar w:fldCharType="separate"/>
        </w:r>
        <w:r w:rsidR="00E06B49">
          <w:rPr>
            <w:noProof/>
          </w:rPr>
          <w:t>1</w:t>
        </w:r>
        <w:r>
          <w:rPr>
            <w:noProof/>
          </w:rPr>
          <w:fldChar w:fldCharType="end"/>
        </w:r>
      </w:p>
    </w:sdtContent>
  </w:sdt>
  <w:p w14:paraId="25BCCCAD" w14:textId="77777777" w:rsidR="00B9702C" w:rsidRDefault="00B9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E2125" w14:textId="77777777" w:rsidR="00D3107A" w:rsidRDefault="00D3107A" w:rsidP="00BF1D23">
      <w:pPr>
        <w:spacing w:after="0" w:line="240" w:lineRule="auto"/>
      </w:pPr>
      <w:r>
        <w:separator/>
      </w:r>
    </w:p>
  </w:footnote>
  <w:footnote w:type="continuationSeparator" w:id="0">
    <w:p w14:paraId="0D80A6C6" w14:textId="77777777" w:rsidR="00D3107A" w:rsidRDefault="00D3107A" w:rsidP="00BF1D23">
      <w:pPr>
        <w:spacing w:after="0" w:line="240" w:lineRule="auto"/>
      </w:pPr>
      <w:r>
        <w:continuationSeparator/>
      </w:r>
    </w:p>
  </w:footnote>
  <w:footnote w:id="1">
    <w:p w14:paraId="2109CA4B" w14:textId="67CE4503" w:rsidR="00B9702C" w:rsidRPr="00EB6786" w:rsidRDefault="00B9702C">
      <w:pPr>
        <w:pStyle w:val="FootnoteText"/>
        <w:rPr>
          <w:lang w:val="en-GB"/>
        </w:rPr>
      </w:pPr>
      <w:r>
        <w:rPr>
          <w:rStyle w:val="FootnoteReference"/>
        </w:rPr>
        <w:footnoteRef/>
      </w:r>
      <w:r>
        <w:t xml:space="preserve"> 1984 (3) SA 623 (A)</w:t>
      </w:r>
    </w:p>
  </w:footnote>
  <w:footnote w:id="2">
    <w:p w14:paraId="3C9FCAAF" w14:textId="69FFB2E7" w:rsidR="00B9702C" w:rsidRPr="00C008D9" w:rsidRDefault="00B9702C">
      <w:pPr>
        <w:pStyle w:val="FootnoteText"/>
        <w:rPr>
          <w:lang w:val="en-GB"/>
        </w:rPr>
      </w:pPr>
      <w:r>
        <w:rPr>
          <w:rStyle w:val="FootnoteReference"/>
        </w:rPr>
        <w:footnoteRef/>
      </w:r>
      <w:r>
        <w:t xml:space="preserve"> 1957 (4) SA 234 (C) at p235 E-G</w:t>
      </w:r>
    </w:p>
  </w:footnote>
  <w:footnote w:id="3">
    <w:p w14:paraId="40DB4C64" w14:textId="64DC83F0" w:rsidR="00B9702C" w:rsidRPr="00593630" w:rsidRDefault="00B9702C">
      <w:pPr>
        <w:pStyle w:val="FootnoteText"/>
        <w:rPr>
          <w:color w:val="FF0000"/>
          <w:lang w:val="en-GB"/>
        </w:rPr>
      </w:pPr>
      <w:r>
        <w:rPr>
          <w:rStyle w:val="FootnoteReference"/>
        </w:rPr>
        <w:footnoteRef/>
      </w:r>
      <w:r>
        <w:t xml:space="preserve"> See Burnkloof Caterers Ltd v Horseshoe Caterers Ltd 1976 (2) SA 930 (A) at p938 A-B, Tamarillo (Pty) Ltd v BN Aitken (Pty) Ltd 1982 (1) SA 398 (A) at pp 430-1; Associated South African Bakeries (Pty) Ltd v Dryx and Vereinigte B</w:t>
      </w:r>
      <w:r>
        <w:rPr>
          <w:rFonts w:cstheme="minorHAnsi"/>
        </w:rPr>
        <w:t>ӓ</w:t>
      </w:r>
      <w:r>
        <w:t xml:space="preserve">ckereien (Pty) en Andere 1982 (3) SA (A) at pp 923 G – </w:t>
      </w:r>
      <w:r w:rsidR="00404BB2" w:rsidRPr="00BB2972">
        <w:t>924 D</w:t>
      </w:r>
      <w:r w:rsidR="00EB3905" w:rsidRPr="00BB2972">
        <w:t>)</w:t>
      </w:r>
    </w:p>
  </w:footnote>
  <w:footnote w:id="4">
    <w:p w14:paraId="3325AED7" w14:textId="59C14800" w:rsidR="00B9702C" w:rsidRPr="00593630" w:rsidRDefault="00B9702C">
      <w:pPr>
        <w:pStyle w:val="FootnoteText"/>
        <w:rPr>
          <w:lang w:val="en-GB"/>
        </w:rPr>
      </w:pPr>
      <w:r>
        <w:rPr>
          <w:rStyle w:val="FootnoteReference"/>
        </w:rPr>
        <w:footnoteRef/>
      </w:r>
      <w:r>
        <w:t xml:space="preserve"> See Room Hire Co (Pty) Ltd v Jeppe Street Mansions (Pty) Ltd 1949 (3) SA 115 (T) at pp 1163-5; Da Mata v Otto NO 1972 (3) SA 585 (A) at p 882 D-H.</w:t>
      </w:r>
    </w:p>
  </w:footnote>
  <w:footnote w:id="5">
    <w:p w14:paraId="692660E6" w14:textId="3A6C367E" w:rsidR="00B9702C" w:rsidRPr="00593630" w:rsidRDefault="00B9702C" w:rsidP="00593630">
      <w:pPr>
        <w:pStyle w:val="FootnoteText"/>
        <w:rPr>
          <w:lang w:val="en-GB"/>
        </w:rPr>
      </w:pPr>
      <w:r>
        <w:rPr>
          <w:rStyle w:val="FootnoteReference"/>
        </w:rPr>
        <w:footnoteRef/>
      </w:r>
      <w:r>
        <w:t xml:space="preserve"> See Associated South African Bakeries (Pty) Ltd v Oryx and Vereinigte B</w:t>
      </w:r>
      <w:r>
        <w:rPr>
          <w:rFonts w:cstheme="minorHAnsi"/>
        </w:rPr>
        <w:t>ӓ</w:t>
      </w:r>
      <w:r>
        <w:t>ckereien (Pty) en Andere (supra).</w:t>
      </w:r>
    </w:p>
  </w:footnote>
  <w:footnote w:id="6">
    <w:p w14:paraId="19FCCE81" w14:textId="165482BD" w:rsidR="00B9702C" w:rsidRPr="008473E6" w:rsidRDefault="00B9702C">
      <w:pPr>
        <w:pStyle w:val="FootnoteText"/>
        <w:rPr>
          <w:lang w:val="en-GB"/>
        </w:rPr>
      </w:pPr>
      <w:r>
        <w:rPr>
          <w:rStyle w:val="FootnoteReference"/>
        </w:rPr>
        <w:footnoteRef/>
      </w:r>
      <w:r>
        <w:t xml:space="preserve"> </w:t>
      </w:r>
      <w:r>
        <w:rPr>
          <w:lang w:val="en-GB"/>
        </w:rPr>
        <w:t>See Argent Industrial Investment (Pty) Ltd v Ekurhuleni Metropolitan Municipality 2017 (3) 146 (GJ), Durban City Council v Glenmore Supermarket and Café 1981 (1) SA 470 (D);</w:t>
      </w:r>
    </w:p>
  </w:footnote>
  <w:footnote w:id="7">
    <w:p w14:paraId="7FA1A61C" w14:textId="16B0AFB6" w:rsidR="001F2095" w:rsidRPr="001F2095" w:rsidRDefault="00B9702C">
      <w:pPr>
        <w:pStyle w:val="FootnoteText"/>
      </w:pPr>
      <w:r>
        <w:rPr>
          <w:rStyle w:val="FootnoteReference"/>
        </w:rPr>
        <w:footnoteRef/>
      </w:r>
      <w:r>
        <w:t xml:space="preserve"> </w:t>
      </w:r>
      <w:r w:rsidR="001F2095">
        <w:t>1999 (2) SA 555 (SCA) at 565E</w:t>
      </w:r>
    </w:p>
  </w:footnote>
  <w:footnote w:id="8">
    <w:p w14:paraId="39F10B84" w14:textId="1B54AA37" w:rsidR="001F2095" w:rsidRPr="001F2095" w:rsidRDefault="001F2095">
      <w:pPr>
        <w:pStyle w:val="FootnoteText"/>
        <w:rPr>
          <w:lang w:val="en-GB"/>
        </w:rPr>
      </w:pPr>
      <w:r>
        <w:rPr>
          <w:rStyle w:val="FootnoteReference"/>
        </w:rPr>
        <w:footnoteRef/>
      </w:r>
      <w:r>
        <w:t xml:space="preserve"> 1950</w:t>
      </w:r>
      <w:r w:rsidR="00A85636">
        <w:t xml:space="preserve"> (3) SA 603 (T) </w:t>
      </w:r>
    </w:p>
  </w:footnote>
  <w:footnote w:id="9">
    <w:p w14:paraId="11336DB3" w14:textId="7997127B" w:rsidR="00C80430" w:rsidRPr="00C80430" w:rsidRDefault="00C80430">
      <w:pPr>
        <w:pStyle w:val="FootnoteText"/>
        <w:rPr>
          <w:lang w:val="en-GB"/>
        </w:rPr>
      </w:pPr>
      <w:r>
        <w:rPr>
          <w:rStyle w:val="FootnoteReference"/>
        </w:rPr>
        <w:footnoteRef/>
      </w:r>
      <w:r>
        <w:t xml:space="preserve"> </w:t>
      </w:r>
      <w:r w:rsidR="00814776">
        <w:t>See Hudson v Hudson and Another 1927 AD 259 at p268.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3F7"/>
    <w:multiLevelType w:val="multilevel"/>
    <w:tmpl w:val="58A887FE"/>
    <w:lvl w:ilvl="0">
      <w:start w:val="7"/>
      <w:numFmt w:val="decimal"/>
      <w:lvlText w:val="%1."/>
      <w:lvlJc w:val="left"/>
      <w:pPr>
        <w:ind w:left="390" w:hanging="39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 w15:restartNumberingAfterBreak="0">
    <w:nsid w:val="0759002A"/>
    <w:multiLevelType w:val="hybridMultilevel"/>
    <w:tmpl w:val="B3F42FB2"/>
    <w:lvl w:ilvl="0" w:tplc="BE7E69DC">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013CE5"/>
    <w:multiLevelType w:val="multilevel"/>
    <w:tmpl w:val="B33452E0"/>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D7E06"/>
    <w:multiLevelType w:val="hybridMultilevel"/>
    <w:tmpl w:val="327ACC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08726A"/>
    <w:multiLevelType w:val="hybridMultilevel"/>
    <w:tmpl w:val="1562D26E"/>
    <w:lvl w:ilvl="0" w:tplc="9C6A20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4A567E"/>
    <w:multiLevelType w:val="multilevel"/>
    <w:tmpl w:val="908CDEE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51DD6"/>
    <w:multiLevelType w:val="hybridMultilevel"/>
    <w:tmpl w:val="7CFEC014"/>
    <w:lvl w:ilvl="0" w:tplc="3BDE385C">
      <w:start w:val="7"/>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33800B1"/>
    <w:multiLevelType w:val="multilevel"/>
    <w:tmpl w:val="6B309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121FD"/>
    <w:multiLevelType w:val="hybridMultilevel"/>
    <w:tmpl w:val="861666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3073CA"/>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9727B"/>
    <w:multiLevelType w:val="hybridMultilevel"/>
    <w:tmpl w:val="C8367524"/>
    <w:lvl w:ilvl="0" w:tplc="02107528">
      <w:numFmt w:val="bullet"/>
      <w:lvlText w:val="•"/>
      <w:lvlJc w:val="left"/>
      <w:pPr>
        <w:ind w:left="1440" w:hanging="360"/>
      </w:pPr>
      <w:rPr>
        <w:rFonts w:hint="default"/>
        <w:lang w:val="en-ZA"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2559AC"/>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63E87"/>
    <w:multiLevelType w:val="hybridMultilevel"/>
    <w:tmpl w:val="5CA8FA7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BA77AF"/>
    <w:multiLevelType w:val="hybridMultilevel"/>
    <w:tmpl w:val="5650C2E6"/>
    <w:lvl w:ilvl="0" w:tplc="F23475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2F12F9"/>
    <w:multiLevelType w:val="multilevel"/>
    <w:tmpl w:val="0D9A293A"/>
    <w:lvl w:ilvl="0">
      <w:start w:val="1"/>
      <w:numFmt w:val="decimal"/>
      <w:lvlText w:val="%1."/>
      <w:lvlJc w:val="left"/>
      <w:pPr>
        <w:tabs>
          <w:tab w:val="num" w:pos="567"/>
        </w:tabs>
        <w:ind w:left="567" w:hanging="567"/>
      </w:pPr>
      <w:rPr>
        <w:b w:val="0"/>
        <w:color w:val="auto"/>
      </w:rPr>
    </w:lvl>
    <w:lvl w:ilvl="1">
      <w:start w:val="1"/>
      <w:numFmt w:val="decimal"/>
      <w:lvlText w:val="%1.%2."/>
      <w:lvlJc w:val="left"/>
      <w:pPr>
        <w:tabs>
          <w:tab w:val="num" w:pos="1418"/>
        </w:tabs>
        <w:ind w:left="1418" w:hanging="851"/>
      </w:pPr>
      <w:rPr>
        <w:b w:val="0"/>
        <w:bCs/>
        <w:i w:val="0"/>
      </w:rPr>
    </w:lvl>
    <w:lvl w:ilvl="2">
      <w:start w:val="1"/>
      <w:numFmt w:val="decimal"/>
      <w:lvlText w:val="%1.%2.%3."/>
      <w:lvlJc w:val="left"/>
      <w:pPr>
        <w:tabs>
          <w:tab w:val="num" w:pos="2552"/>
        </w:tabs>
        <w:ind w:left="2552" w:hanging="113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0014F"/>
    <w:multiLevelType w:val="hybridMultilevel"/>
    <w:tmpl w:val="6A96822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1B19D2"/>
    <w:multiLevelType w:val="hybridMultilevel"/>
    <w:tmpl w:val="6C3CA472"/>
    <w:lvl w:ilvl="0" w:tplc="C682FD06">
      <w:start w:val="1"/>
      <w:numFmt w:val="upp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811F28"/>
    <w:multiLevelType w:val="hybridMultilevel"/>
    <w:tmpl w:val="C1C08724"/>
    <w:lvl w:ilvl="0" w:tplc="05BEC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721913"/>
    <w:multiLevelType w:val="hybridMultilevel"/>
    <w:tmpl w:val="3A066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EB04B5A"/>
    <w:multiLevelType w:val="hybridMultilevel"/>
    <w:tmpl w:val="9926B5B6"/>
    <w:lvl w:ilvl="0" w:tplc="C8366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A74C1C"/>
    <w:multiLevelType w:val="hybridMultilevel"/>
    <w:tmpl w:val="0644C984"/>
    <w:lvl w:ilvl="0" w:tplc="51B28D64">
      <w:start w:val="1"/>
      <w:numFmt w:val="decimal"/>
      <w:lvlText w:val="%1."/>
      <w:lvlJc w:val="left"/>
      <w:pPr>
        <w:ind w:left="820" w:hanging="360"/>
      </w:pPr>
      <w:rPr>
        <w:rFonts w:ascii="Arial" w:eastAsia="Arial" w:hAnsi="Arial" w:cs="Arial" w:hint="default"/>
        <w:spacing w:val="-2"/>
        <w:w w:val="100"/>
        <w:sz w:val="24"/>
        <w:szCs w:val="24"/>
        <w:lang w:val="en-ZA" w:eastAsia="en-US" w:bidi="ar-SA"/>
      </w:rPr>
    </w:lvl>
    <w:lvl w:ilvl="1" w:tplc="D0E20848">
      <w:numFmt w:val="bullet"/>
      <w:lvlText w:val=""/>
      <w:lvlJc w:val="left"/>
      <w:pPr>
        <w:ind w:left="1637" w:hanging="360"/>
      </w:pPr>
      <w:rPr>
        <w:rFonts w:ascii="Symbol" w:eastAsia="Symbol" w:hAnsi="Symbol" w:cs="Symbol" w:hint="default"/>
        <w:w w:val="100"/>
        <w:sz w:val="24"/>
        <w:szCs w:val="24"/>
        <w:lang w:val="en-ZA" w:eastAsia="en-US" w:bidi="ar-SA"/>
      </w:rPr>
    </w:lvl>
    <w:lvl w:ilvl="2" w:tplc="02107528">
      <w:numFmt w:val="bullet"/>
      <w:lvlText w:val="•"/>
      <w:lvlJc w:val="left"/>
      <w:pPr>
        <w:ind w:left="2460" w:hanging="360"/>
      </w:pPr>
      <w:rPr>
        <w:rFonts w:hint="default"/>
        <w:lang w:val="en-ZA" w:eastAsia="en-US" w:bidi="ar-SA"/>
      </w:rPr>
    </w:lvl>
    <w:lvl w:ilvl="3" w:tplc="24AC5C20">
      <w:numFmt w:val="bullet"/>
      <w:lvlText w:val="•"/>
      <w:lvlJc w:val="left"/>
      <w:pPr>
        <w:ind w:left="3381" w:hanging="360"/>
      </w:pPr>
      <w:rPr>
        <w:rFonts w:hint="default"/>
        <w:lang w:val="en-ZA" w:eastAsia="en-US" w:bidi="ar-SA"/>
      </w:rPr>
    </w:lvl>
    <w:lvl w:ilvl="4" w:tplc="9E9445C6">
      <w:numFmt w:val="bullet"/>
      <w:lvlText w:val="•"/>
      <w:lvlJc w:val="left"/>
      <w:pPr>
        <w:ind w:left="4302" w:hanging="360"/>
      </w:pPr>
      <w:rPr>
        <w:rFonts w:hint="default"/>
        <w:lang w:val="en-ZA" w:eastAsia="en-US" w:bidi="ar-SA"/>
      </w:rPr>
    </w:lvl>
    <w:lvl w:ilvl="5" w:tplc="1D5CCBA2">
      <w:numFmt w:val="bullet"/>
      <w:lvlText w:val="•"/>
      <w:lvlJc w:val="left"/>
      <w:pPr>
        <w:ind w:left="5223" w:hanging="360"/>
      </w:pPr>
      <w:rPr>
        <w:rFonts w:hint="default"/>
        <w:lang w:val="en-ZA" w:eastAsia="en-US" w:bidi="ar-SA"/>
      </w:rPr>
    </w:lvl>
    <w:lvl w:ilvl="6" w:tplc="C4EC3984">
      <w:numFmt w:val="bullet"/>
      <w:lvlText w:val="•"/>
      <w:lvlJc w:val="left"/>
      <w:pPr>
        <w:ind w:left="6144" w:hanging="360"/>
      </w:pPr>
      <w:rPr>
        <w:rFonts w:hint="default"/>
        <w:lang w:val="en-ZA" w:eastAsia="en-US" w:bidi="ar-SA"/>
      </w:rPr>
    </w:lvl>
    <w:lvl w:ilvl="7" w:tplc="EEF007A0">
      <w:numFmt w:val="bullet"/>
      <w:lvlText w:val="•"/>
      <w:lvlJc w:val="left"/>
      <w:pPr>
        <w:ind w:left="7065" w:hanging="360"/>
      </w:pPr>
      <w:rPr>
        <w:rFonts w:hint="default"/>
        <w:lang w:val="en-ZA" w:eastAsia="en-US" w:bidi="ar-SA"/>
      </w:rPr>
    </w:lvl>
    <w:lvl w:ilvl="8" w:tplc="CC9C0094">
      <w:numFmt w:val="bullet"/>
      <w:lvlText w:val="•"/>
      <w:lvlJc w:val="left"/>
      <w:pPr>
        <w:ind w:left="7986" w:hanging="360"/>
      </w:pPr>
      <w:rPr>
        <w:rFonts w:hint="default"/>
        <w:lang w:val="en-ZA" w:eastAsia="en-US" w:bidi="ar-SA"/>
      </w:rPr>
    </w:lvl>
  </w:abstractNum>
  <w:abstractNum w:abstractNumId="22" w15:restartNumberingAfterBreak="0">
    <w:nsid w:val="312C28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3723FF"/>
    <w:multiLevelType w:val="multilevel"/>
    <w:tmpl w:val="58A887FE"/>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BEB601F"/>
    <w:multiLevelType w:val="multilevel"/>
    <w:tmpl w:val="58A887FE"/>
    <w:lvl w:ilvl="0">
      <w:start w:val="5"/>
      <w:numFmt w:val="decimal"/>
      <w:lvlText w:val="%1."/>
      <w:lvlJc w:val="left"/>
      <w:pPr>
        <w:ind w:left="390" w:hanging="390"/>
      </w:pPr>
      <w:rPr>
        <w:rFonts w:hint="default"/>
        <w:b w:val="0"/>
        <w:i w:val="0"/>
      </w:rPr>
    </w:lvl>
    <w:lvl w:ilvl="1">
      <w:start w:val="2"/>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25" w15:restartNumberingAfterBreak="0">
    <w:nsid w:val="434622E3"/>
    <w:multiLevelType w:val="multilevel"/>
    <w:tmpl w:val="331E8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D7231"/>
    <w:multiLevelType w:val="multilevel"/>
    <w:tmpl w:val="E9C0EABE"/>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4E71C22"/>
    <w:multiLevelType w:val="multilevel"/>
    <w:tmpl w:val="106AF102"/>
    <w:lvl w:ilvl="0">
      <w:start w:val="28"/>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B55DE5"/>
    <w:multiLevelType w:val="multilevel"/>
    <w:tmpl w:val="A98A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051A76"/>
    <w:multiLevelType w:val="multilevel"/>
    <w:tmpl w:val="8CB0B4AC"/>
    <w:lvl w:ilvl="0">
      <w:start w:val="1"/>
      <w:numFmt w:val="decimal"/>
      <w:lvlText w:val="%1."/>
      <w:lvlJc w:val="left"/>
      <w:pPr>
        <w:ind w:left="720" w:hanging="360"/>
      </w:pPr>
      <w:rPr>
        <w:b w:val="0"/>
        <w:i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0" w15:restartNumberingAfterBreak="0">
    <w:nsid w:val="528911B5"/>
    <w:multiLevelType w:val="hybridMultilevel"/>
    <w:tmpl w:val="FB02327C"/>
    <w:lvl w:ilvl="0" w:tplc="5F7A6A64">
      <w:start w:val="14"/>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073D25"/>
    <w:multiLevelType w:val="hybridMultilevel"/>
    <w:tmpl w:val="35E62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58C293D"/>
    <w:multiLevelType w:val="multilevel"/>
    <w:tmpl w:val="7988D62E"/>
    <w:lvl w:ilvl="0">
      <w:start w:val="1"/>
      <w:numFmt w:val="lowerLetter"/>
      <w:lvlText w:val="(%1)"/>
      <w:lvlJc w:val="left"/>
      <w:pPr>
        <w:tabs>
          <w:tab w:val="num" w:pos="851"/>
        </w:tabs>
        <w:ind w:left="851" w:hanging="851"/>
      </w:pPr>
      <w:rPr>
        <w:rFonts w:ascii="Arial" w:eastAsiaTheme="minorHAnsi" w:hAnsi="Arial" w:cs="Arial"/>
        <w:b w:val="0"/>
        <w:bCs w:val="0"/>
      </w:rPr>
    </w:lvl>
    <w:lvl w:ilvl="1">
      <w:start w:val="1"/>
      <w:numFmt w:val="lowerRoman"/>
      <w:lvlText w:val="(%2)"/>
      <w:lvlJc w:val="left"/>
      <w:pPr>
        <w:tabs>
          <w:tab w:val="num" w:pos="1701"/>
        </w:tabs>
        <w:ind w:left="1701" w:hanging="850"/>
      </w:pPr>
      <w:rPr>
        <w:rFonts w:ascii="Arial" w:eastAsia="Arial" w:hAnsi="Arial" w:cs="Arial"/>
        <w:b w:val="0"/>
        <w:bCs w:val="0"/>
        <w:i w:val="0"/>
        <w:iCs w:val="0"/>
      </w:rPr>
    </w:lvl>
    <w:lvl w:ilvl="2">
      <w:start w:val="1"/>
      <w:numFmt w:val="decimal"/>
      <w:lvlText w:val="%1.%2.%3."/>
      <w:lvlJc w:val="left"/>
      <w:pPr>
        <w:tabs>
          <w:tab w:val="num" w:pos="2835"/>
        </w:tabs>
        <w:ind w:left="2835" w:hanging="1134"/>
      </w:pPr>
      <w:rPr>
        <w:color w:val="000000" w:themeColor="text1"/>
      </w:rPr>
    </w:lvl>
    <w:lvl w:ilvl="3">
      <w:start w:val="1"/>
      <w:numFmt w:val="decimal"/>
      <w:lvlText w:val="%1.%2.%3.%4."/>
      <w:lvlJc w:val="left"/>
      <w:pPr>
        <w:tabs>
          <w:tab w:val="num" w:pos="3969"/>
        </w:tabs>
        <w:ind w:left="3969"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AD378F"/>
    <w:multiLevelType w:val="multilevel"/>
    <w:tmpl w:val="817CE2D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EC3AD4"/>
    <w:multiLevelType w:val="hybridMultilevel"/>
    <w:tmpl w:val="0CA2E45C"/>
    <w:lvl w:ilvl="0" w:tplc="3BDE385C">
      <w:start w:val="7"/>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254972"/>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433A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0422AD"/>
    <w:multiLevelType w:val="multilevel"/>
    <w:tmpl w:val="11204C0A"/>
    <w:lvl w:ilvl="0">
      <w:start w:val="8"/>
      <w:numFmt w:val="decimal"/>
      <w:lvlText w:val="%1."/>
      <w:lvlJc w:val="left"/>
      <w:pPr>
        <w:ind w:left="390" w:hanging="390"/>
      </w:pPr>
      <w:rPr>
        <w:rFonts w:hint="default"/>
      </w:rPr>
    </w:lvl>
    <w:lvl w:ilvl="1">
      <w:start w:val="7"/>
      <w:numFmt w:val="decimal"/>
      <w:lvlText w:val="%1.%2."/>
      <w:lvlJc w:val="left"/>
      <w:pPr>
        <w:ind w:left="900" w:hanging="720"/>
      </w:pPr>
      <w:rPr>
        <w:rFonts w:hint="default"/>
        <w:b/>
        <w:i/>
      </w:rPr>
    </w:lvl>
    <w:lvl w:ilvl="2">
      <w:start w:val="1"/>
      <w:numFmt w:val="decimal"/>
      <w:pStyle w:val="WerksmansStyle3"/>
      <w:lvlText w:val="%1.%2.%3."/>
      <w:lvlJc w:val="left"/>
      <w:pPr>
        <w:ind w:left="1080" w:hanging="720"/>
      </w:pPr>
      <w:rPr>
        <w:rFonts w:hint="default"/>
      </w:rPr>
    </w:lvl>
    <w:lvl w:ilvl="3">
      <w:start w:val="1"/>
      <w:numFmt w:val="decimal"/>
      <w:pStyle w:val="WerksmansStyle4"/>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15:restartNumberingAfterBreak="0">
    <w:nsid w:val="6DAC2703"/>
    <w:multiLevelType w:val="hybridMultilevel"/>
    <w:tmpl w:val="2B1ACA1E"/>
    <w:lvl w:ilvl="0" w:tplc="3056BD2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B74F21"/>
    <w:multiLevelType w:val="multilevel"/>
    <w:tmpl w:val="7CFEC014"/>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79449E5"/>
    <w:multiLevelType w:val="hybridMultilevel"/>
    <w:tmpl w:val="7A36D128"/>
    <w:lvl w:ilvl="0" w:tplc="194E0D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AE6097A"/>
    <w:multiLevelType w:val="multilevel"/>
    <w:tmpl w:val="6F8CBD84"/>
    <w:lvl w:ilvl="0">
      <w:start w:val="9"/>
      <w:numFmt w:val="decimal"/>
      <w:lvlText w:val="%1."/>
      <w:lvlJc w:val="left"/>
      <w:pPr>
        <w:ind w:left="78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190" w:hanging="1080"/>
      </w:pPr>
      <w:rPr>
        <w:rFonts w:hint="default"/>
      </w:rPr>
    </w:lvl>
    <w:lvl w:ilvl="5">
      <w:start w:val="1"/>
      <w:numFmt w:val="decimal"/>
      <w:lvlText w:val="%1.%2.%3.%4.%5.%6."/>
      <w:lvlJc w:val="left"/>
      <w:pPr>
        <w:ind w:left="2730"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450" w:hanging="1800"/>
      </w:pPr>
      <w:rPr>
        <w:rFonts w:hint="default"/>
      </w:rPr>
    </w:lvl>
    <w:lvl w:ilvl="8">
      <w:start w:val="1"/>
      <w:numFmt w:val="decimal"/>
      <w:lvlText w:val="%1.%2.%3.%4.%5.%6.%7.%8.%9."/>
      <w:lvlJc w:val="left"/>
      <w:pPr>
        <w:ind w:left="3990" w:hanging="2160"/>
      </w:pPr>
      <w:rPr>
        <w:rFonts w:hint="default"/>
      </w:rPr>
    </w:lvl>
  </w:abstractNum>
  <w:abstractNum w:abstractNumId="42" w15:restartNumberingAfterBreak="0">
    <w:nsid w:val="7B2D5106"/>
    <w:multiLevelType w:val="hybridMultilevel"/>
    <w:tmpl w:val="3BCAF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3B6958"/>
    <w:multiLevelType w:val="multilevel"/>
    <w:tmpl w:val="3420372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42"/>
  </w:num>
  <w:num w:numId="3">
    <w:abstractNumId w:val="10"/>
  </w:num>
  <w:num w:numId="4">
    <w:abstractNumId w:val="1"/>
  </w:num>
  <w:num w:numId="5">
    <w:abstractNumId w:val="30"/>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7"/>
  </w:num>
  <w:num w:numId="12">
    <w:abstractNumId w:val="41"/>
  </w:num>
  <w:num w:numId="13">
    <w:abstractNumId w:val="7"/>
  </w:num>
  <w:num w:numId="14">
    <w:abstractNumId w:val="34"/>
  </w:num>
  <w:num w:numId="15">
    <w:abstractNumId w:val="27"/>
  </w:num>
  <w:num w:numId="16">
    <w:abstractNumId w:val="12"/>
  </w:num>
  <w:num w:numId="17">
    <w:abstractNumId w:val="39"/>
  </w:num>
  <w:num w:numId="18">
    <w:abstractNumId w:val="23"/>
  </w:num>
  <w:num w:numId="19">
    <w:abstractNumId w:val="24"/>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25"/>
  </w:num>
  <w:num w:numId="25">
    <w:abstractNumId w:val="37"/>
  </w:num>
  <w:num w:numId="26">
    <w:abstractNumId w:val="37"/>
  </w:num>
  <w:num w:numId="27">
    <w:abstractNumId w:val="37"/>
  </w:num>
  <w:num w:numId="28">
    <w:abstractNumId w:val="37"/>
  </w:num>
  <w:num w:numId="29">
    <w:abstractNumId w:val="43"/>
  </w:num>
  <w:num w:numId="30">
    <w:abstractNumId w:val="6"/>
  </w:num>
  <w:num w:numId="31">
    <w:abstractNumId w:val="3"/>
  </w:num>
  <w:num w:numId="32">
    <w:abstractNumId w:val="2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
  </w:num>
  <w:num w:numId="38">
    <w:abstractNumId w:val="22"/>
  </w:num>
  <w:num w:numId="39">
    <w:abstractNumId w:val="18"/>
  </w:num>
  <w:num w:numId="40">
    <w:abstractNumId w:val="36"/>
  </w:num>
  <w:num w:numId="41">
    <w:abstractNumId w:val="40"/>
  </w:num>
  <w:num w:numId="42">
    <w:abstractNumId w:val="20"/>
  </w:num>
  <w:num w:numId="43">
    <w:abstractNumId w:val="38"/>
  </w:num>
  <w:num w:numId="44">
    <w:abstractNumId w:val="17"/>
  </w:num>
  <w:num w:numId="45">
    <w:abstractNumId w:val="13"/>
  </w:num>
  <w:num w:numId="46">
    <w:abstractNumId w:val="16"/>
  </w:num>
  <w:num w:numId="47">
    <w:abstractNumId w:val="5"/>
  </w:num>
  <w:num w:numId="48">
    <w:abstractNumId w:val="9"/>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D"/>
    <w:rsid w:val="00000E2B"/>
    <w:rsid w:val="00002E08"/>
    <w:rsid w:val="000051C1"/>
    <w:rsid w:val="000064CB"/>
    <w:rsid w:val="000152EB"/>
    <w:rsid w:val="00017608"/>
    <w:rsid w:val="0002190A"/>
    <w:rsid w:val="00023D5B"/>
    <w:rsid w:val="0003655F"/>
    <w:rsid w:val="000378BE"/>
    <w:rsid w:val="00040F8E"/>
    <w:rsid w:val="00042DB7"/>
    <w:rsid w:val="00042E5C"/>
    <w:rsid w:val="00042FB9"/>
    <w:rsid w:val="0006290C"/>
    <w:rsid w:val="00070805"/>
    <w:rsid w:val="0007687D"/>
    <w:rsid w:val="00080BDC"/>
    <w:rsid w:val="00081FA8"/>
    <w:rsid w:val="0008226F"/>
    <w:rsid w:val="00082668"/>
    <w:rsid w:val="00084F3D"/>
    <w:rsid w:val="0008756C"/>
    <w:rsid w:val="0009018D"/>
    <w:rsid w:val="00093880"/>
    <w:rsid w:val="000A0FD0"/>
    <w:rsid w:val="000A36CF"/>
    <w:rsid w:val="000A3932"/>
    <w:rsid w:val="000A4FE7"/>
    <w:rsid w:val="000A7955"/>
    <w:rsid w:val="000B04E2"/>
    <w:rsid w:val="000B3588"/>
    <w:rsid w:val="000B5145"/>
    <w:rsid w:val="000B5B77"/>
    <w:rsid w:val="000B5FE5"/>
    <w:rsid w:val="000B79F6"/>
    <w:rsid w:val="000C4C1B"/>
    <w:rsid w:val="000C58E6"/>
    <w:rsid w:val="000C61F1"/>
    <w:rsid w:val="000C73BA"/>
    <w:rsid w:val="000D2C08"/>
    <w:rsid w:val="000D650A"/>
    <w:rsid w:val="000D7461"/>
    <w:rsid w:val="000E255B"/>
    <w:rsid w:val="000E59C3"/>
    <w:rsid w:val="000E6B2A"/>
    <w:rsid w:val="000F14B9"/>
    <w:rsid w:val="000F346E"/>
    <w:rsid w:val="000F637D"/>
    <w:rsid w:val="00106D47"/>
    <w:rsid w:val="00107FE3"/>
    <w:rsid w:val="0011133B"/>
    <w:rsid w:val="0011375F"/>
    <w:rsid w:val="001163F8"/>
    <w:rsid w:val="00116608"/>
    <w:rsid w:val="00122412"/>
    <w:rsid w:val="00126247"/>
    <w:rsid w:val="00132153"/>
    <w:rsid w:val="001338B0"/>
    <w:rsid w:val="00134725"/>
    <w:rsid w:val="00135B7E"/>
    <w:rsid w:val="00143946"/>
    <w:rsid w:val="00145C33"/>
    <w:rsid w:val="00146421"/>
    <w:rsid w:val="001542B5"/>
    <w:rsid w:val="001564DE"/>
    <w:rsid w:val="00157B45"/>
    <w:rsid w:val="00157CE8"/>
    <w:rsid w:val="00160742"/>
    <w:rsid w:val="00163B65"/>
    <w:rsid w:val="00166F0E"/>
    <w:rsid w:val="00176520"/>
    <w:rsid w:val="00182270"/>
    <w:rsid w:val="00183D92"/>
    <w:rsid w:val="00185826"/>
    <w:rsid w:val="001868BF"/>
    <w:rsid w:val="0018745B"/>
    <w:rsid w:val="0019040C"/>
    <w:rsid w:val="0019182A"/>
    <w:rsid w:val="001A367D"/>
    <w:rsid w:val="001A491C"/>
    <w:rsid w:val="001A5406"/>
    <w:rsid w:val="001A672B"/>
    <w:rsid w:val="001A79C4"/>
    <w:rsid w:val="001B5BE6"/>
    <w:rsid w:val="001C23A5"/>
    <w:rsid w:val="001C41AC"/>
    <w:rsid w:val="001C5E20"/>
    <w:rsid w:val="001D3EA9"/>
    <w:rsid w:val="001D584D"/>
    <w:rsid w:val="001D6A59"/>
    <w:rsid w:val="001E02AD"/>
    <w:rsid w:val="001E1070"/>
    <w:rsid w:val="001E14D0"/>
    <w:rsid w:val="001E528D"/>
    <w:rsid w:val="001F18B8"/>
    <w:rsid w:val="001F1EA9"/>
    <w:rsid w:val="001F2095"/>
    <w:rsid w:val="002008CF"/>
    <w:rsid w:val="00206C19"/>
    <w:rsid w:val="002106D2"/>
    <w:rsid w:val="002129B9"/>
    <w:rsid w:val="00213925"/>
    <w:rsid w:val="00221330"/>
    <w:rsid w:val="00225079"/>
    <w:rsid w:val="00227C4A"/>
    <w:rsid w:val="00232B30"/>
    <w:rsid w:val="0023529D"/>
    <w:rsid w:val="00235DEC"/>
    <w:rsid w:val="002419FE"/>
    <w:rsid w:val="002474CA"/>
    <w:rsid w:val="00254592"/>
    <w:rsid w:val="002637CD"/>
    <w:rsid w:val="00263A34"/>
    <w:rsid w:val="002820EC"/>
    <w:rsid w:val="00284662"/>
    <w:rsid w:val="002851D1"/>
    <w:rsid w:val="0028635F"/>
    <w:rsid w:val="0029074D"/>
    <w:rsid w:val="002A0B9D"/>
    <w:rsid w:val="002B1E85"/>
    <w:rsid w:val="002B41BF"/>
    <w:rsid w:val="002B42BA"/>
    <w:rsid w:val="002B55BC"/>
    <w:rsid w:val="002B57A0"/>
    <w:rsid w:val="002B6F3E"/>
    <w:rsid w:val="002C0A73"/>
    <w:rsid w:val="002C0CD1"/>
    <w:rsid w:val="002C27B8"/>
    <w:rsid w:val="002C40D6"/>
    <w:rsid w:val="002C541F"/>
    <w:rsid w:val="002D2866"/>
    <w:rsid w:val="002D47BE"/>
    <w:rsid w:val="002D501D"/>
    <w:rsid w:val="002D6FAC"/>
    <w:rsid w:val="002E1236"/>
    <w:rsid w:val="002E4E40"/>
    <w:rsid w:val="002E74C6"/>
    <w:rsid w:val="002F07AD"/>
    <w:rsid w:val="002F16FF"/>
    <w:rsid w:val="002F255D"/>
    <w:rsid w:val="002F4177"/>
    <w:rsid w:val="002F427C"/>
    <w:rsid w:val="002F47A7"/>
    <w:rsid w:val="00307DAD"/>
    <w:rsid w:val="00310530"/>
    <w:rsid w:val="003115A1"/>
    <w:rsid w:val="00317C2A"/>
    <w:rsid w:val="003259B9"/>
    <w:rsid w:val="00331252"/>
    <w:rsid w:val="003331B2"/>
    <w:rsid w:val="00334C95"/>
    <w:rsid w:val="00335876"/>
    <w:rsid w:val="00337C87"/>
    <w:rsid w:val="00344127"/>
    <w:rsid w:val="0035010D"/>
    <w:rsid w:val="00354480"/>
    <w:rsid w:val="00355D4F"/>
    <w:rsid w:val="00365813"/>
    <w:rsid w:val="0036600A"/>
    <w:rsid w:val="00376174"/>
    <w:rsid w:val="00377C39"/>
    <w:rsid w:val="003827A0"/>
    <w:rsid w:val="00384B46"/>
    <w:rsid w:val="003876CF"/>
    <w:rsid w:val="00387A6C"/>
    <w:rsid w:val="003912D9"/>
    <w:rsid w:val="003949CC"/>
    <w:rsid w:val="003957AA"/>
    <w:rsid w:val="003A3159"/>
    <w:rsid w:val="003B224D"/>
    <w:rsid w:val="003B4D59"/>
    <w:rsid w:val="003B6BC7"/>
    <w:rsid w:val="003B7450"/>
    <w:rsid w:val="003C01FC"/>
    <w:rsid w:val="003C2158"/>
    <w:rsid w:val="003C3BFA"/>
    <w:rsid w:val="003C3ECB"/>
    <w:rsid w:val="003C46A9"/>
    <w:rsid w:val="003C516A"/>
    <w:rsid w:val="003C777E"/>
    <w:rsid w:val="003D1D60"/>
    <w:rsid w:val="003D215B"/>
    <w:rsid w:val="003D6849"/>
    <w:rsid w:val="003D7896"/>
    <w:rsid w:val="003D7D0C"/>
    <w:rsid w:val="003E0760"/>
    <w:rsid w:val="003E086C"/>
    <w:rsid w:val="003E1A89"/>
    <w:rsid w:val="003E23FC"/>
    <w:rsid w:val="003E4E07"/>
    <w:rsid w:val="003E56ED"/>
    <w:rsid w:val="003E57F8"/>
    <w:rsid w:val="003E6688"/>
    <w:rsid w:val="003E6E55"/>
    <w:rsid w:val="003F0D2B"/>
    <w:rsid w:val="003F0D98"/>
    <w:rsid w:val="003F3E9F"/>
    <w:rsid w:val="00401E39"/>
    <w:rsid w:val="0040364B"/>
    <w:rsid w:val="00404BB2"/>
    <w:rsid w:val="004054BD"/>
    <w:rsid w:val="0040614A"/>
    <w:rsid w:val="004178C6"/>
    <w:rsid w:val="00433359"/>
    <w:rsid w:val="00436103"/>
    <w:rsid w:val="00441E7B"/>
    <w:rsid w:val="004428AC"/>
    <w:rsid w:val="00443EF4"/>
    <w:rsid w:val="0044565B"/>
    <w:rsid w:val="00446BA9"/>
    <w:rsid w:val="00451D64"/>
    <w:rsid w:val="00454097"/>
    <w:rsid w:val="00454DA7"/>
    <w:rsid w:val="0045707A"/>
    <w:rsid w:val="00460C9F"/>
    <w:rsid w:val="00466DBC"/>
    <w:rsid w:val="0047698F"/>
    <w:rsid w:val="00484851"/>
    <w:rsid w:val="004856B6"/>
    <w:rsid w:val="004871B7"/>
    <w:rsid w:val="004A0EDB"/>
    <w:rsid w:val="004A40B1"/>
    <w:rsid w:val="004A62D5"/>
    <w:rsid w:val="004A77B9"/>
    <w:rsid w:val="004B1044"/>
    <w:rsid w:val="004B227C"/>
    <w:rsid w:val="004B3C8F"/>
    <w:rsid w:val="004C0662"/>
    <w:rsid w:val="004C4C42"/>
    <w:rsid w:val="004C5B89"/>
    <w:rsid w:val="004D07D6"/>
    <w:rsid w:val="004D638E"/>
    <w:rsid w:val="004D6996"/>
    <w:rsid w:val="004E10FC"/>
    <w:rsid w:val="004E3010"/>
    <w:rsid w:val="004F435E"/>
    <w:rsid w:val="004F77ED"/>
    <w:rsid w:val="00507886"/>
    <w:rsid w:val="0051334B"/>
    <w:rsid w:val="005177FE"/>
    <w:rsid w:val="00520ADD"/>
    <w:rsid w:val="00521E42"/>
    <w:rsid w:val="00524B04"/>
    <w:rsid w:val="0052537B"/>
    <w:rsid w:val="00530238"/>
    <w:rsid w:val="0054518D"/>
    <w:rsid w:val="00554386"/>
    <w:rsid w:val="005543A4"/>
    <w:rsid w:val="00554E5A"/>
    <w:rsid w:val="00555DCA"/>
    <w:rsid w:val="00556712"/>
    <w:rsid w:val="005568C9"/>
    <w:rsid w:val="00560F8A"/>
    <w:rsid w:val="00565F1F"/>
    <w:rsid w:val="00572E3F"/>
    <w:rsid w:val="0057338B"/>
    <w:rsid w:val="00575D36"/>
    <w:rsid w:val="005761EE"/>
    <w:rsid w:val="00577173"/>
    <w:rsid w:val="00577CFD"/>
    <w:rsid w:val="00584101"/>
    <w:rsid w:val="00593630"/>
    <w:rsid w:val="00594268"/>
    <w:rsid w:val="00597D47"/>
    <w:rsid w:val="005A2277"/>
    <w:rsid w:val="005A32FE"/>
    <w:rsid w:val="005A6148"/>
    <w:rsid w:val="005A6AE2"/>
    <w:rsid w:val="005B62BC"/>
    <w:rsid w:val="005B7AD3"/>
    <w:rsid w:val="005C5498"/>
    <w:rsid w:val="005C5DFD"/>
    <w:rsid w:val="005E40BF"/>
    <w:rsid w:val="005E423E"/>
    <w:rsid w:val="005F3799"/>
    <w:rsid w:val="005F3B34"/>
    <w:rsid w:val="005F7123"/>
    <w:rsid w:val="006024F3"/>
    <w:rsid w:val="00607496"/>
    <w:rsid w:val="00607AE9"/>
    <w:rsid w:val="00613579"/>
    <w:rsid w:val="00613A29"/>
    <w:rsid w:val="00616593"/>
    <w:rsid w:val="00623E01"/>
    <w:rsid w:val="00624045"/>
    <w:rsid w:val="00624361"/>
    <w:rsid w:val="0063505F"/>
    <w:rsid w:val="006352B1"/>
    <w:rsid w:val="00635ABF"/>
    <w:rsid w:val="00636F12"/>
    <w:rsid w:val="00637166"/>
    <w:rsid w:val="00644808"/>
    <w:rsid w:val="006508E5"/>
    <w:rsid w:val="0065649D"/>
    <w:rsid w:val="00660332"/>
    <w:rsid w:val="00660890"/>
    <w:rsid w:val="0066242C"/>
    <w:rsid w:val="006639D9"/>
    <w:rsid w:val="00664D29"/>
    <w:rsid w:val="006650B3"/>
    <w:rsid w:val="006662CA"/>
    <w:rsid w:val="006663FE"/>
    <w:rsid w:val="00666C13"/>
    <w:rsid w:val="0067684C"/>
    <w:rsid w:val="00677359"/>
    <w:rsid w:val="0068001D"/>
    <w:rsid w:val="006817D2"/>
    <w:rsid w:val="00682B84"/>
    <w:rsid w:val="0068303B"/>
    <w:rsid w:val="00687F47"/>
    <w:rsid w:val="006912E0"/>
    <w:rsid w:val="00692FDA"/>
    <w:rsid w:val="00696D1B"/>
    <w:rsid w:val="006A09E5"/>
    <w:rsid w:val="006A18DD"/>
    <w:rsid w:val="006A1BE8"/>
    <w:rsid w:val="006A3DEE"/>
    <w:rsid w:val="006A4FAB"/>
    <w:rsid w:val="006B3940"/>
    <w:rsid w:val="006B4C83"/>
    <w:rsid w:val="006B5381"/>
    <w:rsid w:val="006C1123"/>
    <w:rsid w:val="006C3921"/>
    <w:rsid w:val="006C5AD1"/>
    <w:rsid w:val="006C5EE2"/>
    <w:rsid w:val="006C63A4"/>
    <w:rsid w:val="006C6897"/>
    <w:rsid w:val="006D28DB"/>
    <w:rsid w:val="006D40A9"/>
    <w:rsid w:val="006D6573"/>
    <w:rsid w:val="006E2168"/>
    <w:rsid w:val="006E2385"/>
    <w:rsid w:val="006F278E"/>
    <w:rsid w:val="006F31B2"/>
    <w:rsid w:val="006F3913"/>
    <w:rsid w:val="006F4E4F"/>
    <w:rsid w:val="006F5FDF"/>
    <w:rsid w:val="007065B6"/>
    <w:rsid w:val="00711B2C"/>
    <w:rsid w:val="00721CEE"/>
    <w:rsid w:val="00723156"/>
    <w:rsid w:val="00723999"/>
    <w:rsid w:val="00727499"/>
    <w:rsid w:val="007318AA"/>
    <w:rsid w:val="00736740"/>
    <w:rsid w:val="00736FA5"/>
    <w:rsid w:val="0073730B"/>
    <w:rsid w:val="0074273F"/>
    <w:rsid w:val="00752D47"/>
    <w:rsid w:val="00754F1D"/>
    <w:rsid w:val="007564C3"/>
    <w:rsid w:val="00761BA8"/>
    <w:rsid w:val="007655D0"/>
    <w:rsid w:val="00767717"/>
    <w:rsid w:val="007721C6"/>
    <w:rsid w:val="00772FBF"/>
    <w:rsid w:val="00774918"/>
    <w:rsid w:val="0077491F"/>
    <w:rsid w:val="00775E07"/>
    <w:rsid w:val="007765EA"/>
    <w:rsid w:val="0078025B"/>
    <w:rsid w:val="00791098"/>
    <w:rsid w:val="00791EA8"/>
    <w:rsid w:val="007A272E"/>
    <w:rsid w:val="007A673D"/>
    <w:rsid w:val="007A7281"/>
    <w:rsid w:val="007A734B"/>
    <w:rsid w:val="007B4281"/>
    <w:rsid w:val="007B59F5"/>
    <w:rsid w:val="007B6421"/>
    <w:rsid w:val="007C0D98"/>
    <w:rsid w:val="007C5F73"/>
    <w:rsid w:val="007D1895"/>
    <w:rsid w:val="007D4A4C"/>
    <w:rsid w:val="007E14AD"/>
    <w:rsid w:val="007E29D5"/>
    <w:rsid w:val="007E3CE3"/>
    <w:rsid w:val="007E423C"/>
    <w:rsid w:val="007E5EC7"/>
    <w:rsid w:val="007E7B6E"/>
    <w:rsid w:val="007F14C3"/>
    <w:rsid w:val="007F28E5"/>
    <w:rsid w:val="007F2E20"/>
    <w:rsid w:val="007F526A"/>
    <w:rsid w:val="007F69B2"/>
    <w:rsid w:val="00802D83"/>
    <w:rsid w:val="00810C25"/>
    <w:rsid w:val="00814776"/>
    <w:rsid w:val="008153AF"/>
    <w:rsid w:val="00816CEF"/>
    <w:rsid w:val="00817004"/>
    <w:rsid w:val="00817CE3"/>
    <w:rsid w:val="00821805"/>
    <w:rsid w:val="00822241"/>
    <w:rsid w:val="00823EA2"/>
    <w:rsid w:val="0083146C"/>
    <w:rsid w:val="00840770"/>
    <w:rsid w:val="00840EF3"/>
    <w:rsid w:val="008449E4"/>
    <w:rsid w:val="00845A8D"/>
    <w:rsid w:val="008473E6"/>
    <w:rsid w:val="00851E5A"/>
    <w:rsid w:val="00852311"/>
    <w:rsid w:val="0085261E"/>
    <w:rsid w:val="008546FB"/>
    <w:rsid w:val="008579F2"/>
    <w:rsid w:val="0086742B"/>
    <w:rsid w:val="008676AB"/>
    <w:rsid w:val="00873981"/>
    <w:rsid w:val="008767E9"/>
    <w:rsid w:val="00877FFE"/>
    <w:rsid w:val="00887168"/>
    <w:rsid w:val="00895EC6"/>
    <w:rsid w:val="008A1FC2"/>
    <w:rsid w:val="008A394A"/>
    <w:rsid w:val="008A42DA"/>
    <w:rsid w:val="008B28DD"/>
    <w:rsid w:val="008B2B92"/>
    <w:rsid w:val="008B7260"/>
    <w:rsid w:val="008B760D"/>
    <w:rsid w:val="008C000A"/>
    <w:rsid w:val="008C135B"/>
    <w:rsid w:val="008D0A81"/>
    <w:rsid w:val="008D0CB4"/>
    <w:rsid w:val="008D6D91"/>
    <w:rsid w:val="008E6316"/>
    <w:rsid w:val="008E7E7E"/>
    <w:rsid w:val="008F3A26"/>
    <w:rsid w:val="008F4C36"/>
    <w:rsid w:val="008F53BB"/>
    <w:rsid w:val="00900496"/>
    <w:rsid w:val="00902A88"/>
    <w:rsid w:val="00903B9B"/>
    <w:rsid w:val="009041E6"/>
    <w:rsid w:val="00912901"/>
    <w:rsid w:val="0091338B"/>
    <w:rsid w:val="00920E47"/>
    <w:rsid w:val="009218F9"/>
    <w:rsid w:val="0092342B"/>
    <w:rsid w:val="009247C8"/>
    <w:rsid w:val="009251D5"/>
    <w:rsid w:val="00926361"/>
    <w:rsid w:val="00926F2C"/>
    <w:rsid w:val="00930AF5"/>
    <w:rsid w:val="00935AC6"/>
    <w:rsid w:val="00935ECF"/>
    <w:rsid w:val="00942258"/>
    <w:rsid w:val="00942379"/>
    <w:rsid w:val="0094347F"/>
    <w:rsid w:val="009477FC"/>
    <w:rsid w:val="009517CB"/>
    <w:rsid w:val="0095297C"/>
    <w:rsid w:val="00952BFD"/>
    <w:rsid w:val="0095328A"/>
    <w:rsid w:val="00954AAE"/>
    <w:rsid w:val="009660C7"/>
    <w:rsid w:val="00974995"/>
    <w:rsid w:val="0097499A"/>
    <w:rsid w:val="009771C9"/>
    <w:rsid w:val="00980463"/>
    <w:rsid w:val="00984F9A"/>
    <w:rsid w:val="009856D9"/>
    <w:rsid w:val="00992631"/>
    <w:rsid w:val="0099573F"/>
    <w:rsid w:val="009A3DD6"/>
    <w:rsid w:val="009A48EC"/>
    <w:rsid w:val="009A67A5"/>
    <w:rsid w:val="009B1052"/>
    <w:rsid w:val="009B65F0"/>
    <w:rsid w:val="009B6DB2"/>
    <w:rsid w:val="009B712E"/>
    <w:rsid w:val="009B7742"/>
    <w:rsid w:val="009C13B4"/>
    <w:rsid w:val="009C2451"/>
    <w:rsid w:val="009C6E1B"/>
    <w:rsid w:val="009D522A"/>
    <w:rsid w:val="009D6817"/>
    <w:rsid w:val="009D73B3"/>
    <w:rsid w:val="009D74FE"/>
    <w:rsid w:val="009E07EC"/>
    <w:rsid w:val="009E12F9"/>
    <w:rsid w:val="009E219F"/>
    <w:rsid w:val="009E23FB"/>
    <w:rsid w:val="009E2A96"/>
    <w:rsid w:val="009F0F42"/>
    <w:rsid w:val="009F4070"/>
    <w:rsid w:val="009F64A2"/>
    <w:rsid w:val="009F76B1"/>
    <w:rsid w:val="009F78FF"/>
    <w:rsid w:val="00A00E40"/>
    <w:rsid w:val="00A020ED"/>
    <w:rsid w:val="00A144FF"/>
    <w:rsid w:val="00A257AF"/>
    <w:rsid w:val="00A30AE5"/>
    <w:rsid w:val="00A37A26"/>
    <w:rsid w:val="00A41B1B"/>
    <w:rsid w:val="00A50570"/>
    <w:rsid w:val="00A50FBC"/>
    <w:rsid w:val="00A52204"/>
    <w:rsid w:val="00A55D23"/>
    <w:rsid w:val="00A613FA"/>
    <w:rsid w:val="00A621FB"/>
    <w:rsid w:val="00A670D8"/>
    <w:rsid w:val="00A70770"/>
    <w:rsid w:val="00A71B15"/>
    <w:rsid w:val="00A80405"/>
    <w:rsid w:val="00A8151A"/>
    <w:rsid w:val="00A83C62"/>
    <w:rsid w:val="00A85636"/>
    <w:rsid w:val="00A902E8"/>
    <w:rsid w:val="00A9457A"/>
    <w:rsid w:val="00A96DD8"/>
    <w:rsid w:val="00AA0FE9"/>
    <w:rsid w:val="00AA16CC"/>
    <w:rsid w:val="00AA319D"/>
    <w:rsid w:val="00AA402A"/>
    <w:rsid w:val="00AA4E18"/>
    <w:rsid w:val="00AA5C3B"/>
    <w:rsid w:val="00AA7C41"/>
    <w:rsid w:val="00AA7F75"/>
    <w:rsid w:val="00AB37AE"/>
    <w:rsid w:val="00AB3843"/>
    <w:rsid w:val="00AB5DCC"/>
    <w:rsid w:val="00AB76D9"/>
    <w:rsid w:val="00AC192F"/>
    <w:rsid w:val="00AC68AC"/>
    <w:rsid w:val="00AC714E"/>
    <w:rsid w:val="00AE1C6E"/>
    <w:rsid w:val="00AE6F50"/>
    <w:rsid w:val="00AE6FAC"/>
    <w:rsid w:val="00AE7635"/>
    <w:rsid w:val="00AF47A0"/>
    <w:rsid w:val="00AF5C0D"/>
    <w:rsid w:val="00B1007D"/>
    <w:rsid w:val="00B10665"/>
    <w:rsid w:val="00B11B5A"/>
    <w:rsid w:val="00B14DF2"/>
    <w:rsid w:val="00B16B44"/>
    <w:rsid w:val="00B21083"/>
    <w:rsid w:val="00B21B11"/>
    <w:rsid w:val="00B32C1A"/>
    <w:rsid w:val="00B356C9"/>
    <w:rsid w:val="00B368E2"/>
    <w:rsid w:val="00B404CF"/>
    <w:rsid w:val="00B457D9"/>
    <w:rsid w:val="00B54827"/>
    <w:rsid w:val="00B62033"/>
    <w:rsid w:val="00B6245E"/>
    <w:rsid w:val="00B62477"/>
    <w:rsid w:val="00B70F1F"/>
    <w:rsid w:val="00B818D3"/>
    <w:rsid w:val="00B84349"/>
    <w:rsid w:val="00B87EE3"/>
    <w:rsid w:val="00B9702C"/>
    <w:rsid w:val="00BA14D1"/>
    <w:rsid w:val="00BA4A24"/>
    <w:rsid w:val="00BA56AD"/>
    <w:rsid w:val="00BB2972"/>
    <w:rsid w:val="00BB2D91"/>
    <w:rsid w:val="00BB395B"/>
    <w:rsid w:val="00BB694E"/>
    <w:rsid w:val="00BB72FB"/>
    <w:rsid w:val="00BC3000"/>
    <w:rsid w:val="00BC5599"/>
    <w:rsid w:val="00BC6073"/>
    <w:rsid w:val="00BC6A5D"/>
    <w:rsid w:val="00BC6B01"/>
    <w:rsid w:val="00BD00BB"/>
    <w:rsid w:val="00BD033A"/>
    <w:rsid w:val="00BD06D9"/>
    <w:rsid w:val="00BD6042"/>
    <w:rsid w:val="00BD660F"/>
    <w:rsid w:val="00BE3BCC"/>
    <w:rsid w:val="00BF1D23"/>
    <w:rsid w:val="00BF208C"/>
    <w:rsid w:val="00BF2B02"/>
    <w:rsid w:val="00BF7AB5"/>
    <w:rsid w:val="00BF7B28"/>
    <w:rsid w:val="00C008D9"/>
    <w:rsid w:val="00C015CD"/>
    <w:rsid w:val="00C020BB"/>
    <w:rsid w:val="00C06E98"/>
    <w:rsid w:val="00C14927"/>
    <w:rsid w:val="00C162CE"/>
    <w:rsid w:val="00C2054D"/>
    <w:rsid w:val="00C20914"/>
    <w:rsid w:val="00C26A20"/>
    <w:rsid w:val="00C27042"/>
    <w:rsid w:val="00C272EE"/>
    <w:rsid w:val="00C31967"/>
    <w:rsid w:val="00C33874"/>
    <w:rsid w:val="00C34557"/>
    <w:rsid w:val="00C37148"/>
    <w:rsid w:val="00C37811"/>
    <w:rsid w:val="00C37896"/>
    <w:rsid w:val="00C40443"/>
    <w:rsid w:val="00C421F9"/>
    <w:rsid w:val="00C50334"/>
    <w:rsid w:val="00C50EDA"/>
    <w:rsid w:val="00C5318D"/>
    <w:rsid w:val="00C53D34"/>
    <w:rsid w:val="00C6127D"/>
    <w:rsid w:val="00C648F7"/>
    <w:rsid w:val="00C661EA"/>
    <w:rsid w:val="00C700A0"/>
    <w:rsid w:val="00C72E03"/>
    <w:rsid w:val="00C74487"/>
    <w:rsid w:val="00C766DC"/>
    <w:rsid w:val="00C80430"/>
    <w:rsid w:val="00C80712"/>
    <w:rsid w:val="00C82888"/>
    <w:rsid w:val="00C91E24"/>
    <w:rsid w:val="00CA0210"/>
    <w:rsid w:val="00CB4400"/>
    <w:rsid w:val="00CB4AED"/>
    <w:rsid w:val="00CC099D"/>
    <w:rsid w:val="00CC123F"/>
    <w:rsid w:val="00CC5303"/>
    <w:rsid w:val="00CD1997"/>
    <w:rsid w:val="00CD271D"/>
    <w:rsid w:val="00CD495C"/>
    <w:rsid w:val="00CD6673"/>
    <w:rsid w:val="00CE11B0"/>
    <w:rsid w:val="00CE25C5"/>
    <w:rsid w:val="00CE5415"/>
    <w:rsid w:val="00CE6B18"/>
    <w:rsid w:val="00CF282E"/>
    <w:rsid w:val="00CF2CA7"/>
    <w:rsid w:val="00CF4169"/>
    <w:rsid w:val="00CF512F"/>
    <w:rsid w:val="00CF573D"/>
    <w:rsid w:val="00CF664A"/>
    <w:rsid w:val="00CF746D"/>
    <w:rsid w:val="00D000CB"/>
    <w:rsid w:val="00D015C2"/>
    <w:rsid w:val="00D032A0"/>
    <w:rsid w:val="00D1462F"/>
    <w:rsid w:val="00D2011D"/>
    <w:rsid w:val="00D22E5C"/>
    <w:rsid w:val="00D3107A"/>
    <w:rsid w:val="00D325BD"/>
    <w:rsid w:val="00D33EC3"/>
    <w:rsid w:val="00D40FEF"/>
    <w:rsid w:val="00D4213E"/>
    <w:rsid w:val="00D43B37"/>
    <w:rsid w:val="00D444E7"/>
    <w:rsid w:val="00D44C56"/>
    <w:rsid w:val="00D4580A"/>
    <w:rsid w:val="00D45FE0"/>
    <w:rsid w:val="00D462AA"/>
    <w:rsid w:val="00D51AA4"/>
    <w:rsid w:val="00D5368D"/>
    <w:rsid w:val="00D55A3D"/>
    <w:rsid w:val="00D55EBA"/>
    <w:rsid w:val="00D61C59"/>
    <w:rsid w:val="00D6386E"/>
    <w:rsid w:val="00D65572"/>
    <w:rsid w:val="00D72AD0"/>
    <w:rsid w:val="00D73194"/>
    <w:rsid w:val="00D74C91"/>
    <w:rsid w:val="00D75E50"/>
    <w:rsid w:val="00D77A9F"/>
    <w:rsid w:val="00D83A9D"/>
    <w:rsid w:val="00D8638A"/>
    <w:rsid w:val="00D873C1"/>
    <w:rsid w:val="00D87A5C"/>
    <w:rsid w:val="00D90E70"/>
    <w:rsid w:val="00D91E7B"/>
    <w:rsid w:val="00D94320"/>
    <w:rsid w:val="00D94FBD"/>
    <w:rsid w:val="00D953D5"/>
    <w:rsid w:val="00D973F2"/>
    <w:rsid w:val="00DA175E"/>
    <w:rsid w:val="00DA3F28"/>
    <w:rsid w:val="00DA4748"/>
    <w:rsid w:val="00DB26E8"/>
    <w:rsid w:val="00DB2D4D"/>
    <w:rsid w:val="00DB474B"/>
    <w:rsid w:val="00DB6457"/>
    <w:rsid w:val="00DB6CDA"/>
    <w:rsid w:val="00DD10FE"/>
    <w:rsid w:val="00DD1CF0"/>
    <w:rsid w:val="00DD1D86"/>
    <w:rsid w:val="00DD261C"/>
    <w:rsid w:val="00DD4B83"/>
    <w:rsid w:val="00DE40E6"/>
    <w:rsid w:val="00DF12E3"/>
    <w:rsid w:val="00DF2CD6"/>
    <w:rsid w:val="00DF2FFB"/>
    <w:rsid w:val="00E030AC"/>
    <w:rsid w:val="00E05125"/>
    <w:rsid w:val="00E06B49"/>
    <w:rsid w:val="00E14AD9"/>
    <w:rsid w:val="00E21F9D"/>
    <w:rsid w:val="00E249EE"/>
    <w:rsid w:val="00E24D04"/>
    <w:rsid w:val="00E31DF7"/>
    <w:rsid w:val="00E3520A"/>
    <w:rsid w:val="00E36B2F"/>
    <w:rsid w:val="00E37FE0"/>
    <w:rsid w:val="00E471B2"/>
    <w:rsid w:val="00E47451"/>
    <w:rsid w:val="00E525B8"/>
    <w:rsid w:val="00E5279C"/>
    <w:rsid w:val="00E53BFB"/>
    <w:rsid w:val="00E634D2"/>
    <w:rsid w:val="00E63B85"/>
    <w:rsid w:val="00E66C25"/>
    <w:rsid w:val="00E707C0"/>
    <w:rsid w:val="00E70D05"/>
    <w:rsid w:val="00E91ACE"/>
    <w:rsid w:val="00E951DA"/>
    <w:rsid w:val="00EA02BF"/>
    <w:rsid w:val="00EA461E"/>
    <w:rsid w:val="00EB3905"/>
    <w:rsid w:val="00EB6786"/>
    <w:rsid w:val="00EC2E78"/>
    <w:rsid w:val="00EC46CB"/>
    <w:rsid w:val="00EC4C36"/>
    <w:rsid w:val="00EC72A4"/>
    <w:rsid w:val="00ED0F54"/>
    <w:rsid w:val="00ED2AF9"/>
    <w:rsid w:val="00EE2072"/>
    <w:rsid w:val="00EE5E29"/>
    <w:rsid w:val="00EE62DE"/>
    <w:rsid w:val="00EF3966"/>
    <w:rsid w:val="00EF5B61"/>
    <w:rsid w:val="00EF677C"/>
    <w:rsid w:val="00EF67A1"/>
    <w:rsid w:val="00F005D7"/>
    <w:rsid w:val="00F01B35"/>
    <w:rsid w:val="00F111F3"/>
    <w:rsid w:val="00F169BC"/>
    <w:rsid w:val="00F2197F"/>
    <w:rsid w:val="00F2212F"/>
    <w:rsid w:val="00F27F10"/>
    <w:rsid w:val="00F31326"/>
    <w:rsid w:val="00F331D9"/>
    <w:rsid w:val="00F36A00"/>
    <w:rsid w:val="00F4232F"/>
    <w:rsid w:val="00F43275"/>
    <w:rsid w:val="00F43471"/>
    <w:rsid w:val="00F45C48"/>
    <w:rsid w:val="00F506B1"/>
    <w:rsid w:val="00F532C3"/>
    <w:rsid w:val="00F5523B"/>
    <w:rsid w:val="00F557F7"/>
    <w:rsid w:val="00F61A0E"/>
    <w:rsid w:val="00F7137D"/>
    <w:rsid w:val="00F717C0"/>
    <w:rsid w:val="00F7337E"/>
    <w:rsid w:val="00F73729"/>
    <w:rsid w:val="00F753D1"/>
    <w:rsid w:val="00F759E6"/>
    <w:rsid w:val="00F83DE1"/>
    <w:rsid w:val="00F85486"/>
    <w:rsid w:val="00F85F6D"/>
    <w:rsid w:val="00F9366F"/>
    <w:rsid w:val="00F940E2"/>
    <w:rsid w:val="00F94B73"/>
    <w:rsid w:val="00FA1520"/>
    <w:rsid w:val="00FA55E4"/>
    <w:rsid w:val="00FA5B3C"/>
    <w:rsid w:val="00FB0801"/>
    <w:rsid w:val="00FB3351"/>
    <w:rsid w:val="00FC47BF"/>
    <w:rsid w:val="00FC715E"/>
    <w:rsid w:val="00FC7CE9"/>
    <w:rsid w:val="00FD0C5A"/>
    <w:rsid w:val="00FE16AC"/>
    <w:rsid w:val="00FE1BB7"/>
    <w:rsid w:val="00FE3076"/>
    <w:rsid w:val="00FE3871"/>
    <w:rsid w:val="00FE56B2"/>
    <w:rsid w:val="00FE6C8C"/>
    <w:rsid w:val="00FF09FB"/>
    <w:rsid w:val="00FF13A2"/>
    <w:rsid w:val="00FF36BC"/>
    <w:rsid w:val="00FF5155"/>
    <w:rsid w:val="00FF5DA2"/>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0A4"/>
  <w15:chartTrackingRefBased/>
  <w15:docId w15:val="{B10B7D91-3E2D-4F68-A67A-60E06BE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7684C"/>
    <w:pPr>
      <w:widowControl w:val="0"/>
      <w:autoSpaceDE w:val="0"/>
      <w:autoSpaceDN w:val="0"/>
      <w:spacing w:after="0" w:line="240" w:lineRule="auto"/>
      <w:ind w:left="820"/>
      <w:outlineLvl w:val="1"/>
    </w:pPr>
    <w:rPr>
      <w:rFonts w:ascii="Arial" w:eastAsia="Arial" w:hAnsi="Arial" w:cs="Arial"/>
      <w:b/>
      <w:bCs/>
      <w:i/>
      <w:sz w:val="24"/>
      <w:szCs w:val="24"/>
      <w:u w:val="single" w:color="000000"/>
      <w:lang w:val="en-ZA"/>
    </w:rPr>
  </w:style>
  <w:style w:type="paragraph" w:styleId="Heading3">
    <w:name w:val="heading 3"/>
    <w:basedOn w:val="Normal"/>
    <w:next w:val="Normal"/>
    <w:link w:val="Heading3Char"/>
    <w:uiPriority w:val="9"/>
    <w:semiHidden/>
    <w:unhideWhenUsed/>
    <w:qFormat/>
    <w:rsid w:val="00966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8C9"/>
    <w:pPr>
      <w:ind w:left="720"/>
      <w:contextualSpacing/>
    </w:pPr>
  </w:style>
  <w:style w:type="table" w:styleId="TableGrid">
    <w:name w:val="Table Grid"/>
    <w:basedOn w:val="TableNormal"/>
    <w:uiPriority w:val="39"/>
    <w:rsid w:val="00F5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23"/>
  </w:style>
  <w:style w:type="paragraph" w:styleId="Footer">
    <w:name w:val="footer"/>
    <w:basedOn w:val="Normal"/>
    <w:link w:val="FooterChar"/>
    <w:uiPriority w:val="99"/>
    <w:unhideWhenUsed/>
    <w:rsid w:val="00BF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23"/>
  </w:style>
  <w:style w:type="paragraph" w:styleId="FootnoteText">
    <w:name w:val="footnote text"/>
    <w:basedOn w:val="Normal"/>
    <w:link w:val="FootnoteTextChar"/>
    <w:uiPriority w:val="99"/>
    <w:semiHidden/>
    <w:unhideWhenUsed/>
    <w:rsid w:val="00132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53"/>
    <w:rPr>
      <w:sz w:val="20"/>
      <w:szCs w:val="20"/>
    </w:rPr>
  </w:style>
  <w:style w:type="character" w:styleId="FootnoteReference">
    <w:name w:val="footnote reference"/>
    <w:basedOn w:val="DefaultParagraphFont"/>
    <w:uiPriority w:val="99"/>
    <w:semiHidden/>
    <w:unhideWhenUsed/>
    <w:rsid w:val="00132153"/>
    <w:rPr>
      <w:vertAlign w:val="superscript"/>
    </w:rPr>
  </w:style>
  <w:style w:type="paragraph" w:customStyle="1" w:styleId="Default">
    <w:name w:val="Default"/>
    <w:rsid w:val="001542B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A7F75"/>
  </w:style>
  <w:style w:type="paragraph" w:customStyle="1" w:styleId="Style">
    <w:name w:val="Style"/>
    <w:rsid w:val="00AA7F7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WerksmansStyle1">
    <w:name w:val="Werksmans_Style1"/>
    <w:basedOn w:val="Normal"/>
    <w:next w:val="Normal"/>
    <w:rsid w:val="00BF7B28"/>
    <w:pPr>
      <w:tabs>
        <w:tab w:val="num" w:pos="720"/>
      </w:tabs>
      <w:suppressAutoHyphens/>
      <w:spacing w:after="0" w:line="480" w:lineRule="auto"/>
      <w:ind w:left="720" w:hanging="720"/>
      <w:jc w:val="both"/>
      <w:outlineLvl w:val="0"/>
    </w:pPr>
    <w:rPr>
      <w:rFonts w:ascii="Arial" w:eastAsia="Times New Roman" w:hAnsi="Arial" w:cs="Times New Roman"/>
      <w:sz w:val="25"/>
      <w:szCs w:val="25"/>
      <w:lang w:val="en-ZA"/>
    </w:rPr>
  </w:style>
  <w:style w:type="paragraph" w:customStyle="1" w:styleId="WerksmansStyle2">
    <w:name w:val="Werksmans_Style2"/>
    <w:basedOn w:val="Normal"/>
    <w:next w:val="Normal"/>
    <w:rsid w:val="00BF7B28"/>
    <w:pPr>
      <w:tabs>
        <w:tab w:val="num" w:pos="1440"/>
      </w:tabs>
      <w:suppressAutoHyphens/>
      <w:snapToGrid w:val="0"/>
      <w:spacing w:after="0" w:line="480" w:lineRule="auto"/>
      <w:ind w:left="1440" w:hanging="1440"/>
      <w:jc w:val="both"/>
      <w:outlineLvl w:val="1"/>
    </w:pPr>
    <w:rPr>
      <w:rFonts w:ascii="Arial" w:eastAsia="Times New Roman" w:hAnsi="Arial" w:cs="Times New Roman"/>
      <w:sz w:val="24"/>
      <w:szCs w:val="20"/>
      <w:lang w:val="en-GB"/>
    </w:rPr>
  </w:style>
  <w:style w:type="paragraph" w:customStyle="1" w:styleId="WerksmansStyle3">
    <w:name w:val="Werksmans_Style3"/>
    <w:basedOn w:val="Normal"/>
    <w:next w:val="Normal"/>
    <w:rsid w:val="000B5FE5"/>
    <w:pPr>
      <w:numPr>
        <w:ilvl w:val="2"/>
        <w:numId w:val="1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2474CA"/>
    <w:pPr>
      <w:numPr>
        <w:ilvl w:val="3"/>
        <w:numId w:val="11"/>
      </w:numPr>
      <w:suppressAutoHyphens/>
      <w:spacing w:after="0" w:line="480" w:lineRule="auto"/>
      <w:jc w:val="both"/>
      <w:outlineLvl w:val="3"/>
    </w:pPr>
    <w:rPr>
      <w:rFonts w:ascii="Arial" w:eastAsia="Times New Roman" w:hAnsi="Arial" w:cs="Times New Roman"/>
      <w:snapToGrid w:val="0"/>
      <w:sz w:val="24"/>
      <w:szCs w:val="20"/>
      <w:lang w:val="en-GB"/>
    </w:rPr>
  </w:style>
  <w:style w:type="character" w:customStyle="1" w:styleId="Heading2Char">
    <w:name w:val="Heading 2 Char"/>
    <w:basedOn w:val="DefaultParagraphFont"/>
    <w:link w:val="Heading2"/>
    <w:uiPriority w:val="1"/>
    <w:rsid w:val="0067684C"/>
    <w:rPr>
      <w:rFonts w:ascii="Arial" w:eastAsia="Arial" w:hAnsi="Arial" w:cs="Arial"/>
      <w:b/>
      <w:bCs/>
      <w:i/>
      <w:sz w:val="24"/>
      <w:szCs w:val="24"/>
      <w:u w:val="single" w:color="000000"/>
      <w:lang w:val="en-ZA"/>
    </w:rPr>
  </w:style>
  <w:style w:type="paragraph" w:styleId="BodyText">
    <w:name w:val="Body Text"/>
    <w:basedOn w:val="Normal"/>
    <w:link w:val="BodyTextChar"/>
    <w:uiPriority w:val="1"/>
    <w:qFormat/>
    <w:rsid w:val="0067684C"/>
    <w:pPr>
      <w:widowControl w:val="0"/>
      <w:autoSpaceDE w:val="0"/>
      <w:autoSpaceDN w:val="0"/>
      <w:spacing w:after="0" w:line="240" w:lineRule="auto"/>
    </w:pPr>
    <w:rPr>
      <w:rFonts w:ascii="Arial" w:eastAsia="Arial" w:hAnsi="Arial" w:cs="Arial"/>
      <w:sz w:val="24"/>
      <w:szCs w:val="24"/>
      <w:lang w:val="en-ZA"/>
    </w:rPr>
  </w:style>
  <w:style w:type="character" w:customStyle="1" w:styleId="BodyTextChar">
    <w:name w:val="Body Text Char"/>
    <w:basedOn w:val="DefaultParagraphFont"/>
    <w:link w:val="BodyText"/>
    <w:uiPriority w:val="1"/>
    <w:rsid w:val="0067684C"/>
    <w:rPr>
      <w:rFonts w:ascii="Arial" w:eastAsia="Arial" w:hAnsi="Arial" w:cs="Arial"/>
      <w:sz w:val="24"/>
      <w:szCs w:val="24"/>
      <w:lang w:val="en-ZA"/>
    </w:rPr>
  </w:style>
  <w:style w:type="paragraph" w:styleId="BalloonText">
    <w:name w:val="Balloon Text"/>
    <w:basedOn w:val="Normal"/>
    <w:link w:val="BalloonTextChar"/>
    <w:uiPriority w:val="99"/>
    <w:semiHidden/>
    <w:unhideWhenUsed/>
    <w:rsid w:val="007C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73"/>
    <w:rPr>
      <w:rFonts w:ascii="Segoe UI" w:hAnsi="Segoe UI" w:cs="Segoe UI"/>
      <w:sz w:val="18"/>
      <w:szCs w:val="18"/>
    </w:rPr>
  </w:style>
  <w:style w:type="character" w:customStyle="1" w:styleId="Heading1Char">
    <w:name w:val="Heading 1 Char"/>
    <w:basedOn w:val="DefaultParagraphFont"/>
    <w:link w:val="Heading1"/>
    <w:uiPriority w:val="9"/>
    <w:rsid w:val="00966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0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52D47"/>
    <w:rPr>
      <w:color w:val="0000FF"/>
      <w:u w:val="single"/>
    </w:rPr>
  </w:style>
  <w:style w:type="character" w:styleId="CommentReference">
    <w:name w:val="annotation reference"/>
    <w:basedOn w:val="DefaultParagraphFont"/>
    <w:uiPriority w:val="99"/>
    <w:semiHidden/>
    <w:unhideWhenUsed/>
    <w:rsid w:val="00227C4A"/>
    <w:rPr>
      <w:sz w:val="16"/>
      <w:szCs w:val="16"/>
    </w:rPr>
  </w:style>
  <w:style w:type="paragraph" w:styleId="CommentText">
    <w:name w:val="annotation text"/>
    <w:basedOn w:val="Normal"/>
    <w:link w:val="CommentTextChar"/>
    <w:uiPriority w:val="99"/>
    <w:semiHidden/>
    <w:unhideWhenUsed/>
    <w:rsid w:val="00227C4A"/>
    <w:pPr>
      <w:spacing w:line="240" w:lineRule="auto"/>
    </w:pPr>
    <w:rPr>
      <w:sz w:val="20"/>
      <w:szCs w:val="20"/>
    </w:rPr>
  </w:style>
  <w:style w:type="character" w:customStyle="1" w:styleId="CommentTextChar">
    <w:name w:val="Comment Text Char"/>
    <w:basedOn w:val="DefaultParagraphFont"/>
    <w:link w:val="CommentText"/>
    <w:uiPriority w:val="99"/>
    <w:semiHidden/>
    <w:rsid w:val="00227C4A"/>
    <w:rPr>
      <w:sz w:val="20"/>
      <w:szCs w:val="20"/>
    </w:rPr>
  </w:style>
  <w:style w:type="paragraph" w:styleId="CommentSubject">
    <w:name w:val="annotation subject"/>
    <w:basedOn w:val="CommentText"/>
    <w:next w:val="CommentText"/>
    <w:link w:val="CommentSubjectChar"/>
    <w:uiPriority w:val="99"/>
    <w:semiHidden/>
    <w:unhideWhenUsed/>
    <w:rsid w:val="00227C4A"/>
    <w:rPr>
      <w:b/>
      <w:bCs/>
    </w:rPr>
  </w:style>
  <w:style w:type="character" w:customStyle="1" w:styleId="CommentSubjectChar">
    <w:name w:val="Comment Subject Char"/>
    <w:basedOn w:val="CommentTextChar"/>
    <w:link w:val="CommentSubject"/>
    <w:uiPriority w:val="99"/>
    <w:semiHidden/>
    <w:rsid w:val="00227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0348">
      <w:bodyDiv w:val="1"/>
      <w:marLeft w:val="0"/>
      <w:marRight w:val="0"/>
      <w:marTop w:val="0"/>
      <w:marBottom w:val="0"/>
      <w:divBdr>
        <w:top w:val="none" w:sz="0" w:space="0" w:color="auto"/>
        <w:left w:val="none" w:sz="0" w:space="0" w:color="auto"/>
        <w:bottom w:val="none" w:sz="0" w:space="0" w:color="auto"/>
        <w:right w:val="none" w:sz="0" w:space="0" w:color="auto"/>
      </w:divBdr>
    </w:div>
    <w:div w:id="248659177">
      <w:bodyDiv w:val="1"/>
      <w:marLeft w:val="0"/>
      <w:marRight w:val="0"/>
      <w:marTop w:val="0"/>
      <w:marBottom w:val="0"/>
      <w:divBdr>
        <w:top w:val="none" w:sz="0" w:space="0" w:color="auto"/>
        <w:left w:val="none" w:sz="0" w:space="0" w:color="auto"/>
        <w:bottom w:val="none" w:sz="0" w:space="0" w:color="auto"/>
        <w:right w:val="none" w:sz="0" w:space="0" w:color="auto"/>
      </w:divBdr>
    </w:div>
    <w:div w:id="309675836">
      <w:bodyDiv w:val="1"/>
      <w:marLeft w:val="0"/>
      <w:marRight w:val="0"/>
      <w:marTop w:val="0"/>
      <w:marBottom w:val="0"/>
      <w:divBdr>
        <w:top w:val="none" w:sz="0" w:space="0" w:color="auto"/>
        <w:left w:val="none" w:sz="0" w:space="0" w:color="auto"/>
        <w:bottom w:val="none" w:sz="0" w:space="0" w:color="auto"/>
        <w:right w:val="none" w:sz="0" w:space="0" w:color="auto"/>
      </w:divBdr>
    </w:div>
    <w:div w:id="377121462">
      <w:bodyDiv w:val="1"/>
      <w:marLeft w:val="0"/>
      <w:marRight w:val="0"/>
      <w:marTop w:val="0"/>
      <w:marBottom w:val="0"/>
      <w:divBdr>
        <w:top w:val="none" w:sz="0" w:space="0" w:color="auto"/>
        <w:left w:val="none" w:sz="0" w:space="0" w:color="auto"/>
        <w:bottom w:val="none" w:sz="0" w:space="0" w:color="auto"/>
        <w:right w:val="none" w:sz="0" w:space="0" w:color="auto"/>
      </w:divBdr>
    </w:div>
    <w:div w:id="489709540">
      <w:bodyDiv w:val="1"/>
      <w:marLeft w:val="0"/>
      <w:marRight w:val="0"/>
      <w:marTop w:val="0"/>
      <w:marBottom w:val="0"/>
      <w:divBdr>
        <w:top w:val="none" w:sz="0" w:space="0" w:color="auto"/>
        <w:left w:val="none" w:sz="0" w:space="0" w:color="auto"/>
        <w:bottom w:val="none" w:sz="0" w:space="0" w:color="auto"/>
        <w:right w:val="none" w:sz="0" w:space="0" w:color="auto"/>
      </w:divBdr>
    </w:div>
    <w:div w:id="54992593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588151786">
      <w:bodyDiv w:val="1"/>
      <w:marLeft w:val="0"/>
      <w:marRight w:val="0"/>
      <w:marTop w:val="0"/>
      <w:marBottom w:val="0"/>
      <w:divBdr>
        <w:top w:val="none" w:sz="0" w:space="0" w:color="auto"/>
        <w:left w:val="none" w:sz="0" w:space="0" w:color="auto"/>
        <w:bottom w:val="none" w:sz="0" w:space="0" w:color="auto"/>
        <w:right w:val="none" w:sz="0" w:space="0" w:color="auto"/>
      </w:divBdr>
    </w:div>
    <w:div w:id="1908029125">
      <w:bodyDiv w:val="1"/>
      <w:marLeft w:val="0"/>
      <w:marRight w:val="0"/>
      <w:marTop w:val="0"/>
      <w:marBottom w:val="0"/>
      <w:divBdr>
        <w:top w:val="none" w:sz="0" w:space="0" w:color="auto"/>
        <w:left w:val="none" w:sz="0" w:space="0" w:color="auto"/>
        <w:bottom w:val="none" w:sz="0" w:space="0" w:color="auto"/>
        <w:right w:val="none" w:sz="0" w:space="0" w:color="auto"/>
      </w:divBdr>
    </w:div>
    <w:div w:id="1999964605">
      <w:bodyDiv w:val="1"/>
      <w:marLeft w:val="0"/>
      <w:marRight w:val="0"/>
      <w:marTop w:val="0"/>
      <w:marBottom w:val="0"/>
      <w:divBdr>
        <w:top w:val="none" w:sz="0" w:space="0" w:color="auto"/>
        <w:left w:val="none" w:sz="0" w:space="0" w:color="auto"/>
        <w:bottom w:val="none" w:sz="0" w:space="0" w:color="auto"/>
        <w:right w:val="none" w:sz="0" w:space="0" w:color="auto"/>
      </w:divBdr>
    </w:div>
    <w:div w:id="2002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7724-6A4A-4FEE-B44F-8BFD9C0B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Jager</dc:creator>
  <cp:keywords/>
  <dc:description/>
  <cp:lastModifiedBy>HOME</cp:lastModifiedBy>
  <cp:revision>2</cp:revision>
  <cp:lastPrinted>2022-05-27T13:59:00Z</cp:lastPrinted>
  <dcterms:created xsi:type="dcterms:W3CDTF">2022-05-30T19:40:00Z</dcterms:created>
  <dcterms:modified xsi:type="dcterms:W3CDTF">2022-05-30T19:40:00Z</dcterms:modified>
</cp:coreProperties>
</file>