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B71D6" w14:textId="77777777" w:rsidR="00C10331" w:rsidRPr="00F659A1" w:rsidRDefault="00C10331" w:rsidP="00C10331">
      <w:pPr>
        <w:spacing w:line="360" w:lineRule="auto"/>
        <w:jc w:val="center"/>
        <w:rPr>
          <w:rFonts w:ascii="Arial" w:hAnsi="Arial" w:cs="Arial"/>
          <w:b/>
        </w:rPr>
      </w:pPr>
      <w:bookmarkStart w:id="0" w:name="_GoBack"/>
      <w:bookmarkEnd w:id="0"/>
      <w:r w:rsidRPr="00F659A1">
        <w:rPr>
          <w:rFonts w:ascii="Arial" w:hAnsi="Arial" w:cs="Arial"/>
          <w:b/>
          <w:noProof/>
          <w:lang w:eastAsia="en-ZA"/>
        </w:rPr>
        <w:drawing>
          <wp:inline distT="0" distB="0" distL="0" distR="0" wp14:anchorId="60C97742" wp14:editId="2BF10435">
            <wp:extent cx="1352550" cy="1352550"/>
            <wp:effectExtent l="0" t="0" r="0" b="0"/>
            <wp:docPr id="1"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2CAB2578" w14:textId="77777777" w:rsidR="00C10331" w:rsidRPr="00F659A1" w:rsidRDefault="00C10331" w:rsidP="00C10331">
      <w:pPr>
        <w:spacing w:after="0" w:line="360" w:lineRule="auto"/>
        <w:jc w:val="center"/>
        <w:rPr>
          <w:rFonts w:ascii="Arial" w:hAnsi="Arial" w:cs="Arial"/>
          <w:b/>
          <w:sz w:val="24"/>
          <w:szCs w:val="24"/>
        </w:rPr>
      </w:pPr>
      <w:r w:rsidRPr="00F659A1">
        <w:rPr>
          <w:rFonts w:ascii="Arial" w:hAnsi="Arial" w:cs="Arial"/>
          <w:b/>
          <w:sz w:val="24"/>
          <w:szCs w:val="24"/>
        </w:rPr>
        <w:t>IN THE HIGH COURT OF SOUTH AFRICA</w:t>
      </w:r>
    </w:p>
    <w:p w14:paraId="3CC9276A" w14:textId="77777777" w:rsidR="00C10331" w:rsidRPr="00F659A1" w:rsidRDefault="00C10331" w:rsidP="00C10331">
      <w:pPr>
        <w:spacing w:after="0" w:line="360" w:lineRule="auto"/>
        <w:jc w:val="center"/>
        <w:rPr>
          <w:rFonts w:ascii="Arial" w:hAnsi="Arial" w:cs="Arial"/>
          <w:b/>
          <w:sz w:val="24"/>
          <w:szCs w:val="24"/>
        </w:rPr>
      </w:pPr>
      <w:r w:rsidRPr="00F659A1">
        <w:rPr>
          <w:rFonts w:ascii="Arial" w:hAnsi="Arial" w:cs="Arial"/>
          <w:b/>
          <w:sz w:val="24"/>
          <w:szCs w:val="24"/>
        </w:rPr>
        <w:t>GAUTENG LOCAL DIVISION, JOHANNESBURG</w:t>
      </w:r>
    </w:p>
    <w:p w14:paraId="0BF9D78A" w14:textId="77777777" w:rsidR="00C10331" w:rsidRPr="00F659A1" w:rsidRDefault="00C10331" w:rsidP="00C10331">
      <w:pPr>
        <w:tabs>
          <w:tab w:val="center" w:pos="4680"/>
          <w:tab w:val="left" w:pos="7518"/>
        </w:tabs>
        <w:spacing w:after="0" w:line="360" w:lineRule="auto"/>
        <w:rPr>
          <w:rFonts w:ascii="Arial" w:hAnsi="Arial" w:cs="Arial"/>
          <w:b/>
        </w:rPr>
      </w:pPr>
      <w:r w:rsidRPr="00F659A1">
        <w:rPr>
          <w:rFonts w:ascii="Arial" w:hAnsi="Arial" w:cs="Arial"/>
          <w:noProof/>
          <w:lang w:eastAsia="en-ZA"/>
        </w:rPr>
        <mc:AlternateContent>
          <mc:Choice Requires="wps">
            <w:drawing>
              <wp:anchor distT="0" distB="0" distL="114300" distR="114300" simplePos="0" relativeHeight="251659264" behindDoc="0" locked="0" layoutInCell="1" allowOverlap="1" wp14:anchorId="583B27F0" wp14:editId="7078155A">
                <wp:simplePos x="0" y="0"/>
                <wp:positionH relativeFrom="column">
                  <wp:posOffset>228600</wp:posOffset>
                </wp:positionH>
                <wp:positionV relativeFrom="paragraph">
                  <wp:posOffset>200660</wp:posOffset>
                </wp:positionV>
                <wp:extent cx="3232785" cy="1466850"/>
                <wp:effectExtent l="0" t="0" r="18415" b="3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49D7FE81" w14:textId="77777777" w:rsidR="00C10331" w:rsidRDefault="00C10331" w:rsidP="00C10331">
                            <w:pPr>
                              <w:jc w:val="center"/>
                              <w:rPr>
                                <w:rFonts w:ascii="Century Gothic" w:hAnsi="Century Gothic"/>
                                <w:b/>
                                <w:sz w:val="20"/>
                                <w:szCs w:val="20"/>
                              </w:rPr>
                            </w:pPr>
                          </w:p>
                          <w:p w14:paraId="7E4B6869" w14:textId="77777777" w:rsidR="00C10331" w:rsidRDefault="00C10331" w:rsidP="00C10331">
                            <w:pPr>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14:paraId="2DF18446" w14:textId="77777777" w:rsidR="00C10331" w:rsidRDefault="00C10331" w:rsidP="00C10331">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JUDGES:NO</w:t>
                            </w:r>
                            <w:r>
                              <w:rPr>
                                <w:rFonts w:ascii="Century Gothic" w:hAnsi="Century Gothic"/>
                                <w:sz w:val="20"/>
                                <w:szCs w:val="20"/>
                              </w:rPr>
                              <w:tab/>
                            </w:r>
                          </w:p>
                          <w:p w14:paraId="256C3C49" w14:textId="77777777" w:rsidR="00C10331" w:rsidRDefault="00C10331" w:rsidP="00C10331">
                            <w:pPr>
                              <w:numPr>
                                <w:ilvl w:val="0"/>
                                <w:numId w:val="2"/>
                              </w:numPr>
                              <w:spacing w:after="0" w:line="240" w:lineRule="auto"/>
                              <w:rPr>
                                <w:rFonts w:ascii="Century Gothic" w:hAnsi="Century Gothic"/>
                                <w:sz w:val="20"/>
                                <w:szCs w:val="20"/>
                              </w:rPr>
                            </w:pPr>
                            <w:r>
                              <w:rPr>
                                <w:rFonts w:ascii="Century Gothic" w:hAnsi="Century Gothic"/>
                                <w:sz w:val="20"/>
                                <w:szCs w:val="20"/>
                              </w:rPr>
                              <w:t>REVISED: NO</w:t>
                            </w:r>
                          </w:p>
                          <w:p w14:paraId="4451819A" w14:textId="77777777" w:rsidR="00C10331" w:rsidRDefault="00C10331" w:rsidP="00C10331">
                            <w:pPr>
                              <w:spacing w:after="0" w:line="240" w:lineRule="auto"/>
                              <w:rPr>
                                <w:rFonts w:ascii="Century Gothic" w:hAnsi="Century Gothic"/>
                                <w:sz w:val="20"/>
                                <w:szCs w:val="20"/>
                              </w:rPr>
                            </w:pPr>
                          </w:p>
                          <w:p w14:paraId="05E5DCEC" w14:textId="77777777" w:rsidR="00C10331" w:rsidRDefault="00C10331" w:rsidP="00C10331">
                            <w:pPr>
                              <w:spacing w:after="0" w:line="240" w:lineRule="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5E58F365" w14:textId="77777777" w:rsidR="00C10331" w:rsidRDefault="00C10331" w:rsidP="00C10331">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p w14:paraId="157E433C" w14:textId="77777777" w:rsidR="00C10331" w:rsidRDefault="00C10331" w:rsidP="00C10331">
                            <w:pPr>
                              <w:rPr>
                                <w:rFonts w:ascii="Century Gothic" w:hAnsi="Century Gothic"/>
                                <w:b/>
                                <w:sz w:val="18"/>
                                <w:szCs w:val="18"/>
                              </w:rPr>
                            </w:pPr>
                          </w:p>
                          <w:p w14:paraId="27E60A99" w14:textId="77777777" w:rsidR="00C10331" w:rsidRDefault="00C10331" w:rsidP="00C10331">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3353FED4" id="_x0000_t202" coordsize="21600,21600" o:spt="202" path="m,l,21600r21600,l21600,xe">
                <v:stroke joinstyle="miter"/>
                <v:path gradientshapeok="t" o:connecttype="rect"/>
              </v:shapetype>
              <v:shape id="Text Box 2" o:spid="_x0000_s1026" type="#_x0000_t202" style="position:absolute;margin-left:18pt;margin-top:15.8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">
                <v:textbox>
                  <w:txbxContent>
                    <w:p w:rsidR="00C10331" w:rsidRDefault="00C10331" w:rsidP="00C10331">
                      <w:pPr>
                        <w:jc w:val="center"/>
                        <w:rPr>
                          <w:rFonts w:ascii="Century Gothic" w:hAnsi="Century Gothic"/>
                          <w:b/>
                          <w:sz w:val="20"/>
                          <w:szCs w:val="20"/>
                        </w:rPr>
                      </w:pPr>
                    </w:p>
                    <w:p w:rsidR="00C10331" w:rsidRDefault="00C10331" w:rsidP="00C10331">
                      <w:pPr>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rsidR="00C10331" w:rsidRDefault="00C10331" w:rsidP="00C10331">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JUDGES:NO</w:t>
                      </w:r>
                      <w:r>
                        <w:rPr>
                          <w:rFonts w:ascii="Century Gothic" w:hAnsi="Century Gothic"/>
                          <w:sz w:val="20"/>
                          <w:szCs w:val="20"/>
                        </w:rPr>
                        <w:tab/>
                      </w:r>
                    </w:p>
                    <w:p w:rsidR="00C10331" w:rsidRDefault="00C10331" w:rsidP="00C10331">
                      <w:pPr>
                        <w:numPr>
                          <w:ilvl w:val="0"/>
                          <w:numId w:val="2"/>
                        </w:numPr>
                        <w:spacing w:after="0" w:line="240" w:lineRule="auto"/>
                        <w:rPr>
                          <w:rFonts w:ascii="Century Gothic" w:hAnsi="Century Gothic"/>
                          <w:sz w:val="20"/>
                          <w:szCs w:val="20"/>
                        </w:rPr>
                      </w:pPr>
                      <w:r>
                        <w:rPr>
                          <w:rFonts w:ascii="Century Gothic" w:hAnsi="Century Gothic"/>
                          <w:sz w:val="20"/>
                          <w:szCs w:val="20"/>
                        </w:rPr>
                        <w:t>REVISED: NO</w:t>
                      </w:r>
                    </w:p>
                    <w:p w:rsidR="00C10331" w:rsidRDefault="00C10331" w:rsidP="00C10331">
                      <w:pPr>
                        <w:spacing w:after="0" w:line="240" w:lineRule="auto"/>
                        <w:rPr>
                          <w:rFonts w:ascii="Century Gothic" w:hAnsi="Century Gothic"/>
                          <w:sz w:val="20"/>
                          <w:szCs w:val="20"/>
                        </w:rPr>
                      </w:pPr>
                    </w:p>
                    <w:p w:rsidR="00C10331" w:rsidRDefault="00C10331" w:rsidP="00C10331">
                      <w:pPr>
                        <w:spacing w:after="0" w:line="240" w:lineRule="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C10331" w:rsidRDefault="00C10331" w:rsidP="00C10331">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p w:rsidR="00C10331" w:rsidRDefault="00C10331" w:rsidP="00C10331">
                      <w:pPr>
                        <w:rPr>
                          <w:rFonts w:ascii="Century Gothic" w:hAnsi="Century Gothic"/>
                          <w:b/>
                          <w:sz w:val="18"/>
                          <w:szCs w:val="18"/>
                        </w:rPr>
                      </w:pPr>
                    </w:p>
                    <w:p w:rsidR="00C10331" w:rsidRDefault="00C10331" w:rsidP="00C10331">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r w:rsidRPr="00F659A1">
        <w:rPr>
          <w:rFonts w:ascii="Arial" w:hAnsi="Arial" w:cs="Arial"/>
          <w:b/>
        </w:rPr>
        <w:tab/>
      </w:r>
      <w:r w:rsidRPr="00F659A1">
        <w:rPr>
          <w:rFonts w:ascii="Arial" w:hAnsi="Arial" w:cs="Arial"/>
          <w:b/>
        </w:rPr>
        <w:tab/>
      </w:r>
    </w:p>
    <w:p w14:paraId="0ACE8E4C" w14:textId="77777777" w:rsidR="00C10331" w:rsidRPr="00F659A1" w:rsidRDefault="00C10331" w:rsidP="00C10331">
      <w:pPr>
        <w:spacing w:after="360" w:line="360" w:lineRule="auto"/>
        <w:jc w:val="right"/>
        <w:rPr>
          <w:rFonts w:ascii="Arial" w:hAnsi="Arial" w:cs="Arial"/>
          <w:b/>
          <w:sz w:val="24"/>
          <w:szCs w:val="24"/>
        </w:rPr>
      </w:pPr>
      <w:r w:rsidRPr="00F659A1">
        <w:rPr>
          <w:rFonts w:ascii="Arial" w:hAnsi="Arial" w:cs="Arial"/>
          <w:b/>
          <w:sz w:val="24"/>
          <w:szCs w:val="24"/>
        </w:rPr>
        <w:t xml:space="preserve">CASE NO: </w:t>
      </w:r>
      <w:r>
        <w:rPr>
          <w:rFonts w:ascii="Arial" w:hAnsi="Arial" w:cs="Arial"/>
          <w:b/>
          <w:sz w:val="24"/>
          <w:szCs w:val="24"/>
        </w:rPr>
        <w:t>2020</w:t>
      </w:r>
      <w:r>
        <w:rPr>
          <w:rFonts w:ascii="Arial" w:hAnsi="Arial" w:cs="Arial"/>
          <w:b/>
        </w:rPr>
        <w:t>/41706</w:t>
      </w:r>
      <w:r w:rsidRPr="00F659A1">
        <w:rPr>
          <w:rFonts w:ascii="Arial" w:hAnsi="Arial" w:cs="Arial"/>
          <w:b/>
          <w:sz w:val="24"/>
          <w:szCs w:val="24"/>
        </w:rPr>
        <w:tab/>
      </w:r>
    </w:p>
    <w:p w14:paraId="31359FD3" w14:textId="77777777" w:rsidR="00C10331" w:rsidRPr="00F659A1" w:rsidRDefault="00C10331" w:rsidP="00C10331">
      <w:pPr>
        <w:spacing w:after="360" w:line="360" w:lineRule="auto"/>
        <w:jc w:val="right"/>
        <w:rPr>
          <w:rFonts w:ascii="Arial" w:hAnsi="Arial" w:cs="Arial"/>
          <w:b/>
        </w:rPr>
      </w:pPr>
    </w:p>
    <w:p w14:paraId="71412D8D" w14:textId="77777777" w:rsidR="00C10331" w:rsidRPr="00F659A1" w:rsidRDefault="00C10331" w:rsidP="00C10331">
      <w:pPr>
        <w:spacing w:line="360" w:lineRule="auto"/>
        <w:jc w:val="right"/>
        <w:rPr>
          <w:rFonts w:ascii="Arial" w:hAnsi="Arial" w:cs="Arial"/>
          <w:b/>
        </w:rPr>
      </w:pPr>
    </w:p>
    <w:p w14:paraId="6C7D7A7F" w14:textId="77777777" w:rsidR="00C10331" w:rsidRPr="00F659A1" w:rsidRDefault="00C10331" w:rsidP="00C10331">
      <w:pPr>
        <w:tabs>
          <w:tab w:val="right" w:pos="8280"/>
        </w:tabs>
        <w:spacing w:line="360" w:lineRule="auto"/>
        <w:rPr>
          <w:rFonts w:ascii="Arial" w:hAnsi="Arial" w:cs="Arial"/>
          <w:b/>
        </w:rPr>
      </w:pPr>
    </w:p>
    <w:p w14:paraId="24D15924" w14:textId="77777777" w:rsidR="00C10331" w:rsidRPr="00125C15" w:rsidRDefault="00C10331" w:rsidP="00C10331">
      <w:pPr>
        <w:spacing w:line="360" w:lineRule="auto"/>
        <w:rPr>
          <w:rFonts w:ascii="Arial" w:hAnsi="Arial" w:cs="Arial"/>
          <w:sz w:val="24"/>
          <w:szCs w:val="24"/>
        </w:rPr>
      </w:pPr>
      <w:r w:rsidRPr="00F659A1">
        <w:rPr>
          <w:rFonts w:ascii="Arial" w:hAnsi="Arial" w:cs="Arial"/>
          <w:sz w:val="24"/>
          <w:szCs w:val="24"/>
        </w:rPr>
        <w:t>In the matter between:</w:t>
      </w:r>
    </w:p>
    <w:p w14:paraId="0E558F6D" w14:textId="77777777" w:rsidR="00C10331" w:rsidRPr="00F659A1" w:rsidRDefault="00C10331" w:rsidP="00C10331">
      <w:pPr>
        <w:spacing w:after="120" w:line="360" w:lineRule="auto"/>
        <w:rPr>
          <w:rFonts w:ascii="Arial" w:hAnsi="Arial" w:cs="Arial"/>
          <w:b/>
          <w:sz w:val="24"/>
          <w:szCs w:val="24"/>
        </w:rPr>
      </w:pPr>
      <w:r>
        <w:rPr>
          <w:rFonts w:ascii="Arial" w:hAnsi="Arial" w:cs="Arial"/>
          <w:b/>
          <w:sz w:val="24"/>
          <w:szCs w:val="24"/>
        </w:rPr>
        <w:t>NEDBANK LIMITED</w:t>
      </w:r>
      <w:r w:rsidRPr="00F659A1">
        <w:rPr>
          <w:rFonts w:ascii="Arial" w:hAnsi="Arial" w:cs="Arial"/>
          <w:b/>
          <w:sz w:val="24"/>
          <w:szCs w:val="24"/>
        </w:rPr>
        <w:tab/>
      </w:r>
      <w:r w:rsidRPr="00F659A1">
        <w:rPr>
          <w:rFonts w:ascii="Arial" w:hAnsi="Arial" w:cs="Arial"/>
          <w:b/>
          <w:sz w:val="24"/>
          <w:szCs w:val="24"/>
        </w:rPr>
        <w:tab/>
      </w:r>
      <w:r w:rsidRPr="00F659A1">
        <w:rPr>
          <w:rFonts w:ascii="Arial" w:hAnsi="Arial" w:cs="Arial"/>
          <w:b/>
          <w:sz w:val="24"/>
          <w:szCs w:val="24"/>
        </w:rPr>
        <w:tab/>
      </w:r>
      <w:r w:rsidRPr="00F659A1">
        <w:rPr>
          <w:rFonts w:ascii="Arial" w:hAnsi="Arial" w:cs="Arial"/>
          <w:b/>
          <w:sz w:val="24"/>
          <w:szCs w:val="24"/>
        </w:rPr>
        <w:tab/>
      </w:r>
      <w:r w:rsidRPr="00F659A1">
        <w:rPr>
          <w:rFonts w:ascii="Arial" w:hAnsi="Arial" w:cs="Arial"/>
          <w:b/>
          <w:sz w:val="24"/>
          <w:szCs w:val="24"/>
        </w:rPr>
        <w:tab/>
      </w:r>
      <w:r>
        <w:rPr>
          <w:rFonts w:ascii="Arial" w:hAnsi="Arial" w:cs="Arial"/>
          <w:b/>
          <w:sz w:val="24"/>
          <w:szCs w:val="24"/>
        </w:rPr>
        <w:tab/>
      </w:r>
      <w:r>
        <w:rPr>
          <w:rFonts w:ascii="Arial" w:hAnsi="Arial" w:cs="Arial"/>
          <w:sz w:val="24"/>
          <w:szCs w:val="24"/>
        </w:rPr>
        <w:t>Plaintiff</w:t>
      </w:r>
    </w:p>
    <w:p w14:paraId="036BF7CE" w14:textId="77777777" w:rsidR="00C10331" w:rsidRPr="00F659A1" w:rsidRDefault="00C10331" w:rsidP="00C10331">
      <w:pPr>
        <w:spacing w:after="120" w:line="360" w:lineRule="auto"/>
        <w:rPr>
          <w:rFonts w:ascii="Arial" w:hAnsi="Arial" w:cs="Arial"/>
          <w:b/>
          <w:sz w:val="24"/>
          <w:szCs w:val="24"/>
        </w:rPr>
      </w:pPr>
      <w:r>
        <w:rPr>
          <w:rFonts w:ascii="Arial" w:hAnsi="Arial" w:cs="Arial"/>
          <w:b/>
          <w:sz w:val="24"/>
          <w:szCs w:val="24"/>
        </w:rPr>
        <w:tab/>
        <w:t xml:space="preserve">      </w:t>
      </w:r>
    </w:p>
    <w:p w14:paraId="600E5DF2" w14:textId="77777777" w:rsidR="00C10331" w:rsidRPr="00F659A1" w:rsidRDefault="00C10331" w:rsidP="00C10331">
      <w:pPr>
        <w:spacing w:after="120" w:line="360" w:lineRule="auto"/>
        <w:rPr>
          <w:rFonts w:ascii="Arial" w:hAnsi="Arial" w:cs="Arial"/>
          <w:sz w:val="24"/>
          <w:szCs w:val="24"/>
        </w:rPr>
      </w:pPr>
      <w:r w:rsidRPr="00F659A1">
        <w:rPr>
          <w:rFonts w:ascii="Arial" w:hAnsi="Arial" w:cs="Arial"/>
          <w:sz w:val="24"/>
          <w:szCs w:val="24"/>
        </w:rPr>
        <w:t xml:space="preserve">and </w:t>
      </w:r>
    </w:p>
    <w:p w14:paraId="2236EB07" w14:textId="77777777" w:rsidR="00C10331" w:rsidRDefault="00C10331" w:rsidP="00C10331">
      <w:pPr>
        <w:spacing w:after="120" w:line="360" w:lineRule="auto"/>
        <w:rPr>
          <w:rFonts w:ascii="Arial" w:hAnsi="Arial" w:cs="Arial"/>
          <w:b/>
          <w:sz w:val="24"/>
          <w:szCs w:val="24"/>
        </w:rPr>
      </w:pPr>
    </w:p>
    <w:p w14:paraId="2FE3246A" w14:textId="77777777" w:rsidR="00C10331" w:rsidRPr="00F659A1" w:rsidRDefault="00C10331" w:rsidP="00C10331">
      <w:pPr>
        <w:spacing w:after="120" w:line="360" w:lineRule="auto"/>
        <w:rPr>
          <w:rFonts w:ascii="Arial" w:hAnsi="Arial" w:cs="Arial"/>
          <w:b/>
          <w:sz w:val="24"/>
          <w:szCs w:val="24"/>
        </w:rPr>
      </w:pPr>
      <w:r>
        <w:rPr>
          <w:rFonts w:ascii="Arial" w:hAnsi="Arial" w:cs="Arial"/>
          <w:b/>
          <w:sz w:val="24"/>
          <w:szCs w:val="24"/>
        </w:rPr>
        <w:t>GERALD HENRY FORBES</w:t>
      </w:r>
      <w:r>
        <w:rPr>
          <w:rFonts w:ascii="Arial" w:hAnsi="Arial" w:cs="Arial"/>
          <w:b/>
          <w:sz w:val="24"/>
          <w:szCs w:val="24"/>
        </w:rPr>
        <w:tab/>
      </w:r>
      <w:r w:rsidRPr="00F659A1">
        <w:rPr>
          <w:rFonts w:ascii="Arial" w:hAnsi="Arial" w:cs="Arial"/>
          <w:b/>
          <w:sz w:val="24"/>
          <w:szCs w:val="24"/>
        </w:rPr>
        <w:tab/>
      </w:r>
      <w:r w:rsidRPr="00F659A1">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t xml:space="preserve">    </w:t>
      </w:r>
      <w:r>
        <w:rPr>
          <w:rFonts w:ascii="Arial" w:hAnsi="Arial" w:cs="Arial"/>
          <w:sz w:val="24"/>
          <w:szCs w:val="24"/>
        </w:rPr>
        <w:tab/>
        <w:t>Defendant</w:t>
      </w:r>
    </w:p>
    <w:p w14:paraId="37F8CB2D" w14:textId="77777777" w:rsidR="00C10331" w:rsidRPr="00F659A1" w:rsidRDefault="00C10331" w:rsidP="00C10331">
      <w:pPr>
        <w:pBdr>
          <w:top w:val="single" w:sz="4" w:space="1" w:color="auto"/>
          <w:bottom w:val="single" w:sz="4" w:space="1" w:color="auto"/>
        </w:pBdr>
        <w:spacing w:after="0" w:line="360" w:lineRule="auto"/>
        <w:jc w:val="center"/>
        <w:rPr>
          <w:rFonts w:ascii="Arial" w:hAnsi="Arial" w:cs="Arial"/>
          <w:sz w:val="24"/>
          <w:szCs w:val="24"/>
        </w:rPr>
      </w:pPr>
    </w:p>
    <w:p w14:paraId="5E9760ED" w14:textId="77777777" w:rsidR="00C10331" w:rsidRPr="00F659A1" w:rsidRDefault="00C10331" w:rsidP="00C10331">
      <w:pPr>
        <w:pBdr>
          <w:top w:val="single" w:sz="4" w:space="1" w:color="auto"/>
          <w:bottom w:val="single" w:sz="4" w:space="1" w:color="auto"/>
        </w:pBdr>
        <w:spacing w:after="0" w:line="360" w:lineRule="auto"/>
        <w:jc w:val="center"/>
        <w:rPr>
          <w:rFonts w:ascii="Arial" w:hAnsi="Arial" w:cs="Arial"/>
          <w:b/>
          <w:sz w:val="24"/>
          <w:szCs w:val="24"/>
        </w:rPr>
      </w:pPr>
      <w:r w:rsidRPr="00F659A1">
        <w:rPr>
          <w:rFonts w:ascii="Arial" w:hAnsi="Arial" w:cs="Arial"/>
          <w:b/>
          <w:sz w:val="24"/>
          <w:szCs w:val="24"/>
        </w:rPr>
        <w:t>JUDGMENT</w:t>
      </w:r>
    </w:p>
    <w:p w14:paraId="706E4D4B" w14:textId="77777777" w:rsidR="00C10331" w:rsidRPr="00F659A1" w:rsidRDefault="00C10331" w:rsidP="00C10331">
      <w:pPr>
        <w:pBdr>
          <w:top w:val="single" w:sz="4" w:space="1" w:color="auto"/>
          <w:bottom w:val="single" w:sz="4" w:space="1" w:color="auto"/>
        </w:pBdr>
        <w:spacing w:after="0" w:line="360" w:lineRule="auto"/>
        <w:jc w:val="center"/>
        <w:rPr>
          <w:rFonts w:ascii="Arial" w:hAnsi="Arial" w:cs="Arial"/>
          <w:sz w:val="24"/>
          <w:szCs w:val="24"/>
        </w:rPr>
      </w:pPr>
    </w:p>
    <w:p w14:paraId="52983759" w14:textId="7509DB90" w:rsidR="00C10331" w:rsidRPr="00C10331" w:rsidRDefault="00C10331" w:rsidP="00C10331">
      <w:pPr>
        <w:pStyle w:val="Textbody"/>
        <w:spacing w:line="360" w:lineRule="auto"/>
        <w:ind w:hanging="15"/>
        <w:rPr>
          <w:rFonts w:ascii="Arial" w:hAnsi="Arial" w:cs="Arial"/>
          <w:i/>
        </w:rPr>
      </w:pPr>
      <w:r w:rsidRPr="00C10331">
        <w:rPr>
          <w:rFonts w:ascii="Arial" w:hAnsi="Arial" w:cs="Arial"/>
          <w:i/>
        </w:rPr>
        <w:t>This Judgment was handed down electronically by circulation to the parties’ and or parties representatives by email and by being uploaded to CaseLines. The date and time for the hand down is deemed on</w:t>
      </w:r>
      <w:r>
        <w:rPr>
          <w:rFonts w:ascii="Arial" w:hAnsi="Arial" w:cs="Arial"/>
          <w:i/>
        </w:rPr>
        <w:t xml:space="preserve"> </w:t>
      </w:r>
      <w:r w:rsidR="00121BBD">
        <w:rPr>
          <w:rFonts w:ascii="Arial" w:hAnsi="Arial" w:cs="Arial"/>
          <w:i/>
        </w:rPr>
        <w:t xml:space="preserve">30 May </w:t>
      </w:r>
      <w:r w:rsidRPr="00C10331">
        <w:rPr>
          <w:rFonts w:ascii="Arial" w:hAnsi="Arial" w:cs="Arial"/>
          <w:i/>
        </w:rPr>
        <w:t xml:space="preserve">2022.  </w:t>
      </w:r>
    </w:p>
    <w:p w14:paraId="349029F9" w14:textId="77777777" w:rsidR="00C10331" w:rsidRDefault="00C10331" w:rsidP="00C10331">
      <w:pPr>
        <w:spacing w:before="360" w:after="120" w:line="360" w:lineRule="auto"/>
        <w:jc w:val="both"/>
        <w:rPr>
          <w:rFonts w:ascii="Arial" w:hAnsi="Arial" w:cs="Arial"/>
          <w:b/>
          <w:sz w:val="24"/>
          <w:szCs w:val="24"/>
          <w:u w:val="single"/>
        </w:rPr>
      </w:pPr>
    </w:p>
    <w:p w14:paraId="19A70ABA" w14:textId="77777777" w:rsidR="00C10331" w:rsidRDefault="00C10331" w:rsidP="00C10331">
      <w:pPr>
        <w:spacing w:before="360" w:after="120" w:line="360" w:lineRule="auto"/>
        <w:jc w:val="both"/>
        <w:rPr>
          <w:rFonts w:ascii="Arial" w:hAnsi="Arial" w:cs="Arial"/>
          <w:b/>
          <w:sz w:val="24"/>
          <w:szCs w:val="24"/>
          <w:u w:val="single"/>
        </w:rPr>
      </w:pPr>
    </w:p>
    <w:p w14:paraId="3853502C" w14:textId="77777777" w:rsidR="00C10331" w:rsidRPr="00F659A1" w:rsidRDefault="00C10331" w:rsidP="00C10331">
      <w:pPr>
        <w:spacing w:before="360" w:after="120" w:line="360" w:lineRule="auto"/>
        <w:jc w:val="both"/>
        <w:rPr>
          <w:rFonts w:ascii="Arial" w:hAnsi="Arial" w:cs="Arial"/>
          <w:b/>
          <w:sz w:val="24"/>
          <w:szCs w:val="24"/>
          <w:u w:val="single"/>
        </w:rPr>
      </w:pPr>
      <w:r>
        <w:rPr>
          <w:rFonts w:ascii="Arial" w:hAnsi="Arial" w:cs="Arial"/>
          <w:b/>
          <w:sz w:val="24"/>
          <w:szCs w:val="24"/>
          <w:u w:val="single"/>
        </w:rPr>
        <w:lastRenderedPageBreak/>
        <w:t>BALOYI</w:t>
      </w:r>
      <w:r w:rsidRPr="00F659A1">
        <w:rPr>
          <w:rFonts w:ascii="Arial" w:hAnsi="Arial" w:cs="Arial"/>
          <w:b/>
          <w:sz w:val="24"/>
          <w:szCs w:val="24"/>
          <w:u w:val="single"/>
        </w:rPr>
        <w:t xml:space="preserve"> </w:t>
      </w:r>
      <w:r>
        <w:rPr>
          <w:rFonts w:ascii="Arial" w:hAnsi="Arial" w:cs="Arial"/>
          <w:b/>
          <w:sz w:val="24"/>
          <w:szCs w:val="24"/>
          <w:u w:val="single"/>
        </w:rPr>
        <w:t>A</w:t>
      </w:r>
      <w:r w:rsidRPr="00F659A1">
        <w:rPr>
          <w:rFonts w:ascii="Arial" w:hAnsi="Arial" w:cs="Arial"/>
          <w:b/>
          <w:sz w:val="24"/>
          <w:szCs w:val="24"/>
          <w:u w:val="single"/>
        </w:rPr>
        <w:t>J:</w:t>
      </w:r>
    </w:p>
    <w:p w14:paraId="6F377036" w14:textId="4F76CA62" w:rsidR="00C10331" w:rsidRPr="00160660" w:rsidRDefault="00D80EEC" w:rsidP="00C10331">
      <w:pPr>
        <w:spacing w:before="360" w:after="120" w:line="480" w:lineRule="auto"/>
        <w:jc w:val="both"/>
        <w:rPr>
          <w:rFonts w:ascii="Arial" w:hAnsi="Arial" w:cs="Arial"/>
          <w:sz w:val="24"/>
          <w:szCs w:val="24"/>
        </w:rPr>
      </w:pPr>
      <w:r w:rsidRPr="00160660">
        <w:rPr>
          <w:rFonts w:ascii="Arial" w:hAnsi="Arial" w:cs="Arial"/>
          <w:sz w:val="24"/>
          <w:szCs w:val="24"/>
        </w:rPr>
        <w:t>Introduction</w:t>
      </w:r>
    </w:p>
    <w:p w14:paraId="3CD8CBB7" w14:textId="3507CC2C" w:rsidR="00C10331" w:rsidRDefault="00C10331" w:rsidP="009A24D1">
      <w:pPr>
        <w:pStyle w:val="1"/>
      </w:pPr>
      <w:r w:rsidRPr="00C65C66">
        <w:t xml:space="preserve">[1] </w:t>
      </w:r>
      <w:r w:rsidRPr="00C65C66">
        <w:tab/>
        <w:t>T</w:t>
      </w:r>
      <w:r>
        <w:t xml:space="preserve">his is an application in which the </w:t>
      </w:r>
      <w:r w:rsidRPr="00C65C66">
        <w:t xml:space="preserve">plaintiff </w:t>
      </w:r>
      <w:r>
        <w:t>seeks summary judgment against the defendant</w:t>
      </w:r>
      <w:r w:rsidR="00E706F1">
        <w:t xml:space="preserve">, </w:t>
      </w:r>
      <w:r w:rsidR="00AC6F48">
        <w:t xml:space="preserve">a former employee, </w:t>
      </w:r>
      <w:r w:rsidR="002D2643">
        <w:t xml:space="preserve">in the amount </w:t>
      </w:r>
      <w:r w:rsidR="005104A2">
        <w:t>of R1 030 037.52</w:t>
      </w:r>
      <w:r w:rsidR="00ED4BB7">
        <w:t xml:space="preserve"> (the “</w:t>
      </w:r>
      <w:r w:rsidR="00ED4BB7" w:rsidRPr="00BD0D2E">
        <w:rPr>
          <w:i/>
          <w:iCs w:val="0"/>
        </w:rPr>
        <w:t>principal sum</w:t>
      </w:r>
      <w:r w:rsidR="00ED4BB7">
        <w:t>”)</w:t>
      </w:r>
      <w:r w:rsidR="00D60A57">
        <w:t xml:space="preserve">. </w:t>
      </w:r>
      <w:r w:rsidR="003A4BB0">
        <w:t xml:space="preserve">The </w:t>
      </w:r>
      <w:r w:rsidR="003D4CE1">
        <w:t xml:space="preserve">amount </w:t>
      </w:r>
      <w:r w:rsidR="003A4BB0">
        <w:t xml:space="preserve">claimed </w:t>
      </w:r>
      <w:r w:rsidR="003D4CE1">
        <w:t xml:space="preserve">was paid </w:t>
      </w:r>
      <w:r w:rsidR="00D60A57">
        <w:t xml:space="preserve">to the defendant whilst he was an employee of the plaintiff and </w:t>
      </w:r>
      <w:r w:rsidR="003D4CE1">
        <w:t xml:space="preserve">that it was paid </w:t>
      </w:r>
      <w:r w:rsidR="00970593">
        <w:t xml:space="preserve">in the period 20 February 2017 until 20 March 2019 as follows </w:t>
      </w:r>
      <w:r w:rsidR="00E810DD">
        <w:t>(the “</w:t>
      </w:r>
      <w:r w:rsidR="00E810DD" w:rsidRPr="00BD0D2E">
        <w:rPr>
          <w:i/>
          <w:iCs w:val="0"/>
        </w:rPr>
        <w:t>indebiti payments</w:t>
      </w:r>
      <w:r w:rsidR="00E810DD">
        <w:t>”)</w:t>
      </w:r>
      <w:r w:rsidR="00FA728A">
        <w:t xml:space="preserve"> -</w:t>
      </w:r>
      <w:r w:rsidR="00614AEB">
        <w:t xml:space="preserve"> </w:t>
      </w:r>
      <w:r>
        <w:t xml:space="preserve">  </w:t>
      </w:r>
    </w:p>
    <w:p w14:paraId="640C0E4F" w14:textId="1D0B2463" w:rsidR="00C10331" w:rsidRDefault="00C10331" w:rsidP="00C10331">
      <w:pPr>
        <w:pStyle w:val="1"/>
      </w:pPr>
      <w:r>
        <w:t xml:space="preserve">1.1 R30 005.25 </w:t>
      </w:r>
      <w:r w:rsidR="00FA728A">
        <w:t>-</w:t>
      </w:r>
      <w:r>
        <w:t xml:space="preserve"> 20 February 2017;</w:t>
      </w:r>
    </w:p>
    <w:p w14:paraId="3D8DDCF1" w14:textId="7EDB2FFD" w:rsidR="00C10331" w:rsidRDefault="00C10331" w:rsidP="00C10331">
      <w:pPr>
        <w:pStyle w:val="1"/>
      </w:pPr>
      <w:r>
        <w:t xml:space="preserve">1.2 R41 582.84 </w:t>
      </w:r>
      <w:r w:rsidR="00FA728A">
        <w:t xml:space="preserve">- </w:t>
      </w:r>
      <w:r>
        <w:t>20 March 2017;</w:t>
      </w:r>
    </w:p>
    <w:p w14:paraId="0661E724" w14:textId="09A9812E" w:rsidR="00C10331" w:rsidRDefault="00C10331" w:rsidP="00C10331">
      <w:pPr>
        <w:pStyle w:val="1"/>
      </w:pPr>
      <w:r>
        <w:t xml:space="preserve">1.3 R36 132. 57 </w:t>
      </w:r>
      <w:r w:rsidR="00FA728A">
        <w:t>-</w:t>
      </w:r>
      <w:r>
        <w:t xml:space="preserve"> 20 April 2017;</w:t>
      </w:r>
    </w:p>
    <w:p w14:paraId="74ECFE88" w14:textId="46CD7A35" w:rsidR="00C10331" w:rsidRDefault="00C10331" w:rsidP="00C10331">
      <w:pPr>
        <w:pStyle w:val="1"/>
      </w:pPr>
      <w:r>
        <w:t xml:space="preserve">1.4 R41 569.11 </w:t>
      </w:r>
      <w:r w:rsidR="00FA728A">
        <w:t>-</w:t>
      </w:r>
      <w:r>
        <w:t xml:space="preserve"> 20 May 2017;</w:t>
      </w:r>
    </w:p>
    <w:p w14:paraId="42ED98EC" w14:textId="53D61B72" w:rsidR="00C10331" w:rsidRDefault="00C10331" w:rsidP="00C10331">
      <w:pPr>
        <w:pStyle w:val="1"/>
      </w:pPr>
      <w:r>
        <w:t xml:space="preserve">1.5 R39 724.95 </w:t>
      </w:r>
      <w:r w:rsidR="00FA728A">
        <w:t>-</w:t>
      </w:r>
      <w:r>
        <w:t xml:space="preserve"> 20 June 2017;</w:t>
      </w:r>
    </w:p>
    <w:p w14:paraId="301076C5" w14:textId="57E7B63C" w:rsidR="00C10331" w:rsidRDefault="00C10331" w:rsidP="00C10331">
      <w:pPr>
        <w:pStyle w:val="1"/>
      </w:pPr>
      <w:r>
        <w:t xml:space="preserve">1.6 R37 958.35 </w:t>
      </w:r>
      <w:r w:rsidR="00FA728A">
        <w:t>-</w:t>
      </w:r>
      <w:r>
        <w:t xml:space="preserve"> 20 July 2017;</w:t>
      </w:r>
    </w:p>
    <w:p w14:paraId="02A91FAA" w14:textId="6F47031F" w:rsidR="00C10331" w:rsidRDefault="00C10331" w:rsidP="00C10331">
      <w:pPr>
        <w:pStyle w:val="1"/>
      </w:pPr>
      <w:r>
        <w:t xml:space="preserve">1.7 R41 569.08 </w:t>
      </w:r>
      <w:r w:rsidR="00FA728A">
        <w:t>-</w:t>
      </w:r>
      <w:r>
        <w:t xml:space="preserve"> 20 August 2017;</w:t>
      </w:r>
    </w:p>
    <w:p w14:paraId="2D3063CC" w14:textId="124FA89C" w:rsidR="00C10331" w:rsidRDefault="00C10331" w:rsidP="00C10331">
      <w:pPr>
        <w:pStyle w:val="1"/>
      </w:pPr>
      <w:r>
        <w:t>1.8 R37 919.59</w:t>
      </w:r>
      <w:r w:rsidR="00FA728A">
        <w:t xml:space="preserve"> -</w:t>
      </w:r>
      <w:r>
        <w:t xml:space="preserve"> 20 September 2017;</w:t>
      </w:r>
    </w:p>
    <w:p w14:paraId="347154F1" w14:textId="15043554" w:rsidR="00C10331" w:rsidRDefault="00C10331" w:rsidP="00C10331">
      <w:pPr>
        <w:pStyle w:val="1"/>
      </w:pPr>
      <w:r>
        <w:t xml:space="preserve">1.9 R39 763.71 </w:t>
      </w:r>
      <w:r w:rsidR="00FA728A">
        <w:t>-</w:t>
      </w:r>
      <w:r>
        <w:t xml:space="preserve"> 20 October 2017;</w:t>
      </w:r>
    </w:p>
    <w:p w14:paraId="7AD46522" w14:textId="5D7E8406" w:rsidR="00C10331" w:rsidRDefault="00C10331" w:rsidP="00C10331">
      <w:pPr>
        <w:pStyle w:val="1"/>
      </w:pPr>
      <w:r>
        <w:t xml:space="preserve">1.10 R39 724.95 </w:t>
      </w:r>
      <w:r w:rsidR="00FA728A">
        <w:t>-</w:t>
      </w:r>
      <w:r>
        <w:t xml:space="preserve"> 20 November 2017;</w:t>
      </w:r>
    </w:p>
    <w:p w14:paraId="4138C369" w14:textId="599BAFF9" w:rsidR="00C10331" w:rsidRDefault="00C10331" w:rsidP="00C10331">
      <w:pPr>
        <w:pStyle w:val="1"/>
      </w:pPr>
      <w:r>
        <w:lastRenderedPageBreak/>
        <w:t xml:space="preserve">1.11 R37 958.40 </w:t>
      </w:r>
      <w:r w:rsidR="00FA728A">
        <w:t>-</w:t>
      </w:r>
      <w:r>
        <w:t xml:space="preserve"> 20 December 2017;</w:t>
      </w:r>
    </w:p>
    <w:p w14:paraId="39AD68F0" w14:textId="44BABC79" w:rsidR="00C10331" w:rsidRDefault="00C10331" w:rsidP="00C10331">
      <w:pPr>
        <w:pStyle w:val="1"/>
      </w:pPr>
      <w:r>
        <w:t xml:space="preserve">1.12 R41 569.11 </w:t>
      </w:r>
      <w:r w:rsidR="00FA728A">
        <w:t>-</w:t>
      </w:r>
      <w:r>
        <w:t xml:space="preserve"> 20 January 2018;</w:t>
      </w:r>
    </w:p>
    <w:p w14:paraId="4C9F9834" w14:textId="4ADD3FB4" w:rsidR="00C10331" w:rsidRDefault="00C10331" w:rsidP="00C10331">
      <w:pPr>
        <w:pStyle w:val="1"/>
      </w:pPr>
      <w:r>
        <w:t xml:space="preserve">1.13 R36 090.71 </w:t>
      </w:r>
      <w:r w:rsidR="00FA728A">
        <w:t>-</w:t>
      </w:r>
      <w:r>
        <w:t xml:space="preserve"> 20 February 2018; </w:t>
      </w:r>
    </w:p>
    <w:p w14:paraId="219ED4A4" w14:textId="0312DBDC" w:rsidR="00C10331" w:rsidRDefault="00C10331" w:rsidP="00C10331">
      <w:pPr>
        <w:pStyle w:val="1"/>
      </w:pPr>
      <w:r>
        <w:t xml:space="preserve">1.14 R38 442.02 </w:t>
      </w:r>
      <w:r w:rsidR="00FA728A">
        <w:t>-</w:t>
      </w:r>
      <w:r>
        <w:t xml:space="preserve"> 20 March 201</w:t>
      </w:r>
      <w:r w:rsidR="006C1318">
        <w:t>8</w:t>
      </w:r>
      <w:r>
        <w:t>;</w:t>
      </w:r>
    </w:p>
    <w:p w14:paraId="65505192" w14:textId="05892CB1" w:rsidR="00C10331" w:rsidRDefault="00C10331" w:rsidP="00C10331">
      <w:pPr>
        <w:pStyle w:val="1"/>
      </w:pPr>
      <w:r>
        <w:t xml:space="preserve">1.15 R38 334.66 </w:t>
      </w:r>
      <w:r w:rsidR="00FA728A">
        <w:t>-</w:t>
      </w:r>
      <w:r>
        <w:t xml:space="preserve"> 20 April 2018;</w:t>
      </w:r>
    </w:p>
    <w:p w14:paraId="55563E81" w14:textId="7A842464" w:rsidR="00C10331" w:rsidRDefault="00C10331" w:rsidP="00C10331">
      <w:pPr>
        <w:pStyle w:val="1"/>
      </w:pPr>
      <w:r>
        <w:t xml:space="preserve">1.16 R43 331.12 </w:t>
      </w:r>
      <w:r w:rsidR="00FA728A">
        <w:t>-</w:t>
      </w:r>
      <w:r>
        <w:t xml:space="preserve"> 20 May 2018;</w:t>
      </w:r>
    </w:p>
    <w:p w14:paraId="68A8CD5A" w14:textId="3A7519F6" w:rsidR="00C10331" w:rsidRDefault="00C10331" w:rsidP="00C10331">
      <w:pPr>
        <w:pStyle w:val="1"/>
      </w:pPr>
      <w:r>
        <w:t xml:space="preserve">1.17 R39 609.41 </w:t>
      </w:r>
      <w:r w:rsidR="00FA728A">
        <w:t>-</w:t>
      </w:r>
      <w:r>
        <w:t xml:space="preserve"> 20 June 2018;</w:t>
      </w:r>
    </w:p>
    <w:p w14:paraId="2EDAE484" w14:textId="3971D6D9" w:rsidR="00C10331" w:rsidRDefault="00C10331" w:rsidP="00C10331">
      <w:pPr>
        <w:pStyle w:val="1"/>
      </w:pPr>
      <w:r>
        <w:t xml:space="preserve">1.18 R41 540.88 </w:t>
      </w:r>
      <w:r w:rsidR="00FA728A">
        <w:t>-</w:t>
      </w:r>
      <w:r>
        <w:t xml:space="preserve"> 20 July 2018;</w:t>
      </w:r>
    </w:p>
    <w:p w14:paraId="1E7D683C" w14:textId="5F4C0C8F" w:rsidR="00C10331" w:rsidRDefault="00C10331" w:rsidP="00C10331">
      <w:pPr>
        <w:pStyle w:val="1"/>
      </w:pPr>
      <w:r>
        <w:t xml:space="preserve">1.19 R43 307.95 </w:t>
      </w:r>
      <w:r w:rsidR="00FA728A">
        <w:t>-</w:t>
      </w:r>
      <w:r>
        <w:t xml:space="preserve"> 20 August 2018;</w:t>
      </w:r>
    </w:p>
    <w:p w14:paraId="4C1475D3" w14:textId="038ABFF7" w:rsidR="00C10331" w:rsidRDefault="00C10331" w:rsidP="00C10331">
      <w:pPr>
        <w:pStyle w:val="1"/>
      </w:pPr>
      <w:r>
        <w:t xml:space="preserve">1.20 R37 842.33 </w:t>
      </w:r>
      <w:r w:rsidR="00FA728A">
        <w:t>-</w:t>
      </w:r>
      <w:r>
        <w:t xml:space="preserve"> 20 September 2018;</w:t>
      </w:r>
    </w:p>
    <w:p w14:paraId="47F90A0D" w14:textId="7CF31D6D" w:rsidR="00C10331" w:rsidRDefault="00C10331" w:rsidP="00C10331">
      <w:pPr>
        <w:pStyle w:val="1"/>
      </w:pPr>
      <w:r>
        <w:t xml:space="preserve">1.21 R46 308.86 </w:t>
      </w:r>
      <w:r w:rsidR="00FA728A">
        <w:t>-</w:t>
      </w:r>
      <w:r>
        <w:t xml:space="preserve"> 20 October 2018;</w:t>
      </w:r>
    </w:p>
    <w:p w14:paraId="38036BDD" w14:textId="076C0ADD" w:rsidR="00C10331" w:rsidRDefault="00C10331" w:rsidP="00C10331">
      <w:pPr>
        <w:pStyle w:val="1"/>
      </w:pPr>
      <w:r>
        <w:t xml:space="preserve">1.22 R41 377.40 </w:t>
      </w:r>
      <w:r w:rsidR="00FA728A">
        <w:t xml:space="preserve">- </w:t>
      </w:r>
      <w:r>
        <w:t>20 November 2018;</w:t>
      </w:r>
    </w:p>
    <w:p w14:paraId="764DE0A3" w14:textId="56E97F39" w:rsidR="00C10331" w:rsidRDefault="00C10331" w:rsidP="00C10331">
      <w:pPr>
        <w:pStyle w:val="1"/>
      </w:pPr>
      <w:r>
        <w:t xml:space="preserve">1.23 R39 774.68 </w:t>
      </w:r>
      <w:r w:rsidR="00FA728A">
        <w:t>-</w:t>
      </w:r>
      <w:r>
        <w:t xml:space="preserve"> 20 December 2018;</w:t>
      </w:r>
    </w:p>
    <w:p w14:paraId="24AFC7E0" w14:textId="56C29DB9" w:rsidR="00C10331" w:rsidRDefault="00C10331" w:rsidP="00C10331">
      <w:pPr>
        <w:pStyle w:val="1"/>
      </w:pPr>
      <w:r>
        <w:t xml:space="preserve">1.24 R43 308.86 </w:t>
      </w:r>
      <w:r w:rsidR="00FA728A">
        <w:t>-</w:t>
      </w:r>
      <w:r>
        <w:t xml:space="preserve"> 20 January 2019;</w:t>
      </w:r>
    </w:p>
    <w:p w14:paraId="06939D31" w14:textId="0329B141" w:rsidR="00C10331" w:rsidRDefault="00C10331" w:rsidP="00C10331">
      <w:pPr>
        <w:pStyle w:val="1"/>
      </w:pPr>
      <w:r>
        <w:t xml:space="preserve">1.25 R37 514.46 </w:t>
      </w:r>
      <w:r w:rsidR="00FA728A">
        <w:t>-</w:t>
      </w:r>
      <w:r>
        <w:t xml:space="preserve"> 20 February 2019; and</w:t>
      </w:r>
    </w:p>
    <w:p w14:paraId="33801194" w14:textId="2B6598F6" w:rsidR="00C10331" w:rsidRDefault="00C10331" w:rsidP="00176ABD">
      <w:pPr>
        <w:pStyle w:val="1"/>
      </w:pPr>
      <w:r>
        <w:lastRenderedPageBreak/>
        <w:t xml:space="preserve">1.26 R37 776.27 </w:t>
      </w:r>
      <w:r w:rsidR="00FA728A">
        <w:t>-</w:t>
      </w:r>
      <w:r>
        <w:t xml:space="preserve"> 20 March 2019.</w:t>
      </w:r>
      <w:r w:rsidR="00176ABD">
        <w:rPr>
          <w:rStyle w:val="FootnoteReference"/>
        </w:rPr>
        <w:footnoteReference w:id="1"/>
      </w:r>
      <w:r>
        <w:t xml:space="preserve"> </w:t>
      </w:r>
      <w:r w:rsidR="00176ABD">
        <w:tab/>
      </w:r>
      <w:r>
        <w:t xml:space="preserve">   </w:t>
      </w:r>
    </w:p>
    <w:p w14:paraId="532F1EF3" w14:textId="7AC4E682" w:rsidR="00C10331" w:rsidRDefault="00C10331" w:rsidP="00BD0D2E">
      <w:pPr>
        <w:pStyle w:val="1"/>
        <w:tabs>
          <w:tab w:val="clear" w:pos="567"/>
        </w:tabs>
        <w:ind w:left="426" w:hanging="426"/>
      </w:pPr>
      <w:r w:rsidRPr="00C65C66">
        <w:t xml:space="preserve">[2] </w:t>
      </w:r>
      <w:r>
        <w:t xml:space="preserve">The plaintiff claims interest on each </w:t>
      </w:r>
      <w:r w:rsidR="004B5B11">
        <w:t>individual</w:t>
      </w:r>
      <w:r>
        <w:t xml:space="preserve"> amount from the date when </w:t>
      </w:r>
      <w:r w:rsidR="004B5B11">
        <w:t>the amount</w:t>
      </w:r>
      <w:r>
        <w:t xml:space="preserve"> was paid to the defendant to date of </w:t>
      </w:r>
      <w:r w:rsidR="00210595">
        <w:t>re</w:t>
      </w:r>
      <w:r>
        <w:t xml:space="preserve">payment as follows – (i) interest at the rate of 10.50% per annum on the amounts in paragraphs 1.1 to 1.7; (ii) interest at the rate of 10.25% per annum on the amounts in paragraphs 1.8 to 1.15; (iii) interest at the rate of 10% per annum on the amounts in paragraphs 1.16 to 1.23; and (iv) interest at the rate of 10.25% on the amounts in paragraphs 1.24 to 1.26, these being the rates of interest applicable at the date of </w:t>
      </w:r>
      <w:r w:rsidR="009F3191">
        <w:t xml:space="preserve">each </w:t>
      </w:r>
      <w:r>
        <w:t xml:space="preserve">payment respectively. </w:t>
      </w:r>
    </w:p>
    <w:p w14:paraId="51C3355B" w14:textId="320719F7" w:rsidR="00C10331" w:rsidRDefault="00C10331" w:rsidP="00BD0D2E">
      <w:pPr>
        <w:pStyle w:val="1"/>
        <w:tabs>
          <w:tab w:val="clear" w:pos="567"/>
        </w:tabs>
        <w:ind w:left="426" w:hanging="426"/>
      </w:pPr>
      <w:r w:rsidRPr="00C65C66">
        <w:t>[3]</w:t>
      </w:r>
      <w:r>
        <w:t xml:space="preserve"> </w:t>
      </w:r>
      <w:r w:rsidR="0088770C">
        <w:t xml:space="preserve">It is common cause that the </w:t>
      </w:r>
      <w:r w:rsidR="00AA5B37" w:rsidRPr="00BD0D2E">
        <w:rPr>
          <w:i/>
          <w:iCs w:val="0"/>
        </w:rPr>
        <w:t>indebiti payments</w:t>
      </w:r>
      <w:r w:rsidR="00AA5B37">
        <w:t xml:space="preserve"> to the defendant were without </w:t>
      </w:r>
      <w:r w:rsidR="006A6750">
        <w:t xml:space="preserve">a </w:t>
      </w:r>
      <w:r w:rsidR="00AA5B37">
        <w:t xml:space="preserve">valid </w:t>
      </w:r>
      <w:r w:rsidR="00AA5B37" w:rsidRPr="00BD0D2E">
        <w:rPr>
          <w:i/>
          <w:iCs w:val="0"/>
        </w:rPr>
        <w:t>causa</w:t>
      </w:r>
      <w:r w:rsidR="00274331">
        <w:rPr>
          <w:i/>
          <w:iCs w:val="0"/>
        </w:rPr>
        <w:t xml:space="preserve"> </w:t>
      </w:r>
      <w:r w:rsidR="00274331">
        <w:t>and in error</w:t>
      </w:r>
      <w:r w:rsidR="0059640B" w:rsidRPr="00BD0D2E">
        <w:t>.</w:t>
      </w:r>
      <w:r w:rsidR="00AD4B9B">
        <w:t xml:space="preserve"> </w:t>
      </w:r>
      <w:r>
        <w:t xml:space="preserve">Whilst the defendant opposes the application (and the action), he does not deny receipt of the </w:t>
      </w:r>
      <w:r w:rsidR="00AD4B9B" w:rsidRPr="00BD0D2E">
        <w:rPr>
          <w:i/>
          <w:iCs w:val="0"/>
        </w:rPr>
        <w:t>indebiti payments</w:t>
      </w:r>
      <w:r w:rsidR="00157477">
        <w:t xml:space="preserve"> </w:t>
      </w:r>
      <w:r>
        <w:t>and that the payments were over and above the salary agreed by the parties</w:t>
      </w:r>
      <w:r w:rsidR="00157477">
        <w:t xml:space="preserve"> and </w:t>
      </w:r>
      <w:r w:rsidR="00E204DF">
        <w:t>that there was no valid</w:t>
      </w:r>
      <w:r w:rsidR="00157477">
        <w:t xml:space="preserve"> cause</w:t>
      </w:r>
      <w:r w:rsidR="00E204DF">
        <w:t xml:space="preserve"> for the payments</w:t>
      </w:r>
      <w:r>
        <w:t xml:space="preserve">. Neither does he deny that he has not repaid </w:t>
      </w:r>
      <w:r w:rsidR="00A53E5D">
        <w:t xml:space="preserve">to the plaintiff </w:t>
      </w:r>
      <w:r>
        <w:t xml:space="preserve">any part of </w:t>
      </w:r>
      <w:r w:rsidR="00E204DF">
        <w:t>the principal sum</w:t>
      </w:r>
      <w:r>
        <w:t xml:space="preserve">. </w:t>
      </w:r>
      <w:r w:rsidR="00A53E5D">
        <w:t xml:space="preserve">It is fair to say that the defendant’s contestation of the </w:t>
      </w:r>
      <w:r w:rsidR="00A53E5D" w:rsidRPr="00BD0D2E">
        <w:rPr>
          <w:i/>
          <w:iCs w:val="0"/>
        </w:rPr>
        <w:t>quantum</w:t>
      </w:r>
      <w:r w:rsidR="00A53E5D">
        <w:t xml:space="preserve"> claimed </w:t>
      </w:r>
      <w:r w:rsidR="00387DF1">
        <w:t xml:space="preserve">from him is that he does not know how the plaintiff determined the deductions made </w:t>
      </w:r>
      <w:r w:rsidR="00384E45">
        <w:t>on</w:t>
      </w:r>
      <w:r w:rsidR="00387DF1">
        <w:t xml:space="preserve"> the gross</w:t>
      </w:r>
      <w:r w:rsidR="004234D5">
        <w:t xml:space="preserve"> amounts to arrive at </w:t>
      </w:r>
      <w:r w:rsidR="00384E45">
        <w:t>each</w:t>
      </w:r>
      <w:r w:rsidR="004234D5">
        <w:t xml:space="preserve"> nett amount paid to him.</w:t>
      </w:r>
      <w:r w:rsidR="00A53E5D">
        <w:t xml:space="preserve"> </w:t>
      </w:r>
    </w:p>
    <w:p w14:paraId="3DCCD007" w14:textId="0D941A80" w:rsidR="00C10331" w:rsidRDefault="00C10331" w:rsidP="00BD0D2E">
      <w:pPr>
        <w:pStyle w:val="1"/>
        <w:tabs>
          <w:tab w:val="clear" w:pos="567"/>
          <w:tab w:val="num" w:pos="426"/>
        </w:tabs>
        <w:ind w:left="426" w:hanging="426"/>
      </w:pPr>
      <w:r>
        <w:t xml:space="preserve">[4] In </w:t>
      </w:r>
      <w:r w:rsidR="000113FF">
        <w:t>its</w:t>
      </w:r>
      <w:r>
        <w:t xml:space="preserve"> particulars of claim, the plaintiff provides the following explanation </w:t>
      </w:r>
      <w:r w:rsidR="00F10701">
        <w:t>about the payments to the defendant</w:t>
      </w:r>
      <w:r>
        <w:t xml:space="preserve">. The defendant was first employed by the plaintiff on a temporary basis from 8 November 2010 to 31 May 2016. He was subsequently </w:t>
      </w:r>
      <w:r>
        <w:lastRenderedPageBreak/>
        <w:t>employed on a fixed-term contract from 1 June 2016 until 31 August 2016, which was renewed from 1 September 2016 to 31 December 2016, in which period he was remunerated at five hundred rand (R500.00) per hour. With effect from 1 February 2017, the defendant became employed for an “indefinite period” with an agreed annual salary of R785,644.44, with the employment contract terminable as provided in the contract</w:t>
      </w:r>
      <w:r w:rsidR="00835C6F">
        <w:t xml:space="preserve"> </w:t>
      </w:r>
      <w:r>
        <w:t xml:space="preserve">(a copy of the contract of employment is attached to the particulars of claim). </w:t>
      </w:r>
      <w:r w:rsidR="006A10A1">
        <w:t xml:space="preserve">Notwithstanding the </w:t>
      </w:r>
      <w:r w:rsidR="003048D5">
        <w:t>defendant’s changed employment status</w:t>
      </w:r>
      <w:r>
        <w:t xml:space="preserve"> to indefinite employment</w:t>
      </w:r>
      <w:r w:rsidR="00E17047">
        <w:t xml:space="preserve"> </w:t>
      </w:r>
      <w:r w:rsidR="000239F3">
        <w:t>and payment of the agreed annual salary in terms thereof</w:t>
      </w:r>
      <w:r w:rsidR="00E17047">
        <w:t xml:space="preserve">, </w:t>
      </w:r>
      <w:r>
        <w:t xml:space="preserve">he continued to receive payment in terms of the expired fixed-term contract </w:t>
      </w:r>
      <w:r w:rsidR="00E17047">
        <w:t xml:space="preserve">at the hourly rate applicable to that </w:t>
      </w:r>
      <w:r w:rsidR="0021520C">
        <w:t>contract</w:t>
      </w:r>
      <w:r w:rsidR="002742F6">
        <w:t xml:space="preserve"> for the same work</w:t>
      </w:r>
      <w:r>
        <w:t>.</w:t>
      </w:r>
      <w:r w:rsidR="002D586C">
        <w:t xml:space="preserve"> </w:t>
      </w:r>
      <w:r w:rsidR="008655D9">
        <w:t>It is common cause</w:t>
      </w:r>
      <w:r w:rsidR="002742F6">
        <w:t xml:space="preserve"> that the defendant</w:t>
      </w:r>
      <w:r w:rsidR="008655D9">
        <w:t xml:space="preserve"> </w:t>
      </w:r>
      <w:r w:rsidR="00764E80">
        <w:t xml:space="preserve">did not alert the </w:t>
      </w:r>
      <w:r w:rsidR="002D586C">
        <w:t xml:space="preserve">plaintiff to the fact </w:t>
      </w:r>
      <w:r w:rsidR="008655D9">
        <w:t>of double payment for the same work</w:t>
      </w:r>
      <w:r w:rsidR="00C16F76">
        <w:t xml:space="preserve">. In March 2019, </w:t>
      </w:r>
      <w:r w:rsidR="00DC654D">
        <w:t xml:space="preserve">conducted an investigation into expenditure </w:t>
      </w:r>
      <w:r w:rsidR="00D719A4">
        <w:t>in the department where the defendant was employed</w:t>
      </w:r>
      <w:r w:rsidR="0014178E">
        <w:t xml:space="preserve"> and discovered that the defendant continued to be paid </w:t>
      </w:r>
      <w:r w:rsidR="001A404D">
        <w:t xml:space="preserve">an </w:t>
      </w:r>
      <w:r w:rsidR="00E45778">
        <w:t xml:space="preserve">hourly rate </w:t>
      </w:r>
      <w:r w:rsidR="00B87087">
        <w:t>as</w:t>
      </w:r>
      <w:r w:rsidR="00923C71">
        <w:t xml:space="preserve"> a fixed-term employee</w:t>
      </w:r>
      <w:r w:rsidR="0030108C">
        <w:t xml:space="preserve"> in addition to his </w:t>
      </w:r>
      <w:r w:rsidR="00E45778">
        <w:t xml:space="preserve">annual </w:t>
      </w:r>
      <w:r w:rsidR="0030108C">
        <w:t>salary</w:t>
      </w:r>
      <w:r>
        <w:t xml:space="preserve">. </w:t>
      </w:r>
      <w:r w:rsidR="00E45778">
        <w:t>When questioned about the double payments</w:t>
      </w:r>
      <w:r w:rsidR="00E01EBB">
        <w:t xml:space="preserve">, </w:t>
      </w:r>
      <w:r w:rsidR="005970A0">
        <w:t>the defendant</w:t>
      </w:r>
      <w:r>
        <w:t xml:space="preserve"> admitted receipt of the </w:t>
      </w:r>
      <w:r w:rsidR="00363C03">
        <w:t>double payments</w:t>
      </w:r>
      <w:r>
        <w:t xml:space="preserve"> and offered an explanation that he </w:t>
      </w:r>
      <w:r w:rsidR="00363C03">
        <w:t xml:space="preserve">had </w:t>
      </w:r>
      <w:r>
        <w:t xml:space="preserve">assumed that the plaintiff had decided to increase his agreed salary. The </w:t>
      </w:r>
      <w:r w:rsidR="00A06874">
        <w:t>defendant</w:t>
      </w:r>
      <w:r>
        <w:t xml:space="preserve"> admitted that he was not entitled to the payments and offered to repay the amounts</w:t>
      </w:r>
      <w:r w:rsidR="00F54AE8">
        <w:t xml:space="preserve"> to which he was not entitled</w:t>
      </w:r>
      <w:r w:rsidR="00FB35CD">
        <w:t xml:space="preserve">, an admission </w:t>
      </w:r>
      <w:r w:rsidR="00274331">
        <w:t xml:space="preserve">and offer </w:t>
      </w:r>
      <w:r w:rsidR="00FB35CD">
        <w:t>which the plaintiff considers as an acknowledgement of debt</w:t>
      </w:r>
      <w:r>
        <w:t xml:space="preserve">. The defendant was subjected to a disciplinary hearing </w:t>
      </w:r>
      <w:r w:rsidR="002C0C25">
        <w:t xml:space="preserve">which culminated in </w:t>
      </w:r>
      <w:r w:rsidR="005970A0">
        <w:t xml:space="preserve">his </w:t>
      </w:r>
      <w:r>
        <w:t>summary dismissal from employment on 13 September 2019 on charges of gross misconduct of dishonesty for not disclosing to the plaintiff that he was being doubly remunerated for doing the same work (I paraphrase the charges for convenience).</w:t>
      </w:r>
    </w:p>
    <w:p w14:paraId="6B99F489" w14:textId="23951956" w:rsidR="00C10331" w:rsidRDefault="00C10331" w:rsidP="00C10331">
      <w:pPr>
        <w:pStyle w:val="1"/>
      </w:pPr>
      <w:r>
        <w:t>[</w:t>
      </w:r>
      <w:r w:rsidR="00331237">
        <w:t>5</w:t>
      </w:r>
      <w:r>
        <w:t xml:space="preserve">] The plaintiff relies on three causes of action, in the alternative – </w:t>
      </w:r>
    </w:p>
    <w:p w14:paraId="0C472ED3" w14:textId="29F9CFD6" w:rsidR="00C10331" w:rsidRDefault="00331237" w:rsidP="00C10331">
      <w:pPr>
        <w:pStyle w:val="1"/>
      </w:pPr>
      <w:r>
        <w:lastRenderedPageBreak/>
        <w:t>5</w:t>
      </w:r>
      <w:r w:rsidR="00C10331">
        <w:t xml:space="preserve">.1 firstly, a claim based on contract, namely, the defendant’s contractual obligation to repay all over-payments made to him; breach of a fiduciary duty and duty to act honestly and in the best interest of the plaintiff; </w:t>
      </w:r>
    </w:p>
    <w:p w14:paraId="21DBFC4B" w14:textId="757E97A4" w:rsidR="00C10331" w:rsidRDefault="00331237" w:rsidP="00C10331">
      <w:pPr>
        <w:pStyle w:val="1"/>
      </w:pPr>
      <w:r>
        <w:t>5</w:t>
      </w:r>
      <w:r w:rsidR="00C10331">
        <w:t xml:space="preserve">.2 secondly, a claim based in delict, in that the defendant wrongfully, intentionally and without cause appropriated the </w:t>
      </w:r>
      <w:r w:rsidR="00C10331" w:rsidRPr="00BD0D2E">
        <w:rPr>
          <w:i/>
          <w:iCs w:val="0"/>
        </w:rPr>
        <w:t>indebiti</w:t>
      </w:r>
      <w:r w:rsidR="00C10331">
        <w:t xml:space="preserve"> payments and caused pecuniary damage to the plaintiff in the amount of the principal sum; and </w:t>
      </w:r>
    </w:p>
    <w:p w14:paraId="0F6A8019" w14:textId="148C5801" w:rsidR="00C10331" w:rsidRDefault="00331237" w:rsidP="00C10331">
      <w:pPr>
        <w:pStyle w:val="1"/>
      </w:pPr>
      <w:r>
        <w:t>5</w:t>
      </w:r>
      <w:r w:rsidR="00C10331">
        <w:t xml:space="preserve">.3 lastly, undue enrichment to the extent of the </w:t>
      </w:r>
      <w:r w:rsidR="00C10331" w:rsidRPr="00B67340">
        <w:rPr>
          <w:i/>
        </w:rPr>
        <w:t>indebiti</w:t>
      </w:r>
      <w:r w:rsidR="00C10331">
        <w:t xml:space="preserve"> payments. </w:t>
      </w:r>
    </w:p>
    <w:p w14:paraId="2FEBA02A" w14:textId="417E5104" w:rsidR="001D2442" w:rsidRDefault="00C10331" w:rsidP="00331237">
      <w:pPr>
        <w:pStyle w:val="1"/>
        <w:tabs>
          <w:tab w:val="clear" w:pos="567"/>
        </w:tabs>
        <w:ind w:left="426" w:hanging="426"/>
      </w:pPr>
      <w:r>
        <w:t>[</w:t>
      </w:r>
      <w:r w:rsidR="00331237">
        <w:t>6</w:t>
      </w:r>
      <w:r>
        <w:t xml:space="preserve">] The plaintiff pleads that the </w:t>
      </w:r>
      <w:r w:rsidRPr="001D58C2">
        <w:rPr>
          <w:i/>
        </w:rPr>
        <w:t>indebiti</w:t>
      </w:r>
      <w:r>
        <w:t xml:space="preserve"> payments </w:t>
      </w:r>
      <w:r w:rsidR="00331237">
        <w:t xml:space="preserve">to the defendant </w:t>
      </w:r>
      <w:r>
        <w:t xml:space="preserve">were made as a result of a </w:t>
      </w:r>
      <w:r w:rsidRPr="001D58C2">
        <w:rPr>
          <w:i/>
        </w:rPr>
        <w:t>bona fide</w:t>
      </w:r>
      <w:r>
        <w:t xml:space="preserve"> error. </w:t>
      </w:r>
    </w:p>
    <w:p w14:paraId="1BECAC36" w14:textId="7C69419A" w:rsidR="00C10331" w:rsidRDefault="001D2442" w:rsidP="00BD0D2E">
      <w:pPr>
        <w:pStyle w:val="1"/>
        <w:tabs>
          <w:tab w:val="clear" w:pos="567"/>
        </w:tabs>
        <w:ind w:left="426" w:hanging="426"/>
      </w:pPr>
      <w:r>
        <w:t xml:space="preserve">[7] </w:t>
      </w:r>
      <w:r w:rsidR="00C10331">
        <w:t xml:space="preserve">The defendant does not dispute the absence of a valid </w:t>
      </w:r>
      <w:r w:rsidR="00C10331" w:rsidRPr="001D58C2">
        <w:rPr>
          <w:i/>
        </w:rPr>
        <w:t>causa</w:t>
      </w:r>
      <w:r w:rsidR="00C10331">
        <w:t xml:space="preserve"> for the payments but pleads that the payments were caused by the reckless, negligent and unreasonable conduct of the plaintiff. In the plea and in the affidavit opposing summary judgment, </w:t>
      </w:r>
      <w:r w:rsidR="0098180B">
        <w:t>he</w:t>
      </w:r>
      <w:r w:rsidR="00C10331">
        <w:t xml:space="preserve"> has raised a number of defences</w:t>
      </w:r>
      <w:r w:rsidR="0098180B">
        <w:t xml:space="preserve"> to each alternative cause of action</w:t>
      </w:r>
      <w:r w:rsidR="00C10331">
        <w:t xml:space="preserve">, including 2 special pleas, namely, prescription of at least part of the claim, and lack of cause of action for the claim of interest. I deal with the defences raised by the defendant as necessary later in the judgment. </w:t>
      </w:r>
    </w:p>
    <w:p w14:paraId="61974C56" w14:textId="6D9C2C93" w:rsidR="00C10331" w:rsidRPr="00160660" w:rsidRDefault="00D80EEC" w:rsidP="00C10331">
      <w:pPr>
        <w:pStyle w:val="1"/>
      </w:pPr>
      <w:r w:rsidRPr="00160660">
        <w:t>T</w:t>
      </w:r>
      <w:r w:rsidR="008B0CE3" w:rsidRPr="00160660">
        <w:t>he case for summary judgment</w:t>
      </w:r>
    </w:p>
    <w:p w14:paraId="04586C57" w14:textId="6D06AD8C" w:rsidR="00C10331" w:rsidRPr="00BD0D2E" w:rsidRDefault="00C10331" w:rsidP="00BD0D2E">
      <w:pPr>
        <w:pStyle w:val="1"/>
        <w:tabs>
          <w:tab w:val="clear" w:pos="567"/>
          <w:tab w:val="num" w:pos="284"/>
        </w:tabs>
        <w:ind w:left="426" w:hanging="426"/>
        <w:rPr>
          <w:lang w:eastAsia="en-GB"/>
        </w:rPr>
      </w:pPr>
      <w:r>
        <w:t>[</w:t>
      </w:r>
      <w:r w:rsidR="008D6B9E">
        <w:t>8</w:t>
      </w:r>
      <w:r>
        <w:t xml:space="preserve">] Uniform Rule 32(1)(b) permits a plaintiff claiming a liquidated amount, after delivery of a plea, to apply for summary judgment on the liquidated amount, together with a claim for interest and costs. The application for summary judgment must be accompanied by an affidavit by a person who, (i) can swear positively to the facts, </w:t>
      </w:r>
      <w:r>
        <w:lastRenderedPageBreak/>
        <w:t xml:space="preserve">(ii) </w:t>
      </w:r>
      <w:r w:rsidRPr="007A2E8A">
        <w:rPr>
          <w:lang w:eastAsia="en-GB"/>
        </w:rPr>
        <w:t xml:space="preserve">verifies the cause of action and the amount, if any, claimed, </w:t>
      </w:r>
      <w:r>
        <w:rPr>
          <w:lang w:eastAsia="en-GB"/>
        </w:rPr>
        <w:t xml:space="preserve">(iii) </w:t>
      </w:r>
      <w:r w:rsidRPr="007A2E8A">
        <w:rPr>
          <w:lang w:eastAsia="en-GB"/>
        </w:rPr>
        <w:t xml:space="preserve">identify any point of law relied upon and the facts upon which the plaintiff’s claim is based, and </w:t>
      </w:r>
      <w:r>
        <w:rPr>
          <w:lang w:eastAsia="en-GB"/>
        </w:rPr>
        <w:t xml:space="preserve">(iv) </w:t>
      </w:r>
      <w:r w:rsidRPr="007A2E8A">
        <w:rPr>
          <w:lang w:eastAsia="en-GB"/>
        </w:rPr>
        <w:t xml:space="preserve">explain briefly why the defence pleaded </w:t>
      </w:r>
      <w:r>
        <w:rPr>
          <w:lang w:eastAsia="en-GB"/>
        </w:rPr>
        <w:t xml:space="preserve">by the defendant </w:t>
      </w:r>
      <w:r w:rsidRPr="007A2E8A">
        <w:rPr>
          <w:lang w:eastAsia="en-GB"/>
        </w:rPr>
        <w:t>does not raise any issue for trial.</w:t>
      </w:r>
      <w:r>
        <w:rPr>
          <w:lang w:eastAsia="en-GB"/>
        </w:rPr>
        <w:t xml:space="preserve"> A defendant who wishes to oppose the claim for summary judgment may elect to provide </w:t>
      </w:r>
      <w:r w:rsidRPr="00FF3F82">
        <w:rPr>
          <w:lang w:eastAsia="en-GB"/>
        </w:rPr>
        <w:t xml:space="preserve">security </w:t>
      </w:r>
      <w:r w:rsidRPr="00BD0D2E">
        <w:rPr>
          <w:lang w:eastAsia="en-GB"/>
        </w:rPr>
        <w:t>to the satisfaction of the court for any judgment, including costs (rule 32(3)(a)); or</w:t>
      </w:r>
      <w:r w:rsidRPr="00FF3F82">
        <w:rPr>
          <w:lang w:eastAsia="en-GB"/>
        </w:rPr>
        <w:t xml:space="preserve"> “</w:t>
      </w:r>
      <w:r w:rsidRPr="00BD0D2E">
        <w:rPr>
          <w:i/>
          <w:lang w:eastAsia="en-GB"/>
        </w:rPr>
        <w:t xml:space="preserve">satisfy the court by affidavit (which shall be delivered five days before the day on which the application is to be heard), or with the leave of the court by oral evidence of such defendant or of any other person who can swear positively to the fact that the defendant has a bona fide defence to the action; </w:t>
      </w:r>
      <w:r w:rsidRPr="00FF3F82">
        <w:rPr>
          <w:i/>
          <w:u w:val="single"/>
          <w:lang w:eastAsia="en-GB"/>
        </w:rPr>
        <w:t>such affidavit or evidence shall disclose fully the nature and grounds of the defence and the material facts relied upon therefor</w:t>
      </w:r>
      <w:r w:rsidRPr="00BD0D2E">
        <w:rPr>
          <w:lang w:eastAsia="en-GB"/>
        </w:rPr>
        <w:t xml:space="preserve">” (rule 32(3)(b)). (my underlining) </w:t>
      </w:r>
    </w:p>
    <w:p w14:paraId="4F410B10" w14:textId="39CC7953" w:rsidR="00C10331" w:rsidRDefault="00C10331" w:rsidP="00BD0D2E">
      <w:pPr>
        <w:pStyle w:val="1"/>
        <w:tabs>
          <w:tab w:val="clear" w:pos="567"/>
        </w:tabs>
        <w:ind w:left="426" w:hanging="426"/>
        <w:rPr>
          <w:color w:val="2C3E50"/>
          <w:lang w:eastAsia="en-GB"/>
        </w:rPr>
      </w:pPr>
      <w:r>
        <w:t>[</w:t>
      </w:r>
      <w:r w:rsidR="00F41E0C">
        <w:t>9</w:t>
      </w:r>
      <w:r>
        <w:t xml:space="preserve">] The plaintiff’s affidavit in support of summary judgment is deposed by </w:t>
      </w:r>
      <w:r w:rsidR="00A632F8">
        <w:t xml:space="preserve">Ms </w:t>
      </w:r>
      <w:r>
        <w:t xml:space="preserve">Lindi </w:t>
      </w:r>
      <w:r w:rsidR="00F21ADF">
        <w:t>Botha</w:t>
      </w:r>
      <w:r>
        <w:t xml:space="preserve"> who describes herself as Senior Legal Advisor employed at the plaintiff, who swears positively to the facts, verifies the causes of action and the amounts claimed. Ms </w:t>
      </w:r>
      <w:r w:rsidR="00F21ADF">
        <w:t xml:space="preserve">Botha </w:t>
      </w:r>
      <w:r>
        <w:t>has attached to her affidavit “</w:t>
      </w:r>
      <w:r w:rsidR="00780347">
        <w:t xml:space="preserve">schedule(s) of </w:t>
      </w:r>
      <w:r>
        <w:t xml:space="preserve">remuneration” which record </w:t>
      </w:r>
      <w:r w:rsidR="00890E70">
        <w:t xml:space="preserve">the amount of </w:t>
      </w:r>
      <w:r w:rsidR="00505592">
        <w:t>each</w:t>
      </w:r>
      <w:r>
        <w:t xml:space="preserve"> </w:t>
      </w:r>
      <w:r w:rsidRPr="000D6DF6">
        <w:rPr>
          <w:i/>
        </w:rPr>
        <w:t>indebiti</w:t>
      </w:r>
      <w:r>
        <w:t xml:space="preserve"> payment</w:t>
      </w:r>
      <w:r w:rsidR="00505592">
        <w:t xml:space="preserve"> t</w:t>
      </w:r>
      <w:r w:rsidR="00890E70">
        <w:t>o the defendant</w:t>
      </w:r>
      <w:r>
        <w:t xml:space="preserve">. By reference to the relevant paragraphs in the </w:t>
      </w:r>
      <w:r w:rsidR="008D4D07">
        <w:t xml:space="preserve">plaintiff’s </w:t>
      </w:r>
      <w:r>
        <w:t xml:space="preserve">particulars of claim, the affidavit incorporates the factual allegations in the particulars of claim and the legal grounds relied upon by the plaintiff. I am satisfied that the supporting affidavit contains the </w:t>
      </w:r>
      <w:r w:rsidR="008D4D07">
        <w:t xml:space="preserve">necessary </w:t>
      </w:r>
      <w:r>
        <w:t xml:space="preserve">allegations </w:t>
      </w:r>
      <w:r w:rsidR="008D4D07">
        <w:t xml:space="preserve">as </w:t>
      </w:r>
      <w:r>
        <w:t xml:space="preserve">required </w:t>
      </w:r>
      <w:r w:rsidR="008D4D07">
        <w:t>by</w:t>
      </w:r>
      <w:r>
        <w:t xml:space="preserve"> rule 32(1)(b) and that the amount claimed is a liquidated amount </w:t>
      </w:r>
      <w:r w:rsidR="008D4D07">
        <w:t xml:space="preserve">as contemplated therein </w:t>
      </w:r>
      <w:r>
        <w:t xml:space="preserve">– see </w:t>
      </w:r>
      <w:r w:rsidRPr="0081275C">
        <w:rPr>
          <w:i/>
        </w:rPr>
        <w:t>Colrod Motors (Pty) Ltd v Bhula</w:t>
      </w:r>
      <w:r>
        <w:t xml:space="preserve"> </w:t>
      </w:r>
      <w:r w:rsidRPr="0081275C">
        <w:rPr>
          <w:i/>
        </w:rPr>
        <w:t>1973 (3) SA 836 (W)</w:t>
      </w:r>
      <w:r>
        <w:t xml:space="preserve">. Ms </w:t>
      </w:r>
      <w:r w:rsidR="00F21ADF">
        <w:t>Botha</w:t>
      </w:r>
      <w:r>
        <w:t xml:space="preserve"> disputes that the defendant has a </w:t>
      </w:r>
      <w:r w:rsidRPr="000D6DF6">
        <w:rPr>
          <w:i/>
        </w:rPr>
        <w:t>bona fide</w:t>
      </w:r>
      <w:r>
        <w:t xml:space="preserve"> defence to the claim and sets out the reasons.  </w:t>
      </w:r>
    </w:p>
    <w:p w14:paraId="0D524D44" w14:textId="0775C62D" w:rsidR="00C10331" w:rsidRPr="00BD0D2E" w:rsidRDefault="00C10331" w:rsidP="00BD0D2E">
      <w:pPr>
        <w:pStyle w:val="1"/>
        <w:tabs>
          <w:tab w:val="clear" w:pos="567"/>
          <w:tab w:val="num" w:pos="426"/>
        </w:tabs>
        <w:ind w:left="426" w:hanging="426"/>
      </w:pPr>
      <w:r>
        <w:lastRenderedPageBreak/>
        <w:t>[1</w:t>
      </w:r>
      <w:r w:rsidR="00882B24">
        <w:t>0</w:t>
      </w:r>
      <w:r>
        <w:t xml:space="preserve">] In </w:t>
      </w:r>
      <w:r w:rsidR="00650105">
        <w:t>his</w:t>
      </w:r>
      <w:r>
        <w:t xml:space="preserve"> plea, the defendant has raised 2 special pleas in addition to pleading </w:t>
      </w:r>
      <w:r w:rsidR="00A009BB">
        <w:t>to the merits</w:t>
      </w:r>
      <w:r>
        <w:t xml:space="preserve">. The first special is a plea of prescription of at least part of the claim. With the second special plea, the defendant pleads that the particulars of claim do not disclose a cause of action for the claim for interest. In the plea over, the defendant admits </w:t>
      </w:r>
      <w:r w:rsidR="00A009BB">
        <w:t xml:space="preserve">- </w:t>
      </w:r>
      <w:r>
        <w:t xml:space="preserve">(i) that he “was not only paid his agreed remuneration in terms of his new employment contract”; (ii) the gross over-payment amounts but states that he has no knowledge how the nett amounts were computed; (iii) that the </w:t>
      </w:r>
      <w:r w:rsidRPr="000D6DF6">
        <w:rPr>
          <w:i/>
        </w:rPr>
        <w:t>indebiti</w:t>
      </w:r>
      <w:r>
        <w:t xml:space="preserve"> payments were without causa. He denies that </w:t>
      </w:r>
      <w:r w:rsidR="00E775E6">
        <w:t xml:space="preserve">- </w:t>
      </w:r>
      <w:r>
        <w:t xml:space="preserve">(i) he had knowledge that he was not entitled to </w:t>
      </w:r>
      <w:r w:rsidRPr="000D6DF6">
        <w:rPr>
          <w:i/>
        </w:rPr>
        <w:t>the indebiti</w:t>
      </w:r>
      <w:r>
        <w:t xml:space="preserve"> payments; (ii) he wrongfully and intentionally appropriated the </w:t>
      </w:r>
      <w:r w:rsidRPr="000D6DF6">
        <w:rPr>
          <w:i/>
        </w:rPr>
        <w:t>indebiti</w:t>
      </w:r>
      <w:r>
        <w:t xml:space="preserve"> payments; (iii) that the over-payments were made in error because the plaintiff was aware of the expiry of the fixed-term contract and any error was inexcusable, grossly negligent, reckless and unreasonable by failing to take certain specified steps to prevent the payments to the defendant; (iv) he was unduly enriched. Finally, the defendant seeks apportionment in the event </w:t>
      </w:r>
      <w:r w:rsidR="002B7732">
        <w:t xml:space="preserve">I find </w:t>
      </w:r>
      <w:r>
        <w:t xml:space="preserve">that he is liable for the amount claimed by the plaintiff. These defences are repeated and expanded </w:t>
      </w:r>
      <w:r w:rsidR="002B7732">
        <w:t xml:space="preserve">upon </w:t>
      </w:r>
      <w:r>
        <w:t xml:space="preserve">in the affidavit opposing summary judgment. </w:t>
      </w:r>
    </w:p>
    <w:p w14:paraId="3AE9905E" w14:textId="7268267F" w:rsidR="00C10331" w:rsidRDefault="00C10331" w:rsidP="00BD0D2E">
      <w:pPr>
        <w:pStyle w:val="1"/>
        <w:tabs>
          <w:tab w:val="clear" w:pos="567"/>
          <w:tab w:val="num" w:pos="426"/>
        </w:tabs>
        <w:ind w:left="426" w:hanging="426"/>
        <w:rPr>
          <w:u w:val="single"/>
          <w:lang w:eastAsia="en-GB"/>
        </w:rPr>
      </w:pPr>
      <w:r>
        <w:rPr>
          <w:color w:val="2C3E50"/>
          <w:shd w:val="clear" w:color="auto" w:fill="FFFFFF"/>
        </w:rPr>
        <w:t>[1</w:t>
      </w:r>
      <w:r w:rsidR="00882B24">
        <w:rPr>
          <w:color w:val="2C3E50"/>
          <w:shd w:val="clear" w:color="auto" w:fill="FFFFFF"/>
        </w:rPr>
        <w:t>1</w:t>
      </w:r>
      <w:r>
        <w:rPr>
          <w:color w:val="2C3E50"/>
          <w:shd w:val="clear" w:color="auto" w:fill="FFFFFF"/>
        </w:rPr>
        <w:t>]</w:t>
      </w:r>
      <w:r w:rsidRPr="00AD18DA">
        <w:rPr>
          <w:color w:val="2C3E50"/>
          <w:shd w:val="clear" w:color="auto" w:fill="FFFFFF"/>
        </w:rPr>
        <w:t>Summary judgment has often be</w:t>
      </w:r>
      <w:r w:rsidR="00AE4C4B">
        <w:rPr>
          <w:color w:val="2C3E50"/>
          <w:shd w:val="clear" w:color="auto" w:fill="FFFFFF"/>
        </w:rPr>
        <w:t>en</w:t>
      </w:r>
      <w:r w:rsidRPr="00AD18DA">
        <w:rPr>
          <w:color w:val="2C3E50"/>
          <w:shd w:val="clear" w:color="auto" w:fill="FFFFFF"/>
        </w:rPr>
        <w:t xml:space="preserve"> described as an extraordinary </w:t>
      </w:r>
      <w:r>
        <w:rPr>
          <w:color w:val="2C3E50"/>
          <w:shd w:val="clear" w:color="auto" w:fill="FFFFFF"/>
        </w:rPr>
        <w:t xml:space="preserve">and drastic </w:t>
      </w:r>
      <w:r w:rsidRPr="00AD18DA">
        <w:rPr>
          <w:color w:val="2C3E50"/>
          <w:shd w:val="clear" w:color="auto" w:fill="FFFFFF"/>
        </w:rPr>
        <w:t>remedy in that, if granted</w:t>
      </w:r>
      <w:r>
        <w:rPr>
          <w:color w:val="2C3E50"/>
          <w:shd w:val="clear" w:color="auto" w:fill="FFFFFF"/>
        </w:rPr>
        <w:t xml:space="preserve">, </w:t>
      </w:r>
      <w:r w:rsidR="00830840">
        <w:rPr>
          <w:color w:val="2C3E50"/>
          <w:shd w:val="clear" w:color="auto" w:fill="FFFFFF"/>
        </w:rPr>
        <w:t>“</w:t>
      </w:r>
      <w:r w:rsidRPr="00904E29">
        <w:rPr>
          <w:i/>
          <w:color w:val="2C3E50"/>
          <w:shd w:val="clear" w:color="auto" w:fill="FFFFFF"/>
        </w:rPr>
        <w:t>it closes the door to a defendant and permits a judgment without a trial</w:t>
      </w:r>
      <w:r>
        <w:rPr>
          <w:color w:val="2C3E50"/>
          <w:shd w:val="clear" w:color="auto" w:fill="FFFFFF"/>
        </w:rPr>
        <w:t>”</w:t>
      </w:r>
      <w:r w:rsidRPr="00AD18DA">
        <w:rPr>
          <w:color w:val="2C3E50"/>
          <w:shd w:val="clear" w:color="auto" w:fill="FFFFFF"/>
        </w:rPr>
        <w:t>. And yet</w:t>
      </w:r>
      <w:r>
        <w:rPr>
          <w:color w:val="2C3E50"/>
          <w:shd w:val="clear" w:color="auto" w:fill="FFFFFF"/>
        </w:rPr>
        <w:t xml:space="preserve"> in reality</w:t>
      </w:r>
      <w:r w:rsidRPr="00AD18DA">
        <w:rPr>
          <w:color w:val="2C3E50"/>
          <w:shd w:val="clear" w:color="auto" w:fill="FFFFFF"/>
        </w:rPr>
        <w:t xml:space="preserve">, </w:t>
      </w:r>
      <w:r>
        <w:rPr>
          <w:color w:val="2C3E50"/>
          <w:shd w:val="clear" w:color="auto" w:fill="FFFFFF"/>
        </w:rPr>
        <w:t>as the Supreme Court of Appeal point</w:t>
      </w:r>
      <w:r w:rsidR="006669DE">
        <w:rPr>
          <w:color w:val="2C3E50"/>
          <w:shd w:val="clear" w:color="auto" w:fill="FFFFFF"/>
        </w:rPr>
        <w:t>ed</w:t>
      </w:r>
      <w:r>
        <w:rPr>
          <w:color w:val="2C3E50"/>
          <w:shd w:val="clear" w:color="auto" w:fill="FFFFFF"/>
        </w:rPr>
        <w:t xml:space="preserve"> out </w:t>
      </w:r>
      <w:r w:rsidR="006669DE">
        <w:rPr>
          <w:color w:val="2C3E50"/>
          <w:shd w:val="clear" w:color="auto" w:fill="FFFFFF"/>
        </w:rPr>
        <w:t xml:space="preserve">in </w:t>
      </w:r>
      <w:r w:rsidR="006669DE" w:rsidRPr="00AD18DA">
        <w:rPr>
          <w:i/>
          <w:color w:val="2C3E50"/>
          <w:shd w:val="clear" w:color="auto" w:fill="FFFFFF"/>
          <w:lang w:eastAsia="en-GB"/>
        </w:rPr>
        <w:t>Joob Joob Investments (Pty) Ltd v Stocks Mavundla Zek Joint Venture 2009 (5) SA 1 (SCA)</w:t>
      </w:r>
      <w:r w:rsidR="00E94D02">
        <w:rPr>
          <w:lang w:eastAsia="en-GB"/>
        </w:rPr>
        <w:t>,</w:t>
      </w:r>
      <w:r w:rsidR="006669DE" w:rsidRPr="00AD18DA">
        <w:rPr>
          <w:color w:val="2C3E50"/>
          <w:shd w:val="clear" w:color="auto" w:fill="FFFFFF"/>
        </w:rPr>
        <w:t xml:space="preserve"> </w:t>
      </w:r>
      <w:r w:rsidRPr="00AD18DA">
        <w:rPr>
          <w:color w:val="2C3E50"/>
          <w:shd w:val="clear" w:color="auto" w:fill="FFFFFF"/>
        </w:rPr>
        <w:t>“</w:t>
      </w:r>
      <w:r w:rsidR="00E94D02">
        <w:rPr>
          <w:i/>
          <w:lang w:eastAsia="en-GB"/>
        </w:rPr>
        <w:t>(h)</w:t>
      </w:r>
      <w:r w:rsidR="00E94D02" w:rsidRPr="00AD18DA">
        <w:rPr>
          <w:i/>
          <w:lang w:eastAsia="en-GB"/>
        </w:rPr>
        <w:t xml:space="preserve">aving </w:t>
      </w:r>
      <w:r w:rsidRPr="00AD18DA">
        <w:rPr>
          <w:i/>
          <w:lang w:eastAsia="en-GB"/>
        </w:rPr>
        <w:t>regard to its purpose and its proper application, summary judgment proceedings only hold terrors and are “drastic” for a defendant who has no defence</w:t>
      </w:r>
      <w:r w:rsidRPr="00AD18DA">
        <w:rPr>
          <w:lang w:eastAsia="en-GB"/>
        </w:rPr>
        <w:t>.”</w:t>
      </w:r>
      <w:r w:rsidR="00C76ABA" w:rsidRPr="00C76ABA">
        <w:rPr>
          <w:i/>
          <w:color w:val="2C3E50"/>
          <w:shd w:val="clear" w:color="auto" w:fill="FFFFFF"/>
          <w:lang w:eastAsia="en-GB"/>
        </w:rPr>
        <w:t xml:space="preserve"> </w:t>
      </w:r>
      <w:r w:rsidR="00C76ABA">
        <w:rPr>
          <w:iCs w:val="0"/>
          <w:color w:val="2C3E50"/>
          <w:shd w:val="clear" w:color="auto" w:fill="FFFFFF"/>
          <w:lang w:eastAsia="en-GB"/>
        </w:rPr>
        <w:t>(</w:t>
      </w:r>
      <w:r w:rsidR="000E4B6B">
        <w:rPr>
          <w:iCs w:val="0"/>
          <w:color w:val="2C3E50"/>
          <w:shd w:val="clear" w:color="auto" w:fill="FFFFFF"/>
          <w:lang w:eastAsia="en-GB"/>
        </w:rPr>
        <w:t>para [33])</w:t>
      </w:r>
      <w:r w:rsidR="00573E7E">
        <w:rPr>
          <w:lang w:eastAsia="en-GB"/>
        </w:rPr>
        <w:t>, a view I respectfully agree with</w:t>
      </w:r>
      <w:r w:rsidRPr="00AD18DA">
        <w:rPr>
          <w:lang w:eastAsia="en-GB"/>
        </w:rPr>
        <w:t>.</w:t>
      </w:r>
      <w:r>
        <w:rPr>
          <w:lang w:eastAsia="en-GB"/>
        </w:rPr>
        <w:t xml:space="preserve"> </w:t>
      </w:r>
      <w:r w:rsidR="002D45CA">
        <w:rPr>
          <w:lang w:eastAsia="en-GB"/>
        </w:rPr>
        <w:t xml:space="preserve">The court went on to say that </w:t>
      </w:r>
      <w:r w:rsidR="00997664" w:rsidRPr="00B67340">
        <w:rPr>
          <w:i/>
          <w:lang w:eastAsia="en-GB"/>
        </w:rPr>
        <w:t>“</w:t>
      </w:r>
      <w:r w:rsidR="00997664" w:rsidRPr="00B67340">
        <w:rPr>
          <w:i/>
          <w:color w:val="2C3E50"/>
          <w:shd w:val="clear" w:color="auto" w:fill="FFFFFF"/>
          <w:lang w:eastAsia="en-GB"/>
        </w:rPr>
        <w:t xml:space="preserve">The rationale for summary judgment proceedings is impeccable. The procedure is not intended to deprive a defendant with a triable </w:t>
      </w:r>
      <w:r w:rsidR="00997664" w:rsidRPr="00B67340">
        <w:rPr>
          <w:i/>
          <w:color w:val="2C3E50"/>
          <w:shd w:val="clear" w:color="auto" w:fill="FFFFFF"/>
          <w:lang w:eastAsia="en-GB"/>
        </w:rPr>
        <w:lastRenderedPageBreak/>
        <w:t>issue or a sustainable defence of her/his day in court</w:t>
      </w:r>
      <w:r w:rsidR="00EA11CC">
        <w:rPr>
          <w:i/>
          <w:color w:val="2C3E50"/>
          <w:shd w:val="clear" w:color="auto" w:fill="FFFFFF"/>
          <w:lang w:eastAsia="en-GB"/>
        </w:rPr>
        <w:t>. …</w:t>
      </w:r>
      <w:r w:rsidR="00997664">
        <w:rPr>
          <w:i/>
          <w:color w:val="2C3E50"/>
          <w:shd w:val="clear" w:color="auto" w:fill="FFFFFF"/>
          <w:lang w:eastAsia="en-GB"/>
        </w:rPr>
        <w:t>”</w:t>
      </w:r>
      <w:r w:rsidR="00263FA9">
        <w:rPr>
          <w:i/>
          <w:color w:val="2C3E50"/>
          <w:shd w:val="clear" w:color="auto" w:fill="FFFFFF"/>
          <w:lang w:eastAsia="en-GB"/>
        </w:rPr>
        <w:t xml:space="preserve"> </w:t>
      </w:r>
      <w:r w:rsidR="00263FA9">
        <w:rPr>
          <w:iCs w:val="0"/>
          <w:color w:val="2C3E50"/>
          <w:shd w:val="clear" w:color="auto" w:fill="FFFFFF"/>
          <w:lang w:eastAsia="en-GB"/>
        </w:rPr>
        <w:t>(</w:t>
      </w:r>
      <w:r w:rsidR="00DA3C2F">
        <w:rPr>
          <w:iCs w:val="0"/>
          <w:color w:val="2C3E50"/>
          <w:shd w:val="clear" w:color="auto" w:fill="FFFFFF"/>
          <w:lang w:eastAsia="en-GB"/>
        </w:rPr>
        <w:t xml:space="preserve">para </w:t>
      </w:r>
      <w:r w:rsidR="000E4B6B">
        <w:rPr>
          <w:iCs w:val="0"/>
          <w:color w:val="2C3E50"/>
          <w:shd w:val="clear" w:color="auto" w:fill="FFFFFF"/>
          <w:lang w:eastAsia="en-GB"/>
        </w:rPr>
        <w:t>[</w:t>
      </w:r>
      <w:r w:rsidR="00DA3C2F">
        <w:rPr>
          <w:iCs w:val="0"/>
          <w:color w:val="2C3E50"/>
          <w:shd w:val="clear" w:color="auto" w:fill="FFFFFF"/>
          <w:lang w:eastAsia="en-GB"/>
        </w:rPr>
        <w:t>32</w:t>
      </w:r>
      <w:r w:rsidR="000E4B6B">
        <w:rPr>
          <w:iCs w:val="0"/>
          <w:color w:val="2C3E50"/>
          <w:shd w:val="clear" w:color="auto" w:fill="FFFFFF"/>
          <w:lang w:eastAsia="en-GB"/>
        </w:rPr>
        <w:t>]</w:t>
      </w:r>
      <w:r w:rsidR="00263FA9">
        <w:rPr>
          <w:iCs w:val="0"/>
          <w:color w:val="2C3E50"/>
          <w:shd w:val="clear" w:color="auto" w:fill="FFFFFF"/>
          <w:lang w:eastAsia="en-GB"/>
        </w:rPr>
        <w:t>)</w:t>
      </w:r>
      <w:r w:rsidR="00997664">
        <w:rPr>
          <w:i/>
          <w:color w:val="2C3E50"/>
          <w:shd w:val="clear" w:color="auto" w:fill="FFFFFF"/>
          <w:lang w:eastAsia="en-GB"/>
        </w:rPr>
        <w:t>.</w:t>
      </w:r>
      <w:r w:rsidR="00EA11CC">
        <w:rPr>
          <w:i/>
          <w:color w:val="2C3E50"/>
          <w:shd w:val="clear" w:color="auto" w:fill="FFFFFF"/>
          <w:lang w:eastAsia="en-GB"/>
        </w:rPr>
        <w:t xml:space="preserve"> </w:t>
      </w:r>
      <w:r w:rsidR="00252BEE">
        <w:rPr>
          <w:iCs w:val="0"/>
          <w:color w:val="2C3E50"/>
          <w:shd w:val="clear" w:color="auto" w:fill="FFFFFF"/>
          <w:lang w:eastAsia="en-GB"/>
        </w:rPr>
        <w:t xml:space="preserve">The </w:t>
      </w:r>
      <w:r w:rsidR="00093A0C">
        <w:rPr>
          <w:iCs w:val="0"/>
          <w:color w:val="2C3E50"/>
          <w:shd w:val="clear" w:color="auto" w:fill="FFFFFF"/>
          <w:lang w:eastAsia="en-GB"/>
        </w:rPr>
        <w:t xml:space="preserve">remedy </w:t>
      </w:r>
      <w:r w:rsidR="00F57E58">
        <w:rPr>
          <w:iCs w:val="0"/>
          <w:color w:val="2C3E50"/>
          <w:shd w:val="clear" w:color="auto" w:fill="FFFFFF"/>
          <w:lang w:eastAsia="en-GB"/>
        </w:rPr>
        <w:t>is in</w:t>
      </w:r>
      <w:r w:rsidR="00093A0C">
        <w:rPr>
          <w:iCs w:val="0"/>
          <w:color w:val="2C3E50"/>
          <w:shd w:val="clear" w:color="auto" w:fill="FFFFFF"/>
          <w:lang w:eastAsia="en-GB"/>
        </w:rPr>
        <w:t xml:space="preserve"> my respectful view</w:t>
      </w:r>
      <w:r w:rsidR="00BC1C28">
        <w:rPr>
          <w:iCs w:val="0"/>
          <w:color w:val="2C3E50"/>
          <w:shd w:val="clear" w:color="auto" w:fill="FFFFFF"/>
          <w:lang w:eastAsia="en-GB"/>
        </w:rPr>
        <w:t xml:space="preserve"> correctly explained </w:t>
      </w:r>
      <w:r w:rsidR="00F57E58">
        <w:rPr>
          <w:iCs w:val="0"/>
          <w:color w:val="2C3E50"/>
          <w:shd w:val="clear" w:color="auto" w:fill="FFFFFF"/>
          <w:lang w:eastAsia="en-GB"/>
        </w:rPr>
        <w:t xml:space="preserve">as </w:t>
      </w:r>
      <w:r w:rsidR="00DE3784">
        <w:rPr>
          <w:iCs w:val="0"/>
          <w:color w:val="2C3E50"/>
          <w:shd w:val="clear" w:color="auto" w:fill="FFFFFF"/>
          <w:lang w:eastAsia="en-GB"/>
        </w:rPr>
        <w:t>one</w:t>
      </w:r>
      <w:r>
        <w:rPr>
          <w:lang w:eastAsia="en-GB"/>
        </w:rPr>
        <w:t xml:space="preserve"> which </w:t>
      </w:r>
      <w:r w:rsidRPr="00BD0D2E">
        <w:rPr>
          <w:rFonts w:ascii="Verdana" w:hAnsi="Verdana"/>
          <w:sz w:val="20"/>
          <w:szCs w:val="20"/>
          <w:shd w:val="clear" w:color="auto" w:fill="FFFFFF"/>
        </w:rPr>
        <w:t>“</w:t>
      </w:r>
      <w:r w:rsidRPr="00BD0D2E">
        <w:rPr>
          <w:i/>
          <w:shd w:val="clear" w:color="auto" w:fill="FFFFFF"/>
        </w:rPr>
        <w:t>seeks to protect a plaintiff from the delay and costs of a full</w:t>
      </w:r>
      <w:r w:rsidR="00CD5B7A">
        <w:rPr>
          <w:i/>
          <w:shd w:val="clear" w:color="auto" w:fill="FFFFFF"/>
        </w:rPr>
        <w:t>-</w:t>
      </w:r>
      <w:r w:rsidRPr="00BD0D2E">
        <w:rPr>
          <w:i/>
          <w:shd w:val="clear" w:color="auto" w:fill="FFFFFF"/>
        </w:rPr>
        <w:t>blown trial where there is no answer to its claim.</w:t>
      </w:r>
      <w:r w:rsidRPr="00BD0D2E">
        <w:rPr>
          <w:rFonts w:ascii="Verdana" w:hAnsi="Verdana"/>
          <w:sz w:val="20"/>
          <w:szCs w:val="20"/>
          <w:shd w:val="clear" w:color="auto" w:fill="FFFFFF"/>
        </w:rPr>
        <w:t>”</w:t>
      </w:r>
      <w:r>
        <w:rPr>
          <w:rFonts w:ascii="Verdana" w:hAnsi="Verdana"/>
          <w:color w:val="2C3E50"/>
          <w:sz w:val="20"/>
          <w:szCs w:val="20"/>
          <w:shd w:val="clear" w:color="auto" w:fill="FFFFFF"/>
        </w:rPr>
        <w:t xml:space="preserve"> </w:t>
      </w:r>
    </w:p>
    <w:p w14:paraId="31B987EC" w14:textId="3154D988" w:rsidR="00C10331" w:rsidRDefault="00C10331" w:rsidP="00BD0D2E">
      <w:pPr>
        <w:pStyle w:val="1"/>
        <w:tabs>
          <w:tab w:val="clear" w:pos="567"/>
          <w:tab w:val="num" w:pos="426"/>
        </w:tabs>
        <w:ind w:left="426" w:hanging="426"/>
        <w:rPr>
          <w:color w:val="2C3E50"/>
          <w:lang w:eastAsia="en-GB"/>
        </w:rPr>
      </w:pPr>
      <w:r w:rsidRPr="00E75FF5">
        <w:rPr>
          <w:lang w:eastAsia="en-GB"/>
        </w:rPr>
        <w:t>[1</w:t>
      </w:r>
      <w:r w:rsidR="00F43193" w:rsidRPr="00E75FF5">
        <w:rPr>
          <w:lang w:eastAsia="en-GB"/>
        </w:rPr>
        <w:t>2</w:t>
      </w:r>
      <w:r w:rsidRPr="00E75FF5">
        <w:rPr>
          <w:lang w:eastAsia="en-GB"/>
        </w:rPr>
        <w:t xml:space="preserve">] </w:t>
      </w:r>
      <w:r w:rsidR="00D30561" w:rsidRPr="00E75FF5">
        <w:rPr>
          <w:lang w:eastAsia="en-GB"/>
        </w:rPr>
        <w:t xml:space="preserve">A defendant </w:t>
      </w:r>
      <w:r w:rsidR="006C5174" w:rsidRPr="00E75FF5">
        <w:rPr>
          <w:lang w:eastAsia="en-GB"/>
        </w:rPr>
        <w:t>opposing summary judgment and who does not offer security in terms of rule 32</w:t>
      </w:r>
      <w:r w:rsidR="00FC4EE9" w:rsidRPr="00E75FF5">
        <w:rPr>
          <w:lang w:eastAsia="en-GB"/>
        </w:rPr>
        <w:t>(3)(b)</w:t>
      </w:r>
      <w:r w:rsidR="009C6327" w:rsidRPr="00E75FF5">
        <w:rPr>
          <w:lang w:eastAsia="en-GB"/>
        </w:rPr>
        <w:t>, must satisfy the C</w:t>
      </w:r>
      <w:r w:rsidR="00D30561" w:rsidRPr="00E75FF5">
        <w:rPr>
          <w:lang w:eastAsia="en-GB"/>
        </w:rPr>
        <w:t>ourt</w:t>
      </w:r>
      <w:r w:rsidR="00A72A6C" w:rsidRPr="00E75FF5">
        <w:rPr>
          <w:lang w:eastAsia="en-GB"/>
        </w:rPr>
        <w:t xml:space="preserve"> </w:t>
      </w:r>
      <w:r w:rsidR="009C6327" w:rsidRPr="00E75FF5">
        <w:rPr>
          <w:lang w:eastAsia="en-GB"/>
        </w:rPr>
        <w:t xml:space="preserve">by affidavit </w:t>
      </w:r>
      <w:r w:rsidR="00A72A6C" w:rsidRPr="00E75FF5">
        <w:rPr>
          <w:lang w:eastAsia="en-GB"/>
        </w:rPr>
        <w:t xml:space="preserve">that he has </w:t>
      </w:r>
      <w:r w:rsidR="00A72A6C" w:rsidRPr="00E75FF5">
        <w:rPr>
          <w:i/>
          <w:iCs w:val="0"/>
          <w:lang w:eastAsia="en-GB"/>
        </w:rPr>
        <w:t>bona fide</w:t>
      </w:r>
      <w:r w:rsidR="00A72A6C" w:rsidRPr="00E75FF5">
        <w:rPr>
          <w:lang w:eastAsia="en-GB"/>
        </w:rPr>
        <w:t xml:space="preserve"> defence to the claim. </w:t>
      </w:r>
      <w:r w:rsidR="00A936FD" w:rsidRPr="00E75FF5">
        <w:rPr>
          <w:lang w:eastAsia="en-GB"/>
        </w:rPr>
        <w:t xml:space="preserve">The Appellate Division (as it then was) </w:t>
      </w:r>
      <w:r w:rsidR="00E751A8" w:rsidRPr="00E75FF5">
        <w:rPr>
          <w:lang w:eastAsia="en-GB"/>
        </w:rPr>
        <w:t xml:space="preserve">explained the threshold for </w:t>
      </w:r>
      <w:r w:rsidR="00A4033F" w:rsidRPr="00E75FF5">
        <w:rPr>
          <w:lang w:eastAsia="en-GB"/>
        </w:rPr>
        <w:t xml:space="preserve">a </w:t>
      </w:r>
      <w:r w:rsidR="00E751A8" w:rsidRPr="00E75FF5">
        <w:rPr>
          <w:lang w:eastAsia="en-GB"/>
        </w:rPr>
        <w:t xml:space="preserve">successful opposition to summary judgment </w:t>
      </w:r>
      <w:r w:rsidR="00F20EAB" w:rsidRPr="00E75FF5">
        <w:rPr>
          <w:lang w:eastAsia="en-GB"/>
        </w:rPr>
        <w:t xml:space="preserve">in </w:t>
      </w:r>
      <w:r w:rsidR="00F20EAB" w:rsidRPr="0081275C">
        <w:rPr>
          <w:i/>
          <w:color w:val="2C3E50"/>
          <w:lang w:eastAsia="en-GB"/>
        </w:rPr>
        <w:t>Maharaj v Barclays</w:t>
      </w:r>
      <w:r w:rsidR="00F20EAB">
        <w:rPr>
          <w:color w:val="2C3E50"/>
          <w:lang w:eastAsia="en-GB"/>
        </w:rPr>
        <w:t xml:space="preserve"> </w:t>
      </w:r>
      <w:r w:rsidR="00F20EAB" w:rsidRPr="0081275C">
        <w:rPr>
          <w:i/>
          <w:color w:val="2C3E50"/>
        </w:rPr>
        <w:t>National Bank Ltd</w:t>
      </w:r>
      <w:r w:rsidR="00F20EAB">
        <w:rPr>
          <w:i/>
          <w:color w:val="2C3E50"/>
        </w:rPr>
        <w:t xml:space="preserve"> </w:t>
      </w:r>
      <w:r w:rsidR="00F20EAB">
        <w:rPr>
          <w:color w:val="2C3E50"/>
        </w:rPr>
        <w:t>1976 (1) SA 418 (A)</w:t>
      </w:r>
      <w:r w:rsidR="00A5654C" w:rsidRPr="0081275C">
        <w:rPr>
          <w:color w:val="2C3E50"/>
          <w:shd w:val="clear" w:color="auto" w:fill="FFFFFF"/>
        </w:rPr>
        <w:t xml:space="preserve"> </w:t>
      </w:r>
      <w:r w:rsidR="00E751A8" w:rsidRPr="00E75FF5">
        <w:rPr>
          <w:lang w:eastAsia="en-GB"/>
        </w:rPr>
        <w:t>as follows</w:t>
      </w:r>
      <w:r w:rsidR="00A4033F" w:rsidRPr="00E75FF5">
        <w:rPr>
          <w:lang w:eastAsia="en-GB"/>
        </w:rPr>
        <w:t>:</w:t>
      </w:r>
      <w:r w:rsidR="00E751A8">
        <w:rPr>
          <w:u w:val="single"/>
          <w:lang w:eastAsia="en-GB"/>
        </w:rPr>
        <w:t xml:space="preserve"> </w:t>
      </w:r>
    </w:p>
    <w:p w14:paraId="0263CA44" w14:textId="767DD56A" w:rsidR="00C10331" w:rsidRDefault="009775F6" w:rsidP="00BD0D2E">
      <w:pPr>
        <w:pStyle w:val="1"/>
        <w:spacing w:before="0" w:line="240" w:lineRule="auto"/>
        <w:ind w:left="993" w:right="521" w:hanging="142"/>
        <w:rPr>
          <w:color w:val="2C3E50"/>
          <w:lang w:eastAsia="en-GB"/>
        </w:rPr>
      </w:pPr>
      <w:r>
        <w:rPr>
          <w:i/>
          <w:color w:val="2C3E50"/>
          <w:shd w:val="clear" w:color="auto" w:fill="FFFFFF"/>
        </w:rPr>
        <w:tab/>
      </w:r>
      <w:r w:rsidR="00C10331" w:rsidRPr="00DE561C">
        <w:rPr>
          <w:i/>
          <w:color w:val="2C3E50"/>
          <w:shd w:val="clear" w:color="auto" w:fill="FFFFFF"/>
        </w:rPr>
        <w:t xml:space="preserve">“… </w:t>
      </w:r>
      <w:r w:rsidR="00C10331" w:rsidRPr="0081275C">
        <w:rPr>
          <w:i/>
          <w:color w:val="2C3E50"/>
          <w:shd w:val="clear" w:color="auto" w:fill="FFFFFF"/>
        </w:rPr>
        <w:t>Accordingly, one of the ways in which a defendant may successfully oppose a claim for summary judgment is by satisfying the Court by affidavit that he has a</w:t>
      </w:r>
      <w:r w:rsidR="00C10331" w:rsidRPr="0081275C">
        <w:rPr>
          <w:rStyle w:val="apple-converted-space"/>
          <w:rFonts w:cs="Arial"/>
          <w:i/>
          <w:color w:val="2C3E50"/>
          <w:szCs w:val="24"/>
          <w:shd w:val="clear" w:color="auto" w:fill="FFFFFF"/>
        </w:rPr>
        <w:t> </w:t>
      </w:r>
      <w:r w:rsidR="00C10331" w:rsidRPr="0081275C">
        <w:rPr>
          <w:i/>
          <w:color w:val="2C3E50"/>
        </w:rPr>
        <w:t>bona fide</w:t>
      </w:r>
      <w:r w:rsidR="00C10331" w:rsidRPr="0081275C">
        <w:rPr>
          <w:rStyle w:val="apple-converted-space"/>
          <w:rFonts w:cs="Arial"/>
          <w:i/>
          <w:color w:val="2C3E50"/>
          <w:szCs w:val="24"/>
          <w:shd w:val="clear" w:color="auto" w:fill="FFFFFF"/>
        </w:rPr>
        <w:t> </w:t>
      </w:r>
      <w:r w:rsidR="00C10331" w:rsidRPr="0081275C">
        <w:rPr>
          <w:i/>
          <w:color w:val="2C3E50"/>
          <w:shd w:val="clear" w:color="auto" w:fill="FFFFFF"/>
        </w:rPr>
        <w:t>defence to the claim. 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All that the Court enquires into is:</w:t>
      </w:r>
      <w:r w:rsidR="00C10331" w:rsidRPr="0081275C">
        <w:rPr>
          <w:rStyle w:val="apple-converted-space"/>
          <w:rFonts w:cs="Arial"/>
          <w:i/>
          <w:color w:val="2C3E50"/>
          <w:szCs w:val="24"/>
          <w:shd w:val="clear" w:color="auto" w:fill="FFFFFF"/>
        </w:rPr>
        <w:t> </w:t>
      </w:r>
      <w:r w:rsidR="00C10331" w:rsidRPr="0081275C">
        <w:rPr>
          <w:i/>
          <w:color w:val="2C3E50"/>
        </w:rPr>
        <w:t>(a)</w:t>
      </w:r>
      <w:r w:rsidR="00C10331" w:rsidRPr="0081275C">
        <w:rPr>
          <w:rStyle w:val="apple-converted-space"/>
          <w:rFonts w:cs="Arial"/>
          <w:i/>
          <w:color w:val="2C3E50"/>
          <w:szCs w:val="24"/>
          <w:shd w:val="clear" w:color="auto" w:fill="FFFFFF"/>
        </w:rPr>
        <w:t> </w:t>
      </w:r>
      <w:r w:rsidR="00C10331" w:rsidRPr="0081275C">
        <w:rPr>
          <w:i/>
          <w:color w:val="2C3E50"/>
          <w:shd w:val="clear" w:color="auto" w:fill="FFFFFF"/>
        </w:rPr>
        <w:t>whether the defendant has “fully” disclosed the nature and grounds of his defence and the material facts upon which it is founded, and</w:t>
      </w:r>
      <w:r w:rsidR="00C10331" w:rsidRPr="0081275C">
        <w:rPr>
          <w:rStyle w:val="apple-converted-space"/>
          <w:rFonts w:cs="Arial"/>
          <w:i/>
          <w:color w:val="2C3E50"/>
          <w:szCs w:val="24"/>
          <w:shd w:val="clear" w:color="auto" w:fill="FFFFFF"/>
        </w:rPr>
        <w:t> </w:t>
      </w:r>
      <w:r w:rsidR="00C10331" w:rsidRPr="0081275C">
        <w:rPr>
          <w:i/>
          <w:color w:val="2C3E50"/>
        </w:rPr>
        <w:t>(b)</w:t>
      </w:r>
      <w:r w:rsidR="00C10331" w:rsidRPr="0081275C">
        <w:rPr>
          <w:rStyle w:val="apple-converted-space"/>
          <w:rFonts w:cs="Arial"/>
          <w:i/>
          <w:color w:val="2C3E50"/>
          <w:szCs w:val="24"/>
          <w:shd w:val="clear" w:color="auto" w:fill="FFFFFF"/>
        </w:rPr>
        <w:t> </w:t>
      </w:r>
      <w:r w:rsidR="00C10331" w:rsidRPr="0081275C">
        <w:rPr>
          <w:i/>
          <w:color w:val="2C3E50"/>
          <w:shd w:val="clear" w:color="auto" w:fill="FFFFFF"/>
        </w:rPr>
        <w:t>whether on the facts so disclosed the defendant appears to have, as to either the whole or part of the claim, a defence which is both</w:t>
      </w:r>
      <w:r w:rsidR="00C10331" w:rsidRPr="0081275C">
        <w:rPr>
          <w:rStyle w:val="apple-converted-space"/>
          <w:rFonts w:cs="Arial"/>
          <w:i/>
          <w:color w:val="2C3E50"/>
          <w:szCs w:val="24"/>
          <w:shd w:val="clear" w:color="auto" w:fill="FFFFFF"/>
        </w:rPr>
        <w:t> </w:t>
      </w:r>
      <w:r w:rsidR="00C10331" w:rsidRPr="0081275C">
        <w:rPr>
          <w:i/>
          <w:color w:val="2C3E50"/>
        </w:rPr>
        <w:t>bona fide</w:t>
      </w:r>
      <w:r w:rsidR="00C10331" w:rsidRPr="0081275C">
        <w:rPr>
          <w:rStyle w:val="apple-converted-space"/>
          <w:rFonts w:cs="Arial"/>
          <w:i/>
          <w:color w:val="2C3E50"/>
          <w:szCs w:val="24"/>
          <w:shd w:val="clear" w:color="auto" w:fill="FFFFFF"/>
        </w:rPr>
        <w:t> </w:t>
      </w:r>
      <w:r w:rsidR="00C10331" w:rsidRPr="0081275C">
        <w:rPr>
          <w:i/>
          <w:color w:val="2C3E50"/>
          <w:shd w:val="clear" w:color="auto" w:fill="FFFFFF"/>
        </w:rPr>
        <w:t>and good in law. If satisfied on these matters the Court must refuse summary judgment, either wholly or in part, as the case may be. The word “fully”, as used in the context of the Rule (and its predecessors), has been the cause of some judicial controversy in the past. It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w:t>
      </w:r>
      <w:r w:rsidR="00C10331" w:rsidRPr="0081275C">
        <w:rPr>
          <w:rStyle w:val="apple-converted-space"/>
          <w:rFonts w:cs="Arial"/>
          <w:i/>
          <w:color w:val="2C3E50"/>
          <w:szCs w:val="24"/>
          <w:shd w:val="clear" w:color="auto" w:fill="FFFFFF"/>
        </w:rPr>
        <w:t> </w:t>
      </w:r>
      <w:r w:rsidR="00C10331" w:rsidRPr="0081275C">
        <w:rPr>
          <w:i/>
          <w:color w:val="2C3E50"/>
        </w:rPr>
        <w:t>bona fide</w:t>
      </w:r>
      <w:r w:rsidR="00C10331" w:rsidRPr="0081275C">
        <w:rPr>
          <w:rStyle w:val="apple-converted-space"/>
          <w:rFonts w:cs="Arial"/>
          <w:i/>
          <w:color w:val="2C3E50"/>
          <w:szCs w:val="24"/>
          <w:shd w:val="clear" w:color="auto" w:fill="FFFFFF"/>
        </w:rPr>
        <w:t> </w:t>
      </w:r>
      <w:r w:rsidR="00C10331" w:rsidRPr="0081275C">
        <w:rPr>
          <w:i/>
          <w:color w:val="2C3E50"/>
          <w:shd w:val="clear" w:color="auto" w:fill="FFFFFF"/>
        </w:rPr>
        <w:t>defence.</w:t>
      </w:r>
      <w:r w:rsidR="00025BFA">
        <w:rPr>
          <w:i/>
          <w:color w:val="2C3E50"/>
          <w:shd w:val="clear" w:color="auto" w:fill="FFFFFF"/>
        </w:rPr>
        <w:t xml:space="preserve"> …</w:t>
      </w:r>
      <w:r w:rsidR="00C10331" w:rsidRPr="00BD0D2E">
        <w:rPr>
          <w:i/>
          <w:shd w:val="clear" w:color="auto" w:fill="FFFFFF"/>
        </w:rPr>
        <w:t xml:space="preserve"> At the same time the defendant is not expected to formulate his opposition to the claim with the precision that would be required of a plea; nor does the Court examine it by the standards of pleading.</w:t>
      </w:r>
      <w:r>
        <w:rPr>
          <w:i/>
          <w:shd w:val="clear" w:color="auto" w:fill="FFFFFF"/>
        </w:rPr>
        <w:t xml:space="preserve"> …</w:t>
      </w:r>
      <w:r w:rsidR="00C10331" w:rsidRPr="00DE561C">
        <w:rPr>
          <w:i/>
          <w:color w:val="2C3E50"/>
          <w:shd w:val="clear" w:color="auto" w:fill="FFFFFF"/>
        </w:rPr>
        <w:t>”</w:t>
      </w:r>
      <w:r w:rsidR="004E3ED5">
        <w:rPr>
          <w:iCs w:val="0"/>
          <w:color w:val="2C3E50"/>
          <w:shd w:val="clear" w:color="auto" w:fill="FFFFFF"/>
        </w:rPr>
        <w:t xml:space="preserve"> (</w:t>
      </w:r>
      <w:r w:rsidR="004E3ED5" w:rsidRPr="0081275C">
        <w:rPr>
          <w:color w:val="2C3E50"/>
          <w:shd w:val="clear" w:color="auto" w:fill="FFFFFF"/>
        </w:rPr>
        <w:t>at 425G–426E</w:t>
      </w:r>
      <w:r w:rsidR="004E3ED5">
        <w:rPr>
          <w:color w:val="2C3E50"/>
          <w:shd w:val="clear" w:color="auto" w:fill="FFFFFF"/>
        </w:rPr>
        <w:t>)</w:t>
      </w:r>
    </w:p>
    <w:p w14:paraId="495340C9" w14:textId="24868CEF" w:rsidR="00C10331" w:rsidRPr="00AD18DA" w:rsidRDefault="00C10331" w:rsidP="00BD0D2E">
      <w:pPr>
        <w:pStyle w:val="1"/>
        <w:tabs>
          <w:tab w:val="clear" w:pos="567"/>
          <w:tab w:val="num" w:pos="426"/>
        </w:tabs>
        <w:ind w:left="426" w:hanging="426"/>
        <w:rPr>
          <w:color w:val="2C3E50"/>
          <w:lang w:eastAsia="en-GB"/>
        </w:rPr>
      </w:pPr>
      <w:r>
        <w:rPr>
          <w:color w:val="2C3E50"/>
          <w:lang w:eastAsia="en-GB"/>
        </w:rPr>
        <w:t>[1</w:t>
      </w:r>
      <w:r w:rsidR="00DE3784">
        <w:rPr>
          <w:color w:val="2C3E50"/>
          <w:lang w:eastAsia="en-GB"/>
        </w:rPr>
        <w:t>3</w:t>
      </w:r>
      <w:r>
        <w:rPr>
          <w:color w:val="2C3E50"/>
          <w:lang w:eastAsia="en-GB"/>
        </w:rPr>
        <w:t>]</w:t>
      </w:r>
      <w:r w:rsidRPr="00AD18DA">
        <w:rPr>
          <w:color w:val="2C3E50"/>
          <w:lang w:eastAsia="en-GB"/>
        </w:rPr>
        <w:t xml:space="preserve">I </w:t>
      </w:r>
      <w:r w:rsidR="00604A86">
        <w:rPr>
          <w:color w:val="2C3E50"/>
          <w:lang w:eastAsia="en-GB"/>
        </w:rPr>
        <w:t xml:space="preserve">have already determined that </w:t>
      </w:r>
      <w:r w:rsidR="003D6E59">
        <w:rPr>
          <w:color w:val="2C3E50"/>
          <w:lang w:eastAsia="en-GB"/>
        </w:rPr>
        <w:t xml:space="preserve">the affidavit deposed to by the plaintiff’s </w:t>
      </w:r>
      <w:r w:rsidR="00CD5E2B">
        <w:rPr>
          <w:color w:val="2C3E50"/>
          <w:lang w:eastAsia="en-GB"/>
        </w:rPr>
        <w:t xml:space="preserve">Ms </w:t>
      </w:r>
      <w:r w:rsidR="00F21ADF">
        <w:rPr>
          <w:color w:val="2C3E50"/>
          <w:lang w:eastAsia="en-GB"/>
        </w:rPr>
        <w:t>Botha</w:t>
      </w:r>
      <w:r w:rsidR="003D6E59">
        <w:rPr>
          <w:color w:val="2C3E50"/>
          <w:lang w:eastAsia="en-GB"/>
        </w:rPr>
        <w:t xml:space="preserve"> meets the requirements </w:t>
      </w:r>
      <w:r w:rsidR="00113A5A">
        <w:rPr>
          <w:color w:val="2C3E50"/>
          <w:lang w:eastAsia="en-GB"/>
        </w:rPr>
        <w:t xml:space="preserve">of rule 32(1)(b). It now falls to consider whether the </w:t>
      </w:r>
      <w:r w:rsidR="00113A5A">
        <w:rPr>
          <w:color w:val="2C3E50"/>
          <w:lang w:eastAsia="en-GB"/>
        </w:rPr>
        <w:lastRenderedPageBreak/>
        <w:t xml:space="preserve">defendant meets the threshold </w:t>
      </w:r>
      <w:r w:rsidR="00F1636B">
        <w:rPr>
          <w:color w:val="2C3E50"/>
          <w:lang w:eastAsia="en-GB"/>
        </w:rPr>
        <w:t xml:space="preserve">eloquently explained in Maharaj, </w:t>
      </w:r>
      <w:r w:rsidR="00CD5E2B" w:rsidRPr="00BD0D2E">
        <w:rPr>
          <w:i/>
          <w:iCs w:val="0"/>
          <w:color w:val="2C3E50"/>
          <w:lang w:eastAsia="en-GB"/>
        </w:rPr>
        <w:t>viz.</w:t>
      </w:r>
      <w:r w:rsidR="00F1636B">
        <w:rPr>
          <w:color w:val="2C3E50"/>
          <w:lang w:eastAsia="en-GB"/>
        </w:rPr>
        <w:t xml:space="preserve"> </w:t>
      </w:r>
      <w:r w:rsidR="00113A5A">
        <w:rPr>
          <w:color w:val="2C3E50"/>
          <w:lang w:eastAsia="en-GB"/>
        </w:rPr>
        <w:t xml:space="preserve">whether </w:t>
      </w:r>
      <w:r w:rsidR="00F1636B">
        <w:rPr>
          <w:color w:val="2C3E50"/>
          <w:lang w:eastAsia="en-GB"/>
        </w:rPr>
        <w:t xml:space="preserve">he </w:t>
      </w:r>
      <w:r w:rsidR="00F1636B" w:rsidRPr="00BD0D2E">
        <w:rPr>
          <w:iCs w:val="0"/>
          <w:color w:val="2C3E50"/>
          <w:shd w:val="clear" w:color="auto" w:fill="FFFFFF"/>
        </w:rPr>
        <w:t xml:space="preserve">has </w:t>
      </w:r>
      <w:r w:rsidR="00F1636B">
        <w:rPr>
          <w:i/>
          <w:color w:val="2C3E50"/>
          <w:shd w:val="clear" w:color="auto" w:fill="FFFFFF"/>
        </w:rPr>
        <w:t>“</w:t>
      </w:r>
      <w:r w:rsidR="00F1636B" w:rsidRPr="0081275C">
        <w:rPr>
          <w:i/>
          <w:color w:val="2C3E50"/>
          <w:shd w:val="clear" w:color="auto" w:fill="FFFFFF"/>
        </w:rPr>
        <w:t>“fully” disclosed the nature and grounds of his defence and the material facts upon which it is founded, and</w:t>
      </w:r>
      <w:r w:rsidR="00F1636B" w:rsidRPr="0081275C">
        <w:rPr>
          <w:rStyle w:val="apple-converted-space"/>
          <w:rFonts w:cs="Arial"/>
          <w:i/>
          <w:color w:val="2C3E50"/>
          <w:szCs w:val="24"/>
          <w:shd w:val="clear" w:color="auto" w:fill="FFFFFF"/>
        </w:rPr>
        <w:t> </w:t>
      </w:r>
      <w:r w:rsidR="00F1636B" w:rsidRPr="0081275C">
        <w:rPr>
          <w:i/>
          <w:color w:val="2C3E50"/>
        </w:rPr>
        <w:t>(b)</w:t>
      </w:r>
      <w:r w:rsidR="00F1636B" w:rsidRPr="0081275C">
        <w:rPr>
          <w:rStyle w:val="apple-converted-space"/>
          <w:rFonts w:cs="Arial"/>
          <w:i/>
          <w:color w:val="2C3E50"/>
          <w:szCs w:val="24"/>
          <w:shd w:val="clear" w:color="auto" w:fill="FFFFFF"/>
        </w:rPr>
        <w:t> </w:t>
      </w:r>
      <w:r w:rsidR="00F1636B" w:rsidRPr="0081275C">
        <w:rPr>
          <w:i/>
          <w:color w:val="2C3E50"/>
          <w:shd w:val="clear" w:color="auto" w:fill="FFFFFF"/>
        </w:rPr>
        <w:t>whether on the facts so disclosed the defendant appears to have, as to either the whole or part of the claim, a defence which is both</w:t>
      </w:r>
      <w:r w:rsidR="00F1636B" w:rsidRPr="0081275C">
        <w:rPr>
          <w:rStyle w:val="apple-converted-space"/>
          <w:rFonts w:cs="Arial"/>
          <w:i/>
          <w:color w:val="2C3E50"/>
          <w:szCs w:val="24"/>
          <w:shd w:val="clear" w:color="auto" w:fill="FFFFFF"/>
        </w:rPr>
        <w:t> </w:t>
      </w:r>
      <w:r w:rsidR="00F1636B" w:rsidRPr="0081275C">
        <w:rPr>
          <w:i/>
          <w:color w:val="2C3E50"/>
        </w:rPr>
        <w:t>bona fide</w:t>
      </w:r>
      <w:r w:rsidR="00F1636B" w:rsidRPr="0081275C">
        <w:rPr>
          <w:rStyle w:val="apple-converted-space"/>
          <w:rFonts w:cs="Arial"/>
          <w:i/>
          <w:color w:val="2C3E50"/>
          <w:szCs w:val="24"/>
          <w:shd w:val="clear" w:color="auto" w:fill="FFFFFF"/>
        </w:rPr>
        <w:t> </w:t>
      </w:r>
      <w:r w:rsidR="00F1636B" w:rsidRPr="0081275C">
        <w:rPr>
          <w:i/>
          <w:color w:val="2C3E50"/>
          <w:shd w:val="clear" w:color="auto" w:fill="FFFFFF"/>
        </w:rPr>
        <w:t>and good in law.</w:t>
      </w:r>
      <w:r w:rsidR="00F1636B">
        <w:rPr>
          <w:i/>
          <w:color w:val="2C3E50"/>
          <w:shd w:val="clear" w:color="auto" w:fill="FFFFFF"/>
        </w:rPr>
        <w:t xml:space="preserve">” </w:t>
      </w:r>
      <w:r w:rsidR="00F1636B">
        <w:rPr>
          <w:iCs w:val="0"/>
          <w:color w:val="2C3E50"/>
          <w:shd w:val="clear" w:color="auto" w:fill="FFFFFF"/>
        </w:rPr>
        <w:t xml:space="preserve">If I find that </w:t>
      </w:r>
      <w:r w:rsidR="000D5BE0">
        <w:rPr>
          <w:iCs w:val="0"/>
          <w:color w:val="2C3E50"/>
          <w:shd w:val="clear" w:color="auto" w:fill="FFFFFF"/>
        </w:rPr>
        <w:t xml:space="preserve">the defendant </w:t>
      </w:r>
      <w:r w:rsidR="00F1636B">
        <w:rPr>
          <w:iCs w:val="0"/>
          <w:color w:val="2C3E50"/>
          <w:shd w:val="clear" w:color="auto" w:fill="FFFFFF"/>
        </w:rPr>
        <w:t>has failed to meet the threshold in respect of anyone of the alternative claims, that should be dispositive of the matter and I must grant summary judgment</w:t>
      </w:r>
      <w:r>
        <w:rPr>
          <w:color w:val="2C3E50"/>
          <w:lang w:eastAsia="en-GB"/>
        </w:rPr>
        <w:t>.</w:t>
      </w:r>
      <w:r w:rsidRPr="00AD18DA">
        <w:rPr>
          <w:color w:val="2C3E50"/>
          <w:lang w:eastAsia="en-GB"/>
        </w:rPr>
        <w:t xml:space="preserve"> </w:t>
      </w:r>
    </w:p>
    <w:p w14:paraId="19E92DB3" w14:textId="58D9762E" w:rsidR="00C10331" w:rsidRPr="00160660" w:rsidRDefault="008B0CE3" w:rsidP="00C10331">
      <w:pPr>
        <w:pStyle w:val="1"/>
        <w:rPr>
          <w:iCs w:val="0"/>
          <w:color w:val="2C3E50"/>
          <w:lang w:eastAsia="en-GB"/>
        </w:rPr>
      </w:pPr>
      <w:r w:rsidRPr="00160660">
        <w:rPr>
          <w:iCs w:val="0"/>
          <w:color w:val="2C3E50"/>
          <w:lang w:eastAsia="en-GB"/>
        </w:rPr>
        <w:t>The claim based on the employment contract</w:t>
      </w:r>
    </w:p>
    <w:p w14:paraId="69877432" w14:textId="0ECC8208" w:rsidR="00C10331" w:rsidRDefault="00C10331" w:rsidP="00FF1DC1">
      <w:pPr>
        <w:pStyle w:val="1"/>
      </w:pPr>
      <w:r>
        <w:rPr>
          <w:color w:val="2C3E50"/>
          <w:lang w:eastAsia="en-GB"/>
        </w:rPr>
        <w:t>[1</w:t>
      </w:r>
      <w:r w:rsidR="004E3ED5">
        <w:rPr>
          <w:color w:val="2C3E50"/>
          <w:lang w:eastAsia="en-GB"/>
        </w:rPr>
        <w:t>4</w:t>
      </w:r>
      <w:r>
        <w:rPr>
          <w:color w:val="2C3E50"/>
          <w:lang w:eastAsia="en-GB"/>
        </w:rPr>
        <w:t>] The plaintiff firstly relies on the employment contract to assert its claim. In particular, it contends that the defendant had a contractual obligation to act in the best interest of the plaintiff</w:t>
      </w:r>
      <w:r w:rsidR="00111319">
        <w:rPr>
          <w:color w:val="2C3E50"/>
          <w:lang w:eastAsia="en-GB"/>
        </w:rPr>
        <w:t>,</w:t>
      </w:r>
      <w:r>
        <w:rPr>
          <w:color w:val="2C3E50"/>
          <w:lang w:eastAsia="en-GB"/>
        </w:rPr>
        <w:t xml:space="preserve"> in good faith and with honesty (the so-called fiduciary duty), to report the irregularity of the payment of the over-payments and to repay to the plaintiff any over-payments to him. The relevant clauses of the employment contract relied upon include,  </w:t>
      </w:r>
    </w:p>
    <w:p w14:paraId="60031293" w14:textId="4FBC69D1" w:rsidR="00C10331" w:rsidRPr="00B03C37" w:rsidRDefault="00FF1DC1" w:rsidP="00BD0D2E">
      <w:pPr>
        <w:pStyle w:val="1"/>
        <w:spacing w:before="0" w:line="240" w:lineRule="auto"/>
        <w:ind w:left="993" w:right="521" w:hanging="840"/>
      </w:pPr>
      <w:r>
        <w:tab/>
      </w:r>
      <w:r>
        <w:tab/>
      </w:r>
      <w:r w:rsidR="00C10331" w:rsidRPr="00B03C37">
        <w:t>“</w:t>
      </w:r>
      <w:r w:rsidR="00C10331" w:rsidRPr="00B03C37">
        <w:rPr>
          <w:i/>
        </w:rPr>
        <w:t>5.1.2 use your best endeavours to protect and promote the interests of the</w:t>
      </w:r>
      <w:r w:rsidR="00577DE6">
        <w:rPr>
          <w:i/>
        </w:rPr>
        <w:t xml:space="preserve"> </w:t>
      </w:r>
      <w:r w:rsidR="00C10331" w:rsidRPr="00B03C37">
        <w:rPr>
          <w:i/>
        </w:rPr>
        <w:t>Bank and not do anything harmful to those interests.</w:t>
      </w:r>
      <w:r w:rsidR="00C10331" w:rsidRPr="00B03C37">
        <w:t xml:space="preserve">” </w:t>
      </w:r>
    </w:p>
    <w:p w14:paraId="0833782F" w14:textId="77777777" w:rsidR="00913022" w:rsidRDefault="00577DE6" w:rsidP="00BD0D2E">
      <w:pPr>
        <w:pStyle w:val="1"/>
        <w:spacing w:before="0" w:line="240" w:lineRule="auto"/>
        <w:ind w:left="993" w:right="521" w:hanging="840"/>
      </w:pPr>
      <w:r>
        <w:tab/>
      </w:r>
    </w:p>
    <w:p w14:paraId="3BA6BAFE" w14:textId="734A661F" w:rsidR="00C10331" w:rsidRPr="00B03C37" w:rsidRDefault="00913022" w:rsidP="00BD0D2E">
      <w:pPr>
        <w:pStyle w:val="1"/>
        <w:spacing w:before="0" w:line="240" w:lineRule="auto"/>
        <w:ind w:left="993" w:right="521" w:hanging="840"/>
      </w:pPr>
      <w:r>
        <w:tab/>
      </w:r>
      <w:r w:rsidR="004E3ED5">
        <w:tab/>
      </w:r>
      <w:r w:rsidR="00C10331" w:rsidRPr="00B03C37">
        <w:t>“</w:t>
      </w:r>
      <w:r w:rsidR="00C10331" w:rsidRPr="00B03C37">
        <w:rPr>
          <w:i/>
        </w:rPr>
        <w:t>13.1 You acknowledge that your employment with the Bank requires trust and honesty” …</w:t>
      </w:r>
      <w:r w:rsidR="00C10331" w:rsidRPr="00B03C37">
        <w:t>”.</w:t>
      </w:r>
    </w:p>
    <w:p w14:paraId="3062BCA4" w14:textId="77777777" w:rsidR="00913022" w:rsidRDefault="00577DE6" w:rsidP="00BD0D2E">
      <w:pPr>
        <w:pStyle w:val="1"/>
        <w:spacing w:before="0" w:line="240" w:lineRule="auto"/>
        <w:ind w:left="993" w:right="521" w:hanging="840"/>
      </w:pPr>
      <w:r>
        <w:tab/>
      </w:r>
    </w:p>
    <w:p w14:paraId="3FEAA62C" w14:textId="08C2BBEB" w:rsidR="00C10331" w:rsidRPr="00B03C37" w:rsidRDefault="00913022" w:rsidP="00BD0D2E">
      <w:pPr>
        <w:pStyle w:val="1"/>
        <w:spacing w:before="0" w:line="240" w:lineRule="auto"/>
        <w:ind w:left="993" w:right="521" w:hanging="840"/>
      </w:pPr>
      <w:r>
        <w:tab/>
      </w:r>
      <w:r w:rsidR="004E3ED5">
        <w:tab/>
      </w:r>
      <w:r w:rsidR="00C10331" w:rsidRPr="00B03C37">
        <w:t>“</w:t>
      </w:r>
      <w:r w:rsidR="00C10331" w:rsidRPr="00B03C37">
        <w:rPr>
          <w:i/>
        </w:rPr>
        <w:t>17 you must at all times look after the best interests of the Bank.</w:t>
      </w:r>
      <w:r w:rsidR="00C10331" w:rsidRPr="00B03C37">
        <w:t>”</w:t>
      </w:r>
    </w:p>
    <w:p w14:paraId="49A23AE4" w14:textId="77777777" w:rsidR="00913022" w:rsidRDefault="00577DE6" w:rsidP="00BD0D2E">
      <w:pPr>
        <w:pStyle w:val="1"/>
        <w:spacing w:before="0" w:line="240" w:lineRule="auto"/>
        <w:ind w:left="993" w:right="521" w:hanging="840"/>
      </w:pPr>
      <w:r>
        <w:tab/>
      </w:r>
    </w:p>
    <w:p w14:paraId="17E42950" w14:textId="2A13CAF8" w:rsidR="00C10331" w:rsidRPr="00B03C37" w:rsidRDefault="00913022" w:rsidP="00BD0D2E">
      <w:pPr>
        <w:pStyle w:val="1"/>
        <w:spacing w:before="0" w:line="240" w:lineRule="auto"/>
        <w:ind w:left="993" w:right="521" w:hanging="840"/>
      </w:pPr>
      <w:r>
        <w:tab/>
      </w:r>
      <w:r w:rsidR="004E3ED5">
        <w:tab/>
      </w:r>
      <w:r w:rsidR="00C10331" w:rsidRPr="00B03C37">
        <w:t>“</w:t>
      </w:r>
      <w:r w:rsidR="00C10331" w:rsidRPr="00B03C37">
        <w:rPr>
          <w:i/>
        </w:rPr>
        <w:t>21 When you become aware of any irregularity perpetrated against the Bank, you must immediately … report this to your manager, or …</w:t>
      </w:r>
      <w:r w:rsidR="00C10331" w:rsidRPr="00B03C37">
        <w:t xml:space="preserve">”.  </w:t>
      </w:r>
    </w:p>
    <w:p w14:paraId="2E096A9B" w14:textId="77777777" w:rsidR="00913022" w:rsidRDefault="00577DE6" w:rsidP="00BD0D2E">
      <w:pPr>
        <w:pStyle w:val="1"/>
        <w:spacing w:before="0" w:line="240" w:lineRule="auto"/>
        <w:ind w:left="993" w:right="521" w:hanging="840"/>
      </w:pPr>
      <w:r>
        <w:tab/>
      </w:r>
    </w:p>
    <w:p w14:paraId="27119F22" w14:textId="3C28B5D7" w:rsidR="00C10331" w:rsidRDefault="00913022" w:rsidP="00BD0D2E">
      <w:pPr>
        <w:pStyle w:val="1"/>
        <w:spacing w:before="0" w:line="240" w:lineRule="auto"/>
        <w:ind w:left="993" w:right="521" w:hanging="840"/>
        <w:rPr>
          <w:color w:val="2C3E50"/>
          <w:lang w:eastAsia="en-GB"/>
        </w:rPr>
      </w:pPr>
      <w:r>
        <w:tab/>
      </w:r>
      <w:r w:rsidR="004E3ED5">
        <w:tab/>
      </w:r>
      <w:r w:rsidR="00C10331" w:rsidRPr="00B03C37">
        <w:t>“</w:t>
      </w:r>
      <w:r w:rsidR="00C10331" w:rsidRPr="00B03C37">
        <w:rPr>
          <w:i/>
        </w:rPr>
        <w:t>30.5 By signing this Agreement, you consent to the Bank deducting any sums owed by you to any member of the group at any time from your remuneration or other payment due to you … in respect of any overpayment of any kind made to you … . You also agree, on demand, to pay any sums owed by you to the bank at any time</w:t>
      </w:r>
      <w:r w:rsidR="00C10331" w:rsidRPr="00B03C37">
        <w:t>”.</w:t>
      </w:r>
    </w:p>
    <w:p w14:paraId="350AAC18" w14:textId="6454DB88" w:rsidR="001B267D" w:rsidRDefault="00C10331" w:rsidP="00C10331">
      <w:pPr>
        <w:pStyle w:val="1"/>
      </w:pPr>
      <w:r>
        <w:rPr>
          <w:color w:val="2C3E50"/>
          <w:lang w:eastAsia="en-GB"/>
        </w:rPr>
        <w:t>[1</w:t>
      </w:r>
      <w:r w:rsidR="004E3ED5">
        <w:rPr>
          <w:color w:val="2C3E50"/>
          <w:lang w:eastAsia="en-GB"/>
        </w:rPr>
        <w:t>5</w:t>
      </w:r>
      <w:r>
        <w:rPr>
          <w:color w:val="2C3E50"/>
          <w:lang w:eastAsia="en-GB"/>
        </w:rPr>
        <w:t xml:space="preserve">] The defendant’s indefinite period contract of employment provided that he will </w:t>
      </w:r>
      <w:r>
        <w:rPr>
          <w:color w:val="2C3E50"/>
          <w:lang w:eastAsia="en-GB"/>
        </w:rPr>
        <w:lastRenderedPageBreak/>
        <w:t>repay to the plaintiff any over-payments made to him by the plaintiff (clause 30.5).</w:t>
      </w:r>
      <w:r w:rsidR="00995CBC">
        <w:rPr>
          <w:color w:val="2C3E50"/>
          <w:lang w:eastAsia="en-GB"/>
        </w:rPr>
        <w:t xml:space="preserve"> This is what the defendant agreed in his contract.</w:t>
      </w:r>
      <w:r>
        <w:rPr>
          <w:color w:val="2C3E50"/>
          <w:lang w:eastAsia="en-GB"/>
        </w:rPr>
        <w:t xml:space="preserve"> Th</w:t>
      </w:r>
      <w:r w:rsidR="00995CBC">
        <w:rPr>
          <w:color w:val="2C3E50"/>
          <w:lang w:eastAsia="en-GB"/>
        </w:rPr>
        <w:t xml:space="preserve">e defendant’s contractual obligation </w:t>
      </w:r>
      <w:r w:rsidR="00192978">
        <w:rPr>
          <w:color w:val="2C3E50"/>
          <w:lang w:eastAsia="en-GB"/>
        </w:rPr>
        <w:t>to repay over-payments</w:t>
      </w:r>
      <w:r>
        <w:rPr>
          <w:color w:val="2C3E50"/>
          <w:lang w:eastAsia="en-GB"/>
        </w:rPr>
        <w:t xml:space="preserve"> is not qualified in any way, </w:t>
      </w:r>
      <w:r w:rsidR="00945017">
        <w:rPr>
          <w:color w:val="2C3E50"/>
          <w:lang w:eastAsia="en-GB"/>
        </w:rPr>
        <w:t xml:space="preserve">in particular, that he is excused from </w:t>
      </w:r>
      <w:r w:rsidR="00BA1120">
        <w:rPr>
          <w:color w:val="2C3E50"/>
          <w:lang w:eastAsia="en-GB"/>
        </w:rPr>
        <w:t xml:space="preserve">repayment obligations </w:t>
      </w:r>
      <w:r w:rsidR="009A22AF">
        <w:rPr>
          <w:color w:val="2C3E50"/>
          <w:lang w:eastAsia="en-GB"/>
        </w:rPr>
        <w:t xml:space="preserve">where the </w:t>
      </w:r>
      <w:r w:rsidR="00945017">
        <w:rPr>
          <w:color w:val="2C3E50"/>
          <w:lang w:eastAsia="en-GB"/>
        </w:rPr>
        <w:t xml:space="preserve">over-payments </w:t>
      </w:r>
      <w:r w:rsidR="009A22AF">
        <w:rPr>
          <w:color w:val="2C3E50"/>
          <w:lang w:eastAsia="en-GB"/>
        </w:rPr>
        <w:t xml:space="preserve">is the result of the </w:t>
      </w:r>
      <w:r w:rsidR="009356EE">
        <w:rPr>
          <w:color w:val="2C3E50"/>
          <w:lang w:eastAsia="en-GB"/>
        </w:rPr>
        <w:t xml:space="preserve">plaintiff’s </w:t>
      </w:r>
      <w:r w:rsidR="009A22AF">
        <w:rPr>
          <w:color w:val="2C3E50"/>
          <w:lang w:eastAsia="en-GB"/>
        </w:rPr>
        <w:t xml:space="preserve">own </w:t>
      </w:r>
      <w:r>
        <w:rPr>
          <w:color w:val="2C3E50"/>
          <w:lang w:eastAsia="en-GB"/>
        </w:rPr>
        <w:t xml:space="preserve">gross negligence, recklessness or unreasonable conduct. The defendant does not assert any </w:t>
      </w:r>
      <w:r w:rsidR="009356EE">
        <w:rPr>
          <w:color w:val="2C3E50"/>
          <w:lang w:eastAsia="en-GB"/>
        </w:rPr>
        <w:t xml:space="preserve">such </w:t>
      </w:r>
      <w:r>
        <w:rPr>
          <w:color w:val="2C3E50"/>
          <w:lang w:eastAsia="en-GB"/>
        </w:rPr>
        <w:t xml:space="preserve">contractual right or other legal basis that excuses him from the </w:t>
      </w:r>
      <w:r w:rsidR="00116767">
        <w:rPr>
          <w:color w:val="2C3E50"/>
          <w:lang w:eastAsia="en-GB"/>
        </w:rPr>
        <w:t xml:space="preserve">contractual </w:t>
      </w:r>
      <w:r>
        <w:rPr>
          <w:color w:val="2C3E50"/>
          <w:lang w:eastAsia="en-GB"/>
        </w:rPr>
        <w:t>obligation</w:t>
      </w:r>
      <w:r w:rsidR="00116767">
        <w:rPr>
          <w:color w:val="2C3E50"/>
          <w:lang w:eastAsia="en-GB"/>
        </w:rPr>
        <w:t xml:space="preserve"> to repay the </w:t>
      </w:r>
      <w:r w:rsidR="00401084">
        <w:rPr>
          <w:color w:val="2C3E50"/>
          <w:lang w:eastAsia="en-GB"/>
        </w:rPr>
        <w:t>principal sum</w:t>
      </w:r>
      <w:r w:rsidR="000029A4">
        <w:rPr>
          <w:color w:val="2C3E50"/>
          <w:lang w:eastAsia="en-GB"/>
        </w:rPr>
        <w:t xml:space="preserve"> or why he should not be held to the contract</w:t>
      </w:r>
      <w:r>
        <w:rPr>
          <w:color w:val="2C3E50"/>
          <w:lang w:eastAsia="en-GB"/>
        </w:rPr>
        <w:t xml:space="preserve">. </w:t>
      </w:r>
      <w:r w:rsidR="00F9625A">
        <w:rPr>
          <w:color w:val="2C3E50"/>
          <w:lang w:eastAsia="en-GB"/>
        </w:rPr>
        <w:t xml:space="preserve">It follows that his answer that </w:t>
      </w:r>
      <w:r w:rsidR="00F9625A">
        <w:t xml:space="preserve">plaintiff’s error was inexcusable, grossly negligent, reckless and unreasonable for failing to take steps to prevent the payments to the defendant does not, in my view, make a </w:t>
      </w:r>
      <w:r w:rsidR="00F9625A" w:rsidRPr="005419D2">
        <w:rPr>
          <w:i/>
          <w:iCs w:val="0"/>
        </w:rPr>
        <w:t>bona fide</w:t>
      </w:r>
      <w:r w:rsidR="00F9625A">
        <w:t xml:space="preserve"> defence to the claim. </w:t>
      </w:r>
    </w:p>
    <w:p w14:paraId="38BD23E1" w14:textId="46C80B4F" w:rsidR="00651160" w:rsidRDefault="001B267D" w:rsidP="00C10331">
      <w:pPr>
        <w:pStyle w:val="1"/>
      </w:pPr>
      <w:r>
        <w:rPr>
          <w:color w:val="2C3E50"/>
          <w:lang w:eastAsia="en-GB"/>
        </w:rPr>
        <w:t xml:space="preserve">[16] The defendant </w:t>
      </w:r>
      <w:r w:rsidR="00AA5BBB">
        <w:rPr>
          <w:color w:val="2C3E50"/>
          <w:lang w:eastAsia="en-GB"/>
        </w:rPr>
        <w:t xml:space="preserve">accepts that the </w:t>
      </w:r>
      <w:r w:rsidR="00AA5BBB" w:rsidRPr="00BD0D2E">
        <w:rPr>
          <w:i/>
          <w:iCs w:val="0"/>
          <w:color w:val="2C3E50"/>
          <w:lang w:eastAsia="en-GB"/>
        </w:rPr>
        <w:t>indebiti</w:t>
      </w:r>
      <w:r w:rsidR="00AA5BBB">
        <w:rPr>
          <w:color w:val="2C3E50"/>
          <w:lang w:eastAsia="en-GB"/>
        </w:rPr>
        <w:t xml:space="preserve"> payments were </w:t>
      </w:r>
      <w:r w:rsidR="00611BFE">
        <w:rPr>
          <w:color w:val="2C3E50"/>
          <w:lang w:eastAsia="en-GB"/>
        </w:rPr>
        <w:t xml:space="preserve">made without </w:t>
      </w:r>
      <w:r w:rsidR="008E6371">
        <w:rPr>
          <w:color w:val="2C3E50"/>
          <w:lang w:eastAsia="en-GB"/>
        </w:rPr>
        <w:t xml:space="preserve">valid </w:t>
      </w:r>
      <w:r w:rsidR="00611BFE">
        <w:rPr>
          <w:color w:val="2C3E50"/>
          <w:lang w:eastAsia="en-GB"/>
        </w:rPr>
        <w:t>cause</w:t>
      </w:r>
      <w:r w:rsidR="00FC1C66">
        <w:t xml:space="preserve">. </w:t>
      </w:r>
      <w:r w:rsidR="00C2084A">
        <w:rPr>
          <w:color w:val="2C3E50"/>
          <w:lang w:eastAsia="en-GB"/>
        </w:rPr>
        <w:t>The</w:t>
      </w:r>
      <w:r w:rsidR="00C2084A" w:rsidRPr="00EF4075">
        <w:rPr>
          <w:color w:val="2C3E50"/>
          <w:lang w:eastAsia="en-GB"/>
        </w:rPr>
        <w:t xml:space="preserve"> payments</w:t>
      </w:r>
      <w:r w:rsidR="00C2084A">
        <w:rPr>
          <w:color w:val="2C3E50"/>
          <w:lang w:eastAsia="en-GB"/>
        </w:rPr>
        <w:t xml:space="preserve"> are over-payments as contemplated in clause 30.5 of the employment contract</w:t>
      </w:r>
      <w:r w:rsidR="00FC1C66">
        <w:rPr>
          <w:color w:val="2C3E50"/>
          <w:lang w:eastAsia="en-GB"/>
        </w:rPr>
        <w:t xml:space="preserve"> and </w:t>
      </w:r>
      <w:r w:rsidR="00FC1C66">
        <w:t xml:space="preserve">the plaintiff </w:t>
      </w:r>
      <w:r w:rsidR="00685FF5">
        <w:t xml:space="preserve">is </w:t>
      </w:r>
      <w:r w:rsidR="00FC1C66">
        <w:t xml:space="preserve">entitled in terms </w:t>
      </w:r>
      <w:r w:rsidR="00685FF5">
        <w:t xml:space="preserve">thereof </w:t>
      </w:r>
      <w:r w:rsidR="00FC1C66">
        <w:t xml:space="preserve">to </w:t>
      </w:r>
      <w:r w:rsidR="00685FF5">
        <w:t xml:space="preserve">demand </w:t>
      </w:r>
      <w:r w:rsidR="00FC1C66">
        <w:t>repayment</w:t>
      </w:r>
      <w:r w:rsidR="00C2084A">
        <w:rPr>
          <w:color w:val="2C3E50"/>
          <w:lang w:eastAsia="en-GB"/>
        </w:rPr>
        <w:t xml:space="preserve">. </w:t>
      </w:r>
      <w:r w:rsidR="00C10331">
        <w:t xml:space="preserve">In terms of clause 30.5 of his contract of employment, </w:t>
      </w:r>
      <w:r w:rsidR="00685FF5">
        <w:t xml:space="preserve">the defendant </w:t>
      </w:r>
      <w:r w:rsidR="00C10331">
        <w:t xml:space="preserve">is </w:t>
      </w:r>
      <w:r w:rsidR="00B92ED8">
        <w:t>therefor</w:t>
      </w:r>
      <w:r w:rsidR="00AA5BBB">
        <w:t>e</w:t>
      </w:r>
      <w:r w:rsidR="00B92ED8">
        <w:t xml:space="preserve"> </w:t>
      </w:r>
      <w:r w:rsidR="00C10331">
        <w:t>liable to repay these amounts on demand</w:t>
      </w:r>
      <w:r w:rsidR="00ED5739">
        <w:t xml:space="preserve">. </w:t>
      </w:r>
      <w:r w:rsidR="00C10331">
        <w:rPr>
          <w:color w:val="2C3E50"/>
          <w:lang w:eastAsia="en-GB"/>
        </w:rPr>
        <w:t xml:space="preserve">None of the defences that </w:t>
      </w:r>
      <w:r w:rsidR="00005D51">
        <w:rPr>
          <w:color w:val="2C3E50"/>
          <w:lang w:eastAsia="en-GB"/>
        </w:rPr>
        <w:t>t</w:t>
      </w:r>
      <w:r w:rsidR="00C10331">
        <w:rPr>
          <w:color w:val="2C3E50"/>
          <w:lang w:eastAsia="en-GB"/>
        </w:rPr>
        <w:t xml:space="preserve">he </w:t>
      </w:r>
      <w:r w:rsidR="00005D51">
        <w:rPr>
          <w:color w:val="2C3E50"/>
          <w:lang w:eastAsia="en-GB"/>
        </w:rPr>
        <w:t xml:space="preserve">defendant </w:t>
      </w:r>
      <w:r w:rsidR="00C10331">
        <w:rPr>
          <w:color w:val="2C3E50"/>
          <w:lang w:eastAsia="en-GB"/>
        </w:rPr>
        <w:t xml:space="preserve">has raised are good in law to answer the plaintiff’s contractual claim. </w:t>
      </w:r>
      <w:r w:rsidR="00382584">
        <w:t>The defendant’s</w:t>
      </w:r>
      <w:r w:rsidR="00996696">
        <w:t xml:space="preserve"> plea and answer to the claim for summary judgment </w:t>
      </w:r>
      <w:r w:rsidR="00382584">
        <w:t>that he has no knowledge of computation of amounts claimed by the plaintiff</w:t>
      </w:r>
      <w:r w:rsidR="00996696">
        <w:t xml:space="preserve"> does not </w:t>
      </w:r>
      <w:r w:rsidR="00F60155">
        <w:t xml:space="preserve">raise a </w:t>
      </w:r>
      <w:r w:rsidR="000D672F">
        <w:t xml:space="preserve">defence, let alone a </w:t>
      </w:r>
      <w:r w:rsidR="00F60155" w:rsidRPr="00BD0D2E">
        <w:rPr>
          <w:i/>
          <w:iCs w:val="0"/>
        </w:rPr>
        <w:t>bona fide</w:t>
      </w:r>
      <w:r w:rsidR="00F60155">
        <w:t xml:space="preserve"> defence</w:t>
      </w:r>
      <w:r w:rsidR="000D672F">
        <w:t>,</w:t>
      </w:r>
      <w:r w:rsidR="00F60155">
        <w:t xml:space="preserve"> to the claim for the </w:t>
      </w:r>
      <w:r w:rsidR="00F60155" w:rsidRPr="00BD0D2E">
        <w:rPr>
          <w:i/>
          <w:iCs w:val="0"/>
        </w:rPr>
        <w:t>indebiti</w:t>
      </w:r>
      <w:r w:rsidR="00F60155">
        <w:t xml:space="preserve"> payments, these being the amounts claimed from him</w:t>
      </w:r>
      <w:r w:rsidR="00382584">
        <w:t xml:space="preserve">. The defendant does not deny that he received the </w:t>
      </w:r>
      <w:r w:rsidR="00382584" w:rsidRPr="005419D2">
        <w:rPr>
          <w:i/>
          <w:iCs w:val="0"/>
        </w:rPr>
        <w:t>indebiti</w:t>
      </w:r>
      <w:r w:rsidR="00382584">
        <w:t xml:space="preserve"> payment</w:t>
      </w:r>
      <w:r w:rsidR="00D95E4A">
        <w:t>s</w:t>
      </w:r>
      <w:r w:rsidR="00155165">
        <w:t xml:space="preserve"> </w:t>
      </w:r>
      <w:r w:rsidR="00382584">
        <w:t xml:space="preserve">as appear in the </w:t>
      </w:r>
      <w:r w:rsidR="00731E05">
        <w:t>“schedules of remuneration”</w:t>
      </w:r>
      <w:r w:rsidR="00382584">
        <w:t xml:space="preserve"> attached to the </w:t>
      </w:r>
      <w:r w:rsidR="00155165">
        <w:t xml:space="preserve">plaintiff’s </w:t>
      </w:r>
      <w:r w:rsidR="00382584">
        <w:t xml:space="preserve">affidavit. Only that he does not know how the nett amounts (after deductions) paid to him were computed. Suffice to say that the defendant is called upon to repay what was in fact paid to him and no </w:t>
      </w:r>
      <w:r w:rsidR="00382584">
        <w:lastRenderedPageBreak/>
        <w:t xml:space="preserve">more. It is therefore irrelevant what deductions were made by the plaintiff to arrive at the </w:t>
      </w:r>
      <w:r w:rsidR="002B3CC1">
        <w:t xml:space="preserve">nett </w:t>
      </w:r>
      <w:r w:rsidR="00382584">
        <w:t>amount</w:t>
      </w:r>
      <w:r w:rsidR="007D5F02">
        <w:t>s</w:t>
      </w:r>
      <w:r w:rsidR="00382584">
        <w:t xml:space="preserve"> paid </w:t>
      </w:r>
      <w:r w:rsidR="007D5F02">
        <w:t>to him</w:t>
      </w:r>
      <w:r w:rsidR="00E93717">
        <w:t xml:space="preserve"> and this does not raise a </w:t>
      </w:r>
      <w:r w:rsidR="00B00C2E">
        <w:t xml:space="preserve">sustainable </w:t>
      </w:r>
      <w:r w:rsidR="00E93717">
        <w:t xml:space="preserve">defence </w:t>
      </w:r>
      <w:r w:rsidR="00B00C2E">
        <w:t>against the claim</w:t>
      </w:r>
      <w:r w:rsidR="00382584">
        <w:t>.</w:t>
      </w:r>
      <w:r w:rsidR="00651160">
        <w:t xml:space="preserve"> </w:t>
      </w:r>
    </w:p>
    <w:p w14:paraId="6A129040" w14:textId="0E66128F" w:rsidR="00C10331" w:rsidRDefault="00651160" w:rsidP="00C10331">
      <w:pPr>
        <w:pStyle w:val="1"/>
        <w:rPr>
          <w:color w:val="2C3E50"/>
          <w:lang w:eastAsia="en-GB"/>
        </w:rPr>
      </w:pPr>
      <w:r>
        <w:rPr>
          <w:color w:val="2C3E50"/>
          <w:lang w:eastAsia="en-GB"/>
        </w:rPr>
        <w:t xml:space="preserve">[17] </w:t>
      </w:r>
      <w:r w:rsidR="002B3CC1">
        <w:rPr>
          <w:color w:val="2C3E50"/>
          <w:lang w:eastAsia="en-GB"/>
        </w:rPr>
        <w:t>Thus, the</w:t>
      </w:r>
      <w:r w:rsidR="00F44B21">
        <w:rPr>
          <w:color w:val="2C3E50"/>
          <w:lang w:eastAsia="en-GB"/>
        </w:rPr>
        <w:t xml:space="preserve"> </w:t>
      </w:r>
      <w:r w:rsidR="001458F6">
        <w:rPr>
          <w:color w:val="2C3E50"/>
          <w:lang w:eastAsia="en-GB"/>
        </w:rPr>
        <w:t xml:space="preserve">defendant </w:t>
      </w:r>
      <w:r w:rsidR="00C10331">
        <w:rPr>
          <w:color w:val="2C3E50"/>
          <w:lang w:eastAsia="en-GB"/>
        </w:rPr>
        <w:t>has not pleaded facts or points of law which raise triable issue</w:t>
      </w:r>
      <w:r w:rsidR="001B2F78">
        <w:rPr>
          <w:color w:val="2C3E50"/>
          <w:lang w:eastAsia="en-GB"/>
        </w:rPr>
        <w:t>s</w:t>
      </w:r>
      <w:r w:rsidR="00C10331">
        <w:rPr>
          <w:color w:val="2C3E50"/>
          <w:lang w:eastAsia="en-GB"/>
        </w:rPr>
        <w:t xml:space="preserve"> on the contractual claim. </w:t>
      </w:r>
      <w:r w:rsidR="008C25F1">
        <w:rPr>
          <w:color w:val="2C3E50"/>
          <w:lang w:eastAsia="en-GB"/>
        </w:rPr>
        <w:t xml:space="preserve">I accordingly find that </w:t>
      </w:r>
      <w:r w:rsidR="002B3CC1">
        <w:rPr>
          <w:color w:val="2C3E50"/>
          <w:lang w:eastAsia="en-GB"/>
        </w:rPr>
        <w:t xml:space="preserve">his answer to the application for summary judgment </w:t>
      </w:r>
      <w:r w:rsidR="00210711">
        <w:rPr>
          <w:color w:val="2C3E50"/>
          <w:lang w:eastAsia="en-GB"/>
        </w:rPr>
        <w:t>does</w:t>
      </w:r>
      <w:r w:rsidR="00293223">
        <w:rPr>
          <w:color w:val="2C3E50"/>
          <w:lang w:eastAsia="en-GB"/>
        </w:rPr>
        <w:t xml:space="preserve"> </w:t>
      </w:r>
      <w:r w:rsidR="00210711">
        <w:rPr>
          <w:color w:val="2C3E50"/>
          <w:lang w:eastAsia="en-GB"/>
        </w:rPr>
        <w:t xml:space="preserve">not </w:t>
      </w:r>
      <w:r w:rsidR="00293223">
        <w:rPr>
          <w:color w:val="2C3E50"/>
          <w:lang w:eastAsia="en-GB"/>
        </w:rPr>
        <w:t xml:space="preserve">disclose a </w:t>
      </w:r>
      <w:r w:rsidR="00293223" w:rsidRPr="00BD0D2E">
        <w:rPr>
          <w:i/>
          <w:iCs w:val="0"/>
          <w:color w:val="2C3E50"/>
          <w:lang w:eastAsia="en-GB"/>
        </w:rPr>
        <w:t>bona fide</w:t>
      </w:r>
      <w:r w:rsidR="00293223">
        <w:rPr>
          <w:color w:val="2C3E50"/>
          <w:lang w:eastAsia="en-GB"/>
        </w:rPr>
        <w:t xml:space="preserve"> defence</w:t>
      </w:r>
      <w:r w:rsidR="00A252A2">
        <w:rPr>
          <w:color w:val="2C3E50"/>
          <w:lang w:eastAsia="en-GB"/>
        </w:rPr>
        <w:t xml:space="preserve"> or a defence which is good in law. </w:t>
      </w:r>
      <w:r w:rsidR="0096421C">
        <w:rPr>
          <w:color w:val="2C3E50"/>
          <w:lang w:eastAsia="en-GB"/>
        </w:rPr>
        <w:t xml:space="preserve">This in my view is the end of the enquiry about the defendant’s contractual obligation and liability to repay the </w:t>
      </w:r>
      <w:r w:rsidR="00210711" w:rsidRPr="00210711">
        <w:rPr>
          <w:i/>
          <w:iCs w:val="0"/>
          <w:color w:val="2C3E50"/>
          <w:lang w:eastAsia="en-GB"/>
        </w:rPr>
        <w:t>indebiti</w:t>
      </w:r>
      <w:r w:rsidR="00210711">
        <w:rPr>
          <w:color w:val="2C3E50"/>
          <w:lang w:eastAsia="en-GB"/>
        </w:rPr>
        <w:t xml:space="preserve"> payments</w:t>
      </w:r>
      <w:r w:rsidR="0096421C">
        <w:rPr>
          <w:color w:val="2C3E50"/>
          <w:lang w:eastAsia="en-GB"/>
        </w:rPr>
        <w:t>.</w:t>
      </w:r>
    </w:p>
    <w:p w14:paraId="6534CA3A" w14:textId="15A95B24" w:rsidR="00C10331" w:rsidRPr="00BD0D2E" w:rsidRDefault="005055F3" w:rsidP="00C10331">
      <w:pPr>
        <w:pStyle w:val="1"/>
        <w:rPr>
          <w:i/>
          <w:iCs w:val="0"/>
        </w:rPr>
      </w:pPr>
      <w:r>
        <w:rPr>
          <w:i/>
          <w:iCs w:val="0"/>
        </w:rPr>
        <w:tab/>
      </w:r>
      <w:r w:rsidR="003E490C" w:rsidRPr="00BD0D2E">
        <w:rPr>
          <w:i/>
          <w:iCs w:val="0"/>
        </w:rPr>
        <w:t>Special plea of prescription</w:t>
      </w:r>
    </w:p>
    <w:p w14:paraId="73216623" w14:textId="37BD5738" w:rsidR="00053576" w:rsidRDefault="00C10331" w:rsidP="00952E8E">
      <w:pPr>
        <w:pStyle w:val="1"/>
      </w:pPr>
      <w:r>
        <w:t>[1</w:t>
      </w:r>
      <w:r w:rsidR="00651160">
        <w:t>8</w:t>
      </w:r>
      <w:r>
        <w:t xml:space="preserve">] </w:t>
      </w:r>
      <w:r w:rsidR="00B4295A">
        <w:rPr>
          <w:color w:val="2C3E50"/>
          <w:lang w:eastAsia="en-GB"/>
        </w:rPr>
        <w:t xml:space="preserve">The plaintiff instituted the action on </w:t>
      </w:r>
      <w:r w:rsidR="00C80A9A">
        <w:rPr>
          <w:color w:val="2C3E50"/>
          <w:lang w:eastAsia="en-GB"/>
        </w:rPr>
        <w:t>3</w:t>
      </w:r>
      <w:r w:rsidR="00B4295A">
        <w:rPr>
          <w:color w:val="2C3E50"/>
          <w:lang w:eastAsia="en-GB"/>
        </w:rPr>
        <w:t xml:space="preserve"> December 2020. </w:t>
      </w:r>
      <w:r>
        <w:t>The defendant pleads that</w:t>
      </w:r>
      <w:r w:rsidR="00B4295A">
        <w:t xml:space="preserve"> the </w:t>
      </w:r>
      <w:r w:rsidR="00E063B3">
        <w:t xml:space="preserve">debt </w:t>
      </w:r>
      <w:r w:rsidR="004D11D3">
        <w:t xml:space="preserve">in respect of all payments made before </w:t>
      </w:r>
      <w:r w:rsidR="000503EC">
        <w:t xml:space="preserve">3 December 2020 </w:t>
      </w:r>
      <w:r w:rsidR="00E063B3">
        <w:t>ha</w:t>
      </w:r>
      <w:r w:rsidR="004D11D3">
        <w:t>s</w:t>
      </w:r>
      <w:r w:rsidR="00E063B3">
        <w:t xml:space="preserve"> become prescribed </w:t>
      </w:r>
      <w:r w:rsidR="00430A4D">
        <w:t xml:space="preserve">in accordance with section 11(d) of the Prescription Act (Act 68 of 1969) </w:t>
      </w:r>
      <w:r w:rsidR="00E063B3">
        <w:t>after the expiry of 3 years from date of payment</w:t>
      </w:r>
      <w:r w:rsidR="007F54AD">
        <w:t xml:space="preserve">. The defence of prescription, if successful, will </w:t>
      </w:r>
      <w:r w:rsidR="004D11D3">
        <w:t xml:space="preserve">therefore </w:t>
      </w:r>
      <w:r w:rsidR="007F54AD">
        <w:t xml:space="preserve">see the plaintiff unable to recover </w:t>
      </w:r>
      <w:r w:rsidR="00837DEF">
        <w:t>in the action</w:t>
      </w:r>
      <w:r w:rsidR="001D6F41">
        <w:t>,</w:t>
      </w:r>
      <w:r w:rsidR="00837DEF">
        <w:t xml:space="preserve"> </w:t>
      </w:r>
      <w:r w:rsidR="00983015">
        <w:t>and therefore in this application</w:t>
      </w:r>
      <w:r w:rsidR="001D6F41">
        <w:t>,</w:t>
      </w:r>
      <w:r w:rsidR="00983015">
        <w:t xml:space="preserve"> </w:t>
      </w:r>
      <w:r w:rsidR="00837DEF">
        <w:t>the amount</w:t>
      </w:r>
      <w:r w:rsidR="007479BE">
        <w:t xml:space="preserve"> of </w:t>
      </w:r>
      <w:r w:rsidR="001D3DC2">
        <w:t xml:space="preserve">three hundred </w:t>
      </w:r>
      <w:r w:rsidR="0076649B">
        <w:t>eighty-five</w:t>
      </w:r>
      <w:r w:rsidR="001D3DC2">
        <w:t xml:space="preserve"> nine hundred and fifty rand forty cents (</w:t>
      </w:r>
      <w:r w:rsidR="007479BE">
        <w:t>R385</w:t>
      </w:r>
      <w:r w:rsidR="001D3DC2">
        <w:t> 950.40)</w:t>
      </w:r>
      <w:r w:rsidR="00837DEF">
        <w:t xml:space="preserve"> </w:t>
      </w:r>
      <w:r w:rsidR="00053576">
        <w:t>(</w:t>
      </w:r>
      <w:r w:rsidR="001D6F41">
        <w:t xml:space="preserve">amounts in </w:t>
      </w:r>
      <w:r w:rsidR="00430A4D">
        <w:t xml:space="preserve">paragraphs 1.1 to </w:t>
      </w:r>
      <w:r w:rsidR="00CD6ED6">
        <w:t>1.1</w:t>
      </w:r>
      <w:r w:rsidR="001D6F41">
        <w:t>0</w:t>
      </w:r>
      <w:r w:rsidR="00983015">
        <w:t xml:space="preserve"> above</w:t>
      </w:r>
      <w:r w:rsidR="00053576">
        <w:t>)</w:t>
      </w:r>
      <w:r w:rsidR="006C5456">
        <w:t xml:space="preserve"> and t</w:t>
      </w:r>
      <w:r w:rsidR="00A43EB1">
        <w:t xml:space="preserve">he </w:t>
      </w:r>
      <w:r w:rsidR="006C5456">
        <w:t xml:space="preserve">plaintiff </w:t>
      </w:r>
      <w:r w:rsidR="00A43EB1">
        <w:t>w</w:t>
      </w:r>
      <w:r w:rsidR="006C5456">
        <w:t>ould</w:t>
      </w:r>
      <w:r w:rsidR="00A43EB1">
        <w:t xml:space="preserve"> accordingly </w:t>
      </w:r>
      <w:r w:rsidR="00EB6A56">
        <w:t>be entitled to recover only the amounts in paragraphs 1.11 t</w:t>
      </w:r>
      <w:r w:rsidR="006C5456">
        <w:t>o</w:t>
      </w:r>
      <w:r w:rsidR="00EB6A56">
        <w:t xml:space="preserve"> 1.26 above.</w:t>
      </w:r>
      <w:r w:rsidR="00A43EB1">
        <w:t xml:space="preserve"> </w:t>
      </w:r>
    </w:p>
    <w:p w14:paraId="353F1140" w14:textId="28F2D87E" w:rsidR="00C10331" w:rsidRPr="00BD0D2E" w:rsidRDefault="00C81DA1" w:rsidP="00C81DA1">
      <w:pPr>
        <w:pStyle w:val="1"/>
        <w:rPr>
          <w:iCs w:val="0"/>
        </w:rPr>
      </w:pPr>
      <w:r>
        <w:t xml:space="preserve">[19] </w:t>
      </w:r>
      <w:r w:rsidR="00D65B1D">
        <w:t>S</w:t>
      </w:r>
      <w:r w:rsidR="00C10331">
        <w:t xml:space="preserve">ection 11(d) prescribes that a debt shall prescribe after the expiry of 3 years from the date when the debt became due. </w:t>
      </w:r>
      <w:r w:rsidR="00C10331">
        <w:rPr>
          <w:color w:val="2C3E50"/>
          <w:lang w:eastAsia="en-GB"/>
        </w:rPr>
        <w:t xml:space="preserve">Section 12(2) </w:t>
      </w:r>
      <w:r w:rsidR="00D65B1D">
        <w:rPr>
          <w:color w:val="2C3E50"/>
          <w:lang w:eastAsia="en-GB"/>
        </w:rPr>
        <w:t>pres</w:t>
      </w:r>
      <w:r w:rsidR="00264C21">
        <w:rPr>
          <w:color w:val="2C3E50"/>
          <w:lang w:eastAsia="en-GB"/>
        </w:rPr>
        <w:t xml:space="preserve">cribes </w:t>
      </w:r>
      <w:r w:rsidR="00E764DC">
        <w:rPr>
          <w:color w:val="2C3E50"/>
          <w:lang w:eastAsia="en-GB"/>
        </w:rPr>
        <w:t xml:space="preserve">that </w:t>
      </w:r>
      <w:r w:rsidR="00C10331" w:rsidRPr="000F4510">
        <w:rPr>
          <w:i/>
          <w:color w:val="2C3E50"/>
        </w:rPr>
        <w:t>“If the debtor wilfully prevents the creditor from coming to know of the existence of the debt,</w:t>
      </w:r>
      <w:r w:rsidR="00C10331" w:rsidRPr="000F4510">
        <w:rPr>
          <w:rStyle w:val="apple-converted-space"/>
          <w:rFonts w:cs="Arial"/>
          <w:i/>
          <w:color w:val="2C3E50"/>
          <w:szCs w:val="24"/>
        </w:rPr>
        <w:t> </w:t>
      </w:r>
      <w:r w:rsidR="00C10331" w:rsidRPr="000F4510">
        <w:rPr>
          <w:i/>
          <w:color w:val="2C3E50"/>
        </w:rPr>
        <w:t>prescription</w:t>
      </w:r>
      <w:r w:rsidR="00C10331" w:rsidRPr="000F4510">
        <w:rPr>
          <w:rStyle w:val="apple-converted-space"/>
          <w:rFonts w:cs="Arial"/>
          <w:i/>
          <w:color w:val="2C3E50"/>
          <w:szCs w:val="24"/>
        </w:rPr>
        <w:t> </w:t>
      </w:r>
      <w:r w:rsidR="00C10331" w:rsidRPr="000F4510">
        <w:rPr>
          <w:i/>
          <w:color w:val="2C3E50"/>
        </w:rPr>
        <w:t>shall not commence to run until the creditor becomes aware of the existence of the debt.”</w:t>
      </w:r>
      <w:r w:rsidR="00C10331">
        <w:t xml:space="preserve"> </w:t>
      </w:r>
      <w:r w:rsidR="00103873">
        <w:t>It is not conte</w:t>
      </w:r>
      <w:r w:rsidR="00B57300">
        <w:t xml:space="preserve">nded that </w:t>
      </w:r>
      <w:r w:rsidR="00952E8E">
        <w:t xml:space="preserve">section </w:t>
      </w:r>
      <w:r w:rsidR="00C10331">
        <w:t xml:space="preserve">12(3) </w:t>
      </w:r>
      <w:r w:rsidR="00B57300">
        <w:t xml:space="preserve">is applicable. </w:t>
      </w:r>
    </w:p>
    <w:p w14:paraId="1D3BFCBE" w14:textId="77777777" w:rsidR="008726AD" w:rsidRDefault="00C10331" w:rsidP="00E454D7">
      <w:pPr>
        <w:pStyle w:val="1"/>
      </w:pPr>
      <w:r>
        <w:lastRenderedPageBreak/>
        <w:t>[</w:t>
      </w:r>
      <w:r w:rsidR="00C81DA1">
        <w:t>20</w:t>
      </w:r>
      <w:r>
        <w:t xml:space="preserve">] </w:t>
      </w:r>
      <w:r w:rsidR="003B374A">
        <w:t xml:space="preserve">The plaintiff </w:t>
      </w:r>
      <w:r>
        <w:t>states that it became aware of the over-payments to the defendant during March 2019</w:t>
      </w:r>
      <w:r w:rsidR="00401DBB">
        <w:t>, an allegation denied by the defendant only with a bare denial</w:t>
      </w:r>
      <w:r w:rsidR="00A22886">
        <w:t>,</w:t>
      </w:r>
      <w:r>
        <w:t xml:space="preserve"> and that the defendant concealed </w:t>
      </w:r>
      <w:r w:rsidR="00170810">
        <w:t xml:space="preserve">from it </w:t>
      </w:r>
      <w:r>
        <w:t xml:space="preserve">the fact of the payments </w:t>
      </w:r>
      <w:r w:rsidR="00170810">
        <w:t xml:space="preserve">when he had the contractual obligation to disclose the </w:t>
      </w:r>
      <w:r w:rsidR="00177258">
        <w:t>payments</w:t>
      </w:r>
      <w:r>
        <w:t xml:space="preserve">. Thus, it is alleged, the defendant prevented the plaintiff from finding out about the debt. </w:t>
      </w:r>
      <w:r w:rsidR="00870FE4">
        <w:t xml:space="preserve">If I find this to be the case, it </w:t>
      </w:r>
      <w:r w:rsidR="00B03703">
        <w:t xml:space="preserve">follows that prescription did not begin to run until March 2019 when the plaintiff first became aware of the over-payments. </w:t>
      </w:r>
    </w:p>
    <w:p w14:paraId="536231C9" w14:textId="66235358" w:rsidR="00C10331" w:rsidRDefault="00E454D7" w:rsidP="00E454D7">
      <w:pPr>
        <w:pStyle w:val="1"/>
        <w:tabs>
          <w:tab w:val="clear" w:pos="567"/>
          <w:tab w:val="num" w:pos="426"/>
        </w:tabs>
      </w:pPr>
      <w:r>
        <w:t xml:space="preserve">[21] </w:t>
      </w:r>
      <w:r w:rsidR="00802E17">
        <w:t xml:space="preserve">In his affidavit, the defendant states that </w:t>
      </w:r>
      <w:r w:rsidR="004460B0">
        <w:t>until he was questioned about the over-</w:t>
      </w:r>
      <w:r>
        <w:t xml:space="preserve">  </w:t>
      </w:r>
      <w:r w:rsidR="004460B0">
        <w:t xml:space="preserve">payments, he was not aware that he was paid </w:t>
      </w:r>
      <w:r w:rsidR="00EF62B8">
        <w:t xml:space="preserve">over and above the agreed annual salary and that he assumed that the </w:t>
      </w:r>
      <w:r w:rsidR="001E34C0">
        <w:t xml:space="preserve">additional amounts were a result of a salary increase decided by the plaintiff. </w:t>
      </w:r>
      <w:r w:rsidR="00B56745">
        <w:t xml:space="preserve">This explanation of the defendant </w:t>
      </w:r>
      <w:r w:rsidR="00E71B2F">
        <w:rPr>
          <w:color w:val="2C3E50"/>
          <w:lang w:eastAsia="en-GB"/>
        </w:rPr>
        <w:t xml:space="preserve">is </w:t>
      </w:r>
      <w:r w:rsidR="00A4195E">
        <w:rPr>
          <w:color w:val="2C3E50"/>
          <w:lang w:eastAsia="en-GB"/>
        </w:rPr>
        <w:t xml:space="preserve">not supported by </w:t>
      </w:r>
      <w:r w:rsidR="00E71B2F">
        <w:rPr>
          <w:color w:val="2C3E50"/>
          <w:lang w:eastAsia="en-GB"/>
        </w:rPr>
        <w:t xml:space="preserve">the </w:t>
      </w:r>
      <w:r w:rsidR="0079078F">
        <w:rPr>
          <w:color w:val="2C3E50"/>
          <w:lang w:eastAsia="en-GB"/>
        </w:rPr>
        <w:t xml:space="preserve">“schedule(s) of </w:t>
      </w:r>
      <w:r w:rsidR="00E71B2F">
        <w:t>remuneration</w:t>
      </w:r>
      <w:r w:rsidR="0079078F">
        <w:t>”</w:t>
      </w:r>
      <w:r w:rsidR="00E71B2F">
        <w:t xml:space="preserve"> attached to the plaintiff’s affidavit</w:t>
      </w:r>
      <w:r w:rsidR="00707D1D">
        <w:t xml:space="preserve"> which clearly show that </w:t>
      </w:r>
      <w:r w:rsidR="00E71B2F">
        <w:t xml:space="preserve">he continued to be paid an amount </w:t>
      </w:r>
      <w:r w:rsidR="007924F5">
        <w:t xml:space="preserve">identified </w:t>
      </w:r>
      <w:r w:rsidR="00E71B2F">
        <w:t>as “temp staff</w:t>
      </w:r>
      <w:r w:rsidR="007924F5">
        <w:t xml:space="preserve"> pay</w:t>
      </w:r>
      <w:r w:rsidR="00E71B2F">
        <w:t>”.</w:t>
      </w:r>
      <w:r w:rsidR="008A731C">
        <w:rPr>
          <w:color w:val="2C3E50"/>
          <w:lang w:eastAsia="en-GB"/>
        </w:rPr>
        <w:t xml:space="preserve"> </w:t>
      </w:r>
      <w:r w:rsidR="00707D1D">
        <w:rPr>
          <w:color w:val="2C3E50"/>
          <w:lang w:eastAsia="en-GB"/>
        </w:rPr>
        <w:t>From this, the defendant would have become aware that the payment</w:t>
      </w:r>
      <w:r w:rsidR="00A4195E">
        <w:rPr>
          <w:color w:val="2C3E50"/>
          <w:lang w:eastAsia="en-GB"/>
        </w:rPr>
        <w:t>s</w:t>
      </w:r>
      <w:r w:rsidR="00707D1D">
        <w:rPr>
          <w:color w:val="2C3E50"/>
          <w:lang w:eastAsia="en-GB"/>
        </w:rPr>
        <w:t xml:space="preserve"> additional to the agreed annual salary were </w:t>
      </w:r>
      <w:r w:rsidR="00ED4620">
        <w:rPr>
          <w:color w:val="2C3E50"/>
          <w:lang w:eastAsia="en-GB"/>
        </w:rPr>
        <w:t xml:space="preserve">not paid as a salary increase </w:t>
      </w:r>
      <w:r w:rsidR="000033B3">
        <w:rPr>
          <w:color w:val="2C3E50"/>
          <w:lang w:eastAsia="en-GB"/>
        </w:rPr>
        <w:t>as he now alleges</w:t>
      </w:r>
      <w:r w:rsidR="00ED4620">
        <w:rPr>
          <w:color w:val="2C3E50"/>
          <w:lang w:eastAsia="en-GB"/>
        </w:rPr>
        <w:t xml:space="preserve">. </w:t>
      </w:r>
      <w:r w:rsidR="00E30A9F">
        <w:rPr>
          <w:color w:val="2C3E50"/>
          <w:lang w:eastAsia="en-GB"/>
        </w:rPr>
        <w:t xml:space="preserve">The reason he offers for not bringing </w:t>
      </w:r>
      <w:r w:rsidR="00586170">
        <w:rPr>
          <w:color w:val="2C3E50"/>
          <w:lang w:eastAsia="en-GB"/>
        </w:rPr>
        <w:t xml:space="preserve">his unexplained windfall </w:t>
      </w:r>
      <w:r w:rsidR="00E30A9F">
        <w:rPr>
          <w:color w:val="2C3E50"/>
          <w:lang w:eastAsia="en-GB"/>
        </w:rPr>
        <w:t xml:space="preserve">to the attention of the plaintiff </w:t>
      </w:r>
      <w:r w:rsidR="00072859">
        <w:rPr>
          <w:color w:val="2C3E50"/>
          <w:lang w:eastAsia="en-GB"/>
        </w:rPr>
        <w:t xml:space="preserve">is so far-fetched that it </w:t>
      </w:r>
      <w:r w:rsidR="0079401A">
        <w:rPr>
          <w:color w:val="2C3E50"/>
          <w:lang w:eastAsia="en-GB"/>
        </w:rPr>
        <w:t>can be fairly and must</w:t>
      </w:r>
      <w:r w:rsidR="001C0056">
        <w:rPr>
          <w:color w:val="2C3E50"/>
          <w:lang w:eastAsia="en-GB"/>
        </w:rPr>
        <w:t xml:space="preserve"> </w:t>
      </w:r>
      <w:r w:rsidR="00E30A9F">
        <w:rPr>
          <w:color w:val="2C3E50"/>
          <w:lang w:eastAsia="en-GB"/>
        </w:rPr>
        <w:t xml:space="preserve">rightly </w:t>
      </w:r>
      <w:r w:rsidR="001C0056">
        <w:rPr>
          <w:color w:val="2C3E50"/>
          <w:lang w:eastAsia="en-GB"/>
        </w:rPr>
        <w:t xml:space="preserve">be rejected out of hand. </w:t>
      </w:r>
      <w:r w:rsidR="00B060D6">
        <w:t xml:space="preserve">That the defendant did not enquire about </w:t>
      </w:r>
      <w:r w:rsidR="001A46CD">
        <w:t>his</w:t>
      </w:r>
      <w:r w:rsidR="00B060D6">
        <w:t xml:space="preserve"> </w:t>
      </w:r>
      <w:r w:rsidR="001A46CD">
        <w:t xml:space="preserve">unexpected and </w:t>
      </w:r>
      <w:r w:rsidR="00B060D6">
        <w:t xml:space="preserve">unexplained largesse ineluctably must lead to the conclusion that he knew that he was receiving more than was contracted and opportunistically </w:t>
      </w:r>
      <w:r w:rsidR="001A46CD">
        <w:t>elected</w:t>
      </w:r>
      <w:r w:rsidR="00B060D6">
        <w:t xml:space="preserve"> to keep his peace with the hope never to be found out. Any other suggestion would defy common sense. </w:t>
      </w:r>
      <w:r w:rsidR="00E30A9F">
        <w:rPr>
          <w:color w:val="2C3E50"/>
          <w:lang w:eastAsia="en-GB"/>
        </w:rPr>
        <w:t xml:space="preserve">I am satisfied that the defendant wilfully </w:t>
      </w:r>
      <w:r w:rsidR="0078418D">
        <w:rPr>
          <w:color w:val="2C3E50"/>
          <w:lang w:eastAsia="en-GB"/>
        </w:rPr>
        <w:t xml:space="preserve">elected to </w:t>
      </w:r>
      <w:r w:rsidR="00E30A9F">
        <w:rPr>
          <w:color w:val="2C3E50"/>
          <w:lang w:eastAsia="en-GB"/>
        </w:rPr>
        <w:t xml:space="preserve">conceal from the plaintiff </w:t>
      </w:r>
      <w:r w:rsidR="008D0DD1">
        <w:rPr>
          <w:color w:val="2C3E50"/>
          <w:lang w:eastAsia="en-GB"/>
        </w:rPr>
        <w:t>the facts of the over-payments commencing when the first payment was made to him</w:t>
      </w:r>
      <w:r w:rsidR="0017392A">
        <w:rPr>
          <w:color w:val="2C3E50"/>
          <w:lang w:eastAsia="en-GB"/>
        </w:rPr>
        <w:t xml:space="preserve">. </w:t>
      </w:r>
      <w:r w:rsidR="008D0DD1">
        <w:rPr>
          <w:color w:val="2C3E50"/>
          <w:lang w:eastAsia="en-GB"/>
        </w:rPr>
        <w:t xml:space="preserve"> </w:t>
      </w:r>
      <w:r w:rsidR="00802E3D">
        <w:rPr>
          <w:color w:val="2C3E50"/>
          <w:lang w:eastAsia="en-GB"/>
        </w:rPr>
        <w:t xml:space="preserve">It follows that prescription did not commence to run </w:t>
      </w:r>
      <w:r w:rsidR="00500ED5">
        <w:rPr>
          <w:color w:val="2C3E50"/>
          <w:lang w:eastAsia="en-GB"/>
        </w:rPr>
        <w:t>until March 2019</w:t>
      </w:r>
      <w:r w:rsidR="00875CCF">
        <w:rPr>
          <w:color w:val="2C3E50"/>
          <w:lang w:eastAsia="en-GB"/>
        </w:rPr>
        <w:t xml:space="preserve"> and I find that no part of the debt has become prescribed</w:t>
      </w:r>
      <w:r w:rsidR="00500ED5">
        <w:rPr>
          <w:color w:val="2C3E50"/>
          <w:lang w:eastAsia="en-GB"/>
        </w:rPr>
        <w:t>.</w:t>
      </w:r>
      <w:r w:rsidR="00875CCF">
        <w:rPr>
          <w:color w:val="2C3E50"/>
          <w:lang w:eastAsia="en-GB"/>
        </w:rPr>
        <w:t xml:space="preserve"> </w:t>
      </w:r>
      <w:r w:rsidR="00500ED5">
        <w:rPr>
          <w:color w:val="2C3E50"/>
          <w:lang w:eastAsia="en-GB"/>
        </w:rPr>
        <w:t xml:space="preserve"> </w:t>
      </w:r>
    </w:p>
    <w:p w14:paraId="791CD67D" w14:textId="0DEDF78D" w:rsidR="00C10331" w:rsidRDefault="00C10331" w:rsidP="00D84622">
      <w:pPr>
        <w:pStyle w:val="1"/>
      </w:pPr>
      <w:r>
        <w:lastRenderedPageBreak/>
        <w:t>[</w:t>
      </w:r>
      <w:r w:rsidR="00C81DA1">
        <w:t>2</w:t>
      </w:r>
      <w:r w:rsidR="004E4989">
        <w:t>2</w:t>
      </w:r>
      <w:r>
        <w:t xml:space="preserve">] </w:t>
      </w:r>
      <w:r w:rsidR="00304275">
        <w:t xml:space="preserve">In the light of my conclusion that prescription did not commence to run until March 2019, </w:t>
      </w:r>
      <w:r w:rsidR="000268FE">
        <w:t xml:space="preserve">I do not consider it necessary to decide the question whether </w:t>
      </w:r>
      <w:r w:rsidR="007A5E19">
        <w:t xml:space="preserve">the running of prescription was interrupted by what the plaintiff contends was </w:t>
      </w:r>
      <w:r w:rsidR="002714EB">
        <w:t xml:space="preserve">the defendant’s </w:t>
      </w:r>
      <w:r w:rsidR="007A5E19">
        <w:t xml:space="preserve">an acknowledgement of </w:t>
      </w:r>
      <w:r w:rsidR="002714EB">
        <w:t xml:space="preserve">debt of </w:t>
      </w:r>
      <w:r w:rsidR="00D85612">
        <w:t>25 April 2019</w:t>
      </w:r>
      <w:r w:rsidR="0010665D">
        <w:t xml:space="preserve"> </w:t>
      </w:r>
      <w:r w:rsidR="002714EB">
        <w:t>and</w:t>
      </w:r>
      <w:r w:rsidR="008A4C86">
        <w:t xml:space="preserve"> undertaking to pay of </w:t>
      </w:r>
      <w:r w:rsidR="0010665D">
        <w:t xml:space="preserve">7 May </w:t>
      </w:r>
      <w:r w:rsidR="007E767E">
        <w:t>2019</w:t>
      </w:r>
      <w:r w:rsidR="0064624B">
        <w:t>.</w:t>
      </w:r>
      <w:r w:rsidR="00363E43">
        <w:t xml:space="preserve"> </w:t>
      </w:r>
      <w:r w:rsidR="00B36E73">
        <w:t xml:space="preserve"> </w:t>
      </w:r>
      <w:r w:rsidR="0055589D">
        <w:t xml:space="preserve"> </w:t>
      </w:r>
      <w:r w:rsidR="00C46D91">
        <w:t xml:space="preserve"> </w:t>
      </w:r>
    </w:p>
    <w:p w14:paraId="54D09C60" w14:textId="62F944C2" w:rsidR="005871DD" w:rsidRDefault="005871DD" w:rsidP="00C10331">
      <w:pPr>
        <w:pStyle w:val="1"/>
        <w:rPr>
          <w:color w:val="2C3E50"/>
          <w:lang w:eastAsia="en-GB"/>
        </w:rPr>
      </w:pPr>
      <w:r>
        <w:rPr>
          <w:color w:val="2C3E50"/>
          <w:lang w:eastAsia="en-GB"/>
        </w:rPr>
        <w:t>[2</w:t>
      </w:r>
      <w:r w:rsidR="004E4989">
        <w:rPr>
          <w:color w:val="2C3E50"/>
          <w:lang w:eastAsia="en-GB"/>
        </w:rPr>
        <w:t>3</w:t>
      </w:r>
      <w:r>
        <w:rPr>
          <w:color w:val="2C3E50"/>
          <w:lang w:eastAsia="en-GB"/>
        </w:rPr>
        <w:t xml:space="preserve">] I accordingly find that the </w:t>
      </w:r>
      <w:r w:rsidR="00A638AA">
        <w:rPr>
          <w:color w:val="2C3E50"/>
          <w:lang w:eastAsia="en-GB"/>
        </w:rPr>
        <w:t xml:space="preserve">plaintiff </w:t>
      </w:r>
      <w:r w:rsidR="00D00B69">
        <w:rPr>
          <w:color w:val="2C3E50"/>
          <w:lang w:eastAsia="en-GB"/>
        </w:rPr>
        <w:t xml:space="preserve">has made out a case for summary judgment based on the contract </w:t>
      </w:r>
      <w:r w:rsidR="00401DBB">
        <w:rPr>
          <w:color w:val="2C3E50"/>
          <w:lang w:eastAsia="en-GB"/>
        </w:rPr>
        <w:t>of employment</w:t>
      </w:r>
      <w:r w:rsidR="003E490C">
        <w:rPr>
          <w:color w:val="2C3E50"/>
          <w:lang w:eastAsia="en-GB"/>
        </w:rPr>
        <w:t xml:space="preserve"> to the extent of the amount in paragraphs </w:t>
      </w:r>
      <w:r w:rsidR="00C81DA1">
        <w:rPr>
          <w:color w:val="2C3E50"/>
          <w:lang w:eastAsia="en-GB"/>
        </w:rPr>
        <w:t>1.1</w:t>
      </w:r>
      <w:r w:rsidR="00F9624B">
        <w:rPr>
          <w:color w:val="2C3E50"/>
          <w:lang w:eastAsia="en-GB"/>
        </w:rPr>
        <w:t>1</w:t>
      </w:r>
      <w:r w:rsidR="003E490C">
        <w:rPr>
          <w:color w:val="2C3E50"/>
          <w:lang w:eastAsia="en-GB"/>
        </w:rPr>
        <w:t xml:space="preserve"> to </w:t>
      </w:r>
      <w:r w:rsidR="00C81DA1">
        <w:rPr>
          <w:color w:val="2C3E50"/>
          <w:lang w:eastAsia="en-GB"/>
        </w:rPr>
        <w:t>1.</w:t>
      </w:r>
      <w:r w:rsidR="00F9624B">
        <w:rPr>
          <w:color w:val="2C3E50"/>
          <w:lang w:eastAsia="en-GB"/>
        </w:rPr>
        <w:t>26 above</w:t>
      </w:r>
      <w:r w:rsidR="00A638AA">
        <w:rPr>
          <w:color w:val="2C3E50"/>
          <w:lang w:eastAsia="en-GB"/>
        </w:rPr>
        <w:t xml:space="preserve">. </w:t>
      </w:r>
    </w:p>
    <w:p w14:paraId="3E82B6FB" w14:textId="140899E7" w:rsidR="00C10331" w:rsidRPr="00BD0D2E" w:rsidRDefault="005055F3" w:rsidP="00C10331">
      <w:pPr>
        <w:pStyle w:val="1"/>
        <w:rPr>
          <w:bCs/>
          <w:i/>
          <w:iCs w:val="0"/>
          <w:color w:val="2C3E50"/>
          <w:lang w:eastAsia="en-GB"/>
        </w:rPr>
      </w:pPr>
      <w:r>
        <w:rPr>
          <w:color w:val="2C3E50"/>
          <w:lang w:eastAsia="en-GB"/>
        </w:rPr>
        <w:tab/>
      </w:r>
      <w:r w:rsidR="00C10331" w:rsidRPr="00BD0D2E">
        <w:rPr>
          <w:bCs/>
          <w:i/>
          <w:iCs w:val="0"/>
          <w:color w:val="2C3E50"/>
          <w:lang w:eastAsia="en-GB"/>
        </w:rPr>
        <w:t>Special plea of failure to disclose a cause of action</w:t>
      </w:r>
    </w:p>
    <w:p w14:paraId="37B29CE4" w14:textId="29D56841" w:rsidR="00C10331" w:rsidRDefault="00C10331" w:rsidP="00C10331">
      <w:pPr>
        <w:pStyle w:val="1"/>
        <w:rPr>
          <w:color w:val="2C3E50"/>
          <w:lang w:eastAsia="en-GB"/>
        </w:rPr>
      </w:pPr>
      <w:r>
        <w:rPr>
          <w:color w:val="2C3E50"/>
          <w:lang w:eastAsia="en-GB"/>
        </w:rPr>
        <w:t>[2</w:t>
      </w:r>
      <w:r w:rsidR="004E4989">
        <w:rPr>
          <w:color w:val="2C3E50"/>
          <w:lang w:eastAsia="en-GB"/>
        </w:rPr>
        <w:t>4</w:t>
      </w:r>
      <w:r>
        <w:rPr>
          <w:color w:val="2C3E50"/>
          <w:lang w:eastAsia="en-GB"/>
        </w:rPr>
        <w:t xml:space="preserve">] </w:t>
      </w:r>
      <w:r w:rsidR="00604D79">
        <w:rPr>
          <w:color w:val="2C3E50"/>
          <w:lang w:eastAsia="en-GB"/>
        </w:rPr>
        <w:t>The special plea relates to the plaintiff’s claim for interest</w:t>
      </w:r>
      <w:r w:rsidR="004E4989">
        <w:rPr>
          <w:color w:val="2C3E50"/>
          <w:lang w:eastAsia="en-GB"/>
        </w:rPr>
        <w:t xml:space="preserve"> on each </w:t>
      </w:r>
      <w:r w:rsidR="004E4989" w:rsidRPr="004E4989">
        <w:rPr>
          <w:i/>
          <w:iCs w:val="0"/>
          <w:color w:val="2C3E50"/>
          <w:lang w:eastAsia="en-GB"/>
        </w:rPr>
        <w:t>indebiti</w:t>
      </w:r>
      <w:r w:rsidR="004E4989">
        <w:rPr>
          <w:color w:val="2C3E50"/>
          <w:lang w:eastAsia="en-GB"/>
        </w:rPr>
        <w:t xml:space="preserve"> amount from date of payment to the defendant. </w:t>
      </w:r>
      <w:r>
        <w:rPr>
          <w:color w:val="2C3E50"/>
          <w:lang w:eastAsia="en-GB"/>
        </w:rPr>
        <w:t xml:space="preserve">Rule 32(1)(b) entitles an applicant for summary judgment to claim interest on the amount claimed. The plaintiff has done so and seeks interest from the date of payment </w:t>
      </w:r>
      <w:r w:rsidR="00744CA0">
        <w:rPr>
          <w:color w:val="2C3E50"/>
          <w:lang w:eastAsia="en-GB"/>
        </w:rPr>
        <w:t xml:space="preserve">to the defendant of each </w:t>
      </w:r>
      <w:r w:rsidR="00744CA0" w:rsidRPr="00BD0D2E">
        <w:rPr>
          <w:i/>
          <w:iCs w:val="0"/>
          <w:color w:val="2C3E50"/>
          <w:lang w:eastAsia="en-GB"/>
        </w:rPr>
        <w:t>indebiti</w:t>
      </w:r>
      <w:r w:rsidR="00744CA0">
        <w:rPr>
          <w:color w:val="2C3E50"/>
          <w:lang w:eastAsia="en-GB"/>
        </w:rPr>
        <w:t xml:space="preserve"> payment. </w:t>
      </w:r>
      <w:r>
        <w:rPr>
          <w:color w:val="2C3E50"/>
          <w:lang w:eastAsia="en-GB"/>
        </w:rPr>
        <w:t>The plaintiff claims interest from date when the individual sums were paid on the basis that the amounts are liquidated and that as a matter of law, interest began to run from the date at the applicable prescribed rate of interest from the date of each payment, this being the date when the cause of action arose in respect of each payment. The date of each payment has been pleaded and there is no dispute that the amounts claimed are liquidated amounts – they have been ascertained, alternatively are easily ascertainable</w:t>
      </w:r>
      <w:r w:rsidR="00EC2E12">
        <w:rPr>
          <w:color w:val="2C3E50"/>
          <w:lang w:eastAsia="en-GB"/>
        </w:rPr>
        <w:t xml:space="preserve"> and </w:t>
      </w:r>
      <w:r>
        <w:rPr>
          <w:color w:val="2C3E50"/>
          <w:lang w:eastAsia="en-GB"/>
        </w:rPr>
        <w:t xml:space="preserve">importantly, are not disputed by the defendant. </w:t>
      </w:r>
    </w:p>
    <w:p w14:paraId="1528A49C" w14:textId="536C5C5F" w:rsidR="00C10331" w:rsidRDefault="00C10331" w:rsidP="00C81DA1">
      <w:pPr>
        <w:pStyle w:val="1"/>
      </w:pPr>
      <w:r>
        <w:rPr>
          <w:color w:val="2C3E50"/>
          <w:lang w:eastAsia="en-GB"/>
        </w:rPr>
        <w:t>[2</w:t>
      </w:r>
      <w:r w:rsidR="004E4989">
        <w:rPr>
          <w:color w:val="2C3E50"/>
          <w:lang w:eastAsia="en-GB"/>
        </w:rPr>
        <w:t>5</w:t>
      </w:r>
      <w:r>
        <w:rPr>
          <w:color w:val="2C3E50"/>
          <w:lang w:eastAsia="en-GB"/>
        </w:rPr>
        <w:t xml:space="preserve">] The claim for interest is not a separate cause of action apart from the claim for each </w:t>
      </w:r>
      <w:r w:rsidRPr="00904E29">
        <w:rPr>
          <w:i/>
          <w:color w:val="2C3E50"/>
          <w:lang w:eastAsia="en-GB"/>
        </w:rPr>
        <w:t>indebiti</w:t>
      </w:r>
      <w:r>
        <w:rPr>
          <w:color w:val="2C3E50"/>
          <w:lang w:eastAsia="en-GB"/>
        </w:rPr>
        <w:t xml:space="preserve"> amount</w:t>
      </w:r>
      <w:r w:rsidR="00595DEC">
        <w:rPr>
          <w:color w:val="2C3E50"/>
          <w:lang w:eastAsia="en-GB"/>
        </w:rPr>
        <w:t xml:space="preserve">. It is consequent upon </w:t>
      </w:r>
      <w:r w:rsidR="00DB2FA0">
        <w:rPr>
          <w:color w:val="2C3E50"/>
          <w:lang w:eastAsia="en-GB"/>
        </w:rPr>
        <w:t>the payments to the defendant</w:t>
      </w:r>
      <w:r w:rsidR="00A23E63">
        <w:rPr>
          <w:color w:val="2C3E50"/>
          <w:lang w:eastAsia="en-GB"/>
        </w:rPr>
        <w:t xml:space="preserve"> which </w:t>
      </w:r>
      <w:r w:rsidR="00A23E63">
        <w:rPr>
          <w:color w:val="2C3E50"/>
          <w:lang w:eastAsia="en-GB"/>
        </w:rPr>
        <w:lastRenderedPageBreak/>
        <w:t xml:space="preserve">were without cause at the time they were made. </w:t>
      </w:r>
      <w:r w:rsidR="008A146C">
        <w:rPr>
          <w:color w:val="2C3E50"/>
          <w:lang w:eastAsia="en-GB"/>
        </w:rPr>
        <w:t xml:space="preserve">I agree with the plaintiff that there is no requirement in law that the plaintiff should have made a demand for payment of interest before it would be entitled to claim interest on </w:t>
      </w:r>
      <w:r w:rsidR="00D65B2F">
        <w:rPr>
          <w:color w:val="2C3E50"/>
          <w:lang w:eastAsia="en-GB"/>
        </w:rPr>
        <w:t xml:space="preserve">each </w:t>
      </w:r>
      <w:r w:rsidR="008A146C">
        <w:rPr>
          <w:color w:val="2C3E50"/>
          <w:lang w:eastAsia="en-GB"/>
        </w:rPr>
        <w:t xml:space="preserve">individual liquidated </w:t>
      </w:r>
      <w:r w:rsidR="00494D42">
        <w:rPr>
          <w:color w:val="2C3E50"/>
          <w:lang w:eastAsia="en-GB"/>
        </w:rPr>
        <w:t>amount. The</w:t>
      </w:r>
      <w:r w:rsidR="00B255F3">
        <w:rPr>
          <w:color w:val="2C3E50"/>
          <w:lang w:eastAsia="en-GB"/>
        </w:rPr>
        <w:t xml:space="preserve"> defendant became liable to repay the plaintiff as soon as he received </w:t>
      </w:r>
      <w:r w:rsidR="0093068F">
        <w:rPr>
          <w:color w:val="2C3E50"/>
          <w:lang w:eastAsia="en-GB"/>
        </w:rPr>
        <w:t>payment and became aware of the payments</w:t>
      </w:r>
      <w:r>
        <w:rPr>
          <w:color w:val="2C3E50"/>
          <w:lang w:eastAsia="en-GB"/>
        </w:rPr>
        <w:t xml:space="preserve"> </w:t>
      </w:r>
      <w:r w:rsidR="00E34F27">
        <w:rPr>
          <w:color w:val="2C3E50"/>
          <w:lang w:eastAsia="en-GB"/>
        </w:rPr>
        <w:t xml:space="preserve">as is apparent from the </w:t>
      </w:r>
      <w:r w:rsidR="00424A95">
        <w:rPr>
          <w:color w:val="2C3E50"/>
          <w:lang w:eastAsia="en-GB"/>
        </w:rPr>
        <w:t xml:space="preserve">salary </w:t>
      </w:r>
      <w:r w:rsidR="00E34F27">
        <w:rPr>
          <w:color w:val="2C3E50"/>
          <w:lang w:eastAsia="en-GB"/>
        </w:rPr>
        <w:t>payment schedules attached to the plaintiff’s affidavit</w:t>
      </w:r>
      <w:r w:rsidR="00424A95">
        <w:rPr>
          <w:color w:val="2C3E50"/>
          <w:lang w:eastAsia="en-GB"/>
        </w:rPr>
        <w:t xml:space="preserve"> and interest became due from the date of payment</w:t>
      </w:r>
      <w:r w:rsidR="00E34F27">
        <w:rPr>
          <w:color w:val="2C3E50"/>
          <w:lang w:eastAsia="en-GB"/>
        </w:rPr>
        <w:t xml:space="preserve">. There is no reason that the plaintiff should not </w:t>
      </w:r>
      <w:r w:rsidR="00713F45">
        <w:rPr>
          <w:color w:val="2C3E50"/>
          <w:lang w:eastAsia="en-GB"/>
        </w:rPr>
        <w:t xml:space="preserve">be compensated for the interest that it would have earned </w:t>
      </w:r>
      <w:r w:rsidR="008A146C">
        <w:rPr>
          <w:color w:val="2C3E50"/>
          <w:lang w:eastAsia="en-GB"/>
        </w:rPr>
        <w:t xml:space="preserve">on the amounts. </w:t>
      </w:r>
      <w:r>
        <w:rPr>
          <w:color w:val="2C3E50"/>
          <w:lang w:eastAsia="en-GB"/>
        </w:rPr>
        <w:t xml:space="preserve"> The defence, such as it is, has no merit. It follows that it is not a </w:t>
      </w:r>
      <w:r w:rsidRPr="00BD0D2E">
        <w:rPr>
          <w:i/>
          <w:iCs w:val="0"/>
          <w:color w:val="2C3E50"/>
          <w:lang w:eastAsia="en-GB"/>
        </w:rPr>
        <w:t>bona fide</w:t>
      </w:r>
      <w:r>
        <w:rPr>
          <w:color w:val="2C3E50"/>
          <w:lang w:eastAsia="en-GB"/>
        </w:rPr>
        <w:t xml:space="preserve"> defence to the claim for interest and does not raise a triable issue for determination by </w:t>
      </w:r>
      <w:r w:rsidR="00C36B6E">
        <w:rPr>
          <w:color w:val="2C3E50"/>
          <w:lang w:eastAsia="en-GB"/>
        </w:rPr>
        <w:t>a</w:t>
      </w:r>
      <w:r>
        <w:rPr>
          <w:color w:val="2C3E50"/>
          <w:lang w:eastAsia="en-GB"/>
        </w:rPr>
        <w:t xml:space="preserve"> trial court.  </w:t>
      </w:r>
    </w:p>
    <w:p w14:paraId="4D4D7E07" w14:textId="064A24EF" w:rsidR="00C10331" w:rsidRDefault="00C10331" w:rsidP="00C10331">
      <w:pPr>
        <w:pStyle w:val="1"/>
      </w:pPr>
      <w:r w:rsidRPr="00B03C37">
        <w:rPr>
          <w:color w:val="2C3E50"/>
          <w:lang w:eastAsia="en-GB"/>
        </w:rPr>
        <w:t>[</w:t>
      </w:r>
      <w:r>
        <w:rPr>
          <w:color w:val="2C3E50"/>
          <w:lang w:eastAsia="en-GB"/>
        </w:rPr>
        <w:t>2</w:t>
      </w:r>
      <w:r w:rsidR="00D84622">
        <w:rPr>
          <w:color w:val="2C3E50"/>
          <w:lang w:eastAsia="en-GB"/>
        </w:rPr>
        <w:t>6</w:t>
      </w:r>
      <w:r w:rsidRPr="00B03C37">
        <w:rPr>
          <w:color w:val="2C3E50"/>
          <w:lang w:eastAsia="en-GB"/>
        </w:rPr>
        <w:t>] If ever there was a case of a plaintiff who has established his claim in the clearest terms, this is the case. Equally, if ever there was a case of a defendant who has raised “sham defences</w:t>
      </w:r>
      <w:r w:rsidR="000E1CBE">
        <w:rPr>
          <w:color w:val="2C3E50"/>
          <w:lang w:eastAsia="en-GB"/>
        </w:rPr>
        <w:t>”</w:t>
      </w:r>
      <w:r w:rsidRPr="00B03C37">
        <w:rPr>
          <w:color w:val="2C3E50"/>
          <w:lang w:eastAsia="en-GB"/>
        </w:rPr>
        <w:t xml:space="preserve"> to delay relief to the plaintiff through a trial and </w:t>
      </w:r>
      <w:r w:rsidR="00EE12E8">
        <w:rPr>
          <w:color w:val="2C3E50"/>
          <w:lang w:eastAsia="en-GB"/>
        </w:rPr>
        <w:t>the</w:t>
      </w:r>
      <w:r w:rsidRPr="00B03C37">
        <w:rPr>
          <w:color w:val="2C3E50"/>
          <w:lang w:eastAsia="en-GB"/>
        </w:rPr>
        <w:t xml:space="preserve"> unavoidable delays that comes with it, the defendant in this matter is such </w:t>
      </w:r>
      <w:r w:rsidR="00F6158F">
        <w:rPr>
          <w:color w:val="2C3E50"/>
          <w:lang w:eastAsia="en-GB"/>
        </w:rPr>
        <w:t xml:space="preserve">a </w:t>
      </w:r>
      <w:r w:rsidRPr="00B03C37">
        <w:rPr>
          <w:color w:val="2C3E50"/>
          <w:lang w:eastAsia="en-GB"/>
        </w:rPr>
        <w:t xml:space="preserve">defendant. </w:t>
      </w:r>
    </w:p>
    <w:p w14:paraId="0D0B5E1A" w14:textId="19F4A58B" w:rsidR="00C10331" w:rsidRDefault="00C10331" w:rsidP="00AF49BA">
      <w:pPr>
        <w:pStyle w:val="1"/>
      </w:pPr>
      <w:r>
        <w:t>[</w:t>
      </w:r>
      <w:r w:rsidR="00C81DA1">
        <w:t>2</w:t>
      </w:r>
      <w:r w:rsidR="00D84622">
        <w:t>7</w:t>
      </w:r>
      <w:r>
        <w:t xml:space="preserve">] For all the above reasons, I find that the plaintiff has made out a case for summary judgment based on contract. </w:t>
      </w:r>
      <w:r w:rsidR="00AF49BA">
        <w:t xml:space="preserve">In the light of my conclusion, </w:t>
      </w:r>
      <w:r>
        <w:t xml:space="preserve">it is not necessary that I deal with the plaintiff’s </w:t>
      </w:r>
      <w:r w:rsidR="00785888">
        <w:t xml:space="preserve">remaining </w:t>
      </w:r>
      <w:r>
        <w:t>alternative claims and the defendant</w:t>
      </w:r>
      <w:r w:rsidR="00785888">
        <w:t>’</w:t>
      </w:r>
      <w:r>
        <w:t xml:space="preserve">s </w:t>
      </w:r>
      <w:r w:rsidR="00785888">
        <w:t>answer</w:t>
      </w:r>
      <w:r w:rsidR="00B706EA">
        <w:t xml:space="preserve">s </w:t>
      </w:r>
      <w:r>
        <w:t xml:space="preserve">thereto. </w:t>
      </w:r>
    </w:p>
    <w:p w14:paraId="0825B675" w14:textId="33918288" w:rsidR="00C10331" w:rsidRDefault="00C10331" w:rsidP="00C10331">
      <w:pPr>
        <w:pStyle w:val="1"/>
      </w:pPr>
      <w:r>
        <w:t>[</w:t>
      </w:r>
      <w:r w:rsidR="00995BA6">
        <w:t>2</w:t>
      </w:r>
      <w:r w:rsidR="00B706EA">
        <w:t>8</w:t>
      </w:r>
      <w:r>
        <w:t xml:space="preserve">] With respect to the defendant’s claim or plea for apportionment, suffice to say that this does not arise in the claim based on contract, the Apportionment of Damages Act (Act 34 of 1956) being inapplicable to claims based on contract. The plaintiff </w:t>
      </w:r>
      <w:r>
        <w:lastRenderedPageBreak/>
        <w:t xml:space="preserve">does not claim damages – it seeks to enforce the contract between the parties.  </w:t>
      </w:r>
    </w:p>
    <w:p w14:paraId="7A6AF286" w14:textId="5C653C05" w:rsidR="00C10331" w:rsidRPr="00160660" w:rsidRDefault="00C10331" w:rsidP="00C10331">
      <w:pPr>
        <w:pStyle w:val="1"/>
        <w:ind w:left="0" w:firstLine="0"/>
        <w:rPr>
          <w:bCs/>
        </w:rPr>
      </w:pPr>
      <w:r w:rsidRPr="00160660">
        <w:rPr>
          <w:bCs/>
        </w:rPr>
        <w:t>C</w:t>
      </w:r>
      <w:r w:rsidR="001D4ACE" w:rsidRPr="00160660">
        <w:rPr>
          <w:bCs/>
        </w:rPr>
        <w:t>osts</w:t>
      </w:r>
    </w:p>
    <w:p w14:paraId="73E6EF4B" w14:textId="723A2E44" w:rsidR="00C10331" w:rsidRDefault="00C10331" w:rsidP="00C10331">
      <w:pPr>
        <w:pStyle w:val="1"/>
      </w:pPr>
      <w:r>
        <w:t>[</w:t>
      </w:r>
      <w:r w:rsidR="00B706EA">
        <w:t>29</w:t>
      </w:r>
      <w:r>
        <w:t>] The plaintiff seeks that the defendant pays costs on the attorney and client scale.</w:t>
      </w:r>
    </w:p>
    <w:p w14:paraId="7D7710BF" w14:textId="5A2C3AEB" w:rsidR="00C10331" w:rsidRDefault="00C10331" w:rsidP="00C10331">
      <w:pPr>
        <w:pStyle w:val="1"/>
      </w:pPr>
      <w:r w:rsidRPr="00B03C37">
        <w:t>[3</w:t>
      </w:r>
      <w:r w:rsidR="00B706EA">
        <w:t>0</w:t>
      </w:r>
      <w:r w:rsidRPr="00B03C37">
        <w:t xml:space="preserve">] Whilst a successful party is </w:t>
      </w:r>
      <w:r>
        <w:t xml:space="preserve">ordinarily </w:t>
      </w:r>
      <w:r w:rsidRPr="00B03C37">
        <w:t xml:space="preserve">entitled to costs in the normal cause, </w:t>
      </w:r>
      <w:r>
        <w:t xml:space="preserve">and there is no reason in the present matter to deviate, </w:t>
      </w:r>
      <w:r w:rsidRPr="00B03C37">
        <w:t xml:space="preserve">a party </w:t>
      </w:r>
      <w:r>
        <w:t xml:space="preserve">who seeks costs on the </w:t>
      </w:r>
      <w:r w:rsidRPr="00B03C37">
        <w:t xml:space="preserve">punitive </w:t>
      </w:r>
      <w:r>
        <w:t>scale of attorney and client</w:t>
      </w:r>
      <w:r w:rsidRPr="00B03C37">
        <w:t>, such as the plaintiff seeks</w:t>
      </w:r>
      <w:r>
        <w:t xml:space="preserve">, must make out a case for such a cost order. The plaintiff has not pleaded any facts why such an order is appropriate. Neither has it, in its written submissions, made submissions in support of the punitive costs order. </w:t>
      </w:r>
    </w:p>
    <w:p w14:paraId="2E4F6E57" w14:textId="5BC7104F" w:rsidR="00783DE7" w:rsidRDefault="00C10331" w:rsidP="00BD0D2E">
      <w:pPr>
        <w:pStyle w:val="1"/>
        <w:rPr>
          <w:b/>
          <w:u w:val="single"/>
        </w:rPr>
      </w:pPr>
      <w:r>
        <w:t>[3</w:t>
      </w:r>
      <w:r w:rsidR="00B706EA">
        <w:t>1</w:t>
      </w:r>
      <w:r>
        <w:t xml:space="preserve">] The fact that the defendant </w:t>
      </w:r>
      <w:r w:rsidR="00061524">
        <w:t>fails</w:t>
      </w:r>
      <w:r>
        <w:t xml:space="preserve"> in </w:t>
      </w:r>
      <w:r w:rsidR="00995BA6">
        <w:t>his</w:t>
      </w:r>
      <w:r>
        <w:t xml:space="preserve"> </w:t>
      </w:r>
      <w:r w:rsidR="007763C6">
        <w:t>opposition of summary judgment</w:t>
      </w:r>
      <w:r>
        <w:t xml:space="preserve"> does not of itself and without more warrant a punitive cost order such as i</w:t>
      </w:r>
      <w:r w:rsidR="00CE7561">
        <w:t>s</w:t>
      </w:r>
      <w:r>
        <w:t xml:space="preserve"> sought by the plaintiff. I am not satisfied that a cost order such as sought by the plaintiff is appropriate in the circumstances and propose to grant an order on the ordinary scale.  </w:t>
      </w:r>
    </w:p>
    <w:p w14:paraId="7D5EE5AC" w14:textId="5061A1AA" w:rsidR="00C10331" w:rsidRPr="00B706EA" w:rsidRDefault="009F5E66" w:rsidP="00C10331">
      <w:pPr>
        <w:pStyle w:val="1"/>
        <w:rPr>
          <w:bCs/>
        </w:rPr>
      </w:pPr>
      <w:r w:rsidRPr="00B706EA">
        <w:rPr>
          <w:bCs/>
        </w:rPr>
        <w:t>O</w:t>
      </w:r>
      <w:r w:rsidR="001D4ACE" w:rsidRPr="00B706EA">
        <w:rPr>
          <w:bCs/>
        </w:rPr>
        <w:t>rder</w:t>
      </w:r>
    </w:p>
    <w:p w14:paraId="3C9DF06B" w14:textId="0643B84D" w:rsidR="00C10331" w:rsidRPr="00DE76C3" w:rsidRDefault="00C10331" w:rsidP="00C10331">
      <w:pPr>
        <w:pStyle w:val="1"/>
      </w:pPr>
      <w:bookmarkStart w:id="1" w:name="0-0-0-599847"/>
      <w:bookmarkStart w:id="2" w:name="0-0-0-599961"/>
      <w:bookmarkStart w:id="3" w:name="0-0-0-599963"/>
      <w:bookmarkStart w:id="4" w:name="0-0-0-41859"/>
      <w:bookmarkEnd w:id="1"/>
      <w:bookmarkEnd w:id="2"/>
      <w:bookmarkEnd w:id="3"/>
      <w:bookmarkEnd w:id="4"/>
      <w:r>
        <w:t>[3</w:t>
      </w:r>
      <w:r w:rsidR="00160660">
        <w:t>2</w:t>
      </w:r>
      <w:r>
        <w:t xml:space="preserve">] </w:t>
      </w:r>
      <w:r w:rsidRPr="00DE76C3">
        <w:t xml:space="preserve">In the result, </w:t>
      </w:r>
      <w:r>
        <w:t>I make the following order</w:t>
      </w:r>
      <w:r w:rsidRPr="00DE76C3">
        <w:t xml:space="preserve"> </w:t>
      </w:r>
    </w:p>
    <w:p w14:paraId="0160966A" w14:textId="19731879" w:rsidR="00C10331" w:rsidRDefault="00C10331" w:rsidP="00C97A3D">
      <w:pPr>
        <w:pStyle w:val="1"/>
      </w:pPr>
      <w:r>
        <w:t>1.</w:t>
      </w:r>
      <w:r w:rsidRPr="00DE76C3">
        <w:t xml:space="preserve"> The </w:t>
      </w:r>
      <w:r>
        <w:t xml:space="preserve">defendant is to pay to the plaintiff the </w:t>
      </w:r>
      <w:r w:rsidR="00C97A3D">
        <w:t xml:space="preserve">amount of </w:t>
      </w:r>
      <w:r>
        <w:t>R</w:t>
      </w:r>
      <w:r w:rsidR="00B974C8">
        <w:t>1 030</w:t>
      </w:r>
      <w:r w:rsidR="00473D9A">
        <w:t> </w:t>
      </w:r>
      <w:r w:rsidR="00B974C8">
        <w:t>037</w:t>
      </w:r>
      <w:r w:rsidR="00473D9A">
        <w:t>.52</w:t>
      </w:r>
      <w:r>
        <w:t>.</w:t>
      </w:r>
    </w:p>
    <w:p w14:paraId="71770226" w14:textId="4BD9E508" w:rsidR="00C10331" w:rsidRDefault="00AF5121" w:rsidP="00C10331">
      <w:pPr>
        <w:pStyle w:val="1"/>
      </w:pPr>
      <w:r>
        <w:t>2</w:t>
      </w:r>
      <w:r w:rsidR="00C10331">
        <w:t>.</w:t>
      </w:r>
      <w:r w:rsidR="00C10331" w:rsidRPr="00DE76C3">
        <w:t xml:space="preserve"> </w:t>
      </w:r>
      <w:r w:rsidR="00F87838">
        <w:t>The defendant is to pay i</w:t>
      </w:r>
      <w:r w:rsidR="00C10331">
        <w:t>nterest on the amount R</w:t>
      </w:r>
      <w:r w:rsidR="00473D9A">
        <w:t>1 030 037.52</w:t>
      </w:r>
      <w:r w:rsidR="00C10331">
        <w:t xml:space="preserve"> as follows:</w:t>
      </w:r>
    </w:p>
    <w:p w14:paraId="042314A1" w14:textId="1BB2EB0A" w:rsidR="00A02350" w:rsidRDefault="00F87838" w:rsidP="00A02350">
      <w:pPr>
        <w:pStyle w:val="1"/>
      </w:pPr>
      <w:r>
        <w:t>2</w:t>
      </w:r>
      <w:r w:rsidR="00C10331">
        <w:t>.1</w:t>
      </w:r>
      <w:r w:rsidR="00A02350">
        <w:t xml:space="preserve"> </w:t>
      </w:r>
      <w:r w:rsidR="009D2EB4">
        <w:t xml:space="preserve">on the amount </w:t>
      </w:r>
      <w:r w:rsidR="00A02350">
        <w:t>R30 005.25 -</w:t>
      </w:r>
      <w:r w:rsidR="002E697D">
        <w:t xml:space="preserve"> </w:t>
      </w:r>
      <w:r w:rsidR="00824D93">
        <w:t>interest at the rate of 10.50%</w:t>
      </w:r>
      <w:r w:rsidR="002E697D">
        <w:t xml:space="preserve"> from 20 February 2017 </w:t>
      </w:r>
      <w:r w:rsidR="002E697D">
        <w:lastRenderedPageBreak/>
        <w:t>to date of payment</w:t>
      </w:r>
      <w:r w:rsidR="00006D75">
        <w:t>’</w:t>
      </w:r>
    </w:p>
    <w:p w14:paraId="50DB127E" w14:textId="09B3A577" w:rsidR="00A02350" w:rsidRDefault="00A02350" w:rsidP="00A02350">
      <w:pPr>
        <w:pStyle w:val="1"/>
      </w:pPr>
      <w:r>
        <w:t xml:space="preserve">2.2 </w:t>
      </w:r>
      <w:r w:rsidR="009D2EB4">
        <w:t xml:space="preserve">on the amount </w:t>
      </w:r>
      <w:r>
        <w:t>R41 582.84 -</w:t>
      </w:r>
      <w:r w:rsidR="002E697D">
        <w:t xml:space="preserve"> interest at the rate of 10.50% from 20 March </w:t>
      </w:r>
      <w:r w:rsidR="00EB306E">
        <w:t xml:space="preserve">2017 </w:t>
      </w:r>
      <w:r w:rsidR="002E697D">
        <w:t>to date of payment</w:t>
      </w:r>
      <w:r w:rsidR="00006D75">
        <w:t>.</w:t>
      </w:r>
    </w:p>
    <w:p w14:paraId="7F6159D7" w14:textId="1F631773" w:rsidR="00A02350" w:rsidRDefault="00A02350" w:rsidP="00A02350">
      <w:pPr>
        <w:pStyle w:val="1"/>
      </w:pPr>
      <w:r>
        <w:t xml:space="preserve">2.3 </w:t>
      </w:r>
      <w:r w:rsidR="009D2EB4">
        <w:t xml:space="preserve">on the amount </w:t>
      </w:r>
      <w:r>
        <w:t>R36 132. 57 -</w:t>
      </w:r>
      <w:r w:rsidR="00006D75">
        <w:t xml:space="preserve"> interest at the rate of 10.50% from 20 April </w:t>
      </w:r>
      <w:r w:rsidR="00EB306E">
        <w:t xml:space="preserve">2017 </w:t>
      </w:r>
      <w:r w:rsidR="00006D75">
        <w:t>to date of payment.</w:t>
      </w:r>
    </w:p>
    <w:p w14:paraId="54C086CA" w14:textId="7694DD47" w:rsidR="00A02350" w:rsidRDefault="00A02350" w:rsidP="00A02350">
      <w:pPr>
        <w:pStyle w:val="1"/>
      </w:pPr>
      <w:r>
        <w:t xml:space="preserve">2.4 </w:t>
      </w:r>
      <w:r w:rsidR="009D2EB4">
        <w:t xml:space="preserve">on the amount </w:t>
      </w:r>
      <w:r>
        <w:t>R41 569.11 -</w:t>
      </w:r>
      <w:r w:rsidR="00006D75">
        <w:t xml:space="preserve"> interest at the rate of 10.50%</w:t>
      </w:r>
      <w:r w:rsidR="00EB306E">
        <w:t xml:space="preserve"> from 20 May 2017 to date of payment.</w:t>
      </w:r>
    </w:p>
    <w:p w14:paraId="78FFCC9F" w14:textId="5FF83EDA" w:rsidR="00A02350" w:rsidRDefault="00A02350" w:rsidP="00A02350">
      <w:pPr>
        <w:pStyle w:val="1"/>
      </w:pPr>
      <w:r>
        <w:t xml:space="preserve">2.5 </w:t>
      </w:r>
      <w:r w:rsidR="009D2EB4">
        <w:t xml:space="preserve">on the amount </w:t>
      </w:r>
      <w:r>
        <w:t>R39 724.95 -</w:t>
      </w:r>
      <w:r w:rsidR="00EB306E">
        <w:t xml:space="preserve"> interest at the rate of 10.50% from 20 June 2017 to date of payment.</w:t>
      </w:r>
    </w:p>
    <w:p w14:paraId="0859D66B" w14:textId="59A09D12" w:rsidR="00A02350" w:rsidRDefault="00A02350" w:rsidP="00A02350">
      <w:pPr>
        <w:pStyle w:val="1"/>
      </w:pPr>
      <w:r>
        <w:t xml:space="preserve">2.6 </w:t>
      </w:r>
      <w:r w:rsidR="009D2EB4">
        <w:t xml:space="preserve">on the amount </w:t>
      </w:r>
      <w:r>
        <w:t xml:space="preserve">R37 958.35 - </w:t>
      </w:r>
      <w:r w:rsidR="001F2711">
        <w:t xml:space="preserve">interest at the rate of 10.50% from </w:t>
      </w:r>
      <w:r>
        <w:t>20 July 2017</w:t>
      </w:r>
      <w:r w:rsidR="001F2711">
        <w:t xml:space="preserve"> to date of payment.</w:t>
      </w:r>
    </w:p>
    <w:p w14:paraId="798374A6" w14:textId="30A03CCE" w:rsidR="00A02350" w:rsidRDefault="00A02350" w:rsidP="00A02350">
      <w:pPr>
        <w:pStyle w:val="1"/>
      </w:pPr>
      <w:r>
        <w:t xml:space="preserve">2.7 </w:t>
      </w:r>
      <w:r w:rsidR="009D2EB4">
        <w:t xml:space="preserve">on the amount </w:t>
      </w:r>
      <w:r>
        <w:t xml:space="preserve">R41 569.08 - </w:t>
      </w:r>
      <w:r w:rsidR="001F2711">
        <w:t xml:space="preserve">interest at the rate of 10.50% from </w:t>
      </w:r>
      <w:r>
        <w:t>20 August 2017</w:t>
      </w:r>
      <w:r w:rsidR="001F2711">
        <w:t xml:space="preserve"> to date of payment.</w:t>
      </w:r>
    </w:p>
    <w:p w14:paraId="431F03D5" w14:textId="43CD0538" w:rsidR="00A02350" w:rsidRDefault="00A02350" w:rsidP="00A02350">
      <w:pPr>
        <w:pStyle w:val="1"/>
      </w:pPr>
      <w:r>
        <w:t xml:space="preserve">2.8 </w:t>
      </w:r>
      <w:r w:rsidR="009D2EB4">
        <w:t xml:space="preserve">on the amount </w:t>
      </w:r>
      <w:r>
        <w:t xml:space="preserve">R37 919.59 - </w:t>
      </w:r>
      <w:r w:rsidR="001F2711">
        <w:t xml:space="preserve">interest at the rate of 10.50% from </w:t>
      </w:r>
      <w:r>
        <w:t>20 September 2017</w:t>
      </w:r>
      <w:r w:rsidR="001F2711">
        <w:t xml:space="preserve"> to date of payment.</w:t>
      </w:r>
    </w:p>
    <w:p w14:paraId="17E2E237" w14:textId="3CD347C5" w:rsidR="00A02350" w:rsidRDefault="00A02350" w:rsidP="00A02350">
      <w:pPr>
        <w:pStyle w:val="1"/>
      </w:pPr>
      <w:r>
        <w:t xml:space="preserve">2.9 </w:t>
      </w:r>
      <w:r w:rsidR="009D2EB4">
        <w:t xml:space="preserve">on the amount </w:t>
      </w:r>
      <w:r>
        <w:t xml:space="preserve">R39 763.71 - </w:t>
      </w:r>
      <w:r w:rsidR="001F2711">
        <w:t xml:space="preserve">interest at the rate of 10.50% from </w:t>
      </w:r>
      <w:r>
        <w:t>20 October 2017</w:t>
      </w:r>
      <w:r w:rsidR="001F2711">
        <w:t xml:space="preserve"> to date of payment.</w:t>
      </w:r>
    </w:p>
    <w:p w14:paraId="0AEAEC9C" w14:textId="39EFA36C" w:rsidR="00A02350" w:rsidRDefault="00A02350" w:rsidP="00BD0D2E">
      <w:pPr>
        <w:pStyle w:val="1"/>
      </w:pPr>
      <w:r>
        <w:t xml:space="preserve">2.10 </w:t>
      </w:r>
      <w:r w:rsidR="009D2EB4">
        <w:t xml:space="preserve">on the amount </w:t>
      </w:r>
      <w:r>
        <w:t xml:space="preserve">R39 724.95 - </w:t>
      </w:r>
      <w:r w:rsidR="001F2711">
        <w:t xml:space="preserve">interest at the rate of 10.50% from </w:t>
      </w:r>
      <w:r>
        <w:t>20 November 2017</w:t>
      </w:r>
      <w:r w:rsidR="009D2EB4">
        <w:t xml:space="preserve"> to date of payment.</w:t>
      </w:r>
      <w:r w:rsidR="009D2EB4" w:rsidDel="00C97A3D">
        <w:t xml:space="preserve"> </w:t>
      </w:r>
      <w:r w:rsidR="00C10331">
        <w:t xml:space="preserve"> </w:t>
      </w:r>
    </w:p>
    <w:p w14:paraId="3523BB2E" w14:textId="395D26F9" w:rsidR="00C10331" w:rsidRDefault="00A02350" w:rsidP="00BD0D2E">
      <w:pPr>
        <w:pStyle w:val="1"/>
      </w:pPr>
      <w:r>
        <w:lastRenderedPageBreak/>
        <w:t xml:space="preserve">2.11 </w:t>
      </w:r>
      <w:r w:rsidR="00E57BFF">
        <w:t>o</w:t>
      </w:r>
      <w:r w:rsidR="00D80EEC">
        <w:t xml:space="preserve">n the amount </w:t>
      </w:r>
      <w:r w:rsidR="00C10331">
        <w:t xml:space="preserve">R37 958.40 </w:t>
      </w:r>
      <w:r w:rsidR="00D80EEC">
        <w:t>–</w:t>
      </w:r>
      <w:r w:rsidR="00C10331">
        <w:t xml:space="preserve"> interest at </w:t>
      </w:r>
      <w:r w:rsidR="009D2EB4">
        <w:t xml:space="preserve">the rate of </w:t>
      </w:r>
      <w:r w:rsidR="00C10331">
        <w:t>10.25% from 20 December 2017 to date of payment.</w:t>
      </w:r>
    </w:p>
    <w:p w14:paraId="36D0B259" w14:textId="21A36E99" w:rsidR="00C10331" w:rsidRDefault="00EE23A4" w:rsidP="00BD0D2E">
      <w:pPr>
        <w:pStyle w:val="1"/>
      </w:pPr>
      <w:r>
        <w:t>2.12</w:t>
      </w:r>
      <w:r w:rsidR="00C10331">
        <w:t xml:space="preserve"> </w:t>
      </w:r>
      <w:r w:rsidR="00E57BFF">
        <w:t>o</w:t>
      </w:r>
      <w:r w:rsidR="00D80EEC">
        <w:t xml:space="preserve">n the amount </w:t>
      </w:r>
      <w:r w:rsidR="00C10331">
        <w:t xml:space="preserve">R41 569.11 </w:t>
      </w:r>
      <w:r w:rsidR="000E1CBE">
        <w:t>–</w:t>
      </w:r>
      <w:r w:rsidR="00C10331">
        <w:t xml:space="preserve"> interest at </w:t>
      </w:r>
      <w:r w:rsidR="00BD0D2E">
        <w:t xml:space="preserve">the rate of </w:t>
      </w:r>
      <w:r w:rsidR="00C10331">
        <w:t>10.25% from 20 January 2018 to date of payment.</w:t>
      </w:r>
    </w:p>
    <w:p w14:paraId="7F56C39D" w14:textId="67B5465B" w:rsidR="00C10331" w:rsidRDefault="008D69CE" w:rsidP="00BD0D2E">
      <w:pPr>
        <w:pStyle w:val="1"/>
      </w:pPr>
      <w:r>
        <w:t>2</w:t>
      </w:r>
      <w:r w:rsidR="00F87838">
        <w:t>.</w:t>
      </w:r>
      <w:r w:rsidR="00EE23A4">
        <w:t>1</w:t>
      </w:r>
      <w:r w:rsidR="00C10331">
        <w:t xml:space="preserve">3 </w:t>
      </w:r>
      <w:r w:rsidR="00E57BFF">
        <w:t>o</w:t>
      </w:r>
      <w:r w:rsidR="00D80EEC">
        <w:t xml:space="preserve">n the amount </w:t>
      </w:r>
      <w:r w:rsidR="00C10331">
        <w:t xml:space="preserve">R36 090.71 </w:t>
      </w:r>
      <w:r w:rsidR="000E1CBE">
        <w:t>–</w:t>
      </w:r>
      <w:r w:rsidR="00C10331">
        <w:t xml:space="preserve"> interest at </w:t>
      </w:r>
      <w:r w:rsidR="00BD0D2E">
        <w:t xml:space="preserve">the rate of </w:t>
      </w:r>
      <w:r w:rsidR="00C10331">
        <w:t xml:space="preserve">10.25% from 20 February 2018 to date of payment. </w:t>
      </w:r>
    </w:p>
    <w:p w14:paraId="3E9B6295" w14:textId="2C2252B1" w:rsidR="00C10331" w:rsidRDefault="008D69CE" w:rsidP="00BD0D2E">
      <w:pPr>
        <w:pStyle w:val="1"/>
      </w:pPr>
      <w:r>
        <w:t>2</w:t>
      </w:r>
      <w:r w:rsidR="00C10331">
        <w:t>.</w:t>
      </w:r>
      <w:r w:rsidR="00EE23A4">
        <w:t>1</w:t>
      </w:r>
      <w:r w:rsidR="00C10331">
        <w:t xml:space="preserve">4 </w:t>
      </w:r>
      <w:r w:rsidR="00E57BFF">
        <w:t>o</w:t>
      </w:r>
      <w:r w:rsidR="00D80EEC">
        <w:t xml:space="preserve">n the amount </w:t>
      </w:r>
      <w:r w:rsidR="00C10331">
        <w:t xml:space="preserve">R38 442.02 </w:t>
      </w:r>
      <w:r w:rsidR="000E1CBE">
        <w:t>–</w:t>
      </w:r>
      <w:r w:rsidR="00C10331">
        <w:t xml:space="preserve"> interest at </w:t>
      </w:r>
      <w:r w:rsidR="00BD0D2E">
        <w:t xml:space="preserve">the rate of </w:t>
      </w:r>
      <w:r w:rsidR="00C10331">
        <w:t>10.25% from 20 March 2018 to date of payment.</w:t>
      </w:r>
    </w:p>
    <w:p w14:paraId="6A21D467" w14:textId="6989702E" w:rsidR="00C10331" w:rsidRDefault="008D69CE" w:rsidP="00BD0D2E">
      <w:pPr>
        <w:pStyle w:val="1"/>
      </w:pPr>
      <w:r>
        <w:t>2</w:t>
      </w:r>
      <w:r w:rsidR="00C10331">
        <w:t>.</w:t>
      </w:r>
      <w:r w:rsidR="00EE23A4">
        <w:t>1</w:t>
      </w:r>
      <w:r w:rsidR="00C10331">
        <w:t xml:space="preserve">5 </w:t>
      </w:r>
      <w:r w:rsidR="00E57BFF">
        <w:t>o</w:t>
      </w:r>
      <w:r w:rsidR="00D80EEC">
        <w:t xml:space="preserve">n the amount </w:t>
      </w:r>
      <w:r w:rsidR="00C10331">
        <w:t xml:space="preserve">R38 334.66 </w:t>
      </w:r>
      <w:r w:rsidR="000E1CBE">
        <w:t>–</w:t>
      </w:r>
      <w:r w:rsidR="00C10331">
        <w:t xml:space="preserve"> interest at </w:t>
      </w:r>
      <w:r w:rsidR="00BD0D2E">
        <w:t xml:space="preserve">the rate of </w:t>
      </w:r>
      <w:r w:rsidR="00C10331">
        <w:t>10.25% from 20 April 2018 to date of payment.</w:t>
      </w:r>
    </w:p>
    <w:p w14:paraId="2EDE714D" w14:textId="483139D2" w:rsidR="00C10331" w:rsidRDefault="008D69CE" w:rsidP="00BD0D2E">
      <w:pPr>
        <w:pStyle w:val="1"/>
      </w:pPr>
      <w:r>
        <w:t>2</w:t>
      </w:r>
      <w:r w:rsidR="00C10331">
        <w:t>.</w:t>
      </w:r>
      <w:r w:rsidR="00EE23A4">
        <w:t>1</w:t>
      </w:r>
      <w:r w:rsidR="00C10331">
        <w:t xml:space="preserve">6 </w:t>
      </w:r>
      <w:r w:rsidR="00E57BFF">
        <w:t>o</w:t>
      </w:r>
      <w:r w:rsidR="00D80EEC">
        <w:t xml:space="preserve">n the amount </w:t>
      </w:r>
      <w:r w:rsidR="00C10331">
        <w:t xml:space="preserve">R43 331.12 – interest at </w:t>
      </w:r>
      <w:r w:rsidR="00BD0D2E">
        <w:t xml:space="preserve">the rate of </w:t>
      </w:r>
      <w:r w:rsidR="00C10331">
        <w:t>10% from 20 May 2018 to date of payment.</w:t>
      </w:r>
    </w:p>
    <w:p w14:paraId="26AD5072" w14:textId="2C6C8521" w:rsidR="00C10331" w:rsidRDefault="008D69CE" w:rsidP="00BD0D2E">
      <w:pPr>
        <w:pStyle w:val="1"/>
      </w:pPr>
      <w:r>
        <w:t>2</w:t>
      </w:r>
      <w:r w:rsidR="00C10331">
        <w:t>.</w:t>
      </w:r>
      <w:r w:rsidR="00EE23A4">
        <w:t>1</w:t>
      </w:r>
      <w:r w:rsidR="00C10331">
        <w:t xml:space="preserve">7 </w:t>
      </w:r>
      <w:r w:rsidR="00E57BFF">
        <w:t>o</w:t>
      </w:r>
      <w:r w:rsidR="00D80EEC">
        <w:t xml:space="preserve">n the amount </w:t>
      </w:r>
      <w:r w:rsidR="00C10331">
        <w:t xml:space="preserve">R39 609.41 </w:t>
      </w:r>
      <w:r w:rsidR="000E1CBE">
        <w:t>–</w:t>
      </w:r>
      <w:r w:rsidR="00C10331">
        <w:t xml:space="preserve"> interest at </w:t>
      </w:r>
      <w:r w:rsidR="00BD0D2E">
        <w:t xml:space="preserve">the rate of </w:t>
      </w:r>
      <w:r w:rsidR="00C10331">
        <w:t>10% from 20 June 2018 to date of payment.</w:t>
      </w:r>
    </w:p>
    <w:p w14:paraId="61F3E51A" w14:textId="0615A1FC" w:rsidR="00C10331" w:rsidRDefault="00691C4E" w:rsidP="00BD0D2E">
      <w:pPr>
        <w:pStyle w:val="1"/>
      </w:pPr>
      <w:r>
        <w:t>2</w:t>
      </w:r>
      <w:r w:rsidR="00C10331">
        <w:t>.</w:t>
      </w:r>
      <w:r w:rsidR="00EE23A4">
        <w:t>1</w:t>
      </w:r>
      <w:r w:rsidR="00C10331">
        <w:t xml:space="preserve">8 </w:t>
      </w:r>
      <w:r w:rsidR="00E57BFF">
        <w:t>o</w:t>
      </w:r>
      <w:r w:rsidR="00D80EEC">
        <w:t xml:space="preserve">n the amount </w:t>
      </w:r>
      <w:r w:rsidR="00C10331">
        <w:t xml:space="preserve">R41 540.88 </w:t>
      </w:r>
      <w:r w:rsidR="000E1CBE">
        <w:t>–</w:t>
      </w:r>
      <w:r w:rsidR="00C10331">
        <w:t xml:space="preserve"> interest at </w:t>
      </w:r>
      <w:r w:rsidR="00BD0D2E">
        <w:t xml:space="preserve">the rate of </w:t>
      </w:r>
      <w:r w:rsidR="00C10331">
        <w:t>10% from 20 July 2018 to date of payment.</w:t>
      </w:r>
    </w:p>
    <w:p w14:paraId="64A8FF6B" w14:textId="1E8407E8" w:rsidR="00C10331" w:rsidRDefault="00691C4E" w:rsidP="00BD0D2E">
      <w:pPr>
        <w:pStyle w:val="1"/>
      </w:pPr>
      <w:r>
        <w:t>2</w:t>
      </w:r>
      <w:r w:rsidR="00C10331">
        <w:t>.</w:t>
      </w:r>
      <w:r w:rsidR="00EE23A4">
        <w:t>1</w:t>
      </w:r>
      <w:r w:rsidR="00C10331">
        <w:t xml:space="preserve">9 </w:t>
      </w:r>
      <w:r w:rsidR="00E57BFF">
        <w:t>o</w:t>
      </w:r>
      <w:r w:rsidR="00D80EEC">
        <w:t xml:space="preserve">n the amount </w:t>
      </w:r>
      <w:r w:rsidR="00C10331">
        <w:t xml:space="preserve">R43 307.95 </w:t>
      </w:r>
      <w:r w:rsidR="000E1CBE">
        <w:t>–</w:t>
      </w:r>
      <w:r w:rsidR="00C10331">
        <w:t xml:space="preserve"> interest at </w:t>
      </w:r>
      <w:r w:rsidR="00BD0D2E">
        <w:t xml:space="preserve">the rate of </w:t>
      </w:r>
      <w:r w:rsidR="00C10331">
        <w:t>10% from 20 August 2018 to date of payment.</w:t>
      </w:r>
    </w:p>
    <w:p w14:paraId="425B9811" w14:textId="3E6451B8" w:rsidR="00C10331" w:rsidRDefault="00691C4E" w:rsidP="00BD0D2E">
      <w:pPr>
        <w:pStyle w:val="1"/>
      </w:pPr>
      <w:r>
        <w:t>2</w:t>
      </w:r>
      <w:r w:rsidR="00C10331">
        <w:t>.</w:t>
      </w:r>
      <w:r w:rsidR="00EE23A4">
        <w:t>2</w:t>
      </w:r>
      <w:r w:rsidR="00C10331">
        <w:t xml:space="preserve">0 </w:t>
      </w:r>
      <w:r w:rsidR="00E57BFF">
        <w:t>o</w:t>
      </w:r>
      <w:r w:rsidR="00D80EEC">
        <w:t xml:space="preserve">n the amount </w:t>
      </w:r>
      <w:r w:rsidR="00C10331">
        <w:t xml:space="preserve">R37 842.33 </w:t>
      </w:r>
      <w:r w:rsidR="000E1CBE">
        <w:t>–</w:t>
      </w:r>
      <w:r w:rsidR="00C10331">
        <w:t xml:space="preserve"> interest at </w:t>
      </w:r>
      <w:r w:rsidR="00BD0D2E">
        <w:t xml:space="preserve">the rate of </w:t>
      </w:r>
      <w:r w:rsidR="00C10331">
        <w:t xml:space="preserve">10% from 20 September 2018 </w:t>
      </w:r>
      <w:r w:rsidR="00C10331">
        <w:lastRenderedPageBreak/>
        <w:t>to date of payment.</w:t>
      </w:r>
    </w:p>
    <w:p w14:paraId="4EE5A91B" w14:textId="54C3DFCE" w:rsidR="00C10331" w:rsidRDefault="00691C4E" w:rsidP="00BD0D2E">
      <w:pPr>
        <w:pStyle w:val="1"/>
      </w:pPr>
      <w:r>
        <w:t>2</w:t>
      </w:r>
      <w:r w:rsidR="00C10331">
        <w:t>.</w:t>
      </w:r>
      <w:r w:rsidR="00EE23A4">
        <w:t>2</w:t>
      </w:r>
      <w:r w:rsidR="00C10331">
        <w:t xml:space="preserve">1 </w:t>
      </w:r>
      <w:r w:rsidR="00E57BFF">
        <w:t>o</w:t>
      </w:r>
      <w:r w:rsidR="00D80EEC">
        <w:t xml:space="preserve">n the amount </w:t>
      </w:r>
      <w:r w:rsidR="00C10331">
        <w:t xml:space="preserve">R46 308.86 </w:t>
      </w:r>
      <w:r w:rsidR="000E1CBE">
        <w:t>–</w:t>
      </w:r>
      <w:r w:rsidR="00C10331">
        <w:t xml:space="preserve"> interest at </w:t>
      </w:r>
      <w:r w:rsidR="00BD0D2E">
        <w:t xml:space="preserve">the rate of </w:t>
      </w:r>
      <w:r w:rsidR="00C10331">
        <w:t>10% from 20 October 2018 to date of payment.</w:t>
      </w:r>
    </w:p>
    <w:p w14:paraId="5B953DFC" w14:textId="26D5C15E" w:rsidR="00C10331" w:rsidRDefault="00691C4E" w:rsidP="00BD0D2E">
      <w:pPr>
        <w:pStyle w:val="1"/>
      </w:pPr>
      <w:r>
        <w:t>2</w:t>
      </w:r>
      <w:r w:rsidR="00C10331">
        <w:t>.</w:t>
      </w:r>
      <w:r w:rsidR="00EE23A4">
        <w:t>2</w:t>
      </w:r>
      <w:r w:rsidR="00C10331">
        <w:t xml:space="preserve">2 </w:t>
      </w:r>
      <w:r w:rsidR="00E57BFF">
        <w:t>o</w:t>
      </w:r>
      <w:r w:rsidR="00D80EEC">
        <w:t xml:space="preserve">n the amount </w:t>
      </w:r>
      <w:r w:rsidR="00C10331">
        <w:t xml:space="preserve">R41 377.40 </w:t>
      </w:r>
      <w:r w:rsidR="000E1CBE">
        <w:t>–</w:t>
      </w:r>
      <w:r w:rsidR="00C10331">
        <w:t xml:space="preserve"> interest at </w:t>
      </w:r>
      <w:r w:rsidR="00BD0D2E">
        <w:t xml:space="preserve">the rate of </w:t>
      </w:r>
      <w:r w:rsidR="00C10331">
        <w:t>10% from 20 November 2018 to date of payment.</w:t>
      </w:r>
    </w:p>
    <w:p w14:paraId="0777C9D6" w14:textId="53FFA5B3" w:rsidR="00C10331" w:rsidRDefault="00691C4E" w:rsidP="00BD0D2E">
      <w:pPr>
        <w:pStyle w:val="1"/>
      </w:pPr>
      <w:r>
        <w:t>2</w:t>
      </w:r>
      <w:r w:rsidR="00C10331">
        <w:t>.</w:t>
      </w:r>
      <w:r w:rsidR="00EE23A4">
        <w:t>2</w:t>
      </w:r>
      <w:r w:rsidR="00C10331">
        <w:t xml:space="preserve">3 </w:t>
      </w:r>
      <w:r w:rsidR="00E57BFF">
        <w:t>o</w:t>
      </w:r>
      <w:r w:rsidR="00D80EEC">
        <w:t xml:space="preserve">n the amount </w:t>
      </w:r>
      <w:r w:rsidR="00C10331">
        <w:t xml:space="preserve">R39 774.68 </w:t>
      </w:r>
      <w:r w:rsidR="000E1CBE">
        <w:t>–</w:t>
      </w:r>
      <w:r w:rsidR="00C10331">
        <w:t xml:space="preserve"> interest at </w:t>
      </w:r>
      <w:r w:rsidR="00BD0D2E">
        <w:t xml:space="preserve">the rate of </w:t>
      </w:r>
      <w:r w:rsidR="00C10331">
        <w:t>10% from 20 December 2018 to date of payment.</w:t>
      </w:r>
    </w:p>
    <w:p w14:paraId="1986CFB1" w14:textId="29106F28" w:rsidR="00C10331" w:rsidRDefault="00691C4E" w:rsidP="00BD0D2E">
      <w:pPr>
        <w:pStyle w:val="1"/>
      </w:pPr>
      <w:r>
        <w:t>2</w:t>
      </w:r>
      <w:r w:rsidR="00C10331">
        <w:t>.</w:t>
      </w:r>
      <w:r w:rsidR="00EE23A4">
        <w:t>2</w:t>
      </w:r>
      <w:r w:rsidR="00C10331">
        <w:t xml:space="preserve">4 </w:t>
      </w:r>
      <w:r w:rsidR="00E57BFF">
        <w:t>o</w:t>
      </w:r>
      <w:r w:rsidR="00D80EEC">
        <w:t xml:space="preserve">n the amount </w:t>
      </w:r>
      <w:r w:rsidR="00C10331">
        <w:t xml:space="preserve">R43 308.86 – interest at </w:t>
      </w:r>
      <w:r w:rsidR="00BD0D2E">
        <w:t xml:space="preserve">the rate of </w:t>
      </w:r>
      <w:r w:rsidR="00C10331">
        <w:t>10.25% from 20 January 2019 to date of payment.</w:t>
      </w:r>
    </w:p>
    <w:p w14:paraId="63DA6E93" w14:textId="0066AC25" w:rsidR="00C10331" w:rsidRDefault="002E2CAE" w:rsidP="00BD0D2E">
      <w:pPr>
        <w:pStyle w:val="1"/>
      </w:pPr>
      <w:r>
        <w:t>2</w:t>
      </w:r>
      <w:r w:rsidR="00C10331">
        <w:t>.</w:t>
      </w:r>
      <w:r w:rsidR="00EE23A4">
        <w:t>2</w:t>
      </w:r>
      <w:r w:rsidR="00C10331">
        <w:t xml:space="preserve">5 </w:t>
      </w:r>
      <w:r w:rsidR="00E57BFF">
        <w:t>o</w:t>
      </w:r>
      <w:r w:rsidR="00D80EEC">
        <w:t xml:space="preserve">n the amount </w:t>
      </w:r>
      <w:r w:rsidR="00C10331">
        <w:t xml:space="preserve">R37 514.46 </w:t>
      </w:r>
      <w:r w:rsidR="000E1CBE">
        <w:t>–</w:t>
      </w:r>
      <w:r w:rsidR="00C10331">
        <w:t xml:space="preserve"> interest at </w:t>
      </w:r>
      <w:r w:rsidR="00BD0D2E">
        <w:t xml:space="preserve">the rate of </w:t>
      </w:r>
      <w:r w:rsidR="00C10331">
        <w:t>10.25% from 20 February 2019 to date of payment.</w:t>
      </w:r>
    </w:p>
    <w:p w14:paraId="4DD0DCDC" w14:textId="4BC2DA7C" w:rsidR="00C10331" w:rsidRDefault="002E2CAE" w:rsidP="00BD0D2E">
      <w:pPr>
        <w:pStyle w:val="1"/>
      </w:pPr>
      <w:r>
        <w:t>2</w:t>
      </w:r>
      <w:r w:rsidR="00C10331">
        <w:t>.</w:t>
      </w:r>
      <w:r w:rsidR="00EE23A4">
        <w:t>2</w:t>
      </w:r>
      <w:r w:rsidR="00C10331">
        <w:t xml:space="preserve">6 </w:t>
      </w:r>
      <w:r w:rsidR="00E57BFF">
        <w:t>o</w:t>
      </w:r>
      <w:r w:rsidR="00D80EEC">
        <w:t xml:space="preserve">n the amount </w:t>
      </w:r>
      <w:r w:rsidR="00C10331">
        <w:t xml:space="preserve">R37 776.27 </w:t>
      </w:r>
      <w:r w:rsidR="000E1CBE">
        <w:t>–</w:t>
      </w:r>
      <w:r w:rsidR="00C10331" w:rsidRPr="00DC26B0">
        <w:t xml:space="preserve"> </w:t>
      </w:r>
      <w:r w:rsidR="00C10331">
        <w:t xml:space="preserve">interest at </w:t>
      </w:r>
      <w:r w:rsidR="00BD0D2E">
        <w:t xml:space="preserve">the rate of </w:t>
      </w:r>
      <w:r w:rsidR="00C10331">
        <w:t>10.25% from 20 March 2019 to date of payment.</w:t>
      </w:r>
    </w:p>
    <w:p w14:paraId="60B5CD7F" w14:textId="0D44A084" w:rsidR="00C10331" w:rsidRPr="00DE76C3" w:rsidRDefault="001D4ACE" w:rsidP="00C10331">
      <w:pPr>
        <w:pStyle w:val="1"/>
      </w:pPr>
      <w:r>
        <w:t>3</w:t>
      </w:r>
      <w:r w:rsidR="00C10331">
        <w:t>. The defendant is to pay costs as between party and party.</w:t>
      </w:r>
    </w:p>
    <w:p w14:paraId="4ADF5F05" w14:textId="64D12705" w:rsidR="00C10331" w:rsidRPr="00C65C66" w:rsidRDefault="00C10331" w:rsidP="002E2CAE">
      <w:pPr>
        <w:pStyle w:val="1"/>
      </w:pPr>
      <w:r w:rsidRPr="00DE76C3">
        <w:tab/>
      </w:r>
      <w:r w:rsidRPr="00DE76C3">
        <w:tab/>
      </w:r>
      <w:r w:rsidRPr="00DE76C3">
        <w:tab/>
      </w:r>
    </w:p>
    <w:p w14:paraId="764D12FD" w14:textId="77777777" w:rsidR="00C10331" w:rsidRPr="00C65C66" w:rsidRDefault="00C10331" w:rsidP="00C10331">
      <w:pPr>
        <w:pStyle w:val="1"/>
        <w:ind w:left="1134"/>
        <w:jc w:val="right"/>
        <w:rPr>
          <w:b/>
          <w:u w:val="single"/>
        </w:rPr>
      </w:pPr>
      <w:r w:rsidRPr="00DE76C3">
        <w:tab/>
      </w:r>
      <w:r w:rsidRPr="00DE76C3">
        <w:tab/>
      </w:r>
      <w:r w:rsidRPr="00DE76C3">
        <w:tab/>
      </w:r>
      <w:r w:rsidRPr="00DE76C3">
        <w:tab/>
      </w:r>
      <w:r w:rsidRPr="00DE76C3">
        <w:tab/>
      </w:r>
      <w:r w:rsidRPr="00DE76C3">
        <w:tab/>
      </w:r>
      <w:r w:rsidRPr="00DE76C3">
        <w:tab/>
      </w:r>
      <w:r>
        <w:t xml:space="preserve">   </w:t>
      </w:r>
      <w:r w:rsidRPr="00C65C66">
        <w:rPr>
          <w:b/>
          <w:u w:val="single"/>
        </w:rPr>
        <w:tab/>
      </w:r>
      <w:r w:rsidRPr="00C65C66">
        <w:rPr>
          <w:b/>
          <w:u w:val="single"/>
        </w:rPr>
        <w:tab/>
      </w:r>
      <w:r w:rsidRPr="00C65C66">
        <w:rPr>
          <w:b/>
          <w:u w:val="single"/>
        </w:rPr>
        <w:tab/>
      </w:r>
      <w:r w:rsidRPr="00C65C66">
        <w:rPr>
          <w:b/>
          <w:u w:val="single"/>
        </w:rPr>
        <w:tab/>
      </w:r>
    </w:p>
    <w:p w14:paraId="05DE5B64" w14:textId="77777777" w:rsidR="00C10331" w:rsidRDefault="00C10331" w:rsidP="00BD0D2E">
      <w:pPr>
        <w:pStyle w:val="1"/>
        <w:spacing w:before="0" w:line="360" w:lineRule="auto"/>
        <w:jc w:val="right"/>
        <w:rPr>
          <w:b/>
        </w:rPr>
      </w:pPr>
      <w:r w:rsidRPr="00DE76C3">
        <w:rPr>
          <w:b/>
        </w:rPr>
        <w:t>MS BALOYI</w:t>
      </w:r>
    </w:p>
    <w:p w14:paraId="3E64B8F6" w14:textId="77777777" w:rsidR="00C10331" w:rsidRDefault="00C10331" w:rsidP="00BD0D2E">
      <w:pPr>
        <w:pStyle w:val="1"/>
        <w:spacing w:before="0" w:line="360" w:lineRule="auto"/>
        <w:jc w:val="right"/>
        <w:rPr>
          <w:b/>
        </w:rPr>
      </w:pPr>
      <w:r>
        <w:rPr>
          <w:b/>
        </w:rPr>
        <w:t xml:space="preserve">ACTING JUDGE </w:t>
      </w:r>
    </w:p>
    <w:p w14:paraId="7C0A2F24" w14:textId="77777777" w:rsidR="00C10331" w:rsidRDefault="00C10331" w:rsidP="00BD0D2E">
      <w:pPr>
        <w:pStyle w:val="1"/>
        <w:spacing w:before="0" w:line="360" w:lineRule="auto"/>
        <w:jc w:val="right"/>
        <w:rPr>
          <w:b/>
        </w:rPr>
      </w:pPr>
    </w:p>
    <w:p w14:paraId="25E77929" w14:textId="4AB384F3" w:rsidR="00C10331" w:rsidRPr="00DE76C3" w:rsidRDefault="00C10331" w:rsidP="00C10331">
      <w:pPr>
        <w:pStyle w:val="1"/>
      </w:pPr>
      <w:r w:rsidRPr="00DE76C3">
        <w:t xml:space="preserve">Date of Hearing: </w:t>
      </w:r>
      <w:r>
        <w:t xml:space="preserve">  </w:t>
      </w:r>
      <w:r w:rsidR="000E1CBE">
        <w:t xml:space="preserve">11 </w:t>
      </w:r>
      <w:r>
        <w:t>November 2021</w:t>
      </w:r>
    </w:p>
    <w:p w14:paraId="3C1FE439" w14:textId="7E4C0EEC" w:rsidR="00C10331" w:rsidRPr="00DE76C3" w:rsidRDefault="00C10331" w:rsidP="00C10331">
      <w:pPr>
        <w:pStyle w:val="1"/>
      </w:pPr>
      <w:r w:rsidRPr="00DE76C3">
        <w:lastRenderedPageBreak/>
        <w:t xml:space="preserve">Judgment Delivered: </w:t>
      </w:r>
      <w:r w:rsidR="000E1CBE">
        <w:t>30 May 2022</w:t>
      </w:r>
    </w:p>
    <w:p w14:paraId="2E833FBE" w14:textId="77777777" w:rsidR="00C10331" w:rsidRPr="00DE76C3" w:rsidRDefault="00C10331" w:rsidP="00C10331">
      <w:pPr>
        <w:pStyle w:val="1"/>
      </w:pPr>
    </w:p>
    <w:p w14:paraId="7C31181D" w14:textId="217CC13D" w:rsidR="00C10331" w:rsidRPr="00DE76C3" w:rsidRDefault="00C10331" w:rsidP="00C10331">
      <w:pPr>
        <w:pStyle w:val="1"/>
      </w:pPr>
      <w:r w:rsidRPr="00DE76C3">
        <w:t>APPEARANCES</w:t>
      </w:r>
      <w:r w:rsidR="00D80EEC">
        <w:t>:</w:t>
      </w:r>
    </w:p>
    <w:p w14:paraId="0277044E" w14:textId="4BC9CA34" w:rsidR="00C10331" w:rsidRPr="00DE76C3" w:rsidRDefault="00C10331" w:rsidP="00C10331">
      <w:pPr>
        <w:pStyle w:val="1"/>
      </w:pPr>
      <w:r w:rsidRPr="00DE76C3">
        <w:t xml:space="preserve">For the Plaintiff: </w:t>
      </w:r>
      <w:r w:rsidRPr="00DE76C3">
        <w:tab/>
      </w:r>
      <w:r>
        <w:t xml:space="preserve">                                                                      Adv E Kromhout</w:t>
      </w:r>
      <w:r w:rsidRPr="00DE76C3">
        <w:tab/>
      </w:r>
    </w:p>
    <w:p w14:paraId="1CD89EC6" w14:textId="003F39AE" w:rsidR="002E2CAE" w:rsidRDefault="00C10331" w:rsidP="002E2CAE">
      <w:pPr>
        <w:pStyle w:val="1"/>
      </w:pPr>
      <w:r w:rsidRPr="00DE76C3">
        <w:t xml:space="preserve">Instructed by: </w:t>
      </w:r>
      <w:r w:rsidRPr="00DE76C3">
        <w:tab/>
      </w:r>
      <w:r>
        <w:t xml:space="preserve">                                                      Lowndes Dlamini Inc </w:t>
      </w:r>
      <w:r w:rsidRPr="00DE76C3">
        <w:t>Attorneys</w:t>
      </w:r>
    </w:p>
    <w:p w14:paraId="5909704A" w14:textId="1494897A" w:rsidR="00C10331" w:rsidRPr="00DE76C3" w:rsidRDefault="00C10331" w:rsidP="00C10331">
      <w:pPr>
        <w:pStyle w:val="1"/>
      </w:pPr>
      <w:r w:rsidRPr="00DE76C3">
        <w:t xml:space="preserve">For the Defendant: </w:t>
      </w:r>
      <w:r>
        <w:t xml:space="preserve">                                                                  Adv MS Patel</w:t>
      </w:r>
      <w:r w:rsidRPr="00DE76C3">
        <w:t xml:space="preserve"> </w:t>
      </w:r>
      <w:r w:rsidRPr="00DE76C3">
        <w:tab/>
      </w:r>
    </w:p>
    <w:p w14:paraId="5A25B686" w14:textId="77777777" w:rsidR="00C10331" w:rsidRDefault="00C10331" w:rsidP="00C10331">
      <w:pPr>
        <w:pStyle w:val="1"/>
      </w:pPr>
      <w:r w:rsidRPr="00DE76C3">
        <w:t xml:space="preserve">Instructed by: </w:t>
      </w:r>
      <w:r w:rsidRPr="00DE76C3">
        <w:tab/>
      </w:r>
      <w:r>
        <w:t xml:space="preserve">                                                                   Ameen Attorneys</w:t>
      </w:r>
    </w:p>
    <w:p w14:paraId="73D8253E" w14:textId="77777777" w:rsidR="00C10331" w:rsidRPr="00DE76C3" w:rsidRDefault="00C10331" w:rsidP="00C10331">
      <w:pPr>
        <w:pStyle w:val="1"/>
      </w:pPr>
      <w:r>
        <w:tab/>
      </w:r>
      <w:r>
        <w:tab/>
      </w:r>
      <w:r>
        <w:tab/>
      </w:r>
    </w:p>
    <w:p w14:paraId="4619B150" w14:textId="77777777" w:rsidR="00C10331" w:rsidRPr="00DE76C3" w:rsidRDefault="00C10331" w:rsidP="00C10331">
      <w:pPr>
        <w:pStyle w:val="1"/>
      </w:pPr>
      <w:r w:rsidRPr="00DE76C3">
        <w:tab/>
      </w:r>
      <w:r w:rsidRPr="00DE76C3">
        <w:tab/>
      </w:r>
    </w:p>
    <w:p w14:paraId="62B41237" w14:textId="77777777" w:rsidR="00C10331" w:rsidRDefault="00C10331" w:rsidP="00C10331">
      <w:pPr>
        <w:pStyle w:val="1"/>
        <w:rPr>
          <w:sz w:val="25"/>
          <w:szCs w:val="25"/>
        </w:rPr>
      </w:pPr>
      <w:r w:rsidRPr="00F659A1">
        <w:rPr>
          <w:sz w:val="25"/>
          <w:szCs w:val="25"/>
        </w:rPr>
        <w:tab/>
      </w:r>
      <w:r w:rsidRPr="00F659A1">
        <w:rPr>
          <w:sz w:val="25"/>
          <w:szCs w:val="25"/>
        </w:rPr>
        <w:tab/>
      </w:r>
      <w:r w:rsidRPr="00F659A1">
        <w:rPr>
          <w:sz w:val="25"/>
          <w:szCs w:val="25"/>
        </w:rPr>
        <w:tab/>
      </w:r>
      <w:r w:rsidRPr="00F659A1">
        <w:rPr>
          <w:sz w:val="25"/>
          <w:szCs w:val="25"/>
        </w:rPr>
        <w:tab/>
      </w:r>
      <w:r w:rsidRPr="00F659A1">
        <w:rPr>
          <w:sz w:val="25"/>
          <w:szCs w:val="25"/>
        </w:rPr>
        <w:tab/>
      </w:r>
    </w:p>
    <w:p w14:paraId="312BC51D" w14:textId="77777777" w:rsidR="00C10331" w:rsidRPr="00F659A1" w:rsidRDefault="00C10331" w:rsidP="00C10331">
      <w:pPr>
        <w:pStyle w:val="1"/>
        <w:rPr>
          <w:sz w:val="25"/>
          <w:szCs w:val="25"/>
        </w:rPr>
      </w:pPr>
    </w:p>
    <w:p w14:paraId="7735AA0C" w14:textId="77777777" w:rsidR="00E66E33" w:rsidRDefault="00E66E33" w:rsidP="00C10331">
      <w:pPr>
        <w:pStyle w:val="1"/>
      </w:pPr>
    </w:p>
    <w:sectPr w:rsidR="00E66E33" w:rsidSect="00BD0D2E">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1FA08" w14:textId="77777777" w:rsidR="00FD4A9F" w:rsidRDefault="00FD4A9F" w:rsidP="00176ABD">
      <w:pPr>
        <w:spacing w:after="0" w:line="240" w:lineRule="auto"/>
      </w:pPr>
      <w:r>
        <w:separator/>
      </w:r>
    </w:p>
  </w:endnote>
  <w:endnote w:type="continuationSeparator" w:id="0">
    <w:p w14:paraId="22ACF806" w14:textId="77777777" w:rsidR="00FD4A9F" w:rsidRDefault="00FD4A9F" w:rsidP="0017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14755738"/>
      <w:docPartObj>
        <w:docPartGallery w:val="Page Numbers (Bottom of Page)"/>
        <w:docPartUnique/>
      </w:docPartObj>
    </w:sdtPr>
    <w:sdtEndPr>
      <w:rPr>
        <w:rStyle w:val="PageNumber"/>
      </w:rPr>
    </w:sdtEndPr>
    <w:sdtContent>
      <w:p w14:paraId="59332154" w14:textId="227CC218" w:rsidR="00F30F2B" w:rsidRDefault="00F30F2B" w:rsidP="00566C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D09D66" w14:textId="77777777" w:rsidR="00F30F2B" w:rsidRDefault="00F30F2B" w:rsidP="00BD0D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48656834"/>
      <w:docPartObj>
        <w:docPartGallery w:val="Page Numbers (Bottom of Page)"/>
        <w:docPartUnique/>
      </w:docPartObj>
    </w:sdtPr>
    <w:sdtEndPr>
      <w:rPr>
        <w:rStyle w:val="PageNumber"/>
      </w:rPr>
    </w:sdtEndPr>
    <w:sdtContent>
      <w:p w14:paraId="3D8C3409" w14:textId="024404D5" w:rsidR="00F30F2B" w:rsidRDefault="00F30F2B" w:rsidP="00566C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328A">
          <w:rPr>
            <w:rStyle w:val="PageNumber"/>
            <w:noProof/>
          </w:rPr>
          <w:t>20</w:t>
        </w:r>
        <w:r>
          <w:rPr>
            <w:rStyle w:val="PageNumber"/>
          </w:rPr>
          <w:fldChar w:fldCharType="end"/>
        </w:r>
      </w:p>
    </w:sdtContent>
  </w:sdt>
  <w:p w14:paraId="75078BD4" w14:textId="77777777" w:rsidR="00F30F2B" w:rsidRDefault="00F30F2B" w:rsidP="00BD0D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74C60" w14:textId="77777777" w:rsidR="00FD4A9F" w:rsidRDefault="00FD4A9F" w:rsidP="00176ABD">
      <w:pPr>
        <w:spacing w:after="0" w:line="240" w:lineRule="auto"/>
      </w:pPr>
      <w:r>
        <w:separator/>
      </w:r>
    </w:p>
  </w:footnote>
  <w:footnote w:type="continuationSeparator" w:id="0">
    <w:p w14:paraId="2494BD58" w14:textId="77777777" w:rsidR="00FD4A9F" w:rsidRDefault="00FD4A9F" w:rsidP="00176ABD">
      <w:pPr>
        <w:spacing w:after="0" w:line="240" w:lineRule="auto"/>
      </w:pPr>
      <w:r>
        <w:continuationSeparator/>
      </w:r>
    </w:p>
  </w:footnote>
  <w:footnote w:id="1">
    <w:p w14:paraId="3DEF693E" w14:textId="055249C7" w:rsidR="00176ABD" w:rsidRPr="00BD0D2E" w:rsidRDefault="00176ABD" w:rsidP="00BD0D2E">
      <w:pPr>
        <w:pStyle w:val="FootnoteText"/>
        <w:ind w:left="0"/>
        <w:rPr>
          <w:lang w:val="en-US"/>
        </w:rPr>
      </w:pPr>
      <w:r>
        <w:rPr>
          <w:rStyle w:val="FootnoteReference"/>
        </w:rPr>
        <w:footnoteRef/>
      </w:r>
      <w:r>
        <w:t xml:space="preserve"> The </w:t>
      </w:r>
      <w:r w:rsidRPr="000D6DF6">
        <w:rPr>
          <w:i/>
        </w:rPr>
        <w:t>indebiti</w:t>
      </w:r>
      <w:r>
        <w:t xml:space="preserve"> amounts are set out in </w:t>
      </w:r>
      <w:r w:rsidR="008A674A">
        <w:t xml:space="preserve">an </w:t>
      </w:r>
      <w:r>
        <w:t xml:space="preserve">annexure to the </w:t>
      </w:r>
      <w:r w:rsidR="008A674A">
        <w:t xml:space="preserve">plaintiff’s </w:t>
      </w:r>
      <w:r>
        <w:t xml:space="preserve">particulars of claim which also reflects the gross amounts and deductions resulting in the nett amounts </w:t>
      </w:r>
      <w:r w:rsidR="008A674A">
        <w:t xml:space="preserve">paid and </w:t>
      </w:r>
      <w:r>
        <w:t xml:space="preserve">which make up the </w:t>
      </w:r>
      <w:r w:rsidRPr="00655B19">
        <w:rPr>
          <w:i/>
        </w:rPr>
        <w:t>indebiti</w:t>
      </w:r>
      <w:r>
        <w:t xml:space="preserve"> payments.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27D846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C32EAB"/>
    <w:multiLevelType w:val="multilevel"/>
    <w:tmpl w:val="9A900D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31"/>
    <w:rsid w:val="00002524"/>
    <w:rsid w:val="000029A4"/>
    <w:rsid w:val="000033B3"/>
    <w:rsid w:val="00005D51"/>
    <w:rsid w:val="00006D75"/>
    <w:rsid w:val="000072B1"/>
    <w:rsid w:val="000113FF"/>
    <w:rsid w:val="000239F3"/>
    <w:rsid w:val="00025BFA"/>
    <w:rsid w:val="000268FE"/>
    <w:rsid w:val="00030E7F"/>
    <w:rsid w:val="0004559E"/>
    <w:rsid w:val="000503EC"/>
    <w:rsid w:val="00053576"/>
    <w:rsid w:val="00061524"/>
    <w:rsid w:val="00072859"/>
    <w:rsid w:val="00074269"/>
    <w:rsid w:val="0008007B"/>
    <w:rsid w:val="00081516"/>
    <w:rsid w:val="00084F95"/>
    <w:rsid w:val="000851F8"/>
    <w:rsid w:val="00093A0C"/>
    <w:rsid w:val="000969B8"/>
    <w:rsid w:val="00096EC9"/>
    <w:rsid w:val="000A56E6"/>
    <w:rsid w:val="000C737B"/>
    <w:rsid w:val="000D40DB"/>
    <w:rsid w:val="000D5BE0"/>
    <w:rsid w:val="000D672F"/>
    <w:rsid w:val="000E1CBE"/>
    <w:rsid w:val="000E4B6B"/>
    <w:rsid w:val="00103873"/>
    <w:rsid w:val="0010665D"/>
    <w:rsid w:val="00111319"/>
    <w:rsid w:val="00113A5A"/>
    <w:rsid w:val="00116767"/>
    <w:rsid w:val="001219C3"/>
    <w:rsid w:val="00121BBD"/>
    <w:rsid w:val="00127947"/>
    <w:rsid w:val="00133109"/>
    <w:rsid w:val="0014178E"/>
    <w:rsid w:val="001458F6"/>
    <w:rsid w:val="00147EB7"/>
    <w:rsid w:val="00155165"/>
    <w:rsid w:val="00157477"/>
    <w:rsid w:val="00160660"/>
    <w:rsid w:val="00170810"/>
    <w:rsid w:val="0017392A"/>
    <w:rsid w:val="00175495"/>
    <w:rsid w:val="001758B2"/>
    <w:rsid w:val="00176ABD"/>
    <w:rsid w:val="00177258"/>
    <w:rsid w:val="00190BCD"/>
    <w:rsid w:val="00192978"/>
    <w:rsid w:val="0019519F"/>
    <w:rsid w:val="001A0B1F"/>
    <w:rsid w:val="001A404D"/>
    <w:rsid w:val="001A46CD"/>
    <w:rsid w:val="001A5D60"/>
    <w:rsid w:val="001A78FA"/>
    <w:rsid w:val="001B267D"/>
    <w:rsid w:val="001B2851"/>
    <w:rsid w:val="001B2F78"/>
    <w:rsid w:val="001B4143"/>
    <w:rsid w:val="001C0056"/>
    <w:rsid w:val="001C45D1"/>
    <w:rsid w:val="001D2442"/>
    <w:rsid w:val="001D3DC2"/>
    <w:rsid w:val="001D4ACE"/>
    <w:rsid w:val="001D6F41"/>
    <w:rsid w:val="001E0D04"/>
    <w:rsid w:val="001E34C0"/>
    <w:rsid w:val="001E48E8"/>
    <w:rsid w:val="001E4C21"/>
    <w:rsid w:val="001E5AE5"/>
    <w:rsid w:val="001F081C"/>
    <w:rsid w:val="001F135C"/>
    <w:rsid w:val="001F2711"/>
    <w:rsid w:val="00210595"/>
    <w:rsid w:val="00210711"/>
    <w:rsid w:val="00212703"/>
    <w:rsid w:val="0021520C"/>
    <w:rsid w:val="00220D4D"/>
    <w:rsid w:val="002247A6"/>
    <w:rsid w:val="00230EA7"/>
    <w:rsid w:val="00241BE3"/>
    <w:rsid w:val="00252BEE"/>
    <w:rsid w:val="002568DE"/>
    <w:rsid w:val="00260065"/>
    <w:rsid w:val="00263FA9"/>
    <w:rsid w:val="00264C21"/>
    <w:rsid w:val="002654C9"/>
    <w:rsid w:val="002714EB"/>
    <w:rsid w:val="002742F6"/>
    <w:rsid w:val="00274331"/>
    <w:rsid w:val="00276EBA"/>
    <w:rsid w:val="002829C2"/>
    <w:rsid w:val="00286E37"/>
    <w:rsid w:val="00287877"/>
    <w:rsid w:val="002922B3"/>
    <w:rsid w:val="00293223"/>
    <w:rsid w:val="00295387"/>
    <w:rsid w:val="002B3831"/>
    <w:rsid w:val="002B3CC1"/>
    <w:rsid w:val="002B7732"/>
    <w:rsid w:val="002C0C25"/>
    <w:rsid w:val="002C1664"/>
    <w:rsid w:val="002D2643"/>
    <w:rsid w:val="002D45CA"/>
    <w:rsid w:val="002D586C"/>
    <w:rsid w:val="002E0CE9"/>
    <w:rsid w:val="002E2CAE"/>
    <w:rsid w:val="002E5516"/>
    <w:rsid w:val="002E697D"/>
    <w:rsid w:val="002E7DA5"/>
    <w:rsid w:val="002F36F6"/>
    <w:rsid w:val="0030108C"/>
    <w:rsid w:val="00304275"/>
    <w:rsid w:val="003048D5"/>
    <w:rsid w:val="00330A53"/>
    <w:rsid w:val="00331237"/>
    <w:rsid w:val="00334B16"/>
    <w:rsid w:val="00336911"/>
    <w:rsid w:val="0034317D"/>
    <w:rsid w:val="00354CED"/>
    <w:rsid w:val="003570FD"/>
    <w:rsid w:val="00363C03"/>
    <w:rsid w:val="00363E43"/>
    <w:rsid w:val="00366422"/>
    <w:rsid w:val="003736A2"/>
    <w:rsid w:val="00382584"/>
    <w:rsid w:val="00384E45"/>
    <w:rsid w:val="0038531F"/>
    <w:rsid w:val="00387DF1"/>
    <w:rsid w:val="003933D6"/>
    <w:rsid w:val="003A1747"/>
    <w:rsid w:val="003A4BB0"/>
    <w:rsid w:val="003B374A"/>
    <w:rsid w:val="003D4CE1"/>
    <w:rsid w:val="003D6E59"/>
    <w:rsid w:val="003E0D9B"/>
    <w:rsid w:val="003E490C"/>
    <w:rsid w:val="003E721B"/>
    <w:rsid w:val="003F737A"/>
    <w:rsid w:val="00401084"/>
    <w:rsid w:val="00401DBB"/>
    <w:rsid w:val="00410FE9"/>
    <w:rsid w:val="004226A7"/>
    <w:rsid w:val="004234D5"/>
    <w:rsid w:val="00424A95"/>
    <w:rsid w:val="00430A4D"/>
    <w:rsid w:val="00432034"/>
    <w:rsid w:val="004320F6"/>
    <w:rsid w:val="00432299"/>
    <w:rsid w:val="00444C5E"/>
    <w:rsid w:val="004460B0"/>
    <w:rsid w:val="0045065A"/>
    <w:rsid w:val="00451738"/>
    <w:rsid w:val="004533AB"/>
    <w:rsid w:val="004540CD"/>
    <w:rsid w:val="00473D9A"/>
    <w:rsid w:val="00476946"/>
    <w:rsid w:val="00480265"/>
    <w:rsid w:val="00487385"/>
    <w:rsid w:val="00494D42"/>
    <w:rsid w:val="004A0D62"/>
    <w:rsid w:val="004B5B11"/>
    <w:rsid w:val="004C5CD5"/>
    <w:rsid w:val="004D11D3"/>
    <w:rsid w:val="004D176C"/>
    <w:rsid w:val="004D31E2"/>
    <w:rsid w:val="004D3522"/>
    <w:rsid w:val="004E0BB0"/>
    <w:rsid w:val="004E2B35"/>
    <w:rsid w:val="004E3ED5"/>
    <w:rsid w:val="004E4989"/>
    <w:rsid w:val="004F22D9"/>
    <w:rsid w:val="00500ED5"/>
    <w:rsid w:val="0050119C"/>
    <w:rsid w:val="00503D8C"/>
    <w:rsid w:val="00505592"/>
    <w:rsid w:val="005055F3"/>
    <w:rsid w:val="00506CE2"/>
    <w:rsid w:val="005104A2"/>
    <w:rsid w:val="00514016"/>
    <w:rsid w:val="00514906"/>
    <w:rsid w:val="00543E78"/>
    <w:rsid w:val="00545599"/>
    <w:rsid w:val="0055589D"/>
    <w:rsid w:val="00573E7E"/>
    <w:rsid w:val="00575DAD"/>
    <w:rsid w:val="00577DE6"/>
    <w:rsid w:val="00586170"/>
    <w:rsid w:val="005871DD"/>
    <w:rsid w:val="00595DEC"/>
    <w:rsid w:val="0059640B"/>
    <w:rsid w:val="005970A0"/>
    <w:rsid w:val="0059739B"/>
    <w:rsid w:val="005A2AAE"/>
    <w:rsid w:val="005C0BF9"/>
    <w:rsid w:val="005C7C04"/>
    <w:rsid w:val="005D33A7"/>
    <w:rsid w:val="005D7F0D"/>
    <w:rsid w:val="00603398"/>
    <w:rsid w:val="00604A86"/>
    <w:rsid w:val="00604D79"/>
    <w:rsid w:val="00611BFE"/>
    <w:rsid w:val="00614AEB"/>
    <w:rsid w:val="00644729"/>
    <w:rsid w:val="00645677"/>
    <w:rsid w:val="0064624B"/>
    <w:rsid w:val="00647834"/>
    <w:rsid w:val="00650105"/>
    <w:rsid w:val="00651160"/>
    <w:rsid w:val="006669DE"/>
    <w:rsid w:val="006748D4"/>
    <w:rsid w:val="00683101"/>
    <w:rsid w:val="00685FF5"/>
    <w:rsid w:val="00691C4E"/>
    <w:rsid w:val="00694804"/>
    <w:rsid w:val="00696FAA"/>
    <w:rsid w:val="006A10A1"/>
    <w:rsid w:val="006A25B4"/>
    <w:rsid w:val="006A328A"/>
    <w:rsid w:val="006A5875"/>
    <w:rsid w:val="006A5C93"/>
    <w:rsid w:val="006A6750"/>
    <w:rsid w:val="006B23FA"/>
    <w:rsid w:val="006B3211"/>
    <w:rsid w:val="006B3304"/>
    <w:rsid w:val="006B7C3F"/>
    <w:rsid w:val="006C1318"/>
    <w:rsid w:val="006C4FBE"/>
    <w:rsid w:val="006C5174"/>
    <w:rsid w:val="006C5456"/>
    <w:rsid w:val="006E6B59"/>
    <w:rsid w:val="006F045B"/>
    <w:rsid w:val="006F70CE"/>
    <w:rsid w:val="00700EF1"/>
    <w:rsid w:val="00707D1D"/>
    <w:rsid w:val="00713F45"/>
    <w:rsid w:val="0071413C"/>
    <w:rsid w:val="00720695"/>
    <w:rsid w:val="00722245"/>
    <w:rsid w:val="00725E5D"/>
    <w:rsid w:val="00731E05"/>
    <w:rsid w:val="0073247A"/>
    <w:rsid w:val="0073274D"/>
    <w:rsid w:val="007331BD"/>
    <w:rsid w:val="0073468B"/>
    <w:rsid w:val="00740297"/>
    <w:rsid w:val="00744CA0"/>
    <w:rsid w:val="00746FE8"/>
    <w:rsid w:val="007474DF"/>
    <w:rsid w:val="007479BE"/>
    <w:rsid w:val="007626ED"/>
    <w:rsid w:val="00764E80"/>
    <w:rsid w:val="00765D03"/>
    <w:rsid w:val="0076649B"/>
    <w:rsid w:val="007763C6"/>
    <w:rsid w:val="00780347"/>
    <w:rsid w:val="00782BD3"/>
    <w:rsid w:val="00783DE7"/>
    <w:rsid w:val="0078418D"/>
    <w:rsid w:val="00785888"/>
    <w:rsid w:val="0079078F"/>
    <w:rsid w:val="00790A0D"/>
    <w:rsid w:val="007924F5"/>
    <w:rsid w:val="0079401A"/>
    <w:rsid w:val="007A5E19"/>
    <w:rsid w:val="007B1542"/>
    <w:rsid w:val="007D4640"/>
    <w:rsid w:val="007D5F02"/>
    <w:rsid w:val="007E2629"/>
    <w:rsid w:val="007E767E"/>
    <w:rsid w:val="007F54AD"/>
    <w:rsid w:val="00802E17"/>
    <w:rsid w:val="00802E3D"/>
    <w:rsid w:val="00810DD1"/>
    <w:rsid w:val="008123B7"/>
    <w:rsid w:val="0081645F"/>
    <w:rsid w:val="0082443D"/>
    <w:rsid w:val="00824D93"/>
    <w:rsid w:val="0082521E"/>
    <w:rsid w:val="00830840"/>
    <w:rsid w:val="0083140D"/>
    <w:rsid w:val="00833F92"/>
    <w:rsid w:val="00835C6F"/>
    <w:rsid w:val="00837DEF"/>
    <w:rsid w:val="0084164B"/>
    <w:rsid w:val="00864B9D"/>
    <w:rsid w:val="00865163"/>
    <w:rsid w:val="008655D9"/>
    <w:rsid w:val="0087030B"/>
    <w:rsid w:val="00870FE4"/>
    <w:rsid w:val="008726AD"/>
    <w:rsid w:val="0087434F"/>
    <w:rsid w:val="00875CCF"/>
    <w:rsid w:val="00882B24"/>
    <w:rsid w:val="0088770C"/>
    <w:rsid w:val="00890E70"/>
    <w:rsid w:val="008A146C"/>
    <w:rsid w:val="008A4C86"/>
    <w:rsid w:val="008A674A"/>
    <w:rsid w:val="008A731C"/>
    <w:rsid w:val="008B0CE3"/>
    <w:rsid w:val="008B4746"/>
    <w:rsid w:val="008C25F1"/>
    <w:rsid w:val="008D0DD1"/>
    <w:rsid w:val="008D4D07"/>
    <w:rsid w:val="008D69CE"/>
    <w:rsid w:val="008D6B9E"/>
    <w:rsid w:val="008E6371"/>
    <w:rsid w:val="00910B63"/>
    <w:rsid w:val="00913022"/>
    <w:rsid w:val="00913EE4"/>
    <w:rsid w:val="00923C71"/>
    <w:rsid w:val="00930171"/>
    <w:rsid w:val="0093046F"/>
    <w:rsid w:val="0093068F"/>
    <w:rsid w:val="009356EE"/>
    <w:rsid w:val="00945017"/>
    <w:rsid w:val="009468E7"/>
    <w:rsid w:val="00947B4F"/>
    <w:rsid w:val="00952E8E"/>
    <w:rsid w:val="00961167"/>
    <w:rsid w:val="0096421C"/>
    <w:rsid w:val="009667B5"/>
    <w:rsid w:val="0096726E"/>
    <w:rsid w:val="00970593"/>
    <w:rsid w:val="009775F6"/>
    <w:rsid w:val="0098180B"/>
    <w:rsid w:val="00983015"/>
    <w:rsid w:val="0099205E"/>
    <w:rsid w:val="009929E0"/>
    <w:rsid w:val="00995BA6"/>
    <w:rsid w:val="00995CBC"/>
    <w:rsid w:val="0099643A"/>
    <w:rsid w:val="00996696"/>
    <w:rsid w:val="00997664"/>
    <w:rsid w:val="009A22AF"/>
    <w:rsid w:val="009A24D1"/>
    <w:rsid w:val="009A2575"/>
    <w:rsid w:val="009A4CFC"/>
    <w:rsid w:val="009B3114"/>
    <w:rsid w:val="009B70E1"/>
    <w:rsid w:val="009C5834"/>
    <w:rsid w:val="009C6327"/>
    <w:rsid w:val="009D2EB4"/>
    <w:rsid w:val="009E068F"/>
    <w:rsid w:val="009E62E0"/>
    <w:rsid w:val="009E692B"/>
    <w:rsid w:val="009F3191"/>
    <w:rsid w:val="009F5E66"/>
    <w:rsid w:val="00A009BB"/>
    <w:rsid w:val="00A02350"/>
    <w:rsid w:val="00A06874"/>
    <w:rsid w:val="00A14009"/>
    <w:rsid w:val="00A22886"/>
    <w:rsid w:val="00A23E63"/>
    <w:rsid w:val="00A252A2"/>
    <w:rsid w:val="00A25CA1"/>
    <w:rsid w:val="00A4033F"/>
    <w:rsid w:val="00A41384"/>
    <w:rsid w:val="00A4195E"/>
    <w:rsid w:val="00A41FD0"/>
    <w:rsid w:val="00A43EB1"/>
    <w:rsid w:val="00A45FAC"/>
    <w:rsid w:val="00A501A1"/>
    <w:rsid w:val="00A53E5D"/>
    <w:rsid w:val="00A5654C"/>
    <w:rsid w:val="00A632F8"/>
    <w:rsid w:val="00A638AA"/>
    <w:rsid w:val="00A71435"/>
    <w:rsid w:val="00A72A6C"/>
    <w:rsid w:val="00A82315"/>
    <w:rsid w:val="00A82C21"/>
    <w:rsid w:val="00A9092A"/>
    <w:rsid w:val="00A92C1A"/>
    <w:rsid w:val="00A936FD"/>
    <w:rsid w:val="00A95DDD"/>
    <w:rsid w:val="00AA5B37"/>
    <w:rsid w:val="00AA5BBB"/>
    <w:rsid w:val="00AB1EA4"/>
    <w:rsid w:val="00AC6F48"/>
    <w:rsid w:val="00AD4B9B"/>
    <w:rsid w:val="00AD5BA0"/>
    <w:rsid w:val="00AE353A"/>
    <w:rsid w:val="00AE3D1C"/>
    <w:rsid w:val="00AE4C4B"/>
    <w:rsid w:val="00AE7889"/>
    <w:rsid w:val="00AE7D95"/>
    <w:rsid w:val="00AF1575"/>
    <w:rsid w:val="00AF49BA"/>
    <w:rsid w:val="00AF5121"/>
    <w:rsid w:val="00B00C2E"/>
    <w:rsid w:val="00B03703"/>
    <w:rsid w:val="00B060D6"/>
    <w:rsid w:val="00B0741A"/>
    <w:rsid w:val="00B13017"/>
    <w:rsid w:val="00B208F5"/>
    <w:rsid w:val="00B255F3"/>
    <w:rsid w:val="00B3635A"/>
    <w:rsid w:val="00B36E73"/>
    <w:rsid w:val="00B4110B"/>
    <w:rsid w:val="00B4295A"/>
    <w:rsid w:val="00B4684C"/>
    <w:rsid w:val="00B50C7F"/>
    <w:rsid w:val="00B52144"/>
    <w:rsid w:val="00B56745"/>
    <w:rsid w:val="00B57300"/>
    <w:rsid w:val="00B64AB3"/>
    <w:rsid w:val="00B706EA"/>
    <w:rsid w:val="00B7324D"/>
    <w:rsid w:val="00B73655"/>
    <w:rsid w:val="00B76E97"/>
    <w:rsid w:val="00B7780A"/>
    <w:rsid w:val="00B87087"/>
    <w:rsid w:val="00B92ED8"/>
    <w:rsid w:val="00B9554C"/>
    <w:rsid w:val="00B974C8"/>
    <w:rsid w:val="00BA1120"/>
    <w:rsid w:val="00BA425A"/>
    <w:rsid w:val="00BC1C28"/>
    <w:rsid w:val="00BD0D2E"/>
    <w:rsid w:val="00BE352D"/>
    <w:rsid w:val="00BF52A7"/>
    <w:rsid w:val="00C10331"/>
    <w:rsid w:val="00C16F76"/>
    <w:rsid w:val="00C2084A"/>
    <w:rsid w:val="00C23403"/>
    <w:rsid w:val="00C3157B"/>
    <w:rsid w:val="00C32DE7"/>
    <w:rsid w:val="00C36B6E"/>
    <w:rsid w:val="00C46D91"/>
    <w:rsid w:val="00C7354E"/>
    <w:rsid w:val="00C76ABA"/>
    <w:rsid w:val="00C77D38"/>
    <w:rsid w:val="00C80A9A"/>
    <w:rsid w:val="00C81DA1"/>
    <w:rsid w:val="00C97A3D"/>
    <w:rsid w:val="00CD5B7A"/>
    <w:rsid w:val="00CD5E2B"/>
    <w:rsid w:val="00CD6ED6"/>
    <w:rsid w:val="00CE4BDA"/>
    <w:rsid w:val="00CE7561"/>
    <w:rsid w:val="00CF21DD"/>
    <w:rsid w:val="00D00B69"/>
    <w:rsid w:val="00D1557B"/>
    <w:rsid w:val="00D25236"/>
    <w:rsid w:val="00D30561"/>
    <w:rsid w:val="00D34DE3"/>
    <w:rsid w:val="00D41E07"/>
    <w:rsid w:val="00D55AD7"/>
    <w:rsid w:val="00D60A57"/>
    <w:rsid w:val="00D60DF6"/>
    <w:rsid w:val="00D65B1D"/>
    <w:rsid w:val="00D65B2F"/>
    <w:rsid w:val="00D719A4"/>
    <w:rsid w:val="00D80EEC"/>
    <w:rsid w:val="00D829AD"/>
    <w:rsid w:val="00D84622"/>
    <w:rsid w:val="00D84DCD"/>
    <w:rsid w:val="00D85612"/>
    <w:rsid w:val="00D945DB"/>
    <w:rsid w:val="00D95E4A"/>
    <w:rsid w:val="00DA3C2F"/>
    <w:rsid w:val="00DA532C"/>
    <w:rsid w:val="00DB2FA0"/>
    <w:rsid w:val="00DB74AE"/>
    <w:rsid w:val="00DC654D"/>
    <w:rsid w:val="00DD34D5"/>
    <w:rsid w:val="00DD47B0"/>
    <w:rsid w:val="00DE1C27"/>
    <w:rsid w:val="00DE3784"/>
    <w:rsid w:val="00DE61B8"/>
    <w:rsid w:val="00DF0505"/>
    <w:rsid w:val="00E01EBB"/>
    <w:rsid w:val="00E05667"/>
    <w:rsid w:val="00E063B3"/>
    <w:rsid w:val="00E130FB"/>
    <w:rsid w:val="00E17047"/>
    <w:rsid w:val="00E204DF"/>
    <w:rsid w:val="00E30258"/>
    <w:rsid w:val="00E30A9F"/>
    <w:rsid w:val="00E34F27"/>
    <w:rsid w:val="00E454D7"/>
    <w:rsid w:val="00E45778"/>
    <w:rsid w:val="00E47264"/>
    <w:rsid w:val="00E472B3"/>
    <w:rsid w:val="00E472D1"/>
    <w:rsid w:val="00E52B2C"/>
    <w:rsid w:val="00E57BFF"/>
    <w:rsid w:val="00E64FD5"/>
    <w:rsid w:val="00E66E33"/>
    <w:rsid w:val="00E706F1"/>
    <w:rsid w:val="00E71B2F"/>
    <w:rsid w:val="00E751A8"/>
    <w:rsid w:val="00E75FF5"/>
    <w:rsid w:val="00E764DC"/>
    <w:rsid w:val="00E775E6"/>
    <w:rsid w:val="00E77C9E"/>
    <w:rsid w:val="00E810DD"/>
    <w:rsid w:val="00E873EE"/>
    <w:rsid w:val="00E91A44"/>
    <w:rsid w:val="00E93717"/>
    <w:rsid w:val="00E94D02"/>
    <w:rsid w:val="00E96BD2"/>
    <w:rsid w:val="00EA11CC"/>
    <w:rsid w:val="00EA134B"/>
    <w:rsid w:val="00EA24D9"/>
    <w:rsid w:val="00EB306E"/>
    <w:rsid w:val="00EB6A56"/>
    <w:rsid w:val="00EC2E12"/>
    <w:rsid w:val="00EC6C0B"/>
    <w:rsid w:val="00ED33B9"/>
    <w:rsid w:val="00ED4620"/>
    <w:rsid w:val="00ED4BB7"/>
    <w:rsid w:val="00ED5739"/>
    <w:rsid w:val="00EE12E8"/>
    <w:rsid w:val="00EE23A4"/>
    <w:rsid w:val="00EE3FE1"/>
    <w:rsid w:val="00EF4075"/>
    <w:rsid w:val="00EF62B8"/>
    <w:rsid w:val="00F048E0"/>
    <w:rsid w:val="00F10701"/>
    <w:rsid w:val="00F1636B"/>
    <w:rsid w:val="00F20EAB"/>
    <w:rsid w:val="00F21ADF"/>
    <w:rsid w:val="00F30F2B"/>
    <w:rsid w:val="00F35CF0"/>
    <w:rsid w:val="00F41E0C"/>
    <w:rsid w:val="00F43193"/>
    <w:rsid w:val="00F44B21"/>
    <w:rsid w:val="00F536CE"/>
    <w:rsid w:val="00F54AE8"/>
    <w:rsid w:val="00F56025"/>
    <w:rsid w:val="00F57E58"/>
    <w:rsid w:val="00F60155"/>
    <w:rsid w:val="00F6158F"/>
    <w:rsid w:val="00F6319F"/>
    <w:rsid w:val="00F679BB"/>
    <w:rsid w:val="00F71DAF"/>
    <w:rsid w:val="00F803A7"/>
    <w:rsid w:val="00F87838"/>
    <w:rsid w:val="00F94BB2"/>
    <w:rsid w:val="00F956C3"/>
    <w:rsid w:val="00F9624B"/>
    <w:rsid w:val="00F9625A"/>
    <w:rsid w:val="00FA728A"/>
    <w:rsid w:val="00FB35CD"/>
    <w:rsid w:val="00FB5DBE"/>
    <w:rsid w:val="00FB7C98"/>
    <w:rsid w:val="00FC1C66"/>
    <w:rsid w:val="00FC4EE9"/>
    <w:rsid w:val="00FD3C9C"/>
    <w:rsid w:val="00FD4A9F"/>
    <w:rsid w:val="00FE02A6"/>
    <w:rsid w:val="00FF1DC1"/>
    <w:rsid w:val="00FF3F82"/>
    <w:rsid w:val="00FF45B9"/>
    <w:rsid w:val="00FF64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4E49"/>
  <w15:chartTrackingRefBased/>
  <w15:docId w15:val="{88DE0A71-FEB7-4250-9E8F-422D228D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8123B7"/>
    <w:pPr>
      <w:widowControl w:val="0"/>
      <w:tabs>
        <w:tab w:val="num" w:pos="567"/>
      </w:tabs>
      <w:suppressAutoHyphens/>
      <w:autoSpaceDN w:val="0"/>
      <w:spacing w:before="360" w:after="0" w:line="480" w:lineRule="auto"/>
      <w:ind w:left="567" w:hanging="567"/>
      <w:jc w:val="both"/>
      <w:textAlignment w:val="baseline"/>
    </w:pPr>
    <w:rPr>
      <w:rFonts w:ascii="Arial" w:eastAsia="WenQuanYi Micro Hei" w:hAnsi="Arial" w:cs="Lohit Hindi"/>
      <w:iCs/>
      <w:sz w:val="24"/>
      <w:lang w:val="en-GB" w:eastAsia="zh-CN" w:bidi="hi-IN"/>
    </w:rPr>
  </w:style>
  <w:style w:type="numbering" w:customStyle="1" w:styleId="NoList1">
    <w:name w:val="No List1"/>
    <w:next w:val="NoList"/>
    <w:uiPriority w:val="99"/>
    <w:semiHidden/>
    <w:unhideWhenUsed/>
    <w:rsid w:val="00C10331"/>
  </w:style>
  <w:style w:type="paragraph" w:styleId="BalloonText">
    <w:name w:val="Balloon Text"/>
    <w:basedOn w:val="Normal"/>
    <w:link w:val="BalloonTextChar"/>
    <w:uiPriority w:val="99"/>
    <w:semiHidden/>
    <w:unhideWhenUsed/>
    <w:rsid w:val="00C10331"/>
    <w:pPr>
      <w:spacing w:after="0" w:line="240" w:lineRule="auto"/>
      <w:ind w:left="5041"/>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1033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10331"/>
    <w:pPr>
      <w:spacing w:after="0" w:line="240" w:lineRule="auto"/>
      <w:ind w:left="5041"/>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1033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10331"/>
    <w:rPr>
      <w:vertAlign w:val="superscript"/>
    </w:rPr>
  </w:style>
  <w:style w:type="character" w:styleId="Hyperlink">
    <w:name w:val="Hyperlink"/>
    <w:basedOn w:val="DefaultParagraphFont"/>
    <w:uiPriority w:val="99"/>
    <w:semiHidden/>
    <w:unhideWhenUsed/>
    <w:rsid w:val="00C10331"/>
    <w:rPr>
      <w:b/>
      <w:bCs/>
      <w:i w:val="0"/>
      <w:iCs w:val="0"/>
      <w:color w:val="0B4B0B"/>
      <w:u w:val="single"/>
    </w:rPr>
  </w:style>
  <w:style w:type="paragraph" w:styleId="NormalWeb">
    <w:name w:val="Normal (Web)"/>
    <w:basedOn w:val="Normal"/>
    <w:uiPriority w:val="99"/>
    <w:unhideWhenUsed/>
    <w:rsid w:val="00C10331"/>
    <w:pPr>
      <w:spacing w:before="144" w:after="288"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C10331"/>
    <w:pPr>
      <w:spacing w:before="144" w:after="288"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C10331"/>
    <w:pPr>
      <w:tabs>
        <w:tab w:val="center" w:pos="4513"/>
        <w:tab w:val="right" w:pos="9026"/>
      </w:tabs>
      <w:spacing w:after="0" w:line="240" w:lineRule="auto"/>
      <w:ind w:left="5041"/>
    </w:pPr>
    <w:rPr>
      <w:rFonts w:ascii="Calibri" w:eastAsia="Times New Roman" w:hAnsi="Calibri" w:cs="Times New Roman"/>
    </w:rPr>
  </w:style>
  <w:style w:type="character" w:customStyle="1" w:styleId="HeaderChar">
    <w:name w:val="Header Char"/>
    <w:basedOn w:val="DefaultParagraphFont"/>
    <w:link w:val="Header"/>
    <w:uiPriority w:val="99"/>
    <w:rsid w:val="00C10331"/>
    <w:rPr>
      <w:rFonts w:ascii="Calibri" w:eastAsia="Times New Roman" w:hAnsi="Calibri" w:cs="Times New Roman"/>
    </w:rPr>
  </w:style>
  <w:style w:type="paragraph" w:styleId="Footer">
    <w:name w:val="footer"/>
    <w:basedOn w:val="Normal"/>
    <w:link w:val="FooterChar"/>
    <w:uiPriority w:val="99"/>
    <w:unhideWhenUsed/>
    <w:rsid w:val="00C10331"/>
    <w:pPr>
      <w:tabs>
        <w:tab w:val="center" w:pos="4513"/>
        <w:tab w:val="right" w:pos="9026"/>
      </w:tabs>
      <w:spacing w:after="0" w:line="240" w:lineRule="auto"/>
      <w:ind w:left="5041"/>
    </w:pPr>
    <w:rPr>
      <w:rFonts w:ascii="Calibri" w:eastAsia="Times New Roman" w:hAnsi="Calibri" w:cs="Times New Roman"/>
    </w:rPr>
  </w:style>
  <w:style w:type="character" w:customStyle="1" w:styleId="FooterChar">
    <w:name w:val="Footer Char"/>
    <w:basedOn w:val="DefaultParagraphFont"/>
    <w:link w:val="Footer"/>
    <w:uiPriority w:val="99"/>
    <w:rsid w:val="00C10331"/>
    <w:rPr>
      <w:rFonts w:ascii="Calibri" w:eastAsia="Times New Roman" w:hAnsi="Calibri" w:cs="Times New Roman"/>
    </w:rPr>
  </w:style>
  <w:style w:type="character" w:customStyle="1" w:styleId="g11">
    <w:name w:val="g11"/>
    <w:basedOn w:val="DefaultParagraphFont"/>
    <w:rsid w:val="00C10331"/>
    <w:rPr>
      <w:rFonts w:ascii="Verdana" w:hAnsi="Verdana" w:hint="default"/>
      <w:i w:val="0"/>
      <w:iCs w:val="0"/>
      <w:color w:val="808080"/>
    </w:rPr>
  </w:style>
  <w:style w:type="character" w:customStyle="1" w:styleId="apple-converted-space">
    <w:name w:val="apple-converted-space"/>
    <w:basedOn w:val="DefaultParagraphFont"/>
    <w:rsid w:val="00C10331"/>
  </w:style>
  <w:style w:type="character" w:customStyle="1" w:styleId="mc">
    <w:name w:val="mc"/>
    <w:basedOn w:val="DefaultParagraphFont"/>
    <w:rsid w:val="00C10331"/>
  </w:style>
  <w:style w:type="paragraph" w:styleId="Revision">
    <w:name w:val="Revision"/>
    <w:hidden/>
    <w:uiPriority w:val="99"/>
    <w:semiHidden/>
    <w:rsid w:val="00C10331"/>
    <w:pPr>
      <w:spacing w:after="0" w:line="240" w:lineRule="auto"/>
    </w:pPr>
    <w:rPr>
      <w:rFonts w:ascii="Calibri" w:eastAsia="Times New Roman" w:hAnsi="Calibri" w:cs="Times New Roman"/>
    </w:rPr>
  </w:style>
  <w:style w:type="paragraph" w:customStyle="1" w:styleId="Textbody">
    <w:name w:val="Text body"/>
    <w:basedOn w:val="Normal"/>
    <w:uiPriority w:val="99"/>
    <w:rsid w:val="00C10331"/>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character" w:styleId="PageNumber">
    <w:name w:val="page number"/>
    <w:basedOn w:val="DefaultParagraphFont"/>
    <w:uiPriority w:val="99"/>
    <w:semiHidden/>
    <w:unhideWhenUsed/>
    <w:rsid w:val="00F3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Molebogeng Raseroka</dc:creator>
  <cp:keywords/>
  <dc:description/>
  <cp:lastModifiedBy>HOME</cp:lastModifiedBy>
  <cp:revision>2</cp:revision>
  <cp:lastPrinted>2022-05-30T06:45:00Z</cp:lastPrinted>
  <dcterms:created xsi:type="dcterms:W3CDTF">2022-05-31T16:50:00Z</dcterms:created>
  <dcterms:modified xsi:type="dcterms:W3CDTF">2022-05-31T16:50:00Z</dcterms:modified>
</cp:coreProperties>
</file>