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46" w:rsidRDefault="00E46046" w:rsidP="00E46046">
      <w:pPr>
        <w:jc w:val="center"/>
        <w:rPr>
          <w:rFonts w:asciiTheme="minorHAnsi" w:hAnsiTheme="minorHAnsi" w:cstheme="minorHAnsi"/>
          <w:b/>
          <w:sz w:val="26"/>
          <w:szCs w:val="26"/>
        </w:rPr>
      </w:pPr>
    </w:p>
    <w:p w:rsidR="00E46046" w:rsidRDefault="00E46046" w:rsidP="00E46046">
      <w:pPr>
        <w:jc w:val="center"/>
        <w:rPr>
          <w:rFonts w:asciiTheme="minorHAnsi" w:hAnsiTheme="minorHAnsi" w:cstheme="minorHAnsi"/>
          <w:b/>
          <w:sz w:val="26"/>
          <w:szCs w:val="26"/>
        </w:rPr>
      </w:pPr>
    </w:p>
    <w:p w:rsidR="00E46046" w:rsidRDefault="00E46046" w:rsidP="00E46046">
      <w:pPr>
        <w:jc w:val="center"/>
        <w:rPr>
          <w:rFonts w:asciiTheme="minorHAnsi" w:hAnsiTheme="minorHAnsi" w:cstheme="minorHAnsi"/>
          <w:b/>
          <w:sz w:val="26"/>
          <w:szCs w:val="26"/>
        </w:rPr>
      </w:pPr>
    </w:p>
    <w:p w:rsidR="00E46046" w:rsidRDefault="00E46046" w:rsidP="00E46046">
      <w:pPr>
        <w:jc w:val="center"/>
        <w:rPr>
          <w:rFonts w:asciiTheme="minorHAnsi" w:hAnsiTheme="minorHAnsi" w:cstheme="minorHAnsi"/>
          <w:b/>
          <w:sz w:val="26"/>
          <w:szCs w:val="26"/>
        </w:rPr>
      </w:pPr>
    </w:p>
    <w:p w:rsidR="00E46046" w:rsidRDefault="00E46046" w:rsidP="00E46046">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E46046" w:rsidRPr="00C201B8" w:rsidRDefault="00E46046" w:rsidP="00E46046">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E46046" w:rsidRPr="00C201B8" w:rsidRDefault="00E46046" w:rsidP="00E46046">
      <w:pPr>
        <w:pStyle w:val="Heading3"/>
      </w:pPr>
    </w:p>
    <w:p w:rsidR="00E46046" w:rsidRPr="00C201B8" w:rsidRDefault="00E46046" w:rsidP="00E46046">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6202D04F" wp14:editId="20FE4BA1">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CC2922" w:rsidRPr="003123A2" w:rsidRDefault="003123A2" w:rsidP="003123A2">
                            <w:pPr>
                              <w:spacing w:after="200" w:line="276" w:lineRule="auto"/>
                              <w:ind w:left="720" w:hanging="360"/>
                              <w:suppressOverlap/>
                              <w:rPr>
                                <w:b/>
                                <w:sz w:val="16"/>
                                <w:szCs w:val="16"/>
                              </w:rPr>
                            </w:pPr>
                            <w:r w:rsidRPr="008B34AE">
                              <w:rPr>
                                <w:b/>
                                <w:sz w:val="16"/>
                                <w:szCs w:val="16"/>
                              </w:rPr>
                              <w:t>(1)</w:t>
                            </w:r>
                            <w:r w:rsidRPr="008B34AE">
                              <w:rPr>
                                <w:b/>
                                <w:sz w:val="16"/>
                                <w:szCs w:val="16"/>
                              </w:rPr>
                              <w:tab/>
                            </w:r>
                            <w:r w:rsidR="00CC2922" w:rsidRPr="003123A2">
                              <w:rPr>
                                <w:b/>
                                <w:sz w:val="16"/>
                                <w:szCs w:val="16"/>
                              </w:rPr>
                              <w:t>Reportable: No</w:t>
                            </w:r>
                          </w:p>
                          <w:p w:rsidR="00CC2922" w:rsidRPr="003123A2" w:rsidRDefault="003123A2" w:rsidP="003123A2">
                            <w:pPr>
                              <w:spacing w:after="200" w:line="276" w:lineRule="auto"/>
                              <w:ind w:left="720" w:hanging="360"/>
                              <w:suppressOverlap/>
                              <w:rPr>
                                <w:b/>
                                <w:sz w:val="16"/>
                                <w:szCs w:val="16"/>
                              </w:rPr>
                            </w:pPr>
                            <w:r w:rsidRPr="008B34AE">
                              <w:rPr>
                                <w:b/>
                                <w:sz w:val="16"/>
                                <w:szCs w:val="16"/>
                              </w:rPr>
                              <w:t>(2)</w:t>
                            </w:r>
                            <w:r w:rsidRPr="008B34AE">
                              <w:rPr>
                                <w:b/>
                                <w:sz w:val="16"/>
                                <w:szCs w:val="16"/>
                              </w:rPr>
                              <w:tab/>
                            </w:r>
                            <w:r w:rsidR="00CC2922" w:rsidRPr="003123A2">
                              <w:rPr>
                                <w:b/>
                                <w:sz w:val="16"/>
                                <w:szCs w:val="16"/>
                              </w:rPr>
                              <w:t>Of interest to other Judges: No</w:t>
                            </w:r>
                          </w:p>
                          <w:p w:rsidR="00CC2922" w:rsidRPr="003123A2" w:rsidRDefault="003123A2" w:rsidP="003123A2">
                            <w:pPr>
                              <w:spacing w:after="200" w:line="276" w:lineRule="auto"/>
                              <w:ind w:left="720" w:hanging="360"/>
                              <w:suppressOverlap/>
                              <w:rPr>
                                <w:b/>
                                <w:sz w:val="16"/>
                                <w:szCs w:val="16"/>
                              </w:rPr>
                            </w:pPr>
                            <w:r>
                              <w:rPr>
                                <w:b/>
                                <w:sz w:val="16"/>
                                <w:szCs w:val="16"/>
                              </w:rPr>
                              <w:t>(3)</w:t>
                            </w:r>
                            <w:r>
                              <w:rPr>
                                <w:b/>
                                <w:sz w:val="16"/>
                                <w:szCs w:val="16"/>
                              </w:rPr>
                              <w:tab/>
                            </w:r>
                            <w:r w:rsidR="00CC2922" w:rsidRPr="003123A2">
                              <w:rPr>
                                <w:b/>
                                <w:sz w:val="16"/>
                                <w:szCs w:val="16"/>
                              </w:rPr>
                              <w:t>Revised: No</w:t>
                            </w:r>
                          </w:p>
                          <w:p w:rsidR="00CC2922" w:rsidRPr="00AB7D21" w:rsidRDefault="00CC2922" w:rsidP="00E46046">
                            <w:pPr>
                              <w:spacing w:after="200" w:line="276" w:lineRule="auto"/>
                              <w:ind w:left="360"/>
                              <w:suppressOverlap/>
                              <w:rPr>
                                <w:b/>
                                <w:sz w:val="16"/>
                                <w:szCs w:val="16"/>
                              </w:rPr>
                            </w:pPr>
                            <w:r w:rsidRPr="00AB7D21">
                              <w:rPr>
                                <w:b/>
                                <w:sz w:val="16"/>
                                <w:szCs w:val="16"/>
                              </w:rPr>
                              <w:t>Date:</w:t>
                            </w:r>
                            <w:r>
                              <w:rPr>
                                <w:b/>
                                <w:sz w:val="16"/>
                                <w:szCs w:val="16"/>
                              </w:rPr>
                              <w:t xml:space="preserve"> </w:t>
                            </w:r>
                            <w:r w:rsidR="007162DE">
                              <w:rPr>
                                <w:b/>
                                <w:sz w:val="16"/>
                                <w:szCs w:val="16"/>
                              </w:rPr>
                              <w:t>31</w:t>
                            </w:r>
                            <w:r w:rsidRPr="00AB7D21">
                              <w:rPr>
                                <w:b/>
                                <w:sz w:val="16"/>
                                <w:szCs w:val="16"/>
                              </w:rPr>
                              <w:t>/</w:t>
                            </w:r>
                            <w:r>
                              <w:rPr>
                                <w:b/>
                                <w:sz w:val="16"/>
                                <w:szCs w:val="16"/>
                              </w:rPr>
                              <w:t>0</w:t>
                            </w:r>
                            <w:r w:rsidR="007162DE">
                              <w:rPr>
                                <w:b/>
                                <w:sz w:val="16"/>
                                <w:szCs w:val="16"/>
                              </w:rPr>
                              <w:t>3</w:t>
                            </w:r>
                            <w:r w:rsidRPr="00AB7D21">
                              <w:rPr>
                                <w:b/>
                                <w:sz w:val="16"/>
                                <w:szCs w:val="16"/>
                              </w:rPr>
                              <w:t>/20</w:t>
                            </w:r>
                            <w:r>
                              <w:rPr>
                                <w:b/>
                                <w:sz w:val="16"/>
                                <w:szCs w:val="16"/>
                              </w:rPr>
                              <w:t>22</w:t>
                            </w:r>
                          </w:p>
                          <w:p w:rsidR="00CC2922" w:rsidRDefault="00CC2922" w:rsidP="00E46046">
                            <w:pPr>
                              <w:suppressOverlap/>
                              <w:rPr>
                                <w:b/>
                                <w:sz w:val="16"/>
                                <w:szCs w:val="16"/>
                              </w:rPr>
                            </w:pPr>
                            <w:r>
                              <w:rPr>
                                <w:b/>
                                <w:sz w:val="16"/>
                                <w:szCs w:val="16"/>
                              </w:rPr>
                              <w:t xml:space="preserve"> _____________</w:t>
                            </w:r>
                          </w:p>
                          <w:p w:rsidR="00CC2922" w:rsidRDefault="00CC2922" w:rsidP="00E46046">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2D04F"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CC2922" w:rsidRPr="003123A2" w:rsidRDefault="003123A2" w:rsidP="003123A2">
                      <w:pPr>
                        <w:spacing w:after="200" w:line="276" w:lineRule="auto"/>
                        <w:ind w:left="720" w:hanging="360"/>
                        <w:suppressOverlap/>
                        <w:rPr>
                          <w:b/>
                          <w:sz w:val="16"/>
                          <w:szCs w:val="16"/>
                        </w:rPr>
                      </w:pPr>
                      <w:r w:rsidRPr="008B34AE">
                        <w:rPr>
                          <w:b/>
                          <w:sz w:val="16"/>
                          <w:szCs w:val="16"/>
                        </w:rPr>
                        <w:t>(1)</w:t>
                      </w:r>
                      <w:r w:rsidRPr="008B34AE">
                        <w:rPr>
                          <w:b/>
                          <w:sz w:val="16"/>
                          <w:szCs w:val="16"/>
                        </w:rPr>
                        <w:tab/>
                      </w:r>
                      <w:r w:rsidR="00CC2922" w:rsidRPr="003123A2">
                        <w:rPr>
                          <w:b/>
                          <w:sz w:val="16"/>
                          <w:szCs w:val="16"/>
                        </w:rPr>
                        <w:t>Reportable: No</w:t>
                      </w:r>
                    </w:p>
                    <w:p w:rsidR="00CC2922" w:rsidRPr="003123A2" w:rsidRDefault="003123A2" w:rsidP="003123A2">
                      <w:pPr>
                        <w:spacing w:after="200" w:line="276" w:lineRule="auto"/>
                        <w:ind w:left="720" w:hanging="360"/>
                        <w:suppressOverlap/>
                        <w:rPr>
                          <w:b/>
                          <w:sz w:val="16"/>
                          <w:szCs w:val="16"/>
                        </w:rPr>
                      </w:pPr>
                      <w:r w:rsidRPr="008B34AE">
                        <w:rPr>
                          <w:b/>
                          <w:sz w:val="16"/>
                          <w:szCs w:val="16"/>
                        </w:rPr>
                        <w:t>(2)</w:t>
                      </w:r>
                      <w:r w:rsidRPr="008B34AE">
                        <w:rPr>
                          <w:b/>
                          <w:sz w:val="16"/>
                          <w:szCs w:val="16"/>
                        </w:rPr>
                        <w:tab/>
                      </w:r>
                      <w:r w:rsidR="00CC2922" w:rsidRPr="003123A2">
                        <w:rPr>
                          <w:b/>
                          <w:sz w:val="16"/>
                          <w:szCs w:val="16"/>
                        </w:rPr>
                        <w:t>Of interest to other Judges: No</w:t>
                      </w:r>
                    </w:p>
                    <w:p w:rsidR="00CC2922" w:rsidRPr="003123A2" w:rsidRDefault="003123A2" w:rsidP="003123A2">
                      <w:pPr>
                        <w:spacing w:after="200" w:line="276" w:lineRule="auto"/>
                        <w:ind w:left="720" w:hanging="360"/>
                        <w:suppressOverlap/>
                        <w:rPr>
                          <w:b/>
                          <w:sz w:val="16"/>
                          <w:szCs w:val="16"/>
                        </w:rPr>
                      </w:pPr>
                      <w:r>
                        <w:rPr>
                          <w:b/>
                          <w:sz w:val="16"/>
                          <w:szCs w:val="16"/>
                        </w:rPr>
                        <w:t>(3)</w:t>
                      </w:r>
                      <w:r>
                        <w:rPr>
                          <w:b/>
                          <w:sz w:val="16"/>
                          <w:szCs w:val="16"/>
                        </w:rPr>
                        <w:tab/>
                      </w:r>
                      <w:r w:rsidR="00CC2922" w:rsidRPr="003123A2">
                        <w:rPr>
                          <w:b/>
                          <w:sz w:val="16"/>
                          <w:szCs w:val="16"/>
                        </w:rPr>
                        <w:t>Revised: No</w:t>
                      </w:r>
                    </w:p>
                    <w:p w:rsidR="00CC2922" w:rsidRPr="00AB7D21" w:rsidRDefault="00CC2922" w:rsidP="00E46046">
                      <w:pPr>
                        <w:spacing w:after="200" w:line="276" w:lineRule="auto"/>
                        <w:ind w:left="360"/>
                        <w:suppressOverlap/>
                        <w:rPr>
                          <w:b/>
                          <w:sz w:val="16"/>
                          <w:szCs w:val="16"/>
                        </w:rPr>
                      </w:pPr>
                      <w:r w:rsidRPr="00AB7D21">
                        <w:rPr>
                          <w:b/>
                          <w:sz w:val="16"/>
                          <w:szCs w:val="16"/>
                        </w:rPr>
                        <w:t>Date:</w:t>
                      </w:r>
                      <w:r>
                        <w:rPr>
                          <w:b/>
                          <w:sz w:val="16"/>
                          <w:szCs w:val="16"/>
                        </w:rPr>
                        <w:t xml:space="preserve"> </w:t>
                      </w:r>
                      <w:r w:rsidR="007162DE">
                        <w:rPr>
                          <w:b/>
                          <w:sz w:val="16"/>
                          <w:szCs w:val="16"/>
                        </w:rPr>
                        <w:t>31</w:t>
                      </w:r>
                      <w:r w:rsidRPr="00AB7D21">
                        <w:rPr>
                          <w:b/>
                          <w:sz w:val="16"/>
                          <w:szCs w:val="16"/>
                        </w:rPr>
                        <w:t>/</w:t>
                      </w:r>
                      <w:r>
                        <w:rPr>
                          <w:b/>
                          <w:sz w:val="16"/>
                          <w:szCs w:val="16"/>
                        </w:rPr>
                        <w:t>0</w:t>
                      </w:r>
                      <w:r w:rsidR="007162DE">
                        <w:rPr>
                          <w:b/>
                          <w:sz w:val="16"/>
                          <w:szCs w:val="16"/>
                        </w:rPr>
                        <w:t>3</w:t>
                      </w:r>
                      <w:r w:rsidRPr="00AB7D21">
                        <w:rPr>
                          <w:b/>
                          <w:sz w:val="16"/>
                          <w:szCs w:val="16"/>
                        </w:rPr>
                        <w:t>/20</w:t>
                      </w:r>
                      <w:r>
                        <w:rPr>
                          <w:b/>
                          <w:sz w:val="16"/>
                          <w:szCs w:val="16"/>
                        </w:rPr>
                        <w:t>22</w:t>
                      </w:r>
                    </w:p>
                    <w:p w:rsidR="00CC2922" w:rsidRDefault="00CC2922" w:rsidP="00E46046">
                      <w:pPr>
                        <w:suppressOverlap/>
                        <w:rPr>
                          <w:b/>
                          <w:sz w:val="16"/>
                          <w:szCs w:val="16"/>
                        </w:rPr>
                      </w:pPr>
                      <w:r>
                        <w:rPr>
                          <w:b/>
                          <w:sz w:val="16"/>
                          <w:szCs w:val="16"/>
                        </w:rPr>
                        <w:t xml:space="preserve"> _____________</w:t>
                      </w:r>
                    </w:p>
                    <w:p w:rsidR="00CC2922" w:rsidRDefault="00CC2922" w:rsidP="00E46046">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56A82CAA" wp14:editId="0CC6530C">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E46046" w:rsidRDefault="00E46046" w:rsidP="00E46046">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w:t>
      </w:r>
      <w:r w:rsidR="006168BD">
        <w:rPr>
          <w:rFonts w:asciiTheme="minorHAnsi" w:hAnsiTheme="minorHAnsi" w:cstheme="minorHAnsi"/>
          <w:sz w:val="26"/>
          <w:szCs w:val="26"/>
        </w:rPr>
        <w:t>/6574</w:t>
      </w:r>
    </w:p>
    <w:p w:rsidR="00E46046" w:rsidRDefault="00E46046" w:rsidP="00E46046">
      <w:pPr>
        <w:spacing w:after="120"/>
        <w:jc w:val="right"/>
        <w:rPr>
          <w:rFonts w:asciiTheme="minorHAnsi" w:hAnsiTheme="minorHAnsi" w:cstheme="minorHAnsi"/>
          <w:sz w:val="26"/>
          <w:szCs w:val="26"/>
        </w:rPr>
      </w:pPr>
    </w:p>
    <w:p w:rsidR="00E46046" w:rsidRDefault="00E46046" w:rsidP="00E46046">
      <w:pPr>
        <w:jc w:val="both"/>
        <w:rPr>
          <w:rFonts w:asciiTheme="minorHAnsi" w:hAnsiTheme="minorHAnsi" w:cstheme="minorHAnsi"/>
          <w:sz w:val="26"/>
          <w:szCs w:val="26"/>
        </w:rPr>
      </w:pPr>
    </w:p>
    <w:p w:rsidR="00E46046" w:rsidRDefault="00E46046" w:rsidP="00E46046">
      <w:pPr>
        <w:jc w:val="both"/>
        <w:rPr>
          <w:rFonts w:asciiTheme="minorHAnsi" w:hAnsiTheme="minorHAnsi" w:cstheme="minorHAnsi"/>
          <w:sz w:val="26"/>
          <w:szCs w:val="26"/>
        </w:rPr>
      </w:pPr>
    </w:p>
    <w:p w:rsidR="00E46046" w:rsidRPr="00C201B8" w:rsidRDefault="00E46046" w:rsidP="00E46046">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E46046" w:rsidRDefault="00E46046" w:rsidP="00E46046">
      <w:pPr>
        <w:ind w:right="-46"/>
        <w:rPr>
          <w:rFonts w:asciiTheme="minorHAnsi" w:hAnsiTheme="minorHAnsi" w:cstheme="minorHAnsi"/>
          <w:b/>
          <w:sz w:val="26"/>
          <w:szCs w:val="26"/>
        </w:rPr>
      </w:pPr>
    </w:p>
    <w:p w:rsidR="00E46046" w:rsidRDefault="006168BD" w:rsidP="00E46046">
      <w:pPr>
        <w:ind w:right="-46"/>
        <w:rPr>
          <w:rFonts w:asciiTheme="minorHAnsi" w:hAnsiTheme="minorHAnsi" w:cstheme="minorHAnsi"/>
          <w:sz w:val="26"/>
          <w:szCs w:val="26"/>
        </w:rPr>
      </w:pPr>
      <w:r>
        <w:rPr>
          <w:rFonts w:asciiTheme="minorHAnsi" w:hAnsiTheme="minorHAnsi" w:cstheme="minorHAnsi"/>
          <w:b/>
          <w:sz w:val="26"/>
          <w:szCs w:val="26"/>
        </w:rPr>
        <w:t>LUTENDO CYNTHIA MPFUNI</w:t>
      </w:r>
      <w:r w:rsidR="00E46046">
        <w:rPr>
          <w:rFonts w:asciiTheme="minorHAnsi" w:hAnsiTheme="minorHAnsi" w:cstheme="minorHAnsi"/>
          <w:sz w:val="26"/>
          <w:szCs w:val="26"/>
        </w:rPr>
        <w:tab/>
      </w:r>
      <w:r w:rsidR="00E46046">
        <w:rPr>
          <w:rFonts w:asciiTheme="minorHAnsi" w:hAnsiTheme="minorHAnsi" w:cstheme="minorHAnsi"/>
          <w:sz w:val="26"/>
          <w:szCs w:val="26"/>
        </w:rPr>
        <w:tab/>
      </w:r>
      <w:r w:rsidR="00E46046">
        <w:rPr>
          <w:rFonts w:asciiTheme="minorHAnsi" w:hAnsiTheme="minorHAnsi" w:cstheme="minorHAnsi"/>
          <w:sz w:val="26"/>
          <w:szCs w:val="26"/>
        </w:rPr>
        <w:tab/>
      </w:r>
      <w:r w:rsidR="00E46046">
        <w:rPr>
          <w:rFonts w:asciiTheme="minorHAnsi" w:hAnsiTheme="minorHAnsi" w:cstheme="minorHAnsi"/>
          <w:sz w:val="26"/>
          <w:szCs w:val="26"/>
        </w:rPr>
        <w:tab/>
      </w:r>
      <w:r w:rsidR="00E46046">
        <w:rPr>
          <w:rFonts w:asciiTheme="minorHAnsi" w:hAnsiTheme="minorHAnsi" w:cstheme="minorHAnsi"/>
          <w:sz w:val="26"/>
          <w:szCs w:val="26"/>
        </w:rPr>
        <w:tab/>
      </w:r>
      <w:r w:rsidR="00E46046">
        <w:rPr>
          <w:rFonts w:asciiTheme="minorHAnsi" w:hAnsiTheme="minorHAnsi" w:cstheme="minorHAnsi"/>
          <w:sz w:val="26"/>
          <w:szCs w:val="26"/>
        </w:rPr>
        <w:tab/>
      </w:r>
      <w:r>
        <w:rPr>
          <w:rFonts w:asciiTheme="minorHAnsi" w:hAnsiTheme="minorHAnsi" w:cstheme="minorHAnsi"/>
          <w:sz w:val="26"/>
          <w:szCs w:val="26"/>
        </w:rPr>
        <w:tab/>
        <w:t xml:space="preserve">   Plaintiff</w:t>
      </w:r>
    </w:p>
    <w:p w:rsidR="00E46046" w:rsidRPr="00B13FBA" w:rsidRDefault="00E46046" w:rsidP="00E46046">
      <w:pPr>
        <w:ind w:right="-46"/>
        <w:rPr>
          <w:rFonts w:asciiTheme="minorHAnsi" w:hAnsiTheme="minorHAnsi" w:cstheme="minorHAnsi"/>
          <w:sz w:val="26"/>
          <w:szCs w:val="26"/>
        </w:rPr>
      </w:pPr>
    </w:p>
    <w:p w:rsidR="00E46046" w:rsidRPr="006168BD" w:rsidRDefault="006168BD" w:rsidP="00E46046">
      <w:pPr>
        <w:ind w:right="-46"/>
        <w:rPr>
          <w:rFonts w:asciiTheme="minorHAnsi" w:hAnsiTheme="minorHAnsi" w:cstheme="minorHAnsi"/>
          <w:sz w:val="26"/>
          <w:szCs w:val="26"/>
        </w:rPr>
      </w:pPr>
      <w:r>
        <w:rPr>
          <w:rFonts w:asciiTheme="minorHAnsi" w:hAnsiTheme="minorHAnsi" w:cstheme="minorHAnsi"/>
          <w:sz w:val="26"/>
          <w:szCs w:val="26"/>
        </w:rPr>
        <w:t>a</w:t>
      </w:r>
      <w:r w:rsidR="00E46046" w:rsidRPr="006168BD">
        <w:rPr>
          <w:rFonts w:asciiTheme="minorHAnsi" w:hAnsiTheme="minorHAnsi" w:cstheme="minorHAnsi"/>
          <w:sz w:val="26"/>
          <w:szCs w:val="26"/>
        </w:rPr>
        <w:t>nd</w:t>
      </w:r>
    </w:p>
    <w:p w:rsidR="00E46046" w:rsidRPr="00B13FBA" w:rsidRDefault="00E46046" w:rsidP="00E46046">
      <w:pPr>
        <w:ind w:right="-46"/>
        <w:rPr>
          <w:rFonts w:asciiTheme="minorHAnsi" w:hAnsiTheme="minorHAnsi" w:cstheme="minorHAnsi"/>
          <w:sz w:val="26"/>
          <w:szCs w:val="26"/>
        </w:rPr>
      </w:pPr>
    </w:p>
    <w:p w:rsidR="00E46046" w:rsidRDefault="006168BD" w:rsidP="00E46046">
      <w:pPr>
        <w:ind w:right="-46"/>
        <w:rPr>
          <w:rFonts w:asciiTheme="minorHAnsi" w:hAnsiTheme="minorHAnsi" w:cstheme="minorHAnsi"/>
          <w:sz w:val="26"/>
          <w:szCs w:val="26"/>
        </w:rPr>
      </w:pPr>
      <w:r>
        <w:rPr>
          <w:rFonts w:asciiTheme="minorHAnsi" w:hAnsiTheme="minorHAnsi" w:cstheme="minorHAnsi"/>
          <w:b/>
          <w:sz w:val="26"/>
          <w:szCs w:val="26"/>
        </w:rPr>
        <w:t>SEGWAPA INC</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Defendant</w:t>
      </w:r>
    </w:p>
    <w:p w:rsidR="00E46046" w:rsidRDefault="00E46046" w:rsidP="00E46046">
      <w:pPr>
        <w:ind w:right="-46"/>
        <w:rPr>
          <w:rFonts w:asciiTheme="minorHAnsi" w:hAnsiTheme="minorHAnsi" w:cstheme="minorHAnsi"/>
          <w:sz w:val="26"/>
          <w:szCs w:val="26"/>
        </w:rPr>
      </w:pPr>
    </w:p>
    <w:p w:rsidR="006168BD" w:rsidRPr="006168BD" w:rsidRDefault="006168BD" w:rsidP="00E46046">
      <w:pPr>
        <w:ind w:right="-46"/>
        <w:rPr>
          <w:rFonts w:asciiTheme="minorHAnsi" w:hAnsiTheme="minorHAnsi" w:cstheme="minorHAnsi"/>
          <w:sz w:val="26"/>
          <w:szCs w:val="26"/>
        </w:rPr>
      </w:pPr>
      <w:r>
        <w:rPr>
          <w:rFonts w:asciiTheme="minorHAnsi" w:hAnsiTheme="minorHAnsi" w:cstheme="minorHAnsi"/>
          <w:b/>
          <w:sz w:val="26"/>
          <w:szCs w:val="26"/>
        </w:rPr>
        <w:t>NOZWAKAZI MDLANKOMO</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Defendant</w:t>
      </w:r>
    </w:p>
    <w:p w:rsidR="006168BD" w:rsidRPr="006C65AB" w:rsidRDefault="006168BD" w:rsidP="00E46046">
      <w:pPr>
        <w:ind w:right="-46"/>
        <w:rPr>
          <w:rFonts w:asciiTheme="minorHAnsi" w:hAnsiTheme="minorHAnsi" w:cstheme="minorHAnsi"/>
          <w:sz w:val="26"/>
          <w:szCs w:val="26"/>
        </w:rPr>
      </w:pPr>
    </w:p>
    <w:p w:rsidR="00E46046" w:rsidRPr="00C201B8" w:rsidRDefault="00E46046" w:rsidP="00E46046">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E46046" w:rsidRPr="00C201B8" w:rsidRDefault="00E46046" w:rsidP="00E46046">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E46046" w:rsidRPr="00C201B8" w:rsidRDefault="00E46046" w:rsidP="00E46046">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E46046" w:rsidRDefault="00E46046" w:rsidP="00E46046">
      <w:pPr>
        <w:rPr>
          <w:rFonts w:asciiTheme="minorHAnsi" w:hAnsiTheme="minorHAnsi" w:cstheme="minorHAnsi"/>
          <w:b/>
          <w:sz w:val="26"/>
          <w:szCs w:val="26"/>
        </w:rPr>
      </w:pPr>
    </w:p>
    <w:p w:rsidR="00E46046" w:rsidRPr="009706D5" w:rsidRDefault="00E46046" w:rsidP="00E46046">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E46046" w:rsidRDefault="00E46046" w:rsidP="00E46046">
      <w:pPr>
        <w:rPr>
          <w:rFonts w:asciiTheme="minorHAnsi" w:hAnsiTheme="minorHAnsi" w:cstheme="minorHAnsi"/>
          <w:sz w:val="26"/>
          <w:szCs w:val="26"/>
        </w:rPr>
      </w:pPr>
    </w:p>
    <w:p w:rsidR="001F466D"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DC52C8" w:rsidRPr="003123A2">
        <w:rPr>
          <w:rFonts w:asciiTheme="minorHAnsi" w:hAnsiTheme="minorHAnsi" w:cstheme="minorHAnsi"/>
          <w:sz w:val="26"/>
          <w:szCs w:val="26"/>
        </w:rPr>
        <w:t xml:space="preserve">The </w:t>
      </w:r>
      <w:r w:rsidR="001F466D" w:rsidRPr="003123A2">
        <w:rPr>
          <w:rFonts w:asciiTheme="minorHAnsi" w:hAnsiTheme="minorHAnsi" w:cstheme="minorHAnsi"/>
          <w:sz w:val="26"/>
          <w:szCs w:val="26"/>
        </w:rPr>
        <w:t>Plaintiff</w:t>
      </w:r>
      <w:r w:rsidR="00DC52C8" w:rsidRPr="003123A2">
        <w:rPr>
          <w:rFonts w:asciiTheme="minorHAnsi" w:hAnsiTheme="minorHAnsi" w:cstheme="minorHAnsi"/>
          <w:sz w:val="26"/>
          <w:szCs w:val="26"/>
        </w:rPr>
        <w:t xml:space="preserve"> applied for summary judgment to be entered against the first and second defendants in respect of a claim for cancellation of a written sale agreement</w:t>
      </w:r>
      <w:r w:rsidR="00877F1E" w:rsidRPr="003123A2">
        <w:rPr>
          <w:rFonts w:asciiTheme="minorHAnsi" w:hAnsiTheme="minorHAnsi" w:cstheme="minorHAnsi"/>
          <w:sz w:val="26"/>
          <w:szCs w:val="26"/>
        </w:rPr>
        <w:t xml:space="preserve"> and</w:t>
      </w:r>
      <w:r w:rsidR="00DC52C8" w:rsidRPr="003123A2">
        <w:rPr>
          <w:rFonts w:asciiTheme="minorHAnsi" w:hAnsiTheme="minorHAnsi" w:cstheme="minorHAnsi"/>
          <w:sz w:val="26"/>
          <w:szCs w:val="26"/>
        </w:rPr>
        <w:t xml:space="preserve"> return of the purchase price and transfer costs paid by the plaintiff </w:t>
      </w:r>
      <w:r w:rsidR="001F466D" w:rsidRPr="003123A2">
        <w:rPr>
          <w:rFonts w:asciiTheme="minorHAnsi" w:hAnsiTheme="minorHAnsi" w:cstheme="minorHAnsi"/>
          <w:sz w:val="26"/>
          <w:szCs w:val="26"/>
        </w:rPr>
        <w:t>under the agreement</w:t>
      </w:r>
      <w:r w:rsidR="0089521A" w:rsidRPr="003123A2">
        <w:rPr>
          <w:rFonts w:asciiTheme="minorHAnsi" w:hAnsiTheme="minorHAnsi" w:cstheme="minorHAnsi"/>
          <w:sz w:val="26"/>
          <w:szCs w:val="26"/>
        </w:rPr>
        <w:t xml:space="preserve">, and </w:t>
      </w:r>
      <w:r w:rsidR="001F466D" w:rsidRPr="003123A2">
        <w:rPr>
          <w:rFonts w:asciiTheme="minorHAnsi" w:hAnsiTheme="minorHAnsi" w:cstheme="minorHAnsi"/>
          <w:sz w:val="26"/>
          <w:szCs w:val="26"/>
        </w:rPr>
        <w:t>ancillary</w:t>
      </w:r>
      <w:r w:rsidR="0089521A" w:rsidRPr="003123A2">
        <w:rPr>
          <w:rFonts w:asciiTheme="minorHAnsi" w:hAnsiTheme="minorHAnsi" w:cstheme="minorHAnsi"/>
          <w:sz w:val="26"/>
          <w:szCs w:val="26"/>
        </w:rPr>
        <w:t xml:space="preserve"> relief.</w:t>
      </w:r>
      <w:r w:rsidR="00DC52C8" w:rsidRPr="003123A2">
        <w:rPr>
          <w:rFonts w:asciiTheme="minorHAnsi" w:hAnsiTheme="minorHAnsi" w:cstheme="minorHAnsi"/>
          <w:sz w:val="26"/>
          <w:szCs w:val="26"/>
        </w:rPr>
        <w:t xml:space="preserve"> </w:t>
      </w:r>
    </w:p>
    <w:p w:rsidR="001F466D" w:rsidRDefault="001F466D" w:rsidP="001F466D">
      <w:pPr>
        <w:pStyle w:val="ListParagraph"/>
        <w:rPr>
          <w:rFonts w:asciiTheme="minorHAnsi" w:hAnsiTheme="minorHAnsi" w:cstheme="minorHAnsi"/>
          <w:sz w:val="26"/>
          <w:szCs w:val="26"/>
        </w:rPr>
      </w:pPr>
    </w:p>
    <w:p w:rsidR="00DC52C8"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bookmarkStart w:id="0" w:name="_GoBack"/>
      <w:bookmarkEnd w:id="0"/>
      <w:r>
        <w:rPr>
          <w:rFonts w:asciiTheme="minorHAnsi" w:hAnsiTheme="minorHAnsi"/>
          <w:sz w:val="24"/>
          <w:szCs w:val="24"/>
        </w:rPr>
        <w:t>.</w:t>
      </w:r>
      <w:r>
        <w:rPr>
          <w:rFonts w:asciiTheme="minorHAnsi" w:hAnsiTheme="minorHAnsi"/>
          <w:sz w:val="24"/>
          <w:szCs w:val="24"/>
        </w:rPr>
        <w:tab/>
      </w:r>
      <w:r w:rsidR="00DC52C8" w:rsidRPr="003123A2">
        <w:rPr>
          <w:rFonts w:asciiTheme="minorHAnsi" w:hAnsiTheme="minorHAnsi" w:cstheme="minorHAnsi"/>
          <w:sz w:val="26"/>
          <w:szCs w:val="26"/>
        </w:rPr>
        <w:t>The following order is sought in the application for summary judgment:</w:t>
      </w:r>
    </w:p>
    <w:p w:rsidR="00DC52C8" w:rsidRPr="006840E4" w:rsidRDefault="00DC52C8" w:rsidP="00DC52C8">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“1.</w:t>
      </w:r>
      <w:r w:rsidR="006840E4">
        <w:rPr>
          <w:rFonts w:asciiTheme="minorHAnsi" w:hAnsiTheme="minorHAnsi" w:cstheme="minorHAnsi"/>
          <w:sz w:val="22"/>
          <w:szCs w:val="22"/>
        </w:rPr>
        <w:tab/>
      </w:r>
      <w:r w:rsidRPr="006840E4">
        <w:rPr>
          <w:rFonts w:asciiTheme="minorHAnsi" w:hAnsiTheme="minorHAnsi" w:cstheme="minorHAnsi"/>
          <w:sz w:val="22"/>
          <w:szCs w:val="22"/>
        </w:rPr>
        <w:t xml:space="preserve">That the late filing of the notice for </w:t>
      </w:r>
      <w:r w:rsidR="0089521A">
        <w:rPr>
          <w:rFonts w:asciiTheme="minorHAnsi" w:hAnsiTheme="minorHAnsi" w:cstheme="minorHAnsi"/>
          <w:sz w:val="22"/>
          <w:szCs w:val="22"/>
        </w:rPr>
        <w:t xml:space="preserve">(sic) </w:t>
      </w:r>
      <w:r w:rsidRPr="006840E4">
        <w:rPr>
          <w:rFonts w:asciiTheme="minorHAnsi" w:hAnsiTheme="minorHAnsi" w:cstheme="minorHAnsi"/>
          <w:sz w:val="22"/>
          <w:szCs w:val="22"/>
        </w:rPr>
        <w:t>application for summary judgment be condoned</w:t>
      </w:r>
      <w:r w:rsidR="006840E4" w:rsidRPr="006840E4">
        <w:rPr>
          <w:rFonts w:asciiTheme="minorHAnsi" w:hAnsiTheme="minorHAnsi" w:cstheme="minorHAnsi"/>
          <w:sz w:val="22"/>
          <w:szCs w:val="22"/>
        </w:rPr>
        <w:t>;</w:t>
      </w:r>
    </w:p>
    <w:p w:rsidR="00DC52C8" w:rsidRPr="006840E4" w:rsidRDefault="00DC52C8" w:rsidP="006840E4">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2.</w:t>
      </w:r>
      <w:r w:rsidR="006840E4">
        <w:rPr>
          <w:rFonts w:asciiTheme="minorHAnsi" w:hAnsiTheme="minorHAnsi" w:cstheme="minorHAnsi"/>
          <w:sz w:val="22"/>
          <w:szCs w:val="22"/>
        </w:rPr>
        <w:tab/>
      </w:r>
      <w:r w:rsidRPr="006840E4">
        <w:rPr>
          <w:rFonts w:asciiTheme="minorHAnsi" w:hAnsiTheme="minorHAnsi" w:cstheme="minorHAnsi"/>
          <w:sz w:val="22"/>
          <w:szCs w:val="22"/>
        </w:rPr>
        <w:t xml:space="preserve">The </w:t>
      </w:r>
      <w:r w:rsidR="00C4401E" w:rsidRPr="006840E4">
        <w:rPr>
          <w:rFonts w:asciiTheme="minorHAnsi" w:hAnsiTheme="minorHAnsi" w:cstheme="minorHAnsi"/>
          <w:sz w:val="22"/>
          <w:szCs w:val="22"/>
        </w:rPr>
        <w:t>S</w:t>
      </w:r>
      <w:r w:rsidRPr="006840E4">
        <w:rPr>
          <w:rFonts w:asciiTheme="minorHAnsi" w:hAnsiTheme="minorHAnsi" w:cstheme="minorHAnsi"/>
          <w:sz w:val="22"/>
          <w:szCs w:val="22"/>
        </w:rPr>
        <w:t xml:space="preserve">ale </w:t>
      </w:r>
      <w:r w:rsidR="00C4401E" w:rsidRPr="006840E4">
        <w:rPr>
          <w:rFonts w:asciiTheme="minorHAnsi" w:hAnsiTheme="minorHAnsi" w:cstheme="minorHAnsi"/>
          <w:sz w:val="22"/>
          <w:szCs w:val="22"/>
        </w:rPr>
        <w:t>A</w:t>
      </w:r>
      <w:r w:rsidRPr="006840E4">
        <w:rPr>
          <w:rFonts w:asciiTheme="minorHAnsi" w:hAnsiTheme="minorHAnsi" w:cstheme="minorHAnsi"/>
          <w:sz w:val="22"/>
          <w:szCs w:val="22"/>
        </w:rPr>
        <w:t>greement between the parties which was signed and dated 30 June 2020 be cancelled</w:t>
      </w:r>
      <w:r w:rsidR="006840E4" w:rsidRPr="006840E4">
        <w:rPr>
          <w:rFonts w:asciiTheme="minorHAnsi" w:hAnsiTheme="minorHAnsi" w:cstheme="minorHAnsi"/>
          <w:sz w:val="22"/>
          <w:szCs w:val="22"/>
        </w:rPr>
        <w:t>;</w:t>
      </w:r>
    </w:p>
    <w:p w:rsidR="00DC52C8" w:rsidRPr="006840E4" w:rsidRDefault="00DC52C8" w:rsidP="0089521A">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3.</w:t>
      </w:r>
      <w:r w:rsidR="006840E4">
        <w:rPr>
          <w:rFonts w:asciiTheme="minorHAnsi" w:hAnsiTheme="minorHAnsi" w:cstheme="minorHAnsi"/>
          <w:sz w:val="22"/>
          <w:szCs w:val="22"/>
        </w:rPr>
        <w:tab/>
      </w:r>
      <w:r w:rsidRPr="006840E4">
        <w:rPr>
          <w:rFonts w:asciiTheme="minorHAnsi" w:hAnsiTheme="minorHAnsi" w:cstheme="minorHAnsi"/>
          <w:sz w:val="22"/>
          <w:szCs w:val="22"/>
        </w:rPr>
        <w:t xml:space="preserve">The </w:t>
      </w:r>
      <w:r w:rsidR="00C4401E" w:rsidRPr="006840E4">
        <w:rPr>
          <w:rFonts w:asciiTheme="minorHAnsi" w:hAnsiTheme="minorHAnsi" w:cstheme="minorHAnsi"/>
          <w:sz w:val="22"/>
          <w:szCs w:val="22"/>
        </w:rPr>
        <w:t>F</w:t>
      </w:r>
      <w:r w:rsidRPr="006840E4">
        <w:rPr>
          <w:rFonts w:asciiTheme="minorHAnsi" w:hAnsiTheme="minorHAnsi" w:cstheme="minorHAnsi"/>
          <w:sz w:val="22"/>
          <w:szCs w:val="22"/>
        </w:rPr>
        <w:t xml:space="preserve">irst and </w:t>
      </w:r>
      <w:r w:rsidR="00C4401E" w:rsidRPr="006840E4">
        <w:rPr>
          <w:rFonts w:asciiTheme="minorHAnsi" w:hAnsiTheme="minorHAnsi" w:cstheme="minorHAnsi"/>
          <w:sz w:val="22"/>
          <w:szCs w:val="22"/>
        </w:rPr>
        <w:t>S</w:t>
      </w:r>
      <w:r w:rsidRPr="006840E4">
        <w:rPr>
          <w:rFonts w:asciiTheme="minorHAnsi" w:hAnsiTheme="minorHAnsi" w:cstheme="minorHAnsi"/>
          <w:sz w:val="22"/>
          <w:szCs w:val="22"/>
        </w:rPr>
        <w:t xml:space="preserve">econd </w:t>
      </w:r>
      <w:r w:rsidR="00C4401E" w:rsidRPr="006840E4">
        <w:rPr>
          <w:rFonts w:asciiTheme="minorHAnsi" w:hAnsiTheme="minorHAnsi" w:cstheme="minorHAnsi"/>
          <w:sz w:val="22"/>
          <w:szCs w:val="22"/>
        </w:rPr>
        <w:t>D</w:t>
      </w:r>
      <w:r w:rsidRPr="006840E4">
        <w:rPr>
          <w:rFonts w:asciiTheme="minorHAnsi" w:hAnsiTheme="minorHAnsi" w:cstheme="minorHAnsi"/>
          <w:sz w:val="22"/>
          <w:szCs w:val="22"/>
        </w:rPr>
        <w:t xml:space="preserve">efendants be ordered to pay to the </w:t>
      </w:r>
      <w:r w:rsidR="00C4401E" w:rsidRPr="006840E4">
        <w:rPr>
          <w:rFonts w:asciiTheme="minorHAnsi" w:hAnsiTheme="minorHAnsi" w:cstheme="minorHAnsi"/>
          <w:sz w:val="22"/>
          <w:szCs w:val="22"/>
        </w:rPr>
        <w:t>A</w:t>
      </w:r>
      <w:r w:rsidRPr="006840E4">
        <w:rPr>
          <w:rFonts w:asciiTheme="minorHAnsi" w:hAnsiTheme="minorHAnsi" w:cstheme="minorHAnsi"/>
          <w:sz w:val="22"/>
          <w:szCs w:val="22"/>
        </w:rPr>
        <w:t>pplicant the amount of R547</w:t>
      </w:r>
      <w:r w:rsidR="00C4401E" w:rsidRPr="006840E4">
        <w:rPr>
          <w:rFonts w:asciiTheme="minorHAnsi" w:hAnsiTheme="minorHAnsi" w:cstheme="minorHAnsi"/>
          <w:sz w:val="22"/>
          <w:szCs w:val="22"/>
        </w:rPr>
        <w:t> 223.</w:t>
      </w:r>
      <w:r w:rsidR="0089521A">
        <w:rPr>
          <w:rFonts w:asciiTheme="minorHAnsi" w:hAnsiTheme="minorHAnsi" w:cstheme="minorHAnsi"/>
          <w:sz w:val="22"/>
          <w:szCs w:val="22"/>
        </w:rPr>
        <w:t>00</w:t>
      </w:r>
      <w:r w:rsidR="00C4401E" w:rsidRPr="006840E4">
        <w:rPr>
          <w:rFonts w:asciiTheme="minorHAnsi" w:hAnsiTheme="minorHAnsi" w:cstheme="minorHAnsi"/>
          <w:sz w:val="22"/>
          <w:szCs w:val="22"/>
        </w:rPr>
        <w:t>…which is made up of the purchase price of R530 000.00 and R17 223.00 for transfer costs within 14 (fourteen) days of granting of this order, jointly and severally, the one paying the other to be absolved;</w:t>
      </w:r>
    </w:p>
    <w:p w:rsidR="00C4401E" w:rsidRPr="006840E4" w:rsidRDefault="006840E4" w:rsidP="0089521A">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4.</w:t>
      </w:r>
      <w:r>
        <w:rPr>
          <w:rFonts w:asciiTheme="minorHAnsi" w:hAnsiTheme="minorHAnsi" w:cstheme="minorHAnsi"/>
          <w:sz w:val="22"/>
          <w:szCs w:val="22"/>
        </w:rPr>
        <w:tab/>
      </w:r>
      <w:r w:rsidR="00C4401E" w:rsidRPr="006840E4">
        <w:rPr>
          <w:rFonts w:asciiTheme="minorHAnsi" w:hAnsiTheme="minorHAnsi" w:cstheme="minorHAnsi"/>
          <w:sz w:val="22"/>
          <w:szCs w:val="22"/>
        </w:rPr>
        <w:t>The first and second defendants be jointly and severally liable for the transfer costs of transferring the property back to (sic) the name of the seller</w:t>
      </w:r>
      <w:r w:rsidRPr="006840E4">
        <w:rPr>
          <w:rFonts w:asciiTheme="minorHAnsi" w:hAnsiTheme="minorHAnsi" w:cstheme="minorHAnsi"/>
          <w:sz w:val="22"/>
          <w:szCs w:val="22"/>
        </w:rPr>
        <w:t>;</w:t>
      </w:r>
    </w:p>
    <w:p w:rsidR="006840E4" w:rsidRPr="006840E4" w:rsidRDefault="006840E4" w:rsidP="0089521A">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5.</w:t>
      </w:r>
      <w:r>
        <w:rPr>
          <w:rFonts w:asciiTheme="minorHAnsi" w:hAnsiTheme="minorHAnsi" w:cstheme="minorHAnsi"/>
          <w:sz w:val="22"/>
          <w:szCs w:val="22"/>
        </w:rPr>
        <w:tab/>
      </w:r>
      <w:r w:rsidRPr="006840E4">
        <w:rPr>
          <w:rFonts w:asciiTheme="minorHAnsi" w:hAnsiTheme="minorHAnsi" w:cstheme="minorHAnsi"/>
          <w:sz w:val="22"/>
          <w:szCs w:val="22"/>
        </w:rPr>
        <w:t>Interest rate at 10.25% from the date of transfer and registration of the property;</w:t>
      </w:r>
    </w:p>
    <w:p w:rsidR="006840E4" w:rsidRPr="006840E4" w:rsidRDefault="006840E4" w:rsidP="0089521A">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6.</w:t>
      </w:r>
      <w:r>
        <w:rPr>
          <w:rFonts w:asciiTheme="minorHAnsi" w:hAnsiTheme="minorHAnsi" w:cstheme="minorHAnsi"/>
          <w:sz w:val="22"/>
          <w:szCs w:val="22"/>
        </w:rPr>
        <w:tab/>
      </w:r>
      <w:r w:rsidRPr="006840E4">
        <w:rPr>
          <w:rFonts w:asciiTheme="minorHAnsi" w:hAnsiTheme="minorHAnsi" w:cstheme="minorHAnsi"/>
          <w:sz w:val="22"/>
          <w:szCs w:val="22"/>
        </w:rPr>
        <w:t>The First and Second Defendants be ordered to pay the costs of suit, including costs of counsel, jointly and severally, the one paying the other to be absolved, on an attorney and client scale; and</w:t>
      </w:r>
    </w:p>
    <w:p w:rsidR="006840E4" w:rsidRDefault="006840E4" w:rsidP="0089521A">
      <w:pPr>
        <w:pStyle w:val="ListParagraph"/>
        <w:spacing w:after="200" w:line="360" w:lineRule="auto"/>
        <w:ind w:left="1276" w:hanging="425"/>
        <w:jc w:val="both"/>
        <w:rPr>
          <w:rFonts w:asciiTheme="minorHAnsi" w:hAnsiTheme="minorHAnsi" w:cstheme="minorHAnsi"/>
          <w:sz w:val="22"/>
          <w:szCs w:val="22"/>
        </w:rPr>
      </w:pPr>
      <w:r w:rsidRPr="006840E4">
        <w:rPr>
          <w:rFonts w:asciiTheme="minorHAnsi" w:hAnsiTheme="minorHAnsi" w:cstheme="minorHAnsi"/>
          <w:sz w:val="22"/>
          <w:szCs w:val="22"/>
        </w:rPr>
        <w:t>7.</w:t>
      </w:r>
      <w:r>
        <w:rPr>
          <w:rFonts w:asciiTheme="minorHAnsi" w:hAnsiTheme="minorHAnsi" w:cstheme="minorHAnsi"/>
          <w:sz w:val="22"/>
          <w:szCs w:val="22"/>
        </w:rPr>
        <w:tab/>
      </w:r>
      <w:r w:rsidRPr="006840E4">
        <w:rPr>
          <w:rFonts w:asciiTheme="minorHAnsi" w:hAnsiTheme="minorHAnsi" w:cstheme="minorHAnsi"/>
          <w:sz w:val="22"/>
          <w:szCs w:val="22"/>
        </w:rPr>
        <w:t>Further and/or alternative relief.”</w:t>
      </w:r>
    </w:p>
    <w:p w:rsidR="0089521A" w:rsidRDefault="0089521A" w:rsidP="001F466D">
      <w:pPr>
        <w:pStyle w:val="ListParagraph"/>
        <w:rPr>
          <w:rFonts w:asciiTheme="minorHAnsi" w:hAnsiTheme="minorHAnsi" w:cstheme="minorHAnsi"/>
          <w:sz w:val="26"/>
          <w:szCs w:val="26"/>
        </w:rPr>
      </w:pPr>
    </w:p>
    <w:p w:rsidR="001F466D"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1F466D" w:rsidRPr="003123A2">
        <w:rPr>
          <w:rFonts w:asciiTheme="minorHAnsi" w:hAnsiTheme="minorHAnsi" w:cstheme="minorHAnsi"/>
          <w:sz w:val="26"/>
          <w:szCs w:val="26"/>
        </w:rPr>
        <w:t>It bears mention that the second defendant did not oppose the action</w:t>
      </w:r>
      <w:r w:rsidR="00877F1E" w:rsidRPr="003123A2">
        <w:rPr>
          <w:rFonts w:asciiTheme="minorHAnsi" w:hAnsiTheme="minorHAnsi" w:cstheme="minorHAnsi"/>
          <w:sz w:val="26"/>
          <w:szCs w:val="26"/>
        </w:rPr>
        <w:t xml:space="preserve"> itself, nor the application for summary judgment</w:t>
      </w:r>
      <w:r w:rsidR="001F466D" w:rsidRPr="003123A2">
        <w:rPr>
          <w:rFonts w:asciiTheme="minorHAnsi" w:hAnsiTheme="minorHAnsi" w:cstheme="minorHAnsi"/>
          <w:sz w:val="26"/>
          <w:szCs w:val="26"/>
        </w:rPr>
        <w:t xml:space="preserve">. No notice of intention to defend was delivered pursuant to service of the summons. As such, the Plaintiff is entitled to </w:t>
      </w:r>
      <w:r w:rsidR="00554AEB" w:rsidRPr="003123A2">
        <w:rPr>
          <w:rFonts w:asciiTheme="minorHAnsi" w:hAnsiTheme="minorHAnsi" w:cstheme="minorHAnsi"/>
          <w:sz w:val="26"/>
          <w:szCs w:val="26"/>
        </w:rPr>
        <w:t xml:space="preserve">pursue her procedural right to </w:t>
      </w:r>
      <w:r w:rsidR="001F466D" w:rsidRPr="003123A2">
        <w:rPr>
          <w:rFonts w:asciiTheme="minorHAnsi" w:hAnsiTheme="minorHAnsi" w:cstheme="minorHAnsi"/>
          <w:sz w:val="26"/>
          <w:szCs w:val="26"/>
        </w:rPr>
        <w:t>seek default judgment against the second defendant</w:t>
      </w:r>
      <w:r w:rsidR="00554AEB" w:rsidRPr="003123A2">
        <w:rPr>
          <w:rFonts w:asciiTheme="minorHAnsi" w:hAnsiTheme="minorHAnsi" w:cstheme="minorHAnsi"/>
          <w:sz w:val="26"/>
          <w:szCs w:val="26"/>
        </w:rPr>
        <w:t>.</w:t>
      </w:r>
      <w:r w:rsidR="001F466D" w:rsidRPr="003123A2">
        <w:rPr>
          <w:rFonts w:asciiTheme="minorHAnsi" w:hAnsiTheme="minorHAnsi" w:cstheme="minorHAnsi"/>
          <w:sz w:val="26"/>
          <w:szCs w:val="26"/>
        </w:rPr>
        <w:t xml:space="preserve"> No plea having been delivered by the second defendant, it is axiomatic that summary judgment cannot be sought </w:t>
      </w:r>
      <w:r w:rsidR="00877F1E" w:rsidRPr="003123A2">
        <w:rPr>
          <w:rFonts w:asciiTheme="minorHAnsi" w:hAnsiTheme="minorHAnsi" w:cstheme="minorHAnsi"/>
          <w:sz w:val="26"/>
          <w:szCs w:val="26"/>
        </w:rPr>
        <w:t xml:space="preserve">or granted </w:t>
      </w:r>
      <w:r w:rsidR="001F466D" w:rsidRPr="003123A2">
        <w:rPr>
          <w:rFonts w:asciiTheme="minorHAnsi" w:hAnsiTheme="minorHAnsi" w:cstheme="minorHAnsi"/>
          <w:sz w:val="26"/>
          <w:szCs w:val="26"/>
        </w:rPr>
        <w:t xml:space="preserve">against the second defendant in terms of the provisions of </w:t>
      </w:r>
      <w:r w:rsidR="00436A8C" w:rsidRPr="003123A2">
        <w:rPr>
          <w:rFonts w:asciiTheme="minorHAnsi" w:hAnsiTheme="minorHAnsi" w:cstheme="minorHAnsi"/>
          <w:sz w:val="26"/>
          <w:szCs w:val="26"/>
        </w:rPr>
        <w:t xml:space="preserve">the </w:t>
      </w:r>
      <w:r w:rsidR="001F466D" w:rsidRPr="003123A2">
        <w:rPr>
          <w:rFonts w:asciiTheme="minorHAnsi" w:hAnsiTheme="minorHAnsi" w:cstheme="minorHAnsi"/>
          <w:sz w:val="26"/>
          <w:szCs w:val="26"/>
        </w:rPr>
        <w:t xml:space="preserve">amended uniform Rule 32. </w:t>
      </w:r>
      <w:r w:rsidR="00D65E2A">
        <w:rPr>
          <w:rStyle w:val="FootnoteReference"/>
          <w:rFonts w:asciiTheme="minorHAnsi" w:hAnsiTheme="minorHAnsi" w:cstheme="minorHAnsi"/>
          <w:sz w:val="26"/>
          <w:szCs w:val="26"/>
        </w:rPr>
        <w:footnoteReference w:id="1"/>
      </w:r>
    </w:p>
    <w:p w:rsidR="001F466D" w:rsidRDefault="001F466D" w:rsidP="001F466D">
      <w:pPr>
        <w:pStyle w:val="ListParagrap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sidRPr="001D3B95">
        <w:rPr>
          <w:rFonts w:asciiTheme="minorHAnsi" w:hAnsiTheme="minorHAnsi"/>
          <w:sz w:val="24"/>
          <w:szCs w:val="24"/>
        </w:rPr>
        <w:t>4.</w:t>
      </w:r>
      <w:r w:rsidRPr="001D3B95">
        <w:rPr>
          <w:rFonts w:asciiTheme="minorHAnsi" w:hAnsiTheme="minorHAnsi"/>
          <w:sz w:val="24"/>
          <w:szCs w:val="24"/>
        </w:rPr>
        <w:tab/>
      </w:r>
      <w:r w:rsidR="001F466D" w:rsidRPr="003123A2">
        <w:rPr>
          <w:rFonts w:asciiTheme="minorHAnsi" w:hAnsiTheme="minorHAnsi" w:cstheme="minorHAnsi"/>
          <w:sz w:val="26"/>
          <w:szCs w:val="26"/>
        </w:rPr>
        <w:t xml:space="preserve">The </w:t>
      </w:r>
      <w:r w:rsidR="00D033C5" w:rsidRPr="003123A2">
        <w:rPr>
          <w:rFonts w:asciiTheme="minorHAnsi" w:hAnsiTheme="minorHAnsi" w:cstheme="minorHAnsi"/>
          <w:sz w:val="26"/>
          <w:szCs w:val="26"/>
        </w:rPr>
        <w:t>plaintiff seeks</w:t>
      </w:r>
      <w:r w:rsidR="001F466D" w:rsidRPr="003123A2">
        <w:rPr>
          <w:rFonts w:asciiTheme="minorHAnsi" w:hAnsiTheme="minorHAnsi" w:cstheme="minorHAnsi"/>
          <w:sz w:val="26"/>
          <w:szCs w:val="26"/>
        </w:rPr>
        <w:t xml:space="preserve"> condonation for the late filing of the summary judgment application</w:t>
      </w:r>
      <w:r w:rsidR="00D033C5" w:rsidRPr="003123A2">
        <w:rPr>
          <w:rFonts w:asciiTheme="minorHAnsi" w:hAnsiTheme="minorHAnsi" w:cstheme="minorHAnsi"/>
          <w:sz w:val="26"/>
          <w:szCs w:val="26"/>
        </w:rPr>
        <w:t>. The condonation application</w:t>
      </w:r>
      <w:r w:rsidR="001F466D" w:rsidRPr="003123A2">
        <w:rPr>
          <w:rFonts w:asciiTheme="minorHAnsi" w:hAnsiTheme="minorHAnsi" w:cstheme="minorHAnsi"/>
          <w:sz w:val="26"/>
          <w:szCs w:val="26"/>
        </w:rPr>
        <w:t xml:space="preserve"> was not opposed by the first defendant.</w:t>
      </w:r>
      <w:r w:rsidR="00E46046" w:rsidRPr="003123A2">
        <w:rPr>
          <w:rFonts w:asciiTheme="minorHAnsi" w:hAnsiTheme="minorHAnsi" w:cstheme="minorHAnsi"/>
          <w:sz w:val="26"/>
          <w:szCs w:val="26"/>
        </w:rPr>
        <w:t xml:space="preserve"> </w:t>
      </w:r>
      <w:r w:rsidR="00D033C5" w:rsidRPr="003123A2">
        <w:rPr>
          <w:rFonts w:asciiTheme="minorHAnsi" w:hAnsiTheme="minorHAnsi" w:cstheme="minorHAnsi"/>
          <w:sz w:val="26"/>
          <w:szCs w:val="26"/>
        </w:rPr>
        <w:t>The delay in filing the summary judgment application was less than 10 days and no prejudice resulted therefrom. As the delay was satisfactorily explained by the plaintiff, it is in the interests of justice that condonation be granted.</w:t>
      </w:r>
    </w:p>
    <w:p w:rsidR="00E46046" w:rsidRPr="001D3B95" w:rsidRDefault="00E46046" w:rsidP="00E46046">
      <w:pPr>
        <w:pStyle w:val="ListParagraph"/>
        <w:rPr>
          <w:rFonts w:asciiTheme="minorHAnsi" w:hAnsiTheme="minorHAnsi" w:cstheme="minorHAnsi"/>
          <w:sz w:val="26"/>
          <w:szCs w:val="26"/>
        </w:rPr>
      </w:pPr>
    </w:p>
    <w:p w:rsidR="00436A8C" w:rsidRPr="003123A2" w:rsidRDefault="003123A2" w:rsidP="003123A2">
      <w:pPr>
        <w:spacing w:after="200" w:line="360" w:lineRule="auto"/>
        <w:ind w:left="851" w:hanging="851"/>
        <w:jc w:val="both"/>
        <w:rPr>
          <w:rFonts w:asciiTheme="minorHAnsi" w:hAnsiTheme="minorHAnsi" w:cstheme="minorHAnsi"/>
          <w:sz w:val="26"/>
          <w:szCs w:val="26"/>
        </w:rPr>
      </w:pPr>
      <w:r w:rsidRPr="00436A8C">
        <w:rPr>
          <w:rFonts w:asciiTheme="minorHAnsi" w:hAnsiTheme="minorHAnsi"/>
          <w:sz w:val="24"/>
          <w:szCs w:val="24"/>
        </w:rPr>
        <w:t>5.</w:t>
      </w:r>
      <w:r w:rsidRPr="00436A8C">
        <w:rPr>
          <w:rFonts w:asciiTheme="minorHAnsi" w:hAnsiTheme="minorHAnsi"/>
          <w:sz w:val="24"/>
          <w:szCs w:val="24"/>
        </w:rPr>
        <w:tab/>
      </w:r>
      <w:r w:rsidR="00436A8C" w:rsidRPr="003123A2">
        <w:rPr>
          <w:rFonts w:asciiTheme="minorHAnsi" w:hAnsiTheme="minorHAnsi" w:cstheme="minorHAnsi"/>
          <w:color w:val="242121"/>
          <w:sz w:val="26"/>
          <w:szCs w:val="26"/>
          <w:shd w:val="clear" w:color="auto" w:fill="FFFFFF"/>
        </w:rPr>
        <w:t>In terms of Rule 32(2)(b), a plaintiff is required to ‘verify the cause of action…identify any point of law relied upon and the facts upon which the plaintiff’s claim is based…explain briefly why the defence as pleaded does not raise any issue for trial’. Thus, in order to comply with subrule 2(b), the affidavit filed in support of the application must contain:</w:t>
      </w:r>
      <w:r w:rsidR="00436A8C">
        <w:rPr>
          <w:rStyle w:val="FootnoteReference"/>
          <w:rFonts w:asciiTheme="minorHAnsi" w:hAnsiTheme="minorHAnsi" w:cstheme="minorHAnsi"/>
          <w:color w:val="242121"/>
          <w:sz w:val="26"/>
          <w:szCs w:val="26"/>
          <w:shd w:val="clear" w:color="auto" w:fill="FFFFFF"/>
        </w:rPr>
        <w:footnoteReference w:id="2"/>
      </w:r>
      <w:r w:rsidR="00436A8C" w:rsidRPr="003123A2">
        <w:rPr>
          <w:rFonts w:asciiTheme="minorHAnsi" w:hAnsiTheme="minorHAnsi" w:cstheme="minorHAnsi"/>
          <w:color w:val="242121"/>
          <w:sz w:val="26"/>
          <w:szCs w:val="26"/>
          <w:shd w:val="clear" w:color="auto" w:fill="FFFFFF"/>
        </w:rPr>
        <w:t xml:space="preserve"> </w:t>
      </w:r>
    </w:p>
    <w:p w:rsidR="00E46046" w:rsidRPr="003123A2" w:rsidRDefault="003123A2" w:rsidP="003123A2">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436A8C" w:rsidRPr="003123A2">
        <w:rPr>
          <w:rFonts w:asciiTheme="minorHAnsi" w:hAnsiTheme="minorHAnsi" w:cstheme="minorHAnsi"/>
          <w:sz w:val="26"/>
          <w:szCs w:val="26"/>
        </w:rPr>
        <w:t>A verification of the cause of action and the amount, if any, claimed;</w:t>
      </w:r>
    </w:p>
    <w:p w:rsidR="00436A8C" w:rsidRPr="003123A2" w:rsidRDefault="003123A2" w:rsidP="003123A2">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r>
      <w:r w:rsidR="00436A8C" w:rsidRPr="003123A2">
        <w:rPr>
          <w:rFonts w:asciiTheme="minorHAnsi" w:hAnsiTheme="minorHAnsi" w:cstheme="minorHAnsi"/>
          <w:sz w:val="26"/>
          <w:szCs w:val="26"/>
        </w:rPr>
        <w:t>An identification of any point of law relied upon;</w:t>
      </w:r>
    </w:p>
    <w:p w:rsidR="00436A8C" w:rsidRPr="003123A2" w:rsidRDefault="003123A2" w:rsidP="003123A2">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(3)</w:t>
      </w:r>
      <w:r>
        <w:rPr>
          <w:rFonts w:asciiTheme="minorHAnsi" w:hAnsiTheme="minorHAnsi" w:cstheme="minorHAnsi"/>
          <w:sz w:val="26"/>
          <w:szCs w:val="26"/>
        </w:rPr>
        <w:tab/>
      </w:r>
      <w:r w:rsidR="00436A8C" w:rsidRPr="003123A2">
        <w:rPr>
          <w:rFonts w:asciiTheme="minorHAnsi" w:hAnsiTheme="minorHAnsi" w:cstheme="minorHAnsi"/>
          <w:sz w:val="26"/>
          <w:szCs w:val="26"/>
        </w:rPr>
        <w:t xml:space="preserve">An identification of the facts upon which the plaintiff’s claim is based upon; and </w:t>
      </w:r>
    </w:p>
    <w:p w:rsidR="00436A8C" w:rsidRPr="003123A2" w:rsidRDefault="003123A2" w:rsidP="003123A2">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(4)</w:t>
      </w:r>
      <w:r>
        <w:rPr>
          <w:rFonts w:asciiTheme="minorHAnsi" w:hAnsiTheme="minorHAnsi" w:cstheme="minorHAnsi"/>
          <w:sz w:val="26"/>
          <w:szCs w:val="26"/>
        </w:rPr>
        <w:tab/>
      </w:r>
      <w:r w:rsidR="00436A8C" w:rsidRPr="003123A2">
        <w:rPr>
          <w:rFonts w:asciiTheme="minorHAnsi" w:hAnsiTheme="minorHAnsi" w:cstheme="minorHAnsi"/>
          <w:sz w:val="26"/>
          <w:szCs w:val="26"/>
        </w:rPr>
        <w:t>A brief explanation as to why the defence as pleaded does not raise any issue for trial.</w:t>
      </w:r>
    </w:p>
    <w:p w:rsidR="00E46046" w:rsidRDefault="00E46046" w:rsidP="00E46046">
      <w:pPr>
        <w:pStyle w:val="ListParagraph"/>
        <w:rPr>
          <w:rFonts w:asciiTheme="minorHAnsi" w:hAnsiTheme="minorHAnsi" w:cstheme="minorHAnsi"/>
          <w:sz w:val="26"/>
          <w:szCs w:val="26"/>
        </w:rPr>
      </w:pPr>
    </w:p>
    <w:p w:rsidR="00DB2082" w:rsidRPr="003123A2" w:rsidRDefault="003123A2" w:rsidP="003123A2">
      <w:pPr>
        <w:spacing w:after="200" w:line="360" w:lineRule="auto"/>
        <w:ind w:left="851" w:hanging="851"/>
        <w:jc w:val="both"/>
        <w:rPr>
          <w:color w:val="242121"/>
          <w:sz w:val="26"/>
          <w:szCs w:val="26"/>
          <w:shd w:val="clear" w:color="auto" w:fill="FFFFFF"/>
        </w:rPr>
      </w:pPr>
      <w:r>
        <w:rPr>
          <w:rFonts w:asciiTheme="minorHAnsi" w:hAnsiTheme="minorHAnsi"/>
          <w:color w:val="242121"/>
          <w:sz w:val="24"/>
          <w:szCs w:val="24"/>
        </w:rPr>
        <w:t>6.</w:t>
      </w:r>
      <w:r>
        <w:rPr>
          <w:rFonts w:asciiTheme="minorHAnsi" w:hAnsiTheme="minorHAnsi"/>
          <w:color w:val="242121"/>
          <w:sz w:val="24"/>
          <w:szCs w:val="24"/>
        </w:rPr>
        <w:tab/>
      </w:r>
      <w:r w:rsidR="007162DE" w:rsidRPr="003123A2">
        <w:rPr>
          <w:rFonts w:asciiTheme="minorHAnsi" w:hAnsiTheme="minorHAnsi" w:cstheme="minorHAnsi"/>
          <w:color w:val="242121"/>
          <w:sz w:val="26"/>
          <w:szCs w:val="26"/>
          <w:shd w:val="clear" w:color="auto" w:fill="FFFFFF"/>
        </w:rPr>
        <w:t xml:space="preserve">The learned authors in </w:t>
      </w:r>
      <w:r w:rsidR="00D65E2A" w:rsidRPr="003123A2">
        <w:rPr>
          <w:rFonts w:asciiTheme="minorHAnsi" w:hAnsiTheme="minorHAnsi" w:cstheme="minorHAnsi"/>
          <w:i/>
          <w:iCs/>
          <w:color w:val="242121"/>
          <w:sz w:val="26"/>
          <w:szCs w:val="26"/>
          <w:shd w:val="clear" w:color="auto" w:fill="FFFFFF"/>
        </w:rPr>
        <w:t>Erasmus</w:t>
      </w:r>
      <w:r w:rsidR="007162DE" w:rsidRPr="003123A2">
        <w:rPr>
          <w:rFonts w:asciiTheme="minorHAnsi" w:hAnsiTheme="minorHAnsi" w:cstheme="minorHAnsi"/>
          <w:color w:val="242121"/>
          <w:sz w:val="26"/>
          <w:szCs w:val="26"/>
          <w:shd w:val="clear" w:color="auto" w:fill="FFFFFF"/>
        </w:rPr>
        <w:t xml:space="preserve"> </w:t>
      </w:r>
      <w:r w:rsidR="00D65E2A" w:rsidRPr="003123A2">
        <w:rPr>
          <w:rFonts w:asciiTheme="minorHAnsi" w:hAnsiTheme="minorHAnsi" w:cstheme="minorHAnsi"/>
          <w:color w:val="242121"/>
          <w:sz w:val="26"/>
          <w:szCs w:val="26"/>
          <w:shd w:val="clear" w:color="auto" w:fill="FFFFFF"/>
        </w:rPr>
        <w:t>submit that a court will have to be satisfied that each of these requirements has been fulfilled before it can hold that there has been proper compliance with sub</w:t>
      </w:r>
      <w:r w:rsidR="007162DE" w:rsidRPr="003123A2">
        <w:rPr>
          <w:rFonts w:asciiTheme="minorHAnsi" w:hAnsiTheme="minorHAnsi" w:cstheme="minorHAnsi"/>
          <w:color w:val="242121"/>
          <w:sz w:val="26"/>
          <w:szCs w:val="26"/>
          <w:shd w:val="clear" w:color="auto" w:fill="FFFFFF"/>
        </w:rPr>
        <w:t>-</w:t>
      </w:r>
      <w:r w:rsidR="00D65E2A" w:rsidRPr="003123A2">
        <w:rPr>
          <w:rFonts w:asciiTheme="minorHAnsi" w:hAnsiTheme="minorHAnsi" w:cstheme="minorHAnsi"/>
          <w:color w:val="242121"/>
          <w:sz w:val="26"/>
          <w:szCs w:val="26"/>
          <w:shd w:val="clear" w:color="auto" w:fill="FFFFFF"/>
        </w:rPr>
        <w:t>rule (2)(b)</w:t>
      </w:r>
      <w:r w:rsidR="00E46046" w:rsidRPr="003123A2">
        <w:rPr>
          <w:rFonts w:asciiTheme="minorHAnsi" w:hAnsiTheme="minorHAnsi" w:cstheme="minorHAnsi"/>
          <w:sz w:val="26"/>
          <w:szCs w:val="26"/>
        </w:rPr>
        <w:t>.</w:t>
      </w:r>
      <w:r w:rsidR="00D65E2A">
        <w:rPr>
          <w:rStyle w:val="FootnoteReference"/>
          <w:rFonts w:asciiTheme="minorHAnsi" w:hAnsiTheme="minorHAnsi" w:cstheme="minorHAnsi"/>
          <w:sz w:val="26"/>
          <w:szCs w:val="26"/>
        </w:rPr>
        <w:footnoteReference w:id="3"/>
      </w:r>
      <w:r w:rsidR="00D65E2A" w:rsidRPr="003123A2">
        <w:rPr>
          <w:rFonts w:asciiTheme="minorHAnsi" w:hAnsiTheme="minorHAnsi" w:cstheme="minorHAnsi"/>
          <w:sz w:val="26"/>
          <w:szCs w:val="26"/>
        </w:rPr>
        <w:t xml:space="preserve"> </w:t>
      </w:r>
      <w:r w:rsidR="00D65E2A" w:rsidRPr="003123A2">
        <w:rPr>
          <w:rFonts w:asciiTheme="minorHAnsi" w:hAnsiTheme="minorHAnsi" w:cstheme="minorHAnsi"/>
          <w:color w:val="242121"/>
          <w:sz w:val="26"/>
          <w:szCs w:val="26"/>
          <w:shd w:val="clear" w:color="auto" w:fill="FFFFFF"/>
        </w:rPr>
        <w:t>What must be verified are the facts as alleged in the summons.</w:t>
      </w:r>
      <w:bookmarkStart w:id="1" w:name="_ftnref12"/>
      <w:r w:rsidR="009937AF">
        <w:rPr>
          <w:rStyle w:val="FootnoteReference"/>
          <w:rFonts w:asciiTheme="minorHAnsi" w:hAnsiTheme="minorHAnsi" w:cstheme="minorHAnsi"/>
          <w:color w:val="242121"/>
          <w:sz w:val="26"/>
          <w:szCs w:val="26"/>
          <w:shd w:val="clear" w:color="auto" w:fill="FFFFFF"/>
        </w:rPr>
        <w:footnoteReference w:id="4"/>
      </w:r>
      <w:bookmarkEnd w:id="1"/>
      <w:r w:rsidR="00601CF2" w:rsidRPr="003123A2">
        <w:rPr>
          <w:rFonts w:asciiTheme="minorHAnsi" w:eastAsiaTheme="majorEastAsia" w:hAnsiTheme="minorHAnsi" w:cstheme="minorHAnsi"/>
          <w:bCs/>
          <w:sz w:val="26"/>
          <w:szCs w:val="26"/>
          <w:shd w:val="clear" w:color="auto" w:fill="FFFFFF"/>
        </w:rPr>
        <w:t xml:space="preserve"> </w:t>
      </w:r>
      <w:r w:rsidR="00D65E2A" w:rsidRPr="003123A2">
        <w:rPr>
          <w:rFonts w:asciiTheme="minorHAnsi" w:hAnsiTheme="minorHAnsi" w:cstheme="minorHAnsi"/>
          <w:color w:val="242121"/>
          <w:sz w:val="26"/>
          <w:szCs w:val="26"/>
          <w:shd w:val="clear" w:color="auto" w:fill="FFFFFF"/>
        </w:rPr>
        <w:t>Further, the deponent to the affidavit in support of the application for summary judgment must verify what has been referred to as a complete or perfected cause of action.</w:t>
      </w:r>
      <w:bookmarkStart w:id="2" w:name="_ftnref13"/>
      <w:r w:rsidR="009937AF">
        <w:rPr>
          <w:rStyle w:val="FootnoteReference"/>
          <w:rFonts w:asciiTheme="minorHAnsi" w:hAnsiTheme="minorHAnsi" w:cstheme="minorHAnsi"/>
          <w:color w:val="242121"/>
          <w:sz w:val="26"/>
          <w:szCs w:val="26"/>
          <w:shd w:val="clear" w:color="auto" w:fill="FFFFFF"/>
        </w:rPr>
        <w:footnoteReference w:id="5"/>
      </w:r>
      <w:bookmarkEnd w:id="2"/>
      <w:r w:rsidR="00601CF2" w:rsidRPr="003123A2">
        <w:rPr>
          <w:rFonts w:asciiTheme="minorHAnsi" w:eastAsiaTheme="majorEastAsia" w:hAnsiTheme="minorHAnsi" w:cstheme="minorHAnsi"/>
          <w:bCs/>
          <w:sz w:val="26"/>
          <w:szCs w:val="26"/>
          <w:shd w:val="clear" w:color="auto" w:fill="FFFFFF"/>
        </w:rPr>
        <w:t xml:space="preserve"> </w:t>
      </w:r>
      <w:r w:rsidR="00DB2082" w:rsidRPr="003123A2">
        <w:rPr>
          <w:rFonts w:asciiTheme="minorHAnsi" w:eastAsiaTheme="majorEastAsia" w:hAnsiTheme="minorHAnsi" w:cstheme="minorHAnsi"/>
          <w:bCs/>
          <w:sz w:val="26"/>
          <w:szCs w:val="26"/>
          <w:shd w:val="clear" w:color="auto" w:fill="FFFFFF"/>
        </w:rPr>
        <w:t xml:space="preserve">As pointed out in </w:t>
      </w:r>
      <w:r w:rsidR="00DB2082" w:rsidRPr="003123A2">
        <w:rPr>
          <w:rFonts w:asciiTheme="minorHAnsi" w:hAnsiTheme="minorHAnsi" w:cstheme="minorHAnsi"/>
          <w:i/>
          <w:sz w:val="26"/>
          <w:szCs w:val="26"/>
          <w:lang w:eastAsia="en-ZA"/>
        </w:rPr>
        <w:t>Mphahlele,</w:t>
      </w:r>
      <w:r w:rsidR="00DB2082">
        <w:rPr>
          <w:rStyle w:val="FootnoteReference"/>
          <w:rFonts w:asciiTheme="minorHAnsi" w:hAnsiTheme="minorHAnsi" w:cstheme="minorHAnsi"/>
          <w:i/>
          <w:sz w:val="26"/>
          <w:szCs w:val="26"/>
          <w:lang w:eastAsia="en-ZA"/>
        </w:rPr>
        <w:footnoteReference w:id="6"/>
      </w:r>
      <w:r w:rsidR="00DB2082" w:rsidRPr="003123A2">
        <w:rPr>
          <w:rFonts w:asciiTheme="minorHAnsi" w:hAnsiTheme="minorHAnsi" w:cstheme="minorHAnsi"/>
          <w:i/>
          <w:sz w:val="26"/>
          <w:szCs w:val="26"/>
          <w:lang w:eastAsia="en-ZA"/>
        </w:rPr>
        <w:t xml:space="preserve"> ‘</w:t>
      </w:r>
      <w:r w:rsidR="00DB2082" w:rsidRPr="003123A2">
        <w:rPr>
          <w:rFonts w:asciiTheme="minorHAnsi" w:hAnsiTheme="minorHAnsi" w:cstheme="minorHAnsi"/>
          <w:color w:val="242121"/>
          <w:sz w:val="26"/>
          <w:szCs w:val="26"/>
          <w:shd w:val="clear" w:color="auto" w:fill="FFFFFF"/>
        </w:rPr>
        <w:t>From the aforegoing, it is clear that this requirement of the sub</w:t>
      </w:r>
      <w:r w:rsidR="007162DE" w:rsidRPr="003123A2">
        <w:rPr>
          <w:rFonts w:asciiTheme="minorHAnsi" w:hAnsiTheme="minorHAnsi" w:cstheme="minorHAnsi"/>
          <w:color w:val="242121"/>
          <w:sz w:val="26"/>
          <w:szCs w:val="26"/>
          <w:shd w:val="clear" w:color="auto" w:fill="FFFFFF"/>
        </w:rPr>
        <w:t>-</w:t>
      </w:r>
      <w:r w:rsidR="00DB2082" w:rsidRPr="003123A2">
        <w:rPr>
          <w:rFonts w:asciiTheme="minorHAnsi" w:hAnsiTheme="minorHAnsi" w:cstheme="minorHAnsi"/>
          <w:color w:val="242121"/>
          <w:sz w:val="26"/>
          <w:szCs w:val="26"/>
          <w:shd w:val="clear" w:color="auto" w:fill="FFFFFF"/>
        </w:rPr>
        <w:t>rule does not provide for a verification of evidence or the supplementing of a cause of action with evidence. It is confined solely to those facts which are already present and as pleaded in the plaintiff’s summons (it being trite that a plaintiff in summary judgment proceedings is prohibited from taking a further procedural step in the proceedings by, for example, amending the particulars of claim and then seeking to claim summary judgment).’</w:t>
      </w:r>
    </w:p>
    <w:p w:rsidR="00E46046" w:rsidRPr="00346533" w:rsidRDefault="00E46046" w:rsidP="00E46046">
      <w:pPr>
        <w:pStyle w:val="ListParagrap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sidRPr="00C336F0">
        <w:rPr>
          <w:rFonts w:asciiTheme="minorHAnsi" w:hAnsiTheme="minorHAnsi"/>
          <w:sz w:val="24"/>
          <w:szCs w:val="24"/>
        </w:rPr>
        <w:t>7.</w:t>
      </w:r>
      <w:r w:rsidRPr="00C336F0">
        <w:rPr>
          <w:rFonts w:asciiTheme="minorHAnsi" w:hAnsiTheme="minorHAnsi"/>
          <w:sz w:val="24"/>
          <w:szCs w:val="24"/>
        </w:rPr>
        <w:tab/>
      </w:r>
      <w:r w:rsidR="00554AEB" w:rsidRPr="003123A2">
        <w:rPr>
          <w:rFonts w:asciiTheme="minorHAnsi" w:hAnsiTheme="minorHAnsi" w:cstheme="minorHAnsi"/>
          <w:sz w:val="26"/>
          <w:szCs w:val="26"/>
        </w:rPr>
        <w:t xml:space="preserve">The first defendant argues that a claim for cancellation does not fall within the purview of rule 32. In the view I take of the matter, it is not necessary to decide this point in these proceedings. </w:t>
      </w:r>
      <w:r w:rsidR="00601CF2" w:rsidRPr="003123A2">
        <w:rPr>
          <w:rFonts w:asciiTheme="minorHAnsi" w:hAnsiTheme="minorHAnsi" w:cstheme="minorHAnsi"/>
          <w:sz w:val="26"/>
          <w:szCs w:val="26"/>
        </w:rPr>
        <w:t xml:space="preserve">In the present case, the plaintiff failed to verify the facts alleged in the summons. The plaintiff further failed to verify the cause of action, which </w:t>
      </w:r>
      <w:r w:rsidR="00601CF2" w:rsidRPr="003123A2">
        <w:rPr>
          <w:rFonts w:asciiTheme="minorHAnsi" w:hAnsiTheme="minorHAnsi" w:cstheme="minorHAnsi"/>
          <w:i/>
          <w:sz w:val="26"/>
          <w:szCs w:val="26"/>
        </w:rPr>
        <w:t>ex facie</w:t>
      </w:r>
      <w:r w:rsidR="00601CF2" w:rsidRPr="003123A2">
        <w:rPr>
          <w:rFonts w:asciiTheme="minorHAnsi" w:hAnsiTheme="minorHAnsi" w:cstheme="minorHAnsi"/>
          <w:sz w:val="26"/>
          <w:szCs w:val="26"/>
        </w:rPr>
        <w:t xml:space="preserve"> the allegations in the particulars of claim, does not in any event constitute a complete cause of action</w:t>
      </w:r>
      <w:r w:rsidR="00E46046" w:rsidRPr="003123A2">
        <w:rPr>
          <w:rFonts w:asciiTheme="minorHAnsi" w:hAnsiTheme="minorHAnsi" w:cstheme="minorHAnsi"/>
          <w:sz w:val="26"/>
          <w:szCs w:val="26"/>
        </w:rPr>
        <w:t xml:space="preserve">. </w:t>
      </w:r>
      <w:r w:rsidR="00601CF2" w:rsidRPr="003123A2">
        <w:rPr>
          <w:rFonts w:asciiTheme="minorHAnsi" w:hAnsiTheme="minorHAnsi" w:cstheme="minorHAnsi"/>
          <w:sz w:val="26"/>
          <w:szCs w:val="26"/>
        </w:rPr>
        <w:t>I say so for the following reasons:</w:t>
      </w:r>
    </w:p>
    <w:p w:rsidR="00E46046" w:rsidRPr="00E85CE9" w:rsidRDefault="00E46046" w:rsidP="00E46046">
      <w:pPr>
        <w:pStyle w:val="ListParagraph"/>
        <w:rPr>
          <w:rFonts w:asciiTheme="minorHAnsi" w:hAnsiTheme="minorHAnsi" w:cstheme="minorHAnsi"/>
          <w:sz w:val="26"/>
          <w:szCs w:val="26"/>
        </w:rPr>
      </w:pPr>
    </w:p>
    <w:p w:rsidR="00DA398F"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r>
        <w:rPr>
          <w:rFonts w:asciiTheme="minorHAnsi" w:hAnsiTheme="minorHAnsi"/>
          <w:sz w:val="24"/>
          <w:szCs w:val="24"/>
        </w:rPr>
        <w:tab/>
      </w:r>
      <w:r w:rsidR="00601CF2" w:rsidRPr="003123A2">
        <w:rPr>
          <w:rFonts w:asciiTheme="minorHAnsi" w:hAnsiTheme="minorHAnsi" w:cstheme="minorHAnsi"/>
          <w:sz w:val="26"/>
          <w:szCs w:val="26"/>
        </w:rPr>
        <w:t>The plaintiff (as buyer) seeks cancellation of a written sale agreement concluded with the second defendant (as seller). The buyer</w:t>
      </w:r>
      <w:r w:rsidR="00496DA2" w:rsidRPr="003123A2">
        <w:rPr>
          <w:rFonts w:asciiTheme="minorHAnsi" w:hAnsiTheme="minorHAnsi" w:cstheme="minorHAnsi"/>
          <w:sz w:val="26"/>
          <w:szCs w:val="26"/>
        </w:rPr>
        <w:t>’</w:t>
      </w:r>
      <w:r w:rsidR="00601CF2" w:rsidRPr="003123A2">
        <w:rPr>
          <w:rFonts w:asciiTheme="minorHAnsi" w:hAnsiTheme="minorHAnsi" w:cstheme="minorHAnsi"/>
          <w:sz w:val="26"/>
          <w:szCs w:val="26"/>
        </w:rPr>
        <w:t>s written offer of purchase</w:t>
      </w:r>
      <w:r w:rsidR="00496DA2" w:rsidRPr="003123A2">
        <w:rPr>
          <w:rFonts w:asciiTheme="minorHAnsi" w:hAnsiTheme="minorHAnsi" w:cstheme="minorHAnsi"/>
          <w:sz w:val="26"/>
          <w:szCs w:val="26"/>
        </w:rPr>
        <w:t>, which was signed by her,</w:t>
      </w:r>
      <w:r w:rsidR="00601CF2" w:rsidRPr="003123A2">
        <w:rPr>
          <w:rFonts w:asciiTheme="minorHAnsi" w:hAnsiTheme="minorHAnsi" w:cstheme="minorHAnsi"/>
          <w:sz w:val="26"/>
          <w:szCs w:val="26"/>
        </w:rPr>
        <w:t xml:space="preserve"> was accepted by the seller</w:t>
      </w:r>
      <w:r w:rsidR="00496DA2" w:rsidRPr="003123A2">
        <w:rPr>
          <w:rFonts w:asciiTheme="minorHAnsi" w:hAnsiTheme="minorHAnsi" w:cstheme="minorHAnsi"/>
          <w:sz w:val="26"/>
          <w:szCs w:val="26"/>
        </w:rPr>
        <w:t xml:space="preserve"> who signed same.</w:t>
      </w:r>
      <w:r w:rsidR="00DB2082">
        <w:rPr>
          <w:rStyle w:val="FootnoteReference"/>
          <w:rFonts w:asciiTheme="minorHAnsi" w:hAnsiTheme="minorHAnsi" w:cstheme="minorHAnsi"/>
          <w:sz w:val="26"/>
          <w:szCs w:val="26"/>
        </w:rPr>
        <w:footnoteReference w:id="7"/>
      </w:r>
      <w:r w:rsidR="00496DA2" w:rsidRPr="003123A2">
        <w:rPr>
          <w:rFonts w:asciiTheme="minorHAnsi" w:hAnsiTheme="minorHAnsi" w:cstheme="minorHAnsi"/>
          <w:sz w:val="26"/>
          <w:szCs w:val="26"/>
        </w:rPr>
        <w:t xml:space="preserve"> I</w:t>
      </w:r>
      <w:r w:rsidR="00601CF2" w:rsidRPr="003123A2">
        <w:rPr>
          <w:rFonts w:asciiTheme="minorHAnsi" w:hAnsiTheme="minorHAnsi" w:cstheme="minorHAnsi"/>
          <w:sz w:val="26"/>
          <w:szCs w:val="26"/>
        </w:rPr>
        <w:t>n the result, a binding sale agreement came into being as between the plaintiff and the second defendant.</w:t>
      </w:r>
      <w:r w:rsidR="00DB2082">
        <w:rPr>
          <w:rStyle w:val="FootnoteReference"/>
          <w:rFonts w:asciiTheme="minorHAnsi" w:hAnsiTheme="minorHAnsi" w:cstheme="minorHAnsi"/>
          <w:sz w:val="26"/>
          <w:szCs w:val="26"/>
        </w:rPr>
        <w:footnoteReference w:id="8"/>
      </w:r>
      <w:r w:rsidR="00601CF2" w:rsidRPr="003123A2">
        <w:rPr>
          <w:rFonts w:asciiTheme="minorHAnsi" w:hAnsiTheme="minorHAnsi" w:cstheme="minorHAnsi"/>
          <w:sz w:val="26"/>
          <w:szCs w:val="26"/>
        </w:rPr>
        <w:t xml:space="preserve"> In terms of the agreement, the seller sold an immovable property to the buyer. The buyer was to pay the purchase price and any transfer costs associated with registration</w:t>
      </w:r>
      <w:r w:rsidR="00496DA2" w:rsidRPr="003123A2">
        <w:rPr>
          <w:rFonts w:asciiTheme="minorHAnsi" w:hAnsiTheme="minorHAnsi" w:cstheme="minorHAnsi"/>
          <w:sz w:val="26"/>
          <w:szCs w:val="26"/>
        </w:rPr>
        <w:t xml:space="preserve"> of transfer of the property into her name. </w:t>
      </w:r>
      <w:r w:rsidR="007162DE" w:rsidRPr="003123A2">
        <w:rPr>
          <w:rFonts w:asciiTheme="minorHAnsi" w:hAnsiTheme="minorHAnsi" w:cstheme="minorHAnsi"/>
          <w:sz w:val="26"/>
          <w:szCs w:val="26"/>
        </w:rPr>
        <w:t>As averred in the particulars of claim, t</w:t>
      </w:r>
      <w:r w:rsidR="00DA398F" w:rsidRPr="003123A2">
        <w:rPr>
          <w:rFonts w:asciiTheme="minorHAnsi" w:hAnsiTheme="minorHAnsi" w:cstheme="minorHAnsi"/>
          <w:sz w:val="26"/>
          <w:szCs w:val="26"/>
        </w:rPr>
        <w:t>he second defendant appointed the first defendant as the conveyancer to ‘facilitate the transfer and registration of the property.’</w:t>
      </w:r>
    </w:p>
    <w:p w:rsidR="00DA398F" w:rsidRPr="00DA398F" w:rsidRDefault="00DA398F" w:rsidP="00DA398F">
      <w:pPr>
        <w:pStyle w:val="ListParagrap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DA398F" w:rsidRPr="003123A2">
        <w:rPr>
          <w:rFonts w:asciiTheme="minorHAnsi" w:hAnsiTheme="minorHAnsi" w:cstheme="minorHAnsi"/>
          <w:sz w:val="26"/>
          <w:szCs w:val="26"/>
        </w:rPr>
        <w:t>On 6 July 2020 the plaintiff paid the purchase price of R530 000.00 and the transfer costs of R17 223.00 into the conveyancer’s trust account and on</w:t>
      </w:r>
      <w:r w:rsidR="007162DE" w:rsidRPr="003123A2">
        <w:rPr>
          <w:rFonts w:asciiTheme="minorHAnsi" w:hAnsiTheme="minorHAnsi" w:cstheme="minorHAnsi"/>
          <w:sz w:val="26"/>
          <w:szCs w:val="26"/>
        </w:rPr>
        <w:t xml:space="preserve"> </w:t>
      </w:r>
      <w:r w:rsidR="00DA398F" w:rsidRPr="003123A2">
        <w:rPr>
          <w:rFonts w:asciiTheme="minorHAnsi" w:hAnsiTheme="minorHAnsi" w:cstheme="minorHAnsi"/>
          <w:sz w:val="26"/>
          <w:szCs w:val="26"/>
        </w:rPr>
        <w:t>18 August 2020, transfer of the property was registered into the plaintiff’s name in the Deeds office. The purchase price was paid by the conveyancer (first defendant) to the seller (second defendant) upon registration of transfer and before vacant possession was given to the buyer.</w:t>
      </w:r>
      <w:r w:rsidR="00496DA2" w:rsidRPr="003123A2">
        <w:rPr>
          <w:rFonts w:asciiTheme="minorHAnsi" w:hAnsiTheme="minorHAnsi" w:cstheme="minorHAnsi"/>
          <w:sz w:val="26"/>
          <w:szCs w:val="26"/>
        </w:rPr>
        <w:t xml:space="preserve"> </w:t>
      </w:r>
    </w:p>
    <w:p w:rsidR="00E46046" w:rsidRPr="000F4445" w:rsidRDefault="00E46046" w:rsidP="00E46046">
      <w:pPr>
        <w:pStyle w:val="ListParagrap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496DA2" w:rsidRPr="003123A2">
        <w:rPr>
          <w:rFonts w:asciiTheme="minorHAnsi" w:hAnsiTheme="minorHAnsi" w:cstheme="minorHAnsi"/>
          <w:sz w:val="26"/>
          <w:szCs w:val="26"/>
        </w:rPr>
        <w:t>In terms of clause</w:t>
      </w:r>
      <w:r w:rsidR="000407CB" w:rsidRPr="003123A2">
        <w:rPr>
          <w:rFonts w:asciiTheme="minorHAnsi" w:hAnsiTheme="minorHAnsi" w:cstheme="minorHAnsi"/>
          <w:sz w:val="26"/>
          <w:szCs w:val="26"/>
        </w:rPr>
        <w:t xml:space="preserve"> 1.2 of the agreement, the purchase price of R530 000.00 </w:t>
      </w:r>
      <w:r w:rsidR="00CC2922" w:rsidRPr="003123A2">
        <w:rPr>
          <w:rFonts w:asciiTheme="minorHAnsi" w:hAnsiTheme="minorHAnsi" w:cstheme="minorHAnsi"/>
          <w:sz w:val="26"/>
          <w:szCs w:val="26"/>
        </w:rPr>
        <w:t>was payable to the seller upon registration of transfer. In terms of clause 3, occupation ‘shall be given to and taken by the purchaser within seven (7) days of registration’. No occupational rent was payable if occupation took place within such period. If occupation did not take place within the 7 day period, occupational rent, calculated from date of registration</w:t>
      </w:r>
      <w:r w:rsidR="007162DE" w:rsidRPr="003123A2">
        <w:rPr>
          <w:rFonts w:asciiTheme="minorHAnsi" w:hAnsiTheme="minorHAnsi" w:cstheme="minorHAnsi"/>
          <w:sz w:val="26"/>
          <w:szCs w:val="26"/>
        </w:rPr>
        <w:t>,</w:t>
      </w:r>
      <w:r w:rsidR="00CC2922" w:rsidRPr="003123A2">
        <w:rPr>
          <w:rFonts w:asciiTheme="minorHAnsi" w:hAnsiTheme="minorHAnsi" w:cstheme="minorHAnsi"/>
          <w:sz w:val="26"/>
          <w:szCs w:val="26"/>
        </w:rPr>
        <w:t xml:space="preserve"> at the rate of 1% of the purchase price was payable to the conveyancer.</w:t>
      </w:r>
    </w:p>
    <w:p w:rsidR="00CC2922" w:rsidRPr="00CC2922" w:rsidRDefault="00CC2922" w:rsidP="00CC2922">
      <w:pPr>
        <w:pStyle w:val="ListParagraph"/>
        <w:rPr>
          <w:rFonts w:asciiTheme="minorHAnsi" w:hAnsiTheme="minorHAnsi" w:cstheme="minorHAnsi"/>
          <w:sz w:val="26"/>
          <w:szCs w:val="26"/>
        </w:rPr>
      </w:pPr>
    </w:p>
    <w:p w:rsidR="00CC2922"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CC2922" w:rsidRPr="003123A2">
        <w:rPr>
          <w:rFonts w:asciiTheme="minorHAnsi" w:hAnsiTheme="minorHAnsi" w:cstheme="minorHAnsi"/>
          <w:sz w:val="26"/>
          <w:szCs w:val="26"/>
        </w:rPr>
        <w:t>Clause 15.1 contains a manuscript insertion, stating that ‘The conveyancer should not pay any proceeds to the seller before vacant occupation is given to the purchaser.”</w:t>
      </w:r>
    </w:p>
    <w:p w:rsidR="00E46046" w:rsidRDefault="00E46046" w:rsidP="00E46046">
      <w:pPr>
        <w:pStyle w:val="ListParagraph"/>
        <w:rPr>
          <w:rFonts w:asciiTheme="minorHAnsi" w:hAnsiTheme="minorHAnsi" w:cstheme="minorHAnsi"/>
          <w:sz w:val="26"/>
          <w:szCs w:val="26"/>
        </w:rPr>
      </w:pPr>
    </w:p>
    <w:p w:rsidR="00CC2922"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w:t>
      </w:r>
      <w:r>
        <w:rPr>
          <w:rFonts w:asciiTheme="minorHAnsi" w:hAnsiTheme="minorHAnsi"/>
          <w:sz w:val="24"/>
          <w:szCs w:val="24"/>
        </w:rPr>
        <w:tab/>
      </w:r>
      <w:r w:rsidR="00CC2922" w:rsidRPr="003123A2">
        <w:rPr>
          <w:rFonts w:asciiTheme="minorHAnsi" w:hAnsiTheme="minorHAnsi" w:cstheme="minorHAnsi"/>
          <w:sz w:val="26"/>
          <w:szCs w:val="26"/>
        </w:rPr>
        <w:t>In terms of the breach clause provided for in clause 5:</w:t>
      </w:r>
    </w:p>
    <w:p w:rsidR="00CC2922" w:rsidRPr="00CC2922" w:rsidRDefault="00CC2922" w:rsidP="00CC2922">
      <w:pPr>
        <w:pStyle w:val="ListParagraph"/>
        <w:spacing w:after="200" w:line="360" w:lineRule="auto"/>
        <w:ind w:left="851"/>
        <w:jc w:val="both"/>
        <w:rPr>
          <w:rFonts w:asciiTheme="minorHAnsi" w:hAnsiTheme="minorHAnsi" w:cstheme="minorHAnsi"/>
          <w:sz w:val="22"/>
          <w:szCs w:val="22"/>
        </w:rPr>
      </w:pPr>
      <w:r w:rsidRPr="00CC2922">
        <w:rPr>
          <w:rFonts w:asciiTheme="minorHAnsi" w:hAnsiTheme="minorHAnsi" w:cstheme="minorHAnsi"/>
          <w:sz w:val="22"/>
          <w:szCs w:val="22"/>
        </w:rPr>
        <w:t>“Should either party breach any provision of this agreement and fail to remedy such breach within 10 days after despatch of written notice requiring such breach to be remedied, the aggrieved party shall be entitled, without prejudice to any other rights in law, to cancel this agreement fort</w:t>
      </w:r>
      <w:r w:rsidR="00DB2082">
        <w:rPr>
          <w:rFonts w:asciiTheme="minorHAnsi" w:hAnsiTheme="minorHAnsi" w:cstheme="minorHAnsi"/>
          <w:sz w:val="22"/>
          <w:szCs w:val="22"/>
        </w:rPr>
        <w:t>h</w:t>
      </w:r>
      <w:r w:rsidRPr="00CC2922">
        <w:rPr>
          <w:rFonts w:asciiTheme="minorHAnsi" w:hAnsiTheme="minorHAnsi" w:cstheme="minorHAnsi"/>
          <w:sz w:val="22"/>
          <w:szCs w:val="22"/>
        </w:rPr>
        <w:t>with, or claim specific performance…”</w:t>
      </w:r>
    </w:p>
    <w:p w:rsidR="00E46046" w:rsidRDefault="00E46046" w:rsidP="00DB2082">
      <w:pPr>
        <w:pStyle w:val="ListParagraph"/>
        <w:spacing w:after="200" w:line="360" w:lineRule="auto"/>
        <w:ind w:left="851"/>
        <w:jc w:val="bot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0D27F5" w:rsidRPr="003123A2">
        <w:rPr>
          <w:rFonts w:asciiTheme="minorHAnsi" w:hAnsiTheme="minorHAnsi" w:cstheme="minorHAnsi"/>
          <w:sz w:val="26"/>
          <w:szCs w:val="26"/>
        </w:rPr>
        <w:t xml:space="preserve">In paragraphs </w:t>
      </w:r>
      <w:r w:rsidR="00B63233" w:rsidRPr="003123A2">
        <w:rPr>
          <w:rFonts w:asciiTheme="minorHAnsi" w:hAnsiTheme="minorHAnsi" w:cstheme="minorHAnsi"/>
          <w:sz w:val="26"/>
          <w:szCs w:val="26"/>
        </w:rPr>
        <w:t xml:space="preserve">10, </w:t>
      </w:r>
      <w:r w:rsidR="000D27F5" w:rsidRPr="003123A2">
        <w:rPr>
          <w:rFonts w:asciiTheme="minorHAnsi" w:hAnsiTheme="minorHAnsi" w:cstheme="minorHAnsi"/>
          <w:sz w:val="26"/>
          <w:szCs w:val="26"/>
        </w:rPr>
        <w:t>11 and 13 of the particulars of claim, the plaintiff avers as follows:</w:t>
      </w:r>
    </w:p>
    <w:p w:rsidR="00B63233" w:rsidRDefault="000D27F5" w:rsidP="000D27F5">
      <w:pPr>
        <w:pStyle w:val="ListParagraph"/>
        <w:spacing w:after="200" w:line="360" w:lineRule="auto"/>
        <w:ind w:left="1418" w:hanging="567"/>
        <w:jc w:val="both"/>
        <w:rPr>
          <w:rFonts w:asciiTheme="minorHAnsi" w:hAnsiTheme="minorHAnsi" w:cstheme="minorHAnsi"/>
          <w:sz w:val="22"/>
          <w:szCs w:val="22"/>
        </w:rPr>
      </w:pPr>
      <w:r w:rsidRPr="000D27F5">
        <w:rPr>
          <w:rFonts w:asciiTheme="minorHAnsi" w:hAnsiTheme="minorHAnsi" w:cstheme="minorHAnsi"/>
          <w:sz w:val="22"/>
          <w:szCs w:val="22"/>
        </w:rPr>
        <w:t>“</w:t>
      </w:r>
      <w:r w:rsidR="00B63233">
        <w:rPr>
          <w:rFonts w:asciiTheme="minorHAnsi" w:hAnsiTheme="minorHAnsi" w:cstheme="minorHAnsi"/>
          <w:sz w:val="22"/>
          <w:szCs w:val="22"/>
        </w:rPr>
        <w:t xml:space="preserve"> 10</w:t>
      </w:r>
      <w:r w:rsidR="00B63233">
        <w:rPr>
          <w:rFonts w:asciiTheme="minorHAnsi" w:hAnsiTheme="minorHAnsi" w:cstheme="minorHAnsi"/>
          <w:sz w:val="22"/>
          <w:szCs w:val="22"/>
        </w:rPr>
        <w:tab/>
        <w:t>On…25 September 2020, the Plaintiff sent the First Defendant a letter of demand (a copy is attached…marked as annesure ‘D’). The Plaintiff demanded that the sale agreement be cancelled and that the purchase price be paid back into her account…</w:t>
      </w:r>
    </w:p>
    <w:p w:rsidR="00B63233" w:rsidRDefault="00B63233" w:rsidP="000D27F5">
      <w:pPr>
        <w:pStyle w:val="ListParagraph"/>
        <w:spacing w:after="200" w:line="360" w:lineRule="auto"/>
        <w:ind w:left="1418" w:hanging="567"/>
        <w:jc w:val="both"/>
        <w:rPr>
          <w:rFonts w:asciiTheme="minorHAnsi" w:hAnsiTheme="minorHAnsi" w:cstheme="minorHAnsi"/>
          <w:sz w:val="22"/>
          <w:szCs w:val="22"/>
        </w:rPr>
      </w:pPr>
    </w:p>
    <w:p w:rsidR="000D27F5" w:rsidRPr="000D27F5" w:rsidRDefault="000D27F5" w:rsidP="00B63233">
      <w:pPr>
        <w:pStyle w:val="ListParagraph"/>
        <w:spacing w:after="200" w:line="360" w:lineRule="auto"/>
        <w:ind w:left="1418" w:hanging="425"/>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Pr="000D27F5">
        <w:rPr>
          <w:rFonts w:asciiTheme="minorHAnsi" w:hAnsiTheme="minorHAnsi" w:cstheme="minorHAnsi"/>
          <w:sz w:val="22"/>
          <w:szCs w:val="22"/>
        </w:rPr>
        <w:t xml:space="preserve">The </w:t>
      </w:r>
      <w:r w:rsidR="00B63233">
        <w:rPr>
          <w:rFonts w:asciiTheme="minorHAnsi" w:hAnsiTheme="minorHAnsi" w:cstheme="minorHAnsi"/>
          <w:sz w:val="22"/>
          <w:szCs w:val="22"/>
        </w:rPr>
        <w:t>F</w:t>
      </w:r>
      <w:r w:rsidRPr="000D27F5">
        <w:rPr>
          <w:rFonts w:asciiTheme="minorHAnsi" w:hAnsiTheme="minorHAnsi" w:cstheme="minorHAnsi"/>
          <w:sz w:val="22"/>
          <w:szCs w:val="22"/>
        </w:rPr>
        <w:t xml:space="preserve">irst </w:t>
      </w:r>
      <w:r w:rsidR="00B63233">
        <w:rPr>
          <w:rFonts w:asciiTheme="minorHAnsi" w:hAnsiTheme="minorHAnsi" w:cstheme="minorHAnsi"/>
          <w:sz w:val="22"/>
          <w:szCs w:val="22"/>
        </w:rPr>
        <w:t>D</w:t>
      </w:r>
      <w:r w:rsidRPr="000D27F5">
        <w:rPr>
          <w:rFonts w:asciiTheme="minorHAnsi" w:hAnsiTheme="minorHAnsi" w:cstheme="minorHAnsi"/>
          <w:sz w:val="22"/>
          <w:szCs w:val="22"/>
        </w:rPr>
        <w:t>efendant is in breach of clause 15.1 of the sale agreement, which states that ‘</w:t>
      </w:r>
      <w:r w:rsidRPr="000D27F5">
        <w:rPr>
          <w:rFonts w:asciiTheme="minorHAnsi" w:hAnsiTheme="minorHAnsi" w:cstheme="minorHAnsi"/>
          <w:i/>
          <w:sz w:val="22"/>
          <w:szCs w:val="22"/>
        </w:rPr>
        <w:t xml:space="preserve">the conveyancer should not pay any proceeds to the seller before vacant occupation is given to the purchaser. </w:t>
      </w:r>
      <w:r w:rsidRPr="000D27F5">
        <w:rPr>
          <w:rFonts w:asciiTheme="minorHAnsi" w:hAnsiTheme="minorHAnsi" w:cstheme="minorHAnsi"/>
          <w:sz w:val="22"/>
          <w:szCs w:val="22"/>
        </w:rPr>
        <w:t>The first defendant paid the proceeds to the second defendant before the property was vacant and made available to the plaintiff. Despite the plaintiff’s plea for both the defendants to remedy the breach of contract, the plaintiff has neither received right of occupation, the occupational rent or the purchase price back.</w:t>
      </w:r>
    </w:p>
    <w:p w:rsidR="000D27F5" w:rsidRDefault="000D27F5" w:rsidP="000D27F5">
      <w:pPr>
        <w:pStyle w:val="ListParagraph"/>
        <w:spacing w:after="200" w:line="360" w:lineRule="auto"/>
        <w:ind w:left="851"/>
        <w:jc w:val="both"/>
        <w:rPr>
          <w:rFonts w:asciiTheme="minorHAnsi" w:hAnsiTheme="minorHAnsi" w:cstheme="minorHAnsi"/>
          <w:sz w:val="22"/>
          <w:szCs w:val="22"/>
        </w:rPr>
      </w:pPr>
    </w:p>
    <w:p w:rsidR="000D27F5" w:rsidRDefault="000D27F5" w:rsidP="000D27F5">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[The provisions of clause 5 are quoted in para 12]</w:t>
      </w:r>
    </w:p>
    <w:p w:rsidR="000D27F5" w:rsidRDefault="000D27F5" w:rsidP="000D27F5">
      <w:pPr>
        <w:pStyle w:val="ListParagraph"/>
        <w:spacing w:after="200" w:line="360" w:lineRule="auto"/>
        <w:ind w:left="851"/>
        <w:jc w:val="both"/>
        <w:rPr>
          <w:rFonts w:asciiTheme="minorHAnsi" w:hAnsiTheme="minorHAnsi" w:cstheme="minorHAnsi"/>
          <w:sz w:val="22"/>
          <w:szCs w:val="22"/>
        </w:rPr>
      </w:pPr>
    </w:p>
    <w:p w:rsidR="000D27F5" w:rsidRDefault="000D27F5" w:rsidP="00B63233">
      <w:pPr>
        <w:pStyle w:val="ListParagraph"/>
        <w:spacing w:after="200" w:line="360" w:lineRule="auto"/>
        <w:ind w:left="1418" w:hanging="425"/>
        <w:jc w:val="both"/>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t>The First and Second Defendants have failed to remedy their breach of the provisions in the sale agreement. The Plaintiff has not been afforded the right to move into the property even though the First Defendant went ahead and paid the purchase price to the Second Defendant. The Plaintiff is thus entitled to cancel this agreement and demand her money back.”</w:t>
      </w:r>
    </w:p>
    <w:p w:rsidR="00E46046" w:rsidRDefault="00E46046"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w:t>
      </w:r>
      <w:r>
        <w:rPr>
          <w:rFonts w:asciiTheme="minorHAnsi" w:hAnsiTheme="minorHAnsi"/>
          <w:sz w:val="24"/>
          <w:szCs w:val="24"/>
        </w:rPr>
        <w:tab/>
      </w:r>
      <w:r w:rsidR="00B63233" w:rsidRPr="003123A2">
        <w:rPr>
          <w:rFonts w:asciiTheme="minorHAnsi" w:hAnsiTheme="minorHAnsi" w:cstheme="minorHAnsi"/>
          <w:sz w:val="26"/>
          <w:szCs w:val="26"/>
        </w:rPr>
        <w:t>It is immediately apparent from a reading of the plaintiff’s pleading, that the particulars of claim lack any allegation to the effect that the First Defendant was or became a party to the agreement or that it consented to be bound to clause 15.1 thereof.</w:t>
      </w:r>
    </w:p>
    <w:p w:rsidR="000D27F5" w:rsidRDefault="000D27F5"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15.</w:t>
      </w:r>
      <w:r>
        <w:rPr>
          <w:rFonts w:asciiTheme="minorHAnsi" w:hAnsiTheme="minorHAnsi"/>
          <w:sz w:val="24"/>
          <w:szCs w:val="24"/>
        </w:rPr>
        <w:tab/>
      </w:r>
      <w:r w:rsidR="00B63233" w:rsidRPr="003123A2">
        <w:rPr>
          <w:rFonts w:asciiTheme="minorHAnsi" w:hAnsiTheme="minorHAnsi" w:cstheme="minorHAnsi"/>
          <w:sz w:val="26"/>
          <w:szCs w:val="26"/>
        </w:rPr>
        <w:t xml:space="preserve">The first defendant specifically denied that it was a party to the agreement or that it was </w:t>
      </w:r>
      <w:r w:rsidR="008254C8" w:rsidRPr="003123A2">
        <w:rPr>
          <w:rFonts w:asciiTheme="minorHAnsi" w:hAnsiTheme="minorHAnsi" w:cstheme="minorHAnsi"/>
          <w:sz w:val="26"/>
          <w:szCs w:val="26"/>
        </w:rPr>
        <w:t>incurred any obligation in terms of</w:t>
      </w:r>
      <w:r w:rsidR="00B63233" w:rsidRPr="003123A2">
        <w:rPr>
          <w:rFonts w:asciiTheme="minorHAnsi" w:hAnsiTheme="minorHAnsi" w:cstheme="minorHAnsi"/>
          <w:sz w:val="26"/>
          <w:szCs w:val="26"/>
        </w:rPr>
        <w:t xml:space="preserve"> clause 15.1 thereof</w:t>
      </w:r>
      <w:r w:rsidR="00694BE9" w:rsidRPr="003123A2">
        <w:rPr>
          <w:rFonts w:asciiTheme="minorHAnsi" w:hAnsiTheme="minorHAnsi" w:cstheme="minorHAnsi"/>
          <w:sz w:val="26"/>
          <w:szCs w:val="26"/>
        </w:rPr>
        <w:t xml:space="preserve"> and </w:t>
      </w:r>
      <w:r w:rsidR="007162DE" w:rsidRPr="003123A2">
        <w:rPr>
          <w:rFonts w:asciiTheme="minorHAnsi" w:hAnsiTheme="minorHAnsi" w:cstheme="minorHAnsi"/>
          <w:sz w:val="26"/>
          <w:szCs w:val="26"/>
        </w:rPr>
        <w:t xml:space="preserve">stated </w:t>
      </w:r>
      <w:r w:rsidR="00694BE9" w:rsidRPr="003123A2">
        <w:rPr>
          <w:rFonts w:asciiTheme="minorHAnsi" w:hAnsiTheme="minorHAnsi" w:cstheme="minorHAnsi"/>
          <w:sz w:val="26"/>
          <w:szCs w:val="26"/>
        </w:rPr>
        <w:t>that once the property was registered in the name of the plaintiff, the first defendant had no legal right to hold over the proceeds of the sale.</w:t>
      </w:r>
    </w:p>
    <w:p w:rsidR="000D27F5" w:rsidRDefault="000D27F5"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16.</w:t>
      </w:r>
      <w:r>
        <w:rPr>
          <w:rFonts w:asciiTheme="minorHAnsi" w:hAnsiTheme="minorHAnsi"/>
          <w:sz w:val="24"/>
          <w:szCs w:val="24"/>
        </w:rPr>
        <w:tab/>
      </w:r>
      <w:r w:rsidR="00B63233" w:rsidRPr="003123A2">
        <w:rPr>
          <w:rFonts w:asciiTheme="minorHAnsi" w:hAnsiTheme="minorHAnsi" w:cstheme="minorHAnsi"/>
          <w:sz w:val="26"/>
          <w:szCs w:val="26"/>
        </w:rPr>
        <w:t xml:space="preserve">The plaintiff appears to have entirely overlooked </w:t>
      </w:r>
      <w:r w:rsidR="00694BE9" w:rsidRPr="003123A2">
        <w:rPr>
          <w:rFonts w:asciiTheme="minorHAnsi" w:hAnsiTheme="minorHAnsi" w:cstheme="minorHAnsi"/>
          <w:sz w:val="26"/>
          <w:szCs w:val="26"/>
        </w:rPr>
        <w:t xml:space="preserve">the nature and import of the first defendant’s defence or </w:t>
      </w:r>
      <w:r w:rsidR="00B63233" w:rsidRPr="003123A2">
        <w:rPr>
          <w:rFonts w:asciiTheme="minorHAnsi" w:hAnsiTheme="minorHAnsi" w:cstheme="minorHAnsi"/>
          <w:sz w:val="26"/>
          <w:szCs w:val="26"/>
        </w:rPr>
        <w:t xml:space="preserve">the fact that the doctrine of privity of contract </w:t>
      </w:r>
      <w:r w:rsidR="00694BE9" w:rsidRPr="003123A2">
        <w:rPr>
          <w:rFonts w:asciiTheme="minorHAnsi" w:hAnsiTheme="minorHAnsi" w:cstheme="minorHAnsi"/>
          <w:sz w:val="26"/>
          <w:szCs w:val="26"/>
        </w:rPr>
        <w:t xml:space="preserve">still </w:t>
      </w:r>
      <w:r w:rsidR="008E6581" w:rsidRPr="003123A2">
        <w:rPr>
          <w:rFonts w:asciiTheme="minorHAnsi" w:hAnsiTheme="minorHAnsi" w:cstheme="minorHAnsi"/>
          <w:sz w:val="26"/>
          <w:szCs w:val="26"/>
        </w:rPr>
        <w:t>forms</w:t>
      </w:r>
      <w:r w:rsidR="00B63233" w:rsidRPr="003123A2">
        <w:rPr>
          <w:rFonts w:asciiTheme="minorHAnsi" w:hAnsiTheme="minorHAnsi" w:cstheme="minorHAnsi"/>
          <w:sz w:val="26"/>
          <w:szCs w:val="26"/>
        </w:rPr>
        <w:t xml:space="preserve"> part of our law. </w:t>
      </w:r>
      <w:r w:rsidR="008254C8" w:rsidRPr="003123A2">
        <w:rPr>
          <w:rFonts w:asciiTheme="minorHAnsi" w:hAnsiTheme="minorHAnsi" w:cstheme="minorHAnsi"/>
          <w:sz w:val="26"/>
          <w:szCs w:val="26"/>
        </w:rPr>
        <w:t>The courts have applied the rule that a litigant has no contractual cause of action against another person who is an outsider to the contract.</w:t>
      </w:r>
      <w:r w:rsidR="008254C8">
        <w:rPr>
          <w:rStyle w:val="FootnoteReference"/>
          <w:rFonts w:asciiTheme="minorHAnsi" w:hAnsiTheme="minorHAnsi" w:cstheme="minorHAnsi"/>
          <w:sz w:val="26"/>
          <w:szCs w:val="26"/>
        </w:rPr>
        <w:footnoteReference w:id="9"/>
      </w:r>
      <w:r w:rsidR="008254C8" w:rsidRPr="003123A2">
        <w:rPr>
          <w:rFonts w:asciiTheme="minorHAnsi" w:hAnsiTheme="minorHAnsi" w:cstheme="minorHAnsi"/>
          <w:sz w:val="26"/>
          <w:szCs w:val="26"/>
        </w:rPr>
        <w:t xml:space="preserve">  </w:t>
      </w:r>
      <w:r w:rsidR="008E6581" w:rsidRPr="003123A2">
        <w:rPr>
          <w:rFonts w:asciiTheme="minorHAnsi" w:hAnsiTheme="minorHAnsi" w:cstheme="minorHAnsi"/>
          <w:sz w:val="26"/>
          <w:szCs w:val="26"/>
        </w:rPr>
        <w:t>Since a contract is a matter between the parties thereto, no one other than the contracting parties can incur any liability or derive any benefit from its terms</w:t>
      </w:r>
      <w:r w:rsidR="00694BE9" w:rsidRPr="003123A2">
        <w:rPr>
          <w:rFonts w:asciiTheme="minorHAnsi" w:hAnsiTheme="minorHAnsi" w:cstheme="minorHAnsi"/>
          <w:sz w:val="26"/>
          <w:szCs w:val="26"/>
        </w:rPr>
        <w:t xml:space="preserve">. </w:t>
      </w:r>
      <w:r w:rsidR="008254C8" w:rsidRPr="003123A2">
        <w:rPr>
          <w:rFonts w:asciiTheme="minorHAnsi" w:hAnsiTheme="minorHAnsi" w:cstheme="minorHAnsi"/>
          <w:sz w:val="26"/>
          <w:szCs w:val="26"/>
        </w:rPr>
        <w:t xml:space="preserve">The case of </w:t>
      </w:r>
      <w:r w:rsidR="008254C8" w:rsidRPr="003123A2">
        <w:rPr>
          <w:rFonts w:asciiTheme="minorHAnsi" w:hAnsiTheme="minorHAnsi" w:cstheme="minorHAnsi"/>
          <w:i/>
          <w:sz w:val="26"/>
          <w:szCs w:val="26"/>
        </w:rPr>
        <w:t>Gugu</w:t>
      </w:r>
      <w:r w:rsidR="008254C8">
        <w:rPr>
          <w:rStyle w:val="FootnoteReference"/>
          <w:rFonts w:asciiTheme="minorHAnsi" w:hAnsiTheme="minorHAnsi" w:cstheme="minorHAnsi"/>
          <w:i/>
          <w:sz w:val="26"/>
          <w:szCs w:val="26"/>
        </w:rPr>
        <w:footnoteReference w:id="10"/>
      </w:r>
      <w:r w:rsidR="008E6581" w:rsidRPr="003123A2">
        <w:rPr>
          <w:rFonts w:asciiTheme="minorHAnsi" w:hAnsiTheme="minorHAnsi" w:cstheme="minorHAnsi"/>
          <w:i/>
          <w:sz w:val="26"/>
          <w:szCs w:val="26"/>
        </w:rPr>
        <w:t xml:space="preserve"> </w:t>
      </w:r>
      <w:r w:rsidR="008E6581" w:rsidRPr="003123A2">
        <w:rPr>
          <w:rFonts w:asciiTheme="minorHAnsi" w:hAnsiTheme="minorHAnsi" w:cstheme="minorHAnsi"/>
          <w:sz w:val="26"/>
          <w:szCs w:val="26"/>
        </w:rPr>
        <w:t xml:space="preserve">illustrates how the privity doctrine has been operating </w:t>
      </w:r>
      <w:r w:rsidR="00694BE9" w:rsidRPr="003123A2">
        <w:rPr>
          <w:rFonts w:asciiTheme="minorHAnsi" w:hAnsiTheme="minorHAnsi" w:cstheme="minorHAnsi"/>
          <w:sz w:val="26"/>
          <w:szCs w:val="26"/>
        </w:rPr>
        <w:t xml:space="preserve">and </w:t>
      </w:r>
      <w:r w:rsidR="007162DE" w:rsidRPr="003123A2">
        <w:rPr>
          <w:rFonts w:asciiTheme="minorHAnsi" w:hAnsiTheme="minorHAnsi" w:cstheme="minorHAnsi"/>
          <w:sz w:val="26"/>
          <w:szCs w:val="26"/>
        </w:rPr>
        <w:t xml:space="preserve">has been </w:t>
      </w:r>
      <w:r w:rsidR="00694BE9" w:rsidRPr="003123A2">
        <w:rPr>
          <w:rFonts w:asciiTheme="minorHAnsi" w:hAnsiTheme="minorHAnsi" w:cstheme="minorHAnsi"/>
          <w:sz w:val="26"/>
          <w:szCs w:val="26"/>
        </w:rPr>
        <w:t xml:space="preserve">applied </w:t>
      </w:r>
      <w:r w:rsidR="008E6581" w:rsidRPr="003123A2">
        <w:rPr>
          <w:rFonts w:asciiTheme="minorHAnsi" w:hAnsiTheme="minorHAnsi" w:cstheme="minorHAnsi"/>
          <w:sz w:val="26"/>
          <w:szCs w:val="26"/>
        </w:rPr>
        <w:t xml:space="preserve">in our law. </w:t>
      </w:r>
      <w:r w:rsidR="008254C8" w:rsidRPr="003123A2">
        <w:rPr>
          <w:rFonts w:asciiTheme="minorHAnsi" w:hAnsiTheme="minorHAnsi" w:cstheme="minorHAnsi"/>
          <w:sz w:val="26"/>
          <w:szCs w:val="26"/>
        </w:rPr>
        <w:t xml:space="preserve">Known exceptions to the rule are agency and </w:t>
      </w:r>
      <w:r w:rsidR="008254C8" w:rsidRPr="003123A2">
        <w:rPr>
          <w:rFonts w:asciiTheme="minorHAnsi" w:hAnsiTheme="minorHAnsi" w:cstheme="minorHAnsi"/>
          <w:i/>
          <w:sz w:val="26"/>
          <w:szCs w:val="26"/>
        </w:rPr>
        <w:t>stipulation alteri,</w:t>
      </w:r>
      <w:r w:rsidR="008254C8">
        <w:rPr>
          <w:rStyle w:val="FootnoteReference"/>
          <w:rFonts w:asciiTheme="minorHAnsi" w:hAnsiTheme="minorHAnsi" w:cstheme="minorHAnsi"/>
          <w:i/>
          <w:sz w:val="26"/>
          <w:szCs w:val="26"/>
        </w:rPr>
        <w:footnoteReference w:id="11"/>
      </w:r>
      <w:r w:rsidR="008254C8" w:rsidRPr="003123A2">
        <w:rPr>
          <w:rFonts w:asciiTheme="minorHAnsi" w:hAnsiTheme="minorHAnsi" w:cstheme="minorHAnsi"/>
          <w:i/>
          <w:sz w:val="26"/>
          <w:szCs w:val="26"/>
        </w:rPr>
        <w:t xml:space="preserve"> </w:t>
      </w:r>
      <w:r w:rsidR="008254C8" w:rsidRPr="003123A2">
        <w:rPr>
          <w:rFonts w:asciiTheme="minorHAnsi" w:hAnsiTheme="minorHAnsi" w:cstheme="minorHAnsi"/>
          <w:sz w:val="26"/>
          <w:szCs w:val="26"/>
        </w:rPr>
        <w:t xml:space="preserve">neither of which </w:t>
      </w:r>
      <w:r w:rsidR="007162DE" w:rsidRPr="003123A2">
        <w:rPr>
          <w:rFonts w:asciiTheme="minorHAnsi" w:hAnsiTheme="minorHAnsi" w:cstheme="minorHAnsi"/>
          <w:sz w:val="26"/>
          <w:szCs w:val="26"/>
        </w:rPr>
        <w:t>appear to be</w:t>
      </w:r>
      <w:r w:rsidR="00694BE9" w:rsidRPr="003123A2">
        <w:rPr>
          <w:rFonts w:asciiTheme="minorHAnsi" w:hAnsiTheme="minorHAnsi" w:cstheme="minorHAnsi"/>
          <w:sz w:val="26"/>
          <w:szCs w:val="26"/>
        </w:rPr>
        <w:t xml:space="preserve"> applicable </w:t>
      </w:r>
      <w:r w:rsidR="008254C8" w:rsidRPr="003123A2">
        <w:rPr>
          <w:rFonts w:asciiTheme="minorHAnsi" w:hAnsiTheme="minorHAnsi" w:cstheme="minorHAnsi"/>
          <w:sz w:val="26"/>
          <w:szCs w:val="26"/>
        </w:rPr>
        <w:t xml:space="preserve">in </w:t>
      </w:r>
      <w:r w:rsidR="008254C8" w:rsidRPr="003123A2">
        <w:rPr>
          <w:rFonts w:asciiTheme="minorHAnsi" w:hAnsiTheme="minorHAnsi" w:cstheme="minorHAnsi"/>
          <w:i/>
          <w:sz w:val="26"/>
          <w:szCs w:val="26"/>
        </w:rPr>
        <w:t>casu.</w:t>
      </w:r>
    </w:p>
    <w:p w:rsidR="000D27F5" w:rsidRDefault="000D27F5"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w:t>
      </w:r>
      <w:r>
        <w:rPr>
          <w:rFonts w:asciiTheme="minorHAnsi" w:hAnsiTheme="minorHAnsi"/>
          <w:sz w:val="24"/>
          <w:szCs w:val="24"/>
        </w:rPr>
        <w:tab/>
      </w:r>
      <w:r w:rsidR="00694BE9" w:rsidRPr="003123A2">
        <w:rPr>
          <w:rFonts w:asciiTheme="minorHAnsi" w:hAnsiTheme="minorHAnsi" w:cstheme="minorHAnsi"/>
          <w:sz w:val="26"/>
          <w:szCs w:val="26"/>
        </w:rPr>
        <w:t xml:space="preserve">From the way in which </w:t>
      </w:r>
      <w:r w:rsidR="007162DE" w:rsidRPr="003123A2">
        <w:rPr>
          <w:rFonts w:asciiTheme="minorHAnsi" w:hAnsiTheme="minorHAnsi" w:cstheme="minorHAnsi"/>
          <w:sz w:val="26"/>
          <w:szCs w:val="26"/>
        </w:rPr>
        <w:t>the plaintiff</w:t>
      </w:r>
      <w:r w:rsidR="00694BE9" w:rsidRPr="003123A2">
        <w:rPr>
          <w:rFonts w:asciiTheme="minorHAnsi" w:hAnsiTheme="minorHAnsi" w:cstheme="minorHAnsi"/>
          <w:sz w:val="26"/>
          <w:szCs w:val="26"/>
        </w:rPr>
        <w:t xml:space="preserve"> formulated her claim</w:t>
      </w:r>
      <w:r w:rsidR="007162DE" w:rsidRPr="003123A2">
        <w:rPr>
          <w:rFonts w:asciiTheme="minorHAnsi" w:hAnsiTheme="minorHAnsi" w:cstheme="minorHAnsi"/>
          <w:sz w:val="26"/>
          <w:szCs w:val="26"/>
        </w:rPr>
        <w:t xml:space="preserve"> for cancellation</w:t>
      </w:r>
      <w:r w:rsidR="00694BE9" w:rsidRPr="003123A2">
        <w:rPr>
          <w:rFonts w:asciiTheme="minorHAnsi" w:hAnsiTheme="minorHAnsi" w:cstheme="minorHAnsi"/>
          <w:sz w:val="26"/>
          <w:szCs w:val="26"/>
        </w:rPr>
        <w:t xml:space="preserve"> in the particulars of claim, it is also clear that the plaintiff entirely overlooked that fact that she was obliged, in terms of clause 5 thereof, to afford the defaulting party 10 days written notice to remedy any alleged breach before acquiring an entitlement to cancel the agreement. The plaintiff’s claim lacks averments that such a breach notice was given prior to her demand, in annexure ‘D’ to the particulars of claim, for cancellation and restitution</w:t>
      </w:r>
      <w:r w:rsidR="00554AEB" w:rsidRPr="003123A2">
        <w:rPr>
          <w:rFonts w:asciiTheme="minorHAnsi" w:hAnsiTheme="minorHAnsi" w:cstheme="minorHAnsi"/>
          <w:sz w:val="26"/>
          <w:szCs w:val="26"/>
        </w:rPr>
        <w:t xml:space="preserve"> of the purchase price paid by her</w:t>
      </w:r>
      <w:r w:rsidR="00694BE9" w:rsidRPr="003123A2">
        <w:rPr>
          <w:rFonts w:asciiTheme="minorHAnsi" w:hAnsiTheme="minorHAnsi" w:cstheme="minorHAnsi"/>
          <w:sz w:val="26"/>
          <w:szCs w:val="26"/>
        </w:rPr>
        <w:t xml:space="preserve">. </w:t>
      </w:r>
    </w:p>
    <w:p w:rsidR="000D27F5" w:rsidRDefault="000D27F5"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sidRPr="00367CE7">
        <w:rPr>
          <w:rFonts w:asciiTheme="minorHAnsi" w:hAnsiTheme="minorHAnsi"/>
          <w:sz w:val="24"/>
          <w:szCs w:val="24"/>
        </w:rPr>
        <w:t>18.</w:t>
      </w:r>
      <w:r w:rsidRPr="00367CE7">
        <w:rPr>
          <w:rFonts w:asciiTheme="minorHAnsi" w:hAnsiTheme="minorHAnsi"/>
          <w:sz w:val="24"/>
          <w:szCs w:val="24"/>
        </w:rPr>
        <w:tab/>
      </w:r>
      <w:r w:rsidR="00367CE7" w:rsidRPr="003123A2">
        <w:rPr>
          <w:rFonts w:asciiTheme="minorHAnsi" w:hAnsiTheme="minorHAnsi" w:cstheme="minorHAnsi"/>
          <w:sz w:val="26"/>
          <w:szCs w:val="26"/>
        </w:rPr>
        <w:t xml:space="preserve">Clause 5 of the agreement </w:t>
      </w:r>
      <w:r w:rsidR="00367CE7" w:rsidRPr="003123A2">
        <w:rPr>
          <w:rFonts w:asciiTheme="minorHAnsi" w:hAnsiTheme="minorHAnsi" w:cstheme="minorHAnsi"/>
          <w:color w:val="242121"/>
          <w:sz w:val="26"/>
          <w:szCs w:val="26"/>
          <w:shd w:val="clear" w:color="auto" w:fill="FFFFFF"/>
        </w:rPr>
        <w:t xml:space="preserve">constitutes a classic </w:t>
      </w:r>
      <w:r w:rsidR="00367CE7" w:rsidRPr="003123A2">
        <w:rPr>
          <w:rFonts w:asciiTheme="minorHAnsi" w:hAnsiTheme="minorHAnsi" w:cstheme="minorHAnsi"/>
          <w:i/>
          <w:iCs/>
          <w:color w:val="242121"/>
          <w:sz w:val="26"/>
          <w:szCs w:val="26"/>
          <w:shd w:val="clear" w:color="auto" w:fill="FFFFFF"/>
        </w:rPr>
        <w:t>lex commissoria.</w:t>
      </w:r>
      <w:r w:rsidR="00367CE7" w:rsidRPr="003123A2">
        <w:rPr>
          <w:rFonts w:asciiTheme="minorHAnsi" w:hAnsiTheme="minorHAnsi" w:cstheme="minorHAnsi"/>
          <w:color w:val="242121"/>
          <w:sz w:val="26"/>
          <w:szCs w:val="26"/>
          <w:shd w:val="clear" w:color="auto" w:fill="FFFFFF"/>
        </w:rPr>
        <w:t xml:space="preserve"> It affords the innocent party the right to cancel in the event of default on the part of the </w:t>
      </w:r>
      <w:r w:rsidR="00554AEB" w:rsidRPr="003123A2">
        <w:rPr>
          <w:rFonts w:asciiTheme="minorHAnsi" w:hAnsiTheme="minorHAnsi" w:cstheme="minorHAnsi"/>
          <w:color w:val="242121"/>
          <w:sz w:val="26"/>
          <w:szCs w:val="26"/>
          <w:shd w:val="clear" w:color="auto" w:fill="FFFFFF"/>
        </w:rPr>
        <w:t>other</w:t>
      </w:r>
      <w:r w:rsidR="00367CE7" w:rsidRPr="003123A2">
        <w:rPr>
          <w:rFonts w:asciiTheme="minorHAnsi" w:hAnsiTheme="minorHAnsi" w:cstheme="minorHAnsi"/>
          <w:color w:val="242121"/>
          <w:sz w:val="26"/>
          <w:szCs w:val="26"/>
          <w:shd w:val="clear" w:color="auto" w:fill="FFFFFF"/>
        </w:rPr>
        <w:t xml:space="preserve"> part</w:t>
      </w:r>
      <w:r w:rsidR="00554AEB" w:rsidRPr="003123A2">
        <w:rPr>
          <w:rFonts w:asciiTheme="minorHAnsi" w:hAnsiTheme="minorHAnsi" w:cstheme="minorHAnsi"/>
          <w:color w:val="242121"/>
          <w:sz w:val="26"/>
          <w:szCs w:val="26"/>
          <w:shd w:val="clear" w:color="auto" w:fill="FFFFFF"/>
        </w:rPr>
        <w:t>y</w:t>
      </w:r>
      <w:r w:rsidR="00367CE7" w:rsidRPr="003123A2">
        <w:rPr>
          <w:rFonts w:asciiTheme="minorHAnsi" w:hAnsiTheme="minorHAnsi" w:cstheme="minorHAnsi"/>
          <w:color w:val="242121"/>
          <w:sz w:val="26"/>
          <w:szCs w:val="26"/>
          <w:shd w:val="clear" w:color="auto" w:fill="FFFFFF"/>
        </w:rPr>
        <w:t xml:space="preserve"> after the latter has been given written notice to remedy </w:t>
      </w:r>
      <w:r w:rsidR="00554AEB" w:rsidRPr="003123A2">
        <w:rPr>
          <w:rFonts w:asciiTheme="minorHAnsi" w:hAnsiTheme="minorHAnsi" w:cstheme="minorHAnsi"/>
          <w:color w:val="242121"/>
          <w:sz w:val="26"/>
          <w:szCs w:val="26"/>
          <w:shd w:val="clear" w:color="auto" w:fill="FFFFFF"/>
        </w:rPr>
        <w:t xml:space="preserve">the default </w:t>
      </w:r>
      <w:r w:rsidR="00367CE7" w:rsidRPr="003123A2">
        <w:rPr>
          <w:rFonts w:asciiTheme="minorHAnsi" w:hAnsiTheme="minorHAnsi" w:cstheme="minorHAnsi"/>
          <w:color w:val="242121"/>
          <w:sz w:val="26"/>
          <w:szCs w:val="26"/>
          <w:shd w:val="clear" w:color="auto" w:fill="FFFFFF"/>
        </w:rPr>
        <w:t>within 10 days</w:t>
      </w:r>
      <w:r w:rsidR="007162DE" w:rsidRPr="003123A2">
        <w:rPr>
          <w:rFonts w:asciiTheme="minorHAnsi" w:hAnsiTheme="minorHAnsi" w:cstheme="minorHAnsi"/>
          <w:color w:val="242121"/>
          <w:sz w:val="26"/>
          <w:szCs w:val="26"/>
          <w:shd w:val="clear" w:color="auto" w:fill="FFFFFF"/>
        </w:rPr>
        <w:t>,</w:t>
      </w:r>
      <w:r w:rsidR="00367CE7" w:rsidRPr="003123A2">
        <w:rPr>
          <w:rFonts w:asciiTheme="minorHAnsi" w:hAnsiTheme="minorHAnsi" w:cstheme="minorHAnsi"/>
          <w:color w:val="242121"/>
          <w:sz w:val="26"/>
          <w:szCs w:val="26"/>
          <w:shd w:val="clear" w:color="auto" w:fill="FFFFFF"/>
        </w:rPr>
        <w:t xml:space="preserve"> and has failed to do so. </w:t>
      </w:r>
    </w:p>
    <w:p w:rsidR="000D27F5" w:rsidRPr="00367CE7" w:rsidRDefault="000D27F5" w:rsidP="00E46046">
      <w:pPr>
        <w:pStyle w:val="ListParagraph"/>
        <w:rPr>
          <w:rFonts w:asciiTheme="minorHAnsi" w:hAnsiTheme="minorHAnsi" w:cstheme="minorHAnsi"/>
          <w:sz w:val="26"/>
          <w:szCs w:val="26"/>
        </w:rPr>
      </w:pPr>
    </w:p>
    <w:p w:rsidR="00367CE7" w:rsidRPr="003123A2" w:rsidRDefault="003123A2" w:rsidP="003123A2">
      <w:pPr>
        <w:spacing w:after="200" w:line="360" w:lineRule="auto"/>
        <w:ind w:left="851" w:hanging="851"/>
        <w:jc w:val="both"/>
        <w:rPr>
          <w:rFonts w:asciiTheme="minorHAnsi" w:hAnsiTheme="minorHAnsi" w:cstheme="minorHAnsi"/>
          <w:color w:val="242121"/>
          <w:sz w:val="26"/>
          <w:szCs w:val="26"/>
        </w:rPr>
      </w:pPr>
      <w:r w:rsidRPr="00A321FA">
        <w:rPr>
          <w:rFonts w:asciiTheme="minorHAnsi" w:hAnsiTheme="minorHAnsi"/>
          <w:color w:val="242121"/>
          <w:sz w:val="24"/>
          <w:szCs w:val="24"/>
        </w:rPr>
        <w:t>19.</w:t>
      </w:r>
      <w:r w:rsidRPr="00A321FA">
        <w:rPr>
          <w:rFonts w:asciiTheme="minorHAnsi" w:hAnsiTheme="minorHAnsi"/>
          <w:color w:val="242121"/>
          <w:sz w:val="24"/>
          <w:szCs w:val="24"/>
        </w:rPr>
        <w:tab/>
      </w:r>
      <w:r w:rsidR="00367CE7" w:rsidRPr="003123A2">
        <w:rPr>
          <w:rFonts w:asciiTheme="minorHAnsi" w:hAnsiTheme="minorHAnsi" w:cstheme="minorHAnsi"/>
          <w:i/>
          <w:iCs/>
          <w:color w:val="242121"/>
          <w:sz w:val="26"/>
          <w:szCs w:val="26"/>
          <w:u w:val="single"/>
          <w:lang w:val="en-US"/>
        </w:rPr>
        <w:t>Christie</w:t>
      </w:r>
      <w:r w:rsidR="00367CE7" w:rsidRPr="00A321FA">
        <w:rPr>
          <w:rStyle w:val="FootnoteReference"/>
          <w:rFonts w:asciiTheme="minorHAnsi" w:hAnsiTheme="minorHAnsi" w:cstheme="minorHAnsi"/>
          <w:i/>
          <w:iCs/>
          <w:color w:val="242121"/>
          <w:sz w:val="26"/>
          <w:szCs w:val="26"/>
          <w:u w:val="single"/>
          <w:lang w:val="en-US"/>
        </w:rPr>
        <w:footnoteReference w:id="12"/>
      </w:r>
      <w:r w:rsidR="00367CE7" w:rsidRPr="003123A2">
        <w:rPr>
          <w:rFonts w:asciiTheme="minorHAnsi" w:hAnsiTheme="minorHAnsi" w:cstheme="minorHAnsi"/>
          <w:i/>
          <w:iCs/>
          <w:color w:val="242121"/>
          <w:sz w:val="26"/>
          <w:szCs w:val="26"/>
          <w:u w:val="single"/>
          <w:lang w:val="en-US"/>
        </w:rPr>
        <w:t xml:space="preserve"> </w:t>
      </w:r>
      <w:r w:rsidR="00367CE7" w:rsidRPr="003123A2">
        <w:rPr>
          <w:rFonts w:asciiTheme="minorHAnsi" w:hAnsiTheme="minorHAnsi" w:cstheme="minorHAnsi"/>
          <w:color w:val="242121"/>
          <w:sz w:val="26"/>
          <w:szCs w:val="26"/>
          <w:lang w:val="en-US"/>
        </w:rPr>
        <w:t xml:space="preserve">provides the following useful synopsis in regard to a </w:t>
      </w:r>
      <w:r w:rsidR="00367CE7" w:rsidRPr="003123A2">
        <w:rPr>
          <w:rFonts w:asciiTheme="minorHAnsi" w:hAnsiTheme="minorHAnsi" w:cstheme="minorHAnsi"/>
          <w:i/>
          <w:iCs/>
          <w:color w:val="242121"/>
          <w:sz w:val="26"/>
          <w:szCs w:val="26"/>
          <w:lang w:val="en-US"/>
        </w:rPr>
        <w:t>lex commissoria</w:t>
      </w:r>
      <w:r w:rsidR="00367CE7" w:rsidRPr="003123A2">
        <w:rPr>
          <w:rFonts w:asciiTheme="minorHAnsi" w:hAnsiTheme="minorHAnsi" w:cstheme="minorHAnsi"/>
          <w:color w:val="242121"/>
          <w:sz w:val="26"/>
          <w:szCs w:val="26"/>
          <w:lang w:val="en-US"/>
        </w:rPr>
        <w:t>:</w:t>
      </w:r>
    </w:p>
    <w:p w:rsidR="000D27F5" w:rsidRPr="00367CE7" w:rsidRDefault="00367CE7" w:rsidP="00367CE7">
      <w:pPr>
        <w:pStyle w:val="ListParagraph"/>
        <w:spacing w:after="200" w:line="360" w:lineRule="auto"/>
        <w:ind w:left="851"/>
        <w:jc w:val="both"/>
        <w:rPr>
          <w:rFonts w:asciiTheme="minorHAnsi" w:hAnsiTheme="minorHAnsi" w:cstheme="minorHAnsi"/>
          <w:sz w:val="26"/>
          <w:szCs w:val="26"/>
        </w:rPr>
      </w:pPr>
      <w:r w:rsidRPr="00A321FA">
        <w:rPr>
          <w:rFonts w:asciiTheme="minorHAnsi" w:hAnsiTheme="minorHAnsi" w:cstheme="minorHAnsi"/>
          <w:color w:val="242121"/>
          <w:sz w:val="22"/>
          <w:szCs w:val="22"/>
        </w:rPr>
        <w:t>“</w:t>
      </w:r>
      <w:r w:rsidRPr="00A321FA">
        <w:rPr>
          <w:rFonts w:asciiTheme="minorHAnsi" w:hAnsiTheme="minorHAnsi" w:cstheme="minorHAnsi"/>
          <w:i/>
          <w:iCs/>
          <w:color w:val="242121"/>
          <w:sz w:val="22"/>
          <w:szCs w:val="22"/>
          <w:lang w:val="en-US"/>
        </w:rPr>
        <w:t>The contract may explicitly state that if one party fails to perform a particular obligation by a specified time the other party is entitled to cancel the contract. In a lease where the landlord is given the right to cancel for non-payment of rent, such a provision it is usually called a forfeiture clause, and in a contract of sale where the seller is given the right to cancel for non-p</w:t>
      </w:r>
      <w:r w:rsidR="007162DE">
        <w:rPr>
          <w:rFonts w:asciiTheme="minorHAnsi" w:hAnsiTheme="minorHAnsi" w:cstheme="minorHAnsi"/>
          <w:i/>
          <w:iCs/>
          <w:color w:val="242121"/>
          <w:sz w:val="22"/>
          <w:szCs w:val="22"/>
          <w:lang w:val="en-US"/>
        </w:rPr>
        <w:t xml:space="preserve">ayment of the purchase price, a </w:t>
      </w:r>
      <w:r w:rsidRPr="00A321FA">
        <w:rPr>
          <w:rFonts w:asciiTheme="minorHAnsi" w:hAnsiTheme="minorHAnsi" w:cstheme="minorHAnsi"/>
          <w:i/>
          <w:iCs/>
          <w:color w:val="242121"/>
          <w:sz w:val="22"/>
          <w:szCs w:val="22"/>
          <w:u w:val="single"/>
          <w:lang w:val="en-US"/>
        </w:rPr>
        <w:t>lex commissoria,</w:t>
      </w:r>
      <w:r w:rsidR="007162DE">
        <w:rPr>
          <w:rFonts w:asciiTheme="minorHAnsi" w:hAnsiTheme="minorHAnsi" w:cstheme="minorHAnsi"/>
          <w:i/>
          <w:iCs/>
          <w:color w:val="242121"/>
          <w:sz w:val="22"/>
          <w:szCs w:val="22"/>
          <w:lang w:val="en-US"/>
        </w:rPr>
        <w:t xml:space="preserve"> </w:t>
      </w:r>
      <w:r w:rsidRPr="00A321FA">
        <w:rPr>
          <w:rFonts w:asciiTheme="minorHAnsi" w:hAnsiTheme="minorHAnsi" w:cstheme="minorHAnsi"/>
          <w:i/>
          <w:iCs/>
          <w:color w:val="242121"/>
          <w:sz w:val="22"/>
          <w:szCs w:val="22"/>
          <w:lang w:val="en-US"/>
        </w:rPr>
        <w:t xml:space="preserve">but either description may be used in respect of any type of contract. </w:t>
      </w:r>
      <w:r w:rsidRPr="00A321FA">
        <w:rPr>
          <w:rFonts w:asciiTheme="minorHAnsi" w:hAnsiTheme="minorHAnsi" w:cstheme="minorHAnsi"/>
          <w:i/>
          <w:iCs/>
          <w:color w:val="242121"/>
          <w:sz w:val="22"/>
          <w:szCs w:val="22"/>
          <w:u w:val="single"/>
          <w:lang w:val="en-US"/>
        </w:rPr>
        <w:t>Such clauses are valid and enforceable strictly according to their terms, and the court has no equitable jurisdiction to relieve a debtor from the automatic forfeiture resulting from such a clause.</w:t>
      </w:r>
      <w:r>
        <w:rPr>
          <w:rFonts w:asciiTheme="minorHAnsi" w:hAnsiTheme="minorHAnsi" w:cstheme="minorHAnsi"/>
          <w:i/>
          <w:iCs/>
          <w:color w:val="242121"/>
          <w:sz w:val="22"/>
          <w:szCs w:val="22"/>
          <w:u w:val="single"/>
          <w:lang w:val="en-US"/>
        </w:rPr>
        <w:t xml:space="preserve"> </w:t>
      </w:r>
      <w:r w:rsidRPr="00367CE7">
        <w:rPr>
          <w:rFonts w:asciiTheme="minorHAnsi" w:hAnsiTheme="minorHAnsi" w:cstheme="minorHAnsi"/>
          <w:iCs/>
          <w:color w:val="242121"/>
          <w:sz w:val="26"/>
          <w:szCs w:val="26"/>
          <w:lang w:val="en-US"/>
        </w:rPr>
        <w:t>(own emphasis)</w:t>
      </w:r>
    </w:p>
    <w:p w:rsidR="000D27F5" w:rsidRDefault="000D27F5"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20.</w:t>
      </w:r>
      <w:r>
        <w:rPr>
          <w:rFonts w:asciiTheme="minorHAnsi" w:hAnsiTheme="minorHAnsi"/>
          <w:sz w:val="24"/>
          <w:szCs w:val="24"/>
        </w:rPr>
        <w:tab/>
      </w:r>
      <w:r w:rsidR="00367CE7" w:rsidRPr="003123A2">
        <w:rPr>
          <w:rFonts w:asciiTheme="minorHAnsi" w:hAnsiTheme="minorHAnsi" w:cstheme="minorHAnsi"/>
          <w:sz w:val="26"/>
          <w:szCs w:val="26"/>
        </w:rPr>
        <w:t xml:space="preserve">Thus, </w:t>
      </w:r>
      <w:r w:rsidR="00367CE7" w:rsidRPr="003123A2">
        <w:rPr>
          <w:rFonts w:asciiTheme="minorHAnsi" w:hAnsiTheme="minorHAnsi" w:cstheme="minorHAnsi"/>
          <w:color w:val="242121"/>
          <w:sz w:val="26"/>
          <w:szCs w:val="26"/>
          <w:shd w:val="clear" w:color="auto" w:fill="FFFFFF"/>
        </w:rPr>
        <w:t>where an agreement lays down a procedure for cancellation, that procedure must be followed or a purported cancellation will be ineffective.</w:t>
      </w:r>
      <w:r w:rsidR="00367CE7">
        <w:rPr>
          <w:rStyle w:val="FootnoteReference"/>
          <w:rFonts w:asciiTheme="minorHAnsi" w:hAnsiTheme="minorHAnsi" w:cstheme="minorHAnsi"/>
          <w:color w:val="242121"/>
          <w:sz w:val="26"/>
          <w:szCs w:val="26"/>
          <w:shd w:val="clear" w:color="auto" w:fill="FFFFFF"/>
        </w:rPr>
        <w:footnoteReference w:id="13"/>
      </w:r>
    </w:p>
    <w:p w:rsidR="000D27F5" w:rsidRDefault="000D27F5" w:rsidP="00E46046">
      <w:pPr>
        <w:pStyle w:val="ListParagraph"/>
        <w:rPr>
          <w:rFonts w:asciiTheme="minorHAnsi" w:hAnsiTheme="minorHAnsi" w:cstheme="minorHAnsi"/>
          <w:sz w:val="26"/>
          <w:szCs w:val="26"/>
        </w:rPr>
      </w:pPr>
    </w:p>
    <w:p w:rsidR="000D27F5"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367CE7" w:rsidRPr="003123A2">
        <w:rPr>
          <w:rFonts w:asciiTheme="minorHAnsi" w:hAnsiTheme="minorHAnsi" w:cstheme="minorHAnsi"/>
          <w:sz w:val="26"/>
          <w:szCs w:val="26"/>
        </w:rPr>
        <w:t xml:space="preserve">For all the reasons given, </w:t>
      </w:r>
      <w:r w:rsidR="00554AEB" w:rsidRPr="003123A2">
        <w:rPr>
          <w:rFonts w:asciiTheme="minorHAnsi" w:hAnsiTheme="minorHAnsi" w:cstheme="minorHAnsi"/>
          <w:sz w:val="26"/>
          <w:szCs w:val="26"/>
        </w:rPr>
        <w:t xml:space="preserve">not least of all, the plaintiff’s failure to comply with the provisions of rule 32(2)(b), including her failure </w:t>
      </w:r>
      <w:r w:rsidR="00367CE7" w:rsidRPr="003123A2">
        <w:rPr>
          <w:rFonts w:asciiTheme="minorHAnsi" w:hAnsiTheme="minorHAnsi" w:cstheme="minorHAnsi"/>
          <w:sz w:val="26"/>
          <w:szCs w:val="26"/>
        </w:rPr>
        <w:t>to make out a cause of action that is cognisable in law</w:t>
      </w:r>
      <w:r w:rsidR="00877F1E" w:rsidRPr="003123A2">
        <w:rPr>
          <w:rFonts w:asciiTheme="minorHAnsi" w:hAnsiTheme="minorHAnsi" w:cstheme="minorHAnsi"/>
          <w:sz w:val="26"/>
          <w:szCs w:val="26"/>
        </w:rPr>
        <w:t>,</w:t>
      </w:r>
      <w:r w:rsidR="00367CE7" w:rsidRPr="003123A2">
        <w:rPr>
          <w:rFonts w:asciiTheme="minorHAnsi" w:hAnsiTheme="minorHAnsi" w:cstheme="minorHAnsi"/>
          <w:sz w:val="26"/>
          <w:szCs w:val="26"/>
        </w:rPr>
        <w:t xml:space="preserve"> </w:t>
      </w:r>
      <w:r w:rsidR="00554AEB" w:rsidRPr="003123A2">
        <w:rPr>
          <w:rFonts w:asciiTheme="minorHAnsi" w:hAnsiTheme="minorHAnsi" w:cstheme="minorHAnsi"/>
          <w:sz w:val="26"/>
          <w:szCs w:val="26"/>
        </w:rPr>
        <w:t>she</w:t>
      </w:r>
      <w:r w:rsidR="00367CE7" w:rsidRPr="003123A2">
        <w:rPr>
          <w:rFonts w:asciiTheme="minorHAnsi" w:hAnsiTheme="minorHAnsi" w:cstheme="minorHAnsi"/>
          <w:sz w:val="26"/>
          <w:szCs w:val="26"/>
        </w:rPr>
        <w:t xml:space="preserve"> not entitled to summary judgment</w:t>
      </w:r>
      <w:r w:rsidR="00554AEB" w:rsidRPr="003123A2">
        <w:rPr>
          <w:rFonts w:asciiTheme="minorHAnsi" w:hAnsiTheme="minorHAnsi" w:cstheme="minorHAnsi"/>
          <w:sz w:val="26"/>
          <w:szCs w:val="26"/>
        </w:rPr>
        <w:t>.</w:t>
      </w:r>
    </w:p>
    <w:p w:rsidR="000D27F5" w:rsidRDefault="000D27F5" w:rsidP="00E46046">
      <w:pPr>
        <w:pStyle w:val="ListParagrap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22.</w:t>
      </w:r>
      <w:r>
        <w:rPr>
          <w:rFonts w:asciiTheme="minorHAnsi" w:hAnsiTheme="minorHAnsi"/>
          <w:sz w:val="24"/>
          <w:szCs w:val="24"/>
        </w:rPr>
        <w:tab/>
      </w:r>
      <w:r w:rsidR="00E46046" w:rsidRPr="003123A2">
        <w:rPr>
          <w:rFonts w:asciiTheme="minorHAnsi" w:hAnsiTheme="minorHAnsi" w:cstheme="minorHAnsi"/>
          <w:sz w:val="26"/>
          <w:szCs w:val="26"/>
        </w:rPr>
        <w:t xml:space="preserve">The general rule is that costs follow the result. </w:t>
      </w:r>
      <w:r w:rsidR="00554AEB" w:rsidRPr="003123A2">
        <w:rPr>
          <w:rFonts w:asciiTheme="minorHAnsi" w:hAnsiTheme="minorHAnsi" w:cstheme="minorHAnsi"/>
          <w:sz w:val="26"/>
          <w:szCs w:val="26"/>
        </w:rPr>
        <w:t>I see no reason to depart therefrom.</w:t>
      </w:r>
    </w:p>
    <w:p w:rsidR="00E46046" w:rsidRDefault="00E46046" w:rsidP="00E46046">
      <w:pPr>
        <w:pStyle w:val="ListParagraph"/>
        <w:rPr>
          <w:rFonts w:asciiTheme="minorHAnsi" w:hAnsiTheme="minorHAnsi" w:cstheme="minorHAnsi"/>
          <w:sz w:val="26"/>
          <w:szCs w:val="26"/>
        </w:rPr>
      </w:pPr>
    </w:p>
    <w:p w:rsidR="00E46046" w:rsidRPr="003123A2" w:rsidRDefault="003123A2" w:rsidP="003123A2">
      <w:pPr>
        <w:spacing w:after="200" w:line="360" w:lineRule="auto"/>
        <w:ind w:left="851" w:hanging="851"/>
        <w:jc w:val="both"/>
        <w:rPr>
          <w:rFonts w:asciiTheme="minorHAnsi" w:hAnsiTheme="minorHAnsi" w:cstheme="minorHAnsi"/>
          <w:sz w:val="26"/>
          <w:szCs w:val="26"/>
        </w:rPr>
      </w:pPr>
      <w:r w:rsidRPr="00554AEB">
        <w:rPr>
          <w:rFonts w:asciiTheme="minorHAnsi" w:hAnsiTheme="minorHAnsi"/>
          <w:sz w:val="24"/>
          <w:szCs w:val="24"/>
        </w:rPr>
        <w:t>23.</w:t>
      </w:r>
      <w:r w:rsidRPr="00554AEB">
        <w:rPr>
          <w:rFonts w:asciiTheme="minorHAnsi" w:hAnsiTheme="minorHAnsi"/>
          <w:sz w:val="24"/>
          <w:szCs w:val="24"/>
        </w:rPr>
        <w:tab/>
      </w:r>
      <w:r w:rsidR="00E46046" w:rsidRPr="003123A2">
        <w:rPr>
          <w:rFonts w:asciiTheme="minorHAnsi" w:hAnsiTheme="minorHAnsi" w:cstheme="minorHAnsi"/>
          <w:sz w:val="26"/>
          <w:szCs w:val="26"/>
        </w:rPr>
        <w:t>In the circumstances, the following order is granted:</w:t>
      </w:r>
    </w:p>
    <w:p w:rsidR="00E46046" w:rsidRDefault="00E46046" w:rsidP="00E46046">
      <w:pPr>
        <w:pStyle w:val="ListParagraph"/>
        <w:spacing w:after="200" w:line="360" w:lineRule="auto"/>
        <w:ind w:left="851"/>
        <w:jc w:val="both"/>
        <w:rPr>
          <w:rFonts w:asciiTheme="minorHAnsi" w:hAnsiTheme="minorHAnsi" w:cstheme="minorHAnsi"/>
          <w:b/>
          <w:sz w:val="26"/>
          <w:szCs w:val="26"/>
        </w:rPr>
      </w:pPr>
    </w:p>
    <w:p w:rsidR="00E46046" w:rsidRPr="0098343D" w:rsidRDefault="00E46046" w:rsidP="00E46046">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E46046" w:rsidRPr="003123A2" w:rsidRDefault="003123A2" w:rsidP="003123A2">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554AEB" w:rsidRPr="003123A2">
        <w:rPr>
          <w:rFonts w:asciiTheme="minorHAnsi" w:hAnsiTheme="minorHAnsi" w:cstheme="minorHAnsi"/>
          <w:sz w:val="26"/>
          <w:szCs w:val="26"/>
        </w:rPr>
        <w:t>Condonation for the late filing of the application for summary judgment is granted.</w:t>
      </w:r>
      <w:r w:rsidR="00E46046" w:rsidRPr="003123A2">
        <w:rPr>
          <w:rFonts w:asciiTheme="minorHAnsi" w:hAnsiTheme="minorHAnsi" w:cstheme="minorHAnsi"/>
          <w:sz w:val="26"/>
          <w:szCs w:val="26"/>
        </w:rPr>
        <w:t xml:space="preserve"> </w:t>
      </w:r>
    </w:p>
    <w:p w:rsidR="00E46046" w:rsidRPr="003123A2" w:rsidRDefault="003123A2" w:rsidP="003123A2">
      <w:pPr>
        <w:spacing w:after="200" w:line="360" w:lineRule="auto"/>
        <w:ind w:left="1211" w:hanging="360"/>
        <w:jc w:val="both"/>
        <w:rPr>
          <w:rFonts w:asciiTheme="minorHAnsi" w:hAnsiTheme="minorHAnsi" w:cstheme="minorHAnsi"/>
          <w:sz w:val="26"/>
          <w:szCs w:val="26"/>
        </w:rPr>
      </w:pPr>
      <w:r w:rsidRPr="00636244">
        <w:rPr>
          <w:rFonts w:asciiTheme="minorHAnsi" w:hAnsiTheme="minorHAnsi" w:cstheme="minorHAnsi"/>
          <w:sz w:val="26"/>
          <w:szCs w:val="26"/>
        </w:rPr>
        <w:t>2.</w:t>
      </w:r>
      <w:r w:rsidRPr="00636244">
        <w:rPr>
          <w:rFonts w:asciiTheme="minorHAnsi" w:hAnsiTheme="minorHAnsi" w:cstheme="minorHAnsi"/>
          <w:sz w:val="26"/>
          <w:szCs w:val="26"/>
        </w:rPr>
        <w:tab/>
      </w:r>
      <w:r w:rsidR="00E46046" w:rsidRPr="003123A2">
        <w:rPr>
          <w:rFonts w:asciiTheme="minorHAnsi" w:hAnsiTheme="minorHAnsi" w:cstheme="minorHAnsi"/>
          <w:sz w:val="26"/>
          <w:szCs w:val="26"/>
        </w:rPr>
        <w:t xml:space="preserve">The </w:t>
      </w:r>
      <w:r w:rsidR="00554AEB" w:rsidRPr="003123A2">
        <w:rPr>
          <w:rFonts w:asciiTheme="minorHAnsi" w:hAnsiTheme="minorHAnsi" w:cstheme="minorHAnsi"/>
          <w:sz w:val="26"/>
          <w:szCs w:val="26"/>
        </w:rPr>
        <w:t>application for summary judgment is dismissed with costs.</w:t>
      </w:r>
    </w:p>
    <w:p w:rsidR="00E46046" w:rsidRDefault="00E46046" w:rsidP="00E46046">
      <w:pPr>
        <w:pStyle w:val="ListParagraph"/>
        <w:rPr>
          <w:rFonts w:asciiTheme="minorHAnsi" w:hAnsiTheme="minorHAnsi" w:cstheme="minorHAnsi"/>
          <w:sz w:val="26"/>
          <w:szCs w:val="26"/>
        </w:rPr>
      </w:pPr>
    </w:p>
    <w:p w:rsidR="00E46046" w:rsidRDefault="00E46046" w:rsidP="00E46046">
      <w:pPr>
        <w:pStyle w:val="ListParagraph"/>
        <w:rPr>
          <w:rFonts w:asciiTheme="minorHAnsi" w:hAnsiTheme="minorHAnsi" w:cstheme="minorHAnsi"/>
          <w:sz w:val="26"/>
          <w:szCs w:val="26"/>
        </w:rPr>
      </w:pPr>
    </w:p>
    <w:p w:rsidR="00877F1E" w:rsidRPr="00175B5A" w:rsidRDefault="00877F1E" w:rsidP="00E46046">
      <w:pPr>
        <w:pStyle w:val="ListParagraph"/>
        <w:rPr>
          <w:rFonts w:asciiTheme="minorHAnsi" w:hAnsiTheme="minorHAnsi" w:cstheme="minorHAnsi"/>
          <w:sz w:val="26"/>
          <w:szCs w:val="26"/>
        </w:rPr>
      </w:pPr>
    </w:p>
    <w:p w:rsidR="00E46046" w:rsidRPr="00C5002D" w:rsidRDefault="00E46046" w:rsidP="00E46046">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E46046" w:rsidRPr="00877F1E" w:rsidRDefault="00E46046" w:rsidP="00E46046">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A</w:t>
      </w:r>
      <w:r w:rsidR="00877F1E" w:rsidRPr="00877F1E">
        <w:rPr>
          <w:rFonts w:asciiTheme="minorHAnsi" w:hAnsiTheme="minorHAnsi" w:cstheme="minorHAnsi"/>
          <w:b/>
          <w:sz w:val="24"/>
          <w:szCs w:val="24"/>
        </w:rPr>
        <w:t>VRILLE</w:t>
      </w:r>
      <w:r w:rsidRPr="00877F1E">
        <w:rPr>
          <w:rFonts w:asciiTheme="minorHAnsi" w:hAnsiTheme="minorHAnsi" w:cstheme="minorHAnsi"/>
          <w:b/>
          <w:sz w:val="24"/>
          <w:szCs w:val="24"/>
        </w:rPr>
        <w:t xml:space="preserve"> MAIER-FRAWLEY </w:t>
      </w:r>
    </w:p>
    <w:p w:rsidR="00E46046" w:rsidRPr="00877F1E" w:rsidRDefault="00E46046" w:rsidP="00E46046">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E46046" w:rsidRPr="00877F1E" w:rsidRDefault="00E46046" w:rsidP="00E46046">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E46046" w:rsidRDefault="00E46046" w:rsidP="00E46046">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E46046" w:rsidRDefault="00E46046" w:rsidP="00E46046">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E46046" w:rsidRPr="008E28FB" w:rsidRDefault="00E46046" w:rsidP="00E46046">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877F1E">
        <w:rPr>
          <w:rFonts w:asciiTheme="minorHAnsi" w:hAnsiTheme="minorHAnsi" w:cstheme="minorHAnsi"/>
          <w:sz w:val="24"/>
          <w:szCs w:val="24"/>
        </w:rPr>
        <w:t>14</w:t>
      </w:r>
      <w:r>
        <w:rPr>
          <w:rFonts w:asciiTheme="minorHAnsi" w:hAnsiTheme="minorHAnsi" w:cstheme="minorHAnsi"/>
          <w:sz w:val="24"/>
          <w:szCs w:val="24"/>
        </w:rPr>
        <w:t xml:space="preserve"> </w:t>
      </w:r>
      <w:r w:rsidR="00877F1E">
        <w:rPr>
          <w:rFonts w:asciiTheme="minorHAnsi" w:hAnsiTheme="minorHAnsi" w:cstheme="minorHAnsi"/>
          <w:sz w:val="24"/>
          <w:szCs w:val="24"/>
        </w:rPr>
        <w:t>March</w:t>
      </w:r>
      <w:r>
        <w:rPr>
          <w:rFonts w:asciiTheme="minorHAnsi" w:hAnsiTheme="minorHAnsi" w:cstheme="minorHAnsi"/>
          <w:sz w:val="24"/>
          <w:szCs w:val="24"/>
        </w:rPr>
        <w:t xml:space="preserve"> 202</w:t>
      </w:r>
      <w:r w:rsidR="00877F1E">
        <w:rPr>
          <w:rFonts w:asciiTheme="minorHAnsi" w:hAnsiTheme="minorHAnsi" w:cstheme="minorHAnsi"/>
          <w:sz w:val="24"/>
          <w:szCs w:val="24"/>
        </w:rPr>
        <w:t>2</w:t>
      </w:r>
    </w:p>
    <w:p w:rsidR="00E46046" w:rsidRPr="008E28FB" w:rsidRDefault="00E46046" w:rsidP="00E46046">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877F1E">
        <w:rPr>
          <w:rFonts w:asciiTheme="minorHAnsi" w:hAnsiTheme="minorHAnsi" w:cstheme="minorHAnsi"/>
          <w:sz w:val="24"/>
          <w:szCs w:val="24"/>
        </w:rPr>
        <w:t>31 March 202</w:t>
      </w:r>
      <w:r>
        <w:rPr>
          <w:rFonts w:asciiTheme="minorHAnsi" w:hAnsiTheme="minorHAnsi" w:cstheme="minorHAnsi"/>
          <w:sz w:val="24"/>
          <w:szCs w:val="24"/>
        </w:rPr>
        <w:t>2</w:t>
      </w:r>
    </w:p>
    <w:p w:rsidR="00E46046" w:rsidRDefault="00E46046" w:rsidP="00E46046">
      <w:pPr>
        <w:pStyle w:val="ListParagraph"/>
        <w:ind w:left="0"/>
        <w:rPr>
          <w:rFonts w:asciiTheme="minorHAnsi" w:hAnsiTheme="minorHAnsi" w:cstheme="minorHAnsi"/>
          <w:sz w:val="24"/>
          <w:szCs w:val="24"/>
        </w:rPr>
      </w:pPr>
    </w:p>
    <w:p w:rsidR="00E46046" w:rsidRDefault="00E46046" w:rsidP="00E46046">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877F1E">
        <w:rPr>
          <w:i/>
        </w:rPr>
        <w:t>31</w:t>
      </w:r>
      <w:r w:rsidRPr="00D626A3">
        <w:rPr>
          <w:i/>
        </w:rPr>
        <w:t xml:space="preserve"> </w:t>
      </w:r>
      <w:r w:rsidR="00877F1E">
        <w:rPr>
          <w:i/>
        </w:rPr>
        <w:t>March</w:t>
      </w:r>
      <w:r w:rsidRPr="00D626A3">
        <w:rPr>
          <w:i/>
        </w:rPr>
        <w:t xml:space="preserve"> 202</w:t>
      </w:r>
      <w:r w:rsidR="00877F1E">
        <w:rPr>
          <w:i/>
        </w:rPr>
        <w:t>2</w:t>
      </w:r>
      <w:r w:rsidRPr="00D626A3">
        <w:rPr>
          <w:i/>
        </w:rPr>
        <w:t>.</w:t>
      </w:r>
    </w:p>
    <w:p w:rsidR="00E46046" w:rsidRDefault="00E46046" w:rsidP="00E46046">
      <w:pPr>
        <w:pStyle w:val="ListParagraph"/>
        <w:ind w:left="0"/>
        <w:rPr>
          <w:rFonts w:asciiTheme="minorHAnsi" w:hAnsiTheme="minorHAnsi" w:cstheme="minorHAnsi"/>
          <w:sz w:val="24"/>
          <w:szCs w:val="24"/>
        </w:rPr>
      </w:pPr>
    </w:p>
    <w:p w:rsidR="00877F1E" w:rsidRPr="008E28FB" w:rsidRDefault="00877F1E" w:rsidP="00E46046">
      <w:pPr>
        <w:pStyle w:val="ListParagraph"/>
        <w:ind w:left="0"/>
        <w:rPr>
          <w:rFonts w:asciiTheme="minorHAnsi" w:hAnsiTheme="minorHAnsi" w:cstheme="minorHAnsi"/>
          <w:sz w:val="24"/>
          <w:szCs w:val="24"/>
        </w:rPr>
      </w:pPr>
    </w:p>
    <w:p w:rsidR="00E46046" w:rsidRPr="008E28FB" w:rsidRDefault="00E46046" w:rsidP="00E46046">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E46046" w:rsidRPr="008E28FB" w:rsidRDefault="00E46046" w:rsidP="00E46046">
      <w:pPr>
        <w:pStyle w:val="ListParagraph"/>
        <w:ind w:left="0"/>
        <w:rPr>
          <w:rFonts w:asciiTheme="minorHAnsi" w:hAnsiTheme="minorHAnsi" w:cstheme="minorHAnsi"/>
          <w:sz w:val="24"/>
          <w:szCs w:val="24"/>
        </w:rPr>
      </w:pPr>
    </w:p>
    <w:p w:rsidR="00E46046" w:rsidRPr="008E28FB" w:rsidRDefault="00E46046" w:rsidP="00E46046">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877F1E">
        <w:rPr>
          <w:rFonts w:asciiTheme="minorHAnsi" w:hAnsiTheme="minorHAnsi" w:cstheme="minorHAnsi"/>
          <w:sz w:val="24"/>
          <w:szCs w:val="24"/>
        </w:rPr>
        <w:t>Plaintiff</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877F1E">
        <w:rPr>
          <w:rFonts w:asciiTheme="minorHAnsi" w:hAnsiTheme="minorHAnsi" w:cstheme="minorHAnsi"/>
          <w:sz w:val="24"/>
          <w:szCs w:val="24"/>
        </w:rPr>
        <w:t>Ms P Muthige</w:t>
      </w:r>
    </w:p>
    <w:p w:rsidR="00E46046" w:rsidRDefault="00E46046" w:rsidP="00E46046">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sidR="00877F1E">
        <w:rPr>
          <w:rFonts w:asciiTheme="minorHAnsi" w:hAnsiTheme="minorHAnsi" w:cstheme="minorHAnsi"/>
          <w:sz w:val="24"/>
          <w:szCs w:val="24"/>
        </w:rPr>
        <w:t>Plaintiff</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877F1E">
        <w:rPr>
          <w:rFonts w:asciiTheme="minorHAnsi" w:hAnsiTheme="minorHAnsi" w:cstheme="minorHAnsi"/>
          <w:sz w:val="24"/>
          <w:szCs w:val="24"/>
        </w:rPr>
        <w:t>Mukwveho R Attorneys</w:t>
      </w:r>
    </w:p>
    <w:p w:rsidR="00E46046" w:rsidRPr="008E28FB" w:rsidRDefault="00E46046" w:rsidP="00E46046">
      <w:pPr>
        <w:ind w:left="4320" w:hanging="4320"/>
        <w:jc w:val="both"/>
        <w:rPr>
          <w:rFonts w:asciiTheme="minorHAnsi" w:hAnsiTheme="minorHAnsi" w:cstheme="minorHAnsi"/>
          <w:sz w:val="24"/>
          <w:szCs w:val="24"/>
        </w:rPr>
      </w:pPr>
    </w:p>
    <w:p w:rsidR="00E46046" w:rsidRDefault="00877F1E" w:rsidP="00E46046">
      <w:r>
        <w:t>Counsel for First Defendant:</w:t>
      </w:r>
      <w:r>
        <w:tab/>
      </w:r>
      <w:r>
        <w:tab/>
      </w:r>
      <w:r>
        <w:tab/>
        <w:t>Mr BT Moeletsi</w:t>
      </w:r>
    </w:p>
    <w:p w:rsidR="00877F1E" w:rsidRDefault="00877F1E" w:rsidP="00E46046">
      <w:r>
        <w:t>Attorneys for First Defendant:</w:t>
      </w:r>
      <w:r>
        <w:tab/>
      </w:r>
      <w:r>
        <w:tab/>
        <w:t>K Mokale Attorneys</w:t>
      </w:r>
    </w:p>
    <w:p w:rsidR="00E46046" w:rsidRDefault="00E46046" w:rsidP="00E46046"/>
    <w:p w:rsidR="001820E6" w:rsidRDefault="00877F1E">
      <w:r>
        <w:t>Counsel for Second Defendant:</w:t>
      </w:r>
      <w:r>
        <w:tab/>
      </w:r>
      <w:r>
        <w:tab/>
        <w:t>No appearance</w:t>
      </w:r>
    </w:p>
    <w:p w:rsidR="00877F1E" w:rsidRDefault="00877F1E">
      <w:r>
        <w:t>Attorneys for Second Defendant:</w:t>
      </w:r>
      <w:r>
        <w:tab/>
      </w:r>
      <w:r>
        <w:tab/>
        <w:t>No appearance</w:t>
      </w:r>
    </w:p>
    <w:sectPr w:rsidR="00877F1E" w:rsidSect="00CC2922">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E5" w:rsidRDefault="00022CE5" w:rsidP="00E46046">
      <w:r>
        <w:separator/>
      </w:r>
    </w:p>
  </w:endnote>
  <w:endnote w:type="continuationSeparator" w:id="0">
    <w:p w:rsidR="00022CE5" w:rsidRDefault="00022CE5" w:rsidP="00E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E5" w:rsidRDefault="00022CE5" w:rsidP="00E46046">
      <w:r>
        <w:separator/>
      </w:r>
    </w:p>
  </w:footnote>
  <w:footnote w:type="continuationSeparator" w:id="0">
    <w:p w:rsidR="00022CE5" w:rsidRDefault="00022CE5" w:rsidP="00E46046">
      <w:r>
        <w:continuationSeparator/>
      </w:r>
    </w:p>
  </w:footnote>
  <w:footnote w:id="1">
    <w:p w:rsidR="00CC2922" w:rsidRPr="00D65E2A" w:rsidRDefault="00CC2922" w:rsidP="00D65E2A">
      <w:pPr>
        <w:pStyle w:val="FootnoteText"/>
        <w:jc w:val="both"/>
        <w:rPr>
          <w:lang w:val="en-US"/>
        </w:rPr>
      </w:pPr>
      <w:r>
        <w:rPr>
          <w:rStyle w:val="FootnoteReference"/>
        </w:rPr>
        <w:footnoteRef/>
      </w:r>
      <w:r>
        <w:t xml:space="preserve"> </w:t>
      </w:r>
      <w:r w:rsidRPr="006B1B49">
        <w:rPr>
          <w:color w:val="242121"/>
          <w:shd w:val="clear" w:color="auto" w:fill="FFFFFF"/>
        </w:rPr>
        <w:t>The delivery of a plea is now a prerequisite to an application for summary judgment under Rule 32(1) in its amended form.</w:t>
      </w:r>
      <w:r>
        <w:rPr>
          <w:color w:val="242121"/>
          <w:shd w:val="clear" w:color="auto" w:fill="FFFFFF"/>
        </w:rPr>
        <w:t xml:space="preserve"> See: </w:t>
      </w:r>
      <w:r w:rsidRPr="006B1B49">
        <w:rPr>
          <w:rFonts w:eastAsia="Times New Roman"/>
          <w:i/>
          <w:lang w:eastAsia="en-ZA"/>
        </w:rPr>
        <w:t>Absa Bank Limited v Mphahlele N.O and Others</w:t>
      </w:r>
      <w:r w:rsidRPr="006B1B49">
        <w:rPr>
          <w:rFonts w:eastAsia="Times New Roman"/>
          <w:lang w:eastAsia="en-ZA"/>
        </w:rPr>
        <w:t xml:space="preserve"> (45323/2019, 42121/2019) [2020] ZAGPPHC 257 (26 March 2020)</w:t>
      </w:r>
      <w:r>
        <w:rPr>
          <w:rFonts w:eastAsia="Times New Roman"/>
          <w:lang w:eastAsia="en-ZA"/>
        </w:rPr>
        <w:t>, par 14. (‘</w:t>
      </w:r>
      <w:r w:rsidRPr="00D65E2A">
        <w:rPr>
          <w:rFonts w:eastAsia="Times New Roman"/>
          <w:i/>
          <w:lang w:eastAsia="en-ZA"/>
        </w:rPr>
        <w:t>Mphahlele</w:t>
      </w:r>
      <w:r>
        <w:rPr>
          <w:rFonts w:eastAsia="Times New Roman"/>
          <w:lang w:eastAsia="en-ZA"/>
        </w:rPr>
        <w:t>’)</w:t>
      </w:r>
    </w:p>
  </w:footnote>
  <w:footnote w:id="2">
    <w:p w:rsidR="00CC2922" w:rsidRPr="00436A8C" w:rsidRDefault="00CC2922">
      <w:pPr>
        <w:pStyle w:val="FootnoteText"/>
        <w:rPr>
          <w:lang w:val="en-US"/>
        </w:rPr>
      </w:pPr>
      <w:r>
        <w:rPr>
          <w:rStyle w:val="FootnoteReference"/>
        </w:rPr>
        <w:footnoteRef/>
      </w:r>
      <w:r>
        <w:t xml:space="preserve"> </w:t>
      </w:r>
      <w:r>
        <w:rPr>
          <w:lang w:val="en-US"/>
        </w:rPr>
        <w:t>See: Erasmus, ‘Superior Court Practice’ (2</w:t>
      </w:r>
      <w:r w:rsidRPr="00D65E2A">
        <w:rPr>
          <w:vertAlign w:val="superscript"/>
          <w:lang w:val="en-US"/>
        </w:rPr>
        <w:t>nd</w:t>
      </w:r>
      <w:r>
        <w:rPr>
          <w:lang w:val="en-US"/>
        </w:rPr>
        <w:t xml:space="preserve"> edition) at D1-401</w:t>
      </w:r>
    </w:p>
  </w:footnote>
  <w:footnote w:id="3">
    <w:p w:rsidR="00CC2922" w:rsidRPr="00D65E2A" w:rsidRDefault="00CC2922" w:rsidP="00D65E2A">
      <w:pPr>
        <w:pStyle w:val="FootnoteText"/>
        <w:spacing w:line="276" w:lineRule="auto"/>
        <w:jc w:val="both"/>
        <w:rPr>
          <w:lang w:val="en-US"/>
        </w:rPr>
      </w:pPr>
      <w:r>
        <w:rPr>
          <w:rStyle w:val="FootnoteReference"/>
        </w:rPr>
        <w:footnoteRef/>
      </w:r>
      <w:r>
        <w:t xml:space="preserve"> </w:t>
      </w:r>
      <w:r>
        <w:rPr>
          <w:lang w:val="en-US"/>
        </w:rPr>
        <w:t xml:space="preserve">This view was endorsed in </w:t>
      </w:r>
      <w:r w:rsidRPr="00D65E2A">
        <w:rPr>
          <w:rFonts w:eastAsia="Times New Roman"/>
          <w:i/>
          <w:lang w:eastAsia="en-ZA"/>
        </w:rPr>
        <w:t>Mphahlele</w:t>
      </w:r>
      <w:r>
        <w:rPr>
          <w:rFonts w:eastAsia="Times New Roman"/>
          <w:i/>
          <w:lang w:eastAsia="en-ZA"/>
        </w:rPr>
        <w:t xml:space="preserve"> supra, </w:t>
      </w:r>
      <w:r w:rsidRPr="00D65E2A">
        <w:rPr>
          <w:rFonts w:eastAsia="Times New Roman"/>
          <w:lang w:eastAsia="en-ZA"/>
        </w:rPr>
        <w:t>at par 15</w:t>
      </w:r>
      <w:r>
        <w:rPr>
          <w:rFonts w:eastAsia="Times New Roman"/>
          <w:lang w:eastAsia="en-ZA"/>
        </w:rPr>
        <w:t xml:space="preserve"> and is a view I share</w:t>
      </w:r>
      <w:r w:rsidRPr="00D65E2A">
        <w:rPr>
          <w:rFonts w:eastAsia="Times New Roman"/>
          <w:lang w:eastAsia="en-ZA"/>
        </w:rPr>
        <w:t>.</w:t>
      </w:r>
      <w:r>
        <w:rPr>
          <w:rFonts w:eastAsia="Times New Roman"/>
          <w:lang w:eastAsia="en-ZA"/>
        </w:rPr>
        <w:t xml:space="preserve"> It accords with the established case law under the former rule 32(2) wherein the requirements of such sub-rule were considered to be peremptory. See, for example, the reasoning employed in  </w:t>
      </w:r>
      <w:r>
        <w:rPr>
          <w:rFonts w:eastAsia="Times New Roman"/>
          <w:i/>
          <w:lang w:eastAsia="en-ZA"/>
        </w:rPr>
        <w:t xml:space="preserve">Shackleton Credit Management (Pty) Ltd v Microzone Trading 88 CC </w:t>
      </w:r>
      <w:r>
        <w:rPr>
          <w:rFonts w:eastAsia="Times New Roman"/>
          <w:lang w:eastAsia="en-ZA"/>
        </w:rPr>
        <w:t>2010 (5) SA 112 (KZP) at 122F-I</w:t>
      </w:r>
    </w:p>
  </w:footnote>
  <w:footnote w:id="4">
    <w:p w:rsidR="00CC2922" w:rsidRPr="009937AF" w:rsidRDefault="00CC2922">
      <w:pPr>
        <w:pStyle w:val="FootnoteText"/>
        <w:rPr>
          <w:lang w:val="en-US"/>
        </w:rPr>
      </w:pPr>
      <w:r>
        <w:rPr>
          <w:rStyle w:val="FootnoteReference"/>
        </w:rPr>
        <w:footnoteRef/>
      </w:r>
      <w:r>
        <w:t xml:space="preserve"> </w:t>
      </w:r>
      <w:r>
        <w:rPr>
          <w:lang w:val="en-US"/>
        </w:rPr>
        <w:t xml:space="preserve">See </w:t>
      </w:r>
      <w:r w:rsidRPr="009937AF">
        <w:rPr>
          <w:i/>
          <w:lang w:val="en-US"/>
        </w:rPr>
        <w:t>Erasmus</w:t>
      </w:r>
      <w:r>
        <w:rPr>
          <w:lang w:val="en-US"/>
        </w:rPr>
        <w:t xml:space="preserve"> at D1-402H and read with authorities cited in fn 183 thereof.</w:t>
      </w:r>
    </w:p>
  </w:footnote>
  <w:footnote w:id="5">
    <w:p w:rsidR="00CC2922" w:rsidRPr="009937AF" w:rsidRDefault="00CC2922">
      <w:pPr>
        <w:pStyle w:val="FootnoteText"/>
        <w:rPr>
          <w:lang w:val="en-US"/>
        </w:rPr>
      </w:pPr>
      <w:r>
        <w:rPr>
          <w:rStyle w:val="FootnoteReference"/>
        </w:rPr>
        <w:footnoteRef/>
      </w:r>
      <w:r>
        <w:t xml:space="preserve"> </w:t>
      </w:r>
      <w:r>
        <w:rPr>
          <w:lang w:val="en-US"/>
        </w:rPr>
        <w:t xml:space="preserve">See </w:t>
      </w:r>
      <w:r w:rsidRPr="009937AF">
        <w:rPr>
          <w:i/>
          <w:lang w:val="en-US"/>
        </w:rPr>
        <w:t>Erasmus</w:t>
      </w:r>
      <w:r>
        <w:rPr>
          <w:lang w:val="en-US"/>
        </w:rPr>
        <w:t xml:space="preserve"> at D1-402H and read with authorities cited in fn 184 thereof;</w:t>
      </w:r>
    </w:p>
  </w:footnote>
  <w:footnote w:id="6">
    <w:p w:rsidR="00DB2082" w:rsidRPr="00DB2082" w:rsidRDefault="00DB2082">
      <w:pPr>
        <w:pStyle w:val="FootnoteText"/>
        <w:rPr>
          <w:lang w:val="en-US"/>
        </w:rPr>
      </w:pPr>
      <w:r>
        <w:rPr>
          <w:rStyle w:val="FootnoteReference"/>
        </w:rPr>
        <w:footnoteRef/>
      </w:r>
      <w:r>
        <w:t xml:space="preserve"> Id </w:t>
      </w:r>
      <w:r w:rsidRPr="00D65E2A">
        <w:rPr>
          <w:rFonts w:eastAsia="Times New Roman"/>
          <w:i/>
          <w:lang w:eastAsia="en-ZA"/>
        </w:rPr>
        <w:t>Mphahlele</w:t>
      </w:r>
      <w:r>
        <w:rPr>
          <w:rFonts w:eastAsia="Times New Roman"/>
          <w:i/>
          <w:lang w:eastAsia="en-ZA"/>
        </w:rPr>
        <w:t xml:space="preserve">, </w:t>
      </w:r>
      <w:r>
        <w:rPr>
          <w:rFonts w:eastAsia="Times New Roman"/>
          <w:lang w:eastAsia="en-ZA"/>
        </w:rPr>
        <w:t>par 17.</w:t>
      </w:r>
    </w:p>
  </w:footnote>
  <w:footnote w:id="7">
    <w:p w:rsidR="00DB2082" w:rsidRPr="00DB2082" w:rsidRDefault="00DB2082" w:rsidP="00DB2082">
      <w:pPr>
        <w:pStyle w:val="FootnoteText"/>
        <w:jc w:val="both"/>
        <w:rPr>
          <w:lang w:val="en-US"/>
        </w:rPr>
      </w:pPr>
      <w:r>
        <w:rPr>
          <w:rStyle w:val="FootnoteReference"/>
        </w:rPr>
        <w:footnoteRef/>
      </w:r>
      <w:r>
        <w:t xml:space="preserve"> </w:t>
      </w:r>
      <w:r>
        <w:rPr>
          <w:lang w:val="en-US"/>
        </w:rPr>
        <w:t>Page 6 of the sale agreement appears in annexure ‘SJ1” to the founding affidavit filed in support of the summary judgment application. The agreement uploaded to caselines as annexure ‘A” to the particulars of claim, does not contain page 6 thereof. It remains unclear whether the completed agreement (containing all pages, i.e., including page 6) was actually served upon the defendants at the relevant time.</w:t>
      </w:r>
    </w:p>
  </w:footnote>
  <w:footnote w:id="8">
    <w:p w:rsidR="00DB2082" w:rsidRPr="00DB2082" w:rsidRDefault="00DB2082" w:rsidP="00DB2082">
      <w:pPr>
        <w:pStyle w:val="FootnoteText"/>
        <w:jc w:val="both"/>
        <w:rPr>
          <w:lang w:val="en-US"/>
        </w:rPr>
      </w:pPr>
      <w:r>
        <w:rPr>
          <w:rStyle w:val="FootnoteReference"/>
        </w:rPr>
        <w:footnoteRef/>
      </w:r>
      <w:r>
        <w:t xml:space="preserve"> </w:t>
      </w:r>
      <w:r>
        <w:rPr>
          <w:lang w:val="en-US"/>
        </w:rPr>
        <w:t xml:space="preserve">See para 5 of the particulars of claim where it is averred that on 30 June 2020 a written sale agreement </w:t>
      </w:r>
      <w:r w:rsidR="00DA398F">
        <w:rPr>
          <w:lang w:val="en-US"/>
        </w:rPr>
        <w:t>was entered into by the plaintiff and the second defendant.</w:t>
      </w:r>
    </w:p>
  </w:footnote>
  <w:footnote w:id="9">
    <w:p w:rsidR="008254C8" w:rsidRPr="008254C8" w:rsidRDefault="008254C8" w:rsidP="008254C8">
      <w:pPr>
        <w:pStyle w:val="FootnoteText"/>
        <w:jc w:val="both"/>
        <w:rPr>
          <w:lang w:val="en-US"/>
        </w:rPr>
      </w:pPr>
      <w:r>
        <w:rPr>
          <w:rStyle w:val="FootnoteReference"/>
        </w:rPr>
        <w:footnoteRef/>
      </w:r>
      <w:r>
        <w:t xml:space="preserve"> </w:t>
      </w:r>
      <w:r>
        <w:rPr>
          <w:lang w:val="en-US"/>
        </w:rPr>
        <w:t xml:space="preserve">See: Van Huyssteen </w:t>
      </w:r>
      <w:r>
        <w:rPr>
          <w:i/>
          <w:lang w:val="en-US"/>
        </w:rPr>
        <w:t xml:space="preserve">Contract Law in South Africa </w:t>
      </w:r>
      <w:r>
        <w:rPr>
          <w:lang w:val="en-US"/>
        </w:rPr>
        <w:t xml:space="preserve">(2017) 146; </w:t>
      </w:r>
      <w:r>
        <w:rPr>
          <w:i/>
          <w:lang w:val="en-US"/>
        </w:rPr>
        <w:t xml:space="preserve">Cullinan v Noordkaaplandse Aartappelkenrnoerkwekers Kooperasie Bpk </w:t>
      </w:r>
      <w:r>
        <w:rPr>
          <w:lang w:val="en-US"/>
        </w:rPr>
        <w:t xml:space="preserve">1972 (1) SA 761; </w:t>
      </w:r>
      <w:r>
        <w:rPr>
          <w:i/>
          <w:lang w:val="en-US"/>
        </w:rPr>
        <w:t xml:space="preserve">Barclays National Bank Ltd v HJ de Vos Boerdery Ondernemings (Edms) Bpk </w:t>
      </w:r>
      <w:r>
        <w:rPr>
          <w:lang w:val="en-US"/>
        </w:rPr>
        <w:t xml:space="preserve"> 1980 (4) SA 475 (A); </w:t>
      </w:r>
      <w:r>
        <w:rPr>
          <w:i/>
          <w:lang w:val="en-US"/>
        </w:rPr>
        <w:t xml:space="preserve">Minister of Public works and Land Affairs v Group Five Building ltd </w:t>
      </w:r>
      <w:r>
        <w:rPr>
          <w:lang w:val="en-US"/>
        </w:rPr>
        <w:t>1999 (4) SA 12 (SCA).</w:t>
      </w:r>
    </w:p>
  </w:footnote>
  <w:footnote w:id="10">
    <w:p w:rsidR="008254C8" w:rsidRPr="008254C8" w:rsidRDefault="008254C8" w:rsidP="008E6581">
      <w:pPr>
        <w:pStyle w:val="FootnoteText"/>
        <w:jc w:val="both"/>
        <w:rPr>
          <w:lang w:val="en-US"/>
        </w:rPr>
      </w:pPr>
      <w:r>
        <w:rPr>
          <w:rStyle w:val="FootnoteReference"/>
        </w:rPr>
        <w:footnoteRef/>
      </w:r>
      <w:r>
        <w:t xml:space="preserve"> </w:t>
      </w:r>
      <w:r>
        <w:rPr>
          <w:i/>
          <w:lang w:val="en-US"/>
        </w:rPr>
        <w:t xml:space="preserve">Gugu v Zongwana </w:t>
      </w:r>
      <w:r>
        <w:rPr>
          <w:lang w:val="en-US"/>
        </w:rPr>
        <w:t>2014 (1) All SA 203 (ECM)</w:t>
      </w:r>
      <w:r w:rsidR="008E6581">
        <w:rPr>
          <w:lang w:val="en-US"/>
        </w:rPr>
        <w:t>.</w:t>
      </w:r>
      <w:r>
        <w:rPr>
          <w:lang w:val="en-US"/>
        </w:rPr>
        <w:t xml:space="preserve"> </w:t>
      </w:r>
      <w:r w:rsidR="008E6581">
        <w:rPr>
          <w:lang w:val="en-US"/>
        </w:rPr>
        <w:t xml:space="preserve">There a sale of property formed the subject matter of the dispute,. The court concluded that the first respondent had not intended to sell, and the appellants had not intended to buy, the first respondent’s undivided share in the property, but rather the actual property itself. The second respondent had not consented to the sale of the property to the appellants on the terms in the sale agreement. </w:t>
      </w:r>
    </w:p>
  </w:footnote>
  <w:footnote w:id="11">
    <w:p w:rsidR="008254C8" w:rsidRPr="008254C8" w:rsidRDefault="008254C8">
      <w:pPr>
        <w:pStyle w:val="FootnoteText"/>
        <w:rPr>
          <w:lang w:val="en-US"/>
        </w:rPr>
      </w:pPr>
      <w:r>
        <w:rPr>
          <w:rStyle w:val="FootnoteReference"/>
        </w:rPr>
        <w:footnoteRef/>
      </w:r>
      <w:r>
        <w:t xml:space="preserve"> </w:t>
      </w:r>
      <w:r>
        <w:rPr>
          <w:lang w:val="en-US"/>
        </w:rPr>
        <w:t xml:space="preserve">These are discussed by Hutchison et al </w:t>
      </w:r>
      <w:r>
        <w:rPr>
          <w:i/>
          <w:lang w:val="en-US"/>
        </w:rPr>
        <w:t xml:space="preserve">The Law of Contract in South Africa </w:t>
      </w:r>
      <w:r>
        <w:rPr>
          <w:lang w:val="en-US"/>
        </w:rPr>
        <w:t xml:space="preserve"> 3</w:t>
      </w:r>
      <w:r w:rsidRPr="008254C8">
        <w:rPr>
          <w:vertAlign w:val="superscript"/>
          <w:lang w:val="en-US"/>
        </w:rPr>
        <w:t>rd</w:t>
      </w:r>
      <w:r>
        <w:rPr>
          <w:lang w:val="en-US"/>
        </w:rPr>
        <w:t xml:space="preserve"> ed (2018) 227.</w:t>
      </w:r>
    </w:p>
  </w:footnote>
  <w:footnote w:id="12">
    <w:p w:rsidR="00367CE7" w:rsidRPr="00A321FA" w:rsidRDefault="00367CE7" w:rsidP="00367CE7">
      <w:pPr>
        <w:pStyle w:val="FootnoteText"/>
        <w:rPr>
          <w:lang w:val="en-US"/>
        </w:rPr>
      </w:pPr>
      <w:r w:rsidRPr="00A321FA">
        <w:rPr>
          <w:rStyle w:val="FootnoteReference"/>
        </w:rPr>
        <w:footnoteRef/>
      </w:r>
      <w:r w:rsidRPr="00A321FA">
        <w:t xml:space="preserve"> </w:t>
      </w:r>
      <w:r w:rsidRPr="00A321FA">
        <w:rPr>
          <w:color w:val="242121"/>
          <w:u w:val="single"/>
          <w:shd w:val="clear" w:color="auto" w:fill="FFFFFF"/>
        </w:rPr>
        <w:t>GB Bradfield</w:t>
      </w:r>
      <w:r>
        <w:rPr>
          <w:color w:val="242121"/>
          <w:u w:val="single"/>
          <w:shd w:val="clear" w:color="auto" w:fill="FFFFFF"/>
        </w:rPr>
        <w:t xml:space="preserve"> </w:t>
      </w:r>
      <w:r w:rsidRPr="00A321FA">
        <w:rPr>
          <w:color w:val="242121"/>
          <w:shd w:val="clear" w:color="auto" w:fill="FFFFFF"/>
        </w:rPr>
        <w:t>Christie’s Law of Contract in South Africa (7</w:t>
      </w:r>
      <w:r w:rsidRPr="00A321FA">
        <w:rPr>
          <w:color w:val="242121"/>
          <w:shd w:val="clear" w:color="auto" w:fill="FFFFFF"/>
          <w:vertAlign w:val="superscript"/>
        </w:rPr>
        <w:t>th</w:t>
      </w:r>
      <w:r w:rsidRPr="00A321FA">
        <w:rPr>
          <w:color w:val="242121"/>
          <w:shd w:val="clear" w:color="auto" w:fill="FFFFFF"/>
        </w:rPr>
        <w:t> ed) at 599.</w:t>
      </w:r>
    </w:p>
  </w:footnote>
  <w:footnote w:id="13">
    <w:p w:rsidR="00367CE7" w:rsidRPr="00367CE7" w:rsidRDefault="00367CE7">
      <w:pPr>
        <w:pStyle w:val="FootnoteText"/>
        <w:rPr>
          <w:lang w:val="en-US"/>
        </w:rPr>
      </w:pPr>
      <w:r>
        <w:rPr>
          <w:rStyle w:val="FootnoteReference"/>
        </w:rPr>
        <w:footnoteRef/>
      </w:r>
      <w:r>
        <w:t xml:space="preserve"> </w:t>
      </w:r>
      <w:r w:rsidRPr="00367CE7">
        <w:rPr>
          <w:i/>
        </w:rPr>
        <w:t>Standard Bank of SA Ltd v Koekemoer</w:t>
      </w:r>
      <w:r w:rsidRPr="00300650">
        <w:t xml:space="preserve"> (70014/2011) [2012] ZAGPPHC 300 (20 November 2012)</w:t>
      </w:r>
      <w:r w:rsidRPr="00300650">
        <w:rPr>
          <w:b/>
          <w:bCs/>
        </w:rPr>
        <w:t xml:space="preserve">, </w:t>
      </w:r>
      <w:r w:rsidRPr="00367CE7">
        <w:rPr>
          <w:bCs/>
        </w:rPr>
        <w:t>para 5</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CC2922" w:rsidRDefault="00CC2922">
        <w:pPr>
          <w:pStyle w:val="Header"/>
          <w:jc w:val="right"/>
        </w:pPr>
        <w:r>
          <w:fldChar w:fldCharType="begin"/>
        </w:r>
        <w:r>
          <w:instrText xml:space="preserve"> PAGE   \* MERGEFORMAT </w:instrText>
        </w:r>
        <w:r>
          <w:fldChar w:fldCharType="separate"/>
        </w:r>
        <w:r w:rsidR="00ED7297">
          <w:rPr>
            <w:noProof/>
          </w:rPr>
          <w:t>9</w:t>
        </w:r>
        <w:r>
          <w:rPr>
            <w:noProof/>
          </w:rPr>
          <w:fldChar w:fldCharType="end"/>
        </w:r>
      </w:p>
    </w:sdtContent>
  </w:sdt>
  <w:p w:rsidR="00CC2922" w:rsidRDefault="00CC2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22" w:rsidRDefault="00CC2922">
    <w:pPr>
      <w:pStyle w:val="Header"/>
      <w:jc w:val="center"/>
    </w:pPr>
  </w:p>
  <w:p w:rsidR="00CC2922" w:rsidRDefault="00CC2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300"/>
    <w:multiLevelType w:val="hybridMultilevel"/>
    <w:tmpl w:val="44BA1558"/>
    <w:lvl w:ilvl="0" w:tplc="36BEA2A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268507BC"/>
    <w:multiLevelType w:val="hybridMultilevel"/>
    <w:tmpl w:val="0608A5BC"/>
    <w:lvl w:ilvl="0" w:tplc="92D44D9E">
      <w:start w:val="1"/>
      <w:numFmt w:val="upperLetter"/>
      <w:lvlText w:val="%1."/>
      <w:lvlJc w:val="left"/>
      <w:pPr>
        <w:ind w:left="720" w:hanging="360"/>
      </w:pPr>
      <w:rPr>
        <w:rFonts w:hint="default"/>
        <w:b/>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1671F3"/>
    <w:multiLevelType w:val="hybridMultilevel"/>
    <w:tmpl w:val="0C8E05D4"/>
    <w:lvl w:ilvl="0" w:tplc="A462C01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3CFB3152"/>
    <w:multiLevelType w:val="hybridMultilevel"/>
    <w:tmpl w:val="C6B81190"/>
    <w:lvl w:ilvl="0" w:tplc="33DAA4F4">
      <w:start w:val="13"/>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41B910AB"/>
    <w:multiLevelType w:val="hybridMultilevel"/>
    <w:tmpl w:val="F5543FE2"/>
    <w:lvl w:ilvl="0" w:tplc="892029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nsid w:val="4FB1076A"/>
    <w:multiLevelType w:val="hybridMultilevel"/>
    <w:tmpl w:val="F5F0A576"/>
    <w:lvl w:ilvl="0" w:tplc="DBB4203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0F7650A"/>
    <w:multiLevelType w:val="multilevel"/>
    <w:tmpl w:val="FBFA6894"/>
    <w:numStyleLink w:val="Style3"/>
  </w:abstractNum>
  <w:abstractNum w:abstractNumId="8">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2"/>
  </w:num>
  <w:num w:numId="5">
    <w:abstractNumId w:val="4"/>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46"/>
    <w:rsid w:val="00022CE5"/>
    <w:rsid w:val="000407CB"/>
    <w:rsid w:val="000626ED"/>
    <w:rsid w:val="000D27F5"/>
    <w:rsid w:val="001820E6"/>
    <w:rsid w:val="001F466D"/>
    <w:rsid w:val="003123A2"/>
    <w:rsid w:val="00367CE7"/>
    <w:rsid w:val="003E0113"/>
    <w:rsid w:val="00436A8C"/>
    <w:rsid w:val="00496DA2"/>
    <w:rsid w:val="005544C6"/>
    <w:rsid w:val="00554AEB"/>
    <w:rsid w:val="00601CF2"/>
    <w:rsid w:val="006168BD"/>
    <w:rsid w:val="006840E4"/>
    <w:rsid w:val="00694BE9"/>
    <w:rsid w:val="006E1B62"/>
    <w:rsid w:val="007162DE"/>
    <w:rsid w:val="008254C8"/>
    <w:rsid w:val="00877F1E"/>
    <w:rsid w:val="0089521A"/>
    <w:rsid w:val="008E6581"/>
    <w:rsid w:val="009864E7"/>
    <w:rsid w:val="009937AF"/>
    <w:rsid w:val="009E6CD2"/>
    <w:rsid w:val="00B63233"/>
    <w:rsid w:val="00BD21C9"/>
    <w:rsid w:val="00C4401E"/>
    <w:rsid w:val="00CC2922"/>
    <w:rsid w:val="00D033C5"/>
    <w:rsid w:val="00D65E2A"/>
    <w:rsid w:val="00DA398F"/>
    <w:rsid w:val="00DA71AB"/>
    <w:rsid w:val="00DB2082"/>
    <w:rsid w:val="00DC52C8"/>
    <w:rsid w:val="00E46046"/>
    <w:rsid w:val="00ED72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2A80A-583C-40BE-A065-817B8D8D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46"/>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E460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046"/>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E46046"/>
    <w:pPr>
      <w:ind w:left="720"/>
      <w:contextualSpacing/>
    </w:pPr>
  </w:style>
  <w:style w:type="paragraph" w:styleId="FootnoteText">
    <w:name w:val="footnote text"/>
    <w:basedOn w:val="Normal"/>
    <w:link w:val="FootnoteTextChar"/>
    <w:uiPriority w:val="99"/>
    <w:unhideWhenUsed/>
    <w:rsid w:val="00E46046"/>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E46046"/>
    <w:rPr>
      <w:rFonts w:ascii="Arial" w:hAnsi="Arial" w:cs="Arial"/>
      <w:sz w:val="20"/>
      <w:szCs w:val="20"/>
      <w:lang w:val="en-GB"/>
    </w:rPr>
  </w:style>
  <w:style w:type="character" w:styleId="FootnoteReference">
    <w:name w:val="footnote reference"/>
    <w:basedOn w:val="DefaultParagraphFont"/>
    <w:uiPriority w:val="99"/>
    <w:semiHidden/>
    <w:unhideWhenUsed/>
    <w:rsid w:val="00E46046"/>
    <w:rPr>
      <w:vertAlign w:val="superscript"/>
    </w:rPr>
  </w:style>
  <w:style w:type="numbering" w:customStyle="1" w:styleId="Style3">
    <w:name w:val="Style3"/>
    <w:rsid w:val="00E46046"/>
    <w:pPr>
      <w:numPr>
        <w:numId w:val="2"/>
      </w:numPr>
    </w:pPr>
  </w:style>
  <w:style w:type="paragraph" w:styleId="NormalWeb">
    <w:name w:val="Normal (Web)"/>
    <w:basedOn w:val="Normal"/>
    <w:uiPriority w:val="99"/>
    <w:unhideWhenUsed/>
    <w:rsid w:val="00E46046"/>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E46046"/>
    <w:pPr>
      <w:tabs>
        <w:tab w:val="center" w:pos="4513"/>
        <w:tab w:val="right" w:pos="9026"/>
      </w:tabs>
    </w:pPr>
  </w:style>
  <w:style w:type="character" w:customStyle="1" w:styleId="HeaderChar">
    <w:name w:val="Header Char"/>
    <w:basedOn w:val="DefaultParagraphFont"/>
    <w:link w:val="Header"/>
    <w:uiPriority w:val="99"/>
    <w:rsid w:val="00E46046"/>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E46046"/>
    <w:rPr>
      <w:color w:val="0000FF"/>
      <w:u w:val="single"/>
    </w:rPr>
  </w:style>
  <w:style w:type="paragraph" w:styleId="BalloonText">
    <w:name w:val="Balloon Text"/>
    <w:basedOn w:val="Normal"/>
    <w:link w:val="BalloonTextChar"/>
    <w:uiPriority w:val="99"/>
    <w:semiHidden/>
    <w:unhideWhenUsed/>
    <w:rsid w:val="00E46046"/>
    <w:rPr>
      <w:rFonts w:ascii="Tahoma" w:hAnsi="Tahoma" w:cs="Tahoma"/>
      <w:sz w:val="16"/>
      <w:szCs w:val="16"/>
    </w:rPr>
  </w:style>
  <w:style w:type="character" w:customStyle="1" w:styleId="BalloonTextChar">
    <w:name w:val="Balloon Text Char"/>
    <w:basedOn w:val="DefaultParagraphFont"/>
    <w:link w:val="BalloonText"/>
    <w:uiPriority w:val="99"/>
    <w:semiHidden/>
    <w:rsid w:val="00E4604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FD31-C854-4E01-ABE3-B31CB440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3</cp:revision>
  <dcterms:created xsi:type="dcterms:W3CDTF">2022-06-06T08:06:00Z</dcterms:created>
  <dcterms:modified xsi:type="dcterms:W3CDTF">2022-06-06T08:14:00Z</dcterms:modified>
</cp:coreProperties>
</file>