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176D2" w14:textId="77777777" w:rsidR="00BD5A11" w:rsidRPr="00631295" w:rsidRDefault="00BD5A11" w:rsidP="00BD5A11">
      <w:pPr>
        <w:pStyle w:val="LegalTitle"/>
        <w:spacing w:after="0" w:line="360" w:lineRule="auto"/>
        <w:rPr>
          <w:rFonts w:cs="Arial"/>
          <w:u w:val="single"/>
        </w:rPr>
      </w:pPr>
      <w:bookmarkStart w:id="0" w:name="_GoBack"/>
      <w:bookmarkEnd w:id="0"/>
      <w:r w:rsidRPr="00631295">
        <w:rPr>
          <w:rFonts w:cs="Arial"/>
          <w:noProof/>
          <w:lang w:val="en-ZA" w:eastAsia="en-ZA"/>
        </w:rPr>
        <w:drawing>
          <wp:inline distT="0" distB="0" distL="0" distR="0" wp14:anchorId="719AC4A8" wp14:editId="597748F5">
            <wp:extent cx="1536700" cy="1536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0" cy="1536700"/>
                    </a:xfrm>
                    <a:prstGeom prst="rect">
                      <a:avLst/>
                    </a:prstGeom>
                    <a:noFill/>
                    <a:ln>
                      <a:noFill/>
                    </a:ln>
                  </pic:spPr>
                </pic:pic>
              </a:graphicData>
            </a:graphic>
          </wp:inline>
        </w:drawing>
      </w:r>
    </w:p>
    <w:p w14:paraId="5E182603" w14:textId="77777777" w:rsidR="00BD5A11" w:rsidRPr="00631295" w:rsidRDefault="00BD5A11" w:rsidP="00BD5A11">
      <w:pPr>
        <w:pStyle w:val="LegalTitle"/>
        <w:spacing w:after="120" w:line="360" w:lineRule="auto"/>
        <w:rPr>
          <w:rFonts w:cs="Arial"/>
          <w:u w:val="single"/>
        </w:rPr>
      </w:pPr>
      <w:r w:rsidRPr="00631295">
        <w:rPr>
          <w:rFonts w:cs="Arial"/>
          <w:u w:val="single"/>
        </w:rPr>
        <w:t>IN THE HIGH COURT OF SOUTH AFRICA</w:t>
      </w:r>
    </w:p>
    <w:p w14:paraId="5F77251E" w14:textId="77777777" w:rsidR="007B3DB5" w:rsidRPr="00631295" w:rsidRDefault="00F56610" w:rsidP="007B3DB5">
      <w:pPr>
        <w:pStyle w:val="LegalTitle"/>
        <w:spacing w:line="360" w:lineRule="auto"/>
        <w:rPr>
          <w:rFonts w:cs="Arial"/>
          <w:u w:val="single"/>
        </w:rPr>
      </w:pPr>
      <w:r w:rsidRPr="00631295">
        <w:rPr>
          <w:rFonts w:cs="Arial"/>
          <w:noProof/>
          <w:lang w:val="en-ZA" w:eastAsia="en-ZA"/>
        </w:rPr>
        <mc:AlternateContent>
          <mc:Choice Requires="wps">
            <w:drawing>
              <wp:anchor distT="0" distB="0" distL="114300" distR="114300" simplePos="0" relativeHeight="251659264" behindDoc="0" locked="0" layoutInCell="1" allowOverlap="1" wp14:anchorId="5036B672" wp14:editId="237276CB">
                <wp:simplePos x="0" y="0"/>
                <wp:positionH relativeFrom="column">
                  <wp:posOffset>-362470</wp:posOffset>
                </wp:positionH>
                <wp:positionV relativeFrom="paragraph">
                  <wp:posOffset>494030</wp:posOffset>
                </wp:positionV>
                <wp:extent cx="3253740" cy="899160"/>
                <wp:effectExtent l="0" t="0" r="2286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899160"/>
                        </a:xfrm>
                        <a:prstGeom prst="rect">
                          <a:avLst/>
                        </a:prstGeom>
                        <a:solidFill>
                          <a:srgbClr val="FFFFFF"/>
                        </a:solidFill>
                        <a:ln w="9525">
                          <a:solidFill>
                            <a:srgbClr val="000000"/>
                          </a:solidFill>
                          <a:miter lim="800000"/>
                          <a:headEnd/>
                          <a:tailEnd/>
                        </a:ln>
                      </wps:spPr>
                      <wps:txbx>
                        <w:txbxContent>
                          <w:p w14:paraId="53D1DAE4" w14:textId="77777777" w:rsidR="00BD5A11" w:rsidRPr="0038792A" w:rsidRDefault="00BD5A11" w:rsidP="00BD5A11">
                            <w:pPr>
                              <w:numPr>
                                <w:ilvl w:val="0"/>
                                <w:numId w:val="28"/>
                              </w:numPr>
                              <w:spacing w:after="0" w:line="240" w:lineRule="auto"/>
                              <w:jc w:val="left"/>
                            </w:pPr>
                            <w:bookmarkStart w:id="1" w:name="_Hlk94082538"/>
                            <w:bookmarkEnd w:id="1"/>
                            <w:r>
                              <w:t xml:space="preserve">REPORTABLE: </w:t>
                            </w:r>
                            <w:r w:rsidRPr="008C535C">
                              <w:rPr>
                                <w:b/>
                                <w:i/>
                              </w:rPr>
                              <w:t>NO</w:t>
                            </w:r>
                          </w:p>
                          <w:p w14:paraId="34C734F2" w14:textId="77777777" w:rsidR="00BD5A11" w:rsidRPr="0038792A" w:rsidRDefault="00BD5A11" w:rsidP="00BD5A11">
                            <w:pPr>
                              <w:numPr>
                                <w:ilvl w:val="0"/>
                                <w:numId w:val="28"/>
                              </w:numPr>
                              <w:spacing w:after="0" w:line="240" w:lineRule="auto"/>
                              <w:jc w:val="left"/>
                            </w:pPr>
                            <w:r w:rsidRPr="0038792A">
                              <w:t xml:space="preserve">OF </w:t>
                            </w:r>
                            <w:r>
                              <w:t xml:space="preserve">INTEREST TO OTHER JUDGES: </w:t>
                            </w:r>
                            <w:r w:rsidRPr="008C535C">
                              <w:rPr>
                                <w:b/>
                                <w:i/>
                              </w:rPr>
                              <w:t>NO</w:t>
                            </w:r>
                          </w:p>
                          <w:p w14:paraId="5946F2C4" w14:textId="77777777" w:rsidR="00BD5A11" w:rsidRPr="0038792A" w:rsidRDefault="00BD5A11" w:rsidP="00BD5A11">
                            <w:pPr>
                              <w:numPr>
                                <w:ilvl w:val="0"/>
                                <w:numId w:val="28"/>
                              </w:numPr>
                              <w:spacing w:after="120" w:line="240" w:lineRule="auto"/>
                              <w:ind w:left="901"/>
                              <w:jc w:val="left"/>
                            </w:pPr>
                            <w:r w:rsidRPr="0038792A">
                              <w:t xml:space="preserve">REVISED: </w:t>
                            </w:r>
                          </w:p>
                          <w:p w14:paraId="11DC34A7" w14:textId="02EFC500" w:rsidR="00BD5A11" w:rsidRDefault="00BD5A11" w:rsidP="00BD5A11">
                            <w:pPr>
                              <w:rPr>
                                <w:sz w:val="28"/>
                                <w:szCs w:val="28"/>
                              </w:rPr>
                            </w:pPr>
                            <w:r w:rsidRPr="00BD5A11">
                              <w:rPr>
                                <w:b/>
                                <w:sz w:val="22"/>
                                <w:szCs w:val="22"/>
                              </w:rPr>
                              <w:t>Date:</w:t>
                            </w:r>
                            <w:r>
                              <w:rPr>
                                <w:sz w:val="22"/>
                                <w:szCs w:val="22"/>
                              </w:rPr>
                              <w:t xml:space="preserve"> </w:t>
                            </w:r>
                            <w:r w:rsidR="00BE2D19">
                              <w:rPr>
                                <w:sz w:val="22"/>
                                <w:szCs w:val="22"/>
                              </w:rPr>
                              <w:tab/>
                            </w:r>
                            <w:r w:rsidR="00631295">
                              <w:rPr>
                                <w:sz w:val="22"/>
                                <w:szCs w:val="22"/>
                              </w:rPr>
                              <w:t>08</w:t>
                            </w:r>
                            <w:r w:rsidR="00EE3C30">
                              <w:rPr>
                                <w:sz w:val="22"/>
                                <w:szCs w:val="22"/>
                              </w:rPr>
                              <w:t>/0</w:t>
                            </w:r>
                            <w:r w:rsidR="002E773C">
                              <w:rPr>
                                <w:sz w:val="22"/>
                                <w:szCs w:val="22"/>
                              </w:rPr>
                              <w:t>6</w:t>
                            </w:r>
                            <w:r w:rsidR="00D50A0B">
                              <w:rPr>
                                <w:sz w:val="22"/>
                                <w:szCs w:val="22"/>
                              </w:rPr>
                              <w:t>/2022</w:t>
                            </w:r>
                            <w:r w:rsidR="00BE2D19">
                              <w:rPr>
                                <w:sz w:val="22"/>
                                <w:szCs w:val="22"/>
                              </w:rPr>
                              <w:tab/>
                            </w:r>
                            <w:r w:rsidRPr="0070234A">
                              <w:rPr>
                                <w:b/>
                                <w:i/>
                                <w:sz w:val="22"/>
                                <w:szCs w:val="22"/>
                              </w:rPr>
                              <w:t>Signature</w:t>
                            </w:r>
                            <w:r>
                              <w:rPr>
                                <w:sz w:val="22"/>
                                <w:szCs w:val="22"/>
                              </w:rPr>
                              <w:t xml:space="preserve">: </w:t>
                            </w:r>
                          </w:p>
                          <w:p w14:paraId="47DCB047" w14:textId="77777777" w:rsidR="00BD5A11" w:rsidRDefault="00BD5A11" w:rsidP="00BD5A11">
                            <w:pPr>
                              <w:rPr>
                                <w:sz w:val="28"/>
                                <w:szCs w:val="28"/>
                              </w:rPr>
                            </w:pPr>
                            <w:r>
                              <w:rPr>
                                <w:sz w:val="28"/>
                                <w:szCs w:val="28"/>
                              </w:rPr>
                              <w:t>____________________        ____________________</w:t>
                            </w:r>
                          </w:p>
                          <w:p w14:paraId="786363D0" w14:textId="77777777" w:rsidR="00BD5A11" w:rsidRDefault="00BD5A11" w:rsidP="00BD5A11">
                            <w:pPr>
                              <w:rPr>
                                <w:sz w:val="28"/>
                                <w:szCs w:val="28"/>
                              </w:rPr>
                            </w:pPr>
                            <w:r>
                              <w:rPr>
                                <w:sz w:val="28"/>
                                <w:szCs w:val="28"/>
                              </w:rPr>
                              <w:t>DATE</w:t>
                            </w:r>
                            <w:r>
                              <w:rPr>
                                <w:sz w:val="28"/>
                                <w:szCs w:val="28"/>
                              </w:rPr>
                              <w:tab/>
                            </w:r>
                            <w:r>
                              <w:rPr>
                                <w:sz w:val="28"/>
                                <w:szCs w:val="28"/>
                              </w:rPr>
                              <w:tab/>
                            </w:r>
                            <w:r>
                              <w:rPr>
                                <w:sz w:val="28"/>
                                <w:szCs w:val="28"/>
                              </w:rPr>
                              <w:tab/>
                            </w:r>
                            <w:r>
                              <w:rPr>
                                <w:sz w:val="28"/>
                                <w:szCs w:val="28"/>
                              </w:rPr>
                              <w:tab/>
                              <w:t xml:space="preserve">        SIGNATURE</w:t>
                            </w:r>
                          </w:p>
                          <w:p w14:paraId="17F92278" w14:textId="77777777" w:rsidR="00BD5A11" w:rsidRDefault="00BD5A11" w:rsidP="00BD5A11">
                            <w:pPr>
                              <w:rPr>
                                <w:sz w:val="28"/>
                                <w:szCs w:val="28"/>
                              </w:rPr>
                            </w:pPr>
                          </w:p>
                          <w:p w14:paraId="4BAC0B78" w14:textId="77777777" w:rsidR="00BD5A11" w:rsidRDefault="00BD5A11" w:rsidP="00BD5A11">
                            <w:pPr>
                              <w:rPr>
                                <w:sz w:val="28"/>
                                <w:szCs w:val="28"/>
                              </w:rPr>
                            </w:pPr>
                          </w:p>
                          <w:p w14:paraId="2240C513" w14:textId="77777777" w:rsidR="00BD5A11" w:rsidRDefault="00BD5A11" w:rsidP="00BD5A11">
                            <w:pPr>
                              <w:rPr>
                                <w:sz w:val="28"/>
                                <w:szCs w:val="28"/>
                              </w:rPr>
                            </w:pPr>
                          </w:p>
                          <w:p w14:paraId="29D53282" w14:textId="77777777" w:rsidR="00BD5A11" w:rsidRPr="009533D5" w:rsidRDefault="00BD5A11" w:rsidP="00BD5A11">
                            <w:pPr>
                              <w:rPr>
                                <w:sz w:val="28"/>
                                <w:szCs w:val="28"/>
                              </w:rPr>
                            </w:pPr>
                          </w:p>
                          <w:p w14:paraId="72FF7F70" w14:textId="77777777" w:rsidR="00BD5A11" w:rsidRDefault="00BD5A11" w:rsidP="00BD5A11">
                            <w:pPr>
                              <w:rPr>
                                <w:b/>
                              </w:rPr>
                            </w:pPr>
                          </w:p>
                          <w:p w14:paraId="4EC8E033" w14:textId="77777777" w:rsidR="00BD5A11" w:rsidRDefault="00BD5A11" w:rsidP="00BD5A11">
                            <w:pPr>
                              <w:rPr>
                                <w:b/>
                              </w:rPr>
                            </w:pPr>
                          </w:p>
                          <w:p w14:paraId="0B4DEFC1" w14:textId="77777777" w:rsidR="00BD5A11" w:rsidRDefault="00BD5A11" w:rsidP="00BD5A11">
                            <w:pPr>
                              <w:rPr>
                                <w:b/>
                              </w:rPr>
                            </w:pPr>
                          </w:p>
                          <w:p w14:paraId="47F36FD1" w14:textId="77777777" w:rsidR="00BD5A11" w:rsidRPr="00B93709" w:rsidRDefault="00BD5A11" w:rsidP="00BD5A11">
                            <w:pPr>
                              <w:rPr>
                                <w:b/>
                              </w:rPr>
                            </w:pPr>
                          </w:p>
                          <w:p w14:paraId="61158150" w14:textId="77777777" w:rsidR="00BD5A11" w:rsidRPr="00B93709" w:rsidRDefault="00BD5A11" w:rsidP="00BD5A11">
                            <w:r w:rsidRPr="00B93709">
                              <w:t xml:space="preserve">             </w:t>
                            </w:r>
                            <w:r>
                              <w:t xml:space="preserve">  </w:t>
                            </w:r>
                            <w:r>
                              <w:tab/>
                            </w:r>
                            <w: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type w14:anchorId="5036B672" id="_x0000_t202" coordsize="21600,21600" o:spt="202" path="m,l,21600r21600,l21600,xe">
                <v:stroke joinstyle="miter"/>
                <v:path gradientshapeok="t" o:connecttype="rect"/>
              </v:shapetype>
              <v:shape id="Text Box 4" o:spid="_x0000_s1026" type="#_x0000_t202" style="position:absolute;left:0;text-align:left;margin-left:-28.55pt;margin-top:38.9pt;width:256.2pt;height:7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">
                <v:textbox>
                  <w:txbxContent>
                    <w:p w14:paraId="53D1DAE4" w14:textId="77777777" w:rsidR="00BD5A11" w:rsidRPr="0038792A" w:rsidRDefault="00BD5A11" w:rsidP="00BD5A11">
                      <w:pPr>
                        <w:numPr>
                          <w:ilvl w:val="0"/>
                          <w:numId w:val="28"/>
                        </w:numPr>
                        <w:spacing w:after="0" w:line="240" w:lineRule="auto"/>
                        <w:jc w:val="left"/>
                      </w:pPr>
                      <w:bookmarkStart w:id="2" w:name="_Hlk94082538"/>
                      <w:bookmarkEnd w:id="2"/>
                      <w:r>
                        <w:t xml:space="preserve">REPORTABLE: </w:t>
                      </w:r>
                      <w:r w:rsidRPr="008C535C">
                        <w:rPr>
                          <w:b/>
                          <w:i/>
                        </w:rPr>
                        <w:t>NO</w:t>
                      </w:r>
                    </w:p>
                    <w:p w14:paraId="34C734F2" w14:textId="77777777" w:rsidR="00BD5A11" w:rsidRPr="0038792A" w:rsidRDefault="00BD5A11" w:rsidP="00BD5A11">
                      <w:pPr>
                        <w:numPr>
                          <w:ilvl w:val="0"/>
                          <w:numId w:val="28"/>
                        </w:numPr>
                        <w:spacing w:after="0" w:line="240" w:lineRule="auto"/>
                        <w:jc w:val="left"/>
                      </w:pPr>
                      <w:r w:rsidRPr="0038792A">
                        <w:t xml:space="preserve">OF </w:t>
                      </w:r>
                      <w:r>
                        <w:t xml:space="preserve">INTEREST TO OTHER JUDGES: </w:t>
                      </w:r>
                      <w:r w:rsidRPr="008C535C">
                        <w:rPr>
                          <w:b/>
                          <w:i/>
                        </w:rPr>
                        <w:t>NO</w:t>
                      </w:r>
                    </w:p>
                    <w:p w14:paraId="5946F2C4" w14:textId="77777777" w:rsidR="00BD5A11" w:rsidRPr="0038792A" w:rsidRDefault="00BD5A11" w:rsidP="00BD5A11">
                      <w:pPr>
                        <w:numPr>
                          <w:ilvl w:val="0"/>
                          <w:numId w:val="28"/>
                        </w:numPr>
                        <w:spacing w:after="120" w:line="240" w:lineRule="auto"/>
                        <w:ind w:left="901"/>
                        <w:jc w:val="left"/>
                      </w:pPr>
                      <w:r w:rsidRPr="0038792A">
                        <w:t xml:space="preserve">REVISED: </w:t>
                      </w:r>
                    </w:p>
                    <w:p w14:paraId="11DC34A7" w14:textId="02EFC500" w:rsidR="00BD5A11" w:rsidRDefault="00BD5A11" w:rsidP="00BD5A11">
                      <w:pPr>
                        <w:rPr>
                          <w:sz w:val="28"/>
                          <w:szCs w:val="28"/>
                        </w:rPr>
                      </w:pPr>
                      <w:r w:rsidRPr="00BD5A11">
                        <w:rPr>
                          <w:b/>
                          <w:sz w:val="22"/>
                          <w:szCs w:val="22"/>
                        </w:rPr>
                        <w:t>Date:</w:t>
                      </w:r>
                      <w:r>
                        <w:rPr>
                          <w:sz w:val="22"/>
                          <w:szCs w:val="22"/>
                        </w:rPr>
                        <w:t xml:space="preserve"> </w:t>
                      </w:r>
                      <w:r w:rsidR="00BE2D19">
                        <w:rPr>
                          <w:sz w:val="22"/>
                          <w:szCs w:val="22"/>
                        </w:rPr>
                        <w:tab/>
                      </w:r>
                      <w:r w:rsidR="00631295">
                        <w:rPr>
                          <w:sz w:val="22"/>
                          <w:szCs w:val="22"/>
                        </w:rPr>
                        <w:t>08</w:t>
                      </w:r>
                      <w:r w:rsidR="00EE3C30">
                        <w:rPr>
                          <w:sz w:val="22"/>
                          <w:szCs w:val="22"/>
                        </w:rPr>
                        <w:t>/0</w:t>
                      </w:r>
                      <w:r w:rsidR="002E773C">
                        <w:rPr>
                          <w:sz w:val="22"/>
                          <w:szCs w:val="22"/>
                        </w:rPr>
                        <w:t>6</w:t>
                      </w:r>
                      <w:r w:rsidR="00D50A0B">
                        <w:rPr>
                          <w:sz w:val="22"/>
                          <w:szCs w:val="22"/>
                        </w:rPr>
                        <w:t>/2022</w:t>
                      </w:r>
                      <w:r w:rsidR="00BE2D19">
                        <w:rPr>
                          <w:sz w:val="22"/>
                          <w:szCs w:val="22"/>
                        </w:rPr>
                        <w:tab/>
                      </w:r>
                      <w:r w:rsidRPr="0070234A">
                        <w:rPr>
                          <w:b/>
                          <w:i/>
                          <w:sz w:val="22"/>
                          <w:szCs w:val="22"/>
                        </w:rPr>
                        <w:t>Signature</w:t>
                      </w:r>
                      <w:r>
                        <w:rPr>
                          <w:sz w:val="22"/>
                          <w:szCs w:val="22"/>
                        </w:rPr>
                        <w:t xml:space="preserve">: </w:t>
                      </w:r>
                    </w:p>
                    <w:p w14:paraId="47DCB047" w14:textId="77777777" w:rsidR="00BD5A11" w:rsidRDefault="00BD5A11" w:rsidP="00BD5A11">
                      <w:pPr>
                        <w:rPr>
                          <w:sz w:val="28"/>
                          <w:szCs w:val="28"/>
                        </w:rPr>
                      </w:pPr>
                      <w:r>
                        <w:rPr>
                          <w:sz w:val="28"/>
                          <w:szCs w:val="28"/>
                        </w:rPr>
                        <w:t>____________________        ____________________</w:t>
                      </w:r>
                    </w:p>
                    <w:p w14:paraId="786363D0" w14:textId="77777777" w:rsidR="00BD5A11" w:rsidRDefault="00BD5A11" w:rsidP="00BD5A11">
                      <w:pPr>
                        <w:rPr>
                          <w:sz w:val="28"/>
                          <w:szCs w:val="28"/>
                        </w:rPr>
                      </w:pPr>
                      <w:r>
                        <w:rPr>
                          <w:sz w:val="28"/>
                          <w:szCs w:val="28"/>
                        </w:rPr>
                        <w:t>DATE</w:t>
                      </w:r>
                      <w:r>
                        <w:rPr>
                          <w:sz w:val="28"/>
                          <w:szCs w:val="28"/>
                        </w:rPr>
                        <w:tab/>
                      </w:r>
                      <w:r>
                        <w:rPr>
                          <w:sz w:val="28"/>
                          <w:szCs w:val="28"/>
                        </w:rPr>
                        <w:tab/>
                      </w:r>
                      <w:r>
                        <w:rPr>
                          <w:sz w:val="28"/>
                          <w:szCs w:val="28"/>
                        </w:rPr>
                        <w:tab/>
                      </w:r>
                      <w:r>
                        <w:rPr>
                          <w:sz w:val="28"/>
                          <w:szCs w:val="28"/>
                        </w:rPr>
                        <w:tab/>
                        <w:t xml:space="preserve">        SIGNATURE</w:t>
                      </w:r>
                    </w:p>
                    <w:p w14:paraId="17F92278" w14:textId="77777777" w:rsidR="00BD5A11" w:rsidRDefault="00BD5A11" w:rsidP="00BD5A11">
                      <w:pPr>
                        <w:rPr>
                          <w:sz w:val="28"/>
                          <w:szCs w:val="28"/>
                        </w:rPr>
                      </w:pPr>
                    </w:p>
                    <w:p w14:paraId="4BAC0B78" w14:textId="77777777" w:rsidR="00BD5A11" w:rsidRDefault="00BD5A11" w:rsidP="00BD5A11">
                      <w:pPr>
                        <w:rPr>
                          <w:sz w:val="28"/>
                          <w:szCs w:val="28"/>
                        </w:rPr>
                      </w:pPr>
                    </w:p>
                    <w:p w14:paraId="2240C513" w14:textId="77777777" w:rsidR="00BD5A11" w:rsidRDefault="00BD5A11" w:rsidP="00BD5A11">
                      <w:pPr>
                        <w:rPr>
                          <w:sz w:val="28"/>
                          <w:szCs w:val="28"/>
                        </w:rPr>
                      </w:pPr>
                    </w:p>
                    <w:p w14:paraId="29D53282" w14:textId="77777777" w:rsidR="00BD5A11" w:rsidRPr="009533D5" w:rsidRDefault="00BD5A11" w:rsidP="00BD5A11">
                      <w:pPr>
                        <w:rPr>
                          <w:sz w:val="28"/>
                          <w:szCs w:val="28"/>
                        </w:rPr>
                      </w:pPr>
                    </w:p>
                    <w:p w14:paraId="72FF7F70" w14:textId="77777777" w:rsidR="00BD5A11" w:rsidRDefault="00BD5A11" w:rsidP="00BD5A11">
                      <w:pPr>
                        <w:rPr>
                          <w:b/>
                        </w:rPr>
                      </w:pPr>
                    </w:p>
                    <w:p w14:paraId="4EC8E033" w14:textId="77777777" w:rsidR="00BD5A11" w:rsidRDefault="00BD5A11" w:rsidP="00BD5A11">
                      <w:pPr>
                        <w:rPr>
                          <w:b/>
                        </w:rPr>
                      </w:pPr>
                    </w:p>
                    <w:p w14:paraId="0B4DEFC1" w14:textId="77777777" w:rsidR="00BD5A11" w:rsidRDefault="00BD5A11" w:rsidP="00BD5A11">
                      <w:pPr>
                        <w:rPr>
                          <w:b/>
                        </w:rPr>
                      </w:pPr>
                    </w:p>
                    <w:p w14:paraId="47F36FD1" w14:textId="77777777" w:rsidR="00BD5A11" w:rsidRPr="00B93709" w:rsidRDefault="00BD5A11" w:rsidP="00BD5A11">
                      <w:pPr>
                        <w:rPr>
                          <w:b/>
                        </w:rPr>
                      </w:pPr>
                    </w:p>
                    <w:p w14:paraId="61158150" w14:textId="77777777" w:rsidR="00BD5A11" w:rsidRPr="00B93709" w:rsidRDefault="00BD5A11" w:rsidP="00BD5A11">
                      <w:r w:rsidRPr="00B93709">
                        <w:t xml:space="preserve">             </w:t>
                      </w:r>
                      <w:r>
                        <w:t xml:space="preserve">  </w:t>
                      </w:r>
                      <w:r>
                        <w:tab/>
                      </w:r>
                      <w:r>
                        <w:tab/>
                        <w:t xml:space="preserve">      </w:t>
                      </w:r>
                    </w:p>
                  </w:txbxContent>
                </v:textbox>
              </v:shape>
            </w:pict>
          </mc:Fallback>
        </mc:AlternateContent>
      </w:r>
      <w:r w:rsidR="00BD5A11" w:rsidRPr="00631295">
        <w:rPr>
          <w:rFonts w:cs="Arial"/>
          <w:u w:val="single"/>
        </w:rPr>
        <w:t>GAUTENG LOCAL DIVISION, JOHANNES</w:t>
      </w:r>
      <w:bookmarkStart w:id="2" w:name="_Hlk94081611"/>
      <w:bookmarkEnd w:id="2"/>
      <w:r w:rsidR="007B3DB5" w:rsidRPr="00631295">
        <w:rPr>
          <w:rFonts w:cs="Arial"/>
          <w:u w:val="single"/>
        </w:rPr>
        <w:t>burg</w:t>
      </w:r>
    </w:p>
    <w:p w14:paraId="78D7DC8B" w14:textId="77777777" w:rsidR="007B3DB5" w:rsidRPr="00631295" w:rsidRDefault="007B3DB5" w:rsidP="007B3DB5">
      <w:pPr>
        <w:spacing w:after="0" w:line="240" w:lineRule="auto"/>
        <w:jc w:val="center"/>
        <w:rPr>
          <w:rFonts w:ascii="Arial" w:hAnsi="Arial" w:cs="Arial"/>
          <w:b/>
          <w:bCs/>
          <w:sz w:val="24"/>
          <w:szCs w:val="24"/>
        </w:rPr>
      </w:pPr>
    </w:p>
    <w:p w14:paraId="0C34A8E0" w14:textId="2272A66A" w:rsidR="00F56610" w:rsidRPr="00631295" w:rsidRDefault="00F56610" w:rsidP="00F56610">
      <w:pPr>
        <w:spacing w:line="480" w:lineRule="auto"/>
        <w:jc w:val="right"/>
        <w:rPr>
          <w:rFonts w:ascii="Arial" w:hAnsi="Arial" w:cs="Arial"/>
          <w:b/>
          <w:bCs/>
          <w:sz w:val="24"/>
          <w:szCs w:val="24"/>
        </w:rPr>
      </w:pPr>
      <w:r w:rsidRPr="00631295">
        <w:rPr>
          <w:rFonts w:ascii="Arial" w:hAnsi="Arial" w:cs="Arial"/>
          <w:b/>
          <w:bCs/>
          <w:sz w:val="24"/>
          <w:szCs w:val="24"/>
        </w:rPr>
        <w:t xml:space="preserve">    Case No.  A5046/2021</w:t>
      </w:r>
    </w:p>
    <w:p w14:paraId="5B3F4DE6" w14:textId="75DF0E02" w:rsidR="00F56610" w:rsidRPr="00631295" w:rsidRDefault="00F56610" w:rsidP="00F56610">
      <w:pPr>
        <w:spacing w:line="480" w:lineRule="auto"/>
        <w:jc w:val="right"/>
        <w:rPr>
          <w:rFonts w:ascii="Arial" w:hAnsi="Arial" w:cs="Arial"/>
          <w:b/>
          <w:bCs/>
          <w:sz w:val="24"/>
          <w:szCs w:val="24"/>
        </w:rPr>
      </w:pPr>
      <w:r w:rsidRPr="00631295">
        <w:rPr>
          <w:rFonts w:ascii="Arial" w:hAnsi="Arial" w:cs="Arial"/>
          <w:b/>
          <w:bCs/>
          <w:sz w:val="24"/>
          <w:szCs w:val="24"/>
        </w:rPr>
        <w:tab/>
      </w:r>
      <w:r w:rsidRPr="00631295">
        <w:rPr>
          <w:rFonts w:ascii="Arial" w:hAnsi="Arial" w:cs="Arial"/>
          <w:b/>
          <w:bCs/>
          <w:sz w:val="24"/>
          <w:szCs w:val="24"/>
        </w:rPr>
        <w:tab/>
      </w:r>
      <w:r w:rsidRPr="00631295">
        <w:rPr>
          <w:rFonts w:ascii="Arial" w:hAnsi="Arial" w:cs="Arial"/>
          <w:b/>
          <w:bCs/>
          <w:sz w:val="24"/>
          <w:szCs w:val="24"/>
        </w:rPr>
        <w:tab/>
      </w:r>
      <w:r w:rsidRPr="00631295">
        <w:rPr>
          <w:rFonts w:ascii="Arial" w:hAnsi="Arial" w:cs="Arial"/>
          <w:b/>
          <w:bCs/>
          <w:sz w:val="24"/>
          <w:szCs w:val="24"/>
        </w:rPr>
        <w:tab/>
      </w:r>
      <w:r w:rsidRPr="00631295">
        <w:rPr>
          <w:rFonts w:ascii="Arial" w:hAnsi="Arial" w:cs="Arial"/>
          <w:b/>
          <w:bCs/>
          <w:sz w:val="24"/>
          <w:szCs w:val="24"/>
        </w:rPr>
        <w:tab/>
        <w:t xml:space="preserve">    Court a quo Case No: 41452/2017</w:t>
      </w:r>
    </w:p>
    <w:p w14:paraId="269C570F" w14:textId="18DE0F46" w:rsidR="00F56610" w:rsidRPr="00631295" w:rsidRDefault="00F56610" w:rsidP="00F56610">
      <w:pPr>
        <w:spacing w:line="480" w:lineRule="auto"/>
        <w:rPr>
          <w:rFonts w:ascii="Arial" w:hAnsi="Arial" w:cs="Arial"/>
          <w:b/>
          <w:bCs/>
          <w:sz w:val="24"/>
          <w:szCs w:val="24"/>
        </w:rPr>
      </w:pPr>
      <w:r w:rsidRPr="00631295">
        <w:rPr>
          <w:rFonts w:ascii="Arial" w:hAnsi="Arial" w:cs="Arial"/>
          <w:b/>
          <w:bCs/>
          <w:sz w:val="24"/>
          <w:szCs w:val="24"/>
        </w:rPr>
        <w:t>In the appeal in the matter between:</w:t>
      </w:r>
      <w:r w:rsidR="003E62EC" w:rsidRPr="003E62EC">
        <w:rPr>
          <w:noProof/>
          <w:sz w:val="28"/>
          <w:szCs w:val="28"/>
        </w:rPr>
        <w:t xml:space="preserve"> </w:t>
      </w:r>
    </w:p>
    <w:p w14:paraId="56C4A082" w14:textId="77777777" w:rsidR="00F56610" w:rsidRPr="00631295" w:rsidRDefault="00F56610" w:rsidP="00F56610">
      <w:pPr>
        <w:spacing w:line="480" w:lineRule="auto"/>
        <w:rPr>
          <w:rFonts w:ascii="Arial" w:hAnsi="Arial" w:cs="Arial"/>
          <w:b/>
          <w:bCs/>
          <w:sz w:val="24"/>
          <w:szCs w:val="24"/>
        </w:rPr>
      </w:pPr>
      <w:r w:rsidRPr="00631295">
        <w:rPr>
          <w:rFonts w:ascii="Arial" w:hAnsi="Arial" w:cs="Arial"/>
          <w:b/>
          <w:bCs/>
          <w:sz w:val="24"/>
          <w:szCs w:val="24"/>
        </w:rPr>
        <w:t>NGOBENI RIXILE LORRAINE</w:t>
      </w:r>
      <w:r w:rsidRPr="00631295">
        <w:rPr>
          <w:rFonts w:ascii="Arial" w:hAnsi="Arial" w:cs="Arial"/>
          <w:b/>
          <w:bCs/>
          <w:sz w:val="24"/>
          <w:szCs w:val="24"/>
        </w:rPr>
        <w:tab/>
      </w:r>
      <w:r w:rsidRPr="00631295">
        <w:rPr>
          <w:rFonts w:ascii="Arial" w:hAnsi="Arial" w:cs="Arial"/>
          <w:b/>
          <w:bCs/>
          <w:sz w:val="24"/>
          <w:szCs w:val="24"/>
        </w:rPr>
        <w:tab/>
      </w:r>
      <w:r w:rsidRPr="00631295">
        <w:rPr>
          <w:rFonts w:ascii="Arial" w:hAnsi="Arial" w:cs="Arial"/>
          <w:b/>
          <w:bCs/>
          <w:sz w:val="24"/>
          <w:szCs w:val="24"/>
        </w:rPr>
        <w:tab/>
      </w:r>
      <w:r w:rsidRPr="00631295">
        <w:rPr>
          <w:rFonts w:ascii="Arial" w:hAnsi="Arial" w:cs="Arial"/>
          <w:b/>
          <w:bCs/>
          <w:sz w:val="24"/>
          <w:szCs w:val="24"/>
        </w:rPr>
        <w:tab/>
      </w:r>
      <w:r w:rsidRPr="00631295">
        <w:rPr>
          <w:rFonts w:ascii="Arial" w:hAnsi="Arial" w:cs="Arial"/>
          <w:b/>
          <w:bCs/>
          <w:sz w:val="24"/>
          <w:szCs w:val="24"/>
        </w:rPr>
        <w:tab/>
      </w:r>
      <w:r w:rsidRPr="00631295">
        <w:rPr>
          <w:rFonts w:ascii="Arial" w:hAnsi="Arial" w:cs="Arial"/>
          <w:b/>
          <w:bCs/>
          <w:sz w:val="24"/>
          <w:szCs w:val="24"/>
        </w:rPr>
        <w:tab/>
        <w:t xml:space="preserve">       </w:t>
      </w:r>
      <w:r w:rsidRPr="00631295">
        <w:rPr>
          <w:rFonts w:ascii="Arial" w:hAnsi="Arial" w:cs="Arial"/>
          <w:bCs/>
          <w:sz w:val="24"/>
          <w:szCs w:val="24"/>
        </w:rPr>
        <w:t>Appellant</w:t>
      </w:r>
    </w:p>
    <w:p w14:paraId="504E6EB2" w14:textId="77777777" w:rsidR="00F56610" w:rsidRPr="00631295" w:rsidRDefault="00F56610" w:rsidP="00F56610">
      <w:pPr>
        <w:spacing w:line="480" w:lineRule="auto"/>
        <w:rPr>
          <w:rFonts w:ascii="Arial" w:hAnsi="Arial" w:cs="Arial"/>
          <w:bCs/>
          <w:sz w:val="24"/>
          <w:szCs w:val="24"/>
        </w:rPr>
      </w:pPr>
      <w:r w:rsidRPr="00631295">
        <w:rPr>
          <w:rFonts w:ascii="Arial" w:hAnsi="Arial" w:cs="Arial"/>
          <w:bCs/>
          <w:sz w:val="24"/>
          <w:szCs w:val="24"/>
        </w:rPr>
        <w:t>and</w:t>
      </w:r>
    </w:p>
    <w:p w14:paraId="6BF989D7" w14:textId="77777777" w:rsidR="00F56610" w:rsidRPr="00631295" w:rsidRDefault="00F56610" w:rsidP="00F56610">
      <w:pPr>
        <w:spacing w:line="480" w:lineRule="auto"/>
        <w:rPr>
          <w:rFonts w:ascii="Arial" w:hAnsi="Arial" w:cs="Arial"/>
          <w:b/>
          <w:bCs/>
          <w:sz w:val="24"/>
          <w:szCs w:val="24"/>
        </w:rPr>
      </w:pPr>
      <w:r w:rsidRPr="00631295">
        <w:rPr>
          <w:rFonts w:ascii="Arial" w:hAnsi="Arial" w:cs="Arial"/>
          <w:b/>
          <w:bCs/>
          <w:sz w:val="24"/>
          <w:szCs w:val="24"/>
        </w:rPr>
        <w:t>PASSENGER RAIL AGENCY OF SOUTH AFRICA</w:t>
      </w:r>
      <w:r w:rsidRPr="00631295">
        <w:rPr>
          <w:rFonts w:ascii="Arial" w:hAnsi="Arial" w:cs="Arial"/>
          <w:b/>
          <w:bCs/>
          <w:sz w:val="24"/>
          <w:szCs w:val="24"/>
        </w:rPr>
        <w:tab/>
      </w:r>
      <w:r w:rsidRPr="00631295">
        <w:rPr>
          <w:rFonts w:ascii="Arial" w:hAnsi="Arial" w:cs="Arial"/>
          <w:b/>
          <w:bCs/>
          <w:sz w:val="24"/>
          <w:szCs w:val="24"/>
        </w:rPr>
        <w:tab/>
        <w:t xml:space="preserve">             </w:t>
      </w:r>
      <w:r w:rsidRPr="00631295">
        <w:rPr>
          <w:rFonts w:ascii="Arial" w:hAnsi="Arial" w:cs="Arial"/>
          <w:bCs/>
          <w:sz w:val="24"/>
          <w:szCs w:val="24"/>
        </w:rPr>
        <w:t>Respondent</w:t>
      </w:r>
    </w:p>
    <w:p w14:paraId="5F29DB83" w14:textId="77777777" w:rsidR="00F56610" w:rsidRPr="00631295" w:rsidRDefault="00F56610" w:rsidP="00F56610">
      <w:pPr>
        <w:pBdr>
          <w:top w:val="single" w:sz="12" w:space="1" w:color="auto"/>
          <w:bottom w:val="single" w:sz="12" w:space="1" w:color="auto"/>
        </w:pBdr>
        <w:spacing w:after="0" w:line="240" w:lineRule="auto"/>
        <w:rPr>
          <w:rFonts w:ascii="Arial" w:hAnsi="Arial" w:cs="Arial"/>
          <w:b/>
          <w:bCs/>
          <w:sz w:val="24"/>
          <w:szCs w:val="24"/>
        </w:rPr>
      </w:pPr>
      <w:r w:rsidRPr="00631295">
        <w:rPr>
          <w:rFonts w:ascii="Arial" w:hAnsi="Arial" w:cs="Arial"/>
          <w:b/>
          <w:bCs/>
          <w:sz w:val="24"/>
          <w:szCs w:val="24"/>
        </w:rPr>
        <w:tab/>
      </w:r>
      <w:r w:rsidRPr="00631295">
        <w:rPr>
          <w:rFonts w:ascii="Arial" w:hAnsi="Arial" w:cs="Arial"/>
          <w:b/>
          <w:bCs/>
          <w:sz w:val="24"/>
          <w:szCs w:val="24"/>
        </w:rPr>
        <w:tab/>
      </w:r>
    </w:p>
    <w:p w14:paraId="63D72BB2" w14:textId="4EB10D8C" w:rsidR="00F56610" w:rsidRPr="00631295" w:rsidRDefault="00F56610" w:rsidP="00F56610">
      <w:pPr>
        <w:pBdr>
          <w:top w:val="single" w:sz="12" w:space="1" w:color="auto"/>
          <w:bottom w:val="single" w:sz="12" w:space="1" w:color="auto"/>
        </w:pBdr>
        <w:spacing w:after="0" w:line="240" w:lineRule="auto"/>
        <w:jc w:val="center"/>
        <w:rPr>
          <w:rFonts w:ascii="Arial" w:hAnsi="Arial" w:cs="Arial"/>
          <w:b/>
          <w:bCs/>
          <w:sz w:val="24"/>
          <w:szCs w:val="24"/>
        </w:rPr>
      </w:pPr>
      <w:r w:rsidRPr="00631295">
        <w:rPr>
          <w:rFonts w:ascii="Arial" w:hAnsi="Arial" w:cs="Arial"/>
          <w:b/>
          <w:bCs/>
          <w:sz w:val="24"/>
          <w:szCs w:val="24"/>
        </w:rPr>
        <w:t xml:space="preserve">JUDGMENT </w:t>
      </w:r>
    </w:p>
    <w:p w14:paraId="50B43636" w14:textId="77777777" w:rsidR="00F56610" w:rsidRPr="00631295" w:rsidRDefault="00F56610" w:rsidP="00F56610">
      <w:pPr>
        <w:pBdr>
          <w:top w:val="single" w:sz="12" w:space="1" w:color="auto"/>
          <w:bottom w:val="single" w:sz="12" w:space="1" w:color="auto"/>
        </w:pBdr>
        <w:spacing w:after="0" w:line="240" w:lineRule="auto"/>
        <w:rPr>
          <w:rFonts w:ascii="Arial" w:hAnsi="Arial" w:cs="Arial"/>
          <w:b/>
          <w:bCs/>
          <w:sz w:val="24"/>
          <w:szCs w:val="24"/>
        </w:rPr>
      </w:pPr>
    </w:p>
    <w:p w14:paraId="2C909AB2" w14:textId="77777777" w:rsidR="00F56610" w:rsidRPr="00631295" w:rsidRDefault="00F56610" w:rsidP="00F56610">
      <w:pPr>
        <w:spacing w:line="480" w:lineRule="auto"/>
        <w:rPr>
          <w:rFonts w:ascii="Arial" w:hAnsi="Arial" w:cs="Arial"/>
          <w:b/>
          <w:bCs/>
          <w:sz w:val="24"/>
          <w:szCs w:val="24"/>
        </w:rPr>
      </w:pPr>
    </w:p>
    <w:p w14:paraId="428B79C7" w14:textId="6A7A2D00" w:rsidR="00F56610" w:rsidRPr="00631295" w:rsidRDefault="00F56610" w:rsidP="00F56610">
      <w:pPr>
        <w:spacing w:line="480" w:lineRule="auto"/>
        <w:rPr>
          <w:rFonts w:ascii="Arial" w:hAnsi="Arial" w:cs="Arial"/>
          <w:b/>
          <w:bCs/>
          <w:sz w:val="24"/>
          <w:szCs w:val="24"/>
        </w:rPr>
      </w:pPr>
      <w:r w:rsidRPr="00631295">
        <w:rPr>
          <w:rFonts w:ascii="Arial" w:hAnsi="Arial" w:cs="Arial"/>
          <w:b/>
          <w:bCs/>
          <w:sz w:val="24"/>
          <w:szCs w:val="24"/>
        </w:rPr>
        <w:t xml:space="preserve">CORAM: </w:t>
      </w:r>
      <w:r w:rsidR="00FA7D46" w:rsidRPr="00631295">
        <w:rPr>
          <w:rFonts w:ascii="Arial" w:hAnsi="Arial" w:cs="Arial"/>
          <w:b/>
          <w:bCs/>
          <w:sz w:val="24"/>
          <w:szCs w:val="24"/>
        </w:rPr>
        <w:t xml:space="preserve">MAHOMED AJ, </w:t>
      </w:r>
      <w:r w:rsidRPr="00631295">
        <w:rPr>
          <w:rFonts w:ascii="Arial" w:hAnsi="Arial" w:cs="Arial"/>
          <w:b/>
          <w:bCs/>
          <w:sz w:val="24"/>
          <w:szCs w:val="24"/>
        </w:rPr>
        <w:t>WEPENER J, DIPPENAAR J,</w:t>
      </w:r>
      <w:r w:rsidR="00FA7D46" w:rsidRPr="00631295">
        <w:rPr>
          <w:rFonts w:ascii="Arial" w:hAnsi="Arial" w:cs="Arial"/>
          <w:b/>
          <w:bCs/>
          <w:sz w:val="24"/>
          <w:szCs w:val="24"/>
        </w:rPr>
        <w:t xml:space="preserve"> concurring.</w:t>
      </w:r>
    </w:p>
    <w:p w14:paraId="7BCB9C55" w14:textId="79618F0B" w:rsidR="00F56610" w:rsidRPr="00631295" w:rsidRDefault="00F56610" w:rsidP="00F56610">
      <w:pPr>
        <w:spacing w:line="480" w:lineRule="auto"/>
        <w:rPr>
          <w:rFonts w:ascii="Arial" w:hAnsi="Arial" w:cs="Arial"/>
          <w:sz w:val="24"/>
          <w:szCs w:val="24"/>
        </w:rPr>
      </w:pPr>
      <w:r w:rsidRPr="00631295">
        <w:rPr>
          <w:rFonts w:ascii="Arial" w:hAnsi="Arial" w:cs="Arial"/>
          <w:sz w:val="24"/>
          <w:szCs w:val="24"/>
        </w:rPr>
        <w:t xml:space="preserve">This appeal is with leave of the Supreme Court of Appeal against the judgment of my sister </w:t>
      </w:r>
      <w:r w:rsidR="0077050F" w:rsidRPr="00631295">
        <w:rPr>
          <w:rFonts w:ascii="Arial" w:hAnsi="Arial" w:cs="Arial"/>
          <w:sz w:val="24"/>
          <w:szCs w:val="24"/>
        </w:rPr>
        <w:t>Crutchfield</w:t>
      </w:r>
      <w:r w:rsidRPr="00631295">
        <w:rPr>
          <w:rFonts w:ascii="Arial" w:hAnsi="Arial" w:cs="Arial"/>
          <w:sz w:val="24"/>
          <w:szCs w:val="24"/>
        </w:rPr>
        <w:t xml:space="preserve"> AJ, as she was then, which was handed down on 20 September 2019, wherein the appellant’s claim was dismissed with costs.  The appeal is against the whole of the judgment and order of the court a quo.  </w:t>
      </w:r>
    </w:p>
    <w:p w14:paraId="4D396F4D" w14:textId="77777777" w:rsidR="00F56610" w:rsidRPr="00631295" w:rsidRDefault="00F56610" w:rsidP="00F56610">
      <w:pPr>
        <w:pStyle w:val="Heading1"/>
        <w:rPr>
          <w:sz w:val="24"/>
          <w:szCs w:val="24"/>
        </w:rPr>
      </w:pPr>
      <w:r w:rsidRPr="00631295">
        <w:rPr>
          <w:sz w:val="24"/>
          <w:szCs w:val="24"/>
        </w:rPr>
        <w:lastRenderedPageBreak/>
        <w:t>THE FACTS</w:t>
      </w:r>
    </w:p>
    <w:p w14:paraId="2F6FB1B8" w14:textId="77777777" w:rsidR="00F56610" w:rsidRPr="00631295" w:rsidRDefault="00F56610" w:rsidP="00F56610">
      <w:pPr>
        <w:pStyle w:val="ListLevel1"/>
        <w:rPr>
          <w:rFonts w:cs="Arial"/>
          <w:sz w:val="24"/>
          <w:szCs w:val="24"/>
        </w:rPr>
      </w:pPr>
      <w:r w:rsidRPr="00631295">
        <w:rPr>
          <w:rFonts w:cs="Arial"/>
          <w:sz w:val="24"/>
          <w:szCs w:val="24"/>
        </w:rPr>
        <w:t xml:space="preserve">On 18 October 2017, the appellant was a commuter on a train operated by the respondent when she fell out of a carriage whilst the train was in motion on approaching a station.  She fell onto the platform and sustained bodily injuries.  </w:t>
      </w:r>
    </w:p>
    <w:p w14:paraId="6B01A407" w14:textId="454F901A" w:rsidR="00F56610" w:rsidRPr="00631295" w:rsidRDefault="00F56610" w:rsidP="00F56610">
      <w:pPr>
        <w:pStyle w:val="ListLevel1"/>
        <w:rPr>
          <w:rFonts w:cs="Arial"/>
          <w:sz w:val="24"/>
          <w:szCs w:val="24"/>
        </w:rPr>
      </w:pPr>
      <w:r w:rsidRPr="00631295">
        <w:rPr>
          <w:rFonts w:cs="Arial"/>
          <w:sz w:val="24"/>
          <w:szCs w:val="24"/>
        </w:rPr>
        <w:t xml:space="preserve">She was returning home to Vereeniging, from </w:t>
      </w:r>
      <w:r w:rsidR="00DD36F7" w:rsidRPr="00631295">
        <w:rPr>
          <w:rFonts w:cs="Arial"/>
          <w:sz w:val="24"/>
          <w:szCs w:val="24"/>
        </w:rPr>
        <w:t>work.</w:t>
      </w:r>
      <w:r w:rsidRPr="00631295">
        <w:rPr>
          <w:rFonts w:cs="Arial"/>
          <w:sz w:val="24"/>
          <w:szCs w:val="24"/>
        </w:rPr>
        <w:t xml:space="preserve">  At approximately 18h00, she took the train at the Booysens station to change over at the New Canada station to her </w:t>
      </w:r>
      <w:r w:rsidR="00121EA2" w:rsidRPr="00631295">
        <w:rPr>
          <w:rFonts w:cs="Arial"/>
          <w:sz w:val="24"/>
          <w:szCs w:val="24"/>
        </w:rPr>
        <w:t>destination</w:t>
      </w:r>
      <w:r w:rsidRPr="00631295">
        <w:rPr>
          <w:rFonts w:cs="Arial"/>
          <w:sz w:val="24"/>
          <w:szCs w:val="24"/>
        </w:rPr>
        <w:t xml:space="preserve"> at Midway station.  It was peak time being the end of a workday.</w:t>
      </w:r>
    </w:p>
    <w:p w14:paraId="38FE859F" w14:textId="77777777" w:rsidR="00F56610" w:rsidRPr="00631295" w:rsidRDefault="00F56610" w:rsidP="00F56610">
      <w:pPr>
        <w:pStyle w:val="ListLevel1"/>
        <w:rPr>
          <w:rFonts w:cs="Arial"/>
          <w:sz w:val="24"/>
          <w:szCs w:val="24"/>
        </w:rPr>
      </w:pPr>
      <w:r w:rsidRPr="00631295">
        <w:rPr>
          <w:rFonts w:cs="Arial"/>
          <w:sz w:val="24"/>
          <w:szCs w:val="24"/>
        </w:rPr>
        <w:t>The evidence is that when she boarded the train at Booysens, all the seats were taken but she found sufficient room for herself, to stand in the middle of the coach.</w:t>
      </w:r>
    </w:p>
    <w:p w14:paraId="1758FFF4" w14:textId="77777777" w:rsidR="00F56610" w:rsidRPr="00631295" w:rsidRDefault="00F56610" w:rsidP="00F56610">
      <w:pPr>
        <w:pStyle w:val="ListLevel1"/>
        <w:rPr>
          <w:rFonts w:cs="Arial"/>
          <w:sz w:val="24"/>
          <w:szCs w:val="24"/>
        </w:rPr>
      </w:pPr>
      <w:r w:rsidRPr="00631295">
        <w:rPr>
          <w:rFonts w:cs="Arial"/>
          <w:sz w:val="24"/>
          <w:szCs w:val="24"/>
        </w:rPr>
        <w:t xml:space="preserve">She noted that the doors of her carriage were closed, until Orlando station and once the train departed that station the doors remained open. </w:t>
      </w:r>
    </w:p>
    <w:p w14:paraId="4C5FE94A" w14:textId="77777777" w:rsidR="00F56610" w:rsidRPr="00631295" w:rsidRDefault="00F56610" w:rsidP="00F56610">
      <w:pPr>
        <w:pStyle w:val="ListLevel1"/>
        <w:rPr>
          <w:rFonts w:cs="Arial"/>
          <w:sz w:val="24"/>
          <w:szCs w:val="24"/>
        </w:rPr>
      </w:pPr>
      <w:r w:rsidRPr="00631295">
        <w:rPr>
          <w:rFonts w:cs="Arial"/>
          <w:sz w:val="24"/>
          <w:szCs w:val="24"/>
        </w:rPr>
        <w:t xml:space="preserve">She did not see any guards either on the platform or in the coach throughout her journey. </w:t>
      </w:r>
    </w:p>
    <w:p w14:paraId="168597D3" w14:textId="2EB99B5F" w:rsidR="00F56610" w:rsidRPr="00631295" w:rsidRDefault="00F56610" w:rsidP="00631295">
      <w:pPr>
        <w:pStyle w:val="ListLevel1"/>
        <w:rPr>
          <w:sz w:val="24"/>
          <w:szCs w:val="24"/>
        </w:rPr>
      </w:pPr>
      <w:r w:rsidRPr="00631295">
        <w:rPr>
          <w:sz w:val="24"/>
          <w:szCs w:val="24"/>
        </w:rPr>
        <w:t xml:space="preserve">At Orlando, the train was </w:t>
      </w:r>
      <w:r w:rsidR="00DD36F7" w:rsidRPr="00631295">
        <w:rPr>
          <w:sz w:val="24"/>
          <w:szCs w:val="24"/>
        </w:rPr>
        <w:t>full,</w:t>
      </w:r>
      <w:r w:rsidRPr="00631295">
        <w:rPr>
          <w:sz w:val="24"/>
          <w:szCs w:val="24"/>
        </w:rPr>
        <w:t xml:space="preserve"> and more passenger</w:t>
      </w:r>
      <w:r w:rsidR="00D27188" w:rsidRPr="00631295">
        <w:rPr>
          <w:sz w:val="24"/>
          <w:szCs w:val="24"/>
        </w:rPr>
        <w:t>s</w:t>
      </w:r>
      <w:r w:rsidRPr="00631295">
        <w:rPr>
          <w:sz w:val="24"/>
          <w:szCs w:val="24"/>
        </w:rPr>
        <w:t xml:space="preserve"> pushed into the carriage, and the doors were open</w:t>
      </w:r>
      <w:r w:rsidR="00B323B5" w:rsidRPr="00631295">
        <w:rPr>
          <w:sz w:val="24"/>
          <w:szCs w:val="24"/>
        </w:rPr>
        <w:t xml:space="preserve">.  The doors remained open </w:t>
      </w:r>
      <w:r w:rsidRPr="00631295">
        <w:rPr>
          <w:sz w:val="24"/>
          <w:szCs w:val="24"/>
        </w:rPr>
        <w:t xml:space="preserve">through Nancefield, Kliptown, Chaiwelo and </w:t>
      </w:r>
      <w:r w:rsidR="00D27188" w:rsidRPr="00631295">
        <w:rPr>
          <w:sz w:val="24"/>
          <w:szCs w:val="24"/>
        </w:rPr>
        <w:t xml:space="preserve">also </w:t>
      </w:r>
      <w:r w:rsidRPr="00631295">
        <w:rPr>
          <w:sz w:val="24"/>
          <w:szCs w:val="24"/>
        </w:rPr>
        <w:t xml:space="preserve">as the train approached the </w:t>
      </w:r>
      <w:r w:rsidRPr="00631295">
        <w:rPr>
          <w:sz w:val="24"/>
          <w:szCs w:val="24"/>
        </w:rPr>
        <w:lastRenderedPageBreak/>
        <w:t>Midway station</w:t>
      </w:r>
      <w:r w:rsidR="00B323B5" w:rsidRPr="00631295">
        <w:rPr>
          <w:sz w:val="24"/>
          <w:szCs w:val="24"/>
        </w:rPr>
        <w:t xml:space="preserve">. </w:t>
      </w:r>
      <w:r w:rsidR="00150454" w:rsidRPr="00631295">
        <w:rPr>
          <w:sz w:val="24"/>
          <w:szCs w:val="24"/>
        </w:rPr>
        <w:t>P</w:t>
      </w:r>
      <w:r w:rsidRPr="00631295">
        <w:rPr>
          <w:sz w:val="24"/>
          <w:szCs w:val="24"/>
        </w:rPr>
        <w:t xml:space="preserve">eople on the train </w:t>
      </w:r>
      <w:r w:rsidR="00150454" w:rsidRPr="00631295">
        <w:rPr>
          <w:sz w:val="24"/>
          <w:szCs w:val="24"/>
        </w:rPr>
        <w:t xml:space="preserve">were </w:t>
      </w:r>
      <w:r w:rsidRPr="00631295">
        <w:rPr>
          <w:sz w:val="24"/>
          <w:szCs w:val="24"/>
        </w:rPr>
        <w:t xml:space="preserve">in a rush to disembark, whilst the train was still in motion, </w:t>
      </w:r>
      <w:r w:rsidR="00150454" w:rsidRPr="00631295">
        <w:rPr>
          <w:sz w:val="24"/>
          <w:szCs w:val="24"/>
        </w:rPr>
        <w:t xml:space="preserve">they </w:t>
      </w:r>
      <w:r w:rsidRPr="00631295">
        <w:rPr>
          <w:sz w:val="24"/>
          <w:szCs w:val="24"/>
        </w:rPr>
        <w:t xml:space="preserve">pushed her about and she heard shouts, to disembark with others, she lost her balance and fell off the train.  She was unable to move to any safety point in </w:t>
      </w:r>
      <w:r w:rsidR="0040257E" w:rsidRPr="00631295">
        <w:rPr>
          <w:sz w:val="24"/>
          <w:szCs w:val="24"/>
        </w:rPr>
        <w:t xml:space="preserve">the </w:t>
      </w:r>
      <w:r w:rsidRPr="00631295">
        <w:rPr>
          <w:sz w:val="24"/>
          <w:szCs w:val="24"/>
        </w:rPr>
        <w:t>carriage, it was just too full, there was no room to move.</w:t>
      </w:r>
    </w:p>
    <w:p w14:paraId="1E1E2843" w14:textId="0F8D56A4" w:rsidR="00F56610" w:rsidRPr="00631295" w:rsidRDefault="00F56610" w:rsidP="00F56610">
      <w:pPr>
        <w:pStyle w:val="ListLevel1"/>
        <w:rPr>
          <w:rFonts w:cs="Arial"/>
          <w:sz w:val="24"/>
          <w:szCs w:val="24"/>
        </w:rPr>
      </w:pPr>
      <w:r w:rsidRPr="00631295">
        <w:rPr>
          <w:rFonts w:cs="Arial"/>
          <w:sz w:val="24"/>
          <w:szCs w:val="24"/>
        </w:rPr>
        <w:t xml:space="preserve">She knew her friend Charity was behind her and had her hand on her shoulder, when she fell out </w:t>
      </w:r>
      <w:r w:rsidR="00150454" w:rsidRPr="00631295">
        <w:rPr>
          <w:rFonts w:cs="Arial"/>
          <w:sz w:val="24"/>
          <w:szCs w:val="24"/>
        </w:rPr>
        <w:t xml:space="preserve">and </w:t>
      </w:r>
      <w:r w:rsidRPr="00631295">
        <w:rPr>
          <w:rFonts w:cs="Arial"/>
          <w:sz w:val="24"/>
          <w:szCs w:val="24"/>
        </w:rPr>
        <w:t>others well on top of her.  Her evidence is that Charity her friend fell onto her, but as she hit the platform, she lost consciousness and does not remember anything after her fall until she found herself in Chiawelo clinic.  She does not remember how she was taken to the Clinic.</w:t>
      </w:r>
    </w:p>
    <w:p w14:paraId="05FB4512" w14:textId="77777777" w:rsidR="00F56610" w:rsidRPr="00631295" w:rsidRDefault="00F56610" w:rsidP="00F56610">
      <w:pPr>
        <w:pStyle w:val="ListLevel1"/>
        <w:rPr>
          <w:rFonts w:cs="Arial"/>
          <w:sz w:val="24"/>
          <w:szCs w:val="24"/>
        </w:rPr>
      </w:pPr>
      <w:r w:rsidRPr="00631295">
        <w:rPr>
          <w:rFonts w:cs="Arial"/>
          <w:sz w:val="24"/>
          <w:szCs w:val="24"/>
        </w:rPr>
        <w:t>She was later transported by ambulance to the Chris Hani Baragwanth Hospital where she was admitted from 19 October 2017 to 4 November 2017.</w:t>
      </w:r>
    </w:p>
    <w:p w14:paraId="139575E5" w14:textId="77777777" w:rsidR="00F56610" w:rsidRPr="00631295" w:rsidRDefault="00F56610" w:rsidP="00F56610">
      <w:pPr>
        <w:pStyle w:val="ListLevel1"/>
        <w:rPr>
          <w:rFonts w:cs="Arial"/>
          <w:sz w:val="24"/>
          <w:szCs w:val="24"/>
        </w:rPr>
      </w:pPr>
      <w:r w:rsidRPr="00631295">
        <w:rPr>
          <w:rFonts w:cs="Arial"/>
          <w:sz w:val="24"/>
          <w:szCs w:val="24"/>
        </w:rPr>
        <w:t>As a result of her fall, she injured her legs and right ankle, which was treated at the hospital.</w:t>
      </w:r>
    </w:p>
    <w:p w14:paraId="67D88810" w14:textId="35FB7874" w:rsidR="00F56610" w:rsidRPr="00631295" w:rsidRDefault="00F56610" w:rsidP="00F56610">
      <w:pPr>
        <w:pStyle w:val="ListLevel1"/>
        <w:rPr>
          <w:rFonts w:cs="Arial"/>
          <w:sz w:val="24"/>
          <w:szCs w:val="24"/>
        </w:rPr>
      </w:pPr>
      <w:r w:rsidRPr="00631295">
        <w:rPr>
          <w:rFonts w:cs="Arial"/>
          <w:sz w:val="24"/>
          <w:szCs w:val="24"/>
        </w:rPr>
        <w:t xml:space="preserve">The respondent in cross examination highlighted that her responses in her reply to request for further particulars </w:t>
      </w:r>
      <w:r w:rsidR="00150454" w:rsidRPr="00631295">
        <w:rPr>
          <w:rFonts w:cs="Arial"/>
          <w:sz w:val="24"/>
          <w:szCs w:val="24"/>
        </w:rPr>
        <w:t>was</w:t>
      </w:r>
      <w:r w:rsidRPr="00631295">
        <w:rPr>
          <w:rFonts w:cs="Arial"/>
          <w:sz w:val="24"/>
          <w:szCs w:val="24"/>
        </w:rPr>
        <w:t xml:space="preserve"> at variance with her evidence in court.  She could only explain it as her attorney having misunderstood her facts and was mistaken.</w:t>
      </w:r>
    </w:p>
    <w:p w14:paraId="78E8BEA7" w14:textId="0EBA0C98" w:rsidR="00F56610" w:rsidRPr="00631295" w:rsidRDefault="00F56610" w:rsidP="00F56610">
      <w:pPr>
        <w:pStyle w:val="ListLevel1"/>
        <w:rPr>
          <w:rFonts w:cs="Arial"/>
          <w:b/>
          <w:bCs/>
          <w:sz w:val="24"/>
          <w:szCs w:val="24"/>
        </w:rPr>
      </w:pPr>
      <w:r w:rsidRPr="00631295">
        <w:rPr>
          <w:rFonts w:cs="Arial"/>
          <w:sz w:val="24"/>
          <w:szCs w:val="24"/>
        </w:rPr>
        <w:lastRenderedPageBreak/>
        <w:t xml:space="preserve">The </w:t>
      </w:r>
      <w:r w:rsidR="00150454" w:rsidRPr="00631295">
        <w:rPr>
          <w:rFonts w:cs="Arial"/>
          <w:sz w:val="24"/>
          <w:szCs w:val="24"/>
        </w:rPr>
        <w:t xml:space="preserve">appellant </w:t>
      </w:r>
      <w:r w:rsidRPr="00631295">
        <w:rPr>
          <w:rFonts w:cs="Arial"/>
          <w:sz w:val="24"/>
          <w:szCs w:val="24"/>
        </w:rPr>
        <w:t>under cross examination testified that she was a regular train commuter and conceded that at times passengers block the doors of the train.</w:t>
      </w:r>
    </w:p>
    <w:p w14:paraId="13E6FBA4" w14:textId="77777777" w:rsidR="00F56610" w:rsidRPr="00631295" w:rsidRDefault="00F56610" w:rsidP="00F56610">
      <w:pPr>
        <w:pStyle w:val="ListLevel1"/>
        <w:rPr>
          <w:rFonts w:cs="Arial"/>
          <w:sz w:val="24"/>
          <w:szCs w:val="24"/>
        </w:rPr>
      </w:pPr>
      <w:r w:rsidRPr="00631295">
        <w:rPr>
          <w:rFonts w:cs="Arial"/>
          <w:sz w:val="24"/>
          <w:szCs w:val="24"/>
        </w:rPr>
        <w:t>She also knew that often the trains are full at certain times.</w:t>
      </w:r>
    </w:p>
    <w:p w14:paraId="1F507681" w14:textId="4A8473D3" w:rsidR="00F56610" w:rsidRPr="00631295" w:rsidRDefault="00F56610" w:rsidP="00F56610">
      <w:pPr>
        <w:pStyle w:val="ListLevel1"/>
        <w:rPr>
          <w:rFonts w:cs="Arial"/>
          <w:sz w:val="24"/>
          <w:szCs w:val="24"/>
        </w:rPr>
      </w:pPr>
      <w:r w:rsidRPr="00631295">
        <w:rPr>
          <w:rFonts w:cs="Arial"/>
          <w:sz w:val="24"/>
          <w:szCs w:val="24"/>
        </w:rPr>
        <w:t>She testified that she knew passengers jump</w:t>
      </w:r>
      <w:r w:rsidR="009026EE" w:rsidRPr="00631295">
        <w:rPr>
          <w:rFonts w:cs="Arial"/>
          <w:sz w:val="24"/>
          <w:szCs w:val="24"/>
        </w:rPr>
        <w:t>ed</w:t>
      </w:r>
      <w:r w:rsidRPr="00631295">
        <w:rPr>
          <w:rFonts w:cs="Arial"/>
          <w:sz w:val="24"/>
          <w:szCs w:val="24"/>
        </w:rPr>
        <w:t xml:space="preserve"> out whilst the train </w:t>
      </w:r>
      <w:r w:rsidR="009026EE" w:rsidRPr="00631295">
        <w:rPr>
          <w:rFonts w:cs="Arial"/>
          <w:sz w:val="24"/>
          <w:szCs w:val="24"/>
        </w:rPr>
        <w:t>was</w:t>
      </w:r>
      <w:r w:rsidRPr="00631295">
        <w:rPr>
          <w:rFonts w:cs="Arial"/>
          <w:sz w:val="24"/>
          <w:szCs w:val="24"/>
        </w:rPr>
        <w:t xml:space="preserve"> moving and before the train </w:t>
      </w:r>
      <w:r w:rsidR="00A83F71" w:rsidRPr="00631295">
        <w:rPr>
          <w:rFonts w:cs="Arial"/>
          <w:sz w:val="24"/>
          <w:szCs w:val="24"/>
        </w:rPr>
        <w:t>stopped</w:t>
      </w:r>
      <w:r w:rsidRPr="00631295">
        <w:rPr>
          <w:rFonts w:cs="Arial"/>
          <w:sz w:val="24"/>
          <w:szCs w:val="24"/>
        </w:rPr>
        <w:t xml:space="preserve"> at the platform.</w:t>
      </w:r>
      <w:r w:rsidR="00150454" w:rsidRPr="00631295">
        <w:rPr>
          <w:rFonts w:cs="Arial"/>
          <w:sz w:val="24"/>
          <w:szCs w:val="24"/>
        </w:rPr>
        <w:t xml:space="preserve">  It was put to her that she was not on the train and that she did not sustain her injuries on the respondent’s property.  This was denied.</w:t>
      </w:r>
    </w:p>
    <w:p w14:paraId="6CDF07FB" w14:textId="167C1CC3" w:rsidR="00F56610" w:rsidRPr="00631295" w:rsidRDefault="00F56610" w:rsidP="00F56610">
      <w:pPr>
        <w:pStyle w:val="ListLevel1"/>
        <w:rPr>
          <w:rFonts w:cs="Arial"/>
          <w:sz w:val="24"/>
          <w:szCs w:val="24"/>
        </w:rPr>
      </w:pPr>
      <w:r w:rsidRPr="00631295">
        <w:rPr>
          <w:rFonts w:cs="Arial"/>
          <w:sz w:val="24"/>
          <w:szCs w:val="24"/>
        </w:rPr>
        <w:t xml:space="preserve">The respondent closed its case without leading any evidence, it relied on the cross examination of the </w:t>
      </w:r>
      <w:r w:rsidR="00817048" w:rsidRPr="00631295">
        <w:rPr>
          <w:rFonts w:cs="Arial"/>
          <w:sz w:val="24"/>
          <w:szCs w:val="24"/>
        </w:rPr>
        <w:t>appellant</w:t>
      </w:r>
      <w:r w:rsidRPr="00631295">
        <w:rPr>
          <w:rFonts w:cs="Arial"/>
          <w:sz w:val="24"/>
          <w:szCs w:val="24"/>
        </w:rPr>
        <w:t xml:space="preserve"> who obviously bears the onus.</w:t>
      </w:r>
    </w:p>
    <w:p w14:paraId="43420F36" w14:textId="77777777" w:rsidR="00F56610" w:rsidRPr="00631295" w:rsidRDefault="00F56610" w:rsidP="00F56610">
      <w:pPr>
        <w:pStyle w:val="ListLevel1"/>
        <w:rPr>
          <w:rFonts w:cs="Arial"/>
          <w:sz w:val="24"/>
          <w:szCs w:val="24"/>
        </w:rPr>
      </w:pPr>
      <w:r w:rsidRPr="00631295">
        <w:rPr>
          <w:rFonts w:cs="Arial"/>
          <w:sz w:val="24"/>
          <w:szCs w:val="24"/>
        </w:rPr>
        <w:t>The grounds of appeal are as follows:</w:t>
      </w:r>
    </w:p>
    <w:p w14:paraId="584E5B2A" w14:textId="06A2C0FD" w:rsidR="00F56610" w:rsidRPr="00631295" w:rsidRDefault="00F56610" w:rsidP="00F56610">
      <w:pPr>
        <w:pStyle w:val="ListLevel2"/>
        <w:rPr>
          <w:rFonts w:cs="Arial"/>
          <w:sz w:val="24"/>
          <w:szCs w:val="24"/>
        </w:rPr>
      </w:pPr>
      <w:r w:rsidRPr="00631295">
        <w:rPr>
          <w:rFonts w:cs="Arial"/>
          <w:sz w:val="24"/>
          <w:szCs w:val="24"/>
        </w:rPr>
        <w:tab/>
        <w:t xml:space="preserve">the court a quo placed too high a burden on the </w:t>
      </w:r>
      <w:r w:rsidR="00BC7EF2" w:rsidRPr="00631295">
        <w:rPr>
          <w:rFonts w:cs="Arial"/>
          <w:sz w:val="24"/>
          <w:szCs w:val="24"/>
        </w:rPr>
        <w:t>plaintiff</w:t>
      </w:r>
      <w:r w:rsidRPr="00631295">
        <w:rPr>
          <w:rFonts w:cs="Arial"/>
          <w:sz w:val="24"/>
          <w:szCs w:val="24"/>
        </w:rPr>
        <w:t>, when it expected her to know how many persons were in her carriage</w:t>
      </w:r>
    </w:p>
    <w:p w14:paraId="510C3E36" w14:textId="7A75BF08" w:rsidR="00F56610" w:rsidRPr="00631295" w:rsidRDefault="00F56610" w:rsidP="00F56610">
      <w:pPr>
        <w:pStyle w:val="ListLevel2"/>
        <w:rPr>
          <w:rFonts w:cs="Arial"/>
          <w:sz w:val="24"/>
          <w:szCs w:val="24"/>
        </w:rPr>
      </w:pPr>
      <w:r w:rsidRPr="00631295">
        <w:rPr>
          <w:rFonts w:cs="Arial"/>
          <w:sz w:val="24"/>
          <w:szCs w:val="24"/>
        </w:rPr>
        <w:tab/>
        <w:t xml:space="preserve">the court a quo ought not to have made a credibility finding against the </w:t>
      </w:r>
      <w:r w:rsidR="00BC7EF2" w:rsidRPr="00631295">
        <w:rPr>
          <w:rFonts w:cs="Arial"/>
          <w:sz w:val="24"/>
          <w:szCs w:val="24"/>
        </w:rPr>
        <w:t>plaintiff</w:t>
      </w:r>
      <w:r w:rsidRPr="00631295">
        <w:rPr>
          <w:rFonts w:cs="Arial"/>
          <w:sz w:val="24"/>
          <w:szCs w:val="24"/>
        </w:rPr>
        <w:t xml:space="preserve"> for any contradictions as those facts were not relevant to the determination of the </w:t>
      </w:r>
      <w:r w:rsidR="00BC7EF2" w:rsidRPr="00631295">
        <w:rPr>
          <w:rFonts w:cs="Arial"/>
          <w:sz w:val="24"/>
          <w:szCs w:val="24"/>
        </w:rPr>
        <w:t>defendant</w:t>
      </w:r>
      <w:r w:rsidRPr="00631295">
        <w:rPr>
          <w:rFonts w:cs="Arial"/>
          <w:sz w:val="24"/>
          <w:szCs w:val="24"/>
        </w:rPr>
        <w:t>’s liability/negligence.</w:t>
      </w:r>
    </w:p>
    <w:p w14:paraId="5DBB834B" w14:textId="034CAC58" w:rsidR="00F56610" w:rsidRPr="00631295" w:rsidRDefault="00F56610" w:rsidP="00F56610">
      <w:pPr>
        <w:pStyle w:val="ListLevel2"/>
        <w:rPr>
          <w:rFonts w:cs="Arial"/>
          <w:sz w:val="24"/>
          <w:szCs w:val="24"/>
        </w:rPr>
      </w:pPr>
      <w:r w:rsidRPr="00631295">
        <w:rPr>
          <w:rFonts w:cs="Arial"/>
          <w:sz w:val="24"/>
          <w:szCs w:val="24"/>
        </w:rPr>
        <w:tab/>
        <w:t xml:space="preserve">the court placed too much emphasis on </w:t>
      </w:r>
      <w:r w:rsidR="00121EA2" w:rsidRPr="00631295">
        <w:rPr>
          <w:rFonts w:cs="Arial"/>
          <w:sz w:val="24"/>
          <w:szCs w:val="24"/>
        </w:rPr>
        <w:t>whether</w:t>
      </w:r>
      <w:r w:rsidRPr="00631295">
        <w:rPr>
          <w:rFonts w:cs="Arial"/>
          <w:sz w:val="24"/>
          <w:szCs w:val="24"/>
        </w:rPr>
        <w:t xml:space="preserve"> the </w:t>
      </w:r>
      <w:r w:rsidR="00BC7EF2" w:rsidRPr="00631295">
        <w:rPr>
          <w:rFonts w:cs="Arial"/>
          <w:sz w:val="24"/>
          <w:szCs w:val="24"/>
        </w:rPr>
        <w:t xml:space="preserve">plaintiff </w:t>
      </w:r>
      <w:r w:rsidRPr="00631295">
        <w:rPr>
          <w:rFonts w:cs="Arial"/>
          <w:sz w:val="24"/>
          <w:szCs w:val="24"/>
        </w:rPr>
        <w:t xml:space="preserve">saw security guards at the stations and on trains, those facts do not </w:t>
      </w:r>
      <w:r w:rsidRPr="00631295">
        <w:rPr>
          <w:rFonts w:cs="Arial"/>
          <w:sz w:val="24"/>
          <w:szCs w:val="24"/>
        </w:rPr>
        <w:lastRenderedPageBreak/>
        <w:t xml:space="preserve">“cure” the negligence of the </w:t>
      </w:r>
      <w:r w:rsidR="00F3435C" w:rsidRPr="00631295">
        <w:rPr>
          <w:rFonts w:cs="Arial"/>
          <w:sz w:val="24"/>
          <w:szCs w:val="24"/>
        </w:rPr>
        <w:t>defendant</w:t>
      </w:r>
      <w:r w:rsidRPr="00631295">
        <w:rPr>
          <w:rFonts w:cs="Arial"/>
          <w:sz w:val="24"/>
          <w:szCs w:val="24"/>
        </w:rPr>
        <w:t>, in the form of an omission, when it allowed a train to move with open doors, and by permitting the train to be overcrowded.</w:t>
      </w:r>
    </w:p>
    <w:p w14:paraId="7DA8C0BD" w14:textId="77777777" w:rsidR="00F56610" w:rsidRPr="00631295" w:rsidRDefault="00F56610" w:rsidP="00F56610">
      <w:pPr>
        <w:pStyle w:val="ListLevel2"/>
        <w:rPr>
          <w:rFonts w:cs="Arial"/>
          <w:sz w:val="24"/>
          <w:szCs w:val="24"/>
        </w:rPr>
      </w:pPr>
      <w:r w:rsidRPr="00631295">
        <w:rPr>
          <w:rFonts w:cs="Arial"/>
          <w:sz w:val="24"/>
          <w:szCs w:val="24"/>
        </w:rPr>
        <w:tab/>
        <w:t>the court a quo finding incorrectly when she failed to call witnesses to corroborate that she was on the train, when she presented a valid ticket for the relevant date which formed part of the evidence, particularly in that the evidence was unchallenged</w:t>
      </w:r>
    </w:p>
    <w:p w14:paraId="4DF71376" w14:textId="2E761407" w:rsidR="00F56610" w:rsidRPr="00631295" w:rsidRDefault="00F56610" w:rsidP="00F56610">
      <w:pPr>
        <w:pStyle w:val="ListLevel2"/>
        <w:rPr>
          <w:rFonts w:cs="Arial"/>
          <w:sz w:val="24"/>
          <w:szCs w:val="24"/>
        </w:rPr>
      </w:pPr>
      <w:r w:rsidRPr="00631295">
        <w:rPr>
          <w:rFonts w:cs="Arial"/>
          <w:sz w:val="24"/>
          <w:szCs w:val="24"/>
        </w:rPr>
        <w:t xml:space="preserve">the court a quo should not have found against the plaintiff for failing to allege that the defendant owed the plaintiff a legal duty and it breached that duty, as the plaintiff argued a negligent omission. </w:t>
      </w:r>
    </w:p>
    <w:p w14:paraId="1AB27900" w14:textId="77777777" w:rsidR="00F56610" w:rsidRPr="00631295" w:rsidRDefault="00F56610" w:rsidP="00F56610">
      <w:pPr>
        <w:pStyle w:val="ListLevel2"/>
        <w:rPr>
          <w:rFonts w:cs="Arial"/>
          <w:sz w:val="24"/>
          <w:szCs w:val="24"/>
        </w:rPr>
      </w:pPr>
      <w:r w:rsidRPr="00631295">
        <w:rPr>
          <w:rFonts w:cs="Arial"/>
          <w:sz w:val="24"/>
          <w:szCs w:val="24"/>
        </w:rPr>
        <w:tab/>
        <w:t>the court a quo erred in referring to a public duty and overlooking the fact that the plaintiff’s evidence remained unchallenged.</w:t>
      </w:r>
    </w:p>
    <w:p w14:paraId="4BD8B464" w14:textId="77777777" w:rsidR="00F56610" w:rsidRPr="00631295" w:rsidRDefault="00F56610" w:rsidP="00F56610">
      <w:pPr>
        <w:pStyle w:val="Heading1"/>
        <w:rPr>
          <w:sz w:val="24"/>
          <w:szCs w:val="24"/>
        </w:rPr>
      </w:pPr>
      <w:r w:rsidRPr="00631295">
        <w:rPr>
          <w:sz w:val="24"/>
          <w:szCs w:val="24"/>
        </w:rPr>
        <w:t>ARGUMENTS</w:t>
      </w:r>
    </w:p>
    <w:p w14:paraId="538D2D6E" w14:textId="565C50B9" w:rsidR="00F56610" w:rsidRPr="00631295" w:rsidRDefault="009026EE" w:rsidP="00F56610">
      <w:pPr>
        <w:pStyle w:val="ListLevel1"/>
        <w:rPr>
          <w:rFonts w:cs="Arial"/>
          <w:sz w:val="24"/>
          <w:szCs w:val="24"/>
        </w:rPr>
      </w:pPr>
      <w:r w:rsidRPr="00631295">
        <w:rPr>
          <w:rFonts w:cs="Arial"/>
          <w:sz w:val="24"/>
          <w:szCs w:val="24"/>
        </w:rPr>
        <w:t xml:space="preserve">Mr </w:t>
      </w:r>
      <w:r w:rsidR="00F56610" w:rsidRPr="00631295">
        <w:rPr>
          <w:rFonts w:cs="Arial"/>
          <w:sz w:val="24"/>
          <w:szCs w:val="24"/>
        </w:rPr>
        <w:t>Mashaba SC appeared for the respondent and submitted that there was a “paucity of evidence</w:t>
      </w:r>
      <w:r w:rsidR="00482BBE" w:rsidRPr="00631295">
        <w:rPr>
          <w:rFonts w:cs="Arial"/>
          <w:sz w:val="24"/>
          <w:szCs w:val="24"/>
        </w:rPr>
        <w:t>,”</w:t>
      </w:r>
      <w:r w:rsidR="00F56610" w:rsidRPr="00631295">
        <w:rPr>
          <w:rFonts w:cs="Arial"/>
          <w:sz w:val="24"/>
          <w:szCs w:val="24"/>
        </w:rPr>
        <w:t xml:space="preserve"> presented on behalf of the appellant at the trial which effectively called upon the court a quo to draw inferences, and “fill in the gaps” for her.  He submitted </w:t>
      </w:r>
      <w:r w:rsidR="008A3491" w:rsidRPr="00631295">
        <w:rPr>
          <w:rFonts w:cs="Arial"/>
          <w:sz w:val="24"/>
          <w:szCs w:val="24"/>
        </w:rPr>
        <w:t xml:space="preserve">it </w:t>
      </w:r>
      <w:r w:rsidR="00F56610" w:rsidRPr="00631295">
        <w:rPr>
          <w:rFonts w:cs="Arial"/>
          <w:sz w:val="24"/>
          <w:szCs w:val="24"/>
        </w:rPr>
        <w:t xml:space="preserve">is not the function of a court and that the court a quo was correct in dismissing her claim.  Counsel submitted that </w:t>
      </w:r>
      <w:r w:rsidR="00F56610" w:rsidRPr="00631295">
        <w:rPr>
          <w:rFonts w:cs="Arial"/>
          <w:sz w:val="24"/>
          <w:szCs w:val="24"/>
        </w:rPr>
        <w:lastRenderedPageBreak/>
        <w:t>the appellant argue</w:t>
      </w:r>
      <w:r w:rsidRPr="00631295">
        <w:rPr>
          <w:rFonts w:cs="Arial"/>
          <w:sz w:val="24"/>
          <w:szCs w:val="24"/>
        </w:rPr>
        <w:t>d</w:t>
      </w:r>
      <w:r w:rsidR="00F56610" w:rsidRPr="00631295">
        <w:rPr>
          <w:rFonts w:cs="Arial"/>
          <w:sz w:val="24"/>
          <w:szCs w:val="24"/>
        </w:rPr>
        <w:t xml:space="preserve"> negligence of the respondent but ha</w:t>
      </w:r>
      <w:r w:rsidRPr="00631295">
        <w:rPr>
          <w:rFonts w:cs="Arial"/>
          <w:sz w:val="24"/>
          <w:szCs w:val="24"/>
        </w:rPr>
        <w:t>d</w:t>
      </w:r>
      <w:r w:rsidR="00F56610" w:rsidRPr="00631295">
        <w:rPr>
          <w:rFonts w:cs="Arial"/>
          <w:sz w:val="24"/>
          <w:szCs w:val="24"/>
        </w:rPr>
        <w:t xml:space="preserve"> not proved it, nor the causal link between the injury and the negligence.</w:t>
      </w:r>
    </w:p>
    <w:p w14:paraId="6A14AB47" w14:textId="3CE9B864" w:rsidR="00F56610" w:rsidRPr="00631295" w:rsidRDefault="00F56610" w:rsidP="00F56610">
      <w:pPr>
        <w:pStyle w:val="ListLevel1"/>
        <w:rPr>
          <w:rFonts w:cs="Arial"/>
          <w:sz w:val="24"/>
          <w:szCs w:val="24"/>
        </w:rPr>
      </w:pPr>
      <w:r w:rsidRPr="00631295">
        <w:rPr>
          <w:rFonts w:cs="Arial"/>
          <w:sz w:val="24"/>
          <w:szCs w:val="24"/>
        </w:rPr>
        <w:t xml:space="preserve">Mr Mashaba, in a very comprehensive set of heads of argument which this court </w:t>
      </w:r>
      <w:r w:rsidR="008A3491" w:rsidRPr="00631295">
        <w:rPr>
          <w:rFonts w:cs="Arial"/>
          <w:sz w:val="24"/>
          <w:szCs w:val="24"/>
        </w:rPr>
        <w:t>appreciates</w:t>
      </w:r>
      <w:r w:rsidRPr="00631295">
        <w:rPr>
          <w:rFonts w:cs="Arial"/>
          <w:sz w:val="24"/>
          <w:szCs w:val="24"/>
        </w:rPr>
        <w:t xml:space="preserve">, submitted that the appellant failed to allege an omission and any legal duty on the part of the </w:t>
      </w:r>
      <w:r w:rsidR="0040257E" w:rsidRPr="00631295">
        <w:rPr>
          <w:rFonts w:cs="Arial"/>
          <w:sz w:val="24"/>
          <w:szCs w:val="24"/>
        </w:rPr>
        <w:t>respondent</w:t>
      </w:r>
      <w:r w:rsidRPr="00631295">
        <w:rPr>
          <w:rFonts w:cs="Arial"/>
          <w:sz w:val="24"/>
          <w:szCs w:val="24"/>
        </w:rPr>
        <w:t xml:space="preserve"> to establish the respondent’s liability.  No such averments were made in the pleadings and the whole purpose of the pleadings is to enable a party to know the case it is to meet.  He submitted that the omission was averred only during argument.</w:t>
      </w:r>
    </w:p>
    <w:p w14:paraId="35FBA639" w14:textId="757171F4" w:rsidR="00F56610" w:rsidRPr="00631295" w:rsidRDefault="00F56610" w:rsidP="00F56610">
      <w:pPr>
        <w:pStyle w:val="ListLevel1"/>
        <w:rPr>
          <w:rFonts w:cs="Arial"/>
          <w:sz w:val="24"/>
          <w:szCs w:val="24"/>
        </w:rPr>
      </w:pPr>
      <w:r w:rsidRPr="00631295">
        <w:rPr>
          <w:rFonts w:cs="Arial"/>
          <w:sz w:val="24"/>
          <w:szCs w:val="24"/>
        </w:rPr>
        <w:t xml:space="preserve">The </w:t>
      </w:r>
      <w:r w:rsidR="0040257E" w:rsidRPr="00631295">
        <w:rPr>
          <w:rFonts w:cs="Arial"/>
          <w:sz w:val="24"/>
          <w:szCs w:val="24"/>
        </w:rPr>
        <w:t>respondent</w:t>
      </w:r>
      <w:r w:rsidRPr="00631295">
        <w:rPr>
          <w:rFonts w:cs="Arial"/>
          <w:sz w:val="24"/>
          <w:szCs w:val="24"/>
        </w:rPr>
        <w:t xml:space="preserve"> </w:t>
      </w:r>
      <w:r w:rsidR="0077050F" w:rsidRPr="00631295">
        <w:rPr>
          <w:rFonts w:cs="Arial"/>
          <w:sz w:val="24"/>
          <w:szCs w:val="24"/>
        </w:rPr>
        <w:t>argued further</w:t>
      </w:r>
      <w:r w:rsidR="0013081B" w:rsidRPr="00631295">
        <w:rPr>
          <w:rFonts w:cs="Arial"/>
          <w:sz w:val="24"/>
          <w:szCs w:val="24"/>
        </w:rPr>
        <w:t xml:space="preserve"> </w:t>
      </w:r>
      <w:r w:rsidRPr="00631295">
        <w:rPr>
          <w:rFonts w:cs="Arial"/>
          <w:sz w:val="24"/>
          <w:szCs w:val="24"/>
        </w:rPr>
        <w:t xml:space="preserve">that no causal link was established between the acts or omissions of the </w:t>
      </w:r>
      <w:r w:rsidR="00BC7EF2" w:rsidRPr="00631295">
        <w:rPr>
          <w:rFonts w:cs="Arial"/>
          <w:sz w:val="24"/>
          <w:szCs w:val="24"/>
        </w:rPr>
        <w:t>respondent</w:t>
      </w:r>
      <w:r w:rsidRPr="00631295">
        <w:rPr>
          <w:rFonts w:cs="Arial"/>
          <w:sz w:val="24"/>
          <w:szCs w:val="24"/>
        </w:rPr>
        <w:t xml:space="preserve"> and the injuries that the </w:t>
      </w:r>
      <w:r w:rsidR="0040257E" w:rsidRPr="00631295">
        <w:rPr>
          <w:rFonts w:cs="Arial"/>
          <w:sz w:val="24"/>
          <w:szCs w:val="24"/>
        </w:rPr>
        <w:t>appellant</w:t>
      </w:r>
      <w:r w:rsidRPr="00631295">
        <w:rPr>
          <w:rFonts w:cs="Arial"/>
          <w:sz w:val="24"/>
          <w:szCs w:val="24"/>
        </w:rPr>
        <w:t xml:space="preserve"> allegedly sustained.  The respondent maintained that from her evidence, </w:t>
      </w:r>
      <w:r w:rsidR="00121EA2" w:rsidRPr="00631295">
        <w:rPr>
          <w:rFonts w:cs="Arial"/>
          <w:sz w:val="24"/>
          <w:szCs w:val="24"/>
        </w:rPr>
        <w:t>the</w:t>
      </w:r>
      <w:r w:rsidRPr="00631295">
        <w:rPr>
          <w:rFonts w:cs="Arial"/>
          <w:sz w:val="24"/>
          <w:szCs w:val="24"/>
        </w:rPr>
        <w:t xml:space="preserve"> </w:t>
      </w:r>
      <w:r w:rsidR="0040257E" w:rsidRPr="00631295">
        <w:rPr>
          <w:rFonts w:cs="Arial"/>
          <w:sz w:val="24"/>
          <w:szCs w:val="24"/>
        </w:rPr>
        <w:t xml:space="preserve">appellant </w:t>
      </w:r>
      <w:r w:rsidRPr="00631295">
        <w:rPr>
          <w:rFonts w:cs="Arial"/>
          <w:sz w:val="24"/>
          <w:szCs w:val="24"/>
        </w:rPr>
        <w:t xml:space="preserve">was pushed out the moving train, by other commuters on the train when she fell onto the platform and sustained bodily injuries.  The </w:t>
      </w:r>
      <w:r w:rsidR="0040257E" w:rsidRPr="00631295">
        <w:rPr>
          <w:rFonts w:cs="Arial"/>
          <w:sz w:val="24"/>
          <w:szCs w:val="24"/>
        </w:rPr>
        <w:t xml:space="preserve">respondent </w:t>
      </w:r>
      <w:r w:rsidRPr="00631295">
        <w:rPr>
          <w:rFonts w:cs="Arial"/>
          <w:sz w:val="24"/>
          <w:szCs w:val="24"/>
        </w:rPr>
        <w:t xml:space="preserve">cannot be held liable on the facts and accordingly the court a quo was correct in dismissing the </w:t>
      </w:r>
      <w:r w:rsidR="0040257E" w:rsidRPr="00631295">
        <w:rPr>
          <w:rFonts w:cs="Arial"/>
          <w:sz w:val="24"/>
          <w:szCs w:val="24"/>
        </w:rPr>
        <w:t>appellant</w:t>
      </w:r>
      <w:r w:rsidRPr="00631295">
        <w:rPr>
          <w:rFonts w:cs="Arial"/>
          <w:sz w:val="24"/>
          <w:szCs w:val="24"/>
        </w:rPr>
        <w:t>’s claim.</w:t>
      </w:r>
    </w:p>
    <w:p w14:paraId="1224B3F9" w14:textId="0EBF85F9" w:rsidR="00F56610" w:rsidRPr="00631295" w:rsidRDefault="00F56610" w:rsidP="00F56610">
      <w:pPr>
        <w:pStyle w:val="ListLevel1"/>
        <w:rPr>
          <w:rFonts w:cs="Arial"/>
          <w:sz w:val="24"/>
          <w:szCs w:val="24"/>
        </w:rPr>
      </w:pPr>
      <w:r w:rsidRPr="00631295">
        <w:rPr>
          <w:rFonts w:cs="Arial"/>
          <w:sz w:val="24"/>
          <w:szCs w:val="24"/>
        </w:rPr>
        <w:t xml:space="preserve">Mr Mntombeni appeared for the appellant, </w:t>
      </w:r>
      <w:r w:rsidR="0040257E" w:rsidRPr="00631295">
        <w:rPr>
          <w:rFonts w:cs="Arial"/>
          <w:sz w:val="24"/>
          <w:szCs w:val="24"/>
        </w:rPr>
        <w:t>a</w:t>
      </w:r>
      <w:r w:rsidRPr="00631295">
        <w:rPr>
          <w:rFonts w:cs="Arial"/>
          <w:sz w:val="24"/>
          <w:szCs w:val="24"/>
        </w:rPr>
        <w:t xml:space="preserve">nd submitted that the pleadings may not mention an omission </w:t>
      </w:r>
      <w:r w:rsidR="0040257E" w:rsidRPr="00631295">
        <w:rPr>
          <w:rFonts w:cs="Arial"/>
          <w:sz w:val="24"/>
          <w:szCs w:val="24"/>
        </w:rPr>
        <w:t xml:space="preserve">but </w:t>
      </w:r>
      <w:r w:rsidRPr="00631295">
        <w:rPr>
          <w:rFonts w:cs="Arial"/>
          <w:sz w:val="24"/>
          <w:szCs w:val="24"/>
        </w:rPr>
        <w:t xml:space="preserve">it is </w:t>
      </w:r>
      <w:r w:rsidR="0040257E" w:rsidRPr="00631295">
        <w:rPr>
          <w:rFonts w:cs="Arial"/>
          <w:sz w:val="24"/>
          <w:szCs w:val="24"/>
        </w:rPr>
        <w:t xml:space="preserve">clear </w:t>
      </w:r>
      <w:r w:rsidRPr="00631295">
        <w:rPr>
          <w:rFonts w:cs="Arial"/>
          <w:sz w:val="24"/>
          <w:szCs w:val="24"/>
        </w:rPr>
        <w:t xml:space="preserve">that the respondent </w:t>
      </w:r>
      <w:r w:rsidR="0040257E" w:rsidRPr="00631295">
        <w:rPr>
          <w:rFonts w:cs="Arial"/>
          <w:sz w:val="24"/>
          <w:szCs w:val="24"/>
        </w:rPr>
        <w:t xml:space="preserve">owed a duty and </w:t>
      </w:r>
      <w:r w:rsidRPr="00631295">
        <w:rPr>
          <w:rFonts w:cs="Arial"/>
          <w:sz w:val="24"/>
          <w:szCs w:val="24"/>
        </w:rPr>
        <w:t xml:space="preserve">failed in its duties, when it “allowed” the doors of the train to be left open, when it “allowed” the carriages to be overcrowded and </w:t>
      </w:r>
      <w:r w:rsidRPr="00631295">
        <w:rPr>
          <w:rFonts w:cs="Arial"/>
          <w:sz w:val="24"/>
          <w:szCs w:val="24"/>
        </w:rPr>
        <w:lastRenderedPageBreak/>
        <w:t xml:space="preserve">when it </w:t>
      </w:r>
      <w:r w:rsidR="0013081B" w:rsidRPr="00631295">
        <w:rPr>
          <w:rFonts w:cs="Arial"/>
          <w:sz w:val="24"/>
          <w:szCs w:val="24"/>
        </w:rPr>
        <w:t>“</w:t>
      </w:r>
      <w:r w:rsidRPr="00631295">
        <w:rPr>
          <w:rFonts w:cs="Arial"/>
          <w:sz w:val="24"/>
          <w:szCs w:val="24"/>
        </w:rPr>
        <w:t>failed to place guards on the trains</w:t>
      </w:r>
      <w:r w:rsidR="008A3491" w:rsidRPr="00631295">
        <w:rPr>
          <w:rFonts w:cs="Arial"/>
          <w:sz w:val="24"/>
          <w:szCs w:val="24"/>
        </w:rPr>
        <w:t xml:space="preserve"> and platforms”</w:t>
      </w:r>
      <w:r w:rsidRPr="00631295">
        <w:rPr>
          <w:rFonts w:cs="Arial"/>
          <w:sz w:val="24"/>
          <w:szCs w:val="24"/>
        </w:rPr>
        <w:t>, whose job it is to ensure safety on the trains</w:t>
      </w:r>
      <w:r w:rsidR="008A3491" w:rsidRPr="00631295">
        <w:rPr>
          <w:rFonts w:cs="Arial"/>
          <w:sz w:val="24"/>
          <w:szCs w:val="24"/>
        </w:rPr>
        <w:t xml:space="preserve"> and at stations.</w:t>
      </w:r>
    </w:p>
    <w:p w14:paraId="25191413" w14:textId="77777777" w:rsidR="00F56610" w:rsidRPr="00631295" w:rsidRDefault="00F56610" w:rsidP="00F56610">
      <w:pPr>
        <w:pStyle w:val="ListLevel1"/>
        <w:rPr>
          <w:rFonts w:cs="Arial"/>
          <w:sz w:val="24"/>
          <w:szCs w:val="24"/>
        </w:rPr>
      </w:pPr>
      <w:r w:rsidRPr="00631295">
        <w:rPr>
          <w:rFonts w:cs="Arial"/>
          <w:sz w:val="24"/>
          <w:szCs w:val="24"/>
        </w:rPr>
        <w:t>The relevant paragraphs of the particulars of claim, must be considered,</w:t>
      </w:r>
    </w:p>
    <w:p w14:paraId="4E23F4B8" w14:textId="77777777" w:rsidR="00F56610" w:rsidRPr="00631295" w:rsidRDefault="00F56610" w:rsidP="00F56610">
      <w:pPr>
        <w:pStyle w:val="MSQuote"/>
        <w:ind w:left="2438" w:hanging="567"/>
        <w:rPr>
          <w:rFonts w:cs="Arial"/>
          <w:sz w:val="24"/>
          <w:szCs w:val="24"/>
        </w:rPr>
      </w:pPr>
      <w:r w:rsidRPr="00631295">
        <w:rPr>
          <w:rFonts w:cs="Arial"/>
          <w:sz w:val="24"/>
          <w:szCs w:val="24"/>
        </w:rPr>
        <w:t>“5.</w:t>
      </w:r>
      <w:r w:rsidRPr="00631295">
        <w:rPr>
          <w:rFonts w:cs="Arial"/>
          <w:sz w:val="24"/>
          <w:szCs w:val="24"/>
        </w:rPr>
        <w:tab/>
        <w:t>The aforegoing injuries were caused solely as a result of the negligence of the defendant and /or its agents, who were negligent in one or more of the following respects:</w:t>
      </w:r>
    </w:p>
    <w:p w14:paraId="54700C30" w14:textId="03AFCBC5" w:rsidR="00F56610" w:rsidRPr="00631295" w:rsidRDefault="00F56610" w:rsidP="00F56610">
      <w:pPr>
        <w:pStyle w:val="MSQuote"/>
        <w:ind w:left="3600" w:hanging="1134"/>
        <w:rPr>
          <w:rFonts w:cs="Arial"/>
          <w:sz w:val="24"/>
          <w:szCs w:val="24"/>
        </w:rPr>
      </w:pPr>
      <w:r w:rsidRPr="00631295">
        <w:rPr>
          <w:rFonts w:cs="Arial"/>
          <w:sz w:val="24"/>
          <w:szCs w:val="24"/>
        </w:rPr>
        <w:t xml:space="preserve">5.1 </w:t>
      </w:r>
      <w:r w:rsidRPr="00631295">
        <w:rPr>
          <w:rFonts w:cs="Arial"/>
          <w:sz w:val="24"/>
          <w:szCs w:val="24"/>
        </w:rPr>
        <w:tab/>
        <w:t xml:space="preserve">By failing to keep the train under proper </w:t>
      </w:r>
      <w:r w:rsidR="00DD36F7" w:rsidRPr="00631295">
        <w:rPr>
          <w:rFonts w:cs="Arial"/>
          <w:sz w:val="24"/>
          <w:szCs w:val="24"/>
        </w:rPr>
        <w:t>control.</w:t>
      </w:r>
    </w:p>
    <w:p w14:paraId="69906301" w14:textId="5E8EA924" w:rsidR="00F56610" w:rsidRPr="00631295" w:rsidRDefault="00F56610" w:rsidP="00F56610">
      <w:pPr>
        <w:pStyle w:val="MSQuote"/>
        <w:ind w:left="3005" w:hanging="539"/>
        <w:rPr>
          <w:rFonts w:cs="Arial"/>
          <w:sz w:val="24"/>
          <w:szCs w:val="24"/>
        </w:rPr>
      </w:pPr>
      <w:r w:rsidRPr="00631295">
        <w:rPr>
          <w:rFonts w:cs="Arial"/>
          <w:sz w:val="24"/>
          <w:szCs w:val="24"/>
        </w:rPr>
        <w:t xml:space="preserve">5.2 </w:t>
      </w:r>
      <w:r w:rsidRPr="00631295">
        <w:rPr>
          <w:rFonts w:cs="Arial"/>
          <w:sz w:val="24"/>
          <w:szCs w:val="24"/>
        </w:rPr>
        <w:tab/>
        <w:t xml:space="preserve">allowing the train to have open doors whilst it was not at the train </w:t>
      </w:r>
      <w:r w:rsidR="00DD36F7" w:rsidRPr="00631295">
        <w:rPr>
          <w:rFonts w:cs="Arial"/>
          <w:sz w:val="24"/>
          <w:szCs w:val="24"/>
        </w:rPr>
        <w:t>platform,</w:t>
      </w:r>
      <w:r w:rsidRPr="00631295">
        <w:rPr>
          <w:rFonts w:cs="Arial"/>
          <w:sz w:val="24"/>
          <w:szCs w:val="24"/>
        </w:rPr>
        <w:t xml:space="preserve"> and it was in </w:t>
      </w:r>
      <w:r w:rsidR="00DD36F7" w:rsidRPr="00631295">
        <w:rPr>
          <w:rFonts w:cs="Arial"/>
          <w:sz w:val="24"/>
          <w:szCs w:val="24"/>
        </w:rPr>
        <w:t>motion.</w:t>
      </w:r>
    </w:p>
    <w:p w14:paraId="633307D6" w14:textId="4334DFE7" w:rsidR="00F56610" w:rsidRPr="00631295" w:rsidRDefault="00F56610" w:rsidP="00F56610">
      <w:pPr>
        <w:pStyle w:val="MSQuote"/>
        <w:ind w:left="3005" w:hanging="539"/>
        <w:rPr>
          <w:rFonts w:cs="Arial"/>
          <w:sz w:val="24"/>
          <w:szCs w:val="24"/>
        </w:rPr>
      </w:pPr>
      <w:r w:rsidRPr="00631295">
        <w:rPr>
          <w:rFonts w:cs="Arial"/>
          <w:sz w:val="24"/>
          <w:szCs w:val="24"/>
        </w:rPr>
        <w:t>5.3</w:t>
      </w:r>
      <w:r w:rsidRPr="00631295">
        <w:rPr>
          <w:rFonts w:cs="Arial"/>
          <w:sz w:val="24"/>
          <w:szCs w:val="24"/>
        </w:rPr>
        <w:tab/>
        <w:t xml:space="preserve">By failing to maintain the safety of the passengers of the train as a result the plaintiff sustained </w:t>
      </w:r>
      <w:r w:rsidR="00DD36F7" w:rsidRPr="00631295">
        <w:rPr>
          <w:rFonts w:cs="Arial"/>
          <w:sz w:val="24"/>
          <w:szCs w:val="24"/>
        </w:rPr>
        <w:t>injuries.</w:t>
      </w:r>
    </w:p>
    <w:p w14:paraId="37C07ADA" w14:textId="36F5C21B" w:rsidR="00F56610" w:rsidRPr="00631295" w:rsidRDefault="00F56610" w:rsidP="00F56610">
      <w:pPr>
        <w:pStyle w:val="MSQuote"/>
        <w:rPr>
          <w:rFonts w:cs="Arial"/>
          <w:sz w:val="24"/>
          <w:szCs w:val="24"/>
        </w:rPr>
      </w:pPr>
      <w:r w:rsidRPr="00631295">
        <w:rPr>
          <w:rFonts w:cs="Arial"/>
          <w:sz w:val="24"/>
          <w:szCs w:val="24"/>
        </w:rPr>
        <w:tab/>
        <w:t>5.4</w:t>
      </w:r>
      <w:r w:rsidRPr="00631295">
        <w:rPr>
          <w:rFonts w:cs="Arial"/>
          <w:sz w:val="24"/>
          <w:szCs w:val="24"/>
        </w:rPr>
        <w:tab/>
        <w:t xml:space="preserve">by allowing the train to be </w:t>
      </w:r>
      <w:r w:rsidR="00DD36F7" w:rsidRPr="00631295">
        <w:rPr>
          <w:rFonts w:cs="Arial"/>
          <w:sz w:val="24"/>
          <w:szCs w:val="24"/>
        </w:rPr>
        <w:t>overcrowded.</w:t>
      </w:r>
    </w:p>
    <w:p w14:paraId="6E35DC6D" w14:textId="77777777" w:rsidR="00F56610" w:rsidRPr="00631295" w:rsidRDefault="00F56610" w:rsidP="00F56610">
      <w:pPr>
        <w:pStyle w:val="MSQuote"/>
        <w:ind w:left="3005" w:hanging="1134"/>
        <w:rPr>
          <w:rFonts w:cs="Arial"/>
          <w:sz w:val="24"/>
          <w:szCs w:val="24"/>
        </w:rPr>
      </w:pPr>
      <w:r w:rsidRPr="00631295">
        <w:rPr>
          <w:rFonts w:cs="Arial"/>
          <w:sz w:val="24"/>
          <w:szCs w:val="24"/>
        </w:rPr>
        <w:tab/>
        <w:t>5.5</w:t>
      </w:r>
      <w:r w:rsidRPr="00631295">
        <w:rPr>
          <w:rFonts w:cs="Arial"/>
          <w:sz w:val="24"/>
          <w:szCs w:val="24"/>
        </w:rPr>
        <w:tab/>
        <w:t>by failing to properly ensure the safety of the passengers.</w:t>
      </w:r>
    </w:p>
    <w:p w14:paraId="23563CA2" w14:textId="43A7C0D1" w:rsidR="00F56610" w:rsidRPr="00631295" w:rsidRDefault="00F56610" w:rsidP="00F56610">
      <w:pPr>
        <w:pStyle w:val="MSQuote"/>
        <w:ind w:left="3005" w:hanging="1134"/>
        <w:rPr>
          <w:rFonts w:cs="Arial"/>
          <w:sz w:val="24"/>
          <w:szCs w:val="24"/>
        </w:rPr>
      </w:pPr>
      <w:r w:rsidRPr="00631295">
        <w:rPr>
          <w:rFonts w:cs="Arial"/>
          <w:sz w:val="24"/>
          <w:szCs w:val="24"/>
        </w:rPr>
        <w:tab/>
        <w:t>5.6</w:t>
      </w:r>
      <w:r w:rsidRPr="00631295">
        <w:rPr>
          <w:rFonts w:cs="Arial"/>
          <w:sz w:val="24"/>
          <w:szCs w:val="24"/>
        </w:rPr>
        <w:tab/>
        <w:t xml:space="preserve">By failing to </w:t>
      </w:r>
      <w:r w:rsidR="00DD36F7" w:rsidRPr="00631295">
        <w:rPr>
          <w:rFonts w:cs="Arial"/>
          <w:sz w:val="24"/>
          <w:szCs w:val="24"/>
        </w:rPr>
        <w:t>safeguard</w:t>
      </w:r>
      <w:r w:rsidRPr="00631295">
        <w:rPr>
          <w:rFonts w:cs="Arial"/>
          <w:sz w:val="24"/>
          <w:szCs w:val="24"/>
        </w:rPr>
        <w:t xml:space="preserve"> the well-being of the passengers in general, in particular the plaintiff when by exercise of due and reasonable care the defendant could and should have done so.</w:t>
      </w:r>
    </w:p>
    <w:p w14:paraId="3E60D038" w14:textId="77777777" w:rsidR="00F56610" w:rsidRPr="00631295" w:rsidRDefault="00F56610" w:rsidP="00F56610">
      <w:pPr>
        <w:pStyle w:val="MSQuote"/>
        <w:ind w:left="3005" w:hanging="1134"/>
        <w:rPr>
          <w:rFonts w:cs="Arial"/>
          <w:i w:val="0"/>
          <w:iCs w:val="0"/>
          <w:sz w:val="24"/>
          <w:szCs w:val="24"/>
        </w:rPr>
      </w:pPr>
      <w:r w:rsidRPr="00631295">
        <w:rPr>
          <w:rFonts w:cs="Arial"/>
          <w:sz w:val="24"/>
          <w:szCs w:val="24"/>
        </w:rPr>
        <w:tab/>
        <w:t>5.7</w:t>
      </w:r>
      <w:r w:rsidRPr="00631295">
        <w:rPr>
          <w:rFonts w:cs="Arial"/>
          <w:sz w:val="24"/>
          <w:szCs w:val="24"/>
        </w:rPr>
        <w:tab/>
        <w:t xml:space="preserve">By failing to maintain the train and keep it in good condition.” </w:t>
      </w:r>
    </w:p>
    <w:p w14:paraId="2320C51E" w14:textId="5B39A117" w:rsidR="00F56610" w:rsidRPr="00631295" w:rsidRDefault="00F56610" w:rsidP="00F56610">
      <w:pPr>
        <w:pStyle w:val="ListLevel1"/>
        <w:rPr>
          <w:rFonts w:cs="Arial"/>
          <w:sz w:val="24"/>
          <w:szCs w:val="24"/>
        </w:rPr>
      </w:pPr>
      <w:r w:rsidRPr="00631295">
        <w:rPr>
          <w:rFonts w:cs="Arial"/>
          <w:sz w:val="24"/>
          <w:szCs w:val="24"/>
        </w:rPr>
        <w:lastRenderedPageBreak/>
        <w:t xml:space="preserve">Mr Mtombeni informed the court that those were the allegations that the </w:t>
      </w:r>
      <w:r w:rsidR="00596901" w:rsidRPr="00631295">
        <w:rPr>
          <w:rFonts w:cs="Arial"/>
          <w:sz w:val="24"/>
          <w:szCs w:val="24"/>
        </w:rPr>
        <w:t xml:space="preserve">appellant </w:t>
      </w:r>
      <w:r w:rsidRPr="00631295">
        <w:rPr>
          <w:rFonts w:cs="Arial"/>
          <w:sz w:val="24"/>
          <w:szCs w:val="24"/>
        </w:rPr>
        <w:t>relied on to prove negligence.</w:t>
      </w:r>
      <w:r w:rsidRPr="00631295">
        <w:rPr>
          <w:rStyle w:val="FootnoteReference"/>
          <w:rFonts w:cs="Arial"/>
          <w:sz w:val="24"/>
          <w:szCs w:val="24"/>
        </w:rPr>
        <w:footnoteReference w:id="1"/>
      </w:r>
      <w:r w:rsidRPr="00631295">
        <w:rPr>
          <w:rFonts w:cs="Arial"/>
          <w:sz w:val="24"/>
          <w:szCs w:val="24"/>
        </w:rPr>
        <w:t xml:space="preserve">  </w:t>
      </w:r>
    </w:p>
    <w:p w14:paraId="3B36E265" w14:textId="77777777" w:rsidR="00F56610" w:rsidRPr="00631295" w:rsidRDefault="00F56610" w:rsidP="00F56610">
      <w:pPr>
        <w:pStyle w:val="ListLevel1"/>
        <w:rPr>
          <w:rFonts w:cs="Arial"/>
          <w:sz w:val="24"/>
          <w:szCs w:val="24"/>
        </w:rPr>
      </w:pPr>
      <w:r w:rsidRPr="00631295">
        <w:rPr>
          <w:rFonts w:cs="Arial"/>
          <w:sz w:val="24"/>
          <w:szCs w:val="24"/>
        </w:rPr>
        <w:t>He argued that the pleadings as set out must be read in the context of what is “commonsensical” as espoused in the judgment in Mashongwa</w:t>
      </w:r>
      <w:r w:rsidRPr="00631295">
        <w:rPr>
          <w:rStyle w:val="FootnoteReference"/>
          <w:rFonts w:cs="Arial"/>
          <w:sz w:val="24"/>
          <w:szCs w:val="24"/>
        </w:rPr>
        <w:footnoteReference w:id="2"/>
      </w:r>
      <w:r w:rsidRPr="00631295">
        <w:rPr>
          <w:rFonts w:cs="Arial"/>
          <w:sz w:val="24"/>
          <w:szCs w:val="24"/>
        </w:rPr>
        <w:t>, where the court stated at [52],</w:t>
      </w:r>
    </w:p>
    <w:p w14:paraId="43981602" w14:textId="62AB67A1" w:rsidR="00F56610" w:rsidRPr="00631295" w:rsidRDefault="00F56610" w:rsidP="00F56610">
      <w:pPr>
        <w:pStyle w:val="MSQuote"/>
        <w:tabs>
          <w:tab w:val="clear" w:pos="2438"/>
          <w:tab w:val="left" w:pos="1985"/>
        </w:tabs>
        <w:ind w:left="1985" w:hanging="1985"/>
        <w:rPr>
          <w:rFonts w:cs="Arial"/>
          <w:sz w:val="24"/>
          <w:szCs w:val="24"/>
        </w:rPr>
      </w:pPr>
      <w:r w:rsidRPr="00631295">
        <w:rPr>
          <w:rFonts w:cs="Arial"/>
          <w:sz w:val="24"/>
          <w:szCs w:val="24"/>
        </w:rPr>
        <w:tab/>
        <w:t>‘It is also comm</w:t>
      </w:r>
      <w:r w:rsidR="00F3435C" w:rsidRPr="00631295">
        <w:rPr>
          <w:rFonts w:cs="Arial"/>
          <w:sz w:val="24"/>
          <w:szCs w:val="24"/>
        </w:rPr>
        <w:t>o</w:t>
      </w:r>
      <w:r w:rsidRPr="00631295">
        <w:rPr>
          <w:rFonts w:cs="Arial"/>
          <w:sz w:val="24"/>
          <w:szCs w:val="24"/>
        </w:rPr>
        <w:t xml:space="preserve">nsensical that keeping the doors of a moving train closed is an essential safety procedure.  Mr Mashongwa would probably not have sustained the injuries that culminated in the amputation of his leg, had Prasa ensured that the doors of the coach in which he was were closed while the train was in motion.  It was thus negligent of Prasa not to observe a basic safety-critical practice of keeping the coach doors closed while the train was in motion, and therefor reasonable to impose liability for damages on </w:t>
      </w:r>
      <w:r w:rsidR="00121EA2" w:rsidRPr="00631295">
        <w:rPr>
          <w:rFonts w:cs="Arial"/>
          <w:sz w:val="24"/>
          <w:szCs w:val="24"/>
        </w:rPr>
        <w:t>it if</w:t>
      </w:r>
      <w:r w:rsidRPr="00631295">
        <w:rPr>
          <w:rFonts w:cs="Arial"/>
          <w:sz w:val="24"/>
          <w:szCs w:val="24"/>
        </w:rPr>
        <w:t xml:space="preserve"> other elements are proved.”</w:t>
      </w:r>
    </w:p>
    <w:p w14:paraId="3C9111FC" w14:textId="748568CA" w:rsidR="00F56610" w:rsidRPr="00631295" w:rsidRDefault="00F56610" w:rsidP="00F56610">
      <w:pPr>
        <w:pStyle w:val="ListLevel1"/>
        <w:rPr>
          <w:rFonts w:cs="Arial"/>
          <w:sz w:val="24"/>
          <w:szCs w:val="24"/>
        </w:rPr>
      </w:pPr>
      <w:r w:rsidRPr="00631295">
        <w:rPr>
          <w:rFonts w:cs="Arial"/>
          <w:sz w:val="24"/>
          <w:szCs w:val="24"/>
        </w:rPr>
        <w:t xml:space="preserve">It was not disputed that the </w:t>
      </w:r>
      <w:r w:rsidR="004473F2" w:rsidRPr="00631295">
        <w:rPr>
          <w:rFonts w:cs="Arial"/>
          <w:sz w:val="24"/>
          <w:szCs w:val="24"/>
        </w:rPr>
        <w:t>appellant</w:t>
      </w:r>
      <w:r w:rsidRPr="00631295">
        <w:rPr>
          <w:rFonts w:cs="Arial"/>
          <w:sz w:val="24"/>
          <w:szCs w:val="24"/>
        </w:rPr>
        <w:t xml:space="preserve"> alighted a train after work in Booysens and was returning home to Vereeniging, and that she changed trains at the New Canada station.  It is common cause that she was to pass several stations before she reached her destination.  </w:t>
      </w:r>
    </w:p>
    <w:p w14:paraId="246BC06C" w14:textId="77777777" w:rsidR="00F56610" w:rsidRPr="00631295" w:rsidRDefault="00F56610" w:rsidP="00F56610">
      <w:pPr>
        <w:pStyle w:val="ListLevel1"/>
        <w:rPr>
          <w:rFonts w:cs="Arial"/>
          <w:sz w:val="24"/>
          <w:szCs w:val="24"/>
        </w:rPr>
      </w:pPr>
      <w:r w:rsidRPr="00631295">
        <w:rPr>
          <w:rFonts w:cs="Arial"/>
          <w:sz w:val="24"/>
          <w:szCs w:val="24"/>
        </w:rPr>
        <w:t xml:space="preserve">During argument Mr Mtombeni submitted that </w:t>
      </w:r>
      <w:r w:rsidRPr="00631295">
        <w:rPr>
          <w:rStyle w:val="FootnoteReference"/>
          <w:rFonts w:cs="Arial"/>
          <w:sz w:val="24"/>
          <w:szCs w:val="24"/>
        </w:rPr>
        <w:footnoteReference w:id="3"/>
      </w:r>
      <w:r w:rsidRPr="00631295">
        <w:rPr>
          <w:rFonts w:cs="Arial"/>
          <w:sz w:val="24"/>
          <w:szCs w:val="24"/>
        </w:rPr>
        <w:t xml:space="preserve">, </w:t>
      </w:r>
    </w:p>
    <w:p w14:paraId="54C1BAD6" w14:textId="3F4BA895" w:rsidR="00F56610" w:rsidRPr="00631295" w:rsidRDefault="00F56610" w:rsidP="00F56610">
      <w:pPr>
        <w:pStyle w:val="MSQuote"/>
        <w:rPr>
          <w:rFonts w:cs="Arial"/>
          <w:sz w:val="24"/>
          <w:szCs w:val="24"/>
        </w:rPr>
      </w:pPr>
      <w:r w:rsidRPr="00631295">
        <w:rPr>
          <w:rFonts w:cs="Arial"/>
          <w:sz w:val="24"/>
          <w:szCs w:val="24"/>
        </w:rPr>
        <w:t xml:space="preserve">“there was no way she could keep her balance because there was a huge group of people pushing from </w:t>
      </w:r>
      <w:r w:rsidR="00DD36F7" w:rsidRPr="00631295">
        <w:rPr>
          <w:rFonts w:cs="Arial"/>
          <w:sz w:val="24"/>
          <w:szCs w:val="24"/>
        </w:rPr>
        <w:t>behind,</w:t>
      </w:r>
      <w:r w:rsidRPr="00631295">
        <w:rPr>
          <w:rFonts w:cs="Arial"/>
          <w:sz w:val="24"/>
          <w:szCs w:val="24"/>
        </w:rPr>
        <w:t xml:space="preserve"> she lost her balance as a result.  Had the train doors been closed that would </w:t>
      </w:r>
      <w:r w:rsidRPr="00631295">
        <w:rPr>
          <w:rFonts w:cs="Arial"/>
          <w:sz w:val="24"/>
          <w:szCs w:val="24"/>
        </w:rPr>
        <w:lastRenderedPageBreak/>
        <w:t>not have happened,</w:t>
      </w:r>
      <w:r w:rsidR="00BD221D" w:rsidRPr="00631295">
        <w:rPr>
          <w:rFonts w:cs="Arial"/>
          <w:sz w:val="24"/>
          <w:szCs w:val="24"/>
        </w:rPr>
        <w:t xml:space="preserve"> …”</w:t>
      </w:r>
      <w:r w:rsidRPr="00631295">
        <w:rPr>
          <w:rFonts w:cs="Arial"/>
          <w:sz w:val="24"/>
          <w:szCs w:val="24"/>
        </w:rPr>
        <w:t xml:space="preserve"> </w:t>
      </w:r>
    </w:p>
    <w:p w14:paraId="7F58DC90" w14:textId="7EDACB18" w:rsidR="00F56610" w:rsidRPr="00631295" w:rsidRDefault="00F56610" w:rsidP="00F56610">
      <w:pPr>
        <w:pStyle w:val="MSQuote"/>
        <w:rPr>
          <w:rFonts w:cs="Arial"/>
          <w:sz w:val="24"/>
          <w:szCs w:val="24"/>
        </w:rPr>
      </w:pPr>
      <w:r w:rsidRPr="00631295">
        <w:rPr>
          <w:rFonts w:cs="Arial"/>
          <w:sz w:val="24"/>
          <w:szCs w:val="24"/>
        </w:rPr>
        <w:t>…. Fact is</w:t>
      </w:r>
      <w:r w:rsidRPr="00631295">
        <w:rPr>
          <w:rStyle w:val="FootnoteReference"/>
          <w:rFonts w:cs="Arial"/>
          <w:sz w:val="24"/>
          <w:szCs w:val="24"/>
        </w:rPr>
        <w:footnoteReference w:id="4"/>
      </w:r>
      <w:r w:rsidRPr="00631295">
        <w:rPr>
          <w:rFonts w:cs="Arial"/>
          <w:sz w:val="24"/>
          <w:szCs w:val="24"/>
        </w:rPr>
        <w:t xml:space="preserve"> that they allowed that particular train to take its journey while </w:t>
      </w:r>
      <w:r w:rsidR="00DD36F7" w:rsidRPr="00631295">
        <w:rPr>
          <w:rFonts w:cs="Arial"/>
          <w:sz w:val="24"/>
          <w:szCs w:val="24"/>
        </w:rPr>
        <w:t>crowded,</w:t>
      </w:r>
      <w:r w:rsidRPr="00631295">
        <w:rPr>
          <w:rFonts w:cs="Arial"/>
          <w:sz w:val="24"/>
          <w:szCs w:val="24"/>
        </w:rPr>
        <w:t xml:space="preserve"> with doors open and on that particular coach there was no security guards as the plaintiff testified, that at New Canada station where she boarded the </w:t>
      </w:r>
      <w:r w:rsidR="00DD36F7" w:rsidRPr="00631295">
        <w:rPr>
          <w:rFonts w:cs="Arial"/>
          <w:sz w:val="24"/>
          <w:szCs w:val="24"/>
        </w:rPr>
        <w:t>train,</w:t>
      </w:r>
      <w:r w:rsidRPr="00631295">
        <w:rPr>
          <w:rFonts w:cs="Arial"/>
          <w:sz w:val="24"/>
          <w:szCs w:val="24"/>
        </w:rPr>
        <w:t xml:space="preserve"> she did not see any security guard.</w:t>
      </w:r>
    </w:p>
    <w:p w14:paraId="6A7C6286" w14:textId="77777777" w:rsidR="00F56610" w:rsidRPr="00631295" w:rsidRDefault="00F56610" w:rsidP="00F56610">
      <w:pPr>
        <w:pStyle w:val="MSQuote"/>
        <w:rPr>
          <w:rFonts w:cs="Arial"/>
          <w:sz w:val="24"/>
          <w:szCs w:val="24"/>
        </w:rPr>
      </w:pPr>
      <w:r w:rsidRPr="00631295">
        <w:rPr>
          <w:rFonts w:cs="Arial"/>
          <w:sz w:val="24"/>
          <w:szCs w:val="24"/>
        </w:rPr>
        <w:t>M’Lady</w:t>
      </w:r>
      <w:r w:rsidRPr="00631295">
        <w:rPr>
          <w:rStyle w:val="FootnoteReference"/>
          <w:rFonts w:cs="Arial"/>
          <w:sz w:val="24"/>
          <w:szCs w:val="24"/>
        </w:rPr>
        <w:footnoteReference w:id="5"/>
      </w:r>
      <w:r w:rsidRPr="00631295">
        <w:rPr>
          <w:rFonts w:cs="Arial"/>
          <w:sz w:val="24"/>
          <w:szCs w:val="24"/>
        </w:rPr>
        <w:t xml:space="preserve"> I want to go back to the to emphasise on the point of the open doors.  The form of breach in this regard is gross negligence, for them to allow the train to be in motion with the door open. </w:t>
      </w:r>
    </w:p>
    <w:p w14:paraId="40DC8E71" w14:textId="77777777" w:rsidR="00F56610" w:rsidRPr="00631295" w:rsidRDefault="00F56610" w:rsidP="00F56610">
      <w:pPr>
        <w:pStyle w:val="MSQuote"/>
        <w:rPr>
          <w:rFonts w:cs="Arial"/>
          <w:sz w:val="24"/>
          <w:szCs w:val="24"/>
        </w:rPr>
      </w:pPr>
      <w:r w:rsidRPr="00631295">
        <w:rPr>
          <w:rFonts w:cs="Arial"/>
          <w:sz w:val="24"/>
          <w:szCs w:val="24"/>
        </w:rPr>
        <w:t xml:space="preserve"> M’Lady</w:t>
      </w:r>
      <w:r w:rsidRPr="00631295">
        <w:rPr>
          <w:rStyle w:val="FootnoteReference"/>
          <w:rFonts w:cs="Arial"/>
          <w:sz w:val="24"/>
          <w:szCs w:val="24"/>
        </w:rPr>
        <w:footnoteReference w:id="6"/>
      </w:r>
      <w:r w:rsidRPr="00631295">
        <w:rPr>
          <w:rFonts w:cs="Arial"/>
          <w:sz w:val="24"/>
          <w:szCs w:val="24"/>
        </w:rPr>
        <w:t xml:space="preserve"> it is clear from that protection that ensuring that the doors are closed while the train is in motion is a precautionary measure that PRASA must take every time when they operate their service.  </w:t>
      </w:r>
    </w:p>
    <w:p w14:paraId="68514C28" w14:textId="5D511475" w:rsidR="00F56610" w:rsidRPr="00631295" w:rsidRDefault="00F56610" w:rsidP="00F56610">
      <w:pPr>
        <w:pStyle w:val="MSQuote"/>
        <w:rPr>
          <w:rFonts w:cs="Arial"/>
          <w:sz w:val="24"/>
          <w:szCs w:val="24"/>
        </w:rPr>
      </w:pPr>
      <w:r w:rsidRPr="00631295">
        <w:rPr>
          <w:rFonts w:cs="Arial"/>
          <w:sz w:val="24"/>
          <w:szCs w:val="24"/>
        </w:rPr>
        <w:t>M Lady</w:t>
      </w:r>
      <w:r w:rsidRPr="00631295">
        <w:rPr>
          <w:rStyle w:val="FootnoteReference"/>
          <w:rFonts w:cs="Arial"/>
          <w:sz w:val="24"/>
          <w:szCs w:val="24"/>
        </w:rPr>
        <w:footnoteReference w:id="7"/>
      </w:r>
      <w:r w:rsidRPr="00631295">
        <w:rPr>
          <w:rFonts w:cs="Arial"/>
          <w:sz w:val="24"/>
          <w:szCs w:val="24"/>
        </w:rPr>
        <w:t xml:space="preserve"> as like in the plaintiff’s case PRASA failed to take reasonable steps to prevent harm from occurring </w:t>
      </w:r>
      <w:r w:rsidR="008643A5" w:rsidRPr="00631295">
        <w:rPr>
          <w:rFonts w:cs="Arial"/>
          <w:sz w:val="24"/>
          <w:szCs w:val="24"/>
        </w:rPr>
        <w:t xml:space="preserve">harm </w:t>
      </w:r>
      <w:r w:rsidRPr="00631295">
        <w:rPr>
          <w:rFonts w:cs="Arial"/>
          <w:sz w:val="24"/>
          <w:szCs w:val="24"/>
        </w:rPr>
        <w:t xml:space="preserve">in the form of plaintiff falling and getting injured.  By taking simple steps, M Lady, of ensuring that from every station before the train continues its journey the doors must be closed, that they failed to do.  And that had they had a security guard he would have alerted the driver that there are certain doors that are not closed while the train was in motion. </w:t>
      </w:r>
    </w:p>
    <w:p w14:paraId="11E382D6" w14:textId="43C98890" w:rsidR="00F56610" w:rsidRPr="00631295" w:rsidRDefault="00F56610" w:rsidP="00F56610">
      <w:pPr>
        <w:pStyle w:val="ListLevel1"/>
        <w:rPr>
          <w:rFonts w:cs="Arial"/>
          <w:sz w:val="24"/>
          <w:szCs w:val="24"/>
        </w:rPr>
      </w:pPr>
      <w:r w:rsidRPr="00631295">
        <w:rPr>
          <w:rFonts w:cs="Arial"/>
          <w:sz w:val="24"/>
          <w:szCs w:val="24"/>
        </w:rPr>
        <w:t xml:space="preserve">Counsel’s argument traverses the </w:t>
      </w:r>
      <w:r w:rsidR="004473F2" w:rsidRPr="00631295">
        <w:rPr>
          <w:rFonts w:cs="Arial"/>
          <w:sz w:val="24"/>
          <w:szCs w:val="24"/>
        </w:rPr>
        <w:t>respondent</w:t>
      </w:r>
      <w:r w:rsidRPr="00631295">
        <w:rPr>
          <w:rFonts w:cs="Arial"/>
          <w:sz w:val="24"/>
          <w:szCs w:val="24"/>
        </w:rPr>
        <w:t xml:space="preserve">’s legal duty and its omission, albeit that he does so only in the argument.   I could find nothing on the record that he </w:t>
      </w:r>
      <w:r w:rsidR="008643A5" w:rsidRPr="00631295">
        <w:rPr>
          <w:rFonts w:cs="Arial"/>
          <w:sz w:val="24"/>
          <w:szCs w:val="24"/>
        </w:rPr>
        <w:t xml:space="preserve">changed tack when he heard the respondent’s </w:t>
      </w:r>
      <w:r w:rsidR="008643A5" w:rsidRPr="00631295">
        <w:rPr>
          <w:rFonts w:cs="Arial"/>
          <w:sz w:val="24"/>
          <w:szCs w:val="24"/>
        </w:rPr>
        <w:lastRenderedPageBreak/>
        <w:t>submissions.</w:t>
      </w:r>
      <w:r w:rsidR="00A05591" w:rsidRPr="00631295">
        <w:rPr>
          <w:rStyle w:val="FootnoteReference"/>
          <w:rFonts w:cs="Arial"/>
          <w:sz w:val="24"/>
          <w:szCs w:val="24"/>
        </w:rPr>
        <w:footnoteReference w:id="8"/>
      </w:r>
      <w:r w:rsidRPr="00631295">
        <w:rPr>
          <w:rFonts w:cs="Arial"/>
          <w:sz w:val="24"/>
          <w:szCs w:val="24"/>
        </w:rPr>
        <w:t xml:space="preserve">  His argument obviously </w:t>
      </w:r>
      <w:r w:rsidR="00121EA2" w:rsidRPr="00631295">
        <w:rPr>
          <w:rFonts w:cs="Arial"/>
          <w:sz w:val="24"/>
          <w:szCs w:val="24"/>
        </w:rPr>
        <w:t>followed</w:t>
      </w:r>
      <w:r w:rsidR="00B13E97" w:rsidRPr="00631295">
        <w:rPr>
          <w:rFonts w:cs="Arial"/>
          <w:sz w:val="24"/>
          <w:szCs w:val="24"/>
        </w:rPr>
        <w:t xml:space="preserve"> </w:t>
      </w:r>
      <w:r w:rsidRPr="00631295">
        <w:rPr>
          <w:rFonts w:cs="Arial"/>
          <w:sz w:val="24"/>
          <w:szCs w:val="24"/>
        </w:rPr>
        <w:t xml:space="preserve">the cross examination of the </w:t>
      </w:r>
      <w:r w:rsidR="00B13E97" w:rsidRPr="00631295">
        <w:rPr>
          <w:rFonts w:cs="Arial"/>
          <w:sz w:val="24"/>
          <w:szCs w:val="24"/>
        </w:rPr>
        <w:t>appellant</w:t>
      </w:r>
      <w:r w:rsidRPr="00631295">
        <w:rPr>
          <w:rFonts w:cs="Arial"/>
          <w:sz w:val="24"/>
          <w:szCs w:val="24"/>
        </w:rPr>
        <w:t>.</w:t>
      </w:r>
      <w:r w:rsidR="00596901" w:rsidRPr="00631295">
        <w:rPr>
          <w:rFonts w:cs="Arial"/>
          <w:sz w:val="24"/>
          <w:szCs w:val="24"/>
        </w:rPr>
        <w:t xml:space="preserve">  The argument supported his pleadings.</w:t>
      </w:r>
    </w:p>
    <w:p w14:paraId="1F4BE35D" w14:textId="5B4E47AE" w:rsidR="00F56610" w:rsidRPr="00631295" w:rsidRDefault="00F56610" w:rsidP="00F56610">
      <w:pPr>
        <w:pStyle w:val="ListLevel1"/>
        <w:rPr>
          <w:rFonts w:cs="Arial"/>
          <w:sz w:val="24"/>
          <w:szCs w:val="24"/>
        </w:rPr>
      </w:pPr>
      <w:r w:rsidRPr="00631295">
        <w:rPr>
          <w:rFonts w:cs="Arial"/>
          <w:sz w:val="24"/>
          <w:szCs w:val="24"/>
        </w:rPr>
        <w:t xml:space="preserve">Counsel submitted that the court placed too high a burden on the </w:t>
      </w:r>
      <w:r w:rsidR="00A05591" w:rsidRPr="00631295">
        <w:rPr>
          <w:rFonts w:cs="Arial"/>
          <w:sz w:val="24"/>
          <w:szCs w:val="24"/>
        </w:rPr>
        <w:t>appellant</w:t>
      </w:r>
      <w:r w:rsidRPr="00631295">
        <w:rPr>
          <w:rFonts w:cs="Arial"/>
          <w:sz w:val="24"/>
          <w:szCs w:val="24"/>
        </w:rPr>
        <w:t>, when it required her to know:</w:t>
      </w:r>
    </w:p>
    <w:p w14:paraId="3D5E3097" w14:textId="77777777" w:rsidR="00F56610" w:rsidRPr="00631295" w:rsidRDefault="00F56610" w:rsidP="00F56610">
      <w:pPr>
        <w:pStyle w:val="ListLevel2"/>
        <w:rPr>
          <w:rFonts w:cs="Arial"/>
          <w:sz w:val="24"/>
          <w:szCs w:val="24"/>
        </w:rPr>
      </w:pPr>
      <w:r w:rsidRPr="00631295">
        <w:rPr>
          <w:rFonts w:cs="Arial"/>
          <w:sz w:val="24"/>
          <w:szCs w:val="24"/>
        </w:rPr>
        <w:tab/>
        <w:t xml:space="preserve">how many passengers were in the coach, or </w:t>
      </w:r>
    </w:p>
    <w:p w14:paraId="617AE779" w14:textId="77777777" w:rsidR="00F56610" w:rsidRPr="00631295" w:rsidRDefault="00F56610" w:rsidP="00F56610">
      <w:pPr>
        <w:pStyle w:val="ListLevel2"/>
        <w:rPr>
          <w:rFonts w:cs="Arial"/>
          <w:sz w:val="24"/>
          <w:szCs w:val="24"/>
        </w:rPr>
      </w:pPr>
      <w:r w:rsidRPr="00631295">
        <w:rPr>
          <w:rFonts w:cs="Arial"/>
          <w:sz w:val="24"/>
          <w:szCs w:val="24"/>
        </w:rPr>
        <w:tab/>
        <w:t xml:space="preserve">how many people from behind her fell on her.  </w:t>
      </w:r>
    </w:p>
    <w:p w14:paraId="430EE5E6" w14:textId="7BE550BD" w:rsidR="00F56610" w:rsidRPr="00631295" w:rsidRDefault="00F56610" w:rsidP="00F56610">
      <w:pPr>
        <w:pStyle w:val="ListLevel2"/>
        <w:rPr>
          <w:rFonts w:cs="Arial"/>
          <w:sz w:val="24"/>
          <w:szCs w:val="24"/>
        </w:rPr>
      </w:pPr>
      <w:r w:rsidRPr="00631295">
        <w:rPr>
          <w:rFonts w:cs="Arial"/>
          <w:sz w:val="24"/>
          <w:szCs w:val="24"/>
        </w:rPr>
        <w:tab/>
        <w:t>all details of her falling, as events happened rapidly</w:t>
      </w:r>
    </w:p>
    <w:p w14:paraId="2D967356" w14:textId="51926F7A" w:rsidR="00F56610" w:rsidRPr="00631295" w:rsidRDefault="00F56610" w:rsidP="00F56610">
      <w:pPr>
        <w:pStyle w:val="ListLevel2"/>
        <w:rPr>
          <w:rFonts w:cs="Arial"/>
          <w:sz w:val="24"/>
          <w:szCs w:val="24"/>
        </w:rPr>
      </w:pPr>
      <w:r w:rsidRPr="00631295">
        <w:rPr>
          <w:rFonts w:cs="Arial"/>
          <w:sz w:val="24"/>
          <w:szCs w:val="24"/>
        </w:rPr>
        <w:tab/>
        <w:t xml:space="preserve">events </w:t>
      </w:r>
      <w:r w:rsidR="00EE3C30" w:rsidRPr="00631295">
        <w:rPr>
          <w:rFonts w:cs="Arial"/>
          <w:sz w:val="24"/>
          <w:szCs w:val="24"/>
        </w:rPr>
        <w:t>post-accident</w:t>
      </w:r>
      <w:r w:rsidRPr="00631295">
        <w:rPr>
          <w:rFonts w:cs="Arial"/>
          <w:sz w:val="24"/>
          <w:szCs w:val="24"/>
        </w:rPr>
        <w:t xml:space="preserve">, as her evidence is that when she fell onto the platform, she fainted.  When she </w:t>
      </w:r>
      <w:r w:rsidR="00BA4923" w:rsidRPr="00631295">
        <w:rPr>
          <w:rFonts w:cs="Arial"/>
          <w:sz w:val="24"/>
          <w:szCs w:val="24"/>
        </w:rPr>
        <w:t>recovered,</w:t>
      </w:r>
      <w:r w:rsidRPr="00631295">
        <w:rPr>
          <w:rFonts w:cs="Arial"/>
          <w:sz w:val="24"/>
          <w:szCs w:val="24"/>
        </w:rPr>
        <w:t xml:space="preserve"> she was told she was taken to the hospital in a private car.</w:t>
      </w:r>
      <w:r w:rsidRPr="00631295">
        <w:rPr>
          <w:rFonts w:cs="Arial"/>
          <w:sz w:val="24"/>
          <w:szCs w:val="24"/>
        </w:rPr>
        <w:tab/>
      </w:r>
    </w:p>
    <w:p w14:paraId="7FD3685B" w14:textId="63F167C7" w:rsidR="00F56610" w:rsidRPr="00631295" w:rsidRDefault="00F56610" w:rsidP="00F56610">
      <w:pPr>
        <w:pStyle w:val="ListLevel1"/>
        <w:rPr>
          <w:rFonts w:cs="Arial"/>
          <w:sz w:val="24"/>
          <w:szCs w:val="24"/>
        </w:rPr>
      </w:pPr>
      <w:r w:rsidRPr="00631295">
        <w:rPr>
          <w:rFonts w:cs="Arial"/>
          <w:sz w:val="24"/>
          <w:szCs w:val="24"/>
        </w:rPr>
        <w:t xml:space="preserve">Mr Mtombeni submitted that the court ought not to view the </w:t>
      </w:r>
      <w:r w:rsidR="00BA4923" w:rsidRPr="00631295">
        <w:rPr>
          <w:rFonts w:cs="Arial"/>
          <w:sz w:val="24"/>
          <w:szCs w:val="24"/>
        </w:rPr>
        <w:t xml:space="preserve">grounds of negligence </w:t>
      </w:r>
      <w:r w:rsidR="00B13E97" w:rsidRPr="00631295">
        <w:rPr>
          <w:rFonts w:cs="Arial"/>
          <w:sz w:val="24"/>
          <w:szCs w:val="24"/>
        </w:rPr>
        <w:t>in the particulars</w:t>
      </w:r>
      <w:r w:rsidR="005B7EC2" w:rsidRPr="00631295">
        <w:rPr>
          <w:rFonts w:cs="Arial"/>
          <w:sz w:val="24"/>
          <w:szCs w:val="24"/>
        </w:rPr>
        <w:t xml:space="preserve"> of claim</w:t>
      </w:r>
      <w:r w:rsidR="00B13E97" w:rsidRPr="00631295">
        <w:rPr>
          <w:rFonts w:cs="Arial"/>
          <w:sz w:val="24"/>
          <w:szCs w:val="24"/>
        </w:rPr>
        <w:t xml:space="preserve"> </w:t>
      </w:r>
      <w:r w:rsidRPr="00631295">
        <w:rPr>
          <w:rFonts w:cs="Arial"/>
          <w:sz w:val="24"/>
          <w:szCs w:val="24"/>
        </w:rPr>
        <w:t xml:space="preserve">in isolation or in a piecemeal fashion, but </w:t>
      </w:r>
      <w:r w:rsidR="00121EA2" w:rsidRPr="00631295">
        <w:rPr>
          <w:rFonts w:cs="Arial"/>
          <w:sz w:val="24"/>
          <w:szCs w:val="24"/>
        </w:rPr>
        <w:t>as</w:t>
      </w:r>
      <w:r w:rsidRPr="00631295">
        <w:rPr>
          <w:rFonts w:cs="Arial"/>
          <w:sz w:val="24"/>
          <w:szCs w:val="24"/>
        </w:rPr>
        <w:t xml:space="preserve"> a series of events that were inter</w:t>
      </w:r>
      <w:r w:rsidR="00B13E97" w:rsidRPr="00631295">
        <w:rPr>
          <w:rFonts w:cs="Arial"/>
          <w:sz w:val="24"/>
          <w:szCs w:val="24"/>
        </w:rPr>
        <w:t>related</w:t>
      </w:r>
      <w:r w:rsidRPr="00631295">
        <w:rPr>
          <w:rFonts w:cs="Arial"/>
          <w:sz w:val="24"/>
          <w:szCs w:val="24"/>
        </w:rPr>
        <w:t xml:space="preserve"> which caused her loss.  The doors were open because the carriage was overcrowded as there were no guards or </w:t>
      </w:r>
      <w:r w:rsidR="00A05591" w:rsidRPr="00631295">
        <w:rPr>
          <w:rFonts w:cs="Arial"/>
          <w:sz w:val="24"/>
          <w:szCs w:val="24"/>
        </w:rPr>
        <w:t xml:space="preserve">security </w:t>
      </w:r>
      <w:r w:rsidRPr="00631295">
        <w:rPr>
          <w:rFonts w:cs="Arial"/>
          <w:sz w:val="24"/>
          <w:szCs w:val="24"/>
        </w:rPr>
        <w:t>on the trains to manage the crowd’s egress and ingress</w:t>
      </w:r>
      <w:r w:rsidR="005B7EC2" w:rsidRPr="00631295">
        <w:rPr>
          <w:rFonts w:cs="Arial"/>
          <w:sz w:val="24"/>
          <w:szCs w:val="24"/>
        </w:rPr>
        <w:t xml:space="preserve"> and the train was “allowed” to move.</w:t>
      </w:r>
      <w:r w:rsidRPr="00631295">
        <w:rPr>
          <w:rFonts w:cs="Arial"/>
          <w:sz w:val="24"/>
          <w:szCs w:val="24"/>
        </w:rPr>
        <w:t xml:space="preserve">  </w:t>
      </w:r>
    </w:p>
    <w:p w14:paraId="6C575B26" w14:textId="354532B5" w:rsidR="00F56610" w:rsidRPr="00631295" w:rsidRDefault="00A05591" w:rsidP="00F56610">
      <w:pPr>
        <w:pStyle w:val="ListLevel1"/>
        <w:rPr>
          <w:rFonts w:cs="Arial"/>
          <w:sz w:val="24"/>
          <w:szCs w:val="24"/>
        </w:rPr>
      </w:pPr>
      <w:r w:rsidRPr="00631295">
        <w:rPr>
          <w:rFonts w:cs="Arial"/>
          <w:sz w:val="24"/>
          <w:szCs w:val="24"/>
        </w:rPr>
        <w:lastRenderedPageBreak/>
        <w:t>Appellant’s</w:t>
      </w:r>
      <w:r w:rsidR="00F56610" w:rsidRPr="00631295">
        <w:rPr>
          <w:rFonts w:cs="Arial"/>
          <w:sz w:val="24"/>
          <w:szCs w:val="24"/>
        </w:rPr>
        <w:t xml:space="preserve"> counsel submitted that her evidence s</w:t>
      </w:r>
      <w:r w:rsidR="009026EE" w:rsidRPr="00631295">
        <w:rPr>
          <w:rFonts w:cs="Arial"/>
          <w:sz w:val="24"/>
          <w:szCs w:val="24"/>
        </w:rPr>
        <w:t>tood</w:t>
      </w:r>
      <w:r w:rsidR="00F56610" w:rsidRPr="00631295">
        <w:rPr>
          <w:rFonts w:cs="Arial"/>
          <w:sz w:val="24"/>
          <w:szCs w:val="24"/>
        </w:rPr>
        <w:t xml:space="preserve"> unchallenged</w:t>
      </w:r>
      <w:r w:rsidR="00596901" w:rsidRPr="00631295">
        <w:rPr>
          <w:rFonts w:cs="Arial"/>
          <w:sz w:val="24"/>
          <w:szCs w:val="24"/>
        </w:rPr>
        <w:t xml:space="preserve">.  He argued further that </w:t>
      </w:r>
      <w:r w:rsidR="00121EA2" w:rsidRPr="00631295">
        <w:rPr>
          <w:rFonts w:cs="Arial"/>
          <w:sz w:val="24"/>
          <w:szCs w:val="24"/>
        </w:rPr>
        <w:t>the</w:t>
      </w:r>
      <w:r w:rsidR="00F56610" w:rsidRPr="00631295">
        <w:rPr>
          <w:rFonts w:cs="Arial"/>
          <w:sz w:val="24"/>
          <w:szCs w:val="24"/>
        </w:rPr>
        <w:t xml:space="preserve"> respondent trie</w:t>
      </w:r>
      <w:r w:rsidR="009026EE" w:rsidRPr="00631295">
        <w:rPr>
          <w:rFonts w:cs="Arial"/>
          <w:sz w:val="24"/>
          <w:szCs w:val="24"/>
        </w:rPr>
        <w:t>d</w:t>
      </w:r>
      <w:r w:rsidR="00F56610" w:rsidRPr="00631295">
        <w:rPr>
          <w:rFonts w:cs="Arial"/>
          <w:sz w:val="24"/>
          <w:szCs w:val="24"/>
        </w:rPr>
        <w:t xml:space="preserve"> to discredit her evidence on facts that have no bearing on the aspect of liability for the omissions, </w:t>
      </w:r>
      <w:r w:rsidR="00DD36F7" w:rsidRPr="00631295">
        <w:rPr>
          <w:rFonts w:cs="Arial"/>
          <w:sz w:val="24"/>
          <w:szCs w:val="24"/>
        </w:rPr>
        <w:t>which</w:t>
      </w:r>
      <w:r w:rsidR="00F56610" w:rsidRPr="00631295">
        <w:rPr>
          <w:rFonts w:cs="Arial"/>
          <w:sz w:val="24"/>
          <w:szCs w:val="24"/>
        </w:rPr>
        <w:t xml:space="preserve"> caused her loss.  The respondent in the end put it to her that</w:t>
      </w:r>
      <w:r w:rsidR="00BA4923" w:rsidRPr="00631295">
        <w:rPr>
          <w:rFonts w:cs="Arial"/>
          <w:sz w:val="24"/>
          <w:szCs w:val="24"/>
        </w:rPr>
        <w:t xml:space="preserve"> she was not on the train </w:t>
      </w:r>
      <w:r w:rsidR="00DD36F7" w:rsidRPr="00631295">
        <w:rPr>
          <w:rFonts w:cs="Arial"/>
          <w:sz w:val="24"/>
          <w:szCs w:val="24"/>
        </w:rPr>
        <w:t>and the</w:t>
      </w:r>
      <w:r w:rsidR="00F56610" w:rsidRPr="00631295">
        <w:rPr>
          <w:rFonts w:cs="Arial"/>
          <w:sz w:val="24"/>
          <w:szCs w:val="24"/>
        </w:rPr>
        <w:t xml:space="preserve"> incident did not happen on its property but </w:t>
      </w:r>
      <w:r w:rsidR="00121EA2" w:rsidRPr="00631295">
        <w:rPr>
          <w:rFonts w:cs="Arial"/>
          <w:sz w:val="24"/>
          <w:szCs w:val="24"/>
        </w:rPr>
        <w:t>outside</w:t>
      </w:r>
      <w:r w:rsidR="00F56610" w:rsidRPr="00631295">
        <w:rPr>
          <w:rFonts w:cs="Arial"/>
          <w:sz w:val="24"/>
          <w:szCs w:val="24"/>
        </w:rPr>
        <w:t>.  However, it fail</w:t>
      </w:r>
      <w:r w:rsidR="009026EE" w:rsidRPr="00631295">
        <w:rPr>
          <w:rFonts w:cs="Arial"/>
          <w:sz w:val="24"/>
          <w:szCs w:val="24"/>
        </w:rPr>
        <w:t>ed</w:t>
      </w:r>
      <w:r w:rsidR="00F56610" w:rsidRPr="00631295">
        <w:rPr>
          <w:rFonts w:cs="Arial"/>
          <w:sz w:val="24"/>
          <w:szCs w:val="24"/>
        </w:rPr>
        <w:t xml:space="preserve"> to lay any basis for the propositions put to her.</w:t>
      </w:r>
    </w:p>
    <w:p w14:paraId="6E50B6D0" w14:textId="37423DC3" w:rsidR="00F56610" w:rsidRPr="00631295" w:rsidRDefault="00F56610" w:rsidP="00F56610">
      <w:pPr>
        <w:pStyle w:val="ListLevel1"/>
        <w:rPr>
          <w:rFonts w:cs="Arial"/>
          <w:sz w:val="24"/>
          <w:szCs w:val="24"/>
        </w:rPr>
      </w:pPr>
      <w:r w:rsidRPr="00631295">
        <w:rPr>
          <w:rFonts w:cs="Arial"/>
          <w:sz w:val="24"/>
          <w:szCs w:val="24"/>
        </w:rPr>
        <w:t xml:space="preserve">Mr Mtombeni argued that if the doors were not open and the carriage not </w:t>
      </w:r>
      <w:r w:rsidR="00DD36F7" w:rsidRPr="00631295">
        <w:rPr>
          <w:rFonts w:cs="Arial"/>
          <w:sz w:val="24"/>
          <w:szCs w:val="24"/>
        </w:rPr>
        <w:t>overcrowded,</w:t>
      </w:r>
      <w:r w:rsidRPr="00631295">
        <w:rPr>
          <w:rFonts w:cs="Arial"/>
          <w:sz w:val="24"/>
          <w:szCs w:val="24"/>
        </w:rPr>
        <w:t xml:space="preserve"> she would not have been pushed around, </w:t>
      </w:r>
      <w:r w:rsidR="00500FAE" w:rsidRPr="00631295">
        <w:rPr>
          <w:rFonts w:cs="Arial"/>
          <w:sz w:val="24"/>
          <w:szCs w:val="24"/>
        </w:rPr>
        <w:t xml:space="preserve">not have </w:t>
      </w:r>
      <w:r w:rsidRPr="00631295">
        <w:rPr>
          <w:rFonts w:cs="Arial"/>
          <w:sz w:val="24"/>
          <w:szCs w:val="24"/>
        </w:rPr>
        <w:t xml:space="preserve">lost her balance and fallen out the carriage, the closed doors would have averted the incident that cause her injury. </w:t>
      </w:r>
      <w:r w:rsidR="00403583" w:rsidRPr="00631295">
        <w:rPr>
          <w:rFonts w:cs="Arial"/>
          <w:sz w:val="24"/>
          <w:szCs w:val="24"/>
        </w:rPr>
        <w:t xml:space="preserve"> </w:t>
      </w:r>
    </w:p>
    <w:p w14:paraId="29824D10" w14:textId="1D98C8E3" w:rsidR="00F56610" w:rsidRPr="00631295" w:rsidRDefault="00453A77" w:rsidP="00F56610">
      <w:pPr>
        <w:pStyle w:val="ListLevel1"/>
        <w:rPr>
          <w:rFonts w:cs="Arial"/>
          <w:sz w:val="24"/>
          <w:szCs w:val="24"/>
        </w:rPr>
      </w:pPr>
      <w:r w:rsidRPr="00631295">
        <w:rPr>
          <w:rFonts w:cs="Arial"/>
          <w:sz w:val="24"/>
          <w:szCs w:val="24"/>
        </w:rPr>
        <w:t xml:space="preserve">Mr </w:t>
      </w:r>
      <w:r w:rsidR="00F56610" w:rsidRPr="00631295">
        <w:rPr>
          <w:rFonts w:cs="Arial"/>
          <w:sz w:val="24"/>
          <w:szCs w:val="24"/>
        </w:rPr>
        <w:t xml:space="preserve">Mashaba SC argued that the </w:t>
      </w:r>
      <w:r w:rsidR="00A05591" w:rsidRPr="00631295">
        <w:rPr>
          <w:rFonts w:cs="Arial"/>
          <w:sz w:val="24"/>
          <w:szCs w:val="24"/>
        </w:rPr>
        <w:t>appellant</w:t>
      </w:r>
      <w:r w:rsidR="00F56610" w:rsidRPr="00631295">
        <w:rPr>
          <w:rFonts w:cs="Arial"/>
          <w:sz w:val="24"/>
          <w:szCs w:val="24"/>
        </w:rPr>
        <w:t xml:space="preserve"> conceded that the people block</w:t>
      </w:r>
      <w:r w:rsidRPr="00631295">
        <w:rPr>
          <w:rFonts w:cs="Arial"/>
          <w:sz w:val="24"/>
          <w:szCs w:val="24"/>
        </w:rPr>
        <w:t>ed</w:t>
      </w:r>
      <w:r w:rsidR="00F56610" w:rsidRPr="00631295">
        <w:rPr>
          <w:rFonts w:cs="Arial"/>
          <w:sz w:val="24"/>
          <w:szCs w:val="24"/>
        </w:rPr>
        <w:t xml:space="preserve"> doors and she failed to link the conduct of those commuters to the respondent’s omission.</w:t>
      </w:r>
    </w:p>
    <w:p w14:paraId="06D33043" w14:textId="1FEDEC1E" w:rsidR="00F56610" w:rsidRPr="00631295" w:rsidRDefault="00500FAE" w:rsidP="00F56610">
      <w:pPr>
        <w:pStyle w:val="ListLevel1"/>
        <w:rPr>
          <w:rFonts w:cs="Arial"/>
          <w:sz w:val="24"/>
          <w:szCs w:val="24"/>
        </w:rPr>
      </w:pPr>
      <w:r w:rsidRPr="00631295">
        <w:rPr>
          <w:rFonts w:cs="Arial"/>
          <w:sz w:val="24"/>
          <w:szCs w:val="24"/>
        </w:rPr>
        <w:t xml:space="preserve">It was argued further </w:t>
      </w:r>
      <w:r w:rsidR="00F56610" w:rsidRPr="00631295">
        <w:rPr>
          <w:rFonts w:cs="Arial"/>
          <w:sz w:val="24"/>
          <w:szCs w:val="24"/>
        </w:rPr>
        <w:t xml:space="preserve">that the </w:t>
      </w:r>
      <w:r w:rsidR="00A05591" w:rsidRPr="00631295">
        <w:rPr>
          <w:rFonts w:cs="Arial"/>
          <w:sz w:val="24"/>
          <w:szCs w:val="24"/>
        </w:rPr>
        <w:t>appellant</w:t>
      </w:r>
      <w:r w:rsidR="00F56610" w:rsidRPr="00631295">
        <w:rPr>
          <w:rFonts w:cs="Arial"/>
          <w:sz w:val="24"/>
          <w:szCs w:val="24"/>
        </w:rPr>
        <w:t xml:space="preserve"> in casu failed to discharge her onus in that she failed to prove some of the elements of delict, being act or omission, wrongfulness</w:t>
      </w:r>
      <w:r w:rsidRPr="00631295">
        <w:rPr>
          <w:rFonts w:cs="Arial"/>
          <w:sz w:val="24"/>
          <w:szCs w:val="24"/>
        </w:rPr>
        <w:t>,</w:t>
      </w:r>
      <w:r w:rsidR="00F56610" w:rsidRPr="00631295">
        <w:rPr>
          <w:rFonts w:cs="Arial"/>
          <w:sz w:val="24"/>
          <w:szCs w:val="24"/>
        </w:rPr>
        <w:t xml:space="preserve"> causation, </w:t>
      </w:r>
      <w:r w:rsidR="00121EA2" w:rsidRPr="00631295">
        <w:rPr>
          <w:rFonts w:cs="Arial"/>
          <w:sz w:val="24"/>
          <w:szCs w:val="24"/>
        </w:rPr>
        <w:t>negligence,</w:t>
      </w:r>
      <w:r w:rsidR="00F56610" w:rsidRPr="00631295">
        <w:rPr>
          <w:rFonts w:cs="Arial"/>
          <w:sz w:val="24"/>
          <w:szCs w:val="24"/>
        </w:rPr>
        <w:t xml:space="preserve"> and loss suffered.  He </w:t>
      </w:r>
      <w:r w:rsidR="00AC5182" w:rsidRPr="00631295">
        <w:rPr>
          <w:rFonts w:cs="Arial"/>
          <w:sz w:val="24"/>
          <w:szCs w:val="24"/>
        </w:rPr>
        <w:t xml:space="preserve">submitted </w:t>
      </w:r>
      <w:r w:rsidR="00F56610" w:rsidRPr="00631295">
        <w:rPr>
          <w:rFonts w:cs="Arial"/>
          <w:sz w:val="24"/>
          <w:szCs w:val="24"/>
        </w:rPr>
        <w:t xml:space="preserve">the </w:t>
      </w:r>
      <w:r w:rsidR="00A05591" w:rsidRPr="00631295">
        <w:rPr>
          <w:rFonts w:cs="Arial"/>
          <w:sz w:val="24"/>
          <w:szCs w:val="24"/>
        </w:rPr>
        <w:t>appellant</w:t>
      </w:r>
      <w:r w:rsidR="00F56610" w:rsidRPr="00631295">
        <w:rPr>
          <w:rFonts w:cs="Arial"/>
          <w:sz w:val="24"/>
          <w:szCs w:val="24"/>
        </w:rPr>
        <w:t xml:space="preserve"> “simply glossed over some of the elements in her evidence and assumed she had proved them.”</w:t>
      </w:r>
    </w:p>
    <w:p w14:paraId="6EEF3ED2" w14:textId="77777777" w:rsidR="00F56610" w:rsidRPr="00631295" w:rsidRDefault="00F56610" w:rsidP="00F56610">
      <w:pPr>
        <w:pStyle w:val="Heading1"/>
        <w:rPr>
          <w:sz w:val="24"/>
          <w:szCs w:val="24"/>
        </w:rPr>
      </w:pPr>
      <w:r w:rsidRPr="00631295">
        <w:rPr>
          <w:sz w:val="24"/>
          <w:szCs w:val="24"/>
        </w:rPr>
        <w:lastRenderedPageBreak/>
        <w:t>JUDGMENT</w:t>
      </w:r>
    </w:p>
    <w:p w14:paraId="14788FCB" w14:textId="2D063AB3" w:rsidR="00A034D7" w:rsidRPr="00631295" w:rsidRDefault="00A034D7" w:rsidP="00F56610">
      <w:pPr>
        <w:pStyle w:val="ListLevel1"/>
        <w:rPr>
          <w:rFonts w:cs="Arial"/>
          <w:sz w:val="24"/>
          <w:szCs w:val="24"/>
        </w:rPr>
      </w:pPr>
      <w:r w:rsidRPr="00631295">
        <w:rPr>
          <w:rFonts w:cs="Arial"/>
          <w:sz w:val="24"/>
          <w:szCs w:val="24"/>
        </w:rPr>
        <w:t xml:space="preserve">The court accepts that the appellant, who included in her discovery a train ticket valid for a month, was on the train on the date at the time. She was a regular commuter on trains, moving between her workplace and home.  Her evidence </w:t>
      </w:r>
      <w:r w:rsidR="00A21FBF" w:rsidRPr="00631295">
        <w:rPr>
          <w:rFonts w:cs="Arial"/>
          <w:sz w:val="24"/>
          <w:szCs w:val="24"/>
        </w:rPr>
        <w:t>remained</w:t>
      </w:r>
      <w:r w:rsidRPr="00631295">
        <w:rPr>
          <w:rFonts w:cs="Arial"/>
          <w:sz w:val="24"/>
          <w:szCs w:val="24"/>
        </w:rPr>
        <w:t xml:space="preserve"> </w:t>
      </w:r>
      <w:r w:rsidR="00453A77" w:rsidRPr="00631295">
        <w:rPr>
          <w:rFonts w:cs="Arial"/>
          <w:sz w:val="24"/>
          <w:szCs w:val="24"/>
        </w:rPr>
        <w:t>uncontroverted</w:t>
      </w:r>
      <w:r w:rsidR="00C5273F">
        <w:rPr>
          <w:rFonts w:cs="Arial"/>
          <w:sz w:val="24"/>
          <w:szCs w:val="24"/>
        </w:rPr>
        <w:t>.</w:t>
      </w:r>
    </w:p>
    <w:p w14:paraId="2123A7BF" w14:textId="59E1BB9D" w:rsidR="00A034D7" w:rsidRPr="00631295" w:rsidRDefault="00A034D7" w:rsidP="00F56610">
      <w:pPr>
        <w:pStyle w:val="ListLevel1"/>
        <w:rPr>
          <w:rFonts w:cs="Arial"/>
          <w:sz w:val="24"/>
          <w:szCs w:val="24"/>
        </w:rPr>
      </w:pPr>
      <w:r w:rsidRPr="00631295">
        <w:rPr>
          <w:rFonts w:cs="Arial"/>
          <w:sz w:val="24"/>
          <w:szCs w:val="24"/>
        </w:rPr>
        <w:t>It is probable that she sustained her injuries at the station, the respondent does not provide any evidence to suggest otherwise.</w:t>
      </w:r>
      <w:r w:rsidR="00AC5182" w:rsidRPr="00631295">
        <w:rPr>
          <w:rFonts w:cs="Arial"/>
          <w:sz w:val="24"/>
          <w:szCs w:val="24"/>
        </w:rPr>
        <w:t xml:space="preserve">  </w:t>
      </w:r>
      <w:r w:rsidR="00766047" w:rsidRPr="00631295">
        <w:rPr>
          <w:rFonts w:cs="Arial"/>
          <w:sz w:val="24"/>
          <w:szCs w:val="24"/>
        </w:rPr>
        <w:t>The appellant’s evidence on the open doors remained unc</w:t>
      </w:r>
      <w:r w:rsidR="00AC5182" w:rsidRPr="00631295">
        <w:rPr>
          <w:rFonts w:cs="Arial"/>
          <w:sz w:val="24"/>
          <w:szCs w:val="24"/>
        </w:rPr>
        <w:t>hallenge</w:t>
      </w:r>
      <w:r w:rsidR="00766047" w:rsidRPr="00631295">
        <w:rPr>
          <w:rFonts w:cs="Arial"/>
          <w:sz w:val="24"/>
          <w:szCs w:val="24"/>
        </w:rPr>
        <w:t xml:space="preserve">d. </w:t>
      </w:r>
    </w:p>
    <w:p w14:paraId="10D1B83B" w14:textId="77777777" w:rsidR="00F56610" w:rsidRPr="00631295" w:rsidRDefault="00F56610" w:rsidP="00F56610">
      <w:pPr>
        <w:pStyle w:val="ListLevel1"/>
        <w:rPr>
          <w:rFonts w:cs="Arial"/>
          <w:sz w:val="24"/>
          <w:szCs w:val="24"/>
        </w:rPr>
      </w:pPr>
      <w:r w:rsidRPr="00631295">
        <w:rPr>
          <w:rFonts w:cs="Arial"/>
          <w:sz w:val="24"/>
          <w:szCs w:val="24"/>
        </w:rPr>
        <w:t xml:space="preserve">The legal writer Beck, </w:t>
      </w:r>
      <w:r w:rsidRPr="00631295">
        <w:rPr>
          <w:rStyle w:val="FootnoteReference"/>
          <w:rFonts w:cs="Arial"/>
          <w:sz w:val="24"/>
          <w:szCs w:val="24"/>
        </w:rPr>
        <w:footnoteReference w:id="9"/>
      </w:r>
      <w:r w:rsidRPr="00631295">
        <w:rPr>
          <w:rFonts w:cs="Arial"/>
          <w:sz w:val="24"/>
          <w:szCs w:val="24"/>
        </w:rPr>
        <w:t xml:space="preserve"> writes:</w:t>
      </w:r>
    </w:p>
    <w:p w14:paraId="589566A8" w14:textId="022C79FF" w:rsidR="00F56610" w:rsidRPr="00631295" w:rsidRDefault="00F56610" w:rsidP="00F56610">
      <w:pPr>
        <w:pStyle w:val="MSQuote"/>
        <w:rPr>
          <w:rFonts w:cs="Arial"/>
          <w:sz w:val="24"/>
          <w:szCs w:val="24"/>
        </w:rPr>
      </w:pPr>
      <w:r w:rsidRPr="00631295">
        <w:rPr>
          <w:rFonts w:cs="Arial"/>
          <w:sz w:val="24"/>
          <w:szCs w:val="24"/>
        </w:rPr>
        <w:t>“</w:t>
      </w:r>
      <w:r w:rsidR="00DD36F7" w:rsidRPr="00631295">
        <w:rPr>
          <w:rFonts w:cs="Arial"/>
          <w:sz w:val="24"/>
          <w:szCs w:val="24"/>
        </w:rPr>
        <w:t>The</w:t>
      </w:r>
      <w:r w:rsidRPr="00631295">
        <w:rPr>
          <w:rFonts w:cs="Arial"/>
          <w:sz w:val="24"/>
          <w:szCs w:val="24"/>
        </w:rPr>
        <w:t xml:space="preserve"> plaintiff’s claim must be such as to enable the defendant to </w:t>
      </w:r>
      <w:r w:rsidR="00DD36F7" w:rsidRPr="00631295">
        <w:rPr>
          <w:rFonts w:cs="Arial"/>
          <w:sz w:val="24"/>
          <w:szCs w:val="24"/>
        </w:rPr>
        <w:t>know what</w:t>
      </w:r>
      <w:r w:rsidRPr="00631295">
        <w:rPr>
          <w:rFonts w:cs="Arial"/>
          <w:sz w:val="24"/>
          <w:szCs w:val="24"/>
        </w:rPr>
        <w:t xml:space="preserve"> case he or she is to meet.  … Although pleadings must be carefully drawn and be well turned out, the court ought not to read them pedantically.  The rules do not require that pleadings be drawn up in perfect language, but the allegations of the parties should be clearly cognisable.  … “the court should not look at the pleading with a magnifying glass of too high power.”</w:t>
      </w:r>
    </w:p>
    <w:p w14:paraId="76900FD9" w14:textId="5140F351" w:rsidR="00F56610" w:rsidRPr="00631295" w:rsidRDefault="00581EB5" w:rsidP="00F56610">
      <w:pPr>
        <w:pStyle w:val="ListLevel1"/>
        <w:rPr>
          <w:rFonts w:cs="Arial"/>
          <w:sz w:val="24"/>
          <w:szCs w:val="24"/>
        </w:rPr>
      </w:pPr>
      <w:r w:rsidRPr="00631295">
        <w:rPr>
          <w:rFonts w:cs="Arial"/>
          <w:sz w:val="24"/>
          <w:szCs w:val="24"/>
        </w:rPr>
        <w:t>We</w:t>
      </w:r>
      <w:r w:rsidR="00F56610" w:rsidRPr="00631295">
        <w:rPr>
          <w:rFonts w:cs="Arial"/>
          <w:sz w:val="24"/>
          <w:szCs w:val="24"/>
        </w:rPr>
        <w:t xml:space="preserve"> are of the view that the respondent’s legal duty and omission is implicit in the allegations as set ou</w:t>
      </w:r>
      <w:r w:rsidR="00766047" w:rsidRPr="00631295">
        <w:rPr>
          <w:rFonts w:cs="Arial"/>
          <w:sz w:val="24"/>
          <w:szCs w:val="24"/>
        </w:rPr>
        <w:t>t</w:t>
      </w:r>
      <w:r w:rsidR="004063D9" w:rsidRPr="00631295">
        <w:rPr>
          <w:rFonts w:cs="Arial"/>
          <w:sz w:val="24"/>
          <w:szCs w:val="24"/>
        </w:rPr>
        <w:t xml:space="preserve"> her particulars of </w:t>
      </w:r>
      <w:r w:rsidR="00DD36F7" w:rsidRPr="00631295">
        <w:rPr>
          <w:rFonts w:cs="Arial"/>
          <w:sz w:val="24"/>
          <w:szCs w:val="24"/>
        </w:rPr>
        <w:t>claim,</w:t>
      </w:r>
      <w:r w:rsidR="004063D9" w:rsidRPr="00631295">
        <w:rPr>
          <w:rFonts w:cs="Arial"/>
          <w:sz w:val="24"/>
          <w:szCs w:val="24"/>
        </w:rPr>
        <w:t xml:space="preserve"> </w:t>
      </w:r>
      <w:r w:rsidR="00F56610" w:rsidRPr="00631295">
        <w:rPr>
          <w:rFonts w:cs="Arial"/>
          <w:sz w:val="24"/>
          <w:szCs w:val="24"/>
        </w:rPr>
        <w:t>in paragraph 20 above.</w:t>
      </w:r>
    </w:p>
    <w:p w14:paraId="0FBCE95A" w14:textId="5EAD49BD" w:rsidR="00F56610" w:rsidRPr="00631295" w:rsidRDefault="00F56610" w:rsidP="00F56610">
      <w:pPr>
        <w:pStyle w:val="ListLevel2"/>
        <w:rPr>
          <w:rFonts w:cs="Arial"/>
          <w:sz w:val="24"/>
          <w:szCs w:val="24"/>
        </w:rPr>
      </w:pPr>
      <w:r w:rsidRPr="00631295">
        <w:rPr>
          <w:rFonts w:cs="Arial"/>
          <w:sz w:val="24"/>
          <w:szCs w:val="24"/>
        </w:rPr>
        <w:lastRenderedPageBreak/>
        <w:t xml:space="preserve">The word “allow” </w:t>
      </w:r>
      <w:r w:rsidR="000D5220" w:rsidRPr="00631295">
        <w:rPr>
          <w:rFonts w:cs="Arial"/>
          <w:sz w:val="24"/>
          <w:szCs w:val="24"/>
        </w:rPr>
        <w:t>means</w:t>
      </w:r>
      <w:r w:rsidRPr="00631295">
        <w:rPr>
          <w:rFonts w:cs="Arial"/>
          <w:sz w:val="24"/>
          <w:szCs w:val="24"/>
        </w:rPr>
        <w:t xml:space="preserve"> a permi</w:t>
      </w:r>
      <w:r w:rsidR="004063D9" w:rsidRPr="00631295">
        <w:rPr>
          <w:rFonts w:cs="Arial"/>
          <w:sz w:val="24"/>
          <w:szCs w:val="24"/>
        </w:rPr>
        <w:t>ssion</w:t>
      </w:r>
      <w:r w:rsidRPr="00631295">
        <w:rPr>
          <w:rFonts w:cs="Arial"/>
          <w:sz w:val="24"/>
          <w:szCs w:val="24"/>
        </w:rPr>
        <w:t>, which can only apply to one who holds authority or control.</w:t>
      </w:r>
    </w:p>
    <w:p w14:paraId="38F2CBBA" w14:textId="07F25FC7" w:rsidR="0060307D" w:rsidRPr="00631295" w:rsidRDefault="0060307D" w:rsidP="00F56610">
      <w:pPr>
        <w:pStyle w:val="ListLevel2"/>
        <w:rPr>
          <w:rFonts w:cs="Arial"/>
          <w:sz w:val="24"/>
          <w:szCs w:val="24"/>
        </w:rPr>
      </w:pPr>
      <w:r w:rsidRPr="00631295">
        <w:rPr>
          <w:rFonts w:cs="Arial"/>
          <w:sz w:val="24"/>
          <w:szCs w:val="24"/>
        </w:rPr>
        <w:t>The authorities are clear on ‘open doors, on trains in motion</w:t>
      </w:r>
      <w:r w:rsidR="0077050F" w:rsidRPr="00631295">
        <w:rPr>
          <w:rFonts w:cs="Arial"/>
          <w:sz w:val="24"/>
          <w:szCs w:val="24"/>
        </w:rPr>
        <w:t>,”</w:t>
      </w:r>
      <w:r w:rsidR="00401D1D" w:rsidRPr="00631295">
        <w:rPr>
          <w:rFonts w:cs="Arial"/>
          <w:sz w:val="24"/>
          <w:szCs w:val="24"/>
        </w:rPr>
        <w:t xml:space="preserve"> there is no ambiguity in the pleadings, </w:t>
      </w:r>
      <w:r w:rsidR="00A21FBF" w:rsidRPr="00631295">
        <w:rPr>
          <w:rFonts w:cs="Arial"/>
          <w:sz w:val="24"/>
          <w:szCs w:val="24"/>
        </w:rPr>
        <w:t>at</w:t>
      </w:r>
      <w:r w:rsidR="00401D1D" w:rsidRPr="00631295">
        <w:rPr>
          <w:rFonts w:cs="Arial"/>
          <w:sz w:val="24"/>
          <w:szCs w:val="24"/>
        </w:rPr>
        <w:t xml:space="preserve"> 5.2 of the particulars of claim.</w:t>
      </w:r>
    </w:p>
    <w:p w14:paraId="5D50DC5D" w14:textId="5BC2F643" w:rsidR="00F56610" w:rsidRPr="00631295" w:rsidRDefault="00F56610" w:rsidP="00F56610">
      <w:pPr>
        <w:pStyle w:val="ListLevel1"/>
        <w:rPr>
          <w:rFonts w:cs="Arial"/>
          <w:sz w:val="24"/>
          <w:szCs w:val="24"/>
        </w:rPr>
      </w:pPr>
      <w:r w:rsidRPr="00631295">
        <w:rPr>
          <w:rFonts w:cs="Arial"/>
          <w:sz w:val="24"/>
          <w:szCs w:val="24"/>
        </w:rPr>
        <w:t xml:space="preserve">The respondent did no more than to plead a bare denial.  It relied on the cross examination of the </w:t>
      </w:r>
      <w:r w:rsidR="00DD36F7" w:rsidRPr="00631295">
        <w:rPr>
          <w:rFonts w:cs="Arial"/>
          <w:sz w:val="24"/>
          <w:szCs w:val="24"/>
        </w:rPr>
        <w:t>appellant and</w:t>
      </w:r>
      <w:r w:rsidRPr="00631295">
        <w:rPr>
          <w:rFonts w:cs="Arial"/>
          <w:sz w:val="24"/>
          <w:szCs w:val="24"/>
        </w:rPr>
        <w:t xml:space="preserve"> sought to discredit her.  Not much was achieved except for inconsistencies on peripheral points.  At the very end of this </w:t>
      </w:r>
      <w:r w:rsidR="00DD36F7" w:rsidRPr="00631295">
        <w:rPr>
          <w:rFonts w:cs="Arial"/>
          <w:sz w:val="24"/>
          <w:szCs w:val="24"/>
        </w:rPr>
        <w:t>exercise,</w:t>
      </w:r>
      <w:r w:rsidRPr="00631295">
        <w:rPr>
          <w:rFonts w:cs="Arial"/>
          <w:sz w:val="24"/>
          <w:szCs w:val="24"/>
        </w:rPr>
        <w:t xml:space="preserve"> it was put to her that </w:t>
      </w:r>
      <w:r w:rsidR="00DD36F7" w:rsidRPr="00631295">
        <w:rPr>
          <w:rFonts w:cs="Arial"/>
          <w:sz w:val="24"/>
          <w:szCs w:val="24"/>
        </w:rPr>
        <w:t>she</w:t>
      </w:r>
      <w:r w:rsidRPr="00631295">
        <w:rPr>
          <w:rFonts w:cs="Arial"/>
          <w:sz w:val="24"/>
          <w:szCs w:val="24"/>
        </w:rPr>
        <w:t xml:space="preserve"> was not injured on its property, however the respondent failed to lay any basis for such a proposition.</w:t>
      </w:r>
      <w:r w:rsidR="000D5220" w:rsidRPr="00631295">
        <w:rPr>
          <w:rFonts w:cs="Arial"/>
          <w:sz w:val="24"/>
          <w:szCs w:val="24"/>
        </w:rPr>
        <w:t xml:space="preserve">  The appellant was clear on her version.</w:t>
      </w:r>
    </w:p>
    <w:p w14:paraId="0222BE3F" w14:textId="7672906C" w:rsidR="00F56610" w:rsidRPr="00631295" w:rsidRDefault="00F56610" w:rsidP="00F56610">
      <w:pPr>
        <w:pStyle w:val="ListLevel1"/>
        <w:rPr>
          <w:rFonts w:cs="Arial"/>
          <w:sz w:val="24"/>
          <w:szCs w:val="24"/>
        </w:rPr>
      </w:pPr>
      <w:r w:rsidRPr="00631295">
        <w:rPr>
          <w:rFonts w:cs="Arial"/>
          <w:sz w:val="24"/>
          <w:szCs w:val="24"/>
        </w:rPr>
        <w:t xml:space="preserve">In </w:t>
      </w:r>
      <w:r w:rsidRPr="00631295">
        <w:rPr>
          <w:rFonts w:cs="Arial"/>
          <w:b/>
          <w:bCs/>
          <w:sz w:val="24"/>
          <w:szCs w:val="24"/>
        </w:rPr>
        <w:t>MOKWENA v SOUTH AFRICA RAIL COMMUTER CORPORATION AND METRORAIL</w:t>
      </w:r>
      <w:r w:rsidR="00631295" w:rsidRPr="00631295">
        <w:rPr>
          <w:rFonts w:cs="Arial"/>
          <w:b/>
          <w:bCs/>
          <w:sz w:val="24"/>
          <w:szCs w:val="24"/>
        </w:rPr>
        <w:t>,</w:t>
      </w:r>
      <w:r w:rsidRPr="00631295">
        <w:rPr>
          <w:rStyle w:val="FootnoteReference"/>
          <w:rFonts w:cs="Arial"/>
          <w:sz w:val="24"/>
          <w:szCs w:val="24"/>
        </w:rPr>
        <w:footnoteReference w:id="10"/>
      </w:r>
      <w:r w:rsidRPr="00631295">
        <w:rPr>
          <w:rFonts w:cs="Arial"/>
          <w:sz w:val="24"/>
          <w:szCs w:val="24"/>
        </w:rPr>
        <w:t xml:space="preserve"> wherein the defendants adopted a similar defence as in casu, Satchwell J, stated on the aspect of the onus,</w:t>
      </w:r>
    </w:p>
    <w:p w14:paraId="09E91DEE" w14:textId="5294F5DA" w:rsidR="00F56610" w:rsidRPr="00631295" w:rsidRDefault="00F56610" w:rsidP="00F56610">
      <w:pPr>
        <w:pStyle w:val="MSQuote"/>
        <w:rPr>
          <w:rFonts w:cs="Arial"/>
          <w:i w:val="0"/>
          <w:iCs w:val="0"/>
          <w:sz w:val="24"/>
          <w:szCs w:val="24"/>
        </w:rPr>
      </w:pPr>
      <w:r w:rsidRPr="00631295">
        <w:rPr>
          <w:rFonts w:cs="Arial"/>
          <w:sz w:val="24"/>
          <w:szCs w:val="24"/>
        </w:rPr>
        <w:t xml:space="preserve">“There is the uncontradicted evidence of the plaintiff as to the circumstances in which the accident happened – crowded carriage, open </w:t>
      </w:r>
      <w:r w:rsidR="00121EA2" w:rsidRPr="00631295">
        <w:rPr>
          <w:rFonts w:cs="Arial"/>
          <w:sz w:val="24"/>
          <w:szCs w:val="24"/>
        </w:rPr>
        <w:t>door,</w:t>
      </w:r>
      <w:r w:rsidRPr="00631295">
        <w:rPr>
          <w:rFonts w:cs="Arial"/>
          <w:sz w:val="24"/>
          <w:szCs w:val="24"/>
        </w:rPr>
        <w:t xml:space="preserve"> and train in motion.  </w:t>
      </w:r>
      <w:r w:rsidRPr="00631295">
        <w:rPr>
          <w:rFonts w:cs="Arial"/>
          <w:sz w:val="24"/>
          <w:szCs w:val="24"/>
          <w:u w:val="single"/>
        </w:rPr>
        <w:t>It has become trite that the defendants owe a duty to their passengers to transport them to safety and with concern for such safety.  It has become trite that trains should not move when the doors are still open alternately should not move until the doors are closed</w:t>
      </w:r>
      <w:r w:rsidRPr="00631295">
        <w:rPr>
          <w:rFonts w:cs="Arial"/>
          <w:sz w:val="24"/>
          <w:szCs w:val="24"/>
        </w:rPr>
        <w:t>.  These are the positive obligations which give rise to delictual liability where passengers fall out of open doors off moving trains.”</w:t>
      </w:r>
      <w:r w:rsidR="00A21FBF" w:rsidRPr="00631295">
        <w:rPr>
          <w:rFonts w:cs="Arial"/>
          <w:sz w:val="24"/>
          <w:szCs w:val="24"/>
        </w:rPr>
        <w:t xml:space="preserve"> </w:t>
      </w:r>
      <w:r w:rsidR="000D5220" w:rsidRPr="00631295">
        <w:rPr>
          <w:rFonts w:cs="Arial"/>
          <w:sz w:val="24"/>
          <w:szCs w:val="24"/>
        </w:rPr>
        <w:t xml:space="preserve"> </w:t>
      </w:r>
      <w:r w:rsidR="000D5220" w:rsidRPr="00631295">
        <w:rPr>
          <w:rFonts w:cs="Arial"/>
          <w:i w:val="0"/>
          <w:iCs w:val="0"/>
          <w:sz w:val="24"/>
          <w:szCs w:val="24"/>
        </w:rPr>
        <w:t xml:space="preserve">Our </w:t>
      </w:r>
      <w:r w:rsidR="000D5220" w:rsidRPr="00631295">
        <w:rPr>
          <w:rFonts w:cs="Arial"/>
          <w:i w:val="0"/>
          <w:iCs w:val="0"/>
          <w:sz w:val="24"/>
          <w:szCs w:val="24"/>
        </w:rPr>
        <w:lastRenderedPageBreak/>
        <w:t>emphasis.</w:t>
      </w:r>
    </w:p>
    <w:p w14:paraId="4F2DD8ED" w14:textId="77777777" w:rsidR="00F56610" w:rsidRPr="00631295" w:rsidRDefault="00F56610" w:rsidP="00F56610">
      <w:pPr>
        <w:pStyle w:val="ListLevel1"/>
        <w:rPr>
          <w:rFonts w:cs="Arial"/>
          <w:sz w:val="24"/>
          <w:szCs w:val="24"/>
        </w:rPr>
      </w:pPr>
      <w:r w:rsidRPr="00631295">
        <w:rPr>
          <w:rFonts w:cs="Arial"/>
          <w:sz w:val="24"/>
          <w:szCs w:val="24"/>
        </w:rPr>
        <w:t>The Honourable Satchwell J, went on to state</w:t>
      </w:r>
      <w:r w:rsidRPr="00631295">
        <w:rPr>
          <w:rStyle w:val="FootnoteReference"/>
          <w:rFonts w:cs="Arial"/>
          <w:sz w:val="24"/>
          <w:szCs w:val="24"/>
        </w:rPr>
        <w:footnoteReference w:id="11"/>
      </w:r>
      <w:r w:rsidRPr="00631295">
        <w:rPr>
          <w:rFonts w:cs="Arial"/>
          <w:sz w:val="24"/>
          <w:szCs w:val="24"/>
        </w:rPr>
        <w:t>,</w:t>
      </w:r>
    </w:p>
    <w:p w14:paraId="2CE7E60A" w14:textId="77777777" w:rsidR="00F56610" w:rsidRPr="00631295" w:rsidRDefault="00F56610" w:rsidP="00F56610">
      <w:pPr>
        <w:pStyle w:val="MSQuote"/>
        <w:rPr>
          <w:rFonts w:cs="Arial"/>
          <w:sz w:val="24"/>
          <w:szCs w:val="24"/>
        </w:rPr>
      </w:pPr>
      <w:r w:rsidRPr="00631295">
        <w:rPr>
          <w:rFonts w:cs="Arial"/>
          <w:sz w:val="24"/>
          <w:szCs w:val="24"/>
        </w:rPr>
        <w:t xml:space="preserve">“The uncontradicted evidence of the plaintiff and the happening of the event is evidence that the reasonable steps were not taken.  </w:t>
      </w:r>
      <w:r w:rsidRPr="00631295">
        <w:rPr>
          <w:rFonts w:cs="Arial"/>
          <w:sz w:val="24"/>
          <w:szCs w:val="24"/>
          <w:u w:val="single"/>
        </w:rPr>
        <w:t>No-one needs prove what those steps are</w:t>
      </w:r>
      <w:r w:rsidRPr="00631295">
        <w:rPr>
          <w:rFonts w:cs="Arial"/>
          <w:sz w:val="24"/>
          <w:szCs w:val="24"/>
        </w:rPr>
        <w:t xml:space="preserve"> – </w:t>
      </w:r>
      <w:r w:rsidRPr="00631295">
        <w:rPr>
          <w:rFonts w:cs="Arial"/>
          <w:sz w:val="24"/>
          <w:szCs w:val="24"/>
          <w:u w:val="single"/>
        </w:rPr>
        <w:t>the authorities are replete with comments that unclosed doors and moving</w:t>
      </w:r>
      <w:r w:rsidRPr="00631295">
        <w:rPr>
          <w:rFonts w:cs="Arial"/>
          <w:sz w:val="24"/>
          <w:szCs w:val="24"/>
        </w:rPr>
        <w:t xml:space="preserve"> </w:t>
      </w:r>
      <w:r w:rsidRPr="00631295">
        <w:rPr>
          <w:rFonts w:cs="Arial"/>
          <w:sz w:val="24"/>
          <w:szCs w:val="24"/>
          <w:u w:val="single"/>
        </w:rPr>
        <w:t>trains are anathema</w:t>
      </w:r>
      <w:r w:rsidRPr="00631295">
        <w:rPr>
          <w:rFonts w:cs="Arial"/>
          <w:sz w:val="24"/>
          <w:szCs w:val="24"/>
        </w:rPr>
        <w:t xml:space="preserve">.  All that needs be said is that “the train should not move” in such circumstances.”  </w:t>
      </w:r>
      <w:r w:rsidRPr="00631295">
        <w:rPr>
          <w:rFonts w:cs="Arial"/>
          <w:i w:val="0"/>
          <w:iCs w:val="0"/>
          <w:sz w:val="24"/>
          <w:szCs w:val="24"/>
        </w:rPr>
        <w:t>Our emphasis</w:t>
      </w:r>
      <w:r w:rsidRPr="00631295">
        <w:rPr>
          <w:rFonts w:cs="Arial"/>
          <w:sz w:val="24"/>
          <w:szCs w:val="24"/>
        </w:rPr>
        <w:t>.</w:t>
      </w:r>
    </w:p>
    <w:p w14:paraId="5770D20B" w14:textId="1985E04A" w:rsidR="00F56610" w:rsidRPr="00631295" w:rsidRDefault="00F56610" w:rsidP="00F56610">
      <w:pPr>
        <w:pStyle w:val="ListLevel1"/>
        <w:rPr>
          <w:rFonts w:cs="Arial"/>
          <w:sz w:val="24"/>
          <w:szCs w:val="24"/>
        </w:rPr>
      </w:pPr>
      <w:r w:rsidRPr="00631295">
        <w:rPr>
          <w:rFonts w:cs="Arial"/>
          <w:sz w:val="24"/>
          <w:szCs w:val="24"/>
        </w:rPr>
        <w:t xml:space="preserve">The plaintiff’s allegations are cognisable, if they were not, the </w:t>
      </w:r>
      <w:r w:rsidR="008A4148" w:rsidRPr="00631295">
        <w:rPr>
          <w:rFonts w:cs="Arial"/>
          <w:sz w:val="24"/>
          <w:szCs w:val="24"/>
        </w:rPr>
        <w:t>respondent</w:t>
      </w:r>
      <w:r w:rsidRPr="00631295">
        <w:rPr>
          <w:rFonts w:cs="Arial"/>
          <w:sz w:val="24"/>
          <w:szCs w:val="24"/>
        </w:rPr>
        <w:t xml:space="preserve"> would and could have raised an exception, but it did not, because it knew the </w:t>
      </w:r>
      <w:r w:rsidR="008A4148" w:rsidRPr="00631295">
        <w:rPr>
          <w:rFonts w:cs="Arial"/>
          <w:sz w:val="24"/>
          <w:szCs w:val="24"/>
        </w:rPr>
        <w:t>appellant</w:t>
      </w:r>
      <w:r w:rsidRPr="00631295">
        <w:rPr>
          <w:rFonts w:cs="Arial"/>
          <w:sz w:val="24"/>
          <w:szCs w:val="24"/>
        </w:rPr>
        <w:t xml:space="preserve">’s case, therefor it adopted the approach that it did.  </w:t>
      </w:r>
      <w:r w:rsidRPr="00631295">
        <w:rPr>
          <w:rFonts w:cs="Arial"/>
          <w:sz w:val="24"/>
          <w:szCs w:val="24"/>
        </w:rPr>
        <w:tab/>
      </w:r>
    </w:p>
    <w:p w14:paraId="1E36C39E" w14:textId="46F92AC2" w:rsidR="00F56610" w:rsidRPr="00631295" w:rsidRDefault="00F56610" w:rsidP="00F56610">
      <w:pPr>
        <w:pStyle w:val="ListLevel1"/>
        <w:rPr>
          <w:rFonts w:cs="Arial"/>
          <w:i/>
          <w:iCs/>
          <w:sz w:val="24"/>
          <w:szCs w:val="24"/>
        </w:rPr>
      </w:pPr>
      <w:r w:rsidRPr="00631295">
        <w:rPr>
          <w:rFonts w:cs="Arial"/>
          <w:sz w:val="24"/>
          <w:szCs w:val="24"/>
        </w:rPr>
        <w:t xml:space="preserve">In </w:t>
      </w:r>
      <w:r w:rsidRPr="00631295">
        <w:rPr>
          <w:rFonts w:cs="Arial"/>
          <w:b/>
          <w:bCs/>
          <w:sz w:val="24"/>
          <w:szCs w:val="24"/>
        </w:rPr>
        <w:t>NGUBANE v SOUTH AFRICAN TRANSPORT SERVICES</w:t>
      </w:r>
      <w:r w:rsidRPr="00631295">
        <w:rPr>
          <w:rStyle w:val="FootnoteReference"/>
          <w:rFonts w:cs="Arial"/>
          <w:sz w:val="24"/>
          <w:szCs w:val="24"/>
        </w:rPr>
        <w:footnoteReference w:id="12"/>
      </w:r>
      <w:r w:rsidRPr="00631295">
        <w:rPr>
          <w:rFonts w:cs="Arial"/>
          <w:sz w:val="24"/>
          <w:szCs w:val="24"/>
        </w:rPr>
        <w:t xml:space="preserve">, where the plaintiff, was pushed about in a crowded coach lost his grip on </w:t>
      </w:r>
      <w:r w:rsidR="000D5220" w:rsidRPr="00631295">
        <w:rPr>
          <w:rFonts w:cs="Arial"/>
          <w:sz w:val="24"/>
          <w:szCs w:val="24"/>
        </w:rPr>
        <w:t>the</w:t>
      </w:r>
      <w:r w:rsidRPr="00631295">
        <w:rPr>
          <w:rFonts w:cs="Arial"/>
          <w:sz w:val="24"/>
          <w:szCs w:val="24"/>
        </w:rPr>
        <w:t xml:space="preserve"> overhead strap, and fell out the train, the court stated, </w:t>
      </w:r>
    </w:p>
    <w:p w14:paraId="35FB5326" w14:textId="77777777" w:rsidR="00F56610" w:rsidRPr="00631295" w:rsidRDefault="00F56610" w:rsidP="00F56610">
      <w:pPr>
        <w:pStyle w:val="MSQuote"/>
        <w:rPr>
          <w:rFonts w:cs="Arial"/>
          <w:sz w:val="24"/>
          <w:szCs w:val="24"/>
        </w:rPr>
      </w:pPr>
      <w:r w:rsidRPr="00631295">
        <w:rPr>
          <w:rFonts w:cs="Arial"/>
          <w:sz w:val="24"/>
          <w:szCs w:val="24"/>
        </w:rPr>
        <w:t>“but the real cause thereof was the conduct of the railway officials in ordering or allowing the train at that stage, to proceed.”</w:t>
      </w:r>
    </w:p>
    <w:p w14:paraId="05B1AEFA" w14:textId="77777777" w:rsidR="00F56610" w:rsidRPr="00631295" w:rsidRDefault="00F56610" w:rsidP="00F56610">
      <w:pPr>
        <w:pStyle w:val="MSQuote"/>
        <w:rPr>
          <w:rFonts w:cs="Arial"/>
          <w:sz w:val="24"/>
          <w:szCs w:val="24"/>
        </w:rPr>
      </w:pPr>
      <w:r w:rsidRPr="00631295">
        <w:rPr>
          <w:rFonts w:cs="Arial"/>
          <w:sz w:val="24"/>
          <w:szCs w:val="24"/>
        </w:rPr>
        <w:t xml:space="preserve"> It was held, accordingly, that it had been proved that the negligence of the respondent’s servants had caused the appellant’s </w:t>
      </w:r>
      <w:r w:rsidR="00EE3C30" w:rsidRPr="00631295">
        <w:rPr>
          <w:rFonts w:cs="Arial"/>
          <w:sz w:val="24"/>
          <w:szCs w:val="24"/>
        </w:rPr>
        <w:t>injuries</w:t>
      </w:r>
      <w:r w:rsidRPr="00631295">
        <w:rPr>
          <w:rFonts w:cs="Arial"/>
          <w:sz w:val="24"/>
          <w:szCs w:val="24"/>
        </w:rPr>
        <w:t>.</w:t>
      </w:r>
    </w:p>
    <w:p w14:paraId="0C925BF4" w14:textId="241B7D58" w:rsidR="00F56610" w:rsidRPr="00631295" w:rsidRDefault="00F56610" w:rsidP="00F56610">
      <w:pPr>
        <w:pStyle w:val="ListLevel1"/>
        <w:rPr>
          <w:rFonts w:cs="Arial"/>
          <w:sz w:val="24"/>
          <w:szCs w:val="24"/>
          <w:u w:val="single"/>
        </w:rPr>
      </w:pPr>
      <w:r w:rsidRPr="00631295">
        <w:rPr>
          <w:rFonts w:cs="Arial"/>
          <w:sz w:val="24"/>
          <w:szCs w:val="24"/>
        </w:rPr>
        <w:lastRenderedPageBreak/>
        <w:t xml:space="preserve">In </w:t>
      </w:r>
      <w:r w:rsidRPr="00631295">
        <w:rPr>
          <w:rFonts w:cs="Arial"/>
          <w:b/>
          <w:bCs/>
          <w:sz w:val="24"/>
          <w:szCs w:val="24"/>
        </w:rPr>
        <w:t>MASHONGWA v PASSENGER RAIL AGENCY OF SOUTH AFRICA</w:t>
      </w:r>
      <w:r w:rsidR="00EE3C30" w:rsidRPr="00631295">
        <w:rPr>
          <w:rFonts w:cs="Arial"/>
          <w:bCs/>
          <w:sz w:val="24"/>
          <w:szCs w:val="24"/>
        </w:rPr>
        <w:t>,</w:t>
      </w:r>
      <w:r w:rsidRPr="00631295">
        <w:rPr>
          <w:rStyle w:val="FootnoteReference"/>
          <w:rFonts w:cs="Arial"/>
          <w:sz w:val="24"/>
          <w:szCs w:val="24"/>
        </w:rPr>
        <w:footnoteReference w:id="13"/>
      </w:r>
      <w:r w:rsidRPr="00631295">
        <w:rPr>
          <w:rFonts w:cs="Arial"/>
          <w:sz w:val="24"/>
          <w:szCs w:val="24"/>
        </w:rPr>
        <w:t xml:space="preserve"> Khampepe J referred to </w:t>
      </w:r>
      <w:r w:rsidR="000D5220" w:rsidRPr="00631295">
        <w:rPr>
          <w:rFonts w:cs="Arial"/>
          <w:sz w:val="24"/>
          <w:szCs w:val="24"/>
        </w:rPr>
        <w:t xml:space="preserve">the judgment in </w:t>
      </w:r>
      <w:r w:rsidRPr="00631295">
        <w:rPr>
          <w:rFonts w:cs="Arial"/>
          <w:b/>
          <w:bCs/>
          <w:sz w:val="24"/>
          <w:szCs w:val="24"/>
        </w:rPr>
        <w:t>COUNTRY CLOUD</w:t>
      </w:r>
      <w:r w:rsidR="0011555C" w:rsidRPr="00631295">
        <w:rPr>
          <w:rFonts w:cs="Arial"/>
          <w:b/>
          <w:bCs/>
          <w:sz w:val="24"/>
          <w:szCs w:val="24"/>
        </w:rPr>
        <w:t xml:space="preserve"> TRADING CC</w:t>
      </w:r>
      <w:r w:rsidR="00631295" w:rsidRPr="00631295">
        <w:rPr>
          <w:rFonts w:cs="Arial"/>
          <w:bCs/>
          <w:sz w:val="24"/>
          <w:szCs w:val="24"/>
        </w:rPr>
        <w:t>:</w:t>
      </w:r>
      <w:r w:rsidRPr="00631295">
        <w:rPr>
          <w:rStyle w:val="FootnoteReference"/>
          <w:rFonts w:cs="Arial"/>
          <w:sz w:val="24"/>
          <w:szCs w:val="24"/>
        </w:rPr>
        <w:footnoteReference w:id="14"/>
      </w:r>
      <w:r w:rsidRPr="00631295">
        <w:rPr>
          <w:rFonts w:cs="Arial"/>
          <w:sz w:val="24"/>
          <w:szCs w:val="24"/>
        </w:rPr>
        <w:t xml:space="preserve"> </w:t>
      </w:r>
    </w:p>
    <w:p w14:paraId="65DE5CC8" w14:textId="77777777" w:rsidR="00F56610" w:rsidRPr="00631295" w:rsidRDefault="00F56610" w:rsidP="00F56610">
      <w:pPr>
        <w:pStyle w:val="MSQuote"/>
        <w:rPr>
          <w:rFonts w:cs="Arial"/>
          <w:sz w:val="24"/>
          <w:szCs w:val="24"/>
        </w:rPr>
      </w:pPr>
      <w:r w:rsidRPr="00631295">
        <w:rPr>
          <w:rFonts w:cs="Arial"/>
          <w:sz w:val="24"/>
          <w:szCs w:val="24"/>
        </w:rPr>
        <w:t>“wrongfulness is generally uncontentious in cases of positive conduct that harms the person or property of another.  Conduct of this kind is prima facie wrongful.”  The Honourable Judge went on to state:</w:t>
      </w:r>
    </w:p>
    <w:p w14:paraId="1E9A46E4" w14:textId="77777777" w:rsidR="00F56610" w:rsidRPr="00631295" w:rsidRDefault="00F56610" w:rsidP="00F56610">
      <w:pPr>
        <w:pStyle w:val="MSQuote"/>
        <w:rPr>
          <w:rFonts w:cs="Arial"/>
          <w:sz w:val="24"/>
          <w:szCs w:val="24"/>
        </w:rPr>
      </w:pPr>
      <w:r w:rsidRPr="00631295">
        <w:rPr>
          <w:rFonts w:cs="Arial"/>
          <w:sz w:val="24"/>
          <w:szCs w:val="24"/>
        </w:rPr>
        <w:t>“In my view that principle remains true whether one is dealing with positive conduct, such as assault…, or negative conduct where it is a pre existing duty, such as the failure to provide safety equipment in a factory or to protect a vulnerable person from harm.” Apart from a contractual obligation between the carrier and the passenger, PRASA has a public law obligation, which “if breached is wrongful in the delictual sense and could attract liability for damages.”</w:t>
      </w:r>
      <w:r w:rsidRPr="00631295">
        <w:rPr>
          <w:rStyle w:val="FootnoteReference"/>
          <w:rFonts w:cs="Arial"/>
          <w:sz w:val="24"/>
          <w:szCs w:val="24"/>
        </w:rPr>
        <w:footnoteReference w:id="15"/>
      </w:r>
    </w:p>
    <w:p w14:paraId="1F9E5154" w14:textId="00DCBD87" w:rsidR="00F56610" w:rsidRPr="00631295" w:rsidRDefault="00F56610" w:rsidP="00F56610">
      <w:pPr>
        <w:pStyle w:val="ListLevel1"/>
        <w:rPr>
          <w:rFonts w:cs="Arial"/>
          <w:sz w:val="24"/>
          <w:szCs w:val="24"/>
        </w:rPr>
      </w:pPr>
      <w:r w:rsidRPr="00631295">
        <w:rPr>
          <w:rFonts w:cs="Arial"/>
          <w:sz w:val="24"/>
          <w:szCs w:val="24"/>
        </w:rPr>
        <w:t xml:space="preserve">In </w:t>
      </w:r>
      <w:r w:rsidRPr="00631295">
        <w:rPr>
          <w:rFonts w:cs="Arial"/>
          <w:b/>
          <w:bCs/>
          <w:sz w:val="24"/>
          <w:szCs w:val="24"/>
        </w:rPr>
        <w:t>MASHONGWA</w:t>
      </w:r>
      <w:r w:rsidRPr="00631295">
        <w:rPr>
          <w:rStyle w:val="FootnoteReference"/>
          <w:rFonts w:cs="Arial"/>
          <w:sz w:val="24"/>
          <w:szCs w:val="24"/>
        </w:rPr>
        <w:footnoteReference w:id="16"/>
      </w:r>
      <w:r w:rsidR="00EE3C30" w:rsidRPr="00631295">
        <w:rPr>
          <w:rFonts w:cs="Arial"/>
          <w:b/>
          <w:bCs/>
          <w:sz w:val="24"/>
          <w:szCs w:val="24"/>
        </w:rPr>
        <w:t xml:space="preserve"> </w:t>
      </w:r>
      <w:r w:rsidRPr="00631295">
        <w:rPr>
          <w:rFonts w:cs="Arial"/>
          <w:sz w:val="24"/>
          <w:szCs w:val="24"/>
        </w:rPr>
        <w:t xml:space="preserve">supra, the court adopted the traditional test to determine causation, the but for test.  </w:t>
      </w:r>
      <w:r w:rsidR="0011555C" w:rsidRPr="00631295">
        <w:rPr>
          <w:rFonts w:cs="Arial"/>
          <w:sz w:val="24"/>
          <w:szCs w:val="24"/>
        </w:rPr>
        <w:t xml:space="preserve">We are of the view the test is appropriate in casu and the </w:t>
      </w:r>
      <w:r w:rsidRPr="00631295">
        <w:rPr>
          <w:rFonts w:cs="Arial"/>
          <w:sz w:val="24"/>
          <w:szCs w:val="24"/>
        </w:rPr>
        <w:t>approach to adopt is, “</w:t>
      </w:r>
      <w:r w:rsidRPr="00631295">
        <w:rPr>
          <w:rFonts w:cs="Arial"/>
          <w:i/>
          <w:sz w:val="24"/>
          <w:szCs w:val="24"/>
        </w:rPr>
        <w:t xml:space="preserve">had the doors of the coach in which the </w:t>
      </w:r>
      <w:r w:rsidR="008A4148" w:rsidRPr="00631295">
        <w:rPr>
          <w:rFonts w:cs="Arial"/>
          <w:i/>
          <w:sz w:val="24"/>
          <w:szCs w:val="24"/>
        </w:rPr>
        <w:t>appellant</w:t>
      </w:r>
      <w:r w:rsidRPr="00631295">
        <w:rPr>
          <w:rFonts w:cs="Arial"/>
          <w:i/>
          <w:sz w:val="24"/>
          <w:szCs w:val="24"/>
        </w:rPr>
        <w:t xml:space="preserve"> was travelling been closed, the </w:t>
      </w:r>
      <w:r w:rsidR="008A4148" w:rsidRPr="00631295">
        <w:rPr>
          <w:rFonts w:cs="Arial"/>
          <w:i/>
          <w:sz w:val="24"/>
          <w:szCs w:val="24"/>
        </w:rPr>
        <w:t>appellant</w:t>
      </w:r>
      <w:r w:rsidRPr="00631295">
        <w:rPr>
          <w:rFonts w:cs="Arial"/>
          <w:i/>
          <w:sz w:val="24"/>
          <w:szCs w:val="24"/>
        </w:rPr>
        <w:t xml:space="preserve"> would not have fallen out the coach whilst the train was moving</w:t>
      </w:r>
      <w:r w:rsidRPr="00631295">
        <w:rPr>
          <w:rFonts w:cs="Arial"/>
          <w:sz w:val="24"/>
          <w:szCs w:val="24"/>
        </w:rPr>
        <w:t xml:space="preserve">.”  </w:t>
      </w:r>
    </w:p>
    <w:p w14:paraId="495AA180" w14:textId="77777777" w:rsidR="00401D1D" w:rsidRPr="00631295" w:rsidRDefault="002019D0" w:rsidP="00EE3C30">
      <w:pPr>
        <w:pStyle w:val="ListLevel1"/>
        <w:rPr>
          <w:rFonts w:cs="Arial"/>
          <w:sz w:val="24"/>
          <w:szCs w:val="24"/>
        </w:rPr>
      </w:pPr>
      <w:r w:rsidRPr="00631295">
        <w:rPr>
          <w:rFonts w:cs="Arial"/>
          <w:sz w:val="24"/>
          <w:szCs w:val="24"/>
        </w:rPr>
        <w:lastRenderedPageBreak/>
        <w:t xml:space="preserve">On consideration of the judgment of the court a quo at paragraph 59 </w:t>
      </w:r>
      <w:r w:rsidRPr="00631295">
        <w:rPr>
          <w:rStyle w:val="FootnoteReference"/>
          <w:rFonts w:cs="Arial"/>
          <w:sz w:val="24"/>
          <w:szCs w:val="24"/>
        </w:rPr>
        <w:footnoteReference w:id="17"/>
      </w:r>
      <w:r w:rsidRPr="00631295">
        <w:rPr>
          <w:rFonts w:cs="Arial"/>
          <w:sz w:val="24"/>
          <w:szCs w:val="24"/>
        </w:rPr>
        <w:t xml:space="preserve">, the appellant’s reliance of the two cases referred to </w:t>
      </w:r>
      <w:r w:rsidR="00DD36F7" w:rsidRPr="00631295">
        <w:rPr>
          <w:rFonts w:cs="Arial"/>
          <w:sz w:val="24"/>
          <w:szCs w:val="24"/>
        </w:rPr>
        <w:t>i.e.,</w:t>
      </w:r>
      <w:r w:rsidRPr="00631295">
        <w:rPr>
          <w:rFonts w:cs="Arial"/>
          <w:sz w:val="24"/>
          <w:szCs w:val="24"/>
        </w:rPr>
        <w:t xml:space="preserve"> Mashongwa and the Rail Commuter’s Action Group, were for </w:t>
      </w:r>
      <w:r w:rsidR="00482BBE" w:rsidRPr="00631295">
        <w:rPr>
          <w:rFonts w:cs="Arial"/>
          <w:sz w:val="24"/>
          <w:szCs w:val="24"/>
        </w:rPr>
        <w:t>distinct reasons</w:t>
      </w:r>
      <w:r w:rsidRPr="00631295">
        <w:rPr>
          <w:rFonts w:cs="Arial"/>
          <w:sz w:val="24"/>
          <w:szCs w:val="24"/>
        </w:rPr>
        <w:t xml:space="preserve">.  </w:t>
      </w:r>
    </w:p>
    <w:p w14:paraId="211F94C2" w14:textId="77777777" w:rsidR="00401D1D" w:rsidRPr="00631295" w:rsidRDefault="002019D0" w:rsidP="00401D1D">
      <w:pPr>
        <w:pStyle w:val="ListLevel2"/>
        <w:rPr>
          <w:sz w:val="24"/>
          <w:szCs w:val="24"/>
        </w:rPr>
      </w:pPr>
      <w:r w:rsidRPr="00631295">
        <w:rPr>
          <w:sz w:val="24"/>
          <w:szCs w:val="24"/>
        </w:rPr>
        <w:t xml:space="preserve">The appellant relied on the Rail Commuters case to demonstrate that the court granted a </w:t>
      </w:r>
      <w:r w:rsidR="00401D1D" w:rsidRPr="00631295">
        <w:rPr>
          <w:sz w:val="24"/>
          <w:szCs w:val="24"/>
        </w:rPr>
        <w:t>“</w:t>
      </w:r>
      <w:r w:rsidRPr="00631295">
        <w:rPr>
          <w:sz w:val="24"/>
          <w:szCs w:val="24"/>
        </w:rPr>
        <w:t>declarator which established the legal and constitutional duties of the respondent.</w:t>
      </w:r>
      <w:r w:rsidR="00401D1D" w:rsidRPr="00631295">
        <w:rPr>
          <w:sz w:val="24"/>
          <w:szCs w:val="24"/>
        </w:rPr>
        <w:t>”</w:t>
      </w:r>
      <w:r w:rsidRPr="00631295">
        <w:rPr>
          <w:sz w:val="24"/>
          <w:szCs w:val="24"/>
        </w:rPr>
        <w:t xml:space="preserve"> </w:t>
      </w:r>
    </w:p>
    <w:p w14:paraId="3DD91633" w14:textId="0041E6A2" w:rsidR="000713AA" w:rsidRPr="00631295" w:rsidRDefault="002019D0" w:rsidP="00401D1D">
      <w:pPr>
        <w:pStyle w:val="ListLevel2"/>
        <w:rPr>
          <w:sz w:val="24"/>
          <w:szCs w:val="24"/>
        </w:rPr>
      </w:pPr>
      <w:r w:rsidRPr="00631295">
        <w:rPr>
          <w:sz w:val="24"/>
          <w:szCs w:val="24"/>
        </w:rPr>
        <w:t>The appellant relied on the Mashongwa case to demonstrate that the</w:t>
      </w:r>
      <w:r w:rsidR="00401D1D" w:rsidRPr="00631295">
        <w:rPr>
          <w:sz w:val="24"/>
          <w:szCs w:val="24"/>
        </w:rPr>
        <w:t xml:space="preserve"> “</w:t>
      </w:r>
      <w:r w:rsidRPr="00631295">
        <w:rPr>
          <w:sz w:val="24"/>
          <w:szCs w:val="24"/>
        </w:rPr>
        <w:t>Constitutional Court has confirmed that open doors ma</w:t>
      </w:r>
      <w:r w:rsidR="008A4148" w:rsidRPr="00631295">
        <w:rPr>
          <w:sz w:val="24"/>
          <w:szCs w:val="24"/>
        </w:rPr>
        <w:t>k</w:t>
      </w:r>
      <w:r w:rsidRPr="00631295">
        <w:rPr>
          <w:sz w:val="24"/>
          <w:szCs w:val="24"/>
        </w:rPr>
        <w:t>e no sense on any moving train</w:t>
      </w:r>
      <w:r w:rsidR="00401D1D" w:rsidRPr="00631295">
        <w:rPr>
          <w:sz w:val="24"/>
          <w:szCs w:val="24"/>
        </w:rPr>
        <w:t>”</w:t>
      </w:r>
      <w:r w:rsidRPr="00631295">
        <w:rPr>
          <w:sz w:val="24"/>
          <w:szCs w:val="24"/>
        </w:rPr>
        <w:t xml:space="preserve"> serviced by the respondent, it must attract liability in delict.  Mr Mtombeni </w:t>
      </w:r>
      <w:r w:rsidR="00D360F5" w:rsidRPr="00631295">
        <w:rPr>
          <w:sz w:val="24"/>
          <w:szCs w:val="24"/>
        </w:rPr>
        <w:t xml:space="preserve">in his argument referred to the cases interchangeably at various times.  </w:t>
      </w:r>
    </w:p>
    <w:p w14:paraId="6B75EF87" w14:textId="53BA995F" w:rsidR="00597C0B" w:rsidRPr="00631295" w:rsidRDefault="00A877C5" w:rsidP="00422328">
      <w:pPr>
        <w:pStyle w:val="ListLevel1"/>
        <w:rPr>
          <w:sz w:val="24"/>
          <w:szCs w:val="24"/>
        </w:rPr>
      </w:pPr>
      <w:r w:rsidRPr="00631295">
        <w:rPr>
          <w:sz w:val="24"/>
          <w:szCs w:val="24"/>
        </w:rPr>
        <w:t>We are of the view that the court a quo rather than to have distinguished the facts in casu from those in Ma</w:t>
      </w:r>
      <w:r w:rsidR="00E2762E" w:rsidRPr="00631295">
        <w:rPr>
          <w:sz w:val="24"/>
          <w:szCs w:val="24"/>
        </w:rPr>
        <w:t>s</w:t>
      </w:r>
      <w:r w:rsidRPr="00631295">
        <w:rPr>
          <w:sz w:val="24"/>
          <w:szCs w:val="24"/>
        </w:rPr>
        <w:t>hongwa,</w:t>
      </w:r>
      <w:r w:rsidR="00E2762E" w:rsidRPr="00631295">
        <w:rPr>
          <w:rStyle w:val="FootnoteReference"/>
          <w:rFonts w:cs="Arial"/>
          <w:sz w:val="24"/>
          <w:szCs w:val="24"/>
        </w:rPr>
        <w:footnoteReference w:id="18"/>
      </w:r>
      <w:r w:rsidRPr="00631295">
        <w:rPr>
          <w:sz w:val="24"/>
          <w:szCs w:val="24"/>
        </w:rPr>
        <w:t xml:space="preserve"> ought to have </w:t>
      </w:r>
      <w:r w:rsidR="00E2762E" w:rsidRPr="00631295">
        <w:rPr>
          <w:sz w:val="24"/>
          <w:szCs w:val="24"/>
        </w:rPr>
        <w:t xml:space="preserve">followed the established fact, as followed in </w:t>
      </w:r>
      <w:r w:rsidR="00E2762E" w:rsidRPr="00631295">
        <w:rPr>
          <w:b/>
          <w:bCs/>
          <w:sz w:val="24"/>
          <w:szCs w:val="24"/>
        </w:rPr>
        <w:t>RAUTINI v</w:t>
      </w:r>
      <w:r w:rsidR="00495B14" w:rsidRPr="00631295">
        <w:rPr>
          <w:b/>
          <w:bCs/>
          <w:sz w:val="24"/>
          <w:szCs w:val="24"/>
        </w:rPr>
        <w:t xml:space="preserve"> PASSENGER RAIL AGENCY OF SOUTH AFRICA</w:t>
      </w:r>
      <w:r w:rsidR="00597C0B" w:rsidRPr="00631295">
        <w:rPr>
          <w:sz w:val="24"/>
          <w:szCs w:val="24"/>
        </w:rPr>
        <w:t>,</w:t>
      </w:r>
      <w:r w:rsidR="00495B14" w:rsidRPr="00631295">
        <w:rPr>
          <w:rStyle w:val="FootnoteReference"/>
          <w:rFonts w:cs="Arial"/>
          <w:sz w:val="24"/>
          <w:szCs w:val="24"/>
        </w:rPr>
        <w:footnoteReference w:id="19"/>
      </w:r>
    </w:p>
    <w:p w14:paraId="244D97C8" w14:textId="2B71630F" w:rsidR="00A877C5" w:rsidRPr="00631295" w:rsidRDefault="003F49A9" w:rsidP="00597C0B">
      <w:pPr>
        <w:pStyle w:val="ListLevel1"/>
        <w:numPr>
          <w:ilvl w:val="0"/>
          <w:numId w:val="0"/>
        </w:numPr>
        <w:ind w:left="851"/>
        <w:rPr>
          <w:rFonts w:cs="Arial"/>
          <w:i/>
          <w:iCs/>
          <w:sz w:val="24"/>
          <w:szCs w:val="24"/>
        </w:rPr>
      </w:pPr>
      <w:r w:rsidRPr="00631295">
        <w:rPr>
          <w:rFonts w:cs="Arial"/>
          <w:sz w:val="24"/>
          <w:szCs w:val="24"/>
        </w:rPr>
        <w:t xml:space="preserve"> </w:t>
      </w:r>
      <w:r w:rsidRPr="00631295">
        <w:rPr>
          <w:rFonts w:cs="Arial"/>
          <w:i/>
          <w:iCs/>
          <w:sz w:val="24"/>
          <w:szCs w:val="24"/>
        </w:rPr>
        <w:t>“</w:t>
      </w:r>
      <w:r w:rsidR="00A877C5" w:rsidRPr="00631295">
        <w:rPr>
          <w:rFonts w:cs="Arial"/>
          <w:i/>
          <w:iCs/>
          <w:sz w:val="24"/>
          <w:szCs w:val="24"/>
        </w:rPr>
        <w:t>the Constitutional Court in M</w:t>
      </w:r>
      <w:r w:rsidRPr="00631295">
        <w:rPr>
          <w:rFonts w:cs="Arial"/>
          <w:i/>
          <w:iCs/>
          <w:sz w:val="24"/>
          <w:szCs w:val="24"/>
        </w:rPr>
        <w:t>a</w:t>
      </w:r>
      <w:r w:rsidR="00A877C5" w:rsidRPr="00631295">
        <w:rPr>
          <w:rFonts w:cs="Arial"/>
          <w:i/>
          <w:iCs/>
          <w:sz w:val="24"/>
          <w:szCs w:val="24"/>
        </w:rPr>
        <w:t xml:space="preserve">shongwa v PRASA, held that open doors constituted negligence on the part of PRASA and that PRASA’s failure to </w:t>
      </w:r>
      <w:r w:rsidR="00A877C5" w:rsidRPr="00631295">
        <w:rPr>
          <w:rFonts w:cs="Arial"/>
          <w:i/>
          <w:iCs/>
          <w:sz w:val="24"/>
          <w:szCs w:val="24"/>
        </w:rPr>
        <w:lastRenderedPageBreak/>
        <w:t xml:space="preserve">keep the doors closed while the train was in </w:t>
      </w:r>
      <w:r w:rsidR="001A1DB0" w:rsidRPr="00631295">
        <w:rPr>
          <w:rFonts w:cs="Arial"/>
          <w:i/>
          <w:iCs/>
          <w:sz w:val="24"/>
          <w:szCs w:val="24"/>
        </w:rPr>
        <w:t>motion</w:t>
      </w:r>
      <w:r w:rsidR="00A877C5" w:rsidRPr="00631295">
        <w:rPr>
          <w:rFonts w:cs="Arial"/>
          <w:i/>
          <w:iCs/>
          <w:sz w:val="24"/>
          <w:szCs w:val="24"/>
        </w:rPr>
        <w:t>, attracted liability</w:t>
      </w:r>
      <w:r w:rsidR="00413F66" w:rsidRPr="00631295">
        <w:rPr>
          <w:rFonts w:cs="Arial"/>
          <w:i/>
          <w:iCs/>
          <w:sz w:val="24"/>
          <w:szCs w:val="24"/>
        </w:rPr>
        <w:t>.</w:t>
      </w:r>
      <w:r w:rsidRPr="00631295">
        <w:rPr>
          <w:rFonts w:cs="Arial"/>
          <w:i/>
          <w:iCs/>
          <w:sz w:val="24"/>
          <w:szCs w:val="24"/>
        </w:rPr>
        <w:t xml:space="preserve">  In essence</w:t>
      </w:r>
      <w:r w:rsidR="00597C0B" w:rsidRPr="00631295">
        <w:rPr>
          <w:rFonts w:cs="Arial"/>
          <w:i/>
          <w:iCs/>
          <w:sz w:val="24"/>
          <w:szCs w:val="24"/>
        </w:rPr>
        <w:t>, the appellant would not have suffered injuries in the manner he did if the carriage doors were closed while the train was in motion.”</w:t>
      </w:r>
    </w:p>
    <w:p w14:paraId="58BA9692" w14:textId="1A194FC8" w:rsidR="0011555C" w:rsidRPr="00631295" w:rsidRDefault="00F56610" w:rsidP="00EE3C30">
      <w:pPr>
        <w:pStyle w:val="ListLevel1"/>
        <w:rPr>
          <w:rFonts w:cs="Arial"/>
          <w:sz w:val="24"/>
          <w:szCs w:val="24"/>
        </w:rPr>
      </w:pPr>
      <w:r w:rsidRPr="00631295">
        <w:rPr>
          <w:rFonts w:cs="Arial"/>
          <w:sz w:val="24"/>
          <w:szCs w:val="24"/>
        </w:rPr>
        <w:t xml:space="preserve">We disagree with Mr Mashaba on his submission </w:t>
      </w:r>
      <w:r w:rsidR="003E1F42" w:rsidRPr="00631295">
        <w:rPr>
          <w:rFonts w:cs="Arial"/>
          <w:sz w:val="24"/>
          <w:szCs w:val="24"/>
        </w:rPr>
        <w:t>that</w:t>
      </w:r>
      <w:r w:rsidR="001A1DB0" w:rsidRPr="00631295">
        <w:rPr>
          <w:rFonts w:cs="Arial"/>
          <w:sz w:val="24"/>
          <w:szCs w:val="24"/>
        </w:rPr>
        <w:t>,</w:t>
      </w:r>
      <w:r w:rsidR="003E1F42" w:rsidRPr="00631295">
        <w:rPr>
          <w:rFonts w:cs="Arial"/>
          <w:sz w:val="24"/>
          <w:szCs w:val="24"/>
        </w:rPr>
        <w:t xml:space="preserve"> </w:t>
      </w:r>
      <w:r w:rsidRPr="00631295">
        <w:rPr>
          <w:rFonts w:cs="Arial"/>
          <w:sz w:val="24"/>
          <w:szCs w:val="24"/>
        </w:rPr>
        <w:t>based on the plaintiff’s concession that the doors were closed until Orlando station, the doors were working and therefore the respondent had complied with its duties, as “nothing happened through the other stations until the Midway station.”</w:t>
      </w:r>
      <w:r w:rsidRPr="00631295">
        <w:rPr>
          <w:rStyle w:val="FootnoteReference"/>
          <w:rFonts w:cs="Arial"/>
          <w:sz w:val="24"/>
          <w:szCs w:val="24"/>
        </w:rPr>
        <w:footnoteReference w:id="20"/>
      </w:r>
    </w:p>
    <w:p w14:paraId="3918881B" w14:textId="26024027" w:rsidR="001A1DB0" w:rsidRPr="00631295" w:rsidRDefault="001A1DB0" w:rsidP="001A1DB0">
      <w:pPr>
        <w:pStyle w:val="ListLevel2"/>
        <w:numPr>
          <w:ilvl w:val="0"/>
          <w:numId w:val="0"/>
        </w:numPr>
        <w:ind w:left="1440" w:hanging="720"/>
        <w:rPr>
          <w:sz w:val="24"/>
          <w:szCs w:val="24"/>
        </w:rPr>
      </w:pPr>
      <w:r w:rsidRPr="00631295">
        <w:rPr>
          <w:sz w:val="24"/>
          <w:szCs w:val="24"/>
        </w:rPr>
        <w:t>45.1</w:t>
      </w:r>
      <w:r w:rsidRPr="00631295">
        <w:rPr>
          <w:sz w:val="24"/>
          <w:szCs w:val="24"/>
        </w:rPr>
        <w:tab/>
      </w:r>
      <w:r w:rsidR="00F56610" w:rsidRPr="00631295">
        <w:rPr>
          <w:sz w:val="24"/>
          <w:szCs w:val="24"/>
        </w:rPr>
        <w:t>Counsel suggest</w:t>
      </w:r>
      <w:r w:rsidR="009648E2" w:rsidRPr="00631295">
        <w:rPr>
          <w:sz w:val="24"/>
          <w:szCs w:val="24"/>
        </w:rPr>
        <w:t>s</w:t>
      </w:r>
      <w:r w:rsidR="00F56610" w:rsidRPr="00631295">
        <w:rPr>
          <w:sz w:val="24"/>
          <w:szCs w:val="24"/>
        </w:rPr>
        <w:t xml:space="preserve"> that for as long as nothing happened, it was permissible for the doors to be kept open.</w:t>
      </w:r>
    </w:p>
    <w:p w14:paraId="26D34B4C" w14:textId="3EC69836" w:rsidR="00817048" w:rsidRPr="00631295" w:rsidRDefault="001A1DB0" w:rsidP="001A1DB0">
      <w:pPr>
        <w:pStyle w:val="ListLevel2"/>
        <w:numPr>
          <w:ilvl w:val="0"/>
          <w:numId w:val="0"/>
        </w:numPr>
        <w:ind w:left="1440" w:hanging="720"/>
        <w:rPr>
          <w:rFonts w:cs="Arial"/>
          <w:sz w:val="24"/>
          <w:szCs w:val="24"/>
        </w:rPr>
      </w:pPr>
      <w:r w:rsidRPr="00631295">
        <w:rPr>
          <w:rFonts w:cs="Arial"/>
          <w:sz w:val="24"/>
          <w:szCs w:val="24"/>
        </w:rPr>
        <w:t>45.2</w:t>
      </w:r>
      <w:r w:rsidRPr="00631295">
        <w:rPr>
          <w:rFonts w:cs="Arial"/>
          <w:sz w:val="24"/>
          <w:szCs w:val="24"/>
        </w:rPr>
        <w:tab/>
      </w:r>
      <w:r w:rsidR="00F56610" w:rsidRPr="00631295">
        <w:rPr>
          <w:rFonts w:cs="Arial"/>
          <w:sz w:val="24"/>
          <w:szCs w:val="24"/>
        </w:rPr>
        <w:t xml:space="preserve">It is clear from </w:t>
      </w:r>
      <w:r w:rsidR="009648E2" w:rsidRPr="00631295">
        <w:rPr>
          <w:rFonts w:cs="Arial"/>
          <w:sz w:val="24"/>
          <w:szCs w:val="24"/>
        </w:rPr>
        <w:t>all</w:t>
      </w:r>
      <w:r w:rsidR="00F56610" w:rsidRPr="00631295">
        <w:rPr>
          <w:rFonts w:cs="Arial"/>
          <w:sz w:val="24"/>
          <w:szCs w:val="24"/>
        </w:rPr>
        <w:t xml:space="preserve"> the authorities</w:t>
      </w:r>
      <w:r w:rsidR="009648E2" w:rsidRPr="00631295">
        <w:rPr>
          <w:rFonts w:cs="Arial"/>
          <w:sz w:val="24"/>
          <w:szCs w:val="24"/>
        </w:rPr>
        <w:t>,</w:t>
      </w:r>
      <w:r w:rsidR="00F56610" w:rsidRPr="00631295">
        <w:rPr>
          <w:rFonts w:cs="Arial"/>
          <w:sz w:val="24"/>
          <w:szCs w:val="24"/>
        </w:rPr>
        <w:t xml:space="preserve"> open doors are the very basis for liability, it is wrongful, </w:t>
      </w:r>
      <w:r w:rsidR="00F76525" w:rsidRPr="00631295">
        <w:rPr>
          <w:rFonts w:cs="Arial"/>
          <w:sz w:val="24"/>
          <w:szCs w:val="24"/>
        </w:rPr>
        <w:t xml:space="preserve">and </w:t>
      </w:r>
      <w:r w:rsidR="00F56610" w:rsidRPr="00631295">
        <w:rPr>
          <w:rFonts w:cs="Arial"/>
          <w:sz w:val="24"/>
          <w:szCs w:val="24"/>
        </w:rPr>
        <w:t xml:space="preserve">by no stretch of one’s imagination, could the legal convictions of any community condone such an omission.  </w:t>
      </w:r>
    </w:p>
    <w:p w14:paraId="3443EB99" w14:textId="1C482DA3" w:rsidR="003E1F42" w:rsidRPr="00631295" w:rsidRDefault="00F56610" w:rsidP="00817048">
      <w:pPr>
        <w:pStyle w:val="ListLevel1"/>
        <w:rPr>
          <w:sz w:val="24"/>
          <w:szCs w:val="24"/>
        </w:rPr>
      </w:pPr>
      <w:r w:rsidRPr="00631295">
        <w:rPr>
          <w:sz w:val="24"/>
          <w:szCs w:val="24"/>
        </w:rPr>
        <w:t>The</w:t>
      </w:r>
      <w:r w:rsidR="00F76525" w:rsidRPr="00631295">
        <w:rPr>
          <w:sz w:val="24"/>
          <w:szCs w:val="24"/>
        </w:rPr>
        <w:t xml:space="preserve"> appellant’s evidence </w:t>
      </w:r>
      <w:r w:rsidR="003E1F42" w:rsidRPr="00631295">
        <w:rPr>
          <w:sz w:val="24"/>
          <w:szCs w:val="24"/>
        </w:rPr>
        <w:t xml:space="preserve">that she sustained her </w:t>
      </w:r>
      <w:r w:rsidR="00F76525" w:rsidRPr="00631295">
        <w:rPr>
          <w:sz w:val="24"/>
          <w:szCs w:val="24"/>
        </w:rPr>
        <w:t xml:space="preserve">injury from falling out the moving train with open doors remained </w:t>
      </w:r>
      <w:r w:rsidR="00453A77" w:rsidRPr="00631295">
        <w:rPr>
          <w:sz w:val="24"/>
          <w:szCs w:val="24"/>
        </w:rPr>
        <w:t xml:space="preserve">uncontroverted. </w:t>
      </w:r>
      <w:r w:rsidR="00F76525" w:rsidRPr="00631295">
        <w:rPr>
          <w:sz w:val="24"/>
          <w:szCs w:val="24"/>
        </w:rPr>
        <w:t xml:space="preserve"> </w:t>
      </w:r>
      <w:r w:rsidRPr="00631295">
        <w:rPr>
          <w:sz w:val="24"/>
          <w:szCs w:val="24"/>
        </w:rPr>
        <w:t>“</w:t>
      </w:r>
      <w:r w:rsidRPr="00631295">
        <w:rPr>
          <w:i/>
          <w:iCs/>
          <w:sz w:val="24"/>
          <w:szCs w:val="24"/>
        </w:rPr>
        <w:t>When proximity has been established, then liability ought to be imputed to the</w:t>
      </w:r>
      <w:r w:rsidRPr="00631295">
        <w:rPr>
          <w:sz w:val="24"/>
          <w:szCs w:val="24"/>
        </w:rPr>
        <w:t xml:space="preserve"> </w:t>
      </w:r>
      <w:r w:rsidRPr="00C5273F">
        <w:rPr>
          <w:sz w:val="24"/>
          <w:szCs w:val="24"/>
        </w:rPr>
        <w:t>wrongdoer</w:t>
      </w:r>
      <w:r w:rsidRPr="00631295">
        <w:rPr>
          <w:b/>
          <w:bCs/>
          <w:sz w:val="24"/>
          <w:szCs w:val="24"/>
        </w:rPr>
        <w:t>.</w:t>
      </w:r>
      <w:r w:rsidRPr="00631295">
        <w:rPr>
          <w:sz w:val="24"/>
          <w:szCs w:val="24"/>
        </w:rPr>
        <w:t>”</w:t>
      </w:r>
      <w:r w:rsidRPr="00631295">
        <w:rPr>
          <w:rStyle w:val="FootnoteReference"/>
          <w:rFonts w:cs="Arial"/>
          <w:sz w:val="24"/>
          <w:szCs w:val="24"/>
        </w:rPr>
        <w:footnoteReference w:id="21"/>
      </w:r>
      <w:r w:rsidRPr="00631295">
        <w:rPr>
          <w:sz w:val="24"/>
          <w:szCs w:val="24"/>
        </w:rPr>
        <w:t xml:space="preserve">  The court held, </w:t>
      </w:r>
    </w:p>
    <w:p w14:paraId="454F0CCF" w14:textId="3638989F" w:rsidR="00F76525" w:rsidRPr="00631295" w:rsidRDefault="00F56610" w:rsidP="003E1F42">
      <w:pPr>
        <w:pStyle w:val="ListLevel1"/>
        <w:numPr>
          <w:ilvl w:val="0"/>
          <w:numId w:val="0"/>
        </w:numPr>
        <w:ind w:left="720"/>
        <w:rPr>
          <w:rFonts w:cs="Arial"/>
          <w:sz w:val="24"/>
          <w:szCs w:val="24"/>
        </w:rPr>
      </w:pPr>
      <w:r w:rsidRPr="00631295">
        <w:rPr>
          <w:rFonts w:cs="Arial"/>
          <w:i/>
          <w:iCs/>
          <w:sz w:val="24"/>
          <w:szCs w:val="24"/>
        </w:rPr>
        <w:lastRenderedPageBreak/>
        <w:t xml:space="preserve">“PRASA’s failure to keep the doors closed while the train was in motion is the kind of conduct that ought to attract liability, </w:t>
      </w:r>
      <w:r w:rsidR="00DD36F7" w:rsidRPr="00631295">
        <w:rPr>
          <w:rFonts w:cs="Arial"/>
          <w:i/>
          <w:iCs/>
          <w:sz w:val="24"/>
          <w:szCs w:val="24"/>
        </w:rPr>
        <w:t xml:space="preserve"> ...</w:t>
      </w:r>
      <w:r w:rsidRPr="00631295">
        <w:rPr>
          <w:rFonts w:cs="Arial"/>
          <w:i/>
          <w:iCs/>
          <w:sz w:val="24"/>
          <w:szCs w:val="24"/>
        </w:rPr>
        <w:t xml:space="preserve"> the court held “it is thus reasonable, fair and just that liability be imputed to Prasa</w:t>
      </w:r>
      <w:r w:rsidR="00121EA2" w:rsidRPr="00631295">
        <w:rPr>
          <w:rFonts w:cs="Arial"/>
          <w:i/>
          <w:iCs/>
          <w:sz w:val="24"/>
          <w:szCs w:val="24"/>
        </w:rPr>
        <w:t>.</w:t>
      </w:r>
      <w:r w:rsidR="00EE3C30" w:rsidRPr="00631295">
        <w:rPr>
          <w:rFonts w:cs="Arial"/>
          <w:sz w:val="24"/>
          <w:szCs w:val="24"/>
        </w:rPr>
        <w:t>”</w:t>
      </w:r>
      <w:r w:rsidRPr="00631295">
        <w:rPr>
          <w:rStyle w:val="FootnoteReference"/>
          <w:rFonts w:cs="Arial"/>
          <w:sz w:val="24"/>
          <w:szCs w:val="24"/>
        </w:rPr>
        <w:footnoteReference w:id="22"/>
      </w:r>
    </w:p>
    <w:p w14:paraId="168312C7" w14:textId="77777777" w:rsidR="00597C0B" w:rsidRPr="00631295" w:rsidRDefault="00F56610" w:rsidP="00F76525">
      <w:pPr>
        <w:pStyle w:val="ListLevel1"/>
        <w:ind w:left="720" w:hanging="720"/>
        <w:rPr>
          <w:rFonts w:cs="Arial"/>
          <w:sz w:val="24"/>
          <w:szCs w:val="24"/>
        </w:rPr>
      </w:pPr>
      <w:r w:rsidRPr="00631295">
        <w:rPr>
          <w:rFonts w:cs="Arial"/>
          <w:sz w:val="24"/>
          <w:szCs w:val="24"/>
        </w:rPr>
        <w:t xml:space="preserve">In </w:t>
      </w:r>
      <w:r w:rsidRPr="00631295">
        <w:rPr>
          <w:rFonts w:cs="Arial"/>
          <w:b/>
          <w:bCs/>
          <w:sz w:val="24"/>
          <w:szCs w:val="24"/>
        </w:rPr>
        <w:t>RAIL COMMUTERS ACTION GROUP AND OTHERS v TRANSNET t/a METRORAIL AND OTHERS</w:t>
      </w:r>
      <w:r w:rsidRPr="00631295">
        <w:rPr>
          <w:rStyle w:val="FootnoteReference"/>
          <w:rFonts w:cs="Arial"/>
          <w:sz w:val="24"/>
          <w:szCs w:val="24"/>
        </w:rPr>
        <w:footnoteReference w:id="23"/>
      </w:r>
      <w:r w:rsidRPr="00631295">
        <w:rPr>
          <w:rFonts w:cs="Arial"/>
          <w:sz w:val="24"/>
          <w:szCs w:val="24"/>
        </w:rPr>
        <w:t>, i</w:t>
      </w:r>
      <w:r w:rsidR="00F76525" w:rsidRPr="00631295">
        <w:rPr>
          <w:rFonts w:cs="Arial"/>
          <w:sz w:val="24"/>
          <w:szCs w:val="24"/>
        </w:rPr>
        <w:t xml:space="preserve">s noted </w:t>
      </w:r>
    </w:p>
    <w:p w14:paraId="633C2636" w14:textId="6FFD3017" w:rsidR="00F56610" w:rsidRPr="00631295" w:rsidRDefault="00F76525" w:rsidP="00597C0B">
      <w:pPr>
        <w:pStyle w:val="ListLevel1"/>
        <w:numPr>
          <w:ilvl w:val="0"/>
          <w:numId w:val="0"/>
        </w:numPr>
        <w:ind w:left="720"/>
        <w:rPr>
          <w:rFonts w:cs="Arial"/>
          <w:sz w:val="24"/>
          <w:szCs w:val="24"/>
        </w:rPr>
      </w:pPr>
      <w:r w:rsidRPr="00631295">
        <w:rPr>
          <w:rFonts w:cs="Arial"/>
          <w:sz w:val="24"/>
          <w:szCs w:val="24"/>
        </w:rPr>
        <w:t>“</w:t>
      </w:r>
      <w:r w:rsidR="00F56610" w:rsidRPr="00631295">
        <w:rPr>
          <w:rFonts w:cs="Arial"/>
          <w:i/>
          <w:iCs/>
          <w:sz w:val="24"/>
          <w:szCs w:val="24"/>
        </w:rPr>
        <w:t xml:space="preserve">s11 </w:t>
      </w:r>
      <w:r w:rsidR="00EE3C30" w:rsidRPr="00631295">
        <w:rPr>
          <w:rFonts w:cs="Arial"/>
          <w:i/>
          <w:iCs/>
          <w:sz w:val="24"/>
          <w:szCs w:val="24"/>
        </w:rPr>
        <w:t>constitutional</w:t>
      </w:r>
      <w:r w:rsidR="00F56610" w:rsidRPr="00631295">
        <w:rPr>
          <w:rFonts w:cs="Arial"/>
          <w:i/>
          <w:iCs/>
          <w:sz w:val="24"/>
          <w:szCs w:val="24"/>
        </w:rPr>
        <w:t xml:space="preserve"> rights of commuters, enjoying constitutional rights to life, freedom and security of person, </w:t>
      </w:r>
      <w:r w:rsidR="00EE3C30" w:rsidRPr="00631295">
        <w:rPr>
          <w:rFonts w:cs="Arial"/>
          <w:i/>
          <w:iCs/>
          <w:sz w:val="24"/>
          <w:szCs w:val="24"/>
        </w:rPr>
        <w:t>including</w:t>
      </w:r>
      <w:r w:rsidR="00F56610" w:rsidRPr="00631295">
        <w:rPr>
          <w:rFonts w:cs="Arial"/>
          <w:i/>
          <w:iCs/>
          <w:sz w:val="24"/>
          <w:szCs w:val="24"/>
        </w:rPr>
        <w:t xml:space="preserve"> right to be free from all forms of violence from either public or private sources.</w:t>
      </w:r>
      <w:r w:rsidRPr="00631295">
        <w:rPr>
          <w:rFonts w:cs="Arial"/>
          <w:i/>
          <w:iCs/>
          <w:sz w:val="24"/>
          <w:szCs w:val="24"/>
        </w:rPr>
        <w:t xml:space="preserve">”  </w:t>
      </w:r>
      <w:r w:rsidRPr="00631295">
        <w:rPr>
          <w:rFonts w:cs="Arial"/>
          <w:sz w:val="24"/>
          <w:szCs w:val="24"/>
        </w:rPr>
        <w:t xml:space="preserve">The appellant’s constitutionally protected right cannot be compromised where her pleadings </w:t>
      </w:r>
      <w:r w:rsidR="00862D66" w:rsidRPr="00631295">
        <w:rPr>
          <w:rFonts w:cs="Arial"/>
          <w:sz w:val="24"/>
          <w:szCs w:val="24"/>
        </w:rPr>
        <w:t xml:space="preserve">and evidence, </w:t>
      </w:r>
      <w:r w:rsidR="0077050F" w:rsidRPr="00631295">
        <w:rPr>
          <w:rFonts w:cs="Arial"/>
          <w:sz w:val="24"/>
          <w:szCs w:val="24"/>
        </w:rPr>
        <w:t>peripheral</w:t>
      </w:r>
      <w:r w:rsidR="00862D66" w:rsidRPr="00631295">
        <w:rPr>
          <w:rFonts w:cs="Arial"/>
          <w:sz w:val="24"/>
          <w:szCs w:val="24"/>
        </w:rPr>
        <w:t xml:space="preserve"> in nature, is </w:t>
      </w:r>
      <w:r w:rsidR="00413F66" w:rsidRPr="00631295">
        <w:rPr>
          <w:rFonts w:cs="Arial"/>
          <w:sz w:val="24"/>
          <w:szCs w:val="24"/>
        </w:rPr>
        <w:t>wanting</w:t>
      </w:r>
      <w:r w:rsidR="00862D66" w:rsidRPr="00631295">
        <w:rPr>
          <w:rFonts w:cs="Arial"/>
          <w:sz w:val="24"/>
          <w:szCs w:val="24"/>
        </w:rPr>
        <w:t>.</w:t>
      </w:r>
    </w:p>
    <w:p w14:paraId="1592C3A8" w14:textId="7BB19828" w:rsidR="00F56610" w:rsidRPr="00631295" w:rsidRDefault="00F56610" w:rsidP="00EE3C30">
      <w:pPr>
        <w:pStyle w:val="ListLevel1"/>
        <w:rPr>
          <w:rFonts w:cs="Arial"/>
          <w:sz w:val="24"/>
          <w:szCs w:val="24"/>
        </w:rPr>
      </w:pPr>
      <w:r w:rsidRPr="00631295">
        <w:rPr>
          <w:rFonts w:cs="Arial"/>
          <w:sz w:val="24"/>
          <w:szCs w:val="24"/>
        </w:rPr>
        <w:t xml:space="preserve">We noted </w:t>
      </w:r>
      <w:r w:rsidR="001A1DB0" w:rsidRPr="00631295">
        <w:rPr>
          <w:rFonts w:cs="Arial"/>
          <w:sz w:val="24"/>
          <w:szCs w:val="24"/>
        </w:rPr>
        <w:t>Mr Mtombeni’s</w:t>
      </w:r>
      <w:r w:rsidRPr="00631295">
        <w:rPr>
          <w:rFonts w:cs="Arial"/>
          <w:sz w:val="24"/>
          <w:szCs w:val="24"/>
        </w:rPr>
        <w:t xml:space="preserve"> submissions that the stare decisis principles must apply and with reference to the confirmation by the Constitutional Court in Mashongwa supra, closed doors on a moving train </w:t>
      </w:r>
      <w:r w:rsidR="00DD36F7" w:rsidRPr="00631295">
        <w:rPr>
          <w:rFonts w:cs="Arial"/>
          <w:sz w:val="24"/>
          <w:szCs w:val="24"/>
        </w:rPr>
        <w:t>are</w:t>
      </w:r>
      <w:r w:rsidRPr="00631295">
        <w:rPr>
          <w:rFonts w:cs="Arial"/>
          <w:sz w:val="24"/>
          <w:szCs w:val="24"/>
        </w:rPr>
        <w:t xml:space="preserve"> basic common sense.</w:t>
      </w:r>
      <w:r w:rsidR="00597C0B" w:rsidRPr="00631295">
        <w:rPr>
          <w:rFonts w:cs="Arial"/>
          <w:sz w:val="24"/>
          <w:szCs w:val="24"/>
        </w:rPr>
        <w:t xml:space="preserve">  We agree.</w:t>
      </w:r>
    </w:p>
    <w:p w14:paraId="3A68C166" w14:textId="58B0B72A" w:rsidR="00F56610" w:rsidRPr="00631295" w:rsidRDefault="00EE3C30" w:rsidP="00EE3C30">
      <w:pPr>
        <w:pStyle w:val="ListLevel1"/>
        <w:rPr>
          <w:rFonts w:cs="Arial"/>
          <w:sz w:val="24"/>
          <w:szCs w:val="24"/>
        </w:rPr>
      </w:pPr>
      <w:r w:rsidRPr="00631295">
        <w:rPr>
          <w:rFonts w:cs="Arial"/>
          <w:sz w:val="24"/>
          <w:szCs w:val="24"/>
        </w:rPr>
        <w:t>A</w:t>
      </w:r>
      <w:r w:rsidR="00F56610" w:rsidRPr="00631295">
        <w:rPr>
          <w:rFonts w:cs="Arial"/>
          <w:sz w:val="24"/>
          <w:szCs w:val="24"/>
        </w:rPr>
        <w:t xml:space="preserve">ccordingly, </w:t>
      </w:r>
      <w:r w:rsidR="00862D66" w:rsidRPr="00631295">
        <w:rPr>
          <w:rFonts w:cs="Arial"/>
          <w:sz w:val="24"/>
          <w:szCs w:val="24"/>
        </w:rPr>
        <w:t xml:space="preserve">the appeal </w:t>
      </w:r>
      <w:r w:rsidR="00662D22" w:rsidRPr="00631295">
        <w:rPr>
          <w:rFonts w:cs="Arial"/>
          <w:sz w:val="24"/>
          <w:szCs w:val="24"/>
        </w:rPr>
        <w:t xml:space="preserve"> must be</w:t>
      </w:r>
      <w:r w:rsidR="00862D66" w:rsidRPr="00631295">
        <w:rPr>
          <w:rFonts w:cs="Arial"/>
          <w:sz w:val="24"/>
          <w:szCs w:val="24"/>
        </w:rPr>
        <w:t xml:space="preserve"> upheld</w:t>
      </w:r>
      <w:r w:rsidR="00413F66" w:rsidRPr="00631295">
        <w:rPr>
          <w:rFonts w:cs="Arial"/>
          <w:sz w:val="24"/>
          <w:szCs w:val="24"/>
        </w:rPr>
        <w:t>.</w:t>
      </w:r>
    </w:p>
    <w:p w14:paraId="3F19D7AC" w14:textId="489E52C4" w:rsidR="00D06CB7" w:rsidRPr="00631295" w:rsidRDefault="00D06CB7" w:rsidP="00EE3C30">
      <w:pPr>
        <w:pStyle w:val="ListLevel1"/>
        <w:rPr>
          <w:rFonts w:cs="Arial"/>
          <w:sz w:val="24"/>
          <w:szCs w:val="24"/>
        </w:rPr>
      </w:pPr>
      <w:r w:rsidRPr="00631295">
        <w:rPr>
          <w:rFonts w:cs="Arial"/>
          <w:sz w:val="24"/>
          <w:szCs w:val="24"/>
        </w:rPr>
        <w:t>The following order is issued:</w:t>
      </w:r>
    </w:p>
    <w:p w14:paraId="7CDA1180" w14:textId="5F01AA70" w:rsidR="00D06CB7" w:rsidRPr="00631295" w:rsidRDefault="00D06CB7" w:rsidP="00631295">
      <w:pPr>
        <w:pStyle w:val="ListLevel2"/>
        <w:rPr>
          <w:sz w:val="24"/>
          <w:szCs w:val="24"/>
        </w:rPr>
      </w:pPr>
      <w:r w:rsidRPr="00631295">
        <w:rPr>
          <w:sz w:val="24"/>
          <w:szCs w:val="24"/>
        </w:rPr>
        <w:lastRenderedPageBreak/>
        <w:t>The appeal is upheld with costs</w:t>
      </w:r>
      <w:r w:rsidR="00662D22" w:rsidRPr="00631295">
        <w:rPr>
          <w:sz w:val="24"/>
          <w:szCs w:val="24"/>
        </w:rPr>
        <w:t>, such costs to include the costs incurred in the application for leave to appeal both in the court a quo and the Supreme Court of Appeal.</w:t>
      </w:r>
    </w:p>
    <w:p w14:paraId="73A8CF63" w14:textId="62295479" w:rsidR="00D06CB7" w:rsidRPr="00631295" w:rsidRDefault="00631295" w:rsidP="00631295">
      <w:pPr>
        <w:pStyle w:val="ListLevel2"/>
        <w:rPr>
          <w:sz w:val="24"/>
          <w:szCs w:val="24"/>
        </w:rPr>
      </w:pPr>
      <w:r w:rsidRPr="00631295">
        <w:rPr>
          <w:sz w:val="24"/>
          <w:szCs w:val="24"/>
        </w:rPr>
        <w:t>T</w:t>
      </w:r>
      <w:r w:rsidR="00D06CB7" w:rsidRPr="00631295">
        <w:rPr>
          <w:sz w:val="24"/>
          <w:szCs w:val="24"/>
        </w:rPr>
        <w:t xml:space="preserve">he order of the court below is set aside and substituted with the following order:  </w:t>
      </w:r>
    </w:p>
    <w:p w14:paraId="7ECDF64C" w14:textId="689EF360" w:rsidR="00D06CB7" w:rsidRPr="00631295" w:rsidRDefault="00D06CB7" w:rsidP="00631295">
      <w:pPr>
        <w:pStyle w:val="ListLevel3"/>
        <w:rPr>
          <w:sz w:val="24"/>
          <w:szCs w:val="24"/>
        </w:rPr>
      </w:pPr>
      <w:r w:rsidRPr="00631295">
        <w:rPr>
          <w:sz w:val="24"/>
          <w:szCs w:val="24"/>
        </w:rPr>
        <w:t xml:space="preserve">The defendant is liable for the damages suffered by the plaintiff as proved or agreed between the parties. </w:t>
      </w:r>
    </w:p>
    <w:p w14:paraId="2E0F20D5" w14:textId="437A924B" w:rsidR="00662D22" w:rsidRPr="00631295" w:rsidRDefault="00662D22" w:rsidP="00631295">
      <w:pPr>
        <w:pStyle w:val="ListLevel3"/>
        <w:rPr>
          <w:sz w:val="24"/>
          <w:szCs w:val="24"/>
        </w:rPr>
      </w:pPr>
      <w:r w:rsidRPr="00631295">
        <w:rPr>
          <w:sz w:val="24"/>
          <w:szCs w:val="24"/>
        </w:rPr>
        <w:t xml:space="preserve">The defendant is ordered to pay the costs of the plaintiff. </w:t>
      </w:r>
    </w:p>
    <w:p w14:paraId="6C6344FC" w14:textId="375387E7" w:rsidR="00631295" w:rsidRDefault="00631295" w:rsidP="00EE3C30">
      <w:pPr>
        <w:spacing w:after="0" w:line="240" w:lineRule="auto"/>
        <w:ind w:left="720" w:hanging="720"/>
        <w:rPr>
          <w:rFonts w:ascii="Arial" w:hAnsi="Arial" w:cs="Arial"/>
          <w:sz w:val="24"/>
          <w:szCs w:val="24"/>
        </w:rPr>
      </w:pPr>
    </w:p>
    <w:p w14:paraId="202A668B" w14:textId="0051E7F6" w:rsidR="00631295" w:rsidRDefault="00631295" w:rsidP="00EE3C30">
      <w:pPr>
        <w:spacing w:after="0" w:line="240" w:lineRule="auto"/>
        <w:ind w:left="720" w:hanging="720"/>
        <w:rPr>
          <w:rFonts w:ascii="Arial" w:hAnsi="Arial" w:cs="Arial"/>
          <w:sz w:val="24"/>
          <w:szCs w:val="24"/>
        </w:rPr>
      </w:pPr>
    </w:p>
    <w:p w14:paraId="5515BBE7" w14:textId="42A17473" w:rsidR="00F56610" w:rsidRPr="00631295" w:rsidRDefault="00F56610" w:rsidP="00EE3C30">
      <w:pPr>
        <w:spacing w:after="0" w:line="240" w:lineRule="auto"/>
        <w:ind w:left="720" w:hanging="720"/>
        <w:rPr>
          <w:rFonts w:ascii="Arial" w:hAnsi="Arial" w:cs="Arial"/>
          <w:sz w:val="24"/>
          <w:szCs w:val="24"/>
        </w:rPr>
      </w:pPr>
      <w:r w:rsidRPr="00631295">
        <w:rPr>
          <w:rFonts w:ascii="Arial" w:hAnsi="Arial" w:cs="Arial"/>
          <w:sz w:val="24"/>
          <w:szCs w:val="24"/>
        </w:rPr>
        <w:t>_________________</w:t>
      </w:r>
    </w:p>
    <w:p w14:paraId="3DD67A8A" w14:textId="7B850FD4" w:rsidR="00F56610" w:rsidRPr="00631295" w:rsidRDefault="00F56610" w:rsidP="00EE3C30">
      <w:pPr>
        <w:spacing w:after="0" w:line="240" w:lineRule="auto"/>
        <w:ind w:left="720" w:hanging="720"/>
        <w:rPr>
          <w:rFonts w:ascii="Arial" w:hAnsi="Arial" w:cs="Arial"/>
          <w:b/>
          <w:bCs/>
          <w:sz w:val="24"/>
          <w:szCs w:val="24"/>
        </w:rPr>
      </w:pPr>
      <w:r w:rsidRPr="00631295">
        <w:rPr>
          <w:rFonts w:ascii="Arial" w:hAnsi="Arial" w:cs="Arial"/>
          <w:b/>
          <w:bCs/>
          <w:sz w:val="24"/>
          <w:szCs w:val="24"/>
        </w:rPr>
        <w:t>MAHOMED AJ</w:t>
      </w:r>
    </w:p>
    <w:p w14:paraId="6827D001" w14:textId="0B5AD06B" w:rsidR="00EE3C30" w:rsidRPr="00631295" w:rsidRDefault="00EE3C30" w:rsidP="00EE3C30">
      <w:pPr>
        <w:spacing w:after="0" w:line="240" w:lineRule="auto"/>
        <w:ind w:left="720" w:hanging="720"/>
        <w:rPr>
          <w:rFonts w:ascii="Arial" w:hAnsi="Arial" w:cs="Arial"/>
          <w:sz w:val="24"/>
          <w:szCs w:val="24"/>
        </w:rPr>
      </w:pPr>
    </w:p>
    <w:p w14:paraId="5A63A854" w14:textId="77777777" w:rsidR="00EE3C30" w:rsidRPr="00631295" w:rsidRDefault="00EE3C30" w:rsidP="00EE3C30">
      <w:pPr>
        <w:pStyle w:val="ListLevel1"/>
        <w:numPr>
          <w:ilvl w:val="0"/>
          <w:numId w:val="0"/>
        </w:numPr>
        <w:spacing w:after="0" w:line="240" w:lineRule="auto"/>
        <w:rPr>
          <w:rFonts w:cs="Arial"/>
          <w:b/>
          <w:sz w:val="24"/>
          <w:szCs w:val="24"/>
        </w:rPr>
      </w:pPr>
      <w:r w:rsidRPr="00631295">
        <w:rPr>
          <w:rFonts w:cs="Arial"/>
          <w:b/>
          <w:sz w:val="24"/>
          <w:szCs w:val="24"/>
        </w:rPr>
        <w:t>Acting Judge of the High Court</w:t>
      </w:r>
    </w:p>
    <w:p w14:paraId="3C3D82EC" w14:textId="77777777" w:rsidR="00EE3C30" w:rsidRPr="00631295" w:rsidRDefault="00EE3C30" w:rsidP="00EE3C30">
      <w:pPr>
        <w:pStyle w:val="ListLevel1"/>
        <w:numPr>
          <w:ilvl w:val="0"/>
          <w:numId w:val="0"/>
        </w:numPr>
        <w:spacing w:after="0" w:line="240" w:lineRule="auto"/>
        <w:rPr>
          <w:rFonts w:cs="Arial"/>
          <w:sz w:val="24"/>
          <w:szCs w:val="24"/>
        </w:rPr>
      </w:pPr>
    </w:p>
    <w:p w14:paraId="1ED45A7F" w14:textId="77777777" w:rsidR="00EE3C30" w:rsidRPr="00631295" w:rsidRDefault="00EE3C30" w:rsidP="00EE3C30">
      <w:pPr>
        <w:pStyle w:val="ListLevel1"/>
        <w:numPr>
          <w:ilvl w:val="0"/>
          <w:numId w:val="0"/>
        </w:numPr>
        <w:spacing w:after="0" w:line="240" w:lineRule="auto"/>
        <w:rPr>
          <w:rFonts w:cs="Arial"/>
          <w:sz w:val="24"/>
          <w:szCs w:val="24"/>
        </w:rPr>
      </w:pPr>
    </w:p>
    <w:p w14:paraId="53A08DE8" w14:textId="77777777" w:rsidR="00EE3C30" w:rsidRPr="00631295" w:rsidRDefault="00EE3C30" w:rsidP="00EE3C30">
      <w:pPr>
        <w:spacing w:line="480" w:lineRule="auto"/>
        <w:rPr>
          <w:rFonts w:ascii="Arial" w:hAnsi="Arial" w:cs="Arial"/>
          <w:sz w:val="24"/>
          <w:szCs w:val="24"/>
        </w:rPr>
      </w:pPr>
    </w:p>
    <w:p w14:paraId="6BD19768" w14:textId="13F361C9" w:rsidR="00EE3C30" w:rsidRPr="00631295" w:rsidRDefault="00EE3C30" w:rsidP="001A1DB0">
      <w:pPr>
        <w:spacing w:line="480" w:lineRule="auto"/>
        <w:rPr>
          <w:rFonts w:ascii="Arial" w:hAnsi="Arial" w:cs="Arial"/>
          <w:sz w:val="24"/>
          <w:szCs w:val="24"/>
        </w:rPr>
      </w:pPr>
      <w:r w:rsidRPr="00631295">
        <w:rPr>
          <w:rFonts w:ascii="Arial" w:hAnsi="Arial" w:cs="Arial"/>
          <w:sz w:val="24"/>
          <w:szCs w:val="24"/>
        </w:rPr>
        <w:t xml:space="preserve">This judgment was prepared and authored by Acting Judge Mahomed. It is handed down electronically by circulation to the parties or their legal representatives by email and by uploading it to the electronic file of this matter on Caselines.  The date for hand-down is deemed to be </w:t>
      </w:r>
      <w:r w:rsidR="00631295" w:rsidRPr="00631295">
        <w:rPr>
          <w:rFonts w:ascii="Arial" w:hAnsi="Arial" w:cs="Arial"/>
          <w:sz w:val="24"/>
          <w:szCs w:val="24"/>
        </w:rPr>
        <w:t>8 June 2022.</w:t>
      </w:r>
      <w:r w:rsidR="00F56610" w:rsidRPr="00631295">
        <w:rPr>
          <w:rFonts w:ascii="Arial" w:hAnsi="Arial" w:cs="Arial"/>
          <w:sz w:val="24"/>
          <w:szCs w:val="24"/>
        </w:rPr>
        <w:tab/>
      </w:r>
      <w:r w:rsidR="00F56610" w:rsidRPr="00631295">
        <w:rPr>
          <w:rFonts w:ascii="Arial" w:hAnsi="Arial" w:cs="Arial"/>
          <w:sz w:val="24"/>
          <w:szCs w:val="24"/>
        </w:rPr>
        <w:tab/>
      </w:r>
      <w:r w:rsidR="00F56610" w:rsidRPr="00631295">
        <w:rPr>
          <w:rFonts w:ascii="Arial" w:hAnsi="Arial" w:cs="Arial"/>
          <w:sz w:val="24"/>
          <w:szCs w:val="24"/>
        </w:rPr>
        <w:tab/>
      </w:r>
      <w:r w:rsidR="00F56610" w:rsidRPr="00631295">
        <w:rPr>
          <w:rFonts w:ascii="Arial" w:hAnsi="Arial" w:cs="Arial"/>
          <w:sz w:val="24"/>
          <w:szCs w:val="24"/>
        </w:rPr>
        <w:tab/>
      </w:r>
      <w:r w:rsidR="00F56610" w:rsidRPr="00631295">
        <w:rPr>
          <w:rFonts w:ascii="Arial" w:hAnsi="Arial" w:cs="Arial"/>
          <w:sz w:val="24"/>
          <w:szCs w:val="24"/>
        </w:rPr>
        <w:tab/>
      </w:r>
    </w:p>
    <w:p w14:paraId="37927E76" w14:textId="77777777" w:rsidR="00631295" w:rsidRDefault="00631295" w:rsidP="00EE3C30">
      <w:pPr>
        <w:spacing w:after="0"/>
        <w:ind w:left="720" w:hanging="720"/>
        <w:rPr>
          <w:rFonts w:ascii="Arial" w:hAnsi="Arial" w:cs="Arial"/>
          <w:sz w:val="24"/>
          <w:szCs w:val="24"/>
        </w:rPr>
      </w:pPr>
    </w:p>
    <w:p w14:paraId="62AA6777" w14:textId="202B48BF" w:rsidR="00F56610" w:rsidRPr="00631295" w:rsidRDefault="00EE3C30" w:rsidP="00EE3C30">
      <w:pPr>
        <w:spacing w:after="0"/>
        <w:ind w:left="720" w:hanging="720"/>
        <w:rPr>
          <w:rFonts w:ascii="Arial" w:hAnsi="Arial" w:cs="Arial"/>
          <w:sz w:val="24"/>
          <w:szCs w:val="24"/>
        </w:rPr>
      </w:pPr>
      <w:r w:rsidRPr="00631295">
        <w:rPr>
          <w:rFonts w:ascii="Arial" w:hAnsi="Arial" w:cs="Arial"/>
          <w:sz w:val="24"/>
          <w:szCs w:val="24"/>
        </w:rPr>
        <w:t>He</w:t>
      </w:r>
      <w:r w:rsidR="00F56610" w:rsidRPr="00631295">
        <w:rPr>
          <w:rFonts w:ascii="Arial" w:hAnsi="Arial" w:cs="Arial"/>
          <w:sz w:val="24"/>
          <w:szCs w:val="24"/>
        </w:rPr>
        <w:t>ard on:</w:t>
      </w:r>
      <w:r w:rsidR="00F56610" w:rsidRPr="00631295">
        <w:rPr>
          <w:rFonts w:ascii="Arial" w:hAnsi="Arial" w:cs="Arial"/>
          <w:sz w:val="24"/>
          <w:szCs w:val="24"/>
        </w:rPr>
        <w:tab/>
        <w:t>9 March 2022</w:t>
      </w:r>
    </w:p>
    <w:p w14:paraId="3E5035A5" w14:textId="45A30825" w:rsidR="00F56610" w:rsidRPr="00631295" w:rsidRDefault="00F56610" w:rsidP="00EE3C30">
      <w:pPr>
        <w:spacing w:after="0"/>
        <w:ind w:left="720" w:hanging="720"/>
        <w:rPr>
          <w:rFonts w:ascii="Arial" w:hAnsi="Arial" w:cs="Arial"/>
          <w:sz w:val="24"/>
          <w:szCs w:val="24"/>
        </w:rPr>
      </w:pPr>
      <w:r w:rsidRPr="00631295">
        <w:rPr>
          <w:rFonts w:ascii="Arial" w:hAnsi="Arial" w:cs="Arial"/>
          <w:sz w:val="24"/>
          <w:szCs w:val="24"/>
        </w:rPr>
        <w:t>Delivered on:</w:t>
      </w:r>
      <w:r w:rsidRPr="00631295">
        <w:rPr>
          <w:rFonts w:ascii="Arial" w:hAnsi="Arial" w:cs="Arial"/>
          <w:sz w:val="24"/>
          <w:szCs w:val="24"/>
        </w:rPr>
        <w:tab/>
      </w:r>
      <w:r w:rsidR="00413F66" w:rsidRPr="00631295">
        <w:rPr>
          <w:rFonts w:ascii="Arial" w:hAnsi="Arial" w:cs="Arial"/>
          <w:sz w:val="24"/>
          <w:szCs w:val="24"/>
        </w:rPr>
        <w:t xml:space="preserve"> </w:t>
      </w:r>
      <w:r w:rsidR="00631295">
        <w:rPr>
          <w:rFonts w:ascii="Arial" w:hAnsi="Arial" w:cs="Arial"/>
          <w:sz w:val="24"/>
          <w:szCs w:val="24"/>
        </w:rPr>
        <w:t>8</w:t>
      </w:r>
      <w:r w:rsidR="00413F66" w:rsidRPr="00631295">
        <w:rPr>
          <w:rFonts w:ascii="Arial" w:hAnsi="Arial" w:cs="Arial"/>
          <w:sz w:val="24"/>
          <w:szCs w:val="24"/>
        </w:rPr>
        <w:t xml:space="preserve"> June 2022</w:t>
      </w:r>
    </w:p>
    <w:p w14:paraId="34A51892" w14:textId="544F9091" w:rsidR="00EE3C30" w:rsidRPr="00631295" w:rsidRDefault="00EE3C30">
      <w:pPr>
        <w:spacing w:after="0" w:line="240" w:lineRule="auto"/>
        <w:jc w:val="left"/>
        <w:rPr>
          <w:rFonts w:ascii="Arial" w:hAnsi="Arial" w:cs="Arial"/>
          <w:b/>
          <w:bCs/>
          <w:sz w:val="24"/>
          <w:szCs w:val="24"/>
        </w:rPr>
      </w:pPr>
    </w:p>
    <w:p w14:paraId="1A9D50A3" w14:textId="77777777" w:rsidR="00631295" w:rsidRDefault="00631295" w:rsidP="00EE3C30">
      <w:pPr>
        <w:spacing w:after="0"/>
        <w:ind w:left="720" w:hanging="720"/>
        <w:rPr>
          <w:rFonts w:ascii="Arial" w:hAnsi="Arial" w:cs="Arial"/>
          <w:b/>
          <w:bCs/>
          <w:sz w:val="24"/>
          <w:szCs w:val="24"/>
        </w:rPr>
      </w:pPr>
    </w:p>
    <w:p w14:paraId="3CAC6D2F" w14:textId="15ACA0B1" w:rsidR="00F56610" w:rsidRPr="00631295" w:rsidRDefault="00F56610" w:rsidP="00EE3C30">
      <w:pPr>
        <w:spacing w:after="0"/>
        <w:ind w:left="720" w:hanging="720"/>
        <w:rPr>
          <w:rFonts w:ascii="Arial" w:hAnsi="Arial" w:cs="Arial"/>
          <w:b/>
          <w:bCs/>
          <w:sz w:val="24"/>
          <w:szCs w:val="24"/>
        </w:rPr>
      </w:pPr>
      <w:r w:rsidRPr="00631295">
        <w:rPr>
          <w:rFonts w:ascii="Arial" w:hAnsi="Arial" w:cs="Arial"/>
          <w:b/>
          <w:bCs/>
          <w:sz w:val="24"/>
          <w:szCs w:val="24"/>
        </w:rPr>
        <w:t>Appearances</w:t>
      </w:r>
    </w:p>
    <w:p w14:paraId="3DE57D3D" w14:textId="77777777" w:rsidR="00EE3C30" w:rsidRPr="00631295" w:rsidRDefault="00EE3C30" w:rsidP="00EE3C30">
      <w:pPr>
        <w:spacing w:after="0"/>
        <w:ind w:left="720" w:hanging="720"/>
        <w:rPr>
          <w:rFonts w:ascii="Arial" w:hAnsi="Arial" w:cs="Arial"/>
          <w:sz w:val="24"/>
          <w:szCs w:val="24"/>
        </w:rPr>
      </w:pPr>
    </w:p>
    <w:p w14:paraId="28026CD8" w14:textId="77777777" w:rsidR="00F56610" w:rsidRPr="00631295" w:rsidRDefault="00F56610" w:rsidP="00EE3C30">
      <w:pPr>
        <w:spacing w:after="0"/>
        <w:ind w:left="720" w:hanging="720"/>
        <w:rPr>
          <w:rFonts w:ascii="Arial" w:hAnsi="Arial" w:cs="Arial"/>
          <w:sz w:val="24"/>
          <w:szCs w:val="24"/>
        </w:rPr>
      </w:pPr>
      <w:r w:rsidRPr="00631295">
        <w:rPr>
          <w:rFonts w:ascii="Arial" w:hAnsi="Arial" w:cs="Arial"/>
          <w:sz w:val="24"/>
          <w:szCs w:val="24"/>
        </w:rPr>
        <w:t>For Appellant</w:t>
      </w:r>
    </w:p>
    <w:p w14:paraId="00167297" w14:textId="77777777" w:rsidR="00F56610" w:rsidRPr="00631295" w:rsidRDefault="00F56610" w:rsidP="00EE3C30">
      <w:pPr>
        <w:spacing w:after="0"/>
        <w:ind w:left="720" w:hanging="720"/>
        <w:rPr>
          <w:rFonts w:ascii="Arial" w:hAnsi="Arial" w:cs="Arial"/>
          <w:sz w:val="24"/>
          <w:szCs w:val="24"/>
        </w:rPr>
      </w:pPr>
      <w:r w:rsidRPr="00631295">
        <w:rPr>
          <w:rFonts w:ascii="Arial" w:hAnsi="Arial" w:cs="Arial"/>
          <w:sz w:val="24"/>
          <w:szCs w:val="24"/>
        </w:rPr>
        <w:t>Adv. Mtombeni</w:t>
      </w:r>
    </w:p>
    <w:p w14:paraId="7836AF58" w14:textId="77777777" w:rsidR="00F56610" w:rsidRPr="00631295" w:rsidRDefault="00F56610" w:rsidP="00EE3C30">
      <w:pPr>
        <w:spacing w:after="0"/>
        <w:ind w:left="720" w:hanging="720"/>
        <w:rPr>
          <w:rFonts w:ascii="Arial" w:hAnsi="Arial" w:cs="Arial"/>
          <w:sz w:val="24"/>
          <w:szCs w:val="24"/>
        </w:rPr>
      </w:pPr>
      <w:r w:rsidRPr="00631295">
        <w:rPr>
          <w:rFonts w:ascii="Arial" w:hAnsi="Arial" w:cs="Arial"/>
          <w:sz w:val="24"/>
          <w:szCs w:val="24"/>
        </w:rPr>
        <w:t>Instructed by:</w:t>
      </w:r>
    </w:p>
    <w:p w14:paraId="64F1AE6A" w14:textId="77777777" w:rsidR="00F56610" w:rsidRPr="00631295" w:rsidRDefault="00F56610" w:rsidP="00EE3C30">
      <w:pPr>
        <w:spacing w:after="0"/>
        <w:ind w:left="720" w:hanging="720"/>
        <w:rPr>
          <w:rFonts w:ascii="Arial" w:hAnsi="Arial" w:cs="Arial"/>
          <w:sz w:val="24"/>
          <w:szCs w:val="24"/>
        </w:rPr>
      </w:pPr>
      <w:r w:rsidRPr="00631295">
        <w:rPr>
          <w:rFonts w:ascii="Arial" w:hAnsi="Arial" w:cs="Arial"/>
          <w:sz w:val="24"/>
          <w:szCs w:val="24"/>
        </w:rPr>
        <w:t>Mngqibisa Attorneys</w:t>
      </w:r>
    </w:p>
    <w:p w14:paraId="26BD1245" w14:textId="77777777" w:rsidR="00F56610" w:rsidRPr="00631295" w:rsidRDefault="00F56610" w:rsidP="00EE3C30">
      <w:pPr>
        <w:spacing w:after="0"/>
        <w:ind w:left="720" w:hanging="720"/>
        <w:rPr>
          <w:rFonts w:ascii="Arial" w:hAnsi="Arial" w:cs="Arial"/>
          <w:sz w:val="24"/>
          <w:szCs w:val="24"/>
        </w:rPr>
      </w:pPr>
      <w:r w:rsidRPr="00631295">
        <w:rPr>
          <w:rFonts w:ascii="Arial" w:hAnsi="Arial" w:cs="Arial"/>
          <w:sz w:val="24"/>
          <w:szCs w:val="24"/>
        </w:rPr>
        <w:t>Email:</w:t>
      </w:r>
      <w:r w:rsidRPr="00631295">
        <w:rPr>
          <w:rFonts w:ascii="Arial" w:hAnsi="Arial" w:cs="Arial"/>
          <w:sz w:val="24"/>
          <w:szCs w:val="24"/>
        </w:rPr>
        <w:tab/>
      </w:r>
      <w:hyperlink r:id="rId9" w:history="1">
        <w:r w:rsidRPr="00631295">
          <w:rPr>
            <w:rStyle w:val="Hyperlink"/>
            <w:rFonts w:cs="Arial"/>
            <w:sz w:val="24"/>
            <w:szCs w:val="24"/>
          </w:rPr>
          <w:t>zodwa@mgqibisaattorneys.co.za</w:t>
        </w:r>
      </w:hyperlink>
      <w:r w:rsidRPr="00631295">
        <w:rPr>
          <w:rFonts w:ascii="Arial" w:hAnsi="Arial" w:cs="Arial"/>
          <w:sz w:val="24"/>
          <w:szCs w:val="24"/>
        </w:rPr>
        <w:t xml:space="preserve"> </w:t>
      </w:r>
    </w:p>
    <w:p w14:paraId="3E729AE9" w14:textId="77777777" w:rsidR="00EE3C30" w:rsidRPr="00631295" w:rsidRDefault="00EE3C30" w:rsidP="00EE3C30">
      <w:pPr>
        <w:spacing w:after="0"/>
        <w:ind w:left="720" w:hanging="720"/>
        <w:rPr>
          <w:rFonts w:ascii="Arial" w:hAnsi="Arial" w:cs="Arial"/>
          <w:sz w:val="24"/>
          <w:szCs w:val="24"/>
        </w:rPr>
      </w:pPr>
    </w:p>
    <w:p w14:paraId="4DADBF2D" w14:textId="77777777" w:rsidR="00F56610" w:rsidRPr="00631295" w:rsidRDefault="00F56610" w:rsidP="00EE3C30">
      <w:pPr>
        <w:spacing w:after="0"/>
        <w:ind w:left="720" w:hanging="720"/>
        <w:rPr>
          <w:rFonts w:ascii="Arial" w:hAnsi="Arial" w:cs="Arial"/>
          <w:sz w:val="24"/>
          <w:szCs w:val="24"/>
        </w:rPr>
      </w:pPr>
      <w:r w:rsidRPr="00631295">
        <w:rPr>
          <w:rFonts w:ascii="Arial" w:hAnsi="Arial" w:cs="Arial"/>
          <w:sz w:val="24"/>
          <w:szCs w:val="24"/>
        </w:rPr>
        <w:t>For Respondent:</w:t>
      </w:r>
    </w:p>
    <w:p w14:paraId="1D8BF5B8" w14:textId="569EFADA" w:rsidR="00F56610" w:rsidRPr="00631295" w:rsidRDefault="00F56610" w:rsidP="00EE3C30">
      <w:pPr>
        <w:spacing w:after="0"/>
        <w:ind w:left="720" w:hanging="720"/>
        <w:rPr>
          <w:rFonts w:ascii="Arial" w:hAnsi="Arial" w:cs="Arial"/>
          <w:sz w:val="24"/>
          <w:szCs w:val="24"/>
        </w:rPr>
      </w:pPr>
      <w:r w:rsidRPr="00631295">
        <w:rPr>
          <w:rFonts w:ascii="Arial" w:hAnsi="Arial" w:cs="Arial"/>
          <w:sz w:val="24"/>
          <w:szCs w:val="24"/>
        </w:rPr>
        <w:t>Adv Mashaba SC</w:t>
      </w:r>
    </w:p>
    <w:p w14:paraId="1D5E5B8D" w14:textId="77777777" w:rsidR="00F56610" w:rsidRPr="00631295" w:rsidRDefault="00F56610" w:rsidP="00EE3C30">
      <w:pPr>
        <w:spacing w:after="0"/>
        <w:ind w:left="720" w:hanging="720"/>
        <w:rPr>
          <w:rFonts w:ascii="Arial" w:hAnsi="Arial" w:cs="Arial"/>
          <w:sz w:val="24"/>
          <w:szCs w:val="24"/>
        </w:rPr>
      </w:pPr>
      <w:r w:rsidRPr="00631295">
        <w:rPr>
          <w:rFonts w:ascii="Arial" w:hAnsi="Arial" w:cs="Arial"/>
          <w:sz w:val="24"/>
          <w:szCs w:val="24"/>
        </w:rPr>
        <w:t>Instructed by:</w:t>
      </w:r>
    </w:p>
    <w:p w14:paraId="47EB038B" w14:textId="77777777" w:rsidR="00F56610" w:rsidRPr="00631295" w:rsidRDefault="00F56610" w:rsidP="00EE3C30">
      <w:pPr>
        <w:spacing w:after="0"/>
        <w:ind w:left="720" w:hanging="720"/>
        <w:rPr>
          <w:rFonts w:ascii="Arial" w:hAnsi="Arial" w:cs="Arial"/>
          <w:sz w:val="24"/>
          <w:szCs w:val="24"/>
        </w:rPr>
      </w:pPr>
      <w:r w:rsidRPr="00631295">
        <w:rPr>
          <w:rFonts w:ascii="Arial" w:hAnsi="Arial" w:cs="Arial"/>
          <w:sz w:val="24"/>
          <w:szCs w:val="24"/>
        </w:rPr>
        <w:t>Jerry Nkeli &amp; Associates</w:t>
      </w:r>
    </w:p>
    <w:p w14:paraId="1DF3C4BD" w14:textId="77777777" w:rsidR="00F56610" w:rsidRPr="00631295" w:rsidRDefault="00F56610" w:rsidP="00EE3C30">
      <w:pPr>
        <w:spacing w:after="0"/>
        <w:ind w:left="720" w:hanging="720"/>
        <w:rPr>
          <w:rFonts w:ascii="Arial" w:hAnsi="Arial" w:cs="Arial"/>
          <w:sz w:val="24"/>
          <w:szCs w:val="24"/>
        </w:rPr>
      </w:pPr>
      <w:r w:rsidRPr="00631295">
        <w:rPr>
          <w:rFonts w:ascii="Arial" w:hAnsi="Arial" w:cs="Arial"/>
          <w:sz w:val="24"/>
          <w:szCs w:val="24"/>
        </w:rPr>
        <w:t xml:space="preserve">Email: </w:t>
      </w:r>
      <w:hyperlink r:id="rId10" w:history="1">
        <w:r w:rsidRPr="00631295">
          <w:rPr>
            <w:rStyle w:val="Hyperlink"/>
            <w:rFonts w:cs="Arial"/>
            <w:sz w:val="24"/>
            <w:szCs w:val="24"/>
          </w:rPr>
          <w:t>sechaba@jerrynkelilaw.co.za</w:t>
        </w:r>
      </w:hyperlink>
      <w:r w:rsidRPr="00631295">
        <w:rPr>
          <w:rFonts w:ascii="Arial" w:hAnsi="Arial" w:cs="Arial"/>
          <w:sz w:val="24"/>
          <w:szCs w:val="24"/>
        </w:rPr>
        <w:t xml:space="preserve"> </w:t>
      </w:r>
    </w:p>
    <w:p w14:paraId="2BCF46F3" w14:textId="77777777" w:rsidR="00F56610" w:rsidRPr="00631295" w:rsidRDefault="00F56610" w:rsidP="00F56610">
      <w:pPr>
        <w:spacing w:line="480" w:lineRule="auto"/>
        <w:ind w:left="720" w:hanging="720"/>
        <w:rPr>
          <w:rFonts w:ascii="Arial" w:hAnsi="Arial" w:cs="Arial"/>
          <w:sz w:val="24"/>
          <w:szCs w:val="24"/>
        </w:rPr>
      </w:pPr>
    </w:p>
    <w:p w14:paraId="49E1AC46" w14:textId="77777777" w:rsidR="00BE2D19" w:rsidRPr="00631295" w:rsidRDefault="00BE2D19" w:rsidP="00F56610">
      <w:pPr>
        <w:spacing w:line="480" w:lineRule="auto"/>
        <w:ind w:left="5040" w:firstLine="720"/>
        <w:rPr>
          <w:rFonts w:ascii="Arial" w:hAnsi="Arial" w:cs="Arial"/>
          <w:sz w:val="24"/>
          <w:szCs w:val="24"/>
        </w:rPr>
      </w:pPr>
    </w:p>
    <w:sectPr w:rsidR="00BE2D19" w:rsidRPr="00631295" w:rsidSect="001F6793">
      <w:headerReference w:type="default" r:id="rId11"/>
      <w:pgSz w:w="11907" w:h="16840" w:code="9"/>
      <w:pgMar w:top="1797" w:right="1440"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47FB5" w14:textId="77777777" w:rsidR="00326005" w:rsidRDefault="00326005">
      <w:r>
        <w:separator/>
      </w:r>
    </w:p>
  </w:endnote>
  <w:endnote w:type="continuationSeparator" w:id="0">
    <w:p w14:paraId="635CA4C2" w14:textId="77777777" w:rsidR="00326005" w:rsidRDefault="00326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F37E0" w14:textId="77777777" w:rsidR="00326005" w:rsidRDefault="00326005">
      <w:r>
        <w:separator/>
      </w:r>
    </w:p>
  </w:footnote>
  <w:footnote w:type="continuationSeparator" w:id="0">
    <w:p w14:paraId="184256BA" w14:textId="77777777" w:rsidR="00326005" w:rsidRDefault="00326005">
      <w:r>
        <w:continuationSeparator/>
      </w:r>
    </w:p>
  </w:footnote>
  <w:footnote w:id="1">
    <w:p w14:paraId="38948D09" w14:textId="58CB1C88" w:rsidR="00F56610" w:rsidRDefault="00F56610" w:rsidP="00F56610">
      <w:pPr>
        <w:pStyle w:val="FootnoteText"/>
      </w:pPr>
      <w:r>
        <w:rPr>
          <w:rStyle w:val="FootnoteReference"/>
        </w:rPr>
        <w:footnoteRef/>
      </w:r>
      <w:r>
        <w:t xml:space="preserve"> Record caselines 08-12 line</w:t>
      </w:r>
      <w:r w:rsidR="00631295">
        <w:t xml:space="preserve"> </w:t>
      </w:r>
      <w:r>
        <w:t>24</w:t>
      </w:r>
    </w:p>
  </w:footnote>
  <w:footnote w:id="2">
    <w:p w14:paraId="35F36631" w14:textId="2C0A5AEF" w:rsidR="00F56610" w:rsidRDefault="00F56610" w:rsidP="00F56610">
      <w:pPr>
        <w:pStyle w:val="FootnoteText"/>
      </w:pPr>
      <w:r>
        <w:rPr>
          <w:rStyle w:val="FootnoteReference"/>
        </w:rPr>
        <w:footnoteRef/>
      </w:r>
      <w:r>
        <w:t xml:space="preserve"> Ma</w:t>
      </w:r>
      <w:r w:rsidR="00F3435C">
        <w:t>s</w:t>
      </w:r>
      <w:r>
        <w:t>hongwa v Passenger Rail Agency of South Africa 2016(3) SA 528 CC</w:t>
      </w:r>
    </w:p>
  </w:footnote>
  <w:footnote w:id="3">
    <w:p w14:paraId="55A42A0F" w14:textId="77777777" w:rsidR="00F56610" w:rsidRDefault="00F56610" w:rsidP="00F56610">
      <w:pPr>
        <w:pStyle w:val="FootnoteText"/>
      </w:pPr>
      <w:r>
        <w:rPr>
          <w:rStyle w:val="FootnoteReference"/>
        </w:rPr>
        <w:footnoteRef/>
      </w:r>
      <w:r>
        <w:t xml:space="preserve"> Caselines 08-83 lines 17-20</w:t>
      </w:r>
    </w:p>
  </w:footnote>
  <w:footnote w:id="4">
    <w:p w14:paraId="426C5F68" w14:textId="77777777" w:rsidR="00F56610" w:rsidRDefault="00F56610" w:rsidP="00F56610">
      <w:pPr>
        <w:pStyle w:val="FootnoteText"/>
      </w:pPr>
      <w:r>
        <w:rPr>
          <w:rStyle w:val="FootnoteReference"/>
        </w:rPr>
        <w:footnoteRef/>
      </w:r>
      <w:r>
        <w:t xml:space="preserve"> Caselines 08-85 lines 1-5</w:t>
      </w:r>
    </w:p>
  </w:footnote>
  <w:footnote w:id="5">
    <w:p w14:paraId="456E52C7" w14:textId="77777777" w:rsidR="00F56610" w:rsidRDefault="00F56610" w:rsidP="00F56610">
      <w:pPr>
        <w:pStyle w:val="FootnoteText"/>
      </w:pPr>
      <w:r>
        <w:rPr>
          <w:rStyle w:val="FootnoteReference"/>
        </w:rPr>
        <w:footnoteRef/>
      </w:r>
      <w:r>
        <w:t xml:space="preserve"> Caselines 08-88 lines 1-4</w:t>
      </w:r>
    </w:p>
  </w:footnote>
  <w:footnote w:id="6">
    <w:p w14:paraId="346A7802" w14:textId="77777777" w:rsidR="00F56610" w:rsidRDefault="00F56610" w:rsidP="00F56610">
      <w:pPr>
        <w:pStyle w:val="FootnoteText"/>
      </w:pPr>
      <w:r>
        <w:rPr>
          <w:rStyle w:val="FootnoteReference"/>
        </w:rPr>
        <w:footnoteRef/>
      </w:r>
      <w:r>
        <w:t xml:space="preserve"> Caselines 08-99 line 11</w:t>
      </w:r>
    </w:p>
  </w:footnote>
  <w:footnote w:id="7">
    <w:p w14:paraId="738AA4CA" w14:textId="77777777" w:rsidR="00F56610" w:rsidRDefault="00F56610" w:rsidP="00F56610">
      <w:pPr>
        <w:pStyle w:val="FootnoteText"/>
      </w:pPr>
      <w:r>
        <w:rPr>
          <w:rStyle w:val="FootnoteReference"/>
        </w:rPr>
        <w:footnoteRef/>
      </w:r>
      <w:r>
        <w:t xml:space="preserve"> Caselines 08 – 99 lines 25 </w:t>
      </w:r>
    </w:p>
  </w:footnote>
  <w:footnote w:id="8">
    <w:p w14:paraId="22E97894" w14:textId="2ADF0AEF" w:rsidR="00A05591" w:rsidRDefault="00A05591">
      <w:pPr>
        <w:pStyle w:val="FootnoteText"/>
      </w:pPr>
      <w:r>
        <w:rPr>
          <w:rStyle w:val="FootnoteReference"/>
        </w:rPr>
        <w:footnoteRef/>
      </w:r>
      <w:r>
        <w:t xml:space="preserve"> Caselines 05-8 at [26]</w:t>
      </w:r>
    </w:p>
  </w:footnote>
  <w:footnote w:id="9">
    <w:p w14:paraId="28E0BED6" w14:textId="77777777" w:rsidR="00F56610" w:rsidRDefault="00F56610" w:rsidP="00F56610">
      <w:pPr>
        <w:pStyle w:val="FootnoteText"/>
      </w:pPr>
      <w:r>
        <w:rPr>
          <w:rStyle w:val="FootnoteReference"/>
        </w:rPr>
        <w:footnoteRef/>
      </w:r>
      <w:r>
        <w:t xml:space="preserve"> Beck’s Theory and Principles of Pleading in Civil Actions p46</w:t>
      </w:r>
    </w:p>
  </w:footnote>
  <w:footnote w:id="10">
    <w:p w14:paraId="5105EF7C" w14:textId="77777777" w:rsidR="00F56610" w:rsidRDefault="00F56610" w:rsidP="00F56610">
      <w:pPr>
        <w:pStyle w:val="FootnoteText"/>
      </w:pPr>
      <w:r>
        <w:rPr>
          <w:rStyle w:val="FootnoteReference"/>
        </w:rPr>
        <w:footnoteRef/>
      </w:r>
      <w:r>
        <w:t xml:space="preserve"> 2021 SA (GSJ) case no. 14465/2010 [93]</w:t>
      </w:r>
    </w:p>
  </w:footnote>
  <w:footnote w:id="11">
    <w:p w14:paraId="6BC1366B" w14:textId="77777777" w:rsidR="00F56610" w:rsidRDefault="00F56610" w:rsidP="00F56610">
      <w:pPr>
        <w:pStyle w:val="FootnoteText"/>
      </w:pPr>
      <w:r>
        <w:rPr>
          <w:rStyle w:val="FootnoteReference"/>
        </w:rPr>
        <w:footnoteRef/>
      </w:r>
      <w:r>
        <w:t xml:space="preserve"> [94]</w:t>
      </w:r>
    </w:p>
  </w:footnote>
  <w:footnote w:id="12">
    <w:p w14:paraId="6E51A6EC" w14:textId="77777777" w:rsidR="00F56610" w:rsidRDefault="00F56610" w:rsidP="00F56610">
      <w:pPr>
        <w:pStyle w:val="FootnoteText"/>
      </w:pPr>
      <w:r>
        <w:rPr>
          <w:rStyle w:val="FootnoteReference"/>
        </w:rPr>
        <w:footnoteRef/>
      </w:r>
      <w:r>
        <w:t xml:space="preserve"> 1991 (1) SA 756 A, headnote</w:t>
      </w:r>
    </w:p>
  </w:footnote>
  <w:footnote w:id="13">
    <w:p w14:paraId="4D7D95E8" w14:textId="77777777" w:rsidR="00F56610" w:rsidRDefault="00F56610" w:rsidP="00F56610">
      <w:pPr>
        <w:pStyle w:val="FootnoteText"/>
      </w:pPr>
      <w:r>
        <w:rPr>
          <w:rStyle w:val="FootnoteReference"/>
        </w:rPr>
        <w:footnoteRef/>
      </w:r>
      <w:r>
        <w:t xml:space="preserve"> 2016 (3) SA 528 CC at [19]</w:t>
      </w:r>
    </w:p>
  </w:footnote>
  <w:footnote w:id="14">
    <w:p w14:paraId="65ECCDF4" w14:textId="42B55228" w:rsidR="00F56610" w:rsidRDefault="00F56610" w:rsidP="00F56610">
      <w:pPr>
        <w:pStyle w:val="FootnoteText"/>
      </w:pPr>
      <w:r>
        <w:rPr>
          <w:rStyle w:val="FootnoteReference"/>
        </w:rPr>
        <w:footnoteRef/>
      </w:r>
      <w:r>
        <w:t xml:space="preserve"> </w:t>
      </w:r>
      <w:r w:rsidR="0011555C">
        <w:t>2014 ZACC 28</w:t>
      </w:r>
    </w:p>
  </w:footnote>
  <w:footnote w:id="15">
    <w:p w14:paraId="48A60054" w14:textId="77777777" w:rsidR="00F56610" w:rsidRDefault="00F56610" w:rsidP="00F56610">
      <w:pPr>
        <w:pStyle w:val="FootnoteText"/>
      </w:pPr>
      <w:r>
        <w:rPr>
          <w:rStyle w:val="FootnoteReference"/>
        </w:rPr>
        <w:footnoteRef/>
      </w:r>
      <w:r>
        <w:t xml:space="preserve"> Mashongwa supra at [20]</w:t>
      </w:r>
    </w:p>
  </w:footnote>
  <w:footnote w:id="16">
    <w:p w14:paraId="23676591" w14:textId="77777777" w:rsidR="00F56610" w:rsidRDefault="00F56610" w:rsidP="00F56610">
      <w:pPr>
        <w:pStyle w:val="FootnoteText"/>
      </w:pPr>
      <w:r>
        <w:rPr>
          <w:rStyle w:val="FootnoteReference"/>
        </w:rPr>
        <w:footnoteRef/>
      </w:r>
      <w:r>
        <w:t xml:space="preserve"> [66]</w:t>
      </w:r>
    </w:p>
  </w:footnote>
  <w:footnote w:id="17">
    <w:p w14:paraId="46819AF2" w14:textId="0799C7C7" w:rsidR="002019D0" w:rsidRDefault="002019D0">
      <w:pPr>
        <w:pStyle w:val="FootnoteText"/>
      </w:pPr>
      <w:r>
        <w:rPr>
          <w:rStyle w:val="FootnoteReference"/>
        </w:rPr>
        <w:footnoteRef/>
      </w:r>
      <w:r>
        <w:t xml:space="preserve"> Caselines 04-29</w:t>
      </w:r>
    </w:p>
  </w:footnote>
  <w:footnote w:id="18">
    <w:p w14:paraId="643C87EC" w14:textId="197EFCC2" w:rsidR="00E2762E" w:rsidRDefault="00E2762E">
      <w:pPr>
        <w:pStyle w:val="FootnoteText"/>
      </w:pPr>
      <w:r>
        <w:rPr>
          <w:rStyle w:val="FootnoteReference"/>
        </w:rPr>
        <w:footnoteRef/>
      </w:r>
      <w:r>
        <w:t xml:space="preserve"> Caselines 04-29 , Judgment a quo [59] </w:t>
      </w:r>
    </w:p>
  </w:footnote>
  <w:footnote w:id="19">
    <w:p w14:paraId="422E6BBC" w14:textId="3B332539" w:rsidR="00495B14" w:rsidRDefault="00495B14">
      <w:pPr>
        <w:pStyle w:val="FootnoteText"/>
      </w:pPr>
      <w:r>
        <w:rPr>
          <w:rStyle w:val="FootnoteReference"/>
        </w:rPr>
        <w:footnoteRef/>
      </w:r>
      <w:r>
        <w:t xml:space="preserve"> (Case No. 853/2020) [2021] ZASCA 158 (8 November 2021) [25]</w:t>
      </w:r>
    </w:p>
  </w:footnote>
  <w:footnote w:id="20">
    <w:p w14:paraId="50B0375A" w14:textId="77777777" w:rsidR="00F56610" w:rsidRDefault="00F56610" w:rsidP="00F56610">
      <w:pPr>
        <w:pStyle w:val="FootnoteText"/>
      </w:pPr>
      <w:r>
        <w:rPr>
          <w:rStyle w:val="FootnoteReference"/>
        </w:rPr>
        <w:footnoteRef/>
      </w:r>
      <w:r>
        <w:t xml:space="preserve"> Caselines 21-28</w:t>
      </w:r>
    </w:p>
  </w:footnote>
  <w:footnote w:id="21">
    <w:p w14:paraId="13486312" w14:textId="77777777" w:rsidR="00F56610" w:rsidRDefault="00F56610" w:rsidP="00F56610">
      <w:pPr>
        <w:pStyle w:val="FootnoteText"/>
      </w:pPr>
      <w:r>
        <w:rPr>
          <w:rStyle w:val="FootnoteReference"/>
        </w:rPr>
        <w:footnoteRef/>
      </w:r>
      <w:r>
        <w:t xml:space="preserve"> [68]</w:t>
      </w:r>
    </w:p>
  </w:footnote>
  <w:footnote w:id="22">
    <w:p w14:paraId="5B0D682E" w14:textId="77777777" w:rsidR="00F56610" w:rsidRDefault="00F56610" w:rsidP="00F56610">
      <w:pPr>
        <w:pStyle w:val="FootnoteText"/>
      </w:pPr>
      <w:r>
        <w:rPr>
          <w:rStyle w:val="FootnoteReference"/>
        </w:rPr>
        <w:footnoteRef/>
      </w:r>
      <w:r>
        <w:t xml:space="preserve"> [69]</w:t>
      </w:r>
    </w:p>
  </w:footnote>
  <w:footnote w:id="23">
    <w:p w14:paraId="2C6280DB" w14:textId="4496F94E" w:rsidR="00F56610" w:rsidRDefault="00F56610" w:rsidP="00F56610">
      <w:pPr>
        <w:pStyle w:val="FootnoteText"/>
      </w:pPr>
      <w:r>
        <w:rPr>
          <w:rStyle w:val="FootnoteReference"/>
        </w:rPr>
        <w:footnoteRef/>
      </w:r>
      <w:r>
        <w:t xml:space="preserve"> 2005 (2) SA 359 CC</w:t>
      </w:r>
      <w:r w:rsidR="00F76525">
        <w:t xml:space="preserve"> flynote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1E32D"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2455322E"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7372D9DC"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181CD43F" w14:textId="651EC6D7" w:rsidR="00A44620" w:rsidRPr="00C307C7" w:rsidRDefault="00A44620" w:rsidP="00C15506">
    <w:pPr>
      <w:pStyle w:val="Header"/>
      <w:spacing w:after="0" w:line="240" w:lineRule="auto"/>
      <w:jc w:val="center"/>
      <w:rPr>
        <w:rStyle w:val="PageNumber"/>
        <w:rFonts w:ascii="Arial" w:hAnsi="Arial" w:cs="Arial"/>
        <w:sz w:val="25"/>
        <w:szCs w:val="25"/>
      </w:rPr>
    </w:pPr>
    <w:r w:rsidRPr="00C307C7">
      <w:rPr>
        <w:rStyle w:val="PageNumber"/>
        <w:rFonts w:ascii="Arial" w:hAnsi="Arial" w:cs="Arial"/>
        <w:sz w:val="25"/>
        <w:szCs w:val="25"/>
      </w:rPr>
      <w:t xml:space="preserve">- </w:t>
    </w:r>
    <w:r w:rsidRPr="00C307C7">
      <w:rPr>
        <w:rStyle w:val="PageNumber"/>
        <w:rFonts w:ascii="Arial" w:hAnsi="Arial" w:cs="Arial"/>
        <w:sz w:val="25"/>
        <w:szCs w:val="25"/>
      </w:rPr>
      <w:fldChar w:fldCharType="begin"/>
    </w:r>
    <w:r w:rsidRPr="00C307C7">
      <w:rPr>
        <w:rStyle w:val="PageNumber"/>
        <w:rFonts w:ascii="Arial" w:hAnsi="Arial" w:cs="Arial"/>
        <w:sz w:val="25"/>
        <w:szCs w:val="25"/>
      </w:rPr>
      <w:instrText xml:space="preserve"> PAGE </w:instrText>
    </w:r>
    <w:r w:rsidRPr="00C307C7">
      <w:rPr>
        <w:rStyle w:val="PageNumber"/>
        <w:rFonts w:ascii="Arial" w:hAnsi="Arial" w:cs="Arial"/>
        <w:sz w:val="25"/>
        <w:szCs w:val="25"/>
      </w:rPr>
      <w:fldChar w:fldCharType="separate"/>
    </w:r>
    <w:r w:rsidR="00125371">
      <w:rPr>
        <w:rStyle w:val="PageNumber"/>
        <w:rFonts w:ascii="Arial" w:hAnsi="Arial" w:cs="Arial"/>
        <w:noProof/>
        <w:sz w:val="25"/>
        <w:szCs w:val="25"/>
      </w:rPr>
      <w:t>20</w:t>
    </w:r>
    <w:r w:rsidRPr="00C307C7">
      <w:rPr>
        <w:rStyle w:val="PageNumber"/>
        <w:rFonts w:ascii="Arial" w:hAnsi="Arial" w:cs="Arial"/>
        <w:sz w:val="25"/>
        <w:szCs w:val="25"/>
      </w:rPr>
      <w:fldChar w:fldCharType="end"/>
    </w:r>
    <w:r w:rsidRPr="00C307C7">
      <w:rPr>
        <w:rStyle w:val="PageNumber"/>
        <w:rFonts w:ascii="Arial" w:hAnsi="Arial" w:cs="Arial"/>
        <w:sz w:val="25"/>
        <w:szCs w:val="25"/>
      </w:rPr>
      <w:t xml:space="preserve"> </w:t>
    </w:r>
    <w:r w:rsidR="001C327E" w:rsidRPr="00C307C7">
      <w:rPr>
        <w:rStyle w:val="PageNumber"/>
        <w:rFonts w:ascii="Arial" w:hAnsi="Arial" w:cs="Arial"/>
        <w:sz w:val="25"/>
        <w:szCs w:val="25"/>
      </w:rPr>
      <w:t>-</w:t>
    </w:r>
  </w:p>
  <w:p w14:paraId="25072A2A" w14:textId="77777777" w:rsidR="001C327E" w:rsidRPr="00C307C7" w:rsidRDefault="001C327E" w:rsidP="00C15506">
    <w:pPr>
      <w:pStyle w:val="Header"/>
      <w:spacing w:after="0" w:line="240" w:lineRule="auto"/>
      <w:jc w:val="center"/>
      <w:rPr>
        <w:rStyle w:val="PageNumber"/>
        <w:rFonts w:ascii="Arial" w:hAnsi="Arial" w:cs="Arial"/>
        <w:sz w:val="16"/>
        <w:szCs w:val="16"/>
      </w:rPr>
    </w:pPr>
  </w:p>
  <w:p w14:paraId="1EE9465B" w14:textId="77777777" w:rsidR="001C327E" w:rsidRPr="00C307C7" w:rsidRDefault="001C327E" w:rsidP="00C15506">
    <w:pPr>
      <w:pStyle w:val="Header"/>
      <w:spacing w:after="0" w:line="240" w:lineRule="auto"/>
      <w:jc w:val="center"/>
      <w:rPr>
        <w:rStyle w:val="PageNumber"/>
        <w:rFonts w:ascii="Arial" w:hAnsi="Arial" w:cs="Arial"/>
        <w:sz w:val="16"/>
        <w:szCs w:val="16"/>
      </w:rPr>
    </w:pPr>
  </w:p>
  <w:p w14:paraId="763CD444" w14:textId="77777777" w:rsidR="00C15506" w:rsidRDefault="00C15506" w:rsidP="00C15506">
    <w:pPr>
      <w:pStyle w:val="Header"/>
      <w:spacing w:after="0" w:line="240" w:lineRule="auto"/>
      <w:jc w:val="center"/>
      <w:rPr>
        <w:rStyle w:val="PageNumber"/>
        <w:rFonts w:ascii="Arial" w:hAnsi="Arial" w:cs="Arial"/>
        <w:sz w:val="16"/>
        <w:szCs w:val="16"/>
      </w:rPr>
    </w:pPr>
  </w:p>
  <w:p w14:paraId="16A83249" w14:textId="77777777" w:rsidR="0067260F" w:rsidRPr="00C307C7" w:rsidRDefault="0067260F" w:rsidP="00C15506">
    <w:pPr>
      <w:pStyle w:val="Header"/>
      <w:spacing w:after="0" w:line="240" w:lineRule="auto"/>
      <w:jc w:val="center"/>
      <w:rPr>
        <w:rStyle w:val="PageNumbe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DE8A4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BC02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DA4A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4E56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24E5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18C3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24BE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E27C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EEE7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A67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0AA2"/>
    <w:multiLevelType w:val="hybridMultilevel"/>
    <w:tmpl w:val="F04A010A"/>
    <w:lvl w:ilvl="0" w:tplc="489ABD64">
      <w:start w:val="1"/>
      <w:numFmt w:val="lowerLetter"/>
      <w:pStyle w:val="abracket"/>
      <w:lvlText w:val="%1)"/>
      <w:lvlJc w:val="left"/>
      <w:pPr>
        <w:tabs>
          <w:tab w:val="num" w:pos="851"/>
        </w:tabs>
        <w:ind w:left="851" w:hanging="851"/>
      </w:pPr>
      <w:rPr>
        <w:rFonts w:hint="default"/>
      </w:rPr>
    </w:lvl>
    <w:lvl w:ilvl="1" w:tplc="55ECC9DE" w:tentative="1">
      <w:start w:val="1"/>
      <w:numFmt w:val="lowerLetter"/>
      <w:lvlText w:val="%2."/>
      <w:lvlJc w:val="left"/>
      <w:pPr>
        <w:tabs>
          <w:tab w:val="num" w:pos="1440"/>
        </w:tabs>
        <w:ind w:left="1440" w:hanging="360"/>
      </w:pPr>
    </w:lvl>
    <w:lvl w:ilvl="2" w:tplc="DB608D22" w:tentative="1">
      <w:start w:val="1"/>
      <w:numFmt w:val="lowerRoman"/>
      <w:lvlText w:val="%3."/>
      <w:lvlJc w:val="right"/>
      <w:pPr>
        <w:tabs>
          <w:tab w:val="num" w:pos="2160"/>
        </w:tabs>
        <w:ind w:left="2160" w:hanging="180"/>
      </w:pPr>
    </w:lvl>
    <w:lvl w:ilvl="3" w:tplc="D3560AAA" w:tentative="1">
      <w:start w:val="1"/>
      <w:numFmt w:val="decimal"/>
      <w:lvlText w:val="%4."/>
      <w:lvlJc w:val="left"/>
      <w:pPr>
        <w:tabs>
          <w:tab w:val="num" w:pos="2880"/>
        </w:tabs>
        <w:ind w:left="2880" w:hanging="360"/>
      </w:pPr>
    </w:lvl>
    <w:lvl w:ilvl="4" w:tplc="596A8E2A" w:tentative="1">
      <w:start w:val="1"/>
      <w:numFmt w:val="lowerLetter"/>
      <w:lvlText w:val="%5."/>
      <w:lvlJc w:val="left"/>
      <w:pPr>
        <w:tabs>
          <w:tab w:val="num" w:pos="3600"/>
        </w:tabs>
        <w:ind w:left="3600" w:hanging="360"/>
      </w:pPr>
    </w:lvl>
    <w:lvl w:ilvl="5" w:tplc="7E620798" w:tentative="1">
      <w:start w:val="1"/>
      <w:numFmt w:val="lowerRoman"/>
      <w:lvlText w:val="%6."/>
      <w:lvlJc w:val="right"/>
      <w:pPr>
        <w:tabs>
          <w:tab w:val="num" w:pos="4320"/>
        </w:tabs>
        <w:ind w:left="4320" w:hanging="180"/>
      </w:pPr>
    </w:lvl>
    <w:lvl w:ilvl="6" w:tplc="8FA41626" w:tentative="1">
      <w:start w:val="1"/>
      <w:numFmt w:val="decimal"/>
      <w:lvlText w:val="%7."/>
      <w:lvlJc w:val="left"/>
      <w:pPr>
        <w:tabs>
          <w:tab w:val="num" w:pos="5040"/>
        </w:tabs>
        <w:ind w:left="5040" w:hanging="360"/>
      </w:pPr>
    </w:lvl>
    <w:lvl w:ilvl="7" w:tplc="00309198" w:tentative="1">
      <w:start w:val="1"/>
      <w:numFmt w:val="lowerLetter"/>
      <w:lvlText w:val="%8."/>
      <w:lvlJc w:val="left"/>
      <w:pPr>
        <w:tabs>
          <w:tab w:val="num" w:pos="5760"/>
        </w:tabs>
        <w:ind w:left="5760" w:hanging="360"/>
      </w:pPr>
    </w:lvl>
    <w:lvl w:ilvl="8" w:tplc="03F67278" w:tentative="1">
      <w:start w:val="1"/>
      <w:numFmt w:val="lowerRoman"/>
      <w:lvlText w:val="%9."/>
      <w:lvlJc w:val="right"/>
      <w:pPr>
        <w:tabs>
          <w:tab w:val="num" w:pos="6480"/>
        </w:tabs>
        <w:ind w:left="6480" w:hanging="180"/>
      </w:pPr>
    </w:lvl>
  </w:abstractNum>
  <w:abstractNum w:abstractNumId="1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2" w15:restartNumberingAfterBreak="0">
    <w:nsid w:val="12642B10"/>
    <w:multiLevelType w:val="multilevel"/>
    <w:tmpl w:val="7C00A31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73E5547"/>
    <w:multiLevelType w:val="multilevel"/>
    <w:tmpl w:val="7C7874F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8634FAA"/>
    <w:multiLevelType w:val="hybridMultilevel"/>
    <w:tmpl w:val="5DD67146"/>
    <w:lvl w:ilvl="0" w:tplc="1C09000F">
      <w:start w:val="14"/>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1EDB7DA3"/>
    <w:multiLevelType w:val="multilevel"/>
    <w:tmpl w:val="29EA4D4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isLgl/>
      <w:lvlText w:val="%1.%2.%3."/>
      <w:lvlJc w:val="left"/>
      <w:pPr>
        <w:tabs>
          <w:tab w:val="num" w:pos="2835"/>
        </w:tabs>
        <w:ind w:left="2835" w:hanging="113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4B32F1E"/>
    <w:multiLevelType w:val="hybridMultilevel"/>
    <w:tmpl w:val="2452CD34"/>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E6F0A2A"/>
    <w:multiLevelType w:val="multilevel"/>
    <w:tmpl w:val="61FA32E0"/>
    <w:lvl w:ilvl="0">
      <w:start w:val="15"/>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F921F0B"/>
    <w:multiLevelType w:val="hybridMultilevel"/>
    <w:tmpl w:val="42E6F516"/>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5EA1779"/>
    <w:multiLevelType w:val="hybridMultilevel"/>
    <w:tmpl w:val="6D1AF092"/>
    <w:lvl w:ilvl="0" w:tplc="80000D02">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0" w15:restartNumberingAfterBreak="0">
    <w:nsid w:val="39E95A28"/>
    <w:multiLevelType w:val="multilevel"/>
    <w:tmpl w:val="7990FF70"/>
    <w:lvl w:ilvl="0">
      <w:start w:val="1"/>
      <w:numFmt w:val="decimal"/>
      <w:lvlText w:val="%1."/>
      <w:lvlJc w:val="left"/>
      <w:pPr>
        <w:tabs>
          <w:tab w:val="num" w:pos="1702"/>
        </w:tabs>
        <w:ind w:left="1702"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651"/>
        </w:tabs>
        <w:ind w:left="2075" w:hanging="504"/>
      </w:pPr>
      <w:rPr>
        <w:rFonts w:hint="default"/>
      </w:rPr>
    </w:lvl>
    <w:lvl w:ilvl="3">
      <w:start w:val="1"/>
      <w:numFmt w:val="decimal"/>
      <w:lvlText w:val="%1.%2.%3.%4."/>
      <w:lvlJc w:val="left"/>
      <w:pPr>
        <w:tabs>
          <w:tab w:val="num" w:pos="3371"/>
        </w:tabs>
        <w:ind w:left="2579" w:hanging="648"/>
      </w:pPr>
      <w:rPr>
        <w:rFonts w:hint="default"/>
      </w:rPr>
    </w:lvl>
    <w:lvl w:ilvl="4">
      <w:start w:val="1"/>
      <w:numFmt w:val="decimal"/>
      <w:lvlText w:val="%1.%2.%3.%4.%5."/>
      <w:lvlJc w:val="left"/>
      <w:pPr>
        <w:tabs>
          <w:tab w:val="num" w:pos="4091"/>
        </w:tabs>
        <w:ind w:left="3083" w:hanging="792"/>
      </w:pPr>
      <w:rPr>
        <w:rFonts w:hint="default"/>
      </w:rPr>
    </w:lvl>
    <w:lvl w:ilvl="5">
      <w:start w:val="1"/>
      <w:numFmt w:val="decimal"/>
      <w:lvlText w:val="%1.%2.%3.%4.%5.%6."/>
      <w:lvlJc w:val="left"/>
      <w:pPr>
        <w:tabs>
          <w:tab w:val="num" w:pos="4811"/>
        </w:tabs>
        <w:ind w:left="3587" w:hanging="936"/>
      </w:pPr>
      <w:rPr>
        <w:rFonts w:hint="default"/>
      </w:rPr>
    </w:lvl>
    <w:lvl w:ilvl="6">
      <w:start w:val="1"/>
      <w:numFmt w:val="decimal"/>
      <w:lvlText w:val="%1.%2.%3.%4.%5.%6.%7."/>
      <w:lvlJc w:val="left"/>
      <w:pPr>
        <w:tabs>
          <w:tab w:val="num" w:pos="5531"/>
        </w:tabs>
        <w:ind w:left="4091" w:hanging="1080"/>
      </w:pPr>
      <w:rPr>
        <w:rFonts w:hint="default"/>
      </w:rPr>
    </w:lvl>
    <w:lvl w:ilvl="7">
      <w:start w:val="1"/>
      <w:numFmt w:val="decimal"/>
      <w:lvlText w:val="%1.%2.%3.%4.%5.%6.%7.%8."/>
      <w:lvlJc w:val="left"/>
      <w:pPr>
        <w:tabs>
          <w:tab w:val="num" w:pos="6251"/>
        </w:tabs>
        <w:ind w:left="4595" w:hanging="1224"/>
      </w:pPr>
      <w:rPr>
        <w:rFonts w:hint="default"/>
      </w:rPr>
    </w:lvl>
    <w:lvl w:ilvl="8">
      <w:start w:val="1"/>
      <w:numFmt w:val="decimal"/>
      <w:lvlText w:val="%1.%2.%3.%4.%5.%6.%7.%8.%9."/>
      <w:lvlJc w:val="left"/>
      <w:pPr>
        <w:tabs>
          <w:tab w:val="num" w:pos="6971"/>
        </w:tabs>
        <w:ind w:left="5171" w:hanging="1440"/>
      </w:pPr>
      <w:rPr>
        <w:rFonts w:hint="default"/>
      </w:rPr>
    </w:lvl>
  </w:abstractNum>
  <w:abstractNum w:abstractNumId="21" w15:restartNumberingAfterBreak="0">
    <w:nsid w:val="41A8181E"/>
    <w:multiLevelType w:val="multilevel"/>
    <w:tmpl w:val="6254C5E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lowerLetter"/>
      <w:lvlText w:val="(%4)"/>
      <w:lvlJc w:val="left"/>
      <w:pPr>
        <w:tabs>
          <w:tab w:val="num" w:pos="2912"/>
        </w:tabs>
        <w:ind w:left="2835" w:hanging="283"/>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476542F6"/>
    <w:multiLevelType w:val="hybridMultilevel"/>
    <w:tmpl w:val="627A637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E612B65"/>
    <w:multiLevelType w:val="multilevel"/>
    <w:tmpl w:val="F47019A8"/>
    <w:lvl w:ilvl="0">
      <w:start w:val="5"/>
      <w:numFmt w:val="decimal"/>
      <w:lvlText w:val="%1"/>
      <w:lvlJc w:val="left"/>
      <w:pPr>
        <w:ind w:left="792" w:hanging="792"/>
      </w:pPr>
      <w:rPr>
        <w:rFonts w:hint="default"/>
      </w:rPr>
    </w:lvl>
    <w:lvl w:ilvl="1">
      <w:start w:val="1"/>
      <w:numFmt w:val="decimal"/>
      <w:lvlText w:val="%1.%2"/>
      <w:lvlJc w:val="left"/>
      <w:pPr>
        <w:ind w:left="1642" w:hanging="792"/>
      </w:pPr>
      <w:rPr>
        <w:rFonts w:hint="default"/>
      </w:rPr>
    </w:lvl>
    <w:lvl w:ilvl="2">
      <w:start w:val="1"/>
      <w:numFmt w:val="decimal"/>
      <w:lvlText w:val="%1.%2.%3"/>
      <w:lvlJc w:val="left"/>
      <w:pPr>
        <w:ind w:left="2492" w:hanging="792"/>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24" w15:restartNumberingAfterBreak="0">
    <w:nsid w:val="552F3A6D"/>
    <w:multiLevelType w:val="hybridMultilevel"/>
    <w:tmpl w:val="B6649DE2"/>
    <w:lvl w:ilvl="0" w:tplc="974EF4C4">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8A75599"/>
    <w:multiLevelType w:val="multilevel"/>
    <w:tmpl w:val="F9F257A4"/>
    <w:lvl w:ilvl="0">
      <w:start w:val="1"/>
      <w:numFmt w:val="decimal"/>
      <w:pStyle w:val="ListLevel1"/>
      <w:lvlText w:val="%1."/>
      <w:lvlJc w:val="left"/>
      <w:pPr>
        <w:tabs>
          <w:tab w:val="num" w:pos="851"/>
        </w:tabs>
        <w:ind w:left="851" w:hanging="851"/>
      </w:pPr>
      <w:rPr>
        <w:rFonts w:hint="default"/>
        <w:b w:val="0"/>
        <w:i w:val="0"/>
      </w:rPr>
    </w:lvl>
    <w:lvl w:ilvl="1">
      <w:start w:val="1"/>
      <w:numFmt w:val="decimal"/>
      <w:pStyle w:val="ListLevel2"/>
      <w:lvlText w:val="%1.%2."/>
      <w:lvlJc w:val="left"/>
      <w:pPr>
        <w:tabs>
          <w:tab w:val="num" w:pos="1701"/>
        </w:tabs>
        <w:ind w:left="1701" w:hanging="850"/>
      </w:pPr>
      <w:rPr>
        <w:rFonts w:hint="default"/>
        <w:b w:val="0"/>
      </w:rPr>
    </w:lvl>
    <w:lvl w:ilvl="2">
      <w:start w:val="1"/>
      <w:numFmt w:val="decimal"/>
      <w:pStyle w:val="ListLevel3"/>
      <w:lvlText w:val="%1.%2.%3."/>
      <w:lvlJc w:val="left"/>
      <w:pPr>
        <w:tabs>
          <w:tab w:val="num" w:pos="2552"/>
        </w:tabs>
        <w:ind w:left="2552" w:hanging="851"/>
      </w:pPr>
      <w:rPr>
        <w:rFonts w:hint="default"/>
      </w:rPr>
    </w:lvl>
    <w:lvl w:ilvl="3">
      <w:start w:val="1"/>
      <w:numFmt w:val="lowerLetter"/>
      <w:pStyle w:val="ListLevel4"/>
      <w:lvlText w:val="(%4)"/>
      <w:lvlJc w:val="left"/>
      <w:pPr>
        <w:tabs>
          <w:tab w:val="num" w:pos="3119"/>
        </w:tabs>
        <w:ind w:left="3119" w:hanging="567"/>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599E4374"/>
    <w:multiLevelType w:val="hybridMultilevel"/>
    <w:tmpl w:val="53EE5F20"/>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B41068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4349C3"/>
    <w:multiLevelType w:val="multilevel"/>
    <w:tmpl w:val="34A85BFC"/>
    <w:lvl w:ilvl="0">
      <w:start w:val="9"/>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5F96514B"/>
    <w:multiLevelType w:val="hybridMultilevel"/>
    <w:tmpl w:val="12C6A8B8"/>
    <w:lvl w:ilvl="0" w:tplc="1C09000F">
      <w:start w:val="3"/>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4FB50D1"/>
    <w:multiLevelType w:val="multilevel"/>
    <w:tmpl w:val="2F68FA8A"/>
    <w:lvl w:ilvl="0">
      <w:start w:val="16"/>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A273ABF"/>
    <w:multiLevelType w:val="hybridMultilevel"/>
    <w:tmpl w:val="A23E9C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5033606"/>
    <w:multiLevelType w:val="multilevel"/>
    <w:tmpl w:val="1F56966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7D0C17F3"/>
    <w:multiLevelType w:val="hybridMultilevel"/>
    <w:tmpl w:val="D974C486"/>
    <w:lvl w:ilvl="0" w:tplc="9200AADE">
      <w:start w:val="1"/>
      <w:numFmt w:val="lowerRoman"/>
      <w:pStyle w:val="onebracket"/>
      <w:lvlText w:val="(%1)"/>
      <w:lvlJc w:val="left"/>
      <w:pPr>
        <w:tabs>
          <w:tab w:val="num" w:pos="851"/>
        </w:tabs>
        <w:ind w:left="851" w:hanging="851"/>
      </w:pPr>
      <w:rPr>
        <w:rFonts w:hint="default"/>
      </w:rPr>
    </w:lvl>
    <w:lvl w:ilvl="1" w:tplc="A5820FF8" w:tentative="1">
      <w:start w:val="1"/>
      <w:numFmt w:val="lowerLetter"/>
      <w:lvlText w:val="%2."/>
      <w:lvlJc w:val="left"/>
      <w:pPr>
        <w:tabs>
          <w:tab w:val="num" w:pos="1440"/>
        </w:tabs>
        <w:ind w:left="1440" w:hanging="360"/>
      </w:pPr>
    </w:lvl>
    <w:lvl w:ilvl="2" w:tplc="21D8BF9E" w:tentative="1">
      <w:start w:val="1"/>
      <w:numFmt w:val="lowerRoman"/>
      <w:lvlText w:val="%3."/>
      <w:lvlJc w:val="right"/>
      <w:pPr>
        <w:tabs>
          <w:tab w:val="num" w:pos="2160"/>
        </w:tabs>
        <w:ind w:left="2160" w:hanging="180"/>
      </w:pPr>
    </w:lvl>
    <w:lvl w:ilvl="3" w:tplc="B832E58A" w:tentative="1">
      <w:start w:val="1"/>
      <w:numFmt w:val="decimal"/>
      <w:lvlText w:val="%4."/>
      <w:lvlJc w:val="left"/>
      <w:pPr>
        <w:tabs>
          <w:tab w:val="num" w:pos="2880"/>
        </w:tabs>
        <w:ind w:left="2880" w:hanging="360"/>
      </w:pPr>
    </w:lvl>
    <w:lvl w:ilvl="4" w:tplc="8410E02A" w:tentative="1">
      <w:start w:val="1"/>
      <w:numFmt w:val="lowerLetter"/>
      <w:lvlText w:val="%5."/>
      <w:lvlJc w:val="left"/>
      <w:pPr>
        <w:tabs>
          <w:tab w:val="num" w:pos="3600"/>
        </w:tabs>
        <w:ind w:left="3600" w:hanging="360"/>
      </w:pPr>
    </w:lvl>
    <w:lvl w:ilvl="5" w:tplc="6E620354" w:tentative="1">
      <w:start w:val="1"/>
      <w:numFmt w:val="lowerRoman"/>
      <w:lvlText w:val="%6."/>
      <w:lvlJc w:val="right"/>
      <w:pPr>
        <w:tabs>
          <w:tab w:val="num" w:pos="4320"/>
        </w:tabs>
        <w:ind w:left="4320" w:hanging="180"/>
      </w:pPr>
    </w:lvl>
    <w:lvl w:ilvl="6" w:tplc="2916A49A" w:tentative="1">
      <w:start w:val="1"/>
      <w:numFmt w:val="decimal"/>
      <w:lvlText w:val="%7."/>
      <w:lvlJc w:val="left"/>
      <w:pPr>
        <w:tabs>
          <w:tab w:val="num" w:pos="5040"/>
        </w:tabs>
        <w:ind w:left="5040" w:hanging="360"/>
      </w:pPr>
    </w:lvl>
    <w:lvl w:ilvl="7" w:tplc="42120482" w:tentative="1">
      <w:start w:val="1"/>
      <w:numFmt w:val="lowerLetter"/>
      <w:lvlText w:val="%8."/>
      <w:lvlJc w:val="left"/>
      <w:pPr>
        <w:tabs>
          <w:tab w:val="num" w:pos="5760"/>
        </w:tabs>
        <w:ind w:left="5760" w:hanging="360"/>
      </w:pPr>
    </w:lvl>
    <w:lvl w:ilvl="8" w:tplc="6CE60B44" w:tentative="1">
      <w:start w:val="1"/>
      <w:numFmt w:val="lowerRoman"/>
      <w:lvlText w:val="%9."/>
      <w:lvlJc w:val="right"/>
      <w:pPr>
        <w:tabs>
          <w:tab w:val="num" w:pos="6480"/>
        </w:tabs>
        <w:ind w:left="6480" w:hanging="180"/>
      </w:pPr>
    </w:lvl>
  </w:abstractNum>
  <w:num w:numId="1">
    <w:abstractNumId w:val="15"/>
  </w:num>
  <w:num w:numId="2">
    <w:abstractNumId w:val="20"/>
  </w:num>
  <w:num w:numId="3">
    <w:abstractNumId w:val="32"/>
  </w:num>
  <w:num w:numId="4">
    <w:abstractNumId w:val="21"/>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33"/>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0"/>
  </w:num>
  <w:num w:numId="21">
    <w:abstractNumId w:val="25"/>
  </w:num>
  <w:num w:numId="22">
    <w:abstractNumId w:val="25"/>
  </w:num>
  <w:num w:numId="23">
    <w:abstractNumId w:val="25"/>
  </w:num>
  <w:num w:numId="24">
    <w:abstractNumId w:val="25"/>
  </w:num>
  <w:num w:numId="25">
    <w:abstractNumId w:val="33"/>
  </w:num>
  <w:num w:numId="26">
    <w:abstractNumId w:val="25"/>
  </w:num>
  <w:num w:numId="27">
    <w:abstractNumId w:val="25"/>
  </w:num>
  <w:num w:numId="28">
    <w:abstractNumId w:val="11"/>
  </w:num>
  <w:num w:numId="29">
    <w:abstractNumId w:val="27"/>
  </w:num>
  <w:num w:numId="30">
    <w:abstractNumId w:val="29"/>
  </w:num>
  <w:num w:numId="31">
    <w:abstractNumId w:val="18"/>
  </w:num>
  <w:num w:numId="32">
    <w:abstractNumId w:val="17"/>
  </w:num>
  <w:num w:numId="33">
    <w:abstractNumId w:val="14"/>
  </w:num>
  <w:num w:numId="34">
    <w:abstractNumId w:val="28"/>
  </w:num>
  <w:num w:numId="35">
    <w:abstractNumId w:val="19"/>
  </w:num>
  <w:num w:numId="36">
    <w:abstractNumId w:val="22"/>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30"/>
  </w:num>
  <w:num w:numId="40">
    <w:abstractNumId w:val="31"/>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12"/>
  </w:num>
  <w:num w:numId="44">
    <w:abstractNumId w:val="13"/>
  </w:num>
  <w:num w:numId="45">
    <w:abstractNumId w:val="23"/>
  </w:num>
  <w:num w:numId="46">
    <w:abstractNumId w:val="25"/>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B01"/>
    <w:rsid w:val="00013B60"/>
    <w:rsid w:val="000376A4"/>
    <w:rsid w:val="000441BE"/>
    <w:rsid w:val="0005322C"/>
    <w:rsid w:val="00066255"/>
    <w:rsid w:val="00067824"/>
    <w:rsid w:val="000713AA"/>
    <w:rsid w:val="00076BDF"/>
    <w:rsid w:val="00080FB7"/>
    <w:rsid w:val="00081BE5"/>
    <w:rsid w:val="00083B2E"/>
    <w:rsid w:val="00092FE9"/>
    <w:rsid w:val="000C5FBC"/>
    <w:rsid w:val="000D5220"/>
    <w:rsid w:val="000E1FD0"/>
    <w:rsid w:val="00103B17"/>
    <w:rsid w:val="00111059"/>
    <w:rsid w:val="0011358F"/>
    <w:rsid w:val="0011555C"/>
    <w:rsid w:val="00121EA2"/>
    <w:rsid w:val="00125371"/>
    <w:rsid w:val="0013081B"/>
    <w:rsid w:val="0014765C"/>
    <w:rsid w:val="00150454"/>
    <w:rsid w:val="001522B0"/>
    <w:rsid w:val="00157C9E"/>
    <w:rsid w:val="00173D11"/>
    <w:rsid w:val="001833A9"/>
    <w:rsid w:val="00197394"/>
    <w:rsid w:val="001A1DB0"/>
    <w:rsid w:val="001A4B73"/>
    <w:rsid w:val="001B2387"/>
    <w:rsid w:val="001B3550"/>
    <w:rsid w:val="001C327E"/>
    <w:rsid w:val="001C5E9C"/>
    <w:rsid w:val="001D1286"/>
    <w:rsid w:val="001E00DB"/>
    <w:rsid w:val="001E4A36"/>
    <w:rsid w:val="001F4A97"/>
    <w:rsid w:val="001F55DE"/>
    <w:rsid w:val="001F6793"/>
    <w:rsid w:val="00200B29"/>
    <w:rsid w:val="002019D0"/>
    <w:rsid w:val="00203E3E"/>
    <w:rsid w:val="002132FF"/>
    <w:rsid w:val="00234CD3"/>
    <w:rsid w:val="00241B94"/>
    <w:rsid w:val="00245352"/>
    <w:rsid w:val="0025601B"/>
    <w:rsid w:val="00262D7F"/>
    <w:rsid w:val="00274FBD"/>
    <w:rsid w:val="00287031"/>
    <w:rsid w:val="0029055E"/>
    <w:rsid w:val="002A7325"/>
    <w:rsid w:val="002B79E0"/>
    <w:rsid w:val="002C52D0"/>
    <w:rsid w:val="002C6E15"/>
    <w:rsid w:val="002E0E7E"/>
    <w:rsid w:val="002E4069"/>
    <w:rsid w:val="002E773C"/>
    <w:rsid w:val="002F1EF0"/>
    <w:rsid w:val="00304027"/>
    <w:rsid w:val="00326005"/>
    <w:rsid w:val="00332597"/>
    <w:rsid w:val="00333746"/>
    <w:rsid w:val="00345C5C"/>
    <w:rsid w:val="003703B7"/>
    <w:rsid w:val="00370577"/>
    <w:rsid w:val="00380580"/>
    <w:rsid w:val="00394560"/>
    <w:rsid w:val="003E1F42"/>
    <w:rsid w:val="003E353F"/>
    <w:rsid w:val="003E62EC"/>
    <w:rsid w:val="003E7B53"/>
    <w:rsid w:val="003F078F"/>
    <w:rsid w:val="003F21AF"/>
    <w:rsid w:val="003F49A9"/>
    <w:rsid w:val="003F70A0"/>
    <w:rsid w:val="00401D1D"/>
    <w:rsid w:val="0040257E"/>
    <w:rsid w:val="00403583"/>
    <w:rsid w:val="00405ECC"/>
    <w:rsid w:val="004063D9"/>
    <w:rsid w:val="00413F66"/>
    <w:rsid w:val="004214DF"/>
    <w:rsid w:val="00422328"/>
    <w:rsid w:val="0042364B"/>
    <w:rsid w:val="00423CB0"/>
    <w:rsid w:val="004473F2"/>
    <w:rsid w:val="00453A77"/>
    <w:rsid w:val="00457EA1"/>
    <w:rsid w:val="00482BBE"/>
    <w:rsid w:val="00490977"/>
    <w:rsid w:val="00491848"/>
    <w:rsid w:val="00495B14"/>
    <w:rsid w:val="004A5122"/>
    <w:rsid w:val="004A6690"/>
    <w:rsid w:val="004B5191"/>
    <w:rsid w:val="004B6D4A"/>
    <w:rsid w:val="004D0D37"/>
    <w:rsid w:val="004E07A7"/>
    <w:rsid w:val="004E37E5"/>
    <w:rsid w:val="004E3A3E"/>
    <w:rsid w:val="004E6463"/>
    <w:rsid w:val="004E6608"/>
    <w:rsid w:val="004F5C32"/>
    <w:rsid w:val="00500FAE"/>
    <w:rsid w:val="00501616"/>
    <w:rsid w:val="00524703"/>
    <w:rsid w:val="005277B4"/>
    <w:rsid w:val="00532293"/>
    <w:rsid w:val="00550532"/>
    <w:rsid w:val="005577D6"/>
    <w:rsid w:val="00581EB5"/>
    <w:rsid w:val="00585E16"/>
    <w:rsid w:val="00587C8C"/>
    <w:rsid w:val="00593E3F"/>
    <w:rsid w:val="00594841"/>
    <w:rsid w:val="00596901"/>
    <w:rsid w:val="00596FA2"/>
    <w:rsid w:val="00597C0B"/>
    <w:rsid w:val="005B0107"/>
    <w:rsid w:val="005B2B01"/>
    <w:rsid w:val="005B386A"/>
    <w:rsid w:val="005B7EC2"/>
    <w:rsid w:val="005D6C4D"/>
    <w:rsid w:val="0060307D"/>
    <w:rsid w:val="00613714"/>
    <w:rsid w:val="00631295"/>
    <w:rsid w:val="00635538"/>
    <w:rsid w:val="006451F6"/>
    <w:rsid w:val="0065104A"/>
    <w:rsid w:val="006576AF"/>
    <w:rsid w:val="00662D22"/>
    <w:rsid w:val="0067260F"/>
    <w:rsid w:val="00691280"/>
    <w:rsid w:val="0069151E"/>
    <w:rsid w:val="00692ED6"/>
    <w:rsid w:val="006940BA"/>
    <w:rsid w:val="006A0EDE"/>
    <w:rsid w:val="006A6DCE"/>
    <w:rsid w:val="006C3E2C"/>
    <w:rsid w:val="006D2337"/>
    <w:rsid w:val="006E05B7"/>
    <w:rsid w:val="006F061C"/>
    <w:rsid w:val="007032F1"/>
    <w:rsid w:val="007101BE"/>
    <w:rsid w:val="00712C5A"/>
    <w:rsid w:val="00735B93"/>
    <w:rsid w:val="0075275C"/>
    <w:rsid w:val="00762981"/>
    <w:rsid w:val="00766047"/>
    <w:rsid w:val="0077050F"/>
    <w:rsid w:val="00792F12"/>
    <w:rsid w:val="007938FD"/>
    <w:rsid w:val="007B3DB5"/>
    <w:rsid w:val="00803D8D"/>
    <w:rsid w:val="00817048"/>
    <w:rsid w:val="008208B5"/>
    <w:rsid w:val="00831167"/>
    <w:rsid w:val="008612FA"/>
    <w:rsid w:val="00862D66"/>
    <w:rsid w:val="008643A5"/>
    <w:rsid w:val="008745E4"/>
    <w:rsid w:val="008832D7"/>
    <w:rsid w:val="008851CD"/>
    <w:rsid w:val="008A0446"/>
    <w:rsid w:val="008A3134"/>
    <w:rsid w:val="008A3491"/>
    <w:rsid w:val="008A4148"/>
    <w:rsid w:val="008B48C1"/>
    <w:rsid w:val="008E3177"/>
    <w:rsid w:val="008F6698"/>
    <w:rsid w:val="009026EE"/>
    <w:rsid w:val="00917338"/>
    <w:rsid w:val="00924F08"/>
    <w:rsid w:val="009638BD"/>
    <w:rsid w:val="009648E2"/>
    <w:rsid w:val="009769F2"/>
    <w:rsid w:val="00976A32"/>
    <w:rsid w:val="0098104B"/>
    <w:rsid w:val="00984EE7"/>
    <w:rsid w:val="00994D97"/>
    <w:rsid w:val="009B0F23"/>
    <w:rsid w:val="009C61F0"/>
    <w:rsid w:val="009C7773"/>
    <w:rsid w:val="009F640B"/>
    <w:rsid w:val="00A012C5"/>
    <w:rsid w:val="00A01682"/>
    <w:rsid w:val="00A01A63"/>
    <w:rsid w:val="00A034D7"/>
    <w:rsid w:val="00A05591"/>
    <w:rsid w:val="00A1177B"/>
    <w:rsid w:val="00A21FBF"/>
    <w:rsid w:val="00A32D83"/>
    <w:rsid w:val="00A44620"/>
    <w:rsid w:val="00A73C54"/>
    <w:rsid w:val="00A83F71"/>
    <w:rsid w:val="00A877C5"/>
    <w:rsid w:val="00A90ABE"/>
    <w:rsid w:val="00AC5182"/>
    <w:rsid w:val="00AC666D"/>
    <w:rsid w:val="00AE011F"/>
    <w:rsid w:val="00B00086"/>
    <w:rsid w:val="00B02986"/>
    <w:rsid w:val="00B05014"/>
    <w:rsid w:val="00B13E97"/>
    <w:rsid w:val="00B14240"/>
    <w:rsid w:val="00B152D1"/>
    <w:rsid w:val="00B20554"/>
    <w:rsid w:val="00B20BD4"/>
    <w:rsid w:val="00B234D9"/>
    <w:rsid w:val="00B263DE"/>
    <w:rsid w:val="00B323B5"/>
    <w:rsid w:val="00B32D73"/>
    <w:rsid w:val="00B72E64"/>
    <w:rsid w:val="00B83061"/>
    <w:rsid w:val="00BA4923"/>
    <w:rsid w:val="00BC7EF2"/>
    <w:rsid w:val="00BD221D"/>
    <w:rsid w:val="00BD5A11"/>
    <w:rsid w:val="00BD73EF"/>
    <w:rsid w:val="00BE0913"/>
    <w:rsid w:val="00BE18B3"/>
    <w:rsid w:val="00BE2D19"/>
    <w:rsid w:val="00BF4EBB"/>
    <w:rsid w:val="00C0180A"/>
    <w:rsid w:val="00C06DE6"/>
    <w:rsid w:val="00C10A6A"/>
    <w:rsid w:val="00C15506"/>
    <w:rsid w:val="00C216CD"/>
    <w:rsid w:val="00C2519C"/>
    <w:rsid w:val="00C2718F"/>
    <w:rsid w:val="00C307C7"/>
    <w:rsid w:val="00C36A92"/>
    <w:rsid w:val="00C46EF1"/>
    <w:rsid w:val="00C5273F"/>
    <w:rsid w:val="00C57738"/>
    <w:rsid w:val="00C61290"/>
    <w:rsid w:val="00C73C01"/>
    <w:rsid w:val="00C9115E"/>
    <w:rsid w:val="00CC6CD7"/>
    <w:rsid w:val="00CD03DE"/>
    <w:rsid w:val="00CE006C"/>
    <w:rsid w:val="00CF0140"/>
    <w:rsid w:val="00CF05AF"/>
    <w:rsid w:val="00D06CB7"/>
    <w:rsid w:val="00D11814"/>
    <w:rsid w:val="00D21738"/>
    <w:rsid w:val="00D27188"/>
    <w:rsid w:val="00D360F5"/>
    <w:rsid w:val="00D50A0B"/>
    <w:rsid w:val="00D5399F"/>
    <w:rsid w:val="00D61759"/>
    <w:rsid w:val="00D91B37"/>
    <w:rsid w:val="00D94517"/>
    <w:rsid w:val="00DB2F5B"/>
    <w:rsid w:val="00DD1F9F"/>
    <w:rsid w:val="00DD2572"/>
    <w:rsid w:val="00DD36F7"/>
    <w:rsid w:val="00DD49EA"/>
    <w:rsid w:val="00E00582"/>
    <w:rsid w:val="00E14600"/>
    <w:rsid w:val="00E20795"/>
    <w:rsid w:val="00E2762E"/>
    <w:rsid w:val="00E3094A"/>
    <w:rsid w:val="00E375BF"/>
    <w:rsid w:val="00E4232E"/>
    <w:rsid w:val="00E424E0"/>
    <w:rsid w:val="00E55C3E"/>
    <w:rsid w:val="00E91717"/>
    <w:rsid w:val="00E9228C"/>
    <w:rsid w:val="00E972A8"/>
    <w:rsid w:val="00EA127C"/>
    <w:rsid w:val="00EB1F9E"/>
    <w:rsid w:val="00EC5BFA"/>
    <w:rsid w:val="00EE3C30"/>
    <w:rsid w:val="00EE72DA"/>
    <w:rsid w:val="00F0004C"/>
    <w:rsid w:val="00F13AA9"/>
    <w:rsid w:val="00F147F9"/>
    <w:rsid w:val="00F20308"/>
    <w:rsid w:val="00F3435C"/>
    <w:rsid w:val="00F42E71"/>
    <w:rsid w:val="00F53D9C"/>
    <w:rsid w:val="00F56610"/>
    <w:rsid w:val="00F76525"/>
    <w:rsid w:val="00F848AF"/>
    <w:rsid w:val="00F9069E"/>
    <w:rsid w:val="00F90D9E"/>
    <w:rsid w:val="00FA4D1A"/>
    <w:rsid w:val="00FA7D46"/>
    <w:rsid w:val="00FD6317"/>
    <w:rsid w:val="00FE6C4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BE436A"/>
  <w15:chartTrackingRefBased/>
  <w15:docId w15:val="{4BA8EB85-8837-4E8E-BD06-F14F19BE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27E"/>
    <w:pPr>
      <w:spacing w:after="200" w:line="360" w:lineRule="auto"/>
      <w:jc w:val="both"/>
    </w:pPr>
    <w:rPr>
      <w:rFonts w:ascii="Century Gothic" w:hAnsi="Century Gothic"/>
      <w:sz w:val="18"/>
      <w:szCs w:val="18"/>
      <w:lang w:eastAsia="en-US"/>
    </w:rPr>
  </w:style>
  <w:style w:type="paragraph" w:styleId="Heading1">
    <w:name w:val="heading 1"/>
    <w:basedOn w:val="BodyText"/>
    <w:next w:val="BodyText"/>
    <w:qFormat/>
    <w:rsid w:val="0067260F"/>
    <w:pPr>
      <w:keepNext/>
      <w:outlineLvl w:val="0"/>
    </w:pPr>
    <w:rPr>
      <w:rFonts w:cs="Arial"/>
      <w:b/>
      <w:bCs/>
      <w:caps/>
      <w:szCs w:val="32"/>
    </w:rPr>
  </w:style>
  <w:style w:type="paragraph" w:styleId="Heading2">
    <w:name w:val="heading 2"/>
    <w:basedOn w:val="Heading1"/>
    <w:next w:val="BodyText"/>
    <w:qFormat/>
    <w:rsid w:val="007101BE"/>
    <w:pPr>
      <w:outlineLvl w:val="1"/>
    </w:pPr>
    <w:rPr>
      <w:b w:val="0"/>
      <w:bCs w:val="0"/>
      <w:iCs/>
      <w:caps w:val="0"/>
      <w:szCs w:val="28"/>
      <w:u w:val="single"/>
    </w:rPr>
  </w:style>
  <w:style w:type="paragraph" w:styleId="Heading3">
    <w:name w:val="heading 3"/>
    <w:basedOn w:val="Heading1"/>
    <w:next w:val="BodyText"/>
    <w:qFormat/>
    <w:pPr>
      <w:ind w:left="1701"/>
      <w:outlineLvl w:val="2"/>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8851CD"/>
    <w:pPr>
      <w:spacing w:after="480" w:line="480" w:lineRule="auto"/>
    </w:pPr>
    <w:rPr>
      <w:rFonts w:ascii="Arial" w:hAnsi="Arial"/>
      <w:sz w:val="25"/>
    </w:rPr>
  </w:style>
  <w:style w:type="paragraph" w:customStyle="1" w:styleId="ParaLevel2">
    <w:name w:val="ParaLevel2"/>
    <w:basedOn w:val="BodyText"/>
    <w:pPr>
      <w:ind w:left="851"/>
    </w:pPr>
  </w:style>
  <w:style w:type="paragraph" w:styleId="Header">
    <w:name w:val="header"/>
    <w:basedOn w:val="Normal"/>
    <w:pPr>
      <w:tabs>
        <w:tab w:val="center" w:pos="4320"/>
        <w:tab w:val="right" w:pos="8640"/>
      </w:tabs>
    </w:pPr>
  </w:style>
  <w:style w:type="paragraph" w:customStyle="1" w:styleId="ParaLevel3">
    <w:name w:val="ParaLevel3"/>
    <w:basedOn w:val="ParaLevel2"/>
    <w:pPr>
      <w:ind w:left="1701"/>
    </w:pPr>
  </w:style>
  <w:style w:type="paragraph" w:customStyle="1" w:styleId="ListLevel1">
    <w:name w:val="ListLevel1"/>
    <w:basedOn w:val="BodyText"/>
    <w:qFormat/>
    <w:rsid w:val="004E6608"/>
    <w:pPr>
      <w:numPr>
        <w:numId w:val="27"/>
      </w:numPr>
    </w:pPr>
  </w:style>
  <w:style w:type="paragraph" w:customStyle="1" w:styleId="ListLevel2">
    <w:name w:val="ListLevel2"/>
    <w:basedOn w:val="ListLevel1"/>
    <w:qFormat/>
    <w:rsid w:val="001C327E"/>
    <w:pPr>
      <w:numPr>
        <w:ilvl w:val="1"/>
      </w:numPr>
      <w:ind w:left="1702" w:hanging="851"/>
    </w:pPr>
  </w:style>
  <w:style w:type="paragraph" w:customStyle="1" w:styleId="ListLevel3">
    <w:name w:val="ListLevel3"/>
    <w:basedOn w:val="ListLevel1"/>
    <w:qFormat/>
    <w:rsid w:val="006F061C"/>
    <w:pPr>
      <w:numPr>
        <w:ilvl w:val="2"/>
      </w:numPr>
    </w:pPr>
  </w:style>
  <w:style w:type="paragraph" w:styleId="Date">
    <w:name w:val="Date"/>
    <w:basedOn w:val="Normal"/>
    <w:next w:val="Normal"/>
  </w:style>
  <w:style w:type="paragraph" w:customStyle="1" w:styleId="ListLevel4">
    <w:name w:val="ListLevel4"/>
    <w:basedOn w:val="ListLevel1"/>
    <w:qFormat/>
    <w:rsid w:val="006F061C"/>
    <w:pPr>
      <w:numPr>
        <w:ilvl w:val="3"/>
      </w:numPr>
    </w:pPr>
  </w:style>
  <w:style w:type="paragraph" w:customStyle="1" w:styleId="Tramlines">
    <w:name w:val="Tramlines"/>
    <w:basedOn w:val="Normal"/>
    <w:next w:val="BodyText"/>
    <w:pPr>
      <w:pBdr>
        <w:top w:val="single" w:sz="4" w:space="12" w:color="auto"/>
        <w:bottom w:val="single" w:sz="4" w:space="12" w:color="auto"/>
      </w:pBdr>
      <w:jc w:val="center"/>
    </w:pPr>
    <w:rPr>
      <w:b/>
    </w:rPr>
  </w:style>
  <w:style w:type="paragraph" w:customStyle="1" w:styleId="SignatureLine">
    <w:name w:val="SignatureLine"/>
    <w:basedOn w:val="BodyText"/>
    <w:pPr>
      <w:spacing w:after="0" w:line="240" w:lineRule="auto"/>
      <w:ind w:left="5670"/>
    </w:pPr>
  </w:style>
  <w:style w:type="paragraph" w:customStyle="1" w:styleId="Overline">
    <w:name w:val="Overline"/>
    <w:basedOn w:val="SignatureLine"/>
    <w:next w:val="SignatureLine"/>
    <w:pPr>
      <w:tabs>
        <w:tab w:val="right" w:leader="underscore" w:pos="8789"/>
      </w:tabs>
      <w:ind w:left="5585"/>
    </w:pPr>
  </w:style>
  <w:style w:type="paragraph" w:customStyle="1" w:styleId="PartyLine">
    <w:name w:val="PartyLine"/>
    <w:basedOn w:val="Normal"/>
    <w:rsid w:val="00C46EF1"/>
    <w:pPr>
      <w:tabs>
        <w:tab w:val="right" w:pos="8789"/>
      </w:tabs>
      <w:spacing w:after="120"/>
    </w:pPr>
  </w:style>
  <w:style w:type="paragraph" w:customStyle="1" w:styleId="abracket">
    <w:name w:val="abracket"/>
    <w:basedOn w:val="BodyText"/>
    <w:pPr>
      <w:numPr>
        <w:numId w:val="20"/>
      </w:numPr>
    </w:pPr>
  </w:style>
  <w:style w:type="paragraph" w:customStyle="1" w:styleId="onebracket">
    <w:name w:val="onebracket"/>
    <w:basedOn w:val="BodyText"/>
    <w:pPr>
      <w:numPr>
        <w:numId w:val="25"/>
      </w:numP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araLevel4">
    <w:name w:val="ParaLevel4"/>
    <w:basedOn w:val="ParaLevel3"/>
    <w:rsid w:val="009B0F23"/>
    <w:pPr>
      <w:ind w:left="2552"/>
    </w:pPr>
  </w:style>
  <w:style w:type="paragraph" w:styleId="FootnoteText">
    <w:name w:val="footnote text"/>
    <w:basedOn w:val="Normal"/>
    <w:link w:val="FootnoteTextChar"/>
    <w:autoRedefine/>
    <w:uiPriority w:val="99"/>
    <w:rsid w:val="00631295"/>
    <w:pPr>
      <w:tabs>
        <w:tab w:val="left" w:pos="284"/>
      </w:tabs>
      <w:spacing w:after="0"/>
    </w:pPr>
    <w:rPr>
      <w:rFonts w:ascii="Arial" w:hAnsi="Arial"/>
      <w:sz w:val="20"/>
      <w:szCs w:val="20"/>
    </w:rPr>
  </w:style>
  <w:style w:type="character" w:customStyle="1" w:styleId="FootnoteTextChar">
    <w:name w:val="Footnote Text Char"/>
    <w:link w:val="FootnoteText"/>
    <w:uiPriority w:val="99"/>
    <w:rsid w:val="00631295"/>
    <w:rPr>
      <w:rFonts w:ascii="Arial" w:hAnsi="Arial"/>
      <w:lang w:eastAsia="en-US"/>
    </w:rPr>
  </w:style>
  <w:style w:type="character" w:styleId="FootnoteReference">
    <w:name w:val="footnote reference"/>
    <w:uiPriority w:val="99"/>
    <w:rsid w:val="0025601B"/>
    <w:rPr>
      <w:vertAlign w:val="superscript"/>
    </w:rPr>
  </w:style>
  <w:style w:type="paragraph" w:customStyle="1" w:styleId="MSQuote">
    <w:name w:val="MS Quote"/>
    <w:basedOn w:val="ListLevel1"/>
    <w:qFormat/>
    <w:rsid w:val="0067260F"/>
    <w:pPr>
      <w:widowControl w:val="0"/>
      <w:numPr>
        <w:numId w:val="0"/>
      </w:numPr>
      <w:tabs>
        <w:tab w:val="left" w:pos="2438"/>
        <w:tab w:val="left" w:pos="3005"/>
      </w:tabs>
      <w:spacing w:line="240" w:lineRule="auto"/>
      <w:ind w:left="1871"/>
    </w:pPr>
    <w:rPr>
      <w:i/>
      <w:iCs/>
    </w:rPr>
  </w:style>
  <w:style w:type="paragraph" w:styleId="Title">
    <w:name w:val="Title"/>
    <w:link w:val="TitleChar"/>
    <w:qFormat/>
    <w:rsid w:val="001C327E"/>
    <w:pPr>
      <w:widowControl w:val="0"/>
    </w:pPr>
    <w:rPr>
      <w:rFonts w:ascii="Arial" w:hAnsi="Arial"/>
      <w:sz w:val="25"/>
      <w:lang w:eastAsia="en-US"/>
    </w:rPr>
  </w:style>
  <w:style w:type="character" w:customStyle="1" w:styleId="TitleChar">
    <w:name w:val="Title Char"/>
    <w:link w:val="Title"/>
    <w:rsid w:val="001C327E"/>
    <w:rPr>
      <w:rFonts w:ascii="Arial" w:hAnsi="Arial"/>
      <w:sz w:val="25"/>
      <w:lang w:eastAsia="en-US"/>
    </w:rPr>
  </w:style>
  <w:style w:type="paragraph" w:customStyle="1" w:styleId="SingleLineSpacing">
    <w:name w:val="Single Line Spacing"/>
    <w:basedOn w:val="Title"/>
    <w:rsid w:val="001C327E"/>
  </w:style>
  <w:style w:type="paragraph" w:customStyle="1" w:styleId="StyleTitleBoldCenteredLinespacing15lines">
    <w:name w:val="Style Title + Bold Centered Line spacing:  15 lines"/>
    <w:basedOn w:val="Title"/>
    <w:rsid w:val="001C327E"/>
    <w:pPr>
      <w:spacing w:line="360" w:lineRule="auto"/>
      <w:jc w:val="center"/>
    </w:pPr>
    <w:rPr>
      <w:b/>
      <w:bCs/>
    </w:rPr>
  </w:style>
  <w:style w:type="paragraph" w:customStyle="1" w:styleId="StyleTitleBold">
    <w:name w:val="Style Title + Bold"/>
    <w:basedOn w:val="Title"/>
    <w:rsid w:val="008851CD"/>
    <w:rPr>
      <w:b/>
      <w:bCs/>
    </w:rPr>
  </w:style>
  <w:style w:type="paragraph" w:customStyle="1" w:styleId="LegalTitle">
    <w:name w:val="Legal_Title"/>
    <w:basedOn w:val="Normal"/>
    <w:next w:val="Normal"/>
    <w:semiHidden/>
    <w:rsid w:val="00BD5A11"/>
    <w:pPr>
      <w:keepNext/>
      <w:suppressAutoHyphens/>
      <w:spacing w:after="360" w:line="480" w:lineRule="auto"/>
      <w:jc w:val="center"/>
    </w:pPr>
    <w:rPr>
      <w:rFonts w:ascii="Arial" w:hAnsi="Arial"/>
      <w:b/>
      <w:caps/>
      <w:sz w:val="24"/>
      <w:szCs w:val="24"/>
      <w:lang w:val="en-GB" w:eastAsia="en-GB"/>
    </w:rPr>
  </w:style>
  <w:style w:type="table" w:styleId="TableGrid">
    <w:name w:val="Table Grid"/>
    <w:basedOn w:val="TableNormal"/>
    <w:rsid w:val="00BD5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12pt">
    <w:name w:val="Paragraph 12pt"/>
    <w:basedOn w:val="Normal"/>
    <w:rsid w:val="0075275C"/>
    <w:pPr>
      <w:spacing w:after="240" w:line="480" w:lineRule="auto"/>
    </w:pPr>
    <w:rPr>
      <w:rFonts w:ascii="Arial" w:hAnsi="Arial"/>
      <w:sz w:val="24"/>
      <w:szCs w:val="20"/>
      <w:lang w:eastAsia="ja-JP"/>
    </w:rPr>
  </w:style>
  <w:style w:type="paragraph" w:styleId="ListParagraph">
    <w:name w:val="List Paragraph"/>
    <w:basedOn w:val="Normal"/>
    <w:uiPriority w:val="34"/>
    <w:qFormat/>
    <w:rsid w:val="007B3DB5"/>
    <w:pPr>
      <w:spacing w:after="0" w:line="240" w:lineRule="auto"/>
      <w:ind w:left="720"/>
      <w:jc w:val="left"/>
    </w:pPr>
    <w:rPr>
      <w:rFonts w:ascii="Times New Roman" w:hAnsi="Times New Roman"/>
      <w:sz w:val="20"/>
      <w:szCs w:val="20"/>
      <w:lang w:val="en-US"/>
    </w:rPr>
  </w:style>
  <w:style w:type="character" w:styleId="Hyperlink">
    <w:name w:val="Hyperlink"/>
    <w:uiPriority w:val="99"/>
    <w:rsid w:val="00B02986"/>
    <w:rPr>
      <w:rFonts w:ascii="Arial" w:hAnsi="Arial"/>
      <w:caps w:val="0"/>
      <w:smallCaps w:val="0"/>
      <w:color w:val="auto"/>
      <w:sz w:val="25"/>
      <w:u w:val="single"/>
    </w:rPr>
  </w:style>
  <w:style w:type="character" w:customStyle="1" w:styleId="UnresolvedMention">
    <w:name w:val="Unresolved Mention"/>
    <w:basedOn w:val="DefaultParagraphFont"/>
    <w:uiPriority w:val="99"/>
    <w:semiHidden/>
    <w:unhideWhenUsed/>
    <w:rsid w:val="00B02986"/>
    <w:rPr>
      <w:color w:val="605E5C"/>
      <w:shd w:val="clear" w:color="auto" w:fill="E1DFDD"/>
    </w:rPr>
  </w:style>
  <w:style w:type="paragraph" w:styleId="Revision">
    <w:name w:val="Revision"/>
    <w:hidden/>
    <w:uiPriority w:val="99"/>
    <w:semiHidden/>
    <w:rsid w:val="00D27188"/>
    <w:rPr>
      <w:rFonts w:ascii="Century Gothic" w:hAnsi="Century Gothic"/>
      <w:sz w:val="18"/>
      <w:szCs w:val="18"/>
      <w:lang w:eastAsia="en-US"/>
    </w:rPr>
  </w:style>
  <w:style w:type="paragraph" w:styleId="BalloonText">
    <w:name w:val="Balloon Text"/>
    <w:basedOn w:val="Normal"/>
    <w:link w:val="BalloonTextChar"/>
    <w:semiHidden/>
    <w:unhideWhenUsed/>
    <w:rsid w:val="00631295"/>
    <w:pPr>
      <w:spacing w:after="0" w:line="240" w:lineRule="auto"/>
    </w:pPr>
    <w:rPr>
      <w:rFonts w:ascii="Segoe UI" w:hAnsi="Segoe UI" w:cs="Segoe UI"/>
    </w:rPr>
  </w:style>
  <w:style w:type="character" w:customStyle="1" w:styleId="BalloonTextChar">
    <w:name w:val="Balloon Text Char"/>
    <w:basedOn w:val="DefaultParagraphFont"/>
    <w:link w:val="BalloonText"/>
    <w:semiHidden/>
    <w:rsid w:val="0063129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chaba@jerrynkelilaw.co.za" TargetMode="External"/><Relationship Id="rId4" Type="http://schemas.openxmlformats.org/officeDocument/2006/relationships/settings" Target="settings.xml"/><Relationship Id="rId9" Type="http://schemas.openxmlformats.org/officeDocument/2006/relationships/hyperlink" Target="mailto:zodwa@mgqibisaattorneys.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en\AppData\Local\Microsoft\Windows\INetCache\Content.Outlook\F72OV36E\Pleading%20Template%20U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EB0D2-FA6F-4D03-8575-83936D492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Template USE</Template>
  <TotalTime>0</TotalTime>
  <Pages>20</Pages>
  <Words>3214</Words>
  <Characters>18325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Normal</vt:lpstr>
    </vt:vector>
  </TitlesOfParts>
  <Company>Chambers</Company>
  <LinksUpToDate>false</LinksUpToDate>
  <CharactersWithSpaces>21497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colleen smanjak</dc:creator>
  <cp:keywords/>
  <cp:lastModifiedBy>HOME</cp:lastModifiedBy>
  <cp:revision>2</cp:revision>
  <cp:lastPrinted>1899-12-31T22:00:00Z</cp:lastPrinted>
  <dcterms:created xsi:type="dcterms:W3CDTF">2022-06-21T17:39:00Z</dcterms:created>
  <dcterms:modified xsi:type="dcterms:W3CDTF">2022-06-21T17:39:00Z</dcterms:modified>
</cp:coreProperties>
</file>