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bookmarkStart w:id="0" w:name="_GoBack"/>
      <w:bookmarkEnd w:id="0"/>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REPUBLIC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noProof/>
          <w:kern w:val="28"/>
          <w:sz w:val="24"/>
          <w:szCs w:val="24"/>
          <w:lang w:eastAsia="en-ZA"/>
        </w:rPr>
        <w:drawing>
          <wp:inline distT="0" distB="0" distL="0" distR="0" wp14:anchorId="772C3E10" wp14:editId="7755D3CF">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IN THE HIGH COURT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GAUTENG LOCAL DIVISION, JOHANNESBURG</w:t>
      </w: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5C02D9" w:rsidRPr="005C02D9" w:rsidRDefault="003E4474" w:rsidP="005C02D9">
      <w:pPr>
        <w:tabs>
          <w:tab w:val="left" w:pos="-720"/>
        </w:tabs>
        <w:suppressAutoHyphens/>
        <w:spacing w:after="0" w:line="240" w:lineRule="auto"/>
        <w:jc w:val="right"/>
        <w:rPr>
          <w:rFonts w:ascii="Arial" w:eastAsia="Times New Roman" w:hAnsi="Arial" w:cs="Times New Roman"/>
          <w:b/>
          <w:kern w:val="28"/>
          <w:sz w:val="24"/>
          <w:szCs w:val="24"/>
          <w:lang w:val="en-GB" w:eastAsia="en-GB"/>
        </w:rPr>
      </w:pPr>
      <w:r w:rsidRPr="003E4474">
        <w:rPr>
          <w:rFonts w:ascii="Arial" w:eastAsia="Times New Roman" w:hAnsi="Arial" w:cs="Arial"/>
          <w:b/>
          <w:bCs/>
          <w:spacing w:val="-3"/>
          <w:kern w:val="28"/>
          <w:sz w:val="24"/>
          <w:szCs w:val="24"/>
          <w:lang w:eastAsia="en-GB"/>
        </w:rPr>
        <w:t>CASE NUMBER:</w:t>
      </w:r>
      <w:r w:rsidRPr="003E4474">
        <w:rPr>
          <w:rFonts w:ascii="Arial" w:eastAsia="Times New Roman" w:hAnsi="Arial" w:cs="Times New Roman"/>
          <w:kern w:val="28"/>
          <w:sz w:val="24"/>
          <w:szCs w:val="24"/>
          <w:lang w:eastAsia="en-GB"/>
        </w:rPr>
        <w:t xml:space="preserve"> </w:t>
      </w:r>
      <w:r w:rsidR="005C02D9" w:rsidRPr="005C02D9">
        <w:rPr>
          <w:rFonts w:ascii="Arial" w:eastAsia="Times New Roman" w:hAnsi="Arial" w:cs="Times New Roman"/>
          <w:b/>
          <w:kern w:val="28"/>
          <w:sz w:val="24"/>
          <w:szCs w:val="24"/>
          <w:lang w:val="en-GB" w:eastAsia="en-GB"/>
        </w:rPr>
        <w:t xml:space="preserve"> </w:t>
      </w:r>
      <w:r w:rsidR="00D43083" w:rsidRPr="00D43083">
        <w:rPr>
          <w:rFonts w:ascii="Arial" w:eastAsia="Times New Roman" w:hAnsi="Arial" w:cs="Times New Roman"/>
          <w:b/>
          <w:kern w:val="28"/>
          <w:sz w:val="24"/>
          <w:szCs w:val="24"/>
          <w:lang w:val="en-GB" w:eastAsia="en-GB"/>
        </w:rPr>
        <w:t>A5064/2021</w:t>
      </w:r>
    </w:p>
    <w:p w:rsidR="003E4474" w:rsidRPr="003E4474" w:rsidRDefault="00D43083" w:rsidP="003E4474">
      <w:pPr>
        <w:tabs>
          <w:tab w:val="left" w:pos="-720"/>
        </w:tabs>
        <w:suppressAutoHyphens/>
        <w:spacing w:after="0" w:line="240" w:lineRule="auto"/>
        <w:jc w:val="right"/>
        <w:rPr>
          <w:rFonts w:ascii="Arial" w:eastAsia="Times New Roman" w:hAnsi="Arial" w:cs="Arial"/>
          <w:b/>
          <w:bCs/>
          <w:spacing w:val="-3"/>
          <w:kern w:val="28"/>
          <w:sz w:val="24"/>
          <w:szCs w:val="24"/>
          <w:lang w:eastAsia="en-GB"/>
        </w:rPr>
      </w:pPr>
      <w:r w:rsidRPr="00D43083">
        <w:rPr>
          <w:rFonts w:ascii="Arial" w:eastAsia="Times New Roman" w:hAnsi="Arial" w:cs="Times New Roman"/>
          <w:b/>
          <w:kern w:val="28"/>
          <w:sz w:val="24"/>
          <w:szCs w:val="24"/>
          <w:lang w:val="en-GB" w:eastAsia="en-GB"/>
        </w:rPr>
        <w:t>10763/2020</w:t>
      </w: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E4474" w:rsidRPr="003E4474" w:rsidTr="004550AA">
        <w:trPr>
          <w:trHeight w:val="2528"/>
        </w:trPr>
        <w:tc>
          <w:tcPr>
            <w:tcW w:w="5812" w:type="dxa"/>
            <w:tcBorders>
              <w:top w:val="single" w:sz="4" w:space="0" w:color="auto"/>
              <w:left w:val="single" w:sz="4" w:space="0" w:color="auto"/>
              <w:bottom w:val="single" w:sz="4" w:space="0" w:color="auto"/>
              <w:right w:val="single" w:sz="4" w:space="0" w:color="auto"/>
            </w:tcBorders>
          </w:tcPr>
          <w:p w:rsidR="003E4474" w:rsidRPr="003E4474" w:rsidRDefault="003E4474" w:rsidP="003E4474">
            <w:pPr>
              <w:spacing w:after="0" w:line="240" w:lineRule="auto"/>
              <w:jc w:val="both"/>
              <w:rPr>
                <w:rFonts w:ascii="Arial" w:eastAsia="Times New Roman" w:hAnsi="Arial" w:cs="Arial"/>
                <w:kern w:val="28"/>
                <w:sz w:val="16"/>
                <w:szCs w:val="16"/>
                <w:lang w:eastAsia="en-GB"/>
              </w:rPr>
            </w:pP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r w:rsidRPr="003E4474">
              <w:rPr>
                <w:rFonts w:ascii="Arial" w:eastAsia="Times New Roman" w:hAnsi="Arial" w:cs="Arial"/>
                <w:b/>
                <w:bCs/>
                <w:color w:val="FF0000"/>
                <w:kern w:val="28"/>
                <w:sz w:val="18"/>
                <w:szCs w:val="18"/>
                <w:u w:val="single"/>
                <w:lang w:eastAsia="en-GB"/>
              </w:rPr>
              <w:t>DELETE WHICHEVER IS NOT APPLICABLE</w:t>
            </w: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1.REPORTABLE: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2.OF INTEREST TO OTHER JUDGES: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3.REVISED                                                                            NO</w:t>
            </w:r>
          </w:p>
          <w:p w:rsidR="00CA2CD3" w:rsidRDefault="00CA2CD3" w:rsidP="00CA2CD3">
            <w:pPr>
              <w:spacing w:after="0" w:line="360" w:lineRule="auto"/>
              <w:jc w:val="both"/>
              <w:rPr>
                <w:rFonts w:ascii="Arial" w:eastAsia="Times New Roman" w:hAnsi="Arial" w:cs="Arial"/>
                <w:bCs/>
                <w:color w:val="FF0000"/>
                <w:kern w:val="28"/>
                <w:sz w:val="18"/>
                <w:szCs w:val="18"/>
                <w:lang w:eastAsia="en-GB"/>
              </w:rPr>
            </w:pPr>
          </w:p>
          <w:p w:rsidR="003E4474" w:rsidRPr="003E4474" w:rsidRDefault="00CA2CD3" w:rsidP="00CA2CD3">
            <w:pPr>
              <w:spacing w:after="0" w:line="360" w:lineRule="auto"/>
              <w:jc w:val="both"/>
              <w:rPr>
                <w:rFonts w:ascii="Arial" w:eastAsia="Times New Roman" w:hAnsi="Arial" w:cs="Arial"/>
                <w:kern w:val="28"/>
                <w:sz w:val="16"/>
                <w:szCs w:val="16"/>
                <w:lang w:eastAsia="en-GB"/>
              </w:rPr>
            </w:pPr>
            <w:r>
              <w:rPr>
                <w:rFonts w:ascii="Arial" w:eastAsia="Times New Roman" w:hAnsi="Arial" w:cs="Arial"/>
                <w:b/>
                <w:bCs/>
                <w:color w:val="FF0000"/>
                <w:kern w:val="28"/>
                <w:sz w:val="18"/>
                <w:szCs w:val="18"/>
                <w:lang w:eastAsia="en-GB"/>
              </w:rPr>
              <w:t>14 June 2022</w:t>
            </w:r>
            <w:r w:rsidR="003E4474" w:rsidRPr="003E4474">
              <w:rPr>
                <w:rFonts w:ascii="Arial" w:eastAsia="Times New Roman" w:hAnsi="Arial" w:cs="Arial"/>
                <w:b/>
                <w:bCs/>
                <w:color w:val="FF0000"/>
                <w:kern w:val="28"/>
                <w:sz w:val="18"/>
                <w:szCs w:val="18"/>
                <w:lang w:eastAsia="en-GB"/>
              </w:rPr>
              <w:t xml:space="preserve">                                                                 Judge Dippenaar</w:t>
            </w:r>
          </w:p>
        </w:tc>
      </w:tr>
    </w:tbl>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r w:rsidRPr="003E4474">
        <w:rPr>
          <w:rFonts w:ascii="Arial" w:eastAsia="Times New Roman" w:hAnsi="Arial" w:cs="Arial"/>
          <w:bCs/>
          <w:spacing w:val="-3"/>
          <w:kern w:val="28"/>
          <w:sz w:val="24"/>
          <w:szCs w:val="24"/>
          <w:lang w:eastAsia="en-GB"/>
        </w:rPr>
        <w:t>In the matter between:</w:t>
      </w:r>
    </w:p>
    <w:p w:rsidR="00940F95" w:rsidRDefault="00940F95" w:rsidP="003B7F1D">
      <w:pPr>
        <w:widowControl w:val="0"/>
        <w:tabs>
          <w:tab w:val="right" w:pos="9356"/>
        </w:tabs>
        <w:spacing w:after="0" w:line="240" w:lineRule="auto"/>
        <w:jc w:val="both"/>
        <w:rPr>
          <w:rFonts w:ascii="Arial" w:eastAsia="Calibri" w:hAnsi="Arial" w:cs="Arial"/>
          <w:b/>
          <w:bCs/>
          <w:sz w:val="24"/>
          <w:szCs w:val="24"/>
          <w:lang w:val="en-US"/>
        </w:rPr>
      </w:pPr>
    </w:p>
    <w:p w:rsidR="00D43083" w:rsidRDefault="00D43083" w:rsidP="00D43083">
      <w:pPr>
        <w:widowControl w:val="0"/>
        <w:tabs>
          <w:tab w:val="right" w:pos="9356"/>
        </w:tabs>
        <w:spacing w:after="0" w:line="240" w:lineRule="auto"/>
        <w:jc w:val="both"/>
        <w:rPr>
          <w:rFonts w:ascii="Arial" w:eastAsia="Calibri" w:hAnsi="Arial" w:cs="Arial"/>
          <w:bCs/>
          <w:sz w:val="24"/>
          <w:szCs w:val="24"/>
          <w:lang w:val="en-US"/>
        </w:rPr>
      </w:pPr>
      <w:r w:rsidRPr="00D43083">
        <w:rPr>
          <w:rFonts w:ascii="Arial" w:eastAsia="Calibri" w:hAnsi="Arial" w:cs="Arial"/>
          <w:b/>
          <w:bCs/>
          <w:sz w:val="24"/>
          <w:szCs w:val="24"/>
          <w:lang w:val="en-US"/>
        </w:rPr>
        <w:t xml:space="preserve">LLR Properties (Pty) Limited </w:t>
      </w:r>
      <w:r>
        <w:rPr>
          <w:rFonts w:ascii="Arial" w:eastAsia="Calibri" w:hAnsi="Arial" w:cs="Arial"/>
          <w:b/>
          <w:bCs/>
          <w:sz w:val="24"/>
          <w:szCs w:val="24"/>
          <w:lang w:val="en-US"/>
        </w:rPr>
        <w:tab/>
      </w:r>
      <w:r w:rsidRPr="00D43083">
        <w:rPr>
          <w:rFonts w:ascii="Arial" w:eastAsia="Calibri" w:hAnsi="Arial" w:cs="Arial"/>
          <w:bCs/>
          <w:sz w:val="24"/>
          <w:szCs w:val="24"/>
          <w:lang w:val="en-US"/>
        </w:rPr>
        <w:t>First Appellant</w:t>
      </w:r>
    </w:p>
    <w:p w:rsidR="00D43083" w:rsidRPr="00D43083" w:rsidRDefault="00D43083" w:rsidP="00D43083">
      <w:pPr>
        <w:widowControl w:val="0"/>
        <w:tabs>
          <w:tab w:val="right" w:pos="9356"/>
        </w:tabs>
        <w:spacing w:after="0" w:line="240" w:lineRule="auto"/>
        <w:jc w:val="both"/>
        <w:rPr>
          <w:rFonts w:ascii="Arial" w:eastAsia="Calibri" w:hAnsi="Arial" w:cs="Arial"/>
          <w:bCs/>
          <w:sz w:val="24"/>
          <w:szCs w:val="24"/>
          <w:lang w:val="en-US"/>
        </w:rPr>
      </w:pPr>
      <w:r w:rsidRPr="00D43083">
        <w:rPr>
          <w:rFonts w:ascii="Arial" w:eastAsia="Calibri" w:hAnsi="Arial" w:cs="Arial"/>
          <w:bCs/>
          <w:sz w:val="24"/>
          <w:szCs w:val="24"/>
          <w:lang w:val="en-US"/>
        </w:rPr>
        <w:t>Regis</w:t>
      </w:r>
      <w:r>
        <w:rPr>
          <w:rFonts w:ascii="Arial" w:eastAsia="Calibri" w:hAnsi="Arial" w:cs="Arial"/>
          <w:bCs/>
          <w:sz w:val="24"/>
          <w:szCs w:val="24"/>
          <w:lang w:val="en-US"/>
        </w:rPr>
        <w:t>tration Number: 2015/151786/07</w:t>
      </w:r>
      <w:r w:rsidRPr="00D43083">
        <w:rPr>
          <w:rFonts w:ascii="Arial" w:eastAsia="Calibri" w:hAnsi="Arial" w:cs="Arial"/>
          <w:bCs/>
          <w:sz w:val="24"/>
          <w:szCs w:val="24"/>
          <w:lang w:val="en-US"/>
        </w:rPr>
        <w:tab/>
      </w:r>
    </w:p>
    <w:p w:rsidR="00D43083" w:rsidRPr="00D43083" w:rsidRDefault="00D43083" w:rsidP="00D43083">
      <w:pPr>
        <w:widowControl w:val="0"/>
        <w:tabs>
          <w:tab w:val="right" w:pos="9356"/>
        </w:tabs>
        <w:spacing w:after="0" w:line="240" w:lineRule="auto"/>
        <w:jc w:val="both"/>
        <w:rPr>
          <w:rFonts w:ascii="Arial" w:eastAsia="Calibri" w:hAnsi="Arial" w:cs="Arial"/>
          <w:bCs/>
          <w:sz w:val="24"/>
          <w:szCs w:val="24"/>
          <w:lang w:val="en-US"/>
        </w:rPr>
      </w:pPr>
    </w:p>
    <w:p w:rsidR="00D43083" w:rsidRPr="00D43083" w:rsidRDefault="00D43083" w:rsidP="00D43083">
      <w:pPr>
        <w:widowControl w:val="0"/>
        <w:tabs>
          <w:tab w:val="right" w:pos="9356"/>
        </w:tabs>
        <w:spacing w:after="0" w:line="240" w:lineRule="auto"/>
        <w:jc w:val="both"/>
        <w:rPr>
          <w:rFonts w:ascii="Arial" w:eastAsia="Calibri" w:hAnsi="Arial" w:cs="Arial"/>
          <w:b/>
          <w:bCs/>
          <w:sz w:val="24"/>
          <w:szCs w:val="24"/>
          <w:lang w:val="en-US"/>
        </w:rPr>
      </w:pPr>
      <w:r w:rsidRPr="00D43083">
        <w:rPr>
          <w:rFonts w:ascii="Arial" w:eastAsia="Calibri" w:hAnsi="Arial" w:cs="Arial"/>
          <w:b/>
          <w:bCs/>
          <w:sz w:val="24"/>
          <w:szCs w:val="24"/>
          <w:lang w:val="en-US"/>
        </w:rPr>
        <w:t xml:space="preserve">Ramatshila – Mugeri, Lesley Lufuno </w:t>
      </w:r>
      <w:r>
        <w:rPr>
          <w:rFonts w:ascii="Arial" w:eastAsia="Calibri" w:hAnsi="Arial" w:cs="Arial"/>
          <w:b/>
          <w:bCs/>
          <w:sz w:val="24"/>
          <w:szCs w:val="24"/>
          <w:lang w:val="en-US"/>
        </w:rPr>
        <w:tab/>
      </w:r>
      <w:r w:rsidRPr="00D43083">
        <w:rPr>
          <w:rFonts w:ascii="Arial" w:eastAsia="Calibri" w:hAnsi="Arial" w:cs="Arial"/>
          <w:bCs/>
          <w:sz w:val="24"/>
          <w:szCs w:val="24"/>
          <w:lang w:val="en-US"/>
        </w:rPr>
        <w:t>Second Appellant</w:t>
      </w:r>
    </w:p>
    <w:p w:rsidR="00D43083" w:rsidRPr="00D43083" w:rsidRDefault="00D43083" w:rsidP="00D43083">
      <w:pPr>
        <w:widowControl w:val="0"/>
        <w:tabs>
          <w:tab w:val="right" w:pos="9356"/>
        </w:tabs>
        <w:spacing w:after="0" w:line="240" w:lineRule="auto"/>
        <w:jc w:val="both"/>
        <w:rPr>
          <w:rFonts w:ascii="Arial" w:eastAsia="Calibri" w:hAnsi="Arial" w:cs="Arial"/>
          <w:bCs/>
          <w:sz w:val="24"/>
          <w:szCs w:val="24"/>
          <w:lang w:val="en-US"/>
        </w:rPr>
      </w:pPr>
      <w:r w:rsidRPr="00D43083">
        <w:rPr>
          <w:rFonts w:ascii="Arial" w:eastAsia="Calibri" w:hAnsi="Arial" w:cs="Arial"/>
          <w:bCs/>
          <w:sz w:val="24"/>
          <w:szCs w:val="24"/>
          <w:lang w:val="en-US"/>
        </w:rPr>
        <w:t>Identity Number: 751127 5742 087</w:t>
      </w:r>
      <w:r w:rsidRPr="00D43083">
        <w:rPr>
          <w:rFonts w:ascii="Arial" w:eastAsia="Calibri" w:hAnsi="Arial" w:cs="Arial"/>
          <w:bCs/>
          <w:sz w:val="24"/>
          <w:szCs w:val="24"/>
          <w:lang w:val="en-US"/>
        </w:rPr>
        <w:tab/>
      </w:r>
    </w:p>
    <w:p w:rsidR="00D43083" w:rsidRPr="00D43083" w:rsidRDefault="00D43083" w:rsidP="00D43083">
      <w:pPr>
        <w:widowControl w:val="0"/>
        <w:tabs>
          <w:tab w:val="right" w:pos="9356"/>
        </w:tabs>
        <w:spacing w:after="0" w:line="240" w:lineRule="auto"/>
        <w:jc w:val="both"/>
        <w:rPr>
          <w:rFonts w:ascii="Arial" w:eastAsia="Calibri" w:hAnsi="Arial" w:cs="Arial"/>
          <w:b/>
          <w:bCs/>
          <w:sz w:val="24"/>
          <w:szCs w:val="24"/>
          <w:lang w:val="en-US"/>
        </w:rPr>
      </w:pPr>
    </w:p>
    <w:p w:rsidR="00D43083" w:rsidRDefault="00D43083" w:rsidP="00D43083">
      <w:pPr>
        <w:widowControl w:val="0"/>
        <w:tabs>
          <w:tab w:val="right" w:pos="9356"/>
        </w:tabs>
        <w:spacing w:after="0" w:line="240" w:lineRule="auto"/>
        <w:jc w:val="both"/>
        <w:rPr>
          <w:rFonts w:ascii="Arial" w:eastAsia="Calibri" w:hAnsi="Arial" w:cs="Arial"/>
          <w:bCs/>
          <w:sz w:val="24"/>
          <w:szCs w:val="24"/>
          <w:lang w:val="en-US"/>
        </w:rPr>
      </w:pPr>
      <w:r w:rsidRPr="00D43083">
        <w:rPr>
          <w:rFonts w:ascii="Arial" w:eastAsia="Calibri" w:hAnsi="Arial" w:cs="Arial"/>
          <w:bCs/>
          <w:sz w:val="24"/>
          <w:szCs w:val="24"/>
          <w:lang w:val="en-US"/>
        </w:rPr>
        <w:t>And</w:t>
      </w:r>
    </w:p>
    <w:p w:rsidR="00D43083" w:rsidRPr="00D43083" w:rsidRDefault="00D43083" w:rsidP="00D43083">
      <w:pPr>
        <w:widowControl w:val="0"/>
        <w:tabs>
          <w:tab w:val="right" w:pos="9356"/>
        </w:tabs>
        <w:spacing w:after="0" w:line="240" w:lineRule="auto"/>
        <w:jc w:val="both"/>
        <w:rPr>
          <w:rFonts w:ascii="Arial" w:eastAsia="Calibri" w:hAnsi="Arial" w:cs="Arial"/>
          <w:bCs/>
          <w:sz w:val="24"/>
          <w:szCs w:val="24"/>
          <w:lang w:val="en-US"/>
        </w:rPr>
      </w:pPr>
    </w:p>
    <w:p w:rsidR="00D43083" w:rsidRPr="00D43083" w:rsidRDefault="00D43083" w:rsidP="00D43083">
      <w:pPr>
        <w:widowControl w:val="0"/>
        <w:tabs>
          <w:tab w:val="right" w:pos="9356"/>
        </w:tabs>
        <w:spacing w:after="0" w:line="240" w:lineRule="auto"/>
        <w:jc w:val="both"/>
        <w:rPr>
          <w:rFonts w:ascii="Arial" w:eastAsia="Calibri" w:hAnsi="Arial" w:cs="Arial"/>
          <w:b/>
          <w:bCs/>
          <w:sz w:val="24"/>
          <w:szCs w:val="24"/>
          <w:lang w:val="en-US"/>
        </w:rPr>
      </w:pPr>
      <w:r w:rsidRPr="00D43083">
        <w:rPr>
          <w:rFonts w:ascii="Arial" w:eastAsia="Calibri" w:hAnsi="Arial" w:cs="Arial"/>
          <w:b/>
          <w:bCs/>
          <w:sz w:val="24"/>
          <w:szCs w:val="24"/>
          <w:lang w:val="en-US"/>
        </w:rPr>
        <w:t>Sasfin Bank Limited</w:t>
      </w:r>
    </w:p>
    <w:p w:rsidR="00D43083" w:rsidRPr="00D43083" w:rsidRDefault="00D43083" w:rsidP="00D43083">
      <w:pPr>
        <w:widowControl w:val="0"/>
        <w:tabs>
          <w:tab w:val="right" w:pos="9356"/>
        </w:tabs>
        <w:spacing w:after="0" w:line="240" w:lineRule="auto"/>
        <w:jc w:val="both"/>
        <w:rPr>
          <w:rFonts w:ascii="Arial" w:eastAsia="Calibri" w:hAnsi="Arial" w:cs="Arial"/>
          <w:b/>
          <w:bCs/>
          <w:sz w:val="24"/>
          <w:szCs w:val="24"/>
          <w:lang w:val="en-US"/>
        </w:rPr>
      </w:pPr>
      <w:r w:rsidRPr="00D43083">
        <w:rPr>
          <w:rFonts w:ascii="Arial" w:eastAsia="Calibri" w:hAnsi="Arial" w:cs="Arial"/>
          <w:bCs/>
          <w:sz w:val="24"/>
          <w:szCs w:val="24"/>
          <w:lang w:val="en-US"/>
        </w:rPr>
        <w:t>Registration Number: 1951/002280/06</w:t>
      </w:r>
      <w:r>
        <w:rPr>
          <w:rFonts w:ascii="Arial" w:eastAsia="Calibri" w:hAnsi="Arial" w:cs="Arial"/>
          <w:b/>
          <w:bCs/>
          <w:sz w:val="24"/>
          <w:szCs w:val="24"/>
          <w:lang w:val="en-US"/>
        </w:rPr>
        <w:tab/>
      </w:r>
      <w:r w:rsidRPr="00D43083">
        <w:rPr>
          <w:rFonts w:ascii="Arial" w:eastAsia="Calibri" w:hAnsi="Arial" w:cs="Arial"/>
          <w:bCs/>
          <w:sz w:val="24"/>
          <w:szCs w:val="24"/>
          <w:lang w:val="en-US"/>
        </w:rPr>
        <w:t>First Respondent</w:t>
      </w:r>
    </w:p>
    <w:p w:rsidR="00D43083" w:rsidRDefault="00D43083" w:rsidP="00D43083">
      <w:pPr>
        <w:widowControl w:val="0"/>
        <w:tabs>
          <w:tab w:val="right" w:pos="9356"/>
        </w:tabs>
        <w:spacing w:after="0" w:line="240" w:lineRule="auto"/>
        <w:jc w:val="both"/>
        <w:rPr>
          <w:rFonts w:ascii="Arial" w:eastAsia="Calibri" w:hAnsi="Arial" w:cs="Arial"/>
          <w:b/>
          <w:bCs/>
          <w:sz w:val="24"/>
          <w:szCs w:val="24"/>
          <w:lang w:val="en-US"/>
        </w:rPr>
      </w:pPr>
    </w:p>
    <w:p w:rsidR="00D43083" w:rsidRPr="00D43083" w:rsidRDefault="00D43083" w:rsidP="00D43083">
      <w:pPr>
        <w:widowControl w:val="0"/>
        <w:tabs>
          <w:tab w:val="right" w:pos="9356"/>
        </w:tabs>
        <w:spacing w:after="0" w:line="240" w:lineRule="auto"/>
        <w:jc w:val="both"/>
        <w:rPr>
          <w:rFonts w:ascii="Arial" w:eastAsia="Calibri" w:hAnsi="Arial" w:cs="Arial"/>
          <w:b/>
          <w:bCs/>
          <w:sz w:val="24"/>
          <w:szCs w:val="24"/>
          <w:lang w:val="en-US"/>
        </w:rPr>
      </w:pPr>
      <w:r w:rsidRPr="00D43083">
        <w:rPr>
          <w:rFonts w:ascii="Arial" w:eastAsia="Calibri" w:hAnsi="Arial" w:cs="Arial"/>
          <w:b/>
          <w:bCs/>
          <w:sz w:val="24"/>
          <w:szCs w:val="24"/>
          <w:lang w:val="en-US"/>
        </w:rPr>
        <w:t>Sunlyn (Pty) Limited</w:t>
      </w:r>
    </w:p>
    <w:p w:rsidR="00940F95" w:rsidRDefault="00D43083" w:rsidP="00D43083">
      <w:pPr>
        <w:widowControl w:val="0"/>
        <w:tabs>
          <w:tab w:val="right" w:pos="9356"/>
        </w:tabs>
        <w:spacing w:after="0" w:line="240" w:lineRule="auto"/>
        <w:jc w:val="both"/>
        <w:rPr>
          <w:rFonts w:ascii="Arial" w:eastAsia="Calibri" w:hAnsi="Arial" w:cs="Arial"/>
          <w:bCs/>
          <w:sz w:val="24"/>
          <w:szCs w:val="24"/>
          <w:lang w:val="en-US"/>
        </w:rPr>
      </w:pPr>
      <w:r w:rsidRPr="00D43083">
        <w:rPr>
          <w:rFonts w:ascii="Arial" w:eastAsia="Calibri" w:hAnsi="Arial" w:cs="Arial"/>
          <w:bCs/>
          <w:i/>
          <w:sz w:val="24"/>
          <w:szCs w:val="24"/>
          <w:lang w:val="en-US"/>
        </w:rPr>
        <w:t>Formerly known as Sunlyn Rentals (Pty) Ltd</w:t>
      </w:r>
      <w:r>
        <w:rPr>
          <w:rFonts w:ascii="Arial" w:eastAsia="Calibri" w:hAnsi="Arial" w:cs="Arial"/>
          <w:b/>
          <w:bCs/>
          <w:sz w:val="24"/>
          <w:szCs w:val="24"/>
          <w:lang w:val="en-US"/>
        </w:rPr>
        <w:tab/>
      </w:r>
      <w:r w:rsidRPr="00D43083">
        <w:rPr>
          <w:rFonts w:ascii="Arial" w:eastAsia="Calibri" w:hAnsi="Arial" w:cs="Arial"/>
          <w:bCs/>
          <w:sz w:val="24"/>
          <w:szCs w:val="24"/>
          <w:lang w:val="en-US"/>
        </w:rPr>
        <w:t>Second Respondent</w:t>
      </w:r>
    </w:p>
    <w:p w:rsidR="003B7F1D" w:rsidRDefault="003B7F1D" w:rsidP="003B7F1D">
      <w:pPr>
        <w:widowControl w:val="0"/>
        <w:tabs>
          <w:tab w:val="right" w:pos="9356"/>
        </w:tabs>
        <w:spacing w:after="0" w:line="240" w:lineRule="auto"/>
        <w:jc w:val="both"/>
        <w:rPr>
          <w:rFonts w:ascii="Arial" w:eastAsia="Calibri" w:hAnsi="Arial" w:cs="Arial"/>
          <w:b/>
          <w:bCs/>
          <w:sz w:val="24"/>
          <w:szCs w:val="24"/>
          <w:lang w:val="en-US"/>
        </w:rPr>
      </w:pPr>
    </w:p>
    <w:p w:rsidR="00A94E74" w:rsidRPr="00A94E74" w:rsidRDefault="00A94E74" w:rsidP="00A94E74">
      <w:pPr>
        <w:tabs>
          <w:tab w:val="left" w:pos="-720"/>
        </w:tabs>
        <w:suppressAutoHyphens/>
        <w:spacing w:after="0" w:line="360" w:lineRule="auto"/>
        <w:jc w:val="both"/>
        <w:rPr>
          <w:rFonts w:ascii="Arial" w:eastAsia="Times New Roman" w:hAnsi="Arial" w:cs="Arial"/>
          <w:bCs/>
          <w:spacing w:val="-3"/>
          <w:kern w:val="28"/>
          <w:sz w:val="24"/>
          <w:szCs w:val="24"/>
          <w:lang w:eastAsia="en-GB"/>
        </w:rPr>
      </w:pPr>
      <w:r w:rsidRPr="00A94E74">
        <w:rPr>
          <w:rFonts w:ascii="Arial" w:eastAsia="Times New Roman" w:hAnsi="Arial" w:cs="Arial"/>
          <w:b/>
          <w:bCs/>
          <w:spacing w:val="-3"/>
          <w:kern w:val="28"/>
          <w:sz w:val="24"/>
          <w:szCs w:val="24"/>
          <w:lang w:eastAsia="en-GB"/>
        </w:rPr>
        <w:lastRenderedPageBreak/>
        <w:t xml:space="preserve">Coram: </w:t>
      </w:r>
      <w:r w:rsidRPr="00A94E74">
        <w:rPr>
          <w:rFonts w:ascii="Arial" w:eastAsia="Times New Roman" w:hAnsi="Arial" w:cs="Arial"/>
          <w:b/>
          <w:bCs/>
          <w:spacing w:val="-3"/>
          <w:kern w:val="28"/>
          <w:sz w:val="24"/>
          <w:szCs w:val="24"/>
          <w:lang w:eastAsia="en-GB"/>
        </w:rPr>
        <w:tab/>
      </w:r>
      <w:r w:rsidRPr="00A94E74">
        <w:rPr>
          <w:rFonts w:ascii="Arial" w:eastAsia="Times New Roman" w:hAnsi="Arial" w:cs="Arial"/>
          <w:bCs/>
          <w:spacing w:val="-3"/>
          <w:kern w:val="28"/>
          <w:sz w:val="24"/>
          <w:szCs w:val="24"/>
          <w:lang w:eastAsia="en-GB"/>
        </w:rPr>
        <w:t>Dippenaar J</w:t>
      </w:r>
      <w:r w:rsidR="00DB0CED">
        <w:rPr>
          <w:rFonts w:ascii="Arial" w:eastAsia="Times New Roman" w:hAnsi="Arial" w:cs="Arial"/>
          <w:bCs/>
          <w:spacing w:val="-3"/>
          <w:kern w:val="28"/>
          <w:sz w:val="24"/>
          <w:szCs w:val="24"/>
          <w:lang w:eastAsia="en-GB"/>
        </w:rPr>
        <w:t>, Yacoob J et Manoim J</w:t>
      </w:r>
    </w:p>
    <w:p w:rsidR="00A94E74" w:rsidRPr="00A94E74" w:rsidRDefault="00A94E74" w:rsidP="00A94E74">
      <w:pPr>
        <w:tabs>
          <w:tab w:val="left" w:pos="-720"/>
        </w:tabs>
        <w:suppressAutoHyphens/>
        <w:spacing w:after="0" w:line="360" w:lineRule="auto"/>
        <w:jc w:val="both"/>
        <w:rPr>
          <w:rFonts w:ascii="Arial" w:eastAsia="Times New Roman" w:hAnsi="Arial" w:cs="Arial"/>
          <w:bCs/>
          <w:spacing w:val="-3"/>
          <w:kern w:val="28"/>
          <w:sz w:val="24"/>
          <w:szCs w:val="24"/>
          <w:lang w:eastAsia="en-GB"/>
        </w:rPr>
      </w:pPr>
    </w:p>
    <w:p w:rsidR="00A94E74" w:rsidRPr="00A94E74" w:rsidRDefault="00A94E74" w:rsidP="00A94E74">
      <w:pPr>
        <w:tabs>
          <w:tab w:val="left" w:pos="-720"/>
        </w:tabs>
        <w:suppressAutoHyphens/>
        <w:spacing w:after="0" w:line="360" w:lineRule="auto"/>
        <w:ind w:left="1440" w:hanging="1440"/>
        <w:jc w:val="both"/>
        <w:rPr>
          <w:rFonts w:ascii="Arial" w:eastAsia="Times New Roman" w:hAnsi="Arial" w:cs="Arial"/>
          <w:b/>
          <w:bCs/>
          <w:spacing w:val="-3"/>
          <w:kern w:val="28"/>
          <w:sz w:val="24"/>
          <w:szCs w:val="24"/>
          <w:lang w:eastAsia="en-GB"/>
        </w:rPr>
      </w:pPr>
      <w:r w:rsidRPr="00A94E74">
        <w:rPr>
          <w:rFonts w:ascii="Arial" w:eastAsia="Times New Roman" w:hAnsi="Arial" w:cs="Arial"/>
          <w:b/>
          <w:bCs/>
          <w:spacing w:val="-3"/>
          <w:kern w:val="28"/>
          <w:sz w:val="24"/>
          <w:szCs w:val="24"/>
          <w:lang w:eastAsia="en-GB"/>
        </w:rPr>
        <w:t>Heard:</w:t>
      </w:r>
      <w:r w:rsidRPr="00A94E74">
        <w:rPr>
          <w:rFonts w:ascii="Arial" w:eastAsia="Times New Roman" w:hAnsi="Arial" w:cs="Arial"/>
          <w:bCs/>
          <w:spacing w:val="-3"/>
          <w:kern w:val="28"/>
          <w:sz w:val="24"/>
          <w:szCs w:val="24"/>
          <w:lang w:eastAsia="en-GB"/>
        </w:rPr>
        <w:tab/>
      </w:r>
      <w:r w:rsidR="00DB0CED">
        <w:rPr>
          <w:rFonts w:ascii="Arial" w:eastAsia="Times New Roman" w:hAnsi="Arial" w:cs="Arial"/>
          <w:bCs/>
          <w:spacing w:val="-3"/>
          <w:kern w:val="28"/>
          <w:sz w:val="24"/>
          <w:szCs w:val="24"/>
          <w:lang w:eastAsia="en-GB"/>
        </w:rPr>
        <w:t>04 May</w:t>
      </w:r>
      <w:r w:rsidRPr="00A94E74">
        <w:rPr>
          <w:rFonts w:ascii="Arial" w:eastAsia="Times New Roman" w:hAnsi="Arial" w:cs="Arial"/>
          <w:bCs/>
          <w:spacing w:val="-3"/>
          <w:kern w:val="28"/>
          <w:sz w:val="24"/>
          <w:szCs w:val="24"/>
          <w:lang w:eastAsia="en-GB"/>
        </w:rPr>
        <w:t xml:space="preserve"> 202</w:t>
      </w:r>
      <w:r w:rsidR="00DB0CED">
        <w:rPr>
          <w:rFonts w:ascii="Arial" w:eastAsia="Times New Roman" w:hAnsi="Arial" w:cs="Arial"/>
          <w:bCs/>
          <w:spacing w:val="-3"/>
          <w:kern w:val="28"/>
          <w:sz w:val="24"/>
          <w:szCs w:val="24"/>
          <w:lang w:eastAsia="en-GB"/>
        </w:rPr>
        <w:t xml:space="preserve">2 </w:t>
      </w:r>
      <w:r w:rsidRPr="00A94E74">
        <w:rPr>
          <w:rFonts w:ascii="Arial" w:eastAsia="Times New Roman" w:hAnsi="Arial" w:cs="Arial"/>
          <w:bCs/>
          <w:spacing w:val="-3"/>
          <w:kern w:val="28"/>
          <w:sz w:val="24"/>
          <w:szCs w:val="24"/>
          <w:lang w:eastAsia="en-GB"/>
        </w:rPr>
        <w:t>-</w:t>
      </w:r>
      <w:r w:rsidR="00DB0CED">
        <w:rPr>
          <w:rFonts w:ascii="Arial" w:eastAsia="Times New Roman" w:hAnsi="Arial" w:cs="Arial"/>
          <w:bCs/>
          <w:spacing w:val="-3"/>
          <w:kern w:val="28"/>
          <w:sz w:val="24"/>
          <w:szCs w:val="24"/>
          <w:lang w:eastAsia="en-GB"/>
        </w:rPr>
        <w:t xml:space="preserve"> </w:t>
      </w:r>
      <w:r w:rsidRPr="00A94E74">
        <w:rPr>
          <w:rFonts w:ascii="Arial" w:eastAsia="Times New Roman" w:hAnsi="Arial" w:cs="Arial"/>
          <w:bCs/>
          <w:spacing w:val="-3"/>
          <w:kern w:val="28"/>
          <w:sz w:val="24"/>
          <w:szCs w:val="24"/>
          <w:lang w:eastAsia="en-GB"/>
        </w:rPr>
        <w:t xml:space="preserve">the virtual hearing of the Full Court Appeal was conducted as a videoconference on Microsoft Teams </w:t>
      </w:r>
    </w:p>
    <w:p w:rsidR="00A94E74" w:rsidRPr="00A94E74" w:rsidRDefault="00A94E74" w:rsidP="00A94E74">
      <w:pPr>
        <w:spacing w:after="0" w:line="240" w:lineRule="auto"/>
        <w:ind w:left="1440" w:hanging="1440"/>
        <w:jc w:val="both"/>
        <w:rPr>
          <w:rFonts w:ascii="Arial" w:eastAsia="Times New Roman" w:hAnsi="Arial" w:cs="Arial"/>
          <w:b/>
          <w:kern w:val="28"/>
          <w:sz w:val="24"/>
          <w:szCs w:val="24"/>
          <w:lang w:eastAsia="en-GB"/>
        </w:rPr>
      </w:pPr>
    </w:p>
    <w:p w:rsidR="00A94E74" w:rsidRPr="00A94E74" w:rsidRDefault="00A94E74" w:rsidP="00A94E74">
      <w:pPr>
        <w:spacing w:after="0" w:line="240" w:lineRule="auto"/>
        <w:ind w:left="1440" w:hanging="1440"/>
        <w:jc w:val="both"/>
        <w:rPr>
          <w:rFonts w:ascii="Arial" w:eastAsia="Times New Roman" w:hAnsi="Arial" w:cs="Arial"/>
          <w:kern w:val="28"/>
          <w:sz w:val="24"/>
          <w:szCs w:val="24"/>
          <w:lang w:eastAsia="en-GB"/>
        </w:rPr>
      </w:pPr>
      <w:r w:rsidRPr="00A94E74">
        <w:rPr>
          <w:rFonts w:ascii="Arial" w:eastAsia="Times New Roman" w:hAnsi="Arial" w:cs="Arial"/>
          <w:b/>
          <w:kern w:val="28"/>
          <w:sz w:val="24"/>
          <w:szCs w:val="24"/>
          <w:lang w:eastAsia="en-GB"/>
        </w:rPr>
        <w:t>Delivered:</w:t>
      </w:r>
      <w:r w:rsidRPr="00A94E74">
        <w:rPr>
          <w:rFonts w:ascii="Arial" w:eastAsia="Times New Roman" w:hAnsi="Arial" w:cs="Arial"/>
          <w:b/>
          <w:kern w:val="28"/>
          <w:sz w:val="24"/>
          <w:szCs w:val="24"/>
          <w:lang w:eastAsia="en-GB"/>
        </w:rPr>
        <w:tab/>
      </w:r>
      <w:r w:rsidRPr="00A94E74">
        <w:rPr>
          <w:rFonts w:ascii="Arial" w:eastAsia="Times New Roman" w:hAnsi="Arial" w:cs="Arial"/>
          <w:kern w:val="28"/>
          <w:sz w:val="24"/>
          <w:szCs w:val="24"/>
          <w:lang w:eastAsia="en-GB"/>
        </w:rPr>
        <w:t xml:space="preserve">This judgment was handed down electronically by circulation to the parties’ legal representatives by e-mail. The date and time for hand-down is deemed to be 10h00 on the </w:t>
      </w:r>
      <w:r w:rsidR="00FF1AC2">
        <w:rPr>
          <w:rFonts w:ascii="Arial" w:eastAsia="Times New Roman" w:hAnsi="Arial" w:cs="Arial"/>
          <w:kern w:val="28"/>
          <w:sz w:val="24"/>
          <w:szCs w:val="24"/>
          <w:lang w:eastAsia="en-GB"/>
        </w:rPr>
        <w:t>14</w:t>
      </w:r>
      <w:r w:rsidRPr="00A94E74">
        <w:rPr>
          <w:rFonts w:ascii="Arial" w:eastAsia="Times New Roman" w:hAnsi="Arial" w:cs="Arial"/>
          <w:kern w:val="28"/>
          <w:sz w:val="24"/>
          <w:szCs w:val="24"/>
          <w:lang w:eastAsia="en-GB"/>
        </w:rPr>
        <w:t xml:space="preserve">th of </w:t>
      </w:r>
      <w:r w:rsidR="000A633A">
        <w:rPr>
          <w:rFonts w:ascii="Arial" w:eastAsia="Times New Roman" w:hAnsi="Arial" w:cs="Arial"/>
          <w:kern w:val="28"/>
          <w:sz w:val="24"/>
          <w:szCs w:val="24"/>
          <w:lang w:eastAsia="en-GB"/>
        </w:rPr>
        <w:t>June</w:t>
      </w:r>
      <w:r w:rsidRPr="00A94E74">
        <w:rPr>
          <w:rFonts w:ascii="Arial" w:eastAsia="Times New Roman" w:hAnsi="Arial" w:cs="Arial"/>
          <w:kern w:val="28"/>
          <w:sz w:val="24"/>
          <w:szCs w:val="24"/>
          <w:lang w:eastAsia="en-GB"/>
        </w:rPr>
        <w:t xml:space="preserve"> 2022.</w:t>
      </w:r>
    </w:p>
    <w:p w:rsidR="00A94E74" w:rsidRPr="00A94E74" w:rsidRDefault="00A94E74" w:rsidP="00A94E74">
      <w:pPr>
        <w:spacing w:after="0" w:line="240" w:lineRule="auto"/>
        <w:ind w:left="1440" w:hanging="1440"/>
        <w:jc w:val="both"/>
        <w:rPr>
          <w:rFonts w:ascii="Arial" w:eastAsia="Times New Roman" w:hAnsi="Arial" w:cs="Arial"/>
          <w:sz w:val="24"/>
          <w:szCs w:val="24"/>
        </w:rPr>
      </w:pPr>
    </w:p>
    <w:p w:rsidR="00A94E74" w:rsidRPr="00A94E74" w:rsidRDefault="00A94E74" w:rsidP="00A94E74">
      <w:pPr>
        <w:spacing w:after="0" w:line="240" w:lineRule="auto"/>
        <w:ind w:left="1440" w:hanging="1440"/>
        <w:jc w:val="both"/>
        <w:rPr>
          <w:rFonts w:ascii="Arial" w:eastAsia="Times New Roman" w:hAnsi="Arial" w:cs="Arial"/>
          <w:sz w:val="24"/>
          <w:szCs w:val="24"/>
        </w:rPr>
      </w:pPr>
      <w:r w:rsidRPr="00A94E74">
        <w:rPr>
          <w:rFonts w:ascii="Arial" w:eastAsia="Times New Roman" w:hAnsi="Arial" w:cs="Arial"/>
          <w:b/>
          <w:sz w:val="24"/>
          <w:szCs w:val="24"/>
        </w:rPr>
        <w:t>Summary:</w:t>
      </w:r>
      <w:r w:rsidRPr="00A94E74">
        <w:rPr>
          <w:rFonts w:ascii="Arial" w:eastAsia="Times New Roman" w:hAnsi="Arial" w:cs="Arial"/>
          <w:b/>
          <w:sz w:val="24"/>
          <w:szCs w:val="24"/>
        </w:rPr>
        <w:tab/>
      </w:r>
      <w:r w:rsidR="00DB0CED" w:rsidRPr="00DB0CED">
        <w:rPr>
          <w:rFonts w:ascii="Arial" w:eastAsia="Times New Roman" w:hAnsi="Arial" w:cs="Arial"/>
          <w:sz w:val="24"/>
          <w:szCs w:val="24"/>
        </w:rPr>
        <w:t>Rescission</w:t>
      </w:r>
      <w:r w:rsidRPr="00A94E74">
        <w:rPr>
          <w:rFonts w:ascii="Arial" w:eastAsia="Times New Roman" w:hAnsi="Arial" w:cs="Arial"/>
          <w:sz w:val="24"/>
          <w:szCs w:val="24"/>
        </w:rPr>
        <w:t xml:space="preserve"> – </w:t>
      </w:r>
      <w:r w:rsidR="008618E4">
        <w:rPr>
          <w:rFonts w:ascii="Arial" w:eastAsia="Times New Roman" w:hAnsi="Arial" w:cs="Arial"/>
          <w:sz w:val="24"/>
          <w:szCs w:val="24"/>
        </w:rPr>
        <w:t>procedural deficiency in service in terms of rule 42(1)(a)</w:t>
      </w:r>
      <w:r w:rsidRPr="00A94E74">
        <w:rPr>
          <w:rFonts w:ascii="Arial" w:eastAsia="Times New Roman" w:hAnsi="Arial" w:cs="Arial"/>
          <w:sz w:val="24"/>
          <w:szCs w:val="24"/>
        </w:rPr>
        <w:t xml:space="preserve"> – </w:t>
      </w:r>
      <w:r w:rsidR="008618E4">
        <w:rPr>
          <w:rFonts w:ascii="Arial" w:eastAsia="Times New Roman" w:hAnsi="Arial" w:cs="Arial"/>
          <w:sz w:val="24"/>
          <w:szCs w:val="24"/>
        </w:rPr>
        <w:t>not necessary to illustrate good cause</w:t>
      </w:r>
      <w:r w:rsidRPr="00A94E74">
        <w:rPr>
          <w:rFonts w:ascii="Arial" w:eastAsia="Times New Roman" w:hAnsi="Arial" w:cs="Arial"/>
          <w:sz w:val="24"/>
          <w:szCs w:val="24"/>
        </w:rPr>
        <w:t xml:space="preserve"> – </w:t>
      </w:r>
      <w:r w:rsidR="008618E4">
        <w:rPr>
          <w:rFonts w:ascii="Arial" w:eastAsia="Times New Roman" w:hAnsi="Arial" w:cs="Arial"/>
          <w:sz w:val="24"/>
          <w:szCs w:val="24"/>
        </w:rPr>
        <w:t>bona fide defence illustrated in any event under rule 3</w:t>
      </w:r>
      <w:r w:rsidR="00BE45F4">
        <w:rPr>
          <w:rFonts w:ascii="Arial" w:eastAsia="Times New Roman" w:hAnsi="Arial" w:cs="Arial"/>
          <w:sz w:val="24"/>
          <w:szCs w:val="24"/>
        </w:rPr>
        <w:t>1</w:t>
      </w:r>
      <w:r w:rsidR="008618E4">
        <w:rPr>
          <w:rFonts w:ascii="Arial" w:eastAsia="Times New Roman" w:hAnsi="Arial" w:cs="Arial"/>
          <w:sz w:val="24"/>
          <w:szCs w:val="24"/>
        </w:rPr>
        <w:t>(</w:t>
      </w:r>
      <w:r w:rsidR="00BE45F4">
        <w:rPr>
          <w:rFonts w:ascii="Arial" w:eastAsia="Times New Roman" w:hAnsi="Arial" w:cs="Arial"/>
          <w:sz w:val="24"/>
          <w:szCs w:val="24"/>
        </w:rPr>
        <w:t>2</w:t>
      </w:r>
      <w:r w:rsidR="008618E4">
        <w:rPr>
          <w:rFonts w:ascii="Arial" w:eastAsia="Times New Roman" w:hAnsi="Arial" w:cs="Arial"/>
          <w:sz w:val="24"/>
          <w:szCs w:val="24"/>
        </w:rPr>
        <w:t>)(</w:t>
      </w:r>
      <w:r w:rsidR="00BE45F4">
        <w:rPr>
          <w:rFonts w:ascii="Arial" w:eastAsia="Times New Roman" w:hAnsi="Arial" w:cs="Arial"/>
          <w:sz w:val="24"/>
          <w:szCs w:val="24"/>
        </w:rPr>
        <w:t>b</w:t>
      </w:r>
      <w:r w:rsidR="008618E4">
        <w:rPr>
          <w:rFonts w:ascii="Arial" w:eastAsia="Times New Roman" w:hAnsi="Arial" w:cs="Arial"/>
          <w:sz w:val="24"/>
          <w:szCs w:val="24"/>
        </w:rPr>
        <w:t xml:space="preserve">) denial of signature and conclusion of master rental agreements and guarantees relied upon by respondents </w:t>
      </w:r>
      <w:r w:rsidRPr="00A94E74">
        <w:rPr>
          <w:rFonts w:ascii="Arial" w:eastAsia="Times New Roman" w:hAnsi="Arial" w:cs="Arial"/>
          <w:sz w:val="24"/>
          <w:szCs w:val="24"/>
        </w:rPr>
        <w:t xml:space="preserve">–– </w:t>
      </w:r>
      <w:r w:rsidR="00BE45F4">
        <w:rPr>
          <w:rFonts w:ascii="Arial" w:eastAsia="Times New Roman" w:hAnsi="Arial" w:cs="Arial"/>
          <w:sz w:val="24"/>
          <w:szCs w:val="24"/>
        </w:rPr>
        <w:t>signature of second appellants on agreements false-</w:t>
      </w:r>
      <w:r w:rsidR="008618E4">
        <w:rPr>
          <w:rFonts w:ascii="Arial" w:eastAsia="Times New Roman" w:hAnsi="Arial" w:cs="Arial"/>
          <w:sz w:val="24"/>
          <w:szCs w:val="24"/>
        </w:rPr>
        <w:t>case for rescission</w:t>
      </w:r>
      <w:r w:rsidRPr="00A94E74">
        <w:rPr>
          <w:rFonts w:ascii="Arial" w:eastAsia="Times New Roman" w:hAnsi="Arial" w:cs="Arial"/>
          <w:sz w:val="24"/>
          <w:szCs w:val="24"/>
        </w:rPr>
        <w:t xml:space="preserve"> established</w:t>
      </w:r>
      <w:r w:rsidR="00BE45F4">
        <w:rPr>
          <w:rFonts w:ascii="Arial" w:eastAsia="Times New Roman" w:hAnsi="Arial" w:cs="Arial"/>
          <w:sz w:val="24"/>
          <w:szCs w:val="24"/>
        </w:rPr>
        <w:t>.</w:t>
      </w:r>
      <w:r w:rsidRPr="00A94E74">
        <w:rPr>
          <w:rFonts w:ascii="Arial" w:eastAsia="Times New Roman" w:hAnsi="Arial" w:cs="Arial"/>
          <w:sz w:val="24"/>
          <w:szCs w:val="24"/>
        </w:rPr>
        <w:t xml:space="preserve"> </w:t>
      </w:r>
    </w:p>
    <w:p w:rsidR="00A94E74" w:rsidRPr="00A94E74" w:rsidRDefault="00A94E74" w:rsidP="00A94E74">
      <w:pPr>
        <w:spacing w:after="0" w:line="240" w:lineRule="auto"/>
        <w:ind w:left="1440" w:hanging="1440"/>
        <w:jc w:val="both"/>
        <w:rPr>
          <w:rFonts w:ascii="Arial" w:eastAsia="Times New Roman" w:hAnsi="Arial" w:cs="Arial"/>
          <w:b/>
          <w:sz w:val="24"/>
          <w:szCs w:val="24"/>
        </w:rPr>
      </w:pPr>
    </w:p>
    <w:p w:rsidR="00A94E74" w:rsidRPr="00A94E74" w:rsidRDefault="00A94E74" w:rsidP="00A94E74">
      <w:pPr>
        <w:pBdr>
          <w:top w:val="single" w:sz="12" w:space="1" w:color="auto"/>
          <w:bottom w:val="single" w:sz="12" w:space="1" w:color="auto"/>
        </w:pBdr>
        <w:spacing w:after="0" w:line="240" w:lineRule="auto"/>
        <w:ind w:left="1440" w:hanging="1440"/>
        <w:jc w:val="center"/>
        <w:rPr>
          <w:rFonts w:ascii="Arial" w:eastAsia="Times New Roman" w:hAnsi="Arial" w:cs="Arial"/>
          <w:b/>
          <w:sz w:val="24"/>
          <w:szCs w:val="24"/>
        </w:rPr>
      </w:pPr>
    </w:p>
    <w:p w:rsidR="00A94E74" w:rsidRPr="00A94E74" w:rsidRDefault="00A94E74" w:rsidP="00A94E74">
      <w:pPr>
        <w:pBdr>
          <w:top w:val="single" w:sz="12" w:space="1" w:color="auto"/>
          <w:bottom w:val="single" w:sz="12" w:space="1" w:color="auto"/>
        </w:pBdr>
        <w:spacing w:after="0" w:line="240" w:lineRule="auto"/>
        <w:ind w:left="1440" w:hanging="1440"/>
        <w:jc w:val="center"/>
        <w:rPr>
          <w:rFonts w:ascii="Arial" w:eastAsia="Times New Roman" w:hAnsi="Arial" w:cs="Arial"/>
          <w:b/>
          <w:sz w:val="24"/>
          <w:szCs w:val="24"/>
        </w:rPr>
      </w:pPr>
      <w:r w:rsidRPr="00A94E74">
        <w:rPr>
          <w:rFonts w:ascii="Arial" w:eastAsia="Times New Roman" w:hAnsi="Arial" w:cs="Arial"/>
          <w:b/>
          <w:sz w:val="24"/>
          <w:szCs w:val="24"/>
        </w:rPr>
        <w:t>ORDER</w:t>
      </w:r>
    </w:p>
    <w:p w:rsidR="00A94E74" w:rsidRPr="00A94E74" w:rsidRDefault="00A94E74" w:rsidP="00A94E74">
      <w:pPr>
        <w:pBdr>
          <w:top w:val="single" w:sz="12" w:space="1" w:color="auto"/>
          <w:bottom w:val="single" w:sz="12" w:space="1" w:color="auto"/>
        </w:pBdr>
        <w:spacing w:after="0" w:line="240" w:lineRule="auto"/>
        <w:ind w:left="1440" w:hanging="1440"/>
        <w:jc w:val="center"/>
        <w:rPr>
          <w:rFonts w:ascii="Arial" w:eastAsia="Times New Roman" w:hAnsi="Arial" w:cs="Arial"/>
          <w:b/>
          <w:sz w:val="24"/>
          <w:szCs w:val="24"/>
        </w:rPr>
      </w:pPr>
    </w:p>
    <w:p w:rsidR="00A94E74" w:rsidRPr="00A94E74" w:rsidRDefault="00A94E74" w:rsidP="00A94E74">
      <w:pPr>
        <w:spacing w:after="0" w:line="240" w:lineRule="auto"/>
        <w:ind w:left="1440" w:hanging="1440"/>
        <w:jc w:val="both"/>
        <w:rPr>
          <w:rFonts w:ascii="Arial" w:eastAsia="Times New Roman" w:hAnsi="Arial" w:cs="Arial"/>
          <w:b/>
          <w:sz w:val="24"/>
          <w:szCs w:val="24"/>
        </w:rPr>
      </w:pPr>
    </w:p>
    <w:p w:rsidR="00A94E74" w:rsidRPr="00A94E74" w:rsidRDefault="00A94E74" w:rsidP="00A94E74">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A94E74">
        <w:rPr>
          <w:rFonts w:ascii="Arial" w:eastAsia="Times New Roman" w:hAnsi="Arial" w:cs="Arial"/>
          <w:b/>
          <w:bCs/>
          <w:spacing w:val="-3"/>
          <w:kern w:val="28"/>
          <w:sz w:val="24"/>
          <w:szCs w:val="24"/>
          <w:lang w:eastAsia="en-GB"/>
        </w:rPr>
        <w:t xml:space="preserve">On appeal from: </w:t>
      </w:r>
      <w:r w:rsidRPr="00A94E74">
        <w:rPr>
          <w:rFonts w:ascii="Arial" w:eastAsia="Times New Roman" w:hAnsi="Arial" w:cs="Arial"/>
          <w:bCs/>
          <w:spacing w:val="-3"/>
          <w:kern w:val="28"/>
          <w:sz w:val="24"/>
          <w:szCs w:val="24"/>
          <w:lang w:eastAsia="en-GB"/>
        </w:rPr>
        <w:t>The Gauteng Division of the High Court, Johannesburg (</w:t>
      </w:r>
      <w:r>
        <w:rPr>
          <w:rFonts w:ascii="Arial" w:eastAsia="Times New Roman" w:hAnsi="Arial" w:cs="Arial"/>
          <w:bCs/>
          <w:spacing w:val="-3"/>
          <w:kern w:val="28"/>
          <w:sz w:val="24"/>
          <w:szCs w:val="24"/>
          <w:lang w:eastAsia="en-GB"/>
        </w:rPr>
        <w:t>J Gautschi AJ</w:t>
      </w:r>
      <w:r w:rsidR="00204D21">
        <w:rPr>
          <w:rFonts w:ascii="Arial" w:eastAsia="Times New Roman" w:hAnsi="Arial" w:cs="Arial"/>
          <w:bCs/>
          <w:spacing w:val="-3"/>
          <w:kern w:val="28"/>
          <w:sz w:val="24"/>
          <w:szCs w:val="24"/>
          <w:lang w:eastAsia="en-GB"/>
        </w:rPr>
        <w:t>,</w:t>
      </w:r>
      <w:r w:rsidRPr="00A94E74">
        <w:rPr>
          <w:rFonts w:ascii="Arial" w:eastAsia="Times New Roman" w:hAnsi="Arial" w:cs="Arial"/>
          <w:bCs/>
          <w:spacing w:val="-3"/>
          <w:kern w:val="28"/>
          <w:sz w:val="24"/>
          <w:szCs w:val="24"/>
          <w:lang w:eastAsia="en-GB"/>
        </w:rPr>
        <w:t xml:space="preserve"> sitting as Court of first instance):</w:t>
      </w:r>
    </w:p>
    <w:p w:rsidR="00A94E74" w:rsidRPr="00A94E74" w:rsidRDefault="00A94E74" w:rsidP="00A94E74">
      <w:pPr>
        <w:spacing w:after="0" w:line="360" w:lineRule="auto"/>
        <w:jc w:val="both"/>
        <w:rPr>
          <w:rFonts w:ascii="Arial" w:eastAsia="Times New Roman" w:hAnsi="Arial" w:cs="Times New Roman"/>
          <w:kern w:val="28"/>
          <w:sz w:val="24"/>
          <w:szCs w:val="24"/>
          <w:lang w:val="en-US" w:eastAsia="en-GB"/>
        </w:rPr>
      </w:pPr>
      <w:r w:rsidRPr="00A94E74">
        <w:rPr>
          <w:rFonts w:ascii="Arial" w:eastAsia="Times New Roman" w:hAnsi="Arial" w:cs="Times New Roman"/>
          <w:kern w:val="28"/>
          <w:sz w:val="24"/>
          <w:szCs w:val="24"/>
          <w:lang w:val="en-US" w:eastAsia="en-GB"/>
        </w:rPr>
        <w:t>[1] The appeal is upheld</w:t>
      </w:r>
      <w:r w:rsidR="004B19BB">
        <w:rPr>
          <w:rFonts w:ascii="Arial" w:eastAsia="Times New Roman" w:hAnsi="Arial" w:cs="Times New Roman"/>
          <w:kern w:val="28"/>
          <w:sz w:val="24"/>
          <w:szCs w:val="24"/>
          <w:lang w:val="en-US" w:eastAsia="en-GB"/>
        </w:rPr>
        <w:t xml:space="preserve"> with costs, including the costs of </w:t>
      </w:r>
      <w:r w:rsidR="00ED014F">
        <w:rPr>
          <w:rFonts w:ascii="Arial" w:eastAsia="Times New Roman" w:hAnsi="Arial" w:cs="Times New Roman"/>
          <w:kern w:val="28"/>
          <w:sz w:val="24"/>
          <w:szCs w:val="24"/>
          <w:lang w:val="en-US" w:eastAsia="en-GB"/>
        </w:rPr>
        <w:t xml:space="preserve">the application for leave to appeal and the costs of </w:t>
      </w:r>
      <w:r w:rsidR="004B19BB">
        <w:rPr>
          <w:rFonts w:ascii="Arial" w:eastAsia="Times New Roman" w:hAnsi="Arial" w:cs="Times New Roman"/>
          <w:kern w:val="28"/>
          <w:sz w:val="24"/>
          <w:szCs w:val="24"/>
          <w:lang w:val="en-US" w:eastAsia="en-GB"/>
        </w:rPr>
        <w:t>two counsel, where employed</w:t>
      </w:r>
      <w:r w:rsidRPr="00A94E74">
        <w:rPr>
          <w:rFonts w:ascii="Arial" w:eastAsia="Times New Roman" w:hAnsi="Arial" w:cs="Times New Roman"/>
          <w:kern w:val="28"/>
          <w:sz w:val="24"/>
          <w:szCs w:val="24"/>
          <w:lang w:val="en-US" w:eastAsia="en-GB"/>
        </w:rPr>
        <w:t>;</w:t>
      </w:r>
    </w:p>
    <w:p w:rsidR="00DB0CED" w:rsidRDefault="00A94E74" w:rsidP="00A94E74">
      <w:pPr>
        <w:spacing w:after="0" w:line="360" w:lineRule="auto"/>
        <w:ind w:left="284" w:hanging="284"/>
        <w:jc w:val="both"/>
        <w:rPr>
          <w:rFonts w:ascii="Arial" w:eastAsia="Times New Roman" w:hAnsi="Arial" w:cs="Times New Roman"/>
          <w:kern w:val="28"/>
          <w:sz w:val="24"/>
          <w:szCs w:val="24"/>
          <w:lang w:val="en-US" w:eastAsia="en-GB"/>
        </w:rPr>
      </w:pPr>
      <w:r w:rsidRPr="00A94E74">
        <w:rPr>
          <w:rFonts w:ascii="Arial" w:eastAsia="Times New Roman" w:hAnsi="Arial" w:cs="Times New Roman"/>
          <w:kern w:val="28"/>
          <w:sz w:val="24"/>
          <w:szCs w:val="24"/>
          <w:lang w:val="en-US" w:eastAsia="en-GB"/>
        </w:rPr>
        <w:t xml:space="preserve">[2] </w:t>
      </w:r>
      <w:r>
        <w:rPr>
          <w:rFonts w:ascii="Arial" w:eastAsia="Times New Roman" w:hAnsi="Arial" w:cs="Times New Roman"/>
          <w:kern w:val="28"/>
          <w:sz w:val="24"/>
          <w:szCs w:val="24"/>
          <w:lang w:val="en-US" w:eastAsia="en-GB"/>
        </w:rPr>
        <w:t>T</w:t>
      </w:r>
      <w:r w:rsidRPr="00A94E74">
        <w:rPr>
          <w:rFonts w:ascii="Arial" w:eastAsia="Times New Roman" w:hAnsi="Arial" w:cs="Times New Roman"/>
          <w:kern w:val="28"/>
          <w:sz w:val="24"/>
          <w:szCs w:val="24"/>
          <w:lang w:val="en-US" w:eastAsia="en-GB"/>
        </w:rPr>
        <w:t xml:space="preserve">he order of the court </w:t>
      </w:r>
      <w:r w:rsidRPr="00A94E74">
        <w:rPr>
          <w:rFonts w:ascii="Arial" w:eastAsia="Times New Roman" w:hAnsi="Arial" w:cs="Times New Roman"/>
          <w:i/>
          <w:kern w:val="28"/>
          <w:sz w:val="24"/>
          <w:szCs w:val="24"/>
          <w:lang w:val="en-US" w:eastAsia="en-GB"/>
        </w:rPr>
        <w:t>a quo</w:t>
      </w:r>
      <w:r w:rsidRPr="00A94E74">
        <w:rPr>
          <w:rFonts w:ascii="Arial" w:eastAsia="Times New Roman" w:hAnsi="Arial" w:cs="Times New Roman"/>
          <w:kern w:val="28"/>
          <w:sz w:val="24"/>
          <w:szCs w:val="24"/>
          <w:lang w:val="en-US" w:eastAsia="en-GB"/>
        </w:rPr>
        <w:t xml:space="preserve"> is </w:t>
      </w:r>
      <w:r w:rsidR="00DB0CED">
        <w:rPr>
          <w:rFonts w:ascii="Arial" w:eastAsia="Times New Roman" w:hAnsi="Arial" w:cs="Times New Roman"/>
          <w:kern w:val="28"/>
          <w:sz w:val="24"/>
          <w:szCs w:val="24"/>
          <w:lang w:val="en-US" w:eastAsia="en-GB"/>
        </w:rPr>
        <w:t xml:space="preserve">set </w:t>
      </w:r>
      <w:r w:rsidRPr="00A94E74">
        <w:rPr>
          <w:rFonts w:ascii="Arial" w:eastAsia="Times New Roman" w:hAnsi="Arial" w:cs="Times New Roman"/>
          <w:kern w:val="28"/>
          <w:sz w:val="24"/>
          <w:szCs w:val="24"/>
          <w:lang w:val="en-US" w:eastAsia="en-GB"/>
        </w:rPr>
        <w:t>a</w:t>
      </w:r>
      <w:r w:rsidR="00DB0CED">
        <w:rPr>
          <w:rFonts w:ascii="Arial" w:eastAsia="Times New Roman" w:hAnsi="Arial" w:cs="Times New Roman"/>
          <w:kern w:val="28"/>
          <w:sz w:val="24"/>
          <w:szCs w:val="24"/>
          <w:lang w:val="en-US" w:eastAsia="en-GB"/>
        </w:rPr>
        <w:t>side and replaced with the following:</w:t>
      </w:r>
    </w:p>
    <w:p w:rsidR="004B19BB" w:rsidRDefault="00890B23" w:rsidP="00A94E74">
      <w:pPr>
        <w:spacing w:after="0" w:line="360" w:lineRule="auto"/>
        <w:ind w:left="284" w:hanging="284"/>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w:t>
      </w:r>
      <w:r w:rsidR="004B19BB">
        <w:rPr>
          <w:rFonts w:ascii="Arial" w:eastAsia="Times New Roman" w:hAnsi="Arial" w:cs="Times New Roman"/>
          <w:kern w:val="28"/>
          <w:sz w:val="24"/>
          <w:szCs w:val="24"/>
          <w:lang w:val="en-US" w:eastAsia="en-GB"/>
        </w:rPr>
        <w:t xml:space="preserve">[1] </w:t>
      </w:r>
      <w:r w:rsidR="00DB0CED">
        <w:rPr>
          <w:rFonts w:ascii="Arial" w:eastAsia="Times New Roman" w:hAnsi="Arial" w:cs="Times New Roman"/>
          <w:kern w:val="28"/>
          <w:sz w:val="24"/>
          <w:szCs w:val="24"/>
          <w:lang w:val="en-US" w:eastAsia="en-GB"/>
        </w:rPr>
        <w:t>The default judgment granted on 19 August 2020 is rescinded and set aside</w:t>
      </w:r>
      <w:r w:rsidR="004B19BB">
        <w:rPr>
          <w:rFonts w:ascii="Arial" w:eastAsia="Times New Roman" w:hAnsi="Arial" w:cs="Times New Roman"/>
          <w:kern w:val="28"/>
          <w:sz w:val="24"/>
          <w:szCs w:val="24"/>
          <w:lang w:val="en-US" w:eastAsia="en-GB"/>
        </w:rPr>
        <w:t>;</w:t>
      </w:r>
    </w:p>
    <w:p w:rsidR="004B19BB" w:rsidRDefault="004B19BB" w:rsidP="00A94E74">
      <w:pPr>
        <w:spacing w:after="0" w:line="360" w:lineRule="auto"/>
        <w:ind w:left="284" w:hanging="284"/>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 xml:space="preserve"> [2] </w:t>
      </w:r>
      <w:r w:rsidR="00ED014F">
        <w:rPr>
          <w:rFonts w:ascii="Arial" w:eastAsia="Times New Roman" w:hAnsi="Arial" w:cs="Times New Roman"/>
          <w:kern w:val="28"/>
          <w:sz w:val="24"/>
          <w:szCs w:val="24"/>
          <w:lang w:val="en-US" w:eastAsia="en-GB"/>
        </w:rPr>
        <w:t>A</w:t>
      </w:r>
      <w:r>
        <w:rPr>
          <w:rFonts w:ascii="Arial" w:eastAsia="Times New Roman" w:hAnsi="Arial" w:cs="Times New Roman"/>
          <w:kern w:val="28"/>
          <w:sz w:val="24"/>
          <w:szCs w:val="24"/>
          <w:lang w:val="en-US" w:eastAsia="en-GB"/>
        </w:rPr>
        <w:t xml:space="preserve"> notice of intention to defend </w:t>
      </w:r>
      <w:r w:rsidR="00ED014F">
        <w:rPr>
          <w:rFonts w:ascii="Arial" w:eastAsia="Times New Roman" w:hAnsi="Arial" w:cs="Times New Roman"/>
          <w:kern w:val="28"/>
          <w:sz w:val="24"/>
          <w:szCs w:val="24"/>
          <w:lang w:val="en-US" w:eastAsia="en-GB"/>
        </w:rPr>
        <w:t xml:space="preserve">is to be delivered </w:t>
      </w:r>
      <w:r>
        <w:rPr>
          <w:rFonts w:ascii="Arial" w:eastAsia="Times New Roman" w:hAnsi="Arial" w:cs="Times New Roman"/>
          <w:kern w:val="28"/>
          <w:sz w:val="24"/>
          <w:szCs w:val="24"/>
          <w:lang w:val="en-US" w:eastAsia="en-GB"/>
        </w:rPr>
        <w:t xml:space="preserve">within ten days of date of this order;  </w:t>
      </w:r>
    </w:p>
    <w:p w:rsidR="00A94E74" w:rsidRPr="00A94E74" w:rsidRDefault="004B19BB" w:rsidP="00A94E74">
      <w:pPr>
        <w:spacing w:after="0" w:line="360" w:lineRule="auto"/>
        <w:ind w:left="284" w:hanging="284"/>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 xml:space="preserve"> [3] The respondents are directed to pay the costs of the application”. </w:t>
      </w:r>
    </w:p>
    <w:p w:rsidR="00A94E74" w:rsidRPr="00A94E74" w:rsidRDefault="00DB0CED" w:rsidP="00A94E74">
      <w:pPr>
        <w:spacing w:after="0" w:line="360" w:lineRule="auto"/>
        <w:ind w:left="360" w:hanging="360"/>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 xml:space="preserve"> </w:t>
      </w:r>
    </w:p>
    <w:p w:rsidR="00A94E74" w:rsidRDefault="00A94E74" w:rsidP="003B7F1D">
      <w:pPr>
        <w:widowControl w:val="0"/>
        <w:tabs>
          <w:tab w:val="right" w:pos="9356"/>
        </w:tabs>
        <w:spacing w:after="0" w:line="240" w:lineRule="auto"/>
        <w:jc w:val="both"/>
        <w:rPr>
          <w:rFonts w:ascii="Arial" w:eastAsia="Calibri" w:hAnsi="Arial" w:cs="Arial"/>
          <w:b/>
          <w:bCs/>
          <w:sz w:val="24"/>
          <w:szCs w:val="24"/>
          <w:lang w:val="en-US"/>
        </w:rPr>
      </w:pPr>
    </w:p>
    <w:p w:rsidR="00ED014F" w:rsidRDefault="00ED014F" w:rsidP="003B7F1D">
      <w:pPr>
        <w:widowControl w:val="0"/>
        <w:tabs>
          <w:tab w:val="right" w:pos="9356"/>
        </w:tabs>
        <w:spacing w:after="0" w:line="240" w:lineRule="auto"/>
        <w:jc w:val="both"/>
        <w:rPr>
          <w:rFonts w:ascii="Arial" w:eastAsia="Calibri" w:hAnsi="Arial" w:cs="Arial"/>
          <w:b/>
          <w:bCs/>
          <w:kern w:val="28"/>
          <w:sz w:val="24"/>
          <w:szCs w:val="24"/>
          <w:lang w:val="en-US" w:eastAsia="en-GB"/>
        </w:rPr>
      </w:pPr>
    </w:p>
    <w:p w:rsidR="00ED014F" w:rsidRDefault="00ED014F" w:rsidP="003B7F1D">
      <w:pPr>
        <w:widowControl w:val="0"/>
        <w:tabs>
          <w:tab w:val="right" w:pos="9356"/>
        </w:tabs>
        <w:spacing w:after="0" w:line="240" w:lineRule="auto"/>
        <w:jc w:val="both"/>
        <w:rPr>
          <w:rFonts w:ascii="Arial" w:eastAsia="Calibri" w:hAnsi="Arial" w:cs="Arial"/>
          <w:b/>
          <w:bCs/>
          <w:kern w:val="28"/>
          <w:sz w:val="24"/>
          <w:szCs w:val="24"/>
          <w:lang w:val="en-US" w:eastAsia="en-GB"/>
        </w:rPr>
      </w:pPr>
    </w:p>
    <w:p w:rsidR="003E4474" w:rsidRPr="003E4474" w:rsidRDefault="003E4474" w:rsidP="003B7F1D">
      <w:pPr>
        <w:widowControl w:val="0"/>
        <w:tabs>
          <w:tab w:val="right" w:pos="9356"/>
        </w:tabs>
        <w:spacing w:after="0" w:line="240" w:lineRule="auto"/>
        <w:jc w:val="both"/>
        <w:rPr>
          <w:rFonts w:ascii="Arial" w:eastAsia="Times New Roman" w:hAnsi="Arial" w:cs="Times New Roman"/>
          <w:b/>
          <w:kern w:val="28"/>
          <w:sz w:val="24"/>
          <w:szCs w:val="24"/>
          <w:lang w:eastAsia="en-GB"/>
        </w:rPr>
      </w:pPr>
      <w:r w:rsidRPr="003B7F1D">
        <w:rPr>
          <w:rFonts w:ascii="Arial" w:eastAsia="Calibri" w:hAnsi="Arial" w:cs="Arial"/>
          <w:b/>
          <w:bCs/>
          <w:kern w:val="28"/>
          <w:sz w:val="24"/>
          <w:szCs w:val="24"/>
          <w:lang w:val="en-US" w:eastAsia="en-GB"/>
        </w:rPr>
        <w:tab/>
      </w:r>
      <w:r w:rsidRPr="003E4474">
        <w:rPr>
          <w:rFonts w:ascii="Arial" w:eastAsia="Times New Roman" w:hAnsi="Arial" w:cs="Times New Roman"/>
          <w:b/>
          <w:kern w:val="28"/>
          <w:sz w:val="24"/>
          <w:szCs w:val="24"/>
          <w:lang w:eastAsia="en-GB"/>
        </w:rPr>
        <w:tab/>
        <w:t xml:space="preserve">   </w:t>
      </w:r>
    </w:p>
    <w:p w:rsidR="008618E4" w:rsidRDefault="008618E4"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p>
    <w:p w:rsidR="003E4474" w:rsidRDefault="003E4474"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sidRPr="003E4474">
        <w:rPr>
          <w:rFonts w:ascii="Arial" w:eastAsia="Times New Roman" w:hAnsi="Arial" w:cs="Arial"/>
          <w:b/>
          <w:sz w:val="24"/>
          <w:szCs w:val="24"/>
          <w:lang w:val="en-US"/>
        </w:rPr>
        <w:t>JUDGMENT</w:t>
      </w:r>
    </w:p>
    <w:p w:rsidR="00F77E0C" w:rsidRPr="003E4474" w:rsidRDefault="00F77E0C"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ED014F" w:rsidRDefault="00ED014F"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ED014F" w:rsidRDefault="00ED014F"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u w:val="single"/>
          <w:lang w:eastAsia="en-GB"/>
        </w:rPr>
        <w:t>DIPPENAAR J</w:t>
      </w:r>
      <w:r w:rsidR="00A94E74">
        <w:rPr>
          <w:rFonts w:ascii="Arial" w:eastAsia="Times New Roman" w:hAnsi="Arial" w:cs="Arial"/>
          <w:b/>
          <w:bCs/>
          <w:spacing w:val="-3"/>
          <w:kern w:val="28"/>
          <w:sz w:val="24"/>
          <w:szCs w:val="24"/>
          <w:u w:val="single"/>
          <w:lang w:eastAsia="en-GB"/>
        </w:rPr>
        <w:t xml:space="preserve"> </w:t>
      </w:r>
      <w:r w:rsidR="00A94E74">
        <w:rPr>
          <w:rFonts w:ascii="Arial" w:eastAsia="Times New Roman" w:hAnsi="Arial" w:cs="Arial"/>
          <w:b/>
          <w:bCs/>
          <w:spacing w:val="-3"/>
          <w:kern w:val="28"/>
          <w:sz w:val="24"/>
          <w:szCs w:val="24"/>
          <w:lang w:eastAsia="en-GB"/>
        </w:rPr>
        <w:t>(</w:t>
      </w:r>
      <w:r w:rsidR="004B31C8">
        <w:rPr>
          <w:rFonts w:ascii="Arial" w:eastAsia="Times New Roman" w:hAnsi="Arial" w:cs="Arial"/>
          <w:b/>
          <w:bCs/>
          <w:spacing w:val="-3"/>
          <w:kern w:val="28"/>
          <w:sz w:val="24"/>
          <w:szCs w:val="24"/>
          <w:lang w:eastAsia="en-GB"/>
        </w:rPr>
        <w:t>YACOOB</w:t>
      </w:r>
      <w:r w:rsidR="00A94E74" w:rsidRPr="00C1147E">
        <w:rPr>
          <w:rFonts w:ascii="Arial" w:eastAsia="Times New Roman" w:hAnsi="Arial" w:cs="Arial"/>
          <w:b/>
          <w:bCs/>
          <w:spacing w:val="-3"/>
          <w:kern w:val="28"/>
          <w:sz w:val="24"/>
          <w:szCs w:val="24"/>
          <w:lang w:eastAsia="en-GB"/>
        </w:rPr>
        <w:t xml:space="preserve"> J </w:t>
      </w:r>
      <w:r w:rsidR="00A94E74">
        <w:rPr>
          <w:rFonts w:ascii="Arial" w:eastAsia="Times New Roman" w:hAnsi="Arial" w:cs="Arial"/>
          <w:b/>
          <w:bCs/>
          <w:spacing w:val="-3"/>
          <w:kern w:val="28"/>
          <w:sz w:val="24"/>
          <w:szCs w:val="24"/>
          <w:lang w:eastAsia="en-GB"/>
        </w:rPr>
        <w:t>ET</w:t>
      </w:r>
      <w:r w:rsidR="00A94E74" w:rsidRPr="00C1147E">
        <w:rPr>
          <w:rFonts w:ascii="Arial" w:eastAsia="Times New Roman" w:hAnsi="Arial" w:cs="Arial"/>
          <w:b/>
          <w:bCs/>
          <w:spacing w:val="-3"/>
          <w:kern w:val="28"/>
          <w:sz w:val="24"/>
          <w:szCs w:val="24"/>
          <w:lang w:eastAsia="en-GB"/>
        </w:rPr>
        <w:t xml:space="preserve"> </w:t>
      </w:r>
      <w:r w:rsidR="004B31C8">
        <w:rPr>
          <w:rFonts w:ascii="Arial" w:eastAsia="Times New Roman" w:hAnsi="Arial" w:cs="Arial"/>
          <w:b/>
          <w:bCs/>
          <w:spacing w:val="-3"/>
          <w:kern w:val="28"/>
          <w:sz w:val="24"/>
          <w:szCs w:val="24"/>
          <w:lang w:eastAsia="en-GB"/>
        </w:rPr>
        <w:t>M</w:t>
      </w:r>
      <w:r w:rsidR="00A94E74" w:rsidRPr="00C1147E">
        <w:rPr>
          <w:rFonts w:ascii="Arial" w:eastAsia="Times New Roman" w:hAnsi="Arial" w:cs="Arial"/>
          <w:b/>
          <w:bCs/>
          <w:spacing w:val="-3"/>
          <w:kern w:val="28"/>
          <w:sz w:val="24"/>
          <w:szCs w:val="24"/>
          <w:lang w:eastAsia="en-GB"/>
        </w:rPr>
        <w:t>A</w:t>
      </w:r>
      <w:r w:rsidR="004B31C8">
        <w:rPr>
          <w:rFonts w:ascii="Arial" w:eastAsia="Times New Roman" w:hAnsi="Arial" w:cs="Arial"/>
          <w:b/>
          <w:bCs/>
          <w:spacing w:val="-3"/>
          <w:kern w:val="28"/>
          <w:sz w:val="24"/>
          <w:szCs w:val="24"/>
          <w:lang w:eastAsia="en-GB"/>
        </w:rPr>
        <w:t>NOIM</w:t>
      </w:r>
      <w:r w:rsidR="00A94E74" w:rsidRPr="00C1147E">
        <w:rPr>
          <w:rFonts w:ascii="Arial" w:eastAsia="Times New Roman" w:hAnsi="Arial" w:cs="Arial"/>
          <w:b/>
          <w:bCs/>
          <w:spacing w:val="-3"/>
          <w:kern w:val="28"/>
          <w:sz w:val="24"/>
          <w:szCs w:val="24"/>
          <w:lang w:eastAsia="en-GB"/>
        </w:rPr>
        <w:t xml:space="preserve"> J CONCURRING</w:t>
      </w:r>
      <w:r w:rsidR="00A94E74">
        <w:rPr>
          <w:rFonts w:ascii="Arial" w:eastAsia="Times New Roman" w:hAnsi="Arial" w:cs="Arial"/>
          <w:b/>
          <w:bCs/>
          <w:spacing w:val="-3"/>
          <w:kern w:val="28"/>
          <w:sz w:val="24"/>
          <w:szCs w:val="24"/>
          <w:lang w:eastAsia="en-GB"/>
        </w:rPr>
        <w:t>)</w:t>
      </w:r>
      <w:r w:rsidRPr="003E4474">
        <w:rPr>
          <w:rFonts w:ascii="Arial" w:eastAsia="Times New Roman" w:hAnsi="Arial" w:cs="Arial"/>
          <w:b/>
          <w:bCs/>
          <w:spacing w:val="-3"/>
          <w:kern w:val="28"/>
          <w:sz w:val="24"/>
          <w:szCs w:val="24"/>
          <w:lang w:eastAsia="en-GB"/>
        </w:rPr>
        <w: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3E4474" w:rsidRDefault="003E4474" w:rsidP="003E4474">
      <w:pPr>
        <w:pStyle w:val="level1"/>
        <w:spacing w:after="480" w:line="360" w:lineRule="auto"/>
        <w:ind w:left="0" w:firstLine="0"/>
        <w:jc w:val="both"/>
        <w:rPr>
          <w:lang w:val="en-US"/>
        </w:rPr>
      </w:pPr>
      <w:r w:rsidRPr="00AD0CDE">
        <w:rPr>
          <w:lang w:val="en-US"/>
        </w:rPr>
        <w:t>Th</w:t>
      </w:r>
      <w:r w:rsidR="004B31C8">
        <w:rPr>
          <w:lang w:val="en-US"/>
        </w:rPr>
        <w:t>e appellants appeal against the judgment and order of J Gautschi AJ</w:t>
      </w:r>
      <w:r w:rsidR="00D168C6">
        <w:rPr>
          <w:lang w:val="en-US"/>
        </w:rPr>
        <w:t xml:space="preserve"> (“the court </w:t>
      </w:r>
      <w:r w:rsidR="00D168C6" w:rsidRPr="00D168C6">
        <w:rPr>
          <w:i/>
          <w:lang w:val="en-US"/>
        </w:rPr>
        <w:t>a quo</w:t>
      </w:r>
      <w:r w:rsidR="00D168C6">
        <w:rPr>
          <w:lang w:val="en-US"/>
        </w:rPr>
        <w:t>”) granted on 24 May 2021, in terms whereof the appellants’ rescission application of a default judgment</w:t>
      </w:r>
      <w:r w:rsidR="00C62497">
        <w:rPr>
          <w:lang w:val="en-US"/>
        </w:rPr>
        <w:t>,</w:t>
      </w:r>
      <w:r w:rsidR="00D168C6">
        <w:rPr>
          <w:lang w:val="en-US"/>
        </w:rPr>
        <w:t xml:space="preserve"> granted on 19 August 2020</w:t>
      </w:r>
      <w:r w:rsidR="00C62497">
        <w:rPr>
          <w:lang w:val="en-US"/>
        </w:rPr>
        <w:t>,</w:t>
      </w:r>
      <w:r w:rsidR="00D168C6">
        <w:rPr>
          <w:lang w:val="en-US"/>
        </w:rPr>
        <w:t xml:space="preserve"> was dismissed with costs.</w:t>
      </w:r>
      <w:r w:rsidRPr="00AD0CDE">
        <w:rPr>
          <w:lang w:val="en-US"/>
        </w:rPr>
        <w:t xml:space="preserve"> </w:t>
      </w:r>
      <w:r w:rsidR="008C48A6">
        <w:rPr>
          <w:lang w:val="en-US"/>
        </w:rPr>
        <w:t xml:space="preserve">A further order was granted referring the judgment to the Legal Practice Council to consider disciplinary proceedings against the second appellant. </w:t>
      </w:r>
      <w:r w:rsidR="00D168C6">
        <w:rPr>
          <w:lang w:val="en-US"/>
        </w:rPr>
        <w:t>Th</w:t>
      </w:r>
      <w:r w:rsidR="00C62497">
        <w:rPr>
          <w:lang w:val="en-US"/>
        </w:rPr>
        <w:t>is</w:t>
      </w:r>
      <w:r w:rsidR="00D168C6">
        <w:rPr>
          <w:lang w:val="en-US"/>
        </w:rPr>
        <w:t xml:space="preserve"> appeal is with the leave of </w:t>
      </w:r>
      <w:r w:rsidR="004B31C8">
        <w:rPr>
          <w:lang w:val="en-US"/>
        </w:rPr>
        <w:t>the court a quo.</w:t>
      </w:r>
      <w:r w:rsidR="00ED014F">
        <w:rPr>
          <w:lang w:val="en-US"/>
        </w:rPr>
        <w:t xml:space="preserve"> The costs of the application for leave to appeal were reserved.</w:t>
      </w:r>
    </w:p>
    <w:p w:rsidR="003E4474" w:rsidRDefault="00D168C6" w:rsidP="003E4474">
      <w:pPr>
        <w:pStyle w:val="level1"/>
        <w:spacing w:after="480" w:line="360" w:lineRule="auto"/>
        <w:ind w:left="0" w:firstLine="0"/>
        <w:jc w:val="both"/>
        <w:rPr>
          <w:lang w:val="en-US"/>
        </w:rPr>
      </w:pPr>
      <w:r>
        <w:rPr>
          <w:lang w:val="en-US"/>
        </w:rPr>
        <w:t>The respondents</w:t>
      </w:r>
      <w:r w:rsidR="00F22A71">
        <w:rPr>
          <w:lang w:val="en-US"/>
        </w:rPr>
        <w:t>, as cessionaries of agreements concluded between the appellants and Thusano Group (Pty) Ltd,</w:t>
      </w:r>
      <w:r>
        <w:rPr>
          <w:lang w:val="en-US"/>
        </w:rPr>
        <w:t xml:space="preserve"> instituted action proceedings claiming</w:t>
      </w:r>
      <w:r w:rsidR="00DA6802">
        <w:rPr>
          <w:lang w:val="en-US"/>
        </w:rPr>
        <w:t xml:space="preserve"> </w:t>
      </w:r>
      <w:r>
        <w:rPr>
          <w:lang w:val="en-US"/>
        </w:rPr>
        <w:t>against the first appellant</w:t>
      </w:r>
      <w:r w:rsidR="008E0EE5">
        <w:rPr>
          <w:lang w:val="en-US"/>
        </w:rPr>
        <w:t>,</w:t>
      </w:r>
      <w:r>
        <w:rPr>
          <w:lang w:val="en-US"/>
        </w:rPr>
        <w:t xml:space="preserve"> the return of certain specified goods and payments of amounts due under three master rental agreements</w:t>
      </w:r>
      <w:r w:rsidR="00886873">
        <w:rPr>
          <w:lang w:val="en-US"/>
        </w:rPr>
        <w:t xml:space="preserve"> </w:t>
      </w:r>
      <w:r w:rsidR="00DA6802">
        <w:rPr>
          <w:lang w:val="en-US"/>
        </w:rPr>
        <w:t xml:space="preserve">concluded with the first appellant </w:t>
      </w:r>
      <w:r w:rsidR="00886873">
        <w:rPr>
          <w:lang w:val="en-US"/>
        </w:rPr>
        <w:t>in three separate claims</w:t>
      </w:r>
      <w:r w:rsidR="00DA6802">
        <w:rPr>
          <w:lang w:val="en-US"/>
        </w:rPr>
        <w:t>, pursuant to the first appellant’s breaches of the master rental agreements</w:t>
      </w:r>
      <w:r w:rsidR="00F55DF4">
        <w:rPr>
          <w:lang w:val="en-US"/>
        </w:rPr>
        <w:t xml:space="preserve">. Against </w:t>
      </w:r>
      <w:r>
        <w:rPr>
          <w:lang w:val="en-US"/>
        </w:rPr>
        <w:t>the second appellant</w:t>
      </w:r>
      <w:r w:rsidR="00F55DF4">
        <w:rPr>
          <w:lang w:val="en-US"/>
        </w:rPr>
        <w:t>, the sole director of the first appellant</w:t>
      </w:r>
      <w:r w:rsidR="00EF243C">
        <w:rPr>
          <w:lang w:val="en-US"/>
        </w:rPr>
        <w:t xml:space="preserve"> at the time the agreements were concluded</w:t>
      </w:r>
      <w:r w:rsidR="00F55DF4">
        <w:rPr>
          <w:lang w:val="en-US"/>
        </w:rPr>
        <w:t xml:space="preserve">, </w:t>
      </w:r>
      <w:r w:rsidR="00C62497">
        <w:rPr>
          <w:lang w:val="en-US"/>
        </w:rPr>
        <w:t xml:space="preserve">the respondents claimed </w:t>
      </w:r>
      <w:r>
        <w:rPr>
          <w:lang w:val="en-US"/>
        </w:rPr>
        <w:t>payment of such amounts in terms of guarantees concluded by the second appellant in favour of the fi</w:t>
      </w:r>
      <w:r w:rsidR="00F55DF4">
        <w:rPr>
          <w:lang w:val="en-US"/>
        </w:rPr>
        <w:t>r</w:t>
      </w:r>
      <w:r>
        <w:rPr>
          <w:lang w:val="en-US"/>
        </w:rPr>
        <w:t xml:space="preserve">st appellant. </w:t>
      </w:r>
      <w:r w:rsidR="00EF243C">
        <w:rPr>
          <w:lang w:val="en-US"/>
        </w:rPr>
        <w:t>The second applicant is a practicing attorney.</w:t>
      </w:r>
    </w:p>
    <w:p w:rsidR="00EF243C" w:rsidRDefault="00C62497" w:rsidP="003E4474">
      <w:pPr>
        <w:pStyle w:val="level1"/>
        <w:spacing w:after="480" w:line="360" w:lineRule="auto"/>
        <w:ind w:left="0" w:firstLine="0"/>
        <w:jc w:val="both"/>
        <w:rPr>
          <w:lang w:val="en-US"/>
        </w:rPr>
      </w:pPr>
      <w:r>
        <w:rPr>
          <w:lang w:val="en-US"/>
        </w:rPr>
        <w:t>In the</w:t>
      </w:r>
      <w:r w:rsidR="00F22A71">
        <w:rPr>
          <w:lang w:val="en-US"/>
        </w:rPr>
        <w:t>ir</w:t>
      </w:r>
      <w:r>
        <w:rPr>
          <w:lang w:val="en-US"/>
        </w:rPr>
        <w:t xml:space="preserve"> particulars of claim, the r</w:t>
      </w:r>
      <w:r w:rsidR="000F04AE">
        <w:rPr>
          <w:lang w:val="en-US"/>
        </w:rPr>
        <w:t xml:space="preserve">espondents </w:t>
      </w:r>
      <w:r>
        <w:rPr>
          <w:lang w:val="en-US"/>
        </w:rPr>
        <w:t>averred</w:t>
      </w:r>
      <w:r w:rsidR="000F04AE">
        <w:rPr>
          <w:lang w:val="en-US"/>
        </w:rPr>
        <w:t xml:space="preserve"> that the first appellant chose its </w:t>
      </w:r>
      <w:r w:rsidR="000F04AE" w:rsidRPr="00BE45F4">
        <w:rPr>
          <w:i/>
          <w:lang w:val="en-US"/>
        </w:rPr>
        <w:t xml:space="preserve">domicilium citandi et executandi </w:t>
      </w:r>
      <w:r w:rsidR="000F04AE">
        <w:rPr>
          <w:lang w:val="en-US"/>
        </w:rPr>
        <w:t>at Ced</w:t>
      </w:r>
      <w:r w:rsidR="00F22A71">
        <w:rPr>
          <w:lang w:val="en-US"/>
        </w:rPr>
        <w:t>a</w:t>
      </w:r>
      <w:r w:rsidR="000F04AE">
        <w:rPr>
          <w:lang w:val="en-US"/>
        </w:rPr>
        <w:t xml:space="preserve">r Lodge Cnr Bush and </w:t>
      </w:r>
      <w:r w:rsidR="003C7AAA">
        <w:rPr>
          <w:lang w:val="en-US"/>
        </w:rPr>
        <w:t>R</w:t>
      </w:r>
      <w:r w:rsidR="000F04AE">
        <w:rPr>
          <w:lang w:val="en-US"/>
        </w:rPr>
        <w:t>28 Chan</w:t>
      </w:r>
      <w:r w:rsidR="003C7AAA">
        <w:rPr>
          <w:lang w:val="en-US"/>
        </w:rPr>
        <w:t>c</w:t>
      </w:r>
      <w:r w:rsidR="000F04AE">
        <w:rPr>
          <w:lang w:val="en-US"/>
        </w:rPr>
        <w:t>liff, Kr</w:t>
      </w:r>
      <w:r w:rsidR="00F22A71">
        <w:rPr>
          <w:lang w:val="en-US"/>
        </w:rPr>
        <w:t>u</w:t>
      </w:r>
      <w:r w:rsidR="000F04AE">
        <w:rPr>
          <w:lang w:val="en-US"/>
        </w:rPr>
        <w:t>gersdorp and that the second appellant resided at 10 Bluegumspoort Road, Louis Trichardt</w:t>
      </w:r>
      <w:r>
        <w:rPr>
          <w:lang w:val="en-US"/>
        </w:rPr>
        <w:t>, which</w:t>
      </w:r>
      <w:r w:rsidR="000F04AE">
        <w:rPr>
          <w:lang w:val="en-US"/>
        </w:rPr>
        <w:t xml:space="preserve"> address was chosen as his </w:t>
      </w:r>
      <w:r w:rsidR="000F04AE" w:rsidRPr="00BE45F4">
        <w:rPr>
          <w:i/>
          <w:lang w:val="en-US"/>
        </w:rPr>
        <w:t>domicilium citandi et executandi</w:t>
      </w:r>
      <w:r w:rsidR="000F04AE">
        <w:rPr>
          <w:lang w:val="en-US"/>
        </w:rPr>
        <w:t xml:space="preserve">. </w:t>
      </w:r>
    </w:p>
    <w:p w:rsidR="000F04AE" w:rsidRDefault="000F04AE" w:rsidP="003E4474">
      <w:pPr>
        <w:pStyle w:val="level1"/>
        <w:spacing w:after="480" w:line="360" w:lineRule="auto"/>
        <w:ind w:left="0" w:firstLine="0"/>
        <w:jc w:val="both"/>
        <w:rPr>
          <w:lang w:val="en-US"/>
        </w:rPr>
      </w:pPr>
      <w:r>
        <w:rPr>
          <w:lang w:val="en-US"/>
        </w:rPr>
        <w:t xml:space="preserve">Service </w:t>
      </w:r>
      <w:r w:rsidR="00C62497">
        <w:rPr>
          <w:lang w:val="en-US"/>
        </w:rPr>
        <w:t xml:space="preserve">of the action proceedings </w:t>
      </w:r>
      <w:r>
        <w:rPr>
          <w:lang w:val="en-US"/>
        </w:rPr>
        <w:t xml:space="preserve">was effected on the first appellant on 14 May 2020 by affixing to the outer principal door at the </w:t>
      </w:r>
      <w:r w:rsidR="00C62497">
        <w:rPr>
          <w:lang w:val="en-US"/>
        </w:rPr>
        <w:t xml:space="preserve">aforesaid </w:t>
      </w:r>
      <w:r w:rsidR="00C62497" w:rsidRPr="00F26891">
        <w:rPr>
          <w:i/>
          <w:lang w:val="en-US"/>
        </w:rPr>
        <w:t>domicilium</w:t>
      </w:r>
      <w:r>
        <w:rPr>
          <w:lang w:val="en-US"/>
        </w:rPr>
        <w:t xml:space="preserve"> address in terms of r</w:t>
      </w:r>
      <w:r w:rsidR="00F22A71">
        <w:rPr>
          <w:lang w:val="en-US"/>
        </w:rPr>
        <w:t xml:space="preserve"> </w:t>
      </w:r>
      <w:r>
        <w:rPr>
          <w:lang w:val="en-US"/>
        </w:rPr>
        <w:t>4(1)(a)(iv). In relation to the second appellant</w:t>
      </w:r>
      <w:r w:rsidR="00C62497">
        <w:rPr>
          <w:lang w:val="en-US"/>
        </w:rPr>
        <w:t>, service was effected</w:t>
      </w:r>
      <w:r>
        <w:rPr>
          <w:lang w:val="en-US"/>
        </w:rPr>
        <w:t xml:space="preserve"> on 17 June 2020 at the Louis Trichardt address. </w:t>
      </w:r>
      <w:r w:rsidR="002153DA">
        <w:rPr>
          <w:lang w:val="en-US"/>
        </w:rPr>
        <w:t>T</w:t>
      </w:r>
      <w:r>
        <w:rPr>
          <w:lang w:val="en-US"/>
        </w:rPr>
        <w:t xml:space="preserve">he return </w:t>
      </w:r>
      <w:r w:rsidR="002153DA">
        <w:rPr>
          <w:lang w:val="en-US"/>
        </w:rPr>
        <w:t xml:space="preserve">of service </w:t>
      </w:r>
      <w:r w:rsidR="00C62497">
        <w:rPr>
          <w:lang w:val="en-US"/>
        </w:rPr>
        <w:t>stated:</w:t>
      </w:r>
      <w:r>
        <w:rPr>
          <w:lang w:val="en-US"/>
        </w:rPr>
        <w:t xml:space="preserve"> “</w:t>
      </w:r>
      <w:r w:rsidRPr="00C62497">
        <w:rPr>
          <w:i/>
          <w:lang w:val="en-US"/>
        </w:rPr>
        <w:t>in her temporary absence,</w:t>
      </w:r>
      <w:r w:rsidR="00F22A71">
        <w:rPr>
          <w:i/>
          <w:lang w:val="en-US"/>
        </w:rPr>
        <w:t xml:space="preserve"> </w:t>
      </w:r>
      <w:r w:rsidRPr="00C62497">
        <w:rPr>
          <w:i/>
          <w:lang w:val="en-US"/>
        </w:rPr>
        <w:t>a copy of the combined summons was served to employee Mr Steven Mukwovho in terms of r</w:t>
      </w:r>
      <w:r w:rsidR="00F22A71">
        <w:rPr>
          <w:i/>
          <w:lang w:val="en-US"/>
        </w:rPr>
        <w:t xml:space="preserve"> </w:t>
      </w:r>
      <w:r w:rsidRPr="00C62497">
        <w:rPr>
          <w:i/>
          <w:lang w:val="en-US"/>
        </w:rPr>
        <w:t>4(1)(a)(ii)</w:t>
      </w:r>
      <w:r w:rsidR="00294877" w:rsidRPr="00C62497">
        <w:rPr>
          <w:i/>
          <w:lang w:val="en-US"/>
        </w:rPr>
        <w:t>”</w:t>
      </w:r>
      <w:r w:rsidR="00294877">
        <w:rPr>
          <w:lang w:val="en-US"/>
        </w:rPr>
        <w:t>.</w:t>
      </w:r>
    </w:p>
    <w:p w:rsidR="002153DA" w:rsidRDefault="00886873" w:rsidP="003E4474">
      <w:pPr>
        <w:pStyle w:val="level1"/>
        <w:spacing w:after="480" w:line="360" w:lineRule="auto"/>
        <w:ind w:left="0" w:firstLine="0"/>
        <w:jc w:val="both"/>
        <w:rPr>
          <w:lang w:val="en-US"/>
        </w:rPr>
      </w:pPr>
      <w:r>
        <w:rPr>
          <w:lang w:val="en-US"/>
        </w:rPr>
        <w:lastRenderedPageBreak/>
        <w:t xml:space="preserve">Judgment by default was granted against the appellants </w:t>
      </w:r>
      <w:r w:rsidR="00C62497">
        <w:rPr>
          <w:lang w:val="en-US"/>
        </w:rPr>
        <w:t xml:space="preserve">jointly and severally </w:t>
      </w:r>
      <w:r>
        <w:rPr>
          <w:lang w:val="en-US"/>
        </w:rPr>
        <w:t xml:space="preserve">on 19 August 2020 in relation to each of the 3 claims. </w:t>
      </w:r>
    </w:p>
    <w:p w:rsidR="008C48A6" w:rsidRDefault="002153DA" w:rsidP="00FC15A2">
      <w:pPr>
        <w:pStyle w:val="level1"/>
        <w:spacing w:after="480" w:line="360" w:lineRule="auto"/>
        <w:ind w:left="0" w:firstLine="0"/>
        <w:jc w:val="both"/>
        <w:rPr>
          <w:lang w:val="en-US"/>
        </w:rPr>
      </w:pPr>
      <w:r w:rsidRPr="001138A9">
        <w:rPr>
          <w:lang w:val="en-US"/>
        </w:rPr>
        <w:t>On the appellants’ version, t</w:t>
      </w:r>
      <w:r w:rsidR="00886873" w:rsidRPr="001138A9">
        <w:rPr>
          <w:lang w:val="en-US"/>
        </w:rPr>
        <w:t>he second appellant found out about the judgment</w:t>
      </w:r>
      <w:r w:rsidR="003C7AAA" w:rsidRPr="001138A9">
        <w:rPr>
          <w:lang w:val="en-US"/>
        </w:rPr>
        <w:t xml:space="preserve"> when he was contacted by the sheriff on 17 September 2020 to arrange service of a warrant of execution</w:t>
      </w:r>
      <w:r w:rsidR="00F22A71" w:rsidRPr="001138A9">
        <w:rPr>
          <w:lang w:val="en-US"/>
        </w:rPr>
        <w:t>, p</w:t>
      </w:r>
      <w:r w:rsidR="003C7AAA" w:rsidRPr="001138A9">
        <w:rPr>
          <w:lang w:val="en-US"/>
        </w:rPr>
        <w:t xml:space="preserve">ursuant to </w:t>
      </w:r>
      <w:r w:rsidR="00F22A71" w:rsidRPr="001138A9">
        <w:rPr>
          <w:lang w:val="en-US"/>
        </w:rPr>
        <w:t>which</w:t>
      </w:r>
      <w:r w:rsidR="003C7AAA" w:rsidRPr="001138A9">
        <w:rPr>
          <w:lang w:val="en-US"/>
        </w:rPr>
        <w:t xml:space="preserve"> the second appellant’s vehicle was attached.  </w:t>
      </w:r>
      <w:r w:rsidR="00886873" w:rsidRPr="001138A9">
        <w:rPr>
          <w:lang w:val="en-US"/>
        </w:rPr>
        <w:t xml:space="preserve">A rescission application was launched by the appellants on or about 5 October 2020. </w:t>
      </w:r>
    </w:p>
    <w:p w:rsidR="002A06D4" w:rsidRPr="001138A9" w:rsidRDefault="00812B71" w:rsidP="00FC15A2">
      <w:pPr>
        <w:pStyle w:val="level1"/>
        <w:spacing w:after="480" w:line="360" w:lineRule="auto"/>
        <w:ind w:left="0" w:firstLine="0"/>
        <w:jc w:val="both"/>
        <w:rPr>
          <w:lang w:val="en-US"/>
        </w:rPr>
      </w:pPr>
      <w:r w:rsidRPr="001138A9">
        <w:rPr>
          <w:lang w:val="en-US"/>
        </w:rPr>
        <w:t xml:space="preserve">The appellants case was that the appellants were absent from the hearing as a result of the service of the summons at the wrong addresses for the applicants and that they were not in wilful default. </w:t>
      </w:r>
      <w:r w:rsidR="001138A9">
        <w:rPr>
          <w:lang w:val="en-US"/>
        </w:rPr>
        <w:t xml:space="preserve"> </w:t>
      </w:r>
      <w:r w:rsidR="00886873" w:rsidRPr="001138A9">
        <w:rPr>
          <w:lang w:val="en-US"/>
        </w:rPr>
        <w:t xml:space="preserve">In their founding papers, reliance was placed </w:t>
      </w:r>
      <w:r w:rsidR="002A06D4" w:rsidRPr="001138A9">
        <w:rPr>
          <w:lang w:val="en-US"/>
        </w:rPr>
        <w:t xml:space="preserve">in the alternative </w:t>
      </w:r>
      <w:r w:rsidR="00886873" w:rsidRPr="001138A9">
        <w:rPr>
          <w:lang w:val="en-US"/>
        </w:rPr>
        <w:t>on r</w:t>
      </w:r>
      <w:r w:rsidR="000C74CE" w:rsidRPr="001138A9">
        <w:rPr>
          <w:lang w:val="en-US"/>
        </w:rPr>
        <w:t xml:space="preserve"> </w:t>
      </w:r>
      <w:r w:rsidR="00886873" w:rsidRPr="001138A9">
        <w:rPr>
          <w:lang w:val="en-US"/>
        </w:rPr>
        <w:t>31(2)(b), r</w:t>
      </w:r>
      <w:r w:rsidR="000C74CE" w:rsidRPr="001138A9">
        <w:rPr>
          <w:lang w:val="en-US"/>
        </w:rPr>
        <w:t xml:space="preserve"> </w:t>
      </w:r>
      <w:r w:rsidR="00886873" w:rsidRPr="001138A9">
        <w:rPr>
          <w:lang w:val="en-US"/>
        </w:rPr>
        <w:t>42(1)(a) and the common law.</w:t>
      </w:r>
      <w:r w:rsidR="000C74CE" w:rsidRPr="001138A9">
        <w:rPr>
          <w:lang w:val="en-US"/>
        </w:rPr>
        <w:t xml:space="preserve"> </w:t>
      </w:r>
      <w:r w:rsidR="00EF243C" w:rsidRPr="001138A9">
        <w:rPr>
          <w:lang w:val="en-US"/>
        </w:rPr>
        <w:t xml:space="preserve">The appellants’ case </w:t>
      </w:r>
      <w:r w:rsidR="00C62497" w:rsidRPr="001138A9">
        <w:rPr>
          <w:lang w:val="en-US"/>
        </w:rPr>
        <w:t>wa</w:t>
      </w:r>
      <w:r w:rsidR="00EF243C" w:rsidRPr="001138A9">
        <w:rPr>
          <w:lang w:val="en-US"/>
        </w:rPr>
        <w:t xml:space="preserve">s that </w:t>
      </w:r>
      <w:r w:rsidR="002A06D4" w:rsidRPr="001138A9">
        <w:rPr>
          <w:lang w:val="en-US"/>
        </w:rPr>
        <w:t xml:space="preserve">they did not receive the summons and had not chosen any </w:t>
      </w:r>
      <w:r w:rsidR="002A06D4" w:rsidRPr="001138A9">
        <w:rPr>
          <w:i/>
          <w:lang w:val="en-US"/>
        </w:rPr>
        <w:t>domicilia citandi et executandi</w:t>
      </w:r>
      <w:r w:rsidR="002A06D4" w:rsidRPr="001138A9">
        <w:rPr>
          <w:lang w:val="en-US"/>
        </w:rPr>
        <w:t xml:space="preserve"> as </w:t>
      </w:r>
      <w:r w:rsidR="00EF243C" w:rsidRPr="001138A9">
        <w:rPr>
          <w:lang w:val="en-US"/>
        </w:rPr>
        <w:t xml:space="preserve">the agreements relied upon by the respondents </w:t>
      </w:r>
      <w:r w:rsidR="002A06D4" w:rsidRPr="001138A9">
        <w:rPr>
          <w:lang w:val="en-US"/>
        </w:rPr>
        <w:t>we</w:t>
      </w:r>
      <w:r w:rsidR="00EF243C" w:rsidRPr="001138A9">
        <w:rPr>
          <w:lang w:val="en-US"/>
        </w:rPr>
        <w:t xml:space="preserve">re fraudulent and were not concluded </w:t>
      </w:r>
      <w:r w:rsidR="008C48A6">
        <w:rPr>
          <w:lang w:val="en-US"/>
        </w:rPr>
        <w:t xml:space="preserve">or authorised </w:t>
      </w:r>
      <w:r w:rsidR="00EF243C" w:rsidRPr="001138A9">
        <w:rPr>
          <w:lang w:val="en-US"/>
        </w:rPr>
        <w:t>by the second appellant</w:t>
      </w:r>
      <w:r w:rsidR="008C48A6">
        <w:rPr>
          <w:lang w:val="en-US"/>
        </w:rPr>
        <w:t>, the sole director</w:t>
      </w:r>
      <w:r w:rsidR="00EF243C" w:rsidRPr="001138A9">
        <w:rPr>
          <w:lang w:val="en-US"/>
        </w:rPr>
        <w:t xml:space="preserve"> of the first appellant</w:t>
      </w:r>
      <w:r w:rsidR="008E0EE5">
        <w:rPr>
          <w:lang w:val="en-US"/>
        </w:rPr>
        <w:t>,</w:t>
      </w:r>
      <w:r w:rsidR="008C48A6">
        <w:rPr>
          <w:lang w:val="en-US"/>
        </w:rPr>
        <w:t xml:space="preserve"> or </w:t>
      </w:r>
      <w:r w:rsidR="008E0EE5">
        <w:rPr>
          <w:lang w:val="en-US"/>
        </w:rPr>
        <w:t xml:space="preserve">by </w:t>
      </w:r>
      <w:r w:rsidR="008C48A6">
        <w:rPr>
          <w:lang w:val="en-US"/>
        </w:rPr>
        <w:t>any authorised representative of the first appellant</w:t>
      </w:r>
      <w:r w:rsidR="00EF243C" w:rsidRPr="001138A9">
        <w:rPr>
          <w:lang w:val="en-US"/>
        </w:rPr>
        <w:t xml:space="preserve">. It </w:t>
      </w:r>
      <w:r w:rsidR="002A06D4" w:rsidRPr="001138A9">
        <w:rPr>
          <w:lang w:val="en-US"/>
        </w:rPr>
        <w:t>was</w:t>
      </w:r>
      <w:r w:rsidR="00EF243C" w:rsidRPr="001138A9">
        <w:rPr>
          <w:lang w:val="en-US"/>
        </w:rPr>
        <w:t xml:space="preserve"> contended that the signatures on the agreements are an obvious and clear falsification of the second appellant’s signature</w:t>
      </w:r>
      <w:r w:rsidR="00771BDE" w:rsidRPr="001138A9">
        <w:rPr>
          <w:lang w:val="en-US"/>
        </w:rPr>
        <w:t>,</w:t>
      </w:r>
      <w:r w:rsidR="002A06D4" w:rsidRPr="001138A9">
        <w:rPr>
          <w:lang w:val="en-US"/>
        </w:rPr>
        <w:t xml:space="preserve"> that the appellants have no knowledge of the rental agreements</w:t>
      </w:r>
      <w:r w:rsidR="00771BDE" w:rsidRPr="001138A9">
        <w:rPr>
          <w:lang w:val="en-US"/>
        </w:rPr>
        <w:t xml:space="preserve"> and that the app</w:t>
      </w:r>
      <w:r w:rsidR="003928F0">
        <w:rPr>
          <w:lang w:val="en-US"/>
        </w:rPr>
        <w:t>ellants</w:t>
      </w:r>
      <w:r w:rsidR="00771BDE" w:rsidRPr="001138A9">
        <w:rPr>
          <w:lang w:val="en-US"/>
        </w:rPr>
        <w:t xml:space="preserve"> were not party to the contractual agreements</w:t>
      </w:r>
      <w:r w:rsidR="00EF243C" w:rsidRPr="001138A9">
        <w:rPr>
          <w:lang w:val="en-US"/>
        </w:rPr>
        <w:t xml:space="preserve">. </w:t>
      </w:r>
      <w:r w:rsidR="00CA3C87" w:rsidRPr="001138A9">
        <w:rPr>
          <w:lang w:val="en-US"/>
        </w:rPr>
        <w:t>It was also disputed in reply that the second appella</w:t>
      </w:r>
      <w:r w:rsidR="002423B5">
        <w:rPr>
          <w:lang w:val="en-US"/>
        </w:rPr>
        <w:t>nt authorised any debit authoris</w:t>
      </w:r>
      <w:r w:rsidR="00CA3C87" w:rsidRPr="001138A9">
        <w:rPr>
          <w:lang w:val="en-US"/>
        </w:rPr>
        <w:t xml:space="preserve">ation or the conclusion of the agreements themselves. </w:t>
      </w:r>
    </w:p>
    <w:p w:rsidR="00771BDE" w:rsidRPr="00EB64CD" w:rsidRDefault="002A06D4" w:rsidP="000719EC">
      <w:pPr>
        <w:pStyle w:val="level1"/>
        <w:spacing w:after="480" w:line="360" w:lineRule="auto"/>
        <w:ind w:left="0" w:firstLine="0"/>
        <w:jc w:val="both"/>
        <w:rPr>
          <w:lang w:val="en-US"/>
        </w:rPr>
      </w:pPr>
      <w:r w:rsidRPr="00EB64CD">
        <w:rPr>
          <w:lang w:val="en-US"/>
        </w:rPr>
        <w:t>It was argued that s</w:t>
      </w:r>
      <w:r w:rsidR="00EF243C" w:rsidRPr="00EB64CD">
        <w:rPr>
          <w:lang w:val="en-US"/>
        </w:rPr>
        <w:t xml:space="preserve">ervice of the summons was thus invalid as neither of the appellants chose a </w:t>
      </w:r>
      <w:r w:rsidR="00EF243C" w:rsidRPr="00EB64CD">
        <w:rPr>
          <w:i/>
          <w:lang w:val="en-US"/>
        </w:rPr>
        <w:t>domicilium citandi et executandi</w:t>
      </w:r>
      <w:r w:rsidR="00EF243C" w:rsidRPr="00EB64CD">
        <w:rPr>
          <w:lang w:val="en-US"/>
        </w:rPr>
        <w:t>.</w:t>
      </w:r>
      <w:r w:rsidR="00641F1C" w:rsidRPr="00EB64CD">
        <w:rPr>
          <w:lang w:val="en-US"/>
        </w:rPr>
        <w:t xml:space="preserve"> It was </w:t>
      </w:r>
      <w:r w:rsidRPr="00EB64CD">
        <w:rPr>
          <w:lang w:val="en-US"/>
        </w:rPr>
        <w:t xml:space="preserve">not </w:t>
      </w:r>
      <w:r w:rsidR="00641F1C" w:rsidRPr="00EB64CD">
        <w:rPr>
          <w:lang w:val="en-US"/>
        </w:rPr>
        <w:t>disputed that the registered address of the first appellant and the residential address of the second appellant differed from the service addresses.</w:t>
      </w:r>
      <w:r w:rsidR="008E0EE5">
        <w:rPr>
          <w:lang w:val="en-US"/>
        </w:rPr>
        <w:t xml:space="preserve"> Two of the three guarantees did not contain a </w:t>
      </w:r>
      <w:r w:rsidR="008E0EE5" w:rsidRPr="00F26891">
        <w:rPr>
          <w:i/>
          <w:lang w:val="en-US"/>
        </w:rPr>
        <w:t>domicilium</w:t>
      </w:r>
      <w:r w:rsidR="008E0EE5">
        <w:rPr>
          <w:lang w:val="en-US"/>
        </w:rPr>
        <w:t xml:space="preserve"> address.</w:t>
      </w:r>
      <w:r w:rsidR="00EB64CD" w:rsidRPr="00EB64CD">
        <w:rPr>
          <w:lang w:val="en-US"/>
        </w:rPr>
        <w:t xml:space="preserve"> </w:t>
      </w:r>
    </w:p>
    <w:p w:rsidR="00641F1C" w:rsidRDefault="00641F1C" w:rsidP="003E4474">
      <w:pPr>
        <w:pStyle w:val="level1"/>
        <w:spacing w:after="480" w:line="360" w:lineRule="auto"/>
        <w:ind w:left="0" w:firstLine="0"/>
        <w:jc w:val="both"/>
        <w:rPr>
          <w:lang w:val="en-US"/>
        </w:rPr>
      </w:pPr>
      <w:r>
        <w:rPr>
          <w:lang w:val="en-US"/>
        </w:rPr>
        <w:t>The respondent</w:t>
      </w:r>
      <w:r w:rsidR="008E0EE5">
        <w:rPr>
          <w:lang w:val="en-US"/>
        </w:rPr>
        <w:t>s</w:t>
      </w:r>
      <w:r>
        <w:rPr>
          <w:lang w:val="en-US"/>
        </w:rPr>
        <w:t xml:space="preserve"> opposed the rescission application </w:t>
      </w:r>
      <w:r w:rsidR="00015E74">
        <w:rPr>
          <w:lang w:val="en-US"/>
        </w:rPr>
        <w:t xml:space="preserve">primarily </w:t>
      </w:r>
      <w:r>
        <w:rPr>
          <w:lang w:val="en-US"/>
        </w:rPr>
        <w:t>on the basis</w:t>
      </w:r>
      <w:r w:rsidR="00015E74">
        <w:rPr>
          <w:lang w:val="en-US"/>
        </w:rPr>
        <w:t xml:space="preserve"> that the appellants’ version that the agreements were fraudulent </w:t>
      </w:r>
      <w:r w:rsidR="00771BDE">
        <w:rPr>
          <w:lang w:val="en-US"/>
        </w:rPr>
        <w:t>wa</w:t>
      </w:r>
      <w:r w:rsidR="00015E74">
        <w:rPr>
          <w:lang w:val="en-US"/>
        </w:rPr>
        <w:t>s untrue</w:t>
      </w:r>
      <w:r w:rsidR="00EB64CD">
        <w:rPr>
          <w:lang w:val="en-US"/>
        </w:rPr>
        <w:t xml:space="preserve"> and </w:t>
      </w:r>
      <w:r w:rsidR="008C48A6">
        <w:rPr>
          <w:lang w:val="en-US"/>
        </w:rPr>
        <w:t xml:space="preserve">the appellants had not illustrated any </w:t>
      </w:r>
      <w:r w:rsidR="00EB64CD">
        <w:rPr>
          <w:lang w:val="en-US"/>
        </w:rPr>
        <w:t>bona fide defence</w:t>
      </w:r>
      <w:r w:rsidR="00015E74">
        <w:rPr>
          <w:lang w:val="en-US"/>
        </w:rPr>
        <w:t xml:space="preserve">. It put up </w:t>
      </w:r>
      <w:r w:rsidR="00771BDE">
        <w:rPr>
          <w:lang w:val="en-US"/>
        </w:rPr>
        <w:t xml:space="preserve">substantial </w:t>
      </w:r>
      <w:r w:rsidR="00015E74">
        <w:rPr>
          <w:lang w:val="en-US"/>
        </w:rPr>
        <w:t xml:space="preserve">evidence pertaining to the </w:t>
      </w:r>
      <w:r w:rsidR="00015E74">
        <w:rPr>
          <w:lang w:val="en-US"/>
        </w:rPr>
        <w:lastRenderedPageBreak/>
        <w:t>circumstances surrounding the conclusion of the agreements</w:t>
      </w:r>
      <w:r w:rsidR="00771BDE">
        <w:rPr>
          <w:lang w:val="en-US"/>
        </w:rPr>
        <w:t>,</w:t>
      </w:r>
      <w:r w:rsidR="00015E74">
        <w:rPr>
          <w:lang w:val="en-US"/>
        </w:rPr>
        <w:t xml:space="preserve"> which in</w:t>
      </w:r>
      <w:r w:rsidR="00C72A12">
        <w:rPr>
          <w:lang w:val="en-US"/>
        </w:rPr>
        <w:t>v</w:t>
      </w:r>
      <w:r w:rsidR="00015E74">
        <w:rPr>
          <w:lang w:val="en-US"/>
        </w:rPr>
        <w:t>olved the manager of Ced</w:t>
      </w:r>
      <w:r w:rsidR="002153DA">
        <w:rPr>
          <w:lang w:val="en-US"/>
        </w:rPr>
        <w:t>a</w:t>
      </w:r>
      <w:r w:rsidR="00015E74">
        <w:rPr>
          <w:lang w:val="en-US"/>
        </w:rPr>
        <w:t>r Lodge, the wife of the second appellant, payments made by the first appellant of the contractually agreed rental payments for a period. They contended that the appellants’ version was without merit</w:t>
      </w:r>
      <w:r w:rsidR="00CA3C87">
        <w:rPr>
          <w:lang w:val="en-US"/>
        </w:rPr>
        <w:t xml:space="preserve"> and so deficient that</w:t>
      </w:r>
      <w:r w:rsidR="00015E74">
        <w:rPr>
          <w:lang w:val="en-US"/>
        </w:rPr>
        <w:t xml:space="preserve"> they failed to demonstrate good cause fo</w:t>
      </w:r>
      <w:r w:rsidR="00CA3C87">
        <w:rPr>
          <w:lang w:val="en-US"/>
        </w:rPr>
        <w:t xml:space="preserve">r </w:t>
      </w:r>
      <w:r w:rsidR="00015E74">
        <w:rPr>
          <w:lang w:val="en-US"/>
        </w:rPr>
        <w:t>t</w:t>
      </w:r>
      <w:r w:rsidR="00CA3C87">
        <w:rPr>
          <w:lang w:val="en-US"/>
        </w:rPr>
        <w:t>h</w:t>
      </w:r>
      <w:r w:rsidR="00015E74">
        <w:rPr>
          <w:lang w:val="en-US"/>
        </w:rPr>
        <w:t>e rescission of the default judgment. It was further contended that the second appellant, the deponent to the appellants’ affidavits</w:t>
      </w:r>
      <w:r w:rsidR="008E0EE5">
        <w:rPr>
          <w:lang w:val="en-US"/>
        </w:rPr>
        <w:t>,</w:t>
      </w:r>
      <w:r w:rsidR="00015E74">
        <w:rPr>
          <w:lang w:val="en-US"/>
        </w:rPr>
        <w:t xml:space="preserve"> as an officer of the court had a particular duty to be honest and to disclose all facts and circumstances to the court and had to be cautious about making “wild allegations of fraud”</w:t>
      </w:r>
      <w:r w:rsidR="00C72A12">
        <w:rPr>
          <w:lang w:val="en-US"/>
        </w:rPr>
        <w:t xml:space="preserve">, which </w:t>
      </w:r>
      <w:r w:rsidR="008E0EE5">
        <w:rPr>
          <w:lang w:val="en-US"/>
        </w:rPr>
        <w:t xml:space="preserve">duty </w:t>
      </w:r>
      <w:r w:rsidR="00C72A12">
        <w:rPr>
          <w:lang w:val="en-US"/>
        </w:rPr>
        <w:t>he did not comply with.</w:t>
      </w:r>
      <w:r w:rsidR="00EE02CB">
        <w:rPr>
          <w:lang w:val="en-US"/>
        </w:rPr>
        <w:t xml:space="preserve"> In reply, the appellants did not meaningfully deal with many of the averments made by the respondents and responded in broad terms.</w:t>
      </w:r>
    </w:p>
    <w:p w:rsidR="00C72A12" w:rsidRPr="00EE02CB" w:rsidRDefault="00C72A12" w:rsidP="003E4474">
      <w:pPr>
        <w:pStyle w:val="level1"/>
        <w:spacing w:after="480" w:line="360" w:lineRule="auto"/>
        <w:ind w:left="0" w:firstLine="0"/>
        <w:jc w:val="both"/>
        <w:rPr>
          <w:i/>
          <w:lang w:val="en-US"/>
        </w:rPr>
      </w:pPr>
      <w:r>
        <w:rPr>
          <w:lang w:val="en-US"/>
        </w:rPr>
        <w:t xml:space="preserve">The court </w:t>
      </w:r>
      <w:r w:rsidRPr="00EE02CB">
        <w:rPr>
          <w:i/>
          <w:lang w:val="en-US"/>
        </w:rPr>
        <w:t>a quo</w:t>
      </w:r>
      <w:r w:rsidR="00CA3C87">
        <w:rPr>
          <w:lang w:val="en-US"/>
        </w:rPr>
        <w:t xml:space="preserve"> considered the main dispute between the parties as being whether the appellants have shown a bona fide defence</w:t>
      </w:r>
      <w:r w:rsidR="00CA3C87">
        <w:rPr>
          <w:rStyle w:val="FootnoteReference"/>
          <w:lang w:val="en-US"/>
        </w:rPr>
        <w:footnoteReference w:id="1"/>
      </w:r>
      <w:r w:rsidR="002B71A5">
        <w:rPr>
          <w:lang w:val="en-US"/>
        </w:rPr>
        <w:t>. It considered the circumstances leading up to and surrounding the signing of the agreements, relied on by the respondents in disputing appellants’ averments of fraud</w:t>
      </w:r>
      <w:r w:rsidR="008E0EE5">
        <w:rPr>
          <w:lang w:val="en-US"/>
        </w:rPr>
        <w:t>,</w:t>
      </w:r>
      <w:r w:rsidR="002B71A5">
        <w:rPr>
          <w:lang w:val="en-US"/>
        </w:rPr>
        <w:t xml:space="preserve"> and raised concern about the absence of detail and explanations in the appellants’ affidavits. </w:t>
      </w:r>
      <w:r w:rsidR="00EE02CB">
        <w:rPr>
          <w:lang w:val="en-US"/>
        </w:rPr>
        <w:t xml:space="preserve">The court </w:t>
      </w:r>
      <w:r w:rsidR="00EE02CB" w:rsidRPr="00EE02CB">
        <w:rPr>
          <w:i/>
          <w:lang w:val="en-US"/>
        </w:rPr>
        <w:t>a quo</w:t>
      </w:r>
      <w:r w:rsidR="002B71A5">
        <w:rPr>
          <w:lang w:val="en-US"/>
        </w:rPr>
        <w:t xml:space="preserve"> concluded that the appellants had to show not only that they had a defence but also that such defence was bona fide</w:t>
      </w:r>
      <w:r w:rsidR="00A00DBB">
        <w:rPr>
          <w:lang w:val="en-US"/>
        </w:rPr>
        <w:t xml:space="preserve">. The court </w:t>
      </w:r>
      <w:r w:rsidR="00A00DBB" w:rsidRPr="00EE02CB">
        <w:rPr>
          <w:i/>
          <w:lang w:val="en-US"/>
        </w:rPr>
        <w:t>a quo</w:t>
      </w:r>
      <w:r w:rsidR="00A00DBB">
        <w:rPr>
          <w:lang w:val="en-US"/>
        </w:rPr>
        <w:t xml:space="preserve"> stated:</w:t>
      </w:r>
      <w:r w:rsidR="00A00DBB" w:rsidRPr="00A00DBB">
        <w:rPr>
          <w:lang w:val="en-US"/>
        </w:rPr>
        <w:t xml:space="preserve"> </w:t>
      </w:r>
      <w:r w:rsidR="00EE02CB">
        <w:rPr>
          <w:lang w:val="en-US"/>
        </w:rPr>
        <w:t>“</w:t>
      </w:r>
      <w:r w:rsidR="00A00DBB" w:rsidRPr="00EE02CB">
        <w:rPr>
          <w:i/>
          <w:lang w:val="en-US"/>
        </w:rPr>
        <w:t>In the absence of proper explanations, the second applicant’s bald denials and averments in the founding and replying affidavits are not plausible</w:t>
      </w:r>
      <w:r w:rsidR="00EE02CB">
        <w:rPr>
          <w:i/>
          <w:lang w:val="en-US"/>
        </w:rPr>
        <w:t>”</w:t>
      </w:r>
      <w:r w:rsidR="00A00DBB" w:rsidRPr="00EE02CB">
        <w:rPr>
          <w:i/>
          <w:lang w:val="en-US"/>
        </w:rPr>
        <w:t>.</w:t>
      </w:r>
    </w:p>
    <w:p w:rsidR="002153DA" w:rsidRDefault="002E02EE" w:rsidP="003E4474">
      <w:pPr>
        <w:pStyle w:val="level1"/>
        <w:spacing w:after="480" w:line="360" w:lineRule="auto"/>
        <w:ind w:left="0" w:firstLine="0"/>
        <w:jc w:val="both"/>
        <w:rPr>
          <w:lang w:val="en-US"/>
        </w:rPr>
      </w:pPr>
      <w:r>
        <w:rPr>
          <w:lang w:val="en-US"/>
        </w:rPr>
        <w:t xml:space="preserve">The court </w:t>
      </w:r>
      <w:r w:rsidRPr="00EE02CB">
        <w:rPr>
          <w:i/>
          <w:lang w:val="en-US"/>
        </w:rPr>
        <w:t>a quo</w:t>
      </w:r>
      <w:r>
        <w:rPr>
          <w:lang w:val="en-US"/>
        </w:rPr>
        <w:t xml:space="preserve"> concluded: </w:t>
      </w:r>
    </w:p>
    <w:p w:rsidR="002E02EE" w:rsidRPr="002153DA" w:rsidRDefault="00A00DBB" w:rsidP="002153DA">
      <w:pPr>
        <w:pStyle w:val="level1"/>
        <w:numPr>
          <w:ilvl w:val="0"/>
          <w:numId w:val="0"/>
        </w:numPr>
        <w:spacing w:after="480"/>
        <w:jc w:val="both"/>
        <w:rPr>
          <w:i/>
          <w:sz w:val="20"/>
          <w:szCs w:val="20"/>
          <w:lang w:val="en-US"/>
        </w:rPr>
      </w:pPr>
      <w:r w:rsidRPr="002153DA">
        <w:rPr>
          <w:i/>
          <w:sz w:val="20"/>
          <w:szCs w:val="20"/>
          <w:lang w:val="en-US"/>
        </w:rPr>
        <w:t>”</w:t>
      </w:r>
      <w:r w:rsidR="008E0EE5">
        <w:rPr>
          <w:i/>
          <w:sz w:val="20"/>
          <w:szCs w:val="20"/>
          <w:lang w:val="en-US"/>
        </w:rPr>
        <w:t>I</w:t>
      </w:r>
      <w:r w:rsidRPr="002153DA">
        <w:rPr>
          <w:i/>
          <w:sz w:val="20"/>
          <w:szCs w:val="20"/>
          <w:lang w:val="en-US"/>
        </w:rPr>
        <w:t xml:space="preserve">n conclusion therefore, </w:t>
      </w:r>
      <w:r w:rsidR="00174088" w:rsidRPr="002153DA">
        <w:rPr>
          <w:i/>
          <w:sz w:val="20"/>
          <w:szCs w:val="20"/>
          <w:lang w:val="en-US"/>
        </w:rPr>
        <w:t>the unacceptably bald</w:t>
      </w:r>
      <w:r w:rsidR="002E02EE" w:rsidRPr="002153DA">
        <w:rPr>
          <w:i/>
          <w:sz w:val="20"/>
          <w:szCs w:val="20"/>
          <w:lang w:val="en-US"/>
        </w:rPr>
        <w:t xml:space="preserve"> denials and averments in the applicants’ founding affidavit</w:t>
      </w:r>
      <w:r w:rsidR="00174088" w:rsidRPr="002153DA">
        <w:rPr>
          <w:i/>
          <w:sz w:val="20"/>
          <w:szCs w:val="20"/>
          <w:lang w:val="en-US"/>
        </w:rPr>
        <w:t xml:space="preserve">, particularly when combined with the total absence of proper explanations in the replying affidavit, fall far short of what is required to show a bona fide defence, that, in my view, the applicants have not shown that the defence raised is bona fide. </w:t>
      </w:r>
      <w:r w:rsidRPr="002153DA">
        <w:rPr>
          <w:i/>
          <w:sz w:val="20"/>
          <w:szCs w:val="20"/>
          <w:lang w:val="en-US"/>
        </w:rPr>
        <w:t>I</w:t>
      </w:r>
      <w:r w:rsidR="002153DA">
        <w:rPr>
          <w:i/>
          <w:sz w:val="20"/>
          <w:szCs w:val="20"/>
          <w:lang w:val="en-US"/>
        </w:rPr>
        <w:t>n</w:t>
      </w:r>
      <w:r w:rsidRPr="002153DA">
        <w:rPr>
          <w:i/>
          <w:sz w:val="20"/>
          <w:szCs w:val="20"/>
          <w:lang w:val="en-US"/>
        </w:rPr>
        <w:t xml:space="preserve"> so far as I have a discretion nevertheless to grant rescission notwithstanding my conclusion that the applicants had not shown that their defence is bona fide, I decline to exercise that discretion in favour of the applicants. The second applicant, an attorney, had the opportunity to provide the necessary fleshed out explanations in reply and to submit a supporting affidavit from his wife. The fact that he pro</w:t>
      </w:r>
      <w:r w:rsidR="002153DA">
        <w:rPr>
          <w:i/>
          <w:sz w:val="20"/>
          <w:szCs w:val="20"/>
          <w:lang w:val="en-US"/>
        </w:rPr>
        <w:t>v</w:t>
      </w:r>
      <w:r w:rsidRPr="002153DA">
        <w:rPr>
          <w:i/>
          <w:sz w:val="20"/>
          <w:szCs w:val="20"/>
          <w:lang w:val="en-US"/>
        </w:rPr>
        <w:t>ided neither and persisted with no more than generalized denials and averments, in my view, do not justify the exercise of a discretion in favour of the applicants.</w:t>
      </w:r>
    </w:p>
    <w:p w:rsidR="00EE02CB" w:rsidRDefault="00192733" w:rsidP="003E4474">
      <w:pPr>
        <w:pStyle w:val="level1"/>
        <w:spacing w:after="480" w:line="360" w:lineRule="auto"/>
        <w:ind w:left="0" w:firstLine="0"/>
        <w:jc w:val="both"/>
        <w:rPr>
          <w:lang w:val="en-US"/>
        </w:rPr>
      </w:pPr>
      <w:r>
        <w:rPr>
          <w:lang w:val="en-US"/>
        </w:rPr>
        <w:lastRenderedPageBreak/>
        <w:t xml:space="preserve">It was not disputed that the first appellant’s registered address differed from the service address. </w:t>
      </w:r>
      <w:r w:rsidR="00F124E2">
        <w:rPr>
          <w:lang w:val="en-US"/>
        </w:rPr>
        <w:t xml:space="preserve">Only if the agreements were concluded between the parties, would the respondents be entitled to rely on a </w:t>
      </w:r>
      <w:r w:rsidR="00F124E2" w:rsidRPr="008C48A6">
        <w:rPr>
          <w:i/>
          <w:lang w:val="en-US"/>
        </w:rPr>
        <w:t>domicilium</w:t>
      </w:r>
      <w:r w:rsidR="00F124E2">
        <w:rPr>
          <w:lang w:val="en-US"/>
        </w:rPr>
        <w:t xml:space="preserve"> address. </w:t>
      </w:r>
      <w:r>
        <w:rPr>
          <w:lang w:val="en-US"/>
        </w:rPr>
        <w:t xml:space="preserve">It was also not disputed that the second appellant resided in Midrand and did not practice </w:t>
      </w:r>
      <w:r w:rsidR="002E00B9">
        <w:rPr>
          <w:lang w:val="en-US"/>
        </w:rPr>
        <w:t xml:space="preserve">or reside at </w:t>
      </w:r>
      <w:r>
        <w:rPr>
          <w:lang w:val="en-US"/>
        </w:rPr>
        <w:t xml:space="preserve">the </w:t>
      </w:r>
      <w:r w:rsidR="002E00B9">
        <w:rPr>
          <w:lang w:val="en-US"/>
        </w:rPr>
        <w:t xml:space="preserve">Louis Trichardt </w:t>
      </w:r>
      <w:r>
        <w:rPr>
          <w:lang w:val="en-US"/>
        </w:rPr>
        <w:t>“</w:t>
      </w:r>
      <w:r w:rsidRPr="008C48A6">
        <w:rPr>
          <w:i/>
          <w:lang w:val="en-US"/>
        </w:rPr>
        <w:t>domicilium</w:t>
      </w:r>
      <w:r>
        <w:rPr>
          <w:lang w:val="en-US"/>
        </w:rPr>
        <w:t xml:space="preserve"> address” </w:t>
      </w:r>
      <w:r w:rsidR="00F22A71">
        <w:rPr>
          <w:lang w:val="en-US"/>
        </w:rPr>
        <w:t xml:space="preserve">reflected on one of the guarantees. </w:t>
      </w:r>
      <w:r w:rsidR="00E01E88">
        <w:rPr>
          <w:lang w:val="en-US"/>
        </w:rPr>
        <w:t xml:space="preserve">The other two guarantees contained no </w:t>
      </w:r>
      <w:r w:rsidR="00E01E88" w:rsidRPr="00AF77E2">
        <w:rPr>
          <w:i/>
          <w:lang w:val="en-US"/>
        </w:rPr>
        <w:t>domicilium</w:t>
      </w:r>
      <w:r w:rsidR="00E01E88">
        <w:rPr>
          <w:lang w:val="en-US"/>
        </w:rPr>
        <w:t xml:space="preserve"> </w:t>
      </w:r>
      <w:r w:rsidR="002E00B9">
        <w:rPr>
          <w:lang w:val="en-US"/>
        </w:rPr>
        <w:t>address</w:t>
      </w:r>
      <w:r w:rsidR="00E01E88">
        <w:rPr>
          <w:lang w:val="en-US"/>
        </w:rPr>
        <w:t xml:space="preserve">. </w:t>
      </w:r>
      <w:r w:rsidR="00F22A71">
        <w:rPr>
          <w:lang w:val="en-US"/>
        </w:rPr>
        <w:t xml:space="preserve">The </w:t>
      </w:r>
      <w:r w:rsidR="00B2503B">
        <w:rPr>
          <w:lang w:val="en-US"/>
        </w:rPr>
        <w:t xml:space="preserve">copies of the agreements in the </w:t>
      </w:r>
      <w:r w:rsidR="0094567C">
        <w:rPr>
          <w:lang w:val="en-US"/>
        </w:rPr>
        <w:t>appeal record are</w:t>
      </w:r>
      <w:r w:rsidR="00B2503B">
        <w:rPr>
          <w:lang w:val="en-US"/>
        </w:rPr>
        <w:t xml:space="preserve"> </w:t>
      </w:r>
      <w:r w:rsidR="008E0EE5">
        <w:rPr>
          <w:lang w:val="en-US"/>
        </w:rPr>
        <w:t xml:space="preserve">unclear and </w:t>
      </w:r>
      <w:r w:rsidR="00B2503B">
        <w:rPr>
          <w:lang w:val="en-US"/>
        </w:rPr>
        <w:t>illegible</w:t>
      </w:r>
      <w:r w:rsidR="008E0EE5">
        <w:rPr>
          <w:lang w:val="en-US"/>
        </w:rPr>
        <w:t xml:space="preserve"> in various respects</w:t>
      </w:r>
      <w:r w:rsidR="00B2503B">
        <w:rPr>
          <w:lang w:val="en-US"/>
        </w:rPr>
        <w:t xml:space="preserve">, specifically in relation to the manuscript details of the addresses on the </w:t>
      </w:r>
      <w:r w:rsidR="00F22A71">
        <w:rPr>
          <w:lang w:val="en-US"/>
        </w:rPr>
        <w:t>guarantees.</w:t>
      </w:r>
      <w:r w:rsidR="0094567C">
        <w:rPr>
          <w:lang w:val="en-US"/>
        </w:rPr>
        <w:t xml:space="preserve"> The copies of the master rental agreements are also poor and difficult to read.</w:t>
      </w:r>
    </w:p>
    <w:p w:rsidR="0094567C" w:rsidRDefault="0094567C" w:rsidP="0094567C">
      <w:pPr>
        <w:pStyle w:val="level1"/>
        <w:spacing w:after="480" w:line="360" w:lineRule="auto"/>
        <w:ind w:left="0" w:firstLine="0"/>
        <w:jc w:val="both"/>
        <w:rPr>
          <w:lang w:val="en-US"/>
        </w:rPr>
      </w:pPr>
      <w:r>
        <w:rPr>
          <w:lang w:val="en-US"/>
        </w:rPr>
        <w:t xml:space="preserve">On this issue, the court </w:t>
      </w:r>
      <w:r w:rsidRPr="0094567C">
        <w:rPr>
          <w:i/>
          <w:lang w:val="en-US"/>
        </w:rPr>
        <w:t xml:space="preserve">a quo </w:t>
      </w:r>
      <w:r>
        <w:rPr>
          <w:lang w:val="en-US"/>
        </w:rPr>
        <w:t>held: “</w:t>
      </w:r>
    </w:p>
    <w:p w:rsidR="0094567C" w:rsidRPr="00743128" w:rsidRDefault="0094567C" w:rsidP="0094567C">
      <w:pPr>
        <w:pStyle w:val="level1"/>
        <w:numPr>
          <w:ilvl w:val="0"/>
          <w:numId w:val="0"/>
        </w:numPr>
        <w:spacing w:after="480"/>
        <w:jc w:val="both"/>
        <w:rPr>
          <w:i/>
          <w:sz w:val="20"/>
          <w:szCs w:val="20"/>
          <w:lang w:val="en-US"/>
        </w:rPr>
      </w:pPr>
      <w:r w:rsidRPr="00743128">
        <w:rPr>
          <w:i/>
          <w:sz w:val="20"/>
          <w:szCs w:val="20"/>
          <w:lang w:val="en-US"/>
        </w:rPr>
        <w:t>”I should add that it is, in any event, not clear to me that domicilia citandi et executandi had been inserted in each of the guarantees. The manuscript details of the address on the first guarantee…are illegible. In the case of the second guarantee</w:t>
      </w:r>
      <w:r>
        <w:rPr>
          <w:i/>
          <w:sz w:val="20"/>
          <w:szCs w:val="20"/>
          <w:lang w:val="en-US"/>
        </w:rPr>
        <w:t xml:space="preserve"> dated 30 July 2018</w:t>
      </w:r>
      <w:r w:rsidRPr="00743128">
        <w:rPr>
          <w:i/>
          <w:sz w:val="20"/>
          <w:szCs w:val="20"/>
          <w:lang w:val="en-US"/>
        </w:rPr>
        <w:t>…the manuscript details are so illegible that it is not clear whether any address has been inserted. In the case of the third guarantee…</w:t>
      </w:r>
      <w:r>
        <w:rPr>
          <w:i/>
          <w:sz w:val="20"/>
          <w:szCs w:val="20"/>
          <w:lang w:val="en-US"/>
        </w:rPr>
        <w:t xml:space="preserve">dated 29 August 2018, </w:t>
      </w:r>
      <w:r w:rsidRPr="00743128">
        <w:rPr>
          <w:i/>
          <w:sz w:val="20"/>
          <w:szCs w:val="20"/>
          <w:lang w:val="en-US"/>
        </w:rPr>
        <w:t xml:space="preserve">as far as I can see, no address has been inserted. </w:t>
      </w:r>
    </w:p>
    <w:p w:rsidR="0094567C" w:rsidRDefault="0094567C" w:rsidP="0094567C">
      <w:pPr>
        <w:pStyle w:val="level1"/>
        <w:spacing w:after="480" w:line="360" w:lineRule="auto"/>
        <w:ind w:left="0" w:firstLine="0"/>
        <w:jc w:val="both"/>
        <w:rPr>
          <w:lang w:val="en-US"/>
        </w:rPr>
      </w:pPr>
      <w:r>
        <w:rPr>
          <w:lang w:val="en-US"/>
        </w:rPr>
        <w:t xml:space="preserve">The court </w:t>
      </w:r>
      <w:r w:rsidRPr="0094567C">
        <w:rPr>
          <w:i/>
          <w:lang w:val="en-US"/>
        </w:rPr>
        <w:t>a quo</w:t>
      </w:r>
      <w:r>
        <w:rPr>
          <w:lang w:val="en-US"/>
        </w:rPr>
        <w:t xml:space="preserve"> nevertheless </w:t>
      </w:r>
      <w:r w:rsidR="00BE7AE7">
        <w:rPr>
          <w:lang w:val="en-US"/>
        </w:rPr>
        <w:t>concluded</w:t>
      </w:r>
      <w:r>
        <w:rPr>
          <w:lang w:val="en-US"/>
        </w:rPr>
        <w:t xml:space="preserve">: </w:t>
      </w:r>
    </w:p>
    <w:p w:rsidR="0094567C" w:rsidRPr="00743128" w:rsidRDefault="0094567C" w:rsidP="0094567C">
      <w:pPr>
        <w:pStyle w:val="level1"/>
        <w:numPr>
          <w:ilvl w:val="0"/>
          <w:numId w:val="0"/>
        </w:numPr>
        <w:spacing w:after="480"/>
        <w:jc w:val="both"/>
        <w:rPr>
          <w:i/>
          <w:sz w:val="20"/>
          <w:szCs w:val="20"/>
          <w:lang w:val="en-US"/>
        </w:rPr>
      </w:pPr>
      <w:r w:rsidRPr="00743128">
        <w:rPr>
          <w:i/>
          <w:sz w:val="20"/>
          <w:szCs w:val="20"/>
          <w:lang w:val="en-US"/>
        </w:rPr>
        <w:t xml:space="preserve">“Given that I have found that the applicants have not shown that the defence raised is bona fide, it </w:t>
      </w:r>
      <w:r>
        <w:rPr>
          <w:i/>
          <w:sz w:val="20"/>
          <w:szCs w:val="20"/>
          <w:lang w:val="en-US"/>
        </w:rPr>
        <w:t>f</w:t>
      </w:r>
      <w:r w:rsidRPr="00743128">
        <w:rPr>
          <w:i/>
          <w:sz w:val="20"/>
          <w:szCs w:val="20"/>
          <w:lang w:val="en-US"/>
        </w:rPr>
        <w:t xml:space="preserve">ollows that the respondents were entitled to serve the combined summons on the first applicant at the chosen domicilia citandi et executandi. Consequently, the default judgment granted is not void ab origine as contended by the applicants. Furthermore, with regard to the service of the summons on the second applicant, insofar as there may have been service at an incorrect address, this is, in my view, no reason for me to exercise any discretion in favour of the applicants given my finding that a bona fide defence has not been shown””. </w:t>
      </w:r>
    </w:p>
    <w:p w:rsidR="00192733" w:rsidRDefault="00812B71" w:rsidP="003E4474">
      <w:pPr>
        <w:pStyle w:val="level1"/>
        <w:spacing w:after="480" w:line="360" w:lineRule="auto"/>
        <w:ind w:left="0" w:firstLine="0"/>
        <w:jc w:val="both"/>
        <w:rPr>
          <w:lang w:val="en-US"/>
        </w:rPr>
      </w:pPr>
      <w:r>
        <w:rPr>
          <w:lang w:val="en-US"/>
        </w:rPr>
        <w:t>The appellants argued that</w:t>
      </w:r>
      <w:r w:rsidR="0094567C">
        <w:rPr>
          <w:lang w:val="en-US"/>
        </w:rPr>
        <w:t xml:space="preserve"> the default judgment should be rescinded in terms of r 42(1)(a) considering the service issues</w:t>
      </w:r>
      <w:r w:rsidR="006765A2">
        <w:rPr>
          <w:lang w:val="en-US"/>
        </w:rPr>
        <w:t xml:space="preserve"> already referred to</w:t>
      </w:r>
      <w:r w:rsidR="0094567C">
        <w:rPr>
          <w:lang w:val="en-US"/>
        </w:rPr>
        <w:t xml:space="preserve">. It was further argued that the appellants have, </w:t>
      </w:r>
      <w:r>
        <w:rPr>
          <w:lang w:val="en-US"/>
        </w:rPr>
        <w:t>in any event, illustrated good cause for rescission and illustrated, first, that they were not in wilful default and second, a valid and bona fide defence to the respondents’ claims</w:t>
      </w:r>
      <w:r w:rsidR="0094567C">
        <w:rPr>
          <w:lang w:val="en-US"/>
        </w:rPr>
        <w:t xml:space="preserve"> under r 31(2)(b)</w:t>
      </w:r>
      <w:r>
        <w:rPr>
          <w:lang w:val="en-US"/>
        </w:rPr>
        <w:t>.</w:t>
      </w:r>
    </w:p>
    <w:p w:rsidR="00FD221C" w:rsidRDefault="0094567C" w:rsidP="0094567C">
      <w:pPr>
        <w:pStyle w:val="level1"/>
        <w:spacing w:after="480" w:line="360" w:lineRule="auto"/>
        <w:ind w:left="0" w:firstLine="0"/>
        <w:jc w:val="both"/>
        <w:rPr>
          <w:lang w:val="en-US"/>
        </w:rPr>
      </w:pPr>
      <w:r>
        <w:rPr>
          <w:lang w:val="en-US"/>
        </w:rPr>
        <w:lastRenderedPageBreak/>
        <w:t xml:space="preserve">For purposes of a rescission under </w:t>
      </w:r>
      <w:r w:rsidR="00FD221C">
        <w:rPr>
          <w:lang w:val="en-US"/>
        </w:rPr>
        <w:t>r</w:t>
      </w:r>
      <w:r>
        <w:rPr>
          <w:lang w:val="en-US"/>
        </w:rPr>
        <w:t xml:space="preserve"> 42(1)(a), if there is a procedural defect in the judgment it is not a requirement for an applicant for rescission to show good cause</w:t>
      </w:r>
      <w:r>
        <w:rPr>
          <w:rStyle w:val="FootnoteReference"/>
          <w:lang w:val="en-US"/>
        </w:rPr>
        <w:footnoteReference w:id="2"/>
      </w:r>
      <w:r>
        <w:rPr>
          <w:lang w:val="en-US"/>
        </w:rPr>
        <w:t>. Service at an incorrect address would constitute such procedural defect</w:t>
      </w:r>
      <w:r w:rsidR="000A56F1">
        <w:rPr>
          <w:lang w:val="en-US"/>
        </w:rPr>
        <w:t xml:space="preserve"> and would illustrate that the judgment was erroneously granted in the absence of the appellants</w:t>
      </w:r>
      <w:r>
        <w:rPr>
          <w:lang w:val="en-US"/>
        </w:rPr>
        <w:t xml:space="preserve">. </w:t>
      </w:r>
    </w:p>
    <w:p w:rsidR="0094567C" w:rsidRPr="00DC4BBF" w:rsidRDefault="0094567C" w:rsidP="00EF7370">
      <w:pPr>
        <w:pStyle w:val="level1"/>
        <w:spacing w:after="480" w:line="360" w:lineRule="auto"/>
        <w:ind w:left="0" w:firstLine="0"/>
        <w:jc w:val="both"/>
        <w:rPr>
          <w:lang w:val="en-US"/>
        </w:rPr>
      </w:pPr>
      <w:r w:rsidRPr="00DC4BBF">
        <w:rPr>
          <w:lang w:val="en-US"/>
        </w:rPr>
        <w:t xml:space="preserve">If the appellants’ defence </w:t>
      </w:r>
      <w:r w:rsidR="00FD221C" w:rsidRPr="00DC4BBF">
        <w:rPr>
          <w:lang w:val="en-US"/>
        </w:rPr>
        <w:t xml:space="preserve">that the agreements were not signed by the second appellant and were fraudulent </w:t>
      </w:r>
      <w:r w:rsidRPr="00DC4BBF">
        <w:rPr>
          <w:lang w:val="en-US"/>
        </w:rPr>
        <w:t xml:space="preserve">is thus established at trial, </w:t>
      </w:r>
      <w:r w:rsidR="00FD221C" w:rsidRPr="00DC4BBF">
        <w:rPr>
          <w:lang w:val="en-US"/>
        </w:rPr>
        <w:t xml:space="preserve">the respondents did not establish that the appellants had chosen the service addresses as </w:t>
      </w:r>
      <w:r w:rsidR="00FD221C" w:rsidRPr="00DC4BBF">
        <w:rPr>
          <w:i/>
          <w:lang w:val="en-US"/>
        </w:rPr>
        <w:t xml:space="preserve">domilicia citandi et executandi </w:t>
      </w:r>
      <w:r w:rsidR="00FD221C" w:rsidRPr="00DC4BBF">
        <w:rPr>
          <w:lang w:val="en-US"/>
        </w:rPr>
        <w:t xml:space="preserve">and </w:t>
      </w:r>
      <w:r w:rsidRPr="00DC4BBF">
        <w:rPr>
          <w:lang w:val="en-US"/>
        </w:rPr>
        <w:t xml:space="preserve">service of the summons on them </w:t>
      </w:r>
      <w:r w:rsidR="00FD221C" w:rsidRPr="00DC4BBF">
        <w:rPr>
          <w:lang w:val="en-US"/>
        </w:rPr>
        <w:t>was not proper service.</w:t>
      </w:r>
      <w:r w:rsidRPr="00DC4BBF">
        <w:rPr>
          <w:lang w:val="en-US"/>
        </w:rPr>
        <w:t xml:space="preserve"> </w:t>
      </w:r>
      <w:r w:rsidR="00FD221C" w:rsidRPr="00DC4BBF">
        <w:rPr>
          <w:lang w:val="en-US"/>
        </w:rPr>
        <w:t>Moreover, t</w:t>
      </w:r>
      <w:r w:rsidR="006765A2" w:rsidRPr="00DC4BBF">
        <w:rPr>
          <w:lang w:val="en-US"/>
        </w:rPr>
        <w:t xml:space="preserve">wo of the guarantees did not contain any </w:t>
      </w:r>
      <w:r w:rsidR="006765A2" w:rsidRPr="00DC4BBF">
        <w:rPr>
          <w:i/>
          <w:lang w:val="en-US"/>
        </w:rPr>
        <w:t>domicilium</w:t>
      </w:r>
      <w:r w:rsidR="006765A2" w:rsidRPr="00DC4BBF">
        <w:rPr>
          <w:lang w:val="en-US"/>
        </w:rPr>
        <w:t xml:space="preserve"> addresses and in relation of those claims against the second appellant, there was no proper service on him. </w:t>
      </w:r>
      <w:r w:rsidR="00FD221C" w:rsidRPr="00DC4BBF">
        <w:rPr>
          <w:lang w:val="en-US"/>
        </w:rPr>
        <w:t xml:space="preserve">In relation to those claims at least, </w:t>
      </w:r>
      <w:r w:rsidR="00722519" w:rsidRPr="00DC4BBF">
        <w:rPr>
          <w:lang w:val="en-US"/>
        </w:rPr>
        <w:t xml:space="preserve">it must be concluded that the </w:t>
      </w:r>
      <w:r w:rsidR="00BE7AE7" w:rsidRPr="00DC4BBF">
        <w:rPr>
          <w:lang w:val="en-US"/>
        </w:rPr>
        <w:t xml:space="preserve">default judgment was erroneously granted in the absence of the appellants and the </w:t>
      </w:r>
      <w:r w:rsidR="00DC4BBF">
        <w:rPr>
          <w:lang w:val="en-US"/>
        </w:rPr>
        <w:t xml:space="preserve">default </w:t>
      </w:r>
      <w:r w:rsidR="00BE7AE7" w:rsidRPr="00DC4BBF">
        <w:rPr>
          <w:lang w:val="en-US"/>
        </w:rPr>
        <w:t>judgment falls to be rescinded under r 42</w:t>
      </w:r>
      <w:r w:rsidRPr="00DC4BBF">
        <w:rPr>
          <w:lang w:val="en-US"/>
        </w:rPr>
        <w:t>(1)(a)</w:t>
      </w:r>
      <w:r w:rsidR="00BE7AE7">
        <w:rPr>
          <w:rStyle w:val="FootnoteReference"/>
          <w:lang w:val="en-US"/>
        </w:rPr>
        <w:footnoteReference w:id="3"/>
      </w:r>
      <w:r w:rsidRPr="00DC4BBF">
        <w:rPr>
          <w:lang w:val="en-US"/>
        </w:rPr>
        <w:t>.</w:t>
      </w:r>
    </w:p>
    <w:p w:rsidR="00BE7AE7" w:rsidRDefault="007815F7" w:rsidP="00142A26">
      <w:pPr>
        <w:pStyle w:val="level1"/>
        <w:spacing w:after="480" w:line="360" w:lineRule="auto"/>
        <w:ind w:left="0" w:firstLine="0"/>
        <w:jc w:val="both"/>
        <w:rPr>
          <w:lang w:val="en-US"/>
        </w:rPr>
      </w:pPr>
      <w:r>
        <w:rPr>
          <w:lang w:val="en-US"/>
        </w:rPr>
        <w:t>Considering the requirements of a rescission application under r 31(2)(</w:t>
      </w:r>
      <w:r w:rsidR="008E0EE5">
        <w:rPr>
          <w:lang w:val="en-US"/>
        </w:rPr>
        <w:t>b</w:t>
      </w:r>
      <w:r>
        <w:rPr>
          <w:lang w:val="en-US"/>
        </w:rPr>
        <w:t>)</w:t>
      </w:r>
      <w:r w:rsidR="00E01E88">
        <w:rPr>
          <w:lang w:val="en-US"/>
        </w:rPr>
        <w:t xml:space="preserve">, </w:t>
      </w:r>
      <w:r w:rsidR="008E0EE5">
        <w:rPr>
          <w:lang w:val="en-US"/>
        </w:rPr>
        <w:t>t</w:t>
      </w:r>
      <w:r w:rsidR="00722519">
        <w:rPr>
          <w:lang w:val="en-US"/>
        </w:rPr>
        <w:t xml:space="preserve">he </w:t>
      </w:r>
      <w:r w:rsidR="00DC4BBF">
        <w:rPr>
          <w:lang w:val="en-US"/>
        </w:rPr>
        <w:t>issues raised by the appellants</w:t>
      </w:r>
      <w:r w:rsidR="00722519">
        <w:rPr>
          <w:lang w:val="en-US"/>
        </w:rPr>
        <w:t xml:space="preserve"> pertaining to the service illustrate that it cannot be concluded that the appellants were in wilful default of opposing the action</w:t>
      </w:r>
      <w:r w:rsidR="00722519">
        <w:rPr>
          <w:rStyle w:val="FootnoteReference"/>
          <w:lang w:val="en-US"/>
        </w:rPr>
        <w:footnoteReference w:id="4"/>
      </w:r>
      <w:r w:rsidR="00722519">
        <w:rPr>
          <w:lang w:val="en-US"/>
        </w:rPr>
        <w:t xml:space="preserve">. </w:t>
      </w:r>
    </w:p>
    <w:p w:rsidR="00E01E88" w:rsidRDefault="008E0EE5" w:rsidP="00E01E88">
      <w:pPr>
        <w:pStyle w:val="level1"/>
        <w:spacing w:after="480" w:line="360" w:lineRule="auto"/>
        <w:ind w:left="0" w:firstLine="0"/>
        <w:jc w:val="both"/>
        <w:rPr>
          <w:lang w:val="en-US"/>
        </w:rPr>
      </w:pPr>
      <w:r>
        <w:rPr>
          <w:lang w:val="en-US"/>
        </w:rPr>
        <w:t>In the rescission application, t</w:t>
      </w:r>
      <w:r w:rsidR="004852BE">
        <w:rPr>
          <w:lang w:val="en-US"/>
        </w:rPr>
        <w:t>he appellants were required to</w:t>
      </w:r>
      <w:r w:rsidR="004852BE" w:rsidRPr="004852BE">
        <w:rPr>
          <w:lang w:val="en-US"/>
        </w:rPr>
        <w:t xml:space="preserve"> make out a </w:t>
      </w:r>
      <w:r w:rsidR="004852BE" w:rsidRPr="002928A6">
        <w:rPr>
          <w:i/>
          <w:lang w:val="en-US"/>
        </w:rPr>
        <w:t>prima facie</w:t>
      </w:r>
      <w:r w:rsidR="004852BE" w:rsidRPr="004852BE">
        <w:rPr>
          <w:lang w:val="en-US"/>
        </w:rPr>
        <w:t xml:space="preserve"> defence in the sense of setting out facts, which if established at trial, would constitute a defence</w:t>
      </w:r>
      <w:r w:rsidR="004852BE">
        <w:rPr>
          <w:lang w:val="en-US"/>
        </w:rPr>
        <w:t>. They</w:t>
      </w:r>
      <w:r w:rsidR="004852BE" w:rsidRPr="004852BE">
        <w:rPr>
          <w:lang w:val="en-US"/>
        </w:rPr>
        <w:t xml:space="preserve"> need not fully deal with the merits of the case and produce evidence that the probabilities are actually in </w:t>
      </w:r>
      <w:r w:rsidR="004852BE">
        <w:rPr>
          <w:lang w:val="en-US"/>
        </w:rPr>
        <w:t>their</w:t>
      </w:r>
      <w:r w:rsidR="004852BE" w:rsidRPr="004852BE">
        <w:rPr>
          <w:lang w:val="en-US"/>
        </w:rPr>
        <w:t xml:space="preserve"> favour.</w:t>
      </w:r>
      <w:r w:rsidR="004852BE">
        <w:rPr>
          <w:rStyle w:val="FootnoteReference"/>
          <w:lang w:val="en-US"/>
        </w:rPr>
        <w:footnoteReference w:id="5"/>
      </w:r>
      <w:r w:rsidR="00E01E88">
        <w:rPr>
          <w:lang w:val="en-US"/>
        </w:rPr>
        <w:t xml:space="preserve"> </w:t>
      </w:r>
    </w:p>
    <w:p w:rsidR="002E00B9" w:rsidRDefault="008E0EE5" w:rsidP="00E01E88">
      <w:pPr>
        <w:pStyle w:val="level1"/>
        <w:spacing w:after="480" w:line="360" w:lineRule="auto"/>
        <w:ind w:left="0" w:firstLine="0"/>
        <w:jc w:val="both"/>
        <w:rPr>
          <w:lang w:val="en-US"/>
        </w:rPr>
      </w:pPr>
      <w:r>
        <w:rPr>
          <w:lang w:val="en-US"/>
        </w:rPr>
        <w:lastRenderedPageBreak/>
        <w:t>I</w:t>
      </w:r>
      <w:r w:rsidR="00E01E88" w:rsidRPr="004852BE">
        <w:rPr>
          <w:lang w:val="en-US"/>
        </w:rPr>
        <w:t xml:space="preserve">f the appellants were to establish that the signatures which appear on the agreements on which the respondents rely were indeed fraudulent, it would </w:t>
      </w:r>
      <w:r w:rsidR="00E01E88">
        <w:rPr>
          <w:lang w:val="en-US"/>
        </w:rPr>
        <w:t xml:space="preserve">vitiate the agreements and </w:t>
      </w:r>
      <w:r w:rsidR="00E01E88" w:rsidRPr="004852BE">
        <w:rPr>
          <w:lang w:val="en-US"/>
        </w:rPr>
        <w:t>constitute a complete defence to the respondents’ claims.</w:t>
      </w:r>
      <w:r w:rsidR="00E01E88" w:rsidRPr="00E01E88">
        <w:rPr>
          <w:lang w:val="en-US"/>
        </w:rPr>
        <w:t xml:space="preserve"> </w:t>
      </w:r>
    </w:p>
    <w:p w:rsidR="00055C9E" w:rsidRDefault="002E00B9" w:rsidP="00055C9E">
      <w:pPr>
        <w:pStyle w:val="level1"/>
        <w:spacing w:after="480" w:line="360" w:lineRule="auto"/>
        <w:ind w:left="0" w:firstLine="0"/>
        <w:jc w:val="both"/>
        <w:rPr>
          <w:lang w:val="en-US"/>
        </w:rPr>
      </w:pPr>
      <w:r w:rsidRPr="00055C9E">
        <w:rPr>
          <w:lang w:val="en-US"/>
        </w:rPr>
        <w:t xml:space="preserve">The respondents relied on </w:t>
      </w:r>
      <w:r w:rsidRPr="00055C9E">
        <w:rPr>
          <w:i/>
          <w:lang w:val="en-US"/>
        </w:rPr>
        <w:t>Odendaal v Ferraris</w:t>
      </w:r>
      <w:r>
        <w:rPr>
          <w:rStyle w:val="FootnoteReference"/>
          <w:lang w:val="en-US"/>
        </w:rPr>
        <w:footnoteReference w:id="6"/>
      </w:r>
      <w:r w:rsidRPr="00055C9E">
        <w:rPr>
          <w:lang w:val="en-US"/>
        </w:rPr>
        <w:t xml:space="preserve"> in arguing that the appellants relied on fraud in vague and unspecific terms and failed to set out all the facts which underpin the alleged fraud in clear and specific terms. </w:t>
      </w:r>
      <w:r w:rsidR="00055C9E">
        <w:rPr>
          <w:lang w:val="en-US"/>
        </w:rPr>
        <w:t>The arguments advanced by the respondents, are predicated on the contention that the appellants’ version is improbable and stated in vague and ambiguous terms, thus lacking bona fides.</w:t>
      </w:r>
    </w:p>
    <w:p w:rsidR="002E00B9" w:rsidRPr="00055C9E" w:rsidRDefault="00E01E88" w:rsidP="00DB0C60">
      <w:pPr>
        <w:pStyle w:val="level1"/>
        <w:spacing w:after="480" w:line="360" w:lineRule="auto"/>
        <w:ind w:left="0" w:firstLine="0"/>
        <w:jc w:val="both"/>
        <w:rPr>
          <w:lang w:val="en-US"/>
        </w:rPr>
      </w:pPr>
      <w:r w:rsidRPr="00055C9E">
        <w:rPr>
          <w:lang w:val="en-US"/>
        </w:rPr>
        <w:t xml:space="preserve">Although the appellants did not meaningfully deal with various of the averments made by the respondents in their answering affidavits, </w:t>
      </w:r>
      <w:r w:rsidR="002E00B9" w:rsidRPr="00055C9E">
        <w:rPr>
          <w:lang w:val="en-US"/>
        </w:rPr>
        <w:t xml:space="preserve">and no confirmatory affidavit was produced by the second appellant’s wife who was involved in running the business conducted by the first appellant, </w:t>
      </w:r>
      <w:r w:rsidR="00055C9E" w:rsidRPr="00055C9E">
        <w:rPr>
          <w:lang w:val="en-US"/>
        </w:rPr>
        <w:t>i</w:t>
      </w:r>
      <w:r w:rsidR="002E00B9" w:rsidRPr="00055C9E">
        <w:rPr>
          <w:lang w:val="en-US"/>
        </w:rPr>
        <w:t xml:space="preserve">t is not the duty of this court to </w:t>
      </w:r>
      <w:r w:rsidR="00AF77E2">
        <w:rPr>
          <w:lang w:val="en-US"/>
        </w:rPr>
        <w:t xml:space="preserve">fully </w:t>
      </w:r>
      <w:r w:rsidR="002E00B9" w:rsidRPr="00055C9E">
        <w:rPr>
          <w:lang w:val="en-US"/>
        </w:rPr>
        <w:t>evaluate the merits of the appellants</w:t>
      </w:r>
      <w:r w:rsidR="00055C9E">
        <w:rPr>
          <w:lang w:val="en-US"/>
        </w:rPr>
        <w:t>’</w:t>
      </w:r>
      <w:r w:rsidR="002E00B9" w:rsidRPr="00055C9E">
        <w:rPr>
          <w:lang w:val="en-US"/>
        </w:rPr>
        <w:t xml:space="preserve"> defence or determine the ultimate success of such defence on the probabilities.</w:t>
      </w:r>
      <w:r w:rsidR="009375B9">
        <w:rPr>
          <w:lang w:val="en-US"/>
        </w:rPr>
        <w:t xml:space="preserve"> It is sufficient for the appellants to illustrate that their defence </w:t>
      </w:r>
      <w:r w:rsidR="009375B9" w:rsidRPr="00AF77E2">
        <w:rPr>
          <w:i/>
          <w:lang w:val="en-US"/>
        </w:rPr>
        <w:t>prima facie</w:t>
      </w:r>
      <w:r w:rsidR="009375B9">
        <w:rPr>
          <w:lang w:val="en-US"/>
        </w:rPr>
        <w:t xml:space="preserve"> has some prospects of success and to illustrate the existence of a triable issue</w:t>
      </w:r>
      <w:r w:rsidR="009375B9">
        <w:rPr>
          <w:rStyle w:val="FootnoteReference"/>
          <w:lang w:val="en-US"/>
        </w:rPr>
        <w:footnoteReference w:id="7"/>
      </w:r>
      <w:r w:rsidR="009375B9">
        <w:rPr>
          <w:lang w:val="en-US"/>
        </w:rPr>
        <w:t>.</w:t>
      </w:r>
    </w:p>
    <w:p w:rsidR="002E02EE" w:rsidRPr="0094567C" w:rsidRDefault="0094567C" w:rsidP="00F63BD6">
      <w:pPr>
        <w:pStyle w:val="level1"/>
        <w:spacing w:after="480" w:line="360" w:lineRule="auto"/>
        <w:ind w:left="0" w:firstLine="0"/>
        <w:jc w:val="both"/>
        <w:rPr>
          <w:lang w:val="en-US"/>
        </w:rPr>
      </w:pPr>
      <w:r w:rsidRPr="0094567C">
        <w:rPr>
          <w:lang w:val="en-US"/>
        </w:rPr>
        <w:t xml:space="preserve">It is apposite to refer to </w:t>
      </w:r>
      <w:r w:rsidR="0052002B" w:rsidRPr="0094567C">
        <w:rPr>
          <w:i/>
          <w:lang w:val="en-US"/>
        </w:rPr>
        <w:t>RGS Properties (Pty) Ltd v eThekwini Municipality</w:t>
      </w:r>
      <w:r w:rsidR="0052002B" w:rsidRPr="0094567C">
        <w:rPr>
          <w:lang w:val="en-US"/>
        </w:rPr>
        <w:t xml:space="preserve"> </w:t>
      </w:r>
      <w:r w:rsidR="0052002B">
        <w:rPr>
          <w:rStyle w:val="FootnoteReference"/>
          <w:lang w:val="en-US"/>
        </w:rPr>
        <w:footnoteReference w:id="8"/>
      </w:r>
      <w:r>
        <w:rPr>
          <w:lang w:val="en-US"/>
        </w:rPr>
        <w:t xml:space="preserve">, wherein it was </w:t>
      </w:r>
      <w:r w:rsidR="00DC4BBF">
        <w:rPr>
          <w:lang w:val="en-US"/>
        </w:rPr>
        <w:t>held</w:t>
      </w:r>
      <w:r w:rsidR="002E02EE" w:rsidRPr="0094567C">
        <w:rPr>
          <w:lang w:val="en-US"/>
        </w:rPr>
        <w:t>:</w:t>
      </w:r>
    </w:p>
    <w:p w:rsidR="0052002B" w:rsidRPr="002E02EE" w:rsidRDefault="002E02EE" w:rsidP="0094567C">
      <w:pPr>
        <w:pStyle w:val="level1"/>
        <w:numPr>
          <w:ilvl w:val="0"/>
          <w:numId w:val="0"/>
        </w:numPr>
        <w:spacing w:after="480"/>
        <w:jc w:val="both"/>
        <w:rPr>
          <w:i/>
          <w:sz w:val="20"/>
          <w:szCs w:val="20"/>
          <w:lang w:val="en-US"/>
        </w:rPr>
      </w:pPr>
      <w:r w:rsidRPr="002E02EE">
        <w:rPr>
          <w:i/>
          <w:sz w:val="20"/>
          <w:szCs w:val="20"/>
          <w:lang w:val="en-US"/>
        </w:rPr>
        <w:t>“</w:t>
      </w:r>
      <w:r w:rsidR="0094567C">
        <w:rPr>
          <w:i/>
          <w:sz w:val="20"/>
          <w:szCs w:val="20"/>
          <w:lang w:val="en-US"/>
        </w:rPr>
        <w:t>T</w:t>
      </w:r>
      <w:r w:rsidRPr="002E02EE">
        <w:rPr>
          <w:i/>
          <w:sz w:val="20"/>
          <w:szCs w:val="20"/>
          <w:lang w:val="en-US"/>
        </w:rPr>
        <w:t>herefore, in my view, in weighing up facts for rescission, the court must on the one hand balance the need of an individual who is entitled to have access to court, and to have his or her dispute resolved in a fair public hearing, against those facts which led to the default judgment being granted in the first instance. In its deliberation the court will no doubt be mindful, especially when assessing the requirement of reasonable cause being shown, that while amongst others</w:t>
      </w:r>
      <w:r>
        <w:rPr>
          <w:i/>
          <w:sz w:val="20"/>
          <w:szCs w:val="20"/>
          <w:lang w:val="en-US"/>
        </w:rPr>
        <w:t xml:space="preserve"> </w:t>
      </w:r>
      <w:r w:rsidRPr="002E02EE">
        <w:rPr>
          <w:i/>
          <w:sz w:val="20"/>
          <w:szCs w:val="20"/>
          <w:lang w:val="en-US"/>
        </w:rPr>
        <w:t>thi</w:t>
      </w:r>
      <w:r>
        <w:rPr>
          <w:i/>
          <w:sz w:val="20"/>
          <w:szCs w:val="20"/>
          <w:lang w:val="en-US"/>
        </w:rPr>
        <w:t>s</w:t>
      </w:r>
      <w:r w:rsidRPr="002E02EE">
        <w:rPr>
          <w:i/>
          <w:sz w:val="20"/>
          <w:szCs w:val="20"/>
          <w:lang w:val="en-US"/>
        </w:rPr>
        <w:t xml:space="preserve"> requirement incorporates showing the existence of a bona fide defence, the court is not seized with the duty to evaluate the merits of such defence. The fact that the court may be in doubt about the prospects of the defence to be advanced, is not a good reason why the application should not be granted. That said however, the nature of the defence advanced must not be such that it</w:t>
      </w:r>
      <w:r>
        <w:rPr>
          <w:i/>
          <w:sz w:val="20"/>
          <w:szCs w:val="20"/>
          <w:lang w:val="en-US"/>
        </w:rPr>
        <w:t xml:space="preserve"> </w:t>
      </w:r>
      <w:r w:rsidRPr="002E02EE">
        <w:rPr>
          <w:i/>
          <w:sz w:val="20"/>
          <w:szCs w:val="20"/>
          <w:lang w:val="en-US"/>
        </w:rPr>
        <w:t>prima facie amounts to nothing more than a delaying tactic on the part of the applicant</w:t>
      </w:r>
      <w:r>
        <w:rPr>
          <w:i/>
          <w:sz w:val="20"/>
          <w:szCs w:val="20"/>
          <w:lang w:val="en-US"/>
        </w:rPr>
        <w:t>”</w:t>
      </w:r>
      <w:r w:rsidRPr="002E02EE">
        <w:rPr>
          <w:i/>
          <w:sz w:val="20"/>
          <w:szCs w:val="20"/>
          <w:lang w:val="en-US"/>
        </w:rPr>
        <w:t>.</w:t>
      </w:r>
    </w:p>
    <w:p w:rsidR="00BE7AE7" w:rsidRPr="009F2385" w:rsidRDefault="008E0EE5" w:rsidP="00CA747F">
      <w:pPr>
        <w:pStyle w:val="level1"/>
        <w:spacing w:after="480" w:line="360" w:lineRule="auto"/>
        <w:ind w:left="0" w:firstLine="0"/>
        <w:jc w:val="both"/>
        <w:rPr>
          <w:lang w:val="en-US"/>
        </w:rPr>
      </w:pPr>
      <w:r>
        <w:rPr>
          <w:lang w:val="en-US"/>
        </w:rPr>
        <w:lastRenderedPageBreak/>
        <w:t>The signature of the agreements by the second appellant, both on his own behalf and on behalf of the first appellant is expressly denied</w:t>
      </w:r>
      <w:r w:rsidR="006765A2">
        <w:rPr>
          <w:lang w:val="en-US"/>
        </w:rPr>
        <w:t xml:space="preserve"> and it is averred that those signatures are fraudulent</w:t>
      </w:r>
      <w:r>
        <w:rPr>
          <w:lang w:val="en-US"/>
        </w:rPr>
        <w:t xml:space="preserve">. </w:t>
      </w:r>
      <w:r w:rsidR="006765A2" w:rsidRPr="00454BB0">
        <w:rPr>
          <w:i/>
          <w:lang w:val="en-US"/>
        </w:rPr>
        <w:t>Prima facie</w:t>
      </w:r>
      <w:r w:rsidR="006765A2">
        <w:rPr>
          <w:lang w:val="en-US"/>
        </w:rPr>
        <w:t>, t</w:t>
      </w:r>
      <w:r w:rsidR="00055C9E" w:rsidRPr="009F2385">
        <w:rPr>
          <w:lang w:val="en-US"/>
        </w:rPr>
        <w:t xml:space="preserve">he nature of the </w:t>
      </w:r>
      <w:r w:rsidR="009F2385" w:rsidRPr="009F2385">
        <w:rPr>
          <w:lang w:val="en-US"/>
        </w:rPr>
        <w:t xml:space="preserve">fraud </w:t>
      </w:r>
      <w:r w:rsidR="00055C9E" w:rsidRPr="009F2385">
        <w:rPr>
          <w:lang w:val="en-US"/>
        </w:rPr>
        <w:t xml:space="preserve">defence </w:t>
      </w:r>
      <w:r w:rsidR="009F2385" w:rsidRPr="009F2385">
        <w:rPr>
          <w:lang w:val="en-US"/>
        </w:rPr>
        <w:t xml:space="preserve">raised by the appellants </w:t>
      </w:r>
      <w:r w:rsidR="00055C9E" w:rsidRPr="009F2385">
        <w:rPr>
          <w:lang w:val="en-US"/>
        </w:rPr>
        <w:t xml:space="preserve">is not unsustainable at law and </w:t>
      </w:r>
      <w:r w:rsidR="006765A2">
        <w:rPr>
          <w:lang w:val="en-US"/>
        </w:rPr>
        <w:t xml:space="preserve">a determination of the probabilities and the </w:t>
      </w:r>
      <w:r w:rsidR="009375B9">
        <w:rPr>
          <w:lang w:val="en-US"/>
        </w:rPr>
        <w:t xml:space="preserve">ultimate </w:t>
      </w:r>
      <w:r w:rsidR="006765A2">
        <w:rPr>
          <w:lang w:val="en-US"/>
        </w:rPr>
        <w:t>prospects of success of that defence at this stage is not appropriate. I</w:t>
      </w:r>
      <w:r w:rsidR="00055C9E" w:rsidRPr="009F2385">
        <w:rPr>
          <w:lang w:val="en-US"/>
        </w:rPr>
        <w:t xml:space="preserve">t cannot </w:t>
      </w:r>
      <w:r w:rsidR="009F2385" w:rsidRPr="009F2385">
        <w:rPr>
          <w:lang w:val="en-US"/>
        </w:rPr>
        <w:t xml:space="preserve">in these proceedings </w:t>
      </w:r>
      <w:r w:rsidR="00055C9E" w:rsidRPr="009F2385">
        <w:rPr>
          <w:lang w:val="en-US"/>
        </w:rPr>
        <w:t xml:space="preserve">be concluded that </w:t>
      </w:r>
      <w:r w:rsidR="009F2385" w:rsidRPr="009F2385">
        <w:rPr>
          <w:lang w:val="en-US"/>
        </w:rPr>
        <w:t>the appellants’ averments lack bona fides</w:t>
      </w:r>
      <w:r w:rsidR="009375B9">
        <w:rPr>
          <w:lang w:val="en-US"/>
        </w:rPr>
        <w:t xml:space="preserve"> or that no triable issue is raised</w:t>
      </w:r>
      <w:r w:rsidR="00C16032">
        <w:rPr>
          <w:lang w:val="en-US"/>
        </w:rPr>
        <w:t xml:space="preserve"> with some prospects of success</w:t>
      </w:r>
      <w:r w:rsidR="00055C9E" w:rsidRPr="009F2385">
        <w:rPr>
          <w:lang w:val="en-US"/>
        </w:rPr>
        <w:t>.</w:t>
      </w:r>
      <w:r w:rsidR="009F2385" w:rsidRPr="009F2385">
        <w:rPr>
          <w:lang w:val="en-US"/>
        </w:rPr>
        <w:t xml:space="preserve"> </w:t>
      </w:r>
    </w:p>
    <w:p w:rsidR="00BE7AE7" w:rsidRPr="007815F7" w:rsidRDefault="009F2385" w:rsidP="00B539DA">
      <w:pPr>
        <w:pStyle w:val="level1"/>
        <w:spacing w:after="480" w:line="360" w:lineRule="auto"/>
        <w:ind w:left="0" w:firstLine="0"/>
        <w:jc w:val="both"/>
        <w:rPr>
          <w:lang w:val="en-US"/>
        </w:rPr>
      </w:pPr>
      <w:r>
        <w:rPr>
          <w:lang w:val="en-US"/>
        </w:rPr>
        <w:t>For these reasons i</w:t>
      </w:r>
      <w:r w:rsidR="007815F7" w:rsidRPr="007815F7">
        <w:rPr>
          <w:lang w:val="en-US"/>
        </w:rPr>
        <w:t>t is concluded that the appeal must succeed.</w:t>
      </w:r>
      <w:r w:rsidR="007815F7">
        <w:rPr>
          <w:lang w:val="en-US"/>
        </w:rPr>
        <w:t xml:space="preserve"> </w:t>
      </w:r>
      <w:r w:rsidR="00722519" w:rsidRPr="007815F7">
        <w:rPr>
          <w:lang w:val="en-US"/>
        </w:rPr>
        <w:t xml:space="preserve">It </w:t>
      </w:r>
      <w:r w:rsidR="007815F7" w:rsidRPr="007815F7">
        <w:rPr>
          <w:lang w:val="en-US"/>
        </w:rPr>
        <w:t xml:space="preserve">follows that the referral of the judgment to the Legal Practice Council </w:t>
      </w:r>
      <w:r w:rsidR="007815F7">
        <w:rPr>
          <w:lang w:val="en-US"/>
        </w:rPr>
        <w:t>also falls to be set aside.</w:t>
      </w:r>
    </w:p>
    <w:p w:rsidR="00D56440" w:rsidRDefault="00EE679E" w:rsidP="00D56440">
      <w:pPr>
        <w:pStyle w:val="level1"/>
        <w:spacing w:after="480" w:line="360" w:lineRule="auto"/>
        <w:ind w:left="0" w:firstLine="0"/>
        <w:jc w:val="both"/>
        <w:rPr>
          <w:lang w:val="en-US"/>
        </w:rPr>
      </w:pPr>
      <w:r w:rsidRPr="00F7452C">
        <w:rPr>
          <w:lang w:val="en-US"/>
        </w:rPr>
        <w:t>The normal principle is that costs follow the result. There is no reason to deviate from this principle.</w:t>
      </w:r>
      <w:r>
        <w:rPr>
          <w:lang w:val="en-US"/>
        </w:rPr>
        <w:t xml:space="preserve"> </w:t>
      </w:r>
      <w:r w:rsidR="00ED014F">
        <w:rPr>
          <w:lang w:val="en-US"/>
        </w:rPr>
        <w:t xml:space="preserve">The costs of the application for leave to appeal were reserved. Those costs must follow the result. </w:t>
      </w:r>
      <w:r>
        <w:rPr>
          <w:lang w:val="en-US"/>
        </w:rPr>
        <w:t>The appellants sought the costs of two counsel.</w:t>
      </w:r>
      <w:r w:rsidR="007815F7">
        <w:rPr>
          <w:lang w:val="en-US"/>
        </w:rPr>
        <w:t xml:space="preserve"> </w:t>
      </w:r>
      <w:r>
        <w:rPr>
          <w:lang w:val="en-US"/>
        </w:rPr>
        <w:t>It was not disputed that the employment of two counsel w</w:t>
      </w:r>
      <w:r w:rsidR="009F2385">
        <w:rPr>
          <w:lang w:val="en-US"/>
        </w:rPr>
        <w:t>as</w:t>
      </w:r>
      <w:r>
        <w:rPr>
          <w:lang w:val="en-US"/>
        </w:rPr>
        <w:t xml:space="preserve"> justified</w:t>
      </w:r>
      <w:r w:rsidR="003E4474">
        <w:rPr>
          <w:lang w:val="en-US"/>
        </w:rPr>
        <w:t>.</w:t>
      </w:r>
    </w:p>
    <w:p w:rsidR="00EE679E" w:rsidRDefault="00EE679E" w:rsidP="00D56440">
      <w:pPr>
        <w:pStyle w:val="level1"/>
        <w:spacing w:after="480" w:line="360" w:lineRule="auto"/>
        <w:ind w:left="0" w:firstLine="0"/>
        <w:jc w:val="both"/>
        <w:rPr>
          <w:lang w:val="en-US"/>
        </w:rPr>
      </w:pPr>
      <w:r>
        <w:rPr>
          <w:lang w:val="en-US"/>
        </w:rPr>
        <w:t>The following order is granted:</w:t>
      </w:r>
    </w:p>
    <w:p w:rsidR="00EE679E" w:rsidRDefault="00EE679E" w:rsidP="002153DA">
      <w:pPr>
        <w:pStyle w:val="level1"/>
        <w:numPr>
          <w:ilvl w:val="0"/>
          <w:numId w:val="0"/>
        </w:numPr>
        <w:spacing w:after="480" w:line="360" w:lineRule="auto"/>
        <w:jc w:val="both"/>
        <w:rPr>
          <w:lang w:val="en-US"/>
        </w:rPr>
      </w:pPr>
      <w:r>
        <w:rPr>
          <w:lang w:val="en-US"/>
        </w:rPr>
        <w:t>[1] The appeal is upheld</w:t>
      </w:r>
      <w:r w:rsidR="00ED014F">
        <w:rPr>
          <w:lang w:val="en-US"/>
        </w:rPr>
        <w:t xml:space="preserve"> with costs, including the costs of the application for leave to appeal and the costs of two counsel, where employed</w:t>
      </w:r>
      <w:r>
        <w:rPr>
          <w:lang w:val="en-US"/>
        </w:rPr>
        <w:t>;</w:t>
      </w:r>
    </w:p>
    <w:p w:rsidR="00EE679E" w:rsidRDefault="00EE679E" w:rsidP="002153DA">
      <w:pPr>
        <w:pStyle w:val="level1"/>
        <w:numPr>
          <w:ilvl w:val="0"/>
          <w:numId w:val="0"/>
        </w:numPr>
        <w:spacing w:after="480" w:line="360" w:lineRule="auto"/>
        <w:jc w:val="both"/>
        <w:rPr>
          <w:lang w:val="en-US"/>
        </w:rPr>
      </w:pPr>
      <w:r>
        <w:rPr>
          <w:lang w:val="en-US"/>
        </w:rPr>
        <w:t>[2] The order of the court a quo is set aside and replaced with the following order:</w:t>
      </w:r>
    </w:p>
    <w:p w:rsidR="00EE679E" w:rsidRDefault="00ED014F" w:rsidP="00C62497">
      <w:pPr>
        <w:pStyle w:val="level1"/>
        <w:numPr>
          <w:ilvl w:val="0"/>
          <w:numId w:val="0"/>
        </w:numPr>
        <w:spacing w:after="480" w:line="360" w:lineRule="auto"/>
        <w:ind w:left="720"/>
        <w:jc w:val="both"/>
        <w:rPr>
          <w:lang w:val="en-US"/>
        </w:rPr>
      </w:pPr>
      <w:r>
        <w:rPr>
          <w:lang w:val="en-US"/>
        </w:rPr>
        <w:t>“</w:t>
      </w:r>
      <w:r w:rsidR="00C62497">
        <w:rPr>
          <w:lang w:val="en-US"/>
        </w:rPr>
        <w:t xml:space="preserve">[1] </w:t>
      </w:r>
      <w:r w:rsidR="00EE679E">
        <w:rPr>
          <w:lang w:val="en-US"/>
        </w:rPr>
        <w:t>The default judgment granted on 19 August 2020 is rescinded and set aside;</w:t>
      </w:r>
    </w:p>
    <w:p w:rsidR="00ED014F" w:rsidRDefault="00C62497" w:rsidP="00C62497">
      <w:pPr>
        <w:pStyle w:val="level1"/>
        <w:numPr>
          <w:ilvl w:val="0"/>
          <w:numId w:val="0"/>
        </w:numPr>
        <w:spacing w:after="480" w:line="360" w:lineRule="auto"/>
        <w:ind w:left="720"/>
        <w:jc w:val="both"/>
        <w:rPr>
          <w:lang w:val="en-US"/>
        </w:rPr>
      </w:pPr>
      <w:r>
        <w:rPr>
          <w:lang w:val="en-US"/>
        </w:rPr>
        <w:t xml:space="preserve">[2] A notice of intention to defend is to be delivered within </w:t>
      </w:r>
      <w:r w:rsidR="00ED014F">
        <w:rPr>
          <w:lang w:val="en-US"/>
        </w:rPr>
        <w:t>ten</w:t>
      </w:r>
      <w:r>
        <w:rPr>
          <w:lang w:val="en-US"/>
        </w:rPr>
        <w:t xml:space="preserve"> days of date of this order;</w:t>
      </w:r>
    </w:p>
    <w:p w:rsidR="00ED014F" w:rsidRPr="00A94E74" w:rsidRDefault="00ED014F" w:rsidP="00ED014F">
      <w:pPr>
        <w:spacing w:after="0" w:line="360" w:lineRule="auto"/>
        <w:ind w:left="284" w:firstLine="436"/>
        <w:jc w:val="both"/>
        <w:rPr>
          <w:rFonts w:ascii="Arial" w:eastAsia="Times New Roman" w:hAnsi="Arial" w:cs="Times New Roman"/>
          <w:kern w:val="28"/>
          <w:sz w:val="24"/>
          <w:szCs w:val="24"/>
          <w:lang w:val="en-US" w:eastAsia="en-GB"/>
        </w:rPr>
      </w:pPr>
      <w:r>
        <w:rPr>
          <w:rFonts w:ascii="Arial" w:eastAsia="Times New Roman" w:hAnsi="Arial" w:cs="Times New Roman"/>
          <w:kern w:val="28"/>
          <w:sz w:val="24"/>
          <w:szCs w:val="24"/>
          <w:lang w:val="en-US" w:eastAsia="en-GB"/>
        </w:rPr>
        <w:t xml:space="preserve">[3] The respondents are directed to pay the costs of the application.” </w:t>
      </w:r>
    </w:p>
    <w:p w:rsidR="00EE679E" w:rsidRDefault="00C62497" w:rsidP="00ED014F">
      <w:pPr>
        <w:pStyle w:val="level1"/>
        <w:numPr>
          <w:ilvl w:val="0"/>
          <w:numId w:val="0"/>
        </w:numPr>
        <w:spacing w:after="480" w:line="360" w:lineRule="auto"/>
        <w:ind w:left="720"/>
        <w:jc w:val="both"/>
        <w:rPr>
          <w:lang w:val="en-US"/>
        </w:rPr>
      </w:pPr>
      <w:r>
        <w:rPr>
          <w:lang w:val="en-US"/>
        </w:rPr>
        <w:t xml:space="preserve"> </w:t>
      </w:r>
    </w:p>
    <w:p w:rsidR="00D56440" w:rsidRDefault="00D56440" w:rsidP="007815F7">
      <w:pPr>
        <w:pStyle w:val="level1"/>
        <w:numPr>
          <w:ilvl w:val="0"/>
          <w:numId w:val="0"/>
        </w:numPr>
        <w:spacing w:after="480" w:line="360" w:lineRule="auto"/>
        <w:jc w:val="both"/>
        <w:rPr>
          <w:lang w:val="en-US"/>
        </w:rPr>
      </w:pPr>
    </w:p>
    <w:p w:rsidR="003E4474" w:rsidRPr="003E4474" w:rsidRDefault="003E4474" w:rsidP="003E4474">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ab/>
        <w:t>_____________________________________</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EF DIPPENAAR</w:t>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JUDGE OF THE HIGH COURT </w:t>
      </w:r>
      <w:smartTag w:uri="urn:schemas-microsoft-com:office:smarttags" w:element="City">
        <w:smartTag w:uri="urn:schemas-microsoft-com:office:smarttags" w:element="place">
          <w:r w:rsidRPr="003E4474">
            <w:rPr>
              <w:rFonts w:ascii="Arial" w:eastAsia="Times New Roman" w:hAnsi="Arial" w:cs="Times New Roman"/>
              <w:b/>
              <w:kern w:val="28"/>
              <w:sz w:val="24"/>
              <w:szCs w:val="24"/>
              <w:lang w:eastAsia="en-GB"/>
            </w:rPr>
            <w:t>JOHANNESBURG</w:t>
          </w:r>
        </w:smartTag>
      </w:smartTag>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6765A2" w:rsidRDefault="006765A2"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r w:rsidRPr="003E4474">
        <w:rPr>
          <w:rFonts w:ascii="Arial" w:eastAsia="Times New Roman" w:hAnsi="Arial" w:cs="Times New Roman"/>
          <w:b/>
          <w:kern w:val="28"/>
          <w:sz w:val="24"/>
          <w:szCs w:val="24"/>
          <w:u w:val="single"/>
          <w:lang w:eastAsia="en-GB"/>
        </w:rPr>
        <w:t xml:space="preserve">APPEARANCES </w:t>
      </w:r>
    </w:p>
    <w:p w:rsidR="003E4474" w:rsidRPr="003E4474" w:rsidRDefault="003E4474" w:rsidP="003E4474">
      <w:pPr>
        <w:spacing w:after="0" w:line="240" w:lineRule="auto"/>
        <w:contextualSpacing/>
        <w:rPr>
          <w:rFonts w:ascii="Arial" w:eastAsia="Calibri" w:hAnsi="Arial" w:cs="Times New Roman"/>
          <w:sz w:val="24"/>
        </w:rPr>
      </w:pPr>
    </w:p>
    <w:p w:rsidR="003E4474" w:rsidRPr="003E4474"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DATE OF HEARING</w:t>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00454BB0">
        <w:rPr>
          <w:rFonts w:ascii="Arial" w:eastAsia="Times New Roman" w:hAnsi="Arial" w:cs="Times New Roman"/>
          <w:kern w:val="28"/>
          <w:sz w:val="24"/>
          <w:szCs w:val="24"/>
          <w:lang w:eastAsia="en-GB"/>
        </w:rPr>
        <w:t>:</w:t>
      </w:r>
      <w:r w:rsidR="005C02D9">
        <w:rPr>
          <w:rFonts w:ascii="Arial" w:eastAsia="Times New Roman" w:hAnsi="Arial" w:cs="Times New Roman"/>
          <w:kern w:val="28"/>
          <w:sz w:val="24"/>
          <w:szCs w:val="24"/>
          <w:lang w:eastAsia="en-GB"/>
        </w:rPr>
        <w:t>04 May 2022</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rPr>
          <w:rFonts w:ascii="Arial" w:eastAsia="Times New Roman" w:hAnsi="Arial" w:cs="Times New Roman"/>
          <w:b/>
          <w:kern w:val="28"/>
          <w:sz w:val="24"/>
          <w:szCs w:val="24"/>
          <w:lang w:eastAsia="en-GB"/>
        </w:rPr>
      </w:pP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DATE OF JUDGMENT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00454BB0">
        <w:rPr>
          <w:rFonts w:ascii="Arial" w:eastAsia="Times New Roman" w:hAnsi="Arial" w:cs="Times New Roman"/>
          <w:kern w:val="28"/>
          <w:sz w:val="24"/>
          <w:szCs w:val="24"/>
          <w:lang w:eastAsia="en-GB"/>
        </w:rPr>
        <w:t>:</w:t>
      </w:r>
      <w:r w:rsidR="00FF1AC2">
        <w:rPr>
          <w:rFonts w:ascii="Arial" w:eastAsia="Times New Roman" w:hAnsi="Arial" w:cs="Times New Roman"/>
          <w:kern w:val="28"/>
          <w:sz w:val="24"/>
          <w:szCs w:val="24"/>
          <w:lang w:eastAsia="en-GB"/>
        </w:rPr>
        <w:t xml:space="preserve">14 </w:t>
      </w:r>
      <w:r w:rsidR="007815F7">
        <w:rPr>
          <w:rFonts w:ascii="Arial" w:eastAsia="Times New Roman" w:hAnsi="Arial" w:cs="Times New Roman"/>
          <w:kern w:val="28"/>
          <w:sz w:val="24"/>
          <w:szCs w:val="24"/>
          <w:lang w:eastAsia="en-GB"/>
        </w:rPr>
        <w:t>June</w:t>
      </w:r>
      <w:r w:rsidR="008618E4">
        <w:rPr>
          <w:rFonts w:ascii="Arial" w:eastAsia="Times New Roman" w:hAnsi="Arial" w:cs="Times New Roman"/>
          <w:kern w:val="28"/>
          <w:sz w:val="24"/>
          <w:szCs w:val="24"/>
          <w:lang w:eastAsia="en-GB"/>
        </w:rPr>
        <w:t xml:space="preserve"> </w:t>
      </w:r>
      <w:r w:rsidRPr="003E4474">
        <w:rPr>
          <w:rFonts w:ascii="Arial" w:eastAsia="Times New Roman" w:hAnsi="Arial" w:cs="Times New Roman"/>
          <w:kern w:val="28"/>
          <w:sz w:val="24"/>
          <w:szCs w:val="24"/>
          <w:lang w:eastAsia="en-GB"/>
        </w:rPr>
        <w:t>2022</w:t>
      </w: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p>
    <w:p w:rsidR="003E4474" w:rsidRDefault="005C02D9" w:rsidP="003E4474">
      <w:pPr>
        <w:spacing w:after="200" w:line="240" w:lineRule="auto"/>
        <w:contextualSpacing/>
        <w:rPr>
          <w:rFonts w:ascii="Arial" w:eastAsia="Calibri" w:hAnsi="Arial" w:cs="Times New Roman"/>
          <w:sz w:val="24"/>
        </w:rPr>
      </w:pPr>
      <w:r>
        <w:rPr>
          <w:rFonts w:ascii="Arial" w:eastAsia="Calibri" w:hAnsi="Arial" w:cs="Times New Roman"/>
          <w:b/>
          <w:sz w:val="24"/>
        </w:rPr>
        <w:t>APPELLANT</w:t>
      </w:r>
      <w:r w:rsidR="003E4474" w:rsidRPr="003E4474">
        <w:rPr>
          <w:rFonts w:ascii="Arial" w:eastAsia="Calibri" w:hAnsi="Arial" w:cs="Times New Roman"/>
          <w:b/>
          <w:sz w:val="24"/>
        </w:rPr>
        <w:t>S</w:t>
      </w:r>
      <w:r w:rsidR="008618E4">
        <w:rPr>
          <w:rFonts w:ascii="Arial" w:eastAsia="Calibri" w:hAnsi="Arial" w:cs="Times New Roman"/>
          <w:b/>
          <w:sz w:val="24"/>
        </w:rPr>
        <w:t>’ COUNSE</w:t>
      </w:r>
      <w:r w:rsidR="00454BB0">
        <w:rPr>
          <w:rFonts w:ascii="Arial" w:eastAsia="Calibri" w:hAnsi="Arial" w:cs="Times New Roman"/>
          <w:b/>
          <w:sz w:val="24"/>
        </w:rPr>
        <w:t>L</w:t>
      </w:r>
      <w:r w:rsidR="00454BB0">
        <w:rPr>
          <w:rFonts w:ascii="Arial" w:eastAsia="Calibri" w:hAnsi="Arial" w:cs="Times New Roman"/>
          <w:b/>
          <w:sz w:val="24"/>
        </w:rPr>
        <w:tab/>
      </w:r>
      <w:r w:rsidR="00454BB0">
        <w:rPr>
          <w:rFonts w:ascii="Arial" w:eastAsia="Calibri" w:hAnsi="Arial" w:cs="Times New Roman"/>
          <w:b/>
          <w:sz w:val="24"/>
        </w:rPr>
        <w:tab/>
      </w:r>
      <w:r w:rsidR="00454BB0">
        <w:rPr>
          <w:rFonts w:ascii="Arial" w:eastAsia="Calibri" w:hAnsi="Arial" w:cs="Times New Roman"/>
          <w:b/>
          <w:sz w:val="24"/>
        </w:rPr>
        <w:tab/>
      </w:r>
      <w:r w:rsidR="00454BB0">
        <w:rPr>
          <w:rFonts w:ascii="Arial" w:eastAsia="Calibri" w:hAnsi="Arial" w:cs="Times New Roman"/>
          <w:sz w:val="24"/>
        </w:rPr>
        <w:t xml:space="preserve">: </w:t>
      </w:r>
      <w:r w:rsidR="003E4474">
        <w:rPr>
          <w:rFonts w:ascii="Arial" w:eastAsia="Calibri" w:hAnsi="Arial" w:cs="Times New Roman"/>
          <w:sz w:val="24"/>
        </w:rPr>
        <w:t xml:space="preserve">Adv. </w:t>
      </w:r>
      <w:r w:rsidR="00D43083">
        <w:rPr>
          <w:rFonts w:ascii="Arial" w:eastAsia="Calibri" w:hAnsi="Arial" w:cs="Times New Roman"/>
          <w:sz w:val="24"/>
        </w:rPr>
        <w:t>K. Tsatsawane</w:t>
      </w:r>
      <w:r>
        <w:rPr>
          <w:rFonts w:ascii="Arial" w:eastAsia="Calibri" w:hAnsi="Arial" w:cs="Times New Roman"/>
          <w:sz w:val="24"/>
        </w:rPr>
        <w:t xml:space="preserve"> SC</w:t>
      </w:r>
    </w:p>
    <w:p w:rsidR="005C02D9" w:rsidRDefault="00D43083" w:rsidP="003E4474">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t>: Adv. H</w:t>
      </w:r>
      <w:r w:rsidR="005C02D9">
        <w:rPr>
          <w:rFonts w:ascii="Arial" w:eastAsia="Calibri" w:hAnsi="Arial" w:cs="Times New Roman"/>
          <w:sz w:val="24"/>
        </w:rPr>
        <w:t xml:space="preserve">. </w:t>
      </w:r>
      <w:r>
        <w:rPr>
          <w:rFonts w:ascii="Arial" w:eastAsia="Calibri" w:hAnsi="Arial" w:cs="Times New Roman"/>
          <w:sz w:val="24"/>
        </w:rPr>
        <w:t>Salani</w:t>
      </w:r>
    </w:p>
    <w:p w:rsidR="003E4474" w:rsidRPr="003E4474" w:rsidRDefault="005C02D9" w:rsidP="003E4474">
      <w:pPr>
        <w:spacing w:after="200" w:line="240" w:lineRule="auto"/>
        <w:contextualSpacing/>
        <w:rPr>
          <w:rFonts w:ascii="Arial" w:eastAsia="Calibri" w:hAnsi="Arial" w:cs="Times New Roman"/>
          <w:sz w:val="24"/>
        </w:rPr>
      </w:pPr>
      <w:r w:rsidRPr="005C02D9">
        <w:rPr>
          <w:rFonts w:ascii="Arial" w:eastAsia="Calibri" w:hAnsi="Arial" w:cs="Times New Roman"/>
          <w:b/>
          <w:bCs/>
          <w:sz w:val="24"/>
        </w:rPr>
        <w:t>APPELLANTS</w:t>
      </w:r>
      <w:r w:rsidR="008618E4">
        <w:rPr>
          <w:rFonts w:ascii="Arial" w:eastAsia="Calibri" w:hAnsi="Arial" w:cs="Times New Roman"/>
          <w:b/>
          <w:bCs/>
          <w:sz w:val="24"/>
        </w:rPr>
        <w:t>’</w:t>
      </w:r>
      <w:r w:rsidR="003E4474" w:rsidRPr="003E4474">
        <w:rPr>
          <w:rFonts w:ascii="Arial" w:eastAsia="Calibri" w:hAnsi="Arial" w:cs="Times New Roman"/>
          <w:b/>
          <w:bCs/>
          <w:sz w:val="24"/>
        </w:rPr>
        <w:t xml:space="preserve"> ATTORNEYS</w:t>
      </w:r>
      <w:r w:rsidR="00454BB0">
        <w:rPr>
          <w:rFonts w:ascii="Arial" w:eastAsia="Calibri" w:hAnsi="Arial" w:cs="Times New Roman"/>
          <w:sz w:val="24"/>
        </w:rPr>
        <w:tab/>
      </w:r>
      <w:r w:rsidR="00454BB0">
        <w:rPr>
          <w:rFonts w:ascii="Arial" w:eastAsia="Calibri" w:hAnsi="Arial" w:cs="Times New Roman"/>
          <w:sz w:val="24"/>
        </w:rPr>
        <w:tab/>
      </w:r>
      <w:r w:rsidR="00454BB0">
        <w:rPr>
          <w:rFonts w:ascii="Arial" w:eastAsia="Calibri" w:hAnsi="Arial" w:cs="Times New Roman"/>
          <w:sz w:val="24"/>
        </w:rPr>
        <w:tab/>
        <w:t xml:space="preserve">: </w:t>
      </w:r>
      <w:r w:rsidR="00D43083">
        <w:rPr>
          <w:rFonts w:ascii="Arial" w:eastAsia="Calibri" w:hAnsi="Arial" w:cs="Times New Roman"/>
          <w:sz w:val="24"/>
        </w:rPr>
        <w:t>Ramatshila-Mugeri</w:t>
      </w:r>
      <w:r>
        <w:rPr>
          <w:rFonts w:ascii="Arial" w:eastAsia="Calibri" w:hAnsi="Arial" w:cs="Times New Roman"/>
          <w:sz w:val="24"/>
        </w:rPr>
        <w:t xml:space="preserve"> Attorneys</w:t>
      </w:r>
      <w:r w:rsidR="00D43083">
        <w:rPr>
          <w:rFonts w:ascii="Arial" w:eastAsia="Calibri" w:hAnsi="Arial" w:cs="Times New Roman"/>
          <w:sz w:val="24"/>
        </w:rPr>
        <w:t xml:space="preserve"> Inc.</w:t>
      </w:r>
    </w:p>
    <w:p w:rsidR="003E4474" w:rsidRPr="003E4474" w:rsidRDefault="003E4474" w:rsidP="003E4474">
      <w:pPr>
        <w:spacing w:after="200" w:line="240" w:lineRule="auto"/>
        <w:contextualSpacing/>
        <w:rPr>
          <w:rFonts w:ascii="Arial" w:eastAsia="Calibri" w:hAnsi="Arial" w:cs="Times New Roman"/>
          <w:sz w:val="24"/>
        </w:rPr>
      </w:pP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t xml:space="preserve">  </w:t>
      </w:r>
      <w:bookmarkStart w:id="1" w:name="_Hlk44520146"/>
    </w:p>
    <w:bookmarkEnd w:id="1"/>
    <w:p w:rsidR="003E4474" w:rsidRDefault="005C02D9" w:rsidP="003E4474">
      <w:pPr>
        <w:spacing w:after="200" w:line="240" w:lineRule="auto"/>
        <w:contextualSpacing/>
        <w:rPr>
          <w:rFonts w:ascii="Arial" w:eastAsia="Calibri" w:hAnsi="Arial" w:cs="Times New Roman"/>
          <w:sz w:val="24"/>
        </w:rPr>
      </w:pPr>
      <w:r>
        <w:rPr>
          <w:rFonts w:ascii="Arial" w:eastAsia="Calibri" w:hAnsi="Arial" w:cs="Times New Roman"/>
          <w:b/>
          <w:sz w:val="24"/>
        </w:rPr>
        <w:t>RESPONDENTS</w:t>
      </w:r>
      <w:r w:rsidR="008618E4">
        <w:rPr>
          <w:rFonts w:ascii="Arial" w:eastAsia="Calibri" w:hAnsi="Arial" w:cs="Times New Roman"/>
          <w:b/>
          <w:sz w:val="24"/>
        </w:rPr>
        <w:t>’</w:t>
      </w:r>
      <w:r w:rsidR="003E4474" w:rsidRPr="003E4474">
        <w:rPr>
          <w:rFonts w:ascii="Arial" w:eastAsia="Calibri" w:hAnsi="Arial" w:cs="Times New Roman"/>
          <w:b/>
          <w:sz w:val="24"/>
        </w:rPr>
        <w:t xml:space="preserve"> COUNSEL</w:t>
      </w:r>
      <w:r w:rsidR="003E4474" w:rsidRPr="003E4474">
        <w:rPr>
          <w:rFonts w:ascii="Arial" w:eastAsia="Calibri" w:hAnsi="Arial" w:cs="Times New Roman"/>
          <w:b/>
          <w:sz w:val="24"/>
        </w:rPr>
        <w:tab/>
      </w:r>
      <w:r w:rsidR="00940F95">
        <w:rPr>
          <w:rFonts w:ascii="Arial" w:eastAsia="Calibri" w:hAnsi="Arial" w:cs="Times New Roman"/>
          <w:b/>
          <w:sz w:val="24"/>
        </w:rPr>
        <w:tab/>
      </w:r>
      <w:r>
        <w:rPr>
          <w:rFonts w:ascii="Arial" w:eastAsia="Calibri" w:hAnsi="Arial" w:cs="Times New Roman"/>
          <w:b/>
          <w:sz w:val="24"/>
        </w:rPr>
        <w:tab/>
      </w:r>
      <w:r w:rsidR="003B7F1D">
        <w:rPr>
          <w:rFonts w:ascii="Arial" w:eastAsia="Calibri" w:hAnsi="Arial" w:cs="Times New Roman"/>
          <w:sz w:val="24"/>
        </w:rPr>
        <w:t xml:space="preserve">: Adv. </w:t>
      </w:r>
      <w:r w:rsidR="00D43083">
        <w:rPr>
          <w:rFonts w:ascii="Arial" w:eastAsia="Calibri" w:hAnsi="Arial" w:cs="Times New Roman"/>
          <w:sz w:val="24"/>
        </w:rPr>
        <w:t>JG. Botha</w:t>
      </w:r>
    </w:p>
    <w:p w:rsidR="003E4474" w:rsidRPr="00D43083" w:rsidRDefault="00940F95" w:rsidP="003E4474">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p>
    <w:p w:rsidR="003E4474" w:rsidRPr="003E4474" w:rsidRDefault="005C02D9" w:rsidP="003B7F1D">
      <w:pPr>
        <w:spacing w:after="200" w:line="240" w:lineRule="auto"/>
        <w:contextualSpacing/>
        <w:rPr>
          <w:rFonts w:ascii="Arial" w:eastAsia="Calibri" w:hAnsi="Arial" w:cs="Times New Roman"/>
          <w:b/>
          <w:sz w:val="24"/>
        </w:rPr>
      </w:pPr>
      <w:r w:rsidRPr="005C02D9">
        <w:rPr>
          <w:rFonts w:ascii="Arial" w:eastAsia="Calibri" w:hAnsi="Arial" w:cs="Times New Roman"/>
          <w:b/>
          <w:sz w:val="24"/>
        </w:rPr>
        <w:t>RESPONDENTS</w:t>
      </w:r>
      <w:r w:rsidR="008618E4">
        <w:rPr>
          <w:rFonts w:ascii="Arial" w:eastAsia="Calibri" w:hAnsi="Arial" w:cs="Times New Roman"/>
          <w:b/>
          <w:sz w:val="24"/>
        </w:rPr>
        <w:t>’</w:t>
      </w:r>
      <w:r w:rsidRPr="005C02D9">
        <w:rPr>
          <w:rFonts w:ascii="Arial" w:eastAsia="Calibri" w:hAnsi="Arial" w:cs="Times New Roman"/>
          <w:b/>
          <w:sz w:val="24"/>
        </w:rPr>
        <w:t xml:space="preserve"> </w:t>
      </w:r>
      <w:r w:rsidR="009154AE">
        <w:rPr>
          <w:rFonts w:ascii="Arial" w:eastAsia="Calibri" w:hAnsi="Arial" w:cs="Times New Roman"/>
          <w:b/>
          <w:sz w:val="24"/>
        </w:rPr>
        <w:t>ATTORNEYS</w:t>
      </w:r>
      <w:r w:rsidR="009154AE">
        <w:rPr>
          <w:rFonts w:ascii="Arial" w:eastAsia="Calibri" w:hAnsi="Arial" w:cs="Times New Roman"/>
          <w:b/>
          <w:sz w:val="24"/>
        </w:rPr>
        <w:tab/>
      </w:r>
      <w:r w:rsidR="009154AE">
        <w:rPr>
          <w:rFonts w:ascii="Arial" w:eastAsia="Calibri" w:hAnsi="Arial" w:cs="Times New Roman"/>
          <w:b/>
          <w:sz w:val="24"/>
        </w:rPr>
        <w:tab/>
      </w:r>
      <w:r>
        <w:rPr>
          <w:rFonts w:ascii="Arial" w:eastAsia="Calibri" w:hAnsi="Arial" w:cs="Times New Roman"/>
          <w:b/>
          <w:sz w:val="24"/>
        </w:rPr>
        <w:tab/>
      </w:r>
      <w:r w:rsidR="003E4474" w:rsidRPr="003E4474">
        <w:rPr>
          <w:rFonts w:ascii="Arial" w:eastAsia="Calibri" w:hAnsi="Arial" w:cs="Times New Roman"/>
          <w:sz w:val="24"/>
        </w:rPr>
        <w:t xml:space="preserve">: </w:t>
      </w:r>
      <w:r w:rsidR="00D43083">
        <w:rPr>
          <w:rFonts w:ascii="Arial" w:eastAsia="Calibri" w:hAnsi="Arial" w:cs="Times New Roman"/>
          <w:sz w:val="24"/>
        </w:rPr>
        <w:t>ODBB</w:t>
      </w:r>
      <w:r>
        <w:rPr>
          <w:rFonts w:ascii="Arial" w:eastAsia="Calibri" w:hAnsi="Arial" w:cs="Times New Roman"/>
          <w:sz w:val="24"/>
        </w:rPr>
        <w:t xml:space="preserve"> Attorneys</w:t>
      </w:r>
    </w:p>
    <w:p w:rsidR="008D66D0" w:rsidRPr="003E4474" w:rsidRDefault="003E4474" w:rsidP="009F2385">
      <w:pPr>
        <w:spacing w:after="0" w:line="240" w:lineRule="auto"/>
        <w:contextualSpacing/>
        <w:rPr>
          <w:rFonts w:ascii="Arial" w:eastAsia="Calibri" w:hAnsi="Arial" w:cs="Times New Roman"/>
          <w:sz w:val="24"/>
        </w:rPr>
      </w:pPr>
      <w:r w:rsidRPr="003E4474">
        <w:rPr>
          <w:rFonts w:ascii="Arial" w:eastAsia="Calibri" w:hAnsi="Arial" w:cs="Times New Roman"/>
          <w:b/>
          <w:sz w:val="24"/>
        </w:rPr>
        <w:tab/>
      </w:r>
      <w:r w:rsidRPr="003E4474">
        <w:rPr>
          <w:rFonts w:ascii="Arial" w:eastAsia="Calibri" w:hAnsi="Arial" w:cs="Times New Roman"/>
          <w:b/>
          <w:sz w:val="24"/>
        </w:rPr>
        <w:tab/>
      </w:r>
      <w:r w:rsidRPr="003E4474">
        <w:rPr>
          <w:rFonts w:ascii="Arial" w:eastAsia="Calibri" w:hAnsi="Arial" w:cs="Times New Roman"/>
          <w:b/>
          <w:sz w:val="24"/>
        </w:rPr>
        <w:tab/>
      </w:r>
    </w:p>
    <w:sectPr w:rsidR="008D66D0" w:rsidRPr="003E4474" w:rsidSect="0011331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98" w:rsidRDefault="008D6198" w:rsidP="003E4474">
      <w:pPr>
        <w:spacing w:after="0" w:line="240" w:lineRule="auto"/>
      </w:pPr>
      <w:r>
        <w:separator/>
      </w:r>
    </w:p>
  </w:endnote>
  <w:endnote w:type="continuationSeparator" w:id="0">
    <w:p w:rsidR="008D6198" w:rsidRDefault="008D6198" w:rsidP="003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98" w:rsidRDefault="008D6198" w:rsidP="003E4474">
      <w:pPr>
        <w:spacing w:after="0" w:line="240" w:lineRule="auto"/>
      </w:pPr>
      <w:r>
        <w:separator/>
      </w:r>
    </w:p>
  </w:footnote>
  <w:footnote w:type="continuationSeparator" w:id="0">
    <w:p w:rsidR="008D6198" w:rsidRDefault="008D6198" w:rsidP="003E4474">
      <w:pPr>
        <w:spacing w:after="0" w:line="240" w:lineRule="auto"/>
      </w:pPr>
      <w:r>
        <w:continuationSeparator/>
      </w:r>
    </w:p>
  </w:footnote>
  <w:footnote w:id="1">
    <w:p w:rsidR="00CA3C87" w:rsidRDefault="00CA3C87">
      <w:pPr>
        <w:pStyle w:val="FootnoteText"/>
      </w:pPr>
      <w:r>
        <w:rPr>
          <w:rStyle w:val="FootnoteReference"/>
        </w:rPr>
        <w:footnoteRef/>
      </w:r>
      <w:r>
        <w:t xml:space="preserve"> Judgment court a quo, para [13]</w:t>
      </w:r>
    </w:p>
  </w:footnote>
  <w:footnote w:id="2">
    <w:p w:rsidR="0094567C" w:rsidRDefault="0094567C" w:rsidP="0094567C">
      <w:pPr>
        <w:pStyle w:val="FootnoteText"/>
      </w:pPr>
      <w:r>
        <w:rPr>
          <w:rStyle w:val="FootnoteReference"/>
        </w:rPr>
        <w:footnoteRef/>
      </w:r>
      <w:r>
        <w:t xml:space="preserve"> </w:t>
      </w:r>
      <w:r w:rsidRPr="002928A6">
        <w:rPr>
          <w:i/>
        </w:rPr>
        <w:t>Rossiter v Nedbank [2015] ZASCA 196; Lodhi 2 Properties CC v Bondev Developments (Pty</w:t>
      </w:r>
      <w:r>
        <w:t>) Ltd 2007 (6) 67 (SCA)</w:t>
      </w:r>
    </w:p>
  </w:footnote>
  <w:footnote w:id="3">
    <w:p w:rsidR="00BE7AE7" w:rsidRDefault="00BE7AE7">
      <w:pPr>
        <w:pStyle w:val="FootnoteText"/>
      </w:pPr>
      <w:r>
        <w:rPr>
          <w:rStyle w:val="FootnoteReference"/>
        </w:rPr>
        <w:footnoteRef/>
      </w:r>
      <w:r>
        <w:t xml:space="preserve"> </w:t>
      </w:r>
      <w:r w:rsidRPr="002928A6">
        <w:rPr>
          <w:i/>
        </w:rPr>
        <w:t>Tshabalala and Another v Peer</w:t>
      </w:r>
      <w:r>
        <w:t xml:space="preserve"> 1979 (4) SA 27 (T)</w:t>
      </w:r>
    </w:p>
  </w:footnote>
  <w:footnote w:id="4">
    <w:p w:rsidR="00722519" w:rsidRDefault="00722519">
      <w:pPr>
        <w:pStyle w:val="FootnoteText"/>
      </w:pPr>
      <w:r>
        <w:rPr>
          <w:rStyle w:val="FootnoteReference"/>
        </w:rPr>
        <w:footnoteRef/>
      </w:r>
      <w:r>
        <w:t xml:space="preserve"> </w:t>
      </w:r>
      <w:r w:rsidRPr="002928A6">
        <w:rPr>
          <w:i/>
        </w:rPr>
        <w:t>Harris v Absa Bank Ltd</w:t>
      </w:r>
      <w:r>
        <w:t xml:space="preserve"> 2006 (4) SA 527 (T) at 530A</w:t>
      </w:r>
    </w:p>
  </w:footnote>
  <w:footnote w:id="5">
    <w:p w:rsidR="004852BE" w:rsidRDefault="004852BE">
      <w:pPr>
        <w:pStyle w:val="FootnoteText"/>
      </w:pPr>
      <w:r>
        <w:rPr>
          <w:rStyle w:val="FootnoteReference"/>
        </w:rPr>
        <w:footnoteRef/>
      </w:r>
      <w:r>
        <w:t xml:space="preserve"> </w:t>
      </w:r>
      <w:r w:rsidRPr="00454BB0">
        <w:rPr>
          <w:i/>
        </w:rPr>
        <w:t xml:space="preserve">EH Hassim Hardware (Pty) Ltd v Fab </w:t>
      </w:r>
      <w:r w:rsidR="009375B9" w:rsidRPr="00454BB0">
        <w:rPr>
          <w:i/>
        </w:rPr>
        <w:t>T</w:t>
      </w:r>
      <w:r w:rsidRPr="00454BB0">
        <w:rPr>
          <w:i/>
        </w:rPr>
        <w:t>anks CC</w:t>
      </w:r>
      <w:r>
        <w:t xml:space="preserve"> 2017 JDR 1655 (SCA)</w:t>
      </w:r>
    </w:p>
  </w:footnote>
  <w:footnote w:id="6">
    <w:p w:rsidR="002E00B9" w:rsidRDefault="002E00B9">
      <w:pPr>
        <w:pStyle w:val="FootnoteText"/>
      </w:pPr>
      <w:r>
        <w:rPr>
          <w:rStyle w:val="FootnoteReference"/>
        </w:rPr>
        <w:footnoteRef/>
      </w:r>
      <w:r>
        <w:t xml:space="preserve"> 2009 (4) SA 313 (SCA) at [42]</w:t>
      </w:r>
    </w:p>
  </w:footnote>
  <w:footnote w:id="7">
    <w:p w:rsidR="009375B9" w:rsidRDefault="009375B9">
      <w:pPr>
        <w:pStyle w:val="FootnoteText"/>
      </w:pPr>
      <w:r>
        <w:rPr>
          <w:rStyle w:val="FootnoteReference"/>
        </w:rPr>
        <w:footnoteRef/>
      </w:r>
      <w:r>
        <w:t xml:space="preserve"> </w:t>
      </w:r>
      <w:r w:rsidRPr="00454BB0">
        <w:rPr>
          <w:i/>
        </w:rPr>
        <w:t>EH Hassim Hardware (Pty) Ltd v Fab Tanks</w:t>
      </w:r>
      <w:r>
        <w:t xml:space="preserve"> CC supra paras [13], [17]</w:t>
      </w:r>
    </w:p>
  </w:footnote>
  <w:footnote w:id="8">
    <w:p w:rsidR="0052002B" w:rsidRDefault="0052002B">
      <w:pPr>
        <w:pStyle w:val="FootnoteText"/>
      </w:pPr>
      <w:r>
        <w:rPr>
          <w:rStyle w:val="FootnoteReference"/>
        </w:rPr>
        <w:footnoteRef/>
      </w:r>
      <w:r>
        <w:t xml:space="preserve"> </w:t>
      </w:r>
      <w:r w:rsidR="002E02EE">
        <w:t>2010 (6) SA 572 (KZD) para[12]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EB" w:rsidRDefault="0003637B">
    <w:pPr>
      <w:pStyle w:val="Header"/>
      <w:jc w:val="right"/>
    </w:pPr>
    <w:r>
      <w:t xml:space="preserve">Page </w:t>
    </w:r>
    <w:r>
      <w:fldChar w:fldCharType="begin"/>
    </w:r>
    <w:r>
      <w:instrText xml:space="preserve"> PAGE   \* MERGEFORMAT </w:instrText>
    </w:r>
    <w:r>
      <w:fldChar w:fldCharType="separate"/>
    </w:r>
    <w:r w:rsidR="00E61A5A">
      <w:rPr>
        <w:noProof/>
      </w:rPr>
      <w:t>10</w:t>
    </w:r>
    <w:r>
      <w:rPr>
        <w:noProof/>
      </w:rPr>
      <w:fldChar w:fldCharType="end"/>
    </w:r>
  </w:p>
  <w:p w:rsidR="003759EB" w:rsidRDefault="008D6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17F80"/>
    <w:multiLevelType w:val="hybridMultilevel"/>
    <w:tmpl w:val="55644460"/>
    <w:lvl w:ilvl="0" w:tplc="605ABA1C">
      <w:start w:val="1"/>
      <w:numFmt w:val="decimal"/>
      <w:pStyle w:val="level1"/>
      <w:lvlText w:val="[%1]"/>
      <w:lvlJc w:val="left"/>
      <w:pPr>
        <w:ind w:left="360" w:hanging="360"/>
      </w:pPr>
      <w:rPr>
        <w:rFonts w:hint="default"/>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4"/>
    <w:rsid w:val="00015E74"/>
    <w:rsid w:val="0003637B"/>
    <w:rsid w:val="00055C9E"/>
    <w:rsid w:val="000A56F1"/>
    <w:rsid w:val="000A633A"/>
    <w:rsid w:val="000C74CE"/>
    <w:rsid w:val="000F04AE"/>
    <w:rsid w:val="001138A9"/>
    <w:rsid w:val="00167CE8"/>
    <w:rsid w:val="00174088"/>
    <w:rsid w:val="00192733"/>
    <w:rsid w:val="00204D21"/>
    <w:rsid w:val="002153DA"/>
    <w:rsid w:val="002423B5"/>
    <w:rsid w:val="002928A6"/>
    <w:rsid w:val="00294877"/>
    <w:rsid w:val="002A06D4"/>
    <w:rsid w:val="002B71A5"/>
    <w:rsid w:val="002E00B9"/>
    <w:rsid w:val="002E02EE"/>
    <w:rsid w:val="003928F0"/>
    <w:rsid w:val="003B7F1D"/>
    <w:rsid w:val="003C7AAA"/>
    <w:rsid w:val="003E4474"/>
    <w:rsid w:val="003E4585"/>
    <w:rsid w:val="003F6E0E"/>
    <w:rsid w:val="00446AD4"/>
    <w:rsid w:val="00454BB0"/>
    <w:rsid w:val="004852BE"/>
    <w:rsid w:val="004B19BB"/>
    <w:rsid w:val="004B31C8"/>
    <w:rsid w:val="00511EFF"/>
    <w:rsid w:val="0052002B"/>
    <w:rsid w:val="00547CEB"/>
    <w:rsid w:val="005B3F0C"/>
    <w:rsid w:val="005C02D9"/>
    <w:rsid w:val="00626391"/>
    <w:rsid w:val="00641F1C"/>
    <w:rsid w:val="006765A2"/>
    <w:rsid w:val="00722519"/>
    <w:rsid w:val="00743128"/>
    <w:rsid w:val="00754AC6"/>
    <w:rsid w:val="00771BDE"/>
    <w:rsid w:val="007815F7"/>
    <w:rsid w:val="007B6944"/>
    <w:rsid w:val="007F723F"/>
    <w:rsid w:val="00812B71"/>
    <w:rsid w:val="008618E4"/>
    <w:rsid w:val="0086798E"/>
    <w:rsid w:val="00886873"/>
    <w:rsid w:val="00890B23"/>
    <w:rsid w:val="008C48A6"/>
    <w:rsid w:val="008D48D8"/>
    <w:rsid w:val="008D6198"/>
    <w:rsid w:val="008D66D0"/>
    <w:rsid w:val="008E0EE5"/>
    <w:rsid w:val="009154AE"/>
    <w:rsid w:val="009375B9"/>
    <w:rsid w:val="00940F95"/>
    <w:rsid w:val="0094567C"/>
    <w:rsid w:val="00946C15"/>
    <w:rsid w:val="00957E59"/>
    <w:rsid w:val="009F2385"/>
    <w:rsid w:val="00A00DBB"/>
    <w:rsid w:val="00A461C8"/>
    <w:rsid w:val="00A94E74"/>
    <w:rsid w:val="00AF77E2"/>
    <w:rsid w:val="00B10FFB"/>
    <w:rsid w:val="00B2503B"/>
    <w:rsid w:val="00BE45F4"/>
    <w:rsid w:val="00BE7AE7"/>
    <w:rsid w:val="00C16032"/>
    <w:rsid w:val="00C2127E"/>
    <w:rsid w:val="00C62497"/>
    <w:rsid w:val="00C72A12"/>
    <w:rsid w:val="00CA2CD3"/>
    <w:rsid w:val="00CA3C87"/>
    <w:rsid w:val="00CC65B7"/>
    <w:rsid w:val="00D168C6"/>
    <w:rsid w:val="00D42732"/>
    <w:rsid w:val="00D43083"/>
    <w:rsid w:val="00D56440"/>
    <w:rsid w:val="00D95EDA"/>
    <w:rsid w:val="00DA6802"/>
    <w:rsid w:val="00DB0CED"/>
    <w:rsid w:val="00DB599F"/>
    <w:rsid w:val="00DC4BBF"/>
    <w:rsid w:val="00E01E88"/>
    <w:rsid w:val="00E61A5A"/>
    <w:rsid w:val="00EB64CD"/>
    <w:rsid w:val="00ED014F"/>
    <w:rsid w:val="00EE02CB"/>
    <w:rsid w:val="00EE0DFB"/>
    <w:rsid w:val="00EE679E"/>
    <w:rsid w:val="00EF243C"/>
    <w:rsid w:val="00F124E2"/>
    <w:rsid w:val="00F22A71"/>
    <w:rsid w:val="00F26891"/>
    <w:rsid w:val="00F55DF4"/>
    <w:rsid w:val="00F77E0C"/>
    <w:rsid w:val="00FD221C"/>
    <w:rsid w:val="00FF1A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DCAC37-0828-473C-A536-5BD31258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74"/>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E4474"/>
    <w:pPr>
      <w:spacing w:after="0" w:line="240" w:lineRule="auto"/>
    </w:pPr>
    <w:rPr>
      <w:rFonts w:ascii="Arial" w:eastAsia="Times New Roman" w:hAnsi="Arial" w:cs="Times New Roman"/>
      <w:kern w:val="28"/>
      <w:sz w:val="20"/>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E4474"/>
    <w:rPr>
      <w:rFonts w:ascii="Arial" w:eastAsia="Times New Roman" w:hAnsi="Arial" w:cs="Times New Roman"/>
      <w:kern w:val="28"/>
      <w:sz w:val="20"/>
      <w:szCs w:val="20"/>
      <w:lang w:eastAsia="en-GB"/>
    </w:rPr>
  </w:style>
  <w:style w:type="character" w:styleId="FootnoteReference">
    <w:name w:val="footnote reference"/>
    <w:uiPriority w:val="99"/>
    <w:unhideWhenUsed/>
    <w:rsid w:val="003E4474"/>
    <w:rPr>
      <w:vertAlign w:val="superscript"/>
    </w:rPr>
  </w:style>
  <w:style w:type="paragraph" w:customStyle="1" w:styleId="level1">
    <w:name w:val="level1"/>
    <w:basedOn w:val="Normal"/>
    <w:rsid w:val="003E447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54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9222-6578-4CF0-A4FB-6EC9D422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HOME</cp:lastModifiedBy>
  <cp:revision>2</cp:revision>
  <dcterms:created xsi:type="dcterms:W3CDTF">2022-06-25T15:14:00Z</dcterms:created>
  <dcterms:modified xsi:type="dcterms:W3CDTF">2022-06-25T15:14:00Z</dcterms:modified>
</cp:coreProperties>
</file>