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E6" w:rsidRPr="0010488B" w:rsidRDefault="000D19E6" w:rsidP="000D19E6">
      <w:pPr>
        <w:spacing w:before="120" w:after="120"/>
        <w:jc w:val="center"/>
        <w:rPr>
          <w:rFonts w:ascii="Arial" w:hAnsi="Arial" w:cs="Arial"/>
          <w:b/>
          <w:color w:val="000000" w:themeColor="text1"/>
        </w:rPr>
      </w:pPr>
      <w:bookmarkStart w:id="0" w:name="_GoBack"/>
      <w:bookmarkEnd w:id="0"/>
      <w:r w:rsidRPr="0010488B">
        <w:rPr>
          <w:rFonts w:ascii="Arial" w:hAnsi="Arial" w:cs="Arial"/>
          <w:b/>
          <w:color w:val="000000" w:themeColor="text1"/>
        </w:rPr>
        <w:t>REPUBLIC OF SOUTH AFRICA</w:t>
      </w:r>
    </w:p>
    <w:p w:rsidR="000D19E6" w:rsidRPr="0010488B" w:rsidRDefault="000D19E6" w:rsidP="000D19E6">
      <w:pPr>
        <w:spacing w:before="120" w:after="120"/>
        <w:jc w:val="center"/>
        <w:rPr>
          <w:rFonts w:ascii="Arial" w:hAnsi="Arial" w:cs="Arial"/>
          <w:b/>
          <w:color w:val="000000" w:themeColor="text1"/>
        </w:rPr>
      </w:pPr>
      <w:r w:rsidRPr="0010488B">
        <w:rPr>
          <w:rFonts w:ascii="Arial" w:hAnsi="Arial" w:cs="Arial"/>
          <w:noProof/>
          <w:color w:val="000000" w:themeColor="text1"/>
          <w:lang w:val="en-ZA" w:eastAsia="en-ZA"/>
        </w:rPr>
        <w:drawing>
          <wp:inline distT="0" distB="0" distL="0" distR="0" wp14:anchorId="2E92691F" wp14:editId="41D7A6E0">
            <wp:extent cx="1350645" cy="1350645"/>
            <wp:effectExtent l="0" t="0" r="1905" b="1905"/>
            <wp:docPr id="2" name="Picture 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0D19E6" w:rsidRPr="0010488B" w:rsidRDefault="000D19E6" w:rsidP="000D19E6">
      <w:pPr>
        <w:spacing w:before="120" w:after="120"/>
        <w:jc w:val="center"/>
        <w:rPr>
          <w:rFonts w:ascii="Arial" w:hAnsi="Arial" w:cs="Arial"/>
          <w:b/>
          <w:color w:val="000000" w:themeColor="text1"/>
        </w:rPr>
      </w:pPr>
      <w:r w:rsidRPr="0010488B">
        <w:rPr>
          <w:rFonts w:ascii="Arial" w:hAnsi="Arial" w:cs="Arial"/>
          <w:b/>
          <w:color w:val="000000" w:themeColor="text1"/>
        </w:rPr>
        <w:t>IN THE HIGH COURT OF SOUTH AFRICA</w:t>
      </w:r>
    </w:p>
    <w:p w:rsidR="000D19E6" w:rsidRPr="0010488B" w:rsidRDefault="000D19E6" w:rsidP="000D19E6">
      <w:pPr>
        <w:spacing w:before="120" w:after="120"/>
        <w:jc w:val="center"/>
        <w:rPr>
          <w:rFonts w:ascii="Arial" w:hAnsi="Arial" w:cs="Arial"/>
          <w:b/>
          <w:color w:val="000000" w:themeColor="text1"/>
        </w:rPr>
      </w:pPr>
      <w:r w:rsidRPr="0010488B">
        <w:rPr>
          <w:rFonts w:ascii="Arial" w:hAnsi="Arial" w:cs="Arial"/>
          <w:b/>
          <w:color w:val="000000" w:themeColor="text1"/>
        </w:rPr>
        <w:t>GAUTENG LOCAL DIVISION, JOHANNESBURG</w:t>
      </w:r>
    </w:p>
    <w:p w:rsidR="000D19E6" w:rsidRPr="0010488B" w:rsidRDefault="000D19E6" w:rsidP="000D19E6">
      <w:pPr>
        <w:spacing w:before="120" w:after="120"/>
        <w:jc w:val="center"/>
        <w:rPr>
          <w:rFonts w:ascii="Arial" w:hAnsi="Arial" w:cs="Arial"/>
          <w:b/>
          <w:color w:val="000000" w:themeColor="text1"/>
        </w:rPr>
      </w:pPr>
    </w:p>
    <w:p w:rsidR="000D19E6" w:rsidRPr="0010488B" w:rsidRDefault="000D19E6" w:rsidP="000D19E6">
      <w:pPr>
        <w:tabs>
          <w:tab w:val="left" w:pos="4320"/>
        </w:tabs>
        <w:jc w:val="both"/>
        <w:rPr>
          <w:rFonts w:ascii="Arial" w:hAnsi="Arial" w:cs="Arial"/>
          <w:color w:val="000000" w:themeColor="text1"/>
        </w:rPr>
      </w:pPr>
      <w:r w:rsidRPr="0010488B">
        <w:rPr>
          <w:rFonts w:ascii="Arial" w:hAnsi="Arial" w:cs="Arial"/>
          <w:noProof/>
          <w:color w:val="000000" w:themeColor="text1"/>
          <w:u w:val="single"/>
          <w:lang w:val="en-ZA" w:eastAsia="en-ZA"/>
        </w:rPr>
        <mc:AlternateContent>
          <mc:Choice Requires="wps">
            <w:drawing>
              <wp:anchor distT="0" distB="0" distL="114300" distR="114300" simplePos="0" relativeHeight="251659264" behindDoc="0" locked="0" layoutInCell="1" allowOverlap="1" wp14:anchorId="0929A656" wp14:editId="1DDEE53F">
                <wp:simplePos x="0" y="0"/>
                <wp:positionH relativeFrom="column">
                  <wp:posOffset>-50800</wp:posOffset>
                </wp:positionH>
                <wp:positionV relativeFrom="paragraph">
                  <wp:posOffset>119380</wp:posOffset>
                </wp:positionV>
                <wp:extent cx="3200400" cy="1176655"/>
                <wp:effectExtent l="0" t="0" r="19050"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76655"/>
                        </a:xfrm>
                        <a:prstGeom prst="rect">
                          <a:avLst/>
                        </a:prstGeom>
                        <a:solidFill>
                          <a:srgbClr val="FFFFFF"/>
                        </a:solidFill>
                        <a:ln w="9525">
                          <a:solidFill>
                            <a:srgbClr val="000000"/>
                          </a:solidFill>
                          <a:miter lim="800000"/>
                          <a:headEnd/>
                          <a:tailEnd/>
                        </a:ln>
                      </wps:spPr>
                      <wps:txbx>
                        <w:txbxContent>
                          <w:p w:rsidR="000D19E6" w:rsidRDefault="000D19E6" w:rsidP="000D19E6">
                            <w:pPr>
                              <w:numPr>
                                <w:ilvl w:val="0"/>
                                <w:numId w:val="1"/>
                              </w:numPr>
                              <w:rPr>
                                <w:rFonts w:ascii="Century Gothic" w:hAnsi="Century Gothic"/>
                                <w:sz w:val="20"/>
                                <w:szCs w:val="20"/>
                              </w:rPr>
                            </w:pPr>
                            <w:r w:rsidRPr="00913F95">
                              <w:rPr>
                                <w:rFonts w:ascii="Century Gothic" w:hAnsi="Century Gothic"/>
                                <w:sz w:val="20"/>
                                <w:szCs w:val="20"/>
                              </w:rPr>
                              <w:t xml:space="preserve">REPORTABLE: </w:t>
                            </w:r>
                            <w:r w:rsidRPr="00244305">
                              <w:rPr>
                                <w:rFonts w:ascii="Century Gothic" w:hAnsi="Century Gothic"/>
                                <w:strike/>
                                <w:sz w:val="20"/>
                                <w:szCs w:val="20"/>
                              </w:rPr>
                              <w:t>YES</w:t>
                            </w:r>
                            <w:r>
                              <w:rPr>
                                <w:rFonts w:ascii="Century Gothic" w:hAnsi="Century Gothic"/>
                                <w:sz w:val="20"/>
                                <w:szCs w:val="20"/>
                              </w:rPr>
                              <w:t xml:space="preserve"> / NO</w:t>
                            </w:r>
                          </w:p>
                          <w:p w:rsidR="000D19E6" w:rsidRPr="00913F95" w:rsidRDefault="000D19E6" w:rsidP="000D19E6">
                            <w:pPr>
                              <w:numPr>
                                <w:ilvl w:val="0"/>
                                <w:numId w:val="1"/>
                              </w:numPr>
                              <w:rPr>
                                <w:rFonts w:ascii="Century Gothic" w:hAnsi="Century Gothic"/>
                                <w:sz w:val="20"/>
                                <w:szCs w:val="20"/>
                              </w:rPr>
                            </w:pPr>
                            <w:r w:rsidRPr="00913F95">
                              <w:rPr>
                                <w:rFonts w:ascii="Century Gothic" w:hAnsi="Century Gothic"/>
                                <w:sz w:val="20"/>
                                <w:szCs w:val="20"/>
                              </w:rPr>
                              <w:t xml:space="preserve">OF INTEREST TO OTHER JUDGES: </w:t>
                            </w:r>
                            <w:r w:rsidRPr="00244305">
                              <w:rPr>
                                <w:rFonts w:ascii="Century Gothic" w:hAnsi="Century Gothic"/>
                                <w:strike/>
                                <w:sz w:val="20"/>
                                <w:szCs w:val="20"/>
                              </w:rPr>
                              <w:t>YES</w:t>
                            </w:r>
                            <w:r>
                              <w:rPr>
                                <w:rFonts w:ascii="Century Gothic" w:hAnsi="Century Gothic"/>
                                <w:sz w:val="20"/>
                                <w:szCs w:val="20"/>
                              </w:rPr>
                              <w:t>/</w:t>
                            </w:r>
                            <w:r w:rsidRPr="00913F95">
                              <w:rPr>
                                <w:rFonts w:ascii="Century Gothic" w:hAnsi="Century Gothic"/>
                                <w:sz w:val="20"/>
                                <w:szCs w:val="20"/>
                              </w:rPr>
                              <w:t>NO</w:t>
                            </w:r>
                          </w:p>
                          <w:p w:rsidR="000D19E6" w:rsidRPr="00913F95" w:rsidRDefault="000D19E6" w:rsidP="000D19E6">
                            <w:pPr>
                              <w:numPr>
                                <w:ilvl w:val="0"/>
                                <w:numId w:val="1"/>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rsidR="000D19E6" w:rsidRDefault="000D19E6" w:rsidP="000D19E6">
                            <w:pPr>
                              <w:rPr>
                                <w:rFonts w:ascii="Century Gothic" w:hAnsi="Century Gothic"/>
                                <w:b/>
                                <w:sz w:val="18"/>
                                <w:szCs w:val="18"/>
                              </w:rPr>
                            </w:pPr>
                          </w:p>
                          <w:p w:rsidR="000D19E6" w:rsidRDefault="000D19E6" w:rsidP="000D19E6">
                            <w:pPr>
                              <w:rPr>
                                <w:rFonts w:ascii="Century Gothic" w:hAnsi="Century Gothic"/>
                                <w:b/>
                                <w:sz w:val="18"/>
                                <w:szCs w:val="18"/>
                              </w:rPr>
                            </w:pPr>
                            <w:r w:rsidRPr="00084341">
                              <w:rPr>
                                <w:rFonts w:ascii="Century Gothic" w:hAnsi="Century Gothic"/>
                                <w:b/>
                                <w:sz w:val="18"/>
                                <w:szCs w:val="18"/>
                              </w:rPr>
                              <w:t>…………</w:t>
                            </w:r>
                            <w:r>
                              <w:rPr>
                                <w:rFonts w:ascii="Century Gothic" w:hAnsi="Century Gothic"/>
                                <w:b/>
                                <w:sz w:val="18"/>
                                <w:szCs w:val="18"/>
                              </w:rPr>
                              <w:t>..………….............</w:t>
                            </w:r>
                            <w:r>
                              <w:rPr>
                                <w:rFonts w:ascii="Century Gothic" w:hAnsi="Century Gothic"/>
                                <w:b/>
                                <w:sz w:val="18"/>
                                <w:szCs w:val="18"/>
                              </w:rPr>
                              <w:tab/>
                              <w:t>……………………</w:t>
                            </w:r>
                          </w:p>
                          <w:p w:rsidR="000D19E6" w:rsidRDefault="000D19E6" w:rsidP="000D19E6">
                            <w:pPr>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29A656" id="_x0000_t202" coordsize="21600,21600" o:spt="202" path="m,l,21600r21600,l21600,xe">
                <v:stroke joinstyle="miter"/>
                <v:path gradientshapeok="t" o:connecttype="rect"/>
              </v:shapetype>
              <v:shape id="Text Box 4" o:spid="_x0000_s1026" type="#_x0000_t202" style="position:absolute;left:0;text-align:left;margin-left:-4pt;margin-top:9.4pt;width:252pt;height:9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">
                <v:textbox>
                  <w:txbxContent>
                    <w:p w:rsidR="000D19E6" w:rsidRDefault="000D19E6" w:rsidP="000D19E6">
                      <w:pPr>
                        <w:numPr>
                          <w:ilvl w:val="0"/>
                          <w:numId w:val="1"/>
                        </w:numPr>
                        <w:rPr>
                          <w:rFonts w:ascii="Century Gothic" w:hAnsi="Century Gothic"/>
                          <w:sz w:val="20"/>
                          <w:szCs w:val="20"/>
                        </w:rPr>
                      </w:pPr>
                      <w:r w:rsidRPr="00913F95">
                        <w:rPr>
                          <w:rFonts w:ascii="Century Gothic" w:hAnsi="Century Gothic"/>
                          <w:sz w:val="20"/>
                          <w:szCs w:val="20"/>
                        </w:rPr>
                        <w:t xml:space="preserve">REPORTABLE: </w:t>
                      </w:r>
                      <w:r w:rsidRPr="00244305">
                        <w:rPr>
                          <w:rFonts w:ascii="Century Gothic" w:hAnsi="Century Gothic"/>
                          <w:strike/>
                          <w:sz w:val="20"/>
                          <w:szCs w:val="20"/>
                        </w:rPr>
                        <w:t>YES</w:t>
                      </w:r>
                      <w:r>
                        <w:rPr>
                          <w:rFonts w:ascii="Century Gothic" w:hAnsi="Century Gothic"/>
                          <w:sz w:val="20"/>
                          <w:szCs w:val="20"/>
                        </w:rPr>
                        <w:t xml:space="preserve"> / NO</w:t>
                      </w:r>
                    </w:p>
                    <w:p w:rsidR="000D19E6" w:rsidRPr="00913F95" w:rsidRDefault="000D19E6" w:rsidP="000D19E6">
                      <w:pPr>
                        <w:numPr>
                          <w:ilvl w:val="0"/>
                          <w:numId w:val="1"/>
                        </w:numPr>
                        <w:rPr>
                          <w:rFonts w:ascii="Century Gothic" w:hAnsi="Century Gothic"/>
                          <w:sz w:val="20"/>
                          <w:szCs w:val="20"/>
                        </w:rPr>
                      </w:pPr>
                      <w:r w:rsidRPr="00913F95">
                        <w:rPr>
                          <w:rFonts w:ascii="Century Gothic" w:hAnsi="Century Gothic"/>
                          <w:sz w:val="20"/>
                          <w:szCs w:val="20"/>
                        </w:rPr>
                        <w:t xml:space="preserve">OF INTEREST TO OTHER JUDGES: </w:t>
                      </w:r>
                      <w:bookmarkStart w:id="1" w:name="_GoBack"/>
                      <w:r w:rsidRPr="00244305">
                        <w:rPr>
                          <w:rFonts w:ascii="Century Gothic" w:hAnsi="Century Gothic"/>
                          <w:strike/>
                          <w:sz w:val="20"/>
                          <w:szCs w:val="20"/>
                        </w:rPr>
                        <w:t>YES</w:t>
                      </w:r>
                      <w:bookmarkEnd w:id="1"/>
                      <w:r>
                        <w:rPr>
                          <w:rFonts w:ascii="Century Gothic" w:hAnsi="Century Gothic"/>
                          <w:sz w:val="20"/>
                          <w:szCs w:val="20"/>
                        </w:rPr>
                        <w:t>/</w:t>
                      </w:r>
                      <w:r w:rsidRPr="00913F95">
                        <w:rPr>
                          <w:rFonts w:ascii="Century Gothic" w:hAnsi="Century Gothic"/>
                          <w:sz w:val="20"/>
                          <w:szCs w:val="20"/>
                        </w:rPr>
                        <w:t>NO</w:t>
                      </w:r>
                    </w:p>
                    <w:p w:rsidR="000D19E6" w:rsidRPr="00913F95" w:rsidRDefault="000D19E6" w:rsidP="000D19E6">
                      <w:pPr>
                        <w:numPr>
                          <w:ilvl w:val="0"/>
                          <w:numId w:val="1"/>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rsidR="000D19E6" w:rsidRDefault="000D19E6" w:rsidP="000D19E6">
                      <w:pPr>
                        <w:rPr>
                          <w:rFonts w:ascii="Century Gothic" w:hAnsi="Century Gothic"/>
                          <w:b/>
                          <w:sz w:val="18"/>
                          <w:szCs w:val="18"/>
                        </w:rPr>
                      </w:pPr>
                    </w:p>
                    <w:p w:rsidR="000D19E6" w:rsidRDefault="000D19E6" w:rsidP="000D19E6">
                      <w:pPr>
                        <w:rPr>
                          <w:rFonts w:ascii="Century Gothic" w:hAnsi="Century Gothic"/>
                          <w:b/>
                          <w:sz w:val="18"/>
                          <w:szCs w:val="18"/>
                        </w:rPr>
                      </w:pPr>
                      <w:r w:rsidRPr="00084341">
                        <w:rPr>
                          <w:rFonts w:ascii="Century Gothic" w:hAnsi="Century Gothic"/>
                          <w:b/>
                          <w:sz w:val="18"/>
                          <w:szCs w:val="18"/>
                        </w:rPr>
                        <w:t>…………</w:t>
                      </w:r>
                      <w:r>
                        <w:rPr>
                          <w:rFonts w:ascii="Century Gothic" w:hAnsi="Century Gothic"/>
                          <w:b/>
                          <w:sz w:val="18"/>
                          <w:szCs w:val="18"/>
                        </w:rPr>
                        <w:t>..………….............</w:t>
                      </w:r>
                      <w:r>
                        <w:rPr>
                          <w:rFonts w:ascii="Century Gothic" w:hAnsi="Century Gothic"/>
                          <w:b/>
                          <w:sz w:val="18"/>
                          <w:szCs w:val="18"/>
                        </w:rPr>
                        <w:tab/>
                        <w:t>……………………</w:t>
                      </w:r>
                    </w:p>
                    <w:p w:rsidR="000D19E6" w:rsidRDefault="000D19E6" w:rsidP="000D19E6">
                      <w:pPr>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DATE</w:t>
                      </w:r>
                    </w:p>
                  </w:txbxContent>
                </v:textbox>
              </v:shape>
            </w:pict>
          </mc:Fallback>
        </mc:AlternateContent>
      </w:r>
      <w:r w:rsidRPr="0010488B">
        <w:rPr>
          <w:rFonts w:ascii="Arial" w:hAnsi="Arial" w:cs="Arial"/>
          <w:color w:val="000000" w:themeColor="text1"/>
        </w:rPr>
        <w:t xml:space="preserve">                                                                                      CASE NUMBER: </w:t>
      </w:r>
      <w:r>
        <w:rPr>
          <w:rFonts w:ascii="Arial" w:hAnsi="Arial" w:cs="Arial"/>
          <w:color w:val="000000" w:themeColor="text1"/>
        </w:rPr>
        <w:t>2388/2020</w:t>
      </w:r>
    </w:p>
    <w:p w:rsidR="000D19E6" w:rsidRPr="0010488B" w:rsidRDefault="000D19E6" w:rsidP="000D19E6">
      <w:pPr>
        <w:tabs>
          <w:tab w:val="left" w:pos="4320"/>
        </w:tabs>
        <w:jc w:val="both"/>
        <w:rPr>
          <w:rFonts w:ascii="Arial" w:hAnsi="Arial" w:cs="Arial"/>
          <w:color w:val="000000" w:themeColor="text1"/>
        </w:rPr>
      </w:pPr>
    </w:p>
    <w:p w:rsidR="000D19E6" w:rsidRPr="0010488B" w:rsidRDefault="000D19E6" w:rsidP="000D19E6">
      <w:pPr>
        <w:tabs>
          <w:tab w:val="left" w:pos="4320"/>
        </w:tabs>
        <w:jc w:val="both"/>
        <w:rPr>
          <w:rFonts w:ascii="Arial" w:hAnsi="Arial" w:cs="Arial"/>
          <w:color w:val="000000" w:themeColor="text1"/>
        </w:rPr>
      </w:pPr>
    </w:p>
    <w:p w:rsidR="000D19E6" w:rsidRPr="0010488B" w:rsidRDefault="000D19E6" w:rsidP="000D19E6">
      <w:pPr>
        <w:tabs>
          <w:tab w:val="left" w:pos="4320"/>
        </w:tabs>
        <w:jc w:val="both"/>
        <w:rPr>
          <w:rFonts w:ascii="Arial" w:hAnsi="Arial" w:cs="Arial"/>
          <w:color w:val="000000" w:themeColor="text1"/>
        </w:rPr>
      </w:pPr>
    </w:p>
    <w:p w:rsidR="000D19E6" w:rsidRPr="0010488B" w:rsidRDefault="000D19E6" w:rsidP="000D19E6">
      <w:pPr>
        <w:tabs>
          <w:tab w:val="left" w:pos="4320"/>
        </w:tabs>
        <w:jc w:val="both"/>
        <w:rPr>
          <w:rFonts w:ascii="Arial" w:hAnsi="Arial" w:cs="Arial"/>
          <w:color w:val="000000" w:themeColor="text1"/>
        </w:rPr>
      </w:pPr>
    </w:p>
    <w:p w:rsidR="000D19E6" w:rsidRPr="0010488B" w:rsidRDefault="000D19E6" w:rsidP="000D19E6">
      <w:pPr>
        <w:tabs>
          <w:tab w:val="left" w:pos="4320"/>
        </w:tabs>
        <w:jc w:val="both"/>
        <w:rPr>
          <w:rFonts w:ascii="Arial" w:hAnsi="Arial" w:cs="Arial"/>
          <w:color w:val="000000" w:themeColor="text1"/>
        </w:rPr>
      </w:pPr>
    </w:p>
    <w:p w:rsidR="000D19E6" w:rsidRPr="0010488B" w:rsidRDefault="000D19E6" w:rsidP="000D19E6">
      <w:pPr>
        <w:tabs>
          <w:tab w:val="left" w:pos="4320"/>
        </w:tabs>
        <w:jc w:val="both"/>
        <w:rPr>
          <w:rFonts w:ascii="Arial" w:hAnsi="Arial" w:cs="Arial"/>
          <w:color w:val="000000" w:themeColor="text1"/>
        </w:rPr>
      </w:pPr>
    </w:p>
    <w:p w:rsidR="000D19E6" w:rsidRPr="0010488B" w:rsidRDefault="000D19E6" w:rsidP="000D19E6">
      <w:pPr>
        <w:tabs>
          <w:tab w:val="left" w:pos="4320"/>
        </w:tabs>
        <w:jc w:val="both"/>
        <w:rPr>
          <w:rFonts w:ascii="Arial" w:hAnsi="Arial" w:cs="Arial"/>
          <w:color w:val="000000" w:themeColor="text1"/>
        </w:rPr>
      </w:pPr>
    </w:p>
    <w:p w:rsidR="000D19E6" w:rsidRPr="0010488B" w:rsidRDefault="000D19E6" w:rsidP="000D19E6">
      <w:pPr>
        <w:tabs>
          <w:tab w:val="left" w:pos="4320"/>
        </w:tabs>
        <w:jc w:val="both"/>
        <w:rPr>
          <w:rFonts w:ascii="Arial" w:hAnsi="Arial" w:cs="Arial"/>
          <w:color w:val="000000" w:themeColor="text1"/>
        </w:rPr>
      </w:pPr>
    </w:p>
    <w:p w:rsidR="000D19E6" w:rsidRPr="0010488B" w:rsidRDefault="000D19E6" w:rsidP="000D19E6">
      <w:pPr>
        <w:pStyle w:val="Myown"/>
        <w:numPr>
          <w:ilvl w:val="0"/>
          <w:numId w:val="0"/>
        </w:numPr>
        <w:spacing w:before="0" w:after="0" w:line="240" w:lineRule="auto"/>
        <w:ind w:left="709" w:hanging="709"/>
        <w:rPr>
          <w:rFonts w:cs="Arial"/>
        </w:rPr>
      </w:pPr>
      <w:r w:rsidRPr="0010488B">
        <w:rPr>
          <w:rFonts w:cs="Arial"/>
        </w:rPr>
        <w:t>In the matter between:</w:t>
      </w:r>
    </w:p>
    <w:p w:rsidR="000D19E6" w:rsidRPr="0010488B" w:rsidRDefault="000D19E6" w:rsidP="000D19E6">
      <w:pPr>
        <w:pStyle w:val="Myown"/>
        <w:numPr>
          <w:ilvl w:val="0"/>
          <w:numId w:val="0"/>
        </w:numPr>
        <w:spacing w:before="0" w:after="0" w:line="240" w:lineRule="auto"/>
        <w:ind w:left="709" w:hanging="709"/>
        <w:rPr>
          <w:rFonts w:cs="Arial"/>
        </w:rPr>
      </w:pPr>
    </w:p>
    <w:p w:rsidR="000D19E6" w:rsidRPr="0010488B" w:rsidRDefault="000D19E6" w:rsidP="000D19E6">
      <w:pPr>
        <w:pStyle w:val="Myown"/>
        <w:numPr>
          <w:ilvl w:val="0"/>
          <w:numId w:val="0"/>
        </w:numPr>
        <w:spacing w:before="0" w:after="0" w:line="360" w:lineRule="auto"/>
        <w:ind w:left="709" w:hanging="709"/>
        <w:rPr>
          <w:rFonts w:cs="Arial"/>
        </w:rPr>
      </w:pPr>
      <w:r>
        <w:rPr>
          <w:rFonts w:cs="Arial"/>
          <w:b/>
        </w:rPr>
        <w:t>AIRPORTS COMPANY OF SOUTH AFRICA (SOC) LTD</w:t>
      </w:r>
      <w:r w:rsidRPr="0010488B">
        <w:rPr>
          <w:rFonts w:cs="Arial"/>
          <w:b/>
        </w:rPr>
        <w:t xml:space="preserve">                           </w:t>
      </w:r>
      <w:r w:rsidRPr="00253902">
        <w:rPr>
          <w:rFonts w:cs="Arial"/>
        </w:rPr>
        <w:t>Applicant</w:t>
      </w:r>
    </w:p>
    <w:p w:rsidR="000D19E6" w:rsidRPr="0010488B" w:rsidRDefault="000D19E6" w:rsidP="000D19E6">
      <w:pPr>
        <w:pBdr>
          <w:bottom w:val="single" w:sz="12" w:space="1" w:color="auto"/>
        </w:pBdr>
        <w:jc w:val="both"/>
        <w:rPr>
          <w:rFonts w:ascii="Arial" w:hAnsi="Arial" w:cs="Arial"/>
        </w:rPr>
      </w:pPr>
    </w:p>
    <w:p w:rsidR="000D19E6" w:rsidRPr="0010488B" w:rsidRDefault="000D19E6" w:rsidP="000D19E6">
      <w:pPr>
        <w:pBdr>
          <w:bottom w:val="single" w:sz="12" w:space="1" w:color="auto"/>
        </w:pBdr>
        <w:jc w:val="both"/>
        <w:rPr>
          <w:rFonts w:ascii="Arial" w:hAnsi="Arial" w:cs="Arial"/>
          <w:b/>
        </w:rPr>
      </w:pPr>
      <w:r w:rsidRPr="0010488B">
        <w:rPr>
          <w:rFonts w:ascii="Arial" w:hAnsi="Arial" w:cs="Arial"/>
          <w:b/>
        </w:rPr>
        <w:t>And</w:t>
      </w:r>
    </w:p>
    <w:p w:rsidR="000D19E6" w:rsidRPr="0010488B" w:rsidRDefault="000D19E6" w:rsidP="000D19E6">
      <w:pPr>
        <w:pBdr>
          <w:bottom w:val="single" w:sz="12" w:space="1" w:color="auto"/>
        </w:pBdr>
        <w:jc w:val="both"/>
        <w:rPr>
          <w:rFonts w:ascii="Arial" w:hAnsi="Arial" w:cs="Arial"/>
          <w:b/>
        </w:rPr>
      </w:pPr>
    </w:p>
    <w:p w:rsidR="000D19E6" w:rsidRPr="0010488B" w:rsidRDefault="000D19E6" w:rsidP="000D19E6">
      <w:pPr>
        <w:pBdr>
          <w:bottom w:val="single" w:sz="12" w:space="1" w:color="auto"/>
        </w:pBdr>
        <w:jc w:val="both"/>
        <w:rPr>
          <w:rFonts w:ascii="Arial" w:hAnsi="Arial" w:cs="Arial"/>
        </w:rPr>
      </w:pPr>
      <w:r>
        <w:rPr>
          <w:rFonts w:ascii="Arial" w:hAnsi="Arial" w:cs="Arial"/>
          <w:b/>
        </w:rPr>
        <w:t>TSWELOKGOTSO TRADING ENTERPRISE CC</w:t>
      </w:r>
      <w:r w:rsidRPr="0010488B">
        <w:rPr>
          <w:rFonts w:ascii="Arial" w:hAnsi="Arial" w:cs="Arial"/>
          <w:b/>
        </w:rPr>
        <w:t xml:space="preserve">               </w:t>
      </w:r>
      <w:r>
        <w:rPr>
          <w:rFonts w:ascii="Arial" w:hAnsi="Arial" w:cs="Arial"/>
          <w:b/>
        </w:rPr>
        <w:t xml:space="preserve">                   </w:t>
      </w:r>
      <w:r w:rsidR="00244305">
        <w:rPr>
          <w:rFonts w:ascii="Arial" w:hAnsi="Arial" w:cs="Arial"/>
          <w:b/>
        </w:rPr>
        <w:t xml:space="preserve">    </w:t>
      </w:r>
      <w:r w:rsidRPr="0010488B">
        <w:rPr>
          <w:rFonts w:ascii="Arial" w:hAnsi="Arial" w:cs="Arial"/>
        </w:rPr>
        <w:t>Defendant</w:t>
      </w:r>
    </w:p>
    <w:p w:rsidR="000D19E6" w:rsidRPr="0010488B" w:rsidRDefault="000D19E6" w:rsidP="000D19E6">
      <w:pPr>
        <w:pBdr>
          <w:bottom w:val="single" w:sz="12" w:space="1" w:color="auto"/>
        </w:pBdr>
        <w:jc w:val="both"/>
        <w:rPr>
          <w:rFonts w:ascii="Arial" w:hAnsi="Arial" w:cs="Arial"/>
        </w:rPr>
      </w:pPr>
    </w:p>
    <w:p w:rsidR="000D19E6" w:rsidRPr="0010488B" w:rsidRDefault="000D19E6" w:rsidP="000D19E6">
      <w:pPr>
        <w:pBdr>
          <w:bottom w:val="single" w:sz="12" w:space="1" w:color="auto"/>
        </w:pBdr>
        <w:jc w:val="both"/>
        <w:rPr>
          <w:rFonts w:ascii="Arial" w:hAnsi="Arial" w:cs="Arial"/>
        </w:rPr>
      </w:pPr>
    </w:p>
    <w:p w:rsidR="000D19E6" w:rsidRPr="0010488B" w:rsidRDefault="000D19E6" w:rsidP="000D19E6">
      <w:pPr>
        <w:jc w:val="both"/>
        <w:rPr>
          <w:rFonts w:ascii="Arial" w:hAnsi="Arial" w:cs="Arial"/>
        </w:rPr>
      </w:pPr>
    </w:p>
    <w:p w:rsidR="000D19E6" w:rsidRPr="0010488B" w:rsidRDefault="000D19E6" w:rsidP="000D19E6">
      <w:pPr>
        <w:pBdr>
          <w:bottom w:val="single" w:sz="12" w:space="1" w:color="auto"/>
        </w:pBdr>
        <w:jc w:val="center"/>
        <w:rPr>
          <w:rFonts w:ascii="Arial" w:hAnsi="Arial" w:cs="Arial"/>
          <w:b/>
        </w:rPr>
      </w:pPr>
      <w:r w:rsidRPr="0010488B">
        <w:rPr>
          <w:rFonts w:ascii="Arial" w:hAnsi="Arial" w:cs="Arial"/>
          <w:b/>
        </w:rPr>
        <w:t>JUDGMENT</w:t>
      </w:r>
    </w:p>
    <w:p w:rsidR="000D19E6" w:rsidRPr="0010488B" w:rsidRDefault="000D19E6" w:rsidP="000D19E6">
      <w:pPr>
        <w:pBdr>
          <w:bottom w:val="single" w:sz="12" w:space="1" w:color="auto"/>
        </w:pBdr>
        <w:jc w:val="center"/>
        <w:rPr>
          <w:rFonts w:ascii="Arial" w:hAnsi="Arial" w:cs="Arial"/>
          <w:b/>
        </w:rPr>
      </w:pPr>
    </w:p>
    <w:p w:rsidR="000D19E6" w:rsidRDefault="000D19E6" w:rsidP="000D19E6">
      <w:pPr>
        <w:tabs>
          <w:tab w:val="left" w:pos="4320"/>
        </w:tabs>
        <w:spacing w:before="180" w:after="240"/>
        <w:jc w:val="both"/>
        <w:rPr>
          <w:rFonts w:ascii="Arial" w:hAnsi="Arial" w:cs="Arial"/>
          <w:b/>
          <w:color w:val="000000"/>
          <w:u w:val="single"/>
        </w:rPr>
      </w:pPr>
      <w:r>
        <w:rPr>
          <w:rFonts w:ascii="Arial" w:hAnsi="Arial" w:cs="Arial"/>
          <w:b/>
          <w:color w:val="000000"/>
          <w:u w:val="single"/>
        </w:rPr>
        <w:t>WINDELL, J:</w:t>
      </w:r>
    </w:p>
    <w:p w:rsidR="000D19E6" w:rsidRDefault="000D19E6" w:rsidP="000D19E6">
      <w:pPr>
        <w:spacing w:before="240" w:after="240"/>
        <w:rPr>
          <w:rFonts w:ascii="Arial" w:hAnsi="Arial" w:cs="Arial"/>
          <w:b/>
          <w:color w:val="000000"/>
        </w:rPr>
      </w:pPr>
    </w:p>
    <w:p w:rsidR="000D19E6" w:rsidRDefault="000D19E6" w:rsidP="000D19E6">
      <w:pPr>
        <w:widowControl w:val="0"/>
        <w:spacing w:before="240" w:after="120" w:line="480" w:lineRule="auto"/>
        <w:jc w:val="both"/>
        <w:rPr>
          <w:rFonts w:ascii="Arial" w:hAnsi="Arial" w:cs="Arial"/>
        </w:rPr>
      </w:pPr>
      <w:r w:rsidRPr="0010488B">
        <w:rPr>
          <w:rFonts w:ascii="Arial" w:hAnsi="Arial" w:cs="Arial"/>
        </w:rPr>
        <w:t xml:space="preserve">[1] This is an opposed application for </w:t>
      </w:r>
      <w:r>
        <w:rPr>
          <w:rFonts w:ascii="Arial" w:hAnsi="Arial" w:cs="Arial"/>
        </w:rPr>
        <w:t xml:space="preserve">an order to eject the </w:t>
      </w:r>
      <w:r w:rsidR="00A06A5D">
        <w:rPr>
          <w:rFonts w:ascii="Arial" w:hAnsi="Arial" w:cs="Arial"/>
        </w:rPr>
        <w:t>respondent</w:t>
      </w:r>
      <w:r w:rsidRPr="00253902">
        <w:rPr>
          <w:rFonts w:ascii="Arial" w:hAnsi="Arial" w:cs="Arial"/>
        </w:rPr>
        <w:t xml:space="preserve"> and all other persons occupying the premises described as ITB Piazza Building, OR Tambo International Airport, also known as the Wellness Centre ("the premises")</w:t>
      </w:r>
      <w:r>
        <w:rPr>
          <w:rFonts w:ascii="Arial" w:hAnsi="Arial" w:cs="Arial"/>
        </w:rPr>
        <w:t>. The relief sough</w:t>
      </w:r>
      <w:r w:rsidR="00193609">
        <w:rPr>
          <w:rFonts w:ascii="Arial" w:hAnsi="Arial" w:cs="Arial"/>
        </w:rPr>
        <w:t>t in paragraphs 4 and 5 of the notice of m</w:t>
      </w:r>
      <w:r>
        <w:rPr>
          <w:rFonts w:ascii="Arial" w:hAnsi="Arial" w:cs="Arial"/>
        </w:rPr>
        <w:t>otion was abandoned before the hearing of the matter. The</w:t>
      </w:r>
      <w:r w:rsidR="00A06A5D">
        <w:rPr>
          <w:rFonts w:ascii="Arial" w:hAnsi="Arial" w:cs="Arial"/>
        </w:rPr>
        <w:t>refore, the</w:t>
      </w:r>
      <w:r>
        <w:rPr>
          <w:rFonts w:ascii="Arial" w:hAnsi="Arial" w:cs="Arial"/>
        </w:rPr>
        <w:t xml:space="preserve"> only issue for determination is whether the </w:t>
      </w:r>
      <w:r>
        <w:rPr>
          <w:rFonts w:ascii="Arial" w:hAnsi="Arial" w:cs="Arial"/>
        </w:rPr>
        <w:lastRenderedPageBreak/>
        <w:t>respondent should be ordered to vacate the premises.</w:t>
      </w:r>
    </w:p>
    <w:p w:rsidR="00261DD1" w:rsidRPr="00261DD1" w:rsidRDefault="000D19E6" w:rsidP="00261DD1">
      <w:pPr>
        <w:spacing w:line="480" w:lineRule="auto"/>
        <w:contextualSpacing/>
        <w:jc w:val="both"/>
        <w:rPr>
          <w:rFonts w:ascii="Arial" w:hAnsi="Arial" w:cs="Arial"/>
          <w:b/>
          <w:color w:val="000000"/>
        </w:rPr>
      </w:pPr>
      <w:r>
        <w:rPr>
          <w:rFonts w:ascii="Arial" w:hAnsi="Arial" w:cs="Arial"/>
        </w:rPr>
        <w:t xml:space="preserve">[2] </w:t>
      </w:r>
      <w:r w:rsidR="00261DD1" w:rsidRPr="00261DD1">
        <w:rPr>
          <w:rFonts w:ascii="Arial" w:hAnsi="Arial" w:cs="Arial"/>
          <w:color w:val="000000"/>
        </w:rPr>
        <w:t>In order for the applicant to succeed with the application for an eviction order, the applicant must allege and prove the right of the respondents to possess (in this instance the lease agreement), a valid termination of the right to possession, and the continued occupation by the respondents or someone holding through them.</w:t>
      </w:r>
      <w:r w:rsidR="00261DD1" w:rsidRPr="00D0430F">
        <w:rPr>
          <w:rStyle w:val="FootnoteReference"/>
          <w:rFonts w:ascii="Arial" w:hAnsi="Arial" w:cs="Arial"/>
          <w:color w:val="000000"/>
        </w:rPr>
        <w:footnoteReference w:id="1"/>
      </w:r>
      <w:r w:rsidR="00261DD1" w:rsidRPr="00261DD1">
        <w:rPr>
          <w:rFonts w:ascii="Arial" w:hAnsi="Arial" w:cs="Arial"/>
          <w:color w:val="000000"/>
        </w:rPr>
        <w:t xml:space="preserve"> The appellant must further prove that there was a breach of the lease agreement, and an accrued right to cancel, because </w:t>
      </w:r>
      <w:r w:rsidR="00261DD1" w:rsidRPr="00261DD1">
        <w:rPr>
          <w:rFonts w:ascii="Arial" w:hAnsi="Arial" w:cs="Arial"/>
        </w:rPr>
        <w:t>the breach was material, or in the event that the agreement contains a cancellation clause, that its provisions have been complied with. The applicant must also prove that a clear and unequivocal notice of cancellation was conveyed to the other party, unless the agreement dispenses with such notice.</w:t>
      </w:r>
      <w:r w:rsidR="00261DD1" w:rsidRPr="00261DD1">
        <w:rPr>
          <w:rFonts w:ascii="Arial" w:hAnsi="Arial" w:cs="Arial"/>
          <w:color w:val="000000"/>
        </w:rPr>
        <w:t xml:space="preserve"> </w:t>
      </w:r>
    </w:p>
    <w:p w:rsidR="000D19E6" w:rsidRDefault="00261DD1" w:rsidP="000D19E6">
      <w:pPr>
        <w:widowControl w:val="0"/>
        <w:spacing w:before="240" w:after="120" w:line="480" w:lineRule="auto"/>
        <w:jc w:val="both"/>
        <w:rPr>
          <w:rFonts w:ascii="Arial" w:hAnsi="Arial" w:cs="Arial"/>
        </w:rPr>
      </w:pPr>
      <w:r>
        <w:rPr>
          <w:rFonts w:ascii="Arial" w:hAnsi="Arial" w:cs="Arial"/>
        </w:rPr>
        <w:t xml:space="preserve">[3] </w:t>
      </w:r>
      <w:r w:rsidR="000D19E6">
        <w:rPr>
          <w:rFonts w:ascii="Arial" w:hAnsi="Arial" w:cs="Arial"/>
        </w:rPr>
        <w:t>The salient facts on which the applicant relies</w:t>
      </w:r>
      <w:r w:rsidR="00E8392E">
        <w:rPr>
          <w:rFonts w:ascii="Arial" w:hAnsi="Arial" w:cs="Arial"/>
        </w:rPr>
        <w:t xml:space="preserve"> (in its founding affidavit)</w:t>
      </w:r>
      <w:r w:rsidR="000D19E6">
        <w:rPr>
          <w:rFonts w:ascii="Arial" w:hAnsi="Arial" w:cs="Arial"/>
        </w:rPr>
        <w:t xml:space="preserve"> for the eviction</w:t>
      </w:r>
      <w:r w:rsidR="00F512B8">
        <w:rPr>
          <w:rFonts w:ascii="Arial" w:hAnsi="Arial" w:cs="Arial"/>
        </w:rPr>
        <w:t xml:space="preserve"> </w:t>
      </w:r>
      <w:r w:rsidR="000D19E6">
        <w:rPr>
          <w:rFonts w:ascii="Arial" w:hAnsi="Arial" w:cs="Arial"/>
        </w:rPr>
        <w:t>are the following.</w:t>
      </w:r>
    </w:p>
    <w:p w:rsidR="000D19E6" w:rsidRDefault="000D19E6" w:rsidP="008B25BA">
      <w:pPr>
        <w:widowControl w:val="0"/>
        <w:spacing w:before="240" w:after="120" w:line="480" w:lineRule="auto"/>
        <w:ind w:left="720"/>
        <w:jc w:val="both"/>
        <w:rPr>
          <w:rFonts w:ascii="Arial" w:hAnsi="Arial" w:cs="Arial"/>
        </w:rPr>
      </w:pPr>
      <w:r>
        <w:rPr>
          <w:rFonts w:ascii="Arial" w:hAnsi="Arial" w:cs="Arial"/>
        </w:rPr>
        <w:t xml:space="preserve">1. The premises belongs to the applicant and is currently occupied by the respondent.  </w:t>
      </w:r>
    </w:p>
    <w:p w:rsidR="000D19E6" w:rsidRDefault="000D19E6" w:rsidP="008B25BA">
      <w:pPr>
        <w:widowControl w:val="0"/>
        <w:spacing w:before="240" w:after="120" w:line="480" w:lineRule="auto"/>
        <w:ind w:left="720"/>
        <w:jc w:val="both"/>
        <w:rPr>
          <w:rFonts w:ascii="Arial" w:hAnsi="Arial" w:cs="Arial"/>
        </w:rPr>
      </w:pPr>
      <w:r>
        <w:rPr>
          <w:rFonts w:ascii="Arial" w:hAnsi="Arial" w:cs="Arial"/>
        </w:rPr>
        <w:t>2. The applicant and the respondent entered into a lease agreement on 19 July 2013</w:t>
      </w:r>
      <w:r w:rsidR="006E459F">
        <w:rPr>
          <w:rFonts w:ascii="Arial" w:hAnsi="Arial" w:cs="Arial"/>
        </w:rPr>
        <w:t xml:space="preserve"> (hereinafter referred to as the first lease agreement</w:t>
      </w:r>
      <w:r w:rsidR="00B76017">
        <w:rPr>
          <w:rFonts w:ascii="Arial" w:hAnsi="Arial" w:cs="Arial"/>
        </w:rPr>
        <w:t>).</w:t>
      </w:r>
      <w:r>
        <w:rPr>
          <w:rFonts w:ascii="Arial" w:hAnsi="Arial" w:cs="Arial"/>
        </w:rPr>
        <w:t xml:space="preserve"> In terms of the</w:t>
      </w:r>
      <w:r w:rsidR="006E459F">
        <w:rPr>
          <w:rFonts w:ascii="Arial" w:hAnsi="Arial" w:cs="Arial"/>
        </w:rPr>
        <w:t xml:space="preserve"> first</w:t>
      </w:r>
      <w:r>
        <w:rPr>
          <w:rFonts w:ascii="Arial" w:hAnsi="Arial" w:cs="Arial"/>
        </w:rPr>
        <w:t xml:space="preserve"> lease agreement the lease would endure for a period of five and a half years until 30 December 2019. In terms of clause 5 </w:t>
      </w:r>
      <w:r w:rsidR="00244305">
        <w:rPr>
          <w:rFonts w:ascii="Arial" w:hAnsi="Arial" w:cs="Arial"/>
        </w:rPr>
        <w:t xml:space="preserve">of this agreement </w:t>
      </w:r>
      <w:r>
        <w:rPr>
          <w:rFonts w:ascii="Arial" w:hAnsi="Arial" w:cs="Arial"/>
        </w:rPr>
        <w:t>the respondent had to pay rental each month.</w:t>
      </w:r>
    </w:p>
    <w:p w:rsidR="000D19E6" w:rsidRDefault="000D19E6" w:rsidP="008B25BA">
      <w:pPr>
        <w:widowControl w:val="0"/>
        <w:spacing w:before="240" w:after="120" w:line="480" w:lineRule="auto"/>
        <w:ind w:left="720"/>
        <w:jc w:val="both"/>
        <w:rPr>
          <w:rFonts w:ascii="Arial" w:hAnsi="Arial" w:cs="Arial"/>
        </w:rPr>
      </w:pPr>
      <w:r>
        <w:rPr>
          <w:rFonts w:ascii="Arial" w:hAnsi="Arial" w:cs="Arial"/>
        </w:rPr>
        <w:t>3. The respondent failed to pay the</w:t>
      </w:r>
      <w:r w:rsidR="00B76017">
        <w:rPr>
          <w:rFonts w:ascii="Arial" w:hAnsi="Arial" w:cs="Arial"/>
        </w:rPr>
        <w:t xml:space="preserve"> monthly</w:t>
      </w:r>
      <w:r>
        <w:rPr>
          <w:rFonts w:ascii="Arial" w:hAnsi="Arial" w:cs="Arial"/>
        </w:rPr>
        <w:t xml:space="preserve"> rental. The failure already occurred in January 2014 when the respondent was supposed to make its second payment in terms of the </w:t>
      </w:r>
      <w:r w:rsidR="00B76017">
        <w:rPr>
          <w:rFonts w:ascii="Arial" w:hAnsi="Arial" w:cs="Arial"/>
        </w:rPr>
        <w:t xml:space="preserve">first </w:t>
      </w:r>
      <w:r>
        <w:rPr>
          <w:rFonts w:ascii="Arial" w:hAnsi="Arial" w:cs="Arial"/>
        </w:rPr>
        <w:t>lease agreement.</w:t>
      </w:r>
      <w:r w:rsidR="00F512B8">
        <w:rPr>
          <w:rFonts w:ascii="Arial" w:hAnsi="Arial" w:cs="Arial"/>
        </w:rPr>
        <w:t xml:space="preserve"> </w:t>
      </w:r>
      <w:r>
        <w:rPr>
          <w:rFonts w:ascii="Arial" w:hAnsi="Arial" w:cs="Arial"/>
        </w:rPr>
        <w:t>As of January 2016</w:t>
      </w:r>
      <w:r w:rsidR="00693141">
        <w:rPr>
          <w:rFonts w:ascii="Arial" w:hAnsi="Arial" w:cs="Arial"/>
        </w:rPr>
        <w:t>,</w:t>
      </w:r>
      <w:r>
        <w:rPr>
          <w:rFonts w:ascii="Arial" w:hAnsi="Arial" w:cs="Arial"/>
        </w:rPr>
        <w:t xml:space="preserve"> the </w:t>
      </w:r>
      <w:r>
        <w:rPr>
          <w:rFonts w:ascii="Arial" w:hAnsi="Arial" w:cs="Arial"/>
        </w:rPr>
        <w:lastRenderedPageBreak/>
        <w:t xml:space="preserve">respondent was in arrears in the sum of R2 603 020 and owed the applicant money for operational costs in the amount of R1 317 375.49. </w:t>
      </w:r>
    </w:p>
    <w:p w:rsidR="000D19E6" w:rsidRDefault="000D19E6" w:rsidP="008B25BA">
      <w:pPr>
        <w:widowControl w:val="0"/>
        <w:spacing w:before="240" w:after="120" w:line="480" w:lineRule="auto"/>
        <w:ind w:left="720"/>
        <w:jc w:val="both"/>
        <w:rPr>
          <w:rFonts w:ascii="Arial" w:hAnsi="Arial" w:cs="Arial"/>
        </w:rPr>
      </w:pPr>
      <w:r>
        <w:rPr>
          <w:rFonts w:ascii="Arial" w:hAnsi="Arial" w:cs="Arial"/>
        </w:rPr>
        <w:t xml:space="preserve">5. </w:t>
      </w:r>
      <w:r w:rsidR="00F512B8">
        <w:rPr>
          <w:rFonts w:ascii="Arial" w:hAnsi="Arial" w:cs="Arial"/>
        </w:rPr>
        <w:t xml:space="preserve">On </w:t>
      </w:r>
      <w:r w:rsidR="008028AB">
        <w:rPr>
          <w:rFonts w:ascii="Arial" w:hAnsi="Arial" w:cs="Arial"/>
        </w:rPr>
        <w:t>27 January 2016, after several attempts to</w:t>
      </w:r>
      <w:r w:rsidR="00B1137E">
        <w:rPr>
          <w:rFonts w:ascii="Arial" w:hAnsi="Arial" w:cs="Arial"/>
        </w:rPr>
        <w:t xml:space="preserve"> settle the disputes between the parties, </w:t>
      </w:r>
      <w:r w:rsidR="00F512B8">
        <w:rPr>
          <w:rFonts w:ascii="Arial" w:hAnsi="Arial" w:cs="Arial"/>
        </w:rPr>
        <w:t>the</w:t>
      </w:r>
      <w:r>
        <w:rPr>
          <w:rFonts w:ascii="Arial" w:hAnsi="Arial" w:cs="Arial"/>
        </w:rPr>
        <w:t xml:space="preserve"> applicant terminated the </w:t>
      </w:r>
      <w:r w:rsidR="00B76017">
        <w:rPr>
          <w:rFonts w:ascii="Arial" w:hAnsi="Arial" w:cs="Arial"/>
        </w:rPr>
        <w:t xml:space="preserve">first </w:t>
      </w:r>
      <w:r>
        <w:rPr>
          <w:rFonts w:ascii="Arial" w:hAnsi="Arial" w:cs="Arial"/>
        </w:rPr>
        <w:t>lease agreement.</w:t>
      </w:r>
    </w:p>
    <w:p w:rsidR="000D19E6" w:rsidRDefault="000D19E6" w:rsidP="008B25BA">
      <w:pPr>
        <w:widowControl w:val="0"/>
        <w:spacing w:before="240" w:after="120" w:line="480" w:lineRule="auto"/>
        <w:ind w:left="720"/>
        <w:jc w:val="both"/>
        <w:rPr>
          <w:rFonts w:ascii="Arial" w:hAnsi="Arial" w:cs="Arial"/>
        </w:rPr>
      </w:pPr>
      <w:r>
        <w:rPr>
          <w:rFonts w:ascii="Arial" w:hAnsi="Arial" w:cs="Arial"/>
        </w:rPr>
        <w:t>6. During January 2016</w:t>
      </w:r>
      <w:r w:rsidR="00693141">
        <w:rPr>
          <w:rFonts w:ascii="Arial" w:hAnsi="Arial" w:cs="Arial"/>
        </w:rPr>
        <w:t>,</w:t>
      </w:r>
      <w:r>
        <w:rPr>
          <w:rFonts w:ascii="Arial" w:hAnsi="Arial" w:cs="Arial"/>
        </w:rPr>
        <w:t xml:space="preserve"> the applicant locked the respondent out of the premises without a valid court order.</w:t>
      </w:r>
      <w:r w:rsidR="00A06A5D">
        <w:rPr>
          <w:rFonts w:ascii="Arial" w:hAnsi="Arial" w:cs="Arial"/>
        </w:rPr>
        <w:t xml:space="preserve"> On 8 August 2019</w:t>
      </w:r>
      <w:r w:rsidR="00693141">
        <w:rPr>
          <w:rFonts w:ascii="Arial" w:hAnsi="Arial" w:cs="Arial"/>
        </w:rPr>
        <w:t>,</w:t>
      </w:r>
      <w:r w:rsidR="00A06A5D">
        <w:rPr>
          <w:rFonts w:ascii="Arial" w:hAnsi="Arial" w:cs="Arial"/>
        </w:rPr>
        <w:t xml:space="preserve"> </w:t>
      </w:r>
      <w:r w:rsidR="00F512B8">
        <w:rPr>
          <w:rFonts w:ascii="Arial" w:hAnsi="Arial" w:cs="Arial"/>
        </w:rPr>
        <w:t xml:space="preserve">a court order </w:t>
      </w:r>
      <w:r>
        <w:rPr>
          <w:rFonts w:ascii="Arial" w:hAnsi="Arial" w:cs="Arial"/>
        </w:rPr>
        <w:t xml:space="preserve">was </w:t>
      </w:r>
      <w:r w:rsidR="00A06A5D">
        <w:rPr>
          <w:rFonts w:ascii="Arial" w:hAnsi="Arial" w:cs="Arial"/>
        </w:rPr>
        <w:t>granted against the applicant.</w:t>
      </w:r>
      <w:r>
        <w:rPr>
          <w:rFonts w:ascii="Arial" w:hAnsi="Arial" w:cs="Arial"/>
        </w:rPr>
        <w:t xml:space="preserve"> In terms of the court order</w:t>
      </w:r>
      <w:r w:rsidR="00693141">
        <w:rPr>
          <w:rFonts w:ascii="Arial" w:hAnsi="Arial" w:cs="Arial"/>
        </w:rPr>
        <w:t>,</w:t>
      </w:r>
      <w:r w:rsidR="00F512B8">
        <w:rPr>
          <w:rFonts w:ascii="Arial" w:hAnsi="Arial" w:cs="Arial"/>
        </w:rPr>
        <w:t xml:space="preserve"> the applicant had to restore the respondent’s possession of the premises. </w:t>
      </w:r>
      <w:r>
        <w:rPr>
          <w:rFonts w:ascii="Arial" w:hAnsi="Arial" w:cs="Arial"/>
        </w:rPr>
        <w:t xml:space="preserve">The court did not pronounce on the lawfulness or unlawfulness of the respondent’s continued occupation of the premises nor did the court decide on the validity of the applicant’s termination of the </w:t>
      </w:r>
      <w:r w:rsidR="00B76017">
        <w:rPr>
          <w:rFonts w:ascii="Arial" w:hAnsi="Arial" w:cs="Arial"/>
        </w:rPr>
        <w:t xml:space="preserve">first </w:t>
      </w:r>
      <w:r>
        <w:rPr>
          <w:rFonts w:ascii="Arial" w:hAnsi="Arial" w:cs="Arial"/>
        </w:rPr>
        <w:t>lease agreement.</w:t>
      </w:r>
    </w:p>
    <w:p w:rsidR="000D19E6" w:rsidRDefault="00F512B8" w:rsidP="008B25BA">
      <w:pPr>
        <w:widowControl w:val="0"/>
        <w:spacing w:before="240" w:after="120" w:line="480" w:lineRule="auto"/>
        <w:ind w:left="720"/>
        <w:jc w:val="both"/>
        <w:rPr>
          <w:rFonts w:ascii="Arial" w:hAnsi="Arial" w:cs="Arial"/>
        </w:rPr>
      </w:pPr>
      <w:r>
        <w:rPr>
          <w:rFonts w:ascii="Arial" w:hAnsi="Arial" w:cs="Arial"/>
        </w:rPr>
        <w:t xml:space="preserve">7. </w:t>
      </w:r>
      <w:r w:rsidR="000D19E6">
        <w:rPr>
          <w:rFonts w:ascii="Arial" w:hAnsi="Arial" w:cs="Arial"/>
        </w:rPr>
        <w:t xml:space="preserve">The applicant </w:t>
      </w:r>
      <w:r w:rsidR="00A06A5D">
        <w:rPr>
          <w:rFonts w:ascii="Arial" w:hAnsi="Arial" w:cs="Arial"/>
        </w:rPr>
        <w:t xml:space="preserve">restored </w:t>
      </w:r>
      <w:r w:rsidR="000D19E6">
        <w:rPr>
          <w:rFonts w:ascii="Arial" w:hAnsi="Arial" w:cs="Arial"/>
        </w:rPr>
        <w:t>the respondent</w:t>
      </w:r>
      <w:r w:rsidR="00693141">
        <w:rPr>
          <w:rFonts w:ascii="Arial" w:hAnsi="Arial" w:cs="Arial"/>
        </w:rPr>
        <w:t>’s</w:t>
      </w:r>
      <w:r w:rsidR="000D19E6">
        <w:rPr>
          <w:rFonts w:ascii="Arial" w:hAnsi="Arial" w:cs="Arial"/>
        </w:rPr>
        <w:t xml:space="preserve"> </w:t>
      </w:r>
      <w:r w:rsidR="00A06A5D">
        <w:rPr>
          <w:rFonts w:ascii="Arial" w:hAnsi="Arial" w:cs="Arial"/>
        </w:rPr>
        <w:t xml:space="preserve">possession of the </w:t>
      </w:r>
      <w:r w:rsidR="000D19E6">
        <w:rPr>
          <w:rFonts w:ascii="Arial" w:hAnsi="Arial" w:cs="Arial"/>
        </w:rPr>
        <w:t>premises</w:t>
      </w:r>
      <w:r>
        <w:rPr>
          <w:rFonts w:ascii="Arial" w:hAnsi="Arial" w:cs="Arial"/>
        </w:rPr>
        <w:t xml:space="preserve"> </w:t>
      </w:r>
      <w:r w:rsidR="00E8392E">
        <w:rPr>
          <w:rFonts w:ascii="Arial" w:hAnsi="Arial" w:cs="Arial"/>
        </w:rPr>
        <w:t xml:space="preserve">in August 2019 </w:t>
      </w:r>
      <w:r w:rsidR="00CE2565">
        <w:rPr>
          <w:rFonts w:ascii="Arial" w:hAnsi="Arial" w:cs="Arial"/>
        </w:rPr>
        <w:t>after the order was granted</w:t>
      </w:r>
      <w:r w:rsidR="00E8392E">
        <w:rPr>
          <w:rFonts w:ascii="Arial" w:hAnsi="Arial" w:cs="Arial"/>
        </w:rPr>
        <w:t>.</w:t>
      </w:r>
      <w:r w:rsidR="000D19E6">
        <w:rPr>
          <w:rFonts w:ascii="Arial" w:hAnsi="Arial" w:cs="Arial"/>
        </w:rPr>
        <w:t xml:space="preserve"> </w:t>
      </w:r>
      <w:r>
        <w:rPr>
          <w:rFonts w:ascii="Arial" w:hAnsi="Arial" w:cs="Arial"/>
        </w:rPr>
        <w:t>The lease was now on a month to month basis</w:t>
      </w:r>
      <w:r w:rsidR="006E459F">
        <w:rPr>
          <w:rFonts w:ascii="Arial" w:hAnsi="Arial" w:cs="Arial"/>
        </w:rPr>
        <w:t xml:space="preserve"> (second lease agreement)</w:t>
      </w:r>
      <w:r>
        <w:rPr>
          <w:rFonts w:ascii="Arial" w:hAnsi="Arial" w:cs="Arial"/>
        </w:rPr>
        <w:t xml:space="preserve">. </w:t>
      </w:r>
    </w:p>
    <w:p w:rsidR="000D19E6" w:rsidRDefault="00CE2565" w:rsidP="008B25BA">
      <w:pPr>
        <w:widowControl w:val="0"/>
        <w:tabs>
          <w:tab w:val="right" w:pos="9026"/>
        </w:tabs>
        <w:spacing w:before="240" w:after="120" w:line="480" w:lineRule="auto"/>
        <w:ind w:left="720"/>
        <w:jc w:val="both"/>
        <w:rPr>
          <w:rFonts w:ascii="Arial" w:hAnsi="Arial" w:cs="Arial"/>
        </w:rPr>
      </w:pPr>
      <w:r>
        <w:rPr>
          <w:rFonts w:ascii="Arial" w:hAnsi="Arial" w:cs="Arial"/>
        </w:rPr>
        <w:t>8. On 27 August 20</w:t>
      </w:r>
      <w:r>
        <w:rPr>
          <w:rFonts w:ascii="Arial" w:hAnsi="Arial" w:cs="Arial"/>
        </w:rPr>
        <w:tab/>
        <w:t>19</w:t>
      </w:r>
      <w:r w:rsidR="00693141">
        <w:rPr>
          <w:rFonts w:ascii="Arial" w:hAnsi="Arial" w:cs="Arial"/>
        </w:rPr>
        <w:t>,</w:t>
      </w:r>
      <w:r w:rsidR="00F512B8">
        <w:rPr>
          <w:rFonts w:ascii="Arial" w:hAnsi="Arial" w:cs="Arial"/>
        </w:rPr>
        <w:t xml:space="preserve"> </w:t>
      </w:r>
      <w:r w:rsidR="000D19E6">
        <w:rPr>
          <w:rFonts w:ascii="Arial" w:hAnsi="Arial" w:cs="Arial"/>
        </w:rPr>
        <w:t xml:space="preserve">the respondent </w:t>
      </w:r>
      <w:r w:rsidR="00F512B8">
        <w:rPr>
          <w:rFonts w:ascii="Arial" w:hAnsi="Arial" w:cs="Arial"/>
        </w:rPr>
        <w:t xml:space="preserve">was notified </w:t>
      </w:r>
      <w:r w:rsidR="000D19E6">
        <w:rPr>
          <w:rFonts w:ascii="Arial" w:hAnsi="Arial" w:cs="Arial"/>
        </w:rPr>
        <w:t xml:space="preserve">of the termination of the month to month lease. </w:t>
      </w:r>
      <w:r w:rsidR="00F512B8">
        <w:rPr>
          <w:rFonts w:ascii="Arial" w:hAnsi="Arial" w:cs="Arial"/>
        </w:rPr>
        <w:t>The respondent was</w:t>
      </w:r>
      <w:r w:rsidR="000D19E6">
        <w:rPr>
          <w:rFonts w:ascii="Arial" w:hAnsi="Arial" w:cs="Arial"/>
        </w:rPr>
        <w:t xml:space="preserve"> required to vacate the premises on or before 2</w:t>
      </w:r>
      <w:r>
        <w:rPr>
          <w:rFonts w:ascii="Arial" w:hAnsi="Arial" w:cs="Arial"/>
        </w:rPr>
        <w:t>1 September</w:t>
      </w:r>
      <w:r w:rsidR="000D19E6">
        <w:rPr>
          <w:rFonts w:ascii="Arial" w:hAnsi="Arial" w:cs="Arial"/>
        </w:rPr>
        <w:t xml:space="preserve"> 2019.</w:t>
      </w:r>
    </w:p>
    <w:p w:rsidR="00E8392E" w:rsidRDefault="00F512B8" w:rsidP="000A0FF2">
      <w:pPr>
        <w:widowControl w:val="0"/>
        <w:spacing w:before="240" w:after="120" w:line="480" w:lineRule="auto"/>
        <w:ind w:left="709"/>
        <w:jc w:val="both"/>
        <w:rPr>
          <w:rFonts w:ascii="Arial" w:hAnsi="Arial" w:cs="Arial"/>
        </w:rPr>
      </w:pPr>
      <w:r>
        <w:rPr>
          <w:rFonts w:ascii="Arial" w:hAnsi="Arial" w:cs="Arial"/>
        </w:rPr>
        <w:t xml:space="preserve">9. </w:t>
      </w:r>
      <w:r w:rsidR="00E85A03">
        <w:rPr>
          <w:rFonts w:ascii="Arial" w:hAnsi="Arial" w:cs="Arial"/>
        </w:rPr>
        <w:t>Errors were adjusted which resulted in reversals of rental to the amount of R220 000 in favour of the respondent and the applicant offered to extend the lease agreement from December 2019 to June 2020.</w:t>
      </w:r>
      <w:r w:rsidR="000A0FF2">
        <w:rPr>
          <w:rFonts w:ascii="Arial" w:hAnsi="Arial" w:cs="Arial"/>
        </w:rPr>
        <w:t xml:space="preserve"> </w:t>
      </w:r>
      <w:r w:rsidR="00E8392E">
        <w:rPr>
          <w:rFonts w:ascii="Arial" w:hAnsi="Arial" w:cs="Arial"/>
        </w:rPr>
        <w:t xml:space="preserve">The lease period </w:t>
      </w:r>
      <w:r w:rsidR="00B76017">
        <w:rPr>
          <w:rFonts w:ascii="Arial" w:hAnsi="Arial" w:cs="Arial"/>
        </w:rPr>
        <w:t xml:space="preserve">of the </w:t>
      </w:r>
      <w:r w:rsidR="00B76017" w:rsidRPr="00244305">
        <w:rPr>
          <w:rFonts w:ascii="Arial" w:hAnsi="Arial" w:cs="Arial"/>
          <w:b/>
        </w:rPr>
        <w:t>first lease agreement</w:t>
      </w:r>
      <w:r w:rsidR="00B76017">
        <w:rPr>
          <w:rFonts w:ascii="Arial" w:hAnsi="Arial" w:cs="Arial"/>
        </w:rPr>
        <w:t xml:space="preserve"> </w:t>
      </w:r>
      <w:r w:rsidR="00E8392E">
        <w:rPr>
          <w:rFonts w:ascii="Arial" w:hAnsi="Arial" w:cs="Arial"/>
        </w:rPr>
        <w:t>was subsequently extended by six months to terminate on 30 June 2020</w:t>
      </w:r>
      <w:r w:rsidR="00244305">
        <w:rPr>
          <w:rFonts w:ascii="Arial" w:hAnsi="Arial" w:cs="Arial"/>
        </w:rPr>
        <w:t xml:space="preserve"> (emphasis added)</w:t>
      </w:r>
      <w:r w:rsidR="00E8392E">
        <w:rPr>
          <w:rFonts w:ascii="Arial" w:hAnsi="Arial" w:cs="Arial"/>
        </w:rPr>
        <w:t>.</w:t>
      </w:r>
    </w:p>
    <w:p w:rsidR="008B25BA" w:rsidRDefault="00E8392E" w:rsidP="008B25BA">
      <w:pPr>
        <w:widowControl w:val="0"/>
        <w:spacing w:before="240" w:after="120" w:line="480" w:lineRule="auto"/>
        <w:ind w:left="720"/>
        <w:jc w:val="both"/>
        <w:rPr>
          <w:rFonts w:ascii="Arial" w:hAnsi="Arial" w:cs="Arial"/>
        </w:rPr>
      </w:pPr>
      <w:r>
        <w:rPr>
          <w:rFonts w:ascii="Arial" w:hAnsi="Arial" w:cs="Arial"/>
        </w:rPr>
        <w:t xml:space="preserve">10. </w:t>
      </w:r>
      <w:r w:rsidR="000D19E6">
        <w:rPr>
          <w:rFonts w:ascii="Arial" w:hAnsi="Arial" w:cs="Arial"/>
        </w:rPr>
        <w:t xml:space="preserve">The respondent refuses to vacate and remains in occupation of the property </w:t>
      </w:r>
      <w:r w:rsidR="000D19E6">
        <w:rPr>
          <w:rFonts w:ascii="Arial" w:hAnsi="Arial" w:cs="Arial"/>
        </w:rPr>
        <w:lastRenderedPageBreak/>
        <w:t>without paying rent.</w:t>
      </w:r>
    </w:p>
    <w:p w:rsidR="00D63B95" w:rsidRDefault="00D63B95" w:rsidP="008B25BA">
      <w:pPr>
        <w:widowControl w:val="0"/>
        <w:spacing w:before="240" w:after="120" w:line="480" w:lineRule="auto"/>
        <w:ind w:left="720"/>
        <w:jc w:val="both"/>
        <w:rPr>
          <w:rFonts w:ascii="Arial" w:hAnsi="Arial" w:cs="Arial"/>
        </w:rPr>
      </w:pPr>
      <w:r>
        <w:rPr>
          <w:rFonts w:ascii="Arial" w:hAnsi="Arial" w:cs="Arial"/>
        </w:rPr>
        <w:t>11. As a result the present application was launched on 29 January 2020.</w:t>
      </w:r>
    </w:p>
    <w:p w:rsidR="000D19E6" w:rsidRPr="008B25BA" w:rsidRDefault="00F75775" w:rsidP="000D19E6">
      <w:pPr>
        <w:widowControl w:val="0"/>
        <w:spacing w:before="240" w:after="120" w:line="480" w:lineRule="auto"/>
        <w:jc w:val="both"/>
        <w:rPr>
          <w:rFonts w:ascii="Arial" w:hAnsi="Arial" w:cs="Arial"/>
        </w:rPr>
      </w:pPr>
      <w:r>
        <w:rPr>
          <w:rFonts w:ascii="Arial" w:hAnsi="Arial" w:cs="Arial"/>
        </w:rPr>
        <w:t>[</w:t>
      </w:r>
      <w:r w:rsidR="00261DD1">
        <w:rPr>
          <w:rFonts w:ascii="Arial" w:hAnsi="Arial" w:cs="Arial"/>
        </w:rPr>
        <w:t>4</w:t>
      </w:r>
      <w:r>
        <w:rPr>
          <w:rFonts w:ascii="Arial" w:hAnsi="Arial" w:cs="Arial"/>
        </w:rPr>
        <w:t xml:space="preserve">] </w:t>
      </w:r>
      <w:r w:rsidR="00834D01">
        <w:rPr>
          <w:rFonts w:ascii="Arial" w:hAnsi="Arial" w:cs="Arial"/>
        </w:rPr>
        <w:t xml:space="preserve">In </w:t>
      </w:r>
      <w:r w:rsidR="00893E10" w:rsidRPr="00834D01">
        <w:rPr>
          <w:rFonts w:ascii="Arial" w:hAnsi="Arial" w:cs="Arial"/>
          <w:i/>
        </w:rPr>
        <w:t>Mckenzie v Famers'</w:t>
      </w:r>
      <w:r w:rsidR="00834D01" w:rsidRPr="00834D01">
        <w:rPr>
          <w:rFonts w:ascii="Arial" w:hAnsi="Arial" w:cs="Arial"/>
          <w:i/>
        </w:rPr>
        <w:t xml:space="preserve"> C</w:t>
      </w:r>
      <w:r w:rsidR="00893E10" w:rsidRPr="00834D01">
        <w:rPr>
          <w:rFonts w:ascii="Arial" w:hAnsi="Arial" w:cs="Arial"/>
          <w:i/>
        </w:rPr>
        <w:t>oo</w:t>
      </w:r>
      <w:r w:rsidR="00834D01" w:rsidRPr="00834D01">
        <w:rPr>
          <w:rFonts w:ascii="Arial" w:hAnsi="Arial" w:cs="Arial"/>
          <w:i/>
        </w:rPr>
        <w:t>p</w:t>
      </w:r>
      <w:r w:rsidR="00893E10" w:rsidRPr="00834D01">
        <w:rPr>
          <w:rFonts w:ascii="Arial" w:hAnsi="Arial" w:cs="Arial"/>
          <w:i/>
        </w:rPr>
        <w:t>erative Mea</w:t>
      </w:r>
      <w:r w:rsidR="00834D01" w:rsidRPr="00834D01">
        <w:rPr>
          <w:rFonts w:ascii="Arial" w:hAnsi="Arial" w:cs="Arial"/>
          <w:i/>
        </w:rPr>
        <w:t>t Industries Ltd</w:t>
      </w:r>
      <w:r w:rsidR="00834D01">
        <w:rPr>
          <w:rFonts w:ascii="Arial" w:hAnsi="Arial" w:cs="Arial"/>
          <w:i/>
        </w:rPr>
        <w:t>,</w:t>
      </w:r>
      <w:r w:rsidR="00834D01">
        <w:rPr>
          <w:rStyle w:val="FootnoteReference"/>
          <w:rFonts w:ascii="Arial" w:hAnsi="Arial" w:cs="Arial"/>
        </w:rPr>
        <w:footnoteReference w:id="2"/>
      </w:r>
      <w:r w:rsidR="00693141">
        <w:rPr>
          <w:rFonts w:ascii="Arial" w:hAnsi="Arial" w:cs="Arial"/>
          <w:i/>
        </w:rPr>
        <w:t xml:space="preserve"> </w:t>
      </w:r>
      <w:r w:rsidR="00834D01">
        <w:rPr>
          <w:rFonts w:ascii="Arial" w:hAnsi="Arial" w:cs="Arial"/>
        </w:rPr>
        <w:t>the</w:t>
      </w:r>
      <w:r w:rsidR="00893E10" w:rsidRPr="00FF0688">
        <w:rPr>
          <w:rFonts w:ascii="Arial" w:hAnsi="Arial" w:cs="Arial"/>
        </w:rPr>
        <w:t xml:space="preserve"> court held that</w:t>
      </w:r>
      <w:r w:rsidR="004909A6">
        <w:rPr>
          <w:rFonts w:ascii="Arial" w:hAnsi="Arial" w:cs="Arial"/>
        </w:rPr>
        <w:t xml:space="preserve"> "cause of action" meant,</w:t>
      </w:r>
      <w:r w:rsidR="00893E10" w:rsidRPr="00FF0688">
        <w:rPr>
          <w:rFonts w:ascii="Arial" w:hAnsi="Arial" w:cs="Arial"/>
        </w:rPr>
        <w:t xml:space="preserve"> </w:t>
      </w:r>
      <w:r w:rsidR="00893E10" w:rsidRPr="00834D01">
        <w:rPr>
          <w:rFonts w:ascii="Arial" w:hAnsi="Arial" w:cs="Arial"/>
          <w:i/>
        </w:rPr>
        <w:t>"......every fact which it would be necessary for the plaintiff to prove, if traversed, in order to support his right to the judgment of the Court. It does not comprise every piece of evidence which is necessary to prove each fact but every fact which is necessary to be proved"</w:t>
      </w:r>
      <w:r w:rsidR="00834D01">
        <w:rPr>
          <w:rFonts w:ascii="Arial" w:hAnsi="Arial" w:cs="Arial"/>
        </w:rPr>
        <w:t xml:space="preserve">. </w:t>
      </w:r>
      <w:r w:rsidR="000D19E6">
        <w:rPr>
          <w:rFonts w:ascii="Arial" w:hAnsi="Arial" w:cs="Arial"/>
        </w:rPr>
        <w:t>In par</w:t>
      </w:r>
      <w:r>
        <w:rPr>
          <w:rFonts w:ascii="Arial" w:hAnsi="Arial" w:cs="Arial"/>
        </w:rPr>
        <w:t xml:space="preserve">agraph 26 of the founding affidavit </w:t>
      </w:r>
      <w:r w:rsidR="000D19E6">
        <w:rPr>
          <w:rFonts w:ascii="Arial" w:hAnsi="Arial" w:cs="Arial"/>
        </w:rPr>
        <w:t xml:space="preserve">the applicant </w:t>
      </w:r>
      <w:r w:rsidR="006127EA">
        <w:rPr>
          <w:rFonts w:ascii="Arial" w:hAnsi="Arial" w:cs="Arial"/>
        </w:rPr>
        <w:t xml:space="preserve">in the present matter </w:t>
      </w:r>
      <w:r w:rsidR="008B25BA">
        <w:rPr>
          <w:rFonts w:ascii="Arial" w:hAnsi="Arial" w:cs="Arial"/>
        </w:rPr>
        <w:t>summarizes</w:t>
      </w:r>
      <w:r>
        <w:rPr>
          <w:rFonts w:ascii="Arial" w:hAnsi="Arial" w:cs="Arial"/>
        </w:rPr>
        <w:t xml:space="preserve"> its cause of action as follows</w:t>
      </w:r>
      <w:r w:rsidR="000D19E6">
        <w:rPr>
          <w:rFonts w:ascii="Arial" w:hAnsi="Arial" w:cs="Arial"/>
        </w:rPr>
        <w:t>:</w:t>
      </w:r>
      <w:r w:rsidR="00F512B8">
        <w:rPr>
          <w:rFonts w:ascii="Arial" w:hAnsi="Arial" w:cs="Arial"/>
        </w:rPr>
        <w:t xml:space="preserve"> </w:t>
      </w:r>
      <w:r w:rsidR="000D19E6" w:rsidRPr="00F512B8">
        <w:rPr>
          <w:rFonts w:ascii="Arial" w:hAnsi="Arial" w:cs="Arial"/>
          <w:i/>
        </w:rPr>
        <w:t>“Considering that the applicant terminated the lease agreement because of the breach thereof by the respondent, it is necessary that the applicant satisfies the court that, first, the respondent breached the terms of the lease agreement and secondly, that the applicant terminated the lease agreement lawfully.</w:t>
      </w:r>
      <w:r>
        <w:rPr>
          <w:rFonts w:ascii="Arial" w:hAnsi="Arial" w:cs="Arial"/>
          <w:i/>
        </w:rPr>
        <w:t>”</w:t>
      </w:r>
      <w:r w:rsidR="000D19E6" w:rsidRPr="00F512B8">
        <w:rPr>
          <w:rFonts w:ascii="Arial" w:hAnsi="Arial" w:cs="Arial"/>
          <w:i/>
        </w:rPr>
        <w:t xml:space="preserve"> </w:t>
      </w:r>
    </w:p>
    <w:p w:rsidR="00D63B95" w:rsidRPr="00DA06DF" w:rsidRDefault="00261DD1" w:rsidP="00DA06DF">
      <w:pPr>
        <w:widowControl w:val="0"/>
        <w:spacing w:before="240" w:after="120" w:line="480" w:lineRule="auto"/>
        <w:jc w:val="both"/>
        <w:rPr>
          <w:rFonts w:ascii="Arial" w:hAnsi="Arial" w:cs="Arial"/>
        </w:rPr>
      </w:pPr>
      <w:r>
        <w:rPr>
          <w:rFonts w:ascii="Arial" w:hAnsi="Arial" w:cs="Arial"/>
        </w:rPr>
        <w:t>[5</w:t>
      </w:r>
      <w:r w:rsidR="00F75775">
        <w:rPr>
          <w:rFonts w:ascii="Arial" w:hAnsi="Arial" w:cs="Arial"/>
        </w:rPr>
        <w:t xml:space="preserve">] </w:t>
      </w:r>
      <w:r w:rsidR="00E8392E">
        <w:rPr>
          <w:rFonts w:ascii="Arial" w:hAnsi="Arial" w:cs="Arial"/>
        </w:rPr>
        <w:t xml:space="preserve">The applicant filed a supplementary founding affidavit on 21 October 2021. The reason for the filing of this affidavit was to bring certain material facts that arose subsequent to the launch of this application for eviction to the court’s attention. </w:t>
      </w:r>
      <w:r w:rsidR="00860692">
        <w:rPr>
          <w:rFonts w:ascii="Arial" w:hAnsi="Arial" w:cs="Arial"/>
        </w:rPr>
        <w:t xml:space="preserve"> </w:t>
      </w:r>
      <w:r w:rsidR="00E8392E">
        <w:rPr>
          <w:rFonts w:ascii="Arial" w:hAnsi="Arial" w:cs="Arial"/>
        </w:rPr>
        <w:t xml:space="preserve">In this affidavit the applicant </w:t>
      </w:r>
      <w:r w:rsidR="006127EA">
        <w:rPr>
          <w:rFonts w:ascii="Arial" w:hAnsi="Arial" w:cs="Arial"/>
        </w:rPr>
        <w:t>averred</w:t>
      </w:r>
      <w:r w:rsidR="00D63B95">
        <w:rPr>
          <w:rFonts w:ascii="Arial" w:hAnsi="Arial" w:cs="Arial"/>
        </w:rPr>
        <w:t xml:space="preserve"> </w:t>
      </w:r>
      <w:r w:rsidR="00973DEE">
        <w:rPr>
          <w:rFonts w:ascii="Arial" w:hAnsi="Arial" w:cs="Arial"/>
        </w:rPr>
        <w:t>three</w:t>
      </w:r>
      <w:r w:rsidR="00D63B95">
        <w:rPr>
          <w:rFonts w:ascii="Arial" w:hAnsi="Arial" w:cs="Arial"/>
        </w:rPr>
        <w:t xml:space="preserve"> things: Firstly, it confirmed the cancellation of </w:t>
      </w:r>
      <w:r w:rsidR="00973DEE">
        <w:rPr>
          <w:rFonts w:ascii="Arial" w:hAnsi="Arial" w:cs="Arial"/>
        </w:rPr>
        <w:t xml:space="preserve">the first lease </w:t>
      </w:r>
      <w:r w:rsidR="006127EA">
        <w:rPr>
          <w:rFonts w:ascii="Arial" w:hAnsi="Arial" w:cs="Arial"/>
        </w:rPr>
        <w:t xml:space="preserve">agreement </w:t>
      </w:r>
      <w:r w:rsidR="00973DEE">
        <w:rPr>
          <w:rFonts w:ascii="Arial" w:hAnsi="Arial" w:cs="Arial"/>
        </w:rPr>
        <w:t>on 27 January 2016</w:t>
      </w:r>
      <w:r w:rsidR="00072B2F">
        <w:rPr>
          <w:rFonts w:ascii="Arial" w:hAnsi="Arial" w:cs="Arial"/>
        </w:rPr>
        <w:t>;</w:t>
      </w:r>
      <w:r w:rsidR="00973DEE">
        <w:rPr>
          <w:rFonts w:ascii="Arial" w:hAnsi="Arial" w:cs="Arial"/>
        </w:rPr>
        <w:t xml:space="preserve"> </w:t>
      </w:r>
      <w:r w:rsidR="00D63B95">
        <w:rPr>
          <w:rFonts w:ascii="Arial" w:hAnsi="Arial" w:cs="Arial"/>
        </w:rPr>
        <w:t xml:space="preserve">secondly, </w:t>
      </w:r>
      <w:r w:rsidR="00973DEE">
        <w:rPr>
          <w:rFonts w:ascii="Arial" w:hAnsi="Arial" w:cs="Arial"/>
        </w:rPr>
        <w:t xml:space="preserve">it </w:t>
      </w:r>
      <w:r w:rsidR="00D63B95">
        <w:rPr>
          <w:rFonts w:ascii="Arial" w:hAnsi="Arial" w:cs="Arial"/>
        </w:rPr>
        <w:t xml:space="preserve">confirmed that the same lease has since </w:t>
      </w:r>
      <w:r w:rsidR="00973DEE">
        <w:rPr>
          <w:rFonts w:ascii="Arial" w:hAnsi="Arial" w:cs="Arial"/>
        </w:rPr>
        <w:t xml:space="preserve">expired on </w:t>
      </w:r>
      <w:r w:rsidR="00973DEE" w:rsidRPr="00DA06DF">
        <w:rPr>
          <w:rFonts w:ascii="Arial" w:hAnsi="Arial" w:cs="Arial"/>
        </w:rPr>
        <w:t>30 June 2020</w:t>
      </w:r>
      <w:r w:rsidR="00072B2F">
        <w:rPr>
          <w:rFonts w:ascii="Arial" w:hAnsi="Arial" w:cs="Arial"/>
        </w:rPr>
        <w:t xml:space="preserve"> </w:t>
      </w:r>
      <w:r w:rsidR="00973DEE" w:rsidRPr="00DA06DF">
        <w:rPr>
          <w:rFonts w:ascii="Arial" w:hAnsi="Arial" w:cs="Arial"/>
        </w:rPr>
        <w:t>and</w:t>
      </w:r>
      <w:r w:rsidR="00072B2F">
        <w:rPr>
          <w:rFonts w:ascii="Arial" w:hAnsi="Arial" w:cs="Arial"/>
        </w:rPr>
        <w:t>,</w:t>
      </w:r>
      <w:r w:rsidR="00973DEE" w:rsidRPr="00DA06DF">
        <w:rPr>
          <w:rFonts w:ascii="Arial" w:hAnsi="Arial" w:cs="Arial"/>
        </w:rPr>
        <w:t xml:space="preserve"> thirdly, that c</w:t>
      </w:r>
      <w:r w:rsidR="00D25074" w:rsidRPr="00DA06DF">
        <w:rPr>
          <w:rFonts w:ascii="Arial" w:hAnsi="Arial" w:cs="Arial"/>
        </w:rPr>
        <w:t xml:space="preserve">onsequent to the </w:t>
      </w:r>
      <w:r w:rsidR="00A14536" w:rsidRPr="00DA06DF">
        <w:rPr>
          <w:rFonts w:ascii="Arial" w:hAnsi="Arial" w:cs="Arial"/>
        </w:rPr>
        <w:t>expiration</w:t>
      </w:r>
      <w:r w:rsidR="00D25074" w:rsidRPr="00DA06DF">
        <w:rPr>
          <w:rFonts w:ascii="Arial" w:hAnsi="Arial" w:cs="Arial"/>
        </w:rPr>
        <w:t xml:space="preserve"> of the </w:t>
      </w:r>
      <w:r w:rsidR="00973DEE" w:rsidRPr="00DA06DF">
        <w:rPr>
          <w:rFonts w:ascii="Arial" w:hAnsi="Arial" w:cs="Arial"/>
        </w:rPr>
        <w:t xml:space="preserve">first </w:t>
      </w:r>
      <w:r w:rsidR="00D25074" w:rsidRPr="00DA06DF">
        <w:rPr>
          <w:rFonts w:ascii="Arial" w:hAnsi="Arial" w:cs="Arial"/>
        </w:rPr>
        <w:t xml:space="preserve">lease agreement, the applicant served a notice upon the respondent demanding that the respondent vacates the property by no later than 3 October 2021. </w:t>
      </w:r>
      <w:r w:rsidR="00D63B95" w:rsidRPr="00DA06DF">
        <w:rPr>
          <w:rFonts w:ascii="Arial" w:hAnsi="Arial" w:cs="Arial"/>
        </w:rPr>
        <w:t xml:space="preserve">It also set out the attempts that have been made by both parties since 2018 to November 2020 to settle the disputes between them. </w:t>
      </w:r>
    </w:p>
    <w:p w:rsidR="00F75775" w:rsidRPr="00DA06DF" w:rsidRDefault="00261DD1" w:rsidP="00DA06DF">
      <w:pPr>
        <w:spacing w:line="480" w:lineRule="auto"/>
        <w:jc w:val="both"/>
        <w:rPr>
          <w:rFonts w:ascii="Arial" w:hAnsi="Arial" w:cs="Arial"/>
          <w:color w:val="000000"/>
        </w:rPr>
      </w:pPr>
      <w:r>
        <w:rPr>
          <w:rFonts w:ascii="Arial" w:hAnsi="Arial" w:cs="Arial"/>
        </w:rPr>
        <w:lastRenderedPageBreak/>
        <w:t>[6</w:t>
      </w:r>
      <w:r w:rsidR="00A00753" w:rsidRPr="00DA06DF">
        <w:rPr>
          <w:rFonts w:ascii="Arial" w:hAnsi="Arial" w:cs="Arial"/>
        </w:rPr>
        <w:t xml:space="preserve">] </w:t>
      </w:r>
      <w:r w:rsidR="001C1539">
        <w:rPr>
          <w:rFonts w:ascii="Arial" w:hAnsi="Arial" w:cs="Arial"/>
          <w:color w:val="000000"/>
        </w:rPr>
        <w:t xml:space="preserve">Despite the respondent’s argument that the applicant’s claim is based on </w:t>
      </w:r>
      <w:r w:rsidR="00244305">
        <w:rPr>
          <w:rFonts w:ascii="Arial" w:hAnsi="Arial" w:cs="Arial"/>
          <w:color w:val="000000"/>
        </w:rPr>
        <w:t xml:space="preserve">the </w:t>
      </w:r>
      <w:r w:rsidR="001C1539" w:rsidRPr="00244305">
        <w:rPr>
          <w:rFonts w:ascii="Arial" w:hAnsi="Arial" w:cs="Arial"/>
          <w:i/>
          <w:color w:val="000000"/>
        </w:rPr>
        <w:t xml:space="preserve">rei </w:t>
      </w:r>
      <w:r>
        <w:rPr>
          <w:rFonts w:ascii="Arial" w:hAnsi="Arial" w:cs="Arial"/>
          <w:color w:val="000000"/>
        </w:rPr>
        <w:t>vindicatio, it is clear f</w:t>
      </w:r>
      <w:r w:rsidR="00F75775" w:rsidRPr="00DA06DF">
        <w:rPr>
          <w:rFonts w:ascii="Arial" w:hAnsi="Arial" w:cs="Arial"/>
        </w:rPr>
        <w:t>rom the founding affidavit</w:t>
      </w:r>
      <w:r w:rsidR="0067363A" w:rsidRPr="00DA06DF">
        <w:rPr>
          <w:rFonts w:ascii="Arial" w:hAnsi="Arial" w:cs="Arial"/>
        </w:rPr>
        <w:t>, the supplementary affidavit</w:t>
      </w:r>
      <w:r w:rsidR="00F75775" w:rsidRPr="00DA06DF">
        <w:rPr>
          <w:rFonts w:ascii="Arial" w:hAnsi="Arial" w:cs="Arial"/>
        </w:rPr>
        <w:t xml:space="preserve"> and the anne</w:t>
      </w:r>
      <w:r w:rsidR="00CE2565" w:rsidRPr="00DA06DF">
        <w:rPr>
          <w:rFonts w:ascii="Arial" w:hAnsi="Arial" w:cs="Arial"/>
        </w:rPr>
        <w:t>xures attached to it,</w:t>
      </w:r>
      <w:r w:rsidR="00072B2F">
        <w:rPr>
          <w:rFonts w:ascii="Arial" w:hAnsi="Arial" w:cs="Arial"/>
        </w:rPr>
        <w:t xml:space="preserve"> that</w:t>
      </w:r>
      <w:r w:rsidR="00CE2565" w:rsidRPr="00DA06DF">
        <w:rPr>
          <w:rFonts w:ascii="Arial" w:hAnsi="Arial" w:cs="Arial"/>
        </w:rPr>
        <w:t xml:space="preserve"> </w:t>
      </w:r>
      <w:r w:rsidR="006E459F" w:rsidRPr="00DA06DF">
        <w:rPr>
          <w:rFonts w:ascii="Arial" w:hAnsi="Arial" w:cs="Arial"/>
        </w:rPr>
        <w:t>the applicant’s cause of action</w:t>
      </w:r>
      <w:r w:rsidR="00F75775" w:rsidRPr="00DA06DF">
        <w:rPr>
          <w:rFonts w:ascii="Arial" w:hAnsi="Arial" w:cs="Arial"/>
        </w:rPr>
        <w:t xml:space="preserve"> </w:t>
      </w:r>
      <w:r w:rsidR="0067363A" w:rsidRPr="00DA06DF">
        <w:rPr>
          <w:rFonts w:ascii="Arial" w:hAnsi="Arial" w:cs="Arial"/>
        </w:rPr>
        <w:t xml:space="preserve">is based on the first lease agreement. It is averred that the first lease agreement was lawfully terminated </w:t>
      </w:r>
      <w:r w:rsidR="00211B1F" w:rsidRPr="00DA06DF">
        <w:rPr>
          <w:rFonts w:ascii="Arial" w:hAnsi="Arial" w:cs="Arial"/>
        </w:rPr>
        <w:t>i</w:t>
      </w:r>
      <w:r w:rsidR="0067363A" w:rsidRPr="00DA06DF">
        <w:rPr>
          <w:rFonts w:ascii="Arial" w:hAnsi="Arial" w:cs="Arial"/>
        </w:rPr>
        <w:t xml:space="preserve">n January 2016 as a result of the respondent’s failure to pay the monthly rental.  But, contrary to what is set out in the founding affidavit the applicant </w:t>
      </w:r>
      <w:r w:rsidR="00244305">
        <w:rPr>
          <w:rFonts w:ascii="Arial" w:hAnsi="Arial" w:cs="Arial"/>
        </w:rPr>
        <w:t xml:space="preserve">also </w:t>
      </w:r>
      <w:r w:rsidR="0067363A" w:rsidRPr="00DA06DF">
        <w:rPr>
          <w:rFonts w:ascii="Arial" w:hAnsi="Arial" w:cs="Arial"/>
        </w:rPr>
        <w:t xml:space="preserve">makes mention of a second lease agreement </w:t>
      </w:r>
      <w:r w:rsidR="00244305">
        <w:rPr>
          <w:rFonts w:ascii="Arial" w:hAnsi="Arial" w:cs="Arial"/>
        </w:rPr>
        <w:t xml:space="preserve">in its founding affidavit </w:t>
      </w:r>
      <w:r w:rsidR="0067363A" w:rsidRPr="00DA06DF">
        <w:rPr>
          <w:rFonts w:ascii="Arial" w:hAnsi="Arial" w:cs="Arial"/>
        </w:rPr>
        <w:t xml:space="preserve">that was entered into in August 2019, after the court order restoring the respondent’s possession of the premises. </w:t>
      </w:r>
      <w:r w:rsidR="00F75775" w:rsidRPr="00DA06DF">
        <w:rPr>
          <w:rFonts w:ascii="Arial" w:hAnsi="Arial" w:cs="Arial"/>
        </w:rPr>
        <w:t xml:space="preserve"> </w:t>
      </w:r>
      <w:r w:rsidR="0067363A" w:rsidRPr="00DA06DF">
        <w:rPr>
          <w:rFonts w:ascii="Arial" w:hAnsi="Arial" w:cs="Arial"/>
        </w:rPr>
        <w:t>This much is</w:t>
      </w:r>
      <w:r w:rsidR="00C1267B" w:rsidRPr="00DA06DF">
        <w:rPr>
          <w:rFonts w:ascii="Arial" w:hAnsi="Arial" w:cs="Arial"/>
        </w:rPr>
        <w:t xml:space="preserve"> confirmed by the</w:t>
      </w:r>
      <w:r w:rsidR="00F75775" w:rsidRPr="00DA06DF">
        <w:rPr>
          <w:rFonts w:ascii="Arial" w:hAnsi="Arial" w:cs="Arial"/>
        </w:rPr>
        <w:t xml:space="preserve"> letter</w:t>
      </w:r>
      <w:r w:rsidR="0067363A" w:rsidRPr="00DA06DF">
        <w:rPr>
          <w:rFonts w:ascii="Arial" w:hAnsi="Arial" w:cs="Arial"/>
        </w:rPr>
        <w:t xml:space="preserve"> dated 27 August 2019 (annexure AC5) from the applicant’s attorneys Salijee Govender Van</w:t>
      </w:r>
      <w:r w:rsidR="0067363A">
        <w:rPr>
          <w:rFonts w:ascii="Arial" w:hAnsi="Arial" w:cs="Arial"/>
        </w:rPr>
        <w:t xml:space="preserve"> der Merwe Inc, addressed to the respondent.  </w:t>
      </w:r>
      <w:r w:rsidR="00F75775">
        <w:rPr>
          <w:rFonts w:ascii="Arial" w:hAnsi="Arial" w:cs="Arial"/>
        </w:rPr>
        <w:t xml:space="preserve">The letter </w:t>
      </w:r>
      <w:r w:rsidR="00F75775" w:rsidRPr="00C1267B">
        <w:rPr>
          <w:rFonts w:ascii="Arial" w:hAnsi="Arial" w:cs="Arial"/>
        </w:rPr>
        <w:t>reads as follows:</w:t>
      </w:r>
    </w:p>
    <w:p w:rsidR="00F75775" w:rsidRPr="00684F66" w:rsidRDefault="00F75775" w:rsidP="00F75775">
      <w:pPr>
        <w:pStyle w:val="ListParagraph"/>
        <w:widowControl w:val="0"/>
        <w:numPr>
          <w:ilvl w:val="0"/>
          <w:numId w:val="3"/>
        </w:numPr>
        <w:spacing w:before="240" w:after="120" w:line="480" w:lineRule="auto"/>
        <w:jc w:val="both"/>
        <w:rPr>
          <w:rFonts w:ascii="Arial" w:hAnsi="Arial" w:cs="Arial"/>
          <w:i/>
          <w:sz w:val="22"/>
          <w:szCs w:val="22"/>
        </w:rPr>
      </w:pPr>
      <w:r w:rsidRPr="00684F66">
        <w:rPr>
          <w:rFonts w:ascii="Arial" w:hAnsi="Arial" w:cs="Arial"/>
          <w:i/>
          <w:sz w:val="22"/>
          <w:szCs w:val="22"/>
        </w:rPr>
        <w:t>We act on behalf of ACSA ("our client</w:t>
      </w:r>
      <w:r w:rsidR="0067363A" w:rsidRPr="00684F66">
        <w:rPr>
          <w:rFonts w:ascii="Arial" w:hAnsi="Arial" w:cs="Arial"/>
          <w:i/>
          <w:sz w:val="22"/>
          <w:szCs w:val="22"/>
        </w:rPr>
        <w:t>”)</w:t>
      </w:r>
      <w:r w:rsidRPr="00684F66">
        <w:rPr>
          <w:rFonts w:ascii="Arial" w:hAnsi="Arial" w:cs="Arial"/>
          <w:i/>
          <w:sz w:val="22"/>
          <w:szCs w:val="22"/>
        </w:rPr>
        <w:t xml:space="preserve">. </w:t>
      </w:r>
    </w:p>
    <w:p w:rsidR="00F75775" w:rsidRPr="00684F66" w:rsidRDefault="00F75775" w:rsidP="00F75775">
      <w:pPr>
        <w:pStyle w:val="ListParagraph"/>
        <w:widowControl w:val="0"/>
        <w:numPr>
          <w:ilvl w:val="0"/>
          <w:numId w:val="3"/>
        </w:numPr>
        <w:spacing w:before="240" w:after="120" w:line="480" w:lineRule="auto"/>
        <w:jc w:val="both"/>
        <w:rPr>
          <w:rFonts w:ascii="Arial" w:hAnsi="Arial" w:cs="Arial"/>
          <w:i/>
          <w:sz w:val="22"/>
          <w:szCs w:val="22"/>
        </w:rPr>
      </w:pPr>
      <w:r w:rsidRPr="00684F66">
        <w:rPr>
          <w:rFonts w:ascii="Arial" w:hAnsi="Arial" w:cs="Arial"/>
          <w:i/>
          <w:sz w:val="22"/>
          <w:szCs w:val="22"/>
        </w:rPr>
        <w:t>We confirm that the order of South Gauteng High Court dated 8 August 2019 directed our client to restore possession and access in favour of Tswelokgotso Trading Enterprise ("Tswelokgotso") in respect of the premises known as Phela-Live Wellness Centre, situated at O.R Tambo International Airport ("the premises").</w:t>
      </w:r>
    </w:p>
    <w:p w:rsidR="00F75775" w:rsidRPr="00684F66" w:rsidRDefault="00F75775" w:rsidP="00F75775">
      <w:pPr>
        <w:pStyle w:val="ListParagraph"/>
        <w:widowControl w:val="0"/>
        <w:numPr>
          <w:ilvl w:val="0"/>
          <w:numId w:val="3"/>
        </w:numPr>
        <w:spacing w:before="240" w:after="120" w:line="480" w:lineRule="auto"/>
        <w:jc w:val="both"/>
        <w:rPr>
          <w:rFonts w:ascii="Arial" w:hAnsi="Arial" w:cs="Arial"/>
          <w:i/>
          <w:sz w:val="22"/>
          <w:szCs w:val="22"/>
        </w:rPr>
      </w:pPr>
      <w:r w:rsidRPr="00684F66">
        <w:rPr>
          <w:rFonts w:ascii="Arial" w:hAnsi="Arial" w:cs="Arial"/>
          <w:i/>
          <w:sz w:val="22"/>
          <w:szCs w:val="22"/>
        </w:rPr>
        <w:t>We remind you that the lease agreement that was entered into between Tswelokgotso and our client was cancelled on 27 January 2016. The Court order mentioned herein above does not resuscitate the cancelled lease. Your current lease is now on a month to month basis and our Client shall confirm with yourselves the appropriate rental amount payable.</w:t>
      </w:r>
    </w:p>
    <w:p w:rsidR="00F75775" w:rsidRPr="00684F66" w:rsidRDefault="00F75775" w:rsidP="00F75775">
      <w:pPr>
        <w:pStyle w:val="ListParagraph"/>
        <w:widowControl w:val="0"/>
        <w:numPr>
          <w:ilvl w:val="0"/>
          <w:numId w:val="3"/>
        </w:numPr>
        <w:spacing w:before="240" w:after="120" w:line="480" w:lineRule="auto"/>
        <w:jc w:val="both"/>
        <w:rPr>
          <w:rFonts w:ascii="Arial" w:hAnsi="Arial" w:cs="Arial"/>
          <w:i/>
          <w:sz w:val="22"/>
          <w:szCs w:val="22"/>
        </w:rPr>
      </w:pPr>
      <w:r w:rsidRPr="00684F66">
        <w:rPr>
          <w:rFonts w:ascii="Arial" w:hAnsi="Arial" w:cs="Arial"/>
          <w:i/>
          <w:sz w:val="22"/>
          <w:szCs w:val="22"/>
        </w:rPr>
        <w:t xml:space="preserve">Prior to the cancellation of the lease agreement, Tswelokgotso's account was in arrears in respect of rental amount totalling R5 820280.00 (Five Million Eight Hundred and Twenty Thousand Two Hundred and Eighty Rand) payable to our client. The aforementioned amount has not been paid, alternatively, no arrangements to pay such </w:t>
      </w:r>
      <w:r w:rsidRPr="00684F66">
        <w:rPr>
          <w:rFonts w:ascii="Arial" w:hAnsi="Arial" w:cs="Arial"/>
          <w:i/>
          <w:sz w:val="22"/>
          <w:szCs w:val="22"/>
        </w:rPr>
        <w:lastRenderedPageBreak/>
        <w:t>amount have been made by yourselves on behalf of Tswelokgotso.</w:t>
      </w:r>
    </w:p>
    <w:p w:rsidR="00F75775" w:rsidRPr="00684F66" w:rsidRDefault="00F75775" w:rsidP="00F75775">
      <w:pPr>
        <w:pStyle w:val="ListParagraph"/>
        <w:widowControl w:val="0"/>
        <w:numPr>
          <w:ilvl w:val="0"/>
          <w:numId w:val="3"/>
        </w:numPr>
        <w:spacing w:before="240" w:after="120" w:line="480" w:lineRule="auto"/>
        <w:jc w:val="both"/>
        <w:rPr>
          <w:rFonts w:ascii="Arial" w:hAnsi="Arial" w:cs="Arial"/>
          <w:i/>
          <w:sz w:val="22"/>
          <w:szCs w:val="22"/>
        </w:rPr>
      </w:pPr>
      <w:r w:rsidRPr="00684F66">
        <w:rPr>
          <w:i/>
          <w:sz w:val="22"/>
          <w:szCs w:val="22"/>
        </w:rPr>
        <w:t xml:space="preserve"> </w:t>
      </w:r>
      <w:r w:rsidRPr="00684F66">
        <w:rPr>
          <w:rFonts w:ascii="Arial" w:hAnsi="Arial" w:cs="Arial"/>
          <w:i/>
          <w:sz w:val="22"/>
          <w:szCs w:val="22"/>
        </w:rPr>
        <w:t>We hereby give notice to your company, Tswelokgotso, to vacate the premises on or before 21 September 2019 at 12 noon.</w:t>
      </w:r>
    </w:p>
    <w:p w:rsidR="00F75775" w:rsidRPr="00684F66" w:rsidRDefault="00F75775" w:rsidP="00F75775">
      <w:pPr>
        <w:pStyle w:val="ListParagraph"/>
        <w:widowControl w:val="0"/>
        <w:numPr>
          <w:ilvl w:val="0"/>
          <w:numId w:val="3"/>
        </w:numPr>
        <w:spacing w:before="240" w:after="120" w:line="480" w:lineRule="auto"/>
        <w:jc w:val="both"/>
        <w:rPr>
          <w:rFonts w:ascii="Arial" w:hAnsi="Arial" w:cs="Arial"/>
          <w:i/>
          <w:sz w:val="22"/>
          <w:szCs w:val="22"/>
        </w:rPr>
      </w:pPr>
      <w:r w:rsidRPr="00684F66">
        <w:rPr>
          <w:rFonts w:ascii="Arial" w:hAnsi="Arial" w:cs="Arial"/>
          <w:i/>
          <w:sz w:val="22"/>
          <w:szCs w:val="22"/>
        </w:rPr>
        <w:t xml:space="preserve"> On failure to vacate as aforementioned, our client shall approach court for</w:t>
      </w:r>
      <w:r w:rsidRPr="00684F66">
        <w:rPr>
          <w:i/>
          <w:sz w:val="22"/>
          <w:szCs w:val="22"/>
        </w:rPr>
        <w:t xml:space="preserve"> </w:t>
      </w:r>
      <w:r w:rsidRPr="00684F66">
        <w:rPr>
          <w:rFonts w:ascii="Arial" w:hAnsi="Arial" w:cs="Arial"/>
          <w:i/>
          <w:sz w:val="22"/>
          <w:szCs w:val="22"/>
        </w:rPr>
        <w:t>the necessary relief to have Tswelokgotso removed from the premises.</w:t>
      </w:r>
    </w:p>
    <w:p w:rsidR="00F75775" w:rsidRPr="00684F66" w:rsidRDefault="00F75775" w:rsidP="00F75775">
      <w:pPr>
        <w:pStyle w:val="ListParagraph"/>
        <w:widowControl w:val="0"/>
        <w:numPr>
          <w:ilvl w:val="0"/>
          <w:numId w:val="3"/>
        </w:numPr>
        <w:spacing w:before="240" w:after="120" w:line="480" w:lineRule="auto"/>
        <w:jc w:val="both"/>
        <w:rPr>
          <w:rFonts w:ascii="Arial" w:hAnsi="Arial" w:cs="Arial"/>
          <w:i/>
          <w:sz w:val="22"/>
          <w:szCs w:val="22"/>
        </w:rPr>
      </w:pPr>
      <w:r w:rsidRPr="00684F66">
        <w:rPr>
          <w:rFonts w:ascii="Arial" w:hAnsi="Arial" w:cs="Arial"/>
          <w:i/>
          <w:sz w:val="22"/>
          <w:szCs w:val="22"/>
        </w:rPr>
        <w:t>Our client's rights to seek any other remedy in this matter are reserved.</w:t>
      </w:r>
    </w:p>
    <w:p w:rsidR="001C1539" w:rsidRDefault="00261DD1" w:rsidP="001C1539">
      <w:pPr>
        <w:widowControl w:val="0"/>
        <w:spacing w:before="240" w:after="120" w:line="480" w:lineRule="auto"/>
        <w:jc w:val="both"/>
        <w:rPr>
          <w:rFonts w:ascii="Arial" w:hAnsi="Arial" w:cs="Arial"/>
        </w:rPr>
      </w:pPr>
      <w:r>
        <w:rPr>
          <w:rFonts w:ascii="Arial" w:hAnsi="Arial" w:cs="Arial"/>
        </w:rPr>
        <w:t>[7</w:t>
      </w:r>
      <w:r w:rsidR="00F20D52">
        <w:rPr>
          <w:rFonts w:ascii="Arial" w:hAnsi="Arial" w:cs="Arial"/>
        </w:rPr>
        <w:t xml:space="preserve">] </w:t>
      </w:r>
      <w:r w:rsidR="00C1267B" w:rsidRPr="00F20D52">
        <w:rPr>
          <w:rFonts w:ascii="Arial" w:hAnsi="Arial" w:cs="Arial"/>
        </w:rPr>
        <w:t xml:space="preserve">This letter </w:t>
      </w:r>
      <w:r w:rsidR="007F1D7E">
        <w:rPr>
          <w:rFonts w:ascii="Arial" w:hAnsi="Arial" w:cs="Arial"/>
        </w:rPr>
        <w:t xml:space="preserve">from the applicant </w:t>
      </w:r>
      <w:r w:rsidR="00C1267B" w:rsidRPr="00F20D52">
        <w:rPr>
          <w:rFonts w:ascii="Arial" w:hAnsi="Arial" w:cs="Arial"/>
        </w:rPr>
        <w:t xml:space="preserve">makes </w:t>
      </w:r>
      <w:r w:rsidR="0067363A">
        <w:rPr>
          <w:rFonts w:ascii="Arial" w:hAnsi="Arial" w:cs="Arial"/>
        </w:rPr>
        <w:t xml:space="preserve">it clear that the first </w:t>
      </w:r>
      <w:r w:rsidR="00C1267B" w:rsidRPr="00F20D52">
        <w:rPr>
          <w:rFonts w:ascii="Arial" w:hAnsi="Arial" w:cs="Arial"/>
        </w:rPr>
        <w:t xml:space="preserve">lease agreement dated </w:t>
      </w:r>
      <w:r w:rsidR="00D25074">
        <w:rPr>
          <w:rFonts w:ascii="Arial" w:hAnsi="Arial" w:cs="Arial"/>
        </w:rPr>
        <w:t xml:space="preserve">19 July 2013 </w:t>
      </w:r>
      <w:r w:rsidR="00C1267B" w:rsidRPr="00F20D52">
        <w:rPr>
          <w:rFonts w:ascii="Arial" w:hAnsi="Arial" w:cs="Arial"/>
        </w:rPr>
        <w:t>was lawfully terminated on</w:t>
      </w:r>
      <w:r w:rsidR="00D25074">
        <w:rPr>
          <w:rFonts w:ascii="Arial" w:hAnsi="Arial" w:cs="Arial"/>
        </w:rPr>
        <w:t xml:space="preserve"> 27 January 2016 and that the court order dated 19 August 2019 </w:t>
      </w:r>
      <w:r w:rsidR="00D25074" w:rsidRPr="00D25074">
        <w:rPr>
          <w:rFonts w:ascii="Arial" w:hAnsi="Arial" w:cs="Arial"/>
          <w:i/>
        </w:rPr>
        <w:t>“</w:t>
      </w:r>
      <w:r w:rsidR="00C1267B" w:rsidRPr="00D25074">
        <w:rPr>
          <w:rFonts w:ascii="Arial" w:hAnsi="Arial" w:cs="Arial"/>
          <w:i/>
        </w:rPr>
        <w:t>did not resuscitate the cancelled lease</w:t>
      </w:r>
      <w:r w:rsidR="00D25074" w:rsidRPr="00D25074">
        <w:rPr>
          <w:rFonts w:ascii="Arial" w:hAnsi="Arial" w:cs="Arial"/>
          <w:i/>
        </w:rPr>
        <w:t>”</w:t>
      </w:r>
      <w:r w:rsidR="00C1267B" w:rsidRPr="00D25074">
        <w:rPr>
          <w:rFonts w:ascii="Arial" w:hAnsi="Arial" w:cs="Arial"/>
          <w:i/>
        </w:rPr>
        <w:t>.</w:t>
      </w:r>
      <w:r w:rsidR="00C1267B" w:rsidRPr="00F20D52">
        <w:rPr>
          <w:rFonts w:ascii="Arial" w:hAnsi="Arial" w:cs="Arial"/>
        </w:rPr>
        <w:t xml:space="preserve"> </w:t>
      </w:r>
      <w:r w:rsidR="0067363A">
        <w:rPr>
          <w:rFonts w:ascii="Arial" w:hAnsi="Arial" w:cs="Arial"/>
        </w:rPr>
        <w:t xml:space="preserve">It further makes it clear </w:t>
      </w:r>
      <w:r w:rsidR="00211B1F">
        <w:rPr>
          <w:rFonts w:ascii="Arial" w:hAnsi="Arial" w:cs="Arial"/>
        </w:rPr>
        <w:t xml:space="preserve">that </w:t>
      </w:r>
      <w:r w:rsidR="00211B1F" w:rsidRPr="00F20D52">
        <w:rPr>
          <w:rFonts w:ascii="Arial" w:hAnsi="Arial" w:cs="Arial"/>
        </w:rPr>
        <w:t>a</w:t>
      </w:r>
      <w:r w:rsidR="00C1267B" w:rsidRPr="00F20D52">
        <w:rPr>
          <w:rFonts w:ascii="Arial" w:hAnsi="Arial" w:cs="Arial"/>
        </w:rPr>
        <w:t xml:space="preserve"> new lease agreement on a month to month basis was </w:t>
      </w:r>
      <w:r w:rsidR="00F20D52" w:rsidRPr="00F20D52">
        <w:rPr>
          <w:rFonts w:ascii="Arial" w:hAnsi="Arial" w:cs="Arial"/>
        </w:rPr>
        <w:t>entered</w:t>
      </w:r>
      <w:r w:rsidR="00C1267B" w:rsidRPr="00F20D52">
        <w:rPr>
          <w:rFonts w:ascii="Arial" w:hAnsi="Arial" w:cs="Arial"/>
        </w:rPr>
        <w:t xml:space="preserve"> into</w:t>
      </w:r>
      <w:r w:rsidR="00F20D52" w:rsidRPr="00F20D52">
        <w:rPr>
          <w:rFonts w:ascii="Arial" w:hAnsi="Arial" w:cs="Arial"/>
        </w:rPr>
        <w:t xml:space="preserve"> </w:t>
      </w:r>
      <w:r w:rsidR="00D25074">
        <w:rPr>
          <w:rFonts w:ascii="Arial" w:hAnsi="Arial" w:cs="Arial"/>
        </w:rPr>
        <w:t xml:space="preserve">(presumably after the court order) </w:t>
      </w:r>
      <w:r w:rsidR="00F20D52" w:rsidRPr="00F20D52">
        <w:rPr>
          <w:rFonts w:ascii="Arial" w:hAnsi="Arial" w:cs="Arial"/>
        </w:rPr>
        <w:t xml:space="preserve">and the applicant </w:t>
      </w:r>
      <w:r w:rsidR="00D25074">
        <w:rPr>
          <w:rFonts w:ascii="Arial" w:hAnsi="Arial" w:cs="Arial"/>
        </w:rPr>
        <w:t xml:space="preserve">is yet to </w:t>
      </w:r>
      <w:r w:rsidR="00F20D52" w:rsidRPr="00F20D52">
        <w:rPr>
          <w:rFonts w:ascii="Arial" w:hAnsi="Arial" w:cs="Arial"/>
        </w:rPr>
        <w:t xml:space="preserve">confirm with the respondent the appropriate rental amount payable. </w:t>
      </w:r>
      <w:r w:rsidR="000A0FF2">
        <w:rPr>
          <w:rFonts w:ascii="Arial" w:hAnsi="Arial" w:cs="Arial"/>
        </w:rPr>
        <w:t>The</w:t>
      </w:r>
      <w:r w:rsidR="0067363A">
        <w:rPr>
          <w:rFonts w:ascii="Arial" w:hAnsi="Arial" w:cs="Arial"/>
        </w:rPr>
        <w:t xml:space="preserve"> applicant then confirms that </w:t>
      </w:r>
      <w:r w:rsidR="00F20D52" w:rsidRPr="00F20D52">
        <w:rPr>
          <w:rFonts w:ascii="Arial" w:hAnsi="Arial" w:cs="Arial"/>
        </w:rPr>
        <w:t xml:space="preserve">prior to the cancellation of the </w:t>
      </w:r>
      <w:r w:rsidR="00D25074">
        <w:rPr>
          <w:rFonts w:ascii="Arial" w:hAnsi="Arial" w:cs="Arial"/>
        </w:rPr>
        <w:t xml:space="preserve">(first) </w:t>
      </w:r>
      <w:r w:rsidR="00F20D52" w:rsidRPr="00F20D52">
        <w:rPr>
          <w:rFonts w:ascii="Arial" w:hAnsi="Arial" w:cs="Arial"/>
        </w:rPr>
        <w:t xml:space="preserve">lease agreement, the respondent was in arrears in respect of rental amount </w:t>
      </w:r>
      <w:r w:rsidR="00D25074" w:rsidRPr="00F20D52">
        <w:rPr>
          <w:rFonts w:ascii="Arial" w:hAnsi="Arial" w:cs="Arial"/>
        </w:rPr>
        <w:t>totaling</w:t>
      </w:r>
      <w:r w:rsidR="00F20D52" w:rsidRPr="00F20D52">
        <w:rPr>
          <w:rFonts w:ascii="Arial" w:hAnsi="Arial" w:cs="Arial"/>
        </w:rPr>
        <w:t xml:space="preserve"> R5</w:t>
      </w:r>
      <w:r w:rsidR="001C1539">
        <w:rPr>
          <w:rFonts w:ascii="Arial" w:hAnsi="Arial" w:cs="Arial"/>
        </w:rPr>
        <w:t> </w:t>
      </w:r>
      <w:r w:rsidR="00F20D52" w:rsidRPr="00F20D52">
        <w:rPr>
          <w:rFonts w:ascii="Arial" w:hAnsi="Arial" w:cs="Arial"/>
        </w:rPr>
        <w:t>820</w:t>
      </w:r>
      <w:r w:rsidR="001C1539">
        <w:rPr>
          <w:rFonts w:ascii="Arial" w:hAnsi="Arial" w:cs="Arial"/>
        </w:rPr>
        <w:t xml:space="preserve"> </w:t>
      </w:r>
      <w:r w:rsidR="00F20D52" w:rsidRPr="00F20D52">
        <w:rPr>
          <w:rFonts w:ascii="Arial" w:hAnsi="Arial" w:cs="Arial"/>
        </w:rPr>
        <w:t>280.00 (Five Million Eight Hundred and Twenty Thousand Two Hundred and Eighty Rand)</w:t>
      </w:r>
      <w:r w:rsidR="0067363A">
        <w:rPr>
          <w:rFonts w:ascii="Arial" w:hAnsi="Arial" w:cs="Arial"/>
        </w:rPr>
        <w:t xml:space="preserve"> and </w:t>
      </w:r>
      <w:r w:rsidR="00F20D52">
        <w:rPr>
          <w:rFonts w:ascii="Arial" w:hAnsi="Arial" w:cs="Arial"/>
        </w:rPr>
        <w:t xml:space="preserve">the applicant </w:t>
      </w:r>
      <w:r w:rsidR="0067363A">
        <w:rPr>
          <w:rFonts w:ascii="Arial" w:hAnsi="Arial" w:cs="Arial"/>
        </w:rPr>
        <w:t xml:space="preserve">therefore gives </w:t>
      </w:r>
      <w:r w:rsidR="00F20D52" w:rsidRPr="00F20D52">
        <w:rPr>
          <w:rFonts w:ascii="Arial" w:hAnsi="Arial" w:cs="Arial"/>
        </w:rPr>
        <w:t xml:space="preserve">notice to </w:t>
      </w:r>
      <w:r w:rsidR="00F20D52" w:rsidRPr="008D605C">
        <w:rPr>
          <w:rFonts w:ascii="Arial" w:hAnsi="Arial" w:cs="Arial"/>
        </w:rPr>
        <w:t>the respondent to vacate the premises on or before 21 September 2019 at 12 noon.</w:t>
      </w:r>
    </w:p>
    <w:p w:rsidR="001C1539" w:rsidRDefault="00261DD1" w:rsidP="001C1539">
      <w:pPr>
        <w:widowControl w:val="0"/>
        <w:spacing w:before="240" w:after="120" w:line="480" w:lineRule="auto"/>
        <w:jc w:val="both"/>
        <w:rPr>
          <w:rFonts w:ascii="Arial" w:hAnsi="Arial" w:cs="Arial"/>
        </w:rPr>
      </w:pPr>
      <w:r>
        <w:rPr>
          <w:rFonts w:ascii="Arial" w:hAnsi="Arial" w:cs="Arial"/>
        </w:rPr>
        <w:t>[8</w:t>
      </w:r>
      <w:r w:rsidR="00F20D52" w:rsidRPr="000A0FF2">
        <w:rPr>
          <w:rFonts w:ascii="Arial" w:hAnsi="Arial" w:cs="Arial"/>
        </w:rPr>
        <w:t xml:space="preserve">] </w:t>
      </w:r>
      <w:r w:rsidR="00064510" w:rsidRPr="000A0FF2">
        <w:rPr>
          <w:rFonts w:ascii="Arial" w:hAnsi="Arial" w:cs="Arial"/>
        </w:rPr>
        <w:t>No breach of the second lease agreement is averred</w:t>
      </w:r>
      <w:r w:rsidR="000A0FF2">
        <w:rPr>
          <w:rFonts w:ascii="Arial" w:hAnsi="Arial" w:cs="Arial"/>
        </w:rPr>
        <w:t xml:space="preserve"> in the founding affidavit and the </w:t>
      </w:r>
      <w:r w:rsidR="000A0FF2">
        <w:rPr>
          <w:rFonts w:ascii="Arial" w:hAnsi="Arial" w:cs="Arial"/>
          <w:color w:val="000000"/>
        </w:rPr>
        <w:t xml:space="preserve">founding affidavit is </w:t>
      </w:r>
      <w:r w:rsidR="000A0FF2" w:rsidRPr="000A0FF2">
        <w:rPr>
          <w:rFonts w:ascii="Arial" w:hAnsi="Arial" w:cs="Arial"/>
          <w:color w:val="000000"/>
        </w:rPr>
        <w:t xml:space="preserve">silent on </w:t>
      </w:r>
      <w:r w:rsidR="000A0FF2">
        <w:rPr>
          <w:rFonts w:ascii="Arial" w:hAnsi="Arial" w:cs="Arial"/>
          <w:color w:val="000000"/>
        </w:rPr>
        <w:t>this</w:t>
      </w:r>
      <w:r w:rsidR="000A0FF2" w:rsidRPr="000A0FF2">
        <w:rPr>
          <w:rFonts w:ascii="Arial" w:hAnsi="Arial" w:cs="Arial"/>
          <w:color w:val="000000"/>
        </w:rPr>
        <w:t xml:space="preserve"> crucial issue</w:t>
      </w:r>
      <w:r w:rsidR="000A0FF2">
        <w:rPr>
          <w:rFonts w:ascii="Arial" w:hAnsi="Arial" w:cs="Arial"/>
          <w:color w:val="000000"/>
        </w:rPr>
        <w:t xml:space="preserve">. </w:t>
      </w:r>
      <w:r w:rsidR="000A0FF2" w:rsidRPr="000A0FF2">
        <w:rPr>
          <w:rFonts w:ascii="Arial" w:hAnsi="Arial" w:cs="Arial"/>
          <w:color w:val="000000"/>
        </w:rPr>
        <w:t xml:space="preserve"> </w:t>
      </w:r>
      <w:r w:rsidR="00042560">
        <w:rPr>
          <w:rFonts w:ascii="Arial" w:hAnsi="Arial" w:cs="Arial"/>
          <w:color w:val="000000"/>
        </w:rPr>
        <w:t xml:space="preserve">All that is stated in the founding affidavit is that a month’s notice was required to </w:t>
      </w:r>
      <w:r w:rsidR="001C1539">
        <w:rPr>
          <w:rFonts w:ascii="Arial" w:hAnsi="Arial" w:cs="Arial"/>
          <w:color w:val="000000"/>
        </w:rPr>
        <w:t>terminate the second agreement and that such notice was given on</w:t>
      </w:r>
      <w:r w:rsidR="00D849F3">
        <w:rPr>
          <w:rFonts w:ascii="Arial" w:hAnsi="Arial" w:cs="Arial"/>
          <w:color w:val="000000"/>
        </w:rPr>
        <w:t xml:space="preserve"> 27 August 1019. </w:t>
      </w:r>
      <w:r w:rsidR="001C1539">
        <w:rPr>
          <w:rFonts w:ascii="Arial" w:hAnsi="Arial" w:cs="Arial"/>
          <w:color w:val="000000"/>
        </w:rPr>
        <w:t>As a result of the contradictory allegations and the confusion it caused, this court</w:t>
      </w:r>
      <w:r w:rsidR="003515E1" w:rsidRPr="000A0FF2">
        <w:rPr>
          <w:rFonts w:ascii="Arial" w:hAnsi="Arial" w:cs="Arial"/>
          <w:color w:val="000000"/>
        </w:rPr>
        <w:t xml:space="preserve"> cannot </w:t>
      </w:r>
      <w:r w:rsidR="00B7569E">
        <w:rPr>
          <w:rFonts w:ascii="Arial" w:hAnsi="Arial" w:cs="Arial"/>
          <w:color w:val="000000"/>
        </w:rPr>
        <w:t>determine</w:t>
      </w:r>
      <w:r w:rsidR="003515E1" w:rsidRPr="000A0FF2">
        <w:rPr>
          <w:rFonts w:ascii="Arial" w:hAnsi="Arial" w:cs="Arial"/>
          <w:color w:val="000000"/>
        </w:rPr>
        <w:t xml:space="preserve"> on the facts in the founding affidavit whether the applicant is entitled to rely on the first or the second </w:t>
      </w:r>
      <w:r w:rsidR="001C1539">
        <w:rPr>
          <w:rFonts w:ascii="Arial" w:hAnsi="Arial" w:cs="Arial"/>
          <w:color w:val="000000"/>
        </w:rPr>
        <w:t xml:space="preserve">lease </w:t>
      </w:r>
      <w:r w:rsidR="003515E1" w:rsidRPr="000A0FF2">
        <w:rPr>
          <w:rFonts w:ascii="Arial" w:hAnsi="Arial" w:cs="Arial"/>
          <w:color w:val="000000"/>
        </w:rPr>
        <w:t>agreement</w:t>
      </w:r>
      <w:r w:rsidR="000A0FF2">
        <w:rPr>
          <w:rFonts w:ascii="Arial" w:hAnsi="Arial" w:cs="Arial"/>
          <w:color w:val="000000"/>
        </w:rPr>
        <w:t>.</w:t>
      </w:r>
      <w:r w:rsidR="003515E1" w:rsidRPr="000A0FF2">
        <w:rPr>
          <w:rFonts w:ascii="Arial" w:hAnsi="Arial" w:cs="Arial"/>
          <w:color w:val="000000"/>
        </w:rPr>
        <w:t xml:space="preserve">  </w:t>
      </w:r>
      <w:r w:rsidR="001C1539">
        <w:rPr>
          <w:rFonts w:ascii="Arial" w:hAnsi="Arial" w:cs="Arial"/>
          <w:color w:val="000000"/>
        </w:rPr>
        <w:t xml:space="preserve">This confusion is compounded by applicant’s supplementary affidavit in which it no longer relies on the breach of the first lease agreement, but the </w:t>
      </w:r>
      <w:r w:rsidR="001C1539">
        <w:rPr>
          <w:rFonts w:ascii="Arial" w:hAnsi="Arial" w:cs="Arial"/>
          <w:color w:val="000000"/>
        </w:rPr>
        <w:lastRenderedPageBreak/>
        <w:t xml:space="preserve">fact that the lease has expired in June 2020. </w:t>
      </w:r>
    </w:p>
    <w:p w:rsidR="000A794B" w:rsidRPr="001C1539" w:rsidRDefault="00261DD1" w:rsidP="001C1539">
      <w:pPr>
        <w:widowControl w:val="0"/>
        <w:spacing w:before="240" w:after="120" w:line="480" w:lineRule="auto"/>
        <w:jc w:val="both"/>
        <w:rPr>
          <w:rFonts w:ascii="Arial" w:hAnsi="Arial" w:cs="Arial"/>
        </w:rPr>
      </w:pPr>
      <w:r>
        <w:rPr>
          <w:rFonts w:ascii="Arial" w:hAnsi="Arial" w:cs="Arial"/>
        </w:rPr>
        <w:t>[9</w:t>
      </w:r>
      <w:r w:rsidR="00064510" w:rsidRPr="008D605C">
        <w:rPr>
          <w:rFonts w:ascii="Arial" w:hAnsi="Arial" w:cs="Arial"/>
        </w:rPr>
        <w:t xml:space="preserve">] </w:t>
      </w:r>
      <w:r w:rsidR="000D19E6" w:rsidRPr="008D605C">
        <w:rPr>
          <w:rFonts w:ascii="Arial" w:hAnsi="Arial" w:cs="Arial"/>
        </w:rPr>
        <w:t>It is trite that an applicant must make out its case in its founding affidavit.</w:t>
      </w:r>
      <w:r w:rsidR="008D605C" w:rsidRPr="008D605C">
        <w:rPr>
          <w:rFonts w:ascii="Arial" w:hAnsi="Arial" w:cs="Arial"/>
          <w:color w:val="000000"/>
          <w:lang w:val="en-ZA" w:eastAsia="en-ZA"/>
        </w:rPr>
        <w:t xml:space="preserve"> In </w:t>
      </w:r>
      <w:r w:rsidR="008D605C" w:rsidRPr="008D605C">
        <w:rPr>
          <w:rFonts w:ascii="Arial" w:hAnsi="Arial" w:cs="Arial"/>
          <w:i/>
          <w:iCs/>
          <w:color w:val="000000"/>
          <w:lang w:val="en-ZA" w:eastAsia="en-ZA"/>
        </w:rPr>
        <w:t>Transnet</w:t>
      </w:r>
      <w:r w:rsidR="008D605C">
        <w:rPr>
          <w:rFonts w:ascii="Arial" w:hAnsi="Arial" w:cs="Arial"/>
          <w:i/>
          <w:iCs/>
          <w:color w:val="000000"/>
          <w:lang w:val="en-ZA" w:eastAsia="en-ZA"/>
        </w:rPr>
        <w:t xml:space="preserve"> Ltd v Rubenstein,</w:t>
      </w:r>
      <w:r w:rsidR="008D605C">
        <w:rPr>
          <w:rStyle w:val="FootnoteReference"/>
          <w:rFonts w:ascii="Arial" w:hAnsi="Arial" w:cs="Arial"/>
          <w:i/>
          <w:iCs/>
          <w:color w:val="000000"/>
          <w:lang w:val="en-ZA" w:eastAsia="en-ZA"/>
        </w:rPr>
        <w:footnoteReference w:id="3"/>
      </w:r>
      <w:r w:rsidR="008D605C">
        <w:rPr>
          <w:rFonts w:ascii="Arial" w:hAnsi="Arial" w:cs="Arial"/>
          <w:color w:val="000000"/>
          <w:lang w:val="en-ZA" w:eastAsia="en-ZA"/>
        </w:rPr>
        <w:t xml:space="preserve"> t</w:t>
      </w:r>
      <w:r w:rsidR="008D605C" w:rsidRPr="008D605C">
        <w:rPr>
          <w:rFonts w:ascii="Arial" w:hAnsi="Arial" w:cs="Arial"/>
          <w:color w:val="000000"/>
          <w:lang w:val="en-ZA" w:eastAsia="en-ZA"/>
        </w:rPr>
        <w:t>he Supreme Court of Appeal held that due to the nature of applications, the affidavit plays a dual role in the application in that they form both pleadings and the evidence upon which the applicant relies.</w:t>
      </w:r>
      <w:r w:rsidR="000A794B">
        <w:rPr>
          <w:rStyle w:val="FootnoteReference"/>
          <w:rFonts w:ascii="Arial" w:hAnsi="Arial" w:cs="Arial"/>
        </w:rPr>
        <w:footnoteReference w:id="4"/>
      </w:r>
      <w:r w:rsidR="008D605C">
        <w:rPr>
          <w:rFonts w:ascii="Arial" w:hAnsi="Arial" w:cs="Arial"/>
        </w:rPr>
        <w:t xml:space="preserve"> An </w:t>
      </w:r>
      <w:r w:rsidR="008D605C" w:rsidRPr="0014111E">
        <w:rPr>
          <w:rFonts w:ascii="Arial" w:hAnsi="Arial" w:cs="Arial"/>
        </w:rPr>
        <w:t xml:space="preserve">applicant's pleadings contain the legal basis of the claim under which </w:t>
      </w:r>
      <w:r w:rsidR="008D605C">
        <w:rPr>
          <w:rFonts w:ascii="Arial" w:hAnsi="Arial" w:cs="Arial"/>
        </w:rPr>
        <w:t>an</w:t>
      </w:r>
      <w:r w:rsidR="008D605C" w:rsidRPr="0014111E">
        <w:rPr>
          <w:rFonts w:ascii="Arial" w:hAnsi="Arial" w:cs="Arial"/>
        </w:rPr>
        <w:t xml:space="preserve"> applicant has chosen to invoke the court's competence. </w:t>
      </w:r>
      <w:r w:rsidR="008D605C">
        <w:rPr>
          <w:rFonts w:ascii="Arial" w:hAnsi="Arial" w:cs="Arial"/>
        </w:rPr>
        <w:t xml:space="preserve">In other words, not </w:t>
      </w:r>
      <w:r w:rsidR="008D605C" w:rsidRPr="0014111E">
        <w:rPr>
          <w:rFonts w:ascii="Arial" w:hAnsi="Arial" w:cs="Arial"/>
        </w:rPr>
        <w:t>only the formal terminology of the notice of motion, but also the contents</w:t>
      </w:r>
      <w:r w:rsidR="008D605C">
        <w:rPr>
          <w:rFonts w:ascii="Arial" w:hAnsi="Arial" w:cs="Arial"/>
        </w:rPr>
        <w:t xml:space="preserve"> of the supporting affidavits </w:t>
      </w:r>
      <w:r w:rsidR="008D605C" w:rsidRPr="0014111E">
        <w:rPr>
          <w:rFonts w:ascii="Arial" w:hAnsi="Arial" w:cs="Arial"/>
        </w:rPr>
        <w:t>must be interpreted to establish what the legal ba</w:t>
      </w:r>
      <w:r w:rsidR="008D605C">
        <w:rPr>
          <w:rFonts w:ascii="Arial" w:hAnsi="Arial" w:cs="Arial"/>
        </w:rPr>
        <w:t>sis of the applicant's claim is.</w:t>
      </w:r>
      <w:r w:rsidR="000A794B">
        <w:rPr>
          <w:rStyle w:val="FootnoteReference"/>
          <w:rFonts w:ascii="Arial" w:hAnsi="Arial" w:cs="Arial"/>
        </w:rPr>
        <w:footnoteReference w:id="5"/>
      </w:r>
      <w:r w:rsidR="008D605C">
        <w:rPr>
          <w:rFonts w:ascii="Arial" w:hAnsi="Arial" w:cs="Arial"/>
        </w:rPr>
        <w:t xml:space="preserve"> </w:t>
      </w:r>
      <w:r w:rsidR="008D605C" w:rsidRPr="008D605C">
        <w:rPr>
          <w:rFonts w:ascii="Arial" w:hAnsi="Arial" w:cs="Arial"/>
          <w:color w:val="000000"/>
          <w:lang w:val="en-ZA" w:eastAsia="en-ZA"/>
        </w:rPr>
        <w:t xml:space="preserve"> Consequently, the applicant must set out sufficient facts in the founding affidavit to disclose a cause of action, that is, the founding affidavit must be self-contained. The replying affidavit </w:t>
      </w:r>
      <w:r w:rsidR="00244305">
        <w:rPr>
          <w:rFonts w:ascii="Arial" w:hAnsi="Arial" w:cs="Arial"/>
          <w:color w:val="000000"/>
          <w:lang w:val="en-ZA" w:eastAsia="en-ZA"/>
        </w:rPr>
        <w:t xml:space="preserve">( and in this instance the supplementary affidavit) </w:t>
      </w:r>
      <w:r w:rsidR="008D605C" w:rsidRPr="008D605C">
        <w:rPr>
          <w:rFonts w:ascii="Arial" w:hAnsi="Arial" w:cs="Arial"/>
          <w:color w:val="000000"/>
          <w:lang w:val="en-ZA" w:eastAsia="en-ZA"/>
        </w:rPr>
        <w:t>cannot be used to augment the applicant's case.</w:t>
      </w:r>
      <w:r w:rsidR="008D605C" w:rsidRPr="008D605C">
        <w:rPr>
          <w:rFonts w:ascii="Arial" w:hAnsi="Arial" w:cs="Arial"/>
          <w:iCs/>
          <w:color w:val="000000"/>
          <w:lang w:val="en-ZA" w:eastAsia="en-ZA"/>
        </w:rPr>
        <w:t xml:space="preserve"> In fact, in</w:t>
      </w:r>
      <w:r w:rsidR="008D605C" w:rsidRPr="008D605C">
        <w:rPr>
          <w:rFonts w:ascii="Arial" w:hAnsi="Arial" w:cs="Arial"/>
          <w:i/>
          <w:iCs/>
          <w:color w:val="000000"/>
          <w:lang w:val="en-ZA" w:eastAsia="en-ZA"/>
        </w:rPr>
        <w:t xml:space="preserve"> </w:t>
      </w:r>
      <w:r w:rsidR="008D605C" w:rsidRPr="00DE1EC5">
        <w:rPr>
          <w:rFonts w:ascii="Arial" w:hAnsi="Arial" w:cs="Arial"/>
          <w:i/>
          <w:iCs/>
          <w:color w:val="000000"/>
          <w:lang w:val="en-ZA" w:eastAsia="en-ZA"/>
        </w:rPr>
        <w:t>Bowman NO v De Souza Roldao</w:t>
      </w:r>
      <w:r w:rsidR="008D605C" w:rsidRPr="00DE1EC5">
        <w:rPr>
          <w:rFonts w:ascii="Arial" w:hAnsi="Arial" w:cs="Arial"/>
          <w:color w:val="000000"/>
          <w:lang w:val="en-ZA" w:eastAsia="en-ZA"/>
        </w:rPr>
        <w:t>,</w:t>
      </w:r>
      <w:r w:rsidR="000A794B">
        <w:rPr>
          <w:rStyle w:val="FootnoteReference"/>
          <w:rFonts w:ascii="Arial" w:hAnsi="Arial" w:cs="Arial"/>
          <w:color w:val="000000"/>
          <w:lang w:val="en-ZA" w:eastAsia="en-ZA"/>
        </w:rPr>
        <w:footnoteReference w:id="6"/>
      </w:r>
      <w:r w:rsidR="008D605C" w:rsidRPr="00DE1EC5">
        <w:rPr>
          <w:rFonts w:ascii="Arial" w:hAnsi="Arial" w:cs="Arial"/>
          <w:color w:val="000000"/>
          <w:lang w:val="en-ZA" w:eastAsia="en-ZA"/>
        </w:rPr>
        <w:t xml:space="preserve"> Cohen, J conclude</w:t>
      </w:r>
      <w:bookmarkStart w:id="1" w:name="0-0-0-403685"/>
      <w:bookmarkEnd w:id="1"/>
      <w:r w:rsidR="000A794B">
        <w:rPr>
          <w:rFonts w:ascii="Arial" w:hAnsi="Arial" w:cs="Arial"/>
          <w:color w:val="000000"/>
          <w:lang w:val="en-ZA" w:eastAsia="en-ZA"/>
        </w:rPr>
        <w:t>d:</w:t>
      </w:r>
    </w:p>
    <w:p w:rsidR="008D605C" w:rsidRPr="008D605C" w:rsidRDefault="008D605C" w:rsidP="000A794B">
      <w:pPr>
        <w:spacing w:line="480" w:lineRule="auto"/>
        <w:ind w:left="720"/>
        <w:jc w:val="both"/>
        <w:rPr>
          <w:rFonts w:ascii="Arial" w:hAnsi="Arial" w:cs="Arial"/>
          <w:color w:val="000000"/>
          <w:lang w:val="en-ZA" w:eastAsia="en-ZA"/>
        </w:rPr>
      </w:pPr>
      <w:r w:rsidRPr="00DE1EC5">
        <w:rPr>
          <w:rFonts w:ascii="Arial" w:hAnsi="Arial" w:cs="Arial"/>
          <w:i/>
          <w:iCs/>
          <w:color w:val="000000"/>
          <w:lang w:val="en-ZA" w:eastAsia="en-ZA"/>
        </w:rPr>
        <w:t xml:space="preserve">"But none of these cases goes to the length of </w:t>
      </w:r>
      <w:r>
        <w:rPr>
          <w:rFonts w:ascii="Arial" w:hAnsi="Arial" w:cs="Arial"/>
          <w:i/>
          <w:iCs/>
          <w:color w:val="000000"/>
          <w:lang w:val="en-ZA" w:eastAsia="en-ZA"/>
        </w:rPr>
        <w:t xml:space="preserve">permitting an applicant to make </w:t>
      </w:r>
      <w:r w:rsidRPr="00DE1EC5">
        <w:rPr>
          <w:rFonts w:ascii="Arial" w:hAnsi="Arial" w:cs="Arial"/>
          <w:i/>
          <w:iCs/>
          <w:color w:val="000000"/>
          <w:lang w:val="en-ZA" w:eastAsia="en-ZA"/>
        </w:rPr>
        <w:t>a case in reply where no case at all was made out in the original application. None is authority for the proposition that a totally defective application can be rectified in reply. In my view, it is essential for applicant to make out a prima facie case in its founding affidavit."</w:t>
      </w:r>
    </w:p>
    <w:p w:rsidR="00261DD1" w:rsidRDefault="00261DD1" w:rsidP="00261DD1">
      <w:pPr>
        <w:widowControl w:val="0"/>
        <w:spacing w:before="240" w:after="120" w:line="480" w:lineRule="auto"/>
        <w:jc w:val="both"/>
        <w:rPr>
          <w:rFonts w:ascii="Arial" w:hAnsi="Arial" w:cs="Arial"/>
          <w:color w:val="000000"/>
        </w:rPr>
      </w:pPr>
      <w:r>
        <w:rPr>
          <w:rFonts w:ascii="Arial" w:hAnsi="Arial" w:cs="Arial"/>
          <w:color w:val="000000"/>
          <w:lang w:val="en-ZA" w:eastAsia="en-ZA"/>
        </w:rPr>
        <w:t>[10</w:t>
      </w:r>
      <w:r w:rsidR="008D605C" w:rsidRPr="008D605C">
        <w:rPr>
          <w:rFonts w:ascii="Arial" w:hAnsi="Arial" w:cs="Arial"/>
          <w:color w:val="000000"/>
          <w:lang w:val="en-ZA" w:eastAsia="en-ZA"/>
        </w:rPr>
        <w:t xml:space="preserve">] </w:t>
      </w:r>
      <w:r w:rsidR="00064510" w:rsidRPr="008D605C">
        <w:rPr>
          <w:rFonts w:ascii="Arial" w:hAnsi="Arial" w:cs="Arial"/>
          <w:color w:val="000000"/>
        </w:rPr>
        <w:t>All that is expected of the applicant</w:t>
      </w:r>
      <w:r w:rsidR="00211B1F" w:rsidRPr="008D605C">
        <w:rPr>
          <w:rFonts w:ascii="Arial" w:hAnsi="Arial" w:cs="Arial"/>
          <w:color w:val="000000"/>
        </w:rPr>
        <w:t xml:space="preserve">, having regard to the nature of the relief sought, </w:t>
      </w:r>
      <w:r w:rsidR="00064510" w:rsidRPr="008D605C">
        <w:rPr>
          <w:rFonts w:ascii="Arial" w:hAnsi="Arial" w:cs="Arial"/>
          <w:color w:val="000000"/>
        </w:rPr>
        <w:t xml:space="preserve">was </w:t>
      </w:r>
      <w:r w:rsidR="00211B1F" w:rsidRPr="008D605C">
        <w:rPr>
          <w:rFonts w:ascii="Arial" w:hAnsi="Arial" w:cs="Arial"/>
          <w:color w:val="000000"/>
        </w:rPr>
        <w:t xml:space="preserve">to establish a legal basis for </w:t>
      </w:r>
      <w:r w:rsidR="00064510" w:rsidRPr="008D605C">
        <w:rPr>
          <w:rFonts w:ascii="Arial" w:hAnsi="Arial" w:cs="Arial"/>
          <w:color w:val="000000"/>
        </w:rPr>
        <w:t>its</w:t>
      </w:r>
      <w:r w:rsidR="00211B1F" w:rsidRPr="008D605C">
        <w:rPr>
          <w:rFonts w:ascii="Arial" w:hAnsi="Arial" w:cs="Arial"/>
          <w:color w:val="000000"/>
        </w:rPr>
        <w:t xml:space="preserve"> claim </w:t>
      </w:r>
      <w:r w:rsidR="00064510" w:rsidRPr="008D605C">
        <w:rPr>
          <w:rFonts w:ascii="Arial" w:hAnsi="Arial" w:cs="Arial"/>
          <w:color w:val="000000"/>
        </w:rPr>
        <w:t xml:space="preserve">to evict the respondent from the premises. The applicant is clearly confused </w:t>
      </w:r>
      <w:r w:rsidR="00D3123B" w:rsidRPr="008D605C">
        <w:rPr>
          <w:rFonts w:ascii="Arial" w:hAnsi="Arial" w:cs="Arial"/>
          <w:color w:val="000000"/>
        </w:rPr>
        <w:t xml:space="preserve">as to what transpired between the parties </w:t>
      </w:r>
      <w:r w:rsidR="00064510" w:rsidRPr="008D605C">
        <w:rPr>
          <w:rFonts w:ascii="Arial" w:hAnsi="Arial" w:cs="Arial"/>
          <w:color w:val="000000"/>
        </w:rPr>
        <w:t xml:space="preserve">and this confusion reflects </w:t>
      </w:r>
      <w:r w:rsidR="008D605C" w:rsidRPr="008D605C">
        <w:rPr>
          <w:rFonts w:ascii="Arial" w:hAnsi="Arial" w:cs="Arial"/>
          <w:color w:val="000000"/>
        </w:rPr>
        <w:t xml:space="preserve">in the founding affidavit and is amplified in the </w:t>
      </w:r>
      <w:r w:rsidR="008D605C" w:rsidRPr="008D605C">
        <w:rPr>
          <w:rFonts w:ascii="Arial" w:hAnsi="Arial" w:cs="Arial"/>
          <w:color w:val="000000"/>
        </w:rPr>
        <w:lastRenderedPageBreak/>
        <w:t>supplementary affidavit and the heads of argument.</w:t>
      </w:r>
    </w:p>
    <w:p w:rsidR="00CA4B86" w:rsidRPr="00CA4B86" w:rsidRDefault="00261DD1" w:rsidP="00CA4B86">
      <w:pPr>
        <w:widowControl w:val="0"/>
        <w:spacing w:before="240" w:after="120" w:line="480" w:lineRule="auto"/>
        <w:jc w:val="both"/>
        <w:rPr>
          <w:rFonts w:ascii="Arial" w:hAnsi="Arial" w:cs="Arial"/>
        </w:rPr>
      </w:pPr>
      <w:r>
        <w:rPr>
          <w:rFonts w:ascii="Arial" w:hAnsi="Arial" w:cs="Arial"/>
          <w:color w:val="000000"/>
        </w:rPr>
        <w:t xml:space="preserve">[11] </w:t>
      </w:r>
      <w:r w:rsidR="00CA4B86">
        <w:rPr>
          <w:rFonts w:ascii="Arial" w:hAnsi="Arial" w:cs="Arial"/>
          <w:color w:val="000000"/>
        </w:rPr>
        <w:t>The position the applicant finds itself in, is unfortunately exacerbated by the respondent’s answering affidavit and the defences raised therein. The respondent</w:t>
      </w:r>
      <w:r w:rsidR="00D849F3">
        <w:rPr>
          <w:rFonts w:ascii="Arial" w:hAnsi="Arial" w:cs="Arial"/>
          <w:color w:val="000000"/>
        </w:rPr>
        <w:t>,</w:t>
      </w:r>
      <w:r w:rsidR="00CA4B86">
        <w:rPr>
          <w:rFonts w:ascii="Arial" w:hAnsi="Arial" w:cs="Arial"/>
          <w:color w:val="000000"/>
        </w:rPr>
        <w:t xml:space="preserve"> </w:t>
      </w:r>
      <w:r w:rsidR="00CA4B86" w:rsidRPr="00D849F3">
        <w:rPr>
          <w:rFonts w:ascii="Arial" w:hAnsi="Arial" w:cs="Arial"/>
          <w:i/>
          <w:color w:val="000000"/>
        </w:rPr>
        <w:t>inter alia</w:t>
      </w:r>
      <w:r w:rsidR="00D849F3">
        <w:rPr>
          <w:rFonts w:ascii="Arial" w:hAnsi="Arial" w:cs="Arial"/>
        </w:rPr>
        <w:t>,</w:t>
      </w:r>
      <w:r w:rsidR="00CA4B86" w:rsidRPr="00D849F3">
        <w:rPr>
          <w:rFonts w:ascii="Arial" w:hAnsi="Arial" w:cs="Arial"/>
        </w:rPr>
        <w:t xml:space="preserve"> </w:t>
      </w:r>
      <w:r w:rsidR="00CA4B86">
        <w:rPr>
          <w:rFonts w:ascii="Arial" w:hAnsi="Arial" w:cs="Arial"/>
        </w:rPr>
        <w:t>disputed</w:t>
      </w:r>
      <w:r w:rsidR="00CA4B86" w:rsidRPr="00FF0688">
        <w:rPr>
          <w:rFonts w:ascii="Arial" w:hAnsi="Arial" w:cs="Arial"/>
        </w:rPr>
        <w:t xml:space="preserve"> the applicant's entitlement to cancel the lease agreement in January 2016 as </w:t>
      </w:r>
      <w:r w:rsidR="008451EA">
        <w:rPr>
          <w:rFonts w:ascii="Arial" w:hAnsi="Arial" w:cs="Arial"/>
        </w:rPr>
        <w:t xml:space="preserve">it is alleged that </w:t>
      </w:r>
      <w:r w:rsidR="00CA4B86" w:rsidRPr="00FF0688">
        <w:rPr>
          <w:rFonts w:ascii="Arial" w:hAnsi="Arial" w:cs="Arial"/>
        </w:rPr>
        <w:t>the respondent did not</w:t>
      </w:r>
      <w:r w:rsidR="00CA4B86">
        <w:rPr>
          <w:rFonts w:ascii="Arial" w:hAnsi="Arial" w:cs="Arial"/>
        </w:rPr>
        <w:t xml:space="preserve"> owe any money to the applicant</w:t>
      </w:r>
      <w:r w:rsidR="00314041">
        <w:rPr>
          <w:rFonts w:ascii="Arial" w:hAnsi="Arial" w:cs="Arial"/>
        </w:rPr>
        <w:t xml:space="preserve">. </w:t>
      </w:r>
      <w:r w:rsidR="008451EA">
        <w:rPr>
          <w:rFonts w:ascii="Arial" w:hAnsi="Arial" w:cs="Arial"/>
        </w:rPr>
        <w:t>(</w:t>
      </w:r>
      <w:r w:rsidR="00314041">
        <w:rPr>
          <w:rFonts w:ascii="Arial" w:hAnsi="Arial" w:cs="Arial"/>
        </w:rPr>
        <w:t>It is common cause that there is pending litigation between the parties in which the a</w:t>
      </w:r>
      <w:r w:rsidR="00314041" w:rsidRPr="00CD40E8">
        <w:rPr>
          <w:rFonts w:ascii="Arial" w:hAnsi="Arial" w:cs="Arial"/>
        </w:rPr>
        <w:t xml:space="preserve">pplicant </w:t>
      </w:r>
      <w:r w:rsidR="008451EA">
        <w:rPr>
          <w:rFonts w:ascii="Arial" w:hAnsi="Arial" w:cs="Arial"/>
        </w:rPr>
        <w:t>has claimed</w:t>
      </w:r>
      <w:r w:rsidR="00314041" w:rsidRPr="00CD40E8">
        <w:rPr>
          <w:rFonts w:ascii="Arial" w:hAnsi="Arial" w:cs="Arial"/>
        </w:rPr>
        <w:t xml:space="preserve"> against </w:t>
      </w:r>
      <w:r w:rsidR="008451EA">
        <w:rPr>
          <w:rFonts w:ascii="Arial" w:hAnsi="Arial" w:cs="Arial"/>
        </w:rPr>
        <w:t>the respondent payment o</w:t>
      </w:r>
      <w:r w:rsidR="00314041" w:rsidRPr="00CD40E8">
        <w:rPr>
          <w:rFonts w:ascii="Arial" w:hAnsi="Arial" w:cs="Arial"/>
        </w:rPr>
        <w:t xml:space="preserve">f the sum of R5 820 280, being the amount reflected in </w:t>
      </w:r>
      <w:r w:rsidR="008451EA">
        <w:rPr>
          <w:rFonts w:ascii="Arial" w:hAnsi="Arial" w:cs="Arial"/>
        </w:rPr>
        <w:t>the founding affidavit. Such claim is opposed and r</w:t>
      </w:r>
      <w:r w:rsidR="00314041" w:rsidRPr="00CD40E8">
        <w:rPr>
          <w:rFonts w:ascii="Arial" w:hAnsi="Arial" w:cs="Arial"/>
        </w:rPr>
        <w:t xml:space="preserve">espondent </w:t>
      </w:r>
      <w:r w:rsidR="008451EA">
        <w:rPr>
          <w:rFonts w:ascii="Arial" w:hAnsi="Arial" w:cs="Arial"/>
        </w:rPr>
        <w:t xml:space="preserve">has </w:t>
      </w:r>
      <w:r w:rsidR="00314041" w:rsidRPr="00CD40E8">
        <w:rPr>
          <w:rFonts w:ascii="Arial" w:hAnsi="Arial" w:cs="Arial"/>
        </w:rPr>
        <w:t>filed a substantial counterclaim.</w:t>
      </w:r>
      <w:r w:rsidR="00DF721C">
        <w:rPr>
          <w:rFonts w:ascii="Arial" w:hAnsi="Arial" w:cs="Arial"/>
        </w:rPr>
        <w:t>)</w:t>
      </w:r>
      <w:r w:rsidR="00314041" w:rsidRPr="00CD40E8">
        <w:rPr>
          <w:rFonts w:ascii="Arial" w:hAnsi="Arial" w:cs="Arial"/>
        </w:rPr>
        <w:t xml:space="preserve"> </w:t>
      </w:r>
      <w:r w:rsidR="00CA4B86">
        <w:rPr>
          <w:rFonts w:ascii="Arial" w:hAnsi="Arial" w:cs="Arial"/>
        </w:rPr>
        <w:t xml:space="preserve"> </w:t>
      </w:r>
      <w:r w:rsidR="008451EA">
        <w:rPr>
          <w:rFonts w:ascii="Arial" w:hAnsi="Arial" w:cs="Arial"/>
        </w:rPr>
        <w:t xml:space="preserve">The respondent further </w:t>
      </w:r>
      <w:r w:rsidR="00D849F3">
        <w:rPr>
          <w:rFonts w:ascii="Arial" w:hAnsi="Arial" w:cs="Arial"/>
        </w:rPr>
        <w:t xml:space="preserve">disputed that the applicant was entitled </w:t>
      </w:r>
      <w:r w:rsidR="00D849F3" w:rsidRPr="00FF0688">
        <w:rPr>
          <w:rFonts w:ascii="Arial" w:hAnsi="Arial" w:cs="Arial"/>
        </w:rPr>
        <w:t xml:space="preserve">to give notice to </w:t>
      </w:r>
      <w:r w:rsidR="00D849F3">
        <w:rPr>
          <w:rFonts w:ascii="Arial" w:hAnsi="Arial" w:cs="Arial"/>
        </w:rPr>
        <w:t xml:space="preserve">the respondent to </w:t>
      </w:r>
      <w:r w:rsidR="00D849F3" w:rsidRPr="00FF0688">
        <w:rPr>
          <w:rFonts w:ascii="Arial" w:hAnsi="Arial" w:cs="Arial"/>
        </w:rPr>
        <w:t>vac</w:t>
      </w:r>
      <w:r w:rsidR="00D849F3">
        <w:rPr>
          <w:rFonts w:ascii="Arial" w:hAnsi="Arial" w:cs="Arial"/>
        </w:rPr>
        <w:t>ate the premises in August 2019</w:t>
      </w:r>
      <w:r w:rsidR="00250AE7">
        <w:rPr>
          <w:rFonts w:ascii="Arial" w:hAnsi="Arial" w:cs="Arial"/>
        </w:rPr>
        <w:t>, and</w:t>
      </w:r>
      <w:r w:rsidR="00B7569E" w:rsidRPr="00FF0688">
        <w:rPr>
          <w:rFonts w:ascii="Arial" w:hAnsi="Arial" w:cs="Arial"/>
        </w:rPr>
        <w:t xml:space="preserve"> </w:t>
      </w:r>
      <w:r w:rsidR="00B7569E">
        <w:rPr>
          <w:rFonts w:ascii="Arial" w:hAnsi="Arial" w:cs="Arial"/>
        </w:rPr>
        <w:t xml:space="preserve">in fact insist </w:t>
      </w:r>
      <w:r w:rsidR="00B7569E" w:rsidRPr="00FF0688">
        <w:rPr>
          <w:rFonts w:ascii="Arial" w:hAnsi="Arial" w:cs="Arial"/>
        </w:rPr>
        <w:t>on compliance with</w:t>
      </w:r>
      <w:r w:rsidR="00DF721C">
        <w:rPr>
          <w:rFonts w:ascii="Arial" w:hAnsi="Arial" w:cs="Arial"/>
        </w:rPr>
        <w:t xml:space="preserve"> an agreement that was supposed to be incorporated in</w:t>
      </w:r>
      <w:r w:rsidR="00B7569E" w:rsidRPr="00FF0688">
        <w:rPr>
          <w:rFonts w:ascii="Arial" w:hAnsi="Arial" w:cs="Arial"/>
        </w:rPr>
        <w:t xml:space="preserve"> the lease agreement so as to enable it to fulfil its business model and contend</w:t>
      </w:r>
      <w:r w:rsidR="00B7569E">
        <w:rPr>
          <w:rFonts w:ascii="Arial" w:hAnsi="Arial" w:cs="Arial"/>
        </w:rPr>
        <w:t>s</w:t>
      </w:r>
      <w:r w:rsidR="00B7569E" w:rsidRPr="00FF0688">
        <w:rPr>
          <w:rFonts w:ascii="Arial" w:hAnsi="Arial" w:cs="Arial"/>
        </w:rPr>
        <w:t xml:space="preserve"> for a </w:t>
      </w:r>
      <w:r w:rsidR="00E70FCD" w:rsidRPr="00FF0688">
        <w:rPr>
          <w:rFonts w:ascii="Arial" w:hAnsi="Arial" w:cs="Arial"/>
        </w:rPr>
        <w:t>5</w:t>
      </w:r>
      <w:r w:rsidR="00072B2F">
        <w:rPr>
          <w:rFonts w:ascii="Arial" w:hAnsi="Arial" w:cs="Arial"/>
        </w:rPr>
        <w:t xml:space="preserve"> </w:t>
      </w:r>
      <w:r w:rsidR="00E70FCD" w:rsidRPr="00FF0688">
        <w:rPr>
          <w:rFonts w:ascii="Arial" w:hAnsi="Arial" w:cs="Arial"/>
        </w:rPr>
        <w:t>year</w:t>
      </w:r>
      <w:r w:rsidR="00B7569E" w:rsidRPr="00FF0688">
        <w:rPr>
          <w:rFonts w:ascii="Arial" w:hAnsi="Arial" w:cs="Arial"/>
        </w:rPr>
        <w:t xml:space="preserve"> agreement with immediate effect, alternatively with effect from 31 December 2019, further alternatively with effect from a new agreement being concluded</w:t>
      </w:r>
      <w:r w:rsidR="00B7569E">
        <w:rPr>
          <w:rFonts w:ascii="Arial" w:hAnsi="Arial" w:cs="Arial"/>
        </w:rPr>
        <w:t xml:space="preserve">. </w:t>
      </w:r>
      <w:r w:rsidR="00D849F3">
        <w:rPr>
          <w:rFonts w:ascii="Arial" w:hAnsi="Arial" w:cs="Arial"/>
        </w:rPr>
        <w:t xml:space="preserve">The respondent </w:t>
      </w:r>
      <w:r w:rsidR="00DF721C">
        <w:rPr>
          <w:rFonts w:ascii="Arial" w:hAnsi="Arial" w:cs="Arial"/>
        </w:rPr>
        <w:t xml:space="preserve">therefore </w:t>
      </w:r>
      <w:r w:rsidR="00D849F3">
        <w:rPr>
          <w:rFonts w:ascii="Arial" w:hAnsi="Arial" w:cs="Arial"/>
        </w:rPr>
        <w:t>contends</w:t>
      </w:r>
      <w:r w:rsidR="00CA4B86" w:rsidRPr="00CA4B86">
        <w:rPr>
          <w:rFonts w:ascii="Arial" w:hAnsi="Arial" w:cs="Arial"/>
        </w:rPr>
        <w:t xml:space="preserve"> that </w:t>
      </w:r>
      <w:r w:rsidR="00DF721C">
        <w:rPr>
          <w:rFonts w:ascii="Arial" w:hAnsi="Arial" w:cs="Arial"/>
        </w:rPr>
        <w:t>there should be a rectification of the first lease agreement to reflect</w:t>
      </w:r>
      <w:r w:rsidR="00DF721C" w:rsidRPr="00DF721C">
        <w:rPr>
          <w:rFonts w:ascii="Arial" w:hAnsi="Arial" w:cs="Arial"/>
        </w:rPr>
        <w:t xml:space="preserve"> </w:t>
      </w:r>
      <w:r w:rsidR="00DF721C">
        <w:rPr>
          <w:rFonts w:ascii="Arial" w:hAnsi="Arial" w:cs="Arial"/>
        </w:rPr>
        <w:t xml:space="preserve">the true </w:t>
      </w:r>
      <w:r w:rsidR="00DF721C" w:rsidRPr="00CD40E8">
        <w:rPr>
          <w:rFonts w:ascii="Arial" w:hAnsi="Arial" w:cs="Arial"/>
        </w:rPr>
        <w:t>intention of the parties.</w:t>
      </w:r>
      <w:r w:rsidR="00DF721C">
        <w:rPr>
          <w:rFonts w:ascii="Arial" w:hAnsi="Arial" w:cs="Arial"/>
        </w:rPr>
        <w:t xml:space="preserve"> It is submitted</w:t>
      </w:r>
      <w:r w:rsidR="00244305">
        <w:rPr>
          <w:rFonts w:ascii="Arial" w:hAnsi="Arial" w:cs="Arial"/>
        </w:rPr>
        <w:t xml:space="preserve"> on behalf of the respondent</w:t>
      </w:r>
      <w:r w:rsidR="00DF721C">
        <w:rPr>
          <w:rFonts w:ascii="Arial" w:hAnsi="Arial" w:cs="Arial"/>
        </w:rPr>
        <w:t xml:space="preserve"> that </w:t>
      </w:r>
      <w:r w:rsidR="00CA4B86" w:rsidRPr="00CA4B86">
        <w:rPr>
          <w:rFonts w:ascii="Arial" w:hAnsi="Arial" w:cs="Arial"/>
        </w:rPr>
        <w:t>there is a clear dispute of fact on the papers</w:t>
      </w:r>
      <w:r w:rsidR="00D849F3">
        <w:rPr>
          <w:rFonts w:ascii="Arial" w:hAnsi="Arial" w:cs="Arial"/>
        </w:rPr>
        <w:t xml:space="preserve"> </w:t>
      </w:r>
      <w:r w:rsidR="00942EE1">
        <w:rPr>
          <w:rFonts w:ascii="Arial" w:hAnsi="Arial" w:cs="Arial"/>
        </w:rPr>
        <w:t>and it</w:t>
      </w:r>
      <w:r w:rsidR="00CA4B86" w:rsidRPr="00CA4B86">
        <w:rPr>
          <w:rFonts w:ascii="Arial" w:hAnsi="Arial" w:cs="Arial"/>
        </w:rPr>
        <w:t xml:space="preserve"> was foreshadowed in the correspondence attached to the </w:t>
      </w:r>
      <w:r w:rsidR="00CA4B86">
        <w:rPr>
          <w:rFonts w:ascii="Arial" w:hAnsi="Arial" w:cs="Arial"/>
        </w:rPr>
        <w:t>founding papers</w:t>
      </w:r>
      <w:r w:rsidR="00942EE1">
        <w:rPr>
          <w:rFonts w:ascii="Arial" w:hAnsi="Arial" w:cs="Arial"/>
        </w:rPr>
        <w:t xml:space="preserve">. It is argued that </w:t>
      </w:r>
      <w:r w:rsidR="00CA4B86" w:rsidRPr="00CA4B86">
        <w:rPr>
          <w:rFonts w:ascii="Arial" w:hAnsi="Arial" w:cs="Arial"/>
        </w:rPr>
        <w:t xml:space="preserve">the application should be dismissed on this basis alone. </w:t>
      </w:r>
    </w:p>
    <w:p w:rsidR="009F489B" w:rsidRPr="00CA4B86" w:rsidRDefault="00CA4B86" w:rsidP="009F489B">
      <w:pPr>
        <w:widowControl w:val="0"/>
        <w:spacing w:before="240" w:after="120" w:line="480" w:lineRule="auto"/>
        <w:jc w:val="both"/>
        <w:rPr>
          <w:rFonts w:ascii="Arial" w:hAnsi="Arial" w:cs="Arial"/>
          <w:color w:val="000000"/>
        </w:rPr>
      </w:pPr>
      <w:r w:rsidRPr="00CA4B86">
        <w:rPr>
          <w:rFonts w:ascii="Arial" w:hAnsi="Arial" w:cs="Arial"/>
          <w:color w:val="000000"/>
        </w:rPr>
        <w:t xml:space="preserve">[12] </w:t>
      </w:r>
      <w:r w:rsidR="009F489B" w:rsidRPr="00CA4B86">
        <w:rPr>
          <w:rFonts w:ascii="Arial" w:hAnsi="Arial" w:cs="Arial"/>
          <w:color w:val="000000"/>
        </w:rPr>
        <w:t>The correct approach to the assessment of evidence in motion proceedings was described in </w:t>
      </w:r>
      <w:r w:rsidR="009F489B" w:rsidRPr="00CA4B86">
        <w:rPr>
          <w:rFonts w:ascii="Arial" w:hAnsi="Arial" w:cs="Arial"/>
          <w:i/>
          <w:iCs/>
          <w:color w:val="000000"/>
        </w:rPr>
        <w:t>National Director of Public Prosecutions v Zuma</w:t>
      </w:r>
      <w:r w:rsidR="009F489B" w:rsidRPr="00CA4B86">
        <w:rPr>
          <w:rFonts w:ascii="Arial" w:hAnsi="Arial" w:cs="Arial"/>
          <w:color w:val="000000"/>
        </w:rPr>
        <w:t>,</w:t>
      </w:r>
      <w:r w:rsidR="009F489B">
        <w:rPr>
          <w:rStyle w:val="FootnoteReference"/>
          <w:rFonts w:ascii="Arial" w:hAnsi="Arial" w:cs="Arial"/>
          <w:color w:val="000000"/>
        </w:rPr>
        <w:footnoteReference w:id="7"/>
      </w:r>
      <w:r w:rsidR="009F489B" w:rsidRPr="00CA4B86">
        <w:rPr>
          <w:rFonts w:ascii="Arial" w:hAnsi="Arial" w:cs="Arial"/>
          <w:color w:val="000000"/>
        </w:rPr>
        <w:t xml:space="preserve"> by Harms JA as follows:</w:t>
      </w:r>
    </w:p>
    <w:p w:rsidR="009F489B" w:rsidRPr="00CA4B86" w:rsidRDefault="009F489B" w:rsidP="009F489B">
      <w:pPr>
        <w:spacing w:line="480" w:lineRule="auto"/>
        <w:ind w:left="720"/>
        <w:jc w:val="both"/>
        <w:rPr>
          <w:rFonts w:ascii="Arial" w:hAnsi="Arial" w:cs="Arial"/>
          <w:i/>
          <w:color w:val="000000"/>
        </w:rPr>
      </w:pPr>
      <w:r>
        <w:rPr>
          <w:rFonts w:ascii="Arial" w:hAnsi="Arial" w:cs="Arial"/>
          <w:i/>
          <w:color w:val="000000"/>
        </w:rPr>
        <w:lastRenderedPageBreak/>
        <w:t>“</w:t>
      </w:r>
      <w:r w:rsidRPr="00CA4B86">
        <w:rPr>
          <w:rFonts w:ascii="Arial" w:hAnsi="Arial" w:cs="Arial"/>
          <w:i/>
          <w:color w:val="000000"/>
        </w:rPr>
        <w:t>Motion proceedings, unless concerned with interim relief, are all about the resolution of legal issues based on common cause facts. Unless the circumstances are special they cannot be used to resolve factual issues because they are not designed to determine probabilities. It is well established under the </w:t>
      </w:r>
      <w:r w:rsidRPr="00CA4B86">
        <w:rPr>
          <w:rFonts w:ascii="Arial" w:hAnsi="Arial" w:cs="Arial"/>
          <w:i/>
          <w:iCs/>
          <w:color w:val="000000"/>
        </w:rPr>
        <w:t>Plascon-Evans</w:t>
      </w:r>
      <w:r w:rsidRPr="00CA4B86">
        <w:rPr>
          <w:rFonts w:ascii="Arial" w:hAnsi="Arial" w:cs="Arial"/>
          <w:i/>
          <w:color w:val="000000"/>
        </w:rPr>
        <w:t> rule that where in motion proceedings disputes of fact arise on the affidavits, a final order can be granted only if the facts averred in the applicant's (Mr Zuma's) affidavits, which have been admitted by the respondent (the NDPP), together with the facts alleged by the latter, justify such order. It may be different if the respondent's version consists of bald or uncreditworthy denials, raises fictitious disputes of fact, is palpably implausible, far-fetched or so clearly untenable that the court is justified in rejecting them merely on the papers. The court below did not have regard to these propositions and instead decided the case on probabilities without rejecting the NDPP'S version.. . . In motion proceedings the question of onus does not arise and the approach set out in the preceding paragraph governs irrespective of where the legal or evidential onus lies. . . .</w:t>
      </w:r>
      <w:r>
        <w:rPr>
          <w:rFonts w:ascii="Arial" w:hAnsi="Arial" w:cs="Arial"/>
          <w:i/>
          <w:color w:val="000000"/>
        </w:rPr>
        <w:t>”</w:t>
      </w:r>
    </w:p>
    <w:p w:rsidR="000D19E6" w:rsidRDefault="00356131" w:rsidP="00356131">
      <w:pPr>
        <w:widowControl w:val="0"/>
        <w:spacing w:before="240" w:after="120" w:line="480" w:lineRule="auto"/>
        <w:jc w:val="both"/>
        <w:rPr>
          <w:rFonts w:ascii="Arial" w:hAnsi="Arial" w:cs="Arial"/>
        </w:rPr>
      </w:pPr>
      <w:r>
        <w:rPr>
          <w:rFonts w:ascii="Arial" w:hAnsi="Arial" w:cs="Arial"/>
        </w:rPr>
        <w:t xml:space="preserve">[13] </w:t>
      </w:r>
      <w:r w:rsidR="009F489B">
        <w:rPr>
          <w:rFonts w:ascii="Arial" w:hAnsi="Arial" w:cs="Arial"/>
        </w:rPr>
        <w:t xml:space="preserve">In light of </w:t>
      </w:r>
      <w:r w:rsidR="003473D9">
        <w:rPr>
          <w:rFonts w:ascii="Arial" w:hAnsi="Arial" w:cs="Arial"/>
        </w:rPr>
        <w:t>the confusion created by the contradictory averments in the founding affidavit as well as the disputes of fact raised in the answering affidavit, which in my view cannot be described as palpably implausible, the application cannot properly be decided on paper.</w:t>
      </w:r>
      <w:r w:rsidR="0027639E" w:rsidRPr="0027639E">
        <w:rPr>
          <w:rFonts w:ascii="Arial" w:hAnsi="Arial" w:cs="Arial"/>
        </w:rPr>
        <w:t xml:space="preserve"> </w:t>
      </w:r>
      <w:r w:rsidR="0027639E">
        <w:rPr>
          <w:rFonts w:ascii="Arial" w:hAnsi="Arial" w:cs="Arial"/>
        </w:rPr>
        <w:t xml:space="preserve">However, the circumstances present in this matter and the long protracted disputes between the parties, do not justify a dismissal of the application. </w:t>
      </w:r>
      <w:r>
        <w:rPr>
          <w:rFonts w:ascii="Arial" w:hAnsi="Arial" w:cs="Arial"/>
        </w:rPr>
        <w:t xml:space="preserve">In terms of Rule 6(5)(g) of the Uniform Rules of Court, </w:t>
      </w:r>
      <w:r w:rsidRPr="000F1DB6">
        <w:rPr>
          <w:rFonts w:ascii="Arial" w:hAnsi="Arial" w:cs="Arial"/>
        </w:rPr>
        <w:t>where an application cannot properly be decided on affidavit</w:t>
      </w:r>
      <w:r>
        <w:rPr>
          <w:rFonts w:ascii="Arial" w:hAnsi="Arial" w:cs="Arial"/>
        </w:rPr>
        <w:t>,</w:t>
      </w:r>
      <w:r w:rsidRPr="000F1DB6">
        <w:rPr>
          <w:rFonts w:ascii="Arial" w:hAnsi="Arial" w:cs="Arial"/>
        </w:rPr>
        <w:t xml:space="preserve"> the court may dismiss the application or make such order as it deems fit with a view to ensuring a just and expeditious decision. In particular, but without affecting the generality of the afore</w:t>
      </w:r>
      <w:r w:rsidR="00072B2F">
        <w:rPr>
          <w:rFonts w:ascii="Arial" w:hAnsi="Arial" w:cs="Arial"/>
        </w:rPr>
        <w:t>-</w:t>
      </w:r>
      <w:r w:rsidRPr="000F1DB6">
        <w:rPr>
          <w:rFonts w:ascii="Arial" w:hAnsi="Arial" w:cs="Arial"/>
        </w:rPr>
        <w:t xml:space="preserve">going, it may direct that oral </w:t>
      </w:r>
      <w:r w:rsidRPr="000F1DB6">
        <w:rPr>
          <w:rFonts w:ascii="Arial" w:hAnsi="Arial" w:cs="Arial"/>
        </w:rPr>
        <w:lastRenderedPageBreak/>
        <w:t>evidence be heard on specified issues with a view to resolving any dispute of fact and to that end may order any deponent to appear personally or grant leave for such deponent or any other person to be subpoenaed to appear and be examined and cross-examined as a witness</w:t>
      </w:r>
      <w:r>
        <w:rPr>
          <w:rFonts w:ascii="Arial" w:hAnsi="Arial" w:cs="Arial"/>
        </w:rPr>
        <w:t>,</w:t>
      </w:r>
      <w:r w:rsidRPr="000F1DB6">
        <w:rPr>
          <w:rFonts w:ascii="Arial" w:hAnsi="Arial" w:cs="Arial"/>
        </w:rPr>
        <w:t xml:space="preserve"> or it may refer the matter to trial</w:t>
      </w:r>
      <w:r>
        <w:rPr>
          <w:rFonts w:ascii="Arial" w:hAnsi="Arial" w:cs="Arial"/>
        </w:rPr>
        <w:t>.</w:t>
      </w:r>
    </w:p>
    <w:p w:rsidR="0027639E" w:rsidRDefault="00356131" w:rsidP="00356131">
      <w:pPr>
        <w:widowControl w:val="0"/>
        <w:spacing w:before="240" w:after="120" w:line="480" w:lineRule="auto"/>
        <w:jc w:val="both"/>
        <w:rPr>
          <w:rFonts w:ascii="Arial" w:hAnsi="Arial" w:cs="Arial"/>
        </w:rPr>
      </w:pPr>
      <w:r>
        <w:rPr>
          <w:rFonts w:ascii="Arial" w:hAnsi="Arial" w:cs="Arial"/>
        </w:rPr>
        <w:t>[14] A court will refer a matter to trial if the dispute of fact is incapable of resolution on the papers and too wide ranging for resolution by way of referral to oral evidence.</w:t>
      </w:r>
      <w:r>
        <w:rPr>
          <w:rStyle w:val="FootnoteReference"/>
          <w:rFonts w:ascii="Arial" w:hAnsi="Arial" w:cs="Arial"/>
        </w:rPr>
        <w:footnoteReference w:id="8"/>
      </w:r>
      <w:r w:rsidR="00216137">
        <w:rPr>
          <w:rFonts w:ascii="Arial" w:hAnsi="Arial" w:cs="Arial"/>
        </w:rPr>
        <w:t xml:space="preserve"> </w:t>
      </w:r>
      <w:r w:rsidR="003473D9">
        <w:rPr>
          <w:rFonts w:ascii="Arial" w:hAnsi="Arial" w:cs="Arial"/>
        </w:rPr>
        <w:t>In the exercise of my discretion this is one of those instances where the issues and disputes between the parties can only be properly ventilated by referring the matter to trial.</w:t>
      </w:r>
    </w:p>
    <w:p w:rsidR="00216137" w:rsidRPr="0027639E" w:rsidRDefault="003473D9" w:rsidP="0027639E">
      <w:pPr>
        <w:widowControl w:val="0"/>
        <w:spacing w:before="240" w:after="120" w:line="480" w:lineRule="auto"/>
        <w:jc w:val="both"/>
        <w:rPr>
          <w:rFonts w:ascii="Arial" w:hAnsi="Arial" w:cs="Arial"/>
        </w:rPr>
      </w:pPr>
      <w:r>
        <w:rPr>
          <w:rFonts w:ascii="Arial" w:hAnsi="Arial" w:cs="Arial"/>
        </w:rPr>
        <w:t xml:space="preserve"> </w:t>
      </w:r>
      <w:r w:rsidR="00216137">
        <w:rPr>
          <w:rFonts w:ascii="Arial" w:hAnsi="Arial" w:cs="Arial"/>
        </w:rPr>
        <w:t xml:space="preserve">[15] </w:t>
      </w:r>
      <w:r w:rsidR="0027639E">
        <w:rPr>
          <w:rFonts w:ascii="Arial" w:hAnsi="Arial" w:cs="Arial"/>
        </w:rPr>
        <w:t xml:space="preserve">In </w:t>
      </w:r>
      <w:r w:rsidR="0027639E" w:rsidRPr="0027639E">
        <w:rPr>
          <w:rFonts w:ascii="Arial" w:hAnsi="Arial" w:cs="Arial"/>
        </w:rPr>
        <w:t>the result the following order is made:</w:t>
      </w:r>
    </w:p>
    <w:p w:rsidR="004F3DE4" w:rsidRPr="0027639E" w:rsidRDefault="004F3DE4" w:rsidP="0027639E">
      <w:pPr>
        <w:pStyle w:val="ListParagraph"/>
        <w:numPr>
          <w:ilvl w:val="0"/>
          <w:numId w:val="7"/>
        </w:numPr>
        <w:spacing w:after="200" w:line="480" w:lineRule="auto"/>
        <w:contextualSpacing/>
        <w:rPr>
          <w:rFonts w:ascii="Arial" w:hAnsi="Arial" w:cs="Arial"/>
          <w:sz w:val="24"/>
          <w:szCs w:val="24"/>
        </w:rPr>
      </w:pPr>
      <w:r w:rsidRPr="0027639E">
        <w:rPr>
          <w:rFonts w:ascii="Arial" w:hAnsi="Arial" w:cs="Arial"/>
          <w:sz w:val="24"/>
          <w:szCs w:val="24"/>
        </w:rPr>
        <w:t xml:space="preserve">The matter is referred to trial. </w:t>
      </w:r>
    </w:p>
    <w:p w:rsidR="004F3DE4" w:rsidRPr="0027639E" w:rsidRDefault="004F3DE4" w:rsidP="0027639E">
      <w:pPr>
        <w:pStyle w:val="ListParagraph"/>
        <w:numPr>
          <w:ilvl w:val="0"/>
          <w:numId w:val="7"/>
        </w:numPr>
        <w:spacing w:after="200" w:line="480" w:lineRule="auto"/>
        <w:contextualSpacing/>
        <w:rPr>
          <w:rFonts w:ascii="Arial" w:hAnsi="Arial" w:cs="Arial"/>
          <w:sz w:val="24"/>
          <w:szCs w:val="24"/>
        </w:rPr>
      </w:pPr>
      <w:r w:rsidRPr="0027639E">
        <w:rPr>
          <w:rFonts w:ascii="Arial" w:hAnsi="Arial" w:cs="Arial"/>
          <w:sz w:val="24"/>
          <w:szCs w:val="24"/>
        </w:rPr>
        <w:t xml:space="preserve">It is ordered that the notice of motion stand as simple summons and the answering affidavit as a notice of intention to defend. </w:t>
      </w:r>
    </w:p>
    <w:p w:rsidR="004F3DE4" w:rsidRPr="0027639E" w:rsidRDefault="004F3DE4" w:rsidP="0027639E">
      <w:pPr>
        <w:pStyle w:val="ListParagraph"/>
        <w:numPr>
          <w:ilvl w:val="0"/>
          <w:numId w:val="7"/>
        </w:numPr>
        <w:spacing w:after="200" w:line="480" w:lineRule="auto"/>
        <w:contextualSpacing/>
        <w:rPr>
          <w:rFonts w:ascii="Arial" w:hAnsi="Arial" w:cs="Arial"/>
          <w:sz w:val="24"/>
          <w:szCs w:val="24"/>
        </w:rPr>
      </w:pPr>
      <w:r w:rsidRPr="0027639E">
        <w:rPr>
          <w:rFonts w:ascii="Arial" w:hAnsi="Arial" w:cs="Arial"/>
          <w:sz w:val="24"/>
          <w:szCs w:val="24"/>
        </w:rPr>
        <w:t xml:space="preserve">The declaration shall be delivered within 15 days of this order and the Uniform Rules dealing with further pleadings, discovery and conduct of trials shall thereafter apply. </w:t>
      </w:r>
    </w:p>
    <w:p w:rsidR="000D19E6" w:rsidRPr="0027639E" w:rsidRDefault="004F3DE4" w:rsidP="0027639E">
      <w:pPr>
        <w:pStyle w:val="ListParagraph"/>
        <w:numPr>
          <w:ilvl w:val="0"/>
          <w:numId w:val="7"/>
        </w:numPr>
        <w:spacing w:line="480" w:lineRule="auto"/>
        <w:jc w:val="both"/>
        <w:rPr>
          <w:rFonts w:ascii="Arial" w:hAnsi="Arial" w:cs="Arial"/>
          <w:sz w:val="24"/>
          <w:szCs w:val="24"/>
          <w:lang w:val="en-ZA"/>
        </w:rPr>
      </w:pPr>
      <w:r w:rsidRPr="0027639E">
        <w:rPr>
          <w:rFonts w:ascii="Arial" w:hAnsi="Arial" w:cs="Arial"/>
          <w:sz w:val="24"/>
          <w:szCs w:val="24"/>
        </w:rPr>
        <w:t>Costs in the cause.</w:t>
      </w:r>
    </w:p>
    <w:p w:rsidR="000D19E6" w:rsidRPr="0027639E" w:rsidRDefault="000D19E6" w:rsidP="0027639E">
      <w:pPr>
        <w:pStyle w:val="ListParagraph"/>
        <w:spacing w:line="480" w:lineRule="auto"/>
        <w:jc w:val="both"/>
        <w:rPr>
          <w:rFonts w:ascii="Arial" w:hAnsi="Arial" w:cs="Arial"/>
          <w:sz w:val="24"/>
          <w:szCs w:val="24"/>
          <w:lang w:val="en-ZA"/>
        </w:rPr>
      </w:pPr>
    </w:p>
    <w:p w:rsidR="000D19E6" w:rsidRPr="00D54FA8" w:rsidRDefault="000D19E6" w:rsidP="000D19E6">
      <w:pPr>
        <w:suppressAutoHyphens/>
        <w:spacing w:line="480" w:lineRule="auto"/>
        <w:jc w:val="right"/>
        <w:rPr>
          <w:rFonts w:ascii="Arial" w:hAnsi="Arial" w:cs="Arial"/>
          <w:b/>
          <w:lang w:val="en-ZA"/>
        </w:rPr>
      </w:pPr>
      <w:r w:rsidRPr="00D54FA8">
        <w:rPr>
          <w:rFonts w:ascii="Arial" w:hAnsi="Arial" w:cs="Arial"/>
          <w:b/>
          <w:lang w:val="en-ZA"/>
        </w:rPr>
        <w:t>___________________________</w:t>
      </w:r>
    </w:p>
    <w:p w:rsidR="000D19E6" w:rsidRPr="00D54FA8" w:rsidRDefault="000D19E6" w:rsidP="000D19E6">
      <w:pPr>
        <w:spacing w:line="360" w:lineRule="auto"/>
        <w:jc w:val="right"/>
        <w:rPr>
          <w:rFonts w:ascii="Arial" w:eastAsiaTheme="minorHAnsi" w:hAnsi="Arial" w:cs="Arial"/>
          <w:b/>
          <w:lang w:val="en-ZA"/>
        </w:rPr>
      </w:pPr>
      <w:r w:rsidRPr="00D54FA8">
        <w:rPr>
          <w:rFonts w:ascii="Arial" w:eastAsiaTheme="minorHAnsi" w:hAnsi="Arial" w:cs="Arial"/>
          <w:b/>
          <w:lang w:val="en-ZA"/>
        </w:rPr>
        <w:t>L. WINDELL</w:t>
      </w:r>
    </w:p>
    <w:p w:rsidR="000D19E6" w:rsidRPr="00D54FA8" w:rsidRDefault="000D19E6" w:rsidP="000D19E6">
      <w:pPr>
        <w:spacing w:line="360" w:lineRule="auto"/>
        <w:jc w:val="right"/>
        <w:rPr>
          <w:rFonts w:ascii="Arial" w:eastAsiaTheme="minorHAnsi" w:hAnsi="Arial" w:cs="Arial"/>
          <w:b/>
          <w:lang w:val="en-ZA"/>
        </w:rPr>
      </w:pPr>
      <w:r w:rsidRPr="00D54FA8">
        <w:rPr>
          <w:rFonts w:ascii="Arial" w:eastAsiaTheme="minorHAnsi" w:hAnsi="Arial" w:cs="Arial"/>
          <w:b/>
          <w:lang w:val="en-ZA"/>
        </w:rPr>
        <w:t>JUDGE OF THE HIGH COURT</w:t>
      </w:r>
    </w:p>
    <w:p w:rsidR="000D19E6" w:rsidRPr="00D54FA8" w:rsidRDefault="000D19E6" w:rsidP="000D19E6">
      <w:pPr>
        <w:spacing w:line="360" w:lineRule="auto"/>
        <w:jc w:val="right"/>
        <w:rPr>
          <w:rFonts w:ascii="Arial" w:eastAsiaTheme="minorHAnsi" w:hAnsi="Arial" w:cs="Arial"/>
          <w:b/>
          <w:lang w:val="en-ZA"/>
        </w:rPr>
      </w:pPr>
      <w:r w:rsidRPr="00D54FA8">
        <w:rPr>
          <w:rFonts w:ascii="Arial" w:eastAsiaTheme="minorHAnsi" w:hAnsi="Arial" w:cs="Arial"/>
          <w:b/>
          <w:lang w:val="en-ZA"/>
        </w:rPr>
        <w:t>GAUTENG LOCAL DIVISION, JOHANNESBURG</w:t>
      </w:r>
    </w:p>
    <w:p w:rsidR="000D19E6" w:rsidRPr="00D54FA8" w:rsidRDefault="000D19E6" w:rsidP="000D19E6">
      <w:pPr>
        <w:spacing w:before="240" w:line="360" w:lineRule="auto"/>
        <w:jc w:val="right"/>
        <w:rPr>
          <w:rFonts w:ascii="Arial" w:eastAsiaTheme="minorHAnsi" w:hAnsi="Arial" w:cs="Arial"/>
          <w:b/>
          <w:lang w:val="en-ZA"/>
        </w:rPr>
      </w:pPr>
      <w:r w:rsidRPr="00D54FA8">
        <w:rPr>
          <w:rFonts w:ascii="Arial" w:eastAsiaTheme="minorHAnsi" w:hAnsi="Arial" w:cs="Arial"/>
          <w:b/>
          <w:lang w:val="en-ZA"/>
        </w:rPr>
        <w:t>(</w:t>
      </w:r>
      <w:r w:rsidRPr="00D54FA8">
        <w:rPr>
          <w:rFonts w:ascii="Arial" w:eastAsiaTheme="minorHAnsi" w:hAnsi="Arial" w:cs="Arial"/>
          <w:b/>
          <w:i/>
          <w:lang w:val="en-ZA"/>
        </w:rPr>
        <w:t>Electronically submitted therefore unsigned)</w:t>
      </w:r>
    </w:p>
    <w:p w:rsidR="000D19E6" w:rsidRPr="00D54FA8" w:rsidRDefault="000D19E6" w:rsidP="000D19E6">
      <w:pPr>
        <w:suppressAutoHyphens/>
        <w:spacing w:line="360" w:lineRule="auto"/>
        <w:jc w:val="right"/>
        <w:rPr>
          <w:rFonts w:ascii="Arial" w:hAnsi="Arial" w:cs="Arial"/>
          <w:b/>
          <w:lang w:val="en-ZA"/>
        </w:rPr>
      </w:pPr>
    </w:p>
    <w:p w:rsidR="000D19E6" w:rsidRPr="00D54FA8" w:rsidRDefault="000D19E6" w:rsidP="000D19E6">
      <w:pPr>
        <w:suppressAutoHyphens/>
        <w:spacing w:before="240" w:after="198" w:line="480" w:lineRule="auto"/>
        <w:jc w:val="both"/>
        <w:rPr>
          <w:rFonts w:ascii="Arial" w:hAnsi="Arial" w:cs="Arial"/>
          <w:lang w:val="en-ZA"/>
        </w:rPr>
      </w:pPr>
      <w:r w:rsidRPr="00D54FA8">
        <w:rPr>
          <w:rFonts w:ascii="Arial" w:hAnsi="Arial" w:cs="Arial"/>
          <w:lang w:val="en-ZA"/>
        </w:rPr>
        <w:lastRenderedPageBreak/>
        <w:t xml:space="preserve">Delivered:  This judgement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244305">
        <w:rPr>
          <w:rFonts w:ascii="Arial" w:hAnsi="Arial" w:cs="Arial"/>
          <w:lang w:val="en-ZA"/>
        </w:rPr>
        <w:t>10 May 2022.</w:t>
      </w:r>
    </w:p>
    <w:p w:rsidR="000D19E6" w:rsidRPr="00D54FA8" w:rsidRDefault="000D19E6" w:rsidP="000D19E6">
      <w:pPr>
        <w:suppressAutoHyphens/>
        <w:spacing w:before="240" w:after="160"/>
        <w:ind w:left="-5"/>
        <w:jc w:val="both"/>
        <w:rPr>
          <w:rFonts w:ascii="Arial" w:hAnsi="Arial" w:cs="Arial"/>
          <w:lang w:val="en-ZA"/>
        </w:rPr>
      </w:pPr>
      <w:r w:rsidRPr="00D54FA8">
        <w:rPr>
          <w:rFonts w:ascii="Arial" w:hAnsi="Arial" w:cs="Arial"/>
          <w:b/>
          <w:u w:val="single" w:color="000000"/>
          <w:lang w:val="en-ZA"/>
        </w:rPr>
        <w:t>APPEARANCES</w:t>
      </w:r>
    </w:p>
    <w:p w:rsidR="000D19E6" w:rsidRPr="00D54FA8" w:rsidRDefault="000D19E6" w:rsidP="000D19E6">
      <w:pPr>
        <w:suppressAutoHyphens/>
        <w:spacing w:after="320" w:line="276" w:lineRule="auto"/>
        <w:ind w:left="1361" w:hanging="1361"/>
        <w:jc w:val="both"/>
        <w:outlineLvl w:val="1"/>
        <w:rPr>
          <w:rFonts w:ascii="Arial" w:hAnsi="Arial" w:cs="Arial"/>
          <w:lang w:val="en-ZA"/>
        </w:rPr>
      </w:pPr>
      <w:r>
        <w:rPr>
          <w:rFonts w:ascii="Arial" w:hAnsi="Arial" w:cs="Arial"/>
          <w:lang w:val="en-ZA"/>
        </w:rPr>
        <w:t>Counsel for the plaintiff:</w:t>
      </w:r>
      <w:r>
        <w:rPr>
          <w:rFonts w:ascii="Arial" w:hAnsi="Arial" w:cs="Arial"/>
          <w:lang w:val="en-ZA"/>
        </w:rPr>
        <w:tab/>
      </w:r>
      <w:r>
        <w:rPr>
          <w:rFonts w:ascii="Arial" w:hAnsi="Arial" w:cs="Arial"/>
          <w:lang w:val="en-ZA"/>
        </w:rPr>
        <w:tab/>
      </w:r>
      <w:r>
        <w:rPr>
          <w:rFonts w:ascii="Arial" w:hAnsi="Arial" w:cs="Arial"/>
          <w:lang w:val="en-ZA"/>
        </w:rPr>
        <w:tab/>
        <w:t xml:space="preserve">Adv. </w:t>
      </w:r>
      <w:r w:rsidR="00E919D6">
        <w:rPr>
          <w:rFonts w:ascii="Arial" w:hAnsi="Arial" w:cs="Arial"/>
          <w:lang w:val="en-ZA"/>
        </w:rPr>
        <w:t>K. Mnyandu</w:t>
      </w:r>
    </w:p>
    <w:p w:rsidR="000D19E6" w:rsidRPr="00D54FA8" w:rsidRDefault="000D19E6" w:rsidP="000D19E6">
      <w:pPr>
        <w:suppressAutoHyphens/>
        <w:spacing w:after="320" w:line="276" w:lineRule="auto"/>
        <w:ind w:left="1361" w:hanging="1361"/>
        <w:jc w:val="both"/>
        <w:outlineLvl w:val="1"/>
        <w:rPr>
          <w:rFonts w:ascii="Arial" w:hAnsi="Arial" w:cs="Arial"/>
          <w:lang w:val="en-ZA"/>
        </w:rPr>
      </w:pPr>
      <w:r w:rsidRPr="00D54FA8">
        <w:rPr>
          <w:rFonts w:ascii="Arial" w:hAnsi="Arial" w:cs="Arial"/>
          <w:lang w:val="en-ZA"/>
        </w:rPr>
        <w:t>Ins</w:t>
      </w:r>
      <w:r>
        <w:rPr>
          <w:rFonts w:ascii="Arial" w:hAnsi="Arial" w:cs="Arial"/>
          <w:lang w:val="en-ZA"/>
        </w:rPr>
        <w:t>tructed by:</w:t>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00E919D6">
        <w:rPr>
          <w:rFonts w:ascii="Arial" w:hAnsi="Arial" w:cs="Arial"/>
          <w:lang w:val="en-ZA"/>
        </w:rPr>
        <w:t>Salijee Govender van der Merwe Inc</w:t>
      </w:r>
    </w:p>
    <w:p w:rsidR="000D19E6" w:rsidRPr="00D54FA8" w:rsidRDefault="000D19E6" w:rsidP="000D19E6">
      <w:pPr>
        <w:suppressAutoHyphens/>
        <w:spacing w:after="320" w:line="276" w:lineRule="auto"/>
        <w:ind w:left="1361" w:hanging="1361"/>
        <w:jc w:val="both"/>
        <w:outlineLvl w:val="1"/>
        <w:rPr>
          <w:rFonts w:ascii="Arial" w:hAnsi="Arial" w:cs="Arial"/>
          <w:lang w:val="en-ZA"/>
        </w:rPr>
      </w:pPr>
      <w:r w:rsidRPr="00D54FA8">
        <w:rPr>
          <w:rFonts w:ascii="Arial" w:hAnsi="Arial" w:cs="Arial"/>
          <w:lang w:val="en-ZA"/>
        </w:rPr>
        <w:t xml:space="preserve">Counsel for the </w:t>
      </w:r>
      <w:r>
        <w:rPr>
          <w:rFonts w:ascii="Arial" w:hAnsi="Arial" w:cs="Arial"/>
          <w:lang w:val="en-ZA"/>
        </w:rPr>
        <w:t>defendant:</w:t>
      </w:r>
      <w:r>
        <w:rPr>
          <w:rFonts w:ascii="Arial" w:hAnsi="Arial" w:cs="Arial"/>
          <w:lang w:val="en-ZA"/>
        </w:rPr>
        <w:tab/>
      </w:r>
      <w:r>
        <w:rPr>
          <w:rFonts w:ascii="Arial" w:hAnsi="Arial" w:cs="Arial"/>
          <w:lang w:val="en-ZA"/>
        </w:rPr>
        <w:tab/>
        <w:t xml:space="preserve">           </w:t>
      </w:r>
      <w:r w:rsidR="003C61F9">
        <w:rPr>
          <w:rFonts w:ascii="Arial" w:hAnsi="Arial" w:cs="Arial"/>
          <w:lang w:val="en-ZA"/>
        </w:rPr>
        <w:t>Adv.</w:t>
      </w:r>
      <w:r w:rsidR="00E919D6">
        <w:rPr>
          <w:rFonts w:ascii="Arial" w:hAnsi="Arial" w:cs="Arial"/>
          <w:lang w:val="en-ZA"/>
        </w:rPr>
        <w:t xml:space="preserve"> S.B. Friedland</w:t>
      </w:r>
    </w:p>
    <w:p w:rsidR="000D19E6" w:rsidRPr="00D54FA8" w:rsidRDefault="000D19E6" w:rsidP="000D19E6">
      <w:pPr>
        <w:suppressAutoHyphens/>
        <w:spacing w:after="320" w:line="276" w:lineRule="auto"/>
        <w:ind w:left="1361" w:hanging="1361"/>
        <w:jc w:val="both"/>
        <w:outlineLvl w:val="1"/>
        <w:rPr>
          <w:rFonts w:ascii="Arial" w:hAnsi="Arial" w:cs="Arial"/>
          <w:lang w:val="en-ZA"/>
        </w:rPr>
      </w:pPr>
      <w:r w:rsidRPr="00D54FA8">
        <w:rPr>
          <w:rFonts w:ascii="Arial" w:hAnsi="Arial" w:cs="Arial"/>
          <w:lang w:val="en-ZA"/>
        </w:rPr>
        <w:t xml:space="preserve">Instructed by: </w:t>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00E919D6">
        <w:rPr>
          <w:rFonts w:ascii="Arial" w:hAnsi="Arial" w:cs="Arial"/>
          <w:lang w:val="en-ZA"/>
        </w:rPr>
        <w:t>Beder Friedland Inc</w:t>
      </w:r>
    </w:p>
    <w:p w:rsidR="000D19E6" w:rsidRPr="00D54FA8" w:rsidRDefault="000D19E6" w:rsidP="000D19E6">
      <w:pPr>
        <w:suppressAutoHyphens/>
        <w:spacing w:after="320" w:line="360" w:lineRule="auto"/>
        <w:ind w:left="1361" w:hanging="1361"/>
        <w:jc w:val="both"/>
        <w:outlineLvl w:val="1"/>
        <w:rPr>
          <w:rFonts w:ascii="Arial" w:hAnsi="Arial" w:cs="Arial"/>
          <w:lang w:val="en-ZA"/>
        </w:rPr>
      </w:pPr>
      <w:r w:rsidRPr="00D54FA8">
        <w:rPr>
          <w:rFonts w:ascii="Arial" w:hAnsi="Arial" w:cs="Arial"/>
          <w:lang w:val="en-ZA"/>
        </w:rPr>
        <w:t>Date</w:t>
      </w:r>
      <w:r>
        <w:rPr>
          <w:rFonts w:ascii="Arial" w:hAnsi="Arial" w:cs="Arial"/>
          <w:lang w:val="en-ZA"/>
        </w:rPr>
        <w:t xml:space="preserve"> of hearing:</w:t>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14 March 2022 </w:t>
      </w:r>
    </w:p>
    <w:p w:rsidR="00DA06DF" w:rsidRDefault="000D19E6" w:rsidP="000D19E6">
      <w:pPr>
        <w:suppressAutoHyphens/>
        <w:spacing w:after="320" w:line="276" w:lineRule="auto"/>
        <w:jc w:val="both"/>
        <w:outlineLvl w:val="1"/>
        <w:rPr>
          <w:rFonts w:ascii="Arial" w:hAnsi="Arial" w:cs="Arial"/>
          <w:lang w:val="en-ZA"/>
        </w:rPr>
      </w:pPr>
      <w:r w:rsidRPr="00D54FA8">
        <w:rPr>
          <w:rFonts w:ascii="Arial" w:hAnsi="Arial" w:cs="Arial"/>
          <w:lang w:val="en-ZA"/>
        </w:rPr>
        <w:t xml:space="preserve">Date of judgment:                 </w:t>
      </w:r>
      <w:r w:rsidR="00244305">
        <w:rPr>
          <w:rFonts w:ascii="Arial" w:hAnsi="Arial" w:cs="Arial"/>
          <w:lang w:val="en-ZA"/>
        </w:rPr>
        <w:t xml:space="preserve">                    10 May 2022</w:t>
      </w:r>
    </w:p>
    <w:p w:rsidR="00DA06DF" w:rsidRDefault="00DA06DF" w:rsidP="000D19E6">
      <w:pPr>
        <w:suppressAutoHyphens/>
        <w:spacing w:after="320" w:line="276" w:lineRule="auto"/>
        <w:jc w:val="both"/>
        <w:outlineLvl w:val="1"/>
        <w:rPr>
          <w:rFonts w:ascii="Arial" w:hAnsi="Arial" w:cs="Arial"/>
          <w:lang w:val="en-ZA"/>
        </w:rPr>
      </w:pPr>
    </w:p>
    <w:p w:rsidR="00261DD1" w:rsidRDefault="00261DD1" w:rsidP="000D19E6">
      <w:pPr>
        <w:suppressAutoHyphens/>
        <w:spacing w:after="320" w:line="276" w:lineRule="auto"/>
        <w:jc w:val="both"/>
        <w:outlineLvl w:val="1"/>
        <w:rPr>
          <w:rFonts w:ascii="Arial" w:hAnsi="Arial" w:cs="Arial"/>
          <w:lang w:val="en-ZA"/>
        </w:rPr>
      </w:pPr>
    </w:p>
    <w:p w:rsidR="00261DD1" w:rsidRDefault="000D19E6" w:rsidP="00261DD1">
      <w:pPr>
        <w:spacing w:line="480" w:lineRule="auto"/>
        <w:jc w:val="both"/>
        <w:rPr>
          <w:rFonts w:ascii="Arial" w:hAnsi="Arial" w:cs="Arial"/>
          <w:color w:val="000000"/>
          <w:lang w:val="en-ZA" w:eastAsia="en-ZA"/>
        </w:rPr>
      </w:pPr>
      <w:r>
        <w:rPr>
          <w:rFonts w:ascii="Arial" w:hAnsi="Arial" w:cs="Arial"/>
          <w:lang w:val="en-ZA"/>
        </w:rPr>
        <w:t xml:space="preserve">      </w:t>
      </w:r>
    </w:p>
    <w:p w:rsidR="000D19E6" w:rsidRPr="00D54FA8" w:rsidRDefault="000D19E6" w:rsidP="000D19E6">
      <w:pPr>
        <w:suppressAutoHyphens/>
        <w:spacing w:after="320" w:line="276" w:lineRule="auto"/>
        <w:jc w:val="both"/>
        <w:outlineLvl w:val="1"/>
        <w:rPr>
          <w:rFonts w:ascii="Arial" w:eastAsiaTheme="minorHAnsi" w:hAnsi="Arial" w:cs="Arial"/>
          <w:lang w:val="en-ZA"/>
        </w:rPr>
      </w:pPr>
    </w:p>
    <w:sectPr w:rsidR="000D19E6" w:rsidRPr="00D54FA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83D" w:rsidRDefault="0018483D" w:rsidP="00D25074">
      <w:r>
        <w:separator/>
      </w:r>
    </w:p>
  </w:endnote>
  <w:endnote w:type="continuationSeparator" w:id="0">
    <w:p w:rsidR="0018483D" w:rsidRDefault="0018483D" w:rsidP="00D2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83D" w:rsidRDefault="0018483D" w:rsidP="00D25074">
      <w:r>
        <w:separator/>
      </w:r>
    </w:p>
  </w:footnote>
  <w:footnote w:type="continuationSeparator" w:id="0">
    <w:p w:rsidR="0018483D" w:rsidRDefault="0018483D" w:rsidP="00D25074">
      <w:r>
        <w:continuationSeparator/>
      </w:r>
    </w:p>
  </w:footnote>
  <w:footnote w:id="1">
    <w:p w:rsidR="00261DD1" w:rsidRPr="00D0430F" w:rsidRDefault="00261DD1" w:rsidP="00261DD1">
      <w:pPr>
        <w:pStyle w:val="FootnoteText"/>
        <w:rPr>
          <w:rFonts w:ascii="Arial" w:hAnsi="Arial" w:cs="Arial"/>
          <w:lang w:val="en-ZA"/>
        </w:rPr>
      </w:pPr>
      <w:r w:rsidRPr="00D0430F">
        <w:rPr>
          <w:rStyle w:val="FootnoteReference"/>
          <w:rFonts w:ascii="Arial" w:hAnsi="Arial" w:cs="Arial"/>
        </w:rPr>
        <w:footnoteRef/>
      </w:r>
      <w:r w:rsidRPr="00D0430F">
        <w:rPr>
          <w:rFonts w:ascii="Arial" w:hAnsi="Arial" w:cs="Arial"/>
        </w:rPr>
        <w:t xml:space="preserve"> </w:t>
      </w:r>
      <w:r w:rsidRPr="00D0430F">
        <w:rPr>
          <w:rFonts w:ascii="Arial" w:hAnsi="Arial" w:cs="Arial"/>
          <w:i/>
          <w:iCs/>
          <w:shd w:val="clear" w:color="auto" w:fill="FFFFFF"/>
        </w:rPr>
        <w:t xml:space="preserve">Chetty v Naidoo </w:t>
      </w:r>
      <w:r w:rsidRPr="00D0430F">
        <w:rPr>
          <w:rFonts w:ascii="Arial" w:hAnsi="Arial" w:cs="Arial"/>
          <w:iCs/>
          <w:shd w:val="clear" w:color="auto" w:fill="FFFFFF"/>
        </w:rPr>
        <w:t>1974 (3) SA 13 A at page 20</w:t>
      </w:r>
      <w:r w:rsidRPr="00D0430F">
        <w:rPr>
          <w:rFonts w:ascii="Arial" w:hAnsi="Arial" w:cs="Arial"/>
          <w:shd w:val="clear" w:color="auto" w:fill="FFFFFF"/>
        </w:rPr>
        <w:t xml:space="preserve"> </w:t>
      </w:r>
    </w:p>
  </w:footnote>
  <w:footnote w:id="2">
    <w:p w:rsidR="00834D01" w:rsidRPr="00834D01" w:rsidRDefault="00834D01">
      <w:pPr>
        <w:pStyle w:val="FootnoteText"/>
        <w:rPr>
          <w:lang w:val="en-GB"/>
        </w:rPr>
      </w:pPr>
      <w:r>
        <w:rPr>
          <w:rStyle w:val="FootnoteReference"/>
        </w:rPr>
        <w:footnoteRef/>
      </w:r>
      <w:r>
        <w:t xml:space="preserve"> </w:t>
      </w:r>
      <w:r>
        <w:rPr>
          <w:rFonts w:ascii="Arial" w:hAnsi="Arial" w:cs="Arial"/>
        </w:rPr>
        <w:t xml:space="preserve">1922 AD 16 at page 23. </w:t>
      </w:r>
    </w:p>
  </w:footnote>
  <w:footnote w:id="3">
    <w:p w:rsidR="008D605C" w:rsidRPr="000A794B" w:rsidRDefault="008D605C" w:rsidP="000A794B">
      <w:pPr>
        <w:pStyle w:val="FootnoteText"/>
        <w:jc w:val="both"/>
        <w:rPr>
          <w:rFonts w:ascii="Arial" w:hAnsi="Arial" w:cs="Arial"/>
          <w:lang w:val="en-GB"/>
        </w:rPr>
      </w:pPr>
      <w:r w:rsidRPr="000A794B">
        <w:rPr>
          <w:rStyle w:val="FootnoteReference"/>
          <w:rFonts w:ascii="Arial" w:hAnsi="Arial" w:cs="Arial"/>
        </w:rPr>
        <w:footnoteRef/>
      </w:r>
      <w:r w:rsidRPr="000A794B">
        <w:rPr>
          <w:rFonts w:ascii="Arial" w:hAnsi="Arial" w:cs="Arial"/>
        </w:rPr>
        <w:t xml:space="preserve"> </w:t>
      </w:r>
      <w:r w:rsidRPr="000A794B">
        <w:rPr>
          <w:rFonts w:ascii="Arial" w:hAnsi="Arial" w:cs="Arial"/>
          <w:iCs/>
          <w:color w:val="000000"/>
          <w:lang w:val="en-ZA" w:eastAsia="en-ZA"/>
        </w:rPr>
        <w:t xml:space="preserve">2006 (1) SA 591 (SCA) </w:t>
      </w:r>
      <w:r w:rsidR="000A794B">
        <w:rPr>
          <w:rFonts w:ascii="Arial" w:hAnsi="Arial" w:cs="Arial"/>
          <w:iCs/>
          <w:color w:val="000000"/>
          <w:lang w:val="en-ZA" w:eastAsia="en-ZA"/>
        </w:rPr>
        <w:t xml:space="preserve">par </w:t>
      </w:r>
      <w:r w:rsidRPr="000A794B">
        <w:rPr>
          <w:rFonts w:ascii="Arial" w:hAnsi="Arial" w:cs="Arial"/>
          <w:iCs/>
          <w:color w:val="000000"/>
          <w:lang w:val="en-ZA" w:eastAsia="en-ZA"/>
        </w:rPr>
        <w:t>28</w:t>
      </w:r>
      <w:r w:rsidRPr="000A794B">
        <w:rPr>
          <w:rFonts w:ascii="Arial" w:hAnsi="Arial" w:cs="Arial"/>
          <w:color w:val="000000"/>
          <w:lang w:val="en-ZA" w:eastAsia="en-ZA"/>
        </w:rPr>
        <w:t>.</w:t>
      </w:r>
    </w:p>
  </w:footnote>
  <w:footnote w:id="4">
    <w:p w:rsidR="000A794B" w:rsidRPr="000A794B" w:rsidRDefault="000A794B" w:rsidP="000A794B">
      <w:pPr>
        <w:pStyle w:val="FootnoteText"/>
        <w:jc w:val="both"/>
        <w:rPr>
          <w:rFonts w:ascii="Arial" w:hAnsi="Arial" w:cs="Arial"/>
          <w:lang w:val="en-GB"/>
        </w:rPr>
      </w:pPr>
      <w:r w:rsidRPr="000A794B">
        <w:rPr>
          <w:rStyle w:val="FootnoteReference"/>
          <w:rFonts w:ascii="Arial" w:hAnsi="Arial" w:cs="Arial"/>
        </w:rPr>
        <w:footnoteRef/>
      </w:r>
      <w:r w:rsidRPr="000A794B">
        <w:rPr>
          <w:rFonts w:ascii="Arial" w:hAnsi="Arial" w:cs="Arial"/>
        </w:rPr>
        <w:t xml:space="preserve">  See also </w:t>
      </w:r>
      <w:r w:rsidRPr="000A794B">
        <w:rPr>
          <w:rFonts w:ascii="Arial" w:hAnsi="Arial" w:cs="Arial"/>
          <w:i/>
        </w:rPr>
        <w:t>Kham and Others v Electoral Commission and Anothe</w:t>
      </w:r>
      <w:r w:rsidRPr="000A794B">
        <w:rPr>
          <w:rFonts w:ascii="Arial" w:hAnsi="Arial" w:cs="Arial"/>
        </w:rPr>
        <w:t>r 2016 (2) SA 338 (CC) par [46].</w:t>
      </w:r>
    </w:p>
  </w:footnote>
  <w:footnote w:id="5">
    <w:p w:rsidR="000A794B" w:rsidRPr="000A794B" w:rsidRDefault="000A794B" w:rsidP="000A794B">
      <w:pPr>
        <w:pStyle w:val="FootnoteText"/>
        <w:jc w:val="both"/>
        <w:rPr>
          <w:rFonts w:ascii="Arial" w:hAnsi="Arial" w:cs="Arial"/>
          <w:lang w:val="en-GB"/>
        </w:rPr>
      </w:pPr>
      <w:r w:rsidRPr="000A794B">
        <w:rPr>
          <w:rStyle w:val="FootnoteReference"/>
          <w:rFonts w:ascii="Arial" w:hAnsi="Arial" w:cs="Arial"/>
        </w:rPr>
        <w:footnoteRef/>
      </w:r>
      <w:r w:rsidRPr="000A794B">
        <w:rPr>
          <w:rFonts w:ascii="Arial" w:hAnsi="Arial" w:cs="Arial"/>
        </w:rPr>
        <w:t xml:space="preserve"> </w:t>
      </w:r>
      <w:r w:rsidRPr="000A794B">
        <w:rPr>
          <w:rFonts w:ascii="Arial" w:hAnsi="Arial" w:cs="Arial"/>
          <w:i/>
        </w:rPr>
        <w:t xml:space="preserve">Gcaba v Minister for Safety and Security and Others </w:t>
      </w:r>
      <w:r w:rsidRPr="000A794B">
        <w:rPr>
          <w:rFonts w:ascii="Arial" w:hAnsi="Arial" w:cs="Arial"/>
        </w:rPr>
        <w:t>2010 (1) SA 238 (CC).</w:t>
      </w:r>
    </w:p>
  </w:footnote>
  <w:footnote w:id="6">
    <w:p w:rsidR="000A794B" w:rsidRPr="000A794B" w:rsidRDefault="000A794B" w:rsidP="000A794B">
      <w:pPr>
        <w:pStyle w:val="FootnoteText"/>
        <w:jc w:val="both"/>
        <w:rPr>
          <w:lang w:val="en-GB"/>
        </w:rPr>
      </w:pPr>
      <w:r w:rsidRPr="000A794B">
        <w:rPr>
          <w:rStyle w:val="FootnoteReference"/>
          <w:rFonts w:ascii="Arial" w:hAnsi="Arial" w:cs="Arial"/>
        </w:rPr>
        <w:footnoteRef/>
      </w:r>
      <w:r w:rsidRPr="000A794B">
        <w:rPr>
          <w:rFonts w:ascii="Arial" w:hAnsi="Arial" w:cs="Arial"/>
        </w:rPr>
        <w:t xml:space="preserve"> </w:t>
      </w:r>
      <w:r w:rsidRPr="00DE1EC5">
        <w:rPr>
          <w:rFonts w:ascii="Arial" w:hAnsi="Arial" w:cs="Arial"/>
          <w:color w:val="000000"/>
          <w:lang w:val="en-ZA" w:eastAsia="en-ZA"/>
        </w:rPr>
        <w:t>1988 (4) SA 326 (T) at 336B</w:t>
      </w:r>
      <w:r w:rsidRPr="000A794B">
        <w:rPr>
          <w:rFonts w:ascii="Arial" w:hAnsi="Arial" w:cs="Arial"/>
          <w:color w:val="000000"/>
          <w:lang w:val="en-ZA" w:eastAsia="en-ZA"/>
        </w:rPr>
        <w:t>.</w:t>
      </w:r>
      <w:r>
        <w:rPr>
          <w:rFonts w:ascii="Arial" w:hAnsi="Arial" w:cs="Arial"/>
          <w:color w:val="000000"/>
          <w:sz w:val="24"/>
          <w:szCs w:val="24"/>
          <w:lang w:val="en-ZA" w:eastAsia="en-ZA"/>
        </w:rPr>
        <w:t xml:space="preserve"> </w:t>
      </w:r>
    </w:p>
  </w:footnote>
  <w:footnote w:id="7">
    <w:p w:rsidR="009F489B" w:rsidRPr="00CA4B86" w:rsidRDefault="009F489B" w:rsidP="009F489B">
      <w:pPr>
        <w:pStyle w:val="FootnoteText"/>
        <w:rPr>
          <w:lang w:val="en-GB"/>
        </w:rPr>
      </w:pPr>
      <w:r w:rsidRPr="00CA4B86">
        <w:rPr>
          <w:rStyle w:val="FootnoteReference"/>
        </w:rPr>
        <w:footnoteRef/>
      </w:r>
      <w:r w:rsidRPr="00CA4B86">
        <w:t xml:space="preserve"> </w:t>
      </w:r>
      <w:r w:rsidRPr="00CA4B86">
        <w:rPr>
          <w:rFonts w:ascii="Arial" w:hAnsi="Arial" w:cs="Arial"/>
          <w:color w:val="000000"/>
        </w:rPr>
        <w:t>[2009] ZASCA 1; 2009 (1) SACR 361 (SCA) at paragraphs 26 and 27.</w:t>
      </w:r>
    </w:p>
  </w:footnote>
  <w:footnote w:id="8">
    <w:p w:rsidR="00356131" w:rsidRPr="00356131" w:rsidRDefault="00356131">
      <w:pPr>
        <w:pStyle w:val="FootnoteText"/>
        <w:rPr>
          <w:lang w:val="en-GB"/>
        </w:rPr>
      </w:pPr>
      <w:r>
        <w:rPr>
          <w:rStyle w:val="FootnoteReference"/>
        </w:rPr>
        <w:footnoteRef/>
      </w:r>
      <w:r>
        <w:t xml:space="preserve"> </w:t>
      </w:r>
      <w:r>
        <w:rPr>
          <w:lang w:val="en-GB"/>
        </w:rPr>
        <w:t>Oblowitz v Oblowitz 1953 (4) SA 426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100370"/>
      <w:docPartObj>
        <w:docPartGallery w:val="Page Numbers (Top of Page)"/>
        <w:docPartUnique/>
      </w:docPartObj>
    </w:sdtPr>
    <w:sdtEndPr>
      <w:rPr>
        <w:noProof/>
      </w:rPr>
    </w:sdtEndPr>
    <w:sdtContent>
      <w:p w:rsidR="00D25074" w:rsidRDefault="00D25074">
        <w:pPr>
          <w:pStyle w:val="Header"/>
          <w:jc w:val="right"/>
        </w:pPr>
        <w:r>
          <w:fldChar w:fldCharType="begin"/>
        </w:r>
        <w:r>
          <w:instrText xml:space="preserve"> PAGE   \* MERGEFORMAT </w:instrText>
        </w:r>
        <w:r>
          <w:fldChar w:fldCharType="separate"/>
        </w:r>
        <w:r w:rsidR="007F50DE">
          <w:rPr>
            <w:noProof/>
          </w:rPr>
          <w:t>1</w:t>
        </w:r>
        <w:r>
          <w:rPr>
            <w:noProof/>
          </w:rPr>
          <w:fldChar w:fldCharType="end"/>
        </w:r>
      </w:p>
    </w:sdtContent>
  </w:sdt>
  <w:p w:rsidR="00D25074" w:rsidRDefault="00D25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26567992"/>
    <w:multiLevelType w:val="hybridMultilevel"/>
    <w:tmpl w:val="FC9A533E"/>
    <w:lvl w:ilvl="0" w:tplc="CB52C40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47462E1"/>
    <w:multiLevelType w:val="multilevel"/>
    <w:tmpl w:val="C4326730"/>
    <w:lvl w:ilvl="0">
      <w:start w:val="1"/>
      <w:numFmt w:val="decimal"/>
      <w:pStyle w:val="Myown"/>
      <w:lvlText w:val="%1"/>
      <w:lvlJc w:val="left"/>
      <w:pPr>
        <w:tabs>
          <w:tab w:val="num" w:pos="709"/>
        </w:tabs>
        <w:ind w:left="709" w:hanging="709"/>
      </w:pPr>
      <w:rPr>
        <w:rFonts w:ascii="Arial" w:hAnsi="Arial" w:hint="default"/>
        <w:b w:val="0"/>
        <w:i w:val="0"/>
        <w:sz w:val="24"/>
      </w:rPr>
    </w:lvl>
    <w:lvl w:ilvl="1">
      <w:start w:val="1"/>
      <w:numFmt w:val="decimal"/>
      <w:lvlText w:val="%1.%2"/>
      <w:lvlJc w:val="left"/>
      <w:pPr>
        <w:tabs>
          <w:tab w:val="num" w:pos="1418"/>
        </w:tabs>
        <w:ind w:left="1418" w:hanging="709"/>
      </w:pPr>
      <w:rPr>
        <w:rFonts w:ascii="Arial" w:hAnsi="Arial" w:hint="default"/>
        <w:b w:val="0"/>
        <w:i w:val="0"/>
        <w:sz w:val="24"/>
      </w:rPr>
    </w:lvl>
    <w:lvl w:ilvl="2">
      <w:start w:val="1"/>
      <w:numFmt w:val="decimal"/>
      <w:lvlText w:val="%1.%2.%3"/>
      <w:lvlJc w:val="left"/>
      <w:pPr>
        <w:tabs>
          <w:tab w:val="num" w:pos="2127"/>
        </w:tabs>
        <w:ind w:left="2127" w:hanging="709"/>
      </w:pPr>
      <w:rPr>
        <w:rFonts w:ascii="Arial" w:hAnsi="Arial" w:hint="default"/>
        <w:b w:val="0"/>
        <w:i w:val="0"/>
        <w:sz w:val="24"/>
      </w:rPr>
    </w:lvl>
    <w:lvl w:ilvl="3">
      <w:start w:val="1"/>
      <w:numFmt w:val="decimal"/>
      <w:lvlText w:val="%4.1.1.1"/>
      <w:lvlJc w:val="left"/>
      <w:pPr>
        <w:tabs>
          <w:tab w:val="num" w:pos="3207"/>
        </w:tabs>
        <w:ind w:left="2836" w:hanging="709"/>
      </w:pPr>
      <w:rPr>
        <w:rFonts w:ascii="Arial" w:hAnsi="Arial" w:hint="default"/>
        <w:b w:val="0"/>
        <w:i w:val="0"/>
        <w:sz w:val="24"/>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92"/>
        </w:tabs>
        <w:ind w:left="6392" w:hanging="720"/>
      </w:pPr>
      <w:rPr>
        <w:rFonts w:hint="default"/>
      </w:rPr>
    </w:lvl>
  </w:abstractNum>
  <w:abstractNum w:abstractNumId="3" w15:restartNumberingAfterBreak="0">
    <w:nsid w:val="5EC166BB"/>
    <w:multiLevelType w:val="hybridMultilevel"/>
    <w:tmpl w:val="342CDD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6756A40"/>
    <w:multiLevelType w:val="hybridMultilevel"/>
    <w:tmpl w:val="3D38E4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86E03A9"/>
    <w:multiLevelType w:val="hybridMultilevel"/>
    <w:tmpl w:val="3D38E4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E6"/>
    <w:rsid w:val="00042560"/>
    <w:rsid w:val="00064510"/>
    <w:rsid w:val="00072B2F"/>
    <w:rsid w:val="000876FE"/>
    <w:rsid w:val="000A0FF2"/>
    <w:rsid w:val="000A794B"/>
    <w:rsid w:val="000D19E6"/>
    <w:rsid w:val="0018483D"/>
    <w:rsid w:val="00193609"/>
    <w:rsid w:val="001C1539"/>
    <w:rsid w:val="00211B1F"/>
    <w:rsid w:val="00216137"/>
    <w:rsid w:val="00244305"/>
    <w:rsid w:val="00250AE7"/>
    <w:rsid w:val="00261DD1"/>
    <w:rsid w:val="0027639E"/>
    <w:rsid w:val="002D4744"/>
    <w:rsid w:val="00314041"/>
    <w:rsid w:val="003473D9"/>
    <w:rsid w:val="003515E1"/>
    <w:rsid w:val="00356131"/>
    <w:rsid w:val="003C61F9"/>
    <w:rsid w:val="0048611A"/>
    <w:rsid w:val="004909A6"/>
    <w:rsid w:val="004C5942"/>
    <w:rsid w:val="004F3DE4"/>
    <w:rsid w:val="006127EA"/>
    <w:rsid w:val="00623E15"/>
    <w:rsid w:val="006731D2"/>
    <w:rsid w:val="0067363A"/>
    <w:rsid w:val="00684F66"/>
    <w:rsid w:val="00693141"/>
    <w:rsid w:val="0069797C"/>
    <w:rsid w:val="006E459F"/>
    <w:rsid w:val="007F1911"/>
    <w:rsid w:val="007F1D7E"/>
    <w:rsid w:val="007F50DE"/>
    <w:rsid w:val="008028AB"/>
    <w:rsid w:val="00820E6B"/>
    <w:rsid w:val="008210BE"/>
    <w:rsid w:val="00834D01"/>
    <w:rsid w:val="00835D09"/>
    <w:rsid w:val="008451EA"/>
    <w:rsid w:val="00860692"/>
    <w:rsid w:val="008810E2"/>
    <w:rsid w:val="00893E10"/>
    <w:rsid w:val="008B25BA"/>
    <w:rsid w:val="008D605C"/>
    <w:rsid w:val="00942EE1"/>
    <w:rsid w:val="00973DEE"/>
    <w:rsid w:val="009F489B"/>
    <w:rsid w:val="00A00753"/>
    <w:rsid w:val="00A06A5D"/>
    <w:rsid w:val="00A14536"/>
    <w:rsid w:val="00B1137E"/>
    <w:rsid w:val="00B34332"/>
    <w:rsid w:val="00B7569E"/>
    <w:rsid w:val="00B76017"/>
    <w:rsid w:val="00BE6122"/>
    <w:rsid w:val="00BF6533"/>
    <w:rsid w:val="00C1267B"/>
    <w:rsid w:val="00C7392A"/>
    <w:rsid w:val="00CA4B86"/>
    <w:rsid w:val="00CE2565"/>
    <w:rsid w:val="00D06349"/>
    <w:rsid w:val="00D25074"/>
    <w:rsid w:val="00D3123B"/>
    <w:rsid w:val="00D436CC"/>
    <w:rsid w:val="00D63B95"/>
    <w:rsid w:val="00D83634"/>
    <w:rsid w:val="00D849F3"/>
    <w:rsid w:val="00DA06DF"/>
    <w:rsid w:val="00DE1EC5"/>
    <w:rsid w:val="00DF721C"/>
    <w:rsid w:val="00E657B1"/>
    <w:rsid w:val="00E70FCD"/>
    <w:rsid w:val="00E8392E"/>
    <w:rsid w:val="00E85A03"/>
    <w:rsid w:val="00E919D6"/>
    <w:rsid w:val="00ED5BCC"/>
    <w:rsid w:val="00F0760A"/>
    <w:rsid w:val="00F20D52"/>
    <w:rsid w:val="00F512B8"/>
    <w:rsid w:val="00F75775"/>
    <w:rsid w:val="00F81E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F6B1F-8339-4C8F-9219-BEA0C731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9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own">
    <w:name w:val="My own"/>
    <w:basedOn w:val="Normal"/>
    <w:rsid w:val="000D19E6"/>
    <w:pPr>
      <w:numPr>
        <w:numId w:val="2"/>
      </w:numPr>
      <w:spacing w:before="240" w:after="240" w:line="480" w:lineRule="auto"/>
      <w:jc w:val="both"/>
    </w:pPr>
    <w:rPr>
      <w:rFonts w:ascii="Arial" w:hAnsi="Arial"/>
      <w:lang w:val="en-ZA"/>
    </w:rPr>
  </w:style>
  <w:style w:type="paragraph" w:styleId="ListParagraph">
    <w:name w:val="List Paragraph"/>
    <w:basedOn w:val="Normal"/>
    <w:uiPriority w:val="34"/>
    <w:qFormat/>
    <w:rsid w:val="000D19E6"/>
    <w:pPr>
      <w:ind w:left="720"/>
    </w:pPr>
    <w:rPr>
      <w:rFonts w:ascii="Arial Narrow" w:hAnsi="Arial Narrow"/>
      <w:sz w:val="20"/>
      <w:szCs w:val="20"/>
      <w:lang w:val="en-GB" w:eastAsia="en-GB"/>
    </w:rPr>
  </w:style>
  <w:style w:type="character" w:customStyle="1" w:styleId="g1">
    <w:name w:val="g1"/>
    <w:basedOn w:val="DefaultParagraphFont"/>
    <w:rsid w:val="00DE1EC5"/>
  </w:style>
  <w:style w:type="character" w:styleId="Hyperlink">
    <w:name w:val="Hyperlink"/>
    <w:basedOn w:val="DefaultParagraphFont"/>
    <w:uiPriority w:val="99"/>
    <w:semiHidden/>
    <w:unhideWhenUsed/>
    <w:rsid w:val="00DE1EC5"/>
    <w:rPr>
      <w:color w:val="0000FF"/>
      <w:u w:val="single"/>
    </w:rPr>
  </w:style>
  <w:style w:type="paragraph" w:styleId="Header">
    <w:name w:val="header"/>
    <w:basedOn w:val="Normal"/>
    <w:link w:val="HeaderChar"/>
    <w:uiPriority w:val="99"/>
    <w:unhideWhenUsed/>
    <w:rsid w:val="00D25074"/>
    <w:pPr>
      <w:tabs>
        <w:tab w:val="center" w:pos="4513"/>
        <w:tab w:val="right" w:pos="9026"/>
      </w:tabs>
    </w:pPr>
  </w:style>
  <w:style w:type="character" w:customStyle="1" w:styleId="HeaderChar">
    <w:name w:val="Header Char"/>
    <w:basedOn w:val="DefaultParagraphFont"/>
    <w:link w:val="Header"/>
    <w:uiPriority w:val="99"/>
    <w:rsid w:val="00D250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25074"/>
    <w:pPr>
      <w:tabs>
        <w:tab w:val="center" w:pos="4513"/>
        <w:tab w:val="right" w:pos="9026"/>
      </w:tabs>
    </w:pPr>
  </w:style>
  <w:style w:type="character" w:customStyle="1" w:styleId="FooterChar">
    <w:name w:val="Footer Char"/>
    <w:basedOn w:val="DefaultParagraphFont"/>
    <w:link w:val="Footer"/>
    <w:uiPriority w:val="99"/>
    <w:rsid w:val="00D25074"/>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8D605C"/>
    <w:rPr>
      <w:sz w:val="20"/>
      <w:szCs w:val="20"/>
    </w:rPr>
  </w:style>
  <w:style w:type="character" w:customStyle="1" w:styleId="FootnoteTextChar">
    <w:name w:val="Footnote Text Char"/>
    <w:basedOn w:val="DefaultParagraphFont"/>
    <w:link w:val="FootnoteText"/>
    <w:uiPriority w:val="99"/>
    <w:semiHidden/>
    <w:rsid w:val="008D605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D605C"/>
    <w:rPr>
      <w:vertAlign w:val="superscript"/>
    </w:rPr>
  </w:style>
  <w:style w:type="paragraph" w:styleId="Revision">
    <w:name w:val="Revision"/>
    <w:hidden/>
    <w:uiPriority w:val="99"/>
    <w:semiHidden/>
    <w:rsid w:val="00193609"/>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93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0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74468">
      <w:bodyDiv w:val="1"/>
      <w:marLeft w:val="0"/>
      <w:marRight w:val="0"/>
      <w:marTop w:val="0"/>
      <w:marBottom w:val="0"/>
      <w:divBdr>
        <w:top w:val="none" w:sz="0" w:space="0" w:color="auto"/>
        <w:left w:val="none" w:sz="0" w:space="0" w:color="auto"/>
        <w:bottom w:val="none" w:sz="0" w:space="0" w:color="auto"/>
        <w:right w:val="none" w:sz="0" w:space="0" w:color="auto"/>
      </w:divBdr>
      <w:divsChild>
        <w:div w:id="1954553638">
          <w:marLeft w:val="567"/>
          <w:marRight w:val="0"/>
          <w:marTop w:val="120"/>
          <w:marBottom w:val="0"/>
          <w:divBdr>
            <w:top w:val="none" w:sz="0" w:space="0" w:color="auto"/>
            <w:left w:val="none" w:sz="0" w:space="0" w:color="auto"/>
            <w:bottom w:val="none" w:sz="0" w:space="0" w:color="auto"/>
            <w:right w:val="none" w:sz="0" w:space="0" w:color="auto"/>
          </w:divBdr>
        </w:div>
        <w:div w:id="2066636038">
          <w:marLeft w:val="1293"/>
          <w:marRight w:val="0"/>
          <w:marTop w:val="0"/>
          <w:marBottom w:val="180"/>
          <w:divBdr>
            <w:top w:val="none" w:sz="0" w:space="0" w:color="auto"/>
            <w:left w:val="none" w:sz="0" w:space="0" w:color="auto"/>
            <w:bottom w:val="none" w:sz="0" w:space="0" w:color="auto"/>
            <w:right w:val="none" w:sz="0" w:space="0" w:color="auto"/>
          </w:divBdr>
        </w:div>
        <w:div w:id="1711688126">
          <w:marLeft w:val="567"/>
          <w:marRight w:val="0"/>
          <w:marTop w:val="120"/>
          <w:marBottom w:val="0"/>
          <w:divBdr>
            <w:top w:val="none" w:sz="0" w:space="0" w:color="auto"/>
            <w:left w:val="none" w:sz="0" w:space="0" w:color="auto"/>
            <w:bottom w:val="none" w:sz="0" w:space="0" w:color="auto"/>
            <w:right w:val="none" w:sz="0" w:space="0" w:color="auto"/>
          </w:divBdr>
        </w:div>
      </w:divsChild>
    </w:div>
    <w:div w:id="1568415336">
      <w:bodyDiv w:val="1"/>
      <w:marLeft w:val="0"/>
      <w:marRight w:val="0"/>
      <w:marTop w:val="0"/>
      <w:marBottom w:val="0"/>
      <w:divBdr>
        <w:top w:val="none" w:sz="0" w:space="0" w:color="auto"/>
        <w:left w:val="none" w:sz="0" w:space="0" w:color="auto"/>
        <w:bottom w:val="none" w:sz="0" w:space="0" w:color="auto"/>
        <w:right w:val="none" w:sz="0" w:space="0" w:color="auto"/>
      </w:divBdr>
      <w:divsChild>
        <w:div w:id="1734962029">
          <w:marLeft w:val="567"/>
          <w:marRight w:val="0"/>
          <w:marTop w:val="120"/>
          <w:marBottom w:val="0"/>
          <w:divBdr>
            <w:top w:val="none" w:sz="0" w:space="0" w:color="auto"/>
            <w:left w:val="none" w:sz="0" w:space="0" w:color="auto"/>
            <w:bottom w:val="none" w:sz="0" w:space="0" w:color="auto"/>
            <w:right w:val="none" w:sz="0" w:space="0" w:color="auto"/>
          </w:divBdr>
        </w:div>
        <w:div w:id="1708065370">
          <w:marLeft w:val="0"/>
          <w:marRight w:val="0"/>
          <w:marTop w:val="240"/>
          <w:marBottom w:val="60"/>
          <w:divBdr>
            <w:top w:val="single" w:sz="8" w:space="2" w:color="808080"/>
            <w:left w:val="none" w:sz="0" w:space="0" w:color="auto"/>
            <w:bottom w:val="none" w:sz="0" w:space="0" w:color="auto"/>
            <w:right w:val="none" w:sz="0" w:space="0" w:color="auto"/>
          </w:divBdr>
        </w:div>
        <w:div w:id="1263755975">
          <w:marLeft w:val="1293"/>
          <w:marRight w:val="0"/>
          <w:marTop w:val="0"/>
          <w:marBottom w:val="180"/>
          <w:divBdr>
            <w:top w:val="none" w:sz="0" w:space="0" w:color="auto"/>
            <w:left w:val="none" w:sz="0" w:space="0" w:color="auto"/>
            <w:bottom w:val="none" w:sz="0" w:space="0" w:color="auto"/>
            <w:right w:val="none" w:sz="0" w:space="0" w:color="auto"/>
          </w:divBdr>
        </w:div>
        <w:div w:id="231696785">
          <w:marLeft w:val="1293"/>
          <w:marRight w:val="0"/>
          <w:marTop w:val="0"/>
          <w:marBottom w:val="180"/>
          <w:divBdr>
            <w:top w:val="none" w:sz="0" w:space="0" w:color="auto"/>
            <w:left w:val="none" w:sz="0" w:space="0" w:color="auto"/>
            <w:bottom w:val="none" w:sz="0" w:space="0" w:color="auto"/>
            <w:right w:val="none" w:sz="0" w:space="0" w:color="auto"/>
          </w:divBdr>
        </w:div>
        <w:div w:id="1966619150">
          <w:marLeft w:val="567"/>
          <w:marRight w:val="0"/>
          <w:marTop w:val="120"/>
          <w:marBottom w:val="0"/>
          <w:divBdr>
            <w:top w:val="none" w:sz="0" w:space="0" w:color="auto"/>
            <w:left w:val="none" w:sz="0" w:space="0" w:color="auto"/>
            <w:bottom w:val="none" w:sz="0" w:space="0" w:color="auto"/>
            <w:right w:val="none" w:sz="0" w:space="0" w:color="auto"/>
          </w:divBdr>
        </w:div>
        <w:div w:id="1126509501">
          <w:marLeft w:val="567"/>
          <w:marRight w:val="0"/>
          <w:marTop w:val="120"/>
          <w:marBottom w:val="0"/>
          <w:divBdr>
            <w:top w:val="none" w:sz="0" w:space="0" w:color="auto"/>
            <w:left w:val="none" w:sz="0" w:space="0" w:color="auto"/>
            <w:bottom w:val="none" w:sz="0" w:space="0" w:color="auto"/>
            <w:right w:val="none" w:sz="0" w:space="0" w:color="auto"/>
          </w:divBdr>
        </w:div>
        <w:div w:id="2131975097">
          <w:marLeft w:val="1293"/>
          <w:marRight w:val="0"/>
          <w:marTop w:val="0"/>
          <w:marBottom w:val="180"/>
          <w:divBdr>
            <w:top w:val="none" w:sz="0" w:space="0" w:color="auto"/>
            <w:left w:val="none" w:sz="0" w:space="0" w:color="auto"/>
            <w:bottom w:val="none" w:sz="0" w:space="0" w:color="auto"/>
            <w:right w:val="none" w:sz="0" w:space="0" w:color="auto"/>
          </w:divBdr>
        </w:div>
        <w:div w:id="1484082797">
          <w:marLeft w:val="0"/>
          <w:marRight w:val="0"/>
          <w:marTop w:val="240"/>
          <w:marBottom w:val="60"/>
          <w:divBdr>
            <w:top w:val="single" w:sz="8" w:space="2" w:color="808080"/>
            <w:left w:val="none" w:sz="0" w:space="0" w:color="auto"/>
            <w:bottom w:val="none" w:sz="0" w:space="0" w:color="auto"/>
            <w:right w:val="none" w:sz="0" w:space="0" w:color="auto"/>
          </w:divBdr>
        </w:div>
        <w:div w:id="1314749887">
          <w:marLeft w:val="567"/>
          <w:marRight w:val="0"/>
          <w:marTop w:val="120"/>
          <w:marBottom w:val="0"/>
          <w:divBdr>
            <w:top w:val="none" w:sz="0" w:space="0" w:color="auto"/>
            <w:left w:val="none" w:sz="0" w:space="0" w:color="auto"/>
            <w:bottom w:val="none" w:sz="0" w:space="0" w:color="auto"/>
            <w:right w:val="none" w:sz="0" w:space="0" w:color="auto"/>
          </w:divBdr>
        </w:div>
        <w:div w:id="1058747913">
          <w:marLeft w:val="1293"/>
          <w:marRight w:val="0"/>
          <w:marTop w:val="0"/>
          <w:marBottom w:val="180"/>
          <w:divBdr>
            <w:top w:val="none" w:sz="0" w:space="0" w:color="auto"/>
            <w:left w:val="none" w:sz="0" w:space="0" w:color="auto"/>
            <w:bottom w:val="none" w:sz="0" w:space="0" w:color="auto"/>
            <w:right w:val="none" w:sz="0" w:space="0" w:color="auto"/>
          </w:divBdr>
        </w:div>
        <w:div w:id="565266967">
          <w:marLeft w:val="1293"/>
          <w:marRight w:val="0"/>
          <w:marTop w:val="0"/>
          <w:marBottom w:val="180"/>
          <w:divBdr>
            <w:top w:val="none" w:sz="0" w:space="0" w:color="auto"/>
            <w:left w:val="none" w:sz="0" w:space="0" w:color="auto"/>
            <w:bottom w:val="none" w:sz="0" w:space="0" w:color="auto"/>
            <w:right w:val="none" w:sz="0" w:space="0" w:color="auto"/>
          </w:divBdr>
        </w:div>
        <w:div w:id="1855218307">
          <w:marLeft w:val="567"/>
          <w:marRight w:val="0"/>
          <w:marTop w:val="120"/>
          <w:marBottom w:val="0"/>
          <w:divBdr>
            <w:top w:val="none" w:sz="0" w:space="0" w:color="auto"/>
            <w:left w:val="none" w:sz="0" w:space="0" w:color="auto"/>
            <w:bottom w:val="none" w:sz="0" w:space="0" w:color="auto"/>
            <w:right w:val="none" w:sz="0" w:space="0" w:color="auto"/>
          </w:divBdr>
        </w:div>
        <w:div w:id="1320303968">
          <w:marLeft w:val="1293"/>
          <w:marRight w:val="0"/>
          <w:marTop w:val="0"/>
          <w:marBottom w:val="180"/>
          <w:divBdr>
            <w:top w:val="none" w:sz="0" w:space="0" w:color="auto"/>
            <w:left w:val="none" w:sz="0" w:space="0" w:color="auto"/>
            <w:bottom w:val="none" w:sz="0" w:space="0" w:color="auto"/>
            <w:right w:val="none" w:sz="0" w:space="0" w:color="auto"/>
          </w:divBdr>
        </w:div>
        <w:div w:id="886571212">
          <w:marLeft w:val="1293"/>
          <w:marRight w:val="0"/>
          <w:marTop w:val="0"/>
          <w:marBottom w:val="180"/>
          <w:divBdr>
            <w:top w:val="none" w:sz="0" w:space="0" w:color="auto"/>
            <w:left w:val="none" w:sz="0" w:space="0" w:color="auto"/>
            <w:bottom w:val="none" w:sz="0" w:space="0" w:color="auto"/>
            <w:right w:val="none" w:sz="0" w:space="0" w:color="auto"/>
          </w:divBdr>
        </w:div>
        <w:div w:id="470905255">
          <w:marLeft w:val="567"/>
          <w:marRight w:val="0"/>
          <w:marTop w:val="120"/>
          <w:marBottom w:val="0"/>
          <w:divBdr>
            <w:top w:val="none" w:sz="0" w:space="0" w:color="auto"/>
            <w:left w:val="none" w:sz="0" w:space="0" w:color="auto"/>
            <w:bottom w:val="none" w:sz="0" w:space="0" w:color="auto"/>
            <w:right w:val="none" w:sz="0" w:space="0" w:color="auto"/>
          </w:divBdr>
        </w:div>
        <w:div w:id="912161725">
          <w:marLeft w:val="0"/>
          <w:marRight w:val="0"/>
          <w:marTop w:val="240"/>
          <w:marBottom w:val="60"/>
          <w:divBdr>
            <w:top w:val="single" w:sz="8" w:space="2" w:color="808080"/>
            <w:left w:val="none" w:sz="0" w:space="0" w:color="auto"/>
            <w:bottom w:val="none" w:sz="0" w:space="0" w:color="auto"/>
            <w:right w:val="none" w:sz="0" w:space="0" w:color="auto"/>
          </w:divBdr>
        </w:div>
        <w:div w:id="593058030">
          <w:marLeft w:val="1293"/>
          <w:marRight w:val="0"/>
          <w:marTop w:val="0"/>
          <w:marBottom w:val="180"/>
          <w:divBdr>
            <w:top w:val="none" w:sz="0" w:space="0" w:color="auto"/>
            <w:left w:val="none" w:sz="0" w:space="0" w:color="auto"/>
            <w:bottom w:val="none" w:sz="0" w:space="0" w:color="auto"/>
            <w:right w:val="none" w:sz="0" w:space="0" w:color="auto"/>
          </w:divBdr>
        </w:div>
        <w:div w:id="1249266924">
          <w:marLeft w:val="567"/>
          <w:marRight w:val="0"/>
          <w:marTop w:val="120"/>
          <w:marBottom w:val="0"/>
          <w:divBdr>
            <w:top w:val="none" w:sz="0" w:space="0" w:color="auto"/>
            <w:left w:val="none" w:sz="0" w:space="0" w:color="auto"/>
            <w:bottom w:val="none" w:sz="0" w:space="0" w:color="auto"/>
            <w:right w:val="none" w:sz="0" w:space="0" w:color="auto"/>
          </w:divBdr>
        </w:div>
        <w:div w:id="720982320">
          <w:marLeft w:val="567"/>
          <w:marRight w:val="0"/>
          <w:marTop w:val="120"/>
          <w:marBottom w:val="0"/>
          <w:divBdr>
            <w:top w:val="none" w:sz="0" w:space="0" w:color="auto"/>
            <w:left w:val="none" w:sz="0" w:space="0" w:color="auto"/>
            <w:bottom w:val="none" w:sz="0" w:space="0" w:color="auto"/>
            <w:right w:val="none" w:sz="0" w:space="0" w:color="auto"/>
          </w:divBdr>
        </w:div>
        <w:div w:id="1111973450">
          <w:marLeft w:val="567"/>
          <w:marRight w:val="0"/>
          <w:marTop w:val="120"/>
          <w:marBottom w:val="0"/>
          <w:divBdr>
            <w:top w:val="none" w:sz="0" w:space="0" w:color="auto"/>
            <w:left w:val="none" w:sz="0" w:space="0" w:color="auto"/>
            <w:bottom w:val="none" w:sz="0" w:space="0" w:color="auto"/>
            <w:right w:val="none" w:sz="0" w:space="0" w:color="auto"/>
          </w:divBdr>
        </w:div>
        <w:div w:id="1516261629">
          <w:marLeft w:val="1293"/>
          <w:marRight w:val="0"/>
          <w:marTop w:val="0"/>
          <w:marBottom w:val="180"/>
          <w:divBdr>
            <w:top w:val="none" w:sz="0" w:space="0" w:color="auto"/>
            <w:left w:val="none" w:sz="0" w:space="0" w:color="auto"/>
            <w:bottom w:val="none" w:sz="0" w:space="0" w:color="auto"/>
            <w:right w:val="none" w:sz="0" w:space="0" w:color="auto"/>
          </w:divBdr>
        </w:div>
        <w:div w:id="192888215">
          <w:marLeft w:val="0"/>
          <w:marRight w:val="0"/>
          <w:marTop w:val="240"/>
          <w:marBottom w:val="60"/>
          <w:divBdr>
            <w:top w:val="single" w:sz="8" w:space="2" w:color="808080"/>
            <w:left w:val="none" w:sz="0" w:space="0" w:color="auto"/>
            <w:bottom w:val="none" w:sz="0" w:space="0" w:color="auto"/>
            <w:right w:val="none" w:sz="0" w:space="0" w:color="auto"/>
          </w:divBdr>
        </w:div>
        <w:div w:id="1430151635">
          <w:marLeft w:val="567"/>
          <w:marRight w:val="0"/>
          <w:marTop w:val="120"/>
          <w:marBottom w:val="0"/>
          <w:divBdr>
            <w:top w:val="none" w:sz="0" w:space="0" w:color="auto"/>
            <w:left w:val="none" w:sz="0" w:space="0" w:color="auto"/>
            <w:bottom w:val="none" w:sz="0" w:space="0" w:color="auto"/>
            <w:right w:val="none" w:sz="0" w:space="0" w:color="auto"/>
          </w:divBdr>
        </w:div>
        <w:div w:id="167789766">
          <w:marLeft w:val="567"/>
          <w:marRight w:val="0"/>
          <w:marTop w:val="120"/>
          <w:marBottom w:val="0"/>
          <w:divBdr>
            <w:top w:val="none" w:sz="0" w:space="0" w:color="auto"/>
            <w:left w:val="none" w:sz="0" w:space="0" w:color="auto"/>
            <w:bottom w:val="none" w:sz="0" w:space="0" w:color="auto"/>
            <w:right w:val="none" w:sz="0" w:space="0" w:color="auto"/>
          </w:divBdr>
        </w:div>
        <w:div w:id="220555569">
          <w:marLeft w:val="567"/>
          <w:marRight w:val="0"/>
          <w:marTop w:val="120"/>
          <w:marBottom w:val="0"/>
          <w:divBdr>
            <w:top w:val="none" w:sz="0" w:space="0" w:color="auto"/>
            <w:left w:val="none" w:sz="0" w:space="0" w:color="auto"/>
            <w:bottom w:val="none" w:sz="0" w:space="0" w:color="auto"/>
            <w:right w:val="none" w:sz="0" w:space="0" w:color="auto"/>
          </w:divBdr>
        </w:div>
        <w:div w:id="833380501">
          <w:marLeft w:val="1293"/>
          <w:marRight w:val="0"/>
          <w:marTop w:val="0"/>
          <w:marBottom w:val="180"/>
          <w:divBdr>
            <w:top w:val="none" w:sz="0" w:space="0" w:color="auto"/>
            <w:left w:val="none" w:sz="0" w:space="0" w:color="auto"/>
            <w:bottom w:val="none" w:sz="0" w:space="0" w:color="auto"/>
            <w:right w:val="none" w:sz="0" w:space="0" w:color="auto"/>
          </w:divBdr>
        </w:div>
        <w:div w:id="1751270306">
          <w:marLeft w:val="567"/>
          <w:marRight w:val="0"/>
          <w:marTop w:val="120"/>
          <w:marBottom w:val="0"/>
          <w:divBdr>
            <w:top w:val="none" w:sz="0" w:space="0" w:color="auto"/>
            <w:left w:val="none" w:sz="0" w:space="0" w:color="auto"/>
            <w:bottom w:val="none" w:sz="0" w:space="0" w:color="auto"/>
            <w:right w:val="none" w:sz="0" w:space="0" w:color="auto"/>
          </w:divBdr>
        </w:div>
        <w:div w:id="1059133790">
          <w:marLeft w:val="567"/>
          <w:marRight w:val="0"/>
          <w:marTop w:val="120"/>
          <w:marBottom w:val="0"/>
          <w:divBdr>
            <w:top w:val="none" w:sz="0" w:space="0" w:color="auto"/>
            <w:left w:val="none" w:sz="0" w:space="0" w:color="auto"/>
            <w:bottom w:val="none" w:sz="0" w:space="0" w:color="auto"/>
            <w:right w:val="none" w:sz="0" w:space="0" w:color="auto"/>
          </w:divBdr>
        </w:div>
        <w:div w:id="1269045081">
          <w:marLeft w:val="0"/>
          <w:marRight w:val="0"/>
          <w:marTop w:val="240"/>
          <w:marBottom w:val="60"/>
          <w:divBdr>
            <w:top w:val="single" w:sz="8" w:space="2" w:color="808080"/>
            <w:left w:val="none" w:sz="0" w:space="0" w:color="auto"/>
            <w:bottom w:val="none" w:sz="0" w:space="0" w:color="auto"/>
            <w:right w:val="none" w:sz="0" w:space="0" w:color="auto"/>
          </w:divBdr>
        </w:div>
        <w:div w:id="1152405194">
          <w:marLeft w:val="567"/>
          <w:marRight w:val="0"/>
          <w:marTop w:val="120"/>
          <w:marBottom w:val="0"/>
          <w:divBdr>
            <w:top w:val="none" w:sz="0" w:space="0" w:color="auto"/>
            <w:left w:val="none" w:sz="0" w:space="0" w:color="auto"/>
            <w:bottom w:val="none" w:sz="0" w:space="0" w:color="auto"/>
            <w:right w:val="none" w:sz="0" w:space="0" w:color="auto"/>
          </w:divBdr>
        </w:div>
        <w:div w:id="1246525762">
          <w:marLeft w:val="1293"/>
          <w:marRight w:val="0"/>
          <w:marTop w:val="0"/>
          <w:marBottom w:val="180"/>
          <w:divBdr>
            <w:top w:val="none" w:sz="0" w:space="0" w:color="auto"/>
            <w:left w:val="none" w:sz="0" w:space="0" w:color="auto"/>
            <w:bottom w:val="none" w:sz="0" w:space="0" w:color="auto"/>
            <w:right w:val="none" w:sz="0" w:space="0" w:color="auto"/>
          </w:divBdr>
        </w:div>
        <w:div w:id="246352415">
          <w:marLeft w:val="1293"/>
          <w:marRight w:val="0"/>
          <w:marTop w:val="0"/>
          <w:marBottom w:val="180"/>
          <w:divBdr>
            <w:top w:val="none" w:sz="0" w:space="0" w:color="auto"/>
            <w:left w:val="none" w:sz="0" w:space="0" w:color="auto"/>
            <w:bottom w:val="none" w:sz="0" w:space="0" w:color="auto"/>
            <w:right w:val="none" w:sz="0" w:space="0" w:color="auto"/>
          </w:divBdr>
        </w:div>
        <w:div w:id="1410883618">
          <w:marLeft w:val="567"/>
          <w:marRight w:val="0"/>
          <w:marTop w:val="120"/>
          <w:marBottom w:val="0"/>
          <w:divBdr>
            <w:top w:val="none" w:sz="0" w:space="0" w:color="auto"/>
            <w:left w:val="none" w:sz="0" w:space="0" w:color="auto"/>
            <w:bottom w:val="none" w:sz="0" w:space="0" w:color="auto"/>
            <w:right w:val="none" w:sz="0" w:space="0" w:color="auto"/>
          </w:divBdr>
        </w:div>
        <w:div w:id="676082994">
          <w:marLeft w:val="567"/>
          <w:marRight w:val="0"/>
          <w:marTop w:val="120"/>
          <w:marBottom w:val="0"/>
          <w:divBdr>
            <w:top w:val="none" w:sz="0" w:space="0" w:color="auto"/>
            <w:left w:val="none" w:sz="0" w:space="0" w:color="auto"/>
            <w:bottom w:val="none" w:sz="0" w:space="0" w:color="auto"/>
            <w:right w:val="none" w:sz="0" w:space="0" w:color="auto"/>
          </w:divBdr>
        </w:div>
        <w:div w:id="1542664499">
          <w:marLeft w:val="1293"/>
          <w:marRight w:val="0"/>
          <w:marTop w:val="0"/>
          <w:marBottom w:val="180"/>
          <w:divBdr>
            <w:top w:val="none" w:sz="0" w:space="0" w:color="auto"/>
            <w:left w:val="none" w:sz="0" w:space="0" w:color="auto"/>
            <w:bottom w:val="none" w:sz="0" w:space="0" w:color="auto"/>
            <w:right w:val="none" w:sz="0" w:space="0" w:color="auto"/>
          </w:divBdr>
        </w:div>
        <w:div w:id="2099130884">
          <w:marLeft w:val="1293"/>
          <w:marRight w:val="0"/>
          <w:marTop w:val="0"/>
          <w:marBottom w:val="180"/>
          <w:divBdr>
            <w:top w:val="none" w:sz="0" w:space="0" w:color="auto"/>
            <w:left w:val="none" w:sz="0" w:space="0" w:color="auto"/>
            <w:bottom w:val="none" w:sz="0" w:space="0" w:color="auto"/>
            <w:right w:val="none" w:sz="0" w:space="0" w:color="auto"/>
          </w:divBdr>
        </w:div>
        <w:div w:id="1816987243">
          <w:marLeft w:val="1293"/>
          <w:marRight w:val="0"/>
          <w:marTop w:val="0"/>
          <w:marBottom w:val="180"/>
          <w:divBdr>
            <w:top w:val="none" w:sz="0" w:space="0" w:color="auto"/>
            <w:left w:val="none" w:sz="0" w:space="0" w:color="auto"/>
            <w:bottom w:val="none" w:sz="0" w:space="0" w:color="auto"/>
            <w:right w:val="none" w:sz="0" w:space="0" w:color="auto"/>
          </w:divBdr>
        </w:div>
        <w:div w:id="1190990022">
          <w:marLeft w:val="567"/>
          <w:marRight w:val="0"/>
          <w:marTop w:val="120"/>
          <w:marBottom w:val="0"/>
          <w:divBdr>
            <w:top w:val="none" w:sz="0" w:space="0" w:color="auto"/>
            <w:left w:val="none" w:sz="0" w:space="0" w:color="auto"/>
            <w:bottom w:val="none" w:sz="0" w:space="0" w:color="auto"/>
            <w:right w:val="none" w:sz="0" w:space="0" w:color="auto"/>
          </w:divBdr>
        </w:div>
        <w:div w:id="277756797">
          <w:marLeft w:val="0"/>
          <w:marRight w:val="0"/>
          <w:marTop w:val="240"/>
          <w:marBottom w:val="60"/>
          <w:divBdr>
            <w:top w:val="single" w:sz="8" w:space="2" w:color="808080"/>
            <w:left w:val="none" w:sz="0" w:space="0" w:color="auto"/>
            <w:bottom w:val="none" w:sz="0" w:space="0" w:color="auto"/>
            <w:right w:val="none" w:sz="0" w:space="0" w:color="auto"/>
          </w:divBdr>
        </w:div>
        <w:div w:id="989598042">
          <w:marLeft w:val="567"/>
          <w:marRight w:val="0"/>
          <w:marTop w:val="120"/>
          <w:marBottom w:val="0"/>
          <w:divBdr>
            <w:top w:val="none" w:sz="0" w:space="0" w:color="auto"/>
            <w:left w:val="none" w:sz="0" w:space="0" w:color="auto"/>
            <w:bottom w:val="none" w:sz="0" w:space="0" w:color="auto"/>
            <w:right w:val="none" w:sz="0" w:space="0" w:color="auto"/>
          </w:divBdr>
        </w:div>
        <w:div w:id="676274661">
          <w:marLeft w:val="567"/>
          <w:marRight w:val="0"/>
          <w:marTop w:val="120"/>
          <w:marBottom w:val="0"/>
          <w:divBdr>
            <w:top w:val="none" w:sz="0" w:space="0" w:color="auto"/>
            <w:left w:val="none" w:sz="0" w:space="0" w:color="auto"/>
            <w:bottom w:val="none" w:sz="0" w:space="0" w:color="auto"/>
            <w:right w:val="none" w:sz="0" w:space="0" w:color="auto"/>
          </w:divBdr>
        </w:div>
        <w:div w:id="1638607122">
          <w:marLeft w:val="1293"/>
          <w:marRight w:val="0"/>
          <w:marTop w:val="0"/>
          <w:marBottom w:val="180"/>
          <w:divBdr>
            <w:top w:val="none" w:sz="0" w:space="0" w:color="auto"/>
            <w:left w:val="none" w:sz="0" w:space="0" w:color="auto"/>
            <w:bottom w:val="none" w:sz="0" w:space="0" w:color="auto"/>
            <w:right w:val="none" w:sz="0" w:space="0" w:color="auto"/>
          </w:divBdr>
        </w:div>
        <w:div w:id="602803046">
          <w:marLeft w:val="1293"/>
          <w:marRight w:val="0"/>
          <w:marTop w:val="0"/>
          <w:marBottom w:val="180"/>
          <w:divBdr>
            <w:top w:val="none" w:sz="0" w:space="0" w:color="auto"/>
            <w:left w:val="none" w:sz="0" w:space="0" w:color="auto"/>
            <w:bottom w:val="none" w:sz="0" w:space="0" w:color="auto"/>
            <w:right w:val="none" w:sz="0" w:space="0" w:color="auto"/>
          </w:divBdr>
        </w:div>
      </w:divsChild>
    </w:div>
    <w:div w:id="2067334511">
      <w:bodyDiv w:val="1"/>
      <w:marLeft w:val="0"/>
      <w:marRight w:val="0"/>
      <w:marTop w:val="0"/>
      <w:marBottom w:val="0"/>
      <w:divBdr>
        <w:top w:val="none" w:sz="0" w:space="0" w:color="auto"/>
        <w:left w:val="none" w:sz="0" w:space="0" w:color="auto"/>
        <w:bottom w:val="none" w:sz="0" w:space="0" w:color="auto"/>
        <w:right w:val="none" w:sz="0" w:space="0" w:color="auto"/>
      </w:divBdr>
      <w:divsChild>
        <w:div w:id="1447041768">
          <w:marLeft w:val="567"/>
          <w:marRight w:val="0"/>
          <w:marTop w:val="120"/>
          <w:marBottom w:val="0"/>
          <w:divBdr>
            <w:top w:val="none" w:sz="0" w:space="0" w:color="auto"/>
            <w:left w:val="none" w:sz="0" w:space="0" w:color="auto"/>
            <w:bottom w:val="none" w:sz="0" w:space="0" w:color="auto"/>
            <w:right w:val="none" w:sz="0" w:space="0" w:color="auto"/>
          </w:divBdr>
        </w:div>
        <w:div w:id="1134373611">
          <w:marLeft w:val="567"/>
          <w:marRight w:val="0"/>
          <w:marTop w:val="120"/>
          <w:marBottom w:val="0"/>
          <w:divBdr>
            <w:top w:val="none" w:sz="0" w:space="0" w:color="auto"/>
            <w:left w:val="none" w:sz="0" w:space="0" w:color="auto"/>
            <w:bottom w:val="none" w:sz="0" w:space="0" w:color="auto"/>
            <w:right w:val="none" w:sz="0" w:space="0" w:color="auto"/>
          </w:divBdr>
        </w:div>
        <w:div w:id="465783206">
          <w:marLeft w:val="1293"/>
          <w:marRight w:val="0"/>
          <w:marTop w:val="0"/>
          <w:marBottom w:val="180"/>
          <w:divBdr>
            <w:top w:val="none" w:sz="0" w:space="0" w:color="auto"/>
            <w:left w:val="none" w:sz="0" w:space="0" w:color="auto"/>
            <w:bottom w:val="none" w:sz="0" w:space="0" w:color="auto"/>
            <w:right w:val="none" w:sz="0" w:space="0" w:color="auto"/>
          </w:divBdr>
        </w:div>
        <w:div w:id="1895307961">
          <w:marLeft w:val="567"/>
          <w:marRight w:val="0"/>
          <w:marTop w:val="120"/>
          <w:marBottom w:val="0"/>
          <w:divBdr>
            <w:top w:val="none" w:sz="0" w:space="0" w:color="auto"/>
            <w:left w:val="none" w:sz="0" w:space="0" w:color="auto"/>
            <w:bottom w:val="none" w:sz="0" w:space="0" w:color="auto"/>
            <w:right w:val="none" w:sz="0" w:space="0" w:color="auto"/>
          </w:divBdr>
        </w:div>
        <w:div w:id="691416702">
          <w:marLeft w:val="0"/>
          <w:marRight w:val="0"/>
          <w:marTop w:val="240"/>
          <w:marBottom w:val="60"/>
          <w:divBdr>
            <w:top w:val="single" w:sz="8" w:space="2" w:color="808080"/>
            <w:left w:val="none" w:sz="0" w:space="0" w:color="auto"/>
            <w:bottom w:val="none" w:sz="0" w:space="0" w:color="auto"/>
            <w:right w:val="none" w:sz="0" w:space="0" w:color="auto"/>
          </w:divBdr>
        </w:div>
        <w:div w:id="1069616456">
          <w:marLeft w:val="567"/>
          <w:marRight w:val="0"/>
          <w:marTop w:val="120"/>
          <w:marBottom w:val="0"/>
          <w:divBdr>
            <w:top w:val="none" w:sz="0" w:space="0" w:color="auto"/>
            <w:left w:val="none" w:sz="0" w:space="0" w:color="auto"/>
            <w:bottom w:val="none" w:sz="0" w:space="0" w:color="auto"/>
            <w:right w:val="none" w:sz="0" w:space="0" w:color="auto"/>
          </w:divBdr>
        </w:div>
        <w:div w:id="499348063">
          <w:marLeft w:val="567"/>
          <w:marRight w:val="0"/>
          <w:marTop w:val="120"/>
          <w:marBottom w:val="0"/>
          <w:divBdr>
            <w:top w:val="none" w:sz="0" w:space="0" w:color="auto"/>
            <w:left w:val="none" w:sz="0" w:space="0" w:color="auto"/>
            <w:bottom w:val="none" w:sz="0" w:space="0" w:color="auto"/>
            <w:right w:val="none" w:sz="0" w:space="0" w:color="auto"/>
          </w:divBdr>
        </w:div>
        <w:div w:id="1202791553">
          <w:marLeft w:val="1293"/>
          <w:marRight w:val="0"/>
          <w:marTop w:val="0"/>
          <w:marBottom w:val="180"/>
          <w:divBdr>
            <w:top w:val="none" w:sz="0" w:space="0" w:color="auto"/>
            <w:left w:val="none" w:sz="0" w:space="0" w:color="auto"/>
            <w:bottom w:val="none" w:sz="0" w:space="0" w:color="auto"/>
            <w:right w:val="none" w:sz="0" w:space="0" w:color="auto"/>
          </w:divBdr>
        </w:div>
        <w:div w:id="1891454798">
          <w:marLeft w:val="56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EA2FB-8BAE-47EE-B40A-7D51A7F9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HOME</cp:lastModifiedBy>
  <cp:revision>3</cp:revision>
  <cp:lastPrinted>2022-05-10T10:39:00Z</cp:lastPrinted>
  <dcterms:created xsi:type="dcterms:W3CDTF">2022-07-04T04:27:00Z</dcterms:created>
  <dcterms:modified xsi:type="dcterms:W3CDTF">2022-07-04T04:27:00Z</dcterms:modified>
</cp:coreProperties>
</file>