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EA9C6D" w14:textId="77777777" w:rsidR="00761DEC" w:rsidRPr="008D32D7" w:rsidRDefault="00CE7BC0" w:rsidP="00761DEC">
      <w:pPr>
        <w:spacing w:after="0" w:line="360" w:lineRule="auto"/>
        <w:ind w:left="566" w:hangingChars="236" w:hanging="566"/>
        <w:jc w:val="center"/>
        <w:rPr>
          <w:rFonts w:eastAsia="Times New Roman" w:cs="Arial"/>
          <w:b/>
          <w:lang w:eastAsia="en-GB"/>
        </w:rPr>
      </w:pPr>
      <w:bookmarkStart w:id="0" w:name="_GoBack"/>
      <w:bookmarkEnd w:id="0"/>
      <w:r w:rsidRPr="004F70CE">
        <w:rPr>
          <w:rFonts w:ascii="Helvetica" w:hAnsi="Helvetica" w:cs="Helvetica"/>
          <w:noProof/>
          <w:lang w:eastAsia="en-ZA"/>
        </w:rPr>
        <w:drawing>
          <wp:anchor distT="0" distB="0" distL="114300" distR="114300" simplePos="0" relativeHeight="251658752" behindDoc="0" locked="0" layoutInCell="1" allowOverlap="1" wp14:anchorId="1C29270D" wp14:editId="7F645394">
            <wp:simplePos x="0" y="0"/>
            <wp:positionH relativeFrom="margin">
              <wp:align>center</wp:align>
            </wp:positionH>
            <wp:positionV relativeFrom="paragraph">
              <wp:posOffset>0</wp:posOffset>
            </wp:positionV>
            <wp:extent cx="990600" cy="971550"/>
            <wp:effectExtent l="0" t="0" r="0" b="0"/>
            <wp:wrapTopAndBottom/>
            <wp:docPr id="3"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90600" cy="971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7FC81B" w14:textId="77777777" w:rsidR="00761DEC" w:rsidRPr="008D32D7" w:rsidRDefault="00761DEC" w:rsidP="00761DEC">
      <w:pPr>
        <w:spacing w:after="0" w:line="360" w:lineRule="auto"/>
        <w:ind w:left="569" w:hangingChars="236" w:hanging="569"/>
        <w:jc w:val="center"/>
        <w:rPr>
          <w:rFonts w:eastAsia="Times New Roman" w:cs="Arial"/>
          <w:b/>
          <w:lang w:eastAsia="en-GB"/>
        </w:rPr>
      </w:pPr>
      <w:r w:rsidRPr="008D32D7">
        <w:rPr>
          <w:rFonts w:eastAsia="Times New Roman" w:cs="Arial"/>
          <w:b/>
          <w:lang w:eastAsia="en-GB"/>
        </w:rPr>
        <w:t>IN THE HIGH COURT OF SOUTH AFRICA</w:t>
      </w:r>
    </w:p>
    <w:p w14:paraId="222C8ABA" w14:textId="1929BAAB" w:rsidR="00761DEC" w:rsidRPr="008D32D7" w:rsidRDefault="001B6356" w:rsidP="00761DEC">
      <w:pPr>
        <w:spacing w:after="0" w:line="360" w:lineRule="auto"/>
        <w:ind w:left="569" w:hangingChars="236" w:hanging="569"/>
        <w:jc w:val="center"/>
        <w:rPr>
          <w:rFonts w:eastAsia="Times New Roman" w:cs="Arial"/>
          <w:b/>
          <w:lang w:eastAsia="en-GB"/>
        </w:rPr>
      </w:pPr>
      <w:r>
        <w:rPr>
          <w:rFonts w:eastAsia="Times New Roman" w:cs="Arial"/>
          <w:b/>
          <w:lang w:eastAsia="en-GB"/>
        </w:rPr>
        <w:t xml:space="preserve">GAUTENG </w:t>
      </w:r>
      <w:r w:rsidR="000814CE">
        <w:rPr>
          <w:rFonts w:eastAsia="Times New Roman" w:cs="Arial"/>
          <w:b/>
          <w:lang w:eastAsia="en-GB"/>
        </w:rPr>
        <w:t xml:space="preserve">LOCAL </w:t>
      </w:r>
      <w:r>
        <w:rPr>
          <w:rFonts w:eastAsia="Times New Roman" w:cs="Arial"/>
          <w:b/>
          <w:lang w:eastAsia="en-GB"/>
        </w:rPr>
        <w:t>DIVISION, JOHANNESBURG</w:t>
      </w:r>
    </w:p>
    <w:p w14:paraId="21D2D006" w14:textId="77777777" w:rsidR="00761DEC" w:rsidRPr="008D32D7" w:rsidRDefault="00761DEC" w:rsidP="00761DEC">
      <w:pPr>
        <w:spacing w:after="0" w:line="360" w:lineRule="auto"/>
        <w:ind w:left="569" w:hangingChars="236" w:hanging="569"/>
        <w:jc w:val="center"/>
        <w:rPr>
          <w:rFonts w:eastAsia="Times New Roman" w:cs="Arial"/>
          <w:b/>
          <w:lang w:eastAsia="en-GB"/>
        </w:rPr>
      </w:pPr>
    </w:p>
    <w:p w14:paraId="2F83307A" w14:textId="3CC78085" w:rsidR="00761DEC" w:rsidRPr="008D32D7" w:rsidRDefault="0075788F" w:rsidP="00761DEC">
      <w:pPr>
        <w:spacing w:after="0" w:line="360" w:lineRule="auto"/>
        <w:ind w:left="569" w:hangingChars="236" w:hanging="569"/>
        <w:jc w:val="right"/>
        <w:rPr>
          <w:rFonts w:eastAsia="Times New Roman" w:cs="Arial"/>
          <w:kern w:val="25"/>
          <w:lang w:eastAsia="en-GB"/>
        </w:rPr>
      </w:pPr>
      <w:r w:rsidRPr="0075788F">
        <w:rPr>
          <w:rFonts w:eastAsia="Times New Roman" w:cs="Arial"/>
          <w:b/>
          <w:lang w:eastAsia="en-GB"/>
        </w:rPr>
        <w:t>CASE NUMBER</w:t>
      </w:r>
      <w:r w:rsidR="00761DEC" w:rsidRPr="0075788F">
        <w:rPr>
          <w:rFonts w:eastAsia="Times New Roman" w:cs="Arial"/>
          <w:b/>
          <w:lang w:eastAsia="en-GB"/>
        </w:rPr>
        <w:t>:</w:t>
      </w:r>
      <w:r w:rsidRPr="0075788F">
        <w:rPr>
          <w:b/>
          <w:bCs/>
        </w:rPr>
        <w:t xml:space="preserve"> </w:t>
      </w:r>
      <w:r w:rsidR="00E64FAE">
        <w:rPr>
          <w:b/>
          <w:bCs/>
          <w:u w:val="single"/>
        </w:rPr>
        <w:t>2015/</w:t>
      </w:r>
      <w:r w:rsidRPr="0075788F">
        <w:rPr>
          <w:b/>
          <w:bCs/>
          <w:u w:val="single"/>
        </w:rPr>
        <w:t>44101</w:t>
      </w:r>
    </w:p>
    <w:p w14:paraId="56E777EF" w14:textId="77777777" w:rsidR="00761DEC" w:rsidRPr="008D32D7" w:rsidRDefault="00CE7BC0" w:rsidP="00761DEC">
      <w:pPr>
        <w:spacing w:after="0"/>
        <w:ind w:left="566" w:hangingChars="236" w:hanging="566"/>
        <w:rPr>
          <w:rFonts w:eastAsia="Times New Roman" w:cs="Arial"/>
          <w:kern w:val="25"/>
          <w:lang w:eastAsia="en-GB"/>
        </w:rPr>
      </w:pPr>
      <w:r>
        <w:rPr>
          <w:noProof/>
          <w:lang w:eastAsia="en-ZA"/>
        </w:rPr>
        <mc:AlternateContent>
          <mc:Choice Requires="wps">
            <w:drawing>
              <wp:anchor distT="0" distB="0" distL="114300" distR="114300" simplePos="0" relativeHeight="251657728" behindDoc="0" locked="0" layoutInCell="1" allowOverlap="1" wp14:anchorId="6554D227" wp14:editId="020F0C58">
                <wp:simplePos x="0" y="0"/>
                <wp:positionH relativeFrom="column">
                  <wp:posOffset>0</wp:posOffset>
                </wp:positionH>
                <wp:positionV relativeFrom="paragraph">
                  <wp:posOffset>210185</wp:posOffset>
                </wp:positionV>
                <wp:extent cx="3314700" cy="1266825"/>
                <wp:effectExtent l="0" t="0" r="0" b="3175"/>
                <wp:wrapNone/>
                <wp:docPr id="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14700" cy="1266825"/>
                        </a:xfrm>
                        <a:prstGeom prst="rect">
                          <a:avLst/>
                        </a:prstGeom>
                        <a:solidFill>
                          <a:srgbClr val="FFFFFF"/>
                        </a:solidFill>
                        <a:ln w="9525">
                          <a:solidFill>
                            <a:srgbClr val="000000"/>
                          </a:solidFill>
                          <a:miter lim="800000"/>
                          <a:headEnd/>
                          <a:tailEnd/>
                        </a:ln>
                      </wps:spPr>
                      <wps:txbx>
                        <w:txbxContent>
                          <w:p w14:paraId="5675ACF0" w14:textId="77777777" w:rsidR="001B6356" w:rsidRPr="004120A8" w:rsidRDefault="001B6356" w:rsidP="00761DEC">
                            <w:pPr>
                              <w:jc w:val="center"/>
                              <w:rPr>
                                <w:rFonts w:ascii="Century Gothic" w:hAnsi="Century Gothic"/>
                                <w:b/>
                                <w:sz w:val="2"/>
                                <w:szCs w:val="18"/>
                              </w:rPr>
                            </w:pPr>
                          </w:p>
                          <w:p w14:paraId="7B785E42" w14:textId="77777777" w:rsidR="001B6356" w:rsidRPr="004120A8" w:rsidRDefault="001B6356" w:rsidP="00761DEC">
                            <w:pPr>
                              <w:numPr>
                                <w:ilvl w:val="0"/>
                                <w:numId w:val="1"/>
                              </w:numPr>
                              <w:spacing w:after="0"/>
                              <w:rPr>
                                <w:rFonts w:ascii="Century Gothic" w:hAnsi="Century Gothic"/>
                                <w:sz w:val="18"/>
                                <w:szCs w:val="18"/>
                              </w:rPr>
                            </w:pPr>
                            <w:r>
                              <w:rPr>
                                <w:rFonts w:ascii="Century Gothic" w:hAnsi="Century Gothic"/>
                                <w:sz w:val="18"/>
                                <w:szCs w:val="18"/>
                              </w:rPr>
                              <w:t xml:space="preserve">REPORTABLE: </w:t>
                            </w:r>
                            <w:r w:rsidRPr="004120A8">
                              <w:rPr>
                                <w:rFonts w:ascii="Century Gothic" w:hAnsi="Century Gothic"/>
                                <w:sz w:val="18"/>
                                <w:szCs w:val="18"/>
                              </w:rPr>
                              <w:t>NO</w:t>
                            </w:r>
                          </w:p>
                          <w:p w14:paraId="53C4F978" w14:textId="77777777" w:rsidR="001B6356" w:rsidRPr="004120A8" w:rsidRDefault="001B6356" w:rsidP="00761DEC">
                            <w:pPr>
                              <w:numPr>
                                <w:ilvl w:val="0"/>
                                <w:numId w:val="1"/>
                              </w:numPr>
                              <w:spacing w:after="0"/>
                              <w:rPr>
                                <w:rFonts w:ascii="Century Gothic" w:hAnsi="Century Gothic"/>
                                <w:sz w:val="18"/>
                                <w:szCs w:val="18"/>
                              </w:rPr>
                            </w:pPr>
                            <w:r w:rsidRPr="004120A8">
                              <w:rPr>
                                <w:rFonts w:ascii="Century Gothic" w:hAnsi="Century Gothic"/>
                                <w:sz w:val="18"/>
                                <w:szCs w:val="18"/>
                              </w:rPr>
                              <w:t>O</w:t>
                            </w:r>
                            <w:r>
                              <w:rPr>
                                <w:rFonts w:ascii="Century Gothic" w:hAnsi="Century Gothic"/>
                                <w:sz w:val="18"/>
                                <w:szCs w:val="18"/>
                              </w:rPr>
                              <w:t xml:space="preserve">F INTEREST TO OTHER JUDGES: </w:t>
                            </w:r>
                            <w:r w:rsidRPr="004120A8">
                              <w:rPr>
                                <w:rFonts w:ascii="Century Gothic" w:hAnsi="Century Gothic"/>
                                <w:sz w:val="18"/>
                                <w:szCs w:val="18"/>
                              </w:rPr>
                              <w:t>NO</w:t>
                            </w:r>
                          </w:p>
                          <w:p w14:paraId="46A35539" w14:textId="77777777" w:rsidR="001B6356" w:rsidRPr="004120A8" w:rsidRDefault="001B6356" w:rsidP="00761DEC">
                            <w:pPr>
                              <w:numPr>
                                <w:ilvl w:val="0"/>
                                <w:numId w:val="1"/>
                              </w:numPr>
                              <w:spacing w:after="0"/>
                              <w:rPr>
                                <w:rFonts w:ascii="Century Gothic" w:hAnsi="Century Gothic"/>
                                <w:sz w:val="18"/>
                                <w:szCs w:val="18"/>
                              </w:rPr>
                            </w:pPr>
                            <w:r w:rsidRPr="004120A8">
                              <w:rPr>
                                <w:rFonts w:ascii="Century Gothic" w:hAnsi="Century Gothic"/>
                                <w:sz w:val="18"/>
                                <w:szCs w:val="18"/>
                              </w:rPr>
                              <w:t xml:space="preserve">REVISED. </w:t>
                            </w:r>
                          </w:p>
                          <w:p w14:paraId="03094361" w14:textId="77777777" w:rsidR="001B6356" w:rsidRPr="004120A8" w:rsidRDefault="001B6356" w:rsidP="00761DEC">
                            <w:pPr>
                              <w:rPr>
                                <w:rFonts w:ascii="Century Gothic" w:hAnsi="Century Gothic"/>
                                <w:b/>
                                <w:sz w:val="18"/>
                                <w:szCs w:val="18"/>
                              </w:rPr>
                            </w:pPr>
                          </w:p>
                          <w:p w14:paraId="156A8149" w14:textId="2F70B690" w:rsidR="001B6356" w:rsidRPr="00D261E0" w:rsidRDefault="001B6356" w:rsidP="00761DEC">
                            <w:pPr>
                              <w:spacing w:after="0"/>
                              <w:rPr>
                                <w:rFonts w:ascii="Century Gothic" w:hAnsi="Century Gothic"/>
                                <w:b/>
                                <w:sz w:val="18"/>
                                <w:szCs w:val="18"/>
                                <w:u w:val="single"/>
                              </w:rPr>
                            </w:pPr>
                            <w:r w:rsidRPr="004120A8">
                              <w:rPr>
                                <w:rFonts w:ascii="Century Gothic" w:hAnsi="Century Gothic"/>
                                <w:b/>
                                <w:sz w:val="18"/>
                                <w:szCs w:val="18"/>
                              </w:rPr>
                              <w:t xml:space="preserve"> …………..………….............</w:t>
                            </w:r>
                            <w:r w:rsidRPr="004120A8">
                              <w:rPr>
                                <w:rFonts w:ascii="Century Gothic" w:hAnsi="Century Gothic"/>
                                <w:b/>
                                <w:sz w:val="18"/>
                                <w:szCs w:val="18"/>
                              </w:rPr>
                              <w:tab/>
                            </w:r>
                          </w:p>
                          <w:p w14:paraId="31EE84F8" w14:textId="49507A4D" w:rsidR="001B6356" w:rsidRPr="004120A8" w:rsidRDefault="001B6356" w:rsidP="00761DEC">
                            <w:pPr>
                              <w:spacing w:after="0"/>
                              <w:rPr>
                                <w:rFonts w:ascii="Century Gothic" w:hAnsi="Century Gothic"/>
                                <w:b/>
                                <w:sz w:val="18"/>
                                <w:szCs w:val="18"/>
                              </w:rPr>
                            </w:pPr>
                            <w:r w:rsidRPr="004120A8">
                              <w:rPr>
                                <w:rFonts w:ascii="Century Gothic" w:hAnsi="Century Gothic"/>
                                <w:b/>
                                <w:sz w:val="18"/>
                                <w:szCs w:val="18"/>
                              </w:rPr>
                              <w:t xml:space="preserve"> </w:t>
                            </w:r>
                            <w:r w:rsidR="0075788F">
                              <w:rPr>
                                <w:rFonts w:ascii="Century Gothic" w:hAnsi="Century Gothic"/>
                                <w:b/>
                                <w:sz w:val="18"/>
                                <w:szCs w:val="18"/>
                              </w:rPr>
                              <w:t>N MANOIM</w:t>
                            </w:r>
                            <w:r w:rsidR="0075788F">
                              <w:rPr>
                                <w:rFonts w:ascii="Century Gothic" w:hAnsi="Century Gothic"/>
                                <w:b/>
                                <w:sz w:val="18"/>
                                <w:szCs w:val="18"/>
                              </w:rPr>
                              <w:tab/>
                            </w:r>
                            <w:r w:rsidR="0075788F">
                              <w:rPr>
                                <w:rFonts w:ascii="Century Gothic" w:hAnsi="Century Gothic"/>
                                <w:b/>
                                <w:sz w:val="18"/>
                                <w:szCs w:val="18"/>
                              </w:rPr>
                              <w:tab/>
                            </w:r>
                            <w:r w:rsidR="0075788F">
                              <w:rPr>
                                <w:rFonts w:ascii="Century Gothic" w:hAnsi="Century Gothic"/>
                                <w:b/>
                                <w:sz w:val="18"/>
                                <w:szCs w:val="18"/>
                              </w:rPr>
                              <w:tab/>
                              <w:t>15 JUNE 2022</w:t>
                            </w:r>
                          </w:p>
                          <w:p w14:paraId="266FF876" w14:textId="77777777" w:rsidR="001B6356" w:rsidRPr="004120A8" w:rsidRDefault="001B6356" w:rsidP="00761DEC">
                            <w:pPr>
                              <w:rPr>
                                <w:rFonts w:ascii="Century Gothic" w:hAnsi="Century Gothic"/>
                                <w:b/>
                                <w:sz w:val="2"/>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6554D227" id="_x0000_t202" coordsize="21600,21600" o:spt="202" path="m,l,21600r21600,l21600,xe">
                <v:stroke joinstyle="miter"/>
                <v:path gradientshapeok="t" o:connecttype="rect"/>
              </v:shapetype>
              <v:shape id="Text Box 1" o:spid="_x0000_s1026" type="#_x0000_t202" style="position:absolute;left:0;text-align:left;margin-left:0;margin-top:16.55pt;width:261pt;height:99.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">
                <v:path arrowok="t"/>
                <v:textbox>
                  <w:txbxContent>
                    <w:p w14:paraId="5675ACF0" w14:textId="77777777" w:rsidR="001B6356" w:rsidRPr="004120A8" w:rsidRDefault="001B6356" w:rsidP="00761DEC">
                      <w:pPr>
                        <w:jc w:val="center"/>
                        <w:rPr>
                          <w:rFonts w:ascii="Century Gothic" w:hAnsi="Century Gothic"/>
                          <w:b/>
                          <w:sz w:val="2"/>
                          <w:szCs w:val="18"/>
                        </w:rPr>
                      </w:pPr>
                    </w:p>
                    <w:p w14:paraId="7B785E42" w14:textId="77777777" w:rsidR="001B6356" w:rsidRPr="004120A8" w:rsidRDefault="001B6356" w:rsidP="00761DEC">
                      <w:pPr>
                        <w:numPr>
                          <w:ilvl w:val="0"/>
                          <w:numId w:val="1"/>
                        </w:numPr>
                        <w:spacing w:after="0"/>
                        <w:rPr>
                          <w:rFonts w:ascii="Century Gothic" w:hAnsi="Century Gothic"/>
                          <w:sz w:val="18"/>
                          <w:szCs w:val="18"/>
                        </w:rPr>
                      </w:pPr>
                      <w:r>
                        <w:rPr>
                          <w:rFonts w:ascii="Century Gothic" w:hAnsi="Century Gothic"/>
                          <w:sz w:val="18"/>
                          <w:szCs w:val="18"/>
                        </w:rPr>
                        <w:t xml:space="preserve">REPORTABLE: </w:t>
                      </w:r>
                      <w:r w:rsidRPr="004120A8">
                        <w:rPr>
                          <w:rFonts w:ascii="Century Gothic" w:hAnsi="Century Gothic"/>
                          <w:sz w:val="18"/>
                          <w:szCs w:val="18"/>
                        </w:rPr>
                        <w:t>NO</w:t>
                      </w:r>
                    </w:p>
                    <w:p w14:paraId="53C4F978" w14:textId="77777777" w:rsidR="001B6356" w:rsidRPr="004120A8" w:rsidRDefault="001B6356" w:rsidP="00761DEC">
                      <w:pPr>
                        <w:numPr>
                          <w:ilvl w:val="0"/>
                          <w:numId w:val="1"/>
                        </w:numPr>
                        <w:spacing w:after="0"/>
                        <w:rPr>
                          <w:rFonts w:ascii="Century Gothic" w:hAnsi="Century Gothic"/>
                          <w:sz w:val="18"/>
                          <w:szCs w:val="18"/>
                        </w:rPr>
                      </w:pPr>
                      <w:r w:rsidRPr="004120A8">
                        <w:rPr>
                          <w:rFonts w:ascii="Century Gothic" w:hAnsi="Century Gothic"/>
                          <w:sz w:val="18"/>
                          <w:szCs w:val="18"/>
                        </w:rPr>
                        <w:t>O</w:t>
                      </w:r>
                      <w:r>
                        <w:rPr>
                          <w:rFonts w:ascii="Century Gothic" w:hAnsi="Century Gothic"/>
                          <w:sz w:val="18"/>
                          <w:szCs w:val="18"/>
                        </w:rPr>
                        <w:t xml:space="preserve">F INTEREST TO OTHER JUDGES: </w:t>
                      </w:r>
                      <w:r w:rsidRPr="004120A8">
                        <w:rPr>
                          <w:rFonts w:ascii="Century Gothic" w:hAnsi="Century Gothic"/>
                          <w:sz w:val="18"/>
                          <w:szCs w:val="18"/>
                        </w:rPr>
                        <w:t>NO</w:t>
                      </w:r>
                    </w:p>
                    <w:p w14:paraId="46A35539" w14:textId="77777777" w:rsidR="001B6356" w:rsidRPr="004120A8" w:rsidRDefault="001B6356" w:rsidP="00761DEC">
                      <w:pPr>
                        <w:numPr>
                          <w:ilvl w:val="0"/>
                          <w:numId w:val="1"/>
                        </w:numPr>
                        <w:spacing w:after="0"/>
                        <w:rPr>
                          <w:rFonts w:ascii="Century Gothic" w:hAnsi="Century Gothic"/>
                          <w:sz w:val="18"/>
                          <w:szCs w:val="18"/>
                        </w:rPr>
                      </w:pPr>
                      <w:r w:rsidRPr="004120A8">
                        <w:rPr>
                          <w:rFonts w:ascii="Century Gothic" w:hAnsi="Century Gothic"/>
                          <w:sz w:val="18"/>
                          <w:szCs w:val="18"/>
                        </w:rPr>
                        <w:t xml:space="preserve">REVISED. </w:t>
                      </w:r>
                    </w:p>
                    <w:p w14:paraId="03094361" w14:textId="77777777" w:rsidR="001B6356" w:rsidRPr="004120A8" w:rsidRDefault="001B6356" w:rsidP="00761DEC">
                      <w:pPr>
                        <w:rPr>
                          <w:rFonts w:ascii="Century Gothic" w:hAnsi="Century Gothic"/>
                          <w:b/>
                          <w:sz w:val="18"/>
                          <w:szCs w:val="18"/>
                        </w:rPr>
                      </w:pPr>
                    </w:p>
                    <w:p w14:paraId="156A8149" w14:textId="2F70B690" w:rsidR="001B6356" w:rsidRPr="00D261E0" w:rsidRDefault="001B6356" w:rsidP="00761DEC">
                      <w:pPr>
                        <w:spacing w:after="0"/>
                        <w:rPr>
                          <w:rFonts w:ascii="Century Gothic" w:hAnsi="Century Gothic"/>
                          <w:b/>
                          <w:sz w:val="18"/>
                          <w:szCs w:val="18"/>
                          <w:u w:val="single"/>
                        </w:rPr>
                      </w:pPr>
                      <w:r w:rsidRPr="004120A8">
                        <w:rPr>
                          <w:rFonts w:ascii="Century Gothic" w:hAnsi="Century Gothic"/>
                          <w:b/>
                          <w:sz w:val="18"/>
                          <w:szCs w:val="18"/>
                        </w:rPr>
                        <w:t xml:space="preserve"> …………..………….............</w:t>
                      </w:r>
                      <w:r w:rsidRPr="004120A8">
                        <w:rPr>
                          <w:rFonts w:ascii="Century Gothic" w:hAnsi="Century Gothic"/>
                          <w:b/>
                          <w:sz w:val="18"/>
                          <w:szCs w:val="18"/>
                        </w:rPr>
                        <w:tab/>
                      </w:r>
                    </w:p>
                    <w:p w14:paraId="31EE84F8" w14:textId="49507A4D" w:rsidR="001B6356" w:rsidRPr="004120A8" w:rsidRDefault="001B6356" w:rsidP="00761DEC">
                      <w:pPr>
                        <w:spacing w:after="0"/>
                        <w:rPr>
                          <w:rFonts w:ascii="Century Gothic" w:hAnsi="Century Gothic"/>
                          <w:b/>
                          <w:sz w:val="18"/>
                          <w:szCs w:val="18"/>
                        </w:rPr>
                      </w:pPr>
                      <w:r w:rsidRPr="004120A8">
                        <w:rPr>
                          <w:rFonts w:ascii="Century Gothic" w:hAnsi="Century Gothic"/>
                          <w:b/>
                          <w:sz w:val="18"/>
                          <w:szCs w:val="18"/>
                        </w:rPr>
                        <w:t xml:space="preserve"> </w:t>
                      </w:r>
                      <w:r w:rsidR="0075788F">
                        <w:rPr>
                          <w:rFonts w:ascii="Century Gothic" w:hAnsi="Century Gothic"/>
                          <w:b/>
                          <w:sz w:val="18"/>
                          <w:szCs w:val="18"/>
                        </w:rPr>
                        <w:t>N MANOIM</w:t>
                      </w:r>
                      <w:r w:rsidR="0075788F">
                        <w:rPr>
                          <w:rFonts w:ascii="Century Gothic" w:hAnsi="Century Gothic"/>
                          <w:b/>
                          <w:sz w:val="18"/>
                          <w:szCs w:val="18"/>
                        </w:rPr>
                        <w:tab/>
                      </w:r>
                      <w:r w:rsidR="0075788F">
                        <w:rPr>
                          <w:rFonts w:ascii="Century Gothic" w:hAnsi="Century Gothic"/>
                          <w:b/>
                          <w:sz w:val="18"/>
                          <w:szCs w:val="18"/>
                        </w:rPr>
                        <w:tab/>
                      </w:r>
                      <w:r w:rsidR="0075788F">
                        <w:rPr>
                          <w:rFonts w:ascii="Century Gothic" w:hAnsi="Century Gothic"/>
                          <w:b/>
                          <w:sz w:val="18"/>
                          <w:szCs w:val="18"/>
                        </w:rPr>
                        <w:tab/>
                        <w:t>15 JUNE 2022</w:t>
                      </w:r>
                    </w:p>
                    <w:p w14:paraId="266FF876" w14:textId="77777777" w:rsidR="001B6356" w:rsidRPr="004120A8" w:rsidRDefault="001B6356" w:rsidP="00761DEC">
                      <w:pPr>
                        <w:rPr>
                          <w:rFonts w:ascii="Century Gothic" w:hAnsi="Century Gothic"/>
                          <w:b/>
                          <w:sz w:val="2"/>
                          <w:szCs w:val="18"/>
                        </w:rPr>
                      </w:pPr>
                    </w:p>
                  </w:txbxContent>
                </v:textbox>
              </v:shape>
            </w:pict>
          </mc:Fallback>
        </mc:AlternateContent>
      </w:r>
    </w:p>
    <w:p w14:paraId="08F0EDD6" w14:textId="77777777" w:rsidR="00761DEC" w:rsidRPr="008D32D7" w:rsidRDefault="00761DEC" w:rsidP="00761DEC">
      <w:pPr>
        <w:spacing w:after="0" w:line="360" w:lineRule="auto"/>
        <w:ind w:left="566" w:hangingChars="236" w:hanging="566"/>
        <w:jc w:val="both"/>
        <w:rPr>
          <w:rFonts w:eastAsia="Times New Roman" w:cs="Arial"/>
          <w:u w:val="single"/>
          <w:lang w:eastAsia="en-GB"/>
        </w:rPr>
      </w:pPr>
    </w:p>
    <w:p w14:paraId="1DE0CE56" w14:textId="77777777" w:rsidR="00761DEC" w:rsidRPr="008D32D7" w:rsidRDefault="00761DEC" w:rsidP="00761DEC">
      <w:pPr>
        <w:spacing w:after="0" w:line="360" w:lineRule="auto"/>
        <w:ind w:left="566" w:hangingChars="236" w:hanging="566"/>
        <w:jc w:val="both"/>
        <w:rPr>
          <w:rFonts w:eastAsia="Times New Roman" w:cs="Arial"/>
          <w:u w:val="single"/>
          <w:lang w:eastAsia="en-GB"/>
        </w:rPr>
      </w:pPr>
    </w:p>
    <w:p w14:paraId="5458776F" w14:textId="77777777" w:rsidR="00761DEC" w:rsidRPr="008D32D7" w:rsidRDefault="00761DEC" w:rsidP="00761DEC">
      <w:pPr>
        <w:spacing w:after="0" w:line="360" w:lineRule="auto"/>
        <w:ind w:left="566" w:hangingChars="236" w:hanging="566"/>
        <w:jc w:val="both"/>
        <w:rPr>
          <w:rFonts w:eastAsia="Times New Roman" w:cs="Arial"/>
          <w:u w:val="single"/>
          <w:lang w:eastAsia="en-GB"/>
        </w:rPr>
      </w:pPr>
    </w:p>
    <w:p w14:paraId="60EAAE05" w14:textId="77777777" w:rsidR="00761DEC" w:rsidRPr="008D32D7" w:rsidRDefault="00761DEC" w:rsidP="00761DEC">
      <w:pPr>
        <w:spacing w:after="0" w:line="360" w:lineRule="auto"/>
        <w:ind w:left="566" w:hangingChars="236" w:hanging="566"/>
        <w:jc w:val="both"/>
        <w:rPr>
          <w:rFonts w:eastAsia="Times New Roman" w:cs="Arial"/>
          <w:u w:val="single"/>
          <w:lang w:eastAsia="en-GB"/>
        </w:rPr>
      </w:pPr>
    </w:p>
    <w:p w14:paraId="2622E7B6" w14:textId="77777777" w:rsidR="00761DEC" w:rsidRPr="008D32D7" w:rsidRDefault="00761DEC" w:rsidP="00761DEC">
      <w:pPr>
        <w:spacing w:line="360" w:lineRule="auto"/>
        <w:jc w:val="both"/>
        <w:rPr>
          <w:rFonts w:eastAsia="Calibri" w:cs="Arial"/>
        </w:rPr>
      </w:pPr>
    </w:p>
    <w:p w14:paraId="241FE831" w14:textId="77777777" w:rsidR="00761DEC" w:rsidRDefault="00761DEC" w:rsidP="0075788F">
      <w:pPr>
        <w:widowControl w:val="0"/>
        <w:tabs>
          <w:tab w:val="left" w:pos="220"/>
          <w:tab w:val="left" w:pos="720"/>
        </w:tabs>
        <w:autoSpaceDE w:val="0"/>
        <w:autoSpaceDN w:val="0"/>
        <w:adjustRightInd w:val="0"/>
        <w:spacing w:after="0"/>
        <w:rPr>
          <w:rFonts w:cs="Verdana"/>
          <w:color w:val="0E3C0B"/>
        </w:rPr>
      </w:pPr>
    </w:p>
    <w:p w14:paraId="771B66AE" w14:textId="77777777" w:rsidR="00761DEC" w:rsidRPr="000A063D" w:rsidRDefault="00761DEC" w:rsidP="00761DEC">
      <w:pPr>
        <w:widowControl w:val="0"/>
        <w:autoSpaceDE w:val="0"/>
        <w:autoSpaceDN w:val="0"/>
        <w:adjustRightInd w:val="0"/>
        <w:spacing w:after="0"/>
        <w:jc w:val="right"/>
        <w:rPr>
          <w:rFonts w:cs="Times"/>
          <w:color w:val="1B1919"/>
        </w:rPr>
      </w:pPr>
    </w:p>
    <w:p w14:paraId="713F1AF7" w14:textId="77777777" w:rsidR="00761DEC" w:rsidRDefault="00761DEC" w:rsidP="0075788F">
      <w:pPr>
        <w:widowControl w:val="0"/>
        <w:autoSpaceDE w:val="0"/>
        <w:autoSpaceDN w:val="0"/>
        <w:adjustRightInd w:val="0"/>
        <w:spacing w:after="0"/>
        <w:jc w:val="both"/>
        <w:rPr>
          <w:rFonts w:cs="Arial"/>
          <w:color w:val="1B1919"/>
        </w:rPr>
      </w:pPr>
      <w:r w:rsidRPr="000A063D">
        <w:rPr>
          <w:rFonts w:cs="Arial"/>
          <w:color w:val="1B1919"/>
        </w:rPr>
        <w:t>In the matter between:</w:t>
      </w:r>
    </w:p>
    <w:p w14:paraId="161BA011" w14:textId="77777777" w:rsidR="000814CE" w:rsidRDefault="000814CE" w:rsidP="0075788F">
      <w:pPr>
        <w:widowControl w:val="0"/>
        <w:autoSpaceDE w:val="0"/>
        <w:autoSpaceDN w:val="0"/>
        <w:adjustRightInd w:val="0"/>
        <w:spacing w:after="0"/>
        <w:jc w:val="both"/>
        <w:rPr>
          <w:rFonts w:cs="Arial"/>
          <w:b/>
          <w:bCs/>
          <w:color w:val="1B1919"/>
        </w:rPr>
      </w:pPr>
    </w:p>
    <w:p w14:paraId="43A27BC8" w14:textId="40519DB3" w:rsidR="0075788F" w:rsidRPr="0075788F" w:rsidRDefault="0075788F" w:rsidP="0075788F">
      <w:pPr>
        <w:widowControl w:val="0"/>
        <w:autoSpaceDE w:val="0"/>
        <w:autoSpaceDN w:val="0"/>
        <w:adjustRightInd w:val="0"/>
        <w:spacing w:after="0"/>
        <w:jc w:val="both"/>
        <w:rPr>
          <w:rFonts w:cs="Arial"/>
          <w:b/>
          <w:bCs/>
          <w:color w:val="1B1919"/>
        </w:rPr>
      </w:pPr>
      <w:r w:rsidRPr="0075788F">
        <w:rPr>
          <w:rFonts w:cs="Arial"/>
          <w:b/>
          <w:bCs/>
          <w:color w:val="1B1919"/>
        </w:rPr>
        <w:t xml:space="preserve">BRENT JEFFREY PETERSEN                                                                  </w:t>
      </w:r>
      <w:r>
        <w:rPr>
          <w:rFonts w:cs="Arial"/>
          <w:b/>
          <w:bCs/>
          <w:color w:val="1B1919"/>
        </w:rPr>
        <w:tab/>
        <w:t xml:space="preserve"> </w:t>
      </w:r>
      <w:r w:rsidRPr="0075788F">
        <w:rPr>
          <w:rFonts w:cs="Arial"/>
          <w:bCs/>
          <w:color w:val="1B1919"/>
        </w:rPr>
        <w:t>A</w:t>
      </w:r>
      <w:r>
        <w:rPr>
          <w:rFonts w:cs="Arial"/>
          <w:bCs/>
          <w:color w:val="1B1919"/>
        </w:rPr>
        <w:t>pplicant</w:t>
      </w:r>
    </w:p>
    <w:p w14:paraId="006F13A7" w14:textId="77777777" w:rsidR="000814CE" w:rsidRDefault="000814CE" w:rsidP="0075788F">
      <w:pPr>
        <w:widowControl w:val="0"/>
        <w:autoSpaceDE w:val="0"/>
        <w:autoSpaceDN w:val="0"/>
        <w:adjustRightInd w:val="0"/>
        <w:spacing w:after="0"/>
        <w:jc w:val="both"/>
        <w:rPr>
          <w:rFonts w:cs="Arial"/>
          <w:bCs/>
          <w:color w:val="1B1919"/>
        </w:rPr>
      </w:pPr>
    </w:p>
    <w:p w14:paraId="4B737967" w14:textId="662A50EA" w:rsidR="0075788F" w:rsidRPr="000814CE" w:rsidRDefault="0075788F" w:rsidP="0075788F">
      <w:pPr>
        <w:widowControl w:val="0"/>
        <w:autoSpaceDE w:val="0"/>
        <w:autoSpaceDN w:val="0"/>
        <w:adjustRightInd w:val="0"/>
        <w:spacing w:after="0"/>
        <w:jc w:val="both"/>
        <w:rPr>
          <w:rFonts w:cs="Arial"/>
          <w:bCs/>
          <w:color w:val="1B1919"/>
        </w:rPr>
      </w:pPr>
      <w:r w:rsidRPr="000814CE">
        <w:rPr>
          <w:rFonts w:cs="Arial"/>
          <w:bCs/>
          <w:color w:val="1B1919"/>
        </w:rPr>
        <w:t xml:space="preserve">and </w:t>
      </w:r>
    </w:p>
    <w:p w14:paraId="13C776EE" w14:textId="77777777" w:rsidR="000814CE" w:rsidRDefault="000814CE" w:rsidP="0075788F">
      <w:pPr>
        <w:widowControl w:val="0"/>
        <w:autoSpaceDE w:val="0"/>
        <w:autoSpaceDN w:val="0"/>
        <w:adjustRightInd w:val="0"/>
        <w:spacing w:after="0"/>
        <w:jc w:val="both"/>
        <w:rPr>
          <w:rFonts w:cs="Arial"/>
          <w:b/>
          <w:bCs/>
          <w:color w:val="1B1919"/>
        </w:rPr>
      </w:pPr>
    </w:p>
    <w:p w14:paraId="69416747" w14:textId="45456F31" w:rsidR="00D261E0" w:rsidRDefault="0075788F" w:rsidP="0075788F">
      <w:pPr>
        <w:widowControl w:val="0"/>
        <w:autoSpaceDE w:val="0"/>
        <w:autoSpaceDN w:val="0"/>
        <w:adjustRightInd w:val="0"/>
        <w:spacing w:after="0"/>
        <w:jc w:val="both"/>
        <w:rPr>
          <w:rFonts w:cs="Arial"/>
          <w:b/>
          <w:bCs/>
          <w:color w:val="1B1919"/>
        </w:rPr>
      </w:pPr>
      <w:r w:rsidRPr="0075788F">
        <w:rPr>
          <w:rFonts w:cs="Arial"/>
          <w:b/>
          <w:bCs/>
          <w:color w:val="1B1919"/>
        </w:rPr>
        <w:t xml:space="preserve">DR C R OOSTHUIZEN                                                                            </w:t>
      </w:r>
      <w:r>
        <w:rPr>
          <w:rFonts w:cs="Arial"/>
          <w:bCs/>
          <w:color w:val="1B1919"/>
        </w:rPr>
        <w:t>Respondent</w:t>
      </w:r>
      <w:r w:rsidR="00761DEC">
        <w:rPr>
          <w:rFonts w:cs="Arial"/>
          <w:b/>
          <w:bCs/>
          <w:color w:val="1B1919"/>
        </w:rPr>
        <w:tab/>
      </w:r>
    </w:p>
    <w:p w14:paraId="051A9C9A" w14:textId="77777777" w:rsidR="00761DEC" w:rsidRDefault="00023662" w:rsidP="000814CE">
      <w:pPr>
        <w:widowControl w:val="0"/>
        <w:autoSpaceDE w:val="0"/>
        <w:autoSpaceDN w:val="0"/>
        <w:adjustRightInd w:val="0"/>
        <w:spacing w:after="0"/>
        <w:jc w:val="center"/>
        <w:rPr>
          <w:rFonts w:cs="Arial"/>
          <w:b/>
          <w:color w:val="1B1919"/>
        </w:rPr>
      </w:pPr>
      <w:r>
        <w:rPr>
          <w:rFonts w:cs="Arial"/>
          <w:b/>
          <w:noProof/>
          <w:color w:val="1B1919"/>
        </w:rPr>
        <w:pict w14:anchorId="73CB2746">
          <v:rect id="_x0000_i1025" alt="" style="width:447.25pt;height:.05pt;mso-width-percent:0;mso-height-percent:0;mso-width-percent:0;mso-height-percent:0" o:hrpct="991" o:hralign="center" o:hrstd="t" o:hr="t" fillcolor="#a0a0a0" stroked="f"/>
        </w:pict>
      </w:r>
    </w:p>
    <w:p w14:paraId="50DE9057" w14:textId="77777777" w:rsidR="000814CE" w:rsidRDefault="000814CE" w:rsidP="000814CE">
      <w:pPr>
        <w:widowControl w:val="0"/>
        <w:autoSpaceDE w:val="0"/>
        <w:autoSpaceDN w:val="0"/>
        <w:adjustRightInd w:val="0"/>
        <w:spacing w:after="0"/>
        <w:jc w:val="center"/>
        <w:rPr>
          <w:rFonts w:cs="Arial"/>
          <w:b/>
          <w:color w:val="1B1919"/>
        </w:rPr>
      </w:pPr>
    </w:p>
    <w:p w14:paraId="68F669C1" w14:textId="15EA1970" w:rsidR="00761DEC" w:rsidRDefault="00761DEC" w:rsidP="000814CE">
      <w:pPr>
        <w:widowControl w:val="0"/>
        <w:autoSpaceDE w:val="0"/>
        <w:autoSpaceDN w:val="0"/>
        <w:adjustRightInd w:val="0"/>
        <w:spacing w:after="0"/>
        <w:jc w:val="center"/>
        <w:rPr>
          <w:rFonts w:cs="Arial"/>
          <w:b/>
          <w:color w:val="1B1919"/>
        </w:rPr>
      </w:pPr>
      <w:r w:rsidRPr="008D32D7">
        <w:rPr>
          <w:rFonts w:cs="Arial"/>
          <w:b/>
          <w:color w:val="1B1919"/>
        </w:rPr>
        <w:t>JUDGMENT</w:t>
      </w:r>
      <w:r w:rsidR="0075788F">
        <w:rPr>
          <w:rFonts w:cs="Arial"/>
          <w:b/>
          <w:color w:val="1B1919"/>
        </w:rPr>
        <w:t xml:space="preserve"> – APPLICATION FOR LEAVE TO APPEAL</w:t>
      </w:r>
    </w:p>
    <w:p w14:paraId="5043F897" w14:textId="77777777" w:rsidR="00761DEC" w:rsidRDefault="00023662" w:rsidP="000814CE">
      <w:pPr>
        <w:widowControl w:val="0"/>
        <w:autoSpaceDE w:val="0"/>
        <w:autoSpaceDN w:val="0"/>
        <w:adjustRightInd w:val="0"/>
        <w:spacing w:after="0"/>
        <w:jc w:val="center"/>
        <w:rPr>
          <w:rFonts w:cs="Arial"/>
          <w:b/>
          <w:color w:val="1B1919"/>
        </w:rPr>
      </w:pPr>
      <w:r>
        <w:rPr>
          <w:rFonts w:cs="Arial"/>
          <w:b/>
          <w:noProof/>
          <w:color w:val="1B1919"/>
        </w:rPr>
        <w:pict w14:anchorId="53AE9CF1">
          <v:rect id="_x0000_i1026" alt="" style="width:447.25pt;height:.05pt;mso-width-percent:0;mso-height-percent:0;mso-width-percent:0;mso-height-percent:0" o:hrpct="991" o:hralign="center" o:hrstd="t" o:hr="t" fillcolor="#a0a0a0" stroked="f"/>
        </w:pict>
      </w:r>
    </w:p>
    <w:p w14:paraId="090FFC0F" w14:textId="77777777" w:rsidR="000814CE" w:rsidRDefault="000814CE" w:rsidP="0075788F">
      <w:pPr>
        <w:widowControl w:val="0"/>
        <w:autoSpaceDE w:val="0"/>
        <w:autoSpaceDN w:val="0"/>
        <w:adjustRightInd w:val="0"/>
        <w:spacing w:after="0" w:line="360" w:lineRule="auto"/>
        <w:jc w:val="both"/>
        <w:rPr>
          <w:b/>
          <w:u w:val="single"/>
        </w:rPr>
      </w:pPr>
    </w:p>
    <w:p w14:paraId="5AA48CC6" w14:textId="05542B5B" w:rsidR="00761DEC" w:rsidRPr="00A94387" w:rsidRDefault="0075788F" w:rsidP="0075788F">
      <w:pPr>
        <w:widowControl w:val="0"/>
        <w:autoSpaceDE w:val="0"/>
        <w:autoSpaceDN w:val="0"/>
        <w:adjustRightInd w:val="0"/>
        <w:spacing w:after="0" w:line="360" w:lineRule="auto"/>
        <w:jc w:val="both"/>
        <w:rPr>
          <w:b/>
          <w:u w:val="single"/>
        </w:rPr>
      </w:pPr>
      <w:r>
        <w:rPr>
          <w:b/>
          <w:u w:val="single"/>
        </w:rPr>
        <w:t>MANOIM</w:t>
      </w:r>
      <w:r w:rsidR="00761DEC" w:rsidRPr="00A94387">
        <w:rPr>
          <w:b/>
          <w:u w:val="single"/>
        </w:rPr>
        <w:t xml:space="preserve"> J</w:t>
      </w:r>
    </w:p>
    <w:p w14:paraId="666C7744" w14:textId="62BBB22F" w:rsidR="00C95000" w:rsidRDefault="00C95000" w:rsidP="00C629EE">
      <w:pPr>
        <w:spacing w:after="0"/>
        <w:jc w:val="both"/>
      </w:pPr>
    </w:p>
    <w:p w14:paraId="6E100785" w14:textId="77777777" w:rsidR="00C629EE" w:rsidRDefault="00C629EE" w:rsidP="00C629EE">
      <w:pPr>
        <w:pStyle w:val="ListParagraph"/>
        <w:numPr>
          <w:ilvl w:val="0"/>
          <w:numId w:val="4"/>
        </w:numPr>
        <w:spacing w:line="360" w:lineRule="auto"/>
        <w:ind w:left="720" w:hanging="720"/>
        <w:jc w:val="both"/>
      </w:pPr>
      <w:r>
        <w:t xml:space="preserve">This an application for leave to appeal a judgment I delivered on 13 April 2022 in a case concerning alleged malpractice by the defendant, (who is the respondent in this application for leave) an orthopaedic surgeon. The malpractice related to an operation known as a laminectomy that the defendant had performed on the applicant in 2012, which all the experts now agree upon should not have been performed. As a consequence of this operation the </w:t>
      </w:r>
      <w:r>
        <w:lastRenderedPageBreak/>
        <w:t>applicant alleged that certain sequalae followed. In my decision I found the defendant liable for some of the sequelae but not for others.</w:t>
      </w:r>
    </w:p>
    <w:p w14:paraId="1E55E776" w14:textId="77777777" w:rsidR="00C629EE" w:rsidRDefault="00C629EE" w:rsidP="00C629EE">
      <w:pPr>
        <w:pStyle w:val="ListParagraph"/>
        <w:spacing w:line="360" w:lineRule="auto"/>
        <w:ind w:left="360"/>
        <w:jc w:val="both"/>
      </w:pPr>
    </w:p>
    <w:p w14:paraId="77FD722C" w14:textId="47157C7F" w:rsidR="00C629EE" w:rsidRDefault="00C629EE" w:rsidP="00C629EE">
      <w:pPr>
        <w:pStyle w:val="ListParagraph"/>
        <w:numPr>
          <w:ilvl w:val="0"/>
          <w:numId w:val="4"/>
        </w:numPr>
        <w:spacing w:line="360" w:lineRule="auto"/>
        <w:ind w:left="720" w:hanging="720"/>
        <w:jc w:val="both"/>
      </w:pPr>
      <w:r>
        <w:t xml:space="preserve">Three observations need to be made first about the notice. First leave to appeal is sought against the entire judgement, despite the fact that the final order makes the defendant liable for certain sequelae that followed the laminectomy and that these issues were not in dispute during the trial. </w:t>
      </w:r>
    </w:p>
    <w:p w14:paraId="0D95FBAE" w14:textId="77777777" w:rsidR="00C629EE" w:rsidRDefault="00C629EE" w:rsidP="00C629EE">
      <w:pPr>
        <w:pStyle w:val="ListParagraph"/>
        <w:spacing w:line="360" w:lineRule="auto"/>
        <w:ind w:left="360"/>
        <w:jc w:val="both"/>
      </w:pPr>
    </w:p>
    <w:p w14:paraId="511201BD" w14:textId="609D4CBE" w:rsidR="00C629EE" w:rsidRDefault="00C629EE" w:rsidP="00C629EE">
      <w:pPr>
        <w:pStyle w:val="ListParagraph"/>
        <w:numPr>
          <w:ilvl w:val="0"/>
          <w:numId w:val="4"/>
        </w:numPr>
        <w:spacing w:line="360" w:lineRule="auto"/>
        <w:ind w:left="720" w:hanging="720"/>
        <w:jc w:val="both"/>
      </w:pPr>
      <w:r>
        <w:t xml:space="preserve">What then justifies the broad terms of the notice of appeal, as was explained to me by the applicants’ counsel Mr Kruger, was the need to re-open the issue of sequelae in their entirety. As I understand the argument, it is necessary to re-open the entire issue of sequelae – those conceded by the defendant (respondent) and those that were not, in order for the applicant’s case to be considered in its proper context. </w:t>
      </w:r>
    </w:p>
    <w:p w14:paraId="62D1FCB2" w14:textId="77777777" w:rsidR="00C629EE" w:rsidRDefault="00C629EE" w:rsidP="00C629EE">
      <w:pPr>
        <w:pStyle w:val="ListParagraph"/>
        <w:spacing w:line="360" w:lineRule="auto"/>
        <w:ind w:left="360"/>
        <w:jc w:val="both"/>
      </w:pPr>
    </w:p>
    <w:p w14:paraId="3AD97DF6" w14:textId="4DE4EFD7" w:rsidR="00C629EE" w:rsidRDefault="00C629EE" w:rsidP="00C629EE">
      <w:pPr>
        <w:pStyle w:val="ListParagraph"/>
        <w:numPr>
          <w:ilvl w:val="0"/>
          <w:numId w:val="4"/>
        </w:numPr>
        <w:spacing w:line="360" w:lineRule="auto"/>
        <w:ind w:left="720" w:hanging="720"/>
        <w:jc w:val="both"/>
      </w:pPr>
      <w:r>
        <w:t>What was at issue in the case and remains so in the application for leave are the other sequelae alleged to have followed from the laminectomy and which on the applicants’ version led to the onset of a condition known as arachnoiditis. It is this latter condition which is extremely debilitating whose cause was the subject of the trial and now the appeal.</w:t>
      </w:r>
    </w:p>
    <w:p w14:paraId="7A671838" w14:textId="77777777" w:rsidR="00C629EE" w:rsidRDefault="00C629EE" w:rsidP="00C629EE">
      <w:pPr>
        <w:pStyle w:val="ListParagraph"/>
        <w:spacing w:line="360" w:lineRule="auto"/>
        <w:ind w:left="360"/>
        <w:jc w:val="both"/>
      </w:pPr>
    </w:p>
    <w:p w14:paraId="44C21917" w14:textId="2CD82097" w:rsidR="00C629EE" w:rsidRDefault="00C629EE" w:rsidP="00C629EE">
      <w:pPr>
        <w:pStyle w:val="ListParagraph"/>
        <w:numPr>
          <w:ilvl w:val="0"/>
          <w:numId w:val="4"/>
        </w:numPr>
        <w:spacing w:line="360" w:lineRule="auto"/>
        <w:ind w:left="720" w:hanging="720"/>
        <w:jc w:val="both"/>
      </w:pPr>
      <w:r>
        <w:t>Despite this lack of limitation, I do not have an issue with the fact that the appeal is framed as widely as it has been on the unusual facts of this case.</w:t>
      </w:r>
    </w:p>
    <w:p w14:paraId="3D384651" w14:textId="77777777" w:rsidR="00C629EE" w:rsidRDefault="00C629EE" w:rsidP="00C629EE">
      <w:pPr>
        <w:pStyle w:val="ListParagraph"/>
        <w:spacing w:line="360" w:lineRule="auto"/>
        <w:ind w:left="360"/>
        <w:jc w:val="both"/>
      </w:pPr>
    </w:p>
    <w:p w14:paraId="65494F36" w14:textId="6019149A" w:rsidR="00C629EE" w:rsidRDefault="00C629EE" w:rsidP="00C629EE">
      <w:pPr>
        <w:pStyle w:val="ListParagraph"/>
        <w:numPr>
          <w:ilvl w:val="0"/>
          <w:numId w:val="4"/>
        </w:numPr>
        <w:spacing w:line="360" w:lineRule="auto"/>
        <w:ind w:left="720" w:hanging="720"/>
        <w:jc w:val="both"/>
      </w:pPr>
      <w:r>
        <w:t xml:space="preserve">The second issue is that the applicant’s heads of argument traverse grounds that are not contained in the notice of appeal. Mr Van Vuuren who appeared for the respondent whilst making this point did not press it in the interests of getting finality in this litigation. I do not then need to consider this point further. </w:t>
      </w:r>
    </w:p>
    <w:p w14:paraId="7D095EBB" w14:textId="77777777" w:rsidR="00C629EE" w:rsidRDefault="00C629EE" w:rsidP="00C629EE">
      <w:pPr>
        <w:pStyle w:val="ListParagraph"/>
        <w:spacing w:line="360" w:lineRule="auto"/>
        <w:ind w:left="360"/>
        <w:jc w:val="both"/>
      </w:pPr>
    </w:p>
    <w:p w14:paraId="4870ABE0" w14:textId="32EE5A42" w:rsidR="00C629EE" w:rsidRDefault="00C629EE" w:rsidP="00C629EE">
      <w:pPr>
        <w:pStyle w:val="ListParagraph"/>
        <w:numPr>
          <w:ilvl w:val="0"/>
          <w:numId w:val="4"/>
        </w:numPr>
        <w:spacing w:line="360" w:lineRule="auto"/>
        <w:ind w:left="720" w:hanging="720"/>
        <w:jc w:val="both"/>
      </w:pPr>
      <w:r>
        <w:t>The third issue concerning the notice is that it is confined to errors of fact not law. It is for this reason that leave is sought to appeal to a full bench of this division and not the Supreme Court of Appeal. My reasons will be confined to this third issue.</w:t>
      </w:r>
    </w:p>
    <w:p w14:paraId="257E8160" w14:textId="77777777" w:rsidR="00C629EE" w:rsidRDefault="00C629EE" w:rsidP="00C629EE">
      <w:pPr>
        <w:pStyle w:val="ListParagraph"/>
        <w:numPr>
          <w:ilvl w:val="0"/>
          <w:numId w:val="4"/>
        </w:numPr>
        <w:spacing w:line="360" w:lineRule="auto"/>
        <w:ind w:left="720" w:hanging="720"/>
        <w:jc w:val="both"/>
      </w:pPr>
      <w:r>
        <w:lastRenderedPageBreak/>
        <w:t>Mr Kruger fairly concedes that a court is more reluctant to grant leave for a case based solely on errors of fact and not of law. Nevertheless, he argued that given the consequences for the applicant this should be given consideration.</w:t>
      </w:r>
    </w:p>
    <w:p w14:paraId="4503560D" w14:textId="77777777" w:rsidR="00C629EE" w:rsidRDefault="00C629EE" w:rsidP="00C629EE">
      <w:pPr>
        <w:pStyle w:val="ListParagraph"/>
        <w:spacing w:line="360" w:lineRule="auto"/>
        <w:ind w:left="360"/>
        <w:jc w:val="both"/>
      </w:pPr>
    </w:p>
    <w:p w14:paraId="013600EB" w14:textId="6B841415" w:rsidR="00C629EE" w:rsidRDefault="00C629EE" w:rsidP="00C629EE">
      <w:pPr>
        <w:pStyle w:val="ListParagraph"/>
        <w:numPr>
          <w:ilvl w:val="0"/>
          <w:numId w:val="4"/>
        </w:numPr>
        <w:spacing w:line="360" w:lineRule="auto"/>
        <w:ind w:left="720" w:hanging="720"/>
        <w:jc w:val="both"/>
      </w:pPr>
      <w:r>
        <w:t>I accept fully the consequences for the applicant of my decision, and it is hard not to feel sympathy with his current plight. Nevertheless, sentiment cannot interfere with the exercise of a proper approach to the burden the law imposes on an applicant in applying for leave to appeal. The defendant too has rights and a too permissive approach to the burden imposed on an applicant in a leave to appeal application can result in a misplaced exercise of discretion.</w:t>
      </w:r>
    </w:p>
    <w:p w14:paraId="70F592D8" w14:textId="77777777" w:rsidR="00C629EE" w:rsidRDefault="00C629EE" w:rsidP="00C629EE">
      <w:pPr>
        <w:pStyle w:val="ListParagraph"/>
        <w:spacing w:line="360" w:lineRule="auto"/>
        <w:ind w:left="360"/>
        <w:jc w:val="both"/>
      </w:pPr>
    </w:p>
    <w:p w14:paraId="0FCDDDF6" w14:textId="2C090445" w:rsidR="00C629EE" w:rsidRDefault="00C629EE" w:rsidP="00C629EE">
      <w:pPr>
        <w:pStyle w:val="ListParagraph"/>
        <w:numPr>
          <w:ilvl w:val="0"/>
          <w:numId w:val="4"/>
        </w:numPr>
        <w:spacing w:line="360" w:lineRule="auto"/>
        <w:ind w:left="720" w:hanging="720"/>
        <w:jc w:val="both"/>
      </w:pPr>
      <w:r>
        <w:t>The notice of appeal based on some of my findings of fact can be categorised in two ways. First specific errors, second errors of emphasis.</w:t>
      </w:r>
    </w:p>
    <w:p w14:paraId="22409F75" w14:textId="77777777" w:rsidR="00C629EE" w:rsidRDefault="00C629EE" w:rsidP="00C629EE">
      <w:pPr>
        <w:pStyle w:val="ListParagraph"/>
        <w:spacing w:line="360" w:lineRule="auto"/>
        <w:ind w:left="360"/>
        <w:jc w:val="both"/>
      </w:pPr>
    </w:p>
    <w:p w14:paraId="67C8EEBF" w14:textId="180F6920" w:rsidR="00C629EE" w:rsidRDefault="00C629EE" w:rsidP="00C629EE">
      <w:pPr>
        <w:pStyle w:val="ListParagraph"/>
        <w:numPr>
          <w:ilvl w:val="0"/>
          <w:numId w:val="4"/>
        </w:numPr>
        <w:spacing w:line="360" w:lineRule="auto"/>
        <w:ind w:left="720" w:hanging="720"/>
        <w:jc w:val="both"/>
      </w:pPr>
      <w:r>
        <w:t xml:space="preserve">In relation to the first category, the notice of appeal states, referring to a particular paragraph in my judgment, that I had got the facts wrong. This was because I stated that an MRI taken at a particular point in time (just prior to the 2012 laminectomy) showed that the applicant was </w:t>
      </w:r>
      <w:r w:rsidRPr="00A81C1F">
        <w:rPr>
          <w:i/>
          <w:iCs/>
        </w:rPr>
        <w:t>“</w:t>
      </w:r>
      <w:r>
        <w:rPr>
          <w:i/>
          <w:iCs/>
        </w:rPr>
        <w:t>…</w:t>
      </w:r>
      <w:r w:rsidRPr="00A81C1F">
        <w:rPr>
          <w:i/>
          <w:iCs/>
        </w:rPr>
        <w:t xml:space="preserve"> suffering from early spinal stenosis.”</w:t>
      </w:r>
      <w:r>
        <w:t xml:space="preserve"> But when it came to the heads of argument the applicant quotes from the same medical record which shows that the judgement is correct on this point. It says verbatim, </w:t>
      </w:r>
      <w:r w:rsidRPr="00603D84">
        <w:rPr>
          <w:i/>
          <w:iCs/>
        </w:rPr>
        <w:t>“</w:t>
      </w:r>
      <w:r>
        <w:rPr>
          <w:i/>
          <w:iCs/>
        </w:rPr>
        <w:t>…</w:t>
      </w:r>
      <w:r w:rsidRPr="00603D84">
        <w:rPr>
          <w:i/>
          <w:iCs/>
        </w:rPr>
        <w:t xml:space="preserve"> there is also evidence of early spinal stenosis.”</w:t>
      </w:r>
      <w:r>
        <w:t xml:space="preserve"> </w:t>
      </w:r>
      <w:r>
        <w:rPr>
          <w:rStyle w:val="FootnoteReference"/>
        </w:rPr>
        <w:footnoteReference w:id="1"/>
      </w:r>
    </w:p>
    <w:p w14:paraId="3014F211" w14:textId="77777777" w:rsidR="00C629EE" w:rsidRDefault="00C629EE" w:rsidP="00C629EE">
      <w:pPr>
        <w:pStyle w:val="ListParagraph"/>
        <w:spacing w:line="360" w:lineRule="auto"/>
        <w:ind w:left="360"/>
        <w:jc w:val="both"/>
      </w:pPr>
    </w:p>
    <w:p w14:paraId="227C0C90" w14:textId="24321323" w:rsidR="00C629EE" w:rsidRDefault="00C629EE" w:rsidP="00C629EE">
      <w:pPr>
        <w:pStyle w:val="ListParagraph"/>
        <w:numPr>
          <w:ilvl w:val="0"/>
          <w:numId w:val="4"/>
        </w:numPr>
        <w:spacing w:line="360" w:lineRule="auto"/>
        <w:ind w:left="720" w:hanging="720"/>
        <w:jc w:val="both"/>
      </w:pPr>
      <w:r>
        <w:t xml:space="preserve">The second is that I failed to take into account that arachnoiditis is a slowly evolving condition. But that observation is also a misreading of my judgment where a section is devoted to what I termed the </w:t>
      </w:r>
      <w:r w:rsidRPr="00E20F39">
        <w:rPr>
          <w:i/>
          <w:iCs/>
        </w:rPr>
        <w:t>temporal factor</w:t>
      </w:r>
      <w:r>
        <w:t xml:space="preserve"> where this issue was considered. </w:t>
      </w:r>
      <w:r>
        <w:rPr>
          <w:rStyle w:val="FootnoteReference"/>
        </w:rPr>
        <w:footnoteReference w:id="2"/>
      </w:r>
    </w:p>
    <w:p w14:paraId="7E6C950B" w14:textId="77777777" w:rsidR="00C629EE" w:rsidRDefault="00C629EE" w:rsidP="00C629EE">
      <w:pPr>
        <w:pStyle w:val="ListParagraph"/>
        <w:spacing w:line="360" w:lineRule="auto"/>
        <w:ind w:left="360"/>
        <w:jc w:val="both"/>
      </w:pPr>
    </w:p>
    <w:p w14:paraId="0BFAB327" w14:textId="2E97538A" w:rsidR="00C629EE" w:rsidRDefault="00C629EE" w:rsidP="00C629EE">
      <w:pPr>
        <w:pStyle w:val="ListParagraph"/>
        <w:numPr>
          <w:ilvl w:val="0"/>
          <w:numId w:val="4"/>
        </w:numPr>
        <w:spacing w:line="360" w:lineRule="auto"/>
        <w:ind w:left="720" w:hanging="720"/>
        <w:jc w:val="both"/>
      </w:pPr>
      <w:r>
        <w:t xml:space="preserve">The third is that I accepted an explanation from one of the defendants’ witnesses Ms Poulter, a physiotherapist who had treated the applicant at the relevant time, for which version of her notes, should be accepted as correctly </w:t>
      </w:r>
      <w:r>
        <w:lastRenderedPageBreak/>
        <w:t>reflecting her notes of the applicant at the time. She had explained why there two sets - a version that was handwritten and a later version which she had typed out and which in some important respects, was inconsistent with the first. However, the manuscript version formed part of a continuous record that another witness also a physiotherapist had testified to and confirmed. This made suggestions that the typed version was the one to be accepted as opposed to the manuscript version, highly improbable. I do not consider this is an error of fact.</w:t>
      </w:r>
    </w:p>
    <w:p w14:paraId="33F3A536" w14:textId="77777777" w:rsidR="00C629EE" w:rsidRDefault="00C629EE" w:rsidP="00C629EE">
      <w:pPr>
        <w:pStyle w:val="ListParagraph"/>
        <w:spacing w:line="360" w:lineRule="auto"/>
        <w:ind w:left="360"/>
        <w:jc w:val="both"/>
      </w:pPr>
    </w:p>
    <w:p w14:paraId="2BB7938B" w14:textId="269EC4E1" w:rsidR="00C629EE" w:rsidRDefault="00C629EE" w:rsidP="00C629EE">
      <w:pPr>
        <w:pStyle w:val="ListParagraph"/>
        <w:numPr>
          <w:ilvl w:val="0"/>
          <w:numId w:val="4"/>
        </w:numPr>
        <w:spacing w:line="360" w:lineRule="auto"/>
        <w:ind w:left="720" w:hanging="720"/>
        <w:jc w:val="both"/>
      </w:pPr>
      <w:r>
        <w:t>The remaining points of criticism are devoted to emphasis than any particular error. Without going into all of them, what is suggested that I overemphasised certain facts and also failed to acknowledge concessions made by the respondent’s expert witness. But on closer examination of the judgment these criticisms are not borne out. For instance, the suggestion that I overemphasised the early onset of stenosis (paragraph 5 of the decision) is not borne out by an analysis of the rest of the judgment.</w:t>
      </w:r>
    </w:p>
    <w:p w14:paraId="4FB2414F" w14:textId="77777777" w:rsidR="00C629EE" w:rsidRDefault="00C629EE" w:rsidP="00C629EE">
      <w:pPr>
        <w:pStyle w:val="ListParagraph"/>
        <w:spacing w:line="360" w:lineRule="auto"/>
        <w:ind w:left="360"/>
        <w:jc w:val="both"/>
      </w:pPr>
    </w:p>
    <w:p w14:paraId="3CA41410" w14:textId="2515C84F" w:rsidR="00C629EE" w:rsidRDefault="00C629EE" w:rsidP="00C629EE">
      <w:pPr>
        <w:pStyle w:val="ListParagraph"/>
        <w:numPr>
          <w:ilvl w:val="0"/>
          <w:numId w:val="4"/>
        </w:numPr>
        <w:spacing w:line="360" w:lineRule="auto"/>
        <w:ind w:left="720" w:hanging="720"/>
        <w:jc w:val="both"/>
      </w:pPr>
      <w:r>
        <w:t>Then certain facts raised by the applicant as highly significant (the 2014 straight leg test performed by Dr Oosthuizen) was considered and evaluated.</w:t>
      </w:r>
      <w:r>
        <w:rPr>
          <w:rStyle w:val="FootnoteReference"/>
        </w:rPr>
        <w:footnoteReference w:id="3"/>
      </w:r>
    </w:p>
    <w:p w14:paraId="4BEBB91F" w14:textId="77777777" w:rsidR="00C629EE" w:rsidRDefault="00C629EE" w:rsidP="00C629EE">
      <w:pPr>
        <w:pStyle w:val="ListParagraph"/>
        <w:spacing w:line="360" w:lineRule="auto"/>
        <w:ind w:left="360"/>
        <w:jc w:val="both"/>
      </w:pPr>
    </w:p>
    <w:p w14:paraId="7DA2781C" w14:textId="19BCEBDB" w:rsidR="00C629EE" w:rsidRDefault="00C629EE" w:rsidP="00C629EE">
      <w:pPr>
        <w:pStyle w:val="ListParagraph"/>
        <w:numPr>
          <w:ilvl w:val="0"/>
          <w:numId w:val="4"/>
        </w:numPr>
        <w:spacing w:line="360" w:lineRule="auto"/>
        <w:ind w:left="720" w:hanging="720"/>
        <w:jc w:val="both"/>
      </w:pPr>
      <w:r>
        <w:t>The criticism that I ignored or failed to apprecia</w:t>
      </w:r>
      <w:r w:rsidR="000E3C62">
        <w:t>te the concessions made by Dr Maru</w:t>
      </w:r>
      <w:r>
        <w:t xml:space="preserve">s the defendant’s expert is also not borne out by </w:t>
      </w:r>
      <w:r w:rsidR="000E3C62">
        <w:t>the</w:t>
      </w:r>
      <w:r>
        <w:t xml:space="preserve"> very passages in his heads of argument that the a</w:t>
      </w:r>
      <w:r w:rsidR="000E3C62">
        <w:t>pplicant seeks to rely on. Dr Maru</w:t>
      </w:r>
      <w:r>
        <w:t>s</w:t>
      </w:r>
      <w:r w:rsidR="00CF2FD1">
        <w:t>’</w:t>
      </w:r>
      <w:r>
        <w:t xml:space="preserve"> concessions amount, if read properly, to concessions of possibility not probability. </w:t>
      </w:r>
      <w:r>
        <w:rPr>
          <w:rStyle w:val="FootnoteReference"/>
        </w:rPr>
        <w:footnoteReference w:id="4"/>
      </w:r>
    </w:p>
    <w:p w14:paraId="320950F9" w14:textId="77777777" w:rsidR="00C629EE" w:rsidRDefault="00C629EE" w:rsidP="00C629EE">
      <w:pPr>
        <w:pStyle w:val="ListParagraph"/>
        <w:spacing w:line="360" w:lineRule="auto"/>
        <w:ind w:left="360"/>
        <w:jc w:val="both"/>
      </w:pPr>
    </w:p>
    <w:p w14:paraId="5CE6C341" w14:textId="2D29A770" w:rsidR="00C629EE" w:rsidRDefault="00C629EE" w:rsidP="00C629EE">
      <w:pPr>
        <w:pStyle w:val="ListParagraph"/>
        <w:numPr>
          <w:ilvl w:val="0"/>
          <w:numId w:val="4"/>
        </w:numPr>
        <w:spacing w:line="360" w:lineRule="auto"/>
        <w:ind w:left="720" w:hanging="720"/>
        <w:jc w:val="both"/>
      </w:pPr>
      <w:r>
        <w:t xml:space="preserve">I have also been criticised for not giving greater weight to the evidence of the applicant’s second expert Dr Coetzee. But I explained why this was in the decisions. My reasons for justifying this approach have not been criticised. </w:t>
      </w:r>
    </w:p>
    <w:p w14:paraId="48BF1DD7" w14:textId="77777777" w:rsidR="00C629EE" w:rsidRDefault="00C629EE" w:rsidP="00C629EE">
      <w:pPr>
        <w:pStyle w:val="ListParagraph"/>
        <w:spacing w:line="360" w:lineRule="auto"/>
        <w:ind w:left="360"/>
        <w:jc w:val="both"/>
      </w:pPr>
    </w:p>
    <w:p w14:paraId="1BDD82D6" w14:textId="2A743FC4" w:rsidR="00C629EE" w:rsidRDefault="00C629EE" w:rsidP="00C629EE">
      <w:pPr>
        <w:pStyle w:val="ListParagraph"/>
        <w:numPr>
          <w:ilvl w:val="0"/>
          <w:numId w:val="4"/>
        </w:numPr>
        <w:spacing w:line="360" w:lineRule="auto"/>
        <w:ind w:left="720" w:hanging="720"/>
        <w:jc w:val="both"/>
      </w:pPr>
      <w:r>
        <w:t xml:space="preserve">This leads me to my final observation. This case was fact ‘heavy.’ It was a record comprising inter alia of extensive contemporaneous medical entries. </w:t>
      </w:r>
      <w:r>
        <w:lastRenderedPageBreak/>
        <w:t xml:space="preserve">Some of these records were interpreted by the witnesses who compiled them. In this respect only the defendant called this category of witness. </w:t>
      </w:r>
    </w:p>
    <w:p w14:paraId="637FE80C" w14:textId="77777777" w:rsidR="00CF181D" w:rsidRDefault="00CF181D" w:rsidP="00CF181D">
      <w:pPr>
        <w:pStyle w:val="ListParagraph"/>
        <w:spacing w:line="360" w:lineRule="auto"/>
        <w:ind w:left="360"/>
        <w:jc w:val="both"/>
      </w:pPr>
    </w:p>
    <w:p w14:paraId="1BF106A3" w14:textId="533CEDE9" w:rsidR="00C629EE" w:rsidRDefault="00C629EE" w:rsidP="00CF181D">
      <w:pPr>
        <w:pStyle w:val="ListParagraph"/>
        <w:numPr>
          <w:ilvl w:val="0"/>
          <w:numId w:val="4"/>
        </w:numPr>
        <w:spacing w:line="360" w:lineRule="auto"/>
        <w:ind w:left="720" w:hanging="720"/>
        <w:jc w:val="both"/>
      </w:pPr>
      <w:r>
        <w:t>Then these entries and comments by the subsequent witnesses required interpretation. Here the task fell to the experts who testified – Dr Miller and Professor Coetzee for the applicant and Dr Marus for the defendant. Their task was to opine on what is a complex topic; the roots of causation of an unusual condition. The presence of certain facts over a period of time some favourable to the applicant and some not, needed to be evaluated in terms of an overall approach that I had set out in my reasons. That approach to weighing the mass of the evidence in a hierarchy of its probative value has not been attacked on appeal. Instead, the approach has been a piecemeal one in some respects or in others so broad brush that it fails to establish its necessary premise – that the applicant had made out a case based on probability not mere possibility.</w:t>
      </w:r>
    </w:p>
    <w:p w14:paraId="440A51D1" w14:textId="77777777" w:rsidR="00CF181D" w:rsidRDefault="00CF181D" w:rsidP="00CF181D">
      <w:pPr>
        <w:pStyle w:val="ListParagraph"/>
        <w:spacing w:line="360" w:lineRule="auto"/>
        <w:ind w:left="360"/>
        <w:jc w:val="both"/>
      </w:pPr>
    </w:p>
    <w:p w14:paraId="08986C37" w14:textId="3CF5FD7C" w:rsidR="00C629EE" w:rsidRDefault="00C629EE" w:rsidP="00CF181D">
      <w:pPr>
        <w:pStyle w:val="ListParagraph"/>
        <w:numPr>
          <w:ilvl w:val="0"/>
          <w:numId w:val="4"/>
        </w:numPr>
        <w:spacing w:line="360" w:lineRule="auto"/>
        <w:ind w:left="720" w:hanging="720"/>
        <w:jc w:val="both"/>
      </w:pPr>
      <w:r>
        <w:t>Were the premises of my approach the subject of serious criticism or were manifest factual errors of a material nature demonstrated that might turn my findings of only possibility in favour of the applicant</w:t>
      </w:r>
      <w:r w:rsidRPr="005F46FC">
        <w:t xml:space="preserve"> </w:t>
      </w:r>
      <w:r>
        <w:t>to probability by another court, I would have granted leave to appeal.</w:t>
      </w:r>
    </w:p>
    <w:p w14:paraId="01EBA3F7" w14:textId="77777777" w:rsidR="00CF181D" w:rsidRDefault="00CF181D" w:rsidP="00CF181D">
      <w:pPr>
        <w:pStyle w:val="ListParagraph"/>
        <w:spacing w:line="360" w:lineRule="auto"/>
        <w:ind w:left="360"/>
        <w:jc w:val="both"/>
      </w:pPr>
    </w:p>
    <w:p w14:paraId="5A7C3B04" w14:textId="5AF19B9C" w:rsidR="00C629EE" w:rsidRDefault="00C629EE" w:rsidP="00CF181D">
      <w:pPr>
        <w:pStyle w:val="ListParagraph"/>
        <w:numPr>
          <w:ilvl w:val="0"/>
          <w:numId w:val="4"/>
        </w:numPr>
        <w:spacing w:line="360" w:lineRule="auto"/>
        <w:ind w:left="720" w:hanging="720"/>
        <w:jc w:val="both"/>
      </w:pPr>
      <w:r>
        <w:t>The threshold test of “</w:t>
      </w:r>
      <w:r w:rsidRPr="00CF2980">
        <w:rPr>
          <w:i/>
          <w:iCs/>
        </w:rPr>
        <w:t>would”</w:t>
      </w:r>
      <w:r>
        <w:t xml:space="preserve"> in section 17(1)(a) (i) of the Superior Courts Act, 10 of 2013, is now more burdensome on an applicant for leave than in the past. But this is not the only challenge the applicant for leave to appeal faces. This leave to appeal as I mentioned earlier is based solely on my findings of fact and the premise that another court would decide them differently. But in a recent decision the Constitutional Court has emphasized that an appeal court should only reverse on a finding of fact if it finds that the approach to them by the trial court is clearly wrong. </w:t>
      </w:r>
    </w:p>
    <w:p w14:paraId="4276446E" w14:textId="77777777" w:rsidR="00CF2FD1" w:rsidRDefault="00CF2FD1" w:rsidP="00CF2FD1">
      <w:pPr>
        <w:pStyle w:val="ListParagraph"/>
        <w:spacing w:line="360" w:lineRule="auto"/>
        <w:jc w:val="both"/>
      </w:pPr>
    </w:p>
    <w:p w14:paraId="6AF0FBC4" w14:textId="7FB0F364" w:rsidR="00C629EE" w:rsidRDefault="00C629EE" w:rsidP="00CF181D">
      <w:pPr>
        <w:pStyle w:val="ListParagraph"/>
        <w:numPr>
          <w:ilvl w:val="0"/>
          <w:numId w:val="4"/>
        </w:numPr>
        <w:spacing w:line="360" w:lineRule="auto"/>
        <w:ind w:left="720" w:hanging="720"/>
        <w:jc w:val="both"/>
      </w:pPr>
      <w:r>
        <w:t xml:space="preserve">The applicant has not met this burden and leads me to the conclusion that leave to appeal must be refused. </w:t>
      </w:r>
      <w:r>
        <w:rPr>
          <w:rStyle w:val="FootnoteReference"/>
        </w:rPr>
        <w:footnoteReference w:id="5"/>
      </w:r>
    </w:p>
    <w:p w14:paraId="6A5E4B8E" w14:textId="77777777" w:rsidR="00B8297C" w:rsidRDefault="00B8297C" w:rsidP="0075788F">
      <w:pPr>
        <w:spacing w:after="0" w:line="360" w:lineRule="auto"/>
        <w:jc w:val="both"/>
        <w:rPr>
          <w:szCs w:val="24"/>
        </w:rPr>
      </w:pPr>
    </w:p>
    <w:p w14:paraId="0E34F267" w14:textId="48FB43A1" w:rsidR="0075788F" w:rsidRPr="00B8297C" w:rsidRDefault="0075788F" w:rsidP="0075788F">
      <w:pPr>
        <w:spacing w:after="0" w:line="360" w:lineRule="auto"/>
        <w:jc w:val="both"/>
        <w:rPr>
          <w:b/>
          <w:szCs w:val="24"/>
        </w:rPr>
      </w:pPr>
      <w:r w:rsidRPr="00B8297C">
        <w:rPr>
          <w:b/>
          <w:szCs w:val="24"/>
        </w:rPr>
        <w:t xml:space="preserve">ORDER </w:t>
      </w:r>
    </w:p>
    <w:p w14:paraId="2044112B" w14:textId="77777777" w:rsidR="0075788F" w:rsidRPr="0075788F" w:rsidRDefault="0075788F" w:rsidP="0075788F">
      <w:pPr>
        <w:spacing w:after="0" w:line="360" w:lineRule="auto"/>
        <w:jc w:val="both"/>
        <w:rPr>
          <w:szCs w:val="24"/>
        </w:rPr>
      </w:pPr>
    </w:p>
    <w:p w14:paraId="4891CC17" w14:textId="77777777" w:rsidR="00B8297C" w:rsidRDefault="0075788F" w:rsidP="00B8297C">
      <w:pPr>
        <w:pStyle w:val="ListParagraph"/>
        <w:numPr>
          <w:ilvl w:val="0"/>
          <w:numId w:val="3"/>
        </w:numPr>
        <w:spacing w:after="0" w:line="360" w:lineRule="auto"/>
        <w:ind w:hanging="720"/>
        <w:jc w:val="both"/>
        <w:rPr>
          <w:szCs w:val="24"/>
        </w:rPr>
      </w:pPr>
      <w:r w:rsidRPr="00B8297C">
        <w:rPr>
          <w:szCs w:val="24"/>
        </w:rPr>
        <w:t>The application for leave to appeal is dismissed.</w:t>
      </w:r>
    </w:p>
    <w:p w14:paraId="2F40021C" w14:textId="77777777" w:rsidR="00B8297C" w:rsidRDefault="00B8297C" w:rsidP="00B8297C">
      <w:pPr>
        <w:pStyle w:val="ListParagraph"/>
        <w:spacing w:after="0" w:line="360" w:lineRule="auto"/>
        <w:ind w:left="360"/>
        <w:jc w:val="both"/>
        <w:rPr>
          <w:szCs w:val="24"/>
        </w:rPr>
      </w:pPr>
    </w:p>
    <w:p w14:paraId="2B43A617" w14:textId="1C4F74C9" w:rsidR="00030C7F" w:rsidRPr="00B8297C" w:rsidRDefault="0075788F" w:rsidP="00B8297C">
      <w:pPr>
        <w:pStyle w:val="ListParagraph"/>
        <w:numPr>
          <w:ilvl w:val="0"/>
          <w:numId w:val="3"/>
        </w:numPr>
        <w:spacing w:after="0" w:line="360" w:lineRule="auto"/>
        <w:ind w:hanging="720"/>
        <w:jc w:val="both"/>
        <w:rPr>
          <w:szCs w:val="24"/>
        </w:rPr>
      </w:pPr>
      <w:r w:rsidRPr="00B8297C">
        <w:rPr>
          <w:szCs w:val="24"/>
        </w:rPr>
        <w:t>The applicant is ordered to pay the respondent’s taxed or agreed costs, which costs shall include the costs of two counsel.</w:t>
      </w:r>
    </w:p>
    <w:p w14:paraId="2B18A882" w14:textId="156AC2EB" w:rsidR="006311FC" w:rsidRDefault="006311FC" w:rsidP="0075788F">
      <w:pPr>
        <w:spacing w:after="0" w:line="360" w:lineRule="auto"/>
        <w:jc w:val="both"/>
        <w:rPr>
          <w:szCs w:val="24"/>
        </w:rPr>
      </w:pPr>
    </w:p>
    <w:p w14:paraId="3BC4618D" w14:textId="0D4EF2E1" w:rsidR="0075788F" w:rsidRPr="00A12AFE" w:rsidRDefault="0075788F" w:rsidP="00A12AFE">
      <w:pPr>
        <w:pStyle w:val="ListParagraph"/>
        <w:spacing w:after="0" w:line="360" w:lineRule="auto"/>
        <w:ind w:left="0"/>
        <w:jc w:val="both"/>
        <w:rPr>
          <w:i/>
          <w:iCs/>
        </w:rPr>
      </w:pPr>
      <w:r w:rsidRPr="00C62C53">
        <w:rPr>
          <w:i/>
          <w:iCs/>
        </w:rPr>
        <w:t>This judgment was handed down electronically by circulation to the parties' and/or the parties' representatives by email and by being uploaded to Case Lines. The date and time for hand-down is deemed to be 10h00 on 15 June 2022.</w:t>
      </w:r>
    </w:p>
    <w:p w14:paraId="1BFDB45E" w14:textId="77777777" w:rsidR="008F30BC" w:rsidRDefault="008F30BC" w:rsidP="006311FC">
      <w:pPr>
        <w:spacing w:line="360" w:lineRule="auto"/>
        <w:jc w:val="right"/>
        <w:rPr>
          <w:szCs w:val="24"/>
        </w:rPr>
      </w:pPr>
    </w:p>
    <w:p w14:paraId="23C4D2E1" w14:textId="5FE2539C" w:rsidR="006311FC" w:rsidRDefault="00B162D4" w:rsidP="00B162D4">
      <w:pPr>
        <w:spacing w:after="0"/>
        <w:jc w:val="right"/>
        <w:rPr>
          <w:szCs w:val="24"/>
        </w:rPr>
      </w:pPr>
      <w:r>
        <w:rPr>
          <w:szCs w:val="24"/>
        </w:rPr>
        <w:t>__</w:t>
      </w:r>
      <w:r w:rsidR="006311FC">
        <w:rPr>
          <w:szCs w:val="24"/>
        </w:rPr>
        <w:t>___________</w:t>
      </w:r>
      <w:r w:rsidR="0075788F">
        <w:rPr>
          <w:szCs w:val="24"/>
        </w:rPr>
        <w:t>___________</w:t>
      </w:r>
      <w:r w:rsidR="006311FC">
        <w:rPr>
          <w:szCs w:val="24"/>
        </w:rPr>
        <w:t>________</w:t>
      </w:r>
    </w:p>
    <w:p w14:paraId="518E648D" w14:textId="08C08622" w:rsidR="006311FC" w:rsidRPr="00B162D4" w:rsidRDefault="0075788F" w:rsidP="00B162D4">
      <w:pPr>
        <w:spacing w:after="0"/>
        <w:jc w:val="right"/>
        <w:rPr>
          <w:b/>
          <w:szCs w:val="24"/>
        </w:rPr>
      </w:pPr>
      <w:r w:rsidRPr="00B162D4">
        <w:rPr>
          <w:b/>
          <w:szCs w:val="24"/>
        </w:rPr>
        <w:t>N MANOIM</w:t>
      </w:r>
    </w:p>
    <w:p w14:paraId="43C7F26C" w14:textId="66ECFFED" w:rsidR="00D41CC1" w:rsidRDefault="00D41CC1" w:rsidP="00B162D4">
      <w:pPr>
        <w:spacing w:after="0"/>
        <w:jc w:val="right"/>
        <w:rPr>
          <w:szCs w:val="24"/>
        </w:rPr>
      </w:pPr>
      <w:r>
        <w:rPr>
          <w:szCs w:val="24"/>
        </w:rPr>
        <w:t xml:space="preserve">Judge of the High Court </w:t>
      </w:r>
    </w:p>
    <w:p w14:paraId="2D2306C8" w14:textId="6AFABCF9" w:rsidR="00D41CC1" w:rsidRDefault="00D41CC1" w:rsidP="00B162D4">
      <w:pPr>
        <w:spacing w:after="0"/>
        <w:jc w:val="right"/>
        <w:rPr>
          <w:szCs w:val="24"/>
        </w:rPr>
      </w:pPr>
      <w:r>
        <w:rPr>
          <w:szCs w:val="24"/>
        </w:rPr>
        <w:t>Gauteng Local Division, Johannesburg</w:t>
      </w:r>
    </w:p>
    <w:p w14:paraId="6EBD239C" w14:textId="77777777" w:rsidR="002764F5" w:rsidRDefault="002764F5" w:rsidP="00D41CC1">
      <w:pPr>
        <w:jc w:val="both"/>
        <w:rPr>
          <w:szCs w:val="24"/>
        </w:rPr>
      </w:pPr>
    </w:p>
    <w:p w14:paraId="10CF114C" w14:textId="77777777" w:rsidR="00E66E0E" w:rsidRDefault="00E66E0E" w:rsidP="002764F5">
      <w:pPr>
        <w:spacing w:after="0"/>
        <w:jc w:val="both"/>
        <w:rPr>
          <w:b/>
          <w:szCs w:val="24"/>
        </w:rPr>
      </w:pPr>
    </w:p>
    <w:p w14:paraId="4725341F" w14:textId="77777777" w:rsidR="00E66E0E" w:rsidRDefault="00E66E0E" w:rsidP="002764F5">
      <w:pPr>
        <w:spacing w:after="0"/>
        <w:jc w:val="both"/>
        <w:rPr>
          <w:b/>
          <w:szCs w:val="24"/>
        </w:rPr>
      </w:pPr>
    </w:p>
    <w:p w14:paraId="6F2DF3EF" w14:textId="77777777" w:rsidR="00B162D4" w:rsidRDefault="00B162D4" w:rsidP="00B162D4">
      <w:pPr>
        <w:pStyle w:val="ListParagraph"/>
        <w:spacing w:after="0" w:line="240" w:lineRule="auto"/>
        <w:ind w:left="0"/>
      </w:pPr>
      <w:r>
        <w:rPr>
          <w:b/>
        </w:rPr>
        <w:t>Heard</w:t>
      </w:r>
      <w:r w:rsidRPr="0093540D">
        <w:t>:</w:t>
      </w:r>
      <w:r>
        <w:tab/>
      </w:r>
      <w:r>
        <w:tab/>
      </w:r>
      <w:r>
        <w:tab/>
        <w:t>14 June 2022</w:t>
      </w:r>
    </w:p>
    <w:p w14:paraId="50F4000C" w14:textId="77777777" w:rsidR="00B162D4" w:rsidRPr="00E81AD1" w:rsidRDefault="00B162D4" w:rsidP="00B162D4">
      <w:pPr>
        <w:pStyle w:val="ListParagraph"/>
        <w:spacing w:after="0" w:line="240" w:lineRule="auto"/>
        <w:ind w:left="0"/>
      </w:pPr>
      <w:r>
        <w:rPr>
          <w:b/>
        </w:rPr>
        <w:t>J</w:t>
      </w:r>
      <w:r w:rsidRPr="00B162D4">
        <w:rPr>
          <w:b/>
        </w:rPr>
        <w:t>udgment</w:t>
      </w:r>
      <w:r>
        <w:rPr>
          <w:b/>
        </w:rPr>
        <w:t>:</w:t>
      </w:r>
      <w:r>
        <w:rPr>
          <w:b/>
        </w:rPr>
        <w:tab/>
      </w:r>
      <w:r w:rsidRPr="0093540D">
        <w:t xml:space="preserve"> </w:t>
      </w:r>
      <w:r w:rsidRPr="0093540D">
        <w:tab/>
      </w:r>
      <w:r w:rsidRPr="0093540D">
        <w:tab/>
      </w:r>
      <w:r w:rsidRPr="00E81AD1">
        <w:t>15 June 2022</w:t>
      </w:r>
    </w:p>
    <w:p w14:paraId="3BB2BFAD" w14:textId="77777777" w:rsidR="00B162D4" w:rsidRDefault="00B162D4" w:rsidP="00B162D4">
      <w:pPr>
        <w:pStyle w:val="ListParagraph"/>
        <w:spacing w:after="0" w:line="240" w:lineRule="auto"/>
        <w:ind w:left="0"/>
        <w:rPr>
          <w:u w:val="single"/>
        </w:rPr>
      </w:pPr>
    </w:p>
    <w:p w14:paraId="5370183A" w14:textId="77777777" w:rsidR="00B162D4" w:rsidRPr="00B162D4" w:rsidRDefault="00B162D4" w:rsidP="00B162D4">
      <w:pPr>
        <w:pStyle w:val="ListParagraph"/>
        <w:spacing w:after="0" w:line="240" w:lineRule="auto"/>
        <w:ind w:left="0"/>
      </w:pPr>
      <w:r w:rsidRPr="00B162D4">
        <w:rPr>
          <w:bCs/>
          <w:u w:val="single"/>
        </w:rPr>
        <w:t>Appearances</w:t>
      </w:r>
      <w:r w:rsidRPr="00B162D4">
        <w:rPr>
          <w:bCs/>
        </w:rPr>
        <w:t>:</w:t>
      </w:r>
      <w:r w:rsidRPr="00B162D4">
        <w:t xml:space="preserve"> </w:t>
      </w:r>
    </w:p>
    <w:p w14:paraId="0E5E54BF" w14:textId="77777777" w:rsidR="00B162D4" w:rsidRDefault="00B162D4" w:rsidP="00B162D4">
      <w:pPr>
        <w:pStyle w:val="ListParagraph"/>
        <w:spacing w:after="0" w:line="240" w:lineRule="auto"/>
        <w:ind w:left="0"/>
        <w:rPr>
          <w:b/>
          <w:bCs/>
        </w:rPr>
      </w:pPr>
    </w:p>
    <w:p w14:paraId="53E5D789" w14:textId="77777777" w:rsidR="00B162D4" w:rsidRPr="0093540D" w:rsidRDefault="00B162D4" w:rsidP="00B162D4">
      <w:pPr>
        <w:pStyle w:val="ListParagraph"/>
        <w:spacing w:after="0" w:line="240" w:lineRule="auto"/>
        <w:ind w:left="0"/>
      </w:pPr>
      <w:r>
        <w:rPr>
          <w:b/>
          <w:bCs/>
        </w:rPr>
        <w:t xml:space="preserve">For </w:t>
      </w:r>
      <w:r w:rsidRPr="00555ECB">
        <w:rPr>
          <w:b/>
          <w:bCs/>
        </w:rPr>
        <w:t>Applicant</w:t>
      </w:r>
      <w:r w:rsidRPr="00CD0F53">
        <w:t xml:space="preserve">: </w:t>
      </w:r>
      <w:r>
        <w:tab/>
      </w:r>
      <w:r>
        <w:tab/>
      </w:r>
      <w:r w:rsidRPr="00CD0F53">
        <w:t>Adv T.P. Kruger SC</w:t>
      </w:r>
      <w:r>
        <w:t xml:space="preserve"> (with </w:t>
      </w:r>
      <w:r w:rsidRPr="00CD0F53">
        <w:t>Adv C. D’Alton</w:t>
      </w:r>
      <w:r>
        <w:t>)</w:t>
      </w:r>
    </w:p>
    <w:p w14:paraId="338A8CCB" w14:textId="77777777" w:rsidR="00B162D4" w:rsidRDefault="00B162D4" w:rsidP="00B162D4">
      <w:pPr>
        <w:pStyle w:val="ListParagraph"/>
        <w:spacing w:after="0" w:line="240" w:lineRule="auto"/>
        <w:ind w:left="0"/>
      </w:pPr>
      <w:r w:rsidRPr="00CD0F53">
        <w:rPr>
          <w:b/>
          <w:bCs/>
        </w:rPr>
        <w:t>Instructed by</w:t>
      </w:r>
      <w:r w:rsidRPr="00B162D4">
        <w:rPr>
          <w:bCs/>
        </w:rPr>
        <w:t>:</w:t>
      </w:r>
      <w:r w:rsidRPr="00CD0F53">
        <w:t xml:space="preserve"> </w:t>
      </w:r>
      <w:r>
        <w:tab/>
      </w:r>
      <w:r>
        <w:tab/>
      </w:r>
      <w:r w:rsidRPr="00CD0F53">
        <w:t>Cilliers and Associates</w:t>
      </w:r>
    </w:p>
    <w:p w14:paraId="65482268" w14:textId="77777777" w:rsidR="00B162D4" w:rsidRDefault="00B162D4" w:rsidP="00B162D4">
      <w:pPr>
        <w:pStyle w:val="ListParagraph"/>
        <w:spacing w:after="0" w:line="240" w:lineRule="auto"/>
        <w:ind w:left="0"/>
      </w:pPr>
    </w:p>
    <w:p w14:paraId="1B5CE7BE" w14:textId="77777777" w:rsidR="00B162D4" w:rsidRPr="00CD0F53" w:rsidRDefault="00B162D4" w:rsidP="00B162D4">
      <w:pPr>
        <w:pStyle w:val="ListParagraph"/>
        <w:spacing w:after="0" w:line="240" w:lineRule="auto"/>
        <w:ind w:left="0"/>
        <w:rPr>
          <w:rFonts w:cs="Arial"/>
          <w:color w:val="000000"/>
          <w:szCs w:val="24"/>
        </w:rPr>
      </w:pPr>
      <w:r>
        <w:rPr>
          <w:rFonts w:cs="Arial"/>
          <w:b/>
          <w:bCs/>
          <w:color w:val="000000"/>
          <w:szCs w:val="24"/>
        </w:rPr>
        <w:t>For R</w:t>
      </w:r>
      <w:r w:rsidRPr="00555ECB">
        <w:rPr>
          <w:rFonts w:cs="Arial"/>
          <w:b/>
          <w:bCs/>
          <w:color w:val="000000"/>
          <w:szCs w:val="24"/>
        </w:rPr>
        <w:t>espondent</w:t>
      </w:r>
      <w:r w:rsidRPr="00B162D4">
        <w:rPr>
          <w:rFonts w:cs="Arial"/>
          <w:bCs/>
          <w:color w:val="000000"/>
          <w:szCs w:val="24"/>
        </w:rPr>
        <w:t>:</w:t>
      </w:r>
      <w:r w:rsidRPr="00CD0F53">
        <w:rPr>
          <w:rFonts w:cs="Arial"/>
          <w:color w:val="000000"/>
          <w:szCs w:val="24"/>
        </w:rPr>
        <w:t xml:space="preserve"> </w:t>
      </w:r>
      <w:r>
        <w:rPr>
          <w:rFonts w:cs="Arial"/>
          <w:color w:val="000000"/>
          <w:szCs w:val="24"/>
        </w:rPr>
        <w:tab/>
      </w:r>
      <w:r>
        <w:rPr>
          <w:rFonts w:cs="Arial"/>
          <w:color w:val="000000"/>
          <w:szCs w:val="24"/>
        </w:rPr>
        <w:tab/>
      </w:r>
      <w:r w:rsidRPr="00CD0F53">
        <w:rPr>
          <w:rFonts w:cs="Arial"/>
          <w:color w:val="000000"/>
          <w:szCs w:val="24"/>
        </w:rPr>
        <w:t xml:space="preserve">Adv E van Vuuren SC </w:t>
      </w:r>
      <w:r>
        <w:rPr>
          <w:rFonts w:cs="Arial"/>
          <w:color w:val="000000"/>
          <w:szCs w:val="24"/>
        </w:rPr>
        <w:t>(</w:t>
      </w:r>
      <w:r w:rsidRPr="00CD0F53">
        <w:rPr>
          <w:rFonts w:cs="Arial"/>
          <w:color w:val="000000"/>
          <w:szCs w:val="24"/>
        </w:rPr>
        <w:t>with Adv K. Iles</w:t>
      </w:r>
      <w:r>
        <w:rPr>
          <w:rFonts w:cs="Arial"/>
          <w:color w:val="000000"/>
          <w:szCs w:val="24"/>
        </w:rPr>
        <w:t>)</w:t>
      </w:r>
      <w:r w:rsidRPr="00CD0F53">
        <w:rPr>
          <w:rFonts w:cs="Arial"/>
          <w:color w:val="000000"/>
          <w:szCs w:val="24"/>
        </w:rPr>
        <w:t xml:space="preserve"> </w:t>
      </w:r>
    </w:p>
    <w:p w14:paraId="56333672" w14:textId="77777777" w:rsidR="00B162D4" w:rsidRPr="00CD0F53" w:rsidRDefault="00B162D4" w:rsidP="00B162D4">
      <w:pPr>
        <w:pStyle w:val="ListParagraph"/>
        <w:spacing w:after="0" w:line="240" w:lineRule="auto"/>
        <w:ind w:left="0"/>
        <w:rPr>
          <w:rFonts w:cs="Arial"/>
          <w:szCs w:val="24"/>
        </w:rPr>
      </w:pPr>
      <w:r w:rsidRPr="00CD0F53">
        <w:rPr>
          <w:rFonts w:cs="Arial"/>
          <w:b/>
          <w:bCs/>
          <w:color w:val="000000"/>
          <w:szCs w:val="24"/>
        </w:rPr>
        <w:t>Instructed by</w:t>
      </w:r>
      <w:r w:rsidRPr="00CD0F53">
        <w:rPr>
          <w:rFonts w:cs="Arial"/>
          <w:color w:val="000000"/>
          <w:szCs w:val="24"/>
        </w:rPr>
        <w:t xml:space="preserve">: </w:t>
      </w:r>
      <w:r>
        <w:rPr>
          <w:rFonts w:cs="Arial"/>
          <w:color w:val="000000"/>
          <w:szCs w:val="24"/>
        </w:rPr>
        <w:tab/>
      </w:r>
      <w:r>
        <w:rPr>
          <w:rFonts w:cs="Arial"/>
          <w:color w:val="000000"/>
          <w:szCs w:val="24"/>
        </w:rPr>
        <w:tab/>
      </w:r>
      <w:r w:rsidRPr="00CD0F53">
        <w:rPr>
          <w:rFonts w:cs="Arial"/>
          <w:color w:val="000000"/>
          <w:szCs w:val="24"/>
        </w:rPr>
        <w:t xml:space="preserve">MacRoberts Attorneys </w:t>
      </w:r>
    </w:p>
    <w:p w14:paraId="430FE98E" w14:textId="06131150" w:rsidR="005C6A07" w:rsidRDefault="005C6A07" w:rsidP="00054E3D">
      <w:pPr>
        <w:spacing w:line="360" w:lineRule="auto"/>
        <w:jc w:val="both"/>
      </w:pPr>
    </w:p>
    <w:sectPr w:rsidR="005C6A07" w:rsidSect="001B6356">
      <w:pgSz w:w="11900" w:h="16840"/>
      <w:pgMar w:top="1440" w:right="1440" w:bottom="1440" w:left="1440" w:header="731"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999EF2" w14:textId="77777777" w:rsidR="00023662" w:rsidRDefault="00023662" w:rsidP="00B65F50">
      <w:pPr>
        <w:spacing w:after="0"/>
      </w:pPr>
      <w:r>
        <w:separator/>
      </w:r>
    </w:p>
  </w:endnote>
  <w:endnote w:type="continuationSeparator" w:id="0">
    <w:p w14:paraId="4CE3AAB7" w14:textId="77777777" w:rsidR="00023662" w:rsidRDefault="00023662" w:rsidP="00B65F5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Segoe UI"/>
    <w:charset w:val="00"/>
    <w:family w:val="swiss"/>
    <w:pitch w:val="variable"/>
    <w:sig w:usb0="E1000AEF"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auto"/>
    <w:pitch w:val="variable"/>
    <w:sig w:usb0="E00002FF" w:usb1="5000205A"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EFCA45" w14:textId="77777777" w:rsidR="00023662" w:rsidRDefault="00023662" w:rsidP="00B65F50">
      <w:pPr>
        <w:spacing w:after="0"/>
      </w:pPr>
      <w:r>
        <w:separator/>
      </w:r>
    </w:p>
  </w:footnote>
  <w:footnote w:type="continuationSeparator" w:id="0">
    <w:p w14:paraId="58BF5B80" w14:textId="77777777" w:rsidR="00023662" w:rsidRDefault="00023662" w:rsidP="00B65F50">
      <w:pPr>
        <w:spacing w:after="0"/>
      </w:pPr>
      <w:r>
        <w:continuationSeparator/>
      </w:r>
    </w:p>
  </w:footnote>
  <w:footnote w:id="1">
    <w:p w14:paraId="39F77CF3" w14:textId="77777777" w:rsidR="00C629EE" w:rsidRPr="000E3C62" w:rsidRDefault="00C629EE" w:rsidP="00C629EE">
      <w:pPr>
        <w:pStyle w:val="FootnoteText"/>
        <w:rPr>
          <w:sz w:val="18"/>
          <w:szCs w:val="18"/>
          <w:lang w:val="en-US"/>
        </w:rPr>
      </w:pPr>
      <w:r w:rsidRPr="000E3C62">
        <w:rPr>
          <w:rStyle w:val="FootnoteReference"/>
          <w:sz w:val="18"/>
          <w:szCs w:val="18"/>
        </w:rPr>
        <w:footnoteRef/>
      </w:r>
      <w:r w:rsidRPr="000E3C62">
        <w:rPr>
          <w:sz w:val="18"/>
          <w:szCs w:val="18"/>
        </w:rPr>
        <w:t xml:space="preserve"> </w:t>
      </w:r>
      <w:r w:rsidRPr="000E3C62">
        <w:rPr>
          <w:sz w:val="18"/>
          <w:szCs w:val="18"/>
          <w:lang w:val="en-US"/>
        </w:rPr>
        <w:t>See paragraph 5 of the judgment and paragraph and paragraph 1.1 of the Notice.</w:t>
      </w:r>
    </w:p>
  </w:footnote>
  <w:footnote w:id="2">
    <w:p w14:paraId="66813BBC" w14:textId="77777777" w:rsidR="00C629EE" w:rsidRPr="000E3C62" w:rsidRDefault="00C629EE" w:rsidP="00C629EE">
      <w:pPr>
        <w:pStyle w:val="FootnoteText"/>
        <w:rPr>
          <w:sz w:val="18"/>
          <w:szCs w:val="18"/>
          <w:lang w:val="en-US"/>
        </w:rPr>
      </w:pPr>
      <w:r w:rsidRPr="000E3C62">
        <w:rPr>
          <w:rStyle w:val="FootnoteReference"/>
          <w:sz w:val="18"/>
          <w:szCs w:val="18"/>
        </w:rPr>
        <w:footnoteRef/>
      </w:r>
      <w:r w:rsidRPr="000E3C62">
        <w:rPr>
          <w:sz w:val="18"/>
          <w:szCs w:val="18"/>
        </w:rPr>
        <w:t xml:space="preserve"> </w:t>
      </w:r>
      <w:r w:rsidRPr="000E3C62">
        <w:rPr>
          <w:sz w:val="18"/>
          <w:szCs w:val="18"/>
          <w:lang w:val="en-US"/>
        </w:rPr>
        <w:t>See paragraphs 154 onwards and in particular paragraphs 157 to 159 which reflect a balance approach to the experts’ respective contentions.</w:t>
      </w:r>
    </w:p>
  </w:footnote>
  <w:footnote w:id="3">
    <w:p w14:paraId="06DD83C0" w14:textId="77777777" w:rsidR="00C629EE" w:rsidRPr="000E3C62" w:rsidRDefault="00C629EE" w:rsidP="00C629EE">
      <w:pPr>
        <w:pStyle w:val="FootnoteText"/>
        <w:rPr>
          <w:sz w:val="18"/>
          <w:szCs w:val="18"/>
          <w:lang w:val="en-US"/>
        </w:rPr>
      </w:pPr>
      <w:r w:rsidRPr="000E3C62">
        <w:rPr>
          <w:rStyle w:val="FootnoteReference"/>
          <w:sz w:val="18"/>
          <w:szCs w:val="18"/>
        </w:rPr>
        <w:footnoteRef/>
      </w:r>
      <w:r w:rsidRPr="000E3C62">
        <w:rPr>
          <w:sz w:val="18"/>
          <w:szCs w:val="18"/>
        </w:rPr>
        <w:t xml:space="preserve"> </w:t>
      </w:r>
      <w:r w:rsidRPr="000E3C62">
        <w:rPr>
          <w:sz w:val="18"/>
          <w:szCs w:val="18"/>
          <w:lang w:val="en-US"/>
        </w:rPr>
        <w:t>See judgment paragraphs 132 to 135.</w:t>
      </w:r>
    </w:p>
  </w:footnote>
  <w:footnote w:id="4">
    <w:p w14:paraId="7B14182A" w14:textId="0454B515" w:rsidR="00C629EE" w:rsidRPr="000E3C62" w:rsidRDefault="00C629EE" w:rsidP="00C629EE">
      <w:pPr>
        <w:pStyle w:val="FootnoteText"/>
        <w:rPr>
          <w:sz w:val="18"/>
          <w:szCs w:val="18"/>
          <w:lang w:val="en-US"/>
        </w:rPr>
      </w:pPr>
      <w:r w:rsidRPr="000E3C62">
        <w:rPr>
          <w:rStyle w:val="FootnoteReference"/>
          <w:sz w:val="18"/>
          <w:szCs w:val="18"/>
        </w:rPr>
        <w:footnoteRef/>
      </w:r>
      <w:r w:rsidRPr="000E3C62">
        <w:rPr>
          <w:sz w:val="18"/>
          <w:szCs w:val="18"/>
        </w:rPr>
        <w:t xml:space="preserve"> See the applicant’s heads of argument paragraph 8.5.3 where a conclusion of probability is based on a statement in </w:t>
      </w:r>
      <w:r w:rsidR="000E3C62" w:rsidRPr="000E3C62">
        <w:rPr>
          <w:sz w:val="18"/>
          <w:szCs w:val="18"/>
        </w:rPr>
        <w:t>the record by Dr Maru</w:t>
      </w:r>
      <w:r w:rsidRPr="000E3C62">
        <w:rPr>
          <w:sz w:val="18"/>
          <w:szCs w:val="18"/>
        </w:rPr>
        <w:t>s, which is quoted but suggests only possibility</w:t>
      </w:r>
      <w:r w:rsidRPr="000E3C62">
        <w:rPr>
          <w:sz w:val="18"/>
          <w:szCs w:val="18"/>
          <w:lang w:val="en-US"/>
        </w:rPr>
        <w:t xml:space="preserve">. </w:t>
      </w:r>
    </w:p>
  </w:footnote>
  <w:footnote w:id="5">
    <w:p w14:paraId="4CF00508" w14:textId="77777777" w:rsidR="00C629EE" w:rsidRPr="000E3C62" w:rsidRDefault="00C629EE" w:rsidP="00C629EE">
      <w:pPr>
        <w:pStyle w:val="FootnoteText"/>
        <w:rPr>
          <w:sz w:val="18"/>
          <w:szCs w:val="18"/>
          <w:lang w:val="en-US"/>
        </w:rPr>
      </w:pPr>
      <w:r w:rsidRPr="000E3C62">
        <w:rPr>
          <w:rStyle w:val="FootnoteReference"/>
          <w:sz w:val="18"/>
          <w:szCs w:val="18"/>
        </w:rPr>
        <w:footnoteRef/>
      </w:r>
      <w:r w:rsidRPr="000E3C62">
        <w:rPr>
          <w:sz w:val="18"/>
          <w:szCs w:val="18"/>
        </w:rPr>
        <w:t xml:space="preserve"> </w:t>
      </w:r>
      <w:r w:rsidRPr="000E3C62">
        <w:rPr>
          <w:sz w:val="18"/>
          <w:szCs w:val="18"/>
          <w:lang w:val="en-US"/>
        </w:rPr>
        <w:t xml:space="preserve">On the threshold test, the frequently cited decision is </w:t>
      </w:r>
      <w:r w:rsidRPr="000E3C62">
        <w:rPr>
          <w:i/>
          <w:iCs/>
          <w:sz w:val="18"/>
          <w:szCs w:val="18"/>
          <w:lang w:val="en-US"/>
        </w:rPr>
        <w:t>Mont Chevaux Trust v Tina Goosen.</w:t>
      </w:r>
      <w:r w:rsidRPr="000E3C62">
        <w:rPr>
          <w:sz w:val="18"/>
          <w:szCs w:val="18"/>
          <w:lang w:val="en-US"/>
        </w:rPr>
        <w:t xml:space="preserve">LCC14R/2014. On the prospects of success see </w:t>
      </w:r>
      <w:r w:rsidRPr="000E3C62">
        <w:rPr>
          <w:i/>
          <w:iCs/>
          <w:sz w:val="18"/>
          <w:szCs w:val="18"/>
          <w:lang w:val="en-US"/>
        </w:rPr>
        <w:t>Botes and Another v Nedbank Ltd</w:t>
      </w:r>
      <w:r w:rsidRPr="000E3C62">
        <w:rPr>
          <w:sz w:val="18"/>
          <w:szCs w:val="18"/>
          <w:lang w:val="en-US"/>
        </w:rPr>
        <w:t xml:space="preserve"> 1983 (3) SA 27 (A) at 28A-F. On the approach to findings of fact by an appeal court see </w:t>
      </w:r>
      <w:r w:rsidRPr="000E3C62">
        <w:rPr>
          <w:i/>
          <w:iCs/>
          <w:sz w:val="18"/>
          <w:szCs w:val="18"/>
          <w:lang w:val="en-US"/>
        </w:rPr>
        <w:t xml:space="preserve">Competition Commission of South Africa v Mediclinic Southern Africa (Pty) Ltd </w:t>
      </w:r>
      <w:r w:rsidRPr="000E3C62">
        <w:rPr>
          <w:sz w:val="18"/>
          <w:szCs w:val="18"/>
          <w:lang w:val="en-US"/>
        </w:rPr>
        <w:t>2021 JDR 3149 (CC) [45].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 w15:restartNumberingAfterBreak="0">
    <w:nsid w:val="0E977614"/>
    <w:multiLevelType w:val="hybridMultilevel"/>
    <w:tmpl w:val="49BAB8BE"/>
    <w:lvl w:ilvl="0" w:tplc="B8A4DAD6">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 w15:restartNumberingAfterBreak="0">
    <w:nsid w:val="2B127C1F"/>
    <w:multiLevelType w:val="hybridMultilevel"/>
    <w:tmpl w:val="EF16DA38"/>
    <w:lvl w:ilvl="0" w:tplc="86561E7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56C502FF"/>
    <w:multiLevelType w:val="hybridMultilevel"/>
    <w:tmpl w:val="4D369028"/>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59E"/>
    <w:rsid w:val="00003DF7"/>
    <w:rsid w:val="00021DE7"/>
    <w:rsid w:val="00023662"/>
    <w:rsid w:val="00026CCE"/>
    <w:rsid w:val="00030959"/>
    <w:rsid w:val="00030C7F"/>
    <w:rsid w:val="00041957"/>
    <w:rsid w:val="00054E3D"/>
    <w:rsid w:val="00076E3F"/>
    <w:rsid w:val="000814CE"/>
    <w:rsid w:val="00097881"/>
    <w:rsid w:val="000B551B"/>
    <w:rsid w:val="000E3C62"/>
    <w:rsid w:val="000F4978"/>
    <w:rsid w:val="000F5FB6"/>
    <w:rsid w:val="00151091"/>
    <w:rsid w:val="00165400"/>
    <w:rsid w:val="0016669D"/>
    <w:rsid w:val="001A5DAF"/>
    <w:rsid w:val="001B43CC"/>
    <w:rsid w:val="001B6356"/>
    <w:rsid w:val="001C4C30"/>
    <w:rsid w:val="001C5DE0"/>
    <w:rsid w:val="001F1E26"/>
    <w:rsid w:val="002044A0"/>
    <w:rsid w:val="00214D93"/>
    <w:rsid w:val="0021559E"/>
    <w:rsid w:val="002161B4"/>
    <w:rsid w:val="00234056"/>
    <w:rsid w:val="002549DC"/>
    <w:rsid w:val="002764F5"/>
    <w:rsid w:val="00282C1F"/>
    <w:rsid w:val="002942B1"/>
    <w:rsid w:val="0029526B"/>
    <w:rsid w:val="002C62A9"/>
    <w:rsid w:val="002D2B72"/>
    <w:rsid w:val="002E749D"/>
    <w:rsid w:val="002F58A4"/>
    <w:rsid w:val="003248EE"/>
    <w:rsid w:val="00336F2B"/>
    <w:rsid w:val="0036340A"/>
    <w:rsid w:val="00384CCE"/>
    <w:rsid w:val="00392769"/>
    <w:rsid w:val="003A3D39"/>
    <w:rsid w:val="003B0170"/>
    <w:rsid w:val="003E25B7"/>
    <w:rsid w:val="004275D6"/>
    <w:rsid w:val="004318CC"/>
    <w:rsid w:val="00436E5C"/>
    <w:rsid w:val="00456AE6"/>
    <w:rsid w:val="004633B3"/>
    <w:rsid w:val="00463EA8"/>
    <w:rsid w:val="004A0179"/>
    <w:rsid w:val="004A1575"/>
    <w:rsid w:val="004C4344"/>
    <w:rsid w:val="004D7EBD"/>
    <w:rsid w:val="004E4A37"/>
    <w:rsid w:val="004F0281"/>
    <w:rsid w:val="004F70CE"/>
    <w:rsid w:val="005024BE"/>
    <w:rsid w:val="005416E9"/>
    <w:rsid w:val="0057613F"/>
    <w:rsid w:val="005A1F0D"/>
    <w:rsid w:val="005C4FAC"/>
    <w:rsid w:val="005C6A07"/>
    <w:rsid w:val="005E3FF0"/>
    <w:rsid w:val="006311FC"/>
    <w:rsid w:val="0064273F"/>
    <w:rsid w:val="006602CD"/>
    <w:rsid w:val="006A3F67"/>
    <w:rsid w:val="006C3CC7"/>
    <w:rsid w:val="006D2277"/>
    <w:rsid w:val="006D32CF"/>
    <w:rsid w:val="006E0733"/>
    <w:rsid w:val="00700D29"/>
    <w:rsid w:val="00704A5D"/>
    <w:rsid w:val="00710785"/>
    <w:rsid w:val="00717465"/>
    <w:rsid w:val="0073345F"/>
    <w:rsid w:val="00735DDE"/>
    <w:rsid w:val="00741986"/>
    <w:rsid w:val="0074356E"/>
    <w:rsid w:val="0074466F"/>
    <w:rsid w:val="0075788F"/>
    <w:rsid w:val="00761DEC"/>
    <w:rsid w:val="0076421F"/>
    <w:rsid w:val="007677C6"/>
    <w:rsid w:val="0078079D"/>
    <w:rsid w:val="007825B4"/>
    <w:rsid w:val="00793020"/>
    <w:rsid w:val="007A22C2"/>
    <w:rsid w:val="007B2356"/>
    <w:rsid w:val="007C29DF"/>
    <w:rsid w:val="007C53E7"/>
    <w:rsid w:val="007D6CA3"/>
    <w:rsid w:val="007E5F6C"/>
    <w:rsid w:val="00806D7B"/>
    <w:rsid w:val="00810909"/>
    <w:rsid w:val="00822DE8"/>
    <w:rsid w:val="008253F9"/>
    <w:rsid w:val="00862AA7"/>
    <w:rsid w:val="0086552A"/>
    <w:rsid w:val="00870F94"/>
    <w:rsid w:val="008A4501"/>
    <w:rsid w:val="008E5004"/>
    <w:rsid w:val="008E6983"/>
    <w:rsid w:val="008F30BC"/>
    <w:rsid w:val="00913B2D"/>
    <w:rsid w:val="009170BE"/>
    <w:rsid w:val="0093540D"/>
    <w:rsid w:val="009563C3"/>
    <w:rsid w:val="009713D9"/>
    <w:rsid w:val="00984F7C"/>
    <w:rsid w:val="009E6AB9"/>
    <w:rsid w:val="009F4AA8"/>
    <w:rsid w:val="00A12AFE"/>
    <w:rsid w:val="00A55C6D"/>
    <w:rsid w:val="00A56C51"/>
    <w:rsid w:val="00A85F4A"/>
    <w:rsid w:val="00A93CF4"/>
    <w:rsid w:val="00A96DDB"/>
    <w:rsid w:val="00AA544F"/>
    <w:rsid w:val="00AB7A5F"/>
    <w:rsid w:val="00AD3B81"/>
    <w:rsid w:val="00AF10B0"/>
    <w:rsid w:val="00B034F1"/>
    <w:rsid w:val="00B12925"/>
    <w:rsid w:val="00B162D4"/>
    <w:rsid w:val="00B33F8C"/>
    <w:rsid w:val="00B34A71"/>
    <w:rsid w:val="00B3540B"/>
    <w:rsid w:val="00B65F50"/>
    <w:rsid w:val="00B806D7"/>
    <w:rsid w:val="00B8297C"/>
    <w:rsid w:val="00BD44FF"/>
    <w:rsid w:val="00BD48DF"/>
    <w:rsid w:val="00BF6DB4"/>
    <w:rsid w:val="00C0237B"/>
    <w:rsid w:val="00C15B0E"/>
    <w:rsid w:val="00C30246"/>
    <w:rsid w:val="00C3265C"/>
    <w:rsid w:val="00C629EE"/>
    <w:rsid w:val="00C707FF"/>
    <w:rsid w:val="00C8154D"/>
    <w:rsid w:val="00C83CDF"/>
    <w:rsid w:val="00C95000"/>
    <w:rsid w:val="00CA44EA"/>
    <w:rsid w:val="00CC1BA1"/>
    <w:rsid w:val="00CE0B17"/>
    <w:rsid w:val="00CE7BC0"/>
    <w:rsid w:val="00CF181D"/>
    <w:rsid w:val="00CF2FD1"/>
    <w:rsid w:val="00D261E0"/>
    <w:rsid w:val="00D3768A"/>
    <w:rsid w:val="00D41CC1"/>
    <w:rsid w:val="00D577F0"/>
    <w:rsid w:val="00D6567E"/>
    <w:rsid w:val="00D82548"/>
    <w:rsid w:val="00D95A8B"/>
    <w:rsid w:val="00DC1FDB"/>
    <w:rsid w:val="00DC2138"/>
    <w:rsid w:val="00DE75EB"/>
    <w:rsid w:val="00DF4593"/>
    <w:rsid w:val="00E63213"/>
    <w:rsid w:val="00E64FAE"/>
    <w:rsid w:val="00E66E0E"/>
    <w:rsid w:val="00E80D59"/>
    <w:rsid w:val="00E845BB"/>
    <w:rsid w:val="00E95C85"/>
    <w:rsid w:val="00EA14BD"/>
    <w:rsid w:val="00EA5DCE"/>
    <w:rsid w:val="00EF4972"/>
    <w:rsid w:val="00F11203"/>
    <w:rsid w:val="00F36C3B"/>
    <w:rsid w:val="00F57F06"/>
    <w:rsid w:val="00F959D1"/>
    <w:rsid w:val="00F96A5D"/>
    <w:rsid w:val="00FB1697"/>
    <w:rsid w:val="00FB34DC"/>
    <w:rsid w:val="00FC70AA"/>
    <w:rsid w:val="00FD7A17"/>
    <w:rsid w:val="00FF1254"/>
  </w:rsids>
  <m:mathPr>
    <m:mathFont m:val="Cambria Math"/>
    <m:brkBin m:val="before"/>
    <m:brkBinSub m:val="--"/>
    <m:smallFrac m:val="0"/>
    <m:dispDef m:val="0"/>
    <m:lMargin m:val="0"/>
    <m:rMargin m:val="0"/>
    <m:defJc m:val="centerGroup"/>
    <m:wrapRight/>
    <m:intLim m:val="subSup"/>
    <m:naryLim m:val="subSup"/>
  </m:mathPr>
  <w:themeFontLang w:val="en-Z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1A44C568"/>
  <w15:docId w15:val="{AB9F78D5-EDC4-C547-870F-4AC5A8363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MS Mincho" w:hAnsi="Arial" w:cs="Times New Roman"/>
        <w:sz w:val="24"/>
        <w:lang w:val="en-Z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2138"/>
    <w:pPr>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34DC"/>
    <w:pPr>
      <w:spacing w:after="0"/>
    </w:pPr>
    <w:rPr>
      <w:rFonts w:ascii="Lucida Grande" w:hAnsi="Lucida Grande" w:cs="Lucida Grande"/>
      <w:sz w:val="18"/>
      <w:szCs w:val="18"/>
    </w:rPr>
  </w:style>
  <w:style w:type="character" w:customStyle="1" w:styleId="BalloonTextChar">
    <w:name w:val="Balloon Text Char"/>
    <w:link w:val="BalloonText"/>
    <w:uiPriority w:val="99"/>
    <w:semiHidden/>
    <w:rsid w:val="00FB34DC"/>
    <w:rPr>
      <w:rFonts w:ascii="Lucida Grande" w:eastAsia="MS Mincho" w:hAnsi="Lucida Grande" w:cs="Lucida Grande"/>
      <w:sz w:val="18"/>
      <w:szCs w:val="18"/>
      <w:lang w:val="en-GB" w:eastAsia="ja-JP"/>
    </w:rPr>
  </w:style>
  <w:style w:type="paragraph" w:styleId="Header">
    <w:name w:val="header"/>
    <w:basedOn w:val="Normal"/>
    <w:link w:val="HeaderChar"/>
    <w:uiPriority w:val="99"/>
    <w:unhideWhenUsed/>
    <w:rsid w:val="00B65F50"/>
    <w:pPr>
      <w:tabs>
        <w:tab w:val="center" w:pos="4320"/>
        <w:tab w:val="right" w:pos="8640"/>
      </w:tabs>
      <w:spacing w:after="0"/>
    </w:pPr>
  </w:style>
  <w:style w:type="character" w:customStyle="1" w:styleId="HeaderChar">
    <w:name w:val="Header Char"/>
    <w:link w:val="Header"/>
    <w:uiPriority w:val="99"/>
    <w:rsid w:val="00B65F50"/>
    <w:rPr>
      <w:rFonts w:ascii="Verdana" w:eastAsia="MS Mincho" w:hAnsi="Verdana"/>
      <w:sz w:val="24"/>
      <w:szCs w:val="24"/>
      <w:lang w:val="en-GB" w:eastAsia="ja-JP"/>
    </w:rPr>
  </w:style>
  <w:style w:type="paragraph" w:styleId="Footer">
    <w:name w:val="footer"/>
    <w:basedOn w:val="Normal"/>
    <w:link w:val="FooterChar"/>
    <w:uiPriority w:val="99"/>
    <w:unhideWhenUsed/>
    <w:rsid w:val="00B65F50"/>
    <w:pPr>
      <w:tabs>
        <w:tab w:val="center" w:pos="4320"/>
        <w:tab w:val="right" w:pos="8640"/>
      </w:tabs>
      <w:spacing w:after="0"/>
    </w:pPr>
  </w:style>
  <w:style w:type="character" w:customStyle="1" w:styleId="FooterChar">
    <w:name w:val="Footer Char"/>
    <w:link w:val="Footer"/>
    <w:uiPriority w:val="99"/>
    <w:rsid w:val="00B65F50"/>
    <w:rPr>
      <w:rFonts w:ascii="Verdana" w:eastAsia="MS Mincho" w:hAnsi="Verdana"/>
      <w:sz w:val="24"/>
      <w:szCs w:val="24"/>
      <w:lang w:val="en-GB" w:eastAsia="ja-JP"/>
    </w:rPr>
  </w:style>
  <w:style w:type="paragraph" w:styleId="FootnoteText">
    <w:name w:val="footnote text"/>
    <w:basedOn w:val="Normal"/>
    <w:link w:val="FootnoteTextChar"/>
    <w:uiPriority w:val="99"/>
    <w:unhideWhenUsed/>
    <w:rsid w:val="00054E3D"/>
    <w:pPr>
      <w:spacing w:after="0"/>
    </w:pPr>
  </w:style>
  <w:style w:type="character" w:customStyle="1" w:styleId="FootnoteTextChar">
    <w:name w:val="Footnote Text Char"/>
    <w:link w:val="FootnoteText"/>
    <w:uiPriority w:val="99"/>
    <w:rsid w:val="00054E3D"/>
    <w:rPr>
      <w:rFonts w:ascii="Verdana" w:eastAsia="MS Mincho" w:hAnsi="Verdana"/>
      <w:sz w:val="24"/>
      <w:szCs w:val="24"/>
      <w:lang w:val="en-GB" w:eastAsia="ja-JP"/>
    </w:rPr>
  </w:style>
  <w:style w:type="character" w:styleId="FootnoteReference">
    <w:name w:val="footnote reference"/>
    <w:uiPriority w:val="99"/>
    <w:unhideWhenUsed/>
    <w:rsid w:val="00054E3D"/>
    <w:rPr>
      <w:vertAlign w:val="superscript"/>
    </w:rPr>
  </w:style>
  <w:style w:type="character" w:customStyle="1" w:styleId="apple-converted-space">
    <w:name w:val="apple-converted-space"/>
    <w:basedOn w:val="DefaultParagraphFont"/>
    <w:rsid w:val="0074466F"/>
  </w:style>
  <w:style w:type="character" w:styleId="Hyperlink">
    <w:name w:val="Hyperlink"/>
    <w:basedOn w:val="DefaultParagraphFont"/>
    <w:uiPriority w:val="99"/>
    <w:unhideWhenUsed/>
    <w:rsid w:val="006311FC"/>
    <w:rPr>
      <w:color w:val="0563C1" w:themeColor="hyperlink"/>
      <w:u w:val="single"/>
    </w:rPr>
  </w:style>
  <w:style w:type="character" w:customStyle="1" w:styleId="UnresolvedMention">
    <w:name w:val="Unresolved Mention"/>
    <w:basedOn w:val="DefaultParagraphFont"/>
    <w:uiPriority w:val="99"/>
    <w:semiHidden/>
    <w:unhideWhenUsed/>
    <w:rsid w:val="006311FC"/>
    <w:rPr>
      <w:color w:val="605E5C"/>
      <w:shd w:val="clear" w:color="auto" w:fill="E1DFDD"/>
    </w:rPr>
  </w:style>
  <w:style w:type="character" w:styleId="FollowedHyperlink">
    <w:name w:val="FollowedHyperlink"/>
    <w:basedOn w:val="DefaultParagraphFont"/>
    <w:uiPriority w:val="99"/>
    <w:semiHidden/>
    <w:unhideWhenUsed/>
    <w:rsid w:val="00FC70AA"/>
    <w:rPr>
      <w:color w:val="954F72" w:themeColor="followedHyperlink"/>
      <w:u w:val="single"/>
    </w:rPr>
  </w:style>
  <w:style w:type="paragraph" w:styleId="ListParagraph">
    <w:name w:val="List Paragraph"/>
    <w:basedOn w:val="Normal"/>
    <w:uiPriority w:val="34"/>
    <w:qFormat/>
    <w:rsid w:val="0075788F"/>
    <w:pPr>
      <w:spacing w:after="160" w:line="259" w:lineRule="auto"/>
      <w:ind w:left="720"/>
      <w:contextualSpacing/>
    </w:pPr>
    <w:rPr>
      <w:rFonts w:eastAsia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134954">
      <w:bodyDiv w:val="1"/>
      <w:marLeft w:val="0"/>
      <w:marRight w:val="0"/>
      <w:marTop w:val="0"/>
      <w:marBottom w:val="0"/>
      <w:divBdr>
        <w:top w:val="none" w:sz="0" w:space="0" w:color="auto"/>
        <w:left w:val="none" w:sz="0" w:space="0" w:color="auto"/>
        <w:bottom w:val="none" w:sz="0" w:space="0" w:color="auto"/>
        <w:right w:val="none" w:sz="0" w:space="0" w:color="auto"/>
      </w:divBdr>
    </w:div>
    <w:div w:id="299846570">
      <w:bodyDiv w:val="1"/>
      <w:marLeft w:val="0"/>
      <w:marRight w:val="0"/>
      <w:marTop w:val="0"/>
      <w:marBottom w:val="0"/>
      <w:divBdr>
        <w:top w:val="none" w:sz="0" w:space="0" w:color="auto"/>
        <w:left w:val="none" w:sz="0" w:space="0" w:color="auto"/>
        <w:bottom w:val="none" w:sz="0" w:space="0" w:color="auto"/>
        <w:right w:val="none" w:sz="0" w:space="0" w:color="auto"/>
      </w:divBdr>
    </w:div>
    <w:div w:id="480121173">
      <w:bodyDiv w:val="1"/>
      <w:marLeft w:val="0"/>
      <w:marRight w:val="0"/>
      <w:marTop w:val="0"/>
      <w:marBottom w:val="0"/>
      <w:divBdr>
        <w:top w:val="none" w:sz="0" w:space="0" w:color="auto"/>
        <w:left w:val="none" w:sz="0" w:space="0" w:color="auto"/>
        <w:bottom w:val="none" w:sz="0" w:space="0" w:color="auto"/>
        <w:right w:val="none" w:sz="0" w:space="0" w:color="auto"/>
      </w:divBdr>
    </w:div>
    <w:div w:id="775638232">
      <w:bodyDiv w:val="1"/>
      <w:marLeft w:val="0"/>
      <w:marRight w:val="0"/>
      <w:marTop w:val="0"/>
      <w:marBottom w:val="0"/>
      <w:divBdr>
        <w:top w:val="none" w:sz="0" w:space="0" w:color="auto"/>
        <w:left w:val="none" w:sz="0" w:space="0" w:color="auto"/>
        <w:bottom w:val="none" w:sz="0" w:space="0" w:color="auto"/>
        <w:right w:val="none" w:sz="0" w:space="0" w:color="auto"/>
      </w:divBdr>
      <w:divsChild>
        <w:div w:id="1273199249">
          <w:marLeft w:val="0"/>
          <w:marRight w:val="0"/>
          <w:marTop w:val="0"/>
          <w:marBottom w:val="0"/>
          <w:divBdr>
            <w:top w:val="none" w:sz="0" w:space="0" w:color="auto"/>
            <w:left w:val="none" w:sz="0" w:space="0" w:color="auto"/>
            <w:bottom w:val="none" w:sz="0" w:space="0" w:color="auto"/>
            <w:right w:val="none" w:sz="0" w:space="0" w:color="auto"/>
          </w:divBdr>
          <w:divsChild>
            <w:div w:id="1117288041">
              <w:marLeft w:val="0"/>
              <w:marRight w:val="0"/>
              <w:marTop w:val="0"/>
              <w:marBottom w:val="0"/>
              <w:divBdr>
                <w:top w:val="none" w:sz="0" w:space="0" w:color="auto"/>
                <w:left w:val="none" w:sz="0" w:space="0" w:color="auto"/>
                <w:bottom w:val="none" w:sz="0" w:space="0" w:color="auto"/>
                <w:right w:val="none" w:sz="0" w:space="0" w:color="auto"/>
              </w:divBdr>
              <w:divsChild>
                <w:div w:id="32554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009194">
      <w:bodyDiv w:val="1"/>
      <w:marLeft w:val="0"/>
      <w:marRight w:val="0"/>
      <w:marTop w:val="0"/>
      <w:marBottom w:val="0"/>
      <w:divBdr>
        <w:top w:val="none" w:sz="0" w:space="0" w:color="auto"/>
        <w:left w:val="none" w:sz="0" w:space="0" w:color="auto"/>
        <w:bottom w:val="none" w:sz="0" w:space="0" w:color="auto"/>
        <w:right w:val="none" w:sz="0" w:space="0" w:color="auto"/>
      </w:divBdr>
    </w:div>
    <w:div w:id="977295695">
      <w:bodyDiv w:val="1"/>
      <w:marLeft w:val="0"/>
      <w:marRight w:val="0"/>
      <w:marTop w:val="0"/>
      <w:marBottom w:val="0"/>
      <w:divBdr>
        <w:top w:val="none" w:sz="0" w:space="0" w:color="auto"/>
        <w:left w:val="none" w:sz="0" w:space="0" w:color="auto"/>
        <w:bottom w:val="none" w:sz="0" w:space="0" w:color="auto"/>
        <w:right w:val="none" w:sz="0" w:space="0" w:color="auto"/>
      </w:divBdr>
    </w:div>
    <w:div w:id="1066338453">
      <w:bodyDiv w:val="1"/>
      <w:marLeft w:val="0"/>
      <w:marRight w:val="0"/>
      <w:marTop w:val="0"/>
      <w:marBottom w:val="0"/>
      <w:divBdr>
        <w:top w:val="none" w:sz="0" w:space="0" w:color="auto"/>
        <w:left w:val="none" w:sz="0" w:space="0" w:color="auto"/>
        <w:bottom w:val="none" w:sz="0" w:space="0" w:color="auto"/>
        <w:right w:val="none" w:sz="0" w:space="0" w:color="auto"/>
      </w:divBdr>
    </w:div>
    <w:div w:id="1205674041">
      <w:bodyDiv w:val="1"/>
      <w:marLeft w:val="0"/>
      <w:marRight w:val="0"/>
      <w:marTop w:val="0"/>
      <w:marBottom w:val="0"/>
      <w:divBdr>
        <w:top w:val="none" w:sz="0" w:space="0" w:color="auto"/>
        <w:left w:val="none" w:sz="0" w:space="0" w:color="auto"/>
        <w:bottom w:val="none" w:sz="0" w:space="0" w:color="auto"/>
        <w:right w:val="none" w:sz="0" w:space="0" w:color="auto"/>
      </w:divBdr>
    </w:div>
    <w:div w:id="18788154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DEAA88D-76EB-C04A-9200-C234AF3B851A}">
  <we:reference id="wa200001011" version="1.2.0.0" store="en-GB" storeType="OMEX"/>
  <we:alternateReferences>
    <we:reference id="wa200001011" version="1.2.0.0" store=""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0</TotalTime>
  <Pages>6</Pages>
  <Words>1396</Words>
  <Characters>7961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Matojane</dc:creator>
  <cp:keywords/>
  <dc:description/>
  <cp:lastModifiedBy>HOME</cp:lastModifiedBy>
  <cp:revision>2</cp:revision>
  <dcterms:created xsi:type="dcterms:W3CDTF">2022-07-04T04:29:00Z</dcterms:created>
  <dcterms:modified xsi:type="dcterms:W3CDTF">2022-07-04T04:29:00Z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documentId_5968</vt:lpwstr>
  </property>
  <property fmtid="{D5CDD505-2E9C-101B-9397-08002B2CF9AE}" pid="3" name="grammarly_documentContext">
    <vt:lpwstr>{"goals":[],"domain":"general","emotions":[],"dialect":"british"}</vt:lpwstr>
  </property>
</Properties>
</file>